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07B42AD6">
      <w:pPr>
        <w:pageBreakBefore w:val="0"/>
        <w:kinsoku/>
        <w:overflowPunct/>
        <w:bidi w:val="0"/>
        <w:spacing w:line="600" w:lineRule="exact"/>
        <w:jc w:val="center"/>
        <w:rPr>
          <w:rFonts w:hint="eastAsia" w:ascii="仿宋" w:hAnsi="仿宋" w:eastAsia="仿宋" w:cs="宋体"/>
          <w:color w:val="auto"/>
          <w:spacing w:val="40"/>
          <w:highlight w:val="none"/>
        </w:rPr>
      </w:pPr>
    </w:p>
    <w:p w14:paraId="3C7589B6">
      <w:pPr>
        <w:pageBreakBefore w:val="0"/>
        <w:kinsoku/>
        <w:overflowPunct/>
        <w:bidi w:val="0"/>
        <w:spacing w:line="600" w:lineRule="exact"/>
        <w:jc w:val="center"/>
        <w:rPr>
          <w:rFonts w:hint="eastAsia" w:ascii="仿宋" w:hAnsi="仿宋" w:eastAsia="仿宋" w:cs="宋体"/>
          <w:b/>
          <w:color w:val="auto"/>
          <w:highlight w:val="none"/>
          <w:u w:val="single"/>
        </w:rPr>
      </w:pPr>
    </w:p>
    <w:p w14:paraId="6462868A">
      <w:pPr>
        <w:pageBreakBefore w:val="0"/>
        <w:kinsoku/>
        <w:overflowPunct/>
        <w:bidi w:val="0"/>
        <w:spacing w:line="600" w:lineRule="exact"/>
        <w:jc w:val="center"/>
        <w:rPr>
          <w:rFonts w:hint="eastAsia" w:ascii="仿宋" w:hAnsi="仿宋" w:eastAsia="仿宋" w:cs="宋体"/>
          <w:b/>
          <w:color w:val="auto"/>
          <w:highlight w:val="none"/>
          <w:u w:val="single"/>
        </w:rPr>
      </w:pPr>
    </w:p>
    <w:p w14:paraId="0557B20C">
      <w:pPr>
        <w:pageBreakBefore w:val="0"/>
        <w:kinsoku/>
        <w:overflowPunct/>
        <w:bidi w:val="0"/>
        <w:spacing w:line="600" w:lineRule="exact"/>
        <w:jc w:val="center"/>
        <w:rPr>
          <w:rFonts w:hint="eastAsia" w:ascii="仿宋" w:hAnsi="仿宋" w:eastAsia="仿宋" w:cs="宋体"/>
          <w:b/>
          <w:color w:val="auto"/>
          <w:highlight w:val="none"/>
          <w:u w:val="single"/>
        </w:rPr>
      </w:pPr>
    </w:p>
    <w:p w14:paraId="49D480DE">
      <w:pPr>
        <w:pageBreakBefore w:val="0"/>
        <w:kinsoku/>
        <w:overflowPunct/>
        <w:bidi w:val="0"/>
        <w:spacing w:line="600" w:lineRule="exact"/>
        <w:jc w:val="center"/>
        <w:rPr>
          <w:rFonts w:hint="eastAsia" w:ascii="仿宋" w:hAnsi="仿宋" w:eastAsia="仿宋" w:cs="宋体"/>
          <w:b/>
          <w:color w:val="auto"/>
          <w:highlight w:val="none"/>
          <w:u w:val="single"/>
        </w:rPr>
      </w:pPr>
    </w:p>
    <w:p w14:paraId="57FE3E20">
      <w:pPr>
        <w:pStyle w:val="13"/>
        <w:pageBreakBefore w:val="0"/>
        <w:kinsoku/>
        <w:overflowPunct/>
        <w:bidi w:val="0"/>
        <w:spacing w:line="600" w:lineRule="exact"/>
        <w:jc w:val="center"/>
        <w:rPr>
          <w:rFonts w:hint="eastAsia" w:ascii="仿宋" w:hAnsi="仿宋" w:eastAsia="仿宋" w:cs="宋体"/>
          <w:b/>
          <w:color w:val="auto"/>
          <w:spacing w:val="40"/>
          <w:sz w:val="36"/>
          <w:szCs w:val="36"/>
          <w:highlight w:val="none"/>
        </w:rPr>
      </w:pPr>
      <w:r>
        <w:rPr>
          <w:rFonts w:hint="eastAsia" w:ascii="仿宋" w:hAnsi="仿宋" w:eastAsia="仿宋" w:cs="宋体"/>
          <w:b/>
          <w:color w:val="auto"/>
          <w:spacing w:val="40"/>
          <w:sz w:val="36"/>
          <w:szCs w:val="36"/>
          <w:highlight w:val="none"/>
        </w:rPr>
        <w:t>人保财险新疆阿勒泰吉木乃支公司营业职场</w:t>
      </w:r>
    </w:p>
    <w:p w14:paraId="5E0527BF">
      <w:pPr>
        <w:pStyle w:val="13"/>
        <w:pageBreakBefore w:val="0"/>
        <w:kinsoku/>
        <w:overflowPunct/>
        <w:bidi w:val="0"/>
        <w:spacing w:line="600" w:lineRule="exact"/>
        <w:jc w:val="center"/>
        <w:rPr>
          <w:rFonts w:hint="eastAsia" w:ascii="仿宋" w:hAnsi="仿宋" w:eastAsia="仿宋" w:cs="宋体"/>
          <w:b/>
          <w:color w:val="auto"/>
          <w:spacing w:val="40"/>
          <w:sz w:val="36"/>
          <w:szCs w:val="36"/>
          <w:highlight w:val="none"/>
          <w:lang w:val="en-US" w:eastAsia="zh-CN"/>
        </w:rPr>
      </w:pPr>
      <w:r>
        <w:rPr>
          <w:rFonts w:hint="eastAsia" w:ascii="仿宋" w:hAnsi="仿宋" w:eastAsia="仿宋" w:cs="宋体"/>
          <w:b/>
          <w:color w:val="auto"/>
          <w:spacing w:val="40"/>
          <w:sz w:val="36"/>
          <w:szCs w:val="36"/>
          <w:highlight w:val="none"/>
        </w:rPr>
        <w:t>费用化维修改造采购项目</w:t>
      </w:r>
    </w:p>
    <w:p w14:paraId="501A7463">
      <w:pPr>
        <w:pageBreakBefore w:val="0"/>
        <w:kinsoku/>
        <w:overflowPunct/>
        <w:bidi w:val="0"/>
        <w:spacing w:line="600" w:lineRule="exact"/>
        <w:jc w:val="center"/>
        <w:rPr>
          <w:rFonts w:hint="eastAsia" w:ascii="仿宋" w:hAnsi="仿宋" w:eastAsia="仿宋" w:cs="宋体"/>
          <w:b/>
          <w:color w:val="auto"/>
          <w:spacing w:val="40"/>
          <w:sz w:val="36"/>
          <w:szCs w:val="36"/>
          <w:highlight w:val="none"/>
        </w:rPr>
      </w:pPr>
    </w:p>
    <w:p w14:paraId="20F91B94">
      <w:pPr>
        <w:pageBreakBefore w:val="0"/>
        <w:kinsoku/>
        <w:overflowPunct/>
        <w:bidi w:val="0"/>
        <w:spacing w:line="600" w:lineRule="exact"/>
        <w:jc w:val="center"/>
        <w:rPr>
          <w:rFonts w:hint="eastAsia" w:ascii="仿宋" w:hAnsi="仿宋" w:eastAsia="仿宋" w:cs="宋体"/>
          <w:b/>
          <w:color w:val="auto"/>
          <w:sz w:val="28"/>
          <w:szCs w:val="28"/>
          <w:highlight w:val="none"/>
        </w:rPr>
      </w:pPr>
    </w:p>
    <w:p w14:paraId="0E9CE0FC">
      <w:pPr>
        <w:pageBreakBefore w:val="0"/>
        <w:kinsoku/>
        <w:overflowPunct/>
        <w:bidi w:val="0"/>
        <w:spacing w:line="600" w:lineRule="exact"/>
        <w:jc w:val="center"/>
        <w:rPr>
          <w:rFonts w:hint="eastAsia" w:ascii="仿宋" w:hAnsi="仿宋" w:eastAsia="仿宋" w:cs="宋体"/>
          <w:b/>
          <w:color w:val="auto"/>
          <w:sz w:val="28"/>
          <w:szCs w:val="28"/>
          <w:highlight w:val="none"/>
        </w:rPr>
      </w:pPr>
    </w:p>
    <w:p w14:paraId="75729891">
      <w:pPr>
        <w:pageBreakBefore w:val="0"/>
        <w:kinsoku/>
        <w:overflowPunct/>
        <w:bidi w:val="0"/>
        <w:spacing w:line="600" w:lineRule="exact"/>
        <w:jc w:val="center"/>
        <w:rPr>
          <w:rFonts w:hint="eastAsia" w:ascii="仿宋" w:hAnsi="仿宋" w:eastAsia="仿宋" w:cs="宋体"/>
          <w:b/>
          <w:color w:val="auto"/>
          <w:sz w:val="28"/>
          <w:szCs w:val="28"/>
          <w:highlight w:val="none"/>
          <w:u w:val="single"/>
        </w:rPr>
      </w:pPr>
      <w:r>
        <w:rPr>
          <w:rFonts w:hint="eastAsia" w:ascii="仿宋" w:hAnsi="仿宋" w:eastAsia="仿宋" w:cs="宋体"/>
          <w:b/>
          <w:color w:val="auto"/>
          <w:sz w:val="28"/>
          <w:szCs w:val="28"/>
          <w:highlight w:val="none"/>
        </w:rPr>
        <w:t>招标代理项目编号：</w:t>
      </w:r>
      <w:r>
        <w:rPr>
          <w:rFonts w:hint="eastAsia" w:ascii="仿宋" w:hAnsi="仿宋" w:eastAsia="仿宋" w:cs="宋体"/>
          <w:b/>
          <w:color w:val="auto"/>
          <w:sz w:val="28"/>
          <w:szCs w:val="28"/>
          <w:highlight w:val="none"/>
          <w:lang w:val="en-US" w:eastAsia="zh-CN"/>
        </w:rPr>
        <w:t xml:space="preserve">RBCX-2026-ZXCG </w:t>
      </w:r>
    </w:p>
    <w:p w14:paraId="2D1F3E15">
      <w:pPr>
        <w:pageBreakBefore w:val="0"/>
        <w:kinsoku/>
        <w:overflowPunct/>
        <w:bidi w:val="0"/>
        <w:spacing w:line="600" w:lineRule="exact"/>
        <w:jc w:val="center"/>
        <w:rPr>
          <w:rFonts w:hint="eastAsia" w:ascii="仿宋" w:hAnsi="仿宋" w:eastAsia="仿宋" w:cs="宋体"/>
          <w:b/>
          <w:color w:val="auto"/>
          <w:sz w:val="28"/>
          <w:szCs w:val="28"/>
          <w:highlight w:val="none"/>
          <w:u w:val="single"/>
        </w:rPr>
      </w:pPr>
    </w:p>
    <w:p w14:paraId="3DA0DB97">
      <w:pPr>
        <w:pageBreakBefore w:val="0"/>
        <w:kinsoku/>
        <w:overflowPunct/>
        <w:bidi w:val="0"/>
        <w:spacing w:line="600" w:lineRule="exact"/>
        <w:jc w:val="center"/>
        <w:rPr>
          <w:rFonts w:hint="eastAsia" w:ascii="仿宋" w:hAnsi="仿宋" w:eastAsia="仿宋" w:cs="宋体"/>
          <w:b/>
          <w:color w:val="auto"/>
          <w:sz w:val="28"/>
          <w:szCs w:val="28"/>
          <w:highlight w:val="none"/>
          <w:u w:val="single"/>
        </w:rPr>
      </w:pPr>
    </w:p>
    <w:p w14:paraId="4A7839DD">
      <w:pPr>
        <w:pageBreakBefore w:val="0"/>
        <w:kinsoku/>
        <w:overflowPunct/>
        <w:bidi w:val="0"/>
        <w:spacing w:line="600" w:lineRule="exact"/>
        <w:jc w:val="center"/>
        <w:rPr>
          <w:rFonts w:hint="eastAsia" w:ascii="仿宋" w:hAnsi="仿宋" w:eastAsia="仿宋" w:cs="宋体"/>
          <w:b/>
          <w:color w:val="auto"/>
          <w:spacing w:val="40"/>
          <w:sz w:val="56"/>
          <w:szCs w:val="56"/>
          <w:highlight w:val="none"/>
        </w:rPr>
      </w:pPr>
      <w:r>
        <w:rPr>
          <w:rFonts w:hint="eastAsia" w:ascii="仿宋" w:hAnsi="仿宋" w:eastAsia="仿宋" w:cs="宋体"/>
          <w:b/>
          <w:color w:val="auto"/>
          <w:spacing w:val="40"/>
          <w:sz w:val="56"/>
          <w:szCs w:val="56"/>
          <w:highlight w:val="none"/>
        </w:rPr>
        <w:t>招标文件</w:t>
      </w:r>
    </w:p>
    <w:p w14:paraId="027D27CA">
      <w:pPr>
        <w:pageBreakBefore w:val="0"/>
        <w:kinsoku/>
        <w:overflowPunct/>
        <w:bidi w:val="0"/>
        <w:spacing w:after="120" w:line="600" w:lineRule="exact"/>
        <w:jc w:val="center"/>
        <w:rPr>
          <w:rFonts w:hint="eastAsia" w:ascii="仿宋" w:hAnsi="仿宋" w:eastAsia="仿宋" w:cs="宋体"/>
          <w:b/>
          <w:color w:val="auto"/>
          <w:sz w:val="28"/>
          <w:szCs w:val="28"/>
          <w:highlight w:val="none"/>
        </w:rPr>
      </w:pPr>
    </w:p>
    <w:p w14:paraId="6B9A9741">
      <w:pPr>
        <w:pageBreakBefore w:val="0"/>
        <w:kinsoku/>
        <w:overflowPunct/>
        <w:bidi w:val="0"/>
        <w:spacing w:after="120" w:line="600" w:lineRule="exact"/>
        <w:jc w:val="center"/>
        <w:rPr>
          <w:rFonts w:hint="eastAsia" w:ascii="仿宋" w:hAnsi="仿宋" w:eastAsia="仿宋" w:cs="宋体"/>
          <w:b/>
          <w:color w:val="auto"/>
          <w:sz w:val="28"/>
          <w:szCs w:val="28"/>
          <w:highlight w:val="none"/>
        </w:rPr>
      </w:pPr>
    </w:p>
    <w:p w14:paraId="016940EB">
      <w:pPr>
        <w:pageBreakBefore w:val="0"/>
        <w:kinsoku/>
        <w:overflowPunct/>
        <w:bidi w:val="0"/>
        <w:spacing w:after="120" w:line="600" w:lineRule="exact"/>
        <w:jc w:val="center"/>
        <w:rPr>
          <w:rFonts w:hint="eastAsia" w:ascii="仿宋" w:hAnsi="仿宋" w:eastAsia="仿宋" w:cs="宋体"/>
          <w:b/>
          <w:color w:val="auto"/>
          <w:sz w:val="28"/>
          <w:szCs w:val="28"/>
          <w:highlight w:val="none"/>
        </w:rPr>
      </w:pPr>
    </w:p>
    <w:p w14:paraId="381B7C0B">
      <w:pPr>
        <w:pageBreakBefore w:val="0"/>
        <w:kinsoku/>
        <w:overflowPunct/>
        <w:bidi w:val="0"/>
        <w:spacing w:after="120" w:line="600" w:lineRule="exact"/>
        <w:jc w:val="both"/>
        <w:rPr>
          <w:rFonts w:hint="eastAsia" w:ascii="仿宋" w:hAnsi="仿宋" w:eastAsia="仿宋" w:cs="宋体"/>
          <w:b/>
          <w:color w:val="auto"/>
          <w:sz w:val="28"/>
          <w:szCs w:val="28"/>
          <w:highlight w:val="none"/>
        </w:rPr>
      </w:pPr>
    </w:p>
    <w:p w14:paraId="42C51664">
      <w:pPr>
        <w:pageBreakBefore w:val="0"/>
        <w:kinsoku/>
        <w:overflowPunct/>
        <w:bidi w:val="0"/>
        <w:spacing w:after="120" w:line="600" w:lineRule="exact"/>
        <w:jc w:val="center"/>
        <w:rPr>
          <w:rFonts w:hint="default" w:ascii="仿宋" w:hAnsi="仿宋" w:eastAsia="仿宋" w:cs="宋体"/>
          <w:b/>
          <w:color w:val="auto"/>
          <w:sz w:val="24"/>
          <w:highlight w:val="none"/>
          <w:lang w:val="en-US" w:eastAsia="zh-CN"/>
        </w:rPr>
      </w:pPr>
      <w:r>
        <w:rPr>
          <w:rFonts w:hint="eastAsia" w:ascii="仿宋" w:hAnsi="仿宋" w:eastAsia="仿宋" w:cs="宋体"/>
          <w:b/>
          <w:color w:val="auto"/>
          <w:sz w:val="24"/>
          <w:highlight w:val="none"/>
        </w:rPr>
        <w:t>招标人：中国人民</w:t>
      </w:r>
      <w:r>
        <w:rPr>
          <w:rFonts w:hint="eastAsia" w:ascii="仿宋" w:hAnsi="仿宋" w:eastAsia="仿宋" w:cs="宋体"/>
          <w:b/>
          <w:color w:val="auto"/>
          <w:sz w:val="24"/>
          <w:highlight w:val="none"/>
          <w:lang w:val="en-US" w:eastAsia="zh-CN"/>
        </w:rPr>
        <w:t>财产</w:t>
      </w:r>
      <w:r>
        <w:rPr>
          <w:rFonts w:hint="eastAsia" w:ascii="仿宋" w:hAnsi="仿宋" w:eastAsia="仿宋" w:cs="宋体"/>
          <w:b/>
          <w:color w:val="auto"/>
          <w:sz w:val="24"/>
          <w:highlight w:val="none"/>
        </w:rPr>
        <w:t>保险股份有限公司</w:t>
      </w:r>
      <w:r>
        <w:rPr>
          <w:rFonts w:hint="eastAsia" w:ascii="仿宋" w:hAnsi="仿宋" w:eastAsia="仿宋" w:cs="宋体"/>
          <w:b/>
          <w:color w:val="auto"/>
          <w:sz w:val="24"/>
          <w:highlight w:val="none"/>
          <w:lang w:val="en-US" w:eastAsia="zh-CN"/>
        </w:rPr>
        <w:t>阿勒泰地区分公司</w:t>
      </w:r>
    </w:p>
    <w:p w14:paraId="2D8B2D07">
      <w:pPr>
        <w:pageBreakBefore w:val="0"/>
        <w:kinsoku/>
        <w:overflowPunct/>
        <w:bidi w:val="0"/>
        <w:spacing w:after="120" w:line="600" w:lineRule="exact"/>
        <w:jc w:val="center"/>
        <w:rPr>
          <w:rFonts w:hint="eastAsia" w:ascii="仿宋" w:hAnsi="仿宋" w:eastAsia="仿宋" w:cs="宋体"/>
          <w:b/>
          <w:color w:val="auto"/>
          <w:sz w:val="24"/>
          <w:highlight w:val="none"/>
        </w:rPr>
      </w:pPr>
      <w:r>
        <w:rPr>
          <w:rFonts w:hint="eastAsia" w:ascii="仿宋" w:hAnsi="仿宋" w:eastAsia="仿宋" w:cs="宋体"/>
          <w:b/>
          <w:color w:val="auto"/>
          <w:sz w:val="24"/>
          <w:highlight w:val="none"/>
        </w:rPr>
        <w:t>招标代理机构：</w:t>
      </w:r>
      <w:r>
        <w:rPr>
          <w:rFonts w:hint="eastAsia" w:ascii="仿宋" w:hAnsi="仿宋" w:eastAsia="仿宋" w:cs="宋体"/>
          <w:b/>
          <w:color w:val="auto"/>
          <w:sz w:val="24"/>
          <w:highlight w:val="none"/>
          <w:lang w:val="zh-CN"/>
        </w:rPr>
        <w:t>新疆谊诚工程项目管理咨询有限公司</w:t>
      </w:r>
    </w:p>
    <w:p w14:paraId="5E167676">
      <w:pPr>
        <w:pageBreakBefore w:val="0"/>
        <w:kinsoku/>
        <w:overflowPunct/>
        <w:bidi w:val="0"/>
        <w:spacing w:after="120" w:line="600" w:lineRule="exact"/>
        <w:jc w:val="center"/>
        <w:rPr>
          <w:rFonts w:hint="eastAsia" w:ascii="仿宋" w:hAnsi="仿宋" w:eastAsia="仿宋" w:cs="宋体"/>
          <w:b/>
          <w:color w:val="auto"/>
          <w:sz w:val="24"/>
          <w:highlight w:val="none"/>
        </w:rPr>
        <w:sectPr>
          <w:footerReference r:id="rId7" w:type="first"/>
          <w:headerReference r:id="rId5" w:type="default"/>
          <w:footerReference r:id="rId6" w:type="default"/>
          <w:pgSz w:w="11906" w:h="16838"/>
          <w:pgMar w:top="1417" w:right="1134" w:bottom="1134" w:left="1134" w:header="851" w:footer="992" w:gutter="0"/>
          <w:cols w:space="720" w:num="1"/>
          <w:titlePg/>
          <w:docGrid w:type="lines" w:linePitch="312" w:charSpace="0"/>
        </w:sectPr>
      </w:pPr>
      <w:r>
        <w:rPr>
          <w:rFonts w:hint="eastAsia" w:ascii="仿宋" w:hAnsi="仿宋" w:eastAsia="仿宋" w:cs="宋体"/>
          <w:b/>
          <w:color w:val="auto"/>
          <w:sz w:val="24"/>
          <w:highlight w:val="none"/>
        </w:rPr>
        <w:t>日期： 20</w:t>
      </w:r>
      <w:r>
        <w:rPr>
          <w:rFonts w:hint="eastAsia" w:ascii="仿宋" w:hAnsi="仿宋" w:eastAsia="仿宋" w:cs="宋体"/>
          <w:b/>
          <w:color w:val="auto"/>
          <w:sz w:val="24"/>
          <w:highlight w:val="none"/>
          <w:lang w:val="en-US" w:eastAsia="zh-CN"/>
        </w:rPr>
        <w:t>26</w:t>
      </w:r>
      <w:r>
        <w:rPr>
          <w:rFonts w:hint="eastAsia" w:ascii="仿宋" w:hAnsi="仿宋" w:eastAsia="仿宋" w:cs="宋体"/>
          <w:b/>
          <w:color w:val="auto"/>
          <w:sz w:val="24"/>
          <w:highlight w:val="none"/>
        </w:rPr>
        <w:t>年</w:t>
      </w:r>
      <w:r>
        <w:rPr>
          <w:rFonts w:hint="eastAsia" w:ascii="仿宋" w:hAnsi="仿宋" w:eastAsia="仿宋" w:cs="宋体"/>
          <w:b/>
          <w:color w:val="auto"/>
          <w:sz w:val="24"/>
          <w:highlight w:val="none"/>
          <w:lang w:val="en-US" w:eastAsia="zh-CN"/>
        </w:rPr>
        <w:t>8</w:t>
      </w:r>
      <w:r>
        <w:rPr>
          <w:rFonts w:hint="eastAsia" w:ascii="仿宋" w:hAnsi="仿宋" w:eastAsia="仿宋" w:cs="宋体"/>
          <w:b/>
          <w:color w:val="auto"/>
          <w:sz w:val="24"/>
          <w:highlight w:val="none"/>
        </w:rPr>
        <w:t>月</w:t>
      </w:r>
    </w:p>
    <w:p w14:paraId="4DC96D27">
      <w:pPr>
        <w:pageBreakBefore w:val="0"/>
        <w:kinsoku/>
        <w:overflowPunct/>
        <w:bidi w:val="0"/>
        <w:spacing w:line="600" w:lineRule="exact"/>
        <w:jc w:val="center"/>
        <w:rPr>
          <w:rFonts w:hint="eastAsia" w:ascii="仿宋" w:hAnsi="仿宋" w:eastAsia="仿宋" w:cs="宋体"/>
          <w:b/>
          <w:color w:val="auto"/>
          <w:sz w:val="32"/>
          <w:szCs w:val="32"/>
          <w:highlight w:val="none"/>
        </w:rPr>
      </w:pPr>
      <w:r>
        <w:rPr>
          <w:rFonts w:hint="eastAsia" w:ascii="仿宋" w:hAnsi="仿宋" w:eastAsia="仿宋" w:cs="宋体"/>
          <w:b/>
          <w:color w:val="auto"/>
          <w:sz w:val="32"/>
          <w:szCs w:val="32"/>
          <w:highlight w:val="none"/>
        </w:rPr>
        <w:t>目  录</w:t>
      </w:r>
    </w:p>
    <w:p w14:paraId="4A98DDC9">
      <w:pPr>
        <w:pStyle w:val="24"/>
        <w:pageBreakBefore w:val="0"/>
        <w:tabs>
          <w:tab w:val="right" w:leader="dot" w:pos="9638"/>
        </w:tabs>
        <w:kinsoku/>
        <w:overflowPunct/>
        <w:bidi w:val="0"/>
        <w:spacing w:line="600" w:lineRule="exact"/>
        <w:rPr>
          <w:color w:val="auto"/>
          <w:highlight w:val="none"/>
        </w:rPr>
      </w:pPr>
      <w:r>
        <w:rPr>
          <w:rFonts w:hint="eastAsia" w:ascii="仿宋" w:hAnsi="仿宋" w:eastAsia="仿宋" w:cs="宋体"/>
          <w:color w:val="auto"/>
          <w:szCs w:val="21"/>
          <w:highlight w:val="none"/>
        </w:rPr>
        <w:fldChar w:fldCharType="begin"/>
      </w:r>
      <w:r>
        <w:rPr>
          <w:rFonts w:hint="eastAsia" w:ascii="仿宋" w:hAnsi="仿宋" w:eastAsia="仿宋" w:cs="宋体"/>
          <w:color w:val="auto"/>
          <w:szCs w:val="21"/>
          <w:highlight w:val="none"/>
        </w:rPr>
        <w:instrText xml:space="preserve">TOC \o "1-3" \h  \u </w:instrText>
      </w:r>
      <w:r>
        <w:rPr>
          <w:rFonts w:hint="eastAsia" w:ascii="仿宋" w:hAnsi="仿宋" w:eastAsia="仿宋" w:cs="宋体"/>
          <w:color w:val="auto"/>
          <w:szCs w:val="21"/>
          <w:highlight w:val="none"/>
        </w:rPr>
        <w:fldChar w:fldCharType="separate"/>
      </w:r>
      <w:r>
        <w:rPr>
          <w:rFonts w:hint="eastAsia" w:ascii="仿宋" w:hAnsi="仿宋" w:eastAsia="仿宋" w:cs="宋体"/>
          <w:color w:val="auto"/>
          <w:szCs w:val="21"/>
          <w:highlight w:val="none"/>
        </w:rPr>
        <w:fldChar w:fldCharType="begin"/>
      </w:r>
      <w:r>
        <w:rPr>
          <w:rFonts w:hint="eastAsia" w:ascii="仿宋" w:hAnsi="仿宋" w:eastAsia="仿宋" w:cs="宋体"/>
          <w:color w:val="auto"/>
          <w:szCs w:val="21"/>
          <w:highlight w:val="none"/>
        </w:rPr>
        <w:instrText xml:space="preserve"> HYPERLINK \l _Toc8790 </w:instrText>
      </w:r>
      <w:r>
        <w:rPr>
          <w:rFonts w:hint="eastAsia" w:ascii="仿宋" w:hAnsi="仿宋" w:eastAsia="仿宋" w:cs="宋体"/>
          <w:color w:val="auto"/>
          <w:szCs w:val="21"/>
          <w:highlight w:val="none"/>
        </w:rPr>
        <w:fldChar w:fldCharType="separate"/>
      </w:r>
      <w:r>
        <w:rPr>
          <w:rFonts w:hint="eastAsia" w:ascii="仿宋" w:hAnsi="仿宋" w:cs="宋体"/>
          <w:color w:val="auto"/>
          <w:highlight w:val="none"/>
        </w:rPr>
        <w:t>第一章 招标公告</w:t>
      </w:r>
      <w:r>
        <w:rPr>
          <w:color w:val="auto"/>
          <w:highlight w:val="none"/>
        </w:rPr>
        <w:tab/>
      </w:r>
      <w:r>
        <w:rPr>
          <w:color w:val="auto"/>
          <w:highlight w:val="none"/>
        </w:rPr>
        <w:fldChar w:fldCharType="begin"/>
      </w:r>
      <w:r>
        <w:rPr>
          <w:color w:val="auto"/>
          <w:highlight w:val="none"/>
        </w:rPr>
        <w:instrText xml:space="preserve"> PAGEREF _Toc8790 \h </w:instrText>
      </w:r>
      <w:r>
        <w:rPr>
          <w:color w:val="auto"/>
          <w:highlight w:val="none"/>
        </w:rPr>
        <w:fldChar w:fldCharType="separate"/>
      </w:r>
      <w:r>
        <w:rPr>
          <w:color w:val="auto"/>
          <w:highlight w:val="none"/>
        </w:rPr>
        <w:t>5</w:t>
      </w:r>
      <w:r>
        <w:rPr>
          <w:color w:val="auto"/>
          <w:highlight w:val="none"/>
        </w:rPr>
        <w:fldChar w:fldCharType="end"/>
      </w:r>
      <w:r>
        <w:rPr>
          <w:rFonts w:hint="eastAsia" w:ascii="仿宋" w:hAnsi="仿宋" w:eastAsia="仿宋" w:cs="宋体"/>
          <w:color w:val="auto"/>
          <w:szCs w:val="21"/>
          <w:highlight w:val="none"/>
        </w:rPr>
        <w:fldChar w:fldCharType="end"/>
      </w:r>
    </w:p>
    <w:p w14:paraId="35E76A0B">
      <w:pPr>
        <w:pStyle w:val="29"/>
        <w:pageBreakBefore w:val="0"/>
        <w:tabs>
          <w:tab w:val="right" w:leader="dot" w:pos="9638"/>
        </w:tabs>
        <w:kinsoku/>
        <w:overflowPunct/>
        <w:bidi w:val="0"/>
        <w:spacing w:line="600" w:lineRule="exact"/>
        <w:rPr>
          <w:color w:val="auto"/>
          <w:highlight w:val="none"/>
        </w:rPr>
      </w:pPr>
      <w:r>
        <w:rPr>
          <w:rFonts w:hint="eastAsia" w:ascii="仿宋" w:hAnsi="仿宋" w:eastAsia="仿宋" w:cs="宋体"/>
          <w:color w:val="auto"/>
          <w:szCs w:val="21"/>
          <w:highlight w:val="none"/>
        </w:rPr>
        <w:fldChar w:fldCharType="begin"/>
      </w:r>
      <w:r>
        <w:rPr>
          <w:rFonts w:hint="eastAsia" w:ascii="仿宋" w:hAnsi="仿宋" w:eastAsia="仿宋" w:cs="宋体"/>
          <w:color w:val="auto"/>
          <w:szCs w:val="21"/>
          <w:highlight w:val="none"/>
        </w:rPr>
        <w:instrText xml:space="preserve"> HYPERLINK \l _Toc13923 </w:instrText>
      </w:r>
      <w:r>
        <w:rPr>
          <w:rFonts w:hint="eastAsia" w:ascii="仿宋" w:hAnsi="仿宋" w:eastAsia="仿宋" w:cs="宋体"/>
          <w:color w:val="auto"/>
          <w:szCs w:val="21"/>
          <w:highlight w:val="none"/>
        </w:rPr>
        <w:fldChar w:fldCharType="separate"/>
      </w:r>
      <w:r>
        <w:rPr>
          <w:rFonts w:hint="eastAsia" w:ascii="仿宋" w:hAnsi="仿宋" w:cs="宋体"/>
          <w:color w:val="auto"/>
          <w:szCs w:val="24"/>
          <w:highlight w:val="none"/>
        </w:rPr>
        <w:t>一、招标条件</w:t>
      </w:r>
      <w:r>
        <w:rPr>
          <w:color w:val="auto"/>
          <w:highlight w:val="none"/>
        </w:rPr>
        <w:tab/>
      </w:r>
      <w:r>
        <w:rPr>
          <w:color w:val="auto"/>
          <w:highlight w:val="none"/>
        </w:rPr>
        <w:fldChar w:fldCharType="begin"/>
      </w:r>
      <w:r>
        <w:rPr>
          <w:color w:val="auto"/>
          <w:highlight w:val="none"/>
        </w:rPr>
        <w:instrText xml:space="preserve"> PAGEREF _Toc13923 \h </w:instrText>
      </w:r>
      <w:r>
        <w:rPr>
          <w:color w:val="auto"/>
          <w:highlight w:val="none"/>
        </w:rPr>
        <w:fldChar w:fldCharType="separate"/>
      </w:r>
      <w:r>
        <w:rPr>
          <w:color w:val="auto"/>
          <w:highlight w:val="none"/>
        </w:rPr>
        <w:t>5</w:t>
      </w:r>
      <w:r>
        <w:rPr>
          <w:color w:val="auto"/>
          <w:highlight w:val="none"/>
        </w:rPr>
        <w:fldChar w:fldCharType="end"/>
      </w:r>
      <w:r>
        <w:rPr>
          <w:rFonts w:hint="eastAsia" w:ascii="仿宋" w:hAnsi="仿宋" w:eastAsia="仿宋" w:cs="宋体"/>
          <w:color w:val="auto"/>
          <w:szCs w:val="21"/>
          <w:highlight w:val="none"/>
        </w:rPr>
        <w:fldChar w:fldCharType="end"/>
      </w:r>
    </w:p>
    <w:p w14:paraId="3D77C841">
      <w:pPr>
        <w:pStyle w:val="29"/>
        <w:pageBreakBefore w:val="0"/>
        <w:tabs>
          <w:tab w:val="right" w:leader="dot" w:pos="9638"/>
        </w:tabs>
        <w:kinsoku/>
        <w:overflowPunct/>
        <w:bidi w:val="0"/>
        <w:spacing w:line="600" w:lineRule="exact"/>
        <w:rPr>
          <w:color w:val="auto"/>
          <w:highlight w:val="none"/>
        </w:rPr>
      </w:pPr>
      <w:r>
        <w:rPr>
          <w:rFonts w:hint="eastAsia" w:ascii="仿宋" w:hAnsi="仿宋" w:eastAsia="仿宋" w:cs="宋体"/>
          <w:color w:val="auto"/>
          <w:szCs w:val="21"/>
          <w:highlight w:val="none"/>
        </w:rPr>
        <w:fldChar w:fldCharType="begin"/>
      </w:r>
      <w:r>
        <w:rPr>
          <w:rFonts w:hint="eastAsia" w:ascii="仿宋" w:hAnsi="仿宋" w:eastAsia="仿宋" w:cs="宋体"/>
          <w:color w:val="auto"/>
          <w:szCs w:val="21"/>
          <w:highlight w:val="none"/>
        </w:rPr>
        <w:instrText xml:space="preserve"> HYPERLINK \l _Toc30531 </w:instrText>
      </w:r>
      <w:r>
        <w:rPr>
          <w:rFonts w:hint="eastAsia" w:ascii="仿宋" w:hAnsi="仿宋" w:eastAsia="仿宋" w:cs="宋体"/>
          <w:color w:val="auto"/>
          <w:szCs w:val="21"/>
          <w:highlight w:val="none"/>
        </w:rPr>
        <w:fldChar w:fldCharType="separate"/>
      </w:r>
      <w:r>
        <w:rPr>
          <w:rFonts w:hint="eastAsia" w:ascii="仿宋" w:hAnsi="仿宋" w:cs="宋体"/>
          <w:color w:val="auto"/>
          <w:szCs w:val="24"/>
          <w:highlight w:val="none"/>
        </w:rPr>
        <w:t>二、项目概况与招标范围</w:t>
      </w:r>
      <w:r>
        <w:rPr>
          <w:color w:val="auto"/>
          <w:highlight w:val="none"/>
        </w:rPr>
        <w:tab/>
      </w:r>
      <w:r>
        <w:rPr>
          <w:color w:val="auto"/>
          <w:highlight w:val="none"/>
        </w:rPr>
        <w:fldChar w:fldCharType="begin"/>
      </w:r>
      <w:r>
        <w:rPr>
          <w:color w:val="auto"/>
          <w:highlight w:val="none"/>
        </w:rPr>
        <w:instrText xml:space="preserve"> PAGEREF _Toc30531 \h </w:instrText>
      </w:r>
      <w:r>
        <w:rPr>
          <w:color w:val="auto"/>
          <w:highlight w:val="none"/>
        </w:rPr>
        <w:fldChar w:fldCharType="separate"/>
      </w:r>
      <w:r>
        <w:rPr>
          <w:color w:val="auto"/>
          <w:highlight w:val="none"/>
        </w:rPr>
        <w:t>5</w:t>
      </w:r>
      <w:r>
        <w:rPr>
          <w:color w:val="auto"/>
          <w:highlight w:val="none"/>
        </w:rPr>
        <w:fldChar w:fldCharType="end"/>
      </w:r>
      <w:r>
        <w:rPr>
          <w:rFonts w:hint="eastAsia" w:ascii="仿宋" w:hAnsi="仿宋" w:eastAsia="仿宋" w:cs="宋体"/>
          <w:color w:val="auto"/>
          <w:szCs w:val="21"/>
          <w:highlight w:val="none"/>
        </w:rPr>
        <w:fldChar w:fldCharType="end"/>
      </w:r>
    </w:p>
    <w:p w14:paraId="4960917F">
      <w:pPr>
        <w:pStyle w:val="29"/>
        <w:pageBreakBefore w:val="0"/>
        <w:tabs>
          <w:tab w:val="right" w:leader="dot" w:pos="9638"/>
        </w:tabs>
        <w:kinsoku/>
        <w:overflowPunct/>
        <w:bidi w:val="0"/>
        <w:spacing w:line="600" w:lineRule="exact"/>
        <w:rPr>
          <w:color w:val="auto"/>
          <w:highlight w:val="none"/>
        </w:rPr>
      </w:pPr>
      <w:r>
        <w:rPr>
          <w:rFonts w:hint="eastAsia" w:ascii="仿宋" w:hAnsi="仿宋" w:eastAsia="仿宋" w:cs="宋体"/>
          <w:color w:val="auto"/>
          <w:szCs w:val="21"/>
          <w:highlight w:val="none"/>
        </w:rPr>
        <w:fldChar w:fldCharType="begin"/>
      </w:r>
      <w:r>
        <w:rPr>
          <w:rFonts w:hint="eastAsia" w:ascii="仿宋" w:hAnsi="仿宋" w:eastAsia="仿宋" w:cs="宋体"/>
          <w:color w:val="auto"/>
          <w:szCs w:val="21"/>
          <w:highlight w:val="none"/>
        </w:rPr>
        <w:instrText xml:space="preserve"> HYPERLINK \l _Toc6528 </w:instrText>
      </w:r>
      <w:r>
        <w:rPr>
          <w:rFonts w:hint="eastAsia" w:ascii="仿宋" w:hAnsi="仿宋" w:eastAsia="仿宋" w:cs="宋体"/>
          <w:color w:val="auto"/>
          <w:szCs w:val="21"/>
          <w:highlight w:val="none"/>
        </w:rPr>
        <w:fldChar w:fldCharType="separate"/>
      </w:r>
      <w:r>
        <w:rPr>
          <w:rFonts w:hint="eastAsia" w:ascii="仿宋" w:hAnsi="仿宋" w:cs="宋体"/>
          <w:color w:val="auto"/>
          <w:szCs w:val="24"/>
          <w:highlight w:val="none"/>
        </w:rPr>
        <w:t>三、投标人资格要求</w:t>
      </w:r>
      <w:r>
        <w:rPr>
          <w:color w:val="auto"/>
          <w:highlight w:val="none"/>
        </w:rPr>
        <w:tab/>
      </w:r>
      <w:r>
        <w:rPr>
          <w:color w:val="auto"/>
          <w:highlight w:val="none"/>
        </w:rPr>
        <w:fldChar w:fldCharType="begin"/>
      </w:r>
      <w:r>
        <w:rPr>
          <w:color w:val="auto"/>
          <w:highlight w:val="none"/>
        </w:rPr>
        <w:instrText xml:space="preserve"> PAGEREF _Toc6528 \h </w:instrText>
      </w:r>
      <w:r>
        <w:rPr>
          <w:color w:val="auto"/>
          <w:highlight w:val="none"/>
        </w:rPr>
        <w:fldChar w:fldCharType="separate"/>
      </w:r>
      <w:r>
        <w:rPr>
          <w:color w:val="auto"/>
          <w:highlight w:val="none"/>
        </w:rPr>
        <w:t>5</w:t>
      </w:r>
      <w:r>
        <w:rPr>
          <w:color w:val="auto"/>
          <w:highlight w:val="none"/>
        </w:rPr>
        <w:fldChar w:fldCharType="end"/>
      </w:r>
      <w:r>
        <w:rPr>
          <w:rFonts w:hint="eastAsia" w:ascii="仿宋" w:hAnsi="仿宋" w:eastAsia="仿宋" w:cs="宋体"/>
          <w:color w:val="auto"/>
          <w:szCs w:val="21"/>
          <w:highlight w:val="none"/>
        </w:rPr>
        <w:fldChar w:fldCharType="end"/>
      </w:r>
    </w:p>
    <w:p w14:paraId="158AA561">
      <w:pPr>
        <w:pStyle w:val="29"/>
        <w:pageBreakBefore w:val="0"/>
        <w:tabs>
          <w:tab w:val="right" w:leader="dot" w:pos="9638"/>
        </w:tabs>
        <w:kinsoku/>
        <w:overflowPunct/>
        <w:bidi w:val="0"/>
        <w:spacing w:line="600" w:lineRule="exact"/>
        <w:rPr>
          <w:color w:val="auto"/>
          <w:highlight w:val="none"/>
        </w:rPr>
      </w:pPr>
      <w:r>
        <w:rPr>
          <w:rFonts w:hint="eastAsia" w:ascii="仿宋" w:hAnsi="仿宋" w:eastAsia="仿宋" w:cs="宋体"/>
          <w:color w:val="auto"/>
          <w:szCs w:val="21"/>
          <w:highlight w:val="none"/>
        </w:rPr>
        <w:fldChar w:fldCharType="begin"/>
      </w:r>
      <w:r>
        <w:rPr>
          <w:rFonts w:hint="eastAsia" w:ascii="仿宋" w:hAnsi="仿宋" w:eastAsia="仿宋" w:cs="宋体"/>
          <w:color w:val="auto"/>
          <w:szCs w:val="21"/>
          <w:highlight w:val="none"/>
        </w:rPr>
        <w:instrText xml:space="preserve"> HYPERLINK \l _Toc12385 </w:instrText>
      </w:r>
      <w:r>
        <w:rPr>
          <w:rFonts w:hint="eastAsia" w:ascii="仿宋" w:hAnsi="仿宋" w:eastAsia="仿宋" w:cs="宋体"/>
          <w:color w:val="auto"/>
          <w:szCs w:val="21"/>
          <w:highlight w:val="none"/>
        </w:rPr>
        <w:fldChar w:fldCharType="separate"/>
      </w:r>
      <w:r>
        <w:rPr>
          <w:rFonts w:hint="eastAsia" w:ascii="仿宋" w:hAnsi="仿宋" w:cs="宋体"/>
          <w:color w:val="auto"/>
          <w:highlight w:val="none"/>
        </w:rPr>
        <w:t>四、资格审查方法</w:t>
      </w:r>
      <w:r>
        <w:rPr>
          <w:color w:val="auto"/>
          <w:highlight w:val="none"/>
        </w:rPr>
        <w:tab/>
      </w:r>
      <w:r>
        <w:rPr>
          <w:color w:val="auto"/>
          <w:highlight w:val="none"/>
        </w:rPr>
        <w:fldChar w:fldCharType="begin"/>
      </w:r>
      <w:r>
        <w:rPr>
          <w:color w:val="auto"/>
          <w:highlight w:val="none"/>
        </w:rPr>
        <w:instrText xml:space="preserve"> PAGEREF _Toc12385 \h </w:instrText>
      </w:r>
      <w:r>
        <w:rPr>
          <w:color w:val="auto"/>
          <w:highlight w:val="none"/>
        </w:rPr>
        <w:fldChar w:fldCharType="separate"/>
      </w:r>
      <w:r>
        <w:rPr>
          <w:color w:val="auto"/>
          <w:highlight w:val="none"/>
        </w:rPr>
        <w:t>6</w:t>
      </w:r>
      <w:r>
        <w:rPr>
          <w:color w:val="auto"/>
          <w:highlight w:val="none"/>
        </w:rPr>
        <w:fldChar w:fldCharType="end"/>
      </w:r>
      <w:r>
        <w:rPr>
          <w:rFonts w:hint="eastAsia" w:ascii="仿宋" w:hAnsi="仿宋" w:eastAsia="仿宋" w:cs="宋体"/>
          <w:color w:val="auto"/>
          <w:szCs w:val="21"/>
          <w:highlight w:val="none"/>
        </w:rPr>
        <w:fldChar w:fldCharType="end"/>
      </w:r>
    </w:p>
    <w:p w14:paraId="7064CDBE">
      <w:pPr>
        <w:pStyle w:val="29"/>
        <w:pageBreakBefore w:val="0"/>
        <w:tabs>
          <w:tab w:val="right" w:leader="dot" w:pos="9638"/>
        </w:tabs>
        <w:kinsoku/>
        <w:overflowPunct/>
        <w:bidi w:val="0"/>
        <w:spacing w:line="600" w:lineRule="exact"/>
        <w:rPr>
          <w:color w:val="auto"/>
          <w:highlight w:val="none"/>
        </w:rPr>
      </w:pPr>
      <w:r>
        <w:rPr>
          <w:rFonts w:hint="eastAsia" w:ascii="仿宋" w:hAnsi="仿宋" w:eastAsia="仿宋" w:cs="宋体"/>
          <w:color w:val="auto"/>
          <w:szCs w:val="21"/>
          <w:highlight w:val="none"/>
        </w:rPr>
        <w:fldChar w:fldCharType="begin"/>
      </w:r>
      <w:r>
        <w:rPr>
          <w:rFonts w:hint="eastAsia" w:ascii="仿宋" w:hAnsi="仿宋" w:eastAsia="仿宋" w:cs="宋体"/>
          <w:color w:val="auto"/>
          <w:szCs w:val="21"/>
          <w:highlight w:val="none"/>
        </w:rPr>
        <w:instrText xml:space="preserve"> HYPERLINK \l _Toc11877 </w:instrText>
      </w:r>
      <w:r>
        <w:rPr>
          <w:rFonts w:hint="eastAsia" w:ascii="仿宋" w:hAnsi="仿宋" w:eastAsia="仿宋" w:cs="宋体"/>
          <w:color w:val="auto"/>
          <w:szCs w:val="21"/>
          <w:highlight w:val="none"/>
        </w:rPr>
        <w:fldChar w:fldCharType="separate"/>
      </w:r>
      <w:r>
        <w:rPr>
          <w:rFonts w:hint="eastAsia" w:ascii="仿宋" w:hAnsi="仿宋" w:cs="宋体"/>
          <w:color w:val="auto"/>
          <w:szCs w:val="24"/>
          <w:highlight w:val="none"/>
        </w:rPr>
        <w:t>五、招标文件的获取</w:t>
      </w:r>
      <w:r>
        <w:rPr>
          <w:color w:val="auto"/>
          <w:highlight w:val="none"/>
        </w:rPr>
        <w:tab/>
      </w:r>
      <w:r>
        <w:rPr>
          <w:color w:val="auto"/>
          <w:highlight w:val="none"/>
        </w:rPr>
        <w:fldChar w:fldCharType="begin"/>
      </w:r>
      <w:r>
        <w:rPr>
          <w:color w:val="auto"/>
          <w:highlight w:val="none"/>
        </w:rPr>
        <w:instrText xml:space="preserve"> PAGEREF _Toc11877 \h </w:instrText>
      </w:r>
      <w:r>
        <w:rPr>
          <w:color w:val="auto"/>
          <w:highlight w:val="none"/>
        </w:rPr>
        <w:fldChar w:fldCharType="separate"/>
      </w:r>
      <w:r>
        <w:rPr>
          <w:color w:val="auto"/>
          <w:highlight w:val="none"/>
        </w:rPr>
        <w:t>6</w:t>
      </w:r>
      <w:r>
        <w:rPr>
          <w:color w:val="auto"/>
          <w:highlight w:val="none"/>
        </w:rPr>
        <w:fldChar w:fldCharType="end"/>
      </w:r>
      <w:r>
        <w:rPr>
          <w:rFonts w:hint="eastAsia" w:ascii="仿宋" w:hAnsi="仿宋" w:eastAsia="仿宋" w:cs="宋体"/>
          <w:color w:val="auto"/>
          <w:szCs w:val="21"/>
          <w:highlight w:val="none"/>
        </w:rPr>
        <w:fldChar w:fldCharType="end"/>
      </w:r>
    </w:p>
    <w:p w14:paraId="7E1D9718">
      <w:pPr>
        <w:pStyle w:val="29"/>
        <w:pageBreakBefore w:val="0"/>
        <w:tabs>
          <w:tab w:val="right" w:leader="dot" w:pos="9638"/>
        </w:tabs>
        <w:kinsoku/>
        <w:overflowPunct/>
        <w:bidi w:val="0"/>
        <w:spacing w:line="600" w:lineRule="exact"/>
        <w:rPr>
          <w:color w:val="auto"/>
          <w:highlight w:val="none"/>
        </w:rPr>
      </w:pPr>
      <w:r>
        <w:rPr>
          <w:rFonts w:hint="eastAsia" w:ascii="仿宋" w:hAnsi="仿宋" w:eastAsia="仿宋" w:cs="宋体"/>
          <w:color w:val="auto"/>
          <w:szCs w:val="21"/>
          <w:highlight w:val="none"/>
        </w:rPr>
        <w:fldChar w:fldCharType="begin"/>
      </w:r>
      <w:r>
        <w:rPr>
          <w:rFonts w:hint="eastAsia" w:ascii="仿宋" w:hAnsi="仿宋" w:eastAsia="仿宋" w:cs="宋体"/>
          <w:color w:val="auto"/>
          <w:szCs w:val="21"/>
          <w:highlight w:val="none"/>
        </w:rPr>
        <w:instrText xml:space="preserve"> HYPERLINK \l _Toc31250 </w:instrText>
      </w:r>
      <w:r>
        <w:rPr>
          <w:rFonts w:hint="eastAsia" w:ascii="仿宋" w:hAnsi="仿宋" w:eastAsia="仿宋" w:cs="宋体"/>
          <w:color w:val="auto"/>
          <w:szCs w:val="21"/>
          <w:highlight w:val="none"/>
        </w:rPr>
        <w:fldChar w:fldCharType="separate"/>
      </w:r>
      <w:r>
        <w:rPr>
          <w:rFonts w:hint="eastAsia" w:ascii="仿宋" w:hAnsi="仿宋" w:cs="宋体"/>
          <w:color w:val="auto"/>
          <w:highlight w:val="none"/>
        </w:rPr>
        <w:t>六、投标文件的递交</w:t>
      </w:r>
      <w:r>
        <w:rPr>
          <w:color w:val="auto"/>
          <w:highlight w:val="none"/>
        </w:rPr>
        <w:tab/>
      </w:r>
      <w:r>
        <w:rPr>
          <w:color w:val="auto"/>
          <w:highlight w:val="none"/>
        </w:rPr>
        <w:fldChar w:fldCharType="begin"/>
      </w:r>
      <w:r>
        <w:rPr>
          <w:color w:val="auto"/>
          <w:highlight w:val="none"/>
        </w:rPr>
        <w:instrText xml:space="preserve"> PAGEREF _Toc31250 \h </w:instrText>
      </w:r>
      <w:r>
        <w:rPr>
          <w:color w:val="auto"/>
          <w:highlight w:val="none"/>
        </w:rPr>
        <w:fldChar w:fldCharType="separate"/>
      </w:r>
      <w:r>
        <w:rPr>
          <w:color w:val="auto"/>
          <w:highlight w:val="none"/>
        </w:rPr>
        <w:t>7</w:t>
      </w:r>
      <w:r>
        <w:rPr>
          <w:color w:val="auto"/>
          <w:highlight w:val="none"/>
        </w:rPr>
        <w:fldChar w:fldCharType="end"/>
      </w:r>
      <w:r>
        <w:rPr>
          <w:rFonts w:hint="eastAsia" w:ascii="仿宋" w:hAnsi="仿宋" w:eastAsia="仿宋" w:cs="宋体"/>
          <w:color w:val="auto"/>
          <w:szCs w:val="21"/>
          <w:highlight w:val="none"/>
        </w:rPr>
        <w:fldChar w:fldCharType="end"/>
      </w:r>
    </w:p>
    <w:p w14:paraId="14EC8D96">
      <w:pPr>
        <w:pStyle w:val="29"/>
        <w:pageBreakBefore w:val="0"/>
        <w:tabs>
          <w:tab w:val="right" w:leader="dot" w:pos="9638"/>
        </w:tabs>
        <w:kinsoku/>
        <w:overflowPunct/>
        <w:bidi w:val="0"/>
        <w:spacing w:line="600" w:lineRule="exact"/>
        <w:rPr>
          <w:color w:val="auto"/>
          <w:highlight w:val="none"/>
        </w:rPr>
      </w:pPr>
      <w:r>
        <w:rPr>
          <w:rFonts w:hint="eastAsia" w:ascii="仿宋" w:hAnsi="仿宋" w:eastAsia="仿宋" w:cs="宋体"/>
          <w:color w:val="auto"/>
          <w:szCs w:val="21"/>
          <w:highlight w:val="none"/>
        </w:rPr>
        <w:fldChar w:fldCharType="begin"/>
      </w:r>
      <w:r>
        <w:rPr>
          <w:rFonts w:hint="eastAsia" w:ascii="仿宋" w:hAnsi="仿宋" w:eastAsia="仿宋" w:cs="宋体"/>
          <w:color w:val="auto"/>
          <w:szCs w:val="21"/>
          <w:highlight w:val="none"/>
        </w:rPr>
        <w:instrText xml:space="preserve"> HYPERLINK \l _Toc23758 </w:instrText>
      </w:r>
      <w:r>
        <w:rPr>
          <w:rFonts w:hint="eastAsia" w:ascii="仿宋" w:hAnsi="仿宋" w:eastAsia="仿宋" w:cs="宋体"/>
          <w:color w:val="auto"/>
          <w:szCs w:val="21"/>
          <w:highlight w:val="none"/>
        </w:rPr>
        <w:fldChar w:fldCharType="separate"/>
      </w:r>
      <w:r>
        <w:rPr>
          <w:rFonts w:hint="eastAsia" w:ascii="仿宋" w:hAnsi="仿宋" w:cs="宋体"/>
          <w:color w:val="auto"/>
          <w:highlight w:val="none"/>
          <w:lang w:val="en-US" w:eastAsia="zh-CN"/>
        </w:rPr>
        <w:t>七</w:t>
      </w:r>
      <w:r>
        <w:rPr>
          <w:rFonts w:hint="eastAsia" w:ascii="仿宋" w:hAnsi="仿宋" w:cs="宋体"/>
          <w:color w:val="auto"/>
          <w:highlight w:val="none"/>
        </w:rPr>
        <w:t>、发布公告的媒介</w:t>
      </w:r>
      <w:r>
        <w:rPr>
          <w:color w:val="auto"/>
          <w:highlight w:val="none"/>
        </w:rPr>
        <w:tab/>
      </w:r>
      <w:r>
        <w:rPr>
          <w:color w:val="auto"/>
          <w:highlight w:val="none"/>
        </w:rPr>
        <w:fldChar w:fldCharType="begin"/>
      </w:r>
      <w:r>
        <w:rPr>
          <w:color w:val="auto"/>
          <w:highlight w:val="none"/>
        </w:rPr>
        <w:instrText xml:space="preserve"> PAGEREF _Toc23758 \h </w:instrText>
      </w:r>
      <w:r>
        <w:rPr>
          <w:color w:val="auto"/>
          <w:highlight w:val="none"/>
        </w:rPr>
        <w:fldChar w:fldCharType="separate"/>
      </w:r>
      <w:r>
        <w:rPr>
          <w:color w:val="auto"/>
          <w:highlight w:val="none"/>
        </w:rPr>
        <w:t>7</w:t>
      </w:r>
      <w:r>
        <w:rPr>
          <w:color w:val="auto"/>
          <w:highlight w:val="none"/>
        </w:rPr>
        <w:fldChar w:fldCharType="end"/>
      </w:r>
      <w:r>
        <w:rPr>
          <w:rFonts w:hint="eastAsia" w:ascii="仿宋" w:hAnsi="仿宋" w:eastAsia="仿宋" w:cs="宋体"/>
          <w:color w:val="auto"/>
          <w:szCs w:val="21"/>
          <w:highlight w:val="none"/>
        </w:rPr>
        <w:fldChar w:fldCharType="end"/>
      </w:r>
    </w:p>
    <w:p w14:paraId="2949822B">
      <w:pPr>
        <w:pStyle w:val="29"/>
        <w:pageBreakBefore w:val="0"/>
        <w:tabs>
          <w:tab w:val="right" w:leader="dot" w:pos="9638"/>
        </w:tabs>
        <w:kinsoku/>
        <w:overflowPunct/>
        <w:bidi w:val="0"/>
        <w:spacing w:line="600" w:lineRule="exact"/>
        <w:rPr>
          <w:color w:val="auto"/>
          <w:highlight w:val="none"/>
        </w:rPr>
      </w:pPr>
      <w:r>
        <w:rPr>
          <w:rFonts w:hint="eastAsia" w:ascii="仿宋" w:hAnsi="仿宋" w:eastAsia="仿宋" w:cs="宋体"/>
          <w:color w:val="auto"/>
          <w:szCs w:val="21"/>
          <w:highlight w:val="none"/>
        </w:rPr>
        <w:fldChar w:fldCharType="begin"/>
      </w:r>
      <w:r>
        <w:rPr>
          <w:rFonts w:hint="eastAsia" w:ascii="仿宋" w:hAnsi="仿宋" w:eastAsia="仿宋" w:cs="宋体"/>
          <w:color w:val="auto"/>
          <w:szCs w:val="21"/>
          <w:highlight w:val="none"/>
        </w:rPr>
        <w:instrText xml:space="preserve"> HYPERLINK \l _Toc24187 </w:instrText>
      </w:r>
      <w:r>
        <w:rPr>
          <w:rFonts w:hint="eastAsia" w:ascii="仿宋" w:hAnsi="仿宋" w:eastAsia="仿宋" w:cs="宋体"/>
          <w:color w:val="auto"/>
          <w:szCs w:val="21"/>
          <w:highlight w:val="none"/>
        </w:rPr>
        <w:fldChar w:fldCharType="separate"/>
      </w:r>
      <w:r>
        <w:rPr>
          <w:rFonts w:hint="eastAsia" w:ascii="仿宋" w:hAnsi="仿宋" w:cs="宋体"/>
          <w:color w:val="auto"/>
          <w:highlight w:val="none"/>
          <w:lang w:val="en-US" w:eastAsia="zh-CN"/>
        </w:rPr>
        <w:t>八</w:t>
      </w:r>
      <w:r>
        <w:rPr>
          <w:rFonts w:hint="eastAsia" w:ascii="仿宋" w:hAnsi="仿宋" w:cs="宋体"/>
          <w:color w:val="auto"/>
          <w:highlight w:val="none"/>
        </w:rPr>
        <w:t>、联系方式</w:t>
      </w:r>
      <w:r>
        <w:rPr>
          <w:color w:val="auto"/>
          <w:highlight w:val="none"/>
        </w:rPr>
        <w:tab/>
      </w:r>
      <w:r>
        <w:rPr>
          <w:color w:val="auto"/>
          <w:highlight w:val="none"/>
        </w:rPr>
        <w:fldChar w:fldCharType="begin"/>
      </w:r>
      <w:r>
        <w:rPr>
          <w:color w:val="auto"/>
          <w:highlight w:val="none"/>
        </w:rPr>
        <w:instrText xml:space="preserve"> PAGEREF _Toc24187 \h </w:instrText>
      </w:r>
      <w:r>
        <w:rPr>
          <w:color w:val="auto"/>
          <w:highlight w:val="none"/>
        </w:rPr>
        <w:fldChar w:fldCharType="separate"/>
      </w:r>
      <w:r>
        <w:rPr>
          <w:color w:val="auto"/>
          <w:highlight w:val="none"/>
        </w:rPr>
        <w:t>7</w:t>
      </w:r>
      <w:r>
        <w:rPr>
          <w:color w:val="auto"/>
          <w:highlight w:val="none"/>
        </w:rPr>
        <w:fldChar w:fldCharType="end"/>
      </w:r>
      <w:r>
        <w:rPr>
          <w:rFonts w:hint="eastAsia" w:ascii="仿宋" w:hAnsi="仿宋" w:eastAsia="仿宋" w:cs="宋体"/>
          <w:color w:val="auto"/>
          <w:szCs w:val="21"/>
          <w:highlight w:val="none"/>
        </w:rPr>
        <w:fldChar w:fldCharType="end"/>
      </w:r>
    </w:p>
    <w:p w14:paraId="39F1245B">
      <w:pPr>
        <w:pStyle w:val="24"/>
        <w:pageBreakBefore w:val="0"/>
        <w:tabs>
          <w:tab w:val="right" w:leader="dot" w:pos="9638"/>
        </w:tabs>
        <w:kinsoku/>
        <w:overflowPunct/>
        <w:bidi w:val="0"/>
        <w:spacing w:line="600" w:lineRule="exact"/>
        <w:rPr>
          <w:color w:val="auto"/>
          <w:highlight w:val="none"/>
        </w:rPr>
      </w:pPr>
      <w:r>
        <w:rPr>
          <w:rFonts w:hint="eastAsia" w:ascii="仿宋" w:hAnsi="仿宋" w:eastAsia="仿宋" w:cs="宋体"/>
          <w:color w:val="auto"/>
          <w:szCs w:val="21"/>
          <w:highlight w:val="none"/>
        </w:rPr>
        <w:fldChar w:fldCharType="begin"/>
      </w:r>
      <w:r>
        <w:rPr>
          <w:rFonts w:hint="eastAsia" w:ascii="仿宋" w:hAnsi="仿宋" w:eastAsia="仿宋" w:cs="宋体"/>
          <w:color w:val="auto"/>
          <w:szCs w:val="21"/>
          <w:highlight w:val="none"/>
        </w:rPr>
        <w:instrText xml:space="preserve"> HYPERLINK \l _Toc10818 </w:instrText>
      </w:r>
      <w:r>
        <w:rPr>
          <w:rFonts w:hint="eastAsia" w:ascii="仿宋" w:hAnsi="仿宋" w:eastAsia="仿宋" w:cs="宋体"/>
          <w:color w:val="auto"/>
          <w:szCs w:val="21"/>
          <w:highlight w:val="none"/>
        </w:rPr>
        <w:fldChar w:fldCharType="separate"/>
      </w:r>
      <w:r>
        <w:rPr>
          <w:rFonts w:hint="eastAsia" w:ascii="仿宋" w:hAnsi="仿宋" w:cs="宋体"/>
          <w:color w:val="auto"/>
          <w:highlight w:val="none"/>
        </w:rPr>
        <w:t>第二章 投标人须知</w:t>
      </w:r>
      <w:r>
        <w:rPr>
          <w:color w:val="auto"/>
          <w:highlight w:val="none"/>
        </w:rPr>
        <w:tab/>
      </w:r>
      <w:r>
        <w:rPr>
          <w:color w:val="auto"/>
          <w:highlight w:val="none"/>
        </w:rPr>
        <w:fldChar w:fldCharType="begin"/>
      </w:r>
      <w:r>
        <w:rPr>
          <w:color w:val="auto"/>
          <w:highlight w:val="none"/>
        </w:rPr>
        <w:instrText xml:space="preserve"> PAGEREF _Toc10818 \h </w:instrText>
      </w:r>
      <w:r>
        <w:rPr>
          <w:color w:val="auto"/>
          <w:highlight w:val="none"/>
        </w:rPr>
        <w:fldChar w:fldCharType="separate"/>
      </w:r>
      <w:r>
        <w:rPr>
          <w:color w:val="auto"/>
          <w:highlight w:val="none"/>
        </w:rPr>
        <w:t>9</w:t>
      </w:r>
      <w:r>
        <w:rPr>
          <w:color w:val="auto"/>
          <w:highlight w:val="none"/>
        </w:rPr>
        <w:fldChar w:fldCharType="end"/>
      </w:r>
      <w:r>
        <w:rPr>
          <w:rFonts w:hint="eastAsia" w:ascii="仿宋" w:hAnsi="仿宋" w:eastAsia="仿宋" w:cs="宋体"/>
          <w:color w:val="auto"/>
          <w:szCs w:val="21"/>
          <w:highlight w:val="none"/>
        </w:rPr>
        <w:fldChar w:fldCharType="end"/>
      </w:r>
    </w:p>
    <w:p w14:paraId="230C5758">
      <w:pPr>
        <w:pStyle w:val="29"/>
        <w:pageBreakBefore w:val="0"/>
        <w:tabs>
          <w:tab w:val="right" w:leader="dot" w:pos="9638"/>
        </w:tabs>
        <w:kinsoku/>
        <w:overflowPunct/>
        <w:bidi w:val="0"/>
        <w:spacing w:line="600" w:lineRule="exact"/>
        <w:rPr>
          <w:color w:val="auto"/>
          <w:highlight w:val="none"/>
        </w:rPr>
      </w:pPr>
      <w:r>
        <w:rPr>
          <w:rFonts w:hint="eastAsia" w:ascii="仿宋" w:hAnsi="仿宋" w:eastAsia="仿宋" w:cs="宋体"/>
          <w:color w:val="auto"/>
          <w:szCs w:val="21"/>
          <w:highlight w:val="none"/>
        </w:rPr>
        <w:fldChar w:fldCharType="begin"/>
      </w:r>
      <w:r>
        <w:rPr>
          <w:rFonts w:hint="eastAsia" w:ascii="仿宋" w:hAnsi="仿宋" w:eastAsia="仿宋" w:cs="宋体"/>
          <w:color w:val="auto"/>
          <w:szCs w:val="21"/>
          <w:highlight w:val="none"/>
        </w:rPr>
        <w:instrText xml:space="preserve"> HYPERLINK \l _Toc10551 </w:instrText>
      </w:r>
      <w:r>
        <w:rPr>
          <w:rFonts w:hint="eastAsia" w:ascii="仿宋" w:hAnsi="仿宋" w:eastAsia="仿宋" w:cs="宋体"/>
          <w:color w:val="auto"/>
          <w:szCs w:val="21"/>
          <w:highlight w:val="none"/>
        </w:rPr>
        <w:fldChar w:fldCharType="separate"/>
      </w:r>
      <w:r>
        <w:rPr>
          <w:rFonts w:hint="eastAsia" w:ascii="仿宋" w:hAnsi="仿宋" w:cs="宋体"/>
          <w:color w:val="auto"/>
          <w:szCs w:val="24"/>
          <w:highlight w:val="none"/>
        </w:rPr>
        <w:t>投标人须知前附表</w:t>
      </w:r>
      <w:r>
        <w:rPr>
          <w:color w:val="auto"/>
          <w:highlight w:val="none"/>
        </w:rPr>
        <w:tab/>
      </w:r>
      <w:r>
        <w:rPr>
          <w:color w:val="auto"/>
          <w:highlight w:val="none"/>
        </w:rPr>
        <w:fldChar w:fldCharType="begin"/>
      </w:r>
      <w:r>
        <w:rPr>
          <w:color w:val="auto"/>
          <w:highlight w:val="none"/>
        </w:rPr>
        <w:instrText xml:space="preserve"> PAGEREF _Toc10551 \h </w:instrText>
      </w:r>
      <w:r>
        <w:rPr>
          <w:color w:val="auto"/>
          <w:highlight w:val="none"/>
        </w:rPr>
        <w:fldChar w:fldCharType="separate"/>
      </w:r>
      <w:r>
        <w:rPr>
          <w:color w:val="auto"/>
          <w:highlight w:val="none"/>
        </w:rPr>
        <w:t>9</w:t>
      </w:r>
      <w:r>
        <w:rPr>
          <w:color w:val="auto"/>
          <w:highlight w:val="none"/>
        </w:rPr>
        <w:fldChar w:fldCharType="end"/>
      </w:r>
      <w:r>
        <w:rPr>
          <w:rFonts w:hint="eastAsia" w:ascii="仿宋" w:hAnsi="仿宋" w:eastAsia="仿宋" w:cs="宋体"/>
          <w:color w:val="auto"/>
          <w:szCs w:val="21"/>
          <w:highlight w:val="none"/>
        </w:rPr>
        <w:fldChar w:fldCharType="end"/>
      </w:r>
    </w:p>
    <w:p w14:paraId="7EE95528">
      <w:pPr>
        <w:pStyle w:val="29"/>
        <w:pageBreakBefore w:val="0"/>
        <w:tabs>
          <w:tab w:val="right" w:leader="dot" w:pos="9638"/>
        </w:tabs>
        <w:kinsoku/>
        <w:overflowPunct/>
        <w:bidi w:val="0"/>
        <w:spacing w:line="600" w:lineRule="exact"/>
        <w:rPr>
          <w:color w:val="auto"/>
          <w:highlight w:val="none"/>
        </w:rPr>
      </w:pPr>
      <w:r>
        <w:rPr>
          <w:rFonts w:hint="eastAsia" w:ascii="仿宋" w:hAnsi="仿宋" w:eastAsia="仿宋" w:cs="宋体"/>
          <w:color w:val="auto"/>
          <w:szCs w:val="21"/>
          <w:highlight w:val="none"/>
        </w:rPr>
        <w:fldChar w:fldCharType="begin"/>
      </w:r>
      <w:r>
        <w:rPr>
          <w:rFonts w:hint="eastAsia" w:ascii="仿宋" w:hAnsi="仿宋" w:eastAsia="仿宋" w:cs="宋体"/>
          <w:color w:val="auto"/>
          <w:szCs w:val="21"/>
          <w:highlight w:val="none"/>
        </w:rPr>
        <w:instrText xml:space="preserve"> HYPERLINK \l _Toc18287 </w:instrText>
      </w:r>
      <w:r>
        <w:rPr>
          <w:rFonts w:hint="eastAsia" w:ascii="仿宋" w:hAnsi="仿宋" w:eastAsia="仿宋" w:cs="宋体"/>
          <w:color w:val="auto"/>
          <w:szCs w:val="21"/>
          <w:highlight w:val="none"/>
        </w:rPr>
        <w:fldChar w:fldCharType="separate"/>
      </w:r>
      <w:r>
        <w:rPr>
          <w:rFonts w:hint="eastAsia" w:ascii="仿宋" w:hAnsi="仿宋" w:cs="宋体"/>
          <w:color w:val="auto"/>
          <w:szCs w:val="24"/>
          <w:highlight w:val="none"/>
        </w:rPr>
        <w:t>1.总则</w:t>
      </w:r>
      <w:r>
        <w:rPr>
          <w:color w:val="auto"/>
          <w:highlight w:val="none"/>
        </w:rPr>
        <w:tab/>
      </w:r>
      <w:r>
        <w:rPr>
          <w:color w:val="auto"/>
          <w:highlight w:val="none"/>
        </w:rPr>
        <w:fldChar w:fldCharType="begin"/>
      </w:r>
      <w:r>
        <w:rPr>
          <w:color w:val="auto"/>
          <w:highlight w:val="none"/>
        </w:rPr>
        <w:instrText xml:space="preserve"> PAGEREF _Toc18287 \h </w:instrText>
      </w:r>
      <w:r>
        <w:rPr>
          <w:color w:val="auto"/>
          <w:highlight w:val="none"/>
        </w:rPr>
        <w:fldChar w:fldCharType="separate"/>
      </w:r>
      <w:r>
        <w:rPr>
          <w:color w:val="auto"/>
          <w:highlight w:val="none"/>
        </w:rPr>
        <w:t>14</w:t>
      </w:r>
      <w:r>
        <w:rPr>
          <w:color w:val="auto"/>
          <w:highlight w:val="none"/>
        </w:rPr>
        <w:fldChar w:fldCharType="end"/>
      </w:r>
      <w:r>
        <w:rPr>
          <w:rFonts w:hint="eastAsia" w:ascii="仿宋" w:hAnsi="仿宋" w:eastAsia="仿宋" w:cs="宋体"/>
          <w:color w:val="auto"/>
          <w:szCs w:val="21"/>
          <w:highlight w:val="none"/>
        </w:rPr>
        <w:fldChar w:fldCharType="end"/>
      </w:r>
    </w:p>
    <w:p w14:paraId="32A6299F">
      <w:pPr>
        <w:pStyle w:val="16"/>
        <w:pageBreakBefore w:val="0"/>
        <w:tabs>
          <w:tab w:val="right" w:leader="dot" w:pos="9638"/>
        </w:tabs>
        <w:kinsoku/>
        <w:overflowPunct/>
        <w:bidi w:val="0"/>
        <w:spacing w:line="600" w:lineRule="exact"/>
        <w:rPr>
          <w:color w:val="auto"/>
          <w:highlight w:val="none"/>
        </w:rPr>
      </w:pPr>
      <w:r>
        <w:rPr>
          <w:rFonts w:hint="eastAsia" w:ascii="仿宋" w:hAnsi="仿宋" w:eastAsia="仿宋" w:cs="宋体"/>
          <w:color w:val="auto"/>
          <w:szCs w:val="21"/>
          <w:highlight w:val="none"/>
        </w:rPr>
        <w:fldChar w:fldCharType="begin"/>
      </w:r>
      <w:r>
        <w:rPr>
          <w:rFonts w:hint="eastAsia" w:ascii="仿宋" w:hAnsi="仿宋" w:eastAsia="仿宋" w:cs="宋体"/>
          <w:color w:val="auto"/>
          <w:szCs w:val="21"/>
          <w:highlight w:val="none"/>
        </w:rPr>
        <w:instrText xml:space="preserve"> HYPERLINK \l _Toc5548 </w:instrText>
      </w:r>
      <w:r>
        <w:rPr>
          <w:rFonts w:hint="eastAsia" w:ascii="仿宋" w:hAnsi="仿宋" w:eastAsia="仿宋" w:cs="宋体"/>
          <w:color w:val="auto"/>
          <w:szCs w:val="21"/>
          <w:highlight w:val="none"/>
        </w:rPr>
        <w:fldChar w:fldCharType="separate"/>
      </w:r>
      <w:r>
        <w:rPr>
          <w:rFonts w:ascii="仿宋" w:hAnsi="仿宋" w:cs="宋体"/>
          <w:color w:val="auto"/>
          <w:highlight w:val="none"/>
        </w:rPr>
        <w:t>1.1 项目概况</w:t>
      </w:r>
      <w:r>
        <w:rPr>
          <w:color w:val="auto"/>
          <w:highlight w:val="none"/>
        </w:rPr>
        <w:tab/>
      </w:r>
      <w:r>
        <w:rPr>
          <w:color w:val="auto"/>
          <w:highlight w:val="none"/>
        </w:rPr>
        <w:fldChar w:fldCharType="begin"/>
      </w:r>
      <w:r>
        <w:rPr>
          <w:color w:val="auto"/>
          <w:highlight w:val="none"/>
        </w:rPr>
        <w:instrText xml:space="preserve"> PAGEREF _Toc5548 \h </w:instrText>
      </w:r>
      <w:r>
        <w:rPr>
          <w:color w:val="auto"/>
          <w:highlight w:val="none"/>
        </w:rPr>
        <w:fldChar w:fldCharType="separate"/>
      </w:r>
      <w:r>
        <w:rPr>
          <w:color w:val="auto"/>
          <w:highlight w:val="none"/>
        </w:rPr>
        <w:t>14</w:t>
      </w:r>
      <w:r>
        <w:rPr>
          <w:color w:val="auto"/>
          <w:highlight w:val="none"/>
        </w:rPr>
        <w:fldChar w:fldCharType="end"/>
      </w:r>
      <w:r>
        <w:rPr>
          <w:rFonts w:hint="eastAsia" w:ascii="仿宋" w:hAnsi="仿宋" w:eastAsia="仿宋" w:cs="宋体"/>
          <w:color w:val="auto"/>
          <w:szCs w:val="21"/>
          <w:highlight w:val="none"/>
        </w:rPr>
        <w:fldChar w:fldCharType="end"/>
      </w:r>
    </w:p>
    <w:p w14:paraId="73B4AE70">
      <w:pPr>
        <w:pStyle w:val="16"/>
        <w:pageBreakBefore w:val="0"/>
        <w:tabs>
          <w:tab w:val="right" w:leader="dot" w:pos="9638"/>
        </w:tabs>
        <w:kinsoku/>
        <w:overflowPunct/>
        <w:bidi w:val="0"/>
        <w:spacing w:line="600" w:lineRule="exact"/>
        <w:rPr>
          <w:color w:val="auto"/>
          <w:highlight w:val="none"/>
        </w:rPr>
      </w:pPr>
      <w:r>
        <w:rPr>
          <w:rFonts w:hint="eastAsia" w:ascii="仿宋" w:hAnsi="仿宋" w:eastAsia="仿宋" w:cs="宋体"/>
          <w:color w:val="auto"/>
          <w:szCs w:val="21"/>
          <w:highlight w:val="none"/>
        </w:rPr>
        <w:fldChar w:fldCharType="begin"/>
      </w:r>
      <w:r>
        <w:rPr>
          <w:rFonts w:hint="eastAsia" w:ascii="仿宋" w:hAnsi="仿宋" w:eastAsia="仿宋" w:cs="宋体"/>
          <w:color w:val="auto"/>
          <w:szCs w:val="21"/>
          <w:highlight w:val="none"/>
        </w:rPr>
        <w:instrText xml:space="preserve"> HYPERLINK \l _Toc438 </w:instrText>
      </w:r>
      <w:r>
        <w:rPr>
          <w:rFonts w:hint="eastAsia" w:ascii="仿宋" w:hAnsi="仿宋" w:eastAsia="仿宋" w:cs="宋体"/>
          <w:color w:val="auto"/>
          <w:szCs w:val="21"/>
          <w:highlight w:val="none"/>
        </w:rPr>
        <w:fldChar w:fldCharType="separate"/>
      </w:r>
      <w:r>
        <w:rPr>
          <w:rFonts w:ascii="仿宋" w:hAnsi="仿宋" w:cs="宋体"/>
          <w:color w:val="auto"/>
          <w:highlight w:val="none"/>
        </w:rPr>
        <w:t>1.2 资金来源和落实情况</w:t>
      </w:r>
      <w:r>
        <w:rPr>
          <w:color w:val="auto"/>
          <w:highlight w:val="none"/>
        </w:rPr>
        <w:tab/>
      </w:r>
      <w:r>
        <w:rPr>
          <w:color w:val="auto"/>
          <w:highlight w:val="none"/>
        </w:rPr>
        <w:fldChar w:fldCharType="begin"/>
      </w:r>
      <w:r>
        <w:rPr>
          <w:color w:val="auto"/>
          <w:highlight w:val="none"/>
        </w:rPr>
        <w:instrText xml:space="preserve"> PAGEREF _Toc438 \h </w:instrText>
      </w:r>
      <w:r>
        <w:rPr>
          <w:color w:val="auto"/>
          <w:highlight w:val="none"/>
        </w:rPr>
        <w:fldChar w:fldCharType="separate"/>
      </w:r>
      <w:r>
        <w:rPr>
          <w:color w:val="auto"/>
          <w:highlight w:val="none"/>
        </w:rPr>
        <w:t>14</w:t>
      </w:r>
      <w:r>
        <w:rPr>
          <w:color w:val="auto"/>
          <w:highlight w:val="none"/>
        </w:rPr>
        <w:fldChar w:fldCharType="end"/>
      </w:r>
      <w:r>
        <w:rPr>
          <w:rFonts w:hint="eastAsia" w:ascii="仿宋" w:hAnsi="仿宋" w:eastAsia="仿宋" w:cs="宋体"/>
          <w:color w:val="auto"/>
          <w:szCs w:val="21"/>
          <w:highlight w:val="none"/>
        </w:rPr>
        <w:fldChar w:fldCharType="end"/>
      </w:r>
    </w:p>
    <w:p w14:paraId="5FE92397">
      <w:pPr>
        <w:pStyle w:val="16"/>
        <w:pageBreakBefore w:val="0"/>
        <w:tabs>
          <w:tab w:val="right" w:leader="dot" w:pos="9638"/>
        </w:tabs>
        <w:kinsoku/>
        <w:overflowPunct/>
        <w:bidi w:val="0"/>
        <w:spacing w:line="600" w:lineRule="exact"/>
        <w:rPr>
          <w:color w:val="auto"/>
          <w:highlight w:val="none"/>
        </w:rPr>
      </w:pPr>
      <w:r>
        <w:rPr>
          <w:rFonts w:hint="eastAsia" w:ascii="仿宋" w:hAnsi="仿宋" w:eastAsia="仿宋" w:cs="宋体"/>
          <w:color w:val="auto"/>
          <w:szCs w:val="21"/>
          <w:highlight w:val="none"/>
        </w:rPr>
        <w:fldChar w:fldCharType="begin"/>
      </w:r>
      <w:r>
        <w:rPr>
          <w:rFonts w:hint="eastAsia" w:ascii="仿宋" w:hAnsi="仿宋" w:eastAsia="仿宋" w:cs="宋体"/>
          <w:color w:val="auto"/>
          <w:szCs w:val="21"/>
          <w:highlight w:val="none"/>
        </w:rPr>
        <w:instrText xml:space="preserve"> HYPERLINK \l _Toc1291 </w:instrText>
      </w:r>
      <w:r>
        <w:rPr>
          <w:rFonts w:hint="eastAsia" w:ascii="仿宋" w:hAnsi="仿宋" w:eastAsia="仿宋" w:cs="宋体"/>
          <w:color w:val="auto"/>
          <w:szCs w:val="21"/>
          <w:highlight w:val="none"/>
        </w:rPr>
        <w:fldChar w:fldCharType="separate"/>
      </w:r>
      <w:r>
        <w:rPr>
          <w:rFonts w:ascii="仿宋" w:hAnsi="仿宋" w:cs="宋体"/>
          <w:color w:val="auto"/>
          <w:highlight w:val="none"/>
        </w:rPr>
        <w:t>1.</w:t>
      </w:r>
      <w:r>
        <w:rPr>
          <w:rFonts w:hint="default" w:ascii="仿宋" w:hAnsi="仿宋" w:cs="宋体"/>
          <w:color w:val="auto"/>
          <w:highlight w:val="none"/>
        </w:rPr>
        <w:t>3</w:t>
      </w:r>
      <w:r>
        <w:rPr>
          <w:rFonts w:ascii="仿宋" w:hAnsi="仿宋" w:cs="宋体"/>
          <w:color w:val="auto"/>
          <w:highlight w:val="none"/>
        </w:rPr>
        <w:t>招标方式</w:t>
      </w:r>
      <w:r>
        <w:rPr>
          <w:color w:val="auto"/>
          <w:highlight w:val="none"/>
        </w:rPr>
        <w:tab/>
      </w:r>
      <w:r>
        <w:rPr>
          <w:color w:val="auto"/>
          <w:highlight w:val="none"/>
        </w:rPr>
        <w:fldChar w:fldCharType="begin"/>
      </w:r>
      <w:r>
        <w:rPr>
          <w:color w:val="auto"/>
          <w:highlight w:val="none"/>
        </w:rPr>
        <w:instrText xml:space="preserve"> PAGEREF _Toc1291 \h </w:instrText>
      </w:r>
      <w:r>
        <w:rPr>
          <w:color w:val="auto"/>
          <w:highlight w:val="none"/>
        </w:rPr>
        <w:fldChar w:fldCharType="separate"/>
      </w:r>
      <w:r>
        <w:rPr>
          <w:color w:val="auto"/>
          <w:highlight w:val="none"/>
        </w:rPr>
        <w:t>14</w:t>
      </w:r>
      <w:r>
        <w:rPr>
          <w:color w:val="auto"/>
          <w:highlight w:val="none"/>
        </w:rPr>
        <w:fldChar w:fldCharType="end"/>
      </w:r>
      <w:r>
        <w:rPr>
          <w:rFonts w:hint="eastAsia" w:ascii="仿宋" w:hAnsi="仿宋" w:eastAsia="仿宋" w:cs="宋体"/>
          <w:color w:val="auto"/>
          <w:szCs w:val="21"/>
          <w:highlight w:val="none"/>
        </w:rPr>
        <w:fldChar w:fldCharType="end"/>
      </w:r>
    </w:p>
    <w:p w14:paraId="2DA34ECA">
      <w:pPr>
        <w:pStyle w:val="16"/>
        <w:pageBreakBefore w:val="0"/>
        <w:tabs>
          <w:tab w:val="right" w:leader="dot" w:pos="9638"/>
        </w:tabs>
        <w:kinsoku/>
        <w:overflowPunct/>
        <w:bidi w:val="0"/>
        <w:spacing w:line="600" w:lineRule="exact"/>
        <w:rPr>
          <w:color w:val="auto"/>
          <w:highlight w:val="none"/>
        </w:rPr>
      </w:pPr>
      <w:r>
        <w:rPr>
          <w:rFonts w:hint="eastAsia" w:ascii="仿宋" w:hAnsi="仿宋" w:eastAsia="仿宋" w:cs="宋体"/>
          <w:color w:val="auto"/>
          <w:szCs w:val="21"/>
          <w:highlight w:val="none"/>
        </w:rPr>
        <w:fldChar w:fldCharType="begin"/>
      </w:r>
      <w:r>
        <w:rPr>
          <w:rFonts w:hint="eastAsia" w:ascii="仿宋" w:hAnsi="仿宋" w:eastAsia="仿宋" w:cs="宋体"/>
          <w:color w:val="auto"/>
          <w:szCs w:val="21"/>
          <w:highlight w:val="none"/>
        </w:rPr>
        <w:instrText xml:space="preserve"> HYPERLINK \l _Toc421 </w:instrText>
      </w:r>
      <w:r>
        <w:rPr>
          <w:rFonts w:hint="eastAsia" w:ascii="仿宋" w:hAnsi="仿宋" w:eastAsia="仿宋" w:cs="宋体"/>
          <w:color w:val="auto"/>
          <w:szCs w:val="21"/>
          <w:highlight w:val="none"/>
        </w:rPr>
        <w:fldChar w:fldCharType="separate"/>
      </w:r>
      <w:r>
        <w:rPr>
          <w:rFonts w:ascii="仿宋" w:hAnsi="仿宋" w:cs="宋体"/>
          <w:color w:val="auto"/>
          <w:highlight w:val="none"/>
        </w:rPr>
        <w:t>1.</w:t>
      </w:r>
      <w:r>
        <w:rPr>
          <w:rFonts w:hint="default" w:ascii="仿宋" w:hAnsi="仿宋" w:cs="宋体"/>
          <w:color w:val="auto"/>
          <w:highlight w:val="none"/>
        </w:rPr>
        <w:t>4</w:t>
      </w:r>
      <w:r>
        <w:rPr>
          <w:rFonts w:ascii="仿宋" w:hAnsi="仿宋" w:cs="宋体"/>
          <w:color w:val="auto"/>
          <w:highlight w:val="none"/>
        </w:rPr>
        <w:t>招标组织形式</w:t>
      </w:r>
      <w:r>
        <w:rPr>
          <w:color w:val="auto"/>
          <w:highlight w:val="none"/>
        </w:rPr>
        <w:tab/>
      </w:r>
      <w:r>
        <w:rPr>
          <w:color w:val="auto"/>
          <w:highlight w:val="none"/>
        </w:rPr>
        <w:fldChar w:fldCharType="begin"/>
      </w:r>
      <w:r>
        <w:rPr>
          <w:color w:val="auto"/>
          <w:highlight w:val="none"/>
        </w:rPr>
        <w:instrText xml:space="preserve"> PAGEREF _Toc421 \h </w:instrText>
      </w:r>
      <w:r>
        <w:rPr>
          <w:color w:val="auto"/>
          <w:highlight w:val="none"/>
        </w:rPr>
        <w:fldChar w:fldCharType="separate"/>
      </w:r>
      <w:r>
        <w:rPr>
          <w:color w:val="auto"/>
          <w:highlight w:val="none"/>
        </w:rPr>
        <w:t>14</w:t>
      </w:r>
      <w:r>
        <w:rPr>
          <w:color w:val="auto"/>
          <w:highlight w:val="none"/>
        </w:rPr>
        <w:fldChar w:fldCharType="end"/>
      </w:r>
      <w:r>
        <w:rPr>
          <w:rFonts w:hint="eastAsia" w:ascii="仿宋" w:hAnsi="仿宋" w:eastAsia="仿宋" w:cs="宋体"/>
          <w:color w:val="auto"/>
          <w:szCs w:val="21"/>
          <w:highlight w:val="none"/>
        </w:rPr>
        <w:fldChar w:fldCharType="end"/>
      </w:r>
    </w:p>
    <w:p w14:paraId="3C249696">
      <w:pPr>
        <w:pStyle w:val="16"/>
        <w:pageBreakBefore w:val="0"/>
        <w:tabs>
          <w:tab w:val="right" w:leader="dot" w:pos="9638"/>
        </w:tabs>
        <w:kinsoku/>
        <w:overflowPunct/>
        <w:bidi w:val="0"/>
        <w:spacing w:line="600" w:lineRule="exact"/>
        <w:rPr>
          <w:color w:val="auto"/>
          <w:highlight w:val="none"/>
        </w:rPr>
      </w:pPr>
      <w:r>
        <w:rPr>
          <w:rFonts w:hint="eastAsia" w:ascii="仿宋" w:hAnsi="仿宋" w:eastAsia="仿宋" w:cs="宋体"/>
          <w:color w:val="auto"/>
          <w:szCs w:val="21"/>
          <w:highlight w:val="none"/>
        </w:rPr>
        <w:fldChar w:fldCharType="begin"/>
      </w:r>
      <w:r>
        <w:rPr>
          <w:rFonts w:hint="eastAsia" w:ascii="仿宋" w:hAnsi="仿宋" w:eastAsia="仿宋" w:cs="宋体"/>
          <w:color w:val="auto"/>
          <w:szCs w:val="21"/>
          <w:highlight w:val="none"/>
        </w:rPr>
        <w:instrText xml:space="preserve"> HYPERLINK \l _Toc8509 </w:instrText>
      </w:r>
      <w:r>
        <w:rPr>
          <w:rFonts w:hint="eastAsia" w:ascii="仿宋" w:hAnsi="仿宋" w:eastAsia="仿宋" w:cs="宋体"/>
          <w:color w:val="auto"/>
          <w:szCs w:val="21"/>
          <w:highlight w:val="none"/>
        </w:rPr>
        <w:fldChar w:fldCharType="separate"/>
      </w:r>
      <w:r>
        <w:rPr>
          <w:rFonts w:ascii="仿宋" w:hAnsi="仿宋" w:cs="宋体"/>
          <w:color w:val="auto"/>
          <w:highlight w:val="none"/>
        </w:rPr>
        <w:t>1.</w:t>
      </w:r>
      <w:r>
        <w:rPr>
          <w:rFonts w:hint="default" w:ascii="仿宋" w:hAnsi="仿宋" w:cs="宋体"/>
          <w:color w:val="auto"/>
          <w:highlight w:val="none"/>
        </w:rPr>
        <w:t>5</w:t>
      </w:r>
      <w:r>
        <w:rPr>
          <w:rFonts w:ascii="仿宋" w:hAnsi="仿宋" w:cs="宋体"/>
          <w:color w:val="auto"/>
          <w:highlight w:val="none"/>
        </w:rPr>
        <w:t>资格审查</w:t>
      </w:r>
      <w:r>
        <w:rPr>
          <w:color w:val="auto"/>
          <w:highlight w:val="none"/>
        </w:rPr>
        <w:tab/>
      </w:r>
      <w:r>
        <w:rPr>
          <w:color w:val="auto"/>
          <w:highlight w:val="none"/>
        </w:rPr>
        <w:fldChar w:fldCharType="begin"/>
      </w:r>
      <w:r>
        <w:rPr>
          <w:color w:val="auto"/>
          <w:highlight w:val="none"/>
        </w:rPr>
        <w:instrText xml:space="preserve"> PAGEREF _Toc8509 \h </w:instrText>
      </w:r>
      <w:r>
        <w:rPr>
          <w:color w:val="auto"/>
          <w:highlight w:val="none"/>
        </w:rPr>
        <w:fldChar w:fldCharType="separate"/>
      </w:r>
      <w:r>
        <w:rPr>
          <w:color w:val="auto"/>
          <w:highlight w:val="none"/>
        </w:rPr>
        <w:t>15</w:t>
      </w:r>
      <w:r>
        <w:rPr>
          <w:color w:val="auto"/>
          <w:highlight w:val="none"/>
        </w:rPr>
        <w:fldChar w:fldCharType="end"/>
      </w:r>
      <w:r>
        <w:rPr>
          <w:rFonts w:hint="eastAsia" w:ascii="仿宋" w:hAnsi="仿宋" w:eastAsia="仿宋" w:cs="宋体"/>
          <w:color w:val="auto"/>
          <w:szCs w:val="21"/>
          <w:highlight w:val="none"/>
        </w:rPr>
        <w:fldChar w:fldCharType="end"/>
      </w:r>
    </w:p>
    <w:p w14:paraId="7526C60B">
      <w:pPr>
        <w:pStyle w:val="16"/>
        <w:pageBreakBefore w:val="0"/>
        <w:tabs>
          <w:tab w:val="right" w:leader="dot" w:pos="9638"/>
        </w:tabs>
        <w:kinsoku/>
        <w:overflowPunct/>
        <w:bidi w:val="0"/>
        <w:spacing w:line="600" w:lineRule="exact"/>
        <w:rPr>
          <w:color w:val="auto"/>
          <w:highlight w:val="none"/>
        </w:rPr>
      </w:pPr>
      <w:r>
        <w:rPr>
          <w:rFonts w:hint="eastAsia" w:ascii="仿宋" w:hAnsi="仿宋" w:eastAsia="仿宋" w:cs="宋体"/>
          <w:color w:val="auto"/>
          <w:szCs w:val="21"/>
          <w:highlight w:val="none"/>
        </w:rPr>
        <w:fldChar w:fldCharType="begin"/>
      </w:r>
      <w:r>
        <w:rPr>
          <w:rFonts w:hint="eastAsia" w:ascii="仿宋" w:hAnsi="仿宋" w:eastAsia="仿宋" w:cs="宋体"/>
          <w:color w:val="auto"/>
          <w:szCs w:val="21"/>
          <w:highlight w:val="none"/>
        </w:rPr>
        <w:instrText xml:space="preserve"> HYPERLINK \l _Toc18097 </w:instrText>
      </w:r>
      <w:r>
        <w:rPr>
          <w:rFonts w:hint="eastAsia" w:ascii="仿宋" w:hAnsi="仿宋" w:eastAsia="仿宋" w:cs="宋体"/>
          <w:color w:val="auto"/>
          <w:szCs w:val="21"/>
          <w:highlight w:val="none"/>
        </w:rPr>
        <w:fldChar w:fldCharType="separate"/>
      </w:r>
      <w:r>
        <w:rPr>
          <w:rFonts w:ascii="仿宋" w:hAnsi="仿宋" w:cs="宋体"/>
          <w:color w:val="auto"/>
          <w:highlight w:val="none"/>
        </w:rPr>
        <w:t>1.</w:t>
      </w:r>
      <w:r>
        <w:rPr>
          <w:rFonts w:hint="default" w:ascii="仿宋" w:hAnsi="仿宋" w:cs="宋体"/>
          <w:color w:val="auto"/>
          <w:highlight w:val="none"/>
        </w:rPr>
        <w:t>6</w:t>
      </w:r>
      <w:r>
        <w:rPr>
          <w:rFonts w:ascii="仿宋" w:hAnsi="仿宋" w:cs="宋体"/>
          <w:color w:val="auto"/>
          <w:highlight w:val="none"/>
        </w:rPr>
        <w:t>投标费用</w:t>
      </w:r>
      <w:r>
        <w:rPr>
          <w:color w:val="auto"/>
          <w:highlight w:val="none"/>
        </w:rPr>
        <w:tab/>
      </w:r>
      <w:r>
        <w:rPr>
          <w:color w:val="auto"/>
          <w:highlight w:val="none"/>
        </w:rPr>
        <w:fldChar w:fldCharType="begin"/>
      </w:r>
      <w:r>
        <w:rPr>
          <w:color w:val="auto"/>
          <w:highlight w:val="none"/>
        </w:rPr>
        <w:instrText xml:space="preserve"> PAGEREF _Toc18097 \h </w:instrText>
      </w:r>
      <w:r>
        <w:rPr>
          <w:color w:val="auto"/>
          <w:highlight w:val="none"/>
        </w:rPr>
        <w:fldChar w:fldCharType="separate"/>
      </w:r>
      <w:r>
        <w:rPr>
          <w:color w:val="auto"/>
          <w:highlight w:val="none"/>
        </w:rPr>
        <w:t>15</w:t>
      </w:r>
      <w:r>
        <w:rPr>
          <w:color w:val="auto"/>
          <w:highlight w:val="none"/>
        </w:rPr>
        <w:fldChar w:fldCharType="end"/>
      </w:r>
      <w:r>
        <w:rPr>
          <w:rFonts w:hint="eastAsia" w:ascii="仿宋" w:hAnsi="仿宋" w:eastAsia="仿宋" w:cs="宋体"/>
          <w:color w:val="auto"/>
          <w:szCs w:val="21"/>
          <w:highlight w:val="none"/>
        </w:rPr>
        <w:fldChar w:fldCharType="end"/>
      </w:r>
    </w:p>
    <w:p w14:paraId="3DA4D967">
      <w:pPr>
        <w:pStyle w:val="16"/>
        <w:pageBreakBefore w:val="0"/>
        <w:tabs>
          <w:tab w:val="right" w:leader="dot" w:pos="9638"/>
        </w:tabs>
        <w:kinsoku/>
        <w:overflowPunct/>
        <w:bidi w:val="0"/>
        <w:spacing w:line="600" w:lineRule="exact"/>
        <w:rPr>
          <w:color w:val="auto"/>
          <w:highlight w:val="none"/>
        </w:rPr>
      </w:pPr>
      <w:r>
        <w:rPr>
          <w:rFonts w:hint="eastAsia" w:ascii="仿宋" w:hAnsi="仿宋" w:eastAsia="仿宋" w:cs="宋体"/>
          <w:color w:val="auto"/>
          <w:szCs w:val="21"/>
          <w:highlight w:val="none"/>
        </w:rPr>
        <w:fldChar w:fldCharType="begin"/>
      </w:r>
      <w:r>
        <w:rPr>
          <w:rFonts w:hint="eastAsia" w:ascii="仿宋" w:hAnsi="仿宋" w:eastAsia="仿宋" w:cs="宋体"/>
          <w:color w:val="auto"/>
          <w:szCs w:val="21"/>
          <w:highlight w:val="none"/>
        </w:rPr>
        <w:instrText xml:space="preserve"> HYPERLINK \l _Toc15437 </w:instrText>
      </w:r>
      <w:r>
        <w:rPr>
          <w:rFonts w:hint="eastAsia" w:ascii="仿宋" w:hAnsi="仿宋" w:eastAsia="仿宋" w:cs="宋体"/>
          <w:color w:val="auto"/>
          <w:szCs w:val="21"/>
          <w:highlight w:val="none"/>
        </w:rPr>
        <w:fldChar w:fldCharType="separate"/>
      </w:r>
      <w:r>
        <w:rPr>
          <w:rFonts w:ascii="仿宋" w:hAnsi="仿宋" w:cs="宋体"/>
          <w:color w:val="auto"/>
          <w:highlight w:val="none"/>
        </w:rPr>
        <w:t>1.</w:t>
      </w:r>
      <w:r>
        <w:rPr>
          <w:rFonts w:hint="default" w:ascii="仿宋" w:hAnsi="仿宋" w:cs="宋体"/>
          <w:color w:val="auto"/>
          <w:highlight w:val="none"/>
        </w:rPr>
        <w:t>7</w:t>
      </w:r>
      <w:r>
        <w:rPr>
          <w:rFonts w:ascii="仿宋" w:hAnsi="仿宋" w:cs="宋体"/>
          <w:color w:val="auto"/>
          <w:highlight w:val="none"/>
        </w:rPr>
        <w:t>保密</w:t>
      </w:r>
      <w:r>
        <w:rPr>
          <w:color w:val="auto"/>
          <w:highlight w:val="none"/>
        </w:rPr>
        <w:tab/>
      </w:r>
      <w:r>
        <w:rPr>
          <w:color w:val="auto"/>
          <w:highlight w:val="none"/>
        </w:rPr>
        <w:fldChar w:fldCharType="begin"/>
      </w:r>
      <w:r>
        <w:rPr>
          <w:color w:val="auto"/>
          <w:highlight w:val="none"/>
        </w:rPr>
        <w:instrText xml:space="preserve"> PAGEREF _Toc15437 \h </w:instrText>
      </w:r>
      <w:r>
        <w:rPr>
          <w:color w:val="auto"/>
          <w:highlight w:val="none"/>
        </w:rPr>
        <w:fldChar w:fldCharType="separate"/>
      </w:r>
      <w:r>
        <w:rPr>
          <w:color w:val="auto"/>
          <w:highlight w:val="none"/>
        </w:rPr>
        <w:t>15</w:t>
      </w:r>
      <w:r>
        <w:rPr>
          <w:color w:val="auto"/>
          <w:highlight w:val="none"/>
        </w:rPr>
        <w:fldChar w:fldCharType="end"/>
      </w:r>
      <w:r>
        <w:rPr>
          <w:rFonts w:hint="eastAsia" w:ascii="仿宋" w:hAnsi="仿宋" w:eastAsia="仿宋" w:cs="宋体"/>
          <w:color w:val="auto"/>
          <w:szCs w:val="21"/>
          <w:highlight w:val="none"/>
        </w:rPr>
        <w:fldChar w:fldCharType="end"/>
      </w:r>
    </w:p>
    <w:p w14:paraId="6AECD7E3">
      <w:pPr>
        <w:pStyle w:val="16"/>
        <w:pageBreakBefore w:val="0"/>
        <w:tabs>
          <w:tab w:val="right" w:leader="dot" w:pos="9638"/>
        </w:tabs>
        <w:kinsoku/>
        <w:overflowPunct/>
        <w:bidi w:val="0"/>
        <w:spacing w:line="600" w:lineRule="exact"/>
        <w:rPr>
          <w:color w:val="auto"/>
          <w:highlight w:val="none"/>
        </w:rPr>
      </w:pPr>
      <w:r>
        <w:rPr>
          <w:rFonts w:hint="eastAsia" w:ascii="仿宋" w:hAnsi="仿宋" w:eastAsia="仿宋" w:cs="宋体"/>
          <w:color w:val="auto"/>
          <w:szCs w:val="21"/>
          <w:highlight w:val="none"/>
        </w:rPr>
        <w:fldChar w:fldCharType="begin"/>
      </w:r>
      <w:r>
        <w:rPr>
          <w:rFonts w:hint="eastAsia" w:ascii="仿宋" w:hAnsi="仿宋" w:eastAsia="仿宋" w:cs="宋体"/>
          <w:color w:val="auto"/>
          <w:szCs w:val="21"/>
          <w:highlight w:val="none"/>
        </w:rPr>
        <w:instrText xml:space="preserve"> HYPERLINK \l _Toc4477 </w:instrText>
      </w:r>
      <w:r>
        <w:rPr>
          <w:rFonts w:hint="eastAsia" w:ascii="仿宋" w:hAnsi="仿宋" w:eastAsia="仿宋" w:cs="宋体"/>
          <w:color w:val="auto"/>
          <w:szCs w:val="21"/>
          <w:highlight w:val="none"/>
        </w:rPr>
        <w:fldChar w:fldCharType="separate"/>
      </w:r>
      <w:r>
        <w:rPr>
          <w:rFonts w:ascii="仿宋" w:hAnsi="仿宋" w:cs="宋体"/>
          <w:color w:val="auto"/>
          <w:highlight w:val="none"/>
        </w:rPr>
        <w:t>1.</w:t>
      </w:r>
      <w:r>
        <w:rPr>
          <w:rFonts w:hint="default" w:ascii="仿宋" w:hAnsi="仿宋" w:cs="宋体"/>
          <w:color w:val="auto"/>
          <w:highlight w:val="none"/>
        </w:rPr>
        <w:t>8</w:t>
      </w:r>
      <w:r>
        <w:rPr>
          <w:rFonts w:ascii="仿宋" w:hAnsi="仿宋" w:cs="宋体"/>
          <w:color w:val="auto"/>
          <w:highlight w:val="none"/>
        </w:rPr>
        <w:t>计量单位</w:t>
      </w:r>
      <w:r>
        <w:rPr>
          <w:color w:val="auto"/>
          <w:highlight w:val="none"/>
        </w:rPr>
        <w:tab/>
      </w:r>
      <w:r>
        <w:rPr>
          <w:color w:val="auto"/>
          <w:highlight w:val="none"/>
        </w:rPr>
        <w:fldChar w:fldCharType="begin"/>
      </w:r>
      <w:r>
        <w:rPr>
          <w:color w:val="auto"/>
          <w:highlight w:val="none"/>
        </w:rPr>
        <w:instrText xml:space="preserve"> PAGEREF _Toc4477 \h </w:instrText>
      </w:r>
      <w:r>
        <w:rPr>
          <w:color w:val="auto"/>
          <w:highlight w:val="none"/>
        </w:rPr>
        <w:fldChar w:fldCharType="separate"/>
      </w:r>
      <w:r>
        <w:rPr>
          <w:color w:val="auto"/>
          <w:highlight w:val="none"/>
        </w:rPr>
        <w:t>15</w:t>
      </w:r>
      <w:r>
        <w:rPr>
          <w:color w:val="auto"/>
          <w:highlight w:val="none"/>
        </w:rPr>
        <w:fldChar w:fldCharType="end"/>
      </w:r>
      <w:r>
        <w:rPr>
          <w:rFonts w:hint="eastAsia" w:ascii="仿宋" w:hAnsi="仿宋" w:eastAsia="仿宋" w:cs="宋体"/>
          <w:color w:val="auto"/>
          <w:szCs w:val="21"/>
          <w:highlight w:val="none"/>
        </w:rPr>
        <w:fldChar w:fldCharType="end"/>
      </w:r>
    </w:p>
    <w:p w14:paraId="04F55E86">
      <w:pPr>
        <w:pStyle w:val="29"/>
        <w:pageBreakBefore w:val="0"/>
        <w:tabs>
          <w:tab w:val="right" w:leader="dot" w:pos="9638"/>
        </w:tabs>
        <w:kinsoku/>
        <w:overflowPunct/>
        <w:bidi w:val="0"/>
        <w:spacing w:line="600" w:lineRule="exact"/>
        <w:rPr>
          <w:color w:val="auto"/>
          <w:highlight w:val="none"/>
        </w:rPr>
      </w:pPr>
      <w:r>
        <w:rPr>
          <w:rFonts w:hint="eastAsia" w:ascii="仿宋" w:hAnsi="仿宋" w:eastAsia="仿宋" w:cs="宋体"/>
          <w:color w:val="auto"/>
          <w:szCs w:val="21"/>
          <w:highlight w:val="none"/>
        </w:rPr>
        <w:fldChar w:fldCharType="begin"/>
      </w:r>
      <w:r>
        <w:rPr>
          <w:rFonts w:hint="eastAsia" w:ascii="仿宋" w:hAnsi="仿宋" w:eastAsia="仿宋" w:cs="宋体"/>
          <w:color w:val="auto"/>
          <w:szCs w:val="21"/>
          <w:highlight w:val="none"/>
        </w:rPr>
        <w:instrText xml:space="preserve"> HYPERLINK \l _Toc30737 </w:instrText>
      </w:r>
      <w:r>
        <w:rPr>
          <w:rFonts w:hint="eastAsia" w:ascii="仿宋" w:hAnsi="仿宋" w:eastAsia="仿宋" w:cs="宋体"/>
          <w:color w:val="auto"/>
          <w:szCs w:val="21"/>
          <w:highlight w:val="none"/>
        </w:rPr>
        <w:fldChar w:fldCharType="separate"/>
      </w:r>
      <w:r>
        <w:rPr>
          <w:rFonts w:hint="eastAsia"/>
          <w:color w:val="auto"/>
          <w:highlight w:val="none"/>
        </w:rPr>
        <w:t>2.招标文件</w:t>
      </w:r>
      <w:r>
        <w:rPr>
          <w:color w:val="auto"/>
          <w:highlight w:val="none"/>
        </w:rPr>
        <w:tab/>
      </w:r>
      <w:r>
        <w:rPr>
          <w:color w:val="auto"/>
          <w:highlight w:val="none"/>
        </w:rPr>
        <w:fldChar w:fldCharType="begin"/>
      </w:r>
      <w:r>
        <w:rPr>
          <w:color w:val="auto"/>
          <w:highlight w:val="none"/>
        </w:rPr>
        <w:instrText xml:space="preserve"> PAGEREF _Toc30737 \h </w:instrText>
      </w:r>
      <w:r>
        <w:rPr>
          <w:color w:val="auto"/>
          <w:highlight w:val="none"/>
        </w:rPr>
        <w:fldChar w:fldCharType="separate"/>
      </w:r>
      <w:r>
        <w:rPr>
          <w:color w:val="auto"/>
          <w:highlight w:val="none"/>
        </w:rPr>
        <w:t>15</w:t>
      </w:r>
      <w:r>
        <w:rPr>
          <w:color w:val="auto"/>
          <w:highlight w:val="none"/>
        </w:rPr>
        <w:fldChar w:fldCharType="end"/>
      </w:r>
      <w:r>
        <w:rPr>
          <w:rFonts w:hint="eastAsia" w:ascii="仿宋" w:hAnsi="仿宋" w:eastAsia="仿宋" w:cs="宋体"/>
          <w:color w:val="auto"/>
          <w:szCs w:val="21"/>
          <w:highlight w:val="none"/>
        </w:rPr>
        <w:fldChar w:fldCharType="end"/>
      </w:r>
    </w:p>
    <w:p w14:paraId="551B40E9">
      <w:pPr>
        <w:pStyle w:val="16"/>
        <w:pageBreakBefore w:val="0"/>
        <w:tabs>
          <w:tab w:val="right" w:leader="dot" w:pos="9638"/>
        </w:tabs>
        <w:kinsoku/>
        <w:overflowPunct/>
        <w:bidi w:val="0"/>
        <w:spacing w:line="600" w:lineRule="exact"/>
        <w:rPr>
          <w:color w:val="auto"/>
          <w:highlight w:val="none"/>
        </w:rPr>
      </w:pPr>
      <w:r>
        <w:rPr>
          <w:rFonts w:hint="eastAsia" w:ascii="仿宋" w:hAnsi="仿宋" w:eastAsia="仿宋" w:cs="宋体"/>
          <w:color w:val="auto"/>
          <w:szCs w:val="21"/>
          <w:highlight w:val="none"/>
        </w:rPr>
        <w:fldChar w:fldCharType="begin"/>
      </w:r>
      <w:r>
        <w:rPr>
          <w:rFonts w:hint="eastAsia" w:ascii="仿宋" w:hAnsi="仿宋" w:eastAsia="仿宋" w:cs="宋体"/>
          <w:color w:val="auto"/>
          <w:szCs w:val="21"/>
          <w:highlight w:val="none"/>
        </w:rPr>
        <w:instrText xml:space="preserve"> HYPERLINK \l _Toc14683 </w:instrText>
      </w:r>
      <w:r>
        <w:rPr>
          <w:rFonts w:hint="eastAsia" w:ascii="仿宋" w:hAnsi="仿宋" w:eastAsia="仿宋" w:cs="宋体"/>
          <w:color w:val="auto"/>
          <w:szCs w:val="21"/>
          <w:highlight w:val="none"/>
        </w:rPr>
        <w:fldChar w:fldCharType="separate"/>
      </w:r>
      <w:r>
        <w:rPr>
          <w:rFonts w:ascii="仿宋" w:hAnsi="仿宋" w:cs="宋体"/>
          <w:color w:val="auto"/>
          <w:highlight w:val="none"/>
        </w:rPr>
        <w:t>2.1招标文件的组成</w:t>
      </w:r>
      <w:r>
        <w:rPr>
          <w:color w:val="auto"/>
          <w:highlight w:val="none"/>
        </w:rPr>
        <w:tab/>
      </w:r>
      <w:r>
        <w:rPr>
          <w:color w:val="auto"/>
          <w:highlight w:val="none"/>
        </w:rPr>
        <w:fldChar w:fldCharType="begin"/>
      </w:r>
      <w:r>
        <w:rPr>
          <w:color w:val="auto"/>
          <w:highlight w:val="none"/>
        </w:rPr>
        <w:instrText xml:space="preserve"> PAGEREF _Toc14683 \h </w:instrText>
      </w:r>
      <w:r>
        <w:rPr>
          <w:color w:val="auto"/>
          <w:highlight w:val="none"/>
        </w:rPr>
        <w:fldChar w:fldCharType="separate"/>
      </w:r>
      <w:r>
        <w:rPr>
          <w:color w:val="auto"/>
          <w:highlight w:val="none"/>
        </w:rPr>
        <w:t>15</w:t>
      </w:r>
      <w:r>
        <w:rPr>
          <w:color w:val="auto"/>
          <w:highlight w:val="none"/>
        </w:rPr>
        <w:fldChar w:fldCharType="end"/>
      </w:r>
      <w:r>
        <w:rPr>
          <w:rFonts w:hint="eastAsia" w:ascii="仿宋" w:hAnsi="仿宋" w:eastAsia="仿宋" w:cs="宋体"/>
          <w:color w:val="auto"/>
          <w:szCs w:val="21"/>
          <w:highlight w:val="none"/>
        </w:rPr>
        <w:fldChar w:fldCharType="end"/>
      </w:r>
    </w:p>
    <w:p w14:paraId="466CB904">
      <w:pPr>
        <w:pStyle w:val="16"/>
        <w:pageBreakBefore w:val="0"/>
        <w:tabs>
          <w:tab w:val="right" w:leader="dot" w:pos="9638"/>
        </w:tabs>
        <w:kinsoku/>
        <w:overflowPunct/>
        <w:bidi w:val="0"/>
        <w:spacing w:line="600" w:lineRule="exact"/>
        <w:rPr>
          <w:color w:val="auto"/>
          <w:highlight w:val="none"/>
        </w:rPr>
      </w:pPr>
      <w:r>
        <w:rPr>
          <w:rFonts w:hint="eastAsia" w:ascii="仿宋" w:hAnsi="仿宋" w:eastAsia="仿宋" w:cs="宋体"/>
          <w:color w:val="auto"/>
          <w:szCs w:val="21"/>
          <w:highlight w:val="none"/>
        </w:rPr>
        <w:fldChar w:fldCharType="begin"/>
      </w:r>
      <w:r>
        <w:rPr>
          <w:rFonts w:hint="eastAsia" w:ascii="仿宋" w:hAnsi="仿宋" w:eastAsia="仿宋" w:cs="宋体"/>
          <w:color w:val="auto"/>
          <w:szCs w:val="21"/>
          <w:highlight w:val="none"/>
        </w:rPr>
        <w:instrText xml:space="preserve"> HYPERLINK \l _Toc24602 </w:instrText>
      </w:r>
      <w:r>
        <w:rPr>
          <w:rFonts w:hint="eastAsia" w:ascii="仿宋" w:hAnsi="仿宋" w:eastAsia="仿宋" w:cs="宋体"/>
          <w:color w:val="auto"/>
          <w:szCs w:val="21"/>
          <w:highlight w:val="none"/>
        </w:rPr>
        <w:fldChar w:fldCharType="separate"/>
      </w:r>
      <w:r>
        <w:rPr>
          <w:rFonts w:ascii="仿宋" w:hAnsi="仿宋" w:cs="宋体"/>
          <w:color w:val="auto"/>
          <w:highlight w:val="none"/>
        </w:rPr>
        <w:t>2.2踏勘现场</w:t>
      </w:r>
      <w:r>
        <w:rPr>
          <w:color w:val="auto"/>
          <w:highlight w:val="none"/>
        </w:rPr>
        <w:tab/>
      </w:r>
      <w:r>
        <w:rPr>
          <w:color w:val="auto"/>
          <w:highlight w:val="none"/>
        </w:rPr>
        <w:fldChar w:fldCharType="begin"/>
      </w:r>
      <w:r>
        <w:rPr>
          <w:color w:val="auto"/>
          <w:highlight w:val="none"/>
        </w:rPr>
        <w:instrText xml:space="preserve"> PAGEREF _Toc24602 \h </w:instrText>
      </w:r>
      <w:r>
        <w:rPr>
          <w:color w:val="auto"/>
          <w:highlight w:val="none"/>
        </w:rPr>
        <w:fldChar w:fldCharType="separate"/>
      </w:r>
      <w:r>
        <w:rPr>
          <w:color w:val="auto"/>
          <w:highlight w:val="none"/>
        </w:rPr>
        <w:t>15</w:t>
      </w:r>
      <w:r>
        <w:rPr>
          <w:color w:val="auto"/>
          <w:highlight w:val="none"/>
        </w:rPr>
        <w:fldChar w:fldCharType="end"/>
      </w:r>
      <w:r>
        <w:rPr>
          <w:rFonts w:hint="eastAsia" w:ascii="仿宋" w:hAnsi="仿宋" w:eastAsia="仿宋" w:cs="宋体"/>
          <w:color w:val="auto"/>
          <w:szCs w:val="21"/>
          <w:highlight w:val="none"/>
        </w:rPr>
        <w:fldChar w:fldCharType="end"/>
      </w:r>
    </w:p>
    <w:p w14:paraId="2BCA7054">
      <w:pPr>
        <w:pStyle w:val="16"/>
        <w:pageBreakBefore w:val="0"/>
        <w:tabs>
          <w:tab w:val="right" w:leader="dot" w:pos="9638"/>
        </w:tabs>
        <w:kinsoku/>
        <w:overflowPunct/>
        <w:bidi w:val="0"/>
        <w:spacing w:line="600" w:lineRule="exact"/>
        <w:rPr>
          <w:color w:val="auto"/>
          <w:highlight w:val="none"/>
        </w:rPr>
      </w:pPr>
      <w:r>
        <w:rPr>
          <w:rFonts w:hint="eastAsia" w:ascii="仿宋" w:hAnsi="仿宋" w:eastAsia="仿宋" w:cs="宋体"/>
          <w:color w:val="auto"/>
          <w:szCs w:val="21"/>
          <w:highlight w:val="none"/>
        </w:rPr>
        <w:fldChar w:fldCharType="begin"/>
      </w:r>
      <w:r>
        <w:rPr>
          <w:rFonts w:hint="eastAsia" w:ascii="仿宋" w:hAnsi="仿宋" w:eastAsia="仿宋" w:cs="宋体"/>
          <w:color w:val="auto"/>
          <w:szCs w:val="21"/>
          <w:highlight w:val="none"/>
        </w:rPr>
        <w:instrText xml:space="preserve"> HYPERLINK \l _Toc3833 </w:instrText>
      </w:r>
      <w:r>
        <w:rPr>
          <w:rFonts w:hint="eastAsia" w:ascii="仿宋" w:hAnsi="仿宋" w:eastAsia="仿宋" w:cs="宋体"/>
          <w:color w:val="auto"/>
          <w:szCs w:val="21"/>
          <w:highlight w:val="none"/>
        </w:rPr>
        <w:fldChar w:fldCharType="separate"/>
      </w:r>
      <w:r>
        <w:rPr>
          <w:rFonts w:ascii="仿宋" w:hAnsi="仿宋" w:cs="宋体"/>
          <w:color w:val="auto"/>
          <w:highlight w:val="none"/>
        </w:rPr>
        <w:t>2.3投标预备会</w:t>
      </w:r>
      <w:r>
        <w:rPr>
          <w:color w:val="auto"/>
          <w:highlight w:val="none"/>
        </w:rPr>
        <w:tab/>
      </w:r>
      <w:r>
        <w:rPr>
          <w:color w:val="auto"/>
          <w:highlight w:val="none"/>
        </w:rPr>
        <w:fldChar w:fldCharType="begin"/>
      </w:r>
      <w:r>
        <w:rPr>
          <w:color w:val="auto"/>
          <w:highlight w:val="none"/>
        </w:rPr>
        <w:instrText xml:space="preserve"> PAGEREF _Toc3833 \h </w:instrText>
      </w:r>
      <w:r>
        <w:rPr>
          <w:color w:val="auto"/>
          <w:highlight w:val="none"/>
        </w:rPr>
        <w:fldChar w:fldCharType="separate"/>
      </w:r>
      <w:r>
        <w:rPr>
          <w:color w:val="auto"/>
          <w:highlight w:val="none"/>
        </w:rPr>
        <w:t>16</w:t>
      </w:r>
      <w:r>
        <w:rPr>
          <w:color w:val="auto"/>
          <w:highlight w:val="none"/>
        </w:rPr>
        <w:fldChar w:fldCharType="end"/>
      </w:r>
      <w:r>
        <w:rPr>
          <w:rFonts w:hint="eastAsia" w:ascii="仿宋" w:hAnsi="仿宋" w:eastAsia="仿宋" w:cs="宋体"/>
          <w:color w:val="auto"/>
          <w:szCs w:val="21"/>
          <w:highlight w:val="none"/>
        </w:rPr>
        <w:fldChar w:fldCharType="end"/>
      </w:r>
    </w:p>
    <w:p w14:paraId="07FFAD72">
      <w:pPr>
        <w:pStyle w:val="16"/>
        <w:pageBreakBefore w:val="0"/>
        <w:tabs>
          <w:tab w:val="right" w:leader="dot" w:pos="9638"/>
        </w:tabs>
        <w:kinsoku/>
        <w:overflowPunct/>
        <w:bidi w:val="0"/>
        <w:spacing w:line="600" w:lineRule="exact"/>
        <w:rPr>
          <w:color w:val="auto"/>
          <w:highlight w:val="none"/>
        </w:rPr>
      </w:pPr>
      <w:r>
        <w:rPr>
          <w:rFonts w:hint="eastAsia" w:ascii="仿宋" w:hAnsi="仿宋" w:eastAsia="仿宋" w:cs="宋体"/>
          <w:color w:val="auto"/>
          <w:szCs w:val="21"/>
          <w:highlight w:val="none"/>
        </w:rPr>
        <w:fldChar w:fldCharType="begin"/>
      </w:r>
      <w:r>
        <w:rPr>
          <w:rFonts w:hint="eastAsia" w:ascii="仿宋" w:hAnsi="仿宋" w:eastAsia="仿宋" w:cs="宋体"/>
          <w:color w:val="auto"/>
          <w:szCs w:val="21"/>
          <w:highlight w:val="none"/>
        </w:rPr>
        <w:instrText xml:space="preserve"> HYPERLINK \l _Toc12345 </w:instrText>
      </w:r>
      <w:r>
        <w:rPr>
          <w:rFonts w:hint="eastAsia" w:ascii="仿宋" w:hAnsi="仿宋" w:eastAsia="仿宋" w:cs="宋体"/>
          <w:color w:val="auto"/>
          <w:szCs w:val="21"/>
          <w:highlight w:val="none"/>
        </w:rPr>
        <w:fldChar w:fldCharType="separate"/>
      </w:r>
      <w:r>
        <w:rPr>
          <w:rFonts w:ascii="仿宋" w:hAnsi="仿宋" w:cs="宋体"/>
          <w:color w:val="auto"/>
          <w:highlight w:val="none"/>
        </w:rPr>
        <w:t>2.4招标文件的修改</w:t>
      </w:r>
      <w:r>
        <w:rPr>
          <w:color w:val="auto"/>
          <w:highlight w:val="none"/>
        </w:rPr>
        <w:tab/>
      </w:r>
      <w:r>
        <w:rPr>
          <w:color w:val="auto"/>
          <w:highlight w:val="none"/>
        </w:rPr>
        <w:fldChar w:fldCharType="begin"/>
      </w:r>
      <w:r>
        <w:rPr>
          <w:color w:val="auto"/>
          <w:highlight w:val="none"/>
        </w:rPr>
        <w:instrText xml:space="preserve"> PAGEREF _Toc12345 \h </w:instrText>
      </w:r>
      <w:r>
        <w:rPr>
          <w:color w:val="auto"/>
          <w:highlight w:val="none"/>
        </w:rPr>
        <w:fldChar w:fldCharType="separate"/>
      </w:r>
      <w:r>
        <w:rPr>
          <w:color w:val="auto"/>
          <w:highlight w:val="none"/>
        </w:rPr>
        <w:t>16</w:t>
      </w:r>
      <w:r>
        <w:rPr>
          <w:color w:val="auto"/>
          <w:highlight w:val="none"/>
        </w:rPr>
        <w:fldChar w:fldCharType="end"/>
      </w:r>
      <w:r>
        <w:rPr>
          <w:rFonts w:hint="eastAsia" w:ascii="仿宋" w:hAnsi="仿宋" w:eastAsia="仿宋" w:cs="宋体"/>
          <w:color w:val="auto"/>
          <w:szCs w:val="21"/>
          <w:highlight w:val="none"/>
        </w:rPr>
        <w:fldChar w:fldCharType="end"/>
      </w:r>
    </w:p>
    <w:p w14:paraId="2C70C7F9">
      <w:pPr>
        <w:pStyle w:val="16"/>
        <w:pageBreakBefore w:val="0"/>
        <w:tabs>
          <w:tab w:val="right" w:leader="dot" w:pos="9638"/>
        </w:tabs>
        <w:kinsoku/>
        <w:overflowPunct/>
        <w:bidi w:val="0"/>
        <w:spacing w:line="600" w:lineRule="exact"/>
        <w:rPr>
          <w:color w:val="auto"/>
          <w:highlight w:val="none"/>
        </w:rPr>
      </w:pPr>
      <w:r>
        <w:rPr>
          <w:rFonts w:hint="eastAsia" w:ascii="仿宋" w:hAnsi="仿宋" w:eastAsia="仿宋" w:cs="宋体"/>
          <w:color w:val="auto"/>
          <w:szCs w:val="21"/>
          <w:highlight w:val="none"/>
        </w:rPr>
        <w:fldChar w:fldCharType="begin"/>
      </w:r>
      <w:r>
        <w:rPr>
          <w:rFonts w:hint="eastAsia" w:ascii="仿宋" w:hAnsi="仿宋" w:eastAsia="仿宋" w:cs="宋体"/>
          <w:color w:val="auto"/>
          <w:szCs w:val="21"/>
          <w:highlight w:val="none"/>
        </w:rPr>
        <w:instrText xml:space="preserve"> HYPERLINK \l _Toc15701 </w:instrText>
      </w:r>
      <w:r>
        <w:rPr>
          <w:rFonts w:hint="eastAsia" w:ascii="仿宋" w:hAnsi="仿宋" w:eastAsia="仿宋" w:cs="宋体"/>
          <w:color w:val="auto"/>
          <w:szCs w:val="21"/>
          <w:highlight w:val="none"/>
        </w:rPr>
        <w:fldChar w:fldCharType="separate"/>
      </w:r>
      <w:r>
        <w:rPr>
          <w:rFonts w:ascii="仿宋" w:hAnsi="仿宋" w:cs="宋体"/>
          <w:color w:val="auto"/>
          <w:highlight w:val="none"/>
        </w:rPr>
        <w:t>2.5招标文件的异议</w:t>
      </w:r>
      <w:r>
        <w:rPr>
          <w:color w:val="auto"/>
          <w:highlight w:val="none"/>
        </w:rPr>
        <w:tab/>
      </w:r>
      <w:r>
        <w:rPr>
          <w:color w:val="auto"/>
          <w:highlight w:val="none"/>
        </w:rPr>
        <w:fldChar w:fldCharType="begin"/>
      </w:r>
      <w:r>
        <w:rPr>
          <w:color w:val="auto"/>
          <w:highlight w:val="none"/>
        </w:rPr>
        <w:instrText xml:space="preserve"> PAGEREF _Toc15701 \h </w:instrText>
      </w:r>
      <w:r>
        <w:rPr>
          <w:color w:val="auto"/>
          <w:highlight w:val="none"/>
        </w:rPr>
        <w:fldChar w:fldCharType="separate"/>
      </w:r>
      <w:r>
        <w:rPr>
          <w:color w:val="auto"/>
          <w:highlight w:val="none"/>
        </w:rPr>
        <w:t>16</w:t>
      </w:r>
      <w:r>
        <w:rPr>
          <w:color w:val="auto"/>
          <w:highlight w:val="none"/>
        </w:rPr>
        <w:fldChar w:fldCharType="end"/>
      </w:r>
      <w:r>
        <w:rPr>
          <w:rFonts w:hint="eastAsia" w:ascii="仿宋" w:hAnsi="仿宋" w:eastAsia="仿宋" w:cs="宋体"/>
          <w:color w:val="auto"/>
          <w:szCs w:val="21"/>
          <w:highlight w:val="none"/>
        </w:rPr>
        <w:fldChar w:fldCharType="end"/>
      </w:r>
    </w:p>
    <w:p w14:paraId="09017901">
      <w:pPr>
        <w:pStyle w:val="29"/>
        <w:pageBreakBefore w:val="0"/>
        <w:tabs>
          <w:tab w:val="right" w:leader="dot" w:pos="9638"/>
        </w:tabs>
        <w:kinsoku/>
        <w:overflowPunct/>
        <w:bidi w:val="0"/>
        <w:spacing w:line="600" w:lineRule="exact"/>
        <w:rPr>
          <w:color w:val="auto"/>
          <w:highlight w:val="none"/>
        </w:rPr>
      </w:pPr>
      <w:r>
        <w:rPr>
          <w:rFonts w:hint="eastAsia" w:ascii="仿宋" w:hAnsi="仿宋" w:eastAsia="仿宋" w:cs="宋体"/>
          <w:color w:val="auto"/>
          <w:szCs w:val="21"/>
          <w:highlight w:val="none"/>
        </w:rPr>
        <w:fldChar w:fldCharType="begin"/>
      </w:r>
      <w:r>
        <w:rPr>
          <w:rFonts w:hint="eastAsia" w:ascii="仿宋" w:hAnsi="仿宋" w:eastAsia="仿宋" w:cs="宋体"/>
          <w:color w:val="auto"/>
          <w:szCs w:val="21"/>
          <w:highlight w:val="none"/>
        </w:rPr>
        <w:instrText xml:space="preserve"> HYPERLINK \l _Toc5145 </w:instrText>
      </w:r>
      <w:r>
        <w:rPr>
          <w:rFonts w:hint="eastAsia" w:ascii="仿宋" w:hAnsi="仿宋" w:eastAsia="仿宋" w:cs="宋体"/>
          <w:color w:val="auto"/>
          <w:szCs w:val="21"/>
          <w:highlight w:val="none"/>
        </w:rPr>
        <w:fldChar w:fldCharType="separate"/>
      </w:r>
      <w:r>
        <w:rPr>
          <w:rFonts w:hint="eastAsia"/>
          <w:color w:val="auto"/>
          <w:highlight w:val="none"/>
        </w:rPr>
        <w:t>3.投标文件</w:t>
      </w:r>
      <w:r>
        <w:rPr>
          <w:color w:val="auto"/>
          <w:highlight w:val="none"/>
        </w:rPr>
        <w:tab/>
      </w:r>
      <w:r>
        <w:rPr>
          <w:color w:val="auto"/>
          <w:highlight w:val="none"/>
        </w:rPr>
        <w:fldChar w:fldCharType="begin"/>
      </w:r>
      <w:r>
        <w:rPr>
          <w:color w:val="auto"/>
          <w:highlight w:val="none"/>
        </w:rPr>
        <w:instrText xml:space="preserve"> PAGEREF _Toc5145 \h </w:instrText>
      </w:r>
      <w:r>
        <w:rPr>
          <w:color w:val="auto"/>
          <w:highlight w:val="none"/>
        </w:rPr>
        <w:fldChar w:fldCharType="separate"/>
      </w:r>
      <w:r>
        <w:rPr>
          <w:color w:val="auto"/>
          <w:highlight w:val="none"/>
        </w:rPr>
        <w:t>16</w:t>
      </w:r>
      <w:r>
        <w:rPr>
          <w:color w:val="auto"/>
          <w:highlight w:val="none"/>
        </w:rPr>
        <w:fldChar w:fldCharType="end"/>
      </w:r>
      <w:r>
        <w:rPr>
          <w:rFonts w:hint="eastAsia" w:ascii="仿宋" w:hAnsi="仿宋" w:eastAsia="仿宋" w:cs="宋体"/>
          <w:color w:val="auto"/>
          <w:szCs w:val="21"/>
          <w:highlight w:val="none"/>
        </w:rPr>
        <w:fldChar w:fldCharType="end"/>
      </w:r>
    </w:p>
    <w:p w14:paraId="40699F3B">
      <w:pPr>
        <w:pStyle w:val="16"/>
        <w:pageBreakBefore w:val="0"/>
        <w:tabs>
          <w:tab w:val="right" w:leader="dot" w:pos="9638"/>
        </w:tabs>
        <w:kinsoku/>
        <w:overflowPunct/>
        <w:bidi w:val="0"/>
        <w:spacing w:line="600" w:lineRule="exact"/>
        <w:rPr>
          <w:color w:val="auto"/>
          <w:highlight w:val="none"/>
        </w:rPr>
      </w:pPr>
      <w:r>
        <w:rPr>
          <w:rFonts w:hint="eastAsia" w:ascii="仿宋" w:hAnsi="仿宋" w:eastAsia="仿宋" w:cs="宋体"/>
          <w:color w:val="auto"/>
          <w:szCs w:val="21"/>
          <w:highlight w:val="none"/>
        </w:rPr>
        <w:fldChar w:fldCharType="begin"/>
      </w:r>
      <w:r>
        <w:rPr>
          <w:rFonts w:hint="eastAsia" w:ascii="仿宋" w:hAnsi="仿宋" w:eastAsia="仿宋" w:cs="宋体"/>
          <w:color w:val="auto"/>
          <w:szCs w:val="21"/>
          <w:highlight w:val="none"/>
        </w:rPr>
        <w:instrText xml:space="preserve"> HYPERLINK \l _Toc25453 </w:instrText>
      </w:r>
      <w:r>
        <w:rPr>
          <w:rFonts w:hint="eastAsia" w:ascii="仿宋" w:hAnsi="仿宋" w:eastAsia="仿宋" w:cs="宋体"/>
          <w:color w:val="auto"/>
          <w:szCs w:val="21"/>
          <w:highlight w:val="none"/>
        </w:rPr>
        <w:fldChar w:fldCharType="separate"/>
      </w:r>
      <w:r>
        <w:rPr>
          <w:rFonts w:ascii="仿宋" w:hAnsi="仿宋" w:cs="宋体"/>
          <w:color w:val="auto"/>
          <w:highlight w:val="none"/>
        </w:rPr>
        <w:t>3.1 投标文件的组成</w:t>
      </w:r>
      <w:r>
        <w:rPr>
          <w:color w:val="auto"/>
          <w:highlight w:val="none"/>
        </w:rPr>
        <w:tab/>
      </w:r>
      <w:r>
        <w:rPr>
          <w:color w:val="auto"/>
          <w:highlight w:val="none"/>
        </w:rPr>
        <w:fldChar w:fldCharType="begin"/>
      </w:r>
      <w:r>
        <w:rPr>
          <w:color w:val="auto"/>
          <w:highlight w:val="none"/>
        </w:rPr>
        <w:instrText xml:space="preserve"> PAGEREF _Toc25453 \h </w:instrText>
      </w:r>
      <w:r>
        <w:rPr>
          <w:color w:val="auto"/>
          <w:highlight w:val="none"/>
        </w:rPr>
        <w:fldChar w:fldCharType="separate"/>
      </w:r>
      <w:r>
        <w:rPr>
          <w:color w:val="auto"/>
          <w:highlight w:val="none"/>
        </w:rPr>
        <w:t>16</w:t>
      </w:r>
      <w:r>
        <w:rPr>
          <w:color w:val="auto"/>
          <w:highlight w:val="none"/>
        </w:rPr>
        <w:fldChar w:fldCharType="end"/>
      </w:r>
      <w:r>
        <w:rPr>
          <w:rFonts w:hint="eastAsia" w:ascii="仿宋" w:hAnsi="仿宋" w:eastAsia="仿宋" w:cs="宋体"/>
          <w:color w:val="auto"/>
          <w:szCs w:val="21"/>
          <w:highlight w:val="none"/>
        </w:rPr>
        <w:fldChar w:fldCharType="end"/>
      </w:r>
    </w:p>
    <w:p w14:paraId="571CB418">
      <w:pPr>
        <w:pStyle w:val="16"/>
        <w:pageBreakBefore w:val="0"/>
        <w:tabs>
          <w:tab w:val="right" w:leader="dot" w:pos="9638"/>
        </w:tabs>
        <w:kinsoku/>
        <w:overflowPunct/>
        <w:bidi w:val="0"/>
        <w:spacing w:line="600" w:lineRule="exact"/>
        <w:rPr>
          <w:color w:val="auto"/>
          <w:highlight w:val="none"/>
        </w:rPr>
      </w:pPr>
      <w:r>
        <w:rPr>
          <w:rFonts w:hint="eastAsia" w:ascii="仿宋" w:hAnsi="仿宋" w:eastAsia="仿宋" w:cs="宋体"/>
          <w:color w:val="auto"/>
          <w:szCs w:val="21"/>
          <w:highlight w:val="none"/>
        </w:rPr>
        <w:fldChar w:fldCharType="begin"/>
      </w:r>
      <w:r>
        <w:rPr>
          <w:rFonts w:hint="eastAsia" w:ascii="仿宋" w:hAnsi="仿宋" w:eastAsia="仿宋" w:cs="宋体"/>
          <w:color w:val="auto"/>
          <w:szCs w:val="21"/>
          <w:highlight w:val="none"/>
        </w:rPr>
        <w:instrText xml:space="preserve"> HYPERLINK \l _Toc20674 </w:instrText>
      </w:r>
      <w:r>
        <w:rPr>
          <w:rFonts w:hint="eastAsia" w:ascii="仿宋" w:hAnsi="仿宋" w:eastAsia="仿宋" w:cs="宋体"/>
          <w:color w:val="auto"/>
          <w:szCs w:val="21"/>
          <w:highlight w:val="none"/>
        </w:rPr>
        <w:fldChar w:fldCharType="separate"/>
      </w:r>
      <w:r>
        <w:rPr>
          <w:rFonts w:ascii="仿宋" w:hAnsi="仿宋" w:cs="宋体"/>
          <w:color w:val="auto"/>
          <w:highlight w:val="none"/>
        </w:rPr>
        <w:t>3.2 投标文件的编制</w:t>
      </w:r>
      <w:r>
        <w:rPr>
          <w:color w:val="auto"/>
          <w:highlight w:val="none"/>
        </w:rPr>
        <w:tab/>
      </w:r>
      <w:r>
        <w:rPr>
          <w:color w:val="auto"/>
          <w:highlight w:val="none"/>
        </w:rPr>
        <w:fldChar w:fldCharType="begin"/>
      </w:r>
      <w:r>
        <w:rPr>
          <w:color w:val="auto"/>
          <w:highlight w:val="none"/>
        </w:rPr>
        <w:instrText xml:space="preserve"> PAGEREF _Toc20674 \h </w:instrText>
      </w:r>
      <w:r>
        <w:rPr>
          <w:color w:val="auto"/>
          <w:highlight w:val="none"/>
        </w:rPr>
        <w:fldChar w:fldCharType="separate"/>
      </w:r>
      <w:r>
        <w:rPr>
          <w:color w:val="auto"/>
          <w:highlight w:val="none"/>
        </w:rPr>
        <w:t>17</w:t>
      </w:r>
      <w:r>
        <w:rPr>
          <w:color w:val="auto"/>
          <w:highlight w:val="none"/>
        </w:rPr>
        <w:fldChar w:fldCharType="end"/>
      </w:r>
      <w:r>
        <w:rPr>
          <w:rFonts w:hint="eastAsia" w:ascii="仿宋" w:hAnsi="仿宋" w:eastAsia="仿宋" w:cs="宋体"/>
          <w:color w:val="auto"/>
          <w:szCs w:val="21"/>
          <w:highlight w:val="none"/>
        </w:rPr>
        <w:fldChar w:fldCharType="end"/>
      </w:r>
    </w:p>
    <w:p w14:paraId="03BD0DD8">
      <w:pPr>
        <w:pStyle w:val="16"/>
        <w:pageBreakBefore w:val="0"/>
        <w:tabs>
          <w:tab w:val="right" w:leader="dot" w:pos="9638"/>
        </w:tabs>
        <w:kinsoku/>
        <w:overflowPunct/>
        <w:bidi w:val="0"/>
        <w:spacing w:line="600" w:lineRule="exact"/>
        <w:rPr>
          <w:color w:val="auto"/>
          <w:highlight w:val="none"/>
        </w:rPr>
      </w:pPr>
      <w:r>
        <w:rPr>
          <w:rFonts w:hint="eastAsia" w:ascii="仿宋" w:hAnsi="仿宋" w:eastAsia="仿宋" w:cs="宋体"/>
          <w:color w:val="auto"/>
          <w:szCs w:val="21"/>
          <w:highlight w:val="none"/>
        </w:rPr>
        <w:fldChar w:fldCharType="begin"/>
      </w:r>
      <w:r>
        <w:rPr>
          <w:rFonts w:hint="eastAsia" w:ascii="仿宋" w:hAnsi="仿宋" w:eastAsia="仿宋" w:cs="宋体"/>
          <w:color w:val="auto"/>
          <w:szCs w:val="21"/>
          <w:highlight w:val="none"/>
        </w:rPr>
        <w:instrText xml:space="preserve"> HYPERLINK \l _Toc13378 </w:instrText>
      </w:r>
      <w:r>
        <w:rPr>
          <w:rFonts w:hint="eastAsia" w:ascii="仿宋" w:hAnsi="仿宋" w:eastAsia="仿宋" w:cs="宋体"/>
          <w:color w:val="auto"/>
          <w:szCs w:val="21"/>
          <w:highlight w:val="none"/>
        </w:rPr>
        <w:fldChar w:fldCharType="separate"/>
      </w:r>
      <w:r>
        <w:rPr>
          <w:rFonts w:ascii="仿宋" w:hAnsi="仿宋" w:cs="宋体"/>
          <w:color w:val="auto"/>
          <w:highlight w:val="none"/>
        </w:rPr>
        <w:t>3.3 投标报价</w:t>
      </w:r>
      <w:r>
        <w:rPr>
          <w:color w:val="auto"/>
          <w:highlight w:val="none"/>
        </w:rPr>
        <w:tab/>
      </w:r>
      <w:r>
        <w:rPr>
          <w:color w:val="auto"/>
          <w:highlight w:val="none"/>
        </w:rPr>
        <w:fldChar w:fldCharType="begin"/>
      </w:r>
      <w:r>
        <w:rPr>
          <w:color w:val="auto"/>
          <w:highlight w:val="none"/>
        </w:rPr>
        <w:instrText xml:space="preserve"> PAGEREF _Toc13378 \h </w:instrText>
      </w:r>
      <w:r>
        <w:rPr>
          <w:color w:val="auto"/>
          <w:highlight w:val="none"/>
        </w:rPr>
        <w:fldChar w:fldCharType="separate"/>
      </w:r>
      <w:r>
        <w:rPr>
          <w:color w:val="auto"/>
          <w:highlight w:val="none"/>
        </w:rPr>
        <w:t>17</w:t>
      </w:r>
      <w:r>
        <w:rPr>
          <w:color w:val="auto"/>
          <w:highlight w:val="none"/>
        </w:rPr>
        <w:fldChar w:fldCharType="end"/>
      </w:r>
      <w:r>
        <w:rPr>
          <w:rFonts w:hint="eastAsia" w:ascii="仿宋" w:hAnsi="仿宋" w:eastAsia="仿宋" w:cs="宋体"/>
          <w:color w:val="auto"/>
          <w:szCs w:val="21"/>
          <w:highlight w:val="none"/>
        </w:rPr>
        <w:fldChar w:fldCharType="end"/>
      </w:r>
    </w:p>
    <w:p w14:paraId="21E647A2">
      <w:pPr>
        <w:pStyle w:val="16"/>
        <w:pageBreakBefore w:val="0"/>
        <w:tabs>
          <w:tab w:val="right" w:leader="dot" w:pos="9638"/>
        </w:tabs>
        <w:kinsoku/>
        <w:overflowPunct/>
        <w:bidi w:val="0"/>
        <w:spacing w:line="600" w:lineRule="exact"/>
        <w:rPr>
          <w:color w:val="auto"/>
          <w:highlight w:val="none"/>
        </w:rPr>
      </w:pPr>
      <w:r>
        <w:rPr>
          <w:rFonts w:hint="eastAsia" w:ascii="仿宋" w:hAnsi="仿宋" w:eastAsia="仿宋" w:cs="宋体"/>
          <w:color w:val="auto"/>
          <w:szCs w:val="21"/>
          <w:highlight w:val="none"/>
        </w:rPr>
        <w:fldChar w:fldCharType="begin"/>
      </w:r>
      <w:r>
        <w:rPr>
          <w:rFonts w:hint="eastAsia" w:ascii="仿宋" w:hAnsi="仿宋" w:eastAsia="仿宋" w:cs="宋体"/>
          <w:color w:val="auto"/>
          <w:szCs w:val="21"/>
          <w:highlight w:val="none"/>
        </w:rPr>
        <w:instrText xml:space="preserve"> HYPERLINK \l _Toc3831 </w:instrText>
      </w:r>
      <w:r>
        <w:rPr>
          <w:rFonts w:hint="eastAsia" w:ascii="仿宋" w:hAnsi="仿宋" w:eastAsia="仿宋" w:cs="宋体"/>
          <w:color w:val="auto"/>
          <w:szCs w:val="21"/>
          <w:highlight w:val="none"/>
        </w:rPr>
        <w:fldChar w:fldCharType="separate"/>
      </w:r>
      <w:r>
        <w:rPr>
          <w:rFonts w:ascii="仿宋" w:hAnsi="仿宋" w:cs="宋体"/>
          <w:color w:val="auto"/>
          <w:highlight w:val="none"/>
        </w:rPr>
        <w:t>3.4 投标有效期</w:t>
      </w:r>
      <w:r>
        <w:rPr>
          <w:color w:val="auto"/>
          <w:highlight w:val="none"/>
        </w:rPr>
        <w:tab/>
      </w:r>
      <w:r>
        <w:rPr>
          <w:color w:val="auto"/>
          <w:highlight w:val="none"/>
        </w:rPr>
        <w:fldChar w:fldCharType="begin"/>
      </w:r>
      <w:r>
        <w:rPr>
          <w:color w:val="auto"/>
          <w:highlight w:val="none"/>
        </w:rPr>
        <w:instrText xml:space="preserve"> PAGEREF _Toc3831 \h </w:instrText>
      </w:r>
      <w:r>
        <w:rPr>
          <w:color w:val="auto"/>
          <w:highlight w:val="none"/>
        </w:rPr>
        <w:fldChar w:fldCharType="separate"/>
      </w:r>
      <w:r>
        <w:rPr>
          <w:color w:val="auto"/>
          <w:highlight w:val="none"/>
        </w:rPr>
        <w:t>17</w:t>
      </w:r>
      <w:r>
        <w:rPr>
          <w:color w:val="auto"/>
          <w:highlight w:val="none"/>
        </w:rPr>
        <w:fldChar w:fldCharType="end"/>
      </w:r>
      <w:r>
        <w:rPr>
          <w:rFonts w:hint="eastAsia" w:ascii="仿宋" w:hAnsi="仿宋" w:eastAsia="仿宋" w:cs="宋体"/>
          <w:color w:val="auto"/>
          <w:szCs w:val="21"/>
          <w:highlight w:val="none"/>
        </w:rPr>
        <w:fldChar w:fldCharType="end"/>
      </w:r>
    </w:p>
    <w:p w14:paraId="09E89042">
      <w:pPr>
        <w:pStyle w:val="16"/>
        <w:pageBreakBefore w:val="0"/>
        <w:tabs>
          <w:tab w:val="right" w:leader="dot" w:pos="9638"/>
        </w:tabs>
        <w:kinsoku/>
        <w:overflowPunct/>
        <w:bidi w:val="0"/>
        <w:spacing w:line="600" w:lineRule="exact"/>
        <w:rPr>
          <w:color w:val="auto"/>
          <w:highlight w:val="none"/>
        </w:rPr>
      </w:pPr>
      <w:r>
        <w:rPr>
          <w:rFonts w:hint="eastAsia" w:ascii="仿宋" w:hAnsi="仿宋" w:eastAsia="仿宋" w:cs="宋体"/>
          <w:color w:val="auto"/>
          <w:szCs w:val="21"/>
          <w:highlight w:val="none"/>
        </w:rPr>
        <w:fldChar w:fldCharType="begin"/>
      </w:r>
      <w:r>
        <w:rPr>
          <w:rFonts w:hint="eastAsia" w:ascii="仿宋" w:hAnsi="仿宋" w:eastAsia="仿宋" w:cs="宋体"/>
          <w:color w:val="auto"/>
          <w:szCs w:val="21"/>
          <w:highlight w:val="none"/>
        </w:rPr>
        <w:instrText xml:space="preserve"> HYPERLINK \l _Toc6186 </w:instrText>
      </w:r>
      <w:r>
        <w:rPr>
          <w:rFonts w:hint="eastAsia" w:ascii="仿宋" w:hAnsi="仿宋" w:eastAsia="仿宋" w:cs="宋体"/>
          <w:color w:val="auto"/>
          <w:szCs w:val="21"/>
          <w:highlight w:val="none"/>
        </w:rPr>
        <w:fldChar w:fldCharType="separate"/>
      </w:r>
      <w:r>
        <w:rPr>
          <w:rFonts w:ascii="仿宋" w:hAnsi="仿宋" w:cs="宋体"/>
          <w:color w:val="auto"/>
          <w:highlight w:val="none"/>
        </w:rPr>
        <w:t>3.5 投标保证金</w:t>
      </w:r>
      <w:r>
        <w:rPr>
          <w:color w:val="auto"/>
          <w:highlight w:val="none"/>
        </w:rPr>
        <w:tab/>
      </w:r>
      <w:r>
        <w:rPr>
          <w:color w:val="auto"/>
          <w:highlight w:val="none"/>
        </w:rPr>
        <w:fldChar w:fldCharType="begin"/>
      </w:r>
      <w:r>
        <w:rPr>
          <w:color w:val="auto"/>
          <w:highlight w:val="none"/>
        </w:rPr>
        <w:instrText xml:space="preserve"> PAGEREF _Toc6186 \h </w:instrText>
      </w:r>
      <w:r>
        <w:rPr>
          <w:color w:val="auto"/>
          <w:highlight w:val="none"/>
        </w:rPr>
        <w:fldChar w:fldCharType="separate"/>
      </w:r>
      <w:r>
        <w:rPr>
          <w:color w:val="auto"/>
          <w:highlight w:val="none"/>
        </w:rPr>
        <w:t>18</w:t>
      </w:r>
      <w:r>
        <w:rPr>
          <w:color w:val="auto"/>
          <w:highlight w:val="none"/>
        </w:rPr>
        <w:fldChar w:fldCharType="end"/>
      </w:r>
      <w:r>
        <w:rPr>
          <w:rFonts w:hint="eastAsia" w:ascii="仿宋" w:hAnsi="仿宋" w:eastAsia="仿宋" w:cs="宋体"/>
          <w:color w:val="auto"/>
          <w:szCs w:val="21"/>
          <w:highlight w:val="none"/>
        </w:rPr>
        <w:fldChar w:fldCharType="end"/>
      </w:r>
    </w:p>
    <w:p w14:paraId="637EB7C9">
      <w:pPr>
        <w:pStyle w:val="16"/>
        <w:pageBreakBefore w:val="0"/>
        <w:tabs>
          <w:tab w:val="right" w:leader="dot" w:pos="9638"/>
        </w:tabs>
        <w:kinsoku/>
        <w:overflowPunct/>
        <w:bidi w:val="0"/>
        <w:spacing w:line="600" w:lineRule="exact"/>
        <w:rPr>
          <w:color w:val="auto"/>
          <w:highlight w:val="none"/>
        </w:rPr>
      </w:pPr>
      <w:r>
        <w:rPr>
          <w:rFonts w:hint="eastAsia" w:ascii="仿宋" w:hAnsi="仿宋" w:eastAsia="仿宋" w:cs="宋体"/>
          <w:color w:val="auto"/>
          <w:szCs w:val="21"/>
          <w:highlight w:val="none"/>
        </w:rPr>
        <w:fldChar w:fldCharType="begin"/>
      </w:r>
      <w:r>
        <w:rPr>
          <w:rFonts w:hint="eastAsia" w:ascii="仿宋" w:hAnsi="仿宋" w:eastAsia="仿宋" w:cs="宋体"/>
          <w:color w:val="auto"/>
          <w:szCs w:val="21"/>
          <w:highlight w:val="none"/>
        </w:rPr>
        <w:instrText xml:space="preserve"> HYPERLINK \l _Toc30161 </w:instrText>
      </w:r>
      <w:r>
        <w:rPr>
          <w:rFonts w:hint="eastAsia" w:ascii="仿宋" w:hAnsi="仿宋" w:eastAsia="仿宋" w:cs="宋体"/>
          <w:color w:val="auto"/>
          <w:szCs w:val="21"/>
          <w:highlight w:val="none"/>
        </w:rPr>
        <w:fldChar w:fldCharType="separate"/>
      </w:r>
      <w:r>
        <w:rPr>
          <w:rFonts w:ascii="仿宋" w:hAnsi="仿宋" w:cs="宋体"/>
          <w:color w:val="auto"/>
          <w:highlight w:val="none"/>
        </w:rPr>
        <w:t>3.6 备选投标方案</w:t>
      </w:r>
      <w:r>
        <w:rPr>
          <w:color w:val="auto"/>
          <w:highlight w:val="none"/>
        </w:rPr>
        <w:tab/>
      </w:r>
      <w:r>
        <w:rPr>
          <w:color w:val="auto"/>
          <w:highlight w:val="none"/>
        </w:rPr>
        <w:fldChar w:fldCharType="begin"/>
      </w:r>
      <w:r>
        <w:rPr>
          <w:color w:val="auto"/>
          <w:highlight w:val="none"/>
        </w:rPr>
        <w:instrText xml:space="preserve"> PAGEREF _Toc30161 \h </w:instrText>
      </w:r>
      <w:r>
        <w:rPr>
          <w:color w:val="auto"/>
          <w:highlight w:val="none"/>
        </w:rPr>
        <w:fldChar w:fldCharType="separate"/>
      </w:r>
      <w:r>
        <w:rPr>
          <w:color w:val="auto"/>
          <w:highlight w:val="none"/>
        </w:rPr>
        <w:t>18</w:t>
      </w:r>
      <w:r>
        <w:rPr>
          <w:color w:val="auto"/>
          <w:highlight w:val="none"/>
        </w:rPr>
        <w:fldChar w:fldCharType="end"/>
      </w:r>
      <w:r>
        <w:rPr>
          <w:rFonts w:hint="eastAsia" w:ascii="仿宋" w:hAnsi="仿宋" w:eastAsia="仿宋" w:cs="宋体"/>
          <w:color w:val="auto"/>
          <w:szCs w:val="21"/>
          <w:highlight w:val="none"/>
        </w:rPr>
        <w:fldChar w:fldCharType="end"/>
      </w:r>
    </w:p>
    <w:p w14:paraId="3A5C51CA">
      <w:pPr>
        <w:pStyle w:val="16"/>
        <w:pageBreakBefore w:val="0"/>
        <w:tabs>
          <w:tab w:val="right" w:leader="dot" w:pos="9638"/>
        </w:tabs>
        <w:kinsoku/>
        <w:overflowPunct/>
        <w:bidi w:val="0"/>
        <w:spacing w:line="600" w:lineRule="exact"/>
        <w:rPr>
          <w:color w:val="auto"/>
          <w:highlight w:val="none"/>
        </w:rPr>
      </w:pPr>
      <w:r>
        <w:rPr>
          <w:rFonts w:hint="eastAsia" w:ascii="仿宋" w:hAnsi="仿宋" w:eastAsia="仿宋" w:cs="宋体"/>
          <w:color w:val="auto"/>
          <w:szCs w:val="21"/>
          <w:highlight w:val="none"/>
        </w:rPr>
        <w:fldChar w:fldCharType="begin"/>
      </w:r>
      <w:r>
        <w:rPr>
          <w:rFonts w:hint="eastAsia" w:ascii="仿宋" w:hAnsi="仿宋" w:eastAsia="仿宋" w:cs="宋体"/>
          <w:color w:val="auto"/>
          <w:szCs w:val="21"/>
          <w:highlight w:val="none"/>
        </w:rPr>
        <w:instrText xml:space="preserve"> HYPERLINK \l _Toc24967 </w:instrText>
      </w:r>
      <w:r>
        <w:rPr>
          <w:rFonts w:hint="eastAsia" w:ascii="仿宋" w:hAnsi="仿宋" w:eastAsia="仿宋" w:cs="宋体"/>
          <w:color w:val="auto"/>
          <w:szCs w:val="21"/>
          <w:highlight w:val="none"/>
        </w:rPr>
        <w:fldChar w:fldCharType="separate"/>
      </w:r>
      <w:r>
        <w:rPr>
          <w:rFonts w:ascii="仿宋" w:hAnsi="仿宋" w:cs="宋体"/>
          <w:color w:val="auto"/>
          <w:highlight w:val="none"/>
        </w:rPr>
        <w:t>3.7 纸质投标文件的式样、密封和标记</w:t>
      </w:r>
      <w:r>
        <w:rPr>
          <w:color w:val="auto"/>
          <w:highlight w:val="none"/>
        </w:rPr>
        <w:tab/>
      </w:r>
      <w:r>
        <w:rPr>
          <w:color w:val="auto"/>
          <w:highlight w:val="none"/>
        </w:rPr>
        <w:fldChar w:fldCharType="begin"/>
      </w:r>
      <w:r>
        <w:rPr>
          <w:color w:val="auto"/>
          <w:highlight w:val="none"/>
        </w:rPr>
        <w:instrText xml:space="preserve"> PAGEREF _Toc24967 \h </w:instrText>
      </w:r>
      <w:r>
        <w:rPr>
          <w:color w:val="auto"/>
          <w:highlight w:val="none"/>
        </w:rPr>
        <w:fldChar w:fldCharType="separate"/>
      </w:r>
      <w:r>
        <w:rPr>
          <w:color w:val="auto"/>
          <w:highlight w:val="none"/>
        </w:rPr>
        <w:t>18</w:t>
      </w:r>
      <w:r>
        <w:rPr>
          <w:color w:val="auto"/>
          <w:highlight w:val="none"/>
        </w:rPr>
        <w:fldChar w:fldCharType="end"/>
      </w:r>
      <w:r>
        <w:rPr>
          <w:rFonts w:hint="eastAsia" w:ascii="仿宋" w:hAnsi="仿宋" w:eastAsia="仿宋" w:cs="宋体"/>
          <w:color w:val="auto"/>
          <w:szCs w:val="21"/>
          <w:highlight w:val="none"/>
        </w:rPr>
        <w:fldChar w:fldCharType="end"/>
      </w:r>
    </w:p>
    <w:p w14:paraId="1F1E5B0C">
      <w:pPr>
        <w:pStyle w:val="16"/>
        <w:pageBreakBefore w:val="0"/>
        <w:tabs>
          <w:tab w:val="right" w:leader="dot" w:pos="9638"/>
        </w:tabs>
        <w:kinsoku/>
        <w:overflowPunct/>
        <w:bidi w:val="0"/>
        <w:spacing w:line="600" w:lineRule="exact"/>
        <w:rPr>
          <w:color w:val="auto"/>
          <w:highlight w:val="none"/>
        </w:rPr>
      </w:pPr>
      <w:r>
        <w:rPr>
          <w:rFonts w:hint="eastAsia" w:ascii="仿宋" w:hAnsi="仿宋" w:eastAsia="仿宋" w:cs="宋体"/>
          <w:color w:val="auto"/>
          <w:szCs w:val="21"/>
          <w:highlight w:val="none"/>
        </w:rPr>
        <w:fldChar w:fldCharType="begin"/>
      </w:r>
      <w:r>
        <w:rPr>
          <w:rFonts w:hint="eastAsia" w:ascii="仿宋" w:hAnsi="仿宋" w:eastAsia="仿宋" w:cs="宋体"/>
          <w:color w:val="auto"/>
          <w:szCs w:val="21"/>
          <w:highlight w:val="none"/>
        </w:rPr>
        <w:instrText xml:space="preserve"> HYPERLINK \l _Toc32531 </w:instrText>
      </w:r>
      <w:r>
        <w:rPr>
          <w:rFonts w:hint="eastAsia" w:ascii="仿宋" w:hAnsi="仿宋" w:eastAsia="仿宋" w:cs="宋体"/>
          <w:color w:val="auto"/>
          <w:szCs w:val="21"/>
          <w:highlight w:val="none"/>
        </w:rPr>
        <w:fldChar w:fldCharType="separate"/>
      </w:r>
      <w:r>
        <w:rPr>
          <w:rFonts w:ascii="仿宋" w:hAnsi="仿宋" w:cs="宋体"/>
          <w:color w:val="auto"/>
          <w:highlight w:val="none"/>
        </w:rPr>
        <w:t>3.8 电子招投标的投标文件上传形式</w:t>
      </w:r>
      <w:r>
        <w:rPr>
          <w:color w:val="auto"/>
          <w:highlight w:val="none"/>
        </w:rPr>
        <w:tab/>
      </w:r>
      <w:r>
        <w:rPr>
          <w:color w:val="auto"/>
          <w:highlight w:val="none"/>
        </w:rPr>
        <w:fldChar w:fldCharType="begin"/>
      </w:r>
      <w:r>
        <w:rPr>
          <w:color w:val="auto"/>
          <w:highlight w:val="none"/>
        </w:rPr>
        <w:instrText xml:space="preserve"> PAGEREF _Toc32531 \h </w:instrText>
      </w:r>
      <w:r>
        <w:rPr>
          <w:color w:val="auto"/>
          <w:highlight w:val="none"/>
        </w:rPr>
        <w:fldChar w:fldCharType="separate"/>
      </w:r>
      <w:r>
        <w:rPr>
          <w:color w:val="auto"/>
          <w:highlight w:val="none"/>
        </w:rPr>
        <w:t>19</w:t>
      </w:r>
      <w:r>
        <w:rPr>
          <w:color w:val="auto"/>
          <w:highlight w:val="none"/>
        </w:rPr>
        <w:fldChar w:fldCharType="end"/>
      </w:r>
      <w:r>
        <w:rPr>
          <w:rFonts w:hint="eastAsia" w:ascii="仿宋" w:hAnsi="仿宋" w:eastAsia="仿宋" w:cs="宋体"/>
          <w:color w:val="auto"/>
          <w:szCs w:val="21"/>
          <w:highlight w:val="none"/>
        </w:rPr>
        <w:fldChar w:fldCharType="end"/>
      </w:r>
    </w:p>
    <w:p w14:paraId="6FBFD3DC">
      <w:pPr>
        <w:pStyle w:val="29"/>
        <w:pageBreakBefore w:val="0"/>
        <w:tabs>
          <w:tab w:val="right" w:leader="dot" w:pos="9638"/>
        </w:tabs>
        <w:kinsoku/>
        <w:overflowPunct/>
        <w:bidi w:val="0"/>
        <w:spacing w:line="600" w:lineRule="exact"/>
        <w:rPr>
          <w:color w:val="auto"/>
          <w:highlight w:val="none"/>
        </w:rPr>
      </w:pPr>
      <w:r>
        <w:rPr>
          <w:rFonts w:hint="eastAsia" w:ascii="仿宋" w:hAnsi="仿宋" w:eastAsia="仿宋" w:cs="宋体"/>
          <w:color w:val="auto"/>
          <w:szCs w:val="21"/>
          <w:highlight w:val="none"/>
        </w:rPr>
        <w:fldChar w:fldCharType="begin"/>
      </w:r>
      <w:r>
        <w:rPr>
          <w:rFonts w:hint="eastAsia" w:ascii="仿宋" w:hAnsi="仿宋" w:eastAsia="仿宋" w:cs="宋体"/>
          <w:color w:val="auto"/>
          <w:szCs w:val="21"/>
          <w:highlight w:val="none"/>
        </w:rPr>
        <w:instrText xml:space="preserve"> HYPERLINK \l _Toc30810 </w:instrText>
      </w:r>
      <w:r>
        <w:rPr>
          <w:rFonts w:hint="eastAsia" w:ascii="仿宋" w:hAnsi="仿宋" w:eastAsia="仿宋" w:cs="宋体"/>
          <w:color w:val="auto"/>
          <w:szCs w:val="21"/>
          <w:highlight w:val="none"/>
        </w:rPr>
        <w:fldChar w:fldCharType="separate"/>
      </w:r>
      <w:r>
        <w:rPr>
          <w:rFonts w:hint="eastAsia"/>
          <w:color w:val="auto"/>
          <w:highlight w:val="none"/>
        </w:rPr>
        <w:t>4.投标</w:t>
      </w:r>
      <w:r>
        <w:rPr>
          <w:color w:val="auto"/>
          <w:highlight w:val="none"/>
        </w:rPr>
        <w:tab/>
      </w:r>
      <w:r>
        <w:rPr>
          <w:color w:val="auto"/>
          <w:highlight w:val="none"/>
        </w:rPr>
        <w:fldChar w:fldCharType="begin"/>
      </w:r>
      <w:r>
        <w:rPr>
          <w:color w:val="auto"/>
          <w:highlight w:val="none"/>
        </w:rPr>
        <w:instrText xml:space="preserve"> PAGEREF _Toc30810 \h </w:instrText>
      </w:r>
      <w:r>
        <w:rPr>
          <w:color w:val="auto"/>
          <w:highlight w:val="none"/>
        </w:rPr>
        <w:fldChar w:fldCharType="separate"/>
      </w:r>
      <w:r>
        <w:rPr>
          <w:color w:val="auto"/>
          <w:highlight w:val="none"/>
        </w:rPr>
        <w:t>19</w:t>
      </w:r>
      <w:r>
        <w:rPr>
          <w:color w:val="auto"/>
          <w:highlight w:val="none"/>
        </w:rPr>
        <w:fldChar w:fldCharType="end"/>
      </w:r>
      <w:r>
        <w:rPr>
          <w:rFonts w:hint="eastAsia" w:ascii="仿宋" w:hAnsi="仿宋" w:eastAsia="仿宋" w:cs="宋体"/>
          <w:color w:val="auto"/>
          <w:szCs w:val="21"/>
          <w:highlight w:val="none"/>
        </w:rPr>
        <w:fldChar w:fldCharType="end"/>
      </w:r>
    </w:p>
    <w:p w14:paraId="7A7A26BA">
      <w:pPr>
        <w:pStyle w:val="16"/>
        <w:pageBreakBefore w:val="0"/>
        <w:tabs>
          <w:tab w:val="right" w:leader="dot" w:pos="9638"/>
        </w:tabs>
        <w:kinsoku/>
        <w:overflowPunct/>
        <w:bidi w:val="0"/>
        <w:spacing w:line="600" w:lineRule="exact"/>
        <w:rPr>
          <w:color w:val="auto"/>
          <w:highlight w:val="none"/>
        </w:rPr>
      </w:pPr>
      <w:r>
        <w:rPr>
          <w:rFonts w:hint="eastAsia" w:ascii="仿宋" w:hAnsi="仿宋" w:eastAsia="仿宋" w:cs="宋体"/>
          <w:color w:val="auto"/>
          <w:szCs w:val="21"/>
          <w:highlight w:val="none"/>
        </w:rPr>
        <w:fldChar w:fldCharType="begin"/>
      </w:r>
      <w:r>
        <w:rPr>
          <w:rFonts w:hint="eastAsia" w:ascii="仿宋" w:hAnsi="仿宋" w:eastAsia="仿宋" w:cs="宋体"/>
          <w:color w:val="auto"/>
          <w:szCs w:val="21"/>
          <w:highlight w:val="none"/>
        </w:rPr>
        <w:instrText xml:space="preserve"> HYPERLINK \l _Toc31475 </w:instrText>
      </w:r>
      <w:r>
        <w:rPr>
          <w:rFonts w:hint="eastAsia" w:ascii="仿宋" w:hAnsi="仿宋" w:eastAsia="仿宋" w:cs="宋体"/>
          <w:color w:val="auto"/>
          <w:szCs w:val="21"/>
          <w:highlight w:val="none"/>
        </w:rPr>
        <w:fldChar w:fldCharType="separate"/>
      </w:r>
      <w:r>
        <w:rPr>
          <w:rFonts w:ascii="仿宋" w:hAnsi="仿宋" w:cs="宋体"/>
          <w:color w:val="auto"/>
          <w:highlight w:val="none"/>
        </w:rPr>
        <w:t>4.1 投标文件的递交</w:t>
      </w:r>
      <w:r>
        <w:rPr>
          <w:color w:val="auto"/>
          <w:highlight w:val="none"/>
        </w:rPr>
        <w:tab/>
      </w:r>
      <w:r>
        <w:rPr>
          <w:color w:val="auto"/>
          <w:highlight w:val="none"/>
        </w:rPr>
        <w:fldChar w:fldCharType="begin"/>
      </w:r>
      <w:r>
        <w:rPr>
          <w:color w:val="auto"/>
          <w:highlight w:val="none"/>
        </w:rPr>
        <w:instrText xml:space="preserve"> PAGEREF _Toc31475 \h </w:instrText>
      </w:r>
      <w:r>
        <w:rPr>
          <w:color w:val="auto"/>
          <w:highlight w:val="none"/>
        </w:rPr>
        <w:fldChar w:fldCharType="separate"/>
      </w:r>
      <w:r>
        <w:rPr>
          <w:color w:val="auto"/>
          <w:highlight w:val="none"/>
        </w:rPr>
        <w:t>19</w:t>
      </w:r>
      <w:r>
        <w:rPr>
          <w:color w:val="auto"/>
          <w:highlight w:val="none"/>
        </w:rPr>
        <w:fldChar w:fldCharType="end"/>
      </w:r>
      <w:r>
        <w:rPr>
          <w:rFonts w:hint="eastAsia" w:ascii="仿宋" w:hAnsi="仿宋" w:eastAsia="仿宋" w:cs="宋体"/>
          <w:color w:val="auto"/>
          <w:szCs w:val="21"/>
          <w:highlight w:val="none"/>
        </w:rPr>
        <w:fldChar w:fldCharType="end"/>
      </w:r>
    </w:p>
    <w:p w14:paraId="39261595">
      <w:pPr>
        <w:pStyle w:val="16"/>
        <w:pageBreakBefore w:val="0"/>
        <w:tabs>
          <w:tab w:val="right" w:leader="dot" w:pos="9638"/>
        </w:tabs>
        <w:kinsoku/>
        <w:overflowPunct/>
        <w:bidi w:val="0"/>
        <w:spacing w:line="600" w:lineRule="exact"/>
        <w:rPr>
          <w:color w:val="auto"/>
          <w:highlight w:val="none"/>
        </w:rPr>
      </w:pPr>
      <w:r>
        <w:rPr>
          <w:rFonts w:hint="eastAsia" w:ascii="仿宋" w:hAnsi="仿宋" w:eastAsia="仿宋" w:cs="宋体"/>
          <w:color w:val="auto"/>
          <w:szCs w:val="21"/>
          <w:highlight w:val="none"/>
        </w:rPr>
        <w:fldChar w:fldCharType="begin"/>
      </w:r>
      <w:r>
        <w:rPr>
          <w:rFonts w:hint="eastAsia" w:ascii="仿宋" w:hAnsi="仿宋" w:eastAsia="仿宋" w:cs="宋体"/>
          <w:color w:val="auto"/>
          <w:szCs w:val="21"/>
          <w:highlight w:val="none"/>
        </w:rPr>
        <w:instrText xml:space="preserve"> HYPERLINK \l _Toc15182 </w:instrText>
      </w:r>
      <w:r>
        <w:rPr>
          <w:rFonts w:hint="eastAsia" w:ascii="仿宋" w:hAnsi="仿宋" w:eastAsia="仿宋" w:cs="宋体"/>
          <w:color w:val="auto"/>
          <w:szCs w:val="21"/>
          <w:highlight w:val="none"/>
        </w:rPr>
        <w:fldChar w:fldCharType="separate"/>
      </w:r>
      <w:r>
        <w:rPr>
          <w:rFonts w:ascii="仿宋" w:hAnsi="仿宋" w:cs="宋体"/>
          <w:color w:val="auto"/>
          <w:highlight w:val="none"/>
        </w:rPr>
        <w:t>4.2 投标文件的修改</w:t>
      </w:r>
      <w:r>
        <w:rPr>
          <w:rFonts w:hint="eastAsia" w:ascii="仿宋" w:hAnsi="仿宋" w:cs="宋体"/>
          <w:color w:val="auto"/>
          <w:highlight w:val="none"/>
          <w:lang w:eastAsia="zh-CN"/>
        </w:rPr>
        <w:t>、</w:t>
      </w:r>
      <w:r>
        <w:rPr>
          <w:rFonts w:hint="eastAsia" w:ascii="仿宋" w:hAnsi="仿宋" w:cs="宋体"/>
          <w:color w:val="auto"/>
          <w:highlight w:val="none"/>
          <w:lang w:val="en-US" w:eastAsia="zh-CN"/>
        </w:rPr>
        <w:t>撤回</w:t>
      </w:r>
      <w:r>
        <w:rPr>
          <w:rFonts w:ascii="仿宋" w:hAnsi="仿宋" w:cs="宋体"/>
          <w:color w:val="auto"/>
          <w:highlight w:val="none"/>
        </w:rPr>
        <w:t>和撤销</w:t>
      </w:r>
      <w:r>
        <w:rPr>
          <w:color w:val="auto"/>
          <w:highlight w:val="none"/>
        </w:rPr>
        <w:tab/>
      </w:r>
      <w:r>
        <w:rPr>
          <w:color w:val="auto"/>
          <w:highlight w:val="none"/>
        </w:rPr>
        <w:fldChar w:fldCharType="begin"/>
      </w:r>
      <w:r>
        <w:rPr>
          <w:color w:val="auto"/>
          <w:highlight w:val="none"/>
        </w:rPr>
        <w:instrText xml:space="preserve"> PAGEREF _Toc15182 \h </w:instrText>
      </w:r>
      <w:r>
        <w:rPr>
          <w:color w:val="auto"/>
          <w:highlight w:val="none"/>
        </w:rPr>
        <w:fldChar w:fldCharType="separate"/>
      </w:r>
      <w:r>
        <w:rPr>
          <w:color w:val="auto"/>
          <w:highlight w:val="none"/>
        </w:rPr>
        <w:t>19</w:t>
      </w:r>
      <w:r>
        <w:rPr>
          <w:color w:val="auto"/>
          <w:highlight w:val="none"/>
        </w:rPr>
        <w:fldChar w:fldCharType="end"/>
      </w:r>
      <w:r>
        <w:rPr>
          <w:rFonts w:hint="eastAsia" w:ascii="仿宋" w:hAnsi="仿宋" w:eastAsia="仿宋" w:cs="宋体"/>
          <w:color w:val="auto"/>
          <w:szCs w:val="21"/>
          <w:highlight w:val="none"/>
        </w:rPr>
        <w:fldChar w:fldCharType="end"/>
      </w:r>
    </w:p>
    <w:p w14:paraId="547D163F">
      <w:pPr>
        <w:pStyle w:val="29"/>
        <w:pageBreakBefore w:val="0"/>
        <w:tabs>
          <w:tab w:val="right" w:leader="dot" w:pos="9638"/>
        </w:tabs>
        <w:kinsoku/>
        <w:overflowPunct/>
        <w:bidi w:val="0"/>
        <w:spacing w:line="600" w:lineRule="exact"/>
        <w:rPr>
          <w:color w:val="auto"/>
          <w:highlight w:val="none"/>
        </w:rPr>
      </w:pPr>
      <w:r>
        <w:rPr>
          <w:rFonts w:hint="eastAsia" w:ascii="仿宋" w:hAnsi="仿宋" w:eastAsia="仿宋" w:cs="宋体"/>
          <w:color w:val="auto"/>
          <w:szCs w:val="21"/>
          <w:highlight w:val="none"/>
        </w:rPr>
        <w:fldChar w:fldCharType="begin"/>
      </w:r>
      <w:r>
        <w:rPr>
          <w:rFonts w:hint="eastAsia" w:ascii="仿宋" w:hAnsi="仿宋" w:eastAsia="仿宋" w:cs="宋体"/>
          <w:color w:val="auto"/>
          <w:szCs w:val="21"/>
          <w:highlight w:val="none"/>
        </w:rPr>
        <w:instrText xml:space="preserve"> HYPERLINK \l _Toc10106 </w:instrText>
      </w:r>
      <w:r>
        <w:rPr>
          <w:rFonts w:hint="eastAsia" w:ascii="仿宋" w:hAnsi="仿宋" w:eastAsia="仿宋" w:cs="宋体"/>
          <w:color w:val="auto"/>
          <w:szCs w:val="21"/>
          <w:highlight w:val="none"/>
        </w:rPr>
        <w:fldChar w:fldCharType="separate"/>
      </w:r>
      <w:r>
        <w:rPr>
          <w:rFonts w:hint="eastAsia"/>
          <w:color w:val="auto"/>
          <w:highlight w:val="none"/>
        </w:rPr>
        <w:t>5.开标</w:t>
      </w:r>
      <w:r>
        <w:rPr>
          <w:color w:val="auto"/>
          <w:highlight w:val="none"/>
        </w:rPr>
        <w:tab/>
      </w:r>
      <w:r>
        <w:rPr>
          <w:color w:val="auto"/>
          <w:highlight w:val="none"/>
        </w:rPr>
        <w:fldChar w:fldCharType="begin"/>
      </w:r>
      <w:r>
        <w:rPr>
          <w:color w:val="auto"/>
          <w:highlight w:val="none"/>
        </w:rPr>
        <w:instrText xml:space="preserve"> PAGEREF _Toc10106 \h </w:instrText>
      </w:r>
      <w:r>
        <w:rPr>
          <w:color w:val="auto"/>
          <w:highlight w:val="none"/>
        </w:rPr>
        <w:fldChar w:fldCharType="separate"/>
      </w:r>
      <w:r>
        <w:rPr>
          <w:color w:val="auto"/>
          <w:highlight w:val="none"/>
        </w:rPr>
        <w:t>19</w:t>
      </w:r>
      <w:r>
        <w:rPr>
          <w:color w:val="auto"/>
          <w:highlight w:val="none"/>
        </w:rPr>
        <w:fldChar w:fldCharType="end"/>
      </w:r>
      <w:r>
        <w:rPr>
          <w:rFonts w:hint="eastAsia" w:ascii="仿宋" w:hAnsi="仿宋" w:eastAsia="仿宋" w:cs="宋体"/>
          <w:color w:val="auto"/>
          <w:szCs w:val="21"/>
          <w:highlight w:val="none"/>
        </w:rPr>
        <w:fldChar w:fldCharType="end"/>
      </w:r>
    </w:p>
    <w:p w14:paraId="723B7A15">
      <w:pPr>
        <w:pStyle w:val="16"/>
        <w:pageBreakBefore w:val="0"/>
        <w:tabs>
          <w:tab w:val="right" w:leader="dot" w:pos="9638"/>
        </w:tabs>
        <w:kinsoku/>
        <w:overflowPunct/>
        <w:bidi w:val="0"/>
        <w:spacing w:line="600" w:lineRule="exact"/>
        <w:rPr>
          <w:color w:val="auto"/>
          <w:highlight w:val="none"/>
        </w:rPr>
      </w:pPr>
      <w:r>
        <w:rPr>
          <w:rFonts w:hint="eastAsia" w:ascii="仿宋" w:hAnsi="仿宋" w:eastAsia="仿宋" w:cs="宋体"/>
          <w:color w:val="auto"/>
          <w:szCs w:val="21"/>
          <w:highlight w:val="none"/>
        </w:rPr>
        <w:fldChar w:fldCharType="begin"/>
      </w:r>
      <w:r>
        <w:rPr>
          <w:rFonts w:hint="eastAsia" w:ascii="仿宋" w:hAnsi="仿宋" w:eastAsia="仿宋" w:cs="宋体"/>
          <w:color w:val="auto"/>
          <w:szCs w:val="21"/>
          <w:highlight w:val="none"/>
        </w:rPr>
        <w:instrText xml:space="preserve"> HYPERLINK \l _Toc2603 </w:instrText>
      </w:r>
      <w:r>
        <w:rPr>
          <w:rFonts w:hint="eastAsia" w:ascii="仿宋" w:hAnsi="仿宋" w:eastAsia="仿宋" w:cs="宋体"/>
          <w:color w:val="auto"/>
          <w:szCs w:val="21"/>
          <w:highlight w:val="none"/>
        </w:rPr>
        <w:fldChar w:fldCharType="separate"/>
      </w:r>
      <w:r>
        <w:rPr>
          <w:rFonts w:ascii="仿宋" w:hAnsi="仿宋" w:cs="宋体"/>
          <w:color w:val="auto"/>
          <w:highlight w:val="none"/>
        </w:rPr>
        <w:t>5.1 开标时间</w:t>
      </w:r>
      <w:r>
        <w:rPr>
          <w:color w:val="auto"/>
          <w:highlight w:val="none"/>
        </w:rPr>
        <w:tab/>
      </w:r>
      <w:r>
        <w:rPr>
          <w:color w:val="auto"/>
          <w:highlight w:val="none"/>
        </w:rPr>
        <w:fldChar w:fldCharType="begin"/>
      </w:r>
      <w:r>
        <w:rPr>
          <w:color w:val="auto"/>
          <w:highlight w:val="none"/>
        </w:rPr>
        <w:instrText xml:space="preserve"> PAGEREF _Toc2603 \h </w:instrText>
      </w:r>
      <w:r>
        <w:rPr>
          <w:color w:val="auto"/>
          <w:highlight w:val="none"/>
        </w:rPr>
        <w:fldChar w:fldCharType="separate"/>
      </w:r>
      <w:r>
        <w:rPr>
          <w:color w:val="auto"/>
          <w:highlight w:val="none"/>
        </w:rPr>
        <w:t>19</w:t>
      </w:r>
      <w:r>
        <w:rPr>
          <w:color w:val="auto"/>
          <w:highlight w:val="none"/>
        </w:rPr>
        <w:fldChar w:fldCharType="end"/>
      </w:r>
      <w:r>
        <w:rPr>
          <w:rFonts w:hint="eastAsia" w:ascii="仿宋" w:hAnsi="仿宋" w:eastAsia="仿宋" w:cs="宋体"/>
          <w:color w:val="auto"/>
          <w:szCs w:val="21"/>
          <w:highlight w:val="none"/>
        </w:rPr>
        <w:fldChar w:fldCharType="end"/>
      </w:r>
    </w:p>
    <w:p w14:paraId="6214E8D6">
      <w:pPr>
        <w:pStyle w:val="16"/>
        <w:pageBreakBefore w:val="0"/>
        <w:tabs>
          <w:tab w:val="right" w:leader="dot" w:pos="9638"/>
        </w:tabs>
        <w:kinsoku/>
        <w:overflowPunct/>
        <w:bidi w:val="0"/>
        <w:spacing w:line="600" w:lineRule="exact"/>
        <w:rPr>
          <w:color w:val="auto"/>
          <w:highlight w:val="none"/>
        </w:rPr>
      </w:pPr>
      <w:r>
        <w:rPr>
          <w:rFonts w:hint="eastAsia" w:ascii="仿宋" w:hAnsi="仿宋" w:eastAsia="仿宋" w:cs="宋体"/>
          <w:color w:val="auto"/>
          <w:szCs w:val="21"/>
          <w:highlight w:val="none"/>
        </w:rPr>
        <w:fldChar w:fldCharType="begin"/>
      </w:r>
      <w:r>
        <w:rPr>
          <w:rFonts w:hint="eastAsia" w:ascii="仿宋" w:hAnsi="仿宋" w:eastAsia="仿宋" w:cs="宋体"/>
          <w:color w:val="auto"/>
          <w:szCs w:val="21"/>
          <w:highlight w:val="none"/>
        </w:rPr>
        <w:instrText xml:space="preserve"> HYPERLINK \l _Toc8110 </w:instrText>
      </w:r>
      <w:r>
        <w:rPr>
          <w:rFonts w:hint="eastAsia" w:ascii="仿宋" w:hAnsi="仿宋" w:eastAsia="仿宋" w:cs="宋体"/>
          <w:color w:val="auto"/>
          <w:szCs w:val="21"/>
          <w:highlight w:val="none"/>
        </w:rPr>
        <w:fldChar w:fldCharType="separate"/>
      </w:r>
      <w:r>
        <w:rPr>
          <w:rFonts w:ascii="仿宋" w:hAnsi="仿宋" w:cs="宋体"/>
          <w:color w:val="auto"/>
          <w:highlight w:val="none"/>
        </w:rPr>
        <w:t>5.2 开标程序</w:t>
      </w:r>
      <w:r>
        <w:rPr>
          <w:color w:val="auto"/>
          <w:highlight w:val="none"/>
        </w:rPr>
        <w:tab/>
      </w:r>
      <w:r>
        <w:rPr>
          <w:color w:val="auto"/>
          <w:highlight w:val="none"/>
        </w:rPr>
        <w:fldChar w:fldCharType="begin"/>
      </w:r>
      <w:r>
        <w:rPr>
          <w:color w:val="auto"/>
          <w:highlight w:val="none"/>
        </w:rPr>
        <w:instrText xml:space="preserve"> PAGEREF _Toc8110 \h </w:instrText>
      </w:r>
      <w:r>
        <w:rPr>
          <w:color w:val="auto"/>
          <w:highlight w:val="none"/>
        </w:rPr>
        <w:fldChar w:fldCharType="separate"/>
      </w:r>
      <w:r>
        <w:rPr>
          <w:color w:val="auto"/>
          <w:highlight w:val="none"/>
        </w:rPr>
        <w:t>19</w:t>
      </w:r>
      <w:r>
        <w:rPr>
          <w:color w:val="auto"/>
          <w:highlight w:val="none"/>
        </w:rPr>
        <w:fldChar w:fldCharType="end"/>
      </w:r>
      <w:r>
        <w:rPr>
          <w:rFonts w:hint="eastAsia" w:ascii="仿宋" w:hAnsi="仿宋" w:eastAsia="仿宋" w:cs="宋体"/>
          <w:color w:val="auto"/>
          <w:szCs w:val="21"/>
          <w:highlight w:val="none"/>
        </w:rPr>
        <w:fldChar w:fldCharType="end"/>
      </w:r>
    </w:p>
    <w:p w14:paraId="3DB7ED09">
      <w:pPr>
        <w:pStyle w:val="16"/>
        <w:pageBreakBefore w:val="0"/>
        <w:tabs>
          <w:tab w:val="right" w:leader="dot" w:pos="9638"/>
        </w:tabs>
        <w:kinsoku/>
        <w:overflowPunct/>
        <w:bidi w:val="0"/>
        <w:spacing w:line="600" w:lineRule="exact"/>
        <w:rPr>
          <w:color w:val="auto"/>
          <w:highlight w:val="none"/>
        </w:rPr>
      </w:pPr>
      <w:r>
        <w:rPr>
          <w:rFonts w:hint="eastAsia" w:ascii="仿宋" w:hAnsi="仿宋" w:eastAsia="仿宋" w:cs="宋体"/>
          <w:color w:val="auto"/>
          <w:szCs w:val="21"/>
          <w:highlight w:val="none"/>
        </w:rPr>
        <w:fldChar w:fldCharType="begin"/>
      </w:r>
      <w:r>
        <w:rPr>
          <w:rFonts w:hint="eastAsia" w:ascii="仿宋" w:hAnsi="仿宋" w:eastAsia="仿宋" w:cs="宋体"/>
          <w:color w:val="auto"/>
          <w:szCs w:val="21"/>
          <w:highlight w:val="none"/>
        </w:rPr>
        <w:instrText xml:space="preserve"> HYPERLINK \l _Toc19665 </w:instrText>
      </w:r>
      <w:r>
        <w:rPr>
          <w:rFonts w:hint="eastAsia" w:ascii="仿宋" w:hAnsi="仿宋" w:eastAsia="仿宋" w:cs="宋体"/>
          <w:color w:val="auto"/>
          <w:szCs w:val="21"/>
          <w:highlight w:val="none"/>
        </w:rPr>
        <w:fldChar w:fldCharType="separate"/>
      </w:r>
      <w:r>
        <w:rPr>
          <w:rFonts w:ascii="仿宋" w:hAnsi="仿宋" w:cs="宋体"/>
          <w:color w:val="auto"/>
          <w:highlight w:val="none"/>
        </w:rPr>
        <w:t>5.3 开标异议</w:t>
      </w:r>
      <w:r>
        <w:rPr>
          <w:color w:val="auto"/>
          <w:highlight w:val="none"/>
        </w:rPr>
        <w:tab/>
      </w:r>
      <w:r>
        <w:rPr>
          <w:color w:val="auto"/>
          <w:highlight w:val="none"/>
        </w:rPr>
        <w:fldChar w:fldCharType="begin"/>
      </w:r>
      <w:r>
        <w:rPr>
          <w:color w:val="auto"/>
          <w:highlight w:val="none"/>
        </w:rPr>
        <w:instrText xml:space="preserve"> PAGEREF _Toc19665 \h </w:instrText>
      </w:r>
      <w:r>
        <w:rPr>
          <w:color w:val="auto"/>
          <w:highlight w:val="none"/>
        </w:rPr>
        <w:fldChar w:fldCharType="separate"/>
      </w:r>
      <w:r>
        <w:rPr>
          <w:color w:val="auto"/>
          <w:highlight w:val="none"/>
        </w:rPr>
        <w:t>20</w:t>
      </w:r>
      <w:r>
        <w:rPr>
          <w:color w:val="auto"/>
          <w:highlight w:val="none"/>
        </w:rPr>
        <w:fldChar w:fldCharType="end"/>
      </w:r>
      <w:r>
        <w:rPr>
          <w:rFonts w:hint="eastAsia" w:ascii="仿宋" w:hAnsi="仿宋" w:eastAsia="仿宋" w:cs="宋体"/>
          <w:color w:val="auto"/>
          <w:szCs w:val="21"/>
          <w:highlight w:val="none"/>
        </w:rPr>
        <w:fldChar w:fldCharType="end"/>
      </w:r>
    </w:p>
    <w:p w14:paraId="7CD5A94A">
      <w:pPr>
        <w:pStyle w:val="16"/>
        <w:pageBreakBefore w:val="0"/>
        <w:tabs>
          <w:tab w:val="right" w:leader="dot" w:pos="9638"/>
        </w:tabs>
        <w:kinsoku/>
        <w:overflowPunct/>
        <w:bidi w:val="0"/>
        <w:spacing w:line="600" w:lineRule="exact"/>
        <w:rPr>
          <w:color w:val="auto"/>
          <w:highlight w:val="none"/>
        </w:rPr>
      </w:pPr>
      <w:r>
        <w:rPr>
          <w:rFonts w:hint="eastAsia" w:ascii="仿宋" w:hAnsi="仿宋" w:eastAsia="仿宋" w:cs="宋体"/>
          <w:color w:val="auto"/>
          <w:szCs w:val="21"/>
          <w:highlight w:val="none"/>
        </w:rPr>
        <w:fldChar w:fldCharType="begin"/>
      </w:r>
      <w:r>
        <w:rPr>
          <w:rFonts w:hint="eastAsia" w:ascii="仿宋" w:hAnsi="仿宋" w:eastAsia="仿宋" w:cs="宋体"/>
          <w:color w:val="auto"/>
          <w:szCs w:val="21"/>
          <w:highlight w:val="none"/>
        </w:rPr>
        <w:instrText xml:space="preserve"> HYPERLINK \l _Toc18709 </w:instrText>
      </w:r>
      <w:r>
        <w:rPr>
          <w:rFonts w:hint="eastAsia" w:ascii="仿宋" w:hAnsi="仿宋" w:eastAsia="仿宋" w:cs="宋体"/>
          <w:color w:val="auto"/>
          <w:szCs w:val="21"/>
          <w:highlight w:val="none"/>
        </w:rPr>
        <w:fldChar w:fldCharType="separate"/>
      </w:r>
      <w:r>
        <w:rPr>
          <w:rFonts w:ascii="仿宋" w:hAnsi="仿宋" w:cs="宋体"/>
          <w:color w:val="auto"/>
          <w:highlight w:val="none"/>
        </w:rPr>
        <w:t>5.4 电子招投标的其他开标要求及异常处理</w:t>
      </w:r>
      <w:r>
        <w:rPr>
          <w:color w:val="auto"/>
          <w:highlight w:val="none"/>
        </w:rPr>
        <w:tab/>
      </w:r>
      <w:r>
        <w:rPr>
          <w:color w:val="auto"/>
          <w:highlight w:val="none"/>
        </w:rPr>
        <w:fldChar w:fldCharType="begin"/>
      </w:r>
      <w:r>
        <w:rPr>
          <w:color w:val="auto"/>
          <w:highlight w:val="none"/>
        </w:rPr>
        <w:instrText xml:space="preserve"> PAGEREF _Toc18709 \h </w:instrText>
      </w:r>
      <w:r>
        <w:rPr>
          <w:color w:val="auto"/>
          <w:highlight w:val="none"/>
        </w:rPr>
        <w:fldChar w:fldCharType="separate"/>
      </w:r>
      <w:r>
        <w:rPr>
          <w:color w:val="auto"/>
          <w:highlight w:val="none"/>
        </w:rPr>
        <w:t>20</w:t>
      </w:r>
      <w:r>
        <w:rPr>
          <w:color w:val="auto"/>
          <w:highlight w:val="none"/>
        </w:rPr>
        <w:fldChar w:fldCharType="end"/>
      </w:r>
      <w:r>
        <w:rPr>
          <w:rFonts w:hint="eastAsia" w:ascii="仿宋" w:hAnsi="仿宋" w:eastAsia="仿宋" w:cs="宋体"/>
          <w:color w:val="auto"/>
          <w:szCs w:val="21"/>
          <w:highlight w:val="none"/>
        </w:rPr>
        <w:fldChar w:fldCharType="end"/>
      </w:r>
    </w:p>
    <w:p w14:paraId="2CEBBD06">
      <w:pPr>
        <w:pStyle w:val="16"/>
        <w:pageBreakBefore w:val="0"/>
        <w:tabs>
          <w:tab w:val="right" w:leader="dot" w:pos="9638"/>
        </w:tabs>
        <w:kinsoku/>
        <w:overflowPunct/>
        <w:bidi w:val="0"/>
        <w:spacing w:line="600" w:lineRule="exact"/>
        <w:rPr>
          <w:color w:val="auto"/>
          <w:highlight w:val="none"/>
        </w:rPr>
      </w:pPr>
      <w:r>
        <w:rPr>
          <w:rFonts w:hint="eastAsia" w:ascii="仿宋" w:hAnsi="仿宋" w:eastAsia="仿宋" w:cs="宋体"/>
          <w:color w:val="auto"/>
          <w:szCs w:val="21"/>
          <w:highlight w:val="none"/>
        </w:rPr>
        <w:fldChar w:fldCharType="begin"/>
      </w:r>
      <w:r>
        <w:rPr>
          <w:rFonts w:hint="eastAsia" w:ascii="仿宋" w:hAnsi="仿宋" w:eastAsia="仿宋" w:cs="宋体"/>
          <w:color w:val="auto"/>
          <w:szCs w:val="21"/>
          <w:highlight w:val="none"/>
        </w:rPr>
        <w:instrText xml:space="preserve"> HYPERLINK \l _Toc9008 </w:instrText>
      </w:r>
      <w:r>
        <w:rPr>
          <w:rFonts w:hint="eastAsia" w:ascii="仿宋" w:hAnsi="仿宋" w:eastAsia="仿宋" w:cs="宋体"/>
          <w:color w:val="auto"/>
          <w:szCs w:val="21"/>
          <w:highlight w:val="none"/>
        </w:rPr>
        <w:fldChar w:fldCharType="separate"/>
      </w:r>
      <w:r>
        <w:rPr>
          <w:rFonts w:ascii="仿宋" w:hAnsi="仿宋" w:cs="宋体"/>
          <w:color w:val="auto"/>
          <w:highlight w:val="none"/>
        </w:rPr>
        <w:t>5.5不得开标的情形</w:t>
      </w:r>
      <w:r>
        <w:rPr>
          <w:color w:val="auto"/>
          <w:highlight w:val="none"/>
        </w:rPr>
        <w:tab/>
      </w:r>
      <w:r>
        <w:rPr>
          <w:color w:val="auto"/>
          <w:highlight w:val="none"/>
        </w:rPr>
        <w:fldChar w:fldCharType="begin"/>
      </w:r>
      <w:r>
        <w:rPr>
          <w:color w:val="auto"/>
          <w:highlight w:val="none"/>
        </w:rPr>
        <w:instrText xml:space="preserve"> PAGEREF _Toc9008 \h </w:instrText>
      </w:r>
      <w:r>
        <w:rPr>
          <w:color w:val="auto"/>
          <w:highlight w:val="none"/>
        </w:rPr>
        <w:fldChar w:fldCharType="separate"/>
      </w:r>
      <w:r>
        <w:rPr>
          <w:color w:val="auto"/>
          <w:highlight w:val="none"/>
        </w:rPr>
        <w:t>20</w:t>
      </w:r>
      <w:r>
        <w:rPr>
          <w:color w:val="auto"/>
          <w:highlight w:val="none"/>
        </w:rPr>
        <w:fldChar w:fldCharType="end"/>
      </w:r>
      <w:r>
        <w:rPr>
          <w:rFonts w:hint="eastAsia" w:ascii="仿宋" w:hAnsi="仿宋" w:eastAsia="仿宋" w:cs="宋体"/>
          <w:color w:val="auto"/>
          <w:szCs w:val="21"/>
          <w:highlight w:val="none"/>
        </w:rPr>
        <w:fldChar w:fldCharType="end"/>
      </w:r>
    </w:p>
    <w:p w14:paraId="5CBF64C6">
      <w:pPr>
        <w:pStyle w:val="29"/>
        <w:pageBreakBefore w:val="0"/>
        <w:tabs>
          <w:tab w:val="right" w:leader="dot" w:pos="9638"/>
        </w:tabs>
        <w:kinsoku/>
        <w:overflowPunct/>
        <w:bidi w:val="0"/>
        <w:spacing w:line="600" w:lineRule="exact"/>
        <w:rPr>
          <w:color w:val="auto"/>
          <w:highlight w:val="none"/>
        </w:rPr>
      </w:pPr>
      <w:r>
        <w:rPr>
          <w:rFonts w:hint="eastAsia" w:ascii="仿宋" w:hAnsi="仿宋" w:eastAsia="仿宋" w:cs="宋体"/>
          <w:color w:val="auto"/>
          <w:szCs w:val="21"/>
          <w:highlight w:val="none"/>
        </w:rPr>
        <w:fldChar w:fldCharType="begin"/>
      </w:r>
      <w:r>
        <w:rPr>
          <w:rFonts w:hint="eastAsia" w:ascii="仿宋" w:hAnsi="仿宋" w:eastAsia="仿宋" w:cs="宋体"/>
          <w:color w:val="auto"/>
          <w:szCs w:val="21"/>
          <w:highlight w:val="none"/>
        </w:rPr>
        <w:instrText xml:space="preserve"> HYPERLINK \l _Toc23132 </w:instrText>
      </w:r>
      <w:r>
        <w:rPr>
          <w:rFonts w:hint="eastAsia" w:ascii="仿宋" w:hAnsi="仿宋" w:eastAsia="仿宋" w:cs="宋体"/>
          <w:color w:val="auto"/>
          <w:szCs w:val="21"/>
          <w:highlight w:val="none"/>
        </w:rPr>
        <w:fldChar w:fldCharType="separate"/>
      </w:r>
      <w:r>
        <w:rPr>
          <w:rFonts w:hint="eastAsia"/>
          <w:color w:val="auto"/>
          <w:highlight w:val="none"/>
        </w:rPr>
        <w:t>6.评标</w:t>
      </w:r>
      <w:r>
        <w:rPr>
          <w:color w:val="auto"/>
          <w:highlight w:val="none"/>
        </w:rPr>
        <w:tab/>
      </w:r>
      <w:r>
        <w:rPr>
          <w:color w:val="auto"/>
          <w:highlight w:val="none"/>
        </w:rPr>
        <w:fldChar w:fldCharType="begin"/>
      </w:r>
      <w:r>
        <w:rPr>
          <w:color w:val="auto"/>
          <w:highlight w:val="none"/>
        </w:rPr>
        <w:instrText xml:space="preserve"> PAGEREF _Toc23132 \h </w:instrText>
      </w:r>
      <w:r>
        <w:rPr>
          <w:color w:val="auto"/>
          <w:highlight w:val="none"/>
        </w:rPr>
        <w:fldChar w:fldCharType="separate"/>
      </w:r>
      <w:r>
        <w:rPr>
          <w:color w:val="auto"/>
          <w:highlight w:val="none"/>
        </w:rPr>
        <w:t>20</w:t>
      </w:r>
      <w:r>
        <w:rPr>
          <w:color w:val="auto"/>
          <w:highlight w:val="none"/>
        </w:rPr>
        <w:fldChar w:fldCharType="end"/>
      </w:r>
      <w:r>
        <w:rPr>
          <w:rFonts w:hint="eastAsia" w:ascii="仿宋" w:hAnsi="仿宋" w:eastAsia="仿宋" w:cs="宋体"/>
          <w:color w:val="auto"/>
          <w:szCs w:val="21"/>
          <w:highlight w:val="none"/>
        </w:rPr>
        <w:fldChar w:fldCharType="end"/>
      </w:r>
    </w:p>
    <w:p w14:paraId="02DAC28B">
      <w:pPr>
        <w:pStyle w:val="16"/>
        <w:pageBreakBefore w:val="0"/>
        <w:tabs>
          <w:tab w:val="right" w:leader="dot" w:pos="9638"/>
        </w:tabs>
        <w:kinsoku/>
        <w:overflowPunct/>
        <w:bidi w:val="0"/>
        <w:spacing w:line="600" w:lineRule="exact"/>
        <w:rPr>
          <w:color w:val="auto"/>
          <w:highlight w:val="none"/>
        </w:rPr>
      </w:pPr>
      <w:r>
        <w:rPr>
          <w:rFonts w:hint="eastAsia" w:ascii="仿宋" w:hAnsi="仿宋" w:eastAsia="仿宋" w:cs="宋体"/>
          <w:color w:val="auto"/>
          <w:szCs w:val="21"/>
          <w:highlight w:val="none"/>
        </w:rPr>
        <w:fldChar w:fldCharType="begin"/>
      </w:r>
      <w:r>
        <w:rPr>
          <w:rFonts w:hint="eastAsia" w:ascii="仿宋" w:hAnsi="仿宋" w:eastAsia="仿宋" w:cs="宋体"/>
          <w:color w:val="auto"/>
          <w:szCs w:val="21"/>
          <w:highlight w:val="none"/>
        </w:rPr>
        <w:instrText xml:space="preserve"> HYPERLINK \l _Toc3541 </w:instrText>
      </w:r>
      <w:r>
        <w:rPr>
          <w:rFonts w:hint="eastAsia" w:ascii="仿宋" w:hAnsi="仿宋" w:eastAsia="仿宋" w:cs="宋体"/>
          <w:color w:val="auto"/>
          <w:szCs w:val="21"/>
          <w:highlight w:val="none"/>
        </w:rPr>
        <w:fldChar w:fldCharType="separate"/>
      </w:r>
      <w:r>
        <w:rPr>
          <w:rFonts w:ascii="仿宋" w:hAnsi="仿宋" w:cs="宋体"/>
          <w:color w:val="auto"/>
          <w:highlight w:val="none"/>
        </w:rPr>
        <w:t>6.1 评标委员会</w:t>
      </w:r>
      <w:r>
        <w:rPr>
          <w:color w:val="auto"/>
          <w:highlight w:val="none"/>
        </w:rPr>
        <w:tab/>
      </w:r>
      <w:r>
        <w:rPr>
          <w:color w:val="auto"/>
          <w:highlight w:val="none"/>
        </w:rPr>
        <w:fldChar w:fldCharType="begin"/>
      </w:r>
      <w:r>
        <w:rPr>
          <w:color w:val="auto"/>
          <w:highlight w:val="none"/>
        </w:rPr>
        <w:instrText xml:space="preserve"> PAGEREF _Toc3541 \h </w:instrText>
      </w:r>
      <w:r>
        <w:rPr>
          <w:color w:val="auto"/>
          <w:highlight w:val="none"/>
        </w:rPr>
        <w:fldChar w:fldCharType="separate"/>
      </w:r>
      <w:r>
        <w:rPr>
          <w:color w:val="auto"/>
          <w:highlight w:val="none"/>
        </w:rPr>
        <w:t>20</w:t>
      </w:r>
      <w:r>
        <w:rPr>
          <w:color w:val="auto"/>
          <w:highlight w:val="none"/>
        </w:rPr>
        <w:fldChar w:fldCharType="end"/>
      </w:r>
      <w:r>
        <w:rPr>
          <w:rFonts w:hint="eastAsia" w:ascii="仿宋" w:hAnsi="仿宋" w:eastAsia="仿宋" w:cs="宋体"/>
          <w:color w:val="auto"/>
          <w:szCs w:val="21"/>
          <w:highlight w:val="none"/>
        </w:rPr>
        <w:fldChar w:fldCharType="end"/>
      </w:r>
    </w:p>
    <w:p w14:paraId="2D7BDB37">
      <w:pPr>
        <w:pStyle w:val="16"/>
        <w:pageBreakBefore w:val="0"/>
        <w:tabs>
          <w:tab w:val="right" w:leader="dot" w:pos="9638"/>
        </w:tabs>
        <w:kinsoku/>
        <w:overflowPunct/>
        <w:bidi w:val="0"/>
        <w:spacing w:line="600" w:lineRule="exact"/>
        <w:rPr>
          <w:color w:val="auto"/>
          <w:highlight w:val="none"/>
        </w:rPr>
      </w:pPr>
      <w:r>
        <w:rPr>
          <w:rFonts w:hint="eastAsia" w:ascii="仿宋" w:hAnsi="仿宋" w:eastAsia="仿宋" w:cs="宋体"/>
          <w:color w:val="auto"/>
          <w:szCs w:val="21"/>
          <w:highlight w:val="none"/>
        </w:rPr>
        <w:fldChar w:fldCharType="begin"/>
      </w:r>
      <w:r>
        <w:rPr>
          <w:rFonts w:hint="eastAsia" w:ascii="仿宋" w:hAnsi="仿宋" w:eastAsia="仿宋" w:cs="宋体"/>
          <w:color w:val="auto"/>
          <w:szCs w:val="21"/>
          <w:highlight w:val="none"/>
        </w:rPr>
        <w:instrText xml:space="preserve"> HYPERLINK \l _Toc11297 </w:instrText>
      </w:r>
      <w:r>
        <w:rPr>
          <w:rFonts w:hint="eastAsia" w:ascii="仿宋" w:hAnsi="仿宋" w:eastAsia="仿宋" w:cs="宋体"/>
          <w:color w:val="auto"/>
          <w:szCs w:val="21"/>
          <w:highlight w:val="none"/>
        </w:rPr>
        <w:fldChar w:fldCharType="separate"/>
      </w:r>
      <w:r>
        <w:rPr>
          <w:rFonts w:ascii="仿宋" w:hAnsi="仿宋" w:cs="宋体"/>
          <w:color w:val="auto"/>
          <w:highlight w:val="none"/>
        </w:rPr>
        <w:t>6.2 评标原则</w:t>
      </w:r>
      <w:r>
        <w:rPr>
          <w:color w:val="auto"/>
          <w:highlight w:val="none"/>
        </w:rPr>
        <w:tab/>
      </w:r>
      <w:r>
        <w:rPr>
          <w:color w:val="auto"/>
          <w:highlight w:val="none"/>
        </w:rPr>
        <w:fldChar w:fldCharType="begin"/>
      </w:r>
      <w:r>
        <w:rPr>
          <w:color w:val="auto"/>
          <w:highlight w:val="none"/>
        </w:rPr>
        <w:instrText xml:space="preserve"> PAGEREF _Toc11297 \h </w:instrText>
      </w:r>
      <w:r>
        <w:rPr>
          <w:color w:val="auto"/>
          <w:highlight w:val="none"/>
        </w:rPr>
        <w:fldChar w:fldCharType="separate"/>
      </w:r>
      <w:r>
        <w:rPr>
          <w:color w:val="auto"/>
          <w:highlight w:val="none"/>
        </w:rPr>
        <w:t>20</w:t>
      </w:r>
      <w:r>
        <w:rPr>
          <w:color w:val="auto"/>
          <w:highlight w:val="none"/>
        </w:rPr>
        <w:fldChar w:fldCharType="end"/>
      </w:r>
      <w:r>
        <w:rPr>
          <w:rFonts w:hint="eastAsia" w:ascii="仿宋" w:hAnsi="仿宋" w:eastAsia="仿宋" w:cs="宋体"/>
          <w:color w:val="auto"/>
          <w:szCs w:val="21"/>
          <w:highlight w:val="none"/>
        </w:rPr>
        <w:fldChar w:fldCharType="end"/>
      </w:r>
    </w:p>
    <w:p w14:paraId="0AFA27FC">
      <w:pPr>
        <w:pStyle w:val="16"/>
        <w:pageBreakBefore w:val="0"/>
        <w:tabs>
          <w:tab w:val="right" w:leader="dot" w:pos="9638"/>
        </w:tabs>
        <w:kinsoku/>
        <w:overflowPunct/>
        <w:bidi w:val="0"/>
        <w:spacing w:line="600" w:lineRule="exact"/>
        <w:rPr>
          <w:color w:val="auto"/>
          <w:highlight w:val="none"/>
        </w:rPr>
      </w:pPr>
      <w:r>
        <w:rPr>
          <w:rFonts w:hint="eastAsia" w:ascii="仿宋" w:hAnsi="仿宋" w:eastAsia="仿宋" w:cs="宋体"/>
          <w:color w:val="auto"/>
          <w:szCs w:val="21"/>
          <w:highlight w:val="none"/>
        </w:rPr>
        <w:fldChar w:fldCharType="begin"/>
      </w:r>
      <w:r>
        <w:rPr>
          <w:rFonts w:hint="eastAsia" w:ascii="仿宋" w:hAnsi="仿宋" w:eastAsia="仿宋" w:cs="宋体"/>
          <w:color w:val="auto"/>
          <w:szCs w:val="21"/>
          <w:highlight w:val="none"/>
        </w:rPr>
        <w:instrText xml:space="preserve"> HYPERLINK \l _Toc7172 </w:instrText>
      </w:r>
      <w:r>
        <w:rPr>
          <w:rFonts w:hint="eastAsia" w:ascii="仿宋" w:hAnsi="仿宋" w:eastAsia="仿宋" w:cs="宋体"/>
          <w:color w:val="auto"/>
          <w:szCs w:val="21"/>
          <w:highlight w:val="none"/>
        </w:rPr>
        <w:fldChar w:fldCharType="separate"/>
      </w:r>
      <w:r>
        <w:rPr>
          <w:rFonts w:ascii="仿宋" w:hAnsi="仿宋" w:cs="宋体"/>
          <w:color w:val="auto"/>
          <w:highlight w:val="none"/>
        </w:rPr>
        <w:t>6.3 评标方法</w:t>
      </w:r>
      <w:r>
        <w:rPr>
          <w:color w:val="auto"/>
          <w:highlight w:val="none"/>
        </w:rPr>
        <w:tab/>
      </w:r>
      <w:r>
        <w:rPr>
          <w:color w:val="auto"/>
          <w:highlight w:val="none"/>
        </w:rPr>
        <w:fldChar w:fldCharType="begin"/>
      </w:r>
      <w:r>
        <w:rPr>
          <w:color w:val="auto"/>
          <w:highlight w:val="none"/>
        </w:rPr>
        <w:instrText xml:space="preserve"> PAGEREF _Toc7172 \h </w:instrText>
      </w:r>
      <w:r>
        <w:rPr>
          <w:color w:val="auto"/>
          <w:highlight w:val="none"/>
        </w:rPr>
        <w:fldChar w:fldCharType="separate"/>
      </w:r>
      <w:r>
        <w:rPr>
          <w:color w:val="auto"/>
          <w:highlight w:val="none"/>
        </w:rPr>
        <w:t>21</w:t>
      </w:r>
      <w:r>
        <w:rPr>
          <w:color w:val="auto"/>
          <w:highlight w:val="none"/>
        </w:rPr>
        <w:fldChar w:fldCharType="end"/>
      </w:r>
      <w:r>
        <w:rPr>
          <w:rFonts w:hint="eastAsia" w:ascii="仿宋" w:hAnsi="仿宋" w:eastAsia="仿宋" w:cs="宋体"/>
          <w:color w:val="auto"/>
          <w:szCs w:val="21"/>
          <w:highlight w:val="none"/>
        </w:rPr>
        <w:fldChar w:fldCharType="end"/>
      </w:r>
    </w:p>
    <w:p w14:paraId="415DE81E">
      <w:pPr>
        <w:pStyle w:val="16"/>
        <w:pageBreakBefore w:val="0"/>
        <w:tabs>
          <w:tab w:val="right" w:leader="dot" w:pos="9638"/>
        </w:tabs>
        <w:kinsoku/>
        <w:overflowPunct/>
        <w:bidi w:val="0"/>
        <w:spacing w:line="600" w:lineRule="exact"/>
        <w:rPr>
          <w:color w:val="auto"/>
          <w:highlight w:val="none"/>
        </w:rPr>
      </w:pPr>
      <w:r>
        <w:rPr>
          <w:rFonts w:hint="eastAsia" w:ascii="仿宋" w:hAnsi="仿宋" w:eastAsia="仿宋" w:cs="宋体"/>
          <w:color w:val="auto"/>
          <w:szCs w:val="21"/>
          <w:highlight w:val="none"/>
        </w:rPr>
        <w:fldChar w:fldCharType="begin"/>
      </w:r>
      <w:r>
        <w:rPr>
          <w:rFonts w:hint="eastAsia" w:ascii="仿宋" w:hAnsi="仿宋" w:eastAsia="仿宋" w:cs="宋体"/>
          <w:color w:val="auto"/>
          <w:szCs w:val="21"/>
          <w:highlight w:val="none"/>
        </w:rPr>
        <w:instrText xml:space="preserve"> HYPERLINK \l _Toc19769 </w:instrText>
      </w:r>
      <w:r>
        <w:rPr>
          <w:rFonts w:hint="eastAsia" w:ascii="仿宋" w:hAnsi="仿宋" w:eastAsia="仿宋" w:cs="宋体"/>
          <w:color w:val="auto"/>
          <w:szCs w:val="21"/>
          <w:highlight w:val="none"/>
        </w:rPr>
        <w:fldChar w:fldCharType="separate"/>
      </w:r>
      <w:r>
        <w:rPr>
          <w:rFonts w:ascii="仿宋" w:hAnsi="仿宋" w:cs="宋体"/>
          <w:color w:val="auto"/>
          <w:highlight w:val="none"/>
        </w:rPr>
        <w:t>6.4 中标候选人推荐原则</w:t>
      </w:r>
      <w:r>
        <w:rPr>
          <w:color w:val="auto"/>
          <w:highlight w:val="none"/>
        </w:rPr>
        <w:tab/>
      </w:r>
      <w:r>
        <w:rPr>
          <w:color w:val="auto"/>
          <w:highlight w:val="none"/>
        </w:rPr>
        <w:fldChar w:fldCharType="begin"/>
      </w:r>
      <w:r>
        <w:rPr>
          <w:color w:val="auto"/>
          <w:highlight w:val="none"/>
        </w:rPr>
        <w:instrText xml:space="preserve"> PAGEREF _Toc19769 \h </w:instrText>
      </w:r>
      <w:r>
        <w:rPr>
          <w:color w:val="auto"/>
          <w:highlight w:val="none"/>
        </w:rPr>
        <w:fldChar w:fldCharType="separate"/>
      </w:r>
      <w:r>
        <w:rPr>
          <w:color w:val="auto"/>
          <w:highlight w:val="none"/>
        </w:rPr>
        <w:t>21</w:t>
      </w:r>
      <w:r>
        <w:rPr>
          <w:color w:val="auto"/>
          <w:highlight w:val="none"/>
        </w:rPr>
        <w:fldChar w:fldCharType="end"/>
      </w:r>
      <w:r>
        <w:rPr>
          <w:rFonts w:hint="eastAsia" w:ascii="仿宋" w:hAnsi="仿宋" w:eastAsia="仿宋" w:cs="宋体"/>
          <w:color w:val="auto"/>
          <w:szCs w:val="21"/>
          <w:highlight w:val="none"/>
        </w:rPr>
        <w:fldChar w:fldCharType="end"/>
      </w:r>
    </w:p>
    <w:p w14:paraId="46B2FCF7">
      <w:pPr>
        <w:pStyle w:val="16"/>
        <w:pageBreakBefore w:val="0"/>
        <w:tabs>
          <w:tab w:val="right" w:leader="dot" w:pos="9638"/>
        </w:tabs>
        <w:kinsoku/>
        <w:overflowPunct/>
        <w:bidi w:val="0"/>
        <w:spacing w:line="600" w:lineRule="exact"/>
        <w:rPr>
          <w:color w:val="auto"/>
          <w:highlight w:val="none"/>
        </w:rPr>
      </w:pPr>
      <w:r>
        <w:rPr>
          <w:rFonts w:hint="eastAsia" w:ascii="仿宋" w:hAnsi="仿宋" w:eastAsia="仿宋" w:cs="宋体"/>
          <w:color w:val="auto"/>
          <w:szCs w:val="21"/>
          <w:highlight w:val="none"/>
        </w:rPr>
        <w:fldChar w:fldCharType="begin"/>
      </w:r>
      <w:r>
        <w:rPr>
          <w:rFonts w:hint="eastAsia" w:ascii="仿宋" w:hAnsi="仿宋" w:eastAsia="仿宋" w:cs="宋体"/>
          <w:color w:val="auto"/>
          <w:szCs w:val="21"/>
          <w:highlight w:val="none"/>
        </w:rPr>
        <w:instrText xml:space="preserve"> HYPERLINK \l _Toc21364 </w:instrText>
      </w:r>
      <w:r>
        <w:rPr>
          <w:rFonts w:hint="eastAsia" w:ascii="仿宋" w:hAnsi="仿宋" w:eastAsia="仿宋" w:cs="宋体"/>
          <w:color w:val="auto"/>
          <w:szCs w:val="21"/>
          <w:highlight w:val="none"/>
        </w:rPr>
        <w:fldChar w:fldCharType="separate"/>
      </w:r>
      <w:r>
        <w:rPr>
          <w:rFonts w:ascii="仿宋" w:hAnsi="仿宋" w:cs="宋体"/>
          <w:color w:val="auto"/>
          <w:highlight w:val="none"/>
        </w:rPr>
        <w:t>6.5 评标报告</w:t>
      </w:r>
      <w:r>
        <w:rPr>
          <w:color w:val="auto"/>
          <w:highlight w:val="none"/>
        </w:rPr>
        <w:tab/>
      </w:r>
      <w:r>
        <w:rPr>
          <w:color w:val="auto"/>
          <w:highlight w:val="none"/>
        </w:rPr>
        <w:fldChar w:fldCharType="begin"/>
      </w:r>
      <w:r>
        <w:rPr>
          <w:color w:val="auto"/>
          <w:highlight w:val="none"/>
        </w:rPr>
        <w:instrText xml:space="preserve"> PAGEREF _Toc21364 \h </w:instrText>
      </w:r>
      <w:r>
        <w:rPr>
          <w:color w:val="auto"/>
          <w:highlight w:val="none"/>
        </w:rPr>
        <w:fldChar w:fldCharType="separate"/>
      </w:r>
      <w:r>
        <w:rPr>
          <w:color w:val="auto"/>
          <w:highlight w:val="none"/>
        </w:rPr>
        <w:t>21</w:t>
      </w:r>
      <w:r>
        <w:rPr>
          <w:color w:val="auto"/>
          <w:highlight w:val="none"/>
        </w:rPr>
        <w:fldChar w:fldCharType="end"/>
      </w:r>
      <w:r>
        <w:rPr>
          <w:rFonts w:hint="eastAsia" w:ascii="仿宋" w:hAnsi="仿宋" w:eastAsia="仿宋" w:cs="宋体"/>
          <w:color w:val="auto"/>
          <w:szCs w:val="21"/>
          <w:highlight w:val="none"/>
        </w:rPr>
        <w:fldChar w:fldCharType="end"/>
      </w:r>
    </w:p>
    <w:p w14:paraId="6FFE74DC">
      <w:pPr>
        <w:pStyle w:val="29"/>
        <w:pageBreakBefore w:val="0"/>
        <w:tabs>
          <w:tab w:val="right" w:leader="dot" w:pos="9638"/>
        </w:tabs>
        <w:kinsoku/>
        <w:overflowPunct/>
        <w:bidi w:val="0"/>
        <w:spacing w:line="600" w:lineRule="exact"/>
        <w:rPr>
          <w:color w:val="auto"/>
          <w:highlight w:val="none"/>
        </w:rPr>
      </w:pPr>
      <w:r>
        <w:rPr>
          <w:rFonts w:hint="eastAsia" w:ascii="仿宋" w:hAnsi="仿宋" w:eastAsia="仿宋" w:cs="宋体"/>
          <w:color w:val="auto"/>
          <w:szCs w:val="21"/>
          <w:highlight w:val="none"/>
        </w:rPr>
        <w:fldChar w:fldCharType="begin"/>
      </w:r>
      <w:r>
        <w:rPr>
          <w:rFonts w:hint="eastAsia" w:ascii="仿宋" w:hAnsi="仿宋" w:eastAsia="仿宋" w:cs="宋体"/>
          <w:color w:val="auto"/>
          <w:szCs w:val="21"/>
          <w:highlight w:val="none"/>
        </w:rPr>
        <w:instrText xml:space="preserve"> HYPERLINK \l _Toc24032 </w:instrText>
      </w:r>
      <w:r>
        <w:rPr>
          <w:rFonts w:hint="eastAsia" w:ascii="仿宋" w:hAnsi="仿宋" w:eastAsia="仿宋" w:cs="宋体"/>
          <w:color w:val="auto"/>
          <w:szCs w:val="21"/>
          <w:highlight w:val="none"/>
        </w:rPr>
        <w:fldChar w:fldCharType="separate"/>
      </w:r>
      <w:r>
        <w:rPr>
          <w:rFonts w:hint="eastAsia"/>
          <w:color w:val="auto"/>
          <w:highlight w:val="none"/>
        </w:rPr>
        <w:t>7.中标</w:t>
      </w:r>
      <w:r>
        <w:rPr>
          <w:color w:val="auto"/>
          <w:highlight w:val="none"/>
        </w:rPr>
        <w:tab/>
      </w:r>
      <w:r>
        <w:rPr>
          <w:color w:val="auto"/>
          <w:highlight w:val="none"/>
        </w:rPr>
        <w:fldChar w:fldCharType="begin"/>
      </w:r>
      <w:r>
        <w:rPr>
          <w:color w:val="auto"/>
          <w:highlight w:val="none"/>
        </w:rPr>
        <w:instrText xml:space="preserve"> PAGEREF _Toc24032 \h </w:instrText>
      </w:r>
      <w:r>
        <w:rPr>
          <w:color w:val="auto"/>
          <w:highlight w:val="none"/>
        </w:rPr>
        <w:fldChar w:fldCharType="separate"/>
      </w:r>
      <w:r>
        <w:rPr>
          <w:color w:val="auto"/>
          <w:highlight w:val="none"/>
        </w:rPr>
        <w:t>21</w:t>
      </w:r>
      <w:r>
        <w:rPr>
          <w:color w:val="auto"/>
          <w:highlight w:val="none"/>
        </w:rPr>
        <w:fldChar w:fldCharType="end"/>
      </w:r>
      <w:r>
        <w:rPr>
          <w:rFonts w:hint="eastAsia" w:ascii="仿宋" w:hAnsi="仿宋" w:eastAsia="仿宋" w:cs="宋体"/>
          <w:color w:val="auto"/>
          <w:szCs w:val="21"/>
          <w:highlight w:val="none"/>
        </w:rPr>
        <w:fldChar w:fldCharType="end"/>
      </w:r>
    </w:p>
    <w:p w14:paraId="708369AC">
      <w:pPr>
        <w:pStyle w:val="16"/>
        <w:pageBreakBefore w:val="0"/>
        <w:tabs>
          <w:tab w:val="right" w:leader="dot" w:pos="9638"/>
        </w:tabs>
        <w:kinsoku/>
        <w:overflowPunct/>
        <w:bidi w:val="0"/>
        <w:spacing w:line="600" w:lineRule="exact"/>
        <w:rPr>
          <w:color w:val="auto"/>
          <w:highlight w:val="none"/>
        </w:rPr>
      </w:pPr>
      <w:r>
        <w:rPr>
          <w:rFonts w:hint="eastAsia" w:ascii="仿宋" w:hAnsi="仿宋" w:eastAsia="仿宋" w:cs="宋体"/>
          <w:color w:val="auto"/>
          <w:szCs w:val="21"/>
          <w:highlight w:val="none"/>
        </w:rPr>
        <w:fldChar w:fldCharType="begin"/>
      </w:r>
      <w:r>
        <w:rPr>
          <w:rFonts w:hint="eastAsia" w:ascii="仿宋" w:hAnsi="仿宋" w:eastAsia="仿宋" w:cs="宋体"/>
          <w:color w:val="auto"/>
          <w:szCs w:val="21"/>
          <w:highlight w:val="none"/>
        </w:rPr>
        <w:instrText xml:space="preserve"> HYPERLINK \l _Toc26416 </w:instrText>
      </w:r>
      <w:r>
        <w:rPr>
          <w:rFonts w:hint="eastAsia" w:ascii="仿宋" w:hAnsi="仿宋" w:eastAsia="仿宋" w:cs="宋体"/>
          <w:color w:val="auto"/>
          <w:szCs w:val="21"/>
          <w:highlight w:val="none"/>
        </w:rPr>
        <w:fldChar w:fldCharType="separate"/>
      </w:r>
      <w:r>
        <w:rPr>
          <w:rFonts w:ascii="仿宋" w:hAnsi="仿宋" w:cs="宋体"/>
          <w:color w:val="auto"/>
          <w:highlight w:val="none"/>
        </w:rPr>
        <w:t>7.1 中标候选人公示</w:t>
      </w:r>
      <w:r>
        <w:rPr>
          <w:color w:val="auto"/>
          <w:highlight w:val="none"/>
        </w:rPr>
        <w:tab/>
      </w:r>
      <w:r>
        <w:rPr>
          <w:color w:val="auto"/>
          <w:highlight w:val="none"/>
        </w:rPr>
        <w:fldChar w:fldCharType="begin"/>
      </w:r>
      <w:r>
        <w:rPr>
          <w:color w:val="auto"/>
          <w:highlight w:val="none"/>
        </w:rPr>
        <w:instrText xml:space="preserve"> PAGEREF _Toc26416 \h </w:instrText>
      </w:r>
      <w:r>
        <w:rPr>
          <w:color w:val="auto"/>
          <w:highlight w:val="none"/>
        </w:rPr>
        <w:fldChar w:fldCharType="separate"/>
      </w:r>
      <w:r>
        <w:rPr>
          <w:color w:val="auto"/>
          <w:highlight w:val="none"/>
        </w:rPr>
        <w:t>21</w:t>
      </w:r>
      <w:r>
        <w:rPr>
          <w:color w:val="auto"/>
          <w:highlight w:val="none"/>
        </w:rPr>
        <w:fldChar w:fldCharType="end"/>
      </w:r>
      <w:r>
        <w:rPr>
          <w:rFonts w:hint="eastAsia" w:ascii="仿宋" w:hAnsi="仿宋" w:eastAsia="仿宋" w:cs="宋体"/>
          <w:color w:val="auto"/>
          <w:szCs w:val="21"/>
          <w:highlight w:val="none"/>
        </w:rPr>
        <w:fldChar w:fldCharType="end"/>
      </w:r>
    </w:p>
    <w:p w14:paraId="287F9925">
      <w:pPr>
        <w:pStyle w:val="16"/>
        <w:pageBreakBefore w:val="0"/>
        <w:tabs>
          <w:tab w:val="right" w:leader="dot" w:pos="9638"/>
        </w:tabs>
        <w:kinsoku/>
        <w:overflowPunct/>
        <w:bidi w:val="0"/>
        <w:spacing w:line="600" w:lineRule="exact"/>
        <w:rPr>
          <w:color w:val="auto"/>
          <w:highlight w:val="none"/>
        </w:rPr>
      </w:pPr>
      <w:r>
        <w:rPr>
          <w:rFonts w:hint="eastAsia" w:ascii="仿宋" w:hAnsi="仿宋" w:eastAsia="仿宋" w:cs="宋体"/>
          <w:color w:val="auto"/>
          <w:szCs w:val="21"/>
          <w:highlight w:val="none"/>
        </w:rPr>
        <w:fldChar w:fldCharType="begin"/>
      </w:r>
      <w:r>
        <w:rPr>
          <w:rFonts w:hint="eastAsia" w:ascii="仿宋" w:hAnsi="仿宋" w:eastAsia="仿宋" w:cs="宋体"/>
          <w:color w:val="auto"/>
          <w:szCs w:val="21"/>
          <w:highlight w:val="none"/>
        </w:rPr>
        <w:instrText xml:space="preserve"> HYPERLINK \l _Toc4538 </w:instrText>
      </w:r>
      <w:r>
        <w:rPr>
          <w:rFonts w:hint="eastAsia" w:ascii="仿宋" w:hAnsi="仿宋" w:eastAsia="仿宋" w:cs="宋体"/>
          <w:color w:val="auto"/>
          <w:szCs w:val="21"/>
          <w:highlight w:val="none"/>
        </w:rPr>
        <w:fldChar w:fldCharType="separate"/>
      </w:r>
      <w:r>
        <w:rPr>
          <w:rFonts w:ascii="仿宋" w:hAnsi="仿宋" w:cs="宋体"/>
          <w:color w:val="auto"/>
          <w:highlight w:val="none"/>
        </w:rPr>
        <w:t>7.2 确定中标人</w:t>
      </w:r>
      <w:r>
        <w:rPr>
          <w:color w:val="auto"/>
          <w:highlight w:val="none"/>
        </w:rPr>
        <w:tab/>
      </w:r>
      <w:r>
        <w:rPr>
          <w:color w:val="auto"/>
          <w:highlight w:val="none"/>
        </w:rPr>
        <w:fldChar w:fldCharType="begin"/>
      </w:r>
      <w:r>
        <w:rPr>
          <w:color w:val="auto"/>
          <w:highlight w:val="none"/>
        </w:rPr>
        <w:instrText xml:space="preserve"> PAGEREF _Toc4538 \h </w:instrText>
      </w:r>
      <w:r>
        <w:rPr>
          <w:color w:val="auto"/>
          <w:highlight w:val="none"/>
        </w:rPr>
        <w:fldChar w:fldCharType="separate"/>
      </w:r>
      <w:r>
        <w:rPr>
          <w:color w:val="auto"/>
          <w:highlight w:val="none"/>
        </w:rPr>
        <w:t>22</w:t>
      </w:r>
      <w:r>
        <w:rPr>
          <w:color w:val="auto"/>
          <w:highlight w:val="none"/>
        </w:rPr>
        <w:fldChar w:fldCharType="end"/>
      </w:r>
      <w:r>
        <w:rPr>
          <w:rFonts w:hint="eastAsia" w:ascii="仿宋" w:hAnsi="仿宋" w:eastAsia="仿宋" w:cs="宋体"/>
          <w:color w:val="auto"/>
          <w:szCs w:val="21"/>
          <w:highlight w:val="none"/>
        </w:rPr>
        <w:fldChar w:fldCharType="end"/>
      </w:r>
    </w:p>
    <w:p w14:paraId="3966AC5F">
      <w:pPr>
        <w:pStyle w:val="16"/>
        <w:pageBreakBefore w:val="0"/>
        <w:tabs>
          <w:tab w:val="right" w:leader="dot" w:pos="9638"/>
        </w:tabs>
        <w:kinsoku/>
        <w:overflowPunct/>
        <w:bidi w:val="0"/>
        <w:spacing w:line="600" w:lineRule="exact"/>
        <w:rPr>
          <w:color w:val="auto"/>
          <w:highlight w:val="none"/>
        </w:rPr>
      </w:pPr>
      <w:r>
        <w:rPr>
          <w:rFonts w:hint="eastAsia" w:ascii="仿宋" w:hAnsi="仿宋" w:eastAsia="仿宋" w:cs="宋体"/>
          <w:color w:val="auto"/>
          <w:szCs w:val="21"/>
          <w:highlight w:val="none"/>
        </w:rPr>
        <w:fldChar w:fldCharType="begin"/>
      </w:r>
      <w:r>
        <w:rPr>
          <w:rFonts w:hint="eastAsia" w:ascii="仿宋" w:hAnsi="仿宋" w:eastAsia="仿宋" w:cs="宋体"/>
          <w:color w:val="auto"/>
          <w:szCs w:val="21"/>
          <w:highlight w:val="none"/>
        </w:rPr>
        <w:instrText xml:space="preserve"> HYPERLINK \l _Toc15904 </w:instrText>
      </w:r>
      <w:r>
        <w:rPr>
          <w:rFonts w:hint="eastAsia" w:ascii="仿宋" w:hAnsi="仿宋" w:eastAsia="仿宋" w:cs="宋体"/>
          <w:color w:val="auto"/>
          <w:szCs w:val="21"/>
          <w:highlight w:val="none"/>
        </w:rPr>
        <w:fldChar w:fldCharType="separate"/>
      </w:r>
      <w:r>
        <w:rPr>
          <w:rFonts w:ascii="仿宋" w:hAnsi="仿宋" w:cs="宋体"/>
          <w:color w:val="auto"/>
          <w:highlight w:val="none"/>
        </w:rPr>
        <w:t>7.3 中标结果公示</w:t>
      </w:r>
      <w:r>
        <w:rPr>
          <w:color w:val="auto"/>
          <w:highlight w:val="none"/>
        </w:rPr>
        <w:tab/>
      </w:r>
      <w:r>
        <w:rPr>
          <w:color w:val="auto"/>
          <w:highlight w:val="none"/>
        </w:rPr>
        <w:fldChar w:fldCharType="begin"/>
      </w:r>
      <w:r>
        <w:rPr>
          <w:color w:val="auto"/>
          <w:highlight w:val="none"/>
        </w:rPr>
        <w:instrText xml:space="preserve"> PAGEREF _Toc15904 \h </w:instrText>
      </w:r>
      <w:r>
        <w:rPr>
          <w:color w:val="auto"/>
          <w:highlight w:val="none"/>
        </w:rPr>
        <w:fldChar w:fldCharType="separate"/>
      </w:r>
      <w:r>
        <w:rPr>
          <w:color w:val="auto"/>
          <w:highlight w:val="none"/>
        </w:rPr>
        <w:t>22</w:t>
      </w:r>
      <w:r>
        <w:rPr>
          <w:color w:val="auto"/>
          <w:highlight w:val="none"/>
        </w:rPr>
        <w:fldChar w:fldCharType="end"/>
      </w:r>
      <w:r>
        <w:rPr>
          <w:rFonts w:hint="eastAsia" w:ascii="仿宋" w:hAnsi="仿宋" w:eastAsia="仿宋" w:cs="宋体"/>
          <w:color w:val="auto"/>
          <w:szCs w:val="21"/>
          <w:highlight w:val="none"/>
        </w:rPr>
        <w:fldChar w:fldCharType="end"/>
      </w:r>
    </w:p>
    <w:p w14:paraId="42399DDF">
      <w:pPr>
        <w:pStyle w:val="16"/>
        <w:pageBreakBefore w:val="0"/>
        <w:tabs>
          <w:tab w:val="right" w:leader="dot" w:pos="9638"/>
        </w:tabs>
        <w:kinsoku/>
        <w:overflowPunct/>
        <w:bidi w:val="0"/>
        <w:spacing w:line="600" w:lineRule="exact"/>
        <w:rPr>
          <w:color w:val="auto"/>
          <w:highlight w:val="none"/>
        </w:rPr>
      </w:pPr>
      <w:r>
        <w:rPr>
          <w:rFonts w:hint="eastAsia" w:ascii="仿宋" w:hAnsi="仿宋" w:eastAsia="仿宋" w:cs="宋体"/>
          <w:color w:val="auto"/>
          <w:szCs w:val="21"/>
          <w:highlight w:val="none"/>
        </w:rPr>
        <w:fldChar w:fldCharType="begin"/>
      </w:r>
      <w:r>
        <w:rPr>
          <w:rFonts w:hint="eastAsia" w:ascii="仿宋" w:hAnsi="仿宋" w:eastAsia="仿宋" w:cs="宋体"/>
          <w:color w:val="auto"/>
          <w:szCs w:val="21"/>
          <w:highlight w:val="none"/>
        </w:rPr>
        <w:instrText xml:space="preserve"> HYPERLINK \l _Toc30350 </w:instrText>
      </w:r>
      <w:r>
        <w:rPr>
          <w:rFonts w:hint="eastAsia" w:ascii="仿宋" w:hAnsi="仿宋" w:eastAsia="仿宋" w:cs="宋体"/>
          <w:color w:val="auto"/>
          <w:szCs w:val="21"/>
          <w:highlight w:val="none"/>
        </w:rPr>
        <w:fldChar w:fldCharType="separate"/>
      </w:r>
      <w:r>
        <w:rPr>
          <w:rFonts w:ascii="仿宋" w:hAnsi="仿宋" w:cs="宋体"/>
          <w:color w:val="auto"/>
          <w:highlight w:val="none"/>
        </w:rPr>
        <w:t>7.4 中标通知</w:t>
      </w:r>
      <w:r>
        <w:rPr>
          <w:color w:val="auto"/>
          <w:highlight w:val="none"/>
        </w:rPr>
        <w:tab/>
      </w:r>
      <w:r>
        <w:rPr>
          <w:color w:val="auto"/>
          <w:highlight w:val="none"/>
        </w:rPr>
        <w:fldChar w:fldCharType="begin"/>
      </w:r>
      <w:r>
        <w:rPr>
          <w:color w:val="auto"/>
          <w:highlight w:val="none"/>
        </w:rPr>
        <w:instrText xml:space="preserve"> PAGEREF _Toc30350 \h </w:instrText>
      </w:r>
      <w:r>
        <w:rPr>
          <w:color w:val="auto"/>
          <w:highlight w:val="none"/>
        </w:rPr>
        <w:fldChar w:fldCharType="separate"/>
      </w:r>
      <w:r>
        <w:rPr>
          <w:color w:val="auto"/>
          <w:highlight w:val="none"/>
        </w:rPr>
        <w:t>22</w:t>
      </w:r>
      <w:r>
        <w:rPr>
          <w:color w:val="auto"/>
          <w:highlight w:val="none"/>
        </w:rPr>
        <w:fldChar w:fldCharType="end"/>
      </w:r>
      <w:r>
        <w:rPr>
          <w:rFonts w:hint="eastAsia" w:ascii="仿宋" w:hAnsi="仿宋" w:eastAsia="仿宋" w:cs="宋体"/>
          <w:color w:val="auto"/>
          <w:szCs w:val="21"/>
          <w:highlight w:val="none"/>
        </w:rPr>
        <w:fldChar w:fldCharType="end"/>
      </w:r>
    </w:p>
    <w:p w14:paraId="3D102C01">
      <w:pPr>
        <w:pStyle w:val="29"/>
        <w:pageBreakBefore w:val="0"/>
        <w:tabs>
          <w:tab w:val="right" w:leader="dot" w:pos="9638"/>
        </w:tabs>
        <w:kinsoku/>
        <w:overflowPunct/>
        <w:bidi w:val="0"/>
        <w:spacing w:line="600" w:lineRule="exact"/>
        <w:rPr>
          <w:color w:val="auto"/>
          <w:highlight w:val="none"/>
        </w:rPr>
      </w:pPr>
      <w:r>
        <w:rPr>
          <w:rFonts w:hint="eastAsia" w:ascii="仿宋" w:hAnsi="仿宋" w:eastAsia="仿宋" w:cs="宋体"/>
          <w:color w:val="auto"/>
          <w:szCs w:val="21"/>
          <w:highlight w:val="none"/>
        </w:rPr>
        <w:fldChar w:fldCharType="begin"/>
      </w:r>
      <w:r>
        <w:rPr>
          <w:rFonts w:hint="eastAsia" w:ascii="仿宋" w:hAnsi="仿宋" w:eastAsia="仿宋" w:cs="宋体"/>
          <w:color w:val="auto"/>
          <w:szCs w:val="21"/>
          <w:highlight w:val="none"/>
        </w:rPr>
        <w:instrText xml:space="preserve"> HYPERLINK \l _Toc3918 </w:instrText>
      </w:r>
      <w:r>
        <w:rPr>
          <w:rFonts w:hint="eastAsia" w:ascii="仿宋" w:hAnsi="仿宋" w:eastAsia="仿宋" w:cs="宋体"/>
          <w:color w:val="auto"/>
          <w:szCs w:val="21"/>
          <w:highlight w:val="none"/>
        </w:rPr>
        <w:fldChar w:fldCharType="separate"/>
      </w:r>
      <w:r>
        <w:rPr>
          <w:rFonts w:hint="eastAsia"/>
          <w:color w:val="auto"/>
          <w:highlight w:val="none"/>
        </w:rPr>
        <w:t>8.合同签订</w:t>
      </w:r>
      <w:r>
        <w:rPr>
          <w:color w:val="auto"/>
          <w:highlight w:val="none"/>
        </w:rPr>
        <w:tab/>
      </w:r>
      <w:r>
        <w:rPr>
          <w:color w:val="auto"/>
          <w:highlight w:val="none"/>
        </w:rPr>
        <w:fldChar w:fldCharType="begin"/>
      </w:r>
      <w:r>
        <w:rPr>
          <w:color w:val="auto"/>
          <w:highlight w:val="none"/>
        </w:rPr>
        <w:instrText xml:space="preserve"> PAGEREF _Toc3918 \h </w:instrText>
      </w:r>
      <w:r>
        <w:rPr>
          <w:color w:val="auto"/>
          <w:highlight w:val="none"/>
        </w:rPr>
        <w:fldChar w:fldCharType="separate"/>
      </w:r>
      <w:r>
        <w:rPr>
          <w:color w:val="auto"/>
          <w:highlight w:val="none"/>
        </w:rPr>
        <w:t>23</w:t>
      </w:r>
      <w:r>
        <w:rPr>
          <w:color w:val="auto"/>
          <w:highlight w:val="none"/>
        </w:rPr>
        <w:fldChar w:fldCharType="end"/>
      </w:r>
      <w:r>
        <w:rPr>
          <w:rFonts w:hint="eastAsia" w:ascii="仿宋" w:hAnsi="仿宋" w:eastAsia="仿宋" w:cs="宋体"/>
          <w:color w:val="auto"/>
          <w:szCs w:val="21"/>
          <w:highlight w:val="none"/>
        </w:rPr>
        <w:fldChar w:fldCharType="end"/>
      </w:r>
    </w:p>
    <w:p w14:paraId="5B1EF8A6">
      <w:pPr>
        <w:pStyle w:val="16"/>
        <w:pageBreakBefore w:val="0"/>
        <w:tabs>
          <w:tab w:val="right" w:leader="dot" w:pos="9638"/>
        </w:tabs>
        <w:kinsoku/>
        <w:overflowPunct/>
        <w:bidi w:val="0"/>
        <w:spacing w:line="600" w:lineRule="exact"/>
        <w:rPr>
          <w:color w:val="auto"/>
          <w:highlight w:val="none"/>
        </w:rPr>
      </w:pPr>
      <w:r>
        <w:rPr>
          <w:rFonts w:hint="eastAsia" w:ascii="仿宋" w:hAnsi="仿宋" w:eastAsia="仿宋" w:cs="宋体"/>
          <w:color w:val="auto"/>
          <w:szCs w:val="21"/>
          <w:highlight w:val="none"/>
        </w:rPr>
        <w:fldChar w:fldCharType="begin"/>
      </w:r>
      <w:r>
        <w:rPr>
          <w:rFonts w:hint="eastAsia" w:ascii="仿宋" w:hAnsi="仿宋" w:eastAsia="仿宋" w:cs="宋体"/>
          <w:color w:val="auto"/>
          <w:szCs w:val="21"/>
          <w:highlight w:val="none"/>
        </w:rPr>
        <w:instrText xml:space="preserve"> HYPERLINK \l _Toc20000 </w:instrText>
      </w:r>
      <w:r>
        <w:rPr>
          <w:rFonts w:hint="eastAsia" w:ascii="仿宋" w:hAnsi="仿宋" w:eastAsia="仿宋" w:cs="宋体"/>
          <w:color w:val="auto"/>
          <w:szCs w:val="21"/>
          <w:highlight w:val="none"/>
        </w:rPr>
        <w:fldChar w:fldCharType="separate"/>
      </w:r>
      <w:r>
        <w:rPr>
          <w:rFonts w:ascii="仿宋" w:hAnsi="仿宋" w:cs="宋体"/>
          <w:color w:val="auto"/>
          <w:highlight w:val="none"/>
        </w:rPr>
        <w:t>8.1 履约保证金</w:t>
      </w:r>
      <w:r>
        <w:rPr>
          <w:color w:val="auto"/>
          <w:highlight w:val="none"/>
        </w:rPr>
        <w:tab/>
      </w:r>
      <w:r>
        <w:rPr>
          <w:color w:val="auto"/>
          <w:highlight w:val="none"/>
        </w:rPr>
        <w:fldChar w:fldCharType="begin"/>
      </w:r>
      <w:r>
        <w:rPr>
          <w:color w:val="auto"/>
          <w:highlight w:val="none"/>
        </w:rPr>
        <w:instrText xml:space="preserve"> PAGEREF _Toc20000 \h </w:instrText>
      </w:r>
      <w:r>
        <w:rPr>
          <w:color w:val="auto"/>
          <w:highlight w:val="none"/>
        </w:rPr>
        <w:fldChar w:fldCharType="separate"/>
      </w:r>
      <w:r>
        <w:rPr>
          <w:color w:val="auto"/>
          <w:highlight w:val="none"/>
        </w:rPr>
        <w:t>23</w:t>
      </w:r>
      <w:r>
        <w:rPr>
          <w:color w:val="auto"/>
          <w:highlight w:val="none"/>
        </w:rPr>
        <w:fldChar w:fldCharType="end"/>
      </w:r>
      <w:r>
        <w:rPr>
          <w:rFonts w:hint="eastAsia" w:ascii="仿宋" w:hAnsi="仿宋" w:eastAsia="仿宋" w:cs="宋体"/>
          <w:color w:val="auto"/>
          <w:szCs w:val="21"/>
          <w:highlight w:val="none"/>
        </w:rPr>
        <w:fldChar w:fldCharType="end"/>
      </w:r>
    </w:p>
    <w:p w14:paraId="7B8159D3">
      <w:pPr>
        <w:pStyle w:val="16"/>
        <w:pageBreakBefore w:val="0"/>
        <w:tabs>
          <w:tab w:val="right" w:leader="dot" w:pos="9638"/>
        </w:tabs>
        <w:kinsoku/>
        <w:overflowPunct/>
        <w:bidi w:val="0"/>
        <w:spacing w:line="600" w:lineRule="exact"/>
        <w:rPr>
          <w:color w:val="auto"/>
          <w:highlight w:val="none"/>
        </w:rPr>
      </w:pPr>
      <w:r>
        <w:rPr>
          <w:rFonts w:hint="eastAsia" w:ascii="仿宋" w:hAnsi="仿宋" w:eastAsia="仿宋" w:cs="宋体"/>
          <w:color w:val="auto"/>
          <w:szCs w:val="21"/>
          <w:highlight w:val="none"/>
        </w:rPr>
        <w:fldChar w:fldCharType="begin"/>
      </w:r>
      <w:r>
        <w:rPr>
          <w:rFonts w:hint="eastAsia" w:ascii="仿宋" w:hAnsi="仿宋" w:eastAsia="仿宋" w:cs="宋体"/>
          <w:color w:val="auto"/>
          <w:szCs w:val="21"/>
          <w:highlight w:val="none"/>
        </w:rPr>
        <w:instrText xml:space="preserve"> HYPERLINK \l _Toc18661 </w:instrText>
      </w:r>
      <w:r>
        <w:rPr>
          <w:rFonts w:hint="eastAsia" w:ascii="仿宋" w:hAnsi="仿宋" w:eastAsia="仿宋" w:cs="宋体"/>
          <w:color w:val="auto"/>
          <w:szCs w:val="21"/>
          <w:highlight w:val="none"/>
        </w:rPr>
        <w:fldChar w:fldCharType="separate"/>
      </w:r>
      <w:r>
        <w:rPr>
          <w:rFonts w:ascii="仿宋" w:hAnsi="仿宋" w:cs="宋体"/>
          <w:color w:val="auto"/>
          <w:highlight w:val="none"/>
        </w:rPr>
        <w:t>8.2 合同签订</w:t>
      </w:r>
      <w:r>
        <w:rPr>
          <w:color w:val="auto"/>
          <w:highlight w:val="none"/>
        </w:rPr>
        <w:tab/>
      </w:r>
      <w:r>
        <w:rPr>
          <w:color w:val="auto"/>
          <w:highlight w:val="none"/>
        </w:rPr>
        <w:fldChar w:fldCharType="begin"/>
      </w:r>
      <w:r>
        <w:rPr>
          <w:color w:val="auto"/>
          <w:highlight w:val="none"/>
        </w:rPr>
        <w:instrText xml:space="preserve"> PAGEREF _Toc18661 \h </w:instrText>
      </w:r>
      <w:r>
        <w:rPr>
          <w:color w:val="auto"/>
          <w:highlight w:val="none"/>
        </w:rPr>
        <w:fldChar w:fldCharType="separate"/>
      </w:r>
      <w:r>
        <w:rPr>
          <w:color w:val="auto"/>
          <w:highlight w:val="none"/>
        </w:rPr>
        <w:t>23</w:t>
      </w:r>
      <w:r>
        <w:rPr>
          <w:color w:val="auto"/>
          <w:highlight w:val="none"/>
        </w:rPr>
        <w:fldChar w:fldCharType="end"/>
      </w:r>
      <w:r>
        <w:rPr>
          <w:rFonts w:hint="eastAsia" w:ascii="仿宋" w:hAnsi="仿宋" w:eastAsia="仿宋" w:cs="宋体"/>
          <w:color w:val="auto"/>
          <w:szCs w:val="21"/>
          <w:highlight w:val="none"/>
        </w:rPr>
        <w:fldChar w:fldCharType="end"/>
      </w:r>
    </w:p>
    <w:p w14:paraId="16D935DB">
      <w:pPr>
        <w:pStyle w:val="29"/>
        <w:pageBreakBefore w:val="0"/>
        <w:tabs>
          <w:tab w:val="right" w:leader="dot" w:pos="9638"/>
        </w:tabs>
        <w:kinsoku/>
        <w:overflowPunct/>
        <w:bidi w:val="0"/>
        <w:spacing w:line="600" w:lineRule="exact"/>
        <w:rPr>
          <w:color w:val="auto"/>
          <w:highlight w:val="none"/>
        </w:rPr>
      </w:pPr>
      <w:r>
        <w:rPr>
          <w:rFonts w:hint="eastAsia" w:ascii="仿宋" w:hAnsi="仿宋" w:eastAsia="仿宋" w:cs="宋体"/>
          <w:color w:val="auto"/>
          <w:szCs w:val="21"/>
          <w:highlight w:val="none"/>
        </w:rPr>
        <w:fldChar w:fldCharType="begin"/>
      </w:r>
      <w:r>
        <w:rPr>
          <w:rFonts w:hint="eastAsia" w:ascii="仿宋" w:hAnsi="仿宋" w:eastAsia="仿宋" w:cs="宋体"/>
          <w:color w:val="auto"/>
          <w:szCs w:val="21"/>
          <w:highlight w:val="none"/>
        </w:rPr>
        <w:instrText xml:space="preserve"> HYPERLINK \l _Toc31639 </w:instrText>
      </w:r>
      <w:r>
        <w:rPr>
          <w:rFonts w:hint="eastAsia" w:ascii="仿宋" w:hAnsi="仿宋" w:eastAsia="仿宋" w:cs="宋体"/>
          <w:color w:val="auto"/>
          <w:szCs w:val="21"/>
          <w:highlight w:val="none"/>
        </w:rPr>
        <w:fldChar w:fldCharType="separate"/>
      </w:r>
      <w:r>
        <w:rPr>
          <w:rFonts w:hint="eastAsia"/>
          <w:color w:val="auto"/>
          <w:highlight w:val="none"/>
        </w:rPr>
        <w:t>9.招标代理服务费</w:t>
      </w:r>
      <w:r>
        <w:rPr>
          <w:color w:val="auto"/>
          <w:highlight w:val="none"/>
        </w:rPr>
        <w:tab/>
      </w:r>
      <w:r>
        <w:rPr>
          <w:color w:val="auto"/>
          <w:highlight w:val="none"/>
        </w:rPr>
        <w:fldChar w:fldCharType="begin"/>
      </w:r>
      <w:r>
        <w:rPr>
          <w:color w:val="auto"/>
          <w:highlight w:val="none"/>
        </w:rPr>
        <w:instrText xml:space="preserve"> PAGEREF _Toc31639 \h </w:instrText>
      </w:r>
      <w:r>
        <w:rPr>
          <w:color w:val="auto"/>
          <w:highlight w:val="none"/>
        </w:rPr>
        <w:fldChar w:fldCharType="separate"/>
      </w:r>
      <w:r>
        <w:rPr>
          <w:color w:val="auto"/>
          <w:highlight w:val="none"/>
        </w:rPr>
        <w:t>23</w:t>
      </w:r>
      <w:r>
        <w:rPr>
          <w:color w:val="auto"/>
          <w:highlight w:val="none"/>
        </w:rPr>
        <w:fldChar w:fldCharType="end"/>
      </w:r>
      <w:r>
        <w:rPr>
          <w:rFonts w:hint="eastAsia" w:ascii="仿宋" w:hAnsi="仿宋" w:eastAsia="仿宋" w:cs="宋体"/>
          <w:color w:val="auto"/>
          <w:szCs w:val="21"/>
          <w:highlight w:val="none"/>
        </w:rPr>
        <w:fldChar w:fldCharType="end"/>
      </w:r>
    </w:p>
    <w:p w14:paraId="276CB772">
      <w:pPr>
        <w:pStyle w:val="29"/>
        <w:pageBreakBefore w:val="0"/>
        <w:tabs>
          <w:tab w:val="right" w:leader="dot" w:pos="9638"/>
        </w:tabs>
        <w:kinsoku/>
        <w:overflowPunct/>
        <w:bidi w:val="0"/>
        <w:spacing w:line="600" w:lineRule="exact"/>
        <w:rPr>
          <w:color w:val="auto"/>
          <w:highlight w:val="none"/>
        </w:rPr>
      </w:pPr>
      <w:r>
        <w:rPr>
          <w:rFonts w:hint="eastAsia" w:ascii="仿宋" w:hAnsi="仿宋" w:eastAsia="仿宋" w:cs="宋体"/>
          <w:color w:val="auto"/>
          <w:szCs w:val="21"/>
          <w:highlight w:val="none"/>
        </w:rPr>
        <w:fldChar w:fldCharType="begin"/>
      </w:r>
      <w:r>
        <w:rPr>
          <w:rFonts w:hint="eastAsia" w:ascii="仿宋" w:hAnsi="仿宋" w:eastAsia="仿宋" w:cs="宋体"/>
          <w:color w:val="auto"/>
          <w:szCs w:val="21"/>
          <w:highlight w:val="none"/>
        </w:rPr>
        <w:instrText xml:space="preserve"> HYPERLINK \l _Toc24687 </w:instrText>
      </w:r>
      <w:r>
        <w:rPr>
          <w:rFonts w:hint="eastAsia" w:ascii="仿宋" w:hAnsi="仿宋" w:eastAsia="仿宋" w:cs="宋体"/>
          <w:color w:val="auto"/>
          <w:szCs w:val="21"/>
          <w:highlight w:val="none"/>
        </w:rPr>
        <w:fldChar w:fldCharType="separate"/>
      </w:r>
      <w:r>
        <w:rPr>
          <w:rFonts w:hint="eastAsia"/>
          <w:color w:val="auto"/>
          <w:highlight w:val="none"/>
        </w:rPr>
        <w:t>10.纪律和监督</w:t>
      </w:r>
      <w:r>
        <w:rPr>
          <w:color w:val="auto"/>
          <w:highlight w:val="none"/>
        </w:rPr>
        <w:tab/>
      </w:r>
      <w:r>
        <w:rPr>
          <w:color w:val="auto"/>
          <w:highlight w:val="none"/>
        </w:rPr>
        <w:fldChar w:fldCharType="begin"/>
      </w:r>
      <w:r>
        <w:rPr>
          <w:color w:val="auto"/>
          <w:highlight w:val="none"/>
        </w:rPr>
        <w:instrText xml:space="preserve"> PAGEREF _Toc24687 \h </w:instrText>
      </w:r>
      <w:r>
        <w:rPr>
          <w:color w:val="auto"/>
          <w:highlight w:val="none"/>
        </w:rPr>
        <w:fldChar w:fldCharType="separate"/>
      </w:r>
      <w:r>
        <w:rPr>
          <w:color w:val="auto"/>
          <w:highlight w:val="none"/>
        </w:rPr>
        <w:t>23</w:t>
      </w:r>
      <w:r>
        <w:rPr>
          <w:color w:val="auto"/>
          <w:highlight w:val="none"/>
        </w:rPr>
        <w:fldChar w:fldCharType="end"/>
      </w:r>
      <w:r>
        <w:rPr>
          <w:rFonts w:hint="eastAsia" w:ascii="仿宋" w:hAnsi="仿宋" w:eastAsia="仿宋" w:cs="宋体"/>
          <w:color w:val="auto"/>
          <w:szCs w:val="21"/>
          <w:highlight w:val="none"/>
        </w:rPr>
        <w:fldChar w:fldCharType="end"/>
      </w:r>
    </w:p>
    <w:p w14:paraId="1CB1930D">
      <w:pPr>
        <w:pStyle w:val="16"/>
        <w:pageBreakBefore w:val="0"/>
        <w:tabs>
          <w:tab w:val="right" w:leader="dot" w:pos="9638"/>
        </w:tabs>
        <w:kinsoku/>
        <w:overflowPunct/>
        <w:bidi w:val="0"/>
        <w:spacing w:line="600" w:lineRule="exact"/>
        <w:rPr>
          <w:color w:val="auto"/>
          <w:highlight w:val="none"/>
        </w:rPr>
      </w:pPr>
      <w:r>
        <w:rPr>
          <w:rFonts w:hint="eastAsia" w:ascii="仿宋" w:hAnsi="仿宋" w:eastAsia="仿宋" w:cs="宋体"/>
          <w:color w:val="auto"/>
          <w:szCs w:val="21"/>
          <w:highlight w:val="none"/>
        </w:rPr>
        <w:fldChar w:fldCharType="begin"/>
      </w:r>
      <w:r>
        <w:rPr>
          <w:rFonts w:hint="eastAsia" w:ascii="仿宋" w:hAnsi="仿宋" w:eastAsia="仿宋" w:cs="宋体"/>
          <w:color w:val="auto"/>
          <w:szCs w:val="21"/>
          <w:highlight w:val="none"/>
        </w:rPr>
        <w:instrText xml:space="preserve"> HYPERLINK \l _Toc18766 </w:instrText>
      </w:r>
      <w:r>
        <w:rPr>
          <w:rFonts w:hint="eastAsia" w:ascii="仿宋" w:hAnsi="仿宋" w:eastAsia="仿宋" w:cs="宋体"/>
          <w:color w:val="auto"/>
          <w:szCs w:val="21"/>
          <w:highlight w:val="none"/>
        </w:rPr>
        <w:fldChar w:fldCharType="separate"/>
      </w:r>
      <w:r>
        <w:rPr>
          <w:rFonts w:ascii="仿宋" w:hAnsi="仿宋" w:cs="宋体"/>
          <w:color w:val="auto"/>
          <w:highlight w:val="none"/>
        </w:rPr>
        <w:t>10.1 对招标人的纪律要求</w:t>
      </w:r>
      <w:r>
        <w:rPr>
          <w:color w:val="auto"/>
          <w:highlight w:val="none"/>
        </w:rPr>
        <w:tab/>
      </w:r>
      <w:r>
        <w:rPr>
          <w:color w:val="auto"/>
          <w:highlight w:val="none"/>
        </w:rPr>
        <w:fldChar w:fldCharType="begin"/>
      </w:r>
      <w:r>
        <w:rPr>
          <w:color w:val="auto"/>
          <w:highlight w:val="none"/>
        </w:rPr>
        <w:instrText xml:space="preserve"> PAGEREF _Toc18766 \h </w:instrText>
      </w:r>
      <w:r>
        <w:rPr>
          <w:color w:val="auto"/>
          <w:highlight w:val="none"/>
        </w:rPr>
        <w:fldChar w:fldCharType="separate"/>
      </w:r>
      <w:r>
        <w:rPr>
          <w:color w:val="auto"/>
          <w:highlight w:val="none"/>
        </w:rPr>
        <w:t>23</w:t>
      </w:r>
      <w:r>
        <w:rPr>
          <w:color w:val="auto"/>
          <w:highlight w:val="none"/>
        </w:rPr>
        <w:fldChar w:fldCharType="end"/>
      </w:r>
      <w:r>
        <w:rPr>
          <w:rFonts w:hint="eastAsia" w:ascii="仿宋" w:hAnsi="仿宋" w:eastAsia="仿宋" w:cs="宋体"/>
          <w:color w:val="auto"/>
          <w:szCs w:val="21"/>
          <w:highlight w:val="none"/>
        </w:rPr>
        <w:fldChar w:fldCharType="end"/>
      </w:r>
    </w:p>
    <w:p w14:paraId="4403F55C">
      <w:pPr>
        <w:pStyle w:val="16"/>
        <w:pageBreakBefore w:val="0"/>
        <w:tabs>
          <w:tab w:val="right" w:leader="dot" w:pos="9638"/>
        </w:tabs>
        <w:kinsoku/>
        <w:overflowPunct/>
        <w:bidi w:val="0"/>
        <w:spacing w:line="600" w:lineRule="exact"/>
        <w:rPr>
          <w:color w:val="auto"/>
          <w:highlight w:val="none"/>
        </w:rPr>
      </w:pPr>
      <w:r>
        <w:rPr>
          <w:rFonts w:hint="eastAsia" w:ascii="仿宋" w:hAnsi="仿宋" w:eastAsia="仿宋" w:cs="宋体"/>
          <w:color w:val="auto"/>
          <w:szCs w:val="21"/>
          <w:highlight w:val="none"/>
        </w:rPr>
        <w:fldChar w:fldCharType="begin"/>
      </w:r>
      <w:r>
        <w:rPr>
          <w:rFonts w:hint="eastAsia" w:ascii="仿宋" w:hAnsi="仿宋" w:eastAsia="仿宋" w:cs="宋体"/>
          <w:color w:val="auto"/>
          <w:szCs w:val="21"/>
          <w:highlight w:val="none"/>
        </w:rPr>
        <w:instrText xml:space="preserve"> HYPERLINK \l _Toc24046 </w:instrText>
      </w:r>
      <w:r>
        <w:rPr>
          <w:rFonts w:hint="eastAsia" w:ascii="仿宋" w:hAnsi="仿宋" w:eastAsia="仿宋" w:cs="宋体"/>
          <w:color w:val="auto"/>
          <w:szCs w:val="21"/>
          <w:highlight w:val="none"/>
        </w:rPr>
        <w:fldChar w:fldCharType="separate"/>
      </w:r>
      <w:r>
        <w:rPr>
          <w:rFonts w:ascii="仿宋" w:hAnsi="仿宋" w:cs="宋体"/>
          <w:color w:val="auto"/>
          <w:highlight w:val="none"/>
        </w:rPr>
        <w:t>10.2 对投标人的纪律要求</w:t>
      </w:r>
      <w:r>
        <w:rPr>
          <w:color w:val="auto"/>
          <w:highlight w:val="none"/>
        </w:rPr>
        <w:tab/>
      </w:r>
      <w:r>
        <w:rPr>
          <w:color w:val="auto"/>
          <w:highlight w:val="none"/>
        </w:rPr>
        <w:fldChar w:fldCharType="begin"/>
      </w:r>
      <w:r>
        <w:rPr>
          <w:color w:val="auto"/>
          <w:highlight w:val="none"/>
        </w:rPr>
        <w:instrText xml:space="preserve"> PAGEREF _Toc24046 \h </w:instrText>
      </w:r>
      <w:r>
        <w:rPr>
          <w:color w:val="auto"/>
          <w:highlight w:val="none"/>
        </w:rPr>
        <w:fldChar w:fldCharType="separate"/>
      </w:r>
      <w:r>
        <w:rPr>
          <w:color w:val="auto"/>
          <w:highlight w:val="none"/>
        </w:rPr>
        <w:t>24</w:t>
      </w:r>
      <w:r>
        <w:rPr>
          <w:color w:val="auto"/>
          <w:highlight w:val="none"/>
        </w:rPr>
        <w:fldChar w:fldCharType="end"/>
      </w:r>
      <w:r>
        <w:rPr>
          <w:rFonts w:hint="eastAsia" w:ascii="仿宋" w:hAnsi="仿宋" w:eastAsia="仿宋" w:cs="宋体"/>
          <w:color w:val="auto"/>
          <w:szCs w:val="21"/>
          <w:highlight w:val="none"/>
        </w:rPr>
        <w:fldChar w:fldCharType="end"/>
      </w:r>
    </w:p>
    <w:p w14:paraId="5D8424B3">
      <w:pPr>
        <w:pStyle w:val="16"/>
        <w:pageBreakBefore w:val="0"/>
        <w:tabs>
          <w:tab w:val="right" w:leader="dot" w:pos="9638"/>
        </w:tabs>
        <w:kinsoku/>
        <w:overflowPunct/>
        <w:bidi w:val="0"/>
        <w:spacing w:line="600" w:lineRule="exact"/>
        <w:rPr>
          <w:color w:val="auto"/>
          <w:highlight w:val="none"/>
        </w:rPr>
      </w:pPr>
      <w:r>
        <w:rPr>
          <w:rFonts w:hint="eastAsia" w:ascii="仿宋" w:hAnsi="仿宋" w:eastAsia="仿宋" w:cs="宋体"/>
          <w:color w:val="auto"/>
          <w:szCs w:val="21"/>
          <w:highlight w:val="none"/>
        </w:rPr>
        <w:fldChar w:fldCharType="begin"/>
      </w:r>
      <w:r>
        <w:rPr>
          <w:rFonts w:hint="eastAsia" w:ascii="仿宋" w:hAnsi="仿宋" w:eastAsia="仿宋" w:cs="宋体"/>
          <w:color w:val="auto"/>
          <w:szCs w:val="21"/>
          <w:highlight w:val="none"/>
        </w:rPr>
        <w:instrText xml:space="preserve"> HYPERLINK \l _Toc12807 </w:instrText>
      </w:r>
      <w:r>
        <w:rPr>
          <w:rFonts w:hint="eastAsia" w:ascii="仿宋" w:hAnsi="仿宋" w:eastAsia="仿宋" w:cs="宋体"/>
          <w:color w:val="auto"/>
          <w:szCs w:val="21"/>
          <w:highlight w:val="none"/>
        </w:rPr>
        <w:fldChar w:fldCharType="separate"/>
      </w:r>
      <w:r>
        <w:rPr>
          <w:rFonts w:ascii="仿宋" w:hAnsi="仿宋" w:cs="宋体"/>
          <w:color w:val="auto"/>
          <w:highlight w:val="none"/>
        </w:rPr>
        <w:t>10.3 对评标委员会成员的纪律要求</w:t>
      </w:r>
      <w:r>
        <w:rPr>
          <w:color w:val="auto"/>
          <w:highlight w:val="none"/>
        </w:rPr>
        <w:tab/>
      </w:r>
      <w:r>
        <w:rPr>
          <w:color w:val="auto"/>
          <w:highlight w:val="none"/>
        </w:rPr>
        <w:fldChar w:fldCharType="begin"/>
      </w:r>
      <w:r>
        <w:rPr>
          <w:color w:val="auto"/>
          <w:highlight w:val="none"/>
        </w:rPr>
        <w:instrText xml:space="preserve"> PAGEREF _Toc12807 \h </w:instrText>
      </w:r>
      <w:r>
        <w:rPr>
          <w:color w:val="auto"/>
          <w:highlight w:val="none"/>
        </w:rPr>
        <w:fldChar w:fldCharType="separate"/>
      </w:r>
      <w:r>
        <w:rPr>
          <w:color w:val="auto"/>
          <w:highlight w:val="none"/>
        </w:rPr>
        <w:t>24</w:t>
      </w:r>
      <w:r>
        <w:rPr>
          <w:color w:val="auto"/>
          <w:highlight w:val="none"/>
        </w:rPr>
        <w:fldChar w:fldCharType="end"/>
      </w:r>
      <w:r>
        <w:rPr>
          <w:rFonts w:hint="eastAsia" w:ascii="仿宋" w:hAnsi="仿宋" w:eastAsia="仿宋" w:cs="宋体"/>
          <w:color w:val="auto"/>
          <w:szCs w:val="21"/>
          <w:highlight w:val="none"/>
        </w:rPr>
        <w:fldChar w:fldCharType="end"/>
      </w:r>
    </w:p>
    <w:p w14:paraId="63FA4A31">
      <w:pPr>
        <w:pStyle w:val="16"/>
        <w:pageBreakBefore w:val="0"/>
        <w:tabs>
          <w:tab w:val="right" w:leader="dot" w:pos="9638"/>
        </w:tabs>
        <w:kinsoku/>
        <w:overflowPunct/>
        <w:bidi w:val="0"/>
        <w:spacing w:line="600" w:lineRule="exact"/>
        <w:rPr>
          <w:color w:val="auto"/>
          <w:highlight w:val="none"/>
        </w:rPr>
      </w:pPr>
      <w:r>
        <w:rPr>
          <w:rFonts w:hint="eastAsia" w:ascii="仿宋" w:hAnsi="仿宋" w:eastAsia="仿宋" w:cs="宋体"/>
          <w:color w:val="auto"/>
          <w:szCs w:val="21"/>
          <w:highlight w:val="none"/>
        </w:rPr>
        <w:fldChar w:fldCharType="begin"/>
      </w:r>
      <w:r>
        <w:rPr>
          <w:rFonts w:hint="eastAsia" w:ascii="仿宋" w:hAnsi="仿宋" w:eastAsia="仿宋" w:cs="宋体"/>
          <w:color w:val="auto"/>
          <w:szCs w:val="21"/>
          <w:highlight w:val="none"/>
        </w:rPr>
        <w:instrText xml:space="preserve"> HYPERLINK \l _Toc16571 </w:instrText>
      </w:r>
      <w:r>
        <w:rPr>
          <w:rFonts w:hint="eastAsia" w:ascii="仿宋" w:hAnsi="仿宋" w:eastAsia="仿宋" w:cs="宋体"/>
          <w:color w:val="auto"/>
          <w:szCs w:val="21"/>
          <w:highlight w:val="none"/>
        </w:rPr>
        <w:fldChar w:fldCharType="separate"/>
      </w:r>
      <w:r>
        <w:rPr>
          <w:rFonts w:ascii="仿宋" w:hAnsi="仿宋" w:cs="宋体"/>
          <w:color w:val="auto"/>
          <w:highlight w:val="none"/>
        </w:rPr>
        <w:t>10.4 对招标代理机构的纪律要求</w:t>
      </w:r>
      <w:r>
        <w:rPr>
          <w:color w:val="auto"/>
          <w:highlight w:val="none"/>
        </w:rPr>
        <w:tab/>
      </w:r>
      <w:r>
        <w:rPr>
          <w:color w:val="auto"/>
          <w:highlight w:val="none"/>
        </w:rPr>
        <w:fldChar w:fldCharType="begin"/>
      </w:r>
      <w:r>
        <w:rPr>
          <w:color w:val="auto"/>
          <w:highlight w:val="none"/>
        </w:rPr>
        <w:instrText xml:space="preserve"> PAGEREF _Toc16571 \h </w:instrText>
      </w:r>
      <w:r>
        <w:rPr>
          <w:color w:val="auto"/>
          <w:highlight w:val="none"/>
        </w:rPr>
        <w:fldChar w:fldCharType="separate"/>
      </w:r>
      <w:r>
        <w:rPr>
          <w:color w:val="auto"/>
          <w:highlight w:val="none"/>
        </w:rPr>
        <w:t>24</w:t>
      </w:r>
      <w:r>
        <w:rPr>
          <w:color w:val="auto"/>
          <w:highlight w:val="none"/>
        </w:rPr>
        <w:fldChar w:fldCharType="end"/>
      </w:r>
      <w:r>
        <w:rPr>
          <w:rFonts w:hint="eastAsia" w:ascii="仿宋" w:hAnsi="仿宋" w:eastAsia="仿宋" w:cs="宋体"/>
          <w:color w:val="auto"/>
          <w:szCs w:val="21"/>
          <w:highlight w:val="none"/>
        </w:rPr>
        <w:fldChar w:fldCharType="end"/>
      </w:r>
    </w:p>
    <w:p w14:paraId="37496D97">
      <w:pPr>
        <w:pStyle w:val="16"/>
        <w:pageBreakBefore w:val="0"/>
        <w:tabs>
          <w:tab w:val="right" w:leader="dot" w:pos="9638"/>
        </w:tabs>
        <w:kinsoku/>
        <w:overflowPunct/>
        <w:bidi w:val="0"/>
        <w:spacing w:line="600" w:lineRule="exact"/>
        <w:rPr>
          <w:color w:val="auto"/>
          <w:highlight w:val="none"/>
        </w:rPr>
      </w:pPr>
      <w:r>
        <w:rPr>
          <w:rFonts w:hint="eastAsia" w:ascii="仿宋" w:hAnsi="仿宋" w:eastAsia="仿宋" w:cs="宋体"/>
          <w:color w:val="auto"/>
          <w:szCs w:val="21"/>
          <w:highlight w:val="none"/>
        </w:rPr>
        <w:fldChar w:fldCharType="begin"/>
      </w:r>
      <w:r>
        <w:rPr>
          <w:rFonts w:hint="eastAsia" w:ascii="仿宋" w:hAnsi="仿宋" w:eastAsia="仿宋" w:cs="宋体"/>
          <w:color w:val="auto"/>
          <w:szCs w:val="21"/>
          <w:highlight w:val="none"/>
        </w:rPr>
        <w:instrText xml:space="preserve"> HYPERLINK \l _Toc28887 </w:instrText>
      </w:r>
      <w:r>
        <w:rPr>
          <w:rFonts w:hint="eastAsia" w:ascii="仿宋" w:hAnsi="仿宋" w:eastAsia="仿宋" w:cs="宋体"/>
          <w:color w:val="auto"/>
          <w:szCs w:val="21"/>
          <w:highlight w:val="none"/>
        </w:rPr>
        <w:fldChar w:fldCharType="separate"/>
      </w:r>
      <w:r>
        <w:rPr>
          <w:rFonts w:ascii="仿宋" w:hAnsi="仿宋" w:cs="宋体"/>
          <w:color w:val="auto"/>
          <w:highlight w:val="none"/>
        </w:rPr>
        <w:t>10.5 对与评标活动有关的工作人员的纪律要求</w:t>
      </w:r>
      <w:r>
        <w:rPr>
          <w:color w:val="auto"/>
          <w:highlight w:val="none"/>
        </w:rPr>
        <w:tab/>
      </w:r>
      <w:r>
        <w:rPr>
          <w:color w:val="auto"/>
          <w:highlight w:val="none"/>
        </w:rPr>
        <w:fldChar w:fldCharType="begin"/>
      </w:r>
      <w:r>
        <w:rPr>
          <w:color w:val="auto"/>
          <w:highlight w:val="none"/>
        </w:rPr>
        <w:instrText xml:space="preserve"> PAGEREF _Toc28887 \h </w:instrText>
      </w:r>
      <w:r>
        <w:rPr>
          <w:color w:val="auto"/>
          <w:highlight w:val="none"/>
        </w:rPr>
        <w:fldChar w:fldCharType="separate"/>
      </w:r>
      <w:r>
        <w:rPr>
          <w:color w:val="auto"/>
          <w:highlight w:val="none"/>
        </w:rPr>
        <w:t>25</w:t>
      </w:r>
      <w:r>
        <w:rPr>
          <w:color w:val="auto"/>
          <w:highlight w:val="none"/>
        </w:rPr>
        <w:fldChar w:fldCharType="end"/>
      </w:r>
      <w:r>
        <w:rPr>
          <w:rFonts w:hint="eastAsia" w:ascii="仿宋" w:hAnsi="仿宋" w:eastAsia="仿宋" w:cs="宋体"/>
          <w:color w:val="auto"/>
          <w:szCs w:val="21"/>
          <w:highlight w:val="none"/>
        </w:rPr>
        <w:fldChar w:fldCharType="end"/>
      </w:r>
    </w:p>
    <w:p w14:paraId="2A8DCF12">
      <w:pPr>
        <w:pStyle w:val="29"/>
        <w:pageBreakBefore w:val="0"/>
        <w:tabs>
          <w:tab w:val="right" w:leader="dot" w:pos="9638"/>
        </w:tabs>
        <w:kinsoku/>
        <w:overflowPunct/>
        <w:bidi w:val="0"/>
        <w:spacing w:line="600" w:lineRule="exact"/>
        <w:rPr>
          <w:color w:val="auto"/>
          <w:highlight w:val="none"/>
        </w:rPr>
      </w:pPr>
      <w:r>
        <w:rPr>
          <w:rFonts w:hint="eastAsia" w:ascii="仿宋" w:hAnsi="仿宋" w:eastAsia="仿宋" w:cs="宋体"/>
          <w:color w:val="auto"/>
          <w:szCs w:val="21"/>
          <w:highlight w:val="none"/>
        </w:rPr>
        <w:fldChar w:fldCharType="begin"/>
      </w:r>
      <w:r>
        <w:rPr>
          <w:rFonts w:hint="eastAsia" w:ascii="仿宋" w:hAnsi="仿宋" w:eastAsia="仿宋" w:cs="宋体"/>
          <w:color w:val="auto"/>
          <w:szCs w:val="21"/>
          <w:highlight w:val="none"/>
        </w:rPr>
        <w:instrText xml:space="preserve"> HYPERLINK \l _Toc5195 </w:instrText>
      </w:r>
      <w:r>
        <w:rPr>
          <w:rFonts w:hint="eastAsia" w:ascii="仿宋" w:hAnsi="仿宋" w:eastAsia="仿宋" w:cs="宋体"/>
          <w:color w:val="auto"/>
          <w:szCs w:val="21"/>
          <w:highlight w:val="none"/>
        </w:rPr>
        <w:fldChar w:fldCharType="separate"/>
      </w:r>
      <w:r>
        <w:rPr>
          <w:rFonts w:hint="eastAsia"/>
          <w:color w:val="auto"/>
          <w:highlight w:val="none"/>
        </w:rPr>
        <w:t>11. 需要补充的其他内容</w:t>
      </w:r>
      <w:r>
        <w:rPr>
          <w:color w:val="auto"/>
          <w:highlight w:val="none"/>
        </w:rPr>
        <w:tab/>
      </w:r>
      <w:r>
        <w:rPr>
          <w:color w:val="auto"/>
          <w:highlight w:val="none"/>
        </w:rPr>
        <w:fldChar w:fldCharType="begin"/>
      </w:r>
      <w:r>
        <w:rPr>
          <w:color w:val="auto"/>
          <w:highlight w:val="none"/>
        </w:rPr>
        <w:instrText xml:space="preserve"> PAGEREF _Toc5195 \h </w:instrText>
      </w:r>
      <w:r>
        <w:rPr>
          <w:color w:val="auto"/>
          <w:highlight w:val="none"/>
        </w:rPr>
        <w:fldChar w:fldCharType="separate"/>
      </w:r>
      <w:r>
        <w:rPr>
          <w:color w:val="auto"/>
          <w:highlight w:val="none"/>
        </w:rPr>
        <w:t>25</w:t>
      </w:r>
      <w:r>
        <w:rPr>
          <w:color w:val="auto"/>
          <w:highlight w:val="none"/>
        </w:rPr>
        <w:fldChar w:fldCharType="end"/>
      </w:r>
      <w:r>
        <w:rPr>
          <w:rFonts w:hint="eastAsia" w:ascii="仿宋" w:hAnsi="仿宋" w:eastAsia="仿宋" w:cs="宋体"/>
          <w:color w:val="auto"/>
          <w:szCs w:val="21"/>
          <w:highlight w:val="none"/>
        </w:rPr>
        <w:fldChar w:fldCharType="end"/>
      </w:r>
    </w:p>
    <w:p w14:paraId="34C73DA2">
      <w:pPr>
        <w:pStyle w:val="24"/>
        <w:pageBreakBefore w:val="0"/>
        <w:tabs>
          <w:tab w:val="right" w:leader="dot" w:pos="9638"/>
        </w:tabs>
        <w:kinsoku/>
        <w:overflowPunct/>
        <w:bidi w:val="0"/>
        <w:spacing w:line="600" w:lineRule="exact"/>
        <w:rPr>
          <w:color w:val="auto"/>
          <w:highlight w:val="none"/>
        </w:rPr>
      </w:pPr>
      <w:r>
        <w:rPr>
          <w:rFonts w:hint="eastAsia" w:ascii="仿宋" w:hAnsi="仿宋" w:eastAsia="仿宋" w:cs="宋体"/>
          <w:color w:val="auto"/>
          <w:szCs w:val="21"/>
          <w:highlight w:val="none"/>
        </w:rPr>
        <w:fldChar w:fldCharType="begin"/>
      </w:r>
      <w:r>
        <w:rPr>
          <w:rFonts w:hint="eastAsia" w:ascii="仿宋" w:hAnsi="仿宋" w:eastAsia="仿宋" w:cs="宋体"/>
          <w:color w:val="auto"/>
          <w:szCs w:val="21"/>
          <w:highlight w:val="none"/>
        </w:rPr>
        <w:instrText xml:space="preserve"> HYPERLINK \l _Toc30018 </w:instrText>
      </w:r>
      <w:r>
        <w:rPr>
          <w:rFonts w:hint="eastAsia" w:ascii="仿宋" w:hAnsi="仿宋" w:eastAsia="仿宋" w:cs="宋体"/>
          <w:color w:val="auto"/>
          <w:szCs w:val="21"/>
          <w:highlight w:val="none"/>
        </w:rPr>
        <w:fldChar w:fldCharType="separate"/>
      </w:r>
      <w:r>
        <w:rPr>
          <w:rFonts w:hint="eastAsia" w:ascii="仿宋" w:hAnsi="仿宋" w:cs="宋体"/>
          <w:color w:val="auto"/>
          <w:highlight w:val="none"/>
        </w:rPr>
        <w:t>第三章 评标办法</w:t>
      </w:r>
      <w:r>
        <w:rPr>
          <w:color w:val="auto"/>
          <w:highlight w:val="none"/>
        </w:rPr>
        <w:tab/>
      </w:r>
      <w:r>
        <w:rPr>
          <w:color w:val="auto"/>
          <w:highlight w:val="none"/>
        </w:rPr>
        <w:fldChar w:fldCharType="begin"/>
      </w:r>
      <w:r>
        <w:rPr>
          <w:color w:val="auto"/>
          <w:highlight w:val="none"/>
        </w:rPr>
        <w:instrText xml:space="preserve"> PAGEREF _Toc30018 \h </w:instrText>
      </w:r>
      <w:r>
        <w:rPr>
          <w:color w:val="auto"/>
          <w:highlight w:val="none"/>
        </w:rPr>
        <w:fldChar w:fldCharType="separate"/>
      </w:r>
      <w:r>
        <w:rPr>
          <w:color w:val="auto"/>
          <w:highlight w:val="none"/>
        </w:rPr>
        <w:t>26</w:t>
      </w:r>
      <w:r>
        <w:rPr>
          <w:color w:val="auto"/>
          <w:highlight w:val="none"/>
        </w:rPr>
        <w:fldChar w:fldCharType="end"/>
      </w:r>
      <w:r>
        <w:rPr>
          <w:rFonts w:hint="eastAsia" w:ascii="仿宋" w:hAnsi="仿宋" w:eastAsia="仿宋" w:cs="宋体"/>
          <w:color w:val="auto"/>
          <w:szCs w:val="21"/>
          <w:highlight w:val="none"/>
        </w:rPr>
        <w:fldChar w:fldCharType="end"/>
      </w:r>
    </w:p>
    <w:p w14:paraId="48E409E5">
      <w:pPr>
        <w:pStyle w:val="29"/>
        <w:pageBreakBefore w:val="0"/>
        <w:tabs>
          <w:tab w:val="right" w:leader="dot" w:pos="9638"/>
        </w:tabs>
        <w:kinsoku/>
        <w:overflowPunct/>
        <w:bidi w:val="0"/>
        <w:spacing w:line="600" w:lineRule="exact"/>
        <w:rPr>
          <w:color w:val="auto"/>
          <w:highlight w:val="none"/>
        </w:rPr>
      </w:pPr>
      <w:r>
        <w:rPr>
          <w:rFonts w:hint="eastAsia" w:ascii="仿宋" w:hAnsi="仿宋" w:eastAsia="仿宋" w:cs="宋体"/>
          <w:color w:val="auto"/>
          <w:szCs w:val="21"/>
          <w:highlight w:val="none"/>
        </w:rPr>
        <w:fldChar w:fldCharType="begin"/>
      </w:r>
      <w:r>
        <w:rPr>
          <w:rFonts w:hint="eastAsia" w:ascii="仿宋" w:hAnsi="仿宋" w:eastAsia="仿宋" w:cs="宋体"/>
          <w:color w:val="auto"/>
          <w:szCs w:val="21"/>
          <w:highlight w:val="none"/>
        </w:rPr>
        <w:instrText xml:space="preserve"> HYPERLINK \l _Toc31831 </w:instrText>
      </w:r>
      <w:r>
        <w:rPr>
          <w:rFonts w:hint="eastAsia" w:ascii="仿宋" w:hAnsi="仿宋" w:eastAsia="仿宋" w:cs="宋体"/>
          <w:color w:val="auto"/>
          <w:szCs w:val="21"/>
          <w:highlight w:val="none"/>
        </w:rPr>
        <w:fldChar w:fldCharType="separate"/>
      </w:r>
      <w:r>
        <w:rPr>
          <w:rFonts w:hint="eastAsia" w:ascii="仿宋" w:hAnsi="仿宋" w:cs="宋体"/>
          <w:color w:val="auto"/>
          <w:szCs w:val="24"/>
          <w:highlight w:val="none"/>
        </w:rPr>
        <w:t>评标办法前附表</w:t>
      </w:r>
      <w:r>
        <w:rPr>
          <w:color w:val="auto"/>
          <w:highlight w:val="none"/>
        </w:rPr>
        <w:tab/>
      </w:r>
      <w:r>
        <w:rPr>
          <w:color w:val="auto"/>
          <w:highlight w:val="none"/>
        </w:rPr>
        <w:fldChar w:fldCharType="begin"/>
      </w:r>
      <w:r>
        <w:rPr>
          <w:color w:val="auto"/>
          <w:highlight w:val="none"/>
        </w:rPr>
        <w:instrText xml:space="preserve"> PAGEREF _Toc31831 \h </w:instrText>
      </w:r>
      <w:r>
        <w:rPr>
          <w:color w:val="auto"/>
          <w:highlight w:val="none"/>
        </w:rPr>
        <w:fldChar w:fldCharType="separate"/>
      </w:r>
      <w:r>
        <w:rPr>
          <w:color w:val="auto"/>
          <w:highlight w:val="none"/>
        </w:rPr>
        <w:t>26</w:t>
      </w:r>
      <w:r>
        <w:rPr>
          <w:color w:val="auto"/>
          <w:highlight w:val="none"/>
        </w:rPr>
        <w:fldChar w:fldCharType="end"/>
      </w:r>
      <w:r>
        <w:rPr>
          <w:rFonts w:hint="eastAsia" w:ascii="仿宋" w:hAnsi="仿宋" w:eastAsia="仿宋" w:cs="宋体"/>
          <w:color w:val="auto"/>
          <w:szCs w:val="21"/>
          <w:highlight w:val="none"/>
        </w:rPr>
        <w:fldChar w:fldCharType="end"/>
      </w:r>
    </w:p>
    <w:p w14:paraId="61219375">
      <w:pPr>
        <w:pStyle w:val="16"/>
        <w:pageBreakBefore w:val="0"/>
        <w:tabs>
          <w:tab w:val="right" w:leader="dot" w:pos="9638"/>
        </w:tabs>
        <w:kinsoku/>
        <w:overflowPunct/>
        <w:bidi w:val="0"/>
        <w:spacing w:line="600" w:lineRule="exact"/>
        <w:rPr>
          <w:color w:val="auto"/>
          <w:highlight w:val="none"/>
        </w:rPr>
      </w:pPr>
      <w:r>
        <w:rPr>
          <w:rFonts w:hint="eastAsia" w:ascii="仿宋" w:hAnsi="仿宋" w:eastAsia="仿宋" w:cs="宋体"/>
          <w:color w:val="auto"/>
          <w:szCs w:val="21"/>
          <w:highlight w:val="none"/>
        </w:rPr>
        <w:fldChar w:fldCharType="begin"/>
      </w:r>
      <w:r>
        <w:rPr>
          <w:rFonts w:hint="eastAsia" w:ascii="仿宋" w:hAnsi="仿宋" w:eastAsia="仿宋" w:cs="宋体"/>
          <w:color w:val="auto"/>
          <w:szCs w:val="21"/>
          <w:highlight w:val="none"/>
        </w:rPr>
        <w:instrText xml:space="preserve"> HYPERLINK \l _Toc1372 </w:instrText>
      </w:r>
      <w:r>
        <w:rPr>
          <w:rFonts w:hint="eastAsia" w:ascii="仿宋" w:hAnsi="仿宋" w:eastAsia="仿宋" w:cs="宋体"/>
          <w:color w:val="auto"/>
          <w:szCs w:val="21"/>
          <w:highlight w:val="none"/>
        </w:rPr>
        <w:fldChar w:fldCharType="separate"/>
      </w:r>
      <w:r>
        <w:rPr>
          <w:color w:val="auto"/>
          <w:highlight w:val="none"/>
        </w:rPr>
        <w:t>1、初步评审标准</w:t>
      </w:r>
      <w:r>
        <w:rPr>
          <w:color w:val="auto"/>
          <w:highlight w:val="none"/>
        </w:rPr>
        <w:tab/>
      </w:r>
      <w:r>
        <w:rPr>
          <w:color w:val="auto"/>
          <w:highlight w:val="none"/>
        </w:rPr>
        <w:fldChar w:fldCharType="begin"/>
      </w:r>
      <w:r>
        <w:rPr>
          <w:color w:val="auto"/>
          <w:highlight w:val="none"/>
        </w:rPr>
        <w:instrText xml:space="preserve"> PAGEREF _Toc1372 \h </w:instrText>
      </w:r>
      <w:r>
        <w:rPr>
          <w:color w:val="auto"/>
          <w:highlight w:val="none"/>
        </w:rPr>
        <w:fldChar w:fldCharType="separate"/>
      </w:r>
      <w:r>
        <w:rPr>
          <w:color w:val="auto"/>
          <w:highlight w:val="none"/>
        </w:rPr>
        <w:t>26</w:t>
      </w:r>
      <w:r>
        <w:rPr>
          <w:color w:val="auto"/>
          <w:highlight w:val="none"/>
        </w:rPr>
        <w:fldChar w:fldCharType="end"/>
      </w:r>
      <w:r>
        <w:rPr>
          <w:rFonts w:hint="eastAsia" w:ascii="仿宋" w:hAnsi="仿宋" w:eastAsia="仿宋" w:cs="宋体"/>
          <w:color w:val="auto"/>
          <w:szCs w:val="21"/>
          <w:highlight w:val="none"/>
        </w:rPr>
        <w:fldChar w:fldCharType="end"/>
      </w:r>
    </w:p>
    <w:p w14:paraId="63367B20">
      <w:pPr>
        <w:pStyle w:val="16"/>
        <w:pageBreakBefore w:val="0"/>
        <w:tabs>
          <w:tab w:val="right" w:leader="dot" w:pos="9638"/>
        </w:tabs>
        <w:kinsoku/>
        <w:overflowPunct/>
        <w:bidi w:val="0"/>
        <w:spacing w:line="600" w:lineRule="exact"/>
        <w:rPr>
          <w:color w:val="auto"/>
          <w:highlight w:val="none"/>
        </w:rPr>
      </w:pPr>
      <w:r>
        <w:rPr>
          <w:rFonts w:hint="eastAsia" w:ascii="仿宋" w:hAnsi="仿宋" w:eastAsia="仿宋" w:cs="宋体"/>
          <w:color w:val="auto"/>
          <w:szCs w:val="21"/>
          <w:highlight w:val="none"/>
        </w:rPr>
        <w:fldChar w:fldCharType="begin"/>
      </w:r>
      <w:r>
        <w:rPr>
          <w:rFonts w:hint="eastAsia" w:ascii="仿宋" w:hAnsi="仿宋" w:eastAsia="仿宋" w:cs="宋体"/>
          <w:color w:val="auto"/>
          <w:szCs w:val="21"/>
          <w:highlight w:val="none"/>
        </w:rPr>
        <w:instrText xml:space="preserve"> HYPERLINK \l _Toc31474 </w:instrText>
      </w:r>
      <w:r>
        <w:rPr>
          <w:rFonts w:hint="eastAsia" w:ascii="仿宋" w:hAnsi="仿宋" w:eastAsia="仿宋" w:cs="宋体"/>
          <w:color w:val="auto"/>
          <w:szCs w:val="21"/>
          <w:highlight w:val="none"/>
        </w:rPr>
        <w:fldChar w:fldCharType="separate"/>
      </w:r>
      <w:r>
        <w:rPr>
          <w:color w:val="auto"/>
          <w:highlight w:val="none"/>
        </w:rPr>
        <w:t>2、否决投标情形汇总</w:t>
      </w:r>
      <w:r>
        <w:rPr>
          <w:color w:val="auto"/>
          <w:highlight w:val="none"/>
        </w:rPr>
        <w:tab/>
      </w:r>
      <w:r>
        <w:rPr>
          <w:color w:val="auto"/>
          <w:highlight w:val="none"/>
        </w:rPr>
        <w:fldChar w:fldCharType="begin"/>
      </w:r>
      <w:r>
        <w:rPr>
          <w:color w:val="auto"/>
          <w:highlight w:val="none"/>
        </w:rPr>
        <w:instrText xml:space="preserve"> PAGEREF _Toc31474 \h </w:instrText>
      </w:r>
      <w:r>
        <w:rPr>
          <w:color w:val="auto"/>
          <w:highlight w:val="none"/>
        </w:rPr>
        <w:fldChar w:fldCharType="separate"/>
      </w:r>
      <w:r>
        <w:rPr>
          <w:color w:val="auto"/>
          <w:highlight w:val="none"/>
        </w:rPr>
        <w:t>28</w:t>
      </w:r>
      <w:r>
        <w:rPr>
          <w:color w:val="auto"/>
          <w:highlight w:val="none"/>
        </w:rPr>
        <w:fldChar w:fldCharType="end"/>
      </w:r>
      <w:r>
        <w:rPr>
          <w:rFonts w:hint="eastAsia" w:ascii="仿宋" w:hAnsi="仿宋" w:eastAsia="仿宋" w:cs="宋体"/>
          <w:color w:val="auto"/>
          <w:szCs w:val="21"/>
          <w:highlight w:val="none"/>
        </w:rPr>
        <w:fldChar w:fldCharType="end"/>
      </w:r>
    </w:p>
    <w:p w14:paraId="57608E74">
      <w:pPr>
        <w:pStyle w:val="16"/>
        <w:pageBreakBefore w:val="0"/>
        <w:tabs>
          <w:tab w:val="right" w:leader="dot" w:pos="9638"/>
        </w:tabs>
        <w:kinsoku/>
        <w:overflowPunct/>
        <w:bidi w:val="0"/>
        <w:spacing w:line="600" w:lineRule="exact"/>
        <w:rPr>
          <w:color w:val="auto"/>
          <w:highlight w:val="none"/>
        </w:rPr>
      </w:pPr>
      <w:r>
        <w:rPr>
          <w:rFonts w:hint="eastAsia" w:ascii="仿宋" w:hAnsi="仿宋" w:eastAsia="仿宋" w:cs="宋体"/>
          <w:color w:val="auto"/>
          <w:szCs w:val="21"/>
          <w:highlight w:val="none"/>
        </w:rPr>
        <w:fldChar w:fldCharType="begin"/>
      </w:r>
      <w:r>
        <w:rPr>
          <w:rFonts w:hint="eastAsia" w:ascii="仿宋" w:hAnsi="仿宋" w:eastAsia="仿宋" w:cs="宋体"/>
          <w:color w:val="auto"/>
          <w:szCs w:val="21"/>
          <w:highlight w:val="none"/>
        </w:rPr>
        <w:instrText xml:space="preserve"> HYPERLINK \l _Toc26101 </w:instrText>
      </w:r>
      <w:r>
        <w:rPr>
          <w:rFonts w:hint="eastAsia" w:ascii="仿宋" w:hAnsi="仿宋" w:eastAsia="仿宋" w:cs="宋体"/>
          <w:color w:val="auto"/>
          <w:szCs w:val="21"/>
          <w:highlight w:val="none"/>
        </w:rPr>
        <w:fldChar w:fldCharType="separate"/>
      </w:r>
      <w:r>
        <w:rPr>
          <w:rFonts w:hint="eastAsia"/>
          <w:color w:val="auto"/>
          <w:highlight w:val="none"/>
          <w:lang w:val="en-US" w:eastAsia="zh-CN"/>
        </w:rPr>
        <w:t>3、</w:t>
      </w:r>
      <w:r>
        <w:rPr>
          <w:color w:val="auto"/>
          <w:highlight w:val="none"/>
        </w:rPr>
        <w:t>详细评审标准</w:t>
      </w:r>
      <w:r>
        <w:rPr>
          <w:color w:val="auto"/>
          <w:highlight w:val="none"/>
        </w:rPr>
        <w:tab/>
      </w:r>
      <w:r>
        <w:rPr>
          <w:color w:val="auto"/>
          <w:highlight w:val="none"/>
        </w:rPr>
        <w:fldChar w:fldCharType="begin"/>
      </w:r>
      <w:r>
        <w:rPr>
          <w:color w:val="auto"/>
          <w:highlight w:val="none"/>
        </w:rPr>
        <w:instrText xml:space="preserve"> PAGEREF _Toc26101 \h </w:instrText>
      </w:r>
      <w:r>
        <w:rPr>
          <w:color w:val="auto"/>
          <w:highlight w:val="none"/>
        </w:rPr>
        <w:fldChar w:fldCharType="separate"/>
      </w:r>
      <w:r>
        <w:rPr>
          <w:color w:val="auto"/>
          <w:highlight w:val="none"/>
        </w:rPr>
        <w:t>30</w:t>
      </w:r>
      <w:r>
        <w:rPr>
          <w:color w:val="auto"/>
          <w:highlight w:val="none"/>
        </w:rPr>
        <w:fldChar w:fldCharType="end"/>
      </w:r>
      <w:r>
        <w:rPr>
          <w:rFonts w:hint="eastAsia" w:ascii="仿宋" w:hAnsi="仿宋" w:eastAsia="仿宋" w:cs="宋体"/>
          <w:color w:val="auto"/>
          <w:szCs w:val="21"/>
          <w:highlight w:val="none"/>
        </w:rPr>
        <w:fldChar w:fldCharType="end"/>
      </w:r>
    </w:p>
    <w:p w14:paraId="3FAE3D51">
      <w:pPr>
        <w:pStyle w:val="29"/>
        <w:pageBreakBefore w:val="0"/>
        <w:tabs>
          <w:tab w:val="right" w:leader="dot" w:pos="9638"/>
        </w:tabs>
        <w:kinsoku/>
        <w:overflowPunct/>
        <w:bidi w:val="0"/>
        <w:spacing w:line="600" w:lineRule="exact"/>
        <w:rPr>
          <w:color w:val="auto"/>
          <w:highlight w:val="none"/>
        </w:rPr>
      </w:pPr>
      <w:r>
        <w:rPr>
          <w:rFonts w:hint="eastAsia" w:ascii="仿宋" w:hAnsi="仿宋" w:eastAsia="仿宋" w:cs="宋体"/>
          <w:color w:val="auto"/>
          <w:szCs w:val="21"/>
          <w:highlight w:val="none"/>
        </w:rPr>
        <w:fldChar w:fldCharType="begin"/>
      </w:r>
      <w:r>
        <w:rPr>
          <w:rFonts w:hint="eastAsia" w:ascii="仿宋" w:hAnsi="仿宋" w:eastAsia="仿宋" w:cs="宋体"/>
          <w:color w:val="auto"/>
          <w:szCs w:val="21"/>
          <w:highlight w:val="none"/>
        </w:rPr>
        <w:instrText xml:space="preserve"> HYPERLINK \l _Toc2188 </w:instrText>
      </w:r>
      <w:r>
        <w:rPr>
          <w:rFonts w:hint="eastAsia" w:ascii="仿宋" w:hAnsi="仿宋" w:eastAsia="仿宋" w:cs="宋体"/>
          <w:color w:val="auto"/>
          <w:szCs w:val="21"/>
          <w:highlight w:val="none"/>
        </w:rPr>
        <w:fldChar w:fldCharType="separate"/>
      </w:r>
      <w:r>
        <w:rPr>
          <w:rFonts w:hint="eastAsia" w:ascii="仿宋" w:hAnsi="仿宋" w:cs="宋体"/>
          <w:color w:val="auto"/>
          <w:szCs w:val="24"/>
          <w:highlight w:val="none"/>
        </w:rPr>
        <w:t>一、评标方法</w:t>
      </w:r>
      <w:r>
        <w:rPr>
          <w:color w:val="auto"/>
          <w:highlight w:val="none"/>
        </w:rPr>
        <w:tab/>
      </w:r>
      <w:r>
        <w:rPr>
          <w:color w:val="auto"/>
          <w:highlight w:val="none"/>
        </w:rPr>
        <w:fldChar w:fldCharType="begin"/>
      </w:r>
      <w:r>
        <w:rPr>
          <w:color w:val="auto"/>
          <w:highlight w:val="none"/>
        </w:rPr>
        <w:instrText xml:space="preserve"> PAGEREF _Toc2188 \h </w:instrText>
      </w:r>
      <w:r>
        <w:rPr>
          <w:color w:val="auto"/>
          <w:highlight w:val="none"/>
        </w:rPr>
        <w:fldChar w:fldCharType="separate"/>
      </w:r>
      <w:r>
        <w:rPr>
          <w:color w:val="auto"/>
          <w:highlight w:val="none"/>
        </w:rPr>
        <w:t>31</w:t>
      </w:r>
      <w:r>
        <w:rPr>
          <w:color w:val="auto"/>
          <w:highlight w:val="none"/>
        </w:rPr>
        <w:fldChar w:fldCharType="end"/>
      </w:r>
      <w:r>
        <w:rPr>
          <w:rFonts w:hint="eastAsia" w:ascii="仿宋" w:hAnsi="仿宋" w:eastAsia="仿宋" w:cs="宋体"/>
          <w:color w:val="auto"/>
          <w:szCs w:val="21"/>
          <w:highlight w:val="none"/>
        </w:rPr>
        <w:fldChar w:fldCharType="end"/>
      </w:r>
    </w:p>
    <w:p w14:paraId="3697D14F">
      <w:pPr>
        <w:pStyle w:val="29"/>
        <w:pageBreakBefore w:val="0"/>
        <w:tabs>
          <w:tab w:val="right" w:leader="dot" w:pos="9638"/>
        </w:tabs>
        <w:kinsoku/>
        <w:overflowPunct/>
        <w:bidi w:val="0"/>
        <w:spacing w:line="600" w:lineRule="exact"/>
        <w:rPr>
          <w:color w:val="auto"/>
          <w:highlight w:val="none"/>
        </w:rPr>
      </w:pPr>
      <w:r>
        <w:rPr>
          <w:rFonts w:hint="eastAsia" w:ascii="仿宋" w:hAnsi="仿宋" w:eastAsia="仿宋" w:cs="宋体"/>
          <w:color w:val="auto"/>
          <w:szCs w:val="21"/>
          <w:highlight w:val="none"/>
        </w:rPr>
        <w:fldChar w:fldCharType="begin"/>
      </w:r>
      <w:r>
        <w:rPr>
          <w:rFonts w:hint="eastAsia" w:ascii="仿宋" w:hAnsi="仿宋" w:eastAsia="仿宋" w:cs="宋体"/>
          <w:color w:val="auto"/>
          <w:szCs w:val="21"/>
          <w:highlight w:val="none"/>
        </w:rPr>
        <w:instrText xml:space="preserve"> HYPERLINK \l _Toc24853 </w:instrText>
      </w:r>
      <w:r>
        <w:rPr>
          <w:rFonts w:hint="eastAsia" w:ascii="仿宋" w:hAnsi="仿宋" w:eastAsia="仿宋" w:cs="宋体"/>
          <w:color w:val="auto"/>
          <w:szCs w:val="21"/>
          <w:highlight w:val="none"/>
        </w:rPr>
        <w:fldChar w:fldCharType="separate"/>
      </w:r>
      <w:r>
        <w:rPr>
          <w:rFonts w:hint="eastAsia" w:ascii="仿宋" w:hAnsi="仿宋" w:cs="宋体"/>
          <w:color w:val="auto"/>
          <w:szCs w:val="24"/>
          <w:highlight w:val="none"/>
        </w:rPr>
        <w:t>二、评审标准</w:t>
      </w:r>
      <w:r>
        <w:rPr>
          <w:color w:val="auto"/>
          <w:highlight w:val="none"/>
        </w:rPr>
        <w:tab/>
      </w:r>
      <w:r>
        <w:rPr>
          <w:color w:val="auto"/>
          <w:highlight w:val="none"/>
        </w:rPr>
        <w:fldChar w:fldCharType="begin"/>
      </w:r>
      <w:r>
        <w:rPr>
          <w:color w:val="auto"/>
          <w:highlight w:val="none"/>
        </w:rPr>
        <w:instrText xml:space="preserve"> PAGEREF _Toc24853 \h </w:instrText>
      </w:r>
      <w:r>
        <w:rPr>
          <w:color w:val="auto"/>
          <w:highlight w:val="none"/>
        </w:rPr>
        <w:fldChar w:fldCharType="separate"/>
      </w:r>
      <w:r>
        <w:rPr>
          <w:color w:val="auto"/>
          <w:highlight w:val="none"/>
        </w:rPr>
        <w:t>31</w:t>
      </w:r>
      <w:r>
        <w:rPr>
          <w:color w:val="auto"/>
          <w:highlight w:val="none"/>
        </w:rPr>
        <w:fldChar w:fldCharType="end"/>
      </w:r>
      <w:r>
        <w:rPr>
          <w:rFonts w:hint="eastAsia" w:ascii="仿宋" w:hAnsi="仿宋" w:eastAsia="仿宋" w:cs="宋体"/>
          <w:color w:val="auto"/>
          <w:szCs w:val="21"/>
          <w:highlight w:val="none"/>
        </w:rPr>
        <w:fldChar w:fldCharType="end"/>
      </w:r>
    </w:p>
    <w:p w14:paraId="0041728B">
      <w:pPr>
        <w:pStyle w:val="29"/>
        <w:pageBreakBefore w:val="0"/>
        <w:tabs>
          <w:tab w:val="right" w:leader="dot" w:pos="9638"/>
        </w:tabs>
        <w:kinsoku/>
        <w:overflowPunct/>
        <w:bidi w:val="0"/>
        <w:spacing w:line="600" w:lineRule="exact"/>
        <w:rPr>
          <w:color w:val="auto"/>
          <w:highlight w:val="none"/>
        </w:rPr>
      </w:pPr>
      <w:r>
        <w:rPr>
          <w:rFonts w:hint="eastAsia" w:ascii="仿宋" w:hAnsi="仿宋" w:eastAsia="仿宋" w:cs="宋体"/>
          <w:color w:val="auto"/>
          <w:szCs w:val="21"/>
          <w:highlight w:val="none"/>
        </w:rPr>
        <w:fldChar w:fldCharType="begin"/>
      </w:r>
      <w:r>
        <w:rPr>
          <w:rFonts w:hint="eastAsia" w:ascii="仿宋" w:hAnsi="仿宋" w:eastAsia="仿宋" w:cs="宋体"/>
          <w:color w:val="auto"/>
          <w:szCs w:val="21"/>
          <w:highlight w:val="none"/>
        </w:rPr>
        <w:instrText xml:space="preserve"> HYPERLINK \l _Toc5379 </w:instrText>
      </w:r>
      <w:r>
        <w:rPr>
          <w:rFonts w:hint="eastAsia" w:ascii="仿宋" w:hAnsi="仿宋" w:eastAsia="仿宋" w:cs="宋体"/>
          <w:color w:val="auto"/>
          <w:szCs w:val="21"/>
          <w:highlight w:val="none"/>
        </w:rPr>
        <w:fldChar w:fldCharType="separate"/>
      </w:r>
      <w:r>
        <w:rPr>
          <w:rFonts w:hint="eastAsia" w:ascii="仿宋" w:hAnsi="仿宋" w:cs="宋体"/>
          <w:color w:val="auto"/>
          <w:szCs w:val="24"/>
          <w:highlight w:val="none"/>
        </w:rPr>
        <w:t>三、评标程序</w:t>
      </w:r>
      <w:r>
        <w:rPr>
          <w:color w:val="auto"/>
          <w:highlight w:val="none"/>
        </w:rPr>
        <w:tab/>
      </w:r>
      <w:r>
        <w:rPr>
          <w:color w:val="auto"/>
          <w:highlight w:val="none"/>
        </w:rPr>
        <w:fldChar w:fldCharType="begin"/>
      </w:r>
      <w:r>
        <w:rPr>
          <w:color w:val="auto"/>
          <w:highlight w:val="none"/>
        </w:rPr>
        <w:instrText xml:space="preserve"> PAGEREF _Toc5379 \h </w:instrText>
      </w:r>
      <w:r>
        <w:rPr>
          <w:color w:val="auto"/>
          <w:highlight w:val="none"/>
        </w:rPr>
        <w:fldChar w:fldCharType="separate"/>
      </w:r>
      <w:r>
        <w:rPr>
          <w:color w:val="auto"/>
          <w:highlight w:val="none"/>
        </w:rPr>
        <w:t>31</w:t>
      </w:r>
      <w:r>
        <w:rPr>
          <w:color w:val="auto"/>
          <w:highlight w:val="none"/>
        </w:rPr>
        <w:fldChar w:fldCharType="end"/>
      </w:r>
      <w:r>
        <w:rPr>
          <w:rFonts w:hint="eastAsia" w:ascii="仿宋" w:hAnsi="仿宋" w:eastAsia="仿宋" w:cs="宋体"/>
          <w:color w:val="auto"/>
          <w:szCs w:val="21"/>
          <w:highlight w:val="none"/>
        </w:rPr>
        <w:fldChar w:fldCharType="end"/>
      </w:r>
    </w:p>
    <w:p w14:paraId="7A263E6D">
      <w:pPr>
        <w:pStyle w:val="16"/>
        <w:pageBreakBefore w:val="0"/>
        <w:tabs>
          <w:tab w:val="right" w:leader="dot" w:pos="9638"/>
        </w:tabs>
        <w:kinsoku/>
        <w:overflowPunct/>
        <w:bidi w:val="0"/>
        <w:spacing w:line="600" w:lineRule="exact"/>
        <w:rPr>
          <w:color w:val="auto"/>
          <w:highlight w:val="none"/>
        </w:rPr>
      </w:pPr>
      <w:r>
        <w:rPr>
          <w:rFonts w:hint="eastAsia" w:ascii="仿宋" w:hAnsi="仿宋" w:eastAsia="仿宋" w:cs="宋体"/>
          <w:color w:val="auto"/>
          <w:szCs w:val="21"/>
          <w:highlight w:val="none"/>
        </w:rPr>
        <w:fldChar w:fldCharType="begin"/>
      </w:r>
      <w:r>
        <w:rPr>
          <w:rFonts w:hint="eastAsia" w:ascii="仿宋" w:hAnsi="仿宋" w:eastAsia="仿宋" w:cs="宋体"/>
          <w:color w:val="auto"/>
          <w:szCs w:val="21"/>
          <w:highlight w:val="none"/>
        </w:rPr>
        <w:instrText xml:space="preserve"> HYPERLINK \l _Toc1356 </w:instrText>
      </w:r>
      <w:r>
        <w:rPr>
          <w:rFonts w:hint="eastAsia" w:ascii="仿宋" w:hAnsi="仿宋" w:eastAsia="仿宋" w:cs="宋体"/>
          <w:color w:val="auto"/>
          <w:szCs w:val="21"/>
          <w:highlight w:val="none"/>
        </w:rPr>
        <w:fldChar w:fldCharType="separate"/>
      </w:r>
      <w:r>
        <w:rPr>
          <w:rFonts w:hint="eastAsia"/>
          <w:color w:val="auto"/>
          <w:highlight w:val="none"/>
        </w:rPr>
        <w:t>3.1初步评审</w:t>
      </w:r>
      <w:r>
        <w:rPr>
          <w:color w:val="auto"/>
          <w:highlight w:val="none"/>
        </w:rPr>
        <w:tab/>
      </w:r>
      <w:r>
        <w:rPr>
          <w:color w:val="auto"/>
          <w:highlight w:val="none"/>
        </w:rPr>
        <w:fldChar w:fldCharType="begin"/>
      </w:r>
      <w:r>
        <w:rPr>
          <w:color w:val="auto"/>
          <w:highlight w:val="none"/>
        </w:rPr>
        <w:instrText xml:space="preserve"> PAGEREF _Toc1356 \h </w:instrText>
      </w:r>
      <w:r>
        <w:rPr>
          <w:color w:val="auto"/>
          <w:highlight w:val="none"/>
        </w:rPr>
        <w:fldChar w:fldCharType="separate"/>
      </w:r>
      <w:r>
        <w:rPr>
          <w:color w:val="auto"/>
          <w:highlight w:val="none"/>
        </w:rPr>
        <w:t>31</w:t>
      </w:r>
      <w:r>
        <w:rPr>
          <w:color w:val="auto"/>
          <w:highlight w:val="none"/>
        </w:rPr>
        <w:fldChar w:fldCharType="end"/>
      </w:r>
      <w:r>
        <w:rPr>
          <w:rFonts w:hint="eastAsia" w:ascii="仿宋" w:hAnsi="仿宋" w:eastAsia="仿宋" w:cs="宋体"/>
          <w:color w:val="auto"/>
          <w:szCs w:val="21"/>
          <w:highlight w:val="none"/>
        </w:rPr>
        <w:fldChar w:fldCharType="end"/>
      </w:r>
    </w:p>
    <w:p w14:paraId="3D5E9D2B">
      <w:pPr>
        <w:pStyle w:val="16"/>
        <w:pageBreakBefore w:val="0"/>
        <w:tabs>
          <w:tab w:val="right" w:leader="dot" w:pos="9638"/>
        </w:tabs>
        <w:kinsoku/>
        <w:overflowPunct/>
        <w:bidi w:val="0"/>
        <w:spacing w:line="600" w:lineRule="exact"/>
        <w:rPr>
          <w:color w:val="auto"/>
          <w:highlight w:val="none"/>
        </w:rPr>
      </w:pPr>
      <w:r>
        <w:rPr>
          <w:rFonts w:hint="eastAsia" w:ascii="仿宋" w:hAnsi="仿宋" w:eastAsia="仿宋" w:cs="宋体"/>
          <w:color w:val="auto"/>
          <w:szCs w:val="21"/>
          <w:highlight w:val="none"/>
        </w:rPr>
        <w:fldChar w:fldCharType="begin"/>
      </w:r>
      <w:r>
        <w:rPr>
          <w:rFonts w:hint="eastAsia" w:ascii="仿宋" w:hAnsi="仿宋" w:eastAsia="仿宋" w:cs="宋体"/>
          <w:color w:val="auto"/>
          <w:szCs w:val="21"/>
          <w:highlight w:val="none"/>
        </w:rPr>
        <w:instrText xml:space="preserve"> HYPERLINK \l _Toc549 </w:instrText>
      </w:r>
      <w:r>
        <w:rPr>
          <w:rFonts w:hint="eastAsia" w:ascii="仿宋" w:hAnsi="仿宋" w:eastAsia="仿宋" w:cs="宋体"/>
          <w:color w:val="auto"/>
          <w:szCs w:val="21"/>
          <w:highlight w:val="none"/>
        </w:rPr>
        <w:fldChar w:fldCharType="separate"/>
      </w:r>
      <w:r>
        <w:rPr>
          <w:rFonts w:hint="eastAsia"/>
          <w:color w:val="auto"/>
          <w:highlight w:val="none"/>
        </w:rPr>
        <w:t>3.2 详细评审</w:t>
      </w:r>
      <w:r>
        <w:rPr>
          <w:color w:val="auto"/>
          <w:highlight w:val="none"/>
        </w:rPr>
        <w:tab/>
      </w:r>
      <w:r>
        <w:rPr>
          <w:color w:val="auto"/>
          <w:highlight w:val="none"/>
        </w:rPr>
        <w:fldChar w:fldCharType="begin"/>
      </w:r>
      <w:r>
        <w:rPr>
          <w:color w:val="auto"/>
          <w:highlight w:val="none"/>
        </w:rPr>
        <w:instrText xml:space="preserve"> PAGEREF _Toc549 \h </w:instrText>
      </w:r>
      <w:r>
        <w:rPr>
          <w:color w:val="auto"/>
          <w:highlight w:val="none"/>
        </w:rPr>
        <w:fldChar w:fldCharType="separate"/>
      </w:r>
      <w:r>
        <w:rPr>
          <w:color w:val="auto"/>
          <w:highlight w:val="none"/>
        </w:rPr>
        <w:t>32</w:t>
      </w:r>
      <w:r>
        <w:rPr>
          <w:color w:val="auto"/>
          <w:highlight w:val="none"/>
        </w:rPr>
        <w:fldChar w:fldCharType="end"/>
      </w:r>
      <w:r>
        <w:rPr>
          <w:rFonts w:hint="eastAsia" w:ascii="仿宋" w:hAnsi="仿宋" w:eastAsia="仿宋" w:cs="宋体"/>
          <w:color w:val="auto"/>
          <w:szCs w:val="21"/>
          <w:highlight w:val="none"/>
        </w:rPr>
        <w:fldChar w:fldCharType="end"/>
      </w:r>
    </w:p>
    <w:p w14:paraId="29864598">
      <w:pPr>
        <w:pStyle w:val="16"/>
        <w:pageBreakBefore w:val="0"/>
        <w:tabs>
          <w:tab w:val="right" w:leader="dot" w:pos="9638"/>
        </w:tabs>
        <w:kinsoku/>
        <w:overflowPunct/>
        <w:bidi w:val="0"/>
        <w:spacing w:line="600" w:lineRule="exact"/>
        <w:rPr>
          <w:color w:val="auto"/>
          <w:highlight w:val="none"/>
        </w:rPr>
      </w:pPr>
      <w:r>
        <w:rPr>
          <w:rFonts w:hint="eastAsia" w:ascii="仿宋" w:hAnsi="仿宋" w:eastAsia="仿宋" w:cs="宋体"/>
          <w:color w:val="auto"/>
          <w:szCs w:val="21"/>
          <w:highlight w:val="none"/>
        </w:rPr>
        <w:fldChar w:fldCharType="begin"/>
      </w:r>
      <w:r>
        <w:rPr>
          <w:rFonts w:hint="eastAsia" w:ascii="仿宋" w:hAnsi="仿宋" w:eastAsia="仿宋" w:cs="宋体"/>
          <w:color w:val="auto"/>
          <w:szCs w:val="21"/>
          <w:highlight w:val="none"/>
        </w:rPr>
        <w:instrText xml:space="preserve"> HYPERLINK \l _Toc3245 </w:instrText>
      </w:r>
      <w:r>
        <w:rPr>
          <w:rFonts w:hint="eastAsia" w:ascii="仿宋" w:hAnsi="仿宋" w:eastAsia="仿宋" w:cs="宋体"/>
          <w:color w:val="auto"/>
          <w:szCs w:val="21"/>
          <w:highlight w:val="none"/>
        </w:rPr>
        <w:fldChar w:fldCharType="separate"/>
      </w:r>
      <w:r>
        <w:rPr>
          <w:rFonts w:hint="eastAsia"/>
          <w:color w:val="auto"/>
          <w:highlight w:val="none"/>
        </w:rPr>
        <w:t>3.3 投标文件的澄清、说明</w:t>
      </w:r>
      <w:r>
        <w:rPr>
          <w:color w:val="auto"/>
          <w:highlight w:val="none"/>
        </w:rPr>
        <w:tab/>
      </w:r>
      <w:r>
        <w:rPr>
          <w:color w:val="auto"/>
          <w:highlight w:val="none"/>
        </w:rPr>
        <w:fldChar w:fldCharType="begin"/>
      </w:r>
      <w:r>
        <w:rPr>
          <w:color w:val="auto"/>
          <w:highlight w:val="none"/>
        </w:rPr>
        <w:instrText xml:space="preserve"> PAGEREF _Toc3245 \h </w:instrText>
      </w:r>
      <w:r>
        <w:rPr>
          <w:color w:val="auto"/>
          <w:highlight w:val="none"/>
        </w:rPr>
        <w:fldChar w:fldCharType="separate"/>
      </w:r>
      <w:r>
        <w:rPr>
          <w:color w:val="auto"/>
          <w:highlight w:val="none"/>
        </w:rPr>
        <w:t>32</w:t>
      </w:r>
      <w:r>
        <w:rPr>
          <w:color w:val="auto"/>
          <w:highlight w:val="none"/>
        </w:rPr>
        <w:fldChar w:fldCharType="end"/>
      </w:r>
      <w:r>
        <w:rPr>
          <w:rFonts w:hint="eastAsia" w:ascii="仿宋" w:hAnsi="仿宋" w:eastAsia="仿宋" w:cs="宋体"/>
          <w:color w:val="auto"/>
          <w:szCs w:val="21"/>
          <w:highlight w:val="none"/>
        </w:rPr>
        <w:fldChar w:fldCharType="end"/>
      </w:r>
    </w:p>
    <w:p w14:paraId="3A741006">
      <w:pPr>
        <w:pStyle w:val="16"/>
        <w:pageBreakBefore w:val="0"/>
        <w:tabs>
          <w:tab w:val="right" w:leader="dot" w:pos="9638"/>
        </w:tabs>
        <w:kinsoku/>
        <w:overflowPunct/>
        <w:bidi w:val="0"/>
        <w:spacing w:line="600" w:lineRule="exact"/>
        <w:rPr>
          <w:color w:val="auto"/>
          <w:highlight w:val="none"/>
        </w:rPr>
      </w:pPr>
      <w:r>
        <w:rPr>
          <w:rFonts w:hint="eastAsia" w:ascii="仿宋" w:hAnsi="仿宋" w:eastAsia="仿宋" w:cs="宋体"/>
          <w:color w:val="auto"/>
          <w:szCs w:val="21"/>
          <w:highlight w:val="none"/>
        </w:rPr>
        <w:fldChar w:fldCharType="begin"/>
      </w:r>
      <w:r>
        <w:rPr>
          <w:rFonts w:hint="eastAsia" w:ascii="仿宋" w:hAnsi="仿宋" w:eastAsia="仿宋" w:cs="宋体"/>
          <w:color w:val="auto"/>
          <w:szCs w:val="21"/>
          <w:highlight w:val="none"/>
        </w:rPr>
        <w:instrText xml:space="preserve"> HYPERLINK \l _Toc27472 </w:instrText>
      </w:r>
      <w:r>
        <w:rPr>
          <w:rFonts w:hint="eastAsia" w:ascii="仿宋" w:hAnsi="仿宋" w:eastAsia="仿宋" w:cs="宋体"/>
          <w:color w:val="auto"/>
          <w:szCs w:val="21"/>
          <w:highlight w:val="none"/>
        </w:rPr>
        <w:fldChar w:fldCharType="separate"/>
      </w:r>
      <w:r>
        <w:rPr>
          <w:rFonts w:hint="eastAsia"/>
          <w:color w:val="auto"/>
          <w:highlight w:val="none"/>
        </w:rPr>
        <w:t>3.4 中标候选人推荐原则</w:t>
      </w:r>
      <w:r>
        <w:rPr>
          <w:color w:val="auto"/>
          <w:highlight w:val="none"/>
        </w:rPr>
        <w:tab/>
      </w:r>
      <w:r>
        <w:rPr>
          <w:color w:val="auto"/>
          <w:highlight w:val="none"/>
        </w:rPr>
        <w:fldChar w:fldCharType="begin"/>
      </w:r>
      <w:r>
        <w:rPr>
          <w:color w:val="auto"/>
          <w:highlight w:val="none"/>
        </w:rPr>
        <w:instrText xml:space="preserve"> PAGEREF _Toc27472 \h </w:instrText>
      </w:r>
      <w:r>
        <w:rPr>
          <w:color w:val="auto"/>
          <w:highlight w:val="none"/>
        </w:rPr>
        <w:fldChar w:fldCharType="separate"/>
      </w:r>
      <w:r>
        <w:rPr>
          <w:color w:val="auto"/>
          <w:highlight w:val="none"/>
        </w:rPr>
        <w:t>33</w:t>
      </w:r>
      <w:r>
        <w:rPr>
          <w:color w:val="auto"/>
          <w:highlight w:val="none"/>
        </w:rPr>
        <w:fldChar w:fldCharType="end"/>
      </w:r>
      <w:r>
        <w:rPr>
          <w:rFonts w:hint="eastAsia" w:ascii="仿宋" w:hAnsi="仿宋" w:eastAsia="仿宋" w:cs="宋体"/>
          <w:color w:val="auto"/>
          <w:szCs w:val="21"/>
          <w:highlight w:val="none"/>
        </w:rPr>
        <w:fldChar w:fldCharType="end"/>
      </w:r>
    </w:p>
    <w:p w14:paraId="1BF38F4D">
      <w:pPr>
        <w:pStyle w:val="16"/>
        <w:pageBreakBefore w:val="0"/>
        <w:tabs>
          <w:tab w:val="right" w:leader="dot" w:pos="9638"/>
        </w:tabs>
        <w:kinsoku/>
        <w:overflowPunct/>
        <w:bidi w:val="0"/>
        <w:spacing w:line="600" w:lineRule="exact"/>
        <w:rPr>
          <w:color w:val="auto"/>
          <w:highlight w:val="none"/>
        </w:rPr>
      </w:pPr>
      <w:r>
        <w:rPr>
          <w:rFonts w:hint="eastAsia" w:ascii="仿宋" w:hAnsi="仿宋" w:eastAsia="仿宋" w:cs="宋体"/>
          <w:color w:val="auto"/>
          <w:szCs w:val="21"/>
          <w:highlight w:val="none"/>
        </w:rPr>
        <w:fldChar w:fldCharType="begin"/>
      </w:r>
      <w:r>
        <w:rPr>
          <w:rFonts w:hint="eastAsia" w:ascii="仿宋" w:hAnsi="仿宋" w:eastAsia="仿宋" w:cs="宋体"/>
          <w:color w:val="auto"/>
          <w:szCs w:val="21"/>
          <w:highlight w:val="none"/>
        </w:rPr>
        <w:instrText xml:space="preserve"> HYPERLINK \l _Toc4198 </w:instrText>
      </w:r>
      <w:r>
        <w:rPr>
          <w:rFonts w:hint="eastAsia" w:ascii="仿宋" w:hAnsi="仿宋" w:eastAsia="仿宋" w:cs="宋体"/>
          <w:color w:val="auto"/>
          <w:szCs w:val="21"/>
          <w:highlight w:val="none"/>
        </w:rPr>
        <w:fldChar w:fldCharType="separate"/>
      </w:r>
      <w:r>
        <w:rPr>
          <w:rFonts w:hint="eastAsia"/>
          <w:color w:val="auto"/>
          <w:highlight w:val="none"/>
        </w:rPr>
        <w:t>3.5 评标结果</w:t>
      </w:r>
      <w:r>
        <w:rPr>
          <w:color w:val="auto"/>
          <w:highlight w:val="none"/>
        </w:rPr>
        <w:tab/>
      </w:r>
      <w:r>
        <w:rPr>
          <w:color w:val="auto"/>
          <w:highlight w:val="none"/>
        </w:rPr>
        <w:fldChar w:fldCharType="begin"/>
      </w:r>
      <w:r>
        <w:rPr>
          <w:color w:val="auto"/>
          <w:highlight w:val="none"/>
        </w:rPr>
        <w:instrText xml:space="preserve"> PAGEREF _Toc4198 \h </w:instrText>
      </w:r>
      <w:r>
        <w:rPr>
          <w:color w:val="auto"/>
          <w:highlight w:val="none"/>
        </w:rPr>
        <w:fldChar w:fldCharType="separate"/>
      </w:r>
      <w:r>
        <w:rPr>
          <w:color w:val="auto"/>
          <w:highlight w:val="none"/>
        </w:rPr>
        <w:t>33</w:t>
      </w:r>
      <w:r>
        <w:rPr>
          <w:color w:val="auto"/>
          <w:highlight w:val="none"/>
        </w:rPr>
        <w:fldChar w:fldCharType="end"/>
      </w:r>
      <w:r>
        <w:rPr>
          <w:rFonts w:hint="eastAsia" w:ascii="仿宋" w:hAnsi="仿宋" w:eastAsia="仿宋" w:cs="宋体"/>
          <w:color w:val="auto"/>
          <w:szCs w:val="21"/>
          <w:highlight w:val="none"/>
        </w:rPr>
        <w:fldChar w:fldCharType="end"/>
      </w:r>
    </w:p>
    <w:p w14:paraId="640A7FC2">
      <w:pPr>
        <w:pStyle w:val="24"/>
        <w:pageBreakBefore w:val="0"/>
        <w:tabs>
          <w:tab w:val="right" w:leader="dot" w:pos="9638"/>
        </w:tabs>
        <w:kinsoku/>
        <w:overflowPunct/>
        <w:bidi w:val="0"/>
        <w:spacing w:line="600" w:lineRule="exact"/>
        <w:rPr>
          <w:color w:val="auto"/>
          <w:highlight w:val="none"/>
        </w:rPr>
      </w:pPr>
      <w:r>
        <w:rPr>
          <w:rFonts w:hint="eastAsia" w:ascii="仿宋" w:hAnsi="仿宋" w:eastAsia="仿宋" w:cs="宋体"/>
          <w:color w:val="auto"/>
          <w:szCs w:val="21"/>
          <w:highlight w:val="none"/>
        </w:rPr>
        <w:fldChar w:fldCharType="begin"/>
      </w:r>
      <w:r>
        <w:rPr>
          <w:rFonts w:hint="eastAsia" w:ascii="仿宋" w:hAnsi="仿宋" w:eastAsia="仿宋" w:cs="宋体"/>
          <w:color w:val="auto"/>
          <w:szCs w:val="21"/>
          <w:highlight w:val="none"/>
        </w:rPr>
        <w:instrText xml:space="preserve"> HYPERLINK \l _Toc27416 </w:instrText>
      </w:r>
      <w:r>
        <w:rPr>
          <w:rFonts w:hint="eastAsia" w:ascii="仿宋" w:hAnsi="仿宋" w:eastAsia="仿宋" w:cs="宋体"/>
          <w:color w:val="auto"/>
          <w:szCs w:val="21"/>
          <w:highlight w:val="none"/>
        </w:rPr>
        <w:fldChar w:fldCharType="separate"/>
      </w:r>
      <w:r>
        <w:rPr>
          <w:rFonts w:hint="eastAsia" w:ascii="仿宋" w:hAnsi="仿宋" w:cs="宋体"/>
          <w:color w:val="auto"/>
          <w:highlight w:val="none"/>
        </w:rPr>
        <w:t>第四章 合同条款</w:t>
      </w:r>
      <w:r>
        <w:rPr>
          <w:color w:val="auto"/>
          <w:highlight w:val="none"/>
        </w:rPr>
        <w:tab/>
      </w:r>
      <w:r>
        <w:rPr>
          <w:color w:val="auto"/>
          <w:highlight w:val="none"/>
        </w:rPr>
        <w:fldChar w:fldCharType="begin"/>
      </w:r>
      <w:r>
        <w:rPr>
          <w:color w:val="auto"/>
          <w:highlight w:val="none"/>
        </w:rPr>
        <w:instrText xml:space="preserve"> PAGEREF _Toc27416 \h </w:instrText>
      </w:r>
      <w:r>
        <w:rPr>
          <w:color w:val="auto"/>
          <w:highlight w:val="none"/>
        </w:rPr>
        <w:fldChar w:fldCharType="separate"/>
      </w:r>
      <w:r>
        <w:rPr>
          <w:color w:val="auto"/>
          <w:highlight w:val="none"/>
        </w:rPr>
        <w:t>34</w:t>
      </w:r>
      <w:r>
        <w:rPr>
          <w:color w:val="auto"/>
          <w:highlight w:val="none"/>
        </w:rPr>
        <w:fldChar w:fldCharType="end"/>
      </w:r>
      <w:r>
        <w:rPr>
          <w:rFonts w:hint="eastAsia" w:ascii="仿宋" w:hAnsi="仿宋" w:eastAsia="仿宋" w:cs="宋体"/>
          <w:color w:val="auto"/>
          <w:szCs w:val="21"/>
          <w:highlight w:val="none"/>
        </w:rPr>
        <w:fldChar w:fldCharType="end"/>
      </w:r>
    </w:p>
    <w:p w14:paraId="576683CB">
      <w:pPr>
        <w:pStyle w:val="24"/>
        <w:pageBreakBefore w:val="0"/>
        <w:tabs>
          <w:tab w:val="right" w:leader="dot" w:pos="9638"/>
        </w:tabs>
        <w:kinsoku/>
        <w:overflowPunct/>
        <w:bidi w:val="0"/>
        <w:spacing w:line="600" w:lineRule="exact"/>
        <w:rPr>
          <w:color w:val="auto"/>
          <w:highlight w:val="none"/>
        </w:rPr>
      </w:pPr>
      <w:r>
        <w:rPr>
          <w:rFonts w:hint="eastAsia" w:ascii="仿宋" w:hAnsi="仿宋" w:eastAsia="仿宋" w:cs="宋体"/>
          <w:color w:val="auto"/>
          <w:szCs w:val="21"/>
          <w:highlight w:val="none"/>
        </w:rPr>
        <w:fldChar w:fldCharType="begin"/>
      </w:r>
      <w:r>
        <w:rPr>
          <w:rFonts w:hint="eastAsia" w:ascii="仿宋" w:hAnsi="仿宋" w:eastAsia="仿宋" w:cs="宋体"/>
          <w:color w:val="auto"/>
          <w:szCs w:val="21"/>
          <w:highlight w:val="none"/>
        </w:rPr>
        <w:instrText xml:space="preserve"> HYPERLINK \l _Toc5715 </w:instrText>
      </w:r>
      <w:r>
        <w:rPr>
          <w:rFonts w:hint="eastAsia" w:ascii="仿宋" w:hAnsi="仿宋" w:eastAsia="仿宋" w:cs="宋体"/>
          <w:color w:val="auto"/>
          <w:szCs w:val="21"/>
          <w:highlight w:val="none"/>
        </w:rPr>
        <w:fldChar w:fldCharType="separate"/>
      </w:r>
      <w:r>
        <w:rPr>
          <w:rFonts w:hint="eastAsia" w:ascii="仿宋" w:hAnsi="仿宋" w:cs="宋体"/>
          <w:color w:val="auto"/>
          <w:highlight w:val="none"/>
        </w:rPr>
        <w:t>第五章 技术规范书</w:t>
      </w:r>
      <w:r>
        <w:rPr>
          <w:color w:val="auto"/>
          <w:highlight w:val="none"/>
        </w:rPr>
        <w:tab/>
      </w:r>
      <w:r>
        <w:rPr>
          <w:color w:val="auto"/>
          <w:highlight w:val="none"/>
        </w:rPr>
        <w:fldChar w:fldCharType="begin"/>
      </w:r>
      <w:r>
        <w:rPr>
          <w:color w:val="auto"/>
          <w:highlight w:val="none"/>
        </w:rPr>
        <w:instrText xml:space="preserve"> PAGEREF _Toc5715 \h </w:instrText>
      </w:r>
      <w:r>
        <w:rPr>
          <w:color w:val="auto"/>
          <w:highlight w:val="none"/>
        </w:rPr>
        <w:fldChar w:fldCharType="separate"/>
      </w:r>
      <w:r>
        <w:rPr>
          <w:color w:val="auto"/>
          <w:highlight w:val="none"/>
        </w:rPr>
        <w:t>35</w:t>
      </w:r>
      <w:r>
        <w:rPr>
          <w:color w:val="auto"/>
          <w:highlight w:val="none"/>
        </w:rPr>
        <w:fldChar w:fldCharType="end"/>
      </w:r>
      <w:r>
        <w:rPr>
          <w:rFonts w:hint="eastAsia" w:ascii="仿宋" w:hAnsi="仿宋" w:eastAsia="仿宋" w:cs="宋体"/>
          <w:color w:val="auto"/>
          <w:szCs w:val="21"/>
          <w:highlight w:val="none"/>
        </w:rPr>
        <w:fldChar w:fldCharType="end"/>
      </w:r>
    </w:p>
    <w:p w14:paraId="5B4163A3">
      <w:pPr>
        <w:pStyle w:val="24"/>
        <w:pageBreakBefore w:val="0"/>
        <w:tabs>
          <w:tab w:val="right" w:leader="dot" w:pos="9638"/>
        </w:tabs>
        <w:kinsoku/>
        <w:overflowPunct/>
        <w:bidi w:val="0"/>
        <w:spacing w:line="600" w:lineRule="exact"/>
        <w:rPr>
          <w:color w:val="auto"/>
          <w:highlight w:val="none"/>
        </w:rPr>
      </w:pPr>
      <w:r>
        <w:rPr>
          <w:rFonts w:hint="eastAsia" w:ascii="仿宋" w:hAnsi="仿宋" w:eastAsia="仿宋" w:cs="宋体"/>
          <w:color w:val="auto"/>
          <w:szCs w:val="21"/>
          <w:highlight w:val="none"/>
        </w:rPr>
        <w:fldChar w:fldCharType="begin"/>
      </w:r>
      <w:r>
        <w:rPr>
          <w:rFonts w:hint="eastAsia" w:ascii="仿宋" w:hAnsi="仿宋" w:eastAsia="仿宋" w:cs="宋体"/>
          <w:color w:val="auto"/>
          <w:szCs w:val="21"/>
          <w:highlight w:val="none"/>
        </w:rPr>
        <w:instrText xml:space="preserve"> HYPERLINK \l _Toc22300 </w:instrText>
      </w:r>
      <w:r>
        <w:rPr>
          <w:rFonts w:hint="eastAsia" w:ascii="仿宋" w:hAnsi="仿宋" w:eastAsia="仿宋" w:cs="宋体"/>
          <w:color w:val="auto"/>
          <w:szCs w:val="21"/>
          <w:highlight w:val="none"/>
        </w:rPr>
        <w:fldChar w:fldCharType="separate"/>
      </w:r>
      <w:r>
        <w:rPr>
          <w:rFonts w:hint="eastAsia" w:ascii="仿宋" w:hAnsi="仿宋"/>
          <w:color w:val="auto"/>
          <w:szCs w:val="21"/>
          <w:highlight w:val="none"/>
        </w:rPr>
        <w:t>第六章 投标文件格式</w:t>
      </w:r>
      <w:r>
        <w:rPr>
          <w:color w:val="auto"/>
          <w:highlight w:val="none"/>
        </w:rPr>
        <w:tab/>
      </w:r>
      <w:r>
        <w:rPr>
          <w:color w:val="auto"/>
          <w:highlight w:val="none"/>
        </w:rPr>
        <w:fldChar w:fldCharType="begin"/>
      </w:r>
      <w:r>
        <w:rPr>
          <w:color w:val="auto"/>
          <w:highlight w:val="none"/>
        </w:rPr>
        <w:instrText xml:space="preserve"> PAGEREF _Toc22300 \h </w:instrText>
      </w:r>
      <w:r>
        <w:rPr>
          <w:color w:val="auto"/>
          <w:highlight w:val="none"/>
        </w:rPr>
        <w:fldChar w:fldCharType="separate"/>
      </w:r>
      <w:r>
        <w:rPr>
          <w:color w:val="auto"/>
          <w:highlight w:val="none"/>
        </w:rPr>
        <w:t>36</w:t>
      </w:r>
      <w:r>
        <w:rPr>
          <w:color w:val="auto"/>
          <w:highlight w:val="none"/>
        </w:rPr>
        <w:fldChar w:fldCharType="end"/>
      </w:r>
      <w:r>
        <w:rPr>
          <w:rFonts w:hint="eastAsia" w:ascii="仿宋" w:hAnsi="仿宋" w:eastAsia="仿宋" w:cs="宋体"/>
          <w:color w:val="auto"/>
          <w:szCs w:val="21"/>
          <w:highlight w:val="none"/>
        </w:rPr>
        <w:fldChar w:fldCharType="end"/>
      </w:r>
    </w:p>
    <w:p w14:paraId="115F893E">
      <w:pPr>
        <w:pStyle w:val="29"/>
        <w:pageBreakBefore w:val="0"/>
        <w:tabs>
          <w:tab w:val="right" w:leader="dot" w:pos="9638"/>
        </w:tabs>
        <w:kinsoku/>
        <w:overflowPunct/>
        <w:bidi w:val="0"/>
        <w:spacing w:line="600" w:lineRule="exact"/>
        <w:rPr>
          <w:color w:val="auto"/>
          <w:highlight w:val="none"/>
        </w:rPr>
      </w:pPr>
      <w:r>
        <w:rPr>
          <w:rFonts w:hint="eastAsia" w:ascii="仿宋" w:hAnsi="仿宋" w:eastAsia="仿宋" w:cs="宋体"/>
          <w:color w:val="auto"/>
          <w:szCs w:val="21"/>
          <w:highlight w:val="none"/>
        </w:rPr>
        <w:fldChar w:fldCharType="begin"/>
      </w:r>
      <w:r>
        <w:rPr>
          <w:rFonts w:hint="eastAsia" w:ascii="仿宋" w:hAnsi="仿宋" w:eastAsia="仿宋" w:cs="宋体"/>
          <w:color w:val="auto"/>
          <w:szCs w:val="21"/>
          <w:highlight w:val="none"/>
        </w:rPr>
        <w:instrText xml:space="preserve"> HYPERLINK \l _Toc12294 </w:instrText>
      </w:r>
      <w:r>
        <w:rPr>
          <w:rFonts w:hint="eastAsia" w:ascii="仿宋" w:hAnsi="仿宋" w:eastAsia="仿宋" w:cs="宋体"/>
          <w:color w:val="auto"/>
          <w:szCs w:val="21"/>
          <w:highlight w:val="none"/>
        </w:rPr>
        <w:fldChar w:fldCharType="separate"/>
      </w:r>
      <w:r>
        <w:rPr>
          <w:rFonts w:hint="eastAsia" w:ascii="仿宋" w:hAnsi="仿宋" w:cs="宋体"/>
          <w:color w:val="auto"/>
          <w:highlight w:val="none"/>
        </w:rPr>
        <w:t>一、商务文件</w:t>
      </w:r>
      <w:r>
        <w:rPr>
          <w:color w:val="auto"/>
          <w:highlight w:val="none"/>
        </w:rPr>
        <w:tab/>
      </w:r>
      <w:r>
        <w:rPr>
          <w:color w:val="auto"/>
          <w:highlight w:val="none"/>
        </w:rPr>
        <w:fldChar w:fldCharType="begin"/>
      </w:r>
      <w:r>
        <w:rPr>
          <w:color w:val="auto"/>
          <w:highlight w:val="none"/>
        </w:rPr>
        <w:instrText xml:space="preserve"> PAGEREF _Toc12294 \h </w:instrText>
      </w:r>
      <w:r>
        <w:rPr>
          <w:color w:val="auto"/>
          <w:highlight w:val="none"/>
        </w:rPr>
        <w:fldChar w:fldCharType="separate"/>
      </w:r>
      <w:r>
        <w:rPr>
          <w:color w:val="auto"/>
          <w:highlight w:val="none"/>
        </w:rPr>
        <w:t>37</w:t>
      </w:r>
      <w:r>
        <w:rPr>
          <w:color w:val="auto"/>
          <w:highlight w:val="none"/>
        </w:rPr>
        <w:fldChar w:fldCharType="end"/>
      </w:r>
      <w:r>
        <w:rPr>
          <w:rFonts w:hint="eastAsia" w:ascii="仿宋" w:hAnsi="仿宋" w:eastAsia="仿宋" w:cs="宋体"/>
          <w:color w:val="auto"/>
          <w:szCs w:val="21"/>
          <w:highlight w:val="none"/>
        </w:rPr>
        <w:fldChar w:fldCharType="end"/>
      </w:r>
    </w:p>
    <w:p w14:paraId="4A79ADD1">
      <w:pPr>
        <w:pStyle w:val="16"/>
        <w:pageBreakBefore w:val="0"/>
        <w:tabs>
          <w:tab w:val="right" w:leader="dot" w:pos="9638"/>
        </w:tabs>
        <w:kinsoku/>
        <w:overflowPunct/>
        <w:bidi w:val="0"/>
        <w:spacing w:line="600" w:lineRule="exact"/>
        <w:rPr>
          <w:color w:val="auto"/>
          <w:highlight w:val="none"/>
        </w:rPr>
      </w:pPr>
      <w:r>
        <w:rPr>
          <w:rFonts w:hint="eastAsia" w:ascii="仿宋" w:hAnsi="仿宋" w:eastAsia="仿宋" w:cs="宋体"/>
          <w:color w:val="auto"/>
          <w:szCs w:val="21"/>
          <w:highlight w:val="none"/>
        </w:rPr>
        <w:fldChar w:fldCharType="begin"/>
      </w:r>
      <w:r>
        <w:rPr>
          <w:rFonts w:hint="eastAsia" w:ascii="仿宋" w:hAnsi="仿宋" w:eastAsia="仿宋" w:cs="宋体"/>
          <w:color w:val="auto"/>
          <w:szCs w:val="21"/>
          <w:highlight w:val="none"/>
        </w:rPr>
        <w:instrText xml:space="preserve"> HYPERLINK \l _Toc27497 </w:instrText>
      </w:r>
      <w:r>
        <w:rPr>
          <w:rFonts w:hint="eastAsia" w:ascii="仿宋" w:hAnsi="仿宋" w:eastAsia="仿宋" w:cs="宋体"/>
          <w:color w:val="auto"/>
          <w:szCs w:val="21"/>
          <w:highlight w:val="none"/>
        </w:rPr>
        <w:fldChar w:fldCharType="separate"/>
      </w:r>
      <w:r>
        <w:rPr>
          <w:rFonts w:ascii="仿宋" w:hAnsi="仿宋" w:cs="宋体"/>
          <w:color w:val="auto"/>
          <w:highlight w:val="none"/>
        </w:rPr>
        <w:t>初步评审索引表</w:t>
      </w:r>
      <w:r>
        <w:rPr>
          <w:color w:val="auto"/>
          <w:highlight w:val="none"/>
        </w:rPr>
        <w:tab/>
      </w:r>
      <w:r>
        <w:rPr>
          <w:color w:val="auto"/>
          <w:highlight w:val="none"/>
        </w:rPr>
        <w:fldChar w:fldCharType="begin"/>
      </w:r>
      <w:r>
        <w:rPr>
          <w:color w:val="auto"/>
          <w:highlight w:val="none"/>
        </w:rPr>
        <w:instrText xml:space="preserve"> PAGEREF _Toc27497 \h </w:instrText>
      </w:r>
      <w:r>
        <w:rPr>
          <w:color w:val="auto"/>
          <w:highlight w:val="none"/>
        </w:rPr>
        <w:fldChar w:fldCharType="separate"/>
      </w:r>
      <w:r>
        <w:rPr>
          <w:color w:val="auto"/>
          <w:highlight w:val="none"/>
        </w:rPr>
        <w:t>37</w:t>
      </w:r>
      <w:r>
        <w:rPr>
          <w:color w:val="auto"/>
          <w:highlight w:val="none"/>
        </w:rPr>
        <w:fldChar w:fldCharType="end"/>
      </w:r>
      <w:r>
        <w:rPr>
          <w:rFonts w:hint="eastAsia" w:ascii="仿宋" w:hAnsi="仿宋" w:eastAsia="仿宋" w:cs="宋体"/>
          <w:color w:val="auto"/>
          <w:szCs w:val="21"/>
          <w:highlight w:val="none"/>
        </w:rPr>
        <w:fldChar w:fldCharType="end"/>
      </w:r>
    </w:p>
    <w:p w14:paraId="7221DFE7">
      <w:pPr>
        <w:pStyle w:val="16"/>
        <w:pageBreakBefore w:val="0"/>
        <w:tabs>
          <w:tab w:val="right" w:leader="dot" w:pos="9638"/>
        </w:tabs>
        <w:kinsoku/>
        <w:overflowPunct/>
        <w:bidi w:val="0"/>
        <w:spacing w:line="600" w:lineRule="exact"/>
        <w:rPr>
          <w:color w:val="auto"/>
          <w:highlight w:val="none"/>
        </w:rPr>
      </w:pPr>
      <w:r>
        <w:rPr>
          <w:rFonts w:hint="eastAsia" w:ascii="仿宋" w:hAnsi="仿宋" w:eastAsia="仿宋" w:cs="宋体"/>
          <w:color w:val="auto"/>
          <w:szCs w:val="21"/>
          <w:highlight w:val="none"/>
        </w:rPr>
        <w:fldChar w:fldCharType="begin"/>
      </w:r>
      <w:r>
        <w:rPr>
          <w:rFonts w:hint="eastAsia" w:ascii="仿宋" w:hAnsi="仿宋" w:eastAsia="仿宋" w:cs="宋体"/>
          <w:color w:val="auto"/>
          <w:szCs w:val="21"/>
          <w:highlight w:val="none"/>
        </w:rPr>
        <w:instrText xml:space="preserve"> HYPERLINK \l _Toc24334 </w:instrText>
      </w:r>
      <w:r>
        <w:rPr>
          <w:rFonts w:hint="eastAsia" w:ascii="仿宋" w:hAnsi="仿宋" w:eastAsia="仿宋" w:cs="宋体"/>
          <w:color w:val="auto"/>
          <w:szCs w:val="21"/>
          <w:highlight w:val="none"/>
        </w:rPr>
        <w:fldChar w:fldCharType="separate"/>
      </w:r>
      <w:r>
        <w:rPr>
          <w:rFonts w:ascii="仿宋" w:hAnsi="仿宋" w:cs="宋体"/>
          <w:color w:val="auto"/>
          <w:highlight w:val="none"/>
        </w:rPr>
        <w:t>详细评审索引表</w:t>
      </w:r>
      <w:r>
        <w:rPr>
          <w:color w:val="auto"/>
          <w:highlight w:val="none"/>
        </w:rPr>
        <w:tab/>
      </w:r>
      <w:r>
        <w:rPr>
          <w:color w:val="auto"/>
          <w:highlight w:val="none"/>
        </w:rPr>
        <w:fldChar w:fldCharType="begin"/>
      </w:r>
      <w:r>
        <w:rPr>
          <w:color w:val="auto"/>
          <w:highlight w:val="none"/>
        </w:rPr>
        <w:instrText xml:space="preserve"> PAGEREF _Toc24334 \h </w:instrText>
      </w:r>
      <w:r>
        <w:rPr>
          <w:color w:val="auto"/>
          <w:highlight w:val="none"/>
        </w:rPr>
        <w:fldChar w:fldCharType="separate"/>
      </w:r>
      <w:r>
        <w:rPr>
          <w:color w:val="auto"/>
          <w:highlight w:val="none"/>
        </w:rPr>
        <w:t>38</w:t>
      </w:r>
      <w:r>
        <w:rPr>
          <w:color w:val="auto"/>
          <w:highlight w:val="none"/>
        </w:rPr>
        <w:fldChar w:fldCharType="end"/>
      </w:r>
      <w:r>
        <w:rPr>
          <w:rFonts w:hint="eastAsia" w:ascii="仿宋" w:hAnsi="仿宋" w:eastAsia="仿宋" w:cs="宋体"/>
          <w:color w:val="auto"/>
          <w:szCs w:val="21"/>
          <w:highlight w:val="none"/>
        </w:rPr>
        <w:fldChar w:fldCharType="end"/>
      </w:r>
    </w:p>
    <w:p w14:paraId="657B0920">
      <w:pPr>
        <w:pStyle w:val="16"/>
        <w:pageBreakBefore w:val="0"/>
        <w:tabs>
          <w:tab w:val="right" w:leader="dot" w:pos="9638"/>
        </w:tabs>
        <w:kinsoku/>
        <w:overflowPunct/>
        <w:bidi w:val="0"/>
        <w:spacing w:line="600" w:lineRule="exact"/>
        <w:rPr>
          <w:color w:val="auto"/>
          <w:highlight w:val="none"/>
        </w:rPr>
      </w:pPr>
      <w:r>
        <w:rPr>
          <w:rFonts w:hint="eastAsia" w:ascii="仿宋" w:hAnsi="仿宋" w:eastAsia="仿宋" w:cs="宋体"/>
          <w:color w:val="auto"/>
          <w:szCs w:val="21"/>
          <w:highlight w:val="none"/>
        </w:rPr>
        <w:fldChar w:fldCharType="begin"/>
      </w:r>
      <w:r>
        <w:rPr>
          <w:rFonts w:hint="eastAsia" w:ascii="仿宋" w:hAnsi="仿宋" w:eastAsia="仿宋" w:cs="宋体"/>
          <w:color w:val="auto"/>
          <w:szCs w:val="21"/>
          <w:highlight w:val="none"/>
        </w:rPr>
        <w:instrText xml:space="preserve"> HYPERLINK \l _Toc27171 </w:instrText>
      </w:r>
      <w:r>
        <w:rPr>
          <w:rFonts w:hint="eastAsia" w:ascii="仿宋" w:hAnsi="仿宋" w:eastAsia="仿宋" w:cs="宋体"/>
          <w:color w:val="auto"/>
          <w:szCs w:val="21"/>
          <w:highlight w:val="none"/>
        </w:rPr>
        <w:fldChar w:fldCharType="separate"/>
      </w:r>
      <w:r>
        <w:rPr>
          <w:rFonts w:ascii="仿宋" w:hAnsi="仿宋" w:cs="宋体"/>
          <w:color w:val="auto"/>
          <w:szCs w:val="24"/>
          <w:highlight w:val="none"/>
        </w:rPr>
        <w:t>（二）法定代表人（负责人）身份证明</w:t>
      </w:r>
      <w:r>
        <w:rPr>
          <w:color w:val="auto"/>
          <w:highlight w:val="none"/>
        </w:rPr>
        <w:tab/>
      </w:r>
      <w:r>
        <w:rPr>
          <w:color w:val="auto"/>
          <w:highlight w:val="none"/>
        </w:rPr>
        <w:fldChar w:fldCharType="begin"/>
      </w:r>
      <w:r>
        <w:rPr>
          <w:color w:val="auto"/>
          <w:highlight w:val="none"/>
        </w:rPr>
        <w:instrText xml:space="preserve"> PAGEREF _Toc27171 \h </w:instrText>
      </w:r>
      <w:r>
        <w:rPr>
          <w:color w:val="auto"/>
          <w:highlight w:val="none"/>
        </w:rPr>
        <w:fldChar w:fldCharType="separate"/>
      </w:r>
      <w:r>
        <w:rPr>
          <w:color w:val="auto"/>
          <w:highlight w:val="none"/>
        </w:rPr>
        <w:t>40</w:t>
      </w:r>
      <w:r>
        <w:rPr>
          <w:color w:val="auto"/>
          <w:highlight w:val="none"/>
        </w:rPr>
        <w:fldChar w:fldCharType="end"/>
      </w:r>
      <w:r>
        <w:rPr>
          <w:rFonts w:hint="eastAsia" w:ascii="仿宋" w:hAnsi="仿宋" w:eastAsia="仿宋" w:cs="宋体"/>
          <w:color w:val="auto"/>
          <w:szCs w:val="21"/>
          <w:highlight w:val="none"/>
        </w:rPr>
        <w:fldChar w:fldCharType="end"/>
      </w:r>
    </w:p>
    <w:p w14:paraId="61978B73">
      <w:pPr>
        <w:pStyle w:val="16"/>
        <w:pageBreakBefore w:val="0"/>
        <w:tabs>
          <w:tab w:val="right" w:leader="dot" w:pos="9638"/>
        </w:tabs>
        <w:kinsoku/>
        <w:overflowPunct/>
        <w:bidi w:val="0"/>
        <w:spacing w:line="600" w:lineRule="exact"/>
        <w:rPr>
          <w:color w:val="auto"/>
          <w:highlight w:val="none"/>
        </w:rPr>
      </w:pPr>
      <w:r>
        <w:rPr>
          <w:rFonts w:hint="eastAsia" w:ascii="仿宋" w:hAnsi="仿宋" w:eastAsia="仿宋" w:cs="宋体"/>
          <w:color w:val="auto"/>
          <w:szCs w:val="21"/>
          <w:highlight w:val="none"/>
        </w:rPr>
        <w:fldChar w:fldCharType="begin"/>
      </w:r>
      <w:r>
        <w:rPr>
          <w:rFonts w:hint="eastAsia" w:ascii="仿宋" w:hAnsi="仿宋" w:eastAsia="仿宋" w:cs="宋体"/>
          <w:color w:val="auto"/>
          <w:szCs w:val="21"/>
          <w:highlight w:val="none"/>
        </w:rPr>
        <w:instrText xml:space="preserve"> HYPERLINK \l _Toc20619 </w:instrText>
      </w:r>
      <w:r>
        <w:rPr>
          <w:rFonts w:hint="eastAsia" w:ascii="仿宋" w:hAnsi="仿宋" w:eastAsia="仿宋" w:cs="宋体"/>
          <w:color w:val="auto"/>
          <w:szCs w:val="21"/>
          <w:highlight w:val="none"/>
        </w:rPr>
        <w:fldChar w:fldCharType="separate"/>
      </w:r>
      <w:r>
        <w:rPr>
          <w:rFonts w:ascii="仿宋" w:hAnsi="仿宋" w:cs="宋体"/>
          <w:color w:val="auto"/>
          <w:szCs w:val="24"/>
          <w:highlight w:val="none"/>
        </w:rPr>
        <w:t>（三）法定代表人（负责人）授权委托书</w:t>
      </w:r>
      <w:r>
        <w:rPr>
          <w:color w:val="auto"/>
          <w:highlight w:val="none"/>
        </w:rPr>
        <w:tab/>
      </w:r>
      <w:r>
        <w:rPr>
          <w:color w:val="auto"/>
          <w:highlight w:val="none"/>
        </w:rPr>
        <w:fldChar w:fldCharType="begin"/>
      </w:r>
      <w:r>
        <w:rPr>
          <w:color w:val="auto"/>
          <w:highlight w:val="none"/>
        </w:rPr>
        <w:instrText xml:space="preserve"> PAGEREF _Toc20619 \h </w:instrText>
      </w:r>
      <w:r>
        <w:rPr>
          <w:color w:val="auto"/>
          <w:highlight w:val="none"/>
        </w:rPr>
        <w:fldChar w:fldCharType="separate"/>
      </w:r>
      <w:r>
        <w:rPr>
          <w:color w:val="auto"/>
          <w:highlight w:val="none"/>
        </w:rPr>
        <w:t>41</w:t>
      </w:r>
      <w:r>
        <w:rPr>
          <w:color w:val="auto"/>
          <w:highlight w:val="none"/>
        </w:rPr>
        <w:fldChar w:fldCharType="end"/>
      </w:r>
      <w:r>
        <w:rPr>
          <w:rFonts w:hint="eastAsia" w:ascii="仿宋" w:hAnsi="仿宋" w:eastAsia="仿宋" w:cs="宋体"/>
          <w:color w:val="auto"/>
          <w:szCs w:val="21"/>
          <w:highlight w:val="none"/>
        </w:rPr>
        <w:fldChar w:fldCharType="end"/>
      </w:r>
    </w:p>
    <w:p w14:paraId="6A519C21">
      <w:pPr>
        <w:pStyle w:val="16"/>
        <w:pageBreakBefore w:val="0"/>
        <w:tabs>
          <w:tab w:val="right" w:leader="dot" w:pos="9638"/>
        </w:tabs>
        <w:kinsoku/>
        <w:overflowPunct/>
        <w:bidi w:val="0"/>
        <w:spacing w:line="600" w:lineRule="exact"/>
        <w:rPr>
          <w:color w:val="auto"/>
          <w:highlight w:val="none"/>
        </w:rPr>
      </w:pPr>
      <w:r>
        <w:rPr>
          <w:rFonts w:hint="eastAsia" w:ascii="仿宋" w:hAnsi="仿宋" w:eastAsia="仿宋" w:cs="宋体"/>
          <w:color w:val="auto"/>
          <w:szCs w:val="21"/>
          <w:highlight w:val="none"/>
        </w:rPr>
        <w:fldChar w:fldCharType="begin"/>
      </w:r>
      <w:r>
        <w:rPr>
          <w:rFonts w:hint="eastAsia" w:ascii="仿宋" w:hAnsi="仿宋" w:eastAsia="仿宋" w:cs="宋体"/>
          <w:color w:val="auto"/>
          <w:szCs w:val="21"/>
          <w:highlight w:val="none"/>
        </w:rPr>
        <w:instrText xml:space="preserve"> HYPERLINK \l _Toc6476 </w:instrText>
      </w:r>
      <w:r>
        <w:rPr>
          <w:rFonts w:hint="eastAsia" w:ascii="仿宋" w:hAnsi="仿宋" w:eastAsia="仿宋" w:cs="宋体"/>
          <w:color w:val="auto"/>
          <w:szCs w:val="21"/>
          <w:highlight w:val="none"/>
        </w:rPr>
        <w:fldChar w:fldCharType="separate"/>
      </w:r>
      <w:r>
        <w:rPr>
          <w:rFonts w:ascii="仿宋" w:hAnsi="仿宋" w:cs="宋体"/>
          <w:color w:val="auto"/>
          <w:szCs w:val="24"/>
          <w:highlight w:val="none"/>
        </w:rPr>
        <w:t>（四）资格证明文件</w:t>
      </w:r>
      <w:r>
        <w:rPr>
          <w:color w:val="auto"/>
          <w:highlight w:val="none"/>
        </w:rPr>
        <w:tab/>
      </w:r>
      <w:r>
        <w:rPr>
          <w:color w:val="auto"/>
          <w:highlight w:val="none"/>
        </w:rPr>
        <w:fldChar w:fldCharType="begin"/>
      </w:r>
      <w:r>
        <w:rPr>
          <w:color w:val="auto"/>
          <w:highlight w:val="none"/>
        </w:rPr>
        <w:instrText xml:space="preserve"> PAGEREF _Toc6476 \h </w:instrText>
      </w:r>
      <w:r>
        <w:rPr>
          <w:color w:val="auto"/>
          <w:highlight w:val="none"/>
        </w:rPr>
        <w:fldChar w:fldCharType="separate"/>
      </w:r>
      <w:r>
        <w:rPr>
          <w:color w:val="auto"/>
          <w:highlight w:val="none"/>
        </w:rPr>
        <w:t>42</w:t>
      </w:r>
      <w:r>
        <w:rPr>
          <w:color w:val="auto"/>
          <w:highlight w:val="none"/>
        </w:rPr>
        <w:fldChar w:fldCharType="end"/>
      </w:r>
      <w:r>
        <w:rPr>
          <w:rFonts w:hint="eastAsia" w:ascii="仿宋" w:hAnsi="仿宋" w:eastAsia="仿宋" w:cs="宋体"/>
          <w:color w:val="auto"/>
          <w:szCs w:val="21"/>
          <w:highlight w:val="none"/>
        </w:rPr>
        <w:fldChar w:fldCharType="end"/>
      </w:r>
    </w:p>
    <w:p w14:paraId="538F6768">
      <w:pPr>
        <w:pStyle w:val="16"/>
        <w:pageBreakBefore w:val="0"/>
        <w:tabs>
          <w:tab w:val="right" w:leader="dot" w:pos="9638"/>
        </w:tabs>
        <w:kinsoku/>
        <w:overflowPunct/>
        <w:bidi w:val="0"/>
        <w:spacing w:line="600" w:lineRule="exact"/>
        <w:rPr>
          <w:color w:val="auto"/>
          <w:highlight w:val="none"/>
        </w:rPr>
      </w:pPr>
      <w:r>
        <w:rPr>
          <w:rFonts w:hint="eastAsia" w:ascii="仿宋" w:hAnsi="仿宋" w:eastAsia="仿宋" w:cs="宋体"/>
          <w:color w:val="auto"/>
          <w:szCs w:val="21"/>
          <w:highlight w:val="none"/>
        </w:rPr>
        <w:fldChar w:fldCharType="begin"/>
      </w:r>
      <w:r>
        <w:rPr>
          <w:rFonts w:hint="eastAsia" w:ascii="仿宋" w:hAnsi="仿宋" w:eastAsia="仿宋" w:cs="宋体"/>
          <w:color w:val="auto"/>
          <w:szCs w:val="21"/>
          <w:highlight w:val="none"/>
        </w:rPr>
        <w:instrText xml:space="preserve"> HYPERLINK \l _Toc21072 </w:instrText>
      </w:r>
      <w:r>
        <w:rPr>
          <w:rFonts w:hint="eastAsia" w:ascii="仿宋" w:hAnsi="仿宋" w:eastAsia="仿宋" w:cs="宋体"/>
          <w:color w:val="auto"/>
          <w:szCs w:val="21"/>
          <w:highlight w:val="none"/>
        </w:rPr>
        <w:fldChar w:fldCharType="separate"/>
      </w:r>
      <w:r>
        <w:rPr>
          <w:rFonts w:ascii="仿宋" w:hAnsi="仿宋" w:cs="宋体"/>
          <w:color w:val="auto"/>
          <w:szCs w:val="24"/>
          <w:highlight w:val="none"/>
        </w:rPr>
        <w:t>（五）投标人须知应答偏离表</w:t>
      </w:r>
      <w:r>
        <w:rPr>
          <w:color w:val="auto"/>
          <w:highlight w:val="none"/>
        </w:rPr>
        <w:tab/>
      </w:r>
      <w:r>
        <w:rPr>
          <w:color w:val="auto"/>
          <w:highlight w:val="none"/>
        </w:rPr>
        <w:fldChar w:fldCharType="begin"/>
      </w:r>
      <w:r>
        <w:rPr>
          <w:color w:val="auto"/>
          <w:highlight w:val="none"/>
        </w:rPr>
        <w:instrText xml:space="preserve"> PAGEREF _Toc21072 \h </w:instrText>
      </w:r>
      <w:r>
        <w:rPr>
          <w:color w:val="auto"/>
          <w:highlight w:val="none"/>
        </w:rPr>
        <w:fldChar w:fldCharType="separate"/>
      </w:r>
      <w:r>
        <w:rPr>
          <w:color w:val="auto"/>
          <w:highlight w:val="none"/>
        </w:rPr>
        <w:t>51</w:t>
      </w:r>
      <w:r>
        <w:rPr>
          <w:color w:val="auto"/>
          <w:highlight w:val="none"/>
        </w:rPr>
        <w:fldChar w:fldCharType="end"/>
      </w:r>
      <w:r>
        <w:rPr>
          <w:rFonts w:hint="eastAsia" w:ascii="仿宋" w:hAnsi="仿宋" w:eastAsia="仿宋" w:cs="宋体"/>
          <w:color w:val="auto"/>
          <w:szCs w:val="21"/>
          <w:highlight w:val="none"/>
        </w:rPr>
        <w:fldChar w:fldCharType="end"/>
      </w:r>
    </w:p>
    <w:p w14:paraId="7B1E65AA">
      <w:pPr>
        <w:pStyle w:val="16"/>
        <w:pageBreakBefore w:val="0"/>
        <w:tabs>
          <w:tab w:val="right" w:leader="dot" w:pos="9638"/>
        </w:tabs>
        <w:kinsoku/>
        <w:overflowPunct/>
        <w:bidi w:val="0"/>
        <w:spacing w:line="600" w:lineRule="exact"/>
        <w:rPr>
          <w:color w:val="auto"/>
          <w:highlight w:val="none"/>
        </w:rPr>
      </w:pPr>
      <w:r>
        <w:rPr>
          <w:rFonts w:hint="eastAsia" w:ascii="仿宋" w:hAnsi="仿宋" w:eastAsia="仿宋" w:cs="宋体"/>
          <w:color w:val="auto"/>
          <w:szCs w:val="21"/>
          <w:highlight w:val="none"/>
        </w:rPr>
        <w:fldChar w:fldCharType="begin"/>
      </w:r>
      <w:r>
        <w:rPr>
          <w:rFonts w:hint="eastAsia" w:ascii="仿宋" w:hAnsi="仿宋" w:eastAsia="仿宋" w:cs="宋体"/>
          <w:color w:val="auto"/>
          <w:szCs w:val="21"/>
          <w:highlight w:val="none"/>
        </w:rPr>
        <w:instrText xml:space="preserve"> HYPERLINK \l _Toc6107 </w:instrText>
      </w:r>
      <w:r>
        <w:rPr>
          <w:rFonts w:hint="eastAsia" w:ascii="仿宋" w:hAnsi="仿宋" w:eastAsia="仿宋" w:cs="宋体"/>
          <w:color w:val="auto"/>
          <w:szCs w:val="21"/>
          <w:highlight w:val="none"/>
        </w:rPr>
        <w:fldChar w:fldCharType="separate"/>
      </w:r>
      <w:r>
        <w:rPr>
          <w:rFonts w:ascii="仿宋" w:hAnsi="仿宋" w:cs="宋体"/>
          <w:color w:val="auto"/>
          <w:szCs w:val="24"/>
          <w:highlight w:val="none"/>
        </w:rPr>
        <w:t>（六）合同条款应答偏离表</w:t>
      </w:r>
      <w:r>
        <w:rPr>
          <w:color w:val="auto"/>
          <w:highlight w:val="none"/>
        </w:rPr>
        <w:tab/>
      </w:r>
      <w:r>
        <w:rPr>
          <w:color w:val="auto"/>
          <w:highlight w:val="none"/>
        </w:rPr>
        <w:fldChar w:fldCharType="begin"/>
      </w:r>
      <w:r>
        <w:rPr>
          <w:color w:val="auto"/>
          <w:highlight w:val="none"/>
        </w:rPr>
        <w:instrText xml:space="preserve"> PAGEREF _Toc6107 \h </w:instrText>
      </w:r>
      <w:r>
        <w:rPr>
          <w:color w:val="auto"/>
          <w:highlight w:val="none"/>
        </w:rPr>
        <w:fldChar w:fldCharType="separate"/>
      </w:r>
      <w:r>
        <w:rPr>
          <w:color w:val="auto"/>
          <w:highlight w:val="none"/>
        </w:rPr>
        <w:t>52</w:t>
      </w:r>
      <w:r>
        <w:rPr>
          <w:color w:val="auto"/>
          <w:highlight w:val="none"/>
        </w:rPr>
        <w:fldChar w:fldCharType="end"/>
      </w:r>
      <w:r>
        <w:rPr>
          <w:rFonts w:hint="eastAsia" w:ascii="仿宋" w:hAnsi="仿宋" w:eastAsia="仿宋" w:cs="宋体"/>
          <w:color w:val="auto"/>
          <w:szCs w:val="21"/>
          <w:highlight w:val="none"/>
        </w:rPr>
        <w:fldChar w:fldCharType="end"/>
      </w:r>
    </w:p>
    <w:p w14:paraId="4D72560E">
      <w:pPr>
        <w:pStyle w:val="16"/>
        <w:pageBreakBefore w:val="0"/>
        <w:tabs>
          <w:tab w:val="right" w:leader="dot" w:pos="9638"/>
        </w:tabs>
        <w:kinsoku/>
        <w:overflowPunct/>
        <w:bidi w:val="0"/>
        <w:spacing w:line="600" w:lineRule="exact"/>
        <w:rPr>
          <w:color w:val="auto"/>
          <w:highlight w:val="none"/>
        </w:rPr>
      </w:pPr>
      <w:r>
        <w:rPr>
          <w:rFonts w:hint="eastAsia" w:ascii="仿宋" w:hAnsi="仿宋" w:eastAsia="仿宋" w:cs="宋体"/>
          <w:color w:val="auto"/>
          <w:szCs w:val="21"/>
          <w:highlight w:val="none"/>
        </w:rPr>
        <w:fldChar w:fldCharType="begin"/>
      </w:r>
      <w:r>
        <w:rPr>
          <w:rFonts w:hint="eastAsia" w:ascii="仿宋" w:hAnsi="仿宋" w:eastAsia="仿宋" w:cs="宋体"/>
          <w:color w:val="auto"/>
          <w:szCs w:val="21"/>
          <w:highlight w:val="none"/>
        </w:rPr>
        <w:instrText xml:space="preserve"> HYPERLINK \l _Toc13858 </w:instrText>
      </w:r>
      <w:r>
        <w:rPr>
          <w:rFonts w:hint="eastAsia" w:ascii="仿宋" w:hAnsi="仿宋" w:eastAsia="仿宋" w:cs="宋体"/>
          <w:color w:val="auto"/>
          <w:szCs w:val="21"/>
          <w:highlight w:val="none"/>
        </w:rPr>
        <w:fldChar w:fldCharType="separate"/>
      </w:r>
      <w:r>
        <w:rPr>
          <w:rFonts w:ascii="仿宋" w:hAnsi="仿宋" w:cs="宋体"/>
          <w:color w:val="auto"/>
          <w:szCs w:val="24"/>
          <w:highlight w:val="none"/>
        </w:rPr>
        <w:t>（七）供应商</w:t>
      </w:r>
      <w:r>
        <w:rPr>
          <w:rFonts w:hint="default" w:ascii="仿宋" w:hAnsi="仿宋" w:cs="宋体"/>
          <w:color w:val="auto"/>
          <w:szCs w:val="24"/>
          <w:highlight w:val="none"/>
        </w:rPr>
        <w:t>行为准则承诺</w:t>
      </w:r>
      <w:r>
        <w:rPr>
          <w:rFonts w:ascii="仿宋" w:hAnsi="仿宋" w:cs="宋体"/>
          <w:color w:val="auto"/>
          <w:szCs w:val="24"/>
          <w:highlight w:val="none"/>
        </w:rPr>
        <w:t>书</w:t>
      </w:r>
      <w:r>
        <w:rPr>
          <w:color w:val="auto"/>
          <w:highlight w:val="none"/>
        </w:rPr>
        <w:tab/>
      </w:r>
      <w:r>
        <w:rPr>
          <w:color w:val="auto"/>
          <w:highlight w:val="none"/>
        </w:rPr>
        <w:fldChar w:fldCharType="begin"/>
      </w:r>
      <w:r>
        <w:rPr>
          <w:color w:val="auto"/>
          <w:highlight w:val="none"/>
        </w:rPr>
        <w:instrText xml:space="preserve"> PAGEREF _Toc13858 \h </w:instrText>
      </w:r>
      <w:r>
        <w:rPr>
          <w:color w:val="auto"/>
          <w:highlight w:val="none"/>
        </w:rPr>
        <w:fldChar w:fldCharType="separate"/>
      </w:r>
      <w:r>
        <w:rPr>
          <w:color w:val="auto"/>
          <w:highlight w:val="none"/>
        </w:rPr>
        <w:t>53</w:t>
      </w:r>
      <w:r>
        <w:rPr>
          <w:color w:val="auto"/>
          <w:highlight w:val="none"/>
        </w:rPr>
        <w:fldChar w:fldCharType="end"/>
      </w:r>
      <w:r>
        <w:rPr>
          <w:rFonts w:hint="eastAsia" w:ascii="仿宋" w:hAnsi="仿宋" w:eastAsia="仿宋" w:cs="宋体"/>
          <w:color w:val="auto"/>
          <w:szCs w:val="21"/>
          <w:highlight w:val="none"/>
        </w:rPr>
        <w:fldChar w:fldCharType="end"/>
      </w:r>
    </w:p>
    <w:p w14:paraId="516C1EB9">
      <w:pPr>
        <w:pStyle w:val="16"/>
        <w:pageBreakBefore w:val="0"/>
        <w:tabs>
          <w:tab w:val="right" w:leader="dot" w:pos="9638"/>
        </w:tabs>
        <w:kinsoku/>
        <w:overflowPunct/>
        <w:bidi w:val="0"/>
        <w:spacing w:line="600" w:lineRule="exact"/>
        <w:rPr>
          <w:color w:val="auto"/>
          <w:highlight w:val="none"/>
        </w:rPr>
      </w:pPr>
      <w:r>
        <w:rPr>
          <w:rFonts w:hint="eastAsia" w:ascii="仿宋" w:hAnsi="仿宋" w:eastAsia="仿宋" w:cs="宋体"/>
          <w:color w:val="auto"/>
          <w:szCs w:val="21"/>
          <w:highlight w:val="none"/>
        </w:rPr>
        <w:fldChar w:fldCharType="begin"/>
      </w:r>
      <w:r>
        <w:rPr>
          <w:rFonts w:hint="eastAsia" w:ascii="仿宋" w:hAnsi="仿宋" w:eastAsia="仿宋" w:cs="宋体"/>
          <w:color w:val="auto"/>
          <w:szCs w:val="21"/>
          <w:highlight w:val="none"/>
        </w:rPr>
        <w:instrText xml:space="preserve"> HYPERLINK \l _Toc3210 </w:instrText>
      </w:r>
      <w:r>
        <w:rPr>
          <w:rFonts w:hint="eastAsia" w:ascii="仿宋" w:hAnsi="仿宋" w:eastAsia="仿宋" w:cs="宋体"/>
          <w:color w:val="auto"/>
          <w:szCs w:val="21"/>
          <w:highlight w:val="none"/>
        </w:rPr>
        <w:fldChar w:fldCharType="separate"/>
      </w:r>
      <w:r>
        <w:rPr>
          <w:color w:val="auto"/>
          <w:highlight w:val="none"/>
        </w:rPr>
        <w:t>（八）供应商廉洁诚信承诺书</w:t>
      </w:r>
      <w:r>
        <w:rPr>
          <w:color w:val="auto"/>
          <w:highlight w:val="none"/>
        </w:rPr>
        <w:tab/>
      </w:r>
      <w:r>
        <w:rPr>
          <w:color w:val="auto"/>
          <w:highlight w:val="none"/>
        </w:rPr>
        <w:fldChar w:fldCharType="begin"/>
      </w:r>
      <w:r>
        <w:rPr>
          <w:color w:val="auto"/>
          <w:highlight w:val="none"/>
        </w:rPr>
        <w:instrText xml:space="preserve"> PAGEREF _Toc3210 \h </w:instrText>
      </w:r>
      <w:r>
        <w:rPr>
          <w:color w:val="auto"/>
          <w:highlight w:val="none"/>
        </w:rPr>
        <w:fldChar w:fldCharType="separate"/>
      </w:r>
      <w:r>
        <w:rPr>
          <w:color w:val="auto"/>
          <w:highlight w:val="none"/>
        </w:rPr>
        <w:t>55</w:t>
      </w:r>
      <w:r>
        <w:rPr>
          <w:color w:val="auto"/>
          <w:highlight w:val="none"/>
        </w:rPr>
        <w:fldChar w:fldCharType="end"/>
      </w:r>
      <w:r>
        <w:rPr>
          <w:rFonts w:hint="eastAsia" w:ascii="仿宋" w:hAnsi="仿宋" w:eastAsia="仿宋" w:cs="宋体"/>
          <w:color w:val="auto"/>
          <w:szCs w:val="21"/>
          <w:highlight w:val="none"/>
        </w:rPr>
        <w:fldChar w:fldCharType="end"/>
      </w:r>
    </w:p>
    <w:p w14:paraId="13E65700">
      <w:pPr>
        <w:pStyle w:val="16"/>
        <w:pageBreakBefore w:val="0"/>
        <w:tabs>
          <w:tab w:val="right" w:leader="dot" w:pos="9638"/>
        </w:tabs>
        <w:kinsoku/>
        <w:overflowPunct/>
        <w:bidi w:val="0"/>
        <w:spacing w:line="600" w:lineRule="exact"/>
        <w:rPr>
          <w:color w:val="auto"/>
          <w:highlight w:val="none"/>
        </w:rPr>
      </w:pPr>
      <w:r>
        <w:rPr>
          <w:rFonts w:hint="eastAsia" w:ascii="仿宋" w:hAnsi="仿宋" w:eastAsia="仿宋" w:cs="宋体"/>
          <w:color w:val="auto"/>
          <w:szCs w:val="21"/>
          <w:highlight w:val="none"/>
        </w:rPr>
        <w:fldChar w:fldCharType="begin"/>
      </w:r>
      <w:r>
        <w:rPr>
          <w:rFonts w:hint="eastAsia" w:ascii="仿宋" w:hAnsi="仿宋" w:eastAsia="仿宋" w:cs="宋体"/>
          <w:color w:val="auto"/>
          <w:szCs w:val="21"/>
          <w:highlight w:val="none"/>
        </w:rPr>
        <w:instrText xml:space="preserve"> HYPERLINK \l _Toc15311 </w:instrText>
      </w:r>
      <w:r>
        <w:rPr>
          <w:rFonts w:hint="eastAsia" w:ascii="仿宋" w:hAnsi="仿宋" w:eastAsia="仿宋" w:cs="宋体"/>
          <w:color w:val="auto"/>
          <w:szCs w:val="21"/>
          <w:highlight w:val="none"/>
        </w:rPr>
        <w:fldChar w:fldCharType="separate"/>
      </w:r>
      <w:r>
        <w:rPr>
          <w:rFonts w:ascii="仿宋" w:hAnsi="仿宋" w:cs="仿宋"/>
          <w:color w:val="auto"/>
          <w:szCs w:val="24"/>
          <w:highlight w:val="none"/>
        </w:rPr>
        <w:t>（九）其他材料</w:t>
      </w:r>
      <w:r>
        <w:rPr>
          <w:color w:val="auto"/>
          <w:highlight w:val="none"/>
        </w:rPr>
        <w:tab/>
      </w:r>
      <w:r>
        <w:rPr>
          <w:color w:val="auto"/>
          <w:highlight w:val="none"/>
        </w:rPr>
        <w:fldChar w:fldCharType="begin"/>
      </w:r>
      <w:r>
        <w:rPr>
          <w:color w:val="auto"/>
          <w:highlight w:val="none"/>
        </w:rPr>
        <w:instrText xml:space="preserve"> PAGEREF _Toc15311 \h </w:instrText>
      </w:r>
      <w:r>
        <w:rPr>
          <w:color w:val="auto"/>
          <w:highlight w:val="none"/>
        </w:rPr>
        <w:fldChar w:fldCharType="separate"/>
      </w:r>
      <w:r>
        <w:rPr>
          <w:color w:val="auto"/>
          <w:highlight w:val="none"/>
        </w:rPr>
        <w:t>58</w:t>
      </w:r>
      <w:r>
        <w:rPr>
          <w:color w:val="auto"/>
          <w:highlight w:val="none"/>
        </w:rPr>
        <w:fldChar w:fldCharType="end"/>
      </w:r>
      <w:r>
        <w:rPr>
          <w:rFonts w:hint="eastAsia" w:ascii="仿宋" w:hAnsi="仿宋" w:eastAsia="仿宋" w:cs="宋体"/>
          <w:color w:val="auto"/>
          <w:szCs w:val="21"/>
          <w:highlight w:val="none"/>
        </w:rPr>
        <w:fldChar w:fldCharType="end"/>
      </w:r>
    </w:p>
    <w:p w14:paraId="04DB3D1B">
      <w:pPr>
        <w:pStyle w:val="29"/>
        <w:pageBreakBefore w:val="0"/>
        <w:tabs>
          <w:tab w:val="right" w:leader="dot" w:pos="9638"/>
        </w:tabs>
        <w:kinsoku/>
        <w:overflowPunct/>
        <w:bidi w:val="0"/>
        <w:spacing w:line="600" w:lineRule="exact"/>
        <w:rPr>
          <w:color w:val="auto"/>
          <w:highlight w:val="none"/>
        </w:rPr>
      </w:pPr>
      <w:r>
        <w:rPr>
          <w:rFonts w:hint="eastAsia" w:ascii="仿宋" w:hAnsi="仿宋" w:eastAsia="仿宋" w:cs="宋体"/>
          <w:color w:val="auto"/>
          <w:szCs w:val="21"/>
          <w:highlight w:val="none"/>
        </w:rPr>
        <w:fldChar w:fldCharType="begin"/>
      </w:r>
      <w:r>
        <w:rPr>
          <w:rFonts w:hint="eastAsia" w:ascii="仿宋" w:hAnsi="仿宋" w:eastAsia="仿宋" w:cs="宋体"/>
          <w:color w:val="auto"/>
          <w:szCs w:val="21"/>
          <w:highlight w:val="none"/>
        </w:rPr>
        <w:instrText xml:space="preserve"> HYPERLINK \l _Toc1018 </w:instrText>
      </w:r>
      <w:r>
        <w:rPr>
          <w:rFonts w:hint="eastAsia" w:ascii="仿宋" w:hAnsi="仿宋" w:eastAsia="仿宋" w:cs="宋体"/>
          <w:color w:val="auto"/>
          <w:szCs w:val="21"/>
          <w:highlight w:val="none"/>
        </w:rPr>
        <w:fldChar w:fldCharType="separate"/>
      </w:r>
      <w:r>
        <w:rPr>
          <w:rFonts w:hint="eastAsia" w:ascii="仿宋" w:hAnsi="仿宋" w:cs="宋体"/>
          <w:color w:val="auto"/>
          <w:szCs w:val="24"/>
          <w:highlight w:val="none"/>
        </w:rPr>
        <w:t>二、技术文件</w:t>
      </w:r>
      <w:r>
        <w:rPr>
          <w:color w:val="auto"/>
          <w:highlight w:val="none"/>
        </w:rPr>
        <w:tab/>
      </w:r>
      <w:r>
        <w:rPr>
          <w:color w:val="auto"/>
          <w:highlight w:val="none"/>
        </w:rPr>
        <w:fldChar w:fldCharType="begin"/>
      </w:r>
      <w:r>
        <w:rPr>
          <w:color w:val="auto"/>
          <w:highlight w:val="none"/>
        </w:rPr>
        <w:instrText xml:space="preserve"> PAGEREF _Toc1018 \h </w:instrText>
      </w:r>
      <w:r>
        <w:rPr>
          <w:color w:val="auto"/>
          <w:highlight w:val="none"/>
        </w:rPr>
        <w:fldChar w:fldCharType="separate"/>
      </w:r>
      <w:r>
        <w:rPr>
          <w:color w:val="auto"/>
          <w:highlight w:val="none"/>
        </w:rPr>
        <w:t>59</w:t>
      </w:r>
      <w:r>
        <w:rPr>
          <w:color w:val="auto"/>
          <w:highlight w:val="none"/>
        </w:rPr>
        <w:fldChar w:fldCharType="end"/>
      </w:r>
      <w:r>
        <w:rPr>
          <w:rFonts w:hint="eastAsia" w:ascii="仿宋" w:hAnsi="仿宋" w:eastAsia="仿宋" w:cs="宋体"/>
          <w:color w:val="auto"/>
          <w:szCs w:val="21"/>
          <w:highlight w:val="none"/>
        </w:rPr>
        <w:fldChar w:fldCharType="end"/>
      </w:r>
    </w:p>
    <w:p w14:paraId="47DB602A">
      <w:pPr>
        <w:pStyle w:val="16"/>
        <w:pageBreakBefore w:val="0"/>
        <w:tabs>
          <w:tab w:val="right" w:leader="dot" w:pos="9638"/>
        </w:tabs>
        <w:kinsoku/>
        <w:overflowPunct/>
        <w:bidi w:val="0"/>
        <w:spacing w:line="600" w:lineRule="exact"/>
        <w:rPr>
          <w:color w:val="auto"/>
          <w:highlight w:val="none"/>
        </w:rPr>
      </w:pPr>
      <w:r>
        <w:rPr>
          <w:rFonts w:hint="eastAsia" w:ascii="仿宋" w:hAnsi="仿宋" w:eastAsia="仿宋" w:cs="宋体"/>
          <w:color w:val="auto"/>
          <w:szCs w:val="21"/>
          <w:highlight w:val="none"/>
        </w:rPr>
        <w:fldChar w:fldCharType="begin"/>
      </w:r>
      <w:r>
        <w:rPr>
          <w:rFonts w:hint="eastAsia" w:ascii="仿宋" w:hAnsi="仿宋" w:eastAsia="仿宋" w:cs="宋体"/>
          <w:color w:val="auto"/>
          <w:szCs w:val="21"/>
          <w:highlight w:val="none"/>
        </w:rPr>
        <w:instrText xml:space="preserve"> HYPERLINK \l _Toc8506 </w:instrText>
      </w:r>
      <w:r>
        <w:rPr>
          <w:rFonts w:hint="eastAsia" w:ascii="仿宋" w:hAnsi="仿宋" w:eastAsia="仿宋" w:cs="宋体"/>
          <w:color w:val="auto"/>
          <w:szCs w:val="21"/>
          <w:highlight w:val="none"/>
        </w:rPr>
        <w:fldChar w:fldCharType="separate"/>
      </w:r>
      <w:r>
        <w:rPr>
          <w:rFonts w:ascii="仿宋" w:hAnsi="仿宋" w:cs="宋体"/>
          <w:color w:val="auto"/>
          <w:highlight w:val="none"/>
        </w:rPr>
        <w:t>详细评审索引表</w:t>
      </w:r>
      <w:r>
        <w:rPr>
          <w:color w:val="auto"/>
          <w:highlight w:val="none"/>
        </w:rPr>
        <w:tab/>
      </w:r>
      <w:r>
        <w:rPr>
          <w:color w:val="auto"/>
          <w:highlight w:val="none"/>
        </w:rPr>
        <w:fldChar w:fldCharType="begin"/>
      </w:r>
      <w:r>
        <w:rPr>
          <w:color w:val="auto"/>
          <w:highlight w:val="none"/>
        </w:rPr>
        <w:instrText xml:space="preserve"> PAGEREF _Toc8506 \h </w:instrText>
      </w:r>
      <w:r>
        <w:rPr>
          <w:color w:val="auto"/>
          <w:highlight w:val="none"/>
        </w:rPr>
        <w:fldChar w:fldCharType="separate"/>
      </w:r>
      <w:r>
        <w:rPr>
          <w:color w:val="auto"/>
          <w:highlight w:val="none"/>
        </w:rPr>
        <w:t>59</w:t>
      </w:r>
      <w:r>
        <w:rPr>
          <w:color w:val="auto"/>
          <w:highlight w:val="none"/>
        </w:rPr>
        <w:fldChar w:fldCharType="end"/>
      </w:r>
      <w:r>
        <w:rPr>
          <w:rFonts w:hint="eastAsia" w:ascii="仿宋" w:hAnsi="仿宋" w:eastAsia="仿宋" w:cs="宋体"/>
          <w:color w:val="auto"/>
          <w:szCs w:val="21"/>
          <w:highlight w:val="none"/>
        </w:rPr>
        <w:fldChar w:fldCharType="end"/>
      </w:r>
    </w:p>
    <w:p w14:paraId="1F6029F1">
      <w:pPr>
        <w:pStyle w:val="16"/>
        <w:pageBreakBefore w:val="0"/>
        <w:tabs>
          <w:tab w:val="right" w:leader="dot" w:pos="9638"/>
        </w:tabs>
        <w:kinsoku/>
        <w:overflowPunct/>
        <w:bidi w:val="0"/>
        <w:spacing w:line="600" w:lineRule="exact"/>
        <w:rPr>
          <w:color w:val="auto"/>
          <w:highlight w:val="none"/>
        </w:rPr>
      </w:pPr>
      <w:r>
        <w:rPr>
          <w:rFonts w:hint="eastAsia" w:ascii="仿宋" w:hAnsi="仿宋" w:eastAsia="仿宋" w:cs="宋体"/>
          <w:color w:val="auto"/>
          <w:szCs w:val="21"/>
          <w:highlight w:val="none"/>
        </w:rPr>
        <w:fldChar w:fldCharType="begin"/>
      </w:r>
      <w:r>
        <w:rPr>
          <w:rFonts w:hint="eastAsia" w:ascii="仿宋" w:hAnsi="仿宋" w:eastAsia="仿宋" w:cs="宋体"/>
          <w:color w:val="auto"/>
          <w:szCs w:val="21"/>
          <w:highlight w:val="none"/>
        </w:rPr>
        <w:instrText xml:space="preserve"> HYPERLINK \l _Toc16677 </w:instrText>
      </w:r>
      <w:r>
        <w:rPr>
          <w:rFonts w:hint="eastAsia" w:ascii="仿宋" w:hAnsi="仿宋" w:eastAsia="仿宋" w:cs="宋体"/>
          <w:color w:val="auto"/>
          <w:szCs w:val="21"/>
          <w:highlight w:val="none"/>
        </w:rPr>
        <w:fldChar w:fldCharType="separate"/>
      </w:r>
      <w:r>
        <w:rPr>
          <w:rFonts w:ascii="仿宋" w:hAnsi="仿宋" w:cs="宋体"/>
          <w:color w:val="auto"/>
          <w:szCs w:val="24"/>
          <w:highlight w:val="none"/>
        </w:rPr>
        <w:t>（一）技术规范书应答偏离表</w:t>
      </w:r>
      <w:r>
        <w:rPr>
          <w:color w:val="auto"/>
          <w:highlight w:val="none"/>
        </w:rPr>
        <w:tab/>
      </w:r>
      <w:r>
        <w:rPr>
          <w:color w:val="auto"/>
          <w:highlight w:val="none"/>
        </w:rPr>
        <w:fldChar w:fldCharType="begin"/>
      </w:r>
      <w:r>
        <w:rPr>
          <w:color w:val="auto"/>
          <w:highlight w:val="none"/>
        </w:rPr>
        <w:instrText xml:space="preserve"> PAGEREF _Toc16677 \h </w:instrText>
      </w:r>
      <w:r>
        <w:rPr>
          <w:color w:val="auto"/>
          <w:highlight w:val="none"/>
        </w:rPr>
        <w:fldChar w:fldCharType="separate"/>
      </w:r>
      <w:r>
        <w:rPr>
          <w:color w:val="auto"/>
          <w:highlight w:val="none"/>
        </w:rPr>
        <w:t>60</w:t>
      </w:r>
      <w:r>
        <w:rPr>
          <w:color w:val="auto"/>
          <w:highlight w:val="none"/>
        </w:rPr>
        <w:fldChar w:fldCharType="end"/>
      </w:r>
      <w:r>
        <w:rPr>
          <w:rFonts w:hint="eastAsia" w:ascii="仿宋" w:hAnsi="仿宋" w:eastAsia="仿宋" w:cs="宋体"/>
          <w:color w:val="auto"/>
          <w:szCs w:val="21"/>
          <w:highlight w:val="none"/>
        </w:rPr>
        <w:fldChar w:fldCharType="end"/>
      </w:r>
    </w:p>
    <w:p w14:paraId="098F0B80">
      <w:pPr>
        <w:pStyle w:val="16"/>
        <w:pageBreakBefore w:val="0"/>
        <w:tabs>
          <w:tab w:val="right" w:leader="dot" w:pos="9638"/>
        </w:tabs>
        <w:kinsoku/>
        <w:overflowPunct/>
        <w:bidi w:val="0"/>
        <w:spacing w:line="600" w:lineRule="exact"/>
        <w:rPr>
          <w:color w:val="auto"/>
          <w:highlight w:val="none"/>
        </w:rPr>
      </w:pPr>
      <w:r>
        <w:rPr>
          <w:rFonts w:hint="eastAsia" w:ascii="仿宋" w:hAnsi="仿宋" w:eastAsia="仿宋" w:cs="宋体"/>
          <w:color w:val="auto"/>
          <w:szCs w:val="21"/>
          <w:highlight w:val="none"/>
        </w:rPr>
        <w:fldChar w:fldCharType="begin"/>
      </w:r>
      <w:r>
        <w:rPr>
          <w:rFonts w:hint="eastAsia" w:ascii="仿宋" w:hAnsi="仿宋" w:eastAsia="仿宋" w:cs="宋体"/>
          <w:color w:val="auto"/>
          <w:szCs w:val="21"/>
          <w:highlight w:val="none"/>
        </w:rPr>
        <w:instrText xml:space="preserve"> HYPERLINK \l _Toc12176 </w:instrText>
      </w:r>
      <w:r>
        <w:rPr>
          <w:rFonts w:hint="eastAsia" w:ascii="仿宋" w:hAnsi="仿宋" w:eastAsia="仿宋" w:cs="宋体"/>
          <w:color w:val="auto"/>
          <w:szCs w:val="21"/>
          <w:highlight w:val="none"/>
        </w:rPr>
        <w:fldChar w:fldCharType="separate"/>
      </w:r>
      <w:r>
        <w:rPr>
          <w:rFonts w:ascii="仿宋" w:hAnsi="仿宋" w:cs="宋体"/>
          <w:color w:val="auto"/>
          <w:szCs w:val="24"/>
          <w:highlight w:val="none"/>
        </w:rPr>
        <w:t>（二）技术方案</w:t>
      </w:r>
      <w:r>
        <w:rPr>
          <w:color w:val="auto"/>
          <w:highlight w:val="none"/>
        </w:rPr>
        <w:tab/>
      </w:r>
      <w:r>
        <w:rPr>
          <w:color w:val="auto"/>
          <w:highlight w:val="none"/>
        </w:rPr>
        <w:fldChar w:fldCharType="begin"/>
      </w:r>
      <w:r>
        <w:rPr>
          <w:color w:val="auto"/>
          <w:highlight w:val="none"/>
        </w:rPr>
        <w:instrText xml:space="preserve"> PAGEREF _Toc12176 \h </w:instrText>
      </w:r>
      <w:r>
        <w:rPr>
          <w:color w:val="auto"/>
          <w:highlight w:val="none"/>
        </w:rPr>
        <w:fldChar w:fldCharType="separate"/>
      </w:r>
      <w:r>
        <w:rPr>
          <w:color w:val="auto"/>
          <w:highlight w:val="none"/>
        </w:rPr>
        <w:t>61</w:t>
      </w:r>
      <w:r>
        <w:rPr>
          <w:color w:val="auto"/>
          <w:highlight w:val="none"/>
        </w:rPr>
        <w:fldChar w:fldCharType="end"/>
      </w:r>
      <w:r>
        <w:rPr>
          <w:rFonts w:hint="eastAsia" w:ascii="仿宋" w:hAnsi="仿宋" w:eastAsia="仿宋" w:cs="宋体"/>
          <w:color w:val="auto"/>
          <w:szCs w:val="21"/>
          <w:highlight w:val="none"/>
        </w:rPr>
        <w:fldChar w:fldCharType="end"/>
      </w:r>
    </w:p>
    <w:p w14:paraId="0F29B28C">
      <w:pPr>
        <w:pStyle w:val="16"/>
        <w:pageBreakBefore w:val="0"/>
        <w:tabs>
          <w:tab w:val="right" w:leader="dot" w:pos="9638"/>
        </w:tabs>
        <w:kinsoku/>
        <w:overflowPunct/>
        <w:bidi w:val="0"/>
        <w:spacing w:line="600" w:lineRule="exact"/>
        <w:rPr>
          <w:color w:val="auto"/>
          <w:highlight w:val="none"/>
        </w:rPr>
      </w:pPr>
      <w:r>
        <w:rPr>
          <w:rFonts w:hint="eastAsia" w:ascii="仿宋" w:hAnsi="仿宋" w:eastAsia="仿宋" w:cs="宋体"/>
          <w:color w:val="auto"/>
          <w:szCs w:val="21"/>
          <w:highlight w:val="none"/>
        </w:rPr>
        <w:fldChar w:fldCharType="begin"/>
      </w:r>
      <w:r>
        <w:rPr>
          <w:rFonts w:hint="eastAsia" w:ascii="仿宋" w:hAnsi="仿宋" w:eastAsia="仿宋" w:cs="宋体"/>
          <w:color w:val="auto"/>
          <w:szCs w:val="21"/>
          <w:highlight w:val="none"/>
        </w:rPr>
        <w:instrText xml:space="preserve"> HYPERLINK \l _Toc6712 </w:instrText>
      </w:r>
      <w:r>
        <w:rPr>
          <w:rFonts w:hint="eastAsia" w:ascii="仿宋" w:hAnsi="仿宋" w:eastAsia="仿宋" w:cs="宋体"/>
          <w:color w:val="auto"/>
          <w:szCs w:val="21"/>
          <w:highlight w:val="none"/>
        </w:rPr>
        <w:fldChar w:fldCharType="separate"/>
      </w:r>
      <w:r>
        <w:rPr>
          <w:rFonts w:ascii="仿宋" w:hAnsi="仿宋" w:cs="宋体"/>
          <w:color w:val="auto"/>
          <w:szCs w:val="24"/>
          <w:highlight w:val="none"/>
        </w:rPr>
        <w:t>（三）其他材料</w:t>
      </w:r>
      <w:r>
        <w:rPr>
          <w:color w:val="auto"/>
          <w:highlight w:val="none"/>
        </w:rPr>
        <w:tab/>
      </w:r>
      <w:r>
        <w:rPr>
          <w:color w:val="auto"/>
          <w:highlight w:val="none"/>
        </w:rPr>
        <w:fldChar w:fldCharType="begin"/>
      </w:r>
      <w:r>
        <w:rPr>
          <w:color w:val="auto"/>
          <w:highlight w:val="none"/>
        </w:rPr>
        <w:instrText xml:space="preserve"> PAGEREF _Toc6712 \h </w:instrText>
      </w:r>
      <w:r>
        <w:rPr>
          <w:color w:val="auto"/>
          <w:highlight w:val="none"/>
        </w:rPr>
        <w:fldChar w:fldCharType="separate"/>
      </w:r>
      <w:r>
        <w:rPr>
          <w:color w:val="auto"/>
          <w:highlight w:val="none"/>
        </w:rPr>
        <w:t>64</w:t>
      </w:r>
      <w:r>
        <w:rPr>
          <w:color w:val="auto"/>
          <w:highlight w:val="none"/>
        </w:rPr>
        <w:fldChar w:fldCharType="end"/>
      </w:r>
      <w:r>
        <w:rPr>
          <w:rFonts w:hint="eastAsia" w:ascii="仿宋" w:hAnsi="仿宋" w:eastAsia="仿宋" w:cs="宋体"/>
          <w:color w:val="auto"/>
          <w:szCs w:val="21"/>
          <w:highlight w:val="none"/>
        </w:rPr>
        <w:fldChar w:fldCharType="end"/>
      </w:r>
    </w:p>
    <w:p w14:paraId="793C0C83">
      <w:pPr>
        <w:pStyle w:val="29"/>
        <w:pageBreakBefore w:val="0"/>
        <w:tabs>
          <w:tab w:val="right" w:leader="dot" w:pos="9638"/>
        </w:tabs>
        <w:kinsoku/>
        <w:overflowPunct/>
        <w:bidi w:val="0"/>
        <w:spacing w:line="600" w:lineRule="exact"/>
        <w:rPr>
          <w:color w:val="auto"/>
          <w:highlight w:val="none"/>
        </w:rPr>
      </w:pPr>
      <w:r>
        <w:rPr>
          <w:rFonts w:hint="eastAsia" w:ascii="仿宋" w:hAnsi="仿宋" w:eastAsia="仿宋" w:cs="宋体"/>
          <w:color w:val="auto"/>
          <w:szCs w:val="21"/>
          <w:highlight w:val="none"/>
        </w:rPr>
        <w:fldChar w:fldCharType="begin"/>
      </w:r>
      <w:r>
        <w:rPr>
          <w:rFonts w:hint="eastAsia" w:ascii="仿宋" w:hAnsi="仿宋" w:eastAsia="仿宋" w:cs="宋体"/>
          <w:color w:val="auto"/>
          <w:szCs w:val="21"/>
          <w:highlight w:val="none"/>
        </w:rPr>
        <w:instrText xml:space="preserve"> HYPERLINK \l _Toc5944 </w:instrText>
      </w:r>
      <w:r>
        <w:rPr>
          <w:rFonts w:hint="eastAsia" w:ascii="仿宋" w:hAnsi="仿宋" w:eastAsia="仿宋" w:cs="宋体"/>
          <w:color w:val="auto"/>
          <w:szCs w:val="21"/>
          <w:highlight w:val="none"/>
        </w:rPr>
        <w:fldChar w:fldCharType="separate"/>
      </w:r>
      <w:r>
        <w:rPr>
          <w:rFonts w:hint="eastAsia" w:ascii="仿宋" w:hAnsi="仿宋" w:cs="宋体"/>
          <w:color w:val="auto"/>
          <w:szCs w:val="24"/>
          <w:highlight w:val="none"/>
        </w:rPr>
        <w:t>三、报价文件</w:t>
      </w:r>
      <w:r>
        <w:rPr>
          <w:color w:val="auto"/>
          <w:highlight w:val="none"/>
        </w:rPr>
        <w:tab/>
      </w:r>
      <w:r>
        <w:rPr>
          <w:color w:val="auto"/>
          <w:highlight w:val="none"/>
        </w:rPr>
        <w:fldChar w:fldCharType="begin"/>
      </w:r>
      <w:r>
        <w:rPr>
          <w:color w:val="auto"/>
          <w:highlight w:val="none"/>
        </w:rPr>
        <w:instrText xml:space="preserve"> PAGEREF _Toc5944 \h </w:instrText>
      </w:r>
      <w:r>
        <w:rPr>
          <w:color w:val="auto"/>
          <w:highlight w:val="none"/>
        </w:rPr>
        <w:fldChar w:fldCharType="separate"/>
      </w:r>
      <w:r>
        <w:rPr>
          <w:color w:val="auto"/>
          <w:highlight w:val="none"/>
        </w:rPr>
        <w:t>65</w:t>
      </w:r>
      <w:r>
        <w:rPr>
          <w:color w:val="auto"/>
          <w:highlight w:val="none"/>
        </w:rPr>
        <w:fldChar w:fldCharType="end"/>
      </w:r>
      <w:r>
        <w:rPr>
          <w:rFonts w:hint="eastAsia" w:ascii="仿宋" w:hAnsi="仿宋" w:eastAsia="仿宋" w:cs="宋体"/>
          <w:color w:val="auto"/>
          <w:szCs w:val="21"/>
          <w:highlight w:val="none"/>
        </w:rPr>
        <w:fldChar w:fldCharType="end"/>
      </w:r>
    </w:p>
    <w:p w14:paraId="4BAF7D90">
      <w:pPr>
        <w:pStyle w:val="16"/>
        <w:pageBreakBefore w:val="0"/>
        <w:tabs>
          <w:tab w:val="right" w:leader="dot" w:pos="9638"/>
        </w:tabs>
        <w:kinsoku/>
        <w:overflowPunct/>
        <w:bidi w:val="0"/>
        <w:spacing w:line="600" w:lineRule="exact"/>
        <w:rPr>
          <w:color w:val="auto"/>
          <w:highlight w:val="none"/>
        </w:rPr>
      </w:pPr>
      <w:r>
        <w:rPr>
          <w:rFonts w:hint="eastAsia" w:ascii="仿宋" w:hAnsi="仿宋" w:eastAsia="仿宋" w:cs="宋体"/>
          <w:color w:val="auto"/>
          <w:szCs w:val="21"/>
          <w:highlight w:val="none"/>
        </w:rPr>
        <w:fldChar w:fldCharType="begin"/>
      </w:r>
      <w:r>
        <w:rPr>
          <w:rFonts w:hint="eastAsia" w:ascii="仿宋" w:hAnsi="仿宋" w:eastAsia="仿宋" w:cs="宋体"/>
          <w:color w:val="auto"/>
          <w:szCs w:val="21"/>
          <w:highlight w:val="none"/>
        </w:rPr>
        <w:instrText xml:space="preserve"> HYPERLINK \l _Toc3391 </w:instrText>
      </w:r>
      <w:r>
        <w:rPr>
          <w:rFonts w:hint="eastAsia" w:ascii="仿宋" w:hAnsi="仿宋" w:eastAsia="仿宋" w:cs="宋体"/>
          <w:color w:val="auto"/>
          <w:szCs w:val="21"/>
          <w:highlight w:val="none"/>
        </w:rPr>
        <w:fldChar w:fldCharType="separate"/>
      </w:r>
      <w:r>
        <w:rPr>
          <w:rFonts w:ascii="仿宋" w:hAnsi="仿宋" w:cs="宋体"/>
          <w:color w:val="auto"/>
          <w:szCs w:val="24"/>
          <w:highlight w:val="none"/>
        </w:rPr>
        <w:t>（一）投标一览表</w:t>
      </w:r>
      <w:r>
        <w:rPr>
          <w:color w:val="auto"/>
          <w:highlight w:val="none"/>
        </w:rPr>
        <w:tab/>
      </w:r>
      <w:r>
        <w:rPr>
          <w:color w:val="auto"/>
          <w:highlight w:val="none"/>
        </w:rPr>
        <w:fldChar w:fldCharType="begin"/>
      </w:r>
      <w:r>
        <w:rPr>
          <w:color w:val="auto"/>
          <w:highlight w:val="none"/>
        </w:rPr>
        <w:instrText xml:space="preserve"> PAGEREF _Toc3391 \h </w:instrText>
      </w:r>
      <w:r>
        <w:rPr>
          <w:color w:val="auto"/>
          <w:highlight w:val="none"/>
        </w:rPr>
        <w:fldChar w:fldCharType="separate"/>
      </w:r>
      <w:r>
        <w:rPr>
          <w:color w:val="auto"/>
          <w:highlight w:val="none"/>
        </w:rPr>
        <w:t>65</w:t>
      </w:r>
      <w:r>
        <w:rPr>
          <w:color w:val="auto"/>
          <w:highlight w:val="none"/>
        </w:rPr>
        <w:fldChar w:fldCharType="end"/>
      </w:r>
      <w:r>
        <w:rPr>
          <w:rFonts w:hint="eastAsia" w:ascii="仿宋" w:hAnsi="仿宋" w:eastAsia="仿宋" w:cs="宋体"/>
          <w:color w:val="auto"/>
          <w:szCs w:val="21"/>
          <w:highlight w:val="none"/>
        </w:rPr>
        <w:fldChar w:fldCharType="end"/>
      </w:r>
    </w:p>
    <w:p w14:paraId="23876E12">
      <w:pPr>
        <w:pStyle w:val="16"/>
        <w:pageBreakBefore w:val="0"/>
        <w:tabs>
          <w:tab w:val="right" w:leader="dot" w:pos="9638"/>
        </w:tabs>
        <w:kinsoku/>
        <w:overflowPunct/>
        <w:bidi w:val="0"/>
        <w:spacing w:line="600" w:lineRule="exact"/>
        <w:rPr>
          <w:color w:val="auto"/>
          <w:highlight w:val="none"/>
        </w:rPr>
      </w:pPr>
      <w:r>
        <w:rPr>
          <w:rFonts w:hint="eastAsia" w:ascii="仿宋" w:hAnsi="仿宋" w:eastAsia="仿宋" w:cs="宋体"/>
          <w:color w:val="auto"/>
          <w:szCs w:val="21"/>
          <w:highlight w:val="none"/>
        </w:rPr>
        <w:fldChar w:fldCharType="begin"/>
      </w:r>
      <w:r>
        <w:rPr>
          <w:rFonts w:hint="eastAsia" w:ascii="仿宋" w:hAnsi="仿宋" w:eastAsia="仿宋" w:cs="宋体"/>
          <w:color w:val="auto"/>
          <w:szCs w:val="21"/>
          <w:highlight w:val="none"/>
        </w:rPr>
        <w:instrText xml:space="preserve"> HYPERLINK \l _Toc14404 </w:instrText>
      </w:r>
      <w:r>
        <w:rPr>
          <w:rFonts w:hint="eastAsia" w:ascii="仿宋" w:hAnsi="仿宋" w:eastAsia="仿宋" w:cs="宋体"/>
          <w:color w:val="auto"/>
          <w:szCs w:val="21"/>
          <w:highlight w:val="none"/>
        </w:rPr>
        <w:fldChar w:fldCharType="separate"/>
      </w:r>
      <w:r>
        <w:rPr>
          <w:rFonts w:hint="eastAsia" w:ascii="仿宋" w:hAnsi="仿宋" w:cs="宋体"/>
          <w:color w:val="auto"/>
          <w:szCs w:val="24"/>
          <w:highlight w:val="none"/>
          <w:lang w:eastAsia="zh-CN"/>
        </w:rPr>
        <w:t>（</w:t>
      </w:r>
      <w:r>
        <w:rPr>
          <w:rFonts w:hint="eastAsia" w:ascii="仿宋" w:hAnsi="仿宋" w:cs="宋体"/>
          <w:color w:val="auto"/>
          <w:szCs w:val="24"/>
          <w:highlight w:val="none"/>
          <w:lang w:val="en-US" w:eastAsia="zh-CN"/>
        </w:rPr>
        <w:t>二</w:t>
      </w:r>
      <w:r>
        <w:rPr>
          <w:rFonts w:hint="eastAsia" w:ascii="仿宋" w:hAnsi="仿宋" w:cs="宋体"/>
          <w:color w:val="auto"/>
          <w:szCs w:val="24"/>
          <w:highlight w:val="none"/>
          <w:lang w:eastAsia="zh-CN"/>
        </w:rPr>
        <w:t>）</w:t>
      </w:r>
      <w:r>
        <w:rPr>
          <w:rFonts w:ascii="仿宋" w:hAnsi="仿宋" w:cs="宋体"/>
          <w:color w:val="auto"/>
          <w:szCs w:val="24"/>
          <w:highlight w:val="none"/>
        </w:rPr>
        <w:t>分项报价表</w:t>
      </w:r>
      <w:r>
        <w:rPr>
          <w:color w:val="auto"/>
          <w:highlight w:val="none"/>
        </w:rPr>
        <w:tab/>
      </w:r>
      <w:r>
        <w:rPr>
          <w:color w:val="auto"/>
          <w:highlight w:val="none"/>
        </w:rPr>
        <w:fldChar w:fldCharType="begin"/>
      </w:r>
      <w:r>
        <w:rPr>
          <w:color w:val="auto"/>
          <w:highlight w:val="none"/>
        </w:rPr>
        <w:instrText xml:space="preserve"> PAGEREF _Toc14404 \h </w:instrText>
      </w:r>
      <w:r>
        <w:rPr>
          <w:color w:val="auto"/>
          <w:highlight w:val="none"/>
        </w:rPr>
        <w:fldChar w:fldCharType="separate"/>
      </w:r>
      <w:r>
        <w:rPr>
          <w:color w:val="auto"/>
          <w:highlight w:val="none"/>
        </w:rPr>
        <w:t>66</w:t>
      </w:r>
      <w:r>
        <w:rPr>
          <w:color w:val="auto"/>
          <w:highlight w:val="none"/>
        </w:rPr>
        <w:fldChar w:fldCharType="end"/>
      </w:r>
      <w:r>
        <w:rPr>
          <w:rFonts w:hint="eastAsia" w:ascii="仿宋" w:hAnsi="仿宋" w:eastAsia="仿宋" w:cs="宋体"/>
          <w:color w:val="auto"/>
          <w:szCs w:val="21"/>
          <w:highlight w:val="none"/>
        </w:rPr>
        <w:fldChar w:fldCharType="end"/>
      </w:r>
    </w:p>
    <w:p w14:paraId="22A81A92">
      <w:pPr>
        <w:pageBreakBefore w:val="0"/>
        <w:tabs>
          <w:tab w:val="right" w:leader="dot" w:pos="8296"/>
        </w:tabs>
        <w:kinsoku/>
        <w:overflowPunct/>
        <w:bidi w:val="0"/>
        <w:spacing w:line="600" w:lineRule="exact"/>
        <w:rPr>
          <w:rFonts w:hint="eastAsia" w:ascii="仿宋" w:hAnsi="仿宋" w:eastAsia="仿宋" w:cs="宋体"/>
          <w:color w:val="auto"/>
          <w:szCs w:val="21"/>
          <w:highlight w:val="none"/>
        </w:rPr>
      </w:pPr>
      <w:r>
        <w:rPr>
          <w:rFonts w:hint="eastAsia" w:ascii="仿宋" w:hAnsi="仿宋" w:eastAsia="仿宋" w:cs="宋体"/>
          <w:color w:val="auto"/>
          <w:szCs w:val="21"/>
          <w:highlight w:val="none"/>
        </w:rPr>
        <w:fldChar w:fldCharType="end"/>
      </w:r>
    </w:p>
    <w:p w14:paraId="0E14A67B">
      <w:pPr>
        <w:pStyle w:val="3"/>
        <w:pageBreakBefore w:val="0"/>
        <w:kinsoku/>
        <w:overflowPunct/>
        <w:bidi w:val="0"/>
        <w:spacing w:before="0" w:after="0" w:line="600" w:lineRule="exact"/>
        <w:rPr>
          <w:rFonts w:hint="eastAsia" w:ascii="仿宋" w:hAnsi="仿宋" w:cs="宋体"/>
          <w:color w:val="auto"/>
          <w:highlight w:val="none"/>
        </w:rPr>
      </w:pPr>
      <w:r>
        <w:rPr>
          <w:rFonts w:hint="eastAsia" w:ascii="仿宋" w:hAnsi="仿宋" w:cs="宋体"/>
          <w:b w:val="0"/>
          <w:color w:val="auto"/>
          <w:highlight w:val="none"/>
        </w:rPr>
        <w:br w:type="page"/>
      </w:r>
      <w:bookmarkStart w:id="0" w:name="_Toc14796"/>
      <w:bookmarkStart w:id="1" w:name="_Toc9649"/>
      <w:bookmarkStart w:id="2" w:name="_Toc9208"/>
      <w:bookmarkStart w:id="3" w:name="_Toc7914"/>
      <w:bookmarkStart w:id="4" w:name="_Toc65682912"/>
      <w:bookmarkStart w:id="5" w:name="_Toc109124222"/>
      <w:bookmarkStart w:id="6" w:name="_Toc8790"/>
      <w:r>
        <w:rPr>
          <w:rFonts w:hint="eastAsia" w:ascii="仿宋" w:hAnsi="仿宋" w:cs="宋体"/>
          <w:color w:val="auto"/>
          <w:highlight w:val="none"/>
        </w:rPr>
        <w:t xml:space="preserve">第一章 </w:t>
      </w:r>
      <w:bookmarkEnd w:id="0"/>
      <w:bookmarkEnd w:id="1"/>
      <w:bookmarkEnd w:id="2"/>
      <w:r>
        <w:rPr>
          <w:rFonts w:hint="eastAsia" w:ascii="仿宋" w:hAnsi="仿宋" w:cs="宋体"/>
          <w:color w:val="auto"/>
          <w:highlight w:val="none"/>
        </w:rPr>
        <w:t>招标公告</w:t>
      </w:r>
      <w:bookmarkEnd w:id="3"/>
      <w:bookmarkEnd w:id="4"/>
      <w:bookmarkEnd w:id="5"/>
      <w:bookmarkEnd w:id="6"/>
    </w:p>
    <w:p w14:paraId="351E41BB">
      <w:pPr>
        <w:pStyle w:val="4"/>
        <w:pageBreakBefore w:val="0"/>
        <w:kinsoku/>
        <w:overflowPunct/>
        <w:bidi w:val="0"/>
        <w:spacing w:line="600" w:lineRule="exact"/>
        <w:ind w:firstLine="482" w:firstLineChars="200"/>
        <w:rPr>
          <w:rFonts w:hint="eastAsia" w:ascii="仿宋" w:hAnsi="仿宋" w:cs="宋体"/>
          <w:color w:val="auto"/>
          <w:szCs w:val="24"/>
          <w:highlight w:val="none"/>
        </w:rPr>
      </w:pPr>
      <w:bookmarkStart w:id="7" w:name="_Toc24950"/>
      <w:bookmarkStart w:id="8" w:name="_Toc25200"/>
      <w:bookmarkStart w:id="9" w:name="_Toc10131"/>
      <w:bookmarkStart w:id="10" w:name="_Toc23271"/>
      <w:bookmarkStart w:id="11" w:name="_Toc109124223"/>
      <w:bookmarkStart w:id="12" w:name="_Toc13923"/>
      <w:bookmarkStart w:id="13" w:name="_Toc65682913"/>
      <w:r>
        <w:rPr>
          <w:rFonts w:hint="eastAsia" w:ascii="仿宋" w:hAnsi="仿宋" w:cs="宋体"/>
          <w:color w:val="auto"/>
          <w:szCs w:val="24"/>
          <w:highlight w:val="none"/>
        </w:rPr>
        <w:t>一、</w:t>
      </w:r>
      <w:bookmarkEnd w:id="7"/>
      <w:bookmarkEnd w:id="8"/>
      <w:bookmarkEnd w:id="9"/>
      <w:r>
        <w:rPr>
          <w:rFonts w:hint="eastAsia" w:ascii="仿宋" w:hAnsi="仿宋" w:cs="宋体"/>
          <w:color w:val="auto"/>
          <w:szCs w:val="24"/>
          <w:highlight w:val="none"/>
        </w:rPr>
        <w:t>招标条件</w:t>
      </w:r>
      <w:bookmarkEnd w:id="10"/>
      <w:bookmarkEnd w:id="11"/>
      <w:bookmarkEnd w:id="12"/>
      <w:bookmarkEnd w:id="13"/>
    </w:p>
    <w:p w14:paraId="29D69A38">
      <w:pPr>
        <w:pageBreakBefore w:val="0"/>
        <w:kinsoku/>
        <w:overflowPunct/>
        <w:autoSpaceDE w:val="0"/>
        <w:autoSpaceDN w:val="0"/>
        <w:bidi w:val="0"/>
        <w:spacing w:line="600" w:lineRule="exact"/>
        <w:ind w:right="-334" w:rightChars="-159" w:firstLine="600" w:firstLineChars="250"/>
        <w:jc w:val="both"/>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本招标项目</w:t>
      </w:r>
      <w:r>
        <w:rPr>
          <w:rFonts w:hint="eastAsia" w:ascii="仿宋" w:hAnsi="仿宋" w:eastAsia="仿宋" w:cs="宋体"/>
          <w:color w:val="auto"/>
          <w:sz w:val="24"/>
          <w:szCs w:val="24"/>
          <w:highlight w:val="none"/>
          <w:u w:val="single"/>
        </w:rPr>
        <w:t>人保财险新疆阿勒泰吉木乃支公司营业职场费用化维修改造采购项目</w:t>
      </w:r>
      <w:r>
        <w:rPr>
          <w:rFonts w:hint="eastAsia" w:ascii="仿宋" w:hAnsi="仿宋" w:eastAsia="仿宋" w:cs="宋体"/>
          <w:color w:val="auto"/>
          <w:sz w:val="24"/>
          <w:szCs w:val="24"/>
          <w:highlight w:val="none"/>
        </w:rPr>
        <w:t>（</w:t>
      </w:r>
      <w:r>
        <w:rPr>
          <w:rFonts w:hint="eastAsia" w:ascii="仿宋" w:hAnsi="仿宋" w:eastAsia="仿宋" w:cs="宋体"/>
          <w:color w:val="auto"/>
          <w:sz w:val="24"/>
          <w:highlight w:val="none"/>
        </w:rPr>
        <w:t>招标代理</w:t>
      </w:r>
      <w:r>
        <w:rPr>
          <w:rFonts w:hint="eastAsia" w:ascii="仿宋" w:hAnsi="仿宋" w:eastAsia="仿宋" w:cs="宋体"/>
          <w:color w:val="auto"/>
          <w:sz w:val="24"/>
          <w:szCs w:val="24"/>
          <w:highlight w:val="none"/>
        </w:rPr>
        <w:t>项目编号：</w:t>
      </w:r>
      <w:r>
        <w:rPr>
          <w:rFonts w:hint="eastAsia" w:ascii="仿宋" w:hAnsi="仿宋" w:eastAsia="仿宋" w:cs="宋体"/>
          <w:color w:val="auto"/>
          <w:sz w:val="24"/>
          <w:szCs w:val="24"/>
          <w:highlight w:val="none"/>
          <w:lang w:val="en-US" w:eastAsia="zh-CN"/>
        </w:rPr>
        <w:t>RBCX-2026-ZXCG</w:t>
      </w:r>
      <w:r>
        <w:rPr>
          <w:rFonts w:hint="eastAsia" w:ascii="仿宋" w:hAnsi="仿宋" w:eastAsia="仿宋" w:cs="宋体"/>
          <w:color w:val="auto"/>
          <w:sz w:val="24"/>
          <w:szCs w:val="24"/>
          <w:highlight w:val="none"/>
        </w:rPr>
        <w:t>）</w:t>
      </w:r>
      <w:bookmarkStart w:id="14" w:name="_Hlk69906010"/>
      <w:r>
        <w:rPr>
          <w:rFonts w:hint="eastAsia" w:ascii="仿宋" w:hAnsi="仿宋" w:eastAsia="仿宋" w:cs="宋体"/>
          <w:color w:val="auto"/>
          <w:sz w:val="24"/>
          <w:szCs w:val="24"/>
          <w:highlight w:val="none"/>
        </w:rPr>
        <w:t>由</w:t>
      </w:r>
      <w:r>
        <w:rPr>
          <w:rFonts w:hint="eastAsia" w:ascii="仿宋" w:hAnsi="仿宋" w:eastAsia="仿宋" w:cs="仿宋"/>
          <w:color w:val="auto"/>
          <w:sz w:val="24"/>
          <w:highlight w:val="none"/>
          <w:u w:val="single"/>
          <w:lang w:val="zh-CN" w:eastAsia="zh-CN"/>
        </w:rPr>
        <w:t>中国人民财产保险股份有限公司阿勒泰地区分公司</w:t>
      </w:r>
      <w:r>
        <w:rPr>
          <w:rFonts w:hint="eastAsia" w:ascii="仿宋" w:hAnsi="仿宋" w:eastAsia="仿宋" w:cs="宋体"/>
          <w:color w:val="auto"/>
          <w:sz w:val="24"/>
          <w:szCs w:val="24"/>
          <w:highlight w:val="none"/>
        </w:rPr>
        <w:t>（以下简称“招标人”）</w:t>
      </w:r>
      <w:r>
        <w:rPr>
          <w:rFonts w:hint="eastAsia" w:ascii="仿宋" w:hAnsi="仿宋" w:eastAsia="仿宋" w:cs="仿宋"/>
          <w:color w:val="auto"/>
          <w:sz w:val="24"/>
          <w:szCs w:val="24"/>
          <w:highlight w:val="none"/>
        </w:rPr>
        <w:t>批准并落实资金，</w:t>
      </w:r>
      <w:r>
        <w:rPr>
          <w:rFonts w:hint="eastAsia" w:ascii="仿宋" w:hAnsi="仿宋" w:eastAsia="仿宋" w:cs="宋体"/>
          <w:color w:val="auto"/>
          <w:sz w:val="24"/>
          <w:szCs w:val="24"/>
          <w:highlight w:val="none"/>
        </w:rPr>
        <w:t>组织本项目的相关招标工作，采购合同由</w:t>
      </w:r>
      <w:r>
        <w:rPr>
          <w:rFonts w:hint="eastAsia" w:ascii="仿宋" w:hAnsi="仿宋" w:eastAsia="仿宋" w:cs="仿宋"/>
          <w:color w:val="auto"/>
          <w:sz w:val="24"/>
          <w:highlight w:val="none"/>
          <w:u w:val="single"/>
          <w:lang w:val="zh-CN" w:eastAsia="zh-CN"/>
        </w:rPr>
        <w:t>中国人民财产保险股份有限公司阿勒泰地区分公司</w:t>
      </w:r>
      <w:r>
        <w:rPr>
          <w:rFonts w:hint="eastAsia" w:ascii="仿宋" w:hAnsi="仿宋" w:eastAsia="仿宋" w:cs="宋体"/>
          <w:color w:val="auto"/>
          <w:sz w:val="24"/>
          <w:szCs w:val="24"/>
          <w:highlight w:val="none"/>
        </w:rPr>
        <w:t>根据中标结果与中标人签署。</w:t>
      </w:r>
      <w:bookmarkEnd w:id="14"/>
      <w:r>
        <w:rPr>
          <w:rFonts w:hint="eastAsia" w:ascii="仿宋" w:hAnsi="仿宋" w:eastAsia="仿宋" w:cs="宋体"/>
          <w:color w:val="auto"/>
          <w:sz w:val="24"/>
          <w:szCs w:val="24"/>
          <w:highlight w:val="none"/>
        </w:rPr>
        <w:t>现委托</w:t>
      </w:r>
      <w:r>
        <w:rPr>
          <w:rFonts w:hint="eastAsia" w:ascii="仿宋" w:hAnsi="仿宋" w:eastAsia="仿宋" w:cs="宋体"/>
          <w:color w:val="auto"/>
          <w:sz w:val="24"/>
          <w:szCs w:val="24"/>
          <w:highlight w:val="none"/>
          <w:u w:val="single"/>
          <w:lang w:val="zh-CN"/>
        </w:rPr>
        <w:t>新疆谊诚工程项目管理咨询有限公司</w:t>
      </w:r>
      <w:r>
        <w:rPr>
          <w:rFonts w:hint="eastAsia" w:ascii="仿宋" w:hAnsi="仿宋" w:eastAsia="仿宋" w:cs="宋体"/>
          <w:color w:val="auto"/>
          <w:sz w:val="24"/>
          <w:szCs w:val="24"/>
          <w:highlight w:val="none"/>
          <w:u w:val="single"/>
        </w:rPr>
        <w:t xml:space="preserve"> </w:t>
      </w:r>
      <w:r>
        <w:rPr>
          <w:rFonts w:hint="eastAsia" w:ascii="仿宋" w:hAnsi="仿宋" w:eastAsia="仿宋" w:cs="宋体"/>
          <w:color w:val="auto"/>
          <w:sz w:val="24"/>
          <w:szCs w:val="24"/>
          <w:highlight w:val="none"/>
        </w:rPr>
        <w:t>（以下简称“招标代理机构”）进行公开招标，有意向且具有提供标的物能力的潜在投标人（以下简称“投标人”）可前来投标。</w:t>
      </w:r>
    </w:p>
    <w:p w14:paraId="1012FEBE">
      <w:pPr>
        <w:pStyle w:val="4"/>
        <w:pageBreakBefore w:val="0"/>
        <w:kinsoku/>
        <w:overflowPunct/>
        <w:bidi w:val="0"/>
        <w:spacing w:line="600" w:lineRule="exact"/>
        <w:ind w:firstLine="482" w:firstLineChars="200"/>
        <w:rPr>
          <w:rFonts w:hint="eastAsia" w:ascii="仿宋" w:hAnsi="仿宋" w:cs="宋体"/>
          <w:color w:val="auto"/>
          <w:szCs w:val="24"/>
          <w:highlight w:val="none"/>
        </w:rPr>
      </w:pPr>
      <w:bookmarkStart w:id="15" w:name="_Toc109124224"/>
      <w:bookmarkStart w:id="16" w:name="_Toc18478"/>
      <w:bookmarkStart w:id="17" w:name="_Toc30531"/>
      <w:bookmarkStart w:id="18" w:name="_Toc65682914"/>
      <w:r>
        <w:rPr>
          <w:rFonts w:hint="eastAsia" w:ascii="仿宋" w:hAnsi="仿宋" w:cs="宋体"/>
          <w:color w:val="auto"/>
          <w:szCs w:val="24"/>
          <w:highlight w:val="none"/>
        </w:rPr>
        <w:t>二、项目概况与招标范围</w:t>
      </w:r>
      <w:bookmarkEnd w:id="15"/>
      <w:bookmarkEnd w:id="16"/>
      <w:bookmarkEnd w:id="17"/>
      <w:bookmarkEnd w:id="18"/>
    </w:p>
    <w:p w14:paraId="3E58878F">
      <w:pPr>
        <w:pageBreakBefore w:val="0"/>
        <w:kinsoku/>
        <w:overflowPunct/>
        <w:bidi w:val="0"/>
        <w:adjustRightInd w:val="0"/>
        <w:snapToGrid w:val="0"/>
        <w:spacing w:line="600" w:lineRule="exact"/>
        <w:ind w:firstLine="480" w:firstLineChars="200"/>
        <w:jc w:val="left"/>
        <w:rPr>
          <w:rFonts w:hint="eastAsia" w:ascii="仿宋" w:hAnsi="仿宋" w:eastAsia="仿宋" w:cs="仿宋"/>
          <w:color w:val="auto"/>
          <w:sz w:val="24"/>
          <w:highlight w:val="none"/>
        </w:rPr>
      </w:pPr>
      <w:r>
        <w:rPr>
          <w:rFonts w:hint="eastAsia" w:ascii="仿宋" w:hAnsi="仿宋" w:eastAsia="仿宋" w:cs="宋体"/>
          <w:color w:val="auto"/>
          <w:sz w:val="24"/>
          <w:szCs w:val="24"/>
          <w:highlight w:val="none"/>
        </w:rPr>
        <w:t>2.1项目名称：</w:t>
      </w:r>
      <w:r>
        <w:rPr>
          <w:rFonts w:hint="eastAsia" w:ascii="仿宋" w:hAnsi="仿宋" w:eastAsia="仿宋" w:cs="仿宋"/>
          <w:color w:val="auto"/>
          <w:sz w:val="24"/>
          <w:highlight w:val="none"/>
          <w:u w:val="none"/>
          <w:lang w:val="en-US" w:eastAsia="zh-CN"/>
        </w:rPr>
        <w:t>人保财险新疆</w:t>
      </w:r>
      <w:r>
        <w:rPr>
          <w:rFonts w:hint="eastAsia" w:ascii="仿宋" w:hAnsi="仿宋" w:eastAsia="仿宋" w:cs="仿宋"/>
          <w:color w:val="auto"/>
          <w:sz w:val="24"/>
          <w:highlight w:val="none"/>
          <w:u w:val="none"/>
          <w:lang w:val="zh-CN" w:eastAsia="zh-CN"/>
        </w:rPr>
        <w:t>阿勒泰</w:t>
      </w:r>
      <w:r>
        <w:rPr>
          <w:rFonts w:hint="eastAsia" w:ascii="仿宋" w:hAnsi="仿宋" w:eastAsia="仿宋" w:cs="仿宋"/>
          <w:color w:val="auto"/>
          <w:sz w:val="24"/>
          <w:highlight w:val="none"/>
          <w:u w:val="none"/>
          <w:lang w:val="en-US" w:eastAsia="zh-CN"/>
        </w:rPr>
        <w:t>吉木乃</w:t>
      </w:r>
      <w:r>
        <w:rPr>
          <w:rFonts w:hint="eastAsia" w:ascii="仿宋" w:hAnsi="仿宋" w:eastAsia="仿宋" w:cs="仿宋"/>
          <w:color w:val="auto"/>
          <w:sz w:val="24"/>
          <w:highlight w:val="none"/>
          <w:u w:val="none"/>
          <w:lang w:val="zh-CN" w:eastAsia="zh-CN"/>
        </w:rPr>
        <w:t>支公司营业职场</w:t>
      </w:r>
      <w:r>
        <w:rPr>
          <w:rFonts w:hint="eastAsia" w:ascii="仿宋" w:hAnsi="仿宋" w:eastAsia="仿宋" w:cs="仿宋"/>
          <w:color w:val="auto"/>
          <w:sz w:val="24"/>
          <w:highlight w:val="none"/>
          <w:u w:val="none"/>
          <w:lang w:val="en-US" w:eastAsia="zh-CN"/>
        </w:rPr>
        <w:t>费用</w:t>
      </w:r>
      <w:r>
        <w:rPr>
          <w:rFonts w:hint="eastAsia" w:ascii="仿宋" w:hAnsi="仿宋" w:eastAsia="仿宋" w:cs="仿宋"/>
          <w:color w:val="auto"/>
          <w:sz w:val="24"/>
          <w:highlight w:val="none"/>
          <w:u w:val="none"/>
          <w:lang w:val="zh-CN" w:eastAsia="zh-CN"/>
        </w:rPr>
        <w:t>化</w:t>
      </w:r>
      <w:r>
        <w:rPr>
          <w:rFonts w:hint="eastAsia" w:ascii="仿宋" w:hAnsi="仿宋" w:eastAsia="仿宋" w:cs="仿宋"/>
          <w:color w:val="auto"/>
          <w:sz w:val="24"/>
          <w:highlight w:val="none"/>
          <w:u w:val="none"/>
          <w:lang w:val="en-US" w:eastAsia="zh-CN"/>
        </w:rPr>
        <w:t>维修改造</w:t>
      </w:r>
      <w:r>
        <w:rPr>
          <w:rFonts w:hint="eastAsia" w:ascii="仿宋" w:hAnsi="仿宋" w:eastAsia="仿宋" w:cs="仿宋"/>
          <w:color w:val="auto"/>
          <w:sz w:val="24"/>
          <w:highlight w:val="none"/>
          <w:u w:val="none"/>
          <w:lang w:val="zh-CN" w:eastAsia="zh-CN"/>
        </w:rPr>
        <w:t>采购项目</w:t>
      </w:r>
      <w:r>
        <w:rPr>
          <w:rFonts w:hint="eastAsia" w:ascii="仿宋" w:hAnsi="仿宋" w:eastAsia="仿宋" w:cs="仿宋"/>
          <w:color w:val="auto"/>
          <w:sz w:val="24"/>
          <w:highlight w:val="none"/>
        </w:rPr>
        <w:t>。</w:t>
      </w:r>
    </w:p>
    <w:p w14:paraId="1A6C502B">
      <w:pPr>
        <w:pageBreakBefore w:val="0"/>
        <w:kinsoku/>
        <w:overflowPunct/>
        <w:bidi w:val="0"/>
        <w:spacing w:line="600" w:lineRule="exact"/>
        <w:ind w:firstLine="480" w:firstLineChars="200"/>
        <w:textAlignment w:val="baseline"/>
        <w:rPr>
          <w:rFonts w:hint="eastAsia" w:ascii="仿宋" w:hAnsi="仿宋" w:eastAsia="仿宋" w:cs="宋体"/>
          <w:color w:val="auto"/>
          <w:kern w:val="0"/>
          <w:sz w:val="24"/>
          <w:szCs w:val="24"/>
          <w:highlight w:val="none"/>
          <w:lang w:bidi="ar"/>
        </w:rPr>
      </w:pPr>
      <w:r>
        <w:rPr>
          <w:rFonts w:hint="eastAsia" w:ascii="仿宋" w:hAnsi="仿宋" w:eastAsia="仿宋" w:cs="宋体"/>
          <w:color w:val="auto"/>
          <w:sz w:val="24"/>
          <w:szCs w:val="24"/>
          <w:highlight w:val="none"/>
        </w:rPr>
        <w:t>2.2招标范围：</w:t>
      </w:r>
      <w:r>
        <w:rPr>
          <w:rFonts w:hint="eastAsia" w:ascii="仿宋" w:hAnsi="仿宋" w:eastAsia="仿宋" w:cs="仿宋"/>
          <w:color w:val="auto"/>
          <w:sz w:val="24"/>
          <w:highlight w:val="none"/>
          <w:u w:val="none"/>
          <w:lang w:val="en-US" w:eastAsia="zh-CN"/>
        </w:rPr>
        <w:t>设计图纸、招标文件、工程量清单包含的全部内容</w:t>
      </w:r>
      <w:r>
        <w:rPr>
          <w:rFonts w:hint="eastAsia" w:ascii="仿宋" w:hAnsi="仿宋" w:eastAsia="仿宋" w:cs="宋体"/>
          <w:color w:val="auto"/>
          <w:kern w:val="0"/>
          <w:sz w:val="24"/>
          <w:szCs w:val="24"/>
          <w:highlight w:val="none"/>
          <w:lang w:bidi="ar"/>
        </w:rPr>
        <w:t>。</w:t>
      </w:r>
      <w:r>
        <w:rPr>
          <w:rFonts w:hint="eastAsia" w:ascii="仿宋" w:hAnsi="仿宋" w:eastAsia="仿宋" w:cs="宋体"/>
          <w:color w:val="auto"/>
          <w:sz w:val="24"/>
          <w:szCs w:val="24"/>
          <w:highlight w:val="none"/>
        </w:rPr>
        <w:t>具体内容及要求见招标文件第五章技术规范书</w:t>
      </w:r>
      <w:r>
        <w:rPr>
          <w:rFonts w:hint="eastAsia" w:ascii="仿宋" w:hAnsi="仿宋" w:eastAsia="仿宋" w:cs="宋体"/>
          <w:color w:val="auto"/>
          <w:kern w:val="0"/>
          <w:sz w:val="24"/>
          <w:szCs w:val="24"/>
          <w:highlight w:val="none"/>
          <w:lang w:bidi="ar"/>
        </w:rPr>
        <w:t>。</w:t>
      </w:r>
    </w:p>
    <w:p w14:paraId="15A082B4">
      <w:pPr>
        <w:pageBreakBefore w:val="0"/>
        <w:kinsoku/>
        <w:overflowPunct/>
        <w:bidi w:val="0"/>
        <w:spacing w:line="600" w:lineRule="exact"/>
        <w:ind w:firstLine="480" w:firstLineChars="200"/>
        <w:textAlignment w:val="baseline"/>
        <w:rPr>
          <w:rFonts w:hint="eastAsia" w:ascii="仿宋" w:hAnsi="仿宋" w:eastAsia="仿宋" w:cs="宋体"/>
          <w:color w:val="auto"/>
          <w:sz w:val="24"/>
          <w:szCs w:val="24"/>
          <w:highlight w:val="none"/>
        </w:rPr>
      </w:pPr>
      <w:bookmarkStart w:id="19" w:name="_Hlk69456893"/>
      <w:r>
        <w:rPr>
          <w:rFonts w:hint="eastAsia" w:ascii="仿宋" w:hAnsi="仿宋" w:eastAsia="仿宋" w:cs="宋体"/>
          <w:color w:val="auto"/>
          <w:sz w:val="24"/>
          <w:szCs w:val="24"/>
          <w:highlight w:val="none"/>
        </w:rPr>
        <w:t>2.3项目性质：</w:t>
      </w:r>
      <w:r>
        <w:rPr>
          <w:rFonts w:hint="eastAsia" w:ascii="仿宋" w:hAnsi="仿宋" w:eastAsia="仿宋" w:cs="仿宋"/>
          <w:color w:val="auto"/>
          <w:sz w:val="24"/>
          <w:highlight w:val="none"/>
          <w:u w:val="none"/>
          <w:lang w:val="en-US" w:eastAsia="zh-CN"/>
        </w:rPr>
        <w:t>维修改造</w:t>
      </w:r>
      <w:r>
        <w:rPr>
          <w:rFonts w:hint="eastAsia" w:ascii="仿宋" w:hAnsi="仿宋" w:eastAsia="仿宋" w:cs="宋体"/>
          <w:color w:val="auto"/>
          <w:sz w:val="24"/>
          <w:szCs w:val="24"/>
          <w:highlight w:val="none"/>
          <w:lang w:val="en-US" w:eastAsia="zh-CN"/>
        </w:rPr>
        <w:t>工程</w:t>
      </w:r>
    </w:p>
    <w:p w14:paraId="3B65C474">
      <w:pPr>
        <w:pageBreakBefore w:val="0"/>
        <w:kinsoku/>
        <w:overflowPunct/>
        <w:bidi w:val="0"/>
        <w:spacing w:line="600" w:lineRule="exact"/>
        <w:ind w:firstLine="480" w:firstLineChars="200"/>
        <w:textAlignment w:val="baseline"/>
        <w:rPr>
          <w:rFonts w:hint="eastAsia" w:ascii="仿宋" w:hAnsi="仿宋" w:eastAsia="仿宋" w:cs="宋体"/>
          <w:color w:val="auto"/>
          <w:sz w:val="24"/>
          <w:szCs w:val="24"/>
          <w:highlight w:val="none"/>
          <w:lang w:eastAsia="zh-CN"/>
        </w:rPr>
      </w:pPr>
      <w:r>
        <w:rPr>
          <w:rFonts w:hint="eastAsia" w:ascii="仿宋" w:hAnsi="仿宋" w:eastAsia="仿宋" w:cs="宋体"/>
          <w:color w:val="auto"/>
          <w:sz w:val="24"/>
          <w:szCs w:val="24"/>
          <w:highlight w:val="none"/>
        </w:rPr>
        <w:t>2.4标包划分：本项目不划分标包</w:t>
      </w:r>
      <w:bookmarkStart w:id="20" w:name="_Toc65682915"/>
      <w:bookmarkStart w:id="21" w:name="_Toc17299"/>
      <w:r>
        <w:rPr>
          <w:rFonts w:hint="eastAsia" w:ascii="仿宋" w:hAnsi="仿宋" w:eastAsia="仿宋" w:cs="宋体"/>
          <w:color w:val="auto"/>
          <w:sz w:val="24"/>
          <w:szCs w:val="24"/>
          <w:highlight w:val="none"/>
          <w:lang w:eastAsia="zh-CN"/>
        </w:rPr>
        <w:t>。</w:t>
      </w:r>
    </w:p>
    <w:p w14:paraId="3260D392">
      <w:pPr>
        <w:pageBreakBefore w:val="0"/>
        <w:kinsoku/>
        <w:overflowPunct/>
        <w:bidi w:val="0"/>
        <w:spacing w:line="600" w:lineRule="exact"/>
        <w:ind w:firstLine="480" w:firstLineChars="200"/>
        <w:textAlignment w:val="baseline"/>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2.5</w:t>
      </w:r>
      <w:r>
        <w:rPr>
          <w:rFonts w:hint="eastAsia" w:ascii="仿宋" w:hAnsi="仿宋" w:eastAsia="仿宋" w:cs="宋体"/>
          <w:color w:val="auto"/>
          <w:sz w:val="24"/>
          <w:szCs w:val="24"/>
          <w:highlight w:val="none"/>
          <w:lang w:val="en-US" w:eastAsia="zh-CN"/>
        </w:rPr>
        <w:t>计划工期</w:t>
      </w:r>
      <w:r>
        <w:rPr>
          <w:rFonts w:hint="eastAsia" w:ascii="仿宋" w:hAnsi="仿宋" w:eastAsia="仿宋" w:cs="宋体"/>
          <w:color w:val="auto"/>
          <w:sz w:val="24"/>
          <w:szCs w:val="24"/>
          <w:highlight w:val="none"/>
        </w:rPr>
        <w:t>：自合同签订之日起</w:t>
      </w:r>
      <w:r>
        <w:rPr>
          <w:rFonts w:hint="eastAsia" w:ascii="仿宋" w:hAnsi="仿宋" w:eastAsia="仿宋" w:cs="宋体"/>
          <w:color w:val="auto"/>
          <w:sz w:val="24"/>
          <w:szCs w:val="24"/>
          <w:highlight w:val="none"/>
          <w:lang w:val="en-US" w:eastAsia="zh-CN"/>
        </w:rPr>
        <w:t>60日历天</w:t>
      </w:r>
      <w:r>
        <w:rPr>
          <w:rFonts w:hint="eastAsia" w:ascii="仿宋" w:hAnsi="仿宋" w:eastAsia="仿宋" w:cs="宋体"/>
          <w:color w:val="auto"/>
          <w:sz w:val="24"/>
          <w:szCs w:val="24"/>
          <w:highlight w:val="none"/>
        </w:rPr>
        <w:t>。</w:t>
      </w:r>
    </w:p>
    <w:p w14:paraId="6F681FF0">
      <w:pPr>
        <w:pageBreakBefore w:val="0"/>
        <w:kinsoku/>
        <w:overflowPunct/>
        <w:bidi w:val="0"/>
        <w:spacing w:line="600" w:lineRule="exact"/>
        <w:ind w:firstLine="480" w:firstLineChars="200"/>
        <w:textAlignment w:val="baseline"/>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2.6</w:t>
      </w:r>
      <w:r>
        <w:rPr>
          <w:rFonts w:hint="eastAsia" w:ascii="仿宋" w:hAnsi="仿宋" w:eastAsia="仿宋" w:cs="宋体"/>
          <w:color w:val="auto"/>
          <w:sz w:val="24"/>
          <w:szCs w:val="24"/>
          <w:highlight w:val="none"/>
          <w:lang w:val="en-US" w:eastAsia="zh-CN"/>
        </w:rPr>
        <w:t>建设地点</w:t>
      </w:r>
      <w:r>
        <w:rPr>
          <w:rFonts w:hint="eastAsia" w:ascii="仿宋" w:hAnsi="仿宋" w:eastAsia="仿宋" w:cs="宋体"/>
          <w:color w:val="auto"/>
          <w:sz w:val="24"/>
          <w:szCs w:val="24"/>
          <w:highlight w:val="none"/>
        </w:rPr>
        <w:t>：阿勒泰吉木乃支公司。</w:t>
      </w:r>
      <w:bookmarkEnd w:id="19"/>
    </w:p>
    <w:p w14:paraId="6B587D4A">
      <w:pPr>
        <w:pStyle w:val="4"/>
        <w:pageBreakBefore w:val="0"/>
        <w:kinsoku/>
        <w:overflowPunct/>
        <w:bidi w:val="0"/>
        <w:spacing w:line="600" w:lineRule="exact"/>
        <w:ind w:firstLine="482" w:firstLineChars="200"/>
        <w:rPr>
          <w:rFonts w:ascii="仿宋" w:hAnsi="仿宋" w:cs="宋体"/>
          <w:color w:val="auto"/>
          <w:szCs w:val="24"/>
          <w:highlight w:val="none"/>
        </w:rPr>
      </w:pPr>
      <w:bookmarkStart w:id="22" w:name="_Toc109124225"/>
      <w:bookmarkStart w:id="23" w:name="_Toc6528"/>
      <w:r>
        <w:rPr>
          <w:rFonts w:hint="eastAsia" w:ascii="仿宋" w:hAnsi="仿宋" w:cs="宋体"/>
          <w:color w:val="auto"/>
          <w:szCs w:val="24"/>
          <w:highlight w:val="none"/>
        </w:rPr>
        <w:t>三、投标人资格要求</w:t>
      </w:r>
      <w:bookmarkEnd w:id="20"/>
      <w:bookmarkEnd w:id="21"/>
      <w:bookmarkEnd w:id="22"/>
      <w:bookmarkEnd w:id="23"/>
    </w:p>
    <w:p w14:paraId="649AFD7B">
      <w:pPr>
        <w:pStyle w:val="13"/>
        <w:pageBreakBefore w:val="0"/>
        <w:kinsoku/>
        <w:overflowPunct/>
        <w:bidi w:val="0"/>
        <w:spacing w:line="600" w:lineRule="exact"/>
        <w:ind w:firstLine="480" w:firstLineChars="200"/>
        <w:rPr>
          <w:rFonts w:hint="eastAsia" w:ascii="宋体" w:hAnsi="宋体"/>
          <w:color w:val="auto"/>
          <w:szCs w:val="21"/>
          <w:highlight w:val="none"/>
        </w:rPr>
      </w:pPr>
      <w:r>
        <w:rPr>
          <w:rFonts w:hint="eastAsia" w:ascii="仿宋" w:hAnsi="仿宋" w:eastAsia="仿宋" w:cs="宋体"/>
          <w:color w:val="auto"/>
          <w:sz w:val="24"/>
          <w:szCs w:val="24"/>
          <w:highlight w:val="none"/>
        </w:rPr>
        <w:t>3.1</w:t>
      </w:r>
      <w:r>
        <w:rPr>
          <w:rFonts w:hint="eastAsia" w:ascii="仿宋" w:hAnsi="仿宋" w:eastAsia="仿宋" w:cs="Monaco"/>
          <w:b/>
          <w:bCs/>
          <w:color w:val="auto"/>
          <w:sz w:val="24"/>
          <w:szCs w:val="24"/>
          <w:highlight w:val="none"/>
        </w:rPr>
        <w:t>在中华人民共和国境内依法登记的法人或其他组织，</w:t>
      </w:r>
      <w:r>
        <w:rPr>
          <w:rFonts w:hint="eastAsia" w:ascii="仿宋" w:hAnsi="仿宋" w:eastAsia="仿宋" w:cs="Monaco"/>
          <w:b/>
          <w:color w:val="auto"/>
          <w:sz w:val="24"/>
          <w:szCs w:val="24"/>
          <w:highlight w:val="none"/>
        </w:rPr>
        <w:t>具有独立承担民事责任的能力</w:t>
      </w:r>
      <w:r>
        <w:rPr>
          <w:rFonts w:hint="eastAsia" w:ascii="仿宋" w:hAnsi="仿宋" w:eastAsia="仿宋" w:cs="Monaco"/>
          <w:color w:val="auto"/>
          <w:sz w:val="24"/>
          <w:szCs w:val="24"/>
          <w:highlight w:val="none"/>
        </w:rPr>
        <w:t>，投标人如为企业法人，须提供企业法人营业执照</w:t>
      </w:r>
      <w:r>
        <w:rPr>
          <w:rFonts w:hint="eastAsia" w:ascii="仿宋" w:hAnsi="仿宋" w:eastAsia="仿宋" w:cs="Monaco"/>
          <w:color w:val="auto"/>
          <w:sz w:val="24"/>
          <w:highlight w:val="none"/>
        </w:rPr>
        <w:t>（复印件）</w:t>
      </w:r>
      <w:r>
        <w:rPr>
          <w:rFonts w:hint="eastAsia" w:ascii="仿宋" w:hAnsi="仿宋" w:eastAsia="仿宋" w:cs="Monaco"/>
          <w:color w:val="auto"/>
          <w:sz w:val="24"/>
          <w:szCs w:val="24"/>
          <w:highlight w:val="none"/>
        </w:rPr>
        <w:t>；投标人如为事业单位或其他组织，须提供事业单位法人证书或登记证或组织机构代码证或其他有效证明文件（复印件）。</w:t>
      </w:r>
    </w:p>
    <w:p w14:paraId="5B0783E9">
      <w:pPr>
        <w:pageBreakBefore w:val="0"/>
        <w:kinsoku/>
        <w:overflowPunct/>
        <w:bidi w:val="0"/>
        <w:spacing w:line="600" w:lineRule="exact"/>
        <w:ind w:firstLine="480" w:firstLineChars="200"/>
        <w:textAlignment w:val="baseline"/>
        <w:rPr>
          <w:rFonts w:hint="eastAsia"/>
          <w:color w:val="auto"/>
          <w:highlight w:val="none"/>
        </w:rPr>
      </w:pPr>
      <w:r>
        <w:rPr>
          <w:rFonts w:hint="eastAsia" w:ascii="仿宋" w:hAnsi="仿宋" w:eastAsia="仿宋" w:cs="宋体"/>
          <w:color w:val="auto"/>
          <w:sz w:val="24"/>
          <w:szCs w:val="24"/>
          <w:highlight w:val="none"/>
        </w:rPr>
        <w:t>3.</w:t>
      </w:r>
      <w:r>
        <w:rPr>
          <w:rFonts w:ascii="仿宋" w:hAnsi="仿宋" w:eastAsia="仿宋" w:cs="宋体"/>
          <w:color w:val="auto"/>
          <w:sz w:val="24"/>
          <w:szCs w:val="24"/>
          <w:highlight w:val="none"/>
        </w:rPr>
        <w:t>2</w:t>
      </w:r>
      <w:r>
        <w:rPr>
          <w:rFonts w:hint="eastAsia" w:ascii="仿宋" w:hAnsi="仿宋" w:eastAsia="仿宋" w:cs="宋体"/>
          <w:b/>
          <w:color w:val="auto"/>
          <w:sz w:val="24"/>
          <w:szCs w:val="24"/>
          <w:highlight w:val="none"/>
        </w:rPr>
        <w:t>具有良好的商业信誉和健全的财务会计制度</w:t>
      </w:r>
      <w:r>
        <w:rPr>
          <w:rFonts w:hint="eastAsia" w:ascii="仿宋" w:hAnsi="仿宋" w:eastAsia="仿宋" w:cs="宋体"/>
          <w:color w:val="auto"/>
          <w:sz w:val="24"/>
          <w:szCs w:val="24"/>
          <w:highlight w:val="none"/>
        </w:rPr>
        <w:t>，</w:t>
      </w:r>
      <w:r>
        <w:rPr>
          <w:rFonts w:hint="eastAsia" w:ascii="仿宋" w:hAnsi="仿宋" w:eastAsia="仿宋" w:cs="仿宋"/>
          <w:b w:val="0"/>
          <w:bCs w:val="0"/>
          <w:color w:val="auto"/>
          <w:sz w:val="24"/>
          <w:szCs w:val="24"/>
          <w:highlight w:val="none"/>
          <w:lang w:val="en-US" w:eastAsia="zh-CN"/>
        </w:rPr>
        <w:t>提供上年度财务状况（附经审计过的财务报表）满足项目建设要求。</w:t>
      </w:r>
      <w:r>
        <w:rPr>
          <w:rFonts w:hint="eastAsia" w:ascii="仿宋" w:hAnsi="仿宋" w:eastAsia="仿宋" w:cs="Monaco"/>
          <w:color w:val="auto"/>
          <w:sz w:val="24"/>
          <w:highlight w:val="none"/>
          <w:lang w:eastAsia="zh-CN"/>
        </w:rPr>
        <w:t>（</w:t>
      </w:r>
      <w:r>
        <w:rPr>
          <w:rFonts w:hint="eastAsia" w:ascii="仿宋" w:hAnsi="仿宋" w:eastAsia="仿宋" w:cs="Monaco"/>
          <w:color w:val="auto"/>
          <w:sz w:val="24"/>
          <w:highlight w:val="none"/>
        </w:rPr>
        <w:t>参加本次采购活动上一年度</w:t>
      </w:r>
      <w:r>
        <w:rPr>
          <w:rFonts w:hint="eastAsia" w:ascii="仿宋" w:hAnsi="仿宋" w:eastAsia="仿宋" w:cs="Monaco"/>
          <w:color w:val="auto"/>
          <w:sz w:val="24"/>
          <w:highlight w:val="none"/>
          <w:lang w:val="en-US" w:eastAsia="zh-CN"/>
        </w:rPr>
        <w:t>的</w:t>
      </w:r>
      <w:r>
        <w:rPr>
          <w:rFonts w:hint="eastAsia" w:ascii="仿宋" w:hAnsi="仿宋" w:eastAsia="仿宋" w:cs="Monaco"/>
          <w:color w:val="auto"/>
          <w:sz w:val="24"/>
          <w:highlight w:val="none"/>
          <w:lang w:eastAsia="zh-CN"/>
        </w:rPr>
        <w:t>）</w:t>
      </w:r>
      <w:r>
        <w:rPr>
          <w:rFonts w:hint="eastAsia" w:ascii="仿宋" w:hAnsi="仿宋" w:eastAsia="仿宋" w:cs="Monaco"/>
          <w:color w:val="auto"/>
          <w:sz w:val="24"/>
          <w:highlight w:val="none"/>
        </w:rPr>
        <w:t>经</w:t>
      </w:r>
      <w:r>
        <w:rPr>
          <w:rFonts w:hint="eastAsia" w:ascii="仿宋" w:hAnsi="仿宋" w:eastAsia="仿宋" w:cs="宋体"/>
          <w:color w:val="auto"/>
          <w:sz w:val="24"/>
          <w:highlight w:val="none"/>
        </w:rPr>
        <w:t>会计师事务所或审计机构审计的财务审计报告及财务报表</w:t>
      </w:r>
      <w:r>
        <w:rPr>
          <w:rFonts w:hint="eastAsia" w:ascii="仿宋" w:hAnsi="仿宋" w:eastAsia="仿宋" w:cs="宋体"/>
          <w:color w:val="auto"/>
          <w:sz w:val="24"/>
          <w:szCs w:val="24"/>
          <w:highlight w:val="none"/>
        </w:rPr>
        <w:t>（至少包含会计师事务所或审计机构签章页、资产负债表、现金流量表、损益表/利润表）或开标日前</w:t>
      </w:r>
      <w:r>
        <w:rPr>
          <w:rFonts w:ascii="仿宋" w:hAnsi="仿宋" w:eastAsia="仿宋" w:cs="宋体"/>
          <w:color w:val="auto"/>
          <w:sz w:val="24"/>
          <w:szCs w:val="24"/>
          <w:highlight w:val="none"/>
        </w:rPr>
        <w:t>6</w:t>
      </w:r>
      <w:r>
        <w:rPr>
          <w:rFonts w:hint="eastAsia" w:ascii="仿宋" w:hAnsi="仿宋" w:eastAsia="仿宋" w:cs="宋体"/>
          <w:color w:val="auto"/>
          <w:sz w:val="24"/>
          <w:szCs w:val="24"/>
          <w:highlight w:val="none"/>
        </w:rPr>
        <w:t>个月内开具的银行资信证明。</w:t>
      </w:r>
    </w:p>
    <w:p w14:paraId="0B32AE7A">
      <w:pPr>
        <w:pageBreakBefore w:val="0"/>
        <w:kinsoku/>
        <w:overflowPunct/>
        <w:bidi w:val="0"/>
        <w:spacing w:line="600" w:lineRule="exact"/>
        <w:ind w:firstLine="480" w:firstLineChars="200"/>
        <w:textAlignment w:val="baseline"/>
        <w:rPr>
          <w:rFonts w:hint="eastAsia"/>
          <w:color w:val="auto"/>
          <w:highlight w:val="none"/>
        </w:rPr>
      </w:pPr>
      <w:r>
        <w:rPr>
          <w:rFonts w:hint="eastAsia" w:ascii="仿宋" w:hAnsi="仿宋" w:eastAsia="仿宋" w:cs="宋体"/>
          <w:color w:val="auto"/>
          <w:sz w:val="24"/>
          <w:szCs w:val="24"/>
          <w:highlight w:val="none"/>
        </w:rPr>
        <w:t>3.</w:t>
      </w:r>
      <w:r>
        <w:rPr>
          <w:rFonts w:ascii="仿宋" w:hAnsi="仿宋" w:eastAsia="仿宋" w:cs="宋体"/>
          <w:color w:val="auto"/>
          <w:sz w:val="24"/>
          <w:szCs w:val="24"/>
          <w:highlight w:val="none"/>
        </w:rPr>
        <w:t xml:space="preserve">3 </w:t>
      </w:r>
      <w:r>
        <w:rPr>
          <w:rFonts w:hint="eastAsia" w:ascii="仿宋" w:hAnsi="仿宋" w:eastAsia="仿宋" w:cs="宋体"/>
          <w:b/>
          <w:color w:val="auto"/>
          <w:sz w:val="24"/>
          <w:szCs w:val="24"/>
          <w:highlight w:val="none"/>
        </w:rPr>
        <w:t>投标人应具有履行合同所必需的设备和专业技术能力</w:t>
      </w:r>
      <w:r>
        <w:rPr>
          <w:rFonts w:hint="eastAsia" w:ascii="仿宋" w:hAnsi="仿宋" w:eastAsia="仿宋" w:cs="宋体"/>
          <w:color w:val="auto"/>
          <w:sz w:val="24"/>
          <w:szCs w:val="24"/>
          <w:highlight w:val="none"/>
        </w:rPr>
        <w:t>，</w:t>
      </w:r>
      <w:r>
        <w:rPr>
          <w:rFonts w:hint="eastAsia" w:ascii="仿宋" w:hAnsi="仿宋" w:eastAsia="仿宋" w:cs="仿宋"/>
          <w:b w:val="0"/>
          <w:bCs w:val="0"/>
          <w:color w:val="auto"/>
          <w:sz w:val="24"/>
          <w:szCs w:val="24"/>
          <w:highlight w:val="none"/>
          <w:lang w:val="en-US" w:eastAsia="zh-CN"/>
        </w:rPr>
        <w:t>近三年 有类似工程业绩（附中标通知书、合同协议书或竣工验收意见书等），工程验收合格。（此条款不适用新成立的公司），</w:t>
      </w:r>
      <w:r>
        <w:rPr>
          <w:rFonts w:hint="eastAsia" w:ascii="仿宋" w:hAnsi="仿宋" w:eastAsia="仿宋" w:cs="宋体"/>
          <w:color w:val="auto"/>
          <w:sz w:val="24"/>
          <w:szCs w:val="24"/>
          <w:highlight w:val="none"/>
        </w:rPr>
        <w:t>并提供</w:t>
      </w:r>
      <w:r>
        <w:rPr>
          <w:rFonts w:hint="eastAsia" w:ascii="仿宋" w:hAnsi="仿宋" w:eastAsia="仿宋" w:cs="宋体"/>
          <w:color w:val="auto"/>
          <w:sz w:val="24"/>
          <w:highlight w:val="none"/>
        </w:rPr>
        <w:t>符合上述要求的</w:t>
      </w:r>
      <w:r>
        <w:rPr>
          <w:rFonts w:hint="eastAsia" w:ascii="仿宋" w:hAnsi="仿宋" w:eastAsia="仿宋" w:cs="宋体"/>
          <w:color w:val="auto"/>
          <w:sz w:val="24"/>
          <w:szCs w:val="24"/>
          <w:highlight w:val="none"/>
        </w:rPr>
        <w:t>合同关键页作为有效的业绩证明材料。合同关键页</w:t>
      </w:r>
      <w:r>
        <w:rPr>
          <w:rFonts w:hint="eastAsia" w:ascii="仿宋" w:hAnsi="仿宋" w:eastAsia="仿宋" w:cs="宋体"/>
          <w:color w:val="auto"/>
          <w:sz w:val="24"/>
          <w:highlight w:val="none"/>
        </w:rPr>
        <w:t>包含但不限于合同首页、</w:t>
      </w:r>
      <w:r>
        <w:rPr>
          <w:rFonts w:hint="eastAsia" w:ascii="仿宋" w:hAnsi="仿宋" w:eastAsia="仿宋" w:cs="宋体"/>
          <w:color w:val="auto"/>
          <w:sz w:val="24"/>
          <w:szCs w:val="24"/>
          <w:highlight w:val="none"/>
        </w:rPr>
        <w:t>合同标的页</w:t>
      </w:r>
      <w:r>
        <w:rPr>
          <w:rFonts w:hint="eastAsia" w:ascii="仿宋" w:hAnsi="仿宋" w:eastAsia="仿宋" w:cs="宋体"/>
          <w:color w:val="auto"/>
          <w:sz w:val="24"/>
          <w:highlight w:val="none"/>
        </w:rPr>
        <w:t>、签署日期页及盖章页等。如合同为框架协议类，须同时提供该框架协议下经双方确认的、发生具体采购/服务事项的相关材料。</w:t>
      </w:r>
    </w:p>
    <w:p w14:paraId="0F6B9F16">
      <w:pPr>
        <w:pageBreakBefore w:val="0"/>
        <w:kinsoku/>
        <w:overflowPunct/>
        <w:bidi w:val="0"/>
        <w:spacing w:line="600" w:lineRule="exact"/>
        <w:ind w:firstLine="480" w:firstLineChars="200"/>
        <w:textAlignment w:val="baseline"/>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3.4</w:t>
      </w:r>
      <w:r>
        <w:rPr>
          <w:rFonts w:hint="eastAsia" w:ascii="仿宋" w:hAnsi="仿宋" w:eastAsia="仿宋" w:cs="宋体"/>
          <w:color w:val="auto"/>
          <w:sz w:val="24"/>
          <w:szCs w:val="24"/>
          <w:highlight w:val="none"/>
          <w:lang w:val="en-US" w:eastAsia="zh-CN"/>
        </w:rPr>
        <w:t xml:space="preserve"> </w:t>
      </w:r>
      <w:r>
        <w:rPr>
          <w:rFonts w:hint="eastAsia" w:ascii="仿宋" w:hAnsi="仿宋" w:eastAsia="仿宋" w:cs="宋体"/>
          <w:b/>
          <w:color w:val="auto"/>
          <w:sz w:val="24"/>
          <w:szCs w:val="24"/>
          <w:highlight w:val="none"/>
        </w:rPr>
        <w:t>具有依法缴纳税收和社会保障资金的良好记录</w:t>
      </w:r>
      <w:r>
        <w:rPr>
          <w:rFonts w:hint="eastAsia" w:ascii="仿宋" w:hAnsi="仿宋" w:eastAsia="仿宋" w:cs="宋体"/>
          <w:color w:val="auto"/>
          <w:sz w:val="24"/>
          <w:szCs w:val="24"/>
          <w:highlight w:val="none"/>
        </w:rPr>
        <w:t>，提供近6个月任意一个月的税收和社会保障资金缴纳凭证。</w:t>
      </w:r>
    </w:p>
    <w:p w14:paraId="1AB03FF0">
      <w:pPr>
        <w:pageBreakBefore w:val="0"/>
        <w:kinsoku/>
        <w:overflowPunct/>
        <w:bidi w:val="0"/>
        <w:spacing w:line="600" w:lineRule="exact"/>
        <w:ind w:firstLine="480" w:firstLineChars="200"/>
        <w:textAlignment w:val="baseline"/>
        <w:rPr>
          <w:rFonts w:hint="eastAsia" w:ascii="仿宋" w:hAnsi="仿宋" w:eastAsia="仿宋" w:cs="Monaco"/>
          <w:color w:val="auto"/>
          <w:sz w:val="24"/>
          <w:szCs w:val="24"/>
          <w:highlight w:val="none"/>
        </w:rPr>
      </w:pPr>
      <w:r>
        <w:rPr>
          <w:rFonts w:hint="eastAsia" w:ascii="仿宋" w:hAnsi="仿宋" w:eastAsia="仿宋" w:cs="宋体"/>
          <w:color w:val="auto"/>
          <w:sz w:val="24"/>
          <w:szCs w:val="24"/>
          <w:highlight w:val="none"/>
        </w:rPr>
        <w:t>3.5</w:t>
      </w:r>
      <w:r>
        <w:rPr>
          <w:rFonts w:hint="eastAsia" w:ascii="仿宋" w:hAnsi="仿宋" w:eastAsia="仿宋" w:cs="Monaco"/>
          <w:b/>
          <w:color w:val="auto"/>
          <w:sz w:val="24"/>
          <w:szCs w:val="24"/>
          <w:highlight w:val="none"/>
        </w:rPr>
        <w:t>投标人应经营状况良好</w:t>
      </w:r>
      <w:r>
        <w:rPr>
          <w:rFonts w:hint="eastAsia" w:ascii="仿宋" w:hAnsi="仿宋" w:eastAsia="仿宋" w:cs="仿宋"/>
          <w:b w:val="0"/>
          <w:bCs w:val="0"/>
          <w:color w:val="auto"/>
          <w:sz w:val="24"/>
          <w:szCs w:val="24"/>
          <w:highlight w:val="none"/>
        </w:rPr>
        <w:t>，有良好的企业信誉，无不良记录。</w:t>
      </w:r>
      <w:r>
        <w:rPr>
          <w:rFonts w:hint="eastAsia" w:ascii="仿宋" w:hAnsi="仿宋" w:eastAsia="仿宋" w:cs="Monaco"/>
          <w:color w:val="auto"/>
          <w:sz w:val="24"/>
          <w:szCs w:val="24"/>
          <w:highlight w:val="none"/>
        </w:rPr>
        <w:t>违法违规记录是指被“信用中国”列入失信被执行人、重大税收违法失信主体、政府采购严重违法失信行为记录名单。投标人需提供自招标公告发布之日至投标截止之日期间对以上三项内容的查询截图。</w:t>
      </w:r>
    </w:p>
    <w:p w14:paraId="51667881">
      <w:pPr>
        <w:pageBreakBefore w:val="0"/>
        <w:kinsoku/>
        <w:overflowPunct/>
        <w:bidi w:val="0"/>
        <w:spacing w:line="600" w:lineRule="exact"/>
        <w:ind w:firstLine="480" w:firstLineChars="200"/>
        <w:textAlignment w:val="baseline"/>
        <w:rPr>
          <w:rFonts w:hint="eastAsia" w:ascii="仿宋" w:hAnsi="仿宋" w:eastAsia="仿宋" w:cs="Monaco"/>
          <w:color w:val="auto"/>
          <w:sz w:val="24"/>
          <w:szCs w:val="24"/>
          <w:highlight w:val="none"/>
        </w:rPr>
      </w:pPr>
      <w:r>
        <w:rPr>
          <w:rFonts w:hint="eastAsia" w:ascii="仿宋" w:hAnsi="仿宋" w:eastAsia="仿宋" w:cs="Monaco"/>
          <w:color w:val="auto"/>
          <w:sz w:val="24"/>
          <w:szCs w:val="24"/>
          <w:highlight w:val="none"/>
        </w:rPr>
        <w:t>信用中国查询网址：https://www.creditchina.gov.cn/xinyongfuwu/?navPage=5</w:t>
      </w:r>
    </w:p>
    <w:p w14:paraId="39562656">
      <w:pPr>
        <w:pageBreakBefore w:val="0"/>
        <w:kinsoku/>
        <w:overflowPunct/>
        <w:bidi w:val="0"/>
        <w:spacing w:line="600" w:lineRule="exact"/>
        <w:ind w:firstLine="480" w:firstLineChars="200"/>
        <w:textAlignment w:val="baseline"/>
        <w:rPr>
          <w:rFonts w:ascii="仿宋" w:hAnsi="仿宋" w:eastAsia="仿宋" w:cs="宋体"/>
          <w:b/>
          <w:color w:val="auto"/>
          <w:sz w:val="24"/>
          <w:szCs w:val="24"/>
          <w:highlight w:val="none"/>
        </w:rPr>
      </w:pPr>
      <w:r>
        <w:rPr>
          <w:rFonts w:hint="eastAsia" w:ascii="仿宋" w:hAnsi="仿宋" w:eastAsia="仿宋" w:cs="宋体"/>
          <w:color w:val="auto"/>
          <w:sz w:val="24"/>
          <w:szCs w:val="24"/>
          <w:highlight w:val="none"/>
        </w:rPr>
        <w:t>3</w:t>
      </w:r>
      <w:r>
        <w:rPr>
          <w:rFonts w:ascii="仿宋" w:hAnsi="仿宋" w:eastAsia="仿宋" w:cs="宋体"/>
          <w:color w:val="auto"/>
          <w:sz w:val="24"/>
          <w:szCs w:val="24"/>
          <w:highlight w:val="none"/>
        </w:rPr>
        <w:t xml:space="preserve">.6 </w:t>
      </w:r>
      <w:r>
        <w:rPr>
          <w:rFonts w:hint="eastAsia" w:ascii="仿宋" w:hAnsi="仿宋" w:eastAsia="仿宋" w:cs="宋体"/>
          <w:b/>
          <w:color w:val="auto"/>
          <w:sz w:val="24"/>
          <w:szCs w:val="24"/>
          <w:highlight w:val="none"/>
        </w:rPr>
        <w:t>严禁列入招标人及其所隶属的中国人民保险各级机构的供应商黑名单且在禁入期内的供应商参与采购活动。</w:t>
      </w:r>
    </w:p>
    <w:p w14:paraId="579F33E3">
      <w:pPr>
        <w:pageBreakBefore w:val="0"/>
        <w:kinsoku/>
        <w:overflowPunct/>
        <w:bidi w:val="0"/>
        <w:spacing w:line="600" w:lineRule="exact"/>
        <w:ind w:firstLine="480" w:firstLineChars="200"/>
        <w:textAlignment w:val="baseline"/>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3.</w:t>
      </w:r>
      <w:r>
        <w:rPr>
          <w:rFonts w:ascii="仿宋" w:hAnsi="仿宋" w:eastAsia="仿宋" w:cs="宋体"/>
          <w:color w:val="auto"/>
          <w:sz w:val="24"/>
          <w:szCs w:val="24"/>
          <w:highlight w:val="none"/>
        </w:rPr>
        <w:t>7</w:t>
      </w:r>
      <w:r>
        <w:rPr>
          <w:rFonts w:hint="eastAsia" w:ascii="仿宋" w:hAnsi="仿宋" w:eastAsia="仿宋" w:cs="宋体"/>
          <w:color w:val="auto"/>
          <w:sz w:val="24"/>
          <w:szCs w:val="24"/>
          <w:highlight w:val="none"/>
        </w:rPr>
        <w:t>单位负责人为同一人或存在控股、管理关系的不同单位，不得参加同一标段/标包投标或未划分标段/标包的同一招标项目投标，</w:t>
      </w:r>
      <w:r>
        <w:rPr>
          <w:rFonts w:hint="eastAsia" w:ascii="仿宋" w:hAnsi="仿宋" w:eastAsia="仿宋" w:cs="Monaco"/>
          <w:color w:val="auto"/>
          <w:sz w:val="24"/>
          <w:szCs w:val="24"/>
          <w:highlight w:val="none"/>
        </w:rPr>
        <w:t>需填写《投标人控股及管理关系情况申报表》。</w:t>
      </w:r>
    </w:p>
    <w:p w14:paraId="0F96E9E4">
      <w:pPr>
        <w:pageBreakBefore w:val="0"/>
        <w:kinsoku/>
        <w:overflowPunct/>
        <w:bidi w:val="0"/>
        <w:spacing w:line="600" w:lineRule="exact"/>
        <w:ind w:firstLine="480" w:firstLineChars="200"/>
        <w:textAlignment w:val="baseline"/>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3.</w:t>
      </w:r>
      <w:r>
        <w:rPr>
          <w:rFonts w:hint="eastAsia" w:ascii="仿宋" w:hAnsi="仿宋" w:eastAsia="仿宋" w:cs="宋体"/>
          <w:color w:val="auto"/>
          <w:sz w:val="24"/>
          <w:szCs w:val="24"/>
          <w:highlight w:val="none"/>
          <w:lang w:val="en-US" w:eastAsia="zh-CN"/>
        </w:rPr>
        <w:t>8</w:t>
      </w:r>
      <w:r>
        <w:rPr>
          <w:rFonts w:ascii="仿宋" w:hAnsi="仿宋" w:eastAsia="仿宋" w:cs="宋体"/>
          <w:color w:val="auto"/>
          <w:sz w:val="24"/>
          <w:szCs w:val="24"/>
          <w:highlight w:val="none"/>
        </w:rPr>
        <w:t xml:space="preserve"> </w:t>
      </w:r>
      <w:r>
        <w:rPr>
          <w:rFonts w:hint="eastAsia" w:ascii="仿宋" w:hAnsi="仿宋" w:eastAsia="仿宋" w:cs="宋体"/>
          <w:color w:val="auto"/>
          <w:sz w:val="24"/>
          <w:szCs w:val="24"/>
          <w:highlight w:val="none"/>
        </w:rPr>
        <w:t>本项目不接受联合体投标。</w:t>
      </w:r>
    </w:p>
    <w:p w14:paraId="2927E742">
      <w:pPr>
        <w:pageBreakBefore w:val="0"/>
        <w:kinsoku/>
        <w:overflowPunct/>
        <w:bidi w:val="0"/>
        <w:spacing w:line="600" w:lineRule="exact"/>
        <w:ind w:firstLine="480" w:firstLineChars="200"/>
        <w:textAlignment w:val="baseline"/>
        <w:rPr>
          <w:rFonts w:hint="eastAsia"/>
          <w:color w:val="auto"/>
          <w:highlight w:val="none"/>
        </w:rPr>
      </w:pPr>
      <w:r>
        <w:rPr>
          <w:rFonts w:hint="eastAsia" w:ascii="仿宋" w:hAnsi="仿宋" w:eastAsia="仿宋" w:cs="宋体"/>
          <w:color w:val="auto"/>
          <w:sz w:val="24"/>
          <w:highlight w:val="none"/>
          <w:lang w:val="en-US" w:eastAsia="zh-CN"/>
        </w:rPr>
        <w:t>3</w:t>
      </w:r>
      <w:r>
        <w:rPr>
          <w:rFonts w:hint="eastAsia" w:ascii="仿宋" w:hAnsi="仿宋" w:eastAsia="仿宋" w:cs="宋体"/>
          <w:color w:val="auto"/>
          <w:sz w:val="24"/>
          <w:highlight w:val="none"/>
        </w:rPr>
        <w:t>.</w:t>
      </w:r>
      <w:r>
        <w:rPr>
          <w:rFonts w:hint="eastAsia" w:ascii="仿宋" w:hAnsi="仿宋" w:eastAsia="仿宋" w:cs="宋体"/>
          <w:color w:val="auto"/>
          <w:sz w:val="24"/>
          <w:highlight w:val="none"/>
          <w:lang w:val="en-US" w:eastAsia="zh-CN"/>
        </w:rPr>
        <w:t>9</w:t>
      </w:r>
      <w:r>
        <w:rPr>
          <w:rFonts w:hint="eastAsia" w:ascii="仿宋" w:hAnsi="仿宋" w:eastAsia="仿宋" w:cs="宋体"/>
          <w:color w:val="auto"/>
          <w:sz w:val="24"/>
          <w:szCs w:val="24"/>
          <w:highlight w:val="none"/>
          <w:lang w:val="en-US" w:eastAsia="zh-CN"/>
        </w:rPr>
        <w:t>其它资格要求。</w:t>
      </w:r>
    </w:p>
    <w:p w14:paraId="6278EECA">
      <w:pPr>
        <w:pStyle w:val="4"/>
        <w:pageBreakBefore w:val="0"/>
        <w:kinsoku/>
        <w:overflowPunct/>
        <w:bidi w:val="0"/>
        <w:spacing w:line="600" w:lineRule="exact"/>
        <w:ind w:firstLine="482" w:firstLineChars="200"/>
        <w:rPr>
          <w:rFonts w:hint="eastAsia" w:ascii="仿宋" w:hAnsi="仿宋" w:cs="宋体"/>
          <w:color w:val="auto"/>
          <w:szCs w:val="24"/>
          <w:highlight w:val="none"/>
        </w:rPr>
      </w:pPr>
      <w:bookmarkStart w:id="24" w:name="_Toc109124226"/>
      <w:bookmarkStart w:id="25" w:name="_Toc65682916"/>
      <w:bookmarkStart w:id="26" w:name="_Toc12385"/>
      <w:bookmarkStart w:id="27" w:name="_Toc21224"/>
      <w:r>
        <w:rPr>
          <w:rFonts w:hint="eastAsia" w:ascii="仿宋" w:hAnsi="仿宋" w:cs="宋体"/>
          <w:color w:val="auto"/>
          <w:szCs w:val="24"/>
          <w:highlight w:val="none"/>
        </w:rPr>
        <w:t>四、资格审查方法</w:t>
      </w:r>
      <w:bookmarkEnd w:id="24"/>
      <w:bookmarkEnd w:id="25"/>
      <w:bookmarkEnd w:id="26"/>
      <w:bookmarkEnd w:id="27"/>
    </w:p>
    <w:p w14:paraId="531EEF7D">
      <w:pPr>
        <w:pageBreakBefore w:val="0"/>
        <w:kinsoku/>
        <w:overflowPunct/>
        <w:bidi w:val="0"/>
        <w:spacing w:line="600" w:lineRule="exact"/>
        <w:ind w:firstLine="480" w:firstLineChars="200"/>
        <w:textAlignment w:val="baseline"/>
        <w:rPr>
          <w:rFonts w:hint="eastAsia" w:ascii="仿宋" w:hAnsi="仿宋" w:eastAsia="仿宋" w:cs="宋体"/>
          <w:color w:val="auto"/>
          <w:sz w:val="24"/>
          <w:szCs w:val="24"/>
          <w:highlight w:val="none"/>
        </w:rPr>
      </w:pPr>
      <w:bookmarkStart w:id="28" w:name="_Toc32460"/>
      <w:bookmarkStart w:id="29" w:name="_Toc65682917"/>
      <w:r>
        <w:rPr>
          <w:rFonts w:hint="eastAsia" w:ascii="仿宋" w:hAnsi="仿宋" w:eastAsia="仿宋" w:cs="宋体"/>
          <w:color w:val="auto"/>
          <w:sz w:val="24"/>
          <w:szCs w:val="24"/>
          <w:highlight w:val="none"/>
        </w:rPr>
        <w:t>本项目将进行资格</w:t>
      </w:r>
      <w:r>
        <w:rPr>
          <w:rFonts w:hint="eastAsia" w:ascii="仿宋" w:hAnsi="仿宋" w:eastAsia="仿宋" w:cs="宋体"/>
          <w:color w:val="auto"/>
          <w:sz w:val="24"/>
          <w:szCs w:val="24"/>
          <w:highlight w:val="none"/>
          <w:lang w:val="en-US" w:eastAsia="zh-CN"/>
        </w:rPr>
        <w:t>后审</w:t>
      </w:r>
      <w:r>
        <w:rPr>
          <w:rFonts w:hint="eastAsia" w:ascii="仿宋" w:hAnsi="仿宋" w:eastAsia="仿宋" w:cs="宋体"/>
          <w:color w:val="auto"/>
          <w:sz w:val="24"/>
          <w:szCs w:val="24"/>
          <w:highlight w:val="none"/>
        </w:rPr>
        <w:t>，资格审查方法为合格制，资格审查标准和内容见招标文件第三章“评标办法”。未通过资格</w:t>
      </w:r>
      <w:r>
        <w:rPr>
          <w:rFonts w:hint="eastAsia" w:ascii="仿宋" w:hAnsi="仿宋" w:eastAsia="仿宋" w:cs="宋体"/>
          <w:color w:val="auto"/>
          <w:sz w:val="24"/>
          <w:szCs w:val="24"/>
          <w:highlight w:val="none"/>
          <w:lang w:val="en-US" w:eastAsia="zh-CN"/>
        </w:rPr>
        <w:t>后审</w:t>
      </w:r>
      <w:r>
        <w:rPr>
          <w:rFonts w:hint="eastAsia" w:ascii="仿宋" w:hAnsi="仿宋" w:eastAsia="仿宋" w:cs="宋体"/>
          <w:color w:val="auto"/>
          <w:sz w:val="24"/>
          <w:szCs w:val="24"/>
          <w:highlight w:val="none"/>
        </w:rPr>
        <w:t>的投标人，投标将被否决。</w:t>
      </w:r>
    </w:p>
    <w:p w14:paraId="3017FD57">
      <w:pPr>
        <w:pStyle w:val="4"/>
        <w:pageBreakBefore w:val="0"/>
        <w:kinsoku/>
        <w:overflowPunct/>
        <w:bidi w:val="0"/>
        <w:spacing w:line="600" w:lineRule="exact"/>
        <w:ind w:firstLine="482" w:firstLineChars="200"/>
        <w:rPr>
          <w:rFonts w:hint="eastAsia" w:ascii="仿宋" w:hAnsi="仿宋" w:cs="宋体"/>
          <w:color w:val="auto"/>
          <w:szCs w:val="24"/>
          <w:highlight w:val="none"/>
        </w:rPr>
      </w:pPr>
      <w:bookmarkStart w:id="30" w:name="_Toc11877"/>
      <w:bookmarkStart w:id="31" w:name="_Toc109124227"/>
      <w:r>
        <w:rPr>
          <w:rFonts w:hint="eastAsia" w:ascii="仿宋" w:hAnsi="仿宋" w:cs="宋体"/>
          <w:color w:val="auto"/>
          <w:szCs w:val="24"/>
          <w:highlight w:val="none"/>
        </w:rPr>
        <w:t>五、招标文件的获取</w:t>
      </w:r>
      <w:bookmarkEnd w:id="28"/>
      <w:bookmarkEnd w:id="29"/>
      <w:bookmarkEnd w:id="30"/>
      <w:bookmarkEnd w:id="31"/>
    </w:p>
    <w:p w14:paraId="627C43DC">
      <w:pPr>
        <w:pageBreakBefore w:val="0"/>
        <w:kinsoku/>
        <w:overflowPunct/>
        <w:bidi w:val="0"/>
        <w:spacing w:line="600" w:lineRule="exact"/>
        <w:ind w:firstLine="480" w:firstLineChars="200"/>
        <w:textAlignment w:val="baseline"/>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5.1招标文件获取时间： </w:t>
      </w:r>
      <w:r>
        <w:rPr>
          <w:rFonts w:hint="eastAsia" w:ascii="仿宋" w:hAnsi="仿宋" w:eastAsia="仿宋" w:cs="宋体"/>
          <w:color w:val="auto"/>
          <w:sz w:val="24"/>
          <w:szCs w:val="24"/>
          <w:highlight w:val="none"/>
          <w:lang w:val="en-US" w:eastAsia="zh-CN"/>
        </w:rPr>
        <w:t>2026</w:t>
      </w:r>
      <w:r>
        <w:rPr>
          <w:rFonts w:hint="eastAsia" w:ascii="仿宋" w:hAnsi="仿宋" w:eastAsia="仿宋" w:cs="宋体"/>
          <w:color w:val="auto"/>
          <w:sz w:val="24"/>
          <w:szCs w:val="24"/>
          <w:highlight w:val="none"/>
        </w:rPr>
        <w:t>年</w:t>
      </w:r>
      <w:r>
        <w:rPr>
          <w:rFonts w:hint="eastAsia" w:ascii="仿宋" w:hAnsi="仿宋" w:eastAsia="仿宋" w:cs="宋体"/>
          <w:color w:val="auto"/>
          <w:sz w:val="24"/>
          <w:szCs w:val="24"/>
          <w:highlight w:val="none"/>
          <w:lang w:val="en-US" w:eastAsia="zh-CN"/>
        </w:rPr>
        <w:t>8</w:t>
      </w:r>
      <w:r>
        <w:rPr>
          <w:rFonts w:hint="eastAsia" w:ascii="仿宋" w:hAnsi="仿宋" w:eastAsia="仿宋" w:cs="宋体"/>
          <w:color w:val="auto"/>
          <w:sz w:val="24"/>
          <w:szCs w:val="24"/>
          <w:highlight w:val="none"/>
        </w:rPr>
        <w:t>月</w:t>
      </w:r>
      <w:r>
        <w:rPr>
          <w:rFonts w:hint="eastAsia" w:ascii="仿宋" w:hAnsi="仿宋" w:eastAsia="仿宋" w:cs="宋体"/>
          <w:color w:val="auto"/>
          <w:sz w:val="24"/>
          <w:szCs w:val="24"/>
          <w:highlight w:val="none"/>
          <w:lang w:val="en-US" w:eastAsia="zh-CN"/>
        </w:rPr>
        <w:t>27</w:t>
      </w:r>
      <w:r>
        <w:rPr>
          <w:rFonts w:hint="eastAsia" w:ascii="仿宋" w:hAnsi="仿宋" w:eastAsia="仿宋" w:cs="宋体"/>
          <w:color w:val="auto"/>
          <w:sz w:val="24"/>
          <w:szCs w:val="24"/>
          <w:highlight w:val="none"/>
        </w:rPr>
        <w:t>日</w:t>
      </w:r>
      <w:r>
        <w:rPr>
          <w:rFonts w:hint="eastAsia" w:ascii="仿宋" w:hAnsi="仿宋" w:eastAsia="仿宋" w:cs="宋体"/>
          <w:color w:val="auto"/>
          <w:sz w:val="24"/>
          <w:szCs w:val="24"/>
          <w:highlight w:val="none"/>
          <w:lang w:val="en-US" w:eastAsia="zh-CN"/>
        </w:rPr>
        <w:t>10</w:t>
      </w:r>
      <w:r>
        <w:rPr>
          <w:rFonts w:hint="eastAsia" w:ascii="仿宋" w:hAnsi="仿宋" w:eastAsia="仿宋" w:cs="宋体"/>
          <w:color w:val="auto"/>
          <w:sz w:val="24"/>
          <w:szCs w:val="24"/>
          <w:highlight w:val="none"/>
        </w:rPr>
        <w:t>点</w:t>
      </w:r>
      <w:r>
        <w:rPr>
          <w:rFonts w:hint="eastAsia" w:ascii="仿宋" w:hAnsi="仿宋" w:eastAsia="仿宋" w:cs="宋体"/>
          <w:color w:val="auto"/>
          <w:sz w:val="24"/>
          <w:szCs w:val="24"/>
          <w:highlight w:val="none"/>
          <w:lang w:val="en-US" w:eastAsia="zh-CN"/>
        </w:rPr>
        <w:t>30</w:t>
      </w:r>
      <w:r>
        <w:rPr>
          <w:rFonts w:hint="eastAsia" w:ascii="仿宋" w:hAnsi="仿宋" w:eastAsia="仿宋" w:cs="宋体"/>
          <w:color w:val="auto"/>
          <w:sz w:val="24"/>
          <w:szCs w:val="24"/>
          <w:highlight w:val="none"/>
        </w:rPr>
        <w:t>分（北京时间，下同）。</w:t>
      </w:r>
    </w:p>
    <w:p w14:paraId="31B5A05D">
      <w:pPr>
        <w:pageBreakBefore w:val="0"/>
        <w:kinsoku/>
        <w:overflowPunct/>
        <w:bidi w:val="0"/>
        <w:spacing w:line="600" w:lineRule="exact"/>
        <w:ind w:firstLine="480" w:firstLineChars="200"/>
        <w:textAlignment w:val="baseline"/>
        <w:rPr>
          <w:rFonts w:hint="default" w:ascii="仿宋" w:hAnsi="仿宋" w:eastAsia="仿宋" w:cs="宋体"/>
          <w:color w:val="auto"/>
          <w:sz w:val="24"/>
          <w:szCs w:val="24"/>
          <w:highlight w:val="none"/>
          <w:lang w:val="en-US" w:eastAsia="zh-CN"/>
        </w:rPr>
      </w:pPr>
      <w:r>
        <w:rPr>
          <w:rFonts w:hint="eastAsia" w:ascii="仿宋" w:hAnsi="仿宋" w:eastAsia="仿宋" w:cs="宋体"/>
          <w:color w:val="auto"/>
          <w:sz w:val="24"/>
          <w:szCs w:val="24"/>
          <w:highlight w:val="none"/>
        </w:rPr>
        <w:t>5.2 招标文件获取</w:t>
      </w:r>
      <w:r>
        <w:rPr>
          <w:rFonts w:hint="eastAsia" w:ascii="仿宋" w:hAnsi="仿宋" w:eastAsia="仿宋" w:cs="宋体"/>
          <w:color w:val="auto"/>
          <w:sz w:val="24"/>
          <w:szCs w:val="24"/>
          <w:highlight w:val="none"/>
          <w:lang w:val="en-US" w:eastAsia="zh-CN"/>
        </w:rPr>
        <w:t>方式：</w:t>
      </w:r>
      <w:r>
        <w:rPr>
          <w:rFonts w:hint="eastAsia" w:ascii="仿宋" w:hAnsi="仿宋" w:eastAsia="仿宋" w:cs="宋体"/>
          <w:color w:val="auto"/>
          <w:sz w:val="24"/>
          <w:szCs w:val="24"/>
          <w:highlight w:val="none"/>
          <w:u w:val="single"/>
        </w:rPr>
        <w:t>阿勒泰市东风路2区将军城三期10栋一层30号</w:t>
      </w:r>
    </w:p>
    <w:p w14:paraId="557DD9F7">
      <w:pPr>
        <w:pStyle w:val="4"/>
        <w:pageBreakBefore w:val="0"/>
        <w:kinsoku/>
        <w:overflowPunct/>
        <w:bidi w:val="0"/>
        <w:spacing w:line="600" w:lineRule="exact"/>
        <w:ind w:firstLine="482" w:firstLineChars="200"/>
        <w:rPr>
          <w:rFonts w:hint="eastAsia" w:ascii="仿宋" w:hAnsi="仿宋" w:cs="宋体"/>
          <w:color w:val="auto"/>
          <w:highlight w:val="none"/>
        </w:rPr>
      </w:pPr>
      <w:bookmarkStart w:id="32" w:name="_Toc31250"/>
      <w:bookmarkStart w:id="33" w:name="_Toc109124228"/>
      <w:bookmarkStart w:id="34" w:name="_Toc7435"/>
      <w:r>
        <w:rPr>
          <w:rFonts w:hint="eastAsia" w:ascii="仿宋" w:hAnsi="仿宋" w:cs="宋体"/>
          <w:color w:val="auto"/>
          <w:highlight w:val="none"/>
        </w:rPr>
        <w:t>六、投标文件的递交</w:t>
      </w:r>
      <w:bookmarkEnd w:id="32"/>
      <w:bookmarkEnd w:id="33"/>
      <w:bookmarkEnd w:id="34"/>
    </w:p>
    <w:p w14:paraId="3BFBAEF7">
      <w:pPr>
        <w:pageBreakBefore w:val="0"/>
        <w:kinsoku/>
        <w:overflowPunct/>
        <w:bidi w:val="0"/>
        <w:spacing w:line="600" w:lineRule="exact"/>
        <w:ind w:firstLine="480" w:firstLineChars="200"/>
        <w:textAlignment w:val="baseline"/>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6.1投标</w:t>
      </w:r>
      <w:r>
        <w:rPr>
          <w:rFonts w:hint="eastAsia" w:ascii="仿宋" w:hAnsi="仿宋" w:eastAsia="仿宋" w:cs="宋体"/>
          <w:color w:val="auto"/>
          <w:sz w:val="24"/>
          <w:szCs w:val="24"/>
          <w:highlight w:val="none"/>
          <w:lang w:val="en-US" w:eastAsia="zh-CN"/>
        </w:rPr>
        <w:t>文件递交</w:t>
      </w:r>
      <w:r>
        <w:rPr>
          <w:rFonts w:hint="eastAsia" w:ascii="仿宋" w:hAnsi="仿宋" w:eastAsia="仿宋" w:cs="宋体"/>
          <w:color w:val="auto"/>
          <w:sz w:val="24"/>
          <w:szCs w:val="24"/>
          <w:highlight w:val="none"/>
        </w:rPr>
        <w:t>截止时间：</w:t>
      </w:r>
      <w:r>
        <w:rPr>
          <w:rFonts w:hint="eastAsia" w:ascii="仿宋" w:hAnsi="仿宋" w:eastAsia="仿宋" w:cs="宋体"/>
          <w:color w:val="auto"/>
          <w:sz w:val="24"/>
          <w:szCs w:val="24"/>
          <w:highlight w:val="none"/>
          <w:u w:val="single"/>
        </w:rPr>
        <w:t>20</w:t>
      </w:r>
      <w:r>
        <w:rPr>
          <w:rFonts w:hint="eastAsia" w:ascii="仿宋" w:hAnsi="仿宋" w:eastAsia="仿宋" w:cs="宋体"/>
          <w:color w:val="auto"/>
          <w:sz w:val="24"/>
          <w:szCs w:val="24"/>
          <w:highlight w:val="none"/>
          <w:u w:val="single"/>
          <w:lang w:val="en-US" w:eastAsia="zh-CN"/>
        </w:rPr>
        <w:t>26</w:t>
      </w:r>
      <w:r>
        <w:rPr>
          <w:rFonts w:hint="eastAsia" w:ascii="仿宋" w:hAnsi="仿宋" w:eastAsia="仿宋" w:cs="宋体"/>
          <w:color w:val="auto"/>
          <w:sz w:val="24"/>
          <w:szCs w:val="24"/>
          <w:highlight w:val="none"/>
          <w:u w:val="single"/>
        </w:rPr>
        <w:t>年</w:t>
      </w:r>
      <w:r>
        <w:rPr>
          <w:rFonts w:hint="eastAsia" w:ascii="仿宋" w:hAnsi="仿宋" w:eastAsia="仿宋" w:cs="宋体"/>
          <w:color w:val="auto"/>
          <w:sz w:val="24"/>
          <w:szCs w:val="24"/>
          <w:highlight w:val="none"/>
          <w:u w:val="single"/>
          <w:lang w:val="en-US" w:eastAsia="zh-CN"/>
        </w:rPr>
        <w:t>8</w:t>
      </w:r>
      <w:r>
        <w:rPr>
          <w:rFonts w:hint="eastAsia" w:ascii="仿宋" w:hAnsi="仿宋" w:eastAsia="仿宋" w:cs="宋体"/>
          <w:color w:val="auto"/>
          <w:sz w:val="24"/>
          <w:szCs w:val="24"/>
          <w:highlight w:val="none"/>
          <w:u w:val="single"/>
        </w:rPr>
        <w:t>月</w:t>
      </w:r>
      <w:r>
        <w:rPr>
          <w:rFonts w:hint="eastAsia" w:ascii="仿宋" w:hAnsi="仿宋" w:eastAsia="仿宋" w:cs="宋体"/>
          <w:color w:val="auto"/>
          <w:sz w:val="24"/>
          <w:szCs w:val="24"/>
          <w:highlight w:val="none"/>
          <w:u w:val="single"/>
          <w:lang w:val="en-US" w:eastAsia="zh-CN"/>
        </w:rPr>
        <w:t>27</w:t>
      </w:r>
      <w:r>
        <w:rPr>
          <w:rFonts w:hint="eastAsia" w:ascii="仿宋" w:hAnsi="仿宋" w:eastAsia="仿宋" w:cs="宋体"/>
          <w:color w:val="auto"/>
          <w:sz w:val="24"/>
          <w:szCs w:val="24"/>
          <w:highlight w:val="none"/>
          <w:u w:val="single"/>
        </w:rPr>
        <w:t>日</w:t>
      </w:r>
      <w:r>
        <w:rPr>
          <w:rFonts w:hint="eastAsia" w:ascii="仿宋" w:hAnsi="仿宋" w:eastAsia="仿宋" w:cs="宋体"/>
          <w:color w:val="auto"/>
          <w:sz w:val="24"/>
          <w:szCs w:val="24"/>
          <w:highlight w:val="none"/>
          <w:u w:val="single"/>
          <w:lang w:val="en-US" w:eastAsia="zh-CN"/>
        </w:rPr>
        <w:t>10</w:t>
      </w:r>
      <w:r>
        <w:rPr>
          <w:rFonts w:hint="eastAsia" w:ascii="仿宋" w:hAnsi="仿宋" w:eastAsia="仿宋" w:cs="宋体"/>
          <w:color w:val="auto"/>
          <w:sz w:val="24"/>
          <w:szCs w:val="24"/>
          <w:highlight w:val="none"/>
          <w:u w:val="single"/>
        </w:rPr>
        <w:t>时</w:t>
      </w:r>
      <w:r>
        <w:rPr>
          <w:rFonts w:hint="eastAsia" w:ascii="仿宋" w:hAnsi="仿宋" w:eastAsia="仿宋" w:cs="宋体"/>
          <w:color w:val="auto"/>
          <w:sz w:val="24"/>
          <w:szCs w:val="24"/>
          <w:highlight w:val="none"/>
          <w:u w:val="single"/>
          <w:lang w:val="en-US" w:eastAsia="zh-CN"/>
        </w:rPr>
        <w:t>30</w:t>
      </w:r>
      <w:r>
        <w:rPr>
          <w:rFonts w:hint="eastAsia" w:ascii="仿宋" w:hAnsi="仿宋" w:eastAsia="仿宋" w:cs="宋体"/>
          <w:color w:val="auto"/>
          <w:sz w:val="24"/>
          <w:szCs w:val="24"/>
          <w:highlight w:val="none"/>
          <w:u w:val="single"/>
        </w:rPr>
        <w:t>分00秒</w:t>
      </w:r>
      <w:r>
        <w:rPr>
          <w:rFonts w:hint="eastAsia" w:ascii="仿宋" w:hAnsi="仿宋" w:eastAsia="仿宋" w:cs="宋体"/>
          <w:color w:val="auto"/>
          <w:sz w:val="24"/>
          <w:szCs w:val="24"/>
          <w:highlight w:val="none"/>
        </w:rPr>
        <w:t>。</w:t>
      </w:r>
    </w:p>
    <w:p w14:paraId="6C32F3B1">
      <w:pPr>
        <w:pageBreakBefore w:val="0"/>
        <w:kinsoku/>
        <w:overflowPunct/>
        <w:bidi w:val="0"/>
        <w:spacing w:line="600" w:lineRule="exact"/>
        <w:ind w:firstLine="480" w:firstLineChars="200"/>
        <w:textAlignment w:val="baseline"/>
        <w:rPr>
          <w:rFonts w:hint="eastAsia" w:ascii="仿宋" w:hAnsi="仿宋" w:eastAsia="仿宋" w:cs="宋体"/>
          <w:b/>
          <w:bCs/>
          <w:color w:val="auto"/>
          <w:sz w:val="24"/>
          <w:szCs w:val="24"/>
          <w:highlight w:val="none"/>
        </w:rPr>
      </w:pPr>
      <w:r>
        <w:rPr>
          <w:rFonts w:hint="eastAsia" w:ascii="仿宋" w:hAnsi="仿宋" w:eastAsia="仿宋" w:cs="宋体"/>
          <w:color w:val="auto"/>
          <w:sz w:val="24"/>
          <w:szCs w:val="24"/>
          <w:highlight w:val="none"/>
        </w:rPr>
        <w:t>6.2投标文件递交</w:t>
      </w:r>
      <w:r>
        <w:rPr>
          <w:rFonts w:hint="eastAsia" w:ascii="仿宋" w:hAnsi="仿宋" w:eastAsia="仿宋" w:cs="宋体"/>
          <w:color w:val="auto"/>
          <w:sz w:val="24"/>
          <w:szCs w:val="24"/>
          <w:highlight w:val="none"/>
          <w:lang w:val="en-US" w:eastAsia="zh-CN"/>
        </w:rPr>
        <w:t>地点</w:t>
      </w:r>
      <w:r>
        <w:rPr>
          <w:rFonts w:hint="eastAsia" w:ascii="仿宋" w:hAnsi="仿宋" w:eastAsia="仿宋" w:cs="宋体"/>
          <w:color w:val="auto"/>
          <w:sz w:val="24"/>
          <w:szCs w:val="24"/>
          <w:highlight w:val="none"/>
        </w:rPr>
        <w:t>：</w:t>
      </w:r>
      <w:r>
        <w:rPr>
          <w:rFonts w:hint="eastAsia" w:ascii="仿宋" w:hAnsi="仿宋" w:eastAsia="仿宋" w:cs="宋体"/>
          <w:color w:val="auto"/>
          <w:sz w:val="24"/>
          <w:szCs w:val="24"/>
          <w:highlight w:val="none"/>
          <w:u w:val="single"/>
        </w:rPr>
        <w:t>阿勒泰市东风路2区将军城三期10栋一层30号</w:t>
      </w:r>
      <w:r>
        <w:rPr>
          <w:rFonts w:hint="eastAsia" w:ascii="仿宋" w:hAnsi="仿宋" w:eastAsia="仿宋" w:cs="宋体"/>
          <w:color w:val="auto"/>
          <w:sz w:val="24"/>
          <w:szCs w:val="24"/>
          <w:highlight w:val="none"/>
        </w:rPr>
        <w:t>，</w:t>
      </w:r>
      <w:r>
        <w:rPr>
          <w:rFonts w:hint="eastAsia" w:ascii="仿宋" w:hAnsi="仿宋" w:eastAsia="仿宋" w:cs="宋体"/>
          <w:b/>
          <w:bCs/>
          <w:color w:val="auto"/>
          <w:sz w:val="24"/>
          <w:szCs w:val="24"/>
          <w:highlight w:val="none"/>
        </w:rPr>
        <w:t>逾期送达或者未送达指定地点或者未按照招标文件要求封装的纸质投标文件不予接收。</w:t>
      </w:r>
      <w:bookmarkStart w:id="35" w:name="_Toc109124229"/>
      <w:bookmarkStart w:id="36" w:name="_Toc3941"/>
    </w:p>
    <w:p w14:paraId="2F4247F9">
      <w:pPr>
        <w:pageBreakBefore w:val="0"/>
        <w:kinsoku/>
        <w:overflowPunct/>
        <w:bidi w:val="0"/>
        <w:spacing w:line="600" w:lineRule="exact"/>
        <w:ind w:firstLine="480" w:firstLineChars="200"/>
        <w:textAlignment w:val="baseline"/>
        <w:rPr>
          <w:rFonts w:hint="eastAsia" w:ascii="仿宋" w:hAnsi="仿宋" w:eastAsia="仿宋" w:cs="宋体"/>
          <w:b w:val="0"/>
          <w:bCs w:val="0"/>
          <w:color w:val="auto"/>
          <w:kern w:val="2"/>
          <w:sz w:val="24"/>
          <w:szCs w:val="24"/>
          <w:highlight w:val="none"/>
          <w:lang w:val="en-US" w:eastAsia="zh-CN" w:bidi="ar-SA"/>
        </w:rPr>
      </w:pPr>
      <w:r>
        <w:rPr>
          <w:rFonts w:hint="eastAsia" w:ascii="仿宋" w:hAnsi="仿宋" w:eastAsia="仿宋" w:cs="宋体"/>
          <w:b w:val="0"/>
          <w:color w:val="auto"/>
          <w:kern w:val="2"/>
          <w:sz w:val="24"/>
          <w:szCs w:val="24"/>
          <w:highlight w:val="none"/>
          <w:lang w:val="en-US" w:eastAsia="zh-CN" w:bidi="ar-SA"/>
        </w:rPr>
        <w:t>6.3</w:t>
      </w:r>
      <w:r>
        <w:rPr>
          <w:rFonts w:hint="eastAsia" w:ascii="仿宋" w:hAnsi="仿宋" w:eastAsia="仿宋" w:cs="宋体"/>
          <w:b/>
          <w:bCs/>
          <w:color w:val="auto"/>
          <w:kern w:val="2"/>
          <w:sz w:val="24"/>
          <w:szCs w:val="24"/>
          <w:highlight w:val="none"/>
          <w:lang w:val="en-US" w:eastAsia="zh-CN" w:bidi="ar-SA"/>
        </w:rPr>
        <w:t>本项目将于上述同一时间、地点进行开标</w:t>
      </w:r>
      <w:r>
        <w:rPr>
          <w:rFonts w:hint="eastAsia" w:ascii="仿宋" w:hAnsi="仿宋" w:eastAsia="仿宋" w:cs="宋体"/>
          <w:b w:val="0"/>
          <w:bCs w:val="0"/>
          <w:color w:val="auto"/>
          <w:kern w:val="2"/>
          <w:sz w:val="24"/>
          <w:szCs w:val="24"/>
          <w:highlight w:val="none"/>
          <w:lang w:val="en-US" w:eastAsia="zh-CN" w:bidi="ar-SA"/>
        </w:rPr>
        <w:t>，招标人/招标代理机构邀请投标人代表准时参加。</w:t>
      </w:r>
    </w:p>
    <w:p w14:paraId="3734024C">
      <w:pPr>
        <w:pageBreakBefore w:val="0"/>
        <w:kinsoku/>
        <w:overflowPunct/>
        <w:bidi w:val="0"/>
        <w:spacing w:line="600" w:lineRule="exact"/>
        <w:ind w:firstLine="480" w:firstLineChars="200"/>
        <w:textAlignment w:val="baseline"/>
        <w:rPr>
          <w:rFonts w:hint="eastAsia" w:ascii="仿宋" w:hAnsi="仿宋" w:eastAsia="仿宋" w:cs="宋体"/>
          <w:b/>
          <w:bCs/>
          <w:color w:val="auto"/>
          <w:kern w:val="2"/>
          <w:sz w:val="24"/>
          <w:szCs w:val="24"/>
          <w:highlight w:val="none"/>
          <w:lang w:val="en-US" w:eastAsia="zh-CN" w:bidi="ar-SA"/>
        </w:rPr>
      </w:pPr>
      <w:r>
        <w:rPr>
          <w:rFonts w:hint="eastAsia" w:ascii="仿宋" w:hAnsi="仿宋" w:eastAsia="仿宋" w:cs="宋体"/>
          <w:b w:val="0"/>
          <w:color w:val="auto"/>
          <w:kern w:val="2"/>
          <w:sz w:val="24"/>
          <w:szCs w:val="24"/>
          <w:highlight w:val="none"/>
          <w:lang w:val="en-US" w:eastAsia="zh-CN" w:bidi="ar-SA"/>
        </w:rPr>
        <w:t>6.4</w:t>
      </w:r>
      <w:r>
        <w:rPr>
          <w:rFonts w:hint="eastAsia" w:ascii="仿宋" w:hAnsi="仿宋" w:eastAsia="仿宋" w:cs="宋体"/>
          <w:b/>
          <w:bCs/>
          <w:color w:val="auto"/>
          <w:kern w:val="2"/>
          <w:sz w:val="24"/>
          <w:szCs w:val="24"/>
          <w:highlight w:val="none"/>
          <w:lang w:val="en-US" w:eastAsia="zh-CN" w:bidi="ar-SA"/>
        </w:rPr>
        <w:t>出现以下情形之一时，招标人/招标代理机构不予接收投标文件：</w:t>
      </w:r>
    </w:p>
    <w:p w14:paraId="411ADC55">
      <w:pPr>
        <w:pageBreakBefore w:val="0"/>
        <w:kinsoku/>
        <w:overflowPunct/>
        <w:bidi w:val="0"/>
        <w:spacing w:line="600" w:lineRule="exact"/>
        <w:ind w:firstLine="480" w:firstLineChars="200"/>
        <w:textAlignment w:val="baseline"/>
        <w:rPr>
          <w:rFonts w:hint="eastAsia" w:ascii="仿宋" w:hAnsi="仿宋" w:eastAsia="仿宋" w:cs="宋体"/>
          <w:b w:val="0"/>
          <w:color w:val="auto"/>
          <w:kern w:val="2"/>
          <w:sz w:val="24"/>
          <w:szCs w:val="24"/>
          <w:highlight w:val="none"/>
          <w:lang w:val="en-US" w:eastAsia="zh-CN" w:bidi="ar-SA"/>
        </w:rPr>
      </w:pPr>
      <w:r>
        <w:rPr>
          <w:rFonts w:hint="eastAsia" w:ascii="仿宋" w:hAnsi="仿宋" w:eastAsia="仿宋" w:cs="宋体"/>
          <w:b w:val="0"/>
          <w:color w:val="auto"/>
          <w:kern w:val="2"/>
          <w:sz w:val="24"/>
          <w:szCs w:val="24"/>
          <w:highlight w:val="none"/>
          <w:lang w:val="en-US" w:eastAsia="zh-CN" w:bidi="ar-SA"/>
        </w:rPr>
        <w:t>6.4.1  逾期送达或者未送达指定地点的；</w:t>
      </w:r>
    </w:p>
    <w:p w14:paraId="0D204349">
      <w:pPr>
        <w:pageBreakBefore w:val="0"/>
        <w:kinsoku/>
        <w:overflowPunct/>
        <w:bidi w:val="0"/>
        <w:spacing w:line="600" w:lineRule="exact"/>
        <w:ind w:firstLine="480" w:firstLineChars="200"/>
        <w:textAlignment w:val="baseline"/>
        <w:rPr>
          <w:rFonts w:hint="eastAsia" w:ascii="仿宋" w:hAnsi="仿宋" w:eastAsia="仿宋" w:cs="宋体"/>
          <w:b w:val="0"/>
          <w:color w:val="auto"/>
          <w:kern w:val="2"/>
          <w:sz w:val="24"/>
          <w:szCs w:val="24"/>
          <w:highlight w:val="none"/>
          <w:lang w:val="en-US" w:eastAsia="zh-CN" w:bidi="ar-SA"/>
        </w:rPr>
      </w:pPr>
      <w:r>
        <w:rPr>
          <w:rFonts w:hint="eastAsia" w:ascii="仿宋" w:hAnsi="仿宋" w:eastAsia="仿宋" w:cs="宋体"/>
          <w:b w:val="0"/>
          <w:color w:val="auto"/>
          <w:kern w:val="2"/>
          <w:sz w:val="24"/>
          <w:szCs w:val="24"/>
          <w:highlight w:val="none"/>
          <w:lang w:val="en-US" w:eastAsia="zh-CN" w:bidi="ar-SA"/>
        </w:rPr>
        <w:t>6.4.2  未按照招标文件要求密封的；</w:t>
      </w:r>
    </w:p>
    <w:p w14:paraId="3B4C4DB4">
      <w:pPr>
        <w:pageBreakBefore w:val="0"/>
        <w:kinsoku/>
        <w:overflowPunct/>
        <w:bidi w:val="0"/>
        <w:spacing w:line="600" w:lineRule="exact"/>
        <w:ind w:firstLine="480" w:firstLineChars="200"/>
        <w:textAlignment w:val="baseline"/>
        <w:rPr>
          <w:rFonts w:hint="eastAsia" w:ascii="仿宋" w:hAnsi="仿宋" w:eastAsia="仿宋" w:cs="宋体"/>
          <w:color w:val="auto"/>
          <w:sz w:val="24"/>
          <w:szCs w:val="24"/>
          <w:highlight w:val="none"/>
        </w:rPr>
      </w:pPr>
      <w:r>
        <w:rPr>
          <w:rFonts w:hint="eastAsia" w:ascii="仿宋" w:hAnsi="仿宋" w:eastAsia="仿宋" w:cs="宋体"/>
          <w:b w:val="0"/>
          <w:color w:val="auto"/>
          <w:kern w:val="2"/>
          <w:sz w:val="24"/>
          <w:szCs w:val="24"/>
          <w:highlight w:val="none"/>
          <w:lang w:val="en-US" w:eastAsia="zh-CN" w:bidi="ar-SA"/>
        </w:rPr>
        <w:t>6.4.3  未按照招标公告要求获取招标文件的。</w:t>
      </w:r>
    </w:p>
    <w:p w14:paraId="5A2EDFFB">
      <w:pPr>
        <w:pStyle w:val="4"/>
        <w:pageBreakBefore w:val="0"/>
        <w:kinsoku/>
        <w:overflowPunct/>
        <w:bidi w:val="0"/>
        <w:spacing w:line="600" w:lineRule="exact"/>
        <w:ind w:firstLine="482" w:firstLineChars="200"/>
        <w:rPr>
          <w:rFonts w:hint="eastAsia" w:ascii="仿宋" w:hAnsi="仿宋" w:cs="宋体"/>
          <w:color w:val="auto"/>
          <w:highlight w:val="none"/>
        </w:rPr>
      </w:pPr>
      <w:bookmarkStart w:id="37" w:name="_Toc23758"/>
      <w:r>
        <w:rPr>
          <w:rFonts w:hint="eastAsia" w:ascii="仿宋" w:hAnsi="仿宋" w:cs="宋体"/>
          <w:color w:val="auto"/>
          <w:highlight w:val="none"/>
          <w:lang w:val="en-US" w:eastAsia="zh-CN"/>
        </w:rPr>
        <w:t>七</w:t>
      </w:r>
      <w:r>
        <w:rPr>
          <w:rFonts w:hint="eastAsia" w:ascii="仿宋" w:hAnsi="仿宋" w:cs="宋体"/>
          <w:color w:val="auto"/>
          <w:highlight w:val="none"/>
        </w:rPr>
        <w:t>、发布公告的媒介</w:t>
      </w:r>
      <w:bookmarkEnd w:id="35"/>
      <w:bookmarkEnd w:id="36"/>
      <w:bookmarkEnd w:id="37"/>
    </w:p>
    <w:p w14:paraId="6115205E">
      <w:pPr>
        <w:pageBreakBefore w:val="0"/>
        <w:kinsoku/>
        <w:overflowPunct/>
        <w:bidi w:val="0"/>
        <w:spacing w:line="600" w:lineRule="exact"/>
        <w:ind w:firstLine="480" w:firstLineChars="200"/>
        <w:textAlignment w:val="baseline"/>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本项目招标公告同时在</w:t>
      </w:r>
      <w:r>
        <w:rPr>
          <w:rFonts w:hint="eastAsia" w:ascii="仿宋" w:hAnsi="仿宋" w:eastAsia="仿宋" w:cs="宋体"/>
          <w:color w:val="auto"/>
          <w:sz w:val="24"/>
          <w:szCs w:val="24"/>
          <w:highlight w:val="none"/>
          <w:u w:val="single"/>
          <w:lang w:val="en-US" w:eastAsia="zh-CN"/>
        </w:rPr>
        <w:t>中国</w:t>
      </w:r>
      <w:r>
        <w:rPr>
          <w:rFonts w:hint="eastAsia" w:ascii="仿宋" w:hAnsi="仿宋" w:eastAsia="仿宋" w:cs="宋体"/>
          <w:color w:val="auto"/>
          <w:sz w:val="24"/>
          <w:szCs w:val="24"/>
          <w:highlight w:val="none"/>
          <w:u w:val="single"/>
          <w:lang w:eastAsia="zh-CN"/>
        </w:rPr>
        <w:t>采购与招标网（https://www.chinabidding.cn/）、</w:t>
      </w:r>
      <w:r>
        <w:rPr>
          <w:rFonts w:hint="eastAsia" w:ascii="仿宋" w:hAnsi="仿宋" w:eastAsia="仿宋" w:cs="宋体"/>
          <w:color w:val="auto"/>
          <w:sz w:val="24"/>
          <w:szCs w:val="24"/>
          <w:highlight w:val="none"/>
          <w:u w:val="single"/>
          <w:lang w:val="en-US" w:eastAsia="zh-CN"/>
        </w:rPr>
        <w:t>人保外网https://ec.picc.com/</w:t>
      </w:r>
      <w:r>
        <w:rPr>
          <w:rFonts w:hint="eastAsia" w:ascii="仿宋" w:hAnsi="仿宋" w:eastAsia="仿宋" w:cs="宋体"/>
          <w:color w:val="auto"/>
          <w:sz w:val="24"/>
          <w:szCs w:val="24"/>
          <w:highlight w:val="none"/>
        </w:rPr>
        <w:t>上发布，除上述外，招标人/招标代理机构不在其他任何网站、论坛等媒介上发布任何招标采购信息，其他任何媒介上转载的、以招标人/招标代理机构为采购主体的招标采购信息均为非法转载，均为无效。对于非法转载、篡改招标公告信息的组织或个人，招标人/招标代理机构保留追究其法律责任的权利。</w:t>
      </w:r>
    </w:p>
    <w:p w14:paraId="341976C8">
      <w:pPr>
        <w:pStyle w:val="4"/>
        <w:pageBreakBefore w:val="0"/>
        <w:numPr>
          <w:ilvl w:val="0"/>
          <w:numId w:val="0"/>
        </w:numPr>
        <w:kinsoku/>
        <w:overflowPunct/>
        <w:bidi w:val="0"/>
        <w:spacing w:line="600" w:lineRule="exact"/>
        <w:ind w:firstLine="482" w:firstLineChars="200"/>
        <w:rPr>
          <w:rFonts w:hint="eastAsia" w:ascii="仿宋" w:hAnsi="仿宋" w:cs="宋体"/>
          <w:color w:val="auto"/>
          <w:highlight w:val="none"/>
        </w:rPr>
      </w:pPr>
      <w:bookmarkStart w:id="38" w:name="_Toc20415"/>
      <w:bookmarkStart w:id="39" w:name="_Toc26408"/>
      <w:bookmarkStart w:id="40" w:name="_Toc24187"/>
      <w:bookmarkStart w:id="41" w:name="_Toc109124230"/>
      <w:bookmarkStart w:id="42" w:name="_Toc24589"/>
      <w:bookmarkStart w:id="43" w:name="_Toc7046"/>
      <w:r>
        <w:rPr>
          <w:rFonts w:hint="eastAsia" w:ascii="仿宋" w:hAnsi="仿宋" w:cs="宋体"/>
          <w:color w:val="auto"/>
          <w:highlight w:val="none"/>
          <w:lang w:val="en-US" w:eastAsia="zh-CN"/>
        </w:rPr>
        <w:t>八、</w:t>
      </w:r>
      <w:r>
        <w:rPr>
          <w:rFonts w:hint="eastAsia" w:ascii="仿宋" w:hAnsi="仿宋" w:cs="宋体"/>
          <w:color w:val="auto"/>
          <w:highlight w:val="none"/>
        </w:rPr>
        <w:t>联系方式</w:t>
      </w:r>
      <w:bookmarkEnd w:id="38"/>
      <w:bookmarkEnd w:id="39"/>
      <w:bookmarkEnd w:id="40"/>
      <w:bookmarkEnd w:id="41"/>
      <w:bookmarkEnd w:id="42"/>
      <w:bookmarkEnd w:id="43"/>
    </w:p>
    <w:p w14:paraId="19996F4A">
      <w:pPr>
        <w:pStyle w:val="4"/>
        <w:pageBreakBefore w:val="0"/>
        <w:numPr>
          <w:ilvl w:val="0"/>
          <w:numId w:val="0"/>
        </w:numPr>
        <w:kinsoku/>
        <w:overflowPunct/>
        <w:bidi w:val="0"/>
        <w:spacing w:line="600" w:lineRule="exact"/>
        <w:ind w:firstLine="480" w:firstLineChars="200"/>
        <w:rPr>
          <w:rFonts w:hint="eastAsia" w:ascii="仿宋" w:hAnsi="仿宋" w:eastAsia="仿宋" w:cs="宋体"/>
          <w:b w:val="0"/>
          <w:bCs/>
          <w:color w:val="auto"/>
          <w:sz w:val="24"/>
          <w:szCs w:val="24"/>
          <w:highlight w:val="none"/>
        </w:rPr>
      </w:pPr>
      <w:r>
        <w:rPr>
          <w:rFonts w:hint="eastAsia" w:ascii="仿宋" w:hAnsi="仿宋" w:eastAsia="仿宋" w:cs="宋体"/>
          <w:b w:val="0"/>
          <w:bCs/>
          <w:color w:val="auto"/>
          <w:sz w:val="24"/>
          <w:szCs w:val="24"/>
          <w:highlight w:val="none"/>
        </w:rPr>
        <w:t>招标人：中国人民财产保险股份有限公司</w:t>
      </w:r>
      <w:r>
        <w:rPr>
          <w:rFonts w:hint="eastAsia" w:ascii="仿宋" w:hAnsi="仿宋" w:eastAsia="仿宋" w:cs="宋体"/>
          <w:b w:val="0"/>
          <w:bCs/>
          <w:color w:val="auto"/>
          <w:sz w:val="24"/>
          <w:szCs w:val="24"/>
          <w:highlight w:val="none"/>
          <w:lang w:val="en-US" w:eastAsia="zh-CN"/>
        </w:rPr>
        <w:t>阿勒泰地区</w:t>
      </w:r>
      <w:r>
        <w:rPr>
          <w:rFonts w:hint="eastAsia" w:ascii="仿宋" w:hAnsi="仿宋" w:eastAsia="仿宋" w:cs="宋体"/>
          <w:b w:val="0"/>
          <w:bCs/>
          <w:color w:val="auto"/>
          <w:sz w:val="24"/>
          <w:szCs w:val="24"/>
          <w:highlight w:val="none"/>
        </w:rPr>
        <w:t>分公司</w:t>
      </w:r>
    </w:p>
    <w:p w14:paraId="167DFEA7">
      <w:pPr>
        <w:pageBreakBefore w:val="0"/>
        <w:kinsoku/>
        <w:overflowPunct/>
        <w:bidi w:val="0"/>
        <w:spacing w:line="600" w:lineRule="exact"/>
        <w:ind w:firstLine="480" w:firstLineChars="200"/>
        <w:textAlignment w:val="baseline"/>
        <w:rPr>
          <w:rFonts w:hint="eastAsia" w:ascii="仿宋" w:hAnsi="仿宋" w:eastAsia="仿宋" w:cs="宋体"/>
          <w:b w:val="0"/>
          <w:bCs/>
          <w:color w:val="auto"/>
          <w:sz w:val="24"/>
          <w:szCs w:val="24"/>
          <w:highlight w:val="none"/>
        </w:rPr>
      </w:pPr>
      <w:r>
        <w:rPr>
          <w:rFonts w:hint="eastAsia" w:ascii="仿宋" w:hAnsi="仿宋" w:eastAsia="仿宋" w:cs="宋体"/>
          <w:b w:val="0"/>
          <w:bCs/>
          <w:color w:val="auto"/>
          <w:sz w:val="24"/>
          <w:szCs w:val="24"/>
          <w:highlight w:val="none"/>
        </w:rPr>
        <w:t xml:space="preserve">地址：新疆阿勒泰地区阿勒泰市恰秀路街道福海街11号1栋 </w:t>
      </w:r>
    </w:p>
    <w:p w14:paraId="20061329">
      <w:pPr>
        <w:pageBreakBefore w:val="0"/>
        <w:kinsoku/>
        <w:overflowPunct/>
        <w:bidi w:val="0"/>
        <w:spacing w:line="600" w:lineRule="exact"/>
        <w:ind w:firstLine="480" w:firstLineChars="200"/>
        <w:textAlignment w:val="baseline"/>
        <w:rPr>
          <w:rFonts w:hint="eastAsia" w:ascii="仿宋" w:hAnsi="仿宋" w:eastAsia="仿宋" w:cs="宋体"/>
          <w:b w:val="0"/>
          <w:bCs/>
          <w:color w:val="auto"/>
          <w:sz w:val="24"/>
          <w:szCs w:val="24"/>
          <w:highlight w:val="none"/>
        </w:rPr>
      </w:pPr>
      <w:r>
        <w:rPr>
          <w:rFonts w:hint="eastAsia" w:ascii="仿宋" w:hAnsi="仿宋" w:eastAsia="仿宋" w:cs="宋体"/>
          <w:b w:val="0"/>
          <w:bCs/>
          <w:color w:val="auto"/>
          <w:sz w:val="24"/>
          <w:szCs w:val="24"/>
          <w:highlight w:val="none"/>
        </w:rPr>
        <w:t>招标代理机构：</w:t>
      </w:r>
      <w:r>
        <w:rPr>
          <w:rFonts w:hint="eastAsia" w:ascii="仿宋" w:hAnsi="仿宋" w:eastAsia="仿宋" w:cs="宋体"/>
          <w:b w:val="0"/>
          <w:bCs/>
          <w:color w:val="auto"/>
          <w:sz w:val="24"/>
          <w:szCs w:val="24"/>
          <w:highlight w:val="none"/>
          <w:lang w:val="zh-CN"/>
        </w:rPr>
        <w:t>新疆谊诚工程项目管理咨询有限公司</w:t>
      </w:r>
    </w:p>
    <w:p w14:paraId="7210F448">
      <w:pPr>
        <w:pageBreakBefore w:val="0"/>
        <w:kinsoku/>
        <w:overflowPunct/>
        <w:bidi w:val="0"/>
        <w:spacing w:line="600" w:lineRule="exact"/>
        <w:ind w:firstLine="480" w:firstLineChars="200"/>
        <w:textAlignment w:val="baseline"/>
        <w:rPr>
          <w:rFonts w:hint="eastAsia" w:ascii="仿宋" w:hAnsi="仿宋" w:eastAsia="仿宋" w:cs="宋体"/>
          <w:b w:val="0"/>
          <w:bCs/>
          <w:color w:val="auto"/>
          <w:sz w:val="24"/>
          <w:szCs w:val="24"/>
          <w:highlight w:val="none"/>
        </w:rPr>
      </w:pPr>
      <w:r>
        <w:rPr>
          <w:rFonts w:hint="eastAsia" w:ascii="仿宋" w:hAnsi="仿宋" w:eastAsia="仿宋" w:cs="宋体"/>
          <w:b w:val="0"/>
          <w:bCs/>
          <w:color w:val="auto"/>
          <w:sz w:val="24"/>
          <w:szCs w:val="24"/>
          <w:highlight w:val="none"/>
        </w:rPr>
        <w:t>地址：阿勒泰市东风路2区将军城三期10栋一层30号</w:t>
      </w:r>
    </w:p>
    <w:p w14:paraId="12874C62">
      <w:pPr>
        <w:pageBreakBefore w:val="0"/>
        <w:kinsoku/>
        <w:overflowPunct/>
        <w:bidi w:val="0"/>
        <w:spacing w:line="600" w:lineRule="exact"/>
        <w:ind w:firstLine="480" w:firstLineChars="200"/>
        <w:textAlignment w:val="baseline"/>
        <w:rPr>
          <w:rFonts w:hint="eastAsia" w:ascii="仿宋" w:hAnsi="仿宋" w:eastAsia="仿宋" w:cs="宋体"/>
          <w:b w:val="0"/>
          <w:bCs/>
          <w:color w:val="auto"/>
          <w:sz w:val="24"/>
          <w:szCs w:val="24"/>
          <w:highlight w:val="none"/>
        </w:rPr>
      </w:pPr>
      <w:bookmarkStart w:id="44" w:name="_Hlk69457004"/>
      <w:r>
        <w:rPr>
          <w:rFonts w:hint="eastAsia" w:ascii="仿宋" w:hAnsi="仿宋" w:eastAsia="仿宋" w:cs="宋体"/>
          <w:b w:val="0"/>
          <w:bCs/>
          <w:color w:val="auto"/>
          <w:sz w:val="24"/>
          <w:szCs w:val="24"/>
          <w:highlight w:val="none"/>
        </w:rPr>
        <w:t>联系人：</w:t>
      </w:r>
      <w:r>
        <w:rPr>
          <w:rFonts w:hint="eastAsia" w:ascii="仿宋" w:hAnsi="仿宋" w:eastAsia="仿宋" w:cs="宋体"/>
          <w:b w:val="0"/>
          <w:bCs/>
          <w:color w:val="auto"/>
          <w:sz w:val="24"/>
          <w:szCs w:val="24"/>
          <w:highlight w:val="none"/>
          <w:lang w:val="en-US" w:eastAsia="zh-CN"/>
        </w:rPr>
        <w:t xml:space="preserve">高杰   </w:t>
      </w:r>
    </w:p>
    <w:p w14:paraId="674DABDC">
      <w:pPr>
        <w:pageBreakBefore w:val="0"/>
        <w:kinsoku/>
        <w:overflowPunct/>
        <w:bidi w:val="0"/>
        <w:spacing w:line="600" w:lineRule="exact"/>
        <w:ind w:firstLine="480" w:firstLineChars="200"/>
        <w:textAlignment w:val="baseline"/>
        <w:rPr>
          <w:rFonts w:hint="eastAsia" w:ascii="仿宋" w:hAnsi="仿宋" w:eastAsia="仿宋" w:cs="宋体"/>
          <w:b w:val="0"/>
          <w:bCs/>
          <w:color w:val="auto"/>
          <w:sz w:val="24"/>
          <w:szCs w:val="24"/>
          <w:highlight w:val="none"/>
        </w:rPr>
      </w:pPr>
      <w:r>
        <w:rPr>
          <w:rFonts w:hint="eastAsia" w:ascii="仿宋" w:hAnsi="仿宋" w:eastAsia="仿宋" w:cs="宋体"/>
          <w:b w:val="0"/>
          <w:bCs/>
          <w:color w:val="auto"/>
          <w:sz w:val="24"/>
          <w:szCs w:val="24"/>
          <w:highlight w:val="none"/>
        </w:rPr>
        <w:t>电话：</w:t>
      </w:r>
      <w:r>
        <w:rPr>
          <w:rFonts w:hint="eastAsia" w:ascii="仿宋" w:hAnsi="仿宋" w:eastAsia="仿宋" w:cs="宋体"/>
          <w:b w:val="0"/>
          <w:bCs/>
          <w:color w:val="auto"/>
          <w:sz w:val="24"/>
          <w:szCs w:val="24"/>
          <w:highlight w:val="none"/>
          <w:lang w:val="en-US" w:eastAsia="zh-CN"/>
        </w:rPr>
        <w:t>15109061155</w:t>
      </w:r>
    </w:p>
    <w:p w14:paraId="093FA654">
      <w:pPr>
        <w:pageBreakBefore w:val="0"/>
        <w:kinsoku/>
        <w:overflowPunct/>
        <w:bidi w:val="0"/>
        <w:spacing w:line="600" w:lineRule="exact"/>
        <w:ind w:firstLine="480" w:firstLineChars="200"/>
        <w:textAlignment w:val="baseline"/>
        <w:rPr>
          <w:rFonts w:hint="eastAsia" w:ascii="仿宋" w:hAnsi="仿宋" w:eastAsia="仿宋" w:cs="宋体"/>
          <w:b w:val="0"/>
          <w:bCs/>
          <w:color w:val="auto"/>
          <w:sz w:val="24"/>
          <w:szCs w:val="24"/>
          <w:highlight w:val="none"/>
        </w:rPr>
      </w:pPr>
      <w:r>
        <w:rPr>
          <w:rFonts w:hint="eastAsia" w:ascii="仿宋" w:hAnsi="仿宋" w:eastAsia="仿宋" w:cs="宋体"/>
          <w:b w:val="0"/>
          <w:bCs/>
          <w:color w:val="auto"/>
          <w:sz w:val="24"/>
          <w:szCs w:val="24"/>
          <w:highlight w:val="none"/>
        </w:rPr>
        <w:t>电子邮件：</w:t>
      </w:r>
      <w:bookmarkEnd w:id="44"/>
      <w:r>
        <w:rPr>
          <w:rFonts w:hint="eastAsia" w:ascii="仿宋" w:hAnsi="仿宋" w:eastAsia="仿宋" w:cs="宋体"/>
          <w:b w:val="0"/>
          <w:bCs/>
          <w:color w:val="auto"/>
          <w:sz w:val="24"/>
          <w:szCs w:val="24"/>
          <w:highlight w:val="none"/>
        </w:rPr>
        <w:t>1534490497 @ qq.com</w:t>
      </w:r>
    </w:p>
    <w:p w14:paraId="30DFFB09">
      <w:pPr>
        <w:pageBreakBefore w:val="0"/>
        <w:kinsoku/>
        <w:overflowPunct/>
        <w:bidi w:val="0"/>
        <w:spacing w:line="600" w:lineRule="exact"/>
        <w:ind w:firstLine="480" w:firstLineChars="200"/>
        <w:textAlignment w:val="baseline"/>
        <w:rPr>
          <w:rFonts w:hint="eastAsia" w:ascii="仿宋" w:hAnsi="仿宋" w:eastAsia="仿宋" w:cs="宋体"/>
          <w:b w:val="0"/>
          <w:bCs/>
          <w:color w:val="auto"/>
          <w:sz w:val="24"/>
          <w:szCs w:val="24"/>
          <w:highlight w:val="none"/>
        </w:rPr>
      </w:pPr>
      <w:r>
        <w:rPr>
          <w:rFonts w:hint="eastAsia" w:ascii="仿宋" w:hAnsi="仿宋" w:eastAsia="仿宋" w:cs="宋体"/>
          <w:b w:val="0"/>
          <w:bCs/>
          <w:color w:val="auto"/>
          <w:sz w:val="24"/>
          <w:szCs w:val="24"/>
          <w:highlight w:val="none"/>
        </w:rPr>
        <w:t>开户银行：中国建设银行股份有限公司乌鲁木齐扬子江路支行  </w:t>
      </w:r>
    </w:p>
    <w:p w14:paraId="1224F12B">
      <w:pPr>
        <w:pageBreakBefore w:val="0"/>
        <w:kinsoku/>
        <w:overflowPunct/>
        <w:bidi w:val="0"/>
        <w:spacing w:line="600" w:lineRule="exact"/>
        <w:ind w:firstLine="480" w:firstLineChars="200"/>
        <w:textAlignment w:val="baseline"/>
        <w:rPr>
          <w:rFonts w:hint="eastAsia" w:ascii="仿宋" w:hAnsi="仿宋" w:eastAsia="仿宋" w:cs="宋体"/>
          <w:b w:val="0"/>
          <w:bCs/>
          <w:color w:val="auto"/>
          <w:sz w:val="24"/>
          <w:szCs w:val="24"/>
          <w:highlight w:val="none"/>
        </w:rPr>
      </w:pPr>
      <w:r>
        <w:rPr>
          <w:rFonts w:hint="eastAsia" w:ascii="仿宋" w:hAnsi="仿宋" w:eastAsia="仿宋" w:cs="宋体"/>
          <w:b w:val="0"/>
          <w:bCs/>
          <w:color w:val="auto"/>
          <w:sz w:val="24"/>
          <w:szCs w:val="24"/>
          <w:highlight w:val="none"/>
        </w:rPr>
        <w:t>账号</w:t>
      </w:r>
      <w:r>
        <w:rPr>
          <w:rFonts w:hint="eastAsia" w:ascii="仿宋" w:hAnsi="仿宋" w:eastAsia="仿宋" w:cs="宋体"/>
          <w:b w:val="0"/>
          <w:bCs/>
          <w:color w:val="auto"/>
          <w:sz w:val="24"/>
          <w:szCs w:val="24"/>
          <w:highlight w:val="none"/>
          <w:lang w:eastAsia="zh-CN"/>
        </w:rPr>
        <w:t>：</w:t>
      </w:r>
      <w:bookmarkStart w:id="45" w:name="_Toc11197"/>
      <w:bookmarkStart w:id="46" w:name="_Toc65682922"/>
      <w:bookmarkStart w:id="47" w:name="_Toc23286"/>
      <w:bookmarkStart w:id="48" w:name="_Toc25626"/>
      <w:bookmarkStart w:id="49" w:name="_Toc1946"/>
      <w:bookmarkStart w:id="50" w:name="_Toc109124231"/>
      <w:r>
        <w:rPr>
          <w:rFonts w:hint="eastAsia" w:ascii="仿宋" w:hAnsi="仿宋" w:eastAsia="仿宋" w:cs="宋体"/>
          <w:b w:val="0"/>
          <w:bCs/>
          <w:color w:val="auto"/>
          <w:sz w:val="24"/>
          <w:szCs w:val="24"/>
          <w:highlight w:val="none"/>
        </w:rPr>
        <w:t>65001613200052510997</w:t>
      </w:r>
    </w:p>
    <w:p w14:paraId="78A4DAB4">
      <w:pPr>
        <w:pageBreakBefore w:val="0"/>
        <w:kinsoku/>
        <w:overflowPunct/>
        <w:bidi w:val="0"/>
        <w:spacing w:line="600" w:lineRule="exact"/>
        <w:ind w:firstLine="480" w:firstLineChars="200"/>
        <w:jc w:val="right"/>
        <w:textAlignment w:val="baseline"/>
        <w:rPr>
          <w:rFonts w:hint="eastAsia" w:ascii="仿宋" w:hAnsi="仿宋" w:eastAsia="仿宋" w:cs="宋体"/>
          <w:color w:val="auto"/>
          <w:sz w:val="24"/>
          <w:szCs w:val="24"/>
          <w:highlight w:val="none"/>
        </w:rPr>
      </w:pPr>
    </w:p>
    <w:p w14:paraId="01CE8364">
      <w:pPr>
        <w:pStyle w:val="3"/>
        <w:rPr>
          <w:rFonts w:hint="eastAsia" w:ascii="仿宋" w:hAnsi="仿宋" w:eastAsia="仿宋" w:cs="宋体"/>
          <w:color w:val="auto"/>
          <w:sz w:val="24"/>
          <w:szCs w:val="24"/>
          <w:highlight w:val="none"/>
        </w:rPr>
      </w:pPr>
    </w:p>
    <w:p w14:paraId="5C246987">
      <w:pPr>
        <w:rPr>
          <w:rFonts w:hint="eastAsia"/>
          <w:color w:val="auto"/>
          <w:highlight w:val="none"/>
        </w:rPr>
      </w:pPr>
    </w:p>
    <w:p w14:paraId="669CB46D">
      <w:pPr>
        <w:pageBreakBefore w:val="0"/>
        <w:kinsoku/>
        <w:overflowPunct/>
        <w:bidi w:val="0"/>
        <w:spacing w:line="600" w:lineRule="exact"/>
        <w:ind w:firstLine="480" w:firstLineChars="200"/>
        <w:jc w:val="right"/>
        <w:textAlignment w:val="baseline"/>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招标人：中国人民财产保险股份有限公司</w:t>
      </w:r>
      <w:r>
        <w:rPr>
          <w:rFonts w:hint="eastAsia" w:ascii="仿宋" w:hAnsi="仿宋" w:eastAsia="仿宋" w:cs="宋体"/>
          <w:color w:val="auto"/>
          <w:sz w:val="24"/>
          <w:szCs w:val="24"/>
          <w:highlight w:val="none"/>
          <w:lang w:val="en-US" w:eastAsia="zh-CN"/>
        </w:rPr>
        <w:t>阿勒泰</w:t>
      </w:r>
      <w:r>
        <w:rPr>
          <w:rFonts w:hint="eastAsia" w:ascii="仿宋" w:hAnsi="仿宋" w:eastAsia="仿宋" w:cs="宋体"/>
          <w:color w:val="auto"/>
          <w:sz w:val="24"/>
          <w:szCs w:val="24"/>
          <w:highlight w:val="none"/>
        </w:rPr>
        <w:t>分公司</w:t>
      </w:r>
    </w:p>
    <w:p w14:paraId="3500DEEA">
      <w:pPr>
        <w:pageBreakBefore w:val="0"/>
        <w:kinsoku/>
        <w:overflowPunct/>
        <w:bidi w:val="0"/>
        <w:spacing w:line="600" w:lineRule="exact"/>
        <w:ind w:firstLine="480" w:firstLineChars="200"/>
        <w:jc w:val="right"/>
        <w:textAlignment w:val="baseline"/>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招标代理机构：</w:t>
      </w:r>
      <w:r>
        <w:rPr>
          <w:rFonts w:hint="eastAsia" w:ascii="仿宋" w:hAnsi="仿宋" w:eastAsia="仿宋" w:cs="宋体"/>
          <w:color w:val="auto"/>
          <w:sz w:val="24"/>
          <w:szCs w:val="24"/>
          <w:highlight w:val="none"/>
          <w:lang w:val="zh-CN"/>
        </w:rPr>
        <w:t>新疆谊诚工程项目管理咨询有限公司</w:t>
      </w:r>
    </w:p>
    <w:p w14:paraId="7420C440">
      <w:pPr>
        <w:pageBreakBefore w:val="0"/>
        <w:kinsoku/>
        <w:overflowPunct/>
        <w:bidi w:val="0"/>
        <w:spacing w:line="600" w:lineRule="exact"/>
        <w:ind w:firstLine="480" w:firstLineChars="200"/>
        <w:jc w:val="right"/>
        <w:textAlignment w:val="baseline"/>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20</w:t>
      </w:r>
      <w:r>
        <w:rPr>
          <w:rFonts w:hint="eastAsia" w:ascii="仿宋" w:hAnsi="仿宋" w:eastAsia="仿宋" w:cs="宋体"/>
          <w:color w:val="auto"/>
          <w:sz w:val="24"/>
          <w:szCs w:val="24"/>
          <w:highlight w:val="none"/>
          <w:lang w:val="en-US" w:eastAsia="zh-CN"/>
        </w:rPr>
        <w:t>26</w:t>
      </w:r>
      <w:r>
        <w:rPr>
          <w:rFonts w:hint="eastAsia" w:ascii="仿宋" w:hAnsi="仿宋" w:eastAsia="仿宋" w:cs="宋体"/>
          <w:color w:val="auto"/>
          <w:sz w:val="24"/>
          <w:szCs w:val="24"/>
          <w:highlight w:val="none"/>
        </w:rPr>
        <w:t>年</w:t>
      </w:r>
      <w:r>
        <w:rPr>
          <w:rFonts w:hint="eastAsia" w:ascii="仿宋" w:hAnsi="仿宋" w:eastAsia="仿宋" w:cs="宋体"/>
          <w:color w:val="auto"/>
          <w:sz w:val="24"/>
          <w:szCs w:val="24"/>
          <w:highlight w:val="none"/>
          <w:lang w:val="en-US" w:eastAsia="zh-CN"/>
        </w:rPr>
        <w:t>8</w:t>
      </w:r>
      <w:r>
        <w:rPr>
          <w:rFonts w:hint="eastAsia" w:ascii="仿宋" w:hAnsi="仿宋" w:eastAsia="仿宋" w:cs="宋体"/>
          <w:color w:val="auto"/>
          <w:sz w:val="24"/>
          <w:szCs w:val="24"/>
          <w:highlight w:val="none"/>
        </w:rPr>
        <w:t>月</w:t>
      </w:r>
      <w:r>
        <w:rPr>
          <w:rFonts w:hint="eastAsia" w:ascii="仿宋" w:hAnsi="仿宋" w:eastAsia="仿宋" w:cs="宋体"/>
          <w:color w:val="auto"/>
          <w:sz w:val="24"/>
          <w:szCs w:val="24"/>
          <w:highlight w:val="none"/>
          <w:lang w:val="en-US" w:eastAsia="zh-CN"/>
        </w:rPr>
        <w:t>6</w:t>
      </w:r>
      <w:r>
        <w:rPr>
          <w:rFonts w:hint="eastAsia" w:ascii="仿宋" w:hAnsi="仿宋" w:eastAsia="仿宋" w:cs="宋体"/>
          <w:color w:val="auto"/>
          <w:sz w:val="24"/>
          <w:szCs w:val="24"/>
          <w:highlight w:val="none"/>
        </w:rPr>
        <w:t>日</w:t>
      </w:r>
    </w:p>
    <w:p w14:paraId="2A36C619">
      <w:pPr>
        <w:pStyle w:val="13"/>
        <w:pageBreakBefore w:val="0"/>
        <w:kinsoku/>
        <w:overflowPunct/>
        <w:bidi w:val="0"/>
        <w:spacing w:line="600" w:lineRule="exact"/>
        <w:rPr>
          <w:rFonts w:hint="eastAsia" w:ascii="宋体" w:hAnsi="宋体"/>
          <w:color w:val="auto"/>
          <w:szCs w:val="21"/>
          <w:highlight w:val="none"/>
        </w:rPr>
      </w:pPr>
    </w:p>
    <w:p w14:paraId="65605360">
      <w:pPr>
        <w:pStyle w:val="3"/>
        <w:pageBreakBefore w:val="0"/>
        <w:kinsoku/>
        <w:overflowPunct/>
        <w:bidi w:val="0"/>
        <w:spacing w:before="0" w:after="0" w:line="600" w:lineRule="exact"/>
        <w:rPr>
          <w:rFonts w:hint="eastAsia" w:ascii="仿宋" w:hAnsi="仿宋" w:cs="宋体"/>
          <w:color w:val="auto"/>
          <w:highlight w:val="none"/>
        </w:rPr>
      </w:pPr>
      <w:r>
        <w:rPr>
          <w:rFonts w:hint="eastAsia" w:ascii="仿宋" w:hAnsi="仿宋" w:cs="宋体"/>
          <w:color w:val="auto"/>
          <w:highlight w:val="none"/>
        </w:rPr>
        <w:br w:type="page"/>
      </w:r>
      <w:bookmarkStart w:id="51" w:name="_Toc10818"/>
      <w:r>
        <w:rPr>
          <w:rFonts w:hint="eastAsia" w:ascii="仿宋" w:hAnsi="仿宋" w:cs="宋体"/>
          <w:color w:val="auto"/>
          <w:highlight w:val="none"/>
        </w:rPr>
        <w:t>第二章 投标人须知</w:t>
      </w:r>
      <w:bookmarkEnd w:id="45"/>
      <w:bookmarkEnd w:id="46"/>
      <w:bookmarkEnd w:id="47"/>
      <w:bookmarkEnd w:id="48"/>
      <w:bookmarkEnd w:id="49"/>
      <w:bookmarkEnd w:id="50"/>
      <w:bookmarkEnd w:id="51"/>
    </w:p>
    <w:p w14:paraId="07BD5002">
      <w:pPr>
        <w:pStyle w:val="4"/>
        <w:pageBreakBefore w:val="0"/>
        <w:kinsoku/>
        <w:overflowPunct/>
        <w:bidi w:val="0"/>
        <w:spacing w:line="600" w:lineRule="exact"/>
        <w:jc w:val="center"/>
        <w:rPr>
          <w:rFonts w:hint="eastAsia"/>
          <w:color w:val="auto"/>
          <w:highlight w:val="none"/>
        </w:rPr>
      </w:pPr>
      <w:bookmarkStart w:id="52" w:name="_Toc10551"/>
      <w:bookmarkStart w:id="53" w:name="_Toc10064"/>
      <w:bookmarkStart w:id="54" w:name="_Toc109124232"/>
      <w:bookmarkStart w:id="55" w:name="_Toc65682923"/>
      <w:bookmarkStart w:id="56" w:name="_Toc26332"/>
      <w:bookmarkStart w:id="57" w:name="_Toc750"/>
      <w:bookmarkStart w:id="58" w:name="_Toc31194"/>
      <w:r>
        <w:rPr>
          <w:rFonts w:hint="eastAsia" w:ascii="仿宋" w:hAnsi="仿宋" w:cs="宋体"/>
          <w:color w:val="auto"/>
          <w:szCs w:val="24"/>
          <w:highlight w:val="none"/>
        </w:rPr>
        <w:t>投标人须知前附表</w:t>
      </w:r>
      <w:bookmarkEnd w:id="52"/>
      <w:bookmarkEnd w:id="53"/>
      <w:bookmarkEnd w:id="54"/>
      <w:bookmarkEnd w:id="55"/>
      <w:bookmarkEnd w:id="56"/>
      <w:bookmarkEnd w:id="57"/>
      <w:bookmarkEnd w:id="58"/>
    </w:p>
    <w:p w14:paraId="66D8189D">
      <w:pPr>
        <w:pageBreakBefore w:val="0"/>
        <w:kinsoku/>
        <w:overflowPunct/>
        <w:bidi w:val="0"/>
        <w:spacing w:line="600" w:lineRule="exact"/>
        <w:textAlignment w:val="baseline"/>
        <w:rPr>
          <w:rFonts w:hint="eastAsia" w:ascii="仿宋" w:hAnsi="仿宋" w:eastAsia="仿宋" w:cs="宋体"/>
          <w:b/>
          <w:color w:val="auto"/>
          <w:sz w:val="24"/>
          <w:szCs w:val="24"/>
          <w:highlight w:val="none"/>
        </w:rPr>
      </w:pPr>
      <w:r>
        <w:rPr>
          <w:rFonts w:hint="eastAsia" w:ascii="仿宋" w:hAnsi="仿宋" w:eastAsia="仿宋" w:cs="宋体"/>
          <w:b/>
          <w:color w:val="auto"/>
          <w:sz w:val="24"/>
          <w:szCs w:val="24"/>
          <w:highlight w:val="none"/>
        </w:rPr>
        <w:t>本投标人须知前附表是对投标人须知正文的具体补充和修改，如有矛盾，以本前附表为准。</w:t>
      </w:r>
    </w:p>
    <w:tbl>
      <w:tblPr>
        <w:tblStyle w:val="33"/>
        <w:tblW w:w="5119" w:type="pct"/>
        <w:jc w:val="center"/>
        <w:tblLayout w:type="autofit"/>
        <w:tblCellMar>
          <w:top w:w="0" w:type="dxa"/>
          <w:left w:w="108" w:type="dxa"/>
          <w:bottom w:w="0" w:type="dxa"/>
          <w:right w:w="108" w:type="dxa"/>
        </w:tblCellMar>
      </w:tblPr>
      <w:tblGrid>
        <w:gridCol w:w="1264"/>
        <w:gridCol w:w="2432"/>
        <w:gridCol w:w="6393"/>
      </w:tblGrid>
      <w:tr w14:paraId="3CCA5109">
        <w:tblPrEx>
          <w:tblCellMar>
            <w:top w:w="0" w:type="dxa"/>
            <w:left w:w="108" w:type="dxa"/>
            <w:bottom w:w="0" w:type="dxa"/>
            <w:right w:w="108" w:type="dxa"/>
          </w:tblCellMar>
        </w:tblPrEx>
        <w:trPr>
          <w:jc w:val="center"/>
        </w:trPr>
        <w:tc>
          <w:tcPr>
            <w:tcW w:w="626" w:type="pct"/>
            <w:tcBorders>
              <w:top w:val="single" w:color="auto" w:sz="4" w:space="0"/>
              <w:left w:val="single" w:color="auto" w:sz="4" w:space="0"/>
              <w:bottom w:val="single" w:color="auto" w:sz="4" w:space="0"/>
              <w:right w:val="single" w:color="auto" w:sz="4" w:space="0"/>
            </w:tcBorders>
            <w:noWrap w:val="0"/>
            <w:vAlign w:val="center"/>
          </w:tcPr>
          <w:p w14:paraId="69ED64D3">
            <w:pPr>
              <w:keepNext w:val="0"/>
              <w:keepLines w:val="0"/>
              <w:pageBreakBefore w:val="0"/>
              <w:suppressLineNumbers w:val="0"/>
              <w:kinsoku/>
              <w:overflowPunct/>
              <w:bidi w:val="0"/>
              <w:spacing w:before="62" w:beforeLines="20" w:beforeAutospacing="0" w:after="62" w:afterLines="20" w:afterAutospacing="0" w:line="600" w:lineRule="exact"/>
              <w:ind w:left="0" w:right="0"/>
              <w:jc w:val="center"/>
              <w:rPr>
                <w:rFonts w:hint="eastAsia" w:ascii="仿宋" w:hAnsi="仿宋" w:eastAsia="仿宋" w:cs="宋体"/>
                <w:b/>
                <w:color w:val="auto"/>
                <w:szCs w:val="21"/>
                <w:highlight w:val="none"/>
              </w:rPr>
            </w:pPr>
            <w:r>
              <w:rPr>
                <w:rFonts w:hint="eastAsia" w:ascii="仿宋" w:hAnsi="仿宋" w:eastAsia="仿宋" w:cs="宋体"/>
                <w:b/>
                <w:color w:val="auto"/>
                <w:szCs w:val="21"/>
                <w:highlight w:val="none"/>
              </w:rPr>
              <w:t>条款号</w:t>
            </w:r>
          </w:p>
        </w:tc>
        <w:tc>
          <w:tcPr>
            <w:tcW w:w="1205" w:type="pct"/>
            <w:tcBorders>
              <w:top w:val="single" w:color="auto" w:sz="4" w:space="0"/>
              <w:left w:val="single" w:color="auto" w:sz="4" w:space="0"/>
              <w:bottom w:val="single" w:color="auto" w:sz="4" w:space="0"/>
              <w:right w:val="single" w:color="auto" w:sz="4" w:space="0"/>
            </w:tcBorders>
            <w:noWrap w:val="0"/>
            <w:vAlign w:val="center"/>
          </w:tcPr>
          <w:p w14:paraId="5063FC11">
            <w:pPr>
              <w:keepNext w:val="0"/>
              <w:keepLines w:val="0"/>
              <w:pageBreakBefore w:val="0"/>
              <w:suppressLineNumbers w:val="0"/>
              <w:kinsoku/>
              <w:overflowPunct/>
              <w:bidi w:val="0"/>
              <w:spacing w:before="62" w:beforeLines="20" w:beforeAutospacing="0" w:after="62" w:afterLines="20" w:afterAutospacing="0" w:line="600" w:lineRule="exact"/>
              <w:ind w:left="0" w:right="0"/>
              <w:jc w:val="center"/>
              <w:rPr>
                <w:rFonts w:hint="eastAsia" w:ascii="仿宋" w:hAnsi="仿宋" w:eastAsia="仿宋" w:cs="宋体"/>
                <w:b/>
                <w:color w:val="auto"/>
                <w:szCs w:val="21"/>
                <w:highlight w:val="none"/>
              </w:rPr>
            </w:pPr>
            <w:r>
              <w:rPr>
                <w:rFonts w:hint="eastAsia" w:ascii="仿宋" w:hAnsi="仿宋" w:eastAsia="仿宋" w:cs="宋体"/>
                <w:b/>
                <w:color w:val="auto"/>
                <w:szCs w:val="21"/>
                <w:highlight w:val="none"/>
              </w:rPr>
              <w:t>条款名称</w:t>
            </w:r>
          </w:p>
        </w:tc>
        <w:tc>
          <w:tcPr>
            <w:tcW w:w="3167" w:type="pct"/>
            <w:tcBorders>
              <w:top w:val="single" w:color="auto" w:sz="4" w:space="0"/>
              <w:left w:val="single" w:color="auto" w:sz="4" w:space="0"/>
              <w:bottom w:val="single" w:color="auto" w:sz="4" w:space="0"/>
              <w:right w:val="single" w:color="auto" w:sz="4" w:space="0"/>
            </w:tcBorders>
            <w:noWrap w:val="0"/>
            <w:vAlign w:val="center"/>
          </w:tcPr>
          <w:p w14:paraId="228736C8">
            <w:pPr>
              <w:keepNext w:val="0"/>
              <w:keepLines w:val="0"/>
              <w:pageBreakBefore w:val="0"/>
              <w:suppressLineNumbers w:val="0"/>
              <w:kinsoku/>
              <w:overflowPunct/>
              <w:bidi w:val="0"/>
              <w:spacing w:before="62" w:beforeLines="20" w:beforeAutospacing="0" w:after="62" w:afterLines="20" w:afterAutospacing="0" w:line="600" w:lineRule="exact"/>
              <w:ind w:left="0" w:right="0"/>
              <w:jc w:val="center"/>
              <w:rPr>
                <w:rFonts w:hint="eastAsia" w:ascii="仿宋" w:hAnsi="仿宋" w:eastAsia="仿宋" w:cs="宋体"/>
                <w:b/>
                <w:color w:val="auto"/>
                <w:szCs w:val="21"/>
                <w:highlight w:val="none"/>
              </w:rPr>
            </w:pPr>
            <w:r>
              <w:rPr>
                <w:rFonts w:hint="eastAsia" w:ascii="仿宋" w:hAnsi="仿宋" w:eastAsia="仿宋" w:cs="宋体"/>
                <w:b/>
                <w:color w:val="auto"/>
                <w:szCs w:val="21"/>
                <w:highlight w:val="none"/>
              </w:rPr>
              <w:t>编列内容</w:t>
            </w:r>
          </w:p>
        </w:tc>
      </w:tr>
      <w:tr w14:paraId="778DDC7F">
        <w:tblPrEx>
          <w:tblCellMar>
            <w:top w:w="0" w:type="dxa"/>
            <w:left w:w="108" w:type="dxa"/>
            <w:bottom w:w="0" w:type="dxa"/>
            <w:right w:w="108" w:type="dxa"/>
          </w:tblCellMar>
        </w:tblPrEx>
        <w:trPr>
          <w:jc w:val="center"/>
        </w:trPr>
        <w:tc>
          <w:tcPr>
            <w:tcW w:w="626" w:type="pct"/>
            <w:tcBorders>
              <w:top w:val="single" w:color="auto" w:sz="4" w:space="0"/>
              <w:left w:val="single" w:color="auto" w:sz="4" w:space="0"/>
              <w:bottom w:val="single" w:color="auto" w:sz="4" w:space="0"/>
              <w:right w:val="single" w:color="auto" w:sz="4" w:space="0"/>
            </w:tcBorders>
            <w:noWrap w:val="0"/>
            <w:vAlign w:val="center"/>
          </w:tcPr>
          <w:p w14:paraId="356C6559">
            <w:pPr>
              <w:keepNext w:val="0"/>
              <w:keepLines w:val="0"/>
              <w:pageBreakBefore w:val="0"/>
              <w:suppressLineNumbers w:val="0"/>
              <w:kinsoku/>
              <w:overflowPunct/>
              <w:bidi w:val="0"/>
              <w:spacing w:before="62" w:beforeLines="20" w:beforeAutospacing="0" w:after="62" w:afterLines="20" w:afterAutospacing="0" w:line="600" w:lineRule="exact"/>
              <w:ind w:left="0" w:right="0"/>
              <w:jc w:val="center"/>
              <w:rPr>
                <w:rFonts w:hint="eastAsia" w:ascii="仿宋" w:hAnsi="仿宋" w:eastAsia="仿宋" w:cs="宋体"/>
                <w:color w:val="auto"/>
                <w:szCs w:val="21"/>
                <w:highlight w:val="none"/>
              </w:rPr>
            </w:pPr>
          </w:p>
        </w:tc>
        <w:tc>
          <w:tcPr>
            <w:tcW w:w="1205" w:type="pct"/>
            <w:tcBorders>
              <w:top w:val="single" w:color="auto" w:sz="4" w:space="0"/>
              <w:left w:val="single" w:color="auto" w:sz="4" w:space="0"/>
              <w:bottom w:val="single" w:color="auto" w:sz="4" w:space="0"/>
              <w:right w:val="single" w:color="auto" w:sz="4" w:space="0"/>
            </w:tcBorders>
            <w:noWrap w:val="0"/>
            <w:vAlign w:val="center"/>
          </w:tcPr>
          <w:p w14:paraId="783D48BC">
            <w:pPr>
              <w:keepNext w:val="0"/>
              <w:keepLines w:val="0"/>
              <w:pageBreakBefore w:val="0"/>
              <w:suppressLineNumbers w:val="0"/>
              <w:kinsoku/>
              <w:overflowPunct/>
              <w:bidi w:val="0"/>
              <w:spacing w:before="62" w:beforeLines="20" w:beforeAutospacing="0" w:after="62" w:afterLines="20" w:afterAutospacing="0" w:line="600" w:lineRule="exact"/>
              <w:ind w:left="0" w:right="0"/>
              <w:jc w:val="center"/>
              <w:rPr>
                <w:rFonts w:hint="eastAsia" w:ascii="仿宋" w:hAnsi="仿宋" w:eastAsia="仿宋" w:cs="宋体"/>
                <w:color w:val="auto"/>
                <w:szCs w:val="21"/>
                <w:highlight w:val="none"/>
              </w:rPr>
            </w:pPr>
            <w:r>
              <w:rPr>
                <w:rFonts w:hint="eastAsia" w:ascii="仿宋" w:hAnsi="仿宋" w:eastAsia="仿宋" w:cs="宋体"/>
                <w:color w:val="auto"/>
                <w:szCs w:val="21"/>
                <w:highlight w:val="none"/>
              </w:rPr>
              <w:t>资金来源及比例</w:t>
            </w:r>
          </w:p>
        </w:tc>
        <w:tc>
          <w:tcPr>
            <w:tcW w:w="3167" w:type="pct"/>
            <w:tcBorders>
              <w:top w:val="single" w:color="auto" w:sz="4" w:space="0"/>
              <w:left w:val="single" w:color="auto" w:sz="4" w:space="0"/>
              <w:bottom w:val="single" w:color="auto" w:sz="4" w:space="0"/>
              <w:right w:val="single" w:color="auto" w:sz="4" w:space="0"/>
            </w:tcBorders>
            <w:noWrap w:val="0"/>
            <w:vAlign w:val="center"/>
          </w:tcPr>
          <w:p w14:paraId="3EF2BC57">
            <w:pPr>
              <w:keepNext w:val="0"/>
              <w:keepLines w:val="0"/>
              <w:pageBreakBefore w:val="0"/>
              <w:suppressLineNumbers w:val="0"/>
              <w:kinsoku/>
              <w:overflowPunct/>
              <w:bidi w:val="0"/>
              <w:spacing w:before="62" w:beforeLines="20" w:beforeAutospacing="0" w:after="62" w:afterLines="20" w:afterAutospacing="0" w:line="600" w:lineRule="exact"/>
              <w:ind w:left="0" w:right="0"/>
              <w:rPr>
                <w:rFonts w:hint="eastAsia" w:ascii="仿宋" w:hAnsi="仿宋" w:eastAsia="仿宋" w:cs="宋体"/>
                <w:color w:val="auto"/>
                <w:szCs w:val="21"/>
                <w:highlight w:val="none"/>
              </w:rPr>
            </w:pPr>
            <w:r>
              <w:rPr>
                <w:rFonts w:hint="eastAsia" w:ascii="仿宋" w:hAnsi="仿宋" w:eastAsia="仿宋" w:cs="仿宋"/>
                <w:color w:val="auto"/>
                <w:szCs w:val="21"/>
                <w:highlight w:val="none"/>
              </w:rPr>
              <w:t>■</w:t>
            </w:r>
            <w:r>
              <w:rPr>
                <w:rFonts w:hint="eastAsia" w:ascii="仿宋" w:hAnsi="仿宋" w:eastAsia="仿宋" w:cs="宋体"/>
                <w:color w:val="auto"/>
                <w:szCs w:val="21"/>
                <w:highlight w:val="none"/>
              </w:rPr>
              <w:t>招标人或其子公司（含分支机构）自筹（比例100%）</w:t>
            </w:r>
          </w:p>
          <w:p w14:paraId="7092F4CA">
            <w:pPr>
              <w:keepNext w:val="0"/>
              <w:keepLines w:val="0"/>
              <w:pageBreakBefore w:val="0"/>
              <w:suppressLineNumbers w:val="0"/>
              <w:kinsoku/>
              <w:overflowPunct/>
              <w:bidi w:val="0"/>
              <w:spacing w:before="62" w:beforeLines="20" w:beforeAutospacing="0" w:after="62" w:afterLines="20" w:afterAutospacing="0" w:line="600" w:lineRule="exact"/>
              <w:ind w:left="0" w:right="0"/>
              <w:rPr>
                <w:rFonts w:hint="eastAsia" w:ascii="仿宋" w:hAnsi="仿宋" w:eastAsia="仿宋" w:cs="宋体"/>
                <w:color w:val="auto"/>
                <w:szCs w:val="21"/>
                <w:highlight w:val="none"/>
              </w:rPr>
            </w:pPr>
            <w:r>
              <w:rPr>
                <w:rFonts w:hint="eastAsia" w:ascii="仿宋" w:hAnsi="仿宋" w:eastAsia="仿宋" w:cs="宋体"/>
                <w:color w:val="auto"/>
                <w:szCs w:val="21"/>
                <w:highlight w:val="none"/>
              </w:rPr>
              <w:t>□使用财政资金</w:t>
            </w:r>
          </w:p>
          <w:p w14:paraId="3E5B29E4">
            <w:pPr>
              <w:keepNext w:val="0"/>
              <w:keepLines w:val="0"/>
              <w:pageBreakBefore w:val="0"/>
              <w:suppressLineNumbers w:val="0"/>
              <w:kinsoku/>
              <w:overflowPunct/>
              <w:bidi w:val="0"/>
              <w:spacing w:before="62" w:beforeLines="20" w:beforeAutospacing="0" w:after="62" w:afterLines="20" w:afterAutospacing="0" w:line="600" w:lineRule="exact"/>
              <w:ind w:left="0" w:right="0"/>
              <w:rPr>
                <w:rFonts w:hint="eastAsia" w:ascii="仿宋" w:hAnsi="仿宋" w:eastAsia="仿宋" w:cs="宋体"/>
                <w:color w:val="auto"/>
                <w:szCs w:val="21"/>
                <w:highlight w:val="none"/>
              </w:rPr>
            </w:pPr>
            <w:r>
              <w:rPr>
                <w:rFonts w:hint="eastAsia" w:ascii="仿宋" w:hAnsi="仿宋" w:eastAsia="仿宋" w:cs="宋体"/>
                <w:color w:val="auto"/>
                <w:szCs w:val="21"/>
                <w:highlight w:val="none"/>
              </w:rPr>
              <w:t>□银行贷款</w:t>
            </w:r>
          </w:p>
          <w:p w14:paraId="19FD7055">
            <w:pPr>
              <w:keepNext w:val="0"/>
              <w:keepLines w:val="0"/>
              <w:pageBreakBefore w:val="0"/>
              <w:suppressLineNumbers w:val="0"/>
              <w:kinsoku/>
              <w:overflowPunct/>
              <w:bidi w:val="0"/>
              <w:spacing w:before="62" w:beforeLines="20" w:beforeAutospacing="0" w:after="62" w:afterLines="20" w:afterAutospacing="0" w:line="600" w:lineRule="exact"/>
              <w:ind w:left="0" w:right="0"/>
              <w:rPr>
                <w:rFonts w:hint="eastAsia" w:ascii="仿宋" w:hAnsi="仿宋" w:eastAsia="仿宋" w:cs="宋体"/>
                <w:color w:val="auto"/>
                <w:szCs w:val="21"/>
                <w:highlight w:val="none"/>
              </w:rPr>
            </w:pPr>
            <w:r>
              <w:rPr>
                <w:rFonts w:hint="eastAsia" w:ascii="仿宋" w:hAnsi="仿宋" w:eastAsia="仿宋" w:cs="宋体"/>
                <w:color w:val="auto"/>
                <w:szCs w:val="21"/>
                <w:highlight w:val="none"/>
              </w:rPr>
              <w:t>□国家融资</w:t>
            </w:r>
          </w:p>
          <w:p w14:paraId="6B8FC658">
            <w:pPr>
              <w:keepNext w:val="0"/>
              <w:keepLines w:val="0"/>
              <w:pageBreakBefore w:val="0"/>
              <w:suppressLineNumbers w:val="0"/>
              <w:kinsoku/>
              <w:overflowPunct/>
              <w:bidi w:val="0"/>
              <w:spacing w:before="62" w:beforeLines="20" w:beforeAutospacing="0" w:after="62" w:afterLines="20" w:afterAutospacing="0" w:line="600" w:lineRule="exact"/>
              <w:ind w:left="0" w:right="0"/>
              <w:rPr>
                <w:rFonts w:hint="eastAsia" w:ascii="仿宋" w:hAnsi="仿宋" w:eastAsia="仿宋" w:cs="宋体"/>
                <w:color w:val="auto"/>
                <w:szCs w:val="21"/>
                <w:highlight w:val="none"/>
              </w:rPr>
            </w:pPr>
            <w:r>
              <w:rPr>
                <w:rFonts w:hint="eastAsia" w:ascii="仿宋" w:hAnsi="仿宋" w:eastAsia="仿宋" w:cs="宋体"/>
                <w:color w:val="auto"/>
                <w:szCs w:val="21"/>
                <w:highlight w:val="none"/>
              </w:rPr>
              <w:t>□其他：</w:t>
            </w:r>
            <w:r>
              <w:rPr>
                <w:rFonts w:hint="eastAsia" w:ascii="仿宋" w:hAnsi="仿宋" w:eastAsia="仿宋" w:cs="宋体"/>
                <w:color w:val="auto"/>
                <w:szCs w:val="21"/>
                <w:highlight w:val="none"/>
                <w:u w:val="single"/>
              </w:rPr>
              <w:t xml:space="preserve">       </w:t>
            </w:r>
          </w:p>
        </w:tc>
      </w:tr>
      <w:tr w14:paraId="53B005E7">
        <w:tblPrEx>
          <w:tblCellMar>
            <w:top w:w="0" w:type="dxa"/>
            <w:left w:w="108" w:type="dxa"/>
            <w:bottom w:w="0" w:type="dxa"/>
            <w:right w:w="108" w:type="dxa"/>
          </w:tblCellMar>
        </w:tblPrEx>
        <w:trPr>
          <w:trHeight w:val="274" w:hRule="atLeast"/>
          <w:jc w:val="center"/>
        </w:trPr>
        <w:tc>
          <w:tcPr>
            <w:tcW w:w="626" w:type="pct"/>
            <w:tcBorders>
              <w:top w:val="single" w:color="auto" w:sz="4" w:space="0"/>
              <w:left w:val="single" w:color="auto" w:sz="4" w:space="0"/>
              <w:bottom w:val="single" w:color="auto" w:sz="4" w:space="0"/>
              <w:right w:val="single" w:color="auto" w:sz="4" w:space="0"/>
            </w:tcBorders>
            <w:noWrap w:val="0"/>
            <w:vAlign w:val="center"/>
          </w:tcPr>
          <w:p w14:paraId="13C23359">
            <w:pPr>
              <w:keepNext w:val="0"/>
              <w:keepLines w:val="0"/>
              <w:pageBreakBefore w:val="0"/>
              <w:suppressLineNumbers w:val="0"/>
              <w:kinsoku/>
              <w:overflowPunct/>
              <w:bidi w:val="0"/>
              <w:spacing w:before="62" w:beforeLines="20" w:beforeAutospacing="0" w:after="62" w:afterLines="20" w:afterAutospacing="0" w:line="600" w:lineRule="exact"/>
              <w:ind w:left="0" w:right="0"/>
              <w:jc w:val="center"/>
              <w:rPr>
                <w:rFonts w:hint="eastAsia" w:ascii="仿宋" w:hAnsi="仿宋" w:eastAsia="仿宋" w:cs="宋体"/>
                <w:color w:val="auto"/>
                <w:szCs w:val="21"/>
                <w:highlight w:val="none"/>
              </w:rPr>
            </w:pPr>
          </w:p>
        </w:tc>
        <w:tc>
          <w:tcPr>
            <w:tcW w:w="1205" w:type="pct"/>
            <w:tcBorders>
              <w:top w:val="single" w:color="auto" w:sz="4" w:space="0"/>
              <w:left w:val="single" w:color="auto" w:sz="4" w:space="0"/>
              <w:bottom w:val="single" w:color="auto" w:sz="4" w:space="0"/>
              <w:right w:val="single" w:color="auto" w:sz="4" w:space="0"/>
            </w:tcBorders>
            <w:noWrap w:val="0"/>
            <w:vAlign w:val="center"/>
          </w:tcPr>
          <w:p w14:paraId="75B19B54">
            <w:pPr>
              <w:keepNext w:val="0"/>
              <w:keepLines w:val="0"/>
              <w:pageBreakBefore w:val="0"/>
              <w:suppressLineNumbers w:val="0"/>
              <w:kinsoku/>
              <w:overflowPunct/>
              <w:bidi w:val="0"/>
              <w:spacing w:before="62" w:beforeLines="20" w:beforeAutospacing="0" w:after="62" w:afterLines="20" w:afterAutospacing="0" w:line="600" w:lineRule="exact"/>
              <w:ind w:left="0" w:right="0"/>
              <w:jc w:val="center"/>
              <w:rPr>
                <w:rFonts w:hint="eastAsia" w:ascii="仿宋" w:hAnsi="仿宋" w:eastAsia="仿宋" w:cs="宋体"/>
                <w:color w:val="auto"/>
                <w:szCs w:val="21"/>
                <w:highlight w:val="none"/>
              </w:rPr>
            </w:pPr>
            <w:r>
              <w:rPr>
                <w:rFonts w:hint="eastAsia" w:ascii="仿宋" w:hAnsi="仿宋" w:eastAsia="仿宋" w:cs="宋体"/>
                <w:color w:val="auto"/>
                <w:szCs w:val="21"/>
                <w:highlight w:val="none"/>
              </w:rPr>
              <w:t>招标方式</w:t>
            </w:r>
          </w:p>
        </w:tc>
        <w:tc>
          <w:tcPr>
            <w:tcW w:w="3167" w:type="pct"/>
            <w:tcBorders>
              <w:top w:val="single" w:color="auto" w:sz="4" w:space="0"/>
              <w:left w:val="single" w:color="auto" w:sz="4" w:space="0"/>
              <w:bottom w:val="single" w:color="auto" w:sz="4" w:space="0"/>
              <w:right w:val="single" w:color="auto" w:sz="4" w:space="0"/>
            </w:tcBorders>
            <w:noWrap w:val="0"/>
            <w:vAlign w:val="center"/>
          </w:tcPr>
          <w:p w14:paraId="5874DE4C">
            <w:pPr>
              <w:keepNext w:val="0"/>
              <w:keepLines w:val="0"/>
              <w:pageBreakBefore w:val="0"/>
              <w:suppressLineNumbers w:val="0"/>
              <w:kinsoku/>
              <w:overflowPunct/>
              <w:bidi w:val="0"/>
              <w:spacing w:before="62" w:beforeLines="20" w:beforeAutospacing="0" w:after="62" w:afterLines="20" w:afterAutospacing="0" w:line="600" w:lineRule="exact"/>
              <w:ind w:left="0" w:right="0"/>
              <w:textAlignment w:val="baseline"/>
              <w:rPr>
                <w:rFonts w:hint="eastAsia" w:ascii="仿宋" w:hAnsi="仿宋" w:eastAsia="仿宋" w:cs="宋体"/>
                <w:color w:val="auto"/>
                <w:szCs w:val="21"/>
                <w:highlight w:val="none"/>
              </w:rPr>
            </w:pPr>
            <w:r>
              <w:rPr>
                <w:rFonts w:hint="eastAsia" w:ascii="仿宋" w:hAnsi="仿宋" w:eastAsia="仿宋" w:cs="仿宋"/>
                <w:color w:val="auto"/>
                <w:szCs w:val="21"/>
                <w:highlight w:val="none"/>
              </w:rPr>
              <w:t>■</w:t>
            </w:r>
            <w:r>
              <w:rPr>
                <w:rFonts w:hint="eastAsia" w:ascii="仿宋" w:hAnsi="仿宋" w:eastAsia="仿宋" w:cs="宋体"/>
                <w:color w:val="auto"/>
                <w:szCs w:val="21"/>
                <w:highlight w:val="none"/>
              </w:rPr>
              <w:t>公开招标</w:t>
            </w:r>
          </w:p>
          <w:p w14:paraId="055E78DF">
            <w:pPr>
              <w:keepNext w:val="0"/>
              <w:keepLines w:val="0"/>
              <w:pageBreakBefore w:val="0"/>
              <w:suppressLineNumbers w:val="0"/>
              <w:kinsoku/>
              <w:overflowPunct/>
              <w:bidi w:val="0"/>
              <w:spacing w:before="62" w:beforeLines="20" w:beforeAutospacing="0" w:after="62" w:afterLines="20" w:afterAutospacing="0" w:line="600" w:lineRule="exact"/>
              <w:ind w:left="0" w:right="0"/>
              <w:textAlignment w:val="baseline"/>
              <w:rPr>
                <w:rFonts w:hint="eastAsia" w:ascii="仿宋" w:hAnsi="仿宋" w:eastAsia="仿宋" w:cs="宋体"/>
                <w:color w:val="auto"/>
                <w:szCs w:val="21"/>
                <w:highlight w:val="none"/>
              </w:rPr>
            </w:pPr>
            <w:r>
              <w:rPr>
                <w:rFonts w:hint="eastAsia" w:ascii="仿宋" w:hAnsi="仿宋" w:eastAsia="仿宋" w:cs="宋体"/>
                <w:color w:val="auto"/>
                <w:szCs w:val="21"/>
                <w:highlight w:val="none"/>
              </w:rPr>
              <w:t>□邀请招标</w:t>
            </w:r>
          </w:p>
        </w:tc>
      </w:tr>
      <w:tr w14:paraId="7A49D553">
        <w:tblPrEx>
          <w:tblCellMar>
            <w:top w:w="0" w:type="dxa"/>
            <w:left w:w="108" w:type="dxa"/>
            <w:bottom w:w="0" w:type="dxa"/>
            <w:right w:w="108" w:type="dxa"/>
          </w:tblCellMar>
        </w:tblPrEx>
        <w:trPr>
          <w:trHeight w:val="425" w:hRule="atLeast"/>
          <w:jc w:val="center"/>
        </w:trPr>
        <w:tc>
          <w:tcPr>
            <w:tcW w:w="626" w:type="pct"/>
            <w:tcBorders>
              <w:top w:val="single" w:color="auto" w:sz="4" w:space="0"/>
              <w:left w:val="single" w:color="auto" w:sz="4" w:space="0"/>
              <w:bottom w:val="single" w:color="auto" w:sz="4" w:space="0"/>
              <w:right w:val="single" w:color="auto" w:sz="4" w:space="0"/>
            </w:tcBorders>
            <w:noWrap w:val="0"/>
            <w:vAlign w:val="center"/>
          </w:tcPr>
          <w:p w14:paraId="4D097AFF">
            <w:pPr>
              <w:pStyle w:val="114"/>
              <w:keepNext w:val="0"/>
              <w:keepLines w:val="0"/>
              <w:pageBreakBefore w:val="0"/>
              <w:suppressLineNumbers w:val="0"/>
              <w:kinsoku/>
              <w:overflowPunct/>
              <w:bidi w:val="0"/>
              <w:spacing w:before="62" w:beforeLines="20" w:beforeAutospacing="0" w:after="62" w:afterLines="20" w:afterAutospacing="0" w:line="600" w:lineRule="exact"/>
              <w:ind w:left="0" w:right="0"/>
              <w:jc w:val="center"/>
              <w:rPr>
                <w:rFonts w:hint="eastAsia" w:ascii="仿宋" w:hAnsi="仿宋" w:eastAsia="仿宋" w:cs="宋体"/>
                <w:color w:val="auto"/>
                <w:szCs w:val="21"/>
                <w:highlight w:val="none"/>
              </w:rPr>
            </w:pPr>
          </w:p>
        </w:tc>
        <w:tc>
          <w:tcPr>
            <w:tcW w:w="1205" w:type="pct"/>
            <w:tcBorders>
              <w:top w:val="single" w:color="auto" w:sz="4" w:space="0"/>
              <w:left w:val="single" w:color="auto" w:sz="4" w:space="0"/>
              <w:bottom w:val="single" w:color="auto" w:sz="4" w:space="0"/>
              <w:right w:val="single" w:color="auto" w:sz="4" w:space="0"/>
            </w:tcBorders>
            <w:noWrap w:val="0"/>
            <w:vAlign w:val="center"/>
          </w:tcPr>
          <w:p w14:paraId="07D05131">
            <w:pPr>
              <w:keepNext w:val="0"/>
              <w:keepLines w:val="0"/>
              <w:pageBreakBefore w:val="0"/>
              <w:suppressLineNumbers w:val="0"/>
              <w:kinsoku/>
              <w:overflowPunct/>
              <w:bidi w:val="0"/>
              <w:spacing w:before="62" w:beforeLines="20" w:beforeAutospacing="0" w:after="62" w:afterLines="20" w:afterAutospacing="0" w:line="600" w:lineRule="exact"/>
              <w:ind w:left="0" w:right="0"/>
              <w:jc w:val="center"/>
              <w:rPr>
                <w:rFonts w:hint="eastAsia" w:ascii="仿宋" w:hAnsi="仿宋" w:eastAsia="仿宋" w:cs="宋体"/>
                <w:color w:val="auto"/>
                <w:szCs w:val="21"/>
                <w:highlight w:val="none"/>
              </w:rPr>
            </w:pPr>
            <w:r>
              <w:rPr>
                <w:rFonts w:hint="eastAsia" w:ascii="仿宋" w:hAnsi="仿宋" w:eastAsia="仿宋" w:cs="宋体"/>
                <w:color w:val="auto"/>
                <w:szCs w:val="21"/>
                <w:highlight w:val="none"/>
              </w:rPr>
              <w:t>招标组织形式</w:t>
            </w:r>
          </w:p>
        </w:tc>
        <w:tc>
          <w:tcPr>
            <w:tcW w:w="3167" w:type="pct"/>
            <w:tcBorders>
              <w:top w:val="single" w:color="auto" w:sz="4" w:space="0"/>
              <w:left w:val="single" w:color="auto" w:sz="4" w:space="0"/>
              <w:bottom w:val="single" w:color="auto" w:sz="4" w:space="0"/>
              <w:right w:val="single" w:color="auto" w:sz="4" w:space="0"/>
            </w:tcBorders>
            <w:noWrap w:val="0"/>
            <w:vAlign w:val="center"/>
          </w:tcPr>
          <w:p w14:paraId="7DCCAD9F">
            <w:pPr>
              <w:pStyle w:val="118"/>
              <w:keepNext w:val="0"/>
              <w:keepLines w:val="0"/>
              <w:pageBreakBefore w:val="0"/>
              <w:suppressLineNumbers w:val="0"/>
              <w:kinsoku/>
              <w:overflowPunct/>
              <w:topLinePunct/>
              <w:bidi w:val="0"/>
              <w:spacing w:before="62" w:beforeLines="20" w:beforeAutospacing="0" w:after="62" w:afterLines="20" w:afterAutospacing="0" w:line="600" w:lineRule="exact"/>
              <w:ind w:left="0" w:right="0"/>
              <w:rPr>
                <w:rFonts w:hint="eastAsia" w:ascii="仿宋" w:hAnsi="仿宋" w:eastAsia="仿宋" w:cs="宋体"/>
                <w:color w:val="auto"/>
                <w:sz w:val="21"/>
                <w:szCs w:val="21"/>
                <w:highlight w:val="none"/>
              </w:rPr>
            </w:pPr>
            <w:r>
              <w:rPr>
                <w:rFonts w:hint="eastAsia" w:ascii="仿宋" w:hAnsi="仿宋" w:eastAsia="仿宋" w:cs="宋体"/>
                <w:color w:val="auto"/>
                <w:sz w:val="21"/>
                <w:szCs w:val="21"/>
                <w:highlight w:val="none"/>
              </w:rPr>
              <w:t>□自行招标</w:t>
            </w:r>
          </w:p>
          <w:p w14:paraId="7426FF4A">
            <w:pPr>
              <w:pStyle w:val="118"/>
              <w:keepNext w:val="0"/>
              <w:keepLines w:val="0"/>
              <w:pageBreakBefore w:val="0"/>
              <w:suppressLineNumbers w:val="0"/>
              <w:kinsoku/>
              <w:overflowPunct/>
              <w:topLinePunct/>
              <w:bidi w:val="0"/>
              <w:spacing w:before="62" w:beforeLines="20" w:beforeAutospacing="0" w:after="62" w:afterLines="20" w:afterAutospacing="0" w:line="600" w:lineRule="exact"/>
              <w:ind w:left="0" w:right="0"/>
              <w:rPr>
                <w:rFonts w:hint="eastAsia" w:ascii="仿宋" w:hAnsi="仿宋" w:eastAsia="仿宋" w:cs="宋体"/>
                <w:color w:val="auto"/>
                <w:sz w:val="21"/>
                <w:szCs w:val="21"/>
                <w:highlight w:val="none"/>
              </w:rPr>
            </w:pPr>
            <w:r>
              <w:rPr>
                <w:rFonts w:hint="eastAsia" w:ascii="仿宋" w:hAnsi="仿宋" w:eastAsia="仿宋" w:cs="仿宋"/>
                <w:color w:val="auto"/>
                <w:szCs w:val="21"/>
                <w:highlight w:val="none"/>
              </w:rPr>
              <w:t>■</w:t>
            </w:r>
            <w:r>
              <w:rPr>
                <w:rFonts w:hint="eastAsia" w:ascii="仿宋" w:hAnsi="仿宋" w:eastAsia="仿宋" w:cs="宋体"/>
                <w:color w:val="auto"/>
                <w:sz w:val="21"/>
                <w:szCs w:val="21"/>
                <w:highlight w:val="none"/>
              </w:rPr>
              <w:t xml:space="preserve">委托招标代理机构代理招标 </w:t>
            </w:r>
          </w:p>
          <w:p w14:paraId="32C19498">
            <w:pPr>
              <w:pStyle w:val="118"/>
              <w:keepNext w:val="0"/>
              <w:keepLines w:val="0"/>
              <w:pageBreakBefore w:val="0"/>
              <w:suppressLineNumbers w:val="0"/>
              <w:kinsoku/>
              <w:overflowPunct/>
              <w:topLinePunct/>
              <w:bidi w:val="0"/>
              <w:spacing w:before="62" w:beforeLines="20" w:beforeAutospacing="0" w:after="62" w:afterLines="20" w:afterAutospacing="0" w:line="600" w:lineRule="exact"/>
              <w:ind w:left="0" w:right="0"/>
              <w:rPr>
                <w:rFonts w:hint="eastAsia" w:hAnsi="Times New Roman" w:cs="Times New Roman"/>
                <w:color w:val="auto"/>
                <w:szCs w:val="20"/>
                <w:highlight w:val="none"/>
              </w:rPr>
            </w:pPr>
            <w:r>
              <w:rPr>
                <w:rFonts w:hint="eastAsia" w:ascii="仿宋" w:hAnsi="仿宋" w:eastAsia="仿宋" w:cs="宋体"/>
                <w:color w:val="auto"/>
                <w:sz w:val="21"/>
                <w:szCs w:val="21"/>
                <w:highlight w:val="none"/>
              </w:rPr>
              <w:t>招标代理机构名称：新疆谊诚工程项目管理咨询有限公司 </w:t>
            </w:r>
          </w:p>
        </w:tc>
      </w:tr>
      <w:tr w14:paraId="60C18111">
        <w:tblPrEx>
          <w:tblCellMar>
            <w:top w:w="0" w:type="dxa"/>
            <w:left w:w="108" w:type="dxa"/>
            <w:bottom w:w="0" w:type="dxa"/>
            <w:right w:w="108" w:type="dxa"/>
          </w:tblCellMar>
        </w:tblPrEx>
        <w:trPr>
          <w:trHeight w:val="646" w:hRule="atLeast"/>
          <w:jc w:val="center"/>
        </w:trPr>
        <w:tc>
          <w:tcPr>
            <w:tcW w:w="626" w:type="pct"/>
            <w:tcBorders>
              <w:top w:val="single" w:color="auto" w:sz="4" w:space="0"/>
              <w:left w:val="single" w:color="auto" w:sz="4" w:space="0"/>
              <w:bottom w:val="single" w:color="auto" w:sz="4" w:space="0"/>
              <w:right w:val="single" w:color="auto" w:sz="4" w:space="0"/>
            </w:tcBorders>
            <w:noWrap w:val="0"/>
            <w:vAlign w:val="center"/>
          </w:tcPr>
          <w:p w14:paraId="03527518">
            <w:pPr>
              <w:pStyle w:val="114"/>
              <w:keepNext w:val="0"/>
              <w:keepLines w:val="0"/>
              <w:pageBreakBefore w:val="0"/>
              <w:suppressLineNumbers w:val="0"/>
              <w:kinsoku/>
              <w:overflowPunct/>
              <w:bidi w:val="0"/>
              <w:spacing w:before="62" w:beforeLines="20" w:beforeAutospacing="0" w:after="62" w:afterLines="20" w:afterAutospacing="0" w:line="600" w:lineRule="exact"/>
              <w:ind w:left="0" w:right="0"/>
              <w:jc w:val="center"/>
              <w:rPr>
                <w:rFonts w:hint="eastAsia" w:ascii="仿宋" w:hAnsi="仿宋" w:eastAsia="仿宋" w:cs="宋体"/>
                <w:color w:val="auto"/>
                <w:szCs w:val="21"/>
                <w:highlight w:val="none"/>
              </w:rPr>
            </w:pPr>
          </w:p>
        </w:tc>
        <w:tc>
          <w:tcPr>
            <w:tcW w:w="1205" w:type="pct"/>
            <w:tcBorders>
              <w:top w:val="single" w:color="auto" w:sz="4" w:space="0"/>
              <w:left w:val="single" w:color="auto" w:sz="4" w:space="0"/>
              <w:bottom w:val="single" w:color="auto" w:sz="4" w:space="0"/>
              <w:right w:val="single" w:color="auto" w:sz="4" w:space="0"/>
            </w:tcBorders>
            <w:noWrap w:val="0"/>
            <w:vAlign w:val="center"/>
          </w:tcPr>
          <w:p w14:paraId="2F1F6064">
            <w:pPr>
              <w:keepNext w:val="0"/>
              <w:keepLines w:val="0"/>
              <w:pageBreakBefore w:val="0"/>
              <w:suppressLineNumbers w:val="0"/>
              <w:kinsoku/>
              <w:overflowPunct/>
              <w:bidi w:val="0"/>
              <w:spacing w:before="62" w:beforeLines="20" w:beforeAutospacing="0" w:after="62" w:afterLines="20" w:afterAutospacing="0" w:line="600" w:lineRule="exact"/>
              <w:ind w:left="0" w:right="0"/>
              <w:jc w:val="center"/>
              <w:rPr>
                <w:rFonts w:hint="eastAsia" w:ascii="仿宋" w:hAnsi="仿宋" w:eastAsia="仿宋" w:cs="宋体"/>
                <w:color w:val="auto"/>
                <w:szCs w:val="21"/>
                <w:highlight w:val="none"/>
              </w:rPr>
            </w:pPr>
            <w:r>
              <w:rPr>
                <w:rFonts w:hint="eastAsia" w:ascii="仿宋" w:hAnsi="仿宋" w:eastAsia="仿宋" w:cs="宋体"/>
                <w:color w:val="auto"/>
                <w:szCs w:val="21"/>
                <w:highlight w:val="none"/>
              </w:rPr>
              <w:t>资格审查方式</w:t>
            </w:r>
          </w:p>
        </w:tc>
        <w:tc>
          <w:tcPr>
            <w:tcW w:w="3167" w:type="pct"/>
            <w:tcBorders>
              <w:top w:val="single" w:color="auto" w:sz="4" w:space="0"/>
              <w:left w:val="single" w:color="auto" w:sz="4" w:space="0"/>
              <w:bottom w:val="single" w:color="auto" w:sz="4" w:space="0"/>
              <w:right w:val="single" w:color="auto" w:sz="4" w:space="0"/>
            </w:tcBorders>
            <w:noWrap w:val="0"/>
            <w:vAlign w:val="center"/>
          </w:tcPr>
          <w:p w14:paraId="655A1D1D">
            <w:pPr>
              <w:pStyle w:val="118"/>
              <w:keepNext w:val="0"/>
              <w:keepLines w:val="0"/>
              <w:pageBreakBefore w:val="0"/>
              <w:suppressLineNumbers w:val="0"/>
              <w:kinsoku/>
              <w:overflowPunct/>
              <w:topLinePunct/>
              <w:bidi w:val="0"/>
              <w:spacing w:before="62" w:beforeLines="20" w:beforeAutospacing="0" w:after="62" w:afterLines="20" w:afterAutospacing="0" w:line="600" w:lineRule="exact"/>
              <w:ind w:left="0" w:right="0"/>
              <w:rPr>
                <w:rFonts w:hint="eastAsia" w:ascii="仿宋" w:hAnsi="仿宋" w:eastAsia="仿宋" w:cs="宋体"/>
                <w:color w:val="auto"/>
                <w:sz w:val="21"/>
                <w:szCs w:val="21"/>
                <w:highlight w:val="none"/>
              </w:rPr>
            </w:pPr>
            <w:r>
              <w:rPr>
                <w:rFonts w:hint="eastAsia" w:ascii="仿宋" w:hAnsi="仿宋" w:eastAsia="仿宋" w:cs="宋体"/>
                <w:color w:val="auto"/>
                <w:sz w:val="21"/>
                <w:szCs w:val="21"/>
                <w:highlight w:val="none"/>
              </w:rPr>
              <w:t>□资格预审</w:t>
            </w:r>
          </w:p>
          <w:p w14:paraId="58CA1C43">
            <w:pPr>
              <w:pStyle w:val="118"/>
              <w:keepNext w:val="0"/>
              <w:keepLines w:val="0"/>
              <w:pageBreakBefore w:val="0"/>
              <w:suppressLineNumbers w:val="0"/>
              <w:kinsoku/>
              <w:overflowPunct/>
              <w:topLinePunct/>
              <w:bidi w:val="0"/>
              <w:spacing w:before="62" w:beforeLines="20" w:beforeAutospacing="0" w:after="62" w:afterLines="20" w:afterAutospacing="0" w:line="600" w:lineRule="exact"/>
              <w:ind w:left="0" w:right="0"/>
              <w:rPr>
                <w:rFonts w:hint="eastAsia" w:ascii="仿宋" w:hAnsi="仿宋" w:eastAsia="仿宋" w:cs="宋体"/>
                <w:color w:val="auto"/>
                <w:sz w:val="21"/>
                <w:szCs w:val="21"/>
                <w:highlight w:val="none"/>
              </w:rPr>
            </w:pPr>
            <w:r>
              <w:rPr>
                <w:rFonts w:hint="eastAsia" w:ascii="仿宋" w:hAnsi="仿宋" w:eastAsia="仿宋" w:cs="仿宋"/>
                <w:color w:val="auto"/>
                <w:szCs w:val="21"/>
                <w:highlight w:val="none"/>
              </w:rPr>
              <w:t>■</w:t>
            </w:r>
            <w:r>
              <w:rPr>
                <w:rFonts w:hint="eastAsia" w:ascii="仿宋" w:hAnsi="仿宋" w:eastAsia="仿宋" w:cs="宋体"/>
                <w:color w:val="auto"/>
                <w:sz w:val="21"/>
                <w:szCs w:val="21"/>
                <w:highlight w:val="none"/>
              </w:rPr>
              <w:t>资格后审</w:t>
            </w:r>
          </w:p>
        </w:tc>
      </w:tr>
      <w:tr w14:paraId="3B2B476E">
        <w:tblPrEx>
          <w:tblCellMar>
            <w:top w:w="0" w:type="dxa"/>
            <w:left w:w="108" w:type="dxa"/>
            <w:bottom w:w="0" w:type="dxa"/>
            <w:right w:w="108" w:type="dxa"/>
          </w:tblCellMar>
        </w:tblPrEx>
        <w:trPr>
          <w:trHeight w:val="646" w:hRule="atLeast"/>
          <w:jc w:val="center"/>
        </w:trPr>
        <w:tc>
          <w:tcPr>
            <w:tcW w:w="626" w:type="pct"/>
            <w:tcBorders>
              <w:top w:val="single" w:color="auto" w:sz="4" w:space="0"/>
              <w:left w:val="single" w:color="auto" w:sz="4" w:space="0"/>
              <w:bottom w:val="single" w:color="auto" w:sz="4" w:space="0"/>
              <w:right w:val="single" w:color="auto" w:sz="4" w:space="0"/>
            </w:tcBorders>
            <w:noWrap w:val="0"/>
            <w:vAlign w:val="center"/>
          </w:tcPr>
          <w:p w14:paraId="2C504F2A">
            <w:pPr>
              <w:pStyle w:val="114"/>
              <w:keepNext w:val="0"/>
              <w:keepLines w:val="0"/>
              <w:pageBreakBefore w:val="0"/>
              <w:suppressLineNumbers w:val="0"/>
              <w:kinsoku/>
              <w:overflowPunct/>
              <w:bidi w:val="0"/>
              <w:spacing w:before="62" w:beforeLines="20" w:beforeAutospacing="0" w:after="62" w:afterLines="20" w:afterAutospacing="0" w:line="600" w:lineRule="exact"/>
              <w:ind w:left="0" w:right="0"/>
              <w:jc w:val="center"/>
              <w:rPr>
                <w:rFonts w:hint="eastAsia" w:ascii="仿宋" w:hAnsi="仿宋" w:eastAsia="仿宋" w:cs="宋体"/>
                <w:color w:val="auto"/>
                <w:szCs w:val="21"/>
                <w:highlight w:val="none"/>
              </w:rPr>
            </w:pPr>
          </w:p>
        </w:tc>
        <w:tc>
          <w:tcPr>
            <w:tcW w:w="1205" w:type="pct"/>
            <w:tcBorders>
              <w:top w:val="single" w:color="auto" w:sz="4" w:space="0"/>
              <w:left w:val="single" w:color="auto" w:sz="4" w:space="0"/>
              <w:bottom w:val="single" w:color="auto" w:sz="4" w:space="0"/>
              <w:right w:val="single" w:color="auto" w:sz="4" w:space="0"/>
            </w:tcBorders>
            <w:noWrap w:val="0"/>
            <w:vAlign w:val="center"/>
          </w:tcPr>
          <w:p w14:paraId="3F9F4C71">
            <w:pPr>
              <w:keepNext w:val="0"/>
              <w:keepLines w:val="0"/>
              <w:pageBreakBefore w:val="0"/>
              <w:suppressLineNumbers w:val="0"/>
              <w:kinsoku/>
              <w:overflowPunct/>
              <w:bidi w:val="0"/>
              <w:spacing w:before="62" w:beforeLines="20" w:beforeAutospacing="0" w:after="62" w:afterLines="20" w:afterAutospacing="0" w:line="600" w:lineRule="exact"/>
              <w:ind w:left="0" w:right="0"/>
              <w:jc w:val="center"/>
              <w:rPr>
                <w:rFonts w:hint="eastAsia" w:ascii="仿宋" w:hAnsi="仿宋" w:eastAsia="仿宋" w:cs="宋体"/>
                <w:color w:val="auto"/>
                <w:szCs w:val="21"/>
                <w:highlight w:val="none"/>
              </w:rPr>
            </w:pPr>
            <w:r>
              <w:rPr>
                <w:rFonts w:hint="eastAsia" w:ascii="仿宋" w:hAnsi="仿宋" w:eastAsia="仿宋" w:cs="宋体"/>
                <w:color w:val="auto"/>
                <w:kern w:val="0"/>
                <w:szCs w:val="21"/>
                <w:highlight w:val="none"/>
              </w:rPr>
              <w:t>招标文件的组成</w:t>
            </w:r>
          </w:p>
        </w:tc>
        <w:tc>
          <w:tcPr>
            <w:tcW w:w="3167" w:type="pct"/>
            <w:tcBorders>
              <w:top w:val="single" w:color="auto" w:sz="4" w:space="0"/>
              <w:left w:val="single" w:color="auto" w:sz="4" w:space="0"/>
              <w:bottom w:val="single" w:color="auto" w:sz="4" w:space="0"/>
              <w:right w:val="single" w:color="auto" w:sz="4" w:space="0"/>
            </w:tcBorders>
            <w:noWrap w:val="0"/>
            <w:vAlign w:val="center"/>
          </w:tcPr>
          <w:p w14:paraId="64C8D7A0">
            <w:pPr>
              <w:keepNext w:val="0"/>
              <w:keepLines w:val="0"/>
              <w:pageBreakBefore w:val="0"/>
              <w:widowControl/>
              <w:suppressLineNumbers w:val="0"/>
              <w:kinsoku/>
              <w:overflowPunct/>
              <w:topLinePunct/>
              <w:bidi w:val="0"/>
              <w:spacing w:before="0" w:beforeAutospacing="0" w:after="0" w:afterAutospacing="0" w:line="600" w:lineRule="exact"/>
              <w:ind w:left="0" w:right="0"/>
              <w:rPr>
                <w:rFonts w:hint="eastAsia" w:ascii="仿宋" w:hAnsi="仿宋" w:eastAsia="仿宋" w:cs="宋体"/>
                <w:color w:val="auto"/>
                <w:kern w:val="0"/>
                <w:szCs w:val="21"/>
                <w:highlight w:val="none"/>
              </w:rPr>
            </w:pPr>
            <w:r>
              <w:rPr>
                <w:rFonts w:hint="eastAsia" w:ascii="仿宋" w:hAnsi="仿宋" w:eastAsia="仿宋" w:cs="宋体"/>
                <w:color w:val="auto"/>
                <w:kern w:val="0"/>
                <w:szCs w:val="21"/>
                <w:highlight w:val="none"/>
              </w:rPr>
              <w:t>本招标文件由以下部分组成：</w:t>
            </w:r>
          </w:p>
          <w:p w14:paraId="197D3184">
            <w:pPr>
              <w:keepNext w:val="0"/>
              <w:keepLines w:val="0"/>
              <w:pageBreakBefore w:val="0"/>
              <w:widowControl/>
              <w:suppressLineNumbers w:val="0"/>
              <w:kinsoku/>
              <w:overflowPunct/>
              <w:topLinePunct/>
              <w:bidi w:val="0"/>
              <w:spacing w:before="0" w:beforeAutospacing="0" w:after="0" w:afterAutospacing="0" w:line="600" w:lineRule="exact"/>
              <w:ind w:left="0" w:right="0"/>
              <w:rPr>
                <w:rFonts w:hint="eastAsia" w:ascii="仿宋" w:hAnsi="仿宋" w:eastAsia="仿宋" w:cs="宋体"/>
                <w:color w:val="auto"/>
                <w:kern w:val="0"/>
                <w:szCs w:val="21"/>
                <w:highlight w:val="none"/>
              </w:rPr>
            </w:pPr>
            <w:r>
              <w:rPr>
                <w:rFonts w:hint="eastAsia" w:ascii="仿宋" w:hAnsi="仿宋" w:eastAsia="仿宋" w:cs="宋体"/>
                <w:color w:val="auto"/>
                <w:kern w:val="0"/>
                <w:szCs w:val="21"/>
                <w:highlight w:val="none"/>
              </w:rPr>
              <w:t>第一章  招标公告</w:t>
            </w:r>
          </w:p>
          <w:p w14:paraId="5AAD9D74">
            <w:pPr>
              <w:keepNext w:val="0"/>
              <w:keepLines w:val="0"/>
              <w:pageBreakBefore w:val="0"/>
              <w:widowControl/>
              <w:suppressLineNumbers w:val="0"/>
              <w:kinsoku/>
              <w:overflowPunct/>
              <w:topLinePunct/>
              <w:bidi w:val="0"/>
              <w:spacing w:before="0" w:beforeAutospacing="0" w:after="0" w:afterAutospacing="0" w:line="600" w:lineRule="exact"/>
              <w:ind w:left="0" w:right="0"/>
              <w:rPr>
                <w:rFonts w:hint="eastAsia" w:ascii="仿宋" w:hAnsi="仿宋" w:eastAsia="仿宋" w:cs="宋体"/>
                <w:color w:val="auto"/>
                <w:kern w:val="0"/>
                <w:szCs w:val="21"/>
                <w:highlight w:val="none"/>
              </w:rPr>
            </w:pPr>
            <w:r>
              <w:rPr>
                <w:rFonts w:hint="eastAsia" w:ascii="仿宋" w:hAnsi="仿宋" w:eastAsia="仿宋" w:cs="宋体"/>
                <w:color w:val="auto"/>
                <w:kern w:val="0"/>
                <w:szCs w:val="21"/>
                <w:highlight w:val="none"/>
              </w:rPr>
              <w:t>第二章  投标人须知</w:t>
            </w:r>
          </w:p>
          <w:p w14:paraId="7D2B9B9F">
            <w:pPr>
              <w:keepNext w:val="0"/>
              <w:keepLines w:val="0"/>
              <w:pageBreakBefore w:val="0"/>
              <w:widowControl/>
              <w:suppressLineNumbers w:val="0"/>
              <w:kinsoku/>
              <w:overflowPunct/>
              <w:topLinePunct/>
              <w:bidi w:val="0"/>
              <w:spacing w:before="0" w:beforeAutospacing="0" w:after="0" w:afterAutospacing="0" w:line="600" w:lineRule="exact"/>
              <w:ind w:left="0" w:right="0"/>
              <w:rPr>
                <w:rFonts w:hint="eastAsia" w:ascii="仿宋" w:hAnsi="仿宋" w:eastAsia="仿宋" w:cs="宋体"/>
                <w:color w:val="auto"/>
                <w:kern w:val="0"/>
                <w:szCs w:val="21"/>
                <w:highlight w:val="none"/>
              </w:rPr>
            </w:pPr>
            <w:r>
              <w:rPr>
                <w:rFonts w:hint="eastAsia" w:ascii="仿宋" w:hAnsi="仿宋" w:eastAsia="仿宋" w:cs="宋体"/>
                <w:color w:val="auto"/>
                <w:kern w:val="0"/>
                <w:szCs w:val="21"/>
                <w:highlight w:val="none"/>
              </w:rPr>
              <w:t>第三章  评标办法</w:t>
            </w:r>
          </w:p>
          <w:p w14:paraId="2A405736">
            <w:pPr>
              <w:keepNext w:val="0"/>
              <w:keepLines w:val="0"/>
              <w:pageBreakBefore w:val="0"/>
              <w:widowControl/>
              <w:suppressLineNumbers w:val="0"/>
              <w:kinsoku/>
              <w:overflowPunct/>
              <w:topLinePunct/>
              <w:bidi w:val="0"/>
              <w:spacing w:before="0" w:beforeAutospacing="0" w:after="0" w:afterAutospacing="0" w:line="600" w:lineRule="exact"/>
              <w:ind w:left="0" w:right="0"/>
              <w:rPr>
                <w:rFonts w:hint="eastAsia" w:ascii="仿宋" w:hAnsi="仿宋" w:eastAsia="仿宋" w:cs="宋体"/>
                <w:color w:val="auto"/>
                <w:kern w:val="0"/>
                <w:szCs w:val="21"/>
                <w:highlight w:val="none"/>
              </w:rPr>
            </w:pPr>
            <w:r>
              <w:rPr>
                <w:rFonts w:hint="eastAsia" w:ascii="仿宋" w:hAnsi="仿宋" w:eastAsia="仿宋" w:cs="宋体"/>
                <w:color w:val="auto"/>
                <w:kern w:val="0"/>
                <w:szCs w:val="21"/>
                <w:highlight w:val="none"/>
              </w:rPr>
              <w:t>第四章  合同条款</w:t>
            </w:r>
          </w:p>
          <w:p w14:paraId="20D6FB7F">
            <w:pPr>
              <w:keepNext w:val="0"/>
              <w:keepLines w:val="0"/>
              <w:pageBreakBefore w:val="0"/>
              <w:widowControl/>
              <w:suppressLineNumbers w:val="0"/>
              <w:kinsoku/>
              <w:overflowPunct/>
              <w:topLinePunct/>
              <w:bidi w:val="0"/>
              <w:spacing w:before="0" w:beforeAutospacing="0" w:after="0" w:afterAutospacing="0" w:line="600" w:lineRule="exact"/>
              <w:ind w:left="0" w:right="0"/>
              <w:rPr>
                <w:rFonts w:hint="eastAsia" w:ascii="仿宋" w:hAnsi="仿宋" w:eastAsia="仿宋" w:cs="宋体"/>
                <w:color w:val="auto"/>
                <w:kern w:val="0"/>
                <w:szCs w:val="21"/>
                <w:highlight w:val="none"/>
              </w:rPr>
            </w:pPr>
            <w:r>
              <w:rPr>
                <w:rFonts w:hint="eastAsia" w:ascii="仿宋" w:hAnsi="仿宋" w:eastAsia="仿宋" w:cs="宋体"/>
                <w:color w:val="auto"/>
                <w:kern w:val="0"/>
                <w:szCs w:val="21"/>
                <w:highlight w:val="none"/>
              </w:rPr>
              <w:t>第五章  技术规范书</w:t>
            </w:r>
          </w:p>
          <w:p w14:paraId="3F72D952">
            <w:pPr>
              <w:pStyle w:val="118"/>
              <w:keepNext w:val="0"/>
              <w:keepLines w:val="0"/>
              <w:pageBreakBefore w:val="0"/>
              <w:suppressLineNumbers w:val="0"/>
              <w:kinsoku/>
              <w:overflowPunct/>
              <w:topLinePunct/>
              <w:bidi w:val="0"/>
              <w:spacing w:before="62" w:beforeLines="20" w:beforeAutospacing="0" w:after="62" w:afterLines="20" w:afterAutospacing="0" w:line="600" w:lineRule="exact"/>
              <w:ind w:left="0" w:right="0"/>
              <w:rPr>
                <w:rFonts w:hint="eastAsia" w:ascii="仿宋" w:hAnsi="仿宋" w:eastAsia="仿宋" w:cs="宋体"/>
                <w:color w:val="auto"/>
                <w:sz w:val="21"/>
                <w:szCs w:val="21"/>
                <w:highlight w:val="none"/>
              </w:rPr>
            </w:pPr>
            <w:r>
              <w:rPr>
                <w:rFonts w:hint="eastAsia" w:ascii="仿宋" w:hAnsi="仿宋" w:eastAsia="仿宋" w:cs="宋体"/>
                <w:color w:val="auto"/>
                <w:kern w:val="0"/>
                <w:sz w:val="21"/>
                <w:szCs w:val="21"/>
                <w:highlight w:val="none"/>
              </w:rPr>
              <w:t>第六章  投标文件格式</w:t>
            </w:r>
          </w:p>
        </w:tc>
      </w:tr>
      <w:tr w14:paraId="72BE9ABA">
        <w:tblPrEx>
          <w:tblCellMar>
            <w:top w:w="0" w:type="dxa"/>
            <w:left w:w="108" w:type="dxa"/>
            <w:bottom w:w="0" w:type="dxa"/>
            <w:right w:w="108" w:type="dxa"/>
          </w:tblCellMar>
        </w:tblPrEx>
        <w:trPr>
          <w:jc w:val="center"/>
        </w:trPr>
        <w:tc>
          <w:tcPr>
            <w:tcW w:w="626" w:type="pct"/>
            <w:tcBorders>
              <w:top w:val="single" w:color="auto" w:sz="4" w:space="0"/>
              <w:left w:val="single" w:color="auto" w:sz="4" w:space="0"/>
              <w:bottom w:val="single" w:color="auto" w:sz="4" w:space="0"/>
              <w:right w:val="single" w:color="auto" w:sz="4" w:space="0"/>
            </w:tcBorders>
            <w:noWrap w:val="0"/>
            <w:vAlign w:val="center"/>
          </w:tcPr>
          <w:p w14:paraId="7BF0F498">
            <w:pPr>
              <w:pStyle w:val="114"/>
              <w:keepNext w:val="0"/>
              <w:keepLines w:val="0"/>
              <w:pageBreakBefore w:val="0"/>
              <w:suppressLineNumbers w:val="0"/>
              <w:kinsoku/>
              <w:overflowPunct/>
              <w:bidi w:val="0"/>
              <w:spacing w:before="62" w:beforeLines="20" w:beforeAutospacing="0" w:after="62" w:afterLines="20" w:afterAutospacing="0" w:line="600" w:lineRule="exact"/>
              <w:ind w:left="0" w:right="0"/>
              <w:jc w:val="center"/>
              <w:rPr>
                <w:rFonts w:hint="eastAsia" w:ascii="仿宋" w:hAnsi="仿宋" w:eastAsia="仿宋" w:cs="宋体"/>
                <w:color w:val="auto"/>
                <w:szCs w:val="21"/>
                <w:highlight w:val="none"/>
              </w:rPr>
            </w:pPr>
          </w:p>
        </w:tc>
        <w:tc>
          <w:tcPr>
            <w:tcW w:w="1205" w:type="pct"/>
            <w:tcBorders>
              <w:top w:val="single" w:color="auto" w:sz="4" w:space="0"/>
              <w:left w:val="single" w:color="auto" w:sz="4" w:space="0"/>
              <w:bottom w:val="single" w:color="auto" w:sz="4" w:space="0"/>
              <w:right w:val="single" w:color="auto" w:sz="4" w:space="0"/>
            </w:tcBorders>
            <w:noWrap w:val="0"/>
            <w:vAlign w:val="center"/>
          </w:tcPr>
          <w:p w14:paraId="5EBF3E7A">
            <w:pPr>
              <w:keepNext w:val="0"/>
              <w:keepLines w:val="0"/>
              <w:pageBreakBefore w:val="0"/>
              <w:suppressLineNumbers w:val="0"/>
              <w:kinsoku/>
              <w:overflowPunct/>
              <w:bidi w:val="0"/>
              <w:spacing w:before="62" w:beforeLines="20" w:beforeAutospacing="0" w:after="62" w:afterLines="20" w:afterAutospacing="0" w:line="600" w:lineRule="exact"/>
              <w:ind w:left="0" w:right="0"/>
              <w:jc w:val="center"/>
              <w:rPr>
                <w:rFonts w:hint="eastAsia" w:ascii="仿宋" w:hAnsi="仿宋" w:eastAsia="仿宋" w:cs="宋体"/>
                <w:color w:val="auto"/>
                <w:szCs w:val="21"/>
                <w:highlight w:val="none"/>
              </w:rPr>
            </w:pPr>
            <w:r>
              <w:rPr>
                <w:rFonts w:hint="eastAsia" w:ascii="仿宋" w:hAnsi="仿宋" w:eastAsia="仿宋" w:cs="宋体"/>
                <w:color w:val="auto"/>
                <w:szCs w:val="21"/>
                <w:highlight w:val="none"/>
              </w:rPr>
              <w:t>★实质性要求的标识</w:t>
            </w:r>
          </w:p>
        </w:tc>
        <w:tc>
          <w:tcPr>
            <w:tcW w:w="3167" w:type="pct"/>
            <w:tcBorders>
              <w:top w:val="single" w:color="auto" w:sz="4" w:space="0"/>
              <w:left w:val="single" w:color="auto" w:sz="4" w:space="0"/>
              <w:bottom w:val="single" w:color="auto" w:sz="4" w:space="0"/>
              <w:right w:val="single" w:color="auto" w:sz="4" w:space="0"/>
            </w:tcBorders>
            <w:noWrap w:val="0"/>
            <w:vAlign w:val="center"/>
          </w:tcPr>
          <w:p w14:paraId="2BEA9CDF">
            <w:pPr>
              <w:pStyle w:val="118"/>
              <w:keepNext w:val="0"/>
              <w:keepLines w:val="0"/>
              <w:pageBreakBefore w:val="0"/>
              <w:suppressLineNumbers w:val="0"/>
              <w:kinsoku/>
              <w:overflowPunct/>
              <w:topLinePunct/>
              <w:bidi w:val="0"/>
              <w:spacing w:before="62" w:beforeLines="20" w:beforeAutospacing="0" w:after="62" w:afterLines="20" w:afterAutospacing="0" w:line="600" w:lineRule="exact"/>
              <w:ind w:left="0" w:right="0"/>
              <w:rPr>
                <w:rFonts w:hint="eastAsia" w:ascii="仿宋" w:hAnsi="仿宋" w:eastAsia="仿宋" w:cs="宋体"/>
                <w:color w:val="auto"/>
                <w:sz w:val="21"/>
                <w:szCs w:val="21"/>
                <w:highlight w:val="none"/>
              </w:rPr>
            </w:pPr>
            <w:r>
              <w:rPr>
                <w:rFonts w:hint="eastAsia" w:ascii="仿宋" w:hAnsi="仿宋" w:eastAsia="仿宋" w:cs="宋体"/>
                <w:color w:val="auto"/>
                <w:sz w:val="21"/>
                <w:szCs w:val="21"/>
                <w:highlight w:val="none"/>
                <w:u w:val="single"/>
              </w:rPr>
              <w:t>招标文件中标识“★”条款、注明“投标将被否决”等的条款</w:t>
            </w:r>
            <w:r>
              <w:rPr>
                <w:rFonts w:hint="eastAsia" w:ascii="仿宋" w:hAnsi="仿宋" w:eastAsia="仿宋" w:cs="宋体"/>
                <w:color w:val="auto"/>
                <w:sz w:val="21"/>
                <w:szCs w:val="21"/>
                <w:highlight w:val="none"/>
              </w:rPr>
              <w:t>，均为实质性条款，</w:t>
            </w:r>
            <w:r>
              <w:rPr>
                <w:rFonts w:hint="eastAsia" w:ascii="仿宋" w:hAnsi="仿宋" w:eastAsia="仿宋" w:cs="宋体"/>
                <w:b/>
                <w:color w:val="auto"/>
                <w:sz w:val="21"/>
                <w:szCs w:val="21"/>
                <w:highlight w:val="none"/>
              </w:rPr>
              <w:t>不满足任意一项实质性条款的投标将被否决。</w:t>
            </w:r>
          </w:p>
        </w:tc>
      </w:tr>
      <w:tr w14:paraId="67524F47">
        <w:tblPrEx>
          <w:tblCellMar>
            <w:top w:w="0" w:type="dxa"/>
            <w:left w:w="108" w:type="dxa"/>
            <w:bottom w:w="0" w:type="dxa"/>
            <w:right w:w="108" w:type="dxa"/>
          </w:tblCellMar>
        </w:tblPrEx>
        <w:trPr>
          <w:jc w:val="center"/>
        </w:trPr>
        <w:tc>
          <w:tcPr>
            <w:tcW w:w="626" w:type="pct"/>
            <w:tcBorders>
              <w:top w:val="single" w:color="auto" w:sz="4" w:space="0"/>
              <w:left w:val="single" w:color="auto" w:sz="4" w:space="0"/>
              <w:bottom w:val="single" w:color="auto" w:sz="4" w:space="0"/>
              <w:right w:val="single" w:color="auto" w:sz="4" w:space="0"/>
            </w:tcBorders>
            <w:noWrap w:val="0"/>
            <w:vAlign w:val="center"/>
          </w:tcPr>
          <w:p w14:paraId="2C960270">
            <w:pPr>
              <w:pStyle w:val="114"/>
              <w:keepNext w:val="0"/>
              <w:keepLines w:val="0"/>
              <w:pageBreakBefore w:val="0"/>
              <w:suppressLineNumbers w:val="0"/>
              <w:kinsoku/>
              <w:overflowPunct/>
              <w:bidi w:val="0"/>
              <w:spacing w:before="62" w:beforeLines="20" w:beforeAutospacing="0" w:after="62" w:afterLines="20" w:afterAutospacing="0" w:line="600" w:lineRule="exact"/>
              <w:ind w:left="0" w:right="0"/>
              <w:jc w:val="center"/>
              <w:rPr>
                <w:rFonts w:hint="eastAsia" w:ascii="仿宋" w:hAnsi="仿宋" w:eastAsia="仿宋" w:cs="宋体"/>
                <w:color w:val="auto"/>
                <w:szCs w:val="21"/>
                <w:highlight w:val="none"/>
              </w:rPr>
            </w:pPr>
          </w:p>
        </w:tc>
        <w:tc>
          <w:tcPr>
            <w:tcW w:w="1205" w:type="pct"/>
            <w:tcBorders>
              <w:top w:val="single" w:color="auto" w:sz="4" w:space="0"/>
              <w:left w:val="single" w:color="auto" w:sz="4" w:space="0"/>
              <w:bottom w:val="single" w:color="auto" w:sz="4" w:space="0"/>
              <w:right w:val="single" w:color="auto" w:sz="4" w:space="0"/>
            </w:tcBorders>
            <w:noWrap w:val="0"/>
            <w:vAlign w:val="center"/>
          </w:tcPr>
          <w:p w14:paraId="2ADC1EAF">
            <w:pPr>
              <w:keepNext w:val="0"/>
              <w:keepLines w:val="0"/>
              <w:pageBreakBefore w:val="0"/>
              <w:suppressLineNumbers w:val="0"/>
              <w:kinsoku/>
              <w:overflowPunct/>
              <w:bidi w:val="0"/>
              <w:spacing w:before="62" w:beforeLines="20" w:beforeAutospacing="0" w:after="62" w:afterLines="20" w:afterAutospacing="0" w:line="600" w:lineRule="exact"/>
              <w:ind w:left="0" w:right="0"/>
              <w:jc w:val="center"/>
              <w:rPr>
                <w:rFonts w:hint="eastAsia" w:ascii="仿宋" w:hAnsi="仿宋" w:eastAsia="仿宋" w:cs="宋体"/>
                <w:color w:val="auto"/>
                <w:szCs w:val="21"/>
                <w:highlight w:val="none"/>
              </w:rPr>
            </w:pPr>
            <w:r>
              <w:rPr>
                <w:rFonts w:hint="eastAsia" w:ascii="仿宋" w:hAnsi="仿宋" w:eastAsia="仿宋" w:cs="宋体"/>
                <w:color w:val="auto"/>
                <w:szCs w:val="21"/>
                <w:highlight w:val="none"/>
              </w:rPr>
              <w:t>踏勘现场</w:t>
            </w:r>
          </w:p>
        </w:tc>
        <w:tc>
          <w:tcPr>
            <w:tcW w:w="3167" w:type="pct"/>
            <w:tcBorders>
              <w:top w:val="single" w:color="auto" w:sz="4" w:space="0"/>
              <w:left w:val="single" w:color="auto" w:sz="4" w:space="0"/>
              <w:bottom w:val="single" w:color="auto" w:sz="4" w:space="0"/>
              <w:right w:val="single" w:color="auto" w:sz="4" w:space="0"/>
            </w:tcBorders>
            <w:noWrap w:val="0"/>
            <w:vAlign w:val="center"/>
          </w:tcPr>
          <w:p w14:paraId="699CAC4F">
            <w:pPr>
              <w:pStyle w:val="118"/>
              <w:keepNext w:val="0"/>
              <w:keepLines w:val="0"/>
              <w:pageBreakBefore w:val="0"/>
              <w:suppressLineNumbers w:val="0"/>
              <w:kinsoku/>
              <w:overflowPunct/>
              <w:topLinePunct/>
              <w:bidi w:val="0"/>
              <w:spacing w:before="62" w:beforeLines="20" w:beforeAutospacing="0" w:after="62" w:afterLines="20" w:afterAutospacing="0" w:line="600" w:lineRule="exact"/>
              <w:ind w:left="0" w:right="0"/>
              <w:rPr>
                <w:rFonts w:hint="eastAsia" w:ascii="仿宋" w:hAnsi="仿宋" w:eastAsia="仿宋" w:cs="宋体"/>
                <w:color w:val="auto"/>
                <w:sz w:val="21"/>
                <w:szCs w:val="21"/>
                <w:highlight w:val="none"/>
              </w:rPr>
            </w:pPr>
            <w:r>
              <w:rPr>
                <w:rFonts w:hint="eastAsia" w:ascii="仿宋" w:hAnsi="仿宋" w:eastAsia="仿宋" w:cs="仿宋"/>
                <w:color w:val="auto"/>
                <w:sz w:val="21"/>
                <w:szCs w:val="21"/>
                <w:highlight w:val="none"/>
              </w:rPr>
              <w:t>■</w:t>
            </w:r>
            <w:r>
              <w:rPr>
                <w:rFonts w:hint="eastAsia" w:ascii="仿宋" w:hAnsi="仿宋" w:eastAsia="仿宋" w:cs="宋体"/>
                <w:color w:val="auto"/>
                <w:sz w:val="21"/>
                <w:szCs w:val="21"/>
                <w:highlight w:val="none"/>
              </w:rPr>
              <w:t>不组织</w:t>
            </w:r>
          </w:p>
          <w:p w14:paraId="2467C97C">
            <w:pPr>
              <w:pStyle w:val="118"/>
              <w:keepNext w:val="0"/>
              <w:keepLines w:val="0"/>
              <w:pageBreakBefore w:val="0"/>
              <w:suppressLineNumbers w:val="0"/>
              <w:kinsoku/>
              <w:overflowPunct/>
              <w:topLinePunct/>
              <w:bidi w:val="0"/>
              <w:spacing w:before="62" w:beforeLines="20" w:beforeAutospacing="0" w:after="62" w:afterLines="20" w:afterAutospacing="0" w:line="600" w:lineRule="exact"/>
              <w:ind w:left="0" w:right="0"/>
              <w:rPr>
                <w:rFonts w:hint="eastAsia" w:ascii="仿宋" w:hAnsi="仿宋" w:eastAsia="仿宋" w:cs="宋体"/>
                <w:color w:val="auto"/>
                <w:sz w:val="21"/>
                <w:szCs w:val="21"/>
                <w:highlight w:val="none"/>
              </w:rPr>
            </w:pPr>
            <w:r>
              <w:rPr>
                <w:rFonts w:hint="eastAsia" w:ascii="仿宋" w:hAnsi="仿宋" w:eastAsia="仿宋" w:cs="宋体"/>
                <w:color w:val="auto"/>
                <w:sz w:val="21"/>
                <w:szCs w:val="21"/>
                <w:highlight w:val="none"/>
              </w:rPr>
              <w:t>□组织，踏勘现场时间、地点：</w:t>
            </w:r>
            <w:r>
              <w:rPr>
                <w:rFonts w:hint="eastAsia" w:ascii="仿宋" w:hAnsi="仿宋" w:eastAsia="仿宋" w:cs="宋体"/>
                <w:color w:val="auto"/>
                <w:sz w:val="21"/>
                <w:szCs w:val="21"/>
                <w:highlight w:val="none"/>
                <w:u w:val="single"/>
              </w:rPr>
              <w:t xml:space="preserve">       </w:t>
            </w:r>
          </w:p>
        </w:tc>
      </w:tr>
      <w:tr w14:paraId="6AB66CDF">
        <w:tblPrEx>
          <w:tblCellMar>
            <w:top w:w="0" w:type="dxa"/>
            <w:left w:w="108" w:type="dxa"/>
            <w:bottom w:w="0" w:type="dxa"/>
            <w:right w:w="108" w:type="dxa"/>
          </w:tblCellMar>
        </w:tblPrEx>
        <w:trPr>
          <w:jc w:val="center"/>
        </w:trPr>
        <w:tc>
          <w:tcPr>
            <w:tcW w:w="626" w:type="pct"/>
            <w:tcBorders>
              <w:top w:val="single" w:color="auto" w:sz="4" w:space="0"/>
              <w:left w:val="single" w:color="auto" w:sz="4" w:space="0"/>
              <w:bottom w:val="single" w:color="auto" w:sz="4" w:space="0"/>
              <w:right w:val="single" w:color="auto" w:sz="4" w:space="0"/>
            </w:tcBorders>
            <w:noWrap w:val="0"/>
            <w:vAlign w:val="center"/>
          </w:tcPr>
          <w:p w14:paraId="47AD5BF5">
            <w:pPr>
              <w:pStyle w:val="114"/>
              <w:keepNext w:val="0"/>
              <w:keepLines w:val="0"/>
              <w:pageBreakBefore w:val="0"/>
              <w:suppressLineNumbers w:val="0"/>
              <w:kinsoku/>
              <w:overflowPunct/>
              <w:bidi w:val="0"/>
              <w:spacing w:before="62" w:beforeLines="20" w:beforeAutospacing="0" w:after="62" w:afterLines="20" w:afterAutospacing="0" w:line="600" w:lineRule="exact"/>
              <w:ind w:left="0" w:right="0"/>
              <w:jc w:val="center"/>
              <w:rPr>
                <w:rFonts w:hint="eastAsia" w:ascii="仿宋" w:hAnsi="仿宋" w:eastAsia="仿宋" w:cs="宋体"/>
                <w:color w:val="auto"/>
                <w:szCs w:val="21"/>
                <w:highlight w:val="none"/>
              </w:rPr>
            </w:pPr>
          </w:p>
        </w:tc>
        <w:tc>
          <w:tcPr>
            <w:tcW w:w="1205" w:type="pct"/>
            <w:tcBorders>
              <w:top w:val="single" w:color="auto" w:sz="4" w:space="0"/>
              <w:left w:val="single" w:color="auto" w:sz="4" w:space="0"/>
              <w:bottom w:val="single" w:color="auto" w:sz="4" w:space="0"/>
              <w:right w:val="single" w:color="auto" w:sz="4" w:space="0"/>
            </w:tcBorders>
            <w:noWrap w:val="0"/>
            <w:vAlign w:val="center"/>
          </w:tcPr>
          <w:p w14:paraId="4A9EDF5B">
            <w:pPr>
              <w:keepNext w:val="0"/>
              <w:keepLines w:val="0"/>
              <w:pageBreakBefore w:val="0"/>
              <w:suppressLineNumbers w:val="0"/>
              <w:kinsoku/>
              <w:overflowPunct/>
              <w:bidi w:val="0"/>
              <w:spacing w:before="62" w:beforeLines="20" w:beforeAutospacing="0" w:after="62" w:afterLines="20" w:afterAutospacing="0" w:line="600" w:lineRule="exact"/>
              <w:ind w:left="0" w:right="0"/>
              <w:jc w:val="center"/>
              <w:rPr>
                <w:rFonts w:hint="eastAsia" w:ascii="仿宋" w:hAnsi="仿宋" w:eastAsia="仿宋" w:cs="宋体"/>
                <w:color w:val="auto"/>
                <w:szCs w:val="21"/>
                <w:highlight w:val="none"/>
              </w:rPr>
            </w:pPr>
            <w:r>
              <w:rPr>
                <w:rFonts w:hint="eastAsia" w:ascii="仿宋" w:hAnsi="仿宋" w:eastAsia="仿宋" w:cs="宋体"/>
                <w:color w:val="auto"/>
                <w:szCs w:val="21"/>
                <w:highlight w:val="none"/>
              </w:rPr>
              <w:t>投标预备会</w:t>
            </w:r>
          </w:p>
        </w:tc>
        <w:tc>
          <w:tcPr>
            <w:tcW w:w="3167" w:type="pct"/>
            <w:tcBorders>
              <w:top w:val="single" w:color="auto" w:sz="4" w:space="0"/>
              <w:left w:val="single" w:color="auto" w:sz="4" w:space="0"/>
              <w:bottom w:val="single" w:color="auto" w:sz="4" w:space="0"/>
              <w:right w:val="single" w:color="auto" w:sz="4" w:space="0"/>
            </w:tcBorders>
            <w:noWrap w:val="0"/>
            <w:vAlign w:val="center"/>
          </w:tcPr>
          <w:p w14:paraId="5E152156">
            <w:pPr>
              <w:pStyle w:val="118"/>
              <w:keepNext w:val="0"/>
              <w:keepLines w:val="0"/>
              <w:pageBreakBefore w:val="0"/>
              <w:suppressLineNumbers w:val="0"/>
              <w:kinsoku/>
              <w:overflowPunct/>
              <w:topLinePunct/>
              <w:bidi w:val="0"/>
              <w:spacing w:before="62" w:beforeLines="20" w:beforeAutospacing="0" w:after="62" w:afterLines="20" w:afterAutospacing="0" w:line="600" w:lineRule="exact"/>
              <w:ind w:left="0" w:right="0"/>
              <w:rPr>
                <w:rFonts w:hint="eastAsia" w:ascii="仿宋" w:hAnsi="仿宋" w:eastAsia="仿宋" w:cs="宋体"/>
                <w:color w:val="auto"/>
                <w:sz w:val="21"/>
                <w:szCs w:val="21"/>
                <w:highlight w:val="none"/>
              </w:rPr>
            </w:pPr>
            <w:r>
              <w:rPr>
                <w:rFonts w:hint="eastAsia" w:ascii="仿宋" w:hAnsi="仿宋" w:eastAsia="仿宋" w:cs="仿宋"/>
                <w:color w:val="auto"/>
                <w:sz w:val="21"/>
                <w:szCs w:val="21"/>
                <w:highlight w:val="none"/>
              </w:rPr>
              <w:t>■</w:t>
            </w:r>
            <w:r>
              <w:rPr>
                <w:rFonts w:hint="eastAsia" w:ascii="仿宋" w:hAnsi="仿宋" w:eastAsia="仿宋" w:cs="宋体"/>
                <w:color w:val="auto"/>
                <w:sz w:val="21"/>
                <w:szCs w:val="21"/>
                <w:highlight w:val="none"/>
              </w:rPr>
              <w:t>不召开</w:t>
            </w:r>
          </w:p>
          <w:p w14:paraId="7EC99768">
            <w:pPr>
              <w:pStyle w:val="118"/>
              <w:keepNext w:val="0"/>
              <w:keepLines w:val="0"/>
              <w:pageBreakBefore w:val="0"/>
              <w:suppressLineNumbers w:val="0"/>
              <w:kinsoku/>
              <w:overflowPunct/>
              <w:topLinePunct/>
              <w:bidi w:val="0"/>
              <w:spacing w:before="62" w:beforeLines="20" w:beforeAutospacing="0" w:after="62" w:afterLines="20" w:afterAutospacing="0" w:line="600" w:lineRule="exact"/>
              <w:ind w:left="0" w:right="0"/>
              <w:rPr>
                <w:rFonts w:hint="eastAsia" w:ascii="仿宋" w:hAnsi="仿宋" w:eastAsia="仿宋" w:cs="宋体"/>
                <w:color w:val="auto"/>
                <w:sz w:val="21"/>
                <w:szCs w:val="21"/>
                <w:highlight w:val="none"/>
              </w:rPr>
            </w:pPr>
            <w:r>
              <w:rPr>
                <w:rFonts w:hint="eastAsia" w:ascii="仿宋" w:hAnsi="仿宋" w:eastAsia="仿宋" w:cs="宋体"/>
                <w:color w:val="auto"/>
                <w:szCs w:val="21"/>
                <w:highlight w:val="none"/>
              </w:rPr>
              <w:t>□</w:t>
            </w:r>
            <w:r>
              <w:rPr>
                <w:rFonts w:hint="eastAsia" w:ascii="仿宋" w:hAnsi="仿宋" w:eastAsia="仿宋" w:cs="宋体"/>
                <w:color w:val="auto"/>
                <w:sz w:val="21"/>
                <w:szCs w:val="21"/>
                <w:highlight w:val="none"/>
              </w:rPr>
              <w:t xml:space="preserve">召开，召开投标预备会的时间、地点： </w:t>
            </w:r>
            <w:r>
              <w:rPr>
                <w:rFonts w:hint="eastAsia" w:ascii="仿宋" w:hAnsi="仿宋" w:eastAsia="仿宋" w:cs="宋体"/>
                <w:color w:val="auto"/>
                <w:sz w:val="21"/>
                <w:szCs w:val="21"/>
                <w:highlight w:val="none"/>
                <w:u w:val="single"/>
              </w:rPr>
              <w:t xml:space="preserve">       </w:t>
            </w:r>
            <w:r>
              <w:rPr>
                <w:rFonts w:hint="eastAsia" w:ascii="仿宋" w:hAnsi="仿宋" w:eastAsia="仿宋" w:cs="宋体"/>
                <w:color w:val="auto"/>
                <w:sz w:val="21"/>
                <w:szCs w:val="21"/>
                <w:highlight w:val="none"/>
              </w:rPr>
              <w:t xml:space="preserve">                      </w:t>
            </w:r>
          </w:p>
        </w:tc>
      </w:tr>
      <w:tr w14:paraId="2ADAC07B">
        <w:tblPrEx>
          <w:tblCellMar>
            <w:top w:w="0" w:type="dxa"/>
            <w:left w:w="108" w:type="dxa"/>
            <w:bottom w:w="0" w:type="dxa"/>
            <w:right w:w="108" w:type="dxa"/>
          </w:tblCellMar>
        </w:tblPrEx>
        <w:trPr>
          <w:jc w:val="center"/>
        </w:trPr>
        <w:tc>
          <w:tcPr>
            <w:tcW w:w="626" w:type="pct"/>
            <w:tcBorders>
              <w:top w:val="single" w:color="auto" w:sz="4" w:space="0"/>
              <w:left w:val="single" w:color="auto" w:sz="4" w:space="0"/>
              <w:bottom w:val="single" w:color="auto" w:sz="4" w:space="0"/>
              <w:right w:val="single" w:color="auto" w:sz="4" w:space="0"/>
            </w:tcBorders>
            <w:noWrap w:val="0"/>
            <w:vAlign w:val="center"/>
          </w:tcPr>
          <w:p w14:paraId="45BCB533">
            <w:pPr>
              <w:pStyle w:val="114"/>
              <w:keepNext w:val="0"/>
              <w:keepLines w:val="0"/>
              <w:pageBreakBefore w:val="0"/>
              <w:suppressLineNumbers w:val="0"/>
              <w:kinsoku/>
              <w:overflowPunct/>
              <w:bidi w:val="0"/>
              <w:spacing w:before="62" w:beforeLines="20" w:beforeAutospacing="0" w:after="62" w:afterLines="20" w:afterAutospacing="0" w:line="600" w:lineRule="exact"/>
              <w:ind w:left="0" w:right="0"/>
              <w:jc w:val="center"/>
              <w:rPr>
                <w:rFonts w:hint="eastAsia" w:ascii="仿宋" w:hAnsi="仿宋" w:eastAsia="仿宋" w:cs="宋体"/>
                <w:color w:val="auto"/>
                <w:szCs w:val="21"/>
                <w:highlight w:val="none"/>
              </w:rPr>
            </w:pPr>
          </w:p>
        </w:tc>
        <w:tc>
          <w:tcPr>
            <w:tcW w:w="1205" w:type="pct"/>
            <w:tcBorders>
              <w:top w:val="single" w:color="auto" w:sz="4" w:space="0"/>
              <w:left w:val="single" w:color="auto" w:sz="4" w:space="0"/>
              <w:bottom w:val="single" w:color="auto" w:sz="4" w:space="0"/>
              <w:right w:val="single" w:color="auto" w:sz="4" w:space="0"/>
            </w:tcBorders>
            <w:noWrap w:val="0"/>
            <w:vAlign w:val="center"/>
          </w:tcPr>
          <w:p w14:paraId="73D69514">
            <w:pPr>
              <w:keepNext w:val="0"/>
              <w:keepLines w:val="0"/>
              <w:pageBreakBefore w:val="0"/>
              <w:suppressLineNumbers w:val="0"/>
              <w:kinsoku/>
              <w:overflowPunct/>
              <w:bidi w:val="0"/>
              <w:spacing w:before="62" w:beforeLines="20" w:beforeAutospacing="0" w:after="62" w:afterLines="20" w:afterAutospacing="0" w:line="600" w:lineRule="exact"/>
              <w:ind w:left="0" w:right="0"/>
              <w:jc w:val="center"/>
              <w:rPr>
                <w:rFonts w:hint="eastAsia" w:ascii="仿宋" w:hAnsi="仿宋" w:eastAsia="仿宋" w:cs="宋体"/>
                <w:color w:val="auto"/>
                <w:szCs w:val="21"/>
                <w:highlight w:val="none"/>
              </w:rPr>
            </w:pPr>
            <w:r>
              <w:rPr>
                <w:rFonts w:hint="eastAsia" w:ascii="仿宋" w:hAnsi="仿宋" w:eastAsia="仿宋" w:cs="宋体"/>
                <w:color w:val="auto"/>
                <w:szCs w:val="21"/>
                <w:highlight w:val="none"/>
              </w:rPr>
              <w:t>投标人提出澄清的</w:t>
            </w:r>
            <w:r>
              <w:rPr>
                <w:rFonts w:hint="eastAsia" w:ascii="仿宋" w:hAnsi="仿宋" w:eastAsia="仿宋" w:cs="宋体"/>
                <w:color w:val="auto"/>
                <w:szCs w:val="21"/>
                <w:highlight w:val="none"/>
              </w:rPr>
              <w:br w:type="textWrapping"/>
            </w:r>
            <w:r>
              <w:rPr>
                <w:rFonts w:hint="eastAsia" w:ascii="仿宋" w:hAnsi="仿宋" w:eastAsia="仿宋" w:cs="宋体"/>
                <w:color w:val="auto"/>
                <w:szCs w:val="21"/>
                <w:highlight w:val="none"/>
              </w:rPr>
              <w:t>截止时间和方式</w:t>
            </w:r>
          </w:p>
        </w:tc>
        <w:tc>
          <w:tcPr>
            <w:tcW w:w="3167" w:type="pct"/>
            <w:tcBorders>
              <w:top w:val="single" w:color="auto" w:sz="4" w:space="0"/>
              <w:left w:val="single" w:color="auto" w:sz="4" w:space="0"/>
              <w:bottom w:val="single" w:color="auto" w:sz="4" w:space="0"/>
              <w:right w:val="single" w:color="auto" w:sz="4" w:space="0"/>
            </w:tcBorders>
            <w:noWrap w:val="0"/>
            <w:vAlign w:val="center"/>
          </w:tcPr>
          <w:p w14:paraId="00450075">
            <w:pPr>
              <w:pStyle w:val="118"/>
              <w:keepNext w:val="0"/>
              <w:keepLines w:val="0"/>
              <w:pageBreakBefore w:val="0"/>
              <w:suppressLineNumbers w:val="0"/>
              <w:kinsoku/>
              <w:overflowPunct/>
              <w:topLinePunct/>
              <w:bidi w:val="0"/>
              <w:spacing w:before="62" w:beforeLines="20" w:beforeAutospacing="0" w:after="62" w:afterLines="20" w:afterAutospacing="0" w:line="600" w:lineRule="exact"/>
              <w:ind w:left="0" w:right="0"/>
              <w:rPr>
                <w:rFonts w:hint="eastAsia" w:ascii="仿宋" w:hAnsi="仿宋" w:eastAsia="仿宋" w:cs="宋体"/>
                <w:color w:val="auto"/>
                <w:sz w:val="21"/>
                <w:szCs w:val="21"/>
                <w:highlight w:val="none"/>
              </w:rPr>
            </w:pPr>
            <w:r>
              <w:rPr>
                <w:rFonts w:hint="eastAsia" w:ascii="仿宋" w:hAnsi="仿宋" w:eastAsia="仿宋" w:cs="宋体"/>
                <w:b/>
                <w:color w:val="auto"/>
                <w:sz w:val="21"/>
                <w:szCs w:val="21"/>
                <w:highlight w:val="none"/>
              </w:rPr>
              <w:t>截止时间：</w:t>
            </w:r>
            <w:r>
              <w:rPr>
                <w:rFonts w:hint="eastAsia" w:ascii="仿宋" w:hAnsi="仿宋" w:eastAsia="仿宋" w:cs="宋体"/>
                <w:b/>
                <w:color w:val="auto"/>
                <w:sz w:val="21"/>
                <w:szCs w:val="21"/>
                <w:highlight w:val="none"/>
                <w:u w:val="single"/>
              </w:rPr>
              <w:t>20</w:t>
            </w:r>
            <w:r>
              <w:rPr>
                <w:rFonts w:hint="eastAsia" w:ascii="仿宋" w:hAnsi="仿宋" w:eastAsia="仿宋" w:cs="宋体"/>
                <w:b/>
                <w:color w:val="auto"/>
                <w:sz w:val="21"/>
                <w:szCs w:val="21"/>
                <w:highlight w:val="none"/>
                <w:u w:val="single"/>
                <w:lang w:val="en-US" w:eastAsia="zh-CN"/>
              </w:rPr>
              <w:t>26</w:t>
            </w:r>
            <w:r>
              <w:rPr>
                <w:rFonts w:hint="eastAsia" w:ascii="仿宋" w:hAnsi="仿宋" w:eastAsia="仿宋" w:cs="宋体"/>
                <w:b/>
                <w:color w:val="auto"/>
                <w:sz w:val="21"/>
                <w:szCs w:val="21"/>
                <w:highlight w:val="none"/>
                <w:u w:val="single"/>
              </w:rPr>
              <w:t>年</w:t>
            </w:r>
            <w:r>
              <w:rPr>
                <w:rFonts w:hint="eastAsia" w:ascii="仿宋" w:hAnsi="仿宋" w:eastAsia="仿宋" w:cs="宋体"/>
                <w:b/>
                <w:color w:val="auto"/>
                <w:sz w:val="21"/>
                <w:szCs w:val="21"/>
                <w:highlight w:val="none"/>
                <w:u w:val="single"/>
                <w:lang w:val="en-US" w:eastAsia="zh-CN"/>
              </w:rPr>
              <w:t>8</w:t>
            </w:r>
            <w:r>
              <w:rPr>
                <w:rFonts w:hint="eastAsia" w:ascii="仿宋" w:hAnsi="仿宋" w:eastAsia="仿宋" w:cs="宋体"/>
                <w:b/>
                <w:color w:val="auto"/>
                <w:sz w:val="21"/>
                <w:szCs w:val="21"/>
                <w:highlight w:val="none"/>
                <w:u w:val="single"/>
              </w:rPr>
              <w:t>月</w:t>
            </w:r>
            <w:r>
              <w:rPr>
                <w:rFonts w:hint="eastAsia" w:ascii="仿宋" w:hAnsi="仿宋" w:eastAsia="仿宋" w:cs="宋体"/>
                <w:b/>
                <w:color w:val="auto"/>
                <w:sz w:val="21"/>
                <w:szCs w:val="21"/>
                <w:highlight w:val="none"/>
                <w:u w:val="single"/>
                <w:lang w:val="en-US" w:eastAsia="zh-CN"/>
              </w:rPr>
              <w:t>12</w:t>
            </w:r>
            <w:r>
              <w:rPr>
                <w:rFonts w:hint="eastAsia" w:ascii="仿宋" w:hAnsi="仿宋" w:eastAsia="仿宋" w:cs="宋体"/>
                <w:b/>
                <w:color w:val="auto"/>
                <w:sz w:val="21"/>
                <w:szCs w:val="21"/>
                <w:highlight w:val="none"/>
                <w:u w:val="single"/>
              </w:rPr>
              <w:t xml:space="preserve">日 </w:t>
            </w:r>
            <w:r>
              <w:rPr>
                <w:rFonts w:hint="eastAsia" w:ascii="仿宋" w:hAnsi="仿宋" w:eastAsia="仿宋" w:cs="宋体"/>
                <w:b/>
                <w:color w:val="auto"/>
                <w:sz w:val="21"/>
                <w:szCs w:val="21"/>
                <w:highlight w:val="none"/>
                <w:u w:val="single"/>
                <w:lang w:val="en-US" w:eastAsia="zh-CN"/>
              </w:rPr>
              <w:t>10</w:t>
            </w:r>
            <w:r>
              <w:rPr>
                <w:rFonts w:hint="eastAsia" w:ascii="仿宋" w:hAnsi="仿宋" w:eastAsia="仿宋" w:cs="宋体"/>
                <w:b/>
                <w:color w:val="auto"/>
                <w:sz w:val="21"/>
                <w:szCs w:val="21"/>
                <w:highlight w:val="none"/>
                <w:u w:val="single"/>
              </w:rPr>
              <w:t xml:space="preserve">时 </w:t>
            </w:r>
            <w:r>
              <w:rPr>
                <w:rFonts w:hint="eastAsia" w:ascii="仿宋" w:hAnsi="仿宋" w:eastAsia="仿宋" w:cs="宋体"/>
                <w:b/>
                <w:color w:val="auto"/>
                <w:sz w:val="21"/>
                <w:szCs w:val="21"/>
                <w:highlight w:val="none"/>
                <w:u w:val="single"/>
                <w:lang w:val="en-US" w:eastAsia="zh-CN"/>
              </w:rPr>
              <w:t>30</w:t>
            </w:r>
            <w:r>
              <w:rPr>
                <w:rFonts w:hint="eastAsia" w:ascii="仿宋" w:hAnsi="仿宋" w:eastAsia="仿宋" w:cs="宋体"/>
                <w:b/>
                <w:color w:val="auto"/>
                <w:sz w:val="21"/>
                <w:szCs w:val="21"/>
                <w:highlight w:val="none"/>
                <w:u w:val="single"/>
              </w:rPr>
              <w:t>分</w:t>
            </w:r>
          </w:p>
          <w:p w14:paraId="4EFF9AA1">
            <w:pPr>
              <w:pStyle w:val="118"/>
              <w:keepNext w:val="0"/>
              <w:keepLines w:val="0"/>
              <w:pageBreakBefore w:val="0"/>
              <w:suppressLineNumbers w:val="0"/>
              <w:kinsoku/>
              <w:overflowPunct/>
              <w:topLinePunct/>
              <w:bidi w:val="0"/>
              <w:spacing w:before="62" w:beforeLines="20" w:beforeAutospacing="0" w:after="62" w:afterLines="20" w:afterAutospacing="0" w:line="600" w:lineRule="exact"/>
              <w:ind w:left="0" w:right="0"/>
              <w:rPr>
                <w:rFonts w:hint="eastAsia" w:ascii="仿宋" w:hAnsi="仿宋" w:eastAsia="仿宋" w:cs="宋体"/>
                <w:color w:val="auto"/>
                <w:sz w:val="21"/>
                <w:szCs w:val="21"/>
                <w:highlight w:val="none"/>
                <w:u w:val="single"/>
                <w:lang w:eastAsia="zh-CN"/>
              </w:rPr>
            </w:pPr>
            <w:r>
              <w:rPr>
                <w:rFonts w:hint="eastAsia" w:ascii="仿宋" w:hAnsi="仿宋" w:eastAsia="仿宋" w:cs="宋体"/>
                <w:b w:val="0"/>
                <w:bCs w:val="0"/>
                <w:color w:val="auto"/>
                <w:sz w:val="21"/>
                <w:szCs w:val="21"/>
                <w:highlight w:val="none"/>
              </w:rPr>
              <w:t>提出澄清的方式：招标人主动发出书面澄清</w:t>
            </w:r>
          </w:p>
        </w:tc>
      </w:tr>
      <w:tr w14:paraId="6B8AFB22">
        <w:tblPrEx>
          <w:tblCellMar>
            <w:top w:w="0" w:type="dxa"/>
            <w:left w:w="108" w:type="dxa"/>
            <w:bottom w:w="0" w:type="dxa"/>
            <w:right w:w="108" w:type="dxa"/>
          </w:tblCellMar>
        </w:tblPrEx>
        <w:trPr>
          <w:jc w:val="center"/>
        </w:trPr>
        <w:tc>
          <w:tcPr>
            <w:tcW w:w="626" w:type="pct"/>
            <w:tcBorders>
              <w:top w:val="single" w:color="auto" w:sz="4" w:space="0"/>
              <w:left w:val="single" w:color="auto" w:sz="4" w:space="0"/>
              <w:bottom w:val="single" w:color="auto" w:sz="4" w:space="0"/>
              <w:right w:val="single" w:color="auto" w:sz="4" w:space="0"/>
            </w:tcBorders>
            <w:noWrap w:val="0"/>
            <w:vAlign w:val="center"/>
          </w:tcPr>
          <w:p w14:paraId="32E88F76">
            <w:pPr>
              <w:pStyle w:val="114"/>
              <w:keepNext w:val="0"/>
              <w:keepLines w:val="0"/>
              <w:pageBreakBefore w:val="0"/>
              <w:suppressLineNumbers w:val="0"/>
              <w:kinsoku/>
              <w:overflowPunct/>
              <w:bidi w:val="0"/>
              <w:spacing w:before="62" w:beforeLines="20" w:beforeAutospacing="0" w:after="62" w:afterLines="20" w:afterAutospacing="0" w:line="600" w:lineRule="exact"/>
              <w:ind w:left="0" w:right="0"/>
              <w:jc w:val="center"/>
              <w:rPr>
                <w:rFonts w:hint="eastAsia" w:ascii="仿宋" w:hAnsi="仿宋" w:eastAsia="仿宋" w:cs="宋体"/>
                <w:color w:val="auto"/>
                <w:szCs w:val="21"/>
                <w:highlight w:val="none"/>
              </w:rPr>
            </w:pPr>
          </w:p>
        </w:tc>
        <w:tc>
          <w:tcPr>
            <w:tcW w:w="1205" w:type="pct"/>
            <w:tcBorders>
              <w:top w:val="single" w:color="auto" w:sz="4" w:space="0"/>
              <w:left w:val="single" w:color="auto" w:sz="4" w:space="0"/>
              <w:bottom w:val="single" w:color="auto" w:sz="4" w:space="0"/>
              <w:right w:val="single" w:color="auto" w:sz="4" w:space="0"/>
            </w:tcBorders>
            <w:noWrap w:val="0"/>
            <w:vAlign w:val="center"/>
          </w:tcPr>
          <w:p w14:paraId="5571E680">
            <w:pPr>
              <w:keepNext w:val="0"/>
              <w:keepLines w:val="0"/>
              <w:pageBreakBefore w:val="0"/>
              <w:suppressLineNumbers w:val="0"/>
              <w:kinsoku/>
              <w:overflowPunct/>
              <w:bidi w:val="0"/>
              <w:spacing w:before="62" w:beforeLines="20" w:beforeAutospacing="0" w:after="62" w:afterLines="20" w:afterAutospacing="0" w:line="600" w:lineRule="exact"/>
              <w:ind w:left="0" w:right="0"/>
              <w:jc w:val="center"/>
              <w:rPr>
                <w:rFonts w:hint="eastAsia" w:ascii="仿宋" w:hAnsi="仿宋" w:eastAsia="仿宋" w:cs="宋体"/>
                <w:color w:val="auto"/>
                <w:szCs w:val="21"/>
                <w:highlight w:val="none"/>
              </w:rPr>
            </w:pPr>
            <w:r>
              <w:rPr>
                <w:rFonts w:hint="eastAsia" w:ascii="仿宋" w:hAnsi="仿宋" w:eastAsia="仿宋" w:cs="宋体"/>
                <w:color w:val="auto"/>
                <w:szCs w:val="21"/>
                <w:highlight w:val="none"/>
              </w:rPr>
              <w:t>投标人确认收到澄清或修改的截止时间和方式</w:t>
            </w:r>
          </w:p>
        </w:tc>
        <w:tc>
          <w:tcPr>
            <w:tcW w:w="3167" w:type="pct"/>
            <w:tcBorders>
              <w:top w:val="single" w:color="auto" w:sz="4" w:space="0"/>
              <w:left w:val="single" w:color="auto" w:sz="4" w:space="0"/>
              <w:bottom w:val="single" w:color="auto" w:sz="4" w:space="0"/>
              <w:right w:val="single" w:color="auto" w:sz="4" w:space="0"/>
            </w:tcBorders>
            <w:noWrap w:val="0"/>
            <w:vAlign w:val="center"/>
          </w:tcPr>
          <w:p w14:paraId="26A2A31E">
            <w:pPr>
              <w:pStyle w:val="118"/>
              <w:keepNext w:val="0"/>
              <w:keepLines w:val="0"/>
              <w:pageBreakBefore w:val="0"/>
              <w:suppressLineNumbers w:val="0"/>
              <w:kinsoku/>
              <w:overflowPunct/>
              <w:topLinePunct/>
              <w:bidi w:val="0"/>
              <w:spacing w:before="62" w:beforeLines="20" w:beforeAutospacing="0" w:after="62" w:afterLines="20" w:afterAutospacing="0" w:line="600" w:lineRule="exact"/>
              <w:ind w:left="0" w:right="0"/>
              <w:rPr>
                <w:rFonts w:hint="eastAsia" w:ascii="仿宋" w:hAnsi="仿宋" w:eastAsia="仿宋" w:cs="宋体"/>
                <w:b w:val="0"/>
                <w:bCs w:val="0"/>
                <w:color w:val="auto"/>
                <w:sz w:val="21"/>
                <w:szCs w:val="21"/>
                <w:highlight w:val="none"/>
                <w:u w:val="single"/>
                <w:lang w:eastAsia="zh-CN"/>
              </w:rPr>
            </w:pPr>
            <w:r>
              <w:rPr>
                <w:rFonts w:hint="eastAsia" w:ascii="仿宋" w:hAnsi="仿宋" w:eastAsia="仿宋" w:cs="宋体"/>
                <w:b/>
                <w:color w:val="auto"/>
                <w:sz w:val="21"/>
                <w:szCs w:val="21"/>
                <w:highlight w:val="none"/>
              </w:rPr>
              <w:t>确认收到澄清或修改的时间：</w:t>
            </w:r>
            <w:r>
              <w:rPr>
                <w:rFonts w:hint="eastAsia" w:ascii="仿宋" w:hAnsi="仿宋" w:eastAsia="仿宋" w:cs="宋体"/>
                <w:b w:val="0"/>
                <w:bCs w:val="0"/>
                <w:color w:val="auto"/>
                <w:sz w:val="21"/>
                <w:szCs w:val="21"/>
                <w:highlight w:val="none"/>
                <w:u w:val="single"/>
              </w:rPr>
              <w:t>收到招标文件澄清或修改通知后 2 小时内</w:t>
            </w:r>
          </w:p>
          <w:p w14:paraId="6F4AD8E2">
            <w:pPr>
              <w:pStyle w:val="118"/>
              <w:keepNext w:val="0"/>
              <w:keepLines w:val="0"/>
              <w:pageBreakBefore w:val="0"/>
              <w:suppressLineNumbers w:val="0"/>
              <w:kinsoku/>
              <w:overflowPunct/>
              <w:topLinePunct/>
              <w:bidi w:val="0"/>
              <w:spacing w:before="62" w:beforeLines="20" w:beforeAutospacing="0" w:after="62" w:afterLines="20" w:afterAutospacing="0" w:line="600" w:lineRule="exact"/>
              <w:ind w:left="0" w:right="0"/>
              <w:rPr>
                <w:rFonts w:hint="eastAsia" w:ascii="仿宋" w:hAnsi="仿宋" w:eastAsia="仿宋" w:cs="宋体"/>
                <w:color w:val="auto"/>
                <w:sz w:val="21"/>
                <w:szCs w:val="21"/>
                <w:highlight w:val="none"/>
                <w:u w:val="single"/>
                <w:lang w:val="en-US" w:eastAsia="zh-CN"/>
              </w:rPr>
            </w:pPr>
            <w:r>
              <w:rPr>
                <w:rFonts w:hint="eastAsia" w:ascii="仿宋" w:hAnsi="仿宋" w:eastAsia="仿宋" w:cs="宋体"/>
                <w:b w:val="0"/>
                <w:bCs/>
                <w:color w:val="auto"/>
                <w:sz w:val="21"/>
                <w:szCs w:val="21"/>
                <w:highlight w:val="none"/>
              </w:rPr>
              <w:t>确认收到澄清或修改文件的方式：</w:t>
            </w:r>
            <w:r>
              <w:rPr>
                <w:rFonts w:hint="eastAsia" w:ascii="仿宋" w:hAnsi="仿宋" w:eastAsia="仿宋" w:cs="宋体"/>
                <w:b w:val="0"/>
                <w:bCs/>
                <w:color w:val="auto"/>
                <w:sz w:val="21"/>
                <w:szCs w:val="21"/>
                <w:highlight w:val="none"/>
                <w:lang w:val="en-US" w:eastAsia="zh-CN"/>
              </w:rPr>
              <w:t>书面</w:t>
            </w:r>
          </w:p>
        </w:tc>
      </w:tr>
      <w:tr w14:paraId="015B3AAF">
        <w:tblPrEx>
          <w:tblCellMar>
            <w:top w:w="0" w:type="dxa"/>
            <w:left w:w="108" w:type="dxa"/>
            <w:bottom w:w="0" w:type="dxa"/>
            <w:right w:w="108" w:type="dxa"/>
          </w:tblCellMar>
        </w:tblPrEx>
        <w:trPr>
          <w:jc w:val="center"/>
        </w:trPr>
        <w:tc>
          <w:tcPr>
            <w:tcW w:w="626" w:type="pct"/>
            <w:tcBorders>
              <w:top w:val="single" w:color="auto" w:sz="4" w:space="0"/>
              <w:left w:val="single" w:color="auto" w:sz="4" w:space="0"/>
              <w:bottom w:val="single" w:color="auto" w:sz="4" w:space="0"/>
              <w:right w:val="single" w:color="auto" w:sz="4" w:space="0"/>
            </w:tcBorders>
            <w:noWrap w:val="0"/>
            <w:vAlign w:val="center"/>
          </w:tcPr>
          <w:p w14:paraId="6A06597F">
            <w:pPr>
              <w:pStyle w:val="114"/>
              <w:keepNext w:val="0"/>
              <w:keepLines w:val="0"/>
              <w:pageBreakBefore w:val="0"/>
              <w:suppressLineNumbers w:val="0"/>
              <w:kinsoku/>
              <w:overflowPunct/>
              <w:bidi w:val="0"/>
              <w:spacing w:before="62" w:beforeLines="20" w:beforeAutospacing="0" w:after="62" w:afterLines="20" w:afterAutospacing="0" w:line="600" w:lineRule="exact"/>
              <w:ind w:left="0" w:right="0"/>
              <w:jc w:val="center"/>
              <w:rPr>
                <w:rFonts w:hint="eastAsia" w:ascii="仿宋" w:hAnsi="仿宋" w:eastAsia="仿宋" w:cs="宋体"/>
                <w:color w:val="auto"/>
                <w:szCs w:val="21"/>
                <w:highlight w:val="none"/>
              </w:rPr>
            </w:pPr>
          </w:p>
        </w:tc>
        <w:tc>
          <w:tcPr>
            <w:tcW w:w="1205" w:type="pct"/>
            <w:tcBorders>
              <w:top w:val="single" w:color="auto" w:sz="4" w:space="0"/>
              <w:left w:val="single" w:color="auto" w:sz="4" w:space="0"/>
              <w:bottom w:val="single" w:color="auto" w:sz="4" w:space="0"/>
              <w:right w:val="single" w:color="auto" w:sz="4" w:space="0"/>
            </w:tcBorders>
            <w:noWrap w:val="0"/>
            <w:vAlign w:val="center"/>
          </w:tcPr>
          <w:p w14:paraId="54B0CAB5">
            <w:pPr>
              <w:pStyle w:val="114"/>
              <w:keepNext w:val="0"/>
              <w:keepLines w:val="0"/>
              <w:pageBreakBefore w:val="0"/>
              <w:suppressLineNumbers w:val="0"/>
              <w:kinsoku/>
              <w:overflowPunct/>
              <w:bidi w:val="0"/>
              <w:spacing w:before="62" w:beforeLines="20" w:beforeAutospacing="0" w:after="62" w:afterLines="20" w:afterAutospacing="0" w:line="600" w:lineRule="exact"/>
              <w:ind w:left="0" w:right="0"/>
              <w:jc w:val="center"/>
              <w:rPr>
                <w:rFonts w:hint="eastAsia" w:ascii="仿宋" w:hAnsi="仿宋" w:eastAsia="仿宋" w:cs="宋体"/>
                <w:color w:val="auto"/>
                <w:szCs w:val="21"/>
                <w:highlight w:val="none"/>
              </w:rPr>
            </w:pPr>
            <w:r>
              <w:rPr>
                <w:rFonts w:hint="eastAsia" w:ascii="仿宋" w:hAnsi="仿宋" w:eastAsia="仿宋" w:cs="宋体"/>
                <w:color w:val="auto"/>
                <w:szCs w:val="21"/>
                <w:highlight w:val="none"/>
              </w:rPr>
              <w:t>投标文件的组成</w:t>
            </w:r>
          </w:p>
        </w:tc>
        <w:tc>
          <w:tcPr>
            <w:tcW w:w="3167" w:type="pct"/>
            <w:tcBorders>
              <w:top w:val="single" w:color="auto" w:sz="4" w:space="0"/>
              <w:left w:val="single" w:color="auto" w:sz="4" w:space="0"/>
              <w:bottom w:val="single" w:color="auto" w:sz="4" w:space="0"/>
              <w:right w:val="single" w:color="auto" w:sz="4" w:space="0"/>
            </w:tcBorders>
            <w:noWrap w:val="0"/>
            <w:vAlign w:val="center"/>
          </w:tcPr>
          <w:p w14:paraId="38D629E6">
            <w:pPr>
              <w:pStyle w:val="119"/>
              <w:keepNext w:val="0"/>
              <w:keepLines w:val="0"/>
              <w:pageBreakBefore w:val="0"/>
              <w:suppressLineNumbers w:val="0"/>
              <w:kinsoku/>
              <w:overflowPunct/>
              <w:bidi w:val="0"/>
              <w:spacing w:before="0" w:beforeAutospacing="0" w:after="0" w:afterAutospacing="0" w:line="600" w:lineRule="exact"/>
              <w:ind w:left="0" w:right="0"/>
              <w:rPr>
                <w:rFonts w:hint="eastAsia" w:ascii="仿宋" w:hAnsi="仿宋" w:eastAsia="仿宋" w:cs="宋体"/>
                <w:b/>
                <w:bCs/>
                <w:color w:val="auto"/>
                <w:kern w:val="2"/>
                <w:sz w:val="21"/>
                <w:szCs w:val="21"/>
                <w:highlight w:val="none"/>
              </w:rPr>
            </w:pPr>
            <w:r>
              <w:rPr>
                <w:rFonts w:hint="eastAsia" w:ascii="仿宋" w:hAnsi="仿宋" w:eastAsia="仿宋" w:cs="宋体"/>
                <w:b/>
                <w:bCs/>
                <w:color w:val="auto"/>
                <w:kern w:val="2"/>
                <w:sz w:val="21"/>
                <w:szCs w:val="21"/>
                <w:highlight w:val="none"/>
              </w:rPr>
              <w:t>投标文件按照以下架构分成三册并顺序编制，如同时参与多个标包的投标，需独立编制各个标包的投标文件（本条款十分重要，请遵照办理）。</w:t>
            </w:r>
          </w:p>
          <w:p w14:paraId="75A9B09C">
            <w:pPr>
              <w:pStyle w:val="119"/>
              <w:keepNext w:val="0"/>
              <w:keepLines w:val="0"/>
              <w:pageBreakBefore w:val="0"/>
              <w:suppressLineNumbers w:val="0"/>
              <w:kinsoku/>
              <w:overflowPunct/>
              <w:bidi w:val="0"/>
              <w:spacing w:before="0" w:beforeAutospacing="0" w:after="0" w:afterAutospacing="0" w:line="600" w:lineRule="exact"/>
              <w:ind w:left="0" w:right="0"/>
              <w:rPr>
                <w:rFonts w:hint="default" w:ascii="仿宋" w:hAnsi="仿宋" w:eastAsia="仿宋" w:cs="宋体"/>
                <w:b/>
                <w:color w:val="auto"/>
                <w:szCs w:val="21"/>
                <w:highlight w:val="none"/>
              </w:rPr>
            </w:pPr>
            <w:r>
              <w:rPr>
                <w:rFonts w:hint="eastAsia" w:ascii="仿宋" w:hAnsi="仿宋" w:eastAsia="仿宋" w:cs="宋体"/>
                <w:b/>
                <w:bCs/>
                <w:color w:val="auto"/>
                <w:kern w:val="2"/>
                <w:sz w:val="21"/>
                <w:szCs w:val="21"/>
                <w:highlight w:val="none"/>
              </w:rPr>
              <w:t>★所有报价文件务必单独成册并密封，不得与商务册、技术册文件合并装订，并且商务册、技术册文件不得有任何明示、暗示投标报价的内容，否则投标将被否决。</w:t>
            </w:r>
          </w:p>
          <w:p w14:paraId="0B53DC86">
            <w:pPr>
              <w:pStyle w:val="119"/>
              <w:keepNext w:val="0"/>
              <w:keepLines w:val="0"/>
              <w:pageBreakBefore w:val="0"/>
              <w:suppressLineNumbers w:val="0"/>
              <w:kinsoku/>
              <w:overflowPunct/>
              <w:bidi w:val="0"/>
              <w:spacing w:before="62" w:beforeLines="20" w:beforeAutospacing="0" w:after="62" w:afterLines="20" w:afterAutospacing="0" w:line="600" w:lineRule="exact"/>
              <w:ind w:left="0" w:right="0"/>
              <w:rPr>
                <w:rFonts w:hint="eastAsia" w:ascii="仿宋" w:hAnsi="仿宋" w:eastAsia="仿宋" w:cs="宋体"/>
                <w:b/>
                <w:color w:val="auto"/>
                <w:sz w:val="21"/>
                <w:szCs w:val="21"/>
                <w:highlight w:val="none"/>
              </w:rPr>
            </w:pPr>
            <w:r>
              <w:rPr>
                <w:rFonts w:hint="eastAsia" w:ascii="仿宋" w:hAnsi="仿宋" w:eastAsia="仿宋" w:cs="宋体"/>
                <w:b/>
                <w:color w:val="auto"/>
                <w:sz w:val="21"/>
                <w:szCs w:val="21"/>
                <w:highlight w:val="none"/>
              </w:rPr>
              <w:t>一、商务文件</w:t>
            </w:r>
          </w:p>
          <w:p w14:paraId="22137E2F">
            <w:pPr>
              <w:pStyle w:val="119"/>
              <w:keepNext w:val="0"/>
              <w:keepLines w:val="0"/>
              <w:pageBreakBefore w:val="0"/>
              <w:suppressLineNumbers w:val="0"/>
              <w:kinsoku/>
              <w:overflowPunct/>
              <w:bidi w:val="0"/>
              <w:spacing w:before="62" w:beforeLines="20" w:beforeAutospacing="0" w:after="62" w:afterLines="20" w:afterAutospacing="0" w:line="600" w:lineRule="exact"/>
              <w:ind w:left="0" w:right="0"/>
              <w:rPr>
                <w:rFonts w:hint="eastAsia" w:ascii="仿宋" w:hAnsi="仿宋" w:eastAsia="仿宋" w:cs="宋体"/>
                <w:b/>
                <w:color w:val="auto"/>
                <w:sz w:val="21"/>
                <w:szCs w:val="21"/>
                <w:highlight w:val="none"/>
              </w:rPr>
            </w:pPr>
            <w:r>
              <w:rPr>
                <w:rFonts w:hint="eastAsia" w:ascii="仿宋" w:hAnsi="仿宋" w:eastAsia="仿宋" w:cs="宋体"/>
                <w:b/>
                <w:color w:val="auto"/>
                <w:sz w:val="21"/>
                <w:szCs w:val="21"/>
                <w:highlight w:val="none"/>
              </w:rPr>
              <w:t>初步评审索引表</w:t>
            </w:r>
          </w:p>
          <w:p w14:paraId="7003B02E">
            <w:pPr>
              <w:pStyle w:val="119"/>
              <w:keepNext w:val="0"/>
              <w:keepLines w:val="0"/>
              <w:pageBreakBefore w:val="0"/>
              <w:suppressLineNumbers w:val="0"/>
              <w:kinsoku/>
              <w:overflowPunct/>
              <w:bidi w:val="0"/>
              <w:spacing w:before="62" w:beforeLines="20" w:beforeAutospacing="0" w:after="62" w:afterLines="20" w:afterAutospacing="0" w:line="600" w:lineRule="exact"/>
              <w:ind w:left="0" w:right="0"/>
              <w:rPr>
                <w:rFonts w:hint="default" w:ascii="仿宋" w:hAnsi="仿宋" w:eastAsia="仿宋" w:cs="宋体"/>
                <w:b/>
                <w:color w:val="auto"/>
                <w:sz w:val="21"/>
                <w:szCs w:val="21"/>
                <w:highlight w:val="none"/>
              </w:rPr>
            </w:pPr>
            <w:r>
              <w:rPr>
                <w:rFonts w:hint="eastAsia" w:ascii="仿宋" w:hAnsi="仿宋" w:eastAsia="仿宋" w:cs="宋体"/>
                <w:b/>
                <w:color w:val="auto"/>
                <w:sz w:val="21"/>
                <w:szCs w:val="21"/>
                <w:highlight w:val="none"/>
              </w:rPr>
              <w:t>详细评审索引表</w:t>
            </w:r>
          </w:p>
          <w:p w14:paraId="0FEA05E9">
            <w:pPr>
              <w:pStyle w:val="119"/>
              <w:keepNext w:val="0"/>
              <w:keepLines w:val="0"/>
              <w:pageBreakBefore w:val="0"/>
              <w:suppressLineNumbers w:val="0"/>
              <w:kinsoku/>
              <w:overflowPunct/>
              <w:bidi w:val="0"/>
              <w:spacing w:before="62" w:beforeLines="20" w:beforeAutospacing="0" w:after="62" w:afterLines="20" w:afterAutospacing="0" w:line="600" w:lineRule="exact"/>
              <w:ind w:left="0" w:right="0"/>
              <w:rPr>
                <w:rFonts w:hint="eastAsia" w:ascii="仿宋" w:hAnsi="仿宋" w:eastAsia="仿宋" w:cs="宋体"/>
                <w:color w:val="auto"/>
                <w:sz w:val="21"/>
                <w:szCs w:val="21"/>
                <w:highlight w:val="none"/>
              </w:rPr>
            </w:pPr>
            <w:r>
              <w:rPr>
                <w:rFonts w:hint="eastAsia" w:ascii="仿宋" w:hAnsi="仿宋" w:eastAsia="仿宋" w:cs="宋体"/>
                <w:color w:val="auto"/>
                <w:sz w:val="21"/>
                <w:szCs w:val="21"/>
                <w:highlight w:val="none"/>
              </w:rPr>
              <w:t>（一）投标函</w:t>
            </w:r>
          </w:p>
          <w:p w14:paraId="347D93CD">
            <w:pPr>
              <w:pStyle w:val="119"/>
              <w:keepNext w:val="0"/>
              <w:keepLines w:val="0"/>
              <w:pageBreakBefore w:val="0"/>
              <w:suppressLineNumbers w:val="0"/>
              <w:kinsoku/>
              <w:overflowPunct/>
              <w:bidi w:val="0"/>
              <w:spacing w:before="62" w:beforeLines="20" w:beforeAutospacing="0" w:after="62" w:afterLines="20" w:afterAutospacing="0" w:line="600" w:lineRule="exact"/>
              <w:ind w:left="0" w:right="0"/>
              <w:rPr>
                <w:rFonts w:hint="eastAsia" w:ascii="仿宋" w:hAnsi="仿宋" w:eastAsia="仿宋" w:cs="宋体"/>
                <w:color w:val="auto"/>
                <w:sz w:val="21"/>
                <w:szCs w:val="21"/>
                <w:highlight w:val="none"/>
              </w:rPr>
            </w:pPr>
            <w:r>
              <w:rPr>
                <w:rFonts w:hint="eastAsia" w:ascii="仿宋" w:hAnsi="仿宋" w:eastAsia="仿宋" w:cs="宋体"/>
                <w:color w:val="auto"/>
                <w:sz w:val="21"/>
                <w:szCs w:val="21"/>
                <w:highlight w:val="none"/>
              </w:rPr>
              <w:t>（二）法定代表人（负责人）身份证明</w:t>
            </w:r>
          </w:p>
          <w:p w14:paraId="4A27E6A8">
            <w:pPr>
              <w:pStyle w:val="119"/>
              <w:keepNext w:val="0"/>
              <w:keepLines w:val="0"/>
              <w:pageBreakBefore w:val="0"/>
              <w:suppressLineNumbers w:val="0"/>
              <w:kinsoku/>
              <w:overflowPunct/>
              <w:bidi w:val="0"/>
              <w:spacing w:before="62" w:beforeLines="20" w:beforeAutospacing="0" w:after="62" w:afterLines="20" w:afterAutospacing="0" w:line="600" w:lineRule="exact"/>
              <w:ind w:left="0" w:right="0"/>
              <w:rPr>
                <w:rFonts w:hint="eastAsia" w:ascii="仿宋" w:hAnsi="仿宋" w:eastAsia="仿宋" w:cs="宋体"/>
                <w:color w:val="auto"/>
                <w:sz w:val="21"/>
                <w:szCs w:val="21"/>
                <w:highlight w:val="none"/>
              </w:rPr>
            </w:pPr>
            <w:r>
              <w:rPr>
                <w:rFonts w:hint="eastAsia" w:ascii="仿宋" w:hAnsi="仿宋" w:eastAsia="仿宋" w:cs="宋体"/>
                <w:color w:val="auto"/>
                <w:sz w:val="21"/>
                <w:szCs w:val="21"/>
                <w:highlight w:val="none"/>
              </w:rPr>
              <w:t>（三）法定代表人（负责人）授权委托书</w:t>
            </w:r>
          </w:p>
          <w:p w14:paraId="210879A7">
            <w:pPr>
              <w:pStyle w:val="119"/>
              <w:keepNext w:val="0"/>
              <w:keepLines w:val="0"/>
              <w:pageBreakBefore w:val="0"/>
              <w:suppressLineNumbers w:val="0"/>
              <w:kinsoku/>
              <w:overflowPunct/>
              <w:bidi w:val="0"/>
              <w:spacing w:before="62" w:beforeLines="20" w:beforeAutospacing="0" w:after="62" w:afterLines="20" w:afterAutospacing="0" w:line="600" w:lineRule="exact"/>
              <w:ind w:left="0" w:right="0"/>
              <w:rPr>
                <w:rFonts w:hint="eastAsia" w:ascii="仿宋" w:hAnsi="仿宋" w:eastAsia="仿宋" w:cs="宋体"/>
                <w:color w:val="auto"/>
                <w:sz w:val="21"/>
                <w:szCs w:val="21"/>
                <w:highlight w:val="none"/>
              </w:rPr>
            </w:pPr>
            <w:r>
              <w:rPr>
                <w:rFonts w:hint="eastAsia" w:ascii="仿宋" w:hAnsi="仿宋" w:eastAsia="仿宋" w:cs="宋体"/>
                <w:color w:val="auto"/>
                <w:sz w:val="21"/>
                <w:szCs w:val="21"/>
                <w:highlight w:val="none"/>
              </w:rPr>
              <w:t>（四）资格证明文件</w:t>
            </w:r>
          </w:p>
          <w:p w14:paraId="424AD395">
            <w:pPr>
              <w:pStyle w:val="119"/>
              <w:keepNext w:val="0"/>
              <w:keepLines w:val="0"/>
              <w:pageBreakBefore w:val="0"/>
              <w:suppressLineNumbers w:val="0"/>
              <w:kinsoku/>
              <w:overflowPunct/>
              <w:bidi w:val="0"/>
              <w:spacing w:before="62" w:beforeLines="20" w:beforeAutospacing="0" w:after="62" w:afterLines="20" w:afterAutospacing="0" w:line="600" w:lineRule="exact"/>
              <w:ind w:left="0" w:right="0"/>
              <w:rPr>
                <w:rFonts w:hint="eastAsia" w:ascii="仿宋" w:hAnsi="仿宋" w:eastAsia="仿宋" w:cs="宋体"/>
                <w:color w:val="auto"/>
                <w:sz w:val="21"/>
                <w:szCs w:val="21"/>
                <w:highlight w:val="none"/>
              </w:rPr>
            </w:pPr>
            <w:r>
              <w:rPr>
                <w:rFonts w:hint="eastAsia" w:ascii="仿宋" w:hAnsi="仿宋" w:eastAsia="仿宋" w:cs="宋体"/>
                <w:color w:val="auto"/>
                <w:sz w:val="21"/>
                <w:szCs w:val="21"/>
                <w:highlight w:val="none"/>
              </w:rPr>
              <w:t>（五）投标人须知应答偏离表</w:t>
            </w:r>
          </w:p>
          <w:p w14:paraId="470493F8">
            <w:pPr>
              <w:pStyle w:val="119"/>
              <w:keepNext w:val="0"/>
              <w:keepLines w:val="0"/>
              <w:pageBreakBefore w:val="0"/>
              <w:suppressLineNumbers w:val="0"/>
              <w:kinsoku/>
              <w:overflowPunct/>
              <w:bidi w:val="0"/>
              <w:spacing w:before="62" w:beforeLines="20" w:beforeAutospacing="0" w:after="62" w:afterLines="20" w:afterAutospacing="0" w:line="600" w:lineRule="exact"/>
              <w:ind w:left="0" w:right="0"/>
              <w:rPr>
                <w:rFonts w:hint="eastAsia" w:ascii="仿宋" w:hAnsi="仿宋" w:eastAsia="仿宋" w:cs="宋体"/>
                <w:color w:val="auto"/>
                <w:sz w:val="21"/>
                <w:szCs w:val="21"/>
                <w:highlight w:val="none"/>
              </w:rPr>
            </w:pPr>
            <w:r>
              <w:rPr>
                <w:rFonts w:hint="eastAsia" w:ascii="仿宋" w:hAnsi="仿宋" w:eastAsia="仿宋" w:cs="宋体"/>
                <w:color w:val="auto"/>
                <w:sz w:val="21"/>
                <w:szCs w:val="21"/>
                <w:highlight w:val="none"/>
              </w:rPr>
              <w:t>（六）合同条款应答偏离表</w:t>
            </w:r>
          </w:p>
          <w:p w14:paraId="344AFDC8">
            <w:pPr>
              <w:pStyle w:val="119"/>
              <w:keepNext w:val="0"/>
              <w:keepLines w:val="0"/>
              <w:pageBreakBefore w:val="0"/>
              <w:suppressLineNumbers w:val="0"/>
              <w:kinsoku/>
              <w:overflowPunct/>
              <w:bidi w:val="0"/>
              <w:spacing w:before="62" w:beforeLines="20" w:beforeAutospacing="0" w:after="62" w:afterLines="20" w:afterAutospacing="0" w:line="600" w:lineRule="exact"/>
              <w:ind w:left="0" w:right="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（七）供应商</w:t>
            </w:r>
            <w:r>
              <w:rPr>
                <w:rFonts w:hint="default" w:ascii="仿宋" w:hAnsi="仿宋" w:eastAsia="仿宋" w:cs="仿宋"/>
                <w:color w:val="auto"/>
                <w:sz w:val="21"/>
                <w:szCs w:val="21"/>
                <w:highlight w:val="none"/>
              </w:rPr>
              <w:t>行为准则</w:t>
            </w:r>
            <w:r>
              <w:rPr>
                <w:rFonts w:hint="eastAsia" w:ascii="仿宋" w:hAnsi="仿宋" w:eastAsia="仿宋" w:cs="仿宋"/>
                <w:color w:val="auto"/>
                <w:sz w:val="21"/>
                <w:szCs w:val="21"/>
                <w:highlight w:val="none"/>
              </w:rPr>
              <w:t>承诺书</w:t>
            </w:r>
          </w:p>
          <w:p w14:paraId="1E96B0C7">
            <w:pPr>
              <w:pStyle w:val="119"/>
              <w:keepNext w:val="0"/>
              <w:keepLines w:val="0"/>
              <w:pageBreakBefore w:val="0"/>
              <w:suppressLineNumbers w:val="0"/>
              <w:kinsoku/>
              <w:overflowPunct/>
              <w:bidi w:val="0"/>
              <w:spacing w:before="62" w:beforeLines="20" w:beforeAutospacing="0" w:after="62" w:afterLines="20" w:afterAutospacing="0" w:line="600" w:lineRule="exact"/>
              <w:ind w:left="0" w:right="0"/>
              <w:rPr>
                <w:rFonts w:hint="eastAsia" w:ascii="仿宋" w:hAnsi="仿宋" w:eastAsia="仿宋" w:cs="仿宋"/>
                <w:color w:val="auto"/>
                <w:sz w:val="21"/>
                <w:szCs w:val="21"/>
                <w:highlight w:val="none"/>
              </w:rPr>
            </w:pPr>
            <w:r>
              <w:rPr>
                <w:rFonts w:hint="eastAsia" w:ascii="仿宋" w:hAnsi="仿宋" w:eastAsia="仿宋" w:cs="宋体"/>
                <w:color w:val="auto"/>
                <w:sz w:val="21"/>
                <w:szCs w:val="21"/>
                <w:highlight w:val="none"/>
              </w:rPr>
              <w:t>（八）供应商廉洁诚信承诺书</w:t>
            </w:r>
          </w:p>
          <w:p w14:paraId="54DA686C">
            <w:pPr>
              <w:pStyle w:val="119"/>
              <w:keepNext w:val="0"/>
              <w:keepLines w:val="0"/>
              <w:pageBreakBefore w:val="0"/>
              <w:suppressLineNumbers w:val="0"/>
              <w:kinsoku/>
              <w:overflowPunct/>
              <w:bidi w:val="0"/>
              <w:spacing w:before="62" w:beforeLines="20" w:beforeAutospacing="0" w:after="62" w:afterLines="20" w:afterAutospacing="0" w:line="600" w:lineRule="exact"/>
              <w:ind w:left="0" w:right="0"/>
              <w:rPr>
                <w:rFonts w:hint="eastAsia" w:ascii="仿宋" w:hAnsi="仿宋" w:eastAsia="仿宋" w:cs="宋体"/>
                <w:color w:val="auto"/>
                <w:sz w:val="21"/>
                <w:szCs w:val="21"/>
                <w:highlight w:val="none"/>
              </w:rPr>
            </w:pPr>
            <w:r>
              <w:rPr>
                <w:rFonts w:hint="eastAsia" w:ascii="仿宋" w:hAnsi="仿宋" w:eastAsia="仿宋" w:cs="仿宋"/>
                <w:color w:val="auto"/>
                <w:sz w:val="21"/>
                <w:szCs w:val="21"/>
                <w:highlight w:val="none"/>
              </w:rPr>
              <w:t>（九）其他材料</w:t>
            </w:r>
            <w:r>
              <w:rPr>
                <w:rFonts w:hint="eastAsia" w:ascii="仿宋" w:hAnsi="仿宋" w:eastAsia="仿宋" w:cs="宋体"/>
                <w:color w:val="auto"/>
                <w:sz w:val="21"/>
                <w:szCs w:val="21"/>
                <w:highlight w:val="none"/>
              </w:rPr>
              <w:t>（如有）</w:t>
            </w:r>
          </w:p>
          <w:p w14:paraId="17904551">
            <w:pPr>
              <w:pStyle w:val="119"/>
              <w:keepNext w:val="0"/>
              <w:keepLines w:val="0"/>
              <w:pageBreakBefore w:val="0"/>
              <w:suppressLineNumbers w:val="0"/>
              <w:kinsoku/>
              <w:overflowPunct/>
              <w:bidi w:val="0"/>
              <w:spacing w:before="62" w:beforeLines="20" w:beforeAutospacing="0" w:after="62" w:afterLines="20" w:afterAutospacing="0" w:line="600" w:lineRule="exact"/>
              <w:ind w:left="0" w:right="0"/>
              <w:rPr>
                <w:rFonts w:hint="eastAsia" w:ascii="仿宋" w:hAnsi="仿宋" w:eastAsia="仿宋" w:cs="宋体"/>
                <w:b/>
                <w:bCs/>
                <w:color w:val="auto"/>
                <w:szCs w:val="21"/>
                <w:highlight w:val="none"/>
              </w:rPr>
            </w:pPr>
            <w:r>
              <w:rPr>
                <w:rFonts w:hint="eastAsia" w:ascii="仿宋" w:hAnsi="仿宋" w:eastAsia="仿宋" w:cs="宋体"/>
                <w:b/>
                <w:bCs/>
                <w:color w:val="auto"/>
                <w:szCs w:val="21"/>
                <w:highlight w:val="none"/>
              </w:rPr>
              <w:t>二、技术文件</w:t>
            </w:r>
          </w:p>
          <w:p w14:paraId="5B6E2085">
            <w:pPr>
              <w:pStyle w:val="119"/>
              <w:keepNext w:val="0"/>
              <w:keepLines w:val="0"/>
              <w:pageBreakBefore w:val="0"/>
              <w:suppressLineNumbers w:val="0"/>
              <w:kinsoku/>
              <w:overflowPunct/>
              <w:bidi w:val="0"/>
              <w:spacing w:before="62" w:beforeLines="20" w:beforeAutospacing="0" w:after="62" w:afterLines="20" w:afterAutospacing="0" w:line="600" w:lineRule="exact"/>
              <w:ind w:left="0" w:right="0"/>
              <w:rPr>
                <w:rFonts w:hint="eastAsia" w:ascii="仿宋" w:hAnsi="仿宋" w:eastAsia="仿宋" w:cs="宋体"/>
                <w:b/>
                <w:color w:val="auto"/>
                <w:sz w:val="21"/>
                <w:szCs w:val="21"/>
                <w:highlight w:val="none"/>
              </w:rPr>
            </w:pPr>
            <w:r>
              <w:rPr>
                <w:rFonts w:hint="eastAsia" w:ascii="仿宋" w:hAnsi="仿宋" w:eastAsia="仿宋" w:cs="宋体"/>
                <w:b/>
                <w:color w:val="auto"/>
                <w:sz w:val="21"/>
                <w:szCs w:val="21"/>
                <w:highlight w:val="none"/>
              </w:rPr>
              <w:t>详细评审索引表</w:t>
            </w:r>
          </w:p>
          <w:p w14:paraId="6024F7E7">
            <w:pPr>
              <w:pStyle w:val="119"/>
              <w:keepNext w:val="0"/>
              <w:keepLines w:val="0"/>
              <w:pageBreakBefore w:val="0"/>
              <w:suppressLineNumbers w:val="0"/>
              <w:kinsoku/>
              <w:overflowPunct/>
              <w:bidi w:val="0"/>
              <w:spacing w:before="62" w:beforeLines="20" w:beforeAutospacing="0" w:after="62" w:afterLines="20" w:afterAutospacing="0" w:line="600" w:lineRule="exact"/>
              <w:ind w:left="0" w:right="0"/>
              <w:rPr>
                <w:rFonts w:hint="eastAsia" w:ascii="仿宋" w:hAnsi="仿宋" w:eastAsia="仿宋" w:cs="宋体"/>
                <w:color w:val="auto"/>
                <w:sz w:val="21"/>
                <w:szCs w:val="21"/>
                <w:highlight w:val="none"/>
              </w:rPr>
            </w:pPr>
            <w:r>
              <w:rPr>
                <w:rFonts w:hint="eastAsia" w:ascii="仿宋" w:hAnsi="仿宋" w:eastAsia="仿宋" w:cs="宋体"/>
                <w:color w:val="auto"/>
                <w:sz w:val="21"/>
                <w:szCs w:val="21"/>
                <w:highlight w:val="none"/>
              </w:rPr>
              <w:t>（一）技术规范书应答偏离表</w:t>
            </w:r>
          </w:p>
          <w:p w14:paraId="16994409">
            <w:pPr>
              <w:pStyle w:val="119"/>
              <w:keepNext w:val="0"/>
              <w:keepLines w:val="0"/>
              <w:pageBreakBefore w:val="0"/>
              <w:suppressLineNumbers w:val="0"/>
              <w:kinsoku/>
              <w:overflowPunct/>
              <w:bidi w:val="0"/>
              <w:spacing w:before="62" w:beforeLines="20" w:beforeAutospacing="0" w:after="62" w:afterLines="20" w:afterAutospacing="0" w:line="600" w:lineRule="exact"/>
              <w:ind w:left="0" w:right="0"/>
              <w:rPr>
                <w:rFonts w:hint="eastAsia" w:ascii="仿宋" w:hAnsi="仿宋" w:eastAsia="仿宋" w:cs="宋体"/>
                <w:color w:val="auto"/>
                <w:sz w:val="21"/>
                <w:szCs w:val="21"/>
                <w:highlight w:val="none"/>
              </w:rPr>
            </w:pPr>
            <w:r>
              <w:rPr>
                <w:rFonts w:hint="eastAsia" w:ascii="仿宋" w:hAnsi="仿宋" w:eastAsia="仿宋" w:cs="宋体"/>
                <w:color w:val="auto"/>
                <w:sz w:val="21"/>
                <w:szCs w:val="21"/>
                <w:highlight w:val="none"/>
              </w:rPr>
              <w:t>（二）技术方案</w:t>
            </w:r>
          </w:p>
          <w:p w14:paraId="2F96BC5D">
            <w:pPr>
              <w:pStyle w:val="119"/>
              <w:keepNext w:val="0"/>
              <w:keepLines w:val="0"/>
              <w:pageBreakBefore w:val="0"/>
              <w:suppressLineNumbers w:val="0"/>
              <w:kinsoku/>
              <w:overflowPunct/>
              <w:bidi w:val="0"/>
              <w:spacing w:before="62" w:beforeLines="20" w:beforeAutospacing="0" w:after="62" w:afterLines="20" w:afterAutospacing="0" w:line="600" w:lineRule="exact"/>
              <w:ind w:left="0" w:right="0"/>
              <w:rPr>
                <w:rFonts w:hint="eastAsia" w:ascii="仿宋" w:hAnsi="仿宋" w:eastAsia="仿宋" w:cs="宋体"/>
                <w:color w:val="auto"/>
                <w:sz w:val="21"/>
                <w:szCs w:val="21"/>
                <w:highlight w:val="none"/>
              </w:rPr>
            </w:pPr>
            <w:r>
              <w:rPr>
                <w:rFonts w:hint="eastAsia" w:ascii="仿宋" w:hAnsi="仿宋" w:eastAsia="仿宋" w:cs="宋体"/>
                <w:color w:val="auto"/>
                <w:sz w:val="21"/>
                <w:szCs w:val="21"/>
                <w:highlight w:val="none"/>
              </w:rPr>
              <w:t>（三）其他材料（如有）</w:t>
            </w:r>
          </w:p>
          <w:p w14:paraId="0C280D51">
            <w:pPr>
              <w:pStyle w:val="119"/>
              <w:keepNext w:val="0"/>
              <w:keepLines w:val="0"/>
              <w:pageBreakBefore w:val="0"/>
              <w:suppressLineNumbers w:val="0"/>
              <w:kinsoku/>
              <w:overflowPunct/>
              <w:bidi w:val="0"/>
              <w:spacing w:before="62" w:beforeLines="20" w:beforeAutospacing="0" w:after="62" w:afterLines="20" w:afterAutospacing="0" w:line="600" w:lineRule="exact"/>
              <w:ind w:left="0" w:right="0"/>
              <w:rPr>
                <w:rFonts w:hint="eastAsia" w:ascii="仿宋" w:hAnsi="仿宋" w:eastAsia="仿宋" w:cs="宋体"/>
                <w:b/>
                <w:bCs/>
                <w:color w:val="auto"/>
                <w:szCs w:val="21"/>
                <w:highlight w:val="none"/>
              </w:rPr>
            </w:pPr>
            <w:r>
              <w:rPr>
                <w:rFonts w:hint="eastAsia" w:ascii="仿宋" w:hAnsi="仿宋" w:eastAsia="仿宋" w:cs="宋体"/>
                <w:b/>
                <w:bCs/>
                <w:color w:val="auto"/>
                <w:szCs w:val="21"/>
                <w:highlight w:val="none"/>
              </w:rPr>
              <w:t>三、报价文件</w:t>
            </w:r>
          </w:p>
          <w:p w14:paraId="0F0174FF">
            <w:pPr>
              <w:pStyle w:val="119"/>
              <w:keepNext w:val="0"/>
              <w:keepLines w:val="0"/>
              <w:pageBreakBefore w:val="0"/>
              <w:suppressLineNumbers w:val="0"/>
              <w:kinsoku/>
              <w:overflowPunct/>
              <w:bidi w:val="0"/>
              <w:spacing w:before="62" w:beforeLines="20" w:beforeAutospacing="0" w:after="62" w:afterLines="20" w:afterAutospacing="0" w:line="600" w:lineRule="exact"/>
              <w:ind w:left="0" w:right="0"/>
              <w:rPr>
                <w:rFonts w:hint="eastAsia" w:ascii="仿宋" w:hAnsi="仿宋" w:eastAsia="仿宋" w:cs="宋体"/>
                <w:color w:val="auto"/>
                <w:sz w:val="21"/>
                <w:szCs w:val="21"/>
                <w:highlight w:val="none"/>
              </w:rPr>
            </w:pPr>
            <w:r>
              <w:rPr>
                <w:rFonts w:hint="eastAsia" w:ascii="仿宋" w:hAnsi="仿宋" w:eastAsia="仿宋" w:cs="宋体"/>
                <w:color w:val="auto"/>
                <w:sz w:val="21"/>
                <w:szCs w:val="21"/>
                <w:highlight w:val="none"/>
              </w:rPr>
              <w:t>（一）投标一览表</w:t>
            </w:r>
          </w:p>
          <w:p w14:paraId="732B58C3">
            <w:pPr>
              <w:pStyle w:val="119"/>
              <w:keepNext w:val="0"/>
              <w:keepLines w:val="0"/>
              <w:pageBreakBefore w:val="0"/>
              <w:suppressLineNumbers w:val="0"/>
              <w:kinsoku/>
              <w:overflowPunct/>
              <w:bidi w:val="0"/>
              <w:spacing w:before="62" w:beforeLines="20" w:beforeAutospacing="0" w:after="62" w:afterLines="20" w:afterAutospacing="0" w:line="600" w:lineRule="exact"/>
              <w:ind w:left="0" w:right="0"/>
              <w:rPr>
                <w:rFonts w:hint="eastAsia" w:cs="Times New Roman"/>
                <w:color w:val="auto"/>
                <w:szCs w:val="20"/>
                <w:highlight w:val="none"/>
              </w:rPr>
            </w:pPr>
            <w:r>
              <w:rPr>
                <w:rFonts w:hint="eastAsia" w:ascii="仿宋" w:hAnsi="仿宋" w:eastAsia="仿宋" w:cs="宋体"/>
                <w:color w:val="auto"/>
                <w:sz w:val="21"/>
                <w:szCs w:val="21"/>
                <w:highlight w:val="none"/>
              </w:rPr>
              <w:t>（二）分项报价表（如有）</w:t>
            </w:r>
          </w:p>
        </w:tc>
      </w:tr>
      <w:tr w14:paraId="45436435">
        <w:tblPrEx>
          <w:tblCellMar>
            <w:top w:w="0" w:type="dxa"/>
            <w:left w:w="108" w:type="dxa"/>
            <w:bottom w:w="0" w:type="dxa"/>
            <w:right w:w="108" w:type="dxa"/>
          </w:tblCellMar>
        </w:tblPrEx>
        <w:trPr>
          <w:jc w:val="center"/>
        </w:trPr>
        <w:tc>
          <w:tcPr>
            <w:tcW w:w="626" w:type="pct"/>
            <w:tcBorders>
              <w:top w:val="single" w:color="auto" w:sz="4" w:space="0"/>
              <w:left w:val="single" w:color="auto" w:sz="4" w:space="0"/>
              <w:bottom w:val="single" w:color="auto" w:sz="4" w:space="0"/>
              <w:right w:val="single" w:color="auto" w:sz="4" w:space="0"/>
            </w:tcBorders>
            <w:noWrap w:val="0"/>
            <w:vAlign w:val="center"/>
          </w:tcPr>
          <w:p w14:paraId="31E8C0E3">
            <w:pPr>
              <w:pStyle w:val="114"/>
              <w:keepNext w:val="0"/>
              <w:keepLines w:val="0"/>
              <w:pageBreakBefore w:val="0"/>
              <w:suppressLineNumbers w:val="0"/>
              <w:kinsoku/>
              <w:overflowPunct/>
              <w:bidi w:val="0"/>
              <w:spacing w:before="62" w:beforeLines="20" w:beforeAutospacing="0" w:after="62" w:afterLines="20" w:afterAutospacing="0" w:line="600" w:lineRule="exact"/>
              <w:ind w:left="0" w:right="0"/>
              <w:jc w:val="center"/>
              <w:rPr>
                <w:rFonts w:hint="eastAsia" w:ascii="仿宋" w:hAnsi="仿宋" w:eastAsia="仿宋" w:cs="宋体"/>
                <w:color w:val="auto"/>
                <w:szCs w:val="21"/>
                <w:highlight w:val="none"/>
              </w:rPr>
            </w:pPr>
          </w:p>
        </w:tc>
        <w:tc>
          <w:tcPr>
            <w:tcW w:w="1205" w:type="pct"/>
            <w:tcBorders>
              <w:top w:val="single" w:color="auto" w:sz="4" w:space="0"/>
              <w:left w:val="single" w:color="auto" w:sz="4" w:space="0"/>
              <w:bottom w:val="single" w:color="auto" w:sz="4" w:space="0"/>
              <w:right w:val="single" w:color="auto" w:sz="4" w:space="0"/>
            </w:tcBorders>
            <w:noWrap w:val="0"/>
            <w:vAlign w:val="center"/>
          </w:tcPr>
          <w:p w14:paraId="7AD0C2A4">
            <w:pPr>
              <w:keepNext w:val="0"/>
              <w:keepLines w:val="0"/>
              <w:pageBreakBefore w:val="0"/>
              <w:suppressLineNumbers w:val="0"/>
              <w:kinsoku/>
              <w:overflowPunct/>
              <w:bidi w:val="0"/>
              <w:spacing w:before="62" w:beforeLines="20" w:beforeAutospacing="0" w:after="62" w:afterLines="20" w:afterAutospacing="0" w:line="600" w:lineRule="exact"/>
              <w:ind w:left="0" w:right="0"/>
              <w:jc w:val="center"/>
              <w:rPr>
                <w:rFonts w:hint="eastAsia" w:ascii="仿宋" w:hAnsi="仿宋" w:eastAsia="仿宋" w:cs="宋体"/>
                <w:color w:val="auto"/>
                <w:szCs w:val="21"/>
                <w:highlight w:val="none"/>
              </w:rPr>
            </w:pPr>
            <w:r>
              <w:rPr>
                <w:rFonts w:hint="eastAsia" w:ascii="仿宋" w:hAnsi="仿宋" w:eastAsia="仿宋" w:cs="宋体"/>
                <w:color w:val="auto"/>
                <w:szCs w:val="21"/>
                <w:highlight w:val="none"/>
              </w:rPr>
              <w:t>投标文件应答和编写</w:t>
            </w:r>
          </w:p>
        </w:tc>
        <w:tc>
          <w:tcPr>
            <w:tcW w:w="3167" w:type="pct"/>
            <w:tcBorders>
              <w:top w:val="single" w:color="auto" w:sz="4" w:space="0"/>
              <w:left w:val="single" w:color="auto" w:sz="4" w:space="0"/>
              <w:bottom w:val="single" w:color="auto" w:sz="4" w:space="0"/>
              <w:right w:val="single" w:color="auto" w:sz="4" w:space="0"/>
            </w:tcBorders>
            <w:noWrap w:val="0"/>
            <w:vAlign w:val="center"/>
          </w:tcPr>
          <w:p w14:paraId="3CB8634E">
            <w:pPr>
              <w:keepNext w:val="0"/>
              <w:keepLines w:val="0"/>
              <w:pageBreakBefore w:val="0"/>
              <w:suppressLineNumbers w:val="0"/>
              <w:tabs>
                <w:tab w:val="left" w:pos="318"/>
              </w:tabs>
              <w:kinsoku/>
              <w:overflowPunct/>
              <w:bidi w:val="0"/>
              <w:spacing w:before="62" w:beforeLines="20" w:beforeAutospacing="0" w:after="62" w:afterLines="20" w:afterAutospacing="0" w:line="600" w:lineRule="exact"/>
              <w:ind w:left="0" w:right="0"/>
              <w:rPr>
                <w:rFonts w:hint="eastAsia" w:ascii="仿宋" w:hAnsi="仿宋" w:eastAsia="仿宋" w:cs="仿宋"/>
                <w:color w:val="auto"/>
                <w:szCs w:val="20"/>
                <w:highlight w:val="none"/>
              </w:rPr>
            </w:pPr>
            <w:r>
              <w:rPr>
                <w:rFonts w:hint="eastAsia" w:ascii="仿宋" w:hAnsi="仿宋" w:eastAsia="仿宋" w:cs="仿宋"/>
                <w:color w:val="auto"/>
                <w:szCs w:val="20"/>
                <w:highlight w:val="none"/>
              </w:rPr>
              <w:t>（1）投标人应当逐条对照第二章投标人须知、第四章合同条款进行偏离表应答，只能使用“满足”和“不满足”进行应答。如有“不满足”项，在偏离表中标明条款序号，应答“不满足”并加以详细的解释说明；</w:t>
            </w:r>
            <w:r>
              <w:rPr>
                <w:rFonts w:hint="eastAsia" w:ascii="仿宋" w:hAnsi="仿宋" w:eastAsia="仿宋" w:cs="仿宋"/>
                <w:b/>
                <w:bCs/>
                <w:color w:val="auto"/>
                <w:szCs w:val="20"/>
                <w:highlight w:val="none"/>
              </w:rPr>
              <w:t>如全部满足，在偏离表中应答“全部满足”即可</w:t>
            </w:r>
            <w:r>
              <w:rPr>
                <w:rFonts w:hint="eastAsia" w:ascii="仿宋" w:hAnsi="仿宋" w:eastAsia="仿宋" w:cs="仿宋"/>
                <w:color w:val="auto"/>
                <w:szCs w:val="20"/>
                <w:highlight w:val="none"/>
              </w:rPr>
              <w:t>，不应再附加任何说明（招标文件中要求进行解释或提出建议的除外）。</w:t>
            </w:r>
          </w:p>
          <w:p w14:paraId="56DA81BE">
            <w:pPr>
              <w:keepNext w:val="0"/>
              <w:keepLines w:val="0"/>
              <w:pageBreakBefore w:val="0"/>
              <w:suppressLineNumbers w:val="0"/>
              <w:tabs>
                <w:tab w:val="left" w:pos="318"/>
              </w:tabs>
              <w:kinsoku/>
              <w:overflowPunct/>
              <w:bidi w:val="0"/>
              <w:spacing w:before="62" w:beforeLines="20" w:beforeAutospacing="0" w:after="62" w:afterLines="20" w:afterAutospacing="0" w:line="600" w:lineRule="exact"/>
              <w:ind w:left="0" w:right="0"/>
              <w:rPr>
                <w:rFonts w:hint="eastAsia" w:ascii="仿宋" w:hAnsi="仿宋" w:eastAsia="仿宋" w:cs="仿宋"/>
                <w:color w:val="auto"/>
                <w:szCs w:val="20"/>
                <w:highlight w:val="none"/>
              </w:rPr>
            </w:pPr>
            <w:r>
              <w:rPr>
                <w:rFonts w:hint="eastAsia" w:ascii="仿宋" w:hAnsi="仿宋" w:eastAsia="仿宋" w:cs="仿宋"/>
                <w:color w:val="auto"/>
                <w:szCs w:val="20"/>
                <w:highlight w:val="none"/>
              </w:rPr>
              <w:t>（2）投标人应当逐条对照第五章技术规范书进行偏离表应答。只能使用“满足”和“不满足”进行应答，不得使用“明白”、“理解”等词语。投标人认为满足并优于技术规范书要求的条款，应答“满足”并解释说明优于的具体程度；如有“不满足”项，在偏离表中标明条款序号，应答“不满足”并加以详细的解释说明；</w:t>
            </w:r>
            <w:r>
              <w:rPr>
                <w:rFonts w:hint="eastAsia" w:ascii="仿宋" w:hAnsi="仿宋" w:eastAsia="仿宋" w:cs="仿宋"/>
                <w:b/>
                <w:bCs/>
                <w:color w:val="auto"/>
                <w:szCs w:val="20"/>
                <w:highlight w:val="none"/>
              </w:rPr>
              <w:t>如全部满足，在偏离表中应答“全部满足”即可</w:t>
            </w:r>
            <w:r>
              <w:rPr>
                <w:rFonts w:hint="eastAsia" w:ascii="仿宋" w:hAnsi="仿宋" w:eastAsia="仿宋" w:cs="仿宋"/>
                <w:color w:val="auto"/>
                <w:szCs w:val="20"/>
                <w:highlight w:val="none"/>
              </w:rPr>
              <w:t>，不应再附加任何说明（招标文件中要求进行解释或提出建议的除外）。</w:t>
            </w:r>
          </w:p>
          <w:p w14:paraId="2BB7C2FD">
            <w:pPr>
              <w:keepNext w:val="0"/>
              <w:keepLines w:val="0"/>
              <w:pageBreakBefore w:val="0"/>
              <w:suppressLineNumbers w:val="0"/>
              <w:kinsoku/>
              <w:overflowPunct/>
              <w:autoSpaceDE w:val="0"/>
              <w:autoSpaceDN w:val="0"/>
              <w:bidi w:val="0"/>
              <w:spacing w:before="0" w:beforeAutospacing="0" w:after="0" w:afterAutospacing="0" w:line="600" w:lineRule="exact"/>
              <w:ind w:left="0" w:right="0"/>
              <w:rPr>
                <w:rFonts w:hint="eastAsia" w:ascii="Times New Roman" w:hAnsi="Times New Roman" w:cs="Times New Roman"/>
                <w:color w:val="auto"/>
                <w:szCs w:val="20"/>
                <w:highlight w:val="none"/>
              </w:rPr>
            </w:pPr>
            <w:r>
              <w:rPr>
                <w:rFonts w:hint="eastAsia" w:ascii="仿宋" w:hAnsi="仿宋" w:eastAsia="仿宋" w:cs="宋体"/>
                <w:bCs/>
                <w:color w:val="auto"/>
                <w:szCs w:val="21"/>
                <w:highlight w:val="none"/>
              </w:rPr>
              <w:t>（3）</w:t>
            </w:r>
            <w:bookmarkStart w:id="59" w:name="_Hlk173251213"/>
            <w:r>
              <w:rPr>
                <w:rFonts w:hint="eastAsia" w:ascii="仿宋" w:hAnsi="仿宋" w:eastAsia="仿宋" w:cs="宋体"/>
                <w:bCs/>
                <w:color w:val="auto"/>
                <w:szCs w:val="21"/>
                <w:highlight w:val="none"/>
              </w:rPr>
              <w:t>对于招标文件中提及的原件或复印件要求，照片件、扫描件、影印件、截图件等与其具有同等效力（招标文件有特殊要求的除外）。</w:t>
            </w:r>
            <w:bookmarkEnd w:id="59"/>
          </w:p>
        </w:tc>
      </w:tr>
      <w:tr w14:paraId="7A164AE8">
        <w:tblPrEx>
          <w:tblCellMar>
            <w:top w:w="0" w:type="dxa"/>
            <w:left w:w="108" w:type="dxa"/>
            <w:bottom w:w="0" w:type="dxa"/>
            <w:right w:w="108" w:type="dxa"/>
          </w:tblCellMar>
        </w:tblPrEx>
        <w:trPr>
          <w:jc w:val="center"/>
        </w:trPr>
        <w:tc>
          <w:tcPr>
            <w:tcW w:w="626" w:type="pct"/>
            <w:tcBorders>
              <w:top w:val="single" w:color="auto" w:sz="4" w:space="0"/>
              <w:left w:val="single" w:color="auto" w:sz="4" w:space="0"/>
              <w:bottom w:val="single" w:color="auto" w:sz="4" w:space="0"/>
              <w:right w:val="single" w:color="auto" w:sz="4" w:space="0"/>
            </w:tcBorders>
            <w:noWrap w:val="0"/>
            <w:vAlign w:val="center"/>
          </w:tcPr>
          <w:p w14:paraId="322D7D38">
            <w:pPr>
              <w:pStyle w:val="114"/>
              <w:keepNext w:val="0"/>
              <w:keepLines w:val="0"/>
              <w:pageBreakBefore w:val="0"/>
              <w:suppressLineNumbers w:val="0"/>
              <w:kinsoku/>
              <w:overflowPunct/>
              <w:bidi w:val="0"/>
              <w:spacing w:before="62" w:beforeLines="20" w:beforeAutospacing="0" w:after="62" w:afterLines="20" w:afterAutospacing="0" w:line="600" w:lineRule="exact"/>
              <w:ind w:left="0" w:right="0"/>
              <w:jc w:val="center"/>
              <w:rPr>
                <w:rFonts w:hint="eastAsia" w:ascii="仿宋" w:hAnsi="仿宋" w:eastAsia="仿宋" w:cs="宋体"/>
                <w:color w:val="auto"/>
                <w:szCs w:val="21"/>
                <w:highlight w:val="none"/>
              </w:rPr>
            </w:pPr>
          </w:p>
        </w:tc>
        <w:tc>
          <w:tcPr>
            <w:tcW w:w="1205" w:type="pct"/>
            <w:tcBorders>
              <w:top w:val="single" w:color="auto" w:sz="4" w:space="0"/>
              <w:left w:val="single" w:color="auto" w:sz="4" w:space="0"/>
              <w:bottom w:val="single" w:color="auto" w:sz="4" w:space="0"/>
              <w:right w:val="single" w:color="auto" w:sz="4" w:space="0"/>
            </w:tcBorders>
            <w:noWrap w:val="0"/>
            <w:vAlign w:val="center"/>
          </w:tcPr>
          <w:p w14:paraId="74666C82">
            <w:pPr>
              <w:keepNext w:val="0"/>
              <w:keepLines w:val="0"/>
              <w:pageBreakBefore w:val="0"/>
              <w:suppressLineNumbers w:val="0"/>
              <w:kinsoku/>
              <w:overflowPunct/>
              <w:bidi w:val="0"/>
              <w:spacing w:before="62" w:beforeLines="20" w:beforeAutospacing="0" w:after="62" w:afterLines="20" w:afterAutospacing="0" w:line="600" w:lineRule="exact"/>
              <w:ind w:left="0" w:right="0"/>
              <w:jc w:val="center"/>
              <w:rPr>
                <w:rFonts w:hint="eastAsia" w:ascii="仿宋" w:hAnsi="仿宋" w:eastAsia="仿宋" w:cs="宋体"/>
                <w:color w:val="auto"/>
                <w:szCs w:val="21"/>
                <w:highlight w:val="none"/>
              </w:rPr>
            </w:pPr>
            <w:r>
              <w:rPr>
                <w:rFonts w:hint="eastAsia" w:ascii="仿宋" w:hAnsi="仿宋" w:eastAsia="仿宋" w:cs="宋体"/>
                <w:color w:val="auto"/>
                <w:szCs w:val="21"/>
                <w:highlight w:val="none"/>
              </w:rPr>
              <w:t>★投标文件的盖章或签字要求</w:t>
            </w:r>
          </w:p>
        </w:tc>
        <w:tc>
          <w:tcPr>
            <w:tcW w:w="3167" w:type="pct"/>
            <w:tcBorders>
              <w:top w:val="single" w:color="auto" w:sz="4" w:space="0"/>
              <w:left w:val="single" w:color="auto" w:sz="4" w:space="0"/>
              <w:bottom w:val="single" w:color="auto" w:sz="4" w:space="0"/>
              <w:right w:val="single" w:color="auto" w:sz="4" w:space="0"/>
            </w:tcBorders>
            <w:noWrap w:val="0"/>
            <w:vAlign w:val="center"/>
          </w:tcPr>
          <w:p w14:paraId="49242970">
            <w:pPr>
              <w:pStyle w:val="118"/>
              <w:keepNext w:val="0"/>
              <w:keepLines w:val="0"/>
              <w:pageBreakBefore w:val="0"/>
              <w:suppressLineNumbers w:val="0"/>
              <w:kinsoku/>
              <w:overflowPunct/>
              <w:topLinePunct/>
              <w:bidi w:val="0"/>
              <w:spacing w:before="62" w:beforeLines="20" w:beforeAutospacing="0" w:after="62" w:afterLines="20" w:afterAutospacing="0" w:line="600" w:lineRule="exact"/>
              <w:ind w:left="0" w:right="0"/>
              <w:rPr>
                <w:rFonts w:hint="eastAsia" w:ascii="仿宋" w:hAnsi="仿宋" w:eastAsia="仿宋" w:cs="宋体"/>
                <w:color w:val="auto"/>
                <w:sz w:val="21"/>
                <w:szCs w:val="21"/>
                <w:highlight w:val="none"/>
              </w:rPr>
            </w:pPr>
            <w:r>
              <w:rPr>
                <w:rFonts w:hint="eastAsia" w:ascii="仿宋" w:hAnsi="仿宋" w:eastAsia="仿宋" w:cs="宋体"/>
                <w:color w:val="auto"/>
                <w:sz w:val="21"/>
                <w:szCs w:val="21"/>
                <w:highlight w:val="none"/>
              </w:rPr>
              <w:t>（1）《法定代表人（负责人）身份证明》的落款处应加盖公章。</w:t>
            </w:r>
          </w:p>
          <w:p w14:paraId="5152B5C9">
            <w:pPr>
              <w:pStyle w:val="118"/>
              <w:keepNext w:val="0"/>
              <w:keepLines w:val="0"/>
              <w:pageBreakBefore w:val="0"/>
              <w:suppressLineNumbers w:val="0"/>
              <w:kinsoku/>
              <w:overflowPunct/>
              <w:topLinePunct/>
              <w:bidi w:val="0"/>
              <w:spacing w:before="62" w:beforeLines="20" w:beforeAutospacing="0" w:after="62" w:afterLines="20" w:afterAutospacing="0" w:line="600" w:lineRule="exact"/>
              <w:ind w:left="0" w:right="0"/>
              <w:rPr>
                <w:rFonts w:hint="eastAsia" w:ascii="仿宋" w:hAnsi="仿宋" w:eastAsia="仿宋" w:cs="宋体"/>
                <w:color w:val="auto"/>
                <w:sz w:val="21"/>
                <w:szCs w:val="21"/>
                <w:highlight w:val="none"/>
              </w:rPr>
            </w:pPr>
            <w:r>
              <w:rPr>
                <w:rFonts w:hint="eastAsia" w:ascii="仿宋" w:hAnsi="仿宋" w:eastAsia="仿宋" w:cs="宋体"/>
                <w:color w:val="auto"/>
                <w:sz w:val="21"/>
                <w:szCs w:val="21"/>
                <w:highlight w:val="none"/>
              </w:rPr>
              <w:t>（2）《法定代表人（负责人）授权委托书》的落款处应加盖公章</w:t>
            </w:r>
            <w:r>
              <w:rPr>
                <w:rFonts w:hint="eastAsia" w:ascii="仿宋" w:hAnsi="仿宋" w:eastAsia="仿宋" w:cs="宋体"/>
                <w:b/>
                <w:color w:val="auto"/>
                <w:sz w:val="21"/>
                <w:szCs w:val="21"/>
                <w:highlight w:val="none"/>
              </w:rPr>
              <w:t>并由</w:t>
            </w:r>
            <w:r>
              <w:rPr>
                <w:rFonts w:hint="eastAsia" w:ascii="仿宋" w:hAnsi="仿宋" w:eastAsia="仿宋" w:cs="宋体"/>
                <w:color w:val="auto"/>
                <w:sz w:val="21"/>
                <w:szCs w:val="21"/>
                <w:highlight w:val="none"/>
              </w:rPr>
              <w:t>法定代表人（负责人）</w:t>
            </w:r>
            <w:r>
              <w:rPr>
                <w:rFonts w:hint="eastAsia" w:ascii="仿宋" w:hAnsi="仿宋" w:eastAsia="仿宋" w:cs="宋体"/>
                <w:b/>
                <w:color w:val="auto"/>
                <w:sz w:val="21"/>
                <w:szCs w:val="21"/>
                <w:highlight w:val="none"/>
              </w:rPr>
              <w:t>和</w:t>
            </w:r>
            <w:r>
              <w:rPr>
                <w:rFonts w:hint="eastAsia" w:ascii="仿宋" w:hAnsi="仿宋" w:eastAsia="仿宋" w:cs="宋体"/>
                <w:color w:val="auto"/>
                <w:sz w:val="21"/>
                <w:szCs w:val="21"/>
                <w:highlight w:val="none"/>
              </w:rPr>
              <w:t>其委托代理人</w:t>
            </w:r>
            <w:r>
              <w:rPr>
                <w:rFonts w:hint="eastAsia" w:ascii="仿宋" w:hAnsi="仿宋" w:eastAsia="仿宋" w:cs="宋体"/>
                <w:b/>
                <w:color w:val="auto"/>
                <w:sz w:val="21"/>
                <w:szCs w:val="21"/>
                <w:highlight w:val="none"/>
              </w:rPr>
              <w:t>双方</w:t>
            </w:r>
            <w:r>
              <w:rPr>
                <w:rFonts w:hint="eastAsia" w:ascii="仿宋" w:hAnsi="仿宋" w:eastAsia="仿宋" w:cs="宋体"/>
                <w:color w:val="auto"/>
                <w:sz w:val="21"/>
                <w:szCs w:val="21"/>
                <w:highlight w:val="none"/>
              </w:rPr>
              <w:t>签字。</w:t>
            </w:r>
          </w:p>
          <w:p w14:paraId="2E2F6DCA">
            <w:pPr>
              <w:pStyle w:val="118"/>
              <w:keepNext w:val="0"/>
              <w:keepLines w:val="0"/>
              <w:pageBreakBefore w:val="0"/>
              <w:suppressLineNumbers w:val="0"/>
              <w:kinsoku/>
              <w:overflowPunct/>
              <w:topLinePunct/>
              <w:bidi w:val="0"/>
              <w:spacing w:before="62" w:beforeLines="20" w:beforeAutospacing="0" w:after="62" w:afterLines="20" w:afterAutospacing="0" w:line="600" w:lineRule="exact"/>
              <w:ind w:left="0" w:right="0"/>
              <w:rPr>
                <w:rFonts w:hint="eastAsia" w:ascii="仿宋" w:hAnsi="仿宋" w:eastAsia="仿宋" w:cs="宋体"/>
                <w:color w:val="auto"/>
                <w:sz w:val="21"/>
                <w:szCs w:val="21"/>
                <w:highlight w:val="none"/>
              </w:rPr>
            </w:pPr>
            <w:r>
              <w:rPr>
                <w:rFonts w:hint="eastAsia" w:ascii="仿宋" w:hAnsi="仿宋" w:eastAsia="仿宋" w:cs="宋体"/>
                <w:color w:val="auto"/>
                <w:sz w:val="21"/>
                <w:szCs w:val="21"/>
                <w:highlight w:val="none"/>
              </w:rPr>
              <w:t>（3）投标文件格式中其他有落款的文件，</w:t>
            </w:r>
            <w:r>
              <w:rPr>
                <w:rFonts w:hint="eastAsia" w:ascii="仿宋" w:hAnsi="仿宋" w:eastAsia="仿宋" w:cs="宋体"/>
                <w:b/>
                <w:color w:val="auto"/>
                <w:sz w:val="21"/>
                <w:szCs w:val="21"/>
                <w:highlight w:val="none"/>
              </w:rPr>
              <w:t>均需</w:t>
            </w:r>
            <w:r>
              <w:rPr>
                <w:rFonts w:hint="eastAsia" w:ascii="仿宋" w:hAnsi="仿宋" w:eastAsia="仿宋" w:cs="宋体"/>
                <w:color w:val="auto"/>
                <w:sz w:val="21"/>
                <w:szCs w:val="21"/>
                <w:highlight w:val="none"/>
              </w:rPr>
              <w:t>加盖公章。</w:t>
            </w:r>
          </w:p>
          <w:p w14:paraId="5641F90F">
            <w:pPr>
              <w:pStyle w:val="118"/>
              <w:keepNext w:val="0"/>
              <w:keepLines w:val="0"/>
              <w:pageBreakBefore w:val="0"/>
              <w:suppressLineNumbers w:val="0"/>
              <w:kinsoku/>
              <w:overflowPunct/>
              <w:topLinePunct/>
              <w:bidi w:val="0"/>
              <w:spacing w:before="62" w:beforeLines="20" w:beforeAutospacing="0" w:after="62" w:afterLines="20" w:afterAutospacing="0" w:line="600" w:lineRule="exact"/>
              <w:ind w:left="0" w:right="0"/>
              <w:rPr>
                <w:rFonts w:hint="eastAsia" w:ascii="仿宋" w:hAnsi="仿宋" w:eastAsia="仿宋" w:cs="宋体"/>
                <w:color w:val="auto"/>
                <w:sz w:val="21"/>
                <w:szCs w:val="21"/>
                <w:highlight w:val="none"/>
                <w:lang w:eastAsia="zh-Hans"/>
              </w:rPr>
            </w:pPr>
            <w:r>
              <w:rPr>
                <w:rFonts w:hint="eastAsia" w:ascii="仿宋" w:hAnsi="仿宋" w:eastAsia="仿宋" w:cs="宋体"/>
                <w:color w:val="auto"/>
                <w:sz w:val="21"/>
                <w:szCs w:val="21"/>
                <w:highlight w:val="none"/>
              </w:rPr>
              <w:t>（4）投标文件的所有签字处均指手写签字</w:t>
            </w:r>
            <w:r>
              <w:rPr>
                <w:rFonts w:hint="eastAsia" w:ascii="仿宋" w:hAnsi="仿宋" w:eastAsia="仿宋" w:cs="宋体"/>
                <w:b/>
                <w:color w:val="auto"/>
                <w:sz w:val="21"/>
                <w:szCs w:val="21"/>
                <w:highlight w:val="none"/>
              </w:rPr>
              <w:t>或</w:t>
            </w:r>
            <w:r>
              <w:rPr>
                <w:rFonts w:hint="eastAsia" w:ascii="仿宋" w:hAnsi="仿宋" w:eastAsia="仿宋" w:cs="宋体"/>
                <w:color w:val="auto"/>
                <w:sz w:val="21"/>
                <w:szCs w:val="21"/>
                <w:highlight w:val="none"/>
              </w:rPr>
              <w:t>签名章/印章</w:t>
            </w:r>
            <w:r>
              <w:rPr>
                <w:rFonts w:hint="eastAsia" w:ascii="仿宋" w:hAnsi="仿宋" w:eastAsia="仿宋" w:cs="宋体"/>
                <w:b/>
                <w:bCs/>
                <w:color w:val="auto"/>
                <w:sz w:val="21"/>
                <w:szCs w:val="21"/>
                <w:highlight w:val="none"/>
              </w:rPr>
              <w:t>或</w:t>
            </w:r>
            <w:r>
              <w:rPr>
                <w:rFonts w:hint="eastAsia" w:ascii="仿宋" w:hAnsi="仿宋" w:eastAsia="仿宋" w:cs="宋体"/>
                <w:color w:val="auto"/>
                <w:sz w:val="21"/>
                <w:szCs w:val="21"/>
                <w:highlight w:val="none"/>
              </w:rPr>
              <w:t>CA签名章，</w:t>
            </w:r>
            <w:r>
              <w:rPr>
                <w:rFonts w:hint="eastAsia" w:ascii="仿宋" w:hAnsi="仿宋" w:eastAsia="仿宋" w:cs="宋体"/>
                <w:b/>
                <w:color w:val="auto"/>
                <w:sz w:val="21"/>
                <w:szCs w:val="21"/>
                <w:highlight w:val="none"/>
              </w:rPr>
              <w:t>不得</w:t>
            </w:r>
            <w:r>
              <w:rPr>
                <w:rFonts w:hint="eastAsia" w:ascii="仿宋" w:hAnsi="仿宋" w:eastAsia="仿宋" w:cs="宋体"/>
                <w:color w:val="auto"/>
                <w:sz w:val="21"/>
                <w:szCs w:val="21"/>
                <w:highlight w:val="none"/>
              </w:rPr>
              <w:t>以打印体代替。</w:t>
            </w:r>
          </w:p>
        </w:tc>
      </w:tr>
      <w:tr w14:paraId="559EFA65">
        <w:tblPrEx>
          <w:tblCellMar>
            <w:top w:w="0" w:type="dxa"/>
            <w:left w:w="108" w:type="dxa"/>
            <w:bottom w:w="0" w:type="dxa"/>
            <w:right w:w="108" w:type="dxa"/>
          </w:tblCellMar>
        </w:tblPrEx>
        <w:trPr>
          <w:jc w:val="center"/>
        </w:trPr>
        <w:tc>
          <w:tcPr>
            <w:tcW w:w="626" w:type="pct"/>
            <w:tcBorders>
              <w:top w:val="single" w:color="auto" w:sz="4" w:space="0"/>
              <w:left w:val="single" w:color="auto" w:sz="4" w:space="0"/>
              <w:bottom w:val="single" w:color="auto" w:sz="4" w:space="0"/>
              <w:right w:val="single" w:color="auto" w:sz="4" w:space="0"/>
            </w:tcBorders>
            <w:noWrap w:val="0"/>
            <w:vAlign w:val="center"/>
          </w:tcPr>
          <w:p w14:paraId="69B79FB6">
            <w:pPr>
              <w:pStyle w:val="114"/>
              <w:keepNext w:val="0"/>
              <w:keepLines w:val="0"/>
              <w:pageBreakBefore w:val="0"/>
              <w:suppressLineNumbers w:val="0"/>
              <w:kinsoku/>
              <w:overflowPunct/>
              <w:bidi w:val="0"/>
              <w:spacing w:before="62" w:beforeLines="20" w:beforeAutospacing="0" w:after="62" w:afterLines="20" w:afterAutospacing="0" w:line="600" w:lineRule="exact"/>
              <w:ind w:left="0" w:right="0"/>
              <w:jc w:val="center"/>
              <w:rPr>
                <w:rFonts w:hint="eastAsia" w:ascii="仿宋" w:hAnsi="仿宋" w:eastAsia="仿宋" w:cs="宋体"/>
                <w:color w:val="auto"/>
                <w:szCs w:val="21"/>
                <w:highlight w:val="none"/>
              </w:rPr>
            </w:pPr>
          </w:p>
        </w:tc>
        <w:tc>
          <w:tcPr>
            <w:tcW w:w="1205" w:type="pct"/>
            <w:tcBorders>
              <w:top w:val="single" w:color="auto" w:sz="4" w:space="0"/>
              <w:left w:val="single" w:color="auto" w:sz="4" w:space="0"/>
              <w:bottom w:val="single" w:color="auto" w:sz="4" w:space="0"/>
              <w:right w:val="single" w:color="auto" w:sz="4" w:space="0"/>
            </w:tcBorders>
            <w:noWrap w:val="0"/>
            <w:vAlign w:val="center"/>
          </w:tcPr>
          <w:p w14:paraId="20C51176">
            <w:pPr>
              <w:keepNext w:val="0"/>
              <w:keepLines w:val="0"/>
              <w:pageBreakBefore w:val="0"/>
              <w:suppressLineNumbers w:val="0"/>
              <w:kinsoku/>
              <w:overflowPunct/>
              <w:bidi w:val="0"/>
              <w:spacing w:before="62" w:beforeLines="20" w:beforeAutospacing="0" w:after="62" w:afterLines="20" w:afterAutospacing="0" w:line="600" w:lineRule="exact"/>
              <w:ind w:left="0" w:right="0"/>
              <w:jc w:val="center"/>
              <w:rPr>
                <w:rFonts w:hint="eastAsia" w:ascii="仿宋" w:hAnsi="仿宋" w:eastAsia="仿宋" w:cs="宋体"/>
                <w:color w:val="auto"/>
                <w:szCs w:val="21"/>
                <w:highlight w:val="none"/>
              </w:rPr>
            </w:pPr>
            <w:r>
              <w:rPr>
                <w:rFonts w:hint="eastAsia" w:ascii="仿宋" w:hAnsi="仿宋" w:eastAsia="仿宋" w:cs="宋体"/>
                <w:color w:val="auto"/>
                <w:szCs w:val="21"/>
                <w:highlight w:val="none"/>
              </w:rPr>
              <w:t>★最高投标限价</w:t>
            </w:r>
          </w:p>
        </w:tc>
        <w:tc>
          <w:tcPr>
            <w:tcW w:w="3167" w:type="pct"/>
            <w:tcBorders>
              <w:top w:val="single" w:color="auto" w:sz="4" w:space="0"/>
              <w:left w:val="single" w:color="auto" w:sz="4" w:space="0"/>
              <w:bottom w:val="single" w:color="auto" w:sz="4" w:space="0"/>
              <w:right w:val="single" w:color="auto" w:sz="4" w:space="0"/>
            </w:tcBorders>
            <w:noWrap w:val="0"/>
            <w:vAlign w:val="center"/>
          </w:tcPr>
          <w:p w14:paraId="54D097B8">
            <w:pPr>
              <w:pStyle w:val="114"/>
              <w:keepNext w:val="0"/>
              <w:keepLines w:val="0"/>
              <w:pageBreakBefore w:val="0"/>
              <w:suppressLineNumbers w:val="0"/>
              <w:kinsoku/>
              <w:overflowPunct/>
              <w:bidi w:val="0"/>
              <w:spacing w:before="62" w:beforeLines="20" w:beforeAutospacing="0" w:after="62" w:afterLines="20" w:afterAutospacing="0" w:line="600" w:lineRule="exact"/>
              <w:ind w:left="0" w:right="0"/>
              <w:rPr>
                <w:rFonts w:hint="eastAsia" w:ascii="仿宋" w:hAnsi="仿宋" w:eastAsia="仿宋" w:cs="宋体"/>
                <w:color w:val="auto"/>
                <w:szCs w:val="21"/>
                <w:highlight w:val="none"/>
              </w:rPr>
            </w:pPr>
            <w:r>
              <w:rPr>
                <w:rFonts w:hint="eastAsia" w:ascii="仿宋" w:hAnsi="仿宋" w:eastAsia="仿宋" w:cs="宋体"/>
                <w:color w:val="auto"/>
                <w:szCs w:val="21"/>
                <w:highlight w:val="none"/>
              </w:rPr>
              <w:sym w:font="Wingdings 2" w:char="00A3"/>
            </w:r>
            <w:r>
              <w:rPr>
                <w:rFonts w:hint="eastAsia" w:ascii="仿宋" w:hAnsi="仿宋" w:eastAsia="仿宋" w:cs="宋体"/>
                <w:color w:val="auto"/>
                <w:szCs w:val="21"/>
                <w:highlight w:val="none"/>
              </w:rPr>
              <w:t>不设置最高投标限价</w:t>
            </w:r>
          </w:p>
          <w:p w14:paraId="449852E0">
            <w:pPr>
              <w:pStyle w:val="114"/>
              <w:keepNext w:val="0"/>
              <w:keepLines w:val="0"/>
              <w:pageBreakBefore w:val="0"/>
              <w:suppressLineNumbers w:val="0"/>
              <w:kinsoku/>
              <w:overflowPunct/>
              <w:bidi w:val="0"/>
              <w:spacing w:before="62" w:beforeLines="20" w:beforeAutospacing="0" w:after="62" w:afterLines="20" w:afterAutospacing="0" w:line="600" w:lineRule="exact"/>
              <w:ind w:left="0" w:right="0"/>
              <w:rPr>
                <w:rFonts w:hint="eastAsia" w:ascii="仿宋" w:hAnsi="仿宋" w:eastAsia="仿宋" w:cs="宋体"/>
                <w:color w:val="auto"/>
                <w:spacing w:val="-4"/>
                <w:szCs w:val="21"/>
                <w:highlight w:val="none"/>
              </w:rPr>
            </w:pPr>
            <w:r>
              <w:rPr>
                <w:rFonts w:hint="eastAsia" w:ascii="仿宋" w:hAnsi="仿宋" w:eastAsia="仿宋" w:cs="仿宋"/>
                <w:color w:val="auto"/>
                <w:szCs w:val="21"/>
                <w:highlight w:val="none"/>
              </w:rPr>
              <w:t>■</w:t>
            </w:r>
            <w:r>
              <w:rPr>
                <w:rFonts w:hint="eastAsia" w:ascii="仿宋" w:hAnsi="仿宋" w:eastAsia="仿宋" w:cs="宋体"/>
                <w:color w:val="auto"/>
                <w:spacing w:val="-4"/>
                <w:szCs w:val="21"/>
                <w:highlight w:val="none"/>
              </w:rPr>
              <w:t xml:space="preserve">设置最高投标限价    </w:t>
            </w:r>
          </w:p>
          <w:p w14:paraId="2D5AFFAD">
            <w:pPr>
              <w:pStyle w:val="114"/>
              <w:keepNext w:val="0"/>
              <w:keepLines w:val="0"/>
              <w:pageBreakBefore w:val="0"/>
              <w:suppressLineNumbers w:val="0"/>
              <w:kinsoku/>
              <w:overflowPunct/>
              <w:bidi w:val="0"/>
              <w:spacing w:before="62" w:beforeLines="20" w:beforeAutospacing="0" w:after="62" w:afterLines="20" w:afterAutospacing="0" w:line="600" w:lineRule="exact"/>
              <w:ind w:left="0" w:right="0"/>
              <w:rPr>
                <w:rFonts w:hint="eastAsia" w:ascii="仿宋" w:hAnsi="仿宋" w:eastAsia="仿宋" w:cs="宋体"/>
                <w:color w:val="auto"/>
                <w:szCs w:val="21"/>
                <w:highlight w:val="none"/>
                <w:u w:val="single"/>
              </w:rPr>
            </w:pPr>
            <w:r>
              <w:rPr>
                <w:rFonts w:hint="eastAsia" w:ascii="仿宋" w:hAnsi="仿宋" w:eastAsia="仿宋" w:cs="宋体"/>
                <w:color w:val="auto"/>
                <w:spacing w:val="-4"/>
                <w:szCs w:val="21"/>
                <w:highlight w:val="none"/>
              </w:rPr>
              <w:t>本项目最高投标限价为</w:t>
            </w:r>
            <w:r>
              <w:rPr>
                <w:rFonts w:hint="eastAsia" w:ascii="宋体" w:hAnsi="宋体" w:eastAsia="宋体" w:cs="宋体"/>
                <w:i w:val="0"/>
                <w:iCs w:val="0"/>
                <w:color w:val="000000"/>
                <w:kern w:val="0"/>
                <w:sz w:val="22"/>
                <w:szCs w:val="22"/>
                <w:u w:val="single"/>
                <w:lang w:val="en-US" w:eastAsia="zh-CN" w:bidi="ar"/>
              </w:rPr>
              <w:t>14</w:t>
            </w:r>
            <w:r>
              <w:rPr>
                <w:rFonts w:hint="eastAsia" w:ascii="宋体" w:hAnsi="宋体" w:cs="宋体"/>
                <w:i w:val="0"/>
                <w:iCs w:val="0"/>
                <w:color w:val="000000"/>
                <w:kern w:val="0"/>
                <w:sz w:val="22"/>
                <w:szCs w:val="22"/>
                <w:u w:val="single"/>
                <w:lang w:val="en-US" w:eastAsia="zh-CN" w:bidi="ar"/>
              </w:rPr>
              <w:t>.</w:t>
            </w:r>
            <w:r>
              <w:rPr>
                <w:rFonts w:hint="eastAsia" w:ascii="宋体" w:hAnsi="宋体" w:eastAsia="宋体" w:cs="宋体"/>
                <w:i w:val="0"/>
                <w:iCs w:val="0"/>
                <w:color w:val="000000"/>
                <w:kern w:val="0"/>
                <w:sz w:val="22"/>
                <w:szCs w:val="22"/>
                <w:u w:val="single"/>
                <w:lang w:val="en-US" w:eastAsia="zh-CN" w:bidi="ar"/>
              </w:rPr>
              <w:t>80949</w:t>
            </w:r>
            <w:r>
              <w:rPr>
                <w:rFonts w:hint="eastAsia" w:ascii="仿宋" w:hAnsi="仿宋" w:eastAsia="仿宋" w:cs="宋体"/>
                <w:color w:val="auto"/>
                <w:spacing w:val="-4"/>
                <w:szCs w:val="21"/>
                <w:highlight w:val="none"/>
              </w:rPr>
              <w:t>万元，投标报价超过最高投标限价的，</w:t>
            </w:r>
            <w:r>
              <w:rPr>
                <w:rFonts w:hint="eastAsia" w:ascii="仿宋" w:hAnsi="仿宋" w:eastAsia="仿宋" w:cs="宋体"/>
                <w:b/>
                <w:color w:val="auto"/>
                <w:spacing w:val="-4"/>
                <w:szCs w:val="21"/>
                <w:highlight w:val="none"/>
              </w:rPr>
              <w:t>投标将被否决。</w:t>
            </w:r>
          </w:p>
        </w:tc>
      </w:tr>
      <w:tr w14:paraId="101A5A37">
        <w:tblPrEx>
          <w:tblCellMar>
            <w:top w:w="0" w:type="dxa"/>
            <w:left w:w="108" w:type="dxa"/>
            <w:bottom w:w="0" w:type="dxa"/>
            <w:right w:w="108" w:type="dxa"/>
          </w:tblCellMar>
        </w:tblPrEx>
        <w:trPr>
          <w:jc w:val="center"/>
        </w:trPr>
        <w:tc>
          <w:tcPr>
            <w:tcW w:w="626" w:type="pct"/>
            <w:tcBorders>
              <w:top w:val="single" w:color="auto" w:sz="4" w:space="0"/>
              <w:left w:val="single" w:color="auto" w:sz="4" w:space="0"/>
              <w:bottom w:val="single" w:color="auto" w:sz="4" w:space="0"/>
              <w:right w:val="single" w:color="auto" w:sz="4" w:space="0"/>
            </w:tcBorders>
            <w:noWrap w:val="0"/>
            <w:vAlign w:val="center"/>
          </w:tcPr>
          <w:p w14:paraId="14E7DC54">
            <w:pPr>
              <w:pStyle w:val="114"/>
              <w:keepNext w:val="0"/>
              <w:keepLines w:val="0"/>
              <w:pageBreakBefore w:val="0"/>
              <w:suppressLineNumbers w:val="0"/>
              <w:kinsoku/>
              <w:overflowPunct/>
              <w:bidi w:val="0"/>
              <w:spacing w:before="62" w:beforeLines="20" w:beforeAutospacing="0" w:after="62" w:afterLines="20" w:afterAutospacing="0" w:line="600" w:lineRule="exact"/>
              <w:ind w:left="0" w:right="0"/>
              <w:jc w:val="center"/>
              <w:rPr>
                <w:rFonts w:hint="eastAsia" w:ascii="仿宋" w:hAnsi="仿宋" w:eastAsia="仿宋" w:cs="宋体"/>
                <w:color w:val="auto"/>
                <w:szCs w:val="21"/>
                <w:highlight w:val="none"/>
              </w:rPr>
            </w:pPr>
          </w:p>
        </w:tc>
        <w:tc>
          <w:tcPr>
            <w:tcW w:w="1205" w:type="pct"/>
            <w:tcBorders>
              <w:top w:val="single" w:color="auto" w:sz="4" w:space="0"/>
              <w:left w:val="single" w:color="auto" w:sz="4" w:space="0"/>
              <w:bottom w:val="single" w:color="auto" w:sz="4" w:space="0"/>
              <w:right w:val="single" w:color="auto" w:sz="4" w:space="0"/>
            </w:tcBorders>
            <w:noWrap w:val="0"/>
            <w:vAlign w:val="center"/>
          </w:tcPr>
          <w:p w14:paraId="2811A4F3">
            <w:pPr>
              <w:pStyle w:val="114"/>
              <w:keepNext w:val="0"/>
              <w:keepLines w:val="0"/>
              <w:pageBreakBefore w:val="0"/>
              <w:suppressLineNumbers w:val="0"/>
              <w:kinsoku/>
              <w:overflowPunct/>
              <w:bidi w:val="0"/>
              <w:spacing w:before="62" w:beforeLines="20" w:beforeAutospacing="0" w:after="62" w:afterLines="20" w:afterAutospacing="0" w:line="600" w:lineRule="exact"/>
              <w:ind w:left="0" w:right="0"/>
              <w:jc w:val="center"/>
              <w:rPr>
                <w:rFonts w:hint="eastAsia" w:ascii="仿宋" w:hAnsi="仿宋" w:eastAsia="仿宋" w:cs="宋体"/>
                <w:color w:val="auto"/>
                <w:szCs w:val="21"/>
                <w:highlight w:val="none"/>
              </w:rPr>
            </w:pPr>
            <w:r>
              <w:rPr>
                <w:rFonts w:hint="eastAsia" w:ascii="仿宋" w:hAnsi="仿宋" w:eastAsia="仿宋" w:cs="宋体"/>
                <w:color w:val="auto"/>
                <w:szCs w:val="21"/>
                <w:highlight w:val="none"/>
              </w:rPr>
              <w:t>投标报价的具体要求</w:t>
            </w:r>
          </w:p>
        </w:tc>
        <w:tc>
          <w:tcPr>
            <w:tcW w:w="3167" w:type="pct"/>
            <w:tcBorders>
              <w:top w:val="single" w:color="auto" w:sz="4" w:space="0"/>
              <w:left w:val="single" w:color="auto" w:sz="4" w:space="0"/>
              <w:bottom w:val="single" w:color="auto" w:sz="4" w:space="0"/>
              <w:right w:val="single" w:color="auto" w:sz="4" w:space="0"/>
            </w:tcBorders>
            <w:noWrap w:val="0"/>
            <w:vAlign w:val="center"/>
          </w:tcPr>
          <w:p w14:paraId="23B489FB">
            <w:pPr>
              <w:pStyle w:val="114"/>
              <w:keepNext w:val="0"/>
              <w:keepLines w:val="0"/>
              <w:pageBreakBefore w:val="0"/>
              <w:suppressLineNumbers w:val="0"/>
              <w:kinsoku/>
              <w:overflowPunct/>
              <w:bidi w:val="0"/>
              <w:spacing w:before="62" w:beforeLines="20" w:beforeAutospacing="0" w:after="62" w:afterLines="20" w:afterAutospacing="0" w:line="600" w:lineRule="exact"/>
              <w:ind w:left="0" w:right="0"/>
              <w:rPr>
                <w:rFonts w:hint="eastAsia" w:ascii="仿宋" w:hAnsi="仿宋" w:eastAsia="仿宋" w:cs="宋体"/>
                <w:color w:val="auto"/>
                <w:szCs w:val="21"/>
                <w:highlight w:val="none"/>
              </w:rPr>
            </w:pPr>
            <w:r>
              <w:rPr>
                <w:rFonts w:hint="eastAsia" w:ascii="仿宋" w:hAnsi="仿宋" w:eastAsia="仿宋" w:cs="宋体"/>
                <w:color w:val="auto"/>
                <w:szCs w:val="21"/>
                <w:highlight w:val="none"/>
              </w:rPr>
              <w:t>本条款增加以下内容：</w:t>
            </w:r>
          </w:p>
          <w:p w14:paraId="6BB7B053">
            <w:pPr>
              <w:pStyle w:val="114"/>
              <w:keepNext w:val="0"/>
              <w:keepLines w:val="0"/>
              <w:pageBreakBefore w:val="0"/>
              <w:suppressLineNumbers w:val="0"/>
              <w:kinsoku/>
              <w:overflowPunct/>
              <w:bidi w:val="0"/>
              <w:spacing w:before="62" w:beforeLines="20" w:beforeAutospacing="0" w:after="62" w:afterLines="20" w:afterAutospacing="0" w:line="600" w:lineRule="exact"/>
              <w:ind w:left="0" w:right="0"/>
              <w:rPr>
                <w:rFonts w:hint="eastAsia" w:ascii="仿宋" w:hAnsi="仿宋" w:eastAsia="仿宋" w:cs="宋体"/>
                <w:color w:val="auto"/>
                <w:szCs w:val="21"/>
                <w:highlight w:val="none"/>
              </w:rPr>
            </w:pPr>
            <w:r>
              <w:rPr>
                <w:rFonts w:hint="eastAsia" w:ascii="仿宋" w:hAnsi="仿宋" w:eastAsia="仿宋" w:cs="宋体"/>
                <w:color w:val="auto"/>
                <w:szCs w:val="21"/>
                <w:highlight w:val="none"/>
              </w:rPr>
              <w:t>（1）投标总价为完成本项目规定工作所需的全部税费，包括但不限于产品费用、提供技术服务人员、必要工具设备的所有费用及税金等，除此之外，招标人不再支付任何费用。</w:t>
            </w:r>
          </w:p>
          <w:p w14:paraId="775FFBA4">
            <w:pPr>
              <w:pStyle w:val="114"/>
              <w:keepNext w:val="0"/>
              <w:keepLines w:val="0"/>
              <w:pageBreakBefore w:val="0"/>
              <w:suppressLineNumbers w:val="0"/>
              <w:kinsoku/>
              <w:overflowPunct/>
              <w:bidi w:val="0"/>
              <w:spacing w:before="62" w:beforeLines="20" w:beforeAutospacing="0" w:after="62" w:afterLines="20" w:afterAutospacing="0" w:line="600" w:lineRule="exact"/>
              <w:ind w:left="0" w:right="0"/>
              <w:rPr>
                <w:rFonts w:hint="eastAsia" w:ascii="仿宋" w:hAnsi="仿宋" w:eastAsia="仿宋" w:cs="宋体"/>
                <w:b/>
                <w:color w:val="auto"/>
                <w:szCs w:val="21"/>
                <w:highlight w:val="none"/>
              </w:rPr>
            </w:pPr>
            <w:r>
              <w:rPr>
                <w:rFonts w:hint="eastAsia" w:ascii="仿宋" w:hAnsi="仿宋" w:eastAsia="仿宋" w:cs="宋体"/>
                <w:color w:val="auto"/>
                <w:szCs w:val="21"/>
                <w:highlight w:val="none"/>
              </w:rPr>
              <w:t>（2）投标人应根据技术规范书的要求并遵照“第六章 投标文件格式”给出的投标一览表、分项报价表进行报价，</w:t>
            </w:r>
            <w:r>
              <w:rPr>
                <w:rFonts w:hint="eastAsia" w:ascii="仿宋" w:hAnsi="仿宋" w:eastAsia="仿宋" w:cs="宋体"/>
                <w:b/>
                <w:color w:val="auto"/>
                <w:szCs w:val="21"/>
                <w:highlight w:val="none"/>
              </w:rPr>
              <w:t>不得缺省或回避填写，否则视为非实质性响应，投标将被否决。</w:t>
            </w:r>
          </w:p>
          <w:p w14:paraId="7C8A85AD">
            <w:pPr>
              <w:pStyle w:val="114"/>
              <w:keepNext w:val="0"/>
              <w:keepLines w:val="0"/>
              <w:pageBreakBefore w:val="0"/>
              <w:suppressLineNumbers w:val="0"/>
              <w:kinsoku/>
              <w:overflowPunct/>
              <w:bidi w:val="0"/>
              <w:spacing w:before="62" w:beforeLines="20" w:beforeAutospacing="0" w:after="62" w:afterLines="20" w:afterAutospacing="0" w:line="600" w:lineRule="exact"/>
              <w:ind w:left="0" w:right="0"/>
              <w:rPr>
                <w:rFonts w:hint="eastAsia" w:ascii="仿宋" w:hAnsi="仿宋" w:eastAsia="仿宋" w:cs="宋体"/>
                <w:b/>
                <w:color w:val="auto"/>
                <w:szCs w:val="21"/>
                <w:highlight w:val="none"/>
              </w:rPr>
            </w:pPr>
            <w:r>
              <w:rPr>
                <w:rFonts w:hint="eastAsia" w:ascii="仿宋" w:hAnsi="仿宋" w:eastAsia="仿宋" w:cs="宋体"/>
                <w:color w:val="auto"/>
                <w:szCs w:val="21"/>
                <w:highlight w:val="none"/>
              </w:rPr>
              <w:t>（3）如国家后续对增值税税率进行调整，在不含税（单）价报价不变的基础上，按照新税率重新计算含税（总）价。</w:t>
            </w:r>
          </w:p>
        </w:tc>
      </w:tr>
      <w:tr w14:paraId="0DBABD4C">
        <w:tblPrEx>
          <w:tblCellMar>
            <w:top w:w="0" w:type="dxa"/>
            <w:left w:w="108" w:type="dxa"/>
            <w:bottom w:w="0" w:type="dxa"/>
            <w:right w:w="108" w:type="dxa"/>
          </w:tblCellMar>
        </w:tblPrEx>
        <w:trPr>
          <w:jc w:val="center"/>
        </w:trPr>
        <w:tc>
          <w:tcPr>
            <w:tcW w:w="626" w:type="pct"/>
            <w:tcBorders>
              <w:top w:val="single" w:color="auto" w:sz="4" w:space="0"/>
              <w:left w:val="single" w:color="auto" w:sz="4" w:space="0"/>
              <w:bottom w:val="single" w:color="auto" w:sz="4" w:space="0"/>
              <w:right w:val="single" w:color="auto" w:sz="4" w:space="0"/>
            </w:tcBorders>
            <w:noWrap w:val="0"/>
            <w:vAlign w:val="center"/>
          </w:tcPr>
          <w:p w14:paraId="42A38C7F">
            <w:pPr>
              <w:pStyle w:val="114"/>
              <w:keepNext w:val="0"/>
              <w:keepLines w:val="0"/>
              <w:pageBreakBefore w:val="0"/>
              <w:suppressLineNumbers w:val="0"/>
              <w:kinsoku/>
              <w:overflowPunct/>
              <w:bidi w:val="0"/>
              <w:spacing w:before="62" w:beforeLines="20" w:beforeAutospacing="0" w:after="62" w:afterLines="20" w:afterAutospacing="0" w:line="600" w:lineRule="exact"/>
              <w:ind w:left="0" w:right="0"/>
              <w:jc w:val="center"/>
              <w:rPr>
                <w:rFonts w:hint="eastAsia" w:ascii="仿宋" w:hAnsi="仿宋" w:eastAsia="仿宋" w:cs="宋体"/>
                <w:color w:val="auto"/>
                <w:szCs w:val="21"/>
                <w:highlight w:val="none"/>
              </w:rPr>
            </w:pPr>
          </w:p>
        </w:tc>
        <w:tc>
          <w:tcPr>
            <w:tcW w:w="1205" w:type="pct"/>
            <w:tcBorders>
              <w:top w:val="single" w:color="auto" w:sz="4" w:space="0"/>
              <w:left w:val="single" w:color="auto" w:sz="4" w:space="0"/>
              <w:bottom w:val="single" w:color="auto" w:sz="4" w:space="0"/>
              <w:right w:val="single" w:color="auto" w:sz="4" w:space="0"/>
            </w:tcBorders>
            <w:noWrap w:val="0"/>
            <w:vAlign w:val="center"/>
          </w:tcPr>
          <w:p w14:paraId="2555395B">
            <w:pPr>
              <w:pStyle w:val="114"/>
              <w:keepNext w:val="0"/>
              <w:keepLines w:val="0"/>
              <w:pageBreakBefore w:val="0"/>
              <w:suppressLineNumbers w:val="0"/>
              <w:kinsoku/>
              <w:overflowPunct/>
              <w:bidi w:val="0"/>
              <w:spacing w:before="62" w:beforeLines="20" w:beforeAutospacing="0" w:after="62" w:afterLines="20" w:afterAutospacing="0" w:line="600" w:lineRule="exact"/>
              <w:ind w:left="0" w:right="0"/>
              <w:jc w:val="center"/>
              <w:rPr>
                <w:rFonts w:hint="eastAsia" w:ascii="仿宋" w:hAnsi="仿宋" w:eastAsia="仿宋" w:cs="宋体"/>
                <w:color w:val="auto"/>
                <w:szCs w:val="21"/>
                <w:highlight w:val="none"/>
              </w:rPr>
            </w:pPr>
            <w:r>
              <w:rPr>
                <w:rFonts w:hint="eastAsia" w:ascii="仿宋" w:hAnsi="仿宋" w:eastAsia="仿宋" w:cs="宋体"/>
                <w:color w:val="auto"/>
                <w:szCs w:val="21"/>
                <w:highlight w:val="none"/>
              </w:rPr>
              <w:t>★投标有效期</w:t>
            </w:r>
          </w:p>
        </w:tc>
        <w:tc>
          <w:tcPr>
            <w:tcW w:w="3167" w:type="pct"/>
            <w:tcBorders>
              <w:top w:val="single" w:color="auto" w:sz="4" w:space="0"/>
              <w:left w:val="single" w:color="auto" w:sz="4" w:space="0"/>
              <w:bottom w:val="single" w:color="auto" w:sz="4" w:space="0"/>
              <w:right w:val="single" w:color="auto" w:sz="4" w:space="0"/>
            </w:tcBorders>
            <w:noWrap w:val="0"/>
            <w:vAlign w:val="center"/>
          </w:tcPr>
          <w:p w14:paraId="39EE99A9">
            <w:pPr>
              <w:pStyle w:val="114"/>
              <w:keepNext w:val="0"/>
              <w:keepLines w:val="0"/>
              <w:pageBreakBefore w:val="0"/>
              <w:suppressLineNumbers w:val="0"/>
              <w:kinsoku/>
              <w:overflowPunct/>
              <w:bidi w:val="0"/>
              <w:spacing w:before="62" w:beforeLines="20" w:beforeAutospacing="0" w:after="62" w:afterLines="20" w:afterAutospacing="0" w:line="600" w:lineRule="exact"/>
              <w:ind w:left="0" w:right="0"/>
              <w:rPr>
                <w:rFonts w:hint="eastAsia" w:ascii="仿宋" w:hAnsi="仿宋" w:eastAsia="仿宋" w:cs="宋体"/>
                <w:color w:val="auto"/>
                <w:szCs w:val="21"/>
                <w:highlight w:val="none"/>
              </w:rPr>
            </w:pPr>
            <w:r>
              <w:rPr>
                <w:rFonts w:hint="eastAsia" w:ascii="仿宋" w:hAnsi="仿宋" w:eastAsia="仿宋" w:cs="宋体"/>
                <w:color w:val="auto"/>
                <w:szCs w:val="21"/>
                <w:highlight w:val="none"/>
              </w:rPr>
              <w:t>投标有效期：</w:t>
            </w:r>
            <w:r>
              <w:rPr>
                <w:rFonts w:hint="eastAsia" w:ascii="仿宋" w:hAnsi="仿宋" w:eastAsia="仿宋" w:cs="宋体"/>
                <w:color w:val="auto"/>
                <w:szCs w:val="21"/>
                <w:highlight w:val="none"/>
                <w:u w:val="single"/>
                <w:lang w:val="en-US" w:eastAsia="zh-CN"/>
              </w:rPr>
              <w:t>60</w:t>
            </w:r>
            <w:r>
              <w:rPr>
                <w:rFonts w:hint="eastAsia" w:ascii="仿宋" w:hAnsi="仿宋" w:eastAsia="仿宋" w:cs="宋体"/>
                <w:color w:val="auto"/>
                <w:szCs w:val="21"/>
                <w:highlight w:val="none"/>
                <w:u w:val="single"/>
              </w:rPr>
              <w:t>天。</w:t>
            </w:r>
          </w:p>
        </w:tc>
      </w:tr>
      <w:tr w14:paraId="7B550C51">
        <w:tblPrEx>
          <w:tblCellMar>
            <w:top w:w="0" w:type="dxa"/>
            <w:left w:w="108" w:type="dxa"/>
            <w:bottom w:w="0" w:type="dxa"/>
            <w:right w:w="108" w:type="dxa"/>
          </w:tblCellMar>
        </w:tblPrEx>
        <w:trPr>
          <w:jc w:val="center"/>
        </w:trPr>
        <w:tc>
          <w:tcPr>
            <w:tcW w:w="626" w:type="pct"/>
            <w:tcBorders>
              <w:top w:val="single" w:color="auto" w:sz="4" w:space="0"/>
              <w:left w:val="single" w:color="auto" w:sz="4" w:space="0"/>
              <w:bottom w:val="single" w:color="auto" w:sz="4" w:space="0"/>
              <w:right w:val="single" w:color="auto" w:sz="4" w:space="0"/>
            </w:tcBorders>
            <w:noWrap w:val="0"/>
            <w:vAlign w:val="center"/>
          </w:tcPr>
          <w:p w14:paraId="3FAF1CD6">
            <w:pPr>
              <w:pStyle w:val="114"/>
              <w:keepNext w:val="0"/>
              <w:keepLines w:val="0"/>
              <w:pageBreakBefore w:val="0"/>
              <w:suppressLineNumbers w:val="0"/>
              <w:kinsoku/>
              <w:overflowPunct/>
              <w:bidi w:val="0"/>
              <w:spacing w:before="62" w:beforeLines="20" w:beforeAutospacing="0" w:after="62" w:afterLines="20" w:afterAutospacing="0" w:line="600" w:lineRule="exact"/>
              <w:ind w:left="0" w:right="0"/>
              <w:jc w:val="center"/>
              <w:rPr>
                <w:rFonts w:hint="eastAsia" w:ascii="仿宋" w:hAnsi="仿宋" w:eastAsia="仿宋" w:cs="宋体"/>
                <w:color w:val="auto"/>
                <w:szCs w:val="21"/>
                <w:highlight w:val="none"/>
              </w:rPr>
            </w:pPr>
          </w:p>
        </w:tc>
        <w:tc>
          <w:tcPr>
            <w:tcW w:w="1205" w:type="pct"/>
            <w:tcBorders>
              <w:top w:val="single" w:color="auto" w:sz="4" w:space="0"/>
              <w:left w:val="single" w:color="auto" w:sz="4" w:space="0"/>
              <w:bottom w:val="single" w:color="auto" w:sz="4" w:space="0"/>
              <w:right w:val="single" w:color="auto" w:sz="4" w:space="0"/>
            </w:tcBorders>
            <w:noWrap w:val="0"/>
            <w:vAlign w:val="center"/>
          </w:tcPr>
          <w:p w14:paraId="33C3512F">
            <w:pPr>
              <w:pStyle w:val="114"/>
              <w:keepNext w:val="0"/>
              <w:keepLines w:val="0"/>
              <w:pageBreakBefore w:val="0"/>
              <w:suppressLineNumbers w:val="0"/>
              <w:kinsoku/>
              <w:overflowPunct/>
              <w:bidi w:val="0"/>
              <w:spacing w:before="62" w:beforeLines="20" w:beforeAutospacing="0" w:after="62" w:afterLines="20" w:afterAutospacing="0" w:line="600" w:lineRule="exact"/>
              <w:ind w:left="0" w:right="0"/>
              <w:jc w:val="center"/>
              <w:rPr>
                <w:rFonts w:hint="eastAsia" w:ascii="仿宋" w:hAnsi="仿宋" w:eastAsia="仿宋" w:cs="宋体"/>
                <w:color w:val="auto"/>
                <w:szCs w:val="21"/>
                <w:highlight w:val="none"/>
              </w:rPr>
            </w:pPr>
            <w:r>
              <w:rPr>
                <w:rFonts w:hint="eastAsia" w:ascii="仿宋" w:hAnsi="仿宋" w:eastAsia="仿宋" w:cs="宋体"/>
                <w:color w:val="auto"/>
                <w:szCs w:val="21"/>
                <w:highlight w:val="none"/>
              </w:rPr>
              <w:t>★投标保证金的金额</w:t>
            </w:r>
          </w:p>
        </w:tc>
        <w:tc>
          <w:tcPr>
            <w:tcW w:w="3167" w:type="pct"/>
            <w:tcBorders>
              <w:top w:val="single" w:color="auto" w:sz="4" w:space="0"/>
              <w:left w:val="single" w:color="auto" w:sz="4" w:space="0"/>
              <w:bottom w:val="single" w:color="auto" w:sz="4" w:space="0"/>
              <w:right w:val="single" w:color="auto" w:sz="4" w:space="0"/>
            </w:tcBorders>
            <w:noWrap w:val="0"/>
            <w:vAlign w:val="center"/>
          </w:tcPr>
          <w:p w14:paraId="57EA7BA6">
            <w:pPr>
              <w:pStyle w:val="114"/>
              <w:keepNext w:val="0"/>
              <w:keepLines w:val="0"/>
              <w:pageBreakBefore w:val="0"/>
              <w:suppressLineNumbers w:val="0"/>
              <w:kinsoku/>
              <w:overflowPunct/>
              <w:bidi w:val="0"/>
              <w:spacing w:before="62" w:beforeLines="20" w:beforeAutospacing="0" w:after="62" w:afterLines="20" w:afterAutospacing="0" w:line="600" w:lineRule="exact"/>
              <w:ind w:left="0" w:right="0"/>
              <w:rPr>
                <w:rFonts w:hint="eastAsia" w:ascii="仿宋" w:hAnsi="仿宋" w:eastAsia="仿宋" w:cs="宋体"/>
                <w:color w:val="auto"/>
                <w:szCs w:val="21"/>
                <w:highlight w:val="none"/>
                <w:lang w:val="en-US" w:eastAsia="zh-CN"/>
              </w:rPr>
            </w:pPr>
            <w:r>
              <w:rPr>
                <w:rFonts w:hint="eastAsia" w:ascii="仿宋" w:hAnsi="仿宋" w:eastAsia="仿宋" w:cs="宋体"/>
                <w:color w:val="auto"/>
                <w:szCs w:val="21"/>
                <w:highlight w:val="none"/>
              </w:rPr>
              <w:t>投标保证金金额：</w:t>
            </w:r>
            <w:r>
              <w:rPr>
                <w:rFonts w:hint="eastAsia" w:ascii="仿宋" w:hAnsi="仿宋" w:eastAsia="仿宋" w:cs="宋体"/>
                <w:color w:val="auto"/>
                <w:szCs w:val="21"/>
                <w:highlight w:val="none"/>
                <w:lang w:val="en-US" w:eastAsia="zh-CN"/>
              </w:rPr>
              <w:t>工程总金额得20%（3000元）</w:t>
            </w:r>
          </w:p>
          <w:p w14:paraId="6FF15A25">
            <w:pPr>
              <w:pStyle w:val="114"/>
              <w:keepNext w:val="0"/>
              <w:keepLines w:val="0"/>
              <w:pageBreakBefore w:val="0"/>
              <w:suppressLineNumbers w:val="0"/>
              <w:kinsoku/>
              <w:overflowPunct/>
              <w:bidi w:val="0"/>
              <w:spacing w:before="62" w:beforeLines="20" w:beforeAutospacing="0" w:after="62" w:afterLines="20" w:afterAutospacing="0" w:line="600" w:lineRule="exact"/>
              <w:ind w:left="0" w:right="0"/>
              <w:rPr>
                <w:rFonts w:hint="eastAsia" w:ascii="仿宋" w:hAnsi="仿宋" w:eastAsia="仿宋" w:cs="宋体"/>
                <w:color w:val="auto"/>
                <w:szCs w:val="21"/>
                <w:highlight w:val="none"/>
                <w:lang w:val="en-US" w:eastAsia="zh-CN"/>
              </w:rPr>
            </w:pPr>
            <w:r>
              <w:rPr>
                <w:rFonts w:hint="eastAsia" w:ascii="仿宋" w:hAnsi="仿宋" w:eastAsia="仿宋" w:cs="宋体"/>
                <w:color w:val="auto"/>
                <w:szCs w:val="21"/>
                <w:highlight w:val="none"/>
                <w:lang w:val="en-US" w:eastAsia="zh-CN"/>
              </w:rPr>
              <w:t>开户银行：中国建设银行股份有限公司乌鲁木齐扬子江路支行  </w:t>
            </w:r>
          </w:p>
          <w:p w14:paraId="4A0AC47E">
            <w:pPr>
              <w:pStyle w:val="114"/>
              <w:keepNext w:val="0"/>
              <w:keepLines w:val="0"/>
              <w:pageBreakBefore w:val="0"/>
              <w:suppressLineNumbers w:val="0"/>
              <w:kinsoku/>
              <w:overflowPunct/>
              <w:bidi w:val="0"/>
              <w:spacing w:before="62" w:beforeLines="20" w:beforeAutospacing="0" w:after="62" w:afterLines="20" w:afterAutospacing="0" w:line="600" w:lineRule="exact"/>
              <w:ind w:left="0" w:right="0"/>
              <w:rPr>
                <w:rFonts w:hint="default" w:ascii="仿宋" w:hAnsi="仿宋" w:eastAsia="仿宋" w:cs="宋体"/>
                <w:color w:val="auto"/>
                <w:szCs w:val="21"/>
                <w:highlight w:val="none"/>
                <w:lang w:val="en-US" w:eastAsia="zh-CN"/>
              </w:rPr>
            </w:pPr>
            <w:r>
              <w:rPr>
                <w:rFonts w:hint="eastAsia" w:ascii="仿宋" w:hAnsi="仿宋" w:eastAsia="仿宋" w:cs="宋体"/>
                <w:color w:val="auto"/>
                <w:szCs w:val="21"/>
                <w:highlight w:val="none"/>
                <w:lang w:val="en-US" w:eastAsia="zh-CN"/>
              </w:rPr>
              <w:t>账号：65001613200052510997</w:t>
            </w:r>
          </w:p>
          <w:p w14:paraId="7AEB6E3B">
            <w:pPr>
              <w:pStyle w:val="114"/>
              <w:keepNext w:val="0"/>
              <w:keepLines w:val="0"/>
              <w:pageBreakBefore w:val="0"/>
              <w:suppressLineNumbers w:val="0"/>
              <w:kinsoku/>
              <w:overflowPunct/>
              <w:bidi w:val="0"/>
              <w:spacing w:before="62" w:beforeLines="20" w:beforeAutospacing="0" w:after="62" w:afterLines="20" w:afterAutospacing="0" w:line="600" w:lineRule="exact"/>
              <w:ind w:left="0" w:right="0"/>
              <w:rPr>
                <w:rFonts w:hint="eastAsia" w:ascii="仿宋" w:hAnsi="仿宋" w:eastAsia="仿宋" w:cs="宋体"/>
                <w:color w:val="auto"/>
                <w:szCs w:val="21"/>
                <w:highlight w:val="none"/>
                <w:u w:val="single"/>
              </w:rPr>
            </w:pPr>
            <w:r>
              <w:rPr>
                <w:rFonts w:hint="eastAsia" w:ascii="仿宋" w:hAnsi="仿宋" w:eastAsia="仿宋" w:cs="宋体"/>
                <w:color w:val="auto"/>
                <w:szCs w:val="21"/>
                <w:highlight w:val="none"/>
              </w:rPr>
              <w:t>如同时参与多个标包的投标，应分别缴纳各个标包的投标保证金。</w:t>
            </w:r>
          </w:p>
        </w:tc>
      </w:tr>
      <w:tr w14:paraId="36D2060D">
        <w:tblPrEx>
          <w:tblCellMar>
            <w:top w:w="0" w:type="dxa"/>
            <w:left w:w="108" w:type="dxa"/>
            <w:bottom w:w="0" w:type="dxa"/>
            <w:right w:w="108" w:type="dxa"/>
          </w:tblCellMar>
        </w:tblPrEx>
        <w:trPr>
          <w:jc w:val="center"/>
        </w:trPr>
        <w:tc>
          <w:tcPr>
            <w:tcW w:w="626" w:type="pct"/>
            <w:tcBorders>
              <w:top w:val="single" w:color="auto" w:sz="4" w:space="0"/>
              <w:left w:val="single" w:color="auto" w:sz="4" w:space="0"/>
              <w:bottom w:val="single" w:color="auto" w:sz="4" w:space="0"/>
              <w:right w:val="single" w:color="auto" w:sz="4" w:space="0"/>
            </w:tcBorders>
            <w:noWrap w:val="0"/>
            <w:vAlign w:val="center"/>
          </w:tcPr>
          <w:p w14:paraId="206A2C4D">
            <w:pPr>
              <w:pStyle w:val="114"/>
              <w:keepNext w:val="0"/>
              <w:keepLines w:val="0"/>
              <w:pageBreakBefore w:val="0"/>
              <w:suppressLineNumbers w:val="0"/>
              <w:kinsoku/>
              <w:overflowPunct/>
              <w:bidi w:val="0"/>
              <w:spacing w:before="62" w:beforeLines="20" w:beforeAutospacing="0" w:after="62" w:afterLines="20" w:afterAutospacing="0" w:line="600" w:lineRule="exact"/>
              <w:ind w:left="0" w:right="0"/>
              <w:jc w:val="center"/>
              <w:rPr>
                <w:rFonts w:hint="eastAsia" w:ascii="仿宋" w:hAnsi="仿宋" w:eastAsia="仿宋" w:cs="宋体"/>
                <w:color w:val="auto"/>
                <w:szCs w:val="21"/>
                <w:highlight w:val="none"/>
              </w:rPr>
            </w:pPr>
          </w:p>
        </w:tc>
        <w:tc>
          <w:tcPr>
            <w:tcW w:w="1205" w:type="pct"/>
            <w:tcBorders>
              <w:top w:val="single" w:color="auto" w:sz="4" w:space="0"/>
              <w:left w:val="single" w:color="auto" w:sz="4" w:space="0"/>
              <w:bottom w:val="single" w:color="auto" w:sz="4" w:space="0"/>
              <w:right w:val="single" w:color="auto" w:sz="4" w:space="0"/>
            </w:tcBorders>
            <w:noWrap w:val="0"/>
            <w:vAlign w:val="center"/>
          </w:tcPr>
          <w:p w14:paraId="016B2FA3">
            <w:pPr>
              <w:pStyle w:val="114"/>
              <w:keepNext w:val="0"/>
              <w:keepLines w:val="0"/>
              <w:pageBreakBefore w:val="0"/>
              <w:suppressLineNumbers w:val="0"/>
              <w:kinsoku/>
              <w:overflowPunct/>
              <w:bidi w:val="0"/>
              <w:spacing w:before="62" w:beforeLines="20" w:beforeAutospacing="0" w:after="62" w:afterLines="20" w:afterAutospacing="0" w:line="600" w:lineRule="exact"/>
              <w:ind w:left="0" w:right="0"/>
              <w:jc w:val="center"/>
              <w:rPr>
                <w:rFonts w:hint="eastAsia" w:ascii="仿宋" w:hAnsi="仿宋" w:eastAsia="仿宋" w:cs="宋体"/>
                <w:color w:val="auto"/>
                <w:szCs w:val="21"/>
                <w:highlight w:val="none"/>
              </w:rPr>
            </w:pPr>
            <w:r>
              <w:rPr>
                <w:rFonts w:hint="eastAsia" w:ascii="仿宋" w:hAnsi="仿宋" w:eastAsia="仿宋" w:cs="宋体"/>
                <w:color w:val="auto"/>
                <w:szCs w:val="21"/>
                <w:highlight w:val="none"/>
              </w:rPr>
              <w:t>★投标保证金</w:t>
            </w:r>
            <w:r>
              <w:rPr>
                <w:rFonts w:hint="eastAsia" w:ascii="仿宋" w:hAnsi="仿宋" w:eastAsia="仿宋" w:cs="宋体"/>
                <w:color w:val="auto"/>
                <w:szCs w:val="21"/>
                <w:highlight w:val="none"/>
                <w:lang w:val="en-US" w:eastAsia="zh-CN"/>
              </w:rPr>
              <w:t>的</w:t>
            </w:r>
            <w:r>
              <w:rPr>
                <w:rFonts w:hint="eastAsia" w:ascii="仿宋" w:hAnsi="仿宋" w:eastAsia="仿宋" w:cs="宋体"/>
                <w:color w:val="auto"/>
                <w:szCs w:val="21"/>
                <w:highlight w:val="none"/>
              </w:rPr>
              <w:t>形式</w:t>
            </w:r>
          </w:p>
        </w:tc>
        <w:tc>
          <w:tcPr>
            <w:tcW w:w="3167" w:type="pct"/>
            <w:tcBorders>
              <w:top w:val="single" w:color="auto" w:sz="4" w:space="0"/>
              <w:left w:val="single" w:color="auto" w:sz="4" w:space="0"/>
              <w:bottom w:val="single" w:color="auto" w:sz="4" w:space="0"/>
              <w:right w:val="single" w:color="auto" w:sz="4" w:space="0"/>
            </w:tcBorders>
            <w:noWrap w:val="0"/>
            <w:vAlign w:val="center"/>
          </w:tcPr>
          <w:p w14:paraId="670CA7B7">
            <w:pPr>
              <w:keepNext w:val="0"/>
              <w:keepLines w:val="0"/>
              <w:pageBreakBefore w:val="0"/>
              <w:widowControl/>
              <w:suppressLineNumbers w:val="0"/>
              <w:kinsoku/>
              <w:overflowPunct/>
              <w:bidi w:val="0"/>
              <w:spacing w:before="0" w:beforeAutospacing="0" w:after="0" w:afterAutospacing="0" w:line="600" w:lineRule="exact"/>
              <w:ind w:left="0" w:right="0"/>
              <w:jc w:val="left"/>
              <w:rPr>
                <w:rFonts w:hint="eastAsia" w:ascii="仿宋" w:hAnsi="仿宋" w:eastAsia="仿宋" w:cs="仿宋"/>
                <w:color w:val="auto"/>
                <w:szCs w:val="21"/>
                <w:highlight w:val="none"/>
                <w:lang w:eastAsia="zh-CN"/>
              </w:rPr>
            </w:pPr>
            <w:r>
              <w:rPr>
                <w:rFonts w:hint="eastAsia" w:ascii="仿宋" w:hAnsi="仿宋" w:eastAsia="仿宋" w:cs="仿宋"/>
                <w:color w:val="auto"/>
                <w:kern w:val="0"/>
                <w:szCs w:val="21"/>
                <w:highlight w:val="none"/>
                <w:lang w:bidi="ar"/>
              </w:rPr>
              <w:t>（1）投标保证金的形式：银行电汇/银行转账/在中国注册的银行出具的银行保函/电子保函</w:t>
            </w:r>
            <w:r>
              <w:rPr>
                <w:rFonts w:hint="eastAsia" w:ascii="仿宋" w:hAnsi="仿宋" w:eastAsia="仿宋" w:cs="仿宋"/>
                <w:color w:val="auto"/>
                <w:kern w:val="0"/>
                <w:szCs w:val="21"/>
                <w:highlight w:val="none"/>
                <w:lang w:val="en-US" w:eastAsia="zh-CN" w:bidi="ar"/>
              </w:rPr>
              <w:t>/投标保证保险</w:t>
            </w:r>
            <w:r>
              <w:rPr>
                <w:rFonts w:hint="eastAsia" w:ascii="仿宋" w:hAnsi="仿宋" w:eastAsia="仿宋" w:cs="仿宋"/>
                <w:color w:val="auto"/>
                <w:kern w:val="0"/>
                <w:szCs w:val="21"/>
                <w:highlight w:val="none"/>
                <w:lang w:eastAsia="zh-CN" w:bidi="ar"/>
              </w:rPr>
              <w:t>。</w:t>
            </w:r>
          </w:p>
          <w:p w14:paraId="14552869">
            <w:pPr>
              <w:keepNext w:val="0"/>
              <w:keepLines w:val="0"/>
              <w:pageBreakBefore w:val="0"/>
              <w:widowControl/>
              <w:suppressLineNumbers w:val="0"/>
              <w:kinsoku/>
              <w:overflowPunct/>
              <w:bidi w:val="0"/>
              <w:spacing w:before="0" w:beforeAutospacing="0" w:after="0" w:afterAutospacing="0" w:line="600" w:lineRule="exact"/>
              <w:ind w:left="0" w:right="0"/>
              <w:jc w:val="left"/>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（2）</w:t>
            </w:r>
            <w:r>
              <w:rPr>
                <w:rFonts w:hint="eastAsia" w:ascii="仿宋" w:hAnsi="仿宋" w:eastAsia="仿宋" w:cs="仿宋"/>
                <w:color w:val="auto"/>
                <w:kern w:val="0"/>
                <w:szCs w:val="21"/>
                <w:highlight w:val="none"/>
                <w:lang w:val="en-US" w:eastAsia="zh-CN" w:bidi="ar"/>
              </w:rPr>
              <w:t>缴纳方式：</w:t>
            </w:r>
            <w:r>
              <w:rPr>
                <w:rFonts w:hint="eastAsia" w:ascii="仿宋" w:hAnsi="仿宋" w:eastAsia="仿宋" w:cs="仿宋"/>
                <w:color w:val="auto"/>
                <w:kern w:val="0"/>
                <w:szCs w:val="21"/>
                <w:highlight w:val="none"/>
                <w:lang w:eastAsia="zh-CN" w:bidi="ar"/>
              </w:rPr>
              <w:t>不</w:t>
            </w:r>
            <w:r>
              <w:rPr>
                <w:rFonts w:hint="eastAsia" w:ascii="仿宋" w:hAnsi="仿宋" w:eastAsia="仿宋" w:cs="仿宋"/>
                <w:color w:val="auto"/>
                <w:kern w:val="0"/>
                <w:szCs w:val="21"/>
                <w:highlight w:val="none"/>
                <w:lang w:bidi="ar"/>
              </w:rPr>
              <w:t>要求递交投标保证金</w:t>
            </w:r>
          </w:p>
          <w:p w14:paraId="358FE485">
            <w:pPr>
              <w:keepNext w:val="0"/>
              <w:keepLines w:val="0"/>
              <w:pageBreakBefore w:val="0"/>
              <w:suppressLineNumbers w:val="0"/>
              <w:kinsoku/>
              <w:overflowPunct/>
              <w:bidi w:val="0"/>
              <w:spacing w:before="0" w:beforeAutospacing="0" w:after="0" w:afterAutospacing="0" w:line="600" w:lineRule="exact"/>
              <w:ind w:left="0" w:right="0"/>
              <w:jc w:val="left"/>
              <w:rPr>
                <w:rFonts w:hint="eastAsia" w:ascii="仿宋" w:hAnsi="仿宋" w:eastAsia="仿宋" w:cs="宋体"/>
                <w:b/>
                <w:bCs/>
                <w:color w:val="auto"/>
                <w:szCs w:val="21"/>
                <w:highlight w:val="none"/>
                <w:lang w:eastAsia="zh-Hans"/>
              </w:rPr>
            </w:pPr>
            <w:r>
              <w:rPr>
                <w:rFonts w:hint="eastAsia" w:ascii="仿宋" w:hAnsi="仿宋" w:eastAsia="仿宋" w:cs="仿宋"/>
                <w:color w:val="auto"/>
                <w:kern w:val="0"/>
                <w:szCs w:val="21"/>
                <w:highlight w:val="none"/>
                <w:lang w:bidi="ar"/>
              </w:rPr>
              <w:t>（3）未在投标文件递交截止时间前提交投标保证</w:t>
            </w:r>
            <w:r>
              <w:rPr>
                <w:rFonts w:hint="eastAsia" w:ascii="仿宋" w:hAnsi="仿宋" w:eastAsia="仿宋" w:cs="仿宋"/>
                <w:color w:val="auto"/>
                <w:kern w:val="0"/>
                <w:szCs w:val="21"/>
                <w:highlight w:val="none"/>
                <w:lang w:val="en-US" w:eastAsia="zh-CN" w:bidi="ar"/>
              </w:rPr>
              <w:t>金</w:t>
            </w:r>
            <w:r>
              <w:rPr>
                <w:rFonts w:hint="eastAsia" w:ascii="仿宋" w:hAnsi="仿宋" w:eastAsia="仿宋" w:cs="仿宋"/>
                <w:color w:val="auto"/>
                <w:kern w:val="0"/>
                <w:szCs w:val="21"/>
                <w:highlight w:val="none"/>
                <w:lang w:bidi="ar"/>
              </w:rPr>
              <w:t>的或者提交的投标保证</w:t>
            </w:r>
            <w:r>
              <w:rPr>
                <w:rFonts w:hint="eastAsia" w:ascii="仿宋" w:hAnsi="仿宋" w:eastAsia="仿宋" w:cs="仿宋"/>
                <w:color w:val="auto"/>
                <w:kern w:val="0"/>
                <w:szCs w:val="21"/>
                <w:highlight w:val="none"/>
                <w:lang w:val="en-US" w:eastAsia="zh-CN" w:bidi="ar"/>
              </w:rPr>
              <w:t>金</w:t>
            </w:r>
            <w:r>
              <w:rPr>
                <w:rFonts w:hint="eastAsia" w:ascii="仿宋" w:hAnsi="仿宋" w:eastAsia="仿宋" w:cs="仿宋"/>
                <w:color w:val="auto"/>
                <w:kern w:val="0"/>
                <w:szCs w:val="21"/>
                <w:highlight w:val="none"/>
                <w:lang w:bidi="ar"/>
              </w:rPr>
              <w:t>有瑕疵的，</w:t>
            </w:r>
            <w:r>
              <w:rPr>
                <w:rFonts w:hint="eastAsia" w:ascii="仿宋" w:hAnsi="仿宋" w:eastAsia="仿宋" w:cs="仿宋"/>
                <w:b/>
                <w:bCs/>
                <w:color w:val="auto"/>
                <w:kern w:val="0"/>
                <w:szCs w:val="21"/>
                <w:highlight w:val="none"/>
                <w:lang w:bidi="ar"/>
              </w:rPr>
              <w:t>投标将被否决。</w:t>
            </w:r>
          </w:p>
        </w:tc>
      </w:tr>
      <w:tr w14:paraId="7A4ADC1B">
        <w:tblPrEx>
          <w:tblCellMar>
            <w:top w:w="0" w:type="dxa"/>
            <w:left w:w="108" w:type="dxa"/>
            <w:bottom w:w="0" w:type="dxa"/>
            <w:right w:w="108" w:type="dxa"/>
          </w:tblCellMar>
        </w:tblPrEx>
        <w:trPr>
          <w:trHeight w:val="907" w:hRule="atLeast"/>
          <w:jc w:val="center"/>
        </w:trPr>
        <w:tc>
          <w:tcPr>
            <w:tcW w:w="626" w:type="pct"/>
            <w:tcBorders>
              <w:top w:val="single" w:color="auto" w:sz="4" w:space="0"/>
              <w:left w:val="single" w:color="auto" w:sz="4" w:space="0"/>
              <w:bottom w:val="single" w:color="auto" w:sz="4" w:space="0"/>
              <w:right w:val="single" w:color="auto" w:sz="4" w:space="0"/>
            </w:tcBorders>
            <w:noWrap w:val="0"/>
            <w:vAlign w:val="center"/>
          </w:tcPr>
          <w:p w14:paraId="200BD09D">
            <w:pPr>
              <w:pStyle w:val="114"/>
              <w:keepNext w:val="0"/>
              <w:keepLines w:val="0"/>
              <w:pageBreakBefore w:val="0"/>
              <w:suppressLineNumbers w:val="0"/>
              <w:kinsoku/>
              <w:overflowPunct/>
              <w:bidi w:val="0"/>
              <w:spacing w:before="62" w:beforeLines="20" w:beforeAutospacing="0" w:after="62" w:afterLines="20" w:afterAutospacing="0" w:line="600" w:lineRule="exact"/>
              <w:ind w:left="0" w:right="0"/>
              <w:jc w:val="center"/>
              <w:rPr>
                <w:rFonts w:hint="eastAsia" w:ascii="仿宋" w:hAnsi="仿宋" w:eastAsia="仿宋" w:cs="宋体"/>
                <w:color w:val="auto"/>
                <w:szCs w:val="21"/>
                <w:highlight w:val="none"/>
              </w:rPr>
            </w:pPr>
          </w:p>
        </w:tc>
        <w:tc>
          <w:tcPr>
            <w:tcW w:w="1205" w:type="pct"/>
            <w:tcBorders>
              <w:top w:val="single" w:color="auto" w:sz="4" w:space="0"/>
              <w:left w:val="single" w:color="auto" w:sz="4" w:space="0"/>
              <w:bottom w:val="single" w:color="auto" w:sz="4" w:space="0"/>
              <w:right w:val="single" w:color="auto" w:sz="4" w:space="0"/>
            </w:tcBorders>
            <w:noWrap w:val="0"/>
            <w:vAlign w:val="center"/>
          </w:tcPr>
          <w:p w14:paraId="6F70235A">
            <w:pPr>
              <w:pStyle w:val="114"/>
              <w:keepNext w:val="0"/>
              <w:keepLines w:val="0"/>
              <w:pageBreakBefore w:val="0"/>
              <w:suppressLineNumbers w:val="0"/>
              <w:kinsoku/>
              <w:overflowPunct/>
              <w:bidi w:val="0"/>
              <w:spacing w:before="62" w:beforeLines="20" w:beforeAutospacing="0" w:after="62" w:afterLines="20" w:afterAutospacing="0" w:line="600" w:lineRule="exact"/>
              <w:ind w:left="0" w:right="0"/>
              <w:jc w:val="center"/>
              <w:rPr>
                <w:rFonts w:hint="eastAsia" w:ascii="仿宋" w:hAnsi="仿宋" w:eastAsia="仿宋" w:cs="宋体"/>
                <w:color w:val="auto"/>
                <w:szCs w:val="21"/>
                <w:highlight w:val="none"/>
              </w:rPr>
            </w:pPr>
            <w:r>
              <w:rPr>
                <w:rFonts w:hint="eastAsia" w:ascii="仿宋" w:hAnsi="仿宋" w:eastAsia="仿宋" w:cs="宋体"/>
                <w:color w:val="auto"/>
                <w:szCs w:val="21"/>
                <w:highlight w:val="none"/>
              </w:rPr>
              <w:t>★投标保证金不予退还情形</w:t>
            </w:r>
          </w:p>
        </w:tc>
        <w:tc>
          <w:tcPr>
            <w:tcW w:w="3167" w:type="pct"/>
            <w:tcBorders>
              <w:top w:val="single" w:color="auto" w:sz="4" w:space="0"/>
              <w:left w:val="single" w:color="auto" w:sz="4" w:space="0"/>
              <w:bottom w:val="single" w:color="auto" w:sz="4" w:space="0"/>
              <w:right w:val="single" w:color="auto" w:sz="4" w:space="0"/>
            </w:tcBorders>
            <w:noWrap w:val="0"/>
            <w:vAlign w:val="center"/>
          </w:tcPr>
          <w:p w14:paraId="117CB487">
            <w:pPr>
              <w:pStyle w:val="114"/>
              <w:keepNext w:val="0"/>
              <w:keepLines w:val="0"/>
              <w:pageBreakBefore w:val="0"/>
              <w:suppressLineNumbers w:val="0"/>
              <w:kinsoku/>
              <w:overflowPunct/>
              <w:bidi w:val="0"/>
              <w:spacing w:before="62" w:beforeLines="20" w:beforeAutospacing="0" w:after="62" w:afterLines="20" w:afterAutospacing="0" w:line="600" w:lineRule="exact"/>
              <w:ind w:left="0" w:right="0"/>
              <w:rPr>
                <w:rFonts w:hint="default" w:ascii="仿宋" w:hAnsi="仿宋" w:eastAsia="仿宋" w:cs="宋体"/>
                <w:color w:val="auto"/>
                <w:szCs w:val="21"/>
                <w:highlight w:val="none"/>
              </w:rPr>
            </w:pPr>
            <w:r>
              <w:rPr>
                <w:rFonts w:hint="eastAsia" w:ascii="仿宋" w:hAnsi="仿宋" w:eastAsia="仿宋" w:cs="宋体"/>
                <w:color w:val="auto"/>
                <w:szCs w:val="21"/>
                <w:highlight w:val="none"/>
              </w:rPr>
              <w:t>投标人或中标人出现下列行为之一，投标保证金不予退还：</w:t>
            </w:r>
          </w:p>
          <w:p w14:paraId="64E8A4DD">
            <w:pPr>
              <w:pStyle w:val="114"/>
              <w:keepNext w:val="0"/>
              <w:keepLines w:val="0"/>
              <w:pageBreakBefore w:val="0"/>
              <w:suppressLineNumbers w:val="0"/>
              <w:kinsoku/>
              <w:overflowPunct/>
              <w:bidi w:val="0"/>
              <w:spacing w:before="62" w:beforeLines="20" w:beforeAutospacing="0" w:after="62" w:afterLines="20" w:afterAutospacing="0" w:line="600" w:lineRule="exact"/>
              <w:ind w:left="0" w:right="0"/>
              <w:rPr>
                <w:rFonts w:hint="default" w:ascii="仿宋" w:hAnsi="仿宋" w:eastAsia="仿宋" w:cs="宋体"/>
                <w:color w:val="auto"/>
                <w:szCs w:val="21"/>
                <w:highlight w:val="none"/>
              </w:rPr>
            </w:pPr>
            <w:r>
              <w:rPr>
                <w:rFonts w:hint="eastAsia" w:ascii="仿宋" w:hAnsi="仿宋" w:eastAsia="仿宋" w:cs="宋体"/>
                <w:color w:val="auto"/>
                <w:szCs w:val="21"/>
                <w:highlight w:val="none"/>
              </w:rPr>
              <w:t>（1）投标人在投标截止后至投标有效期期满前,要求撤回已递交的投标文件；</w:t>
            </w:r>
          </w:p>
          <w:p w14:paraId="3CFFE796">
            <w:pPr>
              <w:pStyle w:val="114"/>
              <w:keepNext w:val="0"/>
              <w:keepLines w:val="0"/>
              <w:pageBreakBefore w:val="0"/>
              <w:suppressLineNumbers w:val="0"/>
              <w:kinsoku/>
              <w:overflowPunct/>
              <w:bidi w:val="0"/>
              <w:spacing w:before="62" w:beforeLines="20" w:beforeAutospacing="0" w:after="62" w:afterLines="20" w:afterAutospacing="0" w:line="600" w:lineRule="exact"/>
              <w:ind w:left="0" w:right="0"/>
              <w:rPr>
                <w:rFonts w:hint="default" w:ascii="仿宋" w:hAnsi="仿宋" w:eastAsia="仿宋" w:cs="宋体"/>
                <w:color w:val="auto"/>
                <w:szCs w:val="21"/>
                <w:highlight w:val="none"/>
              </w:rPr>
            </w:pPr>
            <w:r>
              <w:rPr>
                <w:rFonts w:hint="eastAsia" w:ascii="仿宋" w:hAnsi="仿宋" w:eastAsia="仿宋" w:cs="宋体"/>
                <w:color w:val="auto"/>
                <w:szCs w:val="21"/>
                <w:highlight w:val="none"/>
              </w:rPr>
              <w:t>（2）中标后放弃中标的；</w:t>
            </w:r>
          </w:p>
          <w:p w14:paraId="57393385">
            <w:pPr>
              <w:pStyle w:val="114"/>
              <w:keepNext w:val="0"/>
              <w:keepLines w:val="0"/>
              <w:pageBreakBefore w:val="0"/>
              <w:suppressLineNumbers w:val="0"/>
              <w:kinsoku/>
              <w:overflowPunct/>
              <w:bidi w:val="0"/>
              <w:spacing w:before="62" w:beforeLines="20" w:beforeAutospacing="0" w:after="62" w:afterLines="20" w:afterAutospacing="0" w:line="600" w:lineRule="exact"/>
              <w:ind w:left="0" w:right="0"/>
              <w:rPr>
                <w:rFonts w:hint="default" w:ascii="仿宋" w:hAnsi="仿宋" w:eastAsia="仿宋" w:cs="宋体"/>
                <w:color w:val="auto"/>
                <w:szCs w:val="21"/>
                <w:highlight w:val="none"/>
              </w:rPr>
            </w:pPr>
            <w:r>
              <w:rPr>
                <w:rFonts w:hint="eastAsia" w:ascii="仿宋" w:hAnsi="仿宋" w:eastAsia="仿宋" w:cs="宋体"/>
                <w:color w:val="auto"/>
                <w:szCs w:val="21"/>
                <w:highlight w:val="none"/>
              </w:rPr>
              <w:t>（3）中标或成交后无正当理由不与招标人订立合同的；</w:t>
            </w:r>
          </w:p>
          <w:p w14:paraId="0F24D74E">
            <w:pPr>
              <w:pStyle w:val="114"/>
              <w:keepNext w:val="0"/>
              <w:keepLines w:val="0"/>
              <w:pageBreakBefore w:val="0"/>
              <w:suppressLineNumbers w:val="0"/>
              <w:kinsoku/>
              <w:overflowPunct/>
              <w:bidi w:val="0"/>
              <w:spacing w:before="62" w:beforeLines="20" w:beforeAutospacing="0" w:after="62" w:afterLines="20" w:afterAutospacing="0" w:line="600" w:lineRule="exact"/>
              <w:ind w:left="0" w:right="0"/>
              <w:rPr>
                <w:rFonts w:hint="default" w:ascii="仿宋" w:hAnsi="仿宋" w:eastAsia="仿宋" w:cs="宋体"/>
                <w:color w:val="auto"/>
                <w:szCs w:val="21"/>
                <w:highlight w:val="none"/>
              </w:rPr>
            </w:pPr>
            <w:r>
              <w:rPr>
                <w:rFonts w:hint="eastAsia" w:ascii="仿宋" w:hAnsi="仿宋" w:eastAsia="仿宋" w:cs="宋体"/>
                <w:color w:val="auto"/>
                <w:szCs w:val="21"/>
                <w:highlight w:val="none"/>
              </w:rPr>
              <w:t>（4）中标人在签订合同时向招标人提出附加条件或要求变更实质性合同条款的；</w:t>
            </w:r>
          </w:p>
          <w:p w14:paraId="4C9E2BF9">
            <w:pPr>
              <w:pStyle w:val="114"/>
              <w:keepNext w:val="0"/>
              <w:keepLines w:val="0"/>
              <w:pageBreakBefore w:val="0"/>
              <w:suppressLineNumbers w:val="0"/>
              <w:kinsoku/>
              <w:overflowPunct/>
              <w:bidi w:val="0"/>
              <w:spacing w:before="62" w:beforeLines="20" w:beforeAutospacing="0" w:after="62" w:afterLines="20" w:afterAutospacing="0" w:line="600" w:lineRule="exact"/>
              <w:ind w:left="0" w:right="0"/>
              <w:rPr>
                <w:rFonts w:hint="default" w:ascii="仿宋" w:hAnsi="仿宋" w:eastAsia="仿宋" w:cs="宋体"/>
                <w:color w:val="auto"/>
                <w:szCs w:val="21"/>
                <w:highlight w:val="none"/>
              </w:rPr>
            </w:pPr>
            <w:r>
              <w:rPr>
                <w:rFonts w:hint="eastAsia" w:ascii="仿宋" w:hAnsi="仿宋" w:eastAsia="仿宋" w:cs="宋体"/>
                <w:color w:val="auto"/>
                <w:szCs w:val="21"/>
                <w:highlight w:val="none"/>
              </w:rPr>
              <w:t>（5）中标人不按照招标文件要求提交履约保证金的；</w:t>
            </w:r>
          </w:p>
          <w:p w14:paraId="648E4E3E">
            <w:pPr>
              <w:pStyle w:val="114"/>
              <w:keepNext w:val="0"/>
              <w:keepLines w:val="0"/>
              <w:pageBreakBefore w:val="0"/>
              <w:suppressLineNumbers w:val="0"/>
              <w:kinsoku/>
              <w:overflowPunct/>
              <w:bidi w:val="0"/>
              <w:spacing w:before="62" w:beforeLines="20" w:beforeAutospacing="0" w:after="62" w:afterLines="20" w:afterAutospacing="0" w:line="600" w:lineRule="exact"/>
              <w:ind w:left="0" w:right="0"/>
              <w:rPr>
                <w:rFonts w:hint="eastAsia" w:ascii="仿宋" w:hAnsi="仿宋" w:eastAsia="仿宋" w:cs="宋体"/>
                <w:color w:val="auto"/>
                <w:szCs w:val="21"/>
                <w:highlight w:val="none"/>
              </w:rPr>
            </w:pPr>
            <w:r>
              <w:rPr>
                <w:rFonts w:hint="eastAsia" w:ascii="仿宋" w:hAnsi="仿宋" w:eastAsia="仿宋" w:cs="宋体"/>
                <w:color w:val="auto"/>
                <w:szCs w:val="21"/>
                <w:highlight w:val="none"/>
              </w:rPr>
              <w:t>（6）投标人有恶意欺诈、弄虚作假、围标串标、哄抬标价、徇私行贿等法律法规中所列违规行为的。</w:t>
            </w:r>
          </w:p>
        </w:tc>
      </w:tr>
      <w:tr w14:paraId="78EDC9E3">
        <w:tblPrEx>
          <w:tblCellMar>
            <w:top w:w="0" w:type="dxa"/>
            <w:left w:w="108" w:type="dxa"/>
            <w:bottom w:w="0" w:type="dxa"/>
            <w:right w:w="108" w:type="dxa"/>
          </w:tblCellMar>
        </w:tblPrEx>
        <w:trPr>
          <w:trHeight w:val="907" w:hRule="atLeast"/>
          <w:jc w:val="center"/>
        </w:trPr>
        <w:tc>
          <w:tcPr>
            <w:tcW w:w="626" w:type="pct"/>
            <w:tcBorders>
              <w:top w:val="single" w:color="auto" w:sz="4" w:space="0"/>
              <w:left w:val="single" w:color="auto" w:sz="4" w:space="0"/>
              <w:bottom w:val="single" w:color="auto" w:sz="4" w:space="0"/>
              <w:right w:val="single" w:color="auto" w:sz="4" w:space="0"/>
            </w:tcBorders>
            <w:noWrap w:val="0"/>
            <w:vAlign w:val="center"/>
          </w:tcPr>
          <w:p w14:paraId="33FB49E8">
            <w:pPr>
              <w:pStyle w:val="114"/>
              <w:keepNext w:val="0"/>
              <w:keepLines w:val="0"/>
              <w:pageBreakBefore w:val="0"/>
              <w:suppressLineNumbers w:val="0"/>
              <w:kinsoku/>
              <w:overflowPunct/>
              <w:bidi w:val="0"/>
              <w:spacing w:before="62" w:beforeLines="20" w:beforeAutospacing="0" w:after="62" w:afterLines="20" w:afterAutospacing="0" w:line="600" w:lineRule="exact"/>
              <w:ind w:left="0" w:right="0"/>
              <w:jc w:val="center"/>
              <w:rPr>
                <w:rFonts w:hint="eastAsia" w:ascii="仿宋" w:hAnsi="仿宋" w:eastAsia="仿宋" w:cs="宋体"/>
                <w:color w:val="auto"/>
                <w:szCs w:val="21"/>
                <w:highlight w:val="none"/>
              </w:rPr>
            </w:pPr>
          </w:p>
        </w:tc>
        <w:tc>
          <w:tcPr>
            <w:tcW w:w="1205" w:type="pct"/>
            <w:tcBorders>
              <w:top w:val="single" w:color="auto" w:sz="4" w:space="0"/>
              <w:left w:val="single" w:color="auto" w:sz="4" w:space="0"/>
              <w:bottom w:val="single" w:color="auto" w:sz="4" w:space="0"/>
              <w:right w:val="single" w:color="auto" w:sz="4" w:space="0"/>
            </w:tcBorders>
            <w:noWrap w:val="0"/>
            <w:vAlign w:val="center"/>
          </w:tcPr>
          <w:p w14:paraId="6D4E1A88">
            <w:pPr>
              <w:pStyle w:val="114"/>
              <w:keepNext w:val="0"/>
              <w:keepLines w:val="0"/>
              <w:pageBreakBefore w:val="0"/>
              <w:suppressLineNumbers w:val="0"/>
              <w:kinsoku/>
              <w:overflowPunct/>
              <w:bidi w:val="0"/>
              <w:spacing w:before="62" w:beforeLines="20" w:beforeAutospacing="0" w:after="62" w:afterLines="20" w:afterAutospacing="0" w:line="600" w:lineRule="exact"/>
              <w:ind w:left="0" w:right="0"/>
              <w:jc w:val="center"/>
              <w:rPr>
                <w:rFonts w:hint="eastAsia" w:ascii="仿宋" w:hAnsi="仿宋" w:eastAsia="仿宋" w:cs="宋体"/>
                <w:color w:val="auto"/>
                <w:szCs w:val="21"/>
                <w:highlight w:val="none"/>
              </w:rPr>
            </w:pPr>
            <w:r>
              <w:rPr>
                <w:rFonts w:hint="eastAsia" w:ascii="仿宋" w:hAnsi="仿宋" w:eastAsia="仿宋" w:cs="宋体"/>
                <w:color w:val="auto"/>
                <w:szCs w:val="21"/>
                <w:highlight w:val="none"/>
              </w:rPr>
              <w:t>备选投标方案</w:t>
            </w:r>
          </w:p>
        </w:tc>
        <w:tc>
          <w:tcPr>
            <w:tcW w:w="3167" w:type="pct"/>
            <w:tcBorders>
              <w:top w:val="single" w:color="auto" w:sz="4" w:space="0"/>
              <w:left w:val="single" w:color="auto" w:sz="4" w:space="0"/>
              <w:bottom w:val="single" w:color="auto" w:sz="4" w:space="0"/>
              <w:right w:val="single" w:color="auto" w:sz="4" w:space="0"/>
            </w:tcBorders>
            <w:noWrap w:val="0"/>
            <w:vAlign w:val="center"/>
          </w:tcPr>
          <w:p w14:paraId="1FB6721D">
            <w:pPr>
              <w:pStyle w:val="114"/>
              <w:keepNext w:val="0"/>
              <w:keepLines w:val="0"/>
              <w:pageBreakBefore w:val="0"/>
              <w:suppressLineNumbers w:val="0"/>
              <w:kinsoku/>
              <w:overflowPunct/>
              <w:bidi w:val="0"/>
              <w:spacing w:before="62" w:beforeLines="20" w:beforeAutospacing="0" w:after="62" w:afterLines="20" w:afterAutospacing="0" w:line="600" w:lineRule="exact"/>
              <w:ind w:left="0" w:right="0"/>
              <w:rPr>
                <w:rFonts w:hint="eastAsia" w:ascii="仿宋" w:hAnsi="仿宋" w:eastAsia="仿宋" w:cs="宋体"/>
                <w:color w:val="auto"/>
                <w:szCs w:val="21"/>
                <w:highlight w:val="none"/>
              </w:rPr>
            </w:pPr>
            <w:r>
              <w:rPr>
                <w:rFonts w:hint="eastAsia" w:ascii="仿宋" w:hAnsi="仿宋" w:eastAsia="仿宋" w:cs="仿宋"/>
                <w:color w:val="auto"/>
                <w:szCs w:val="21"/>
                <w:highlight w:val="none"/>
              </w:rPr>
              <w:t>■</w:t>
            </w:r>
            <w:r>
              <w:rPr>
                <w:rFonts w:hint="eastAsia" w:ascii="仿宋" w:hAnsi="仿宋" w:eastAsia="仿宋" w:cs="宋体"/>
                <w:color w:val="auto"/>
                <w:szCs w:val="21"/>
                <w:highlight w:val="none"/>
              </w:rPr>
              <w:t>不允许</w:t>
            </w:r>
          </w:p>
          <w:p w14:paraId="755511B7">
            <w:pPr>
              <w:pStyle w:val="114"/>
              <w:keepNext w:val="0"/>
              <w:keepLines w:val="0"/>
              <w:pageBreakBefore w:val="0"/>
              <w:suppressLineNumbers w:val="0"/>
              <w:kinsoku/>
              <w:overflowPunct/>
              <w:bidi w:val="0"/>
              <w:spacing w:before="62" w:beforeLines="20" w:beforeAutospacing="0" w:after="62" w:afterLines="20" w:afterAutospacing="0" w:line="600" w:lineRule="exact"/>
              <w:ind w:left="0" w:right="0"/>
              <w:rPr>
                <w:rFonts w:hint="eastAsia" w:ascii="仿宋" w:hAnsi="仿宋" w:eastAsia="仿宋" w:cs="宋体"/>
                <w:color w:val="auto"/>
                <w:szCs w:val="21"/>
                <w:highlight w:val="none"/>
              </w:rPr>
            </w:pPr>
            <w:r>
              <w:rPr>
                <w:rFonts w:hint="eastAsia" w:ascii="仿宋" w:hAnsi="仿宋" w:eastAsia="仿宋" w:cs="宋体"/>
                <w:color w:val="auto"/>
                <w:szCs w:val="21"/>
                <w:highlight w:val="none"/>
              </w:rPr>
              <w:t>□允许</w:t>
            </w:r>
          </w:p>
        </w:tc>
      </w:tr>
      <w:tr w14:paraId="47F0ABFE">
        <w:tblPrEx>
          <w:tblCellMar>
            <w:top w:w="0" w:type="dxa"/>
            <w:left w:w="108" w:type="dxa"/>
            <w:bottom w:w="0" w:type="dxa"/>
            <w:right w:w="108" w:type="dxa"/>
          </w:tblCellMar>
        </w:tblPrEx>
        <w:trPr>
          <w:trHeight w:val="411" w:hRule="atLeast"/>
          <w:jc w:val="center"/>
        </w:trPr>
        <w:tc>
          <w:tcPr>
            <w:tcW w:w="626" w:type="pct"/>
            <w:tcBorders>
              <w:top w:val="single" w:color="auto" w:sz="4" w:space="0"/>
              <w:left w:val="single" w:color="auto" w:sz="4" w:space="0"/>
              <w:bottom w:val="single" w:color="auto" w:sz="4" w:space="0"/>
              <w:right w:val="single" w:color="auto" w:sz="4" w:space="0"/>
            </w:tcBorders>
            <w:noWrap w:val="0"/>
            <w:vAlign w:val="center"/>
          </w:tcPr>
          <w:p w14:paraId="64D88633">
            <w:pPr>
              <w:pStyle w:val="114"/>
              <w:keepNext w:val="0"/>
              <w:keepLines w:val="0"/>
              <w:pageBreakBefore w:val="0"/>
              <w:suppressLineNumbers w:val="0"/>
              <w:kinsoku/>
              <w:overflowPunct/>
              <w:bidi w:val="0"/>
              <w:spacing w:before="62" w:beforeLines="20" w:beforeAutospacing="0" w:after="62" w:afterLines="20" w:afterAutospacing="0" w:line="600" w:lineRule="exact"/>
              <w:ind w:left="0" w:right="0"/>
              <w:jc w:val="center"/>
              <w:rPr>
                <w:rFonts w:hint="eastAsia" w:ascii="仿宋" w:hAnsi="仿宋" w:eastAsia="仿宋" w:cs="宋体"/>
                <w:color w:val="auto"/>
                <w:szCs w:val="21"/>
                <w:highlight w:val="none"/>
              </w:rPr>
            </w:pPr>
          </w:p>
        </w:tc>
        <w:tc>
          <w:tcPr>
            <w:tcW w:w="1205" w:type="pct"/>
            <w:tcBorders>
              <w:top w:val="single" w:color="auto" w:sz="4" w:space="0"/>
              <w:left w:val="single" w:color="auto" w:sz="4" w:space="0"/>
              <w:bottom w:val="single" w:color="auto" w:sz="4" w:space="0"/>
              <w:right w:val="single" w:color="auto" w:sz="4" w:space="0"/>
            </w:tcBorders>
            <w:noWrap w:val="0"/>
            <w:vAlign w:val="center"/>
          </w:tcPr>
          <w:p w14:paraId="5D69CF03">
            <w:pPr>
              <w:pStyle w:val="114"/>
              <w:keepNext w:val="0"/>
              <w:keepLines w:val="0"/>
              <w:pageBreakBefore w:val="0"/>
              <w:suppressLineNumbers w:val="0"/>
              <w:kinsoku/>
              <w:overflowPunct/>
              <w:bidi w:val="0"/>
              <w:spacing w:before="62" w:beforeLines="20" w:beforeAutospacing="0" w:after="62" w:afterLines="20" w:afterAutospacing="0" w:line="600" w:lineRule="exact"/>
              <w:ind w:left="0" w:right="0"/>
              <w:jc w:val="center"/>
              <w:rPr>
                <w:rFonts w:hint="eastAsia" w:ascii="仿宋" w:hAnsi="仿宋" w:eastAsia="仿宋" w:cs="宋体"/>
                <w:color w:val="auto"/>
                <w:szCs w:val="21"/>
                <w:highlight w:val="none"/>
              </w:rPr>
            </w:pPr>
            <w:r>
              <w:rPr>
                <w:rFonts w:hint="eastAsia" w:ascii="仿宋" w:hAnsi="仿宋" w:eastAsia="仿宋" w:cs="宋体"/>
                <w:color w:val="auto"/>
                <w:szCs w:val="21"/>
                <w:highlight w:val="none"/>
              </w:rPr>
              <w:t>投标文件的份数</w:t>
            </w:r>
          </w:p>
        </w:tc>
        <w:tc>
          <w:tcPr>
            <w:tcW w:w="3167" w:type="pct"/>
            <w:tcBorders>
              <w:top w:val="single" w:color="auto" w:sz="4" w:space="0"/>
              <w:left w:val="single" w:color="auto" w:sz="4" w:space="0"/>
              <w:bottom w:val="single" w:color="auto" w:sz="4" w:space="0"/>
              <w:right w:val="single" w:color="auto" w:sz="4" w:space="0"/>
            </w:tcBorders>
            <w:noWrap w:val="0"/>
            <w:vAlign w:val="center"/>
          </w:tcPr>
          <w:p w14:paraId="01F1E44D">
            <w:pPr>
              <w:pStyle w:val="114"/>
              <w:keepNext w:val="0"/>
              <w:keepLines w:val="0"/>
              <w:pageBreakBefore w:val="0"/>
              <w:suppressLineNumbers w:val="0"/>
              <w:kinsoku/>
              <w:overflowPunct/>
              <w:bidi w:val="0"/>
              <w:spacing w:before="62" w:beforeLines="20" w:beforeAutospacing="0" w:after="62" w:afterLines="20" w:afterAutospacing="0" w:line="600" w:lineRule="exact"/>
              <w:ind w:left="0" w:right="0"/>
              <w:rPr>
                <w:rFonts w:hint="eastAsia" w:ascii="仿宋" w:hAnsi="仿宋" w:eastAsia="仿宋" w:cs="宋体"/>
                <w:color w:val="auto"/>
                <w:szCs w:val="21"/>
                <w:highlight w:val="none"/>
              </w:rPr>
            </w:pPr>
            <w:r>
              <w:rPr>
                <w:rFonts w:hint="eastAsia" w:ascii="仿宋" w:hAnsi="仿宋" w:eastAsia="仿宋" w:cs="宋体"/>
                <w:color w:val="auto"/>
                <w:szCs w:val="21"/>
                <w:highlight w:val="none"/>
              </w:rPr>
              <w:t>电子文件</w:t>
            </w:r>
            <w:r>
              <w:rPr>
                <w:rFonts w:hint="eastAsia" w:ascii="仿宋" w:hAnsi="仿宋" w:eastAsia="仿宋" w:cs="宋体"/>
                <w:color w:val="auto"/>
                <w:szCs w:val="21"/>
                <w:highlight w:val="none"/>
                <w:u w:val="single"/>
                <w:lang w:val="en-US" w:eastAsia="zh-CN"/>
              </w:rPr>
              <w:t>1</w:t>
            </w:r>
            <w:r>
              <w:rPr>
                <w:rFonts w:hint="eastAsia" w:ascii="仿宋" w:hAnsi="仿宋" w:eastAsia="仿宋" w:cs="宋体"/>
                <w:color w:val="auto"/>
                <w:szCs w:val="21"/>
                <w:highlight w:val="none"/>
              </w:rPr>
              <w:t>份（</w:t>
            </w:r>
            <w:r>
              <w:rPr>
                <w:rFonts w:hint="eastAsia" w:ascii="仿宋" w:hAnsi="仿宋" w:eastAsia="仿宋" w:cs="宋体"/>
                <w:color w:val="auto"/>
                <w:szCs w:val="21"/>
                <w:highlight w:val="none"/>
                <w:lang w:val="en-US" w:eastAsia="zh-CN"/>
              </w:rPr>
              <w:t>具体格式要求</w:t>
            </w:r>
            <w:r>
              <w:rPr>
                <w:rFonts w:hint="eastAsia" w:ascii="仿宋" w:hAnsi="仿宋" w:eastAsia="仿宋" w:cs="宋体"/>
                <w:color w:val="auto"/>
                <w:szCs w:val="21"/>
                <w:highlight w:val="none"/>
              </w:rPr>
              <w:t>）；纸质文件正本</w:t>
            </w:r>
            <w:r>
              <w:rPr>
                <w:rFonts w:hint="eastAsia" w:ascii="仿宋" w:hAnsi="仿宋" w:eastAsia="仿宋" w:cs="宋体"/>
                <w:color w:val="auto"/>
                <w:szCs w:val="21"/>
                <w:highlight w:val="none"/>
                <w:u w:val="single"/>
              </w:rPr>
              <w:t xml:space="preserve"> 1 </w:t>
            </w:r>
            <w:r>
              <w:rPr>
                <w:rFonts w:hint="eastAsia" w:ascii="仿宋" w:hAnsi="仿宋" w:eastAsia="仿宋" w:cs="宋体"/>
                <w:color w:val="auto"/>
                <w:szCs w:val="21"/>
                <w:highlight w:val="none"/>
              </w:rPr>
              <w:t>份，副本</w:t>
            </w:r>
            <w:r>
              <w:rPr>
                <w:rFonts w:hint="default" w:ascii="仿宋" w:hAnsi="仿宋" w:eastAsia="仿宋" w:cs="宋体"/>
                <w:color w:val="auto"/>
                <w:szCs w:val="21"/>
                <w:highlight w:val="none"/>
                <w:u w:val="single"/>
              </w:rPr>
              <w:t xml:space="preserve"> </w:t>
            </w:r>
            <w:r>
              <w:rPr>
                <w:rFonts w:hint="eastAsia" w:ascii="仿宋" w:hAnsi="仿宋" w:eastAsia="仿宋" w:cs="宋体"/>
                <w:color w:val="auto"/>
                <w:szCs w:val="21"/>
                <w:highlight w:val="none"/>
                <w:u w:val="single"/>
                <w:lang w:val="en-US" w:eastAsia="zh-CN"/>
              </w:rPr>
              <w:t>1</w:t>
            </w:r>
            <w:r>
              <w:rPr>
                <w:rFonts w:hint="eastAsia" w:ascii="仿宋" w:hAnsi="仿宋" w:eastAsia="仿宋" w:cs="宋体"/>
                <w:color w:val="auto"/>
                <w:szCs w:val="21"/>
                <w:highlight w:val="none"/>
                <w:u w:val="single"/>
              </w:rPr>
              <w:t xml:space="preserve"> </w:t>
            </w:r>
            <w:r>
              <w:rPr>
                <w:rFonts w:hint="eastAsia" w:ascii="仿宋" w:hAnsi="仿宋" w:eastAsia="仿宋" w:cs="宋体"/>
                <w:color w:val="auto"/>
                <w:szCs w:val="21"/>
                <w:highlight w:val="none"/>
              </w:rPr>
              <w:t>份。</w:t>
            </w:r>
          </w:p>
        </w:tc>
      </w:tr>
      <w:tr w14:paraId="32401529">
        <w:tblPrEx>
          <w:tblCellMar>
            <w:top w:w="0" w:type="dxa"/>
            <w:left w:w="108" w:type="dxa"/>
            <w:bottom w:w="0" w:type="dxa"/>
            <w:right w:w="108" w:type="dxa"/>
          </w:tblCellMar>
        </w:tblPrEx>
        <w:trPr>
          <w:trHeight w:val="907" w:hRule="atLeast"/>
          <w:jc w:val="center"/>
        </w:trPr>
        <w:tc>
          <w:tcPr>
            <w:tcW w:w="626" w:type="pct"/>
            <w:tcBorders>
              <w:top w:val="single" w:color="auto" w:sz="4" w:space="0"/>
              <w:left w:val="single" w:color="auto" w:sz="4" w:space="0"/>
              <w:bottom w:val="single" w:color="auto" w:sz="4" w:space="0"/>
              <w:right w:val="single" w:color="auto" w:sz="4" w:space="0"/>
            </w:tcBorders>
            <w:noWrap w:val="0"/>
            <w:vAlign w:val="center"/>
          </w:tcPr>
          <w:p w14:paraId="37A361F0">
            <w:pPr>
              <w:pStyle w:val="114"/>
              <w:keepNext w:val="0"/>
              <w:keepLines w:val="0"/>
              <w:pageBreakBefore w:val="0"/>
              <w:suppressLineNumbers w:val="0"/>
              <w:kinsoku/>
              <w:overflowPunct/>
              <w:bidi w:val="0"/>
              <w:spacing w:before="62" w:beforeLines="20" w:beforeAutospacing="0" w:after="62" w:afterLines="20" w:afterAutospacing="0" w:line="600" w:lineRule="exact"/>
              <w:ind w:left="0" w:right="0"/>
              <w:jc w:val="center"/>
              <w:rPr>
                <w:rFonts w:hint="eastAsia" w:ascii="仿宋" w:hAnsi="仿宋" w:eastAsia="仿宋" w:cs="宋体"/>
                <w:color w:val="auto"/>
                <w:szCs w:val="21"/>
                <w:highlight w:val="none"/>
              </w:rPr>
            </w:pPr>
          </w:p>
        </w:tc>
        <w:tc>
          <w:tcPr>
            <w:tcW w:w="1205" w:type="pct"/>
            <w:tcBorders>
              <w:top w:val="single" w:color="auto" w:sz="4" w:space="0"/>
              <w:left w:val="single" w:color="auto" w:sz="4" w:space="0"/>
              <w:bottom w:val="single" w:color="auto" w:sz="4" w:space="0"/>
              <w:right w:val="single" w:color="auto" w:sz="4" w:space="0"/>
            </w:tcBorders>
            <w:noWrap w:val="0"/>
            <w:vAlign w:val="center"/>
          </w:tcPr>
          <w:p w14:paraId="4E1DAD6E">
            <w:pPr>
              <w:pStyle w:val="114"/>
              <w:keepNext w:val="0"/>
              <w:keepLines w:val="0"/>
              <w:pageBreakBefore w:val="0"/>
              <w:suppressLineNumbers w:val="0"/>
              <w:kinsoku/>
              <w:overflowPunct/>
              <w:bidi w:val="0"/>
              <w:spacing w:before="62" w:beforeLines="20" w:beforeAutospacing="0" w:after="62" w:afterLines="20" w:afterAutospacing="0" w:line="600" w:lineRule="exact"/>
              <w:ind w:left="0" w:right="0"/>
              <w:jc w:val="center"/>
              <w:rPr>
                <w:rFonts w:hint="eastAsia" w:ascii="仿宋" w:hAnsi="仿宋" w:eastAsia="仿宋" w:cs="宋体"/>
                <w:color w:val="auto"/>
                <w:szCs w:val="21"/>
                <w:highlight w:val="none"/>
              </w:rPr>
            </w:pPr>
            <w:r>
              <w:rPr>
                <w:rFonts w:hint="eastAsia" w:ascii="仿宋" w:hAnsi="仿宋" w:eastAsia="仿宋" w:cs="宋体"/>
                <w:color w:val="auto"/>
                <w:szCs w:val="21"/>
                <w:highlight w:val="none"/>
              </w:rPr>
              <w:t>纸质投标文件的密封、</w:t>
            </w:r>
          </w:p>
          <w:p w14:paraId="0336C0AD">
            <w:pPr>
              <w:pStyle w:val="114"/>
              <w:keepNext w:val="0"/>
              <w:keepLines w:val="0"/>
              <w:pageBreakBefore w:val="0"/>
              <w:suppressLineNumbers w:val="0"/>
              <w:kinsoku/>
              <w:overflowPunct/>
              <w:bidi w:val="0"/>
              <w:spacing w:before="62" w:beforeLines="20" w:beforeAutospacing="0" w:after="62" w:afterLines="20" w:afterAutospacing="0" w:line="600" w:lineRule="exact"/>
              <w:ind w:left="0" w:right="0"/>
              <w:jc w:val="center"/>
              <w:rPr>
                <w:rFonts w:hint="eastAsia" w:ascii="仿宋" w:hAnsi="仿宋" w:eastAsia="仿宋" w:cs="宋体"/>
                <w:color w:val="auto"/>
                <w:szCs w:val="21"/>
                <w:highlight w:val="none"/>
              </w:rPr>
            </w:pPr>
            <w:r>
              <w:rPr>
                <w:rFonts w:hint="eastAsia" w:ascii="仿宋" w:hAnsi="仿宋" w:eastAsia="仿宋" w:cs="宋体"/>
                <w:color w:val="auto"/>
                <w:szCs w:val="21"/>
                <w:highlight w:val="none"/>
              </w:rPr>
              <w:t>标记要求</w:t>
            </w:r>
          </w:p>
        </w:tc>
        <w:tc>
          <w:tcPr>
            <w:tcW w:w="3167" w:type="pct"/>
            <w:tcBorders>
              <w:top w:val="single" w:color="auto" w:sz="4" w:space="0"/>
              <w:left w:val="single" w:color="auto" w:sz="4" w:space="0"/>
              <w:bottom w:val="single" w:color="auto" w:sz="4" w:space="0"/>
              <w:right w:val="single" w:color="auto" w:sz="4" w:space="0"/>
            </w:tcBorders>
            <w:noWrap w:val="0"/>
            <w:vAlign w:val="center"/>
          </w:tcPr>
          <w:p w14:paraId="60CFA289">
            <w:pPr>
              <w:pStyle w:val="114"/>
              <w:keepNext w:val="0"/>
              <w:keepLines w:val="0"/>
              <w:pageBreakBefore w:val="0"/>
              <w:suppressLineNumbers w:val="0"/>
              <w:kinsoku/>
              <w:overflowPunct/>
              <w:bidi w:val="0"/>
              <w:spacing w:before="62" w:beforeLines="20" w:beforeAutospacing="0" w:after="62" w:afterLines="20" w:afterAutospacing="0" w:line="600" w:lineRule="exact"/>
              <w:ind w:left="0" w:right="0"/>
              <w:rPr>
                <w:rFonts w:hint="default" w:ascii="仿宋" w:hAnsi="仿宋" w:eastAsia="仿宋" w:cs="宋体"/>
                <w:bCs/>
                <w:color w:val="auto"/>
                <w:szCs w:val="21"/>
                <w:highlight w:val="none"/>
              </w:rPr>
            </w:pPr>
            <w:r>
              <w:rPr>
                <w:rFonts w:hint="eastAsia" w:ascii="仿宋" w:hAnsi="仿宋" w:eastAsia="仿宋" w:cs="宋体"/>
                <w:color w:val="auto"/>
                <w:szCs w:val="21"/>
                <w:highlight w:val="none"/>
              </w:rPr>
              <w:t>（1）采用A4纸胶装，双面打印，商务、技术、报价文件分别装订成册，密封粘接缝隙加盖投标人公章</w:t>
            </w:r>
            <w:r>
              <w:rPr>
                <w:rFonts w:hint="eastAsia" w:ascii="仿宋" w:hAnsi="仿宋" w:eastAsia="仿宋" w:cs="宋体"/>
                <w:b/>
                <w:bCs/>
                <w:color w:val="auto"/>
                <w:szCs w:val="21"/>
                <w:highlight w:val="none"/>
              </w:rPr>
              <w:t>或</w:t>
            </w:r>
            <w:r>
              <w:rPr>
                <w:rFonts w:hint="eastAsia" w:ascii="仿宋" w:hAnsi="仿宋" w:eastAsia="仿宋" w:cs="宋体"/>
                <w:color w:val="auto"/>
                <w:szCs w:val="21"/>
                <w:highlight w:val="none"/>
              </w:rPr>
              <w:t>由法定代表人（负责人）</w:t>
            </w:r>
            <w:r>
              <w:rPr>
                <w:rFonts w:hint="eastAsia" w:ascii="仿宋" w:hAnsi="仿宋" w:eastAsia="仿宋" w:cs="宋体"/>
                <w:b/>
                <w:bCs/>
                <w:color w:val="auto"/>
                <w:szCs w:val="21"/>
                <w:highlight w:val="none"/>
              </w:rPr>
              <w:t>或</w:t>
            </w:r>
            <w:r>
              <w:rPr>
                <w:rFonts w:hint="eastAsia" w:ascii="仿宋" w:hAnsi="仿宋" w:eastAsia="仿宋" w:cs="宋体"/>
                <w:color w:val="auto"/>
                <w:szCs w:val="21"/>
                <w:highlight w:val="none"/>
              </w:rPr>
              <w:t>其委托代理人签字。</w:t>
            </w:r>
            <w:r>
              <w:rPr>
                <w:rFonts w:hint="eastAsia" w:ascii="仿宋" w:hAnsi="仿宋" w:eastAsia="仿宋" w:cs="宋体"/>
                <w:b/>
                <w:color w:val="auto"/>
                <w:szCs w:val="21"/>
                <w:highlight w:val="none"/>
              </w:rPr>
              <w:t>未按要求密封的</w:t>
            </w:r>
            <w:r>
              <w:rPr>
                <w:rFonts w:hint="eastAsia" w:ascii="仿宋" w:hAnsi="仿宋" w:eastAsia="仿宋" w:cs="宋体"/>
                <w:b/>
                <w:color w:val="auto"/>
                <w:szCs w:val="21"/>
                <w:highlight w:val="none"/>
                <w:lang w:eastAsia="zh-Hans"/>
              </w:rPr>
              <w:t>纸质</w:t>
            </w:r>
            <w:r>
              <w:rPr>
                <w:rFonts w:hint="eastAsia" w:ascii="仿宋" w:hAnsi="仿宋" w:eastAsia="仿宋" w:cs="宋体"/>
                <w:b/>
                <w:color w:val="auto"/>
                <w:szCs w:val="21"/>
                <w:highlight w:val="none"/>
              </w:rPr>
              <w:t>投标文件不予接收。</w:t>
            </w:r>
          </w:p>
          <w:p w14:paraId="1E445E70">
            <w:pPr>
              <w:pStyle w:val="114"/>
              <w:keepNext w:val="0"/>
              <w:keepLines w:val="0"/>
              <w:pageBreakBefore w:val="0"/>
              <w:suppressLineNumbers w:val="0"/>
              <w:kinsoku/>
              <w:overflowPunct/>
              <w:bidi w:val="0"/>
              <w:spacing w:before="62" w:beforeLines="20" w:beforeAutospacing="0" w:after="62" w:afterLines="20" w:afterAutospacing="0" w:line="600" w:lineRule="exact"/>
              <w:ind w:left="0" w:right="0"/>
              <w:rPr>
                <w:rFonts w:hint="eastAsia" w:ascii="仿宋" w:hAnsi="仿宋" w:eastAsia="仿宋" w:cs="宋体"/>
                <w:b/>
                <w:color w:val="auto"/>
                <w:szCs w:val="21"/>
                <w:highlight w:val="none"/>
                <w:lang w:eastAsia="zh-Hans"/>
              </w:rPr>
            </w:pPr>
            <w:r>
              <w:rPr>
                <w:rFonts w:hint="eastAsia" w:ascii="仿宋" w:hAnsi="仿宋" w:eastAsia="仿宋" w:cs="宋体"/>
                <w:bCs/>
                <w:color w:val="auto"/>
                <w:szCs w:val="21"/>
                <w:highlight w:val="none"/>
              </w:rPr>
              <w:t>（2）</w:t>
            </w:r>
            <w:r>
              <w:rPr>
                <w:rFonts w:hint="eastAsia" w:ascii="仿宋" w:hAnsi="仿宋" w:eastAsia="仿宋" w:cs="宋体"/>
                <w:color w:val="auto"/>
                <w:szCs w:val="21"/>
                <w:highlight w:val="none"/>
              </w:rPr>
              <w:t>外层包封具体样式如下：</w:t>
            </w:r>
          </w:p>
        </w:tc>
      </w:tr>
      <w:tr w14:paraId="58649B44">
        <w:tblPrEx>
          <w:tblCellMar>
            <w:top w:w="0" w:type="dxa"/>
            <w:left w:w="108" w:type="dxa"/>
            <w:bottom w:w="0" w:type="dxa"/>
            <w:right w:w="108" w:type="dxa"/>
          </w:tblCellMar>
        </w:tblPrEx>
        <w:trPr>
          <w:trHeight w:val="907" w:hRule="atLeast"/>
          <w:jc w:val="center"/>
        </w:trPr>
        <w:tc>
          <w:tcPr>
            <w:tcW w:w="626" w:type="pct"/>
            <w:tcBorders>
              <w:top w:val="single" w:color="auto" w:sz="4" w:space="0"/>
              <w:left w:val="single" w:color="auto" w:sz="4" w:space="0"/>
              <w:bottom w:val="single" w:color="auto" w:sz="4" w:space="0"/>
              <w:right w:val="single" w:color="auto" w:sz="4" w:space="0"/>
            </w:tcBorders>
            <w:noWrap w:val="0"/>
            <w:vAlign w:val="center"/>
          </w:tcPr>
          <w:p w14:paraId="0E1672B2">
            <w:pPr>
              <w:pStyle w:val="114"/>
              <w:keepNext w:val="0"/>
              <w:keepLines w:val="0"/>
              <w:pageBreakBefore w:val="0"/>
              <w:suppressLineNumbers w:val="0"/>
              <w:kinsoku/>
              <w:overflowPunct/>
              <w:bidi w:val="0"/>
              <w:spacing w:before="62" w:beforeLines="20" w:beforeAutospacing="0" w:after="62" w:afterLines="20" w:afterAutospacing="0" w:line="600" w:lineRule="exact"/>
              <w:ind w:left="0" w:leftChars="0" w:right="0" w:rightChars="0"/>
              <w:jc w:val="center"/>
              <w:rPr>
                <w:rFonts w:hint="eastAsia" w:ascii="仿宋" w:hAnsi="仿宋" w:eastAsia="仿宋" w:cs="宋体"/>
                <w:color w:val="auto"/>
                <w:kern w:val="0"/>
                <w:sz w:val="21"/>
                <w:szCs w:val="21"/>
                <w:highlight w:val="none"/>
                <w:lang w:val="en-US" w:eastAsia="zh-CN" w:bidi="ar-SA"/>
              </w:rPr>
            </w:pPr>
          </w:p>
        </w:tc>
        <w:tc>
          <w:tcPr>
            <w:tcW w:w="1205" w:type="pct"/>
            <w:tcBorders>
              <w:top w:val="single" w:color="auto" w:sz="4" w:space="0"/>
              <w:left w:val="single" w:color="auto" w:sz="4" w:space="0"/>
              <w:bottom w:val="single" w:color="auto" w:sz="4" w:space="0"/>
              <w:right w:val="single" w:color="auto" w:sz="4" w:space="0"/>
            </w:tcBorders>
            <w:noWrap w:val="0"/>
            <w:vAlign w:val="center"/>
          </w:tcPr>
          <w:p w14:paraId="74822568">
            <w:pPr>
              <w:pStyle w:val="114"/>
              <w:keepNext w:val="0"/>
              <w:keepLines w:val="0"/>
              <w:pageBreakBefore w:val="0"/>
              <w:suppressLineNumbers w:val="0"/>
              <w:kinsoku/>
              <w:overflowPunct/>
              <w:bidi w:val="0"/>
              <w:spacing w:before="62" w:beforeLines="20" w:beforeAutospacing="0" w:after="62" w:afterLines="20" w:afterAutospacing="0" w:line="600" w:lineRule="exact"/>
              <w:ind w:left="0" w:leftChars="0" w:right="0" w:rightChars="0"/>
              <w:jc w:val="center"/>
              <w:rPr>
                <w:rFonts w:hint="eastAsia" w:ascii="仿宋" w:hAnsi="仿宋" w:eastAsia="仿宋" w:cs="宋体"/>
                <w:color w:val="auto"/>
                <w:spacing w:val="-6"/>
                <w:kern w:val="0"/>
                <w:sz w:val="21"/>
                <w:szCs w:val="21"/>
                <w:highlight w:val="none"/>
                <w:lang w:val="en-US" w:eastAsia="zh-CN" w:bidi="ar-SA"/>
              </w:rPr>
            </w:pPr>
            <w:r>
              <w:rPr>
                <w:rFonts w:hint="eastAsia" w:ascii="仿宋" w:hAnsi="仿宋" w:eastAsia="仿宋" w:cs="宋体"/>
                <w:color w:val="auto"/>
                <w:spacing w:val="-6"/>
                <w:szCs w:val="21"/>
                <w:highlight w:val="none"/>
              </w:rPr>
              <w:t>投标文件递交截止时间</w:t>
            </w:r>
          </w:p>
        </w:tc>
        <w:tc>
          <w:tcPr>
            <w:tcW w:w="3167" w:type="pct"/>
            <w:tcBorders>
              <w:top w:val="single" w:color="auto" w:sz="4" w:space="0"/>
              <w:left w:val="single" w:color="auto" w:sz="4" w:space="0"/>
              <w:bottom w:val="single" w:color="auto" w:sz="4" w:space="0"/>
              <w:right w:val="single" w:color="auto" w:sz="4" w:space="0"/>
            </w:tcBorders>
            <w:noWrap w:val="0"/>
            <w:vAlign w:val="center"/>
          </w:tcPr>
          <w:p w14:paraId="67B764DE">
            <w:pPr>
              <w:keepNext w:val="0"/>
              <w:keepLines w:val="0"/>
              <w:pageBreakBefore w:val="0"/>
              <w:suppressLineNumbers w:val="0"/>
              <w:kinsoku/>
              <w:overflowPunct/>
              <w:bidi w:val="0"/>
              <w:spacing w:before="62" w:beforeLines="20" w:beforeAutospacing="0" w:after="62" w:afterLines="20" w:afterAutospacing="0" w:line="600" w:lineRule="exact"/>
              <w:ind w:left="0" w:leftChars="0" w:right="0" w:rightChars="0"/>
              <w:rPr>
                <w:rFonts w:hint="eastAsia" w:ascii="仿宋" w:hAnsi="仿宋" w:eastAsia="仿宋" w:cs="宋体"/>
                <w:b/>
                <w:color w:val="auto"/>
                <w:kern w:val="2"/>
                <w:sz w:val="21"/>
                <w:szCs w:val="21"/>
                <w:highlight w:val="none"/>
                <w:lang w:val="en-US" w:eastAsia="zh-CN" w:bidi="ar-SA"/>
              </w:rPr>
            </w:pPr>
            <w:r>
              <w:rPr>
                <w:rFonts w:hint="eastAsia" w:ascii="仿宋" w:hAnsi="仿宋" w:eastAsia="仿宋" w:cs="宋体"/>
                <w:color w:val="auto"/>
                <w:szCs w:val="21"/>
                <w:highlight w:val="none"/>
              </w:rPr>
              <w:t>详见第一章 招标公告“六、投标文件的递交”</w:t>
            </w:r>
          </w:p>
        </w:tc>
      </w:tr>
      <w:tr w14:paraId="5B7A4567">
        <w:tblPrEx>
          <w:tblCellMar>
            <w:top w:w="0" w:type="dxa"/>
            <w:left w:w="108" w:type="dxa"/>
            <w:bottom w:w="0" w:type="dxa"/>
            <w:right w:w="108" w:type="dxa"/>
          </w:tblCellMar>
        </w:tblPrEx>
        <w:trPr>
          <w:trHeight w:val="907" w:hRule="atLeast"/>
          <w:jc w:val="center"/>
        </w:trPr>
        <w:tc>
          <w:tcPr>
            <w:tcW w:w="626" w:type="pct"/>
            <w:tcBorders>
              <w:top w:val="single" w:color="auto" w:sz="4" w:space="0"/>
              <w:left w:val="single" w:color="auto" w:sz="4" w:space="0"/>
              <w:bottom w:val="single" w:color="auto" w:sz="4" w:space="0"/>
              <w:right w:val="single" w:color="auto" w:sz="4" w:space="0"/>
            </w:tcBorders>
            <w:noWrap w:val="0"/>
            <w:vAlign w:val="center"/>
          </w:tcPr>
          <w:p w14:paraId="14908BA7">
            <w:pPr>
              <w:pStyle w:val="114"/>
              <w:keepNext w:val="0"/>
              <w:keepLines w:val="0"/>
              <w:pageBreakBefore w:val="0"/>
              <w:suppressLineNumbers w:val="0"/>
              <w:kinsoku/>
              <w:overflowPunct/>
              <w:bidi w:val="0"/>
              <w:spacing w:before="62" w:beforeLines="20" w:beforeAutospacing="0" w:after="62" w:afterLines="20" w:afterAutospacing="0" w:line="600" w:lineRule="exact"/>
              <w:ind w:left="0" w:leftChars="0" w:right="0" w:rightChars="0"/>
              <w:jc w:val="center"/>
              <w:rPr>
                <w:rFonts w:hint="eastAsia" w:ascii="仿宋" w:hAnsi="仿宋" w:eastAsia="仿宋" w:cs="宋体"/>
                <w:color w:val="auto"/>
                <w:kern w:val="0"/>
                <w:sz w:val="21"/>
                <w:szCs w:val="21"/>
                <w:highlight w:val="none"/>
                <w:lang w:val="en-US" w:eastAsia="zh-CN" w:bidi="ar-SA"/>
              </w:rPr>
            </w:pPr>
          </w:p>
        </w:tc>
        <w:tc>
          <w:tcPr>
            <w:tcW w:w="1205" w:type="pct"/>
            <w:tcBorders>
              <w:top w:val="single" w:color="auto" w:sz="4" w:space="0"/>
              <w:left w:val="single" w:color="auto" w:sz="4" w:space="0"/>
              <w:bottom w:val="single" w:color="auto" w:sz="4" w:space="0"/>
              <w:right w:val="single" w:color="auto" w:sz="4" w:space="0"/>
            </w:tcBorders>
            <w:noWrap w:val="0"/>
            <w:vAlign w:val="center"/>
          </w:tcPr>
          <w:p w14:paraId="64C22011">
            <w:pPr>
              <w:pStyle w:val="114"/>
              <w:keepNext w:val="0"/>
              <w:keepLines w:val="0"/>
              <w:pageBreakBefore w:val="0"/>
              <w:suppressLineNumbers w:val="0"/>
              <w:kinsoku/>
              <w:overflowPunct/>
              <w:bidi w:val="0"/>
              <w:spacing w:before="62" w:beforeLines="20" w:beforeAutospacing="0" w:after="62" w:afterLines="20" w:afterAutospacing="0" w:line="600" w:lineRule="exact"/>
              <w:ind w:left="0" w:leftChars="0" w:right="0" w:rightChars="0"/>
              <w:jc w:val="center"/>
              <w:rPr>
                <w:rFonts w:hint="eastAsia" w:ascii="仿宋" w:hAnsi="仿宋" w:eastAsia="仿宋" w:cs="宋体"/>
                <w:color w:val="auto"/>
                <w:kern w:val="0"/>
                <w:sz w:val="21"/>
                <w:szCs w:val="21"/>
                <w:highlight w:val="none"/>
                <w:lang w:val="en-US" w:eastAsia="zh-CN" w:bidi="ar-SA"/>
              </w:rPr>
            </w:pPr>
            <w:r>
              <w:rPr>
                <w:rFonts w:hint="eastAsia" w:ascii="仿宋" w:hAnsi="仿宋" w:eastAsia="仿宋" w:cs="宋体"/>
                <w:color w:val="auto"/>
                <w:szCs w:val="21"/>
                <w:highlight w:val="none"/>
              </w:rPr>
              <w:t>投标文件递交地点</w:t>
            </w:r>
          </w:p>
        </w:tc>
        <w:tc>
          <w:tcPr>
            <w:tcW w:w="3167" w:type="pct"/>
            <w:tcBorders>
              <w:top w:val="single" w:color="auto" w:sz="4" w:space="0"/>
              <w:left w:val="single" w:color="auto" w:sz="4" w:space="0"/>
              <w:bottom w:val="single" w:color="auto" w:sz="4" w:space="0"/>
              <w:right w:val="single" w:color="auto" w:sz="4" w:space="0"/>
            </w:tcBorders>
            <w:noWrap w:val="0"/>
            <w:vAlign w:val="center"/>
          </w:tcPr>
          <w:p w14:paraId="2BB444AA">
            <w:pPr>
              <w:keepNext w:val="0"/>
              <w:keepLines w:val="0"/>
              <w:pageBreakBefore w:val="0"/>
              <w:suppressLineNumbers w:val="0"/>
              <w:kinsoku/>
              <w:overflowPunct/>
              <w:bidi w:val="0"/>
              <w:spacing w:before="62" w:beforeLines="20" w:beforeAutospacing="0" w:after="62" w:afterLines="20" w:afterAutospacing="0" w:line="600" w:lineRule="exact"/>
              <w:ind w:left="0" w:leftChars="0" w:right="0" w:rightChars="0"/>
              <w:rPr>
                <w:rFonts w:hint="eastAsia" w:ascii="仿宋" w:hAnsi="仿宋" w:eastAsia="仿宋" w:cs="宋体"/>
                <w:b/>
                <w:color w:val="auto"/>
                <w:kern w:val="2"/>
                <w:sz w:val="21"/>
                <w:szCs w:val="21"/>
                <w:highlight w:val="none"/>
                <w:lang w:val="en-US" w:eastAsia="zh-CN" w:bidi="ar-SA"/>
              </w:rPr>
            </w:pPr>
            <w:r>
              <w:rPr>
                <w:rFonts w:hint="eastAsia" w:ascii="仿宋" w:hAnsi="仿宋" w:eastAsia="仿宋" w:cs="宋体"/>
                <w:color w:val="auto"/>
                <w:szCs w:val="21"/>
                <w:highlight w:val="none"/>
              </w:rPr>
              <w:t>详见第一章 招标公告“六、投标文件的递交”</w:t>
            </w:r>
          </w:p>
        </w:tc>
      </w:tr>
      <w:tr w14:paraId="7B86DB25">
        <w:tblPrEx>
          <w:tblCellMar>
            <w:top w:w="0" w:type="dxa"/>
            <w:left w:w="108" w:type="dxa"/>
            <w:bottom w:w="0" w:type="dxa"/>
            <w:right w:w="108" w:type="dxa"/>
          </w:tblCellMar>
        </w:tblPrEx>
        <w:trPr>
          <w:trHeight w:val="907" w:hRule="atLeast"/>
          <w:jc w:val="center"/>
        </w:trPr>
        <w:tc>
          <w:tcPr>
            <w:tcW w:w="626" w:type="pct"/>
            <w:tcBorders>
              <w:top w:val="single" w:color="auto" w:sz="4" w:space="0"/>
              <w:left w:val="single" w:color="auto" w:sz="4" w:space="0"/>
              <w:bottom w:val="single" w:color="auto" w:sz="4" w:space="0"/>
              <w:right w:val="single" w:color="auto" w:sz="4" w:space="0"/>
            </w:tcBorders>
            <w:noWrap w:val="0"/>
            <w:vAlign w:val="center"/>
          </w:tcPr>
          <w:p w14:paraId="422D01E7">
            <w:pPr>
              <w:pStyle w:val="114"/>
              <w:keepNext w:val="0"/>
              <w:keepLines w:val="0"/>
              <w:pageBreakBefore w:val="0"/>
              <w:suppressLineNumbers w:val="0"/>
              <w:kinsoku/>
              <w:overflowPunct/>
              <w:bidi w:val="0"/>
              <w:spacing w:before="62" w:beforeLines="20" w:beforeAutospacing="0" w:after="62" w:afterLines="20" w:afterAutospacing="0" w:line="600" w:lineRule="exact"/>
              <w:ind w:left="0" w:leftChars="0" w:right="0" w:rightChars="0"/>
              <w:jc w:val="center"/>
              <w:rPr>
                <w:rFonts w:hint="eastAsia" w:ascii="仿宋" w:hAnsi="仿宋" w:eastAsia="仿宋" w:cs="宋体"/>
                <w:color w:val="auto"/>
                <w:kern w:val="0"/>
                <w:sz w:val="21"/>
                <w:szCs w:val="21"/>
                <w:highlight w:val="none"/>
                <w:lang w:val="en-US" w:eastAsia="zh-CN" w:bidi="ar-SA"/>
              </w:rPr>
            </w:pPr>
          </w:p>
        </w:tc>
        <w:tc>
          <w:tcPr>
            <w:tcW w:w="1205" w:type="pct"/>
            <w:tcBorders>
              <w:top w:val="single" w:color="auto" w:sz="4" w:space="0"/>
              <w:left w:val="single" w:color="auto" w:sz="4" w:space="0"/>
              <w:bottom w:val="single" w:color="auto" w:sz="4" w:space="0"/>
              <w:right w:val="single" w:color="auto" w:sz="4" w:space="0"/>
            </w:tcBorders>
            <w:noWrap w:val="0"/>
            <w:vAlign w:val="center"/>
          </w:tcPr>
          <w:p w14:paraId="12F71EA5">
            <w:pPr>
              <w:pStyle w:val="114"/>
              <w:keepNext w:val="0"/>
              <w:keepLines w:val="0"/>
              <w:pageBreakBefore w:val="0"/>
              <w:suppressLineNumbers w:val="0"/>
              <w:kinsoku/>
              <w:overflowPunct/>
              <w:bidi w:val="0"/>
              <w:spacing w:before="62" w:beforeLines="20" w:beforeAutospacing="0" w:after="62" w:afterLines="20" w:afterAutospacing="0" w:line="600" w:lineRule="exact"/>
              <w:ind w:left="0" w:leftChars="0" w:right="0" w:rightChars="0"/>
              <w:jc w:val="center"/>
              <w:rPr>
                <w:rFonts w:hint="eastAsia" w:ascii="仿宋" w:hAnsi="仿宋" w:eastAsia="仿宋" w:cs="宋体"/>
                <w:color w:val="auto"/>
                <w:kern w:val="0"/>
                <w:sz w:val="21"/>
                <w:szCs w:val="21"/>
                <w:highlight w:val="none"/>
                <w:lang w:val="en-US" w:eastAsia="zh-CN" w:bidi="ar-SA"/>
              </w:rPr>
            </w:pPr>
            <w:r>
              <w:rPr>
                <w:rFonts w:hint="eastAsia" w:ascii="仿宋" w:hAnsi="仿宋" w:eastAsia="仿宋" w:cs="宋体"/>
                <w:color w:val="auto"/>
                <w:szCs w:val="21"/>
                <w:highlight w:val="none"/>
              </w:rPr>
              <w:t>投标文件退还</w:t>
            </w:r>
          </w:p>
        </w:tc>
        <w:tc>
          <w:tcPr>
            <w:tcW w:w="3167" w:type="pct"/>
            <w:tcBorders>
              <w:top w:val="single" w:color="auto" w:sz="4" w:space="0"/>
              <w:left w:val="single" w:color="auto" w:sz="4" w:space="0"/>
              <w:bottom w:val="single" w:color="auto" w:sz="4" w:space="0"/>
              <w:right w:val="single" w:color="auto" w:sz="4" w:space="0"/>
            </w:tcBorders>
            <w:noWrap w:val="0"/>
            <w:vAlign w:val="center"/>
          </w:tcPr>
          <w:p w14:paraId="0EFC508F">
            <w:pPr>
              <w:pStyle w:val="114"/>
              <w:keepNext w:val="0"/>
              <w:keepLines w:val="0"/>
              <w:pageBreakBefore w:val="0"/>
              <w:suppressLineNumbers w:val="0"/>
              <w:kinsoku/>
              <w:overflowPunct/>
              <w:bidi w:val="0"/>
              <w:spacing w:before="62" w:beforeLines="20" w:beforeAutospacing="0" w:after="62" w:afterLines="20" w:afterAutospacing="0" w:line="600" w:lineRule="exact"/>
              <w:ind w:left="0" w:right="0"/>
              <w:rPr>
                <w:rFonts w:hint="eastAsia" w:ascii="仿宋" w:hAnsi="仿宋" w:eastAsia="仿宋" w:cs="宋体"/>
                <w:color w:val="auto"/>
                <w:szCs w:val="21"/>
                <w:highlight w:val="none"/>
              </w:rPr>
            </w:pPr>
            <w:r>
              <w:rPr>
                <w:rFonts w:hint="eastAsia" w:ascii="仿宋" w:hAnsi="仿宋" w:eastAsia="仿宋" w:cs="仿宋"/>
                <w:color w:val="auto"/>
                <w:szCs w:val="21"/>
                <w:highlight w:val="none"/>
              </w:rPr>
              <w:t>■</w:t>
            </w:r>
            <w:r>
              <w:rPr>
                <w:rFonts w:hint="eastAsia" w:ascii="仿宋" w:hAnsi="仿宋" w:eastAsia="仿宋" w:cs="宋体"/>
                <w:color w:val="auto"/>
                <w:szCs w:val="21"/>
                <w:highlight w:val="none"/>
              </w:rPr>
              <w:t>不退还</w:t>
            </w:r>
          </w:p>
          <w:p w14:paraId="41CCC3B3">
            <w:pPr>
              <w:pStyle w:val="119"/>
              <w:keepNext w:val="0"/>
              <w:keepLines w:val="0"/>
              <w:pageBreakBefore w:val="0"/>
              <w:suppressLineNumbers w:val="0"/>
              <w:kinsoku/>
              <w:overflowPunct/>
              <w:bidi w:val="0"/>
              <w:spacing w:before="62" w:beforeLines="20" w:beforeAutospacing="0" w:after="62" w:afterLines="20" w:afterAutospacing="0" w:line="600" w:lineRule="exact"/>
              <w:ind w:left="0" w:leftChars="0" w:right="0" w:rightChars="0"/>
              <w:rPr>
                <w:rFonts w:hint="eastAsia" w:ascii="仿宋" w:hAnsi="仿宋" w:eastAsia="仿宋" w:cs="宋体"/>
                <w:color w:val="auto"/>
                <w:kern w:val="0"/>
                <w:sz w:val="21"/>
                <w:szCs w:val="21"/>
                <w:highlight w:val="none"/>
                <w:u w:val="single"/>
                <w:lang w:val="en-US" w:eastAsia="zh-CN" w:bidi="ar-SA"/>
              </w:rPr>
            </w:pPr>
            <w:r>
              <w:rPr>
                <w:rFonts w:hint="eastAsia" w:ascii="仿宋" w:hAnsi="仿宋" w:eastAsia="仿宋" w:cs="宋体"/>
                <w:color w:val="auto"/>
                <w:sz w:val="21"/>
                <w:szCs w:val="21"/>
                <w:highlight w:val="none"/>
              </w:rPr>
              <w:t>□退还</w:t>
            </w:r>
          </w:p>
        </w:tc>
      </w:tr>
      <w:tr w14:paraId="2B9B1412">
        <w:tblPrEx>
          <w:tblCellMar>
            <w:top w:w="0" w:type="dxa"/>
            <w:left w:w="108" w:type="dxa"/>
            <w:bottom w:w="0" w:type="dxa"/>
            <w:right w:w="108" w:type="dxa"/>
          </w:tblCellMar>
        </w:tblPrEx>
        <w:trPr>
          <w:jc w:val="center"/>
        </w:trPr>
        <w:tc>
          <w:tcPr>
            <w:tcW w:w="626" w:type="pct"/>
            <w:tcBorders>
              <w:top w:val="single" w:color="auto" w:sz="4" w:space="0"/>
              <w:left w:val="single" w:color="auto" w:sz="4" w:space="0"/>
              <w:bottom w:val="single" w:color="auto" w:sz="4" w:space="0"/>
              <w:right w:val="single" w:color="auto" w:sz="4" w:space="0"/>
            </w:tcBorders>
            <w:noWrap w:val="0"/>
            <w:vAlign w:val="center"/>
          </w:tcPr>
          <w:p w14:paraId="4BE920CD">
            <w:pPr>
              <w:pStyle w:val="114"/>
              <w:keepNext w:val="0"/>
              <w:keepLines w:val="0"/>
              <w:pageBreakBefore w:val="0"/>
              <w:suppressLineNumbers w:val="0"/>
              <w:kinsoku/>
              <w:overflowPunct/>
              <w:bidi w:val="0"/>
              <w:spacing w:before="62" w:beforeLines="20" w:beforeAutospacing="0" w:after="62" w:afterLines="20" w:afterAutospacing="0" w:line="600" w:lineRule="exact"/>
              <w:ind w:left="0" w:right="0"/>
              <w:jc w:val="center"/>
              <w:rPr>
                <w:rFonts w:hint="eastAsia" w:ascii="仿宋" w:hAnsi="仿宋" w:eastAsia="仿宋" w:cs="宋体"/>
                <w:color w:val="auto"/>
                <w:szCs w:val="21"/>
                <w:highlight w:val="none"/>
              </w:rPr>
            </w:pPr>
          </w:p>
        </w:tc>
        <w:tc>
          <w:tcPr>
            <w:tcW w:w="1205" w:type="pct"/>
            <w:tcBorders>
              <w:top w:val="single" w:color="auto" w:sz="4" w:space="0"/>
              <w:left w:val="single" w:color="auto" w:sz="4" w:space="0"/>
              <w:bottom w:val="single" w:color="auto" w:sz="4" w:space="0"/>
              <w:right w:val="single" w:color="auto" w:sz="4" w:space="0"/>
            </w:tcBorders>
            <w:noWrap w:val="0"/>
            <w:vAlign w:val="center"/>
          </w:tcPr>
          <w:p w14:paraId="751C8D0B">
            <w:pPr>
              <w:pStyle w:val="114"/>
              <w:keepNext w:val="0"/>
              <w:keepLines w:val="0"/>
              <w:pageBreakBefore w:val="0"/>
              <w:suppressLineNumbers w:val="0"/>
              <w:kinsoku/>
              <w:overflowPunct/>
              <w:bidi w:val="0"/>
              <w:spacing w:before="62" w:beforeLines="20" w:beforeAutospacing="0" w:after="62" w:afterLines="20" w:afterAutospacing="0" w:line="600" w:lineRule="exact"/>
              <w:ind w:left="0" w:right="0"/>
              <w:jc w:val="center"/>
              <w:rPr>
                <w:rFonts w:hint="eastAsia" w:ascii="仿宋" w:hAnsi="仿宋" w:eastAsia="仿宋" w:cs="宋体"/>
                <w:color w:val="auto"/>
                <w:szCs w:val="21"/>
                <w:highlight w:val="none"/>
              </w:rPr>
            </w:pPr>
            <w:r>
              <w:rPr>
                <w:rFonts w:hint="eastAsia" w:ascii="仿宋" w:hAnsi="仿宋" w:eastAsia="仿宋" w:cs="宋体"/>
                <w:color w:val="auto"/>
                <w:szCs w:val="21"/>
                <w:highlight w:val="none"/>
              </w:rPr>
              <w:t>评标委员会组成人数</w:t>
            </w:r>
          </w:p>
        </w:tc>
        <w:tc>
          <w:tcPr>
            <w:tcW w:w="3167" w:type="pct"/>
            <w:tcBorders>
              <w:top w:val="single" w:color="auto" w:sz="4" w:space="0"/>
              <w:left w:val="single" w:color="auto" w:sz="4" w:space="0"/>
              <w:bottom w:val="single" w:color="auto" w:sz="4" w:space="0"/>
              <w:right w:val="single" w:color="auto" w:sz="4" w:space="0"/>
            </w:tcBorders>
            <w:noWrap w:val="0"/>
            <w:vAlign w:val="center"/>
          </w:tcPr>
          <w:p w14:paraId="2E4C2FF0">
            <w:pPr>
              <w:keepNext w:val="0"/>
              <w:keepLines w:val="0"/>
              <w:pageBreakBefore w:val="0"/>
              <w:suppressLineNumbers w:val="0"/>
              <w:kinsoku/>
              <w:overflowPunct/>
              <w:bidi w:val="0"/>
              <w:spacing w:before="62" w:beforeLines="20" w:beforeAutospacing="0" w:after="62" w:afterLines="20" w:afterAutospacing="0" w:line="600" w:lineRule="exact"/>
              <w:ind w:left="0" w:right="0"/>
              <w:rPr>
                <w:rFonts w:hint="eastAsia" w:ascii="仿宋" w:hAnsi="仿宋" w:eastAsia="仿宋" w:cs="宋体"/>
                <w:color w:val="auto"/>
                <w:szCs w:val="21"/>
                <w:highlight w:val="none"/>
              </w:rPr>
            </w:pPr>
            <w:r>
              <w:rPr>
                <w:rFonts w:hint="eastAsia" w:ascii="仿宋" w:hAnsi="仿宋" w:eastAsia="仿宋" w:cs="宋体"/>
                <w:color w:val="auto"/>
                <w:szCs w:val="21"/>
                <w:highlight w:val="none"/>
                <w:u w:val="single"/>
              </w:rPr>
              <w:t xml:space="preserve"> </w:t>
            </w:r>
            <w:r>
              <w:rPr>
                <w:rFonts w:hint="eastAsia" w:hAnsi="宋体"/>
                <w:color w:val="auto"/>
                <w:sz w:val="21"/>
                <w:szCs w:val="21"/>
                <w:highlight w:val="none"/>
                <w:u w:val="single"/>
                <w:lang w:val="en-US" w:eastAsia="zh-CN"/>
              </w:rPr>
              <w:t>7</w:t>
            </w:r>
            <w:r>
              <w:rPr>
                <w:rFonts w:hint="eastAsia" w:ascii="仿宋" w:hAnsi="仿宋" w:eastAsia="仿宋" w:cs="宋体"/>
                <w:color w:val="auto"/>
                <w:szCs w:val="21"/>
                <w:highlight w:val="none"/>
              </w:rPr>
              <w:t>人</w:t>
            </w:r>
          </w:p>
        </w:tc>
      </w:tr>
      <w:tr w14:paraId="366FB7C0">
        <w:tblPrEx>
          <w:tblCellMar>
            <w:top w:w="0" w:type="dxa"/>
            <w:left w:w="108" w:type="dxa"/>
            <w:bottom w:w="0" w:type="dxa"/>
            <w:right w:w="108" w:type="dxa"/>
          </w:tblCellMar>
        </w:tblPrEx>
        <w:trPr>
          <w:jc w:val="center"/>
        </w:trPr>
        <w:tc>
          <w:tcPr>
            <w:tcW w:w="626" w:type="pct"/>
            <w:tcBorders>
              <w:top w:val="single" w:color="auto" w:sz="4" w:space="0"/>
              <w:left w:val="single" w:color="auto" w:sz="4" w:space="0"/>
              <w:bottom w:val="single" w:color="auto" w:sz="4" w:space="0"/>
              <w:right w:val="single" w:color="auto" w:sz="4" w:space="0"/>
            </w:tcBorders>
            <w:noWrap w:val="0"/>
            <w:vAlign w:val="center"/>
          </w:tcPr>
          <w:p w14:paraId="50D8B98B">
            <w:pPr>
              <w:pStyle w:val="114"/>
              <w:keepNext w:val="0"/>
              <w:keepLines w:val="0"/>
              <w:pageBreakBefore w:val="0"/>
              <w:suppressLineNumbers w:val="0"/>
              <w:kinsoku/>
              <w:overflowPunct/>
              <w:bidi w:val="0"/>
              <w:spacing w:before="62" w:beforeLines="20" w:beforeAutospacing="0" w:after="62" w:afterLines="20" w:afterAutospacing="0" w:line="600" w:lineRule="exact"/>
              <w:ind w:left="0" w:right="0"/>
              <w:jc w:val="center"/>
              <w:rPr>
                <w:rFonts w:hint="eastAsia" w:ascii="仿宋" w:hAnsi="仿宋" w:eastAsia="仿宋" w:cs="宋体"/>
                <w:color w:val="auto"/>
                <w:szCs w:val="21"/>
                <w:highlight w:val="none"/>
              </w:rPr>
            </w:pPr>
          </w:p>
        </w:tc>
        <w:tc>
          <w:tcPr>
            <w:tcW w:w="1205" w:type="pct"/>
            <w:tcBorders>
              <w:top w:val="single" w:color="auto" w:sz="4" w:space="0"/>
              <w:left w:val="single" w:color="auto" w:sz="4" w:space="0"/>
              <w:bottom w:val="single" w:color="auto" w:sz="4" w:space="0"/>
              <w:right w:val="single" w:color="auto" w:sz="4" w:space="0"/>
            </w:tcBorders>
            <w:noWrap w:val="0"/>
            <w:vAlign w:val="center"/>
          </w:tcPr>
          <w:p w14:paraId="2684E1B4">
            <w:pPr>
              <w:pStyle w:val="114"/>
              <w:keepNext w:val="0"/>
              <w:keepLines w:val="0"/>
              <w:pageBreakBefore w:val="0"/>
              <w:suppressLineNumbers w:val="0"/>
              <w:kinsoku/>
              <w:overflowPunct/>
              <w:bidi w:val="0"/>
              <w:spacing w:before="62" w:beforeLines="20" w:beforeAutospacing="0" w:after="62" w:afterLines="20" w:afterAutospacing="0" w:line="600" w:lineRule="exact"/>
              <w:ind w:left="0" w:right="0"/>
              <w:jc w:val="center"/>
              <w:rPr>
                <w:rFonts w:hint="eastAsia" w:ascii="仿宋" w:hAnsi="仿宋" w:eastAsia="仿宋" w:cs="宋体"/>
                <w:color w:val="auto"/>
                <w:szCs w:val="21"/>
                <w:highlight w:val="none"/>
              </w:rPr>
            </w:pPr>
            <w:r>
              <w:rPr>
                <w:rFonts w:hint="eastAsia" w:ascii="仿宋" w:hAnsi="仿宋" w:eastAsia="仿宋" w:cs="宋体"/>
                <w:color w:val="auto"/>
                <w:szCs w:val="21"/>
                <w:highlight w:val="none"/>
              </w:rPr>
              <w:t>评标方法</w:t>
            </w:r>
          </w:p>
        </w:tc>
        <w:tc>
          <w:tcPr>
            <w:tcW w:w="3167" w:type="pct"/>
            <w:tcBorders>
              <w:top w:val="single" w:color="auto" w:sz="4" w:space="0"/>
              <w:left w:val="single" w:color="auto" w:sz="4" w:space="0"/>
              <w:bottom w:val="single" w:color="auto" w:sz="4" w:space="0"/>
              <w:right w:val="single" w:color="auto" w:sz="4" w:space="0"/>
            </w:tcBorders>
            <w:noWrap w:val="0"/>
            <w:vAlign w:val="center"/>
          </w:tcPr>
          <w:p w14:paraId="2993EE43">
            <w:pPr>
              <w:pStyle w:val="114"/>
              <w:keepNext w:val="0"/>
              <w:keepLines w:val="0"/>
              <w:pageBreakBefore w:val="0"/>
              <w:suppressLineNumbers w:val="0"/>
              <w:kinsoku/>
              <w:overflowPunct/>
              <w:bidi w:val="0"/>
              <w:spacing w:before="62" w:beforeLines="20" w:beforeAutospacing="0" w:after="62" w:afterLines="20" w:afterAutospacing="0" w:line="600" w:lineRule="exact"/>
              <w:ind w:left="0" w:right="0"/>
              <w:rPr>
                <w:rFonts w:hint="eastAsia" w:ascii="仿宋" w:hAnsi="仿宋" w:eastAsia="仿宋" w:cs="宋体"/>
                <w:color w:val="auto"/>
                <w:szCs w:val="21"/>
                <w:highlight w:val="none"/>
              </w:rPr>
            </w:pPr>
            <w:r>
              <w:rPr>
                <w:rFonts w:hint="eastAsia" w:ascii="仿宋" w:hAnsi="仿宋" w:eastAsia="仿宋" w:cs="宋体"/>
                <w:color w:val="auto"/>
                <w:szCs w:val="21"/>
                <w:highlight w:val="none"/>
              </w:rPr>
              <w:t>□经评审的最低投标价法</w:t>
            </w:r>
          </w:p>
          <w:p w14:paraId="576C04F6">
            <w:pPr>
              <w:pStyle w:val="114"/>
              <w:keepNext w:val="0"/>
              <w:keepLines w:val="0"/>
              <w:pageBreakBefore w:val="0"/>
              <w:suppressLineNumbers w:val="0"/>
              <w:kinsoku/>
              <w:overflowPunct/>
              <w:bidi w:val="0"/>
              <w:spacing w:before="62" w:beforeLines="20" w:beforeAutospacing="0" w:after="62" w:afterLines="20" w:afterAutospacing="0" w:line="600" w:lineRule="exact"/>
              <w:ind w:left="0" w:right="0"/>
              <w:rPr>
                <w:rFonts w:hint="eastAsia" w:ascii="仿宋" w:hAnsi="仿宋" w:eastAsia="仿宋" w:cs="宋体"/>
                <w:color w:val="auto"/>
                <w:szCs w:val="21"/>
                <w:highlight w:val="none"/>
              </w:rPr>
            </w:pPr>
            <w:r>
              <w:rPr>
                <w:rFonts w:hint="eastAsia" w:ascii="仿宋" w:hAnsi="仿宋" w:eastAsia="仿宋" w:cs="仿宋"/>
                <w:color w:val="auto"/>
                <w:szCs w:val="21"/>
                <w:highlight w:val="none"/>
              </w:rPr>
              <w:t>■</w:t>
            </w:r>
            <w:r>
              <w:rPr>
                <w:rFonts w:hint="eastAsia" w:ascii="仿宋" w:hAnsi="仿宋" w:eastAsia="仿宋" w:cs="宋体"/>
                <w:color w:val="auto"/>
                <w:szCs w:val="21"/>
                <w:highlight w:val="none"/>
              </w:rPr>
              <w:t>综合评分法</w:t>
            </w:r>
          </w:p>
          <w:p w14:paraId="09606F80">
            <w:pPr>
              <w:pStyle w:val="114"/>
              <w:keepNext w:val="0"/>
              <w:keepLines w:val="0"/>
              <w:pageBreakBefore w:val="0"/>
              <w:suppressLineNumbers w:val="0"/>
              <w:kinsoku/>
              <w:overflowPunct/>
              <w:bidi w:val="0"/>
              <w:spacing w:before="62" w:beforeLines="20" w:beforeAutospacing="0" w:after="62" w:afterLines="20" w:afterAutospacing="0" w:line="600" w:lineRule="exact"/>
              <w:ind w:left="0" w:right="0"/>
              <w:rPr>
                <w:rFonts w:hint="eastAsia" w:ascii="仿宋" w:hAnsi="仿宋" w:eastAsia="仿宋" w:cs="宋体"/>
                <w:color w:val="auto"/>
                <w:szCs w:val="21"/>
                <w:highlight w:val="none"/>
              </w:rPr>
            </w:pPr>
            <w:r>
              <w:rPr>
                <w:rFonts w:hint="eastAsia" w:ascii="仿宋" w:hAnsi="仿宋" w:eastAsia="仿宋" w:cs="宋体"/>
                <w:color w:val="auto"/>
                <w:szCs w:val="21"/>
                <w:highlight w:val="none"/>
              </w:rPr>
              <w:t>□其他：</w:t>
            </w:r>
            <w:r>
              <w:rPr>
                <w:rFonts w:hint="eastAsia" w:ascii="仿宋" w:hAnsi="仿宋" w:eastAsia="仿宋" w:cs="宋体"/>
                <w:color w:val="auto"/>
                <w:szCs w:val="21"/>
                <w:highlight w:val="none"/>
                <w:u w:val="single"/>
              </w:rPr>
              <w:t xml:space="preserve">   </w:t>
            </w:r>
            <w:r>
              <w:rPr>
                <w:rFonts w:hint="default" w:ascii="仿宋" w:hAnsi="仿宋" w:eastAsia="仿宋" w:cs="宋体"/>
                <w:color w:val="auto"/>
                <w:szCs w:val="21"/>
                <w:highlight w:val="none"/>
                <w:u w:val="single"/>
              </w:rPr>
              <w:t xml:space="preserve"> </w:t>
            </w:r>
            <w:r>
              <w:rPr>
                <w:rFonts w:hint="eastAsia" w:ascii="仿宋" w:hAnsi="仿宋" w:eastAsia="仿宋" w:cs="宋体"/>
                <w:color w:val="auto"/>
                <w:szCs w:val="21"/>
                <w:highlight w:val="none"/>
                <w:u w:val="single"/>
              </w:rPr>
              <w:t xml:space="preserve">   </w:t>
            </w:r>
          </w:p>
        </w:tc>
      </w:tr>
      <w:tr w14:paraId="455DB5DE">
        <w:tblPrEx>
          <w:tblCellMar>
            <w:top w:w="0" w:type="dxa"/>
            <w:left w:w="108" w:type="dxa"/>
            <w:bottom w:w="0" w:type="dxa"/>
            <w:right w:w="108" w:type="dxa"/>
          </w:tblCellMar>
        </w:tblPrEx>
        <w:trPr>
          <w:jc w:val="center"/>
        </w:trPr>
        <w:tc>
          <w:tcPr>
            <w:tcW w:w="626" w:type="pct"/>
            <w:tcBorders>
              <w:top w:val="single" w:color="auto" w:sz="4" w:space="0"/>
              <w:left w:val="single" w:color="auto" w:sz="4" w:space="0"/>
              <w:bottom w:val="single" w:color="auto" w:sz="4" w:space="0"/>
              <w:right w:val="single" w:color="auto" w:sz="4" w:space="0"/>
            </w:tcBorders>
            <w:noWrap w:val="0"/>
            <w:vAlign w:val="center"/>
          </w:tcPr>
          <w:p w14:paraId="479379BE">
            <w:pPr>
              <w:pStyle w:val="114"/>
              <w:keepNext w:val="0"/>
              <w:keepLines w:val="0"/>
              <w:pageBreakBefore w:val="0"/>
              <w:suppressLineNumbers w:val="0"/>
              <w:kinsoku/>
              <w:overflowPunct/>
              <w:bidi w:val="0"/>
              <w:spacing w:before="62" w:beforeLines="20" w:beforeAutospacing="0" w:after="62" w:afterLines="20" w:afterAutospacing="0" w:line="600" w:lineRule="exact"/>
              <w:ind w:left="0" w:right="0"/>
              <w:jc w:val="center"/>
              <w:rPr>
                <w:rFonts w:hint="eastAsia" w:ascii="仿宋" w:hAnsi="仿宋" w:eastAsia="仿宋" w:cs="宋体"/>
                <w:color w:val="auto"/>
                <w:szCs w:val="21"/>
                <w:highlight w:val="none"/>
              </w:rPr>
            </w:pPr>
          </w:p>
        </w:tc>
        <w:tc>
          <w:tcPr>
            <w:tcW w:w="1205" w:type="pct"/>
            <w:tcBorders>
              <w:top w:val="single" w:color="auto" w:sz="4" w:space="0"/>
              <w:left w:val="single" w:color="auto" w:sz="4" w:space="0"/>
              <w:bottom w:val="single" w:color="auto" w:sz="4" w:space="0"/>
              <w:right w:val="single" w:color="auto" w:sz="4" w:space="0"/>
            </w:tcBorders>
            <w:noWrap w:val="0"/>
            <w:vAlign w:val="center"/>
          </w:tcPr>
          <w:p w14:paraId="74CC07E7">
            <w:pPr>
              <w:pStyle w:val="114"/>
              <w:keepNext w:val="0"/>
              <w:keepLines w:val="0"/>
              <w:pageBreakBefore w:val="0"/>
              <w:suppressLineNumbers w:val="0"/>
              <w:kinsoku/>
              <w:overflowPunct/>
              <w:bidi w:val="0"/>
              <w:spacing w:before="62" w:beforeLines="20" w:beforeAutospacing="0" w:after="62" w:afterLines="20" w:afterAutospacing="0" w:line="600" w:lineRule="exact"/>
              <w:ind w:left="0" w:right="0"/>
              <w:jc w:val="center"/>
              <w:rPr>
                <w:rFonts w:hint="eastAsia" w:ascii="仿宋" w:hAnsi="仿宋" w:eastAsia="仿宋" w:cs="宋体"/>
                <w:color w:val="auto"/>
                <w:szCs w:val="21"/>
                <w:highlight w:val="none"/>
              </w:rPr>
            </w:pPr>
            <w:r>
              <w:rPr>
                <w:rFonts w:hint="eastAsia" w:ascii="仿宋" w:hAnsi="仿宋" w:eastAsia="仿宋" w:cs="宋体"/>
                <w:color w:val="auto"/>
                <w:szCs w:val="21"/>
                <w:highlight w:val="none"/>
              </w:rPr>
              <w:t>中标人候选人推荐原则</w:t>
            </w:r>
          </w:p>
        </w:tc>
        <w:tc>
          <w:tcPr>
            <w:tcW w:w="3167" w:type="pct"/>
            <w:tcBorders>
              <w:top w:val="single" w:color="auto" w:sz="4" w:space="0"/>
              <w:left w:val="single" w:color="auto" w:sz="4" w:space="0"/>
              <w:bottom w:val="single" w:color="auto" w:sz="4" w:space="0"/>
              <w:right w:val="single" w:color="auto" w:sz="4" w:space="0"/>
            </w:tcBorders>
            <w:noWrap w:val="0"/>
            <w:vAlign w:val="center"/>
          </w:tcPr>
          <w:p w14:paraId="12DFDD56">
            <w:pPr>
              <w:keepNext w:val="0"/>
              <w:keepLines w:val="0"/>
              <w:pageBreakBefore w:val="0"/>
              <w:suppressLineNumbers w:val="0"/>
              <w:kinsoku/>
              <w:overflowPunct/>
              <w:bidi w:val="0"/>
              <w:spacing w:before="62" w:beforeLines="20" w:beforeAutospacing="0" w:after="62" w:afterLines="20" w:afterAutospacing="0" w:line="600" w:lineRule="exact"/>
              <w:ind w:left="0" w:right="0"/>
              <w:rPr>
                <w:rFonts w:hint="eastAsia" w:ascii="仿宋" w:hAnsi="仿宋" w:eastAsia="仿宋" w:cs="宋体"/>
                <w:color w:val="auto"/>
                <w:szCs w:val="21"/>
                <w:highlight w:val="none"/>
              </w:rPr>
            </w:pPr>
            <w:r>
              <w:rPr>
                <w:rFonts w:hint="eastAsia" w:ascii="仿宋" w:hAnsi="仿宋" w:eastAsia="仿宋" w:cs="宋体"/>
                <w:color w:val="auto"/>
                <w:szCs w:val="21"/>
                <w:highlight w:val="none"/>
              </w:rPr>
              <w:t>评标委员会根据有效投标人综合得分由高至低排出的名次，顺序推荐</w:t>
            </w:r>
            <w:r>
              <w:rPr>
                <w:rFonts w:hint="eastAsia" w:ascii="仿宋" w:hAnsi="仿宋" w:eastAsia="仿宋" w:cs="宋体"/>
                <w:color w:val="auto"/>
                <w:szCs w:val="21"/>
                <w:highlight w:val="none"/>
                <w:u w:val="single"/>
              </w:rPr>
              <w:t>综合得分前</w:t>
            </w:r>
            <w:r>
              <w:rPr>
                <w:rFonts w:hint="eastAsia" w:ascii="仿宋" w:hAnsi="仿宋" w:eastAsia="仿宋" w:cs="宋体"/>
                <w:color w:val="auto"/>
                <w:szCs w:val="21"/>
                <w:highlight w:val="none"/>
                <w:u w:val="single"/>
                <w:lang w:val="en-US" w:eastAsia="zh-CN"/>
              </w:rPr>
              <w:t>3</w:t>
            </w:r>
            <w:r>
              <w:rPr>
                <w:rFonts w:hint="eastAsia" w:ascii="仿宋" w:hAnsi="仿宋" w:eastAsia="仿宋" w:cs="宋体"/>
                <w:color w:val="auto"/>
                <w:szCs w:val="21"/>
                <w:highlight w:val="none"/>
              </w:rPr>
              <w:t>为中标候选人。综合得分相同时，价格得分高者排名优先；价格得分也相同时，</w:t>
            </w:r>
            <w:r>
              <w:rPr>
                <w:rFonts w:hint="eastAsia" w:ascii="仿宋" w:hAnsi="仿宋" w:eastAsia="仿宋" w:cs="宋体"/>
                <w:color w:val="auto"/>
                <w:szCs w:val="21"/>
                <w:highlight w:val="none"/>
                <w:u w:val="single"/>
              </w:rPr>
              <w:t>技术</w:t>
            </w:r>
            <w:r>
              <w:rPr>
                <w:rFonts w:hint="eastAsia" w:ascii="仿宋" w:hAnsi="仿宋" w:eastAsia="仿宋" w:cs="宋体"/>
                <w:color w:val="auto"/>
                <w:szCs w:val="21"/>
                <w:highlight w:val="none"/>
              </w:rPr>
              <w:t>得分高者排名优先。</w:t>
            </w:r>
          </w:p>
        </w:tc>
      </w:tr>
      <w:tr w14:paraId="340DC375">
        <w:tblPrEx>
          <w:tblCellMar>
            <w:top w:w="0" w:type="dxa"/>
            <w:left w:w="108" w:type="dxa"/>
            <w:bottom w:w="0" w:type="dxa"/>
            <w:right w:w="108" w:type="dxa"/>
          </w:tblCellMar>
        </w:tblPrEx>
        <w:trPr>
          <w:jc w:val="center"/>
        </w:trPr>
        <w:tc>
          <w:tcPr>
            <w:tcW w:w="626" w:type="pct"/>
            <w:tcBorders>
              <w:top w:val="single" w:color="auto" w:sz="4" w:space="0"/>
              <w:left w:val="single" w:color="auto" w:sz="4" w:space="0"/>
              <w:bottom w:val="single" w:color="auto" w:sz="4" w:space="0"/>
              <w:right w:val="single" w:color="auto" w:sz="4" w:space="0"/>
            </w:tcBorders>
            <w:noWrap w:val="0"/>
            <w:vAlign w:val="center"/>
          </w:tcPr>
          <w:p w14:paraId="108FE048">
            <w:pPr>
              <w:pStyle w:val="114"/>
              <w:keepNext w:val="0"/>
              <w:keepLines w:val="0"/>
              <w:pageBreakBefore w:val="0"/>
              <w:suppressLineNumbers w:val="0"/>
              <w:kinsoku/>
              <w:overflowPunct/>
              <w:bidi w:val="0"/>
              <w:spacing w:before="62" w:beforeLines="20" w:beforeAutospacing="0" w:after="62" w:afterLines="20" w:afterAutospacing="0" w:line="600" w:lineRule="exact"/>
              <w:ind w:left="0" w:right="0"/>
              <w:jc w:val="center"/>
              <w:rPr>
                <w:rFonts w:hint="eastAsia" w:ascii="仿宋" w:hAnsi="仿宋" w:eastAsia="仿宋" w:cs="宋体"/>
                <w:color w:val="auto"/>
                <w:szCs w:val="21"/>
                <w:highlight w:val="none"/>
              </w:rPr>
            </w:pPr>
          </w:p>
        </w:tc>
        <w:tc>
          <w:tcPr>
            <w:tcW w:w="1205" w:type="pct"/>
            <w:tcBorders>
              <w:top w:val="single" w:color="auto" w:sz="4" w:space="0"/>
              <w:left w:val="single" w:color="auto" w:sz="4" w:space="0"/>
              <w:bottom w:val="single" w:color="auto" w:sz="4" w:space="0"/>
              <w:right w:val="single" w:color="auto" w:sz="4" w:space="0"/>
            </w:tcBorders>
            <w:noWrap w:val="0"/>
            <w:vAlign w:val="center"/>
          </w:tcPr>
          <w:p w14:paraId="5A3CDE9D">
            <w:pPr>
              <w:pStyle w:val="114"/>
              <w:keepNext w:val="0"/>
              <w:keepLines w:val="0"/>
              <w:pageBreakBefore w:val="0"/>
              <w:suppressLineNumbers w:val="0"/>
              <w:kinsoku/>
              <w:overflowPunct/>
              <w:bidi w:val="0"/>
              <w:spacing w:before="62" w:beforeLines="20" w:beforeAutospacing="0" w:after="62" w:afterLines="20" w:afterAutospacing="0" w:line="600" w:lineRule="exact"/>
              <w:ind w:left="0" w:right="0"/>
              <w:jc w:val="center"/>
              <w:rPr>
                <w:rFonts w:hint="eastAsia" w:ascii="仿宋" w:hAnsi="仿宋" w:eastAsia="仿宋" w:cs="宋体"/>
                <w:color w:val="auto"/>
                <w:szCs w:val="21"/>
                <w:highlight w:val="none"/>
              </w:rPr>
            </w:pPr>
            <w:r>
              <w:rPr>
                <w:rFonts w:hint="eastAsia" w:ascii="仿宋" w:hAnsi="仿宋" w:eastAsia="仿宋" w:cs="宋体"/>
                <w:color w:val="auto"/>
                <w:szCs w:val="21"/>
                <w:highlight w:val="none"/>
              </w:rPr>
              <w:t>中标人确定</w:t>
            </w:r>
          </w:p>
        </w:tc>
        <w:tc>
          <w:tcPr>
            <w:tcW w:w="3167" w:type="pct"/>
            <w:tcBorders>
              <w:top w:val="single" w:color="auto" w:sz="4" w:space="0"/>
              <w:left w:val="single" w:color="auto" w:sz="4" w:space="0"/>
              <w:bottom w:val="single" w:color="auto" w:sz="4" w:space="0"/>
              <w:right w:val="single" w:color="auto" w:sz="4" w:space="0"/>
            </w:tcBorders>
            <w:noWrap w:val="0"/>
            <w:vAlign w:val="center"/>
          </w:tcPr>
          <w:p w14:paraId="3788D663">
            <w:pPr>
              <w:pStyle w:val="114"/>
              <w:keepNext w:val="0"/>
              <w:keepLines w:val="0"/>
              <w:pageBreakBefore w:val="0"/>
              <w:suppressLineNumbers w:val="0"/>
              <w:kinsoku/>
              <w:overflowPunct/>
              <w:bidi w:val="0"/>
              <w:spacing w:before="62" w:beforeLines="20" w:beforeAutospacing="0" w:after="62" w:afterLines="20" w:afterAutospacing="0" w:line="600" w:lineRule="exact"/>
              <w:ind w:left="0" w:right="0"/>
              <w:rPr>
                <w:rFonts w:hint="eastAsia" w:ascii="仿宋" w:hAnsi="仿宋" w:eastAsia="仿宋" w:cs="宋体"/>
                <w:color w:val="auto"/>
                <w:szCs w:val="21"/>
                <w:highlight w:val="none"/>
              </w:rPr>
            </w:pPr>
            <w:r>
              <w:rPr>
                <w:rFonts w:hint="eastAsia" w:ascii="仿宋" w:hAnsi="仿宋" w:eastAsia="仿宋" w:cs="宋体"/>
                <w:color w:val="auto"/>
                <w:szCs w:val="21"/>
                <w:highlight w:val="none"/>
              </w:rPr>
              <w:t>□评标委员会直接确定中标人，中标人数量：</w:t>
            </w:r>
            <w:r>
              <w:rPr>
                <w:rFonts w:hint="eastAsia" w:ascii="仿宋" w:hAnsi="仿宋" w:eastAsia="仿宋" w:cs="宋体"/>
                <w:color w:val="auto"/>
                <w:szCs w:val="21"/>
                <w:highlight w:val="none"/>
                <w:u w:val="single"/>
              </w:rPr>
              <w:t xml:space="preserve"> </w:t>
            </w:r>
            <w:r>
              <w:rPr>
                <w:rFonts w:hint="default" w:ascii="仿宋" w:hAnsi="仿宋" w:eastAsia="仿宋" w:cs="宋体"/>
                <w:color w:val="auto"/>
                <w:szCs w:val="21"/>
                <w:highlight w:val="none"/>
                <w:u w:val="single"/>
              </w:rPr>
              <w:t xml:space="preserve"> </w:t>
            </w:r>
            <w:r>
              <w:rPr>
                <w:rFonts w:hint="eastAsia" w:ascii="仿宋" w:hAnsi="仿宋" w:eastAsia="仿宋" w:cs="宋体"/>
                <w:color w:val="auto"/>
                <w:szCs w:val="21"/>
                <w:highlight w:val="none"/>
                <w:u w:val="single"/>
              </w:rPr>
              <w:t xml:space="preserve"> </w:t>
            </w:r>
            <w:r>
              <w:rPr>
                <w:rFonts w:hint="eastAsia" w:ascii="仿宋" w:hAnsi="仿宋" w:eastAsia="仿宋" w:cs="宋体"/>
                <w:color w:val="auto"/>
                <w:szCs w:val="21"/>
                <w:highlight w:val="none"/>
              </w:rPr>
              <w:t>个</w:t>
            </w:r>
          </w:p>
          <w:p w14:paraId="0B69945A">
            <w:pPr>
              <w:pStyle w:val="114"/>
              <w:keepNext w:val="0"/>
              <w:keepLines w:val="0"/>
              <w:pageBreakBefore w:val="0"/>
              <w:suppressLineNumbers w:val="0"/>
              <w:kinsoku/>
              <w:overflowPunct/>
              <w:bidi w:val="0"/>
              <w:spacing w:before="62" w:beforeLines="20" w:beforeAutospacing="0" w:after="62" w:afterLines="20" w:afterAutospacing="0" w:line="600" w:lineRule="exact"/>
              <w:ind w:left="0" w:right="0"/>
              <w:rPr>
                <w:rFonts w:hint="eastAsia" w:ascii="仿宋" w:hAnsi="仿宋" w:eastAsia="仿宋" w:cs="宋体"/>
                <w:color w:val="auto"/>
                <w:szCs w:val="21"/>
                <w:highlight w:val="none"/>
              </w:rPr>
            </w:pPr>
            <w:r>
              <w:rPr>
                <w:rFonts w:hint="eastAsia" w:ascii="仿宋" w:hAnsi="仿宋" w:eastAsia="仿宋" w:cs="仿宋"/>
                <w:color w:val="auto"/>
                <w:szCs w:val="21"/>
                <w:highlight w:val="none"/>
              </w:rPr>
              <w:t>■</w:t>
            </w:r>
            <w:r>
              <w:rPr>
                <w:rFonts w:hint="eastAsia" w:ascii="仿宋" w:hAnsi="仿宋" w:eastAsia="仿宋" w:cs="宋体"/>
                <w:color w:val="auto"/>
                <w:szCs w:val="21"/>
                <w:highlight w:val="none"/>
              </w:rPr>
              <w:t>招标人根据评标委员会推荐的中标候选人名单确定中标人，中标人数量：</w:t>
            </w:r>
            <w:r>
              <w:rPr>
                <w:rFonts w:hint="eastAsia" w:ascii="仿宋" w:hAnsi="仿宋" w:eastAsia="仿宋" w:cs="宋体"/>
                <w:color w:val="auto"/>
                <w:szCs w:val="21"/>
                <w:highlight w:val="none"/>
                <w:u w:val="single"/>
              </w:rPr>
              <w:t xml:space="preserve"> 1个</w:t>
            </w:r>
          </w:p>
        </w:tc>
      </w:tr>
      <w:tr w14:paraId="5CEED8D1">
        <w:tblPrEx>
          <w:tblCellMar>
            <w:top w:w="0" w:type="dxa"/>
            <w:left w:w="108" w:type="dxa"/>
            <w:bottom w:w="0" w:type="dxa"/>
            <w:right w:w="108" w:type="dxa"/>
          </w:tblCellMar>
        </w:tblPrEx>
        <w:trPr>
          <w:jc w:val="center"/>
        </w:trPr>
        <w:tc>
          <w:tcPr>
            <w:tcW w:w="626" w:type="pct"/>
            <w:tcBorders>
              <w:top w:val="single" w:color="auto" w:sz="4" w:space="0"/>
              <w:left w:val="single" w:color="auto" w:sz="4" w:space="0"/>
              <w:bottom w:val="single" w:color="auto" w:sz="4" w:space="0"/>
              <w:right w:val="single" w:color="auto" w:sz="4" w:space="0"/>
            </w:tcBorders>
            <w:noWrap w:val="0"/>
            <w:vAlign w:val="center"/>
          </w:tcPr>
          <w:p w14:paraId="0A798A4D">
            <w:pPr>
              <w:pStyle w:val="114"/>
              <w:keepNext w:val="0"/>
              <w:keepLines w:val="0"/>
              <w:pageBreakBefore w:val="0"/>
              <w:suppressLineNumbers w:val="0"/>
              <w:kinsoku/>
              <w:overflowPunct/>
              <w:bidi w:val="0"/>
              <w:spacing w:before="62" w:beforeLines="20" w:beforeAutospacing="0" w:after="62" w:afterLines="20" w:afterAutospacing="0" w:line="600" w:lineRule="exact"/>
              <w:ind w:left="0" w:right="0"/>
              <w:jc w:val="center"/>
              <w:rPr>
                <w:rFonts w:hint="eastAsia" w:ascii="仿宋" w:hAnsi="仿宋" w:eastAsia="仿宋" w:cs="宋体"/>
                <w:color w:val="auto"/>
                <w:szCs w:val="21"/>
                <w:highlight w:val="none"/>
              </w:rPr>
            </w:pPr>
          </w:p>
        </w:tc>
        <w:tc>
          <w:tcPr>
            <w:tcW w:w="1205" w:type="pct"/>
            <w:tcBorders>
              <w:top w:val="single" w:color="auto" w:sz="4" w:space="0"/>
              <w:left w:val="single" w:color="auto" w:sz="4" w:space="0"/>
              <w:bottom w:val="single" w:color="auto" w:sz="4" w:space="0"/>
              <w:right w:val="single" w:color="auto" w:sz="4" w:space="0"/>
            </w:tcBorders>
            <w:noWrap w:val="0"/>
            <w:vAlign w:val="center"/>
          </w:tcPr>
          <w:p w14:paraId="3CF17756">
            <w:pPr>
              <w:pStyle w:val="114"/>
              <w:keepNext w:val="0"/>
              <w:keepLines w:val="0"/>
              <w:pageBreakBefore w:val="0"/>
              <w:suppressLineNumbers w:val="0"/>
              <w:kinsoku/>
              <w:overflowPunct/>
              <w:bidi w:val="0"/>
              <w:spacing w:before="62" w:beforeLines="20" w:beforeAutospacing="0" w:after="62" w:afterLines="20" w:afterAutospacing="0" w:line="600" w:lineRule="exact"/>
              <w:ind w:left="0" w:right="0"/>
              <w:jc w:val="center"/>
              <w:rPr>
                <w:rFonts w:hint="eastAsia" w:ascii="仿宋" w:hAnsi="仿宋" w:eastAsia="仿宋" w:cs="宋体"/>
                <w:color w:val="auto"/>
                <w:szCs w:val="21"/>
                <w:highlight w:val="none"/>
              </w:rPr>
            </w:pPr>
            <w:r>
              <w:rPr>
                <w:rFonts w:hint="eastAsia" w:ascii="仿宋" w:hAnsi="仿宋" w:eastAsia="仿宋" w:cs="宋体"/>
                <w:color w:val="auto"/>
                <w:szCs w:val="21"/>
                <w:highlight w:val="none"/>
              </w:rPr>
              <w:t>中标原则</w:t>
            </w:r>
          </w:p>
        </w:tc>
        <w:tc>
          <w:tcPr>
            <w:tcW w:w="3167" w:type="pct"/>
            <w:tcBorders>
              <w:top w:val="single" w:color="auto" w:sz="4" w:space="0"/>
              <w:left w:val="single" w:color="auto" w:sz="4" w:space="0"/>
              <w:bottom w:val="single" w:color="auto" w:sz="4" w:space="0"/>
              <w:right w:val="single" w:color="auto" w:sz="4" w:space="0"/>
            </w:tcBorders>
            <w:noWrap w:val="0"/>
            <w:vAlign w:val="center"/>
          </w:tcPr>
          <w:p w14:paraId="012EE4A3">
            <w:pPr>
              <w:pStyle w:val="114"/>
              <w:keepNext w:val="0"/>
              <w:keepLines w:val="0"/>
              <w:pageBreakBefore w:val="0"/>
              <w:suppressLineNumbers w:val="0"/>
              <w:kinsoku/>
              <w:overflowPunct/>
              <w:bidi w:val="0"/>
              <w:spacing w:before="62" w:beforeLines="20" w:beforeAutospacing="0" w:after="62" w:afterLines="20" w:afterAutospacing="0" w:line="600" w:lineRule="exact"/>
              <w:ind w:left="0" w:right="0"/>
              <w:rPr>
                <w:rFonts w:hint="eastAsia" w:ascii="仿宋" w:hAnsi="仿宋" w:eastAsia="仿宋" w:cs="宋体"/>
                <w:color w:val="auto"/>
                <w:szCs w:val="21"/>
                <w:highlight w:val="none"/>
              </w:rPr>
            </w:pPr>
            <w:r>
              <w:rPr>
                <w:rFonts w:hint="eastAsia" w:ascii="仿宋" w:hAnsi="仿宋" w:eastAsia="仿宋" w:cs="宋体"/>
                <w:color w:val="auto"/>
                <w:szCs w:val="21"/>
                <w:highlight w:val="none"/>
              </w:rPr>
              <w:t>招标人根据评标委员会推荐的中标候选人名单确定</w:t>
            </w:r>
            <w:r>
              <w:rPr>
                <w:rFonts w:hint="eastAsia" w:ascii="仿宋" w:hAnsi="仿宋" w:eastAsia="仿宋" w:cs="宋体"/>
                <w:color w:val="auto"/>
                <w:szCs w:val="21"/>
                <w:highlight w:val="none"/>
                <w:u w:val="single"/>
              </w:rPr>
              <w:t>综合排名第一</w:t>
            </w:r>
            <w:r>
              <w:rPr>
                <w:rFonts w:hint="eastAsia" w:ascii="仿宋" w:hAnsi="仿宋" w:eastAsia="仿宋" w:cs="宋体"/>
                <w:color w:val="auto"/>
                <w:szCs w:val="21"/>
                <w:highlight w:val="none"/>
              </w:rPr>
              <w:t>为中标人。</w:t>
            </w:r>
            <w:r>
              <w:rPr>
                <w:rFonts w:hint="eastAsia" w:ascii="仿宋" w:hAnsi="仿宋" w:eastAsia="仿宋" w:cs="宋体"/>
                <w:color w:val="auto"/>
                <w:szCs w:val="21"/>
                <w:highlight w:val="none"/>
                <w:u w:val="single"/>
              </w:rPr>
              <w:t>综合排名第一</w:t>
            </w:r>
            <w:r>
              <w:rPr>
                <w:rFonts w:hint="eastAsia" w:ascii="仿宋" w:hAnsi="仿宋" w:eastAsia="仿宋" w:cs="宋体"/>
                <w:color w:val="auto"/>
                <w:szCs w:val="21"/>
                <w:highlight w:val="none"/>
                <w:lang w:val="en-US" w:eastAsia="zh-CN"/>
              </w:rPr>
              <w:t>的</w:t>
            </w:r>
            <w:r>
              <w:rPr>
                <w:rFonts w:hint="eastAsia" w:ascii="仿宋" w:hAnsi="仿宋" w:eastAsia="仿宋" w:cs="宋体"/>
                <w:color w:val="auto"/>
                <w:szCs w:val="21"/>
                <w:highlight w:val="none"/>
              </w:rPr>
              <w:t>中标候选人放弃中标、因不可抗力不能履行合同、不按照招标文件要求提交履约保证金、存在重大经营或法律风险，或者被查实存在影响中标结果的违法行为等情形，不符合中标条件的，招标人按照评标委员会提出的中标候选人名单排序依次确定其他中标候选人为中标人，或者重新招标。</w:t>
            </w:r>
          </w:p>
        </w:tc>
      </w:tr>
      <w:tr w14:paraId="2C6A66D9">
        <w:tblPrEx>
          <w:tblCellMar>
            <w:top w:w="0" w:type="dxa"/>
            <w:left w:w="108" w:type="dxa"/>
            <w:bottom w:w="0" w:type="dxa"/>
            <w:right w:w="108" w:type="dxa"/>
          </w:tblCellMar>
        </w:tblPrEx>
        <w:trPr>
          <w:jc w:val="center"/>
        </w:trPr>
        <w:tc>
          <w:tcPr>
            <w:tcW w:w="626" w:type="pct"/>
            <w:tcBorders>
              <w:top w:val="single" w:color="auto" w:sz="4" w:space="0"/>
              <w:left w:val="single" w:color="auto" w:sz="4" w:space="0"/>
              <w:bottom w:val="single" w:color="auto" w:sz="4" w:space="0"/>
              <w:right w:val="single" w:color="auto" w:sz="4" w:space="0"/>
            </w:tcBorders>
            <w:noWrap w:val="0"/>
            <w:vAlign w:val="center"/>
          </w:tcPr>
          <w:p w14:paraId="1CF51BBE">
            <w:pPr>
              <w:pStyle w:val="114"/>
              <w:keepNext w:val="0"/>
              <w:keepLines w:val="0"/>
              <w:pageBreakBefore w:val="0"/>
              <w:suppressLineNumbers w:val="0"/>
              <w:kinsoku/>
              <w:overflowPunct/>
              <w:bidi w:val="0"/>
              <w:spacing w:before="62" w:beforeLines="20" w:beforeAutospacing="0" w:after="62" w:afterLines="20" w:afterAutospacing="0" w:line="600" w:lineRule="exact"/>
              <w:ind w:left="0" w:right="0"/>
              <w:jc w:val="center"/>
              <w:rPr>
                <w:rFonts w:hint="eastAsia" w:ascii="仿宋" w:hAnsi="仿宋" w:eastAsia="仿宋" w:cs="宋体"/>
                <w:color w:val="auto"/>
                <w:szCs w:val="21"/>
                <w:highlight w:val="none"/>
              </w:rPr>
            </w:pPr>
          </w:p>
        </w:tc>
        <w:tc>
          <w:tcPr>
            <w:tcW w:w="1205" w:type="pct"/>
            <w:tcBorders>
              <w:top w:val="single" w:color="auto" w:sz="4" w:space="0"/>
              <w:left w:val="single" w:color="auto" w:sz="4" w:space="0"/>
              <w:bottom w:val="single" w:color="auto" w:sz="4" w:space="0"/>
              <w:right w:val="single" w:color="auto" w:sz="4" w:space="0"/>
            </w:tcBorders>
            <w:noWrap w:val="0"/>
            <w:vAlign w:val="center"/>
          </w:tcPr>
          <w:p w14:paraId="2660AB20">
            <w:pPr>
              <w:pStyle w:val="114"/>
              <w:keepNext w:val="0"/>
              <w:keepLines w:val="0"/>
              <w:pageBreakBefore w:val="0"/>
              <w:suppressLineNumbers w:val="0"/>
              <w:kinsoku/>
              <w:overflowPunct/>
              <w:bidi w:val="0"/>
              <w:spacing w:before="62" w:beforeLines="20" w:beforeAutospacing="0" w:after="62" w:afterLines="20" w:afterAutospacing="0" w:line="600" w:lineRule="exact"/>
              <w:ind w:left="0" w:right="0"/>
              <w:jc w:val="center"/>
              <w:rPr>
                <w:rFonts w:hint="eastAsia" w:ascii="仿宋" w:hAnsi="仿宋" w:eastAsia="仿宋" w:cs="宋体"/>
                <w:color w:val="auto"/>
                <w:szCs w:val="21"/>
                <w:highlight w:val="none"/>
              </w:rPr>
            </w:pPr>
            <w:r>
              <w:rPr>
                <w:rFonts w:hint="eastAsia" w:ascii="仿宋" w:hAnsi="仿宋" w:eastAsia="仿宋" w:cs="宋体"/>
                <w:color w:val="auto"/>
                <w:szCs w:val="21"/>
                <w:highlight w:val="none"/>
              </w:rPr>
              <w:t>履约保证金金额和</w:t>
            </w:r>
            <w:r>
              <w:rPr>
                <w:rFonts w:hint="eastAsia" w:ascii="仿宋" w:hAnsi="仿宋" w:eastAsia="仿宋" w:cs="宋体"/>
                <w:color w:val="auto"/>
                <w:szCs w:val="21"/>
                <w:highlight w:val="none"/>
              </w:rPr>
              <w:br w:type="textWrapping"/>
            </w:r>
            <w:r>
              <w:rPr>
                <w:rFonts w:hint="eastAsia" w:ascii="仿宋" w:hAnsi="仿宋" w:eastAsia="仿宋" w:cs="宋体"/>
                <w:color w:val="auto"/>
                <w:szCs w:val="21"/>
                <w:highlight w:val="none"/>
              </w:rPr>
              <w:t>方式</w:t>
            </w:r>
          </w:p>
        </w:tc>
        <w:tc>
          <w:tcPr>
            <w:tcW w:w="3167" w:type="pct"/>
            <w:tcBorders>
              <w:top w:val="single" w:color="auto" w:sz="4" w:space="0"/>
              <w:left w:val="single" w:color="auto" w:sz="4" w:space="0"/>
              <w:bottom w:val="single" w:color="auto" w:sz="4" w:space="0"/>
              <w:right w:val="single" w:color="auto" w:sz="4" w:space="0"/>
            </w:tcBorders>
            <w:noWrap w:val="0"/>
            <w:vAlign w:val="center"/>
          </w:tcPr>
          <w:p w14:paraId="5D6228FD">
            <w:pPr>
              <w:pStyle w:val="114"/>
              <w:keepNext w:val="0"/>
              <w:keepLines w:val="0"/>
              <w:pageBreakBefore w:val="0"/>
              <w:suppressLineNumbers w:val="0"/>
              <w:kinsoku/>
              <w:overflowPunct/>
              <w:bidi w:val="0"/>
              <w:spacing w:before="62" w:beforeLines="20" w:beforeAutospacing="0" w:after="62" w:afterLines="20" w:afterAutospacing="0" w:line="600" w:lineRule="exact"/>
              <w:ind w:left="0" w:right="0"/>
              <w:rPr>
                <w:rFonts w:hint="default" w:ascii="仿宋" w:hAnsi="仿宋" w:eastAsia="仿宋" w:cs="宋体"/>
                <w:color w:val="auto"/>
                <w:szCs w:val="21"/>
                <w:highlight w:val="none"/>
              </w:rPr>
            </w:pPr>
            <w:r>
              <w:rPr>
                <w:rFonts w:hint="eastAsia" w:ascii="仿宋" w:hAnsi="仿宋" w:eastAsia="仿宋" w:cs="仿宋"/>
                <w:color w:val="auto"/>
                <w:szCs w:val="21"/>
                <w:highlight w:val="none"/>
              </w:rPr>
              <w:t>■</w:t>
            </w:r>
            <w:r>
              <w:rPr>
                <w:rFonts w:hint="eastAsia" w:ascii="仿宋" w:hAnsi="仿宋" w:eastAsia="仿宋" w:cs="宋体"/>
                <w:color w:val="auto"/>
                <w:szCs w:val="21"/>
                <w:highlight w:val="none"/>
              </w:rPr>
              <w:t>收取，形式及比例：</w:t>
            </w:r>
            <w:r>
              <w:rPr>
                <w:rFonts w:hint="eastAsia" w:ascii="仿宋" w:hAnsi="仿宋" w:eastAsia="仿宋" w:cs="宋体"/>
                <w:color w:val="auto"/>
                <w:kern w:val="0"/>
                <w:sz w:val="24"/>
                <w:szCs w:val="24"/>
                <w:highlight w:val="none"/>
              </w:rPr>
              <w:t>履约保证金不得超过中标合同金额的10%。履约保证金金额和方式见投标人须知前附表。</w:t>
            </w:r>
          </w:p>
          <w:p w14:paraId="5402E95C">
            <w:pPr>
              <w:pStyle w:val="114"/>
              <w:keepNext w:val="0"/>
              <w:keepLines w:val="0"/>
              <w:pageBreakBefore w:val="0"/>
              <w:suppressLineNumbers w:val="0"/>
              <w:kinsoku/>
              <w:overflowPunct/>
              <w:bidi w:val="0"/>
              <w:spacing w:before="62" w:beforeLines="20" w:beforeAutospacing="0" w:after="62" w:afterLines="20" w:afterAutospacing="0" w:line="600" w:lineRule="exact"/>
              <w:ind w:left="0" w:right="0"/>
              <w:rPr>
                <w:rFonts w:hint="eastAsia" w:ascii="仿宋" w:hAnsi="仿宋" w:eastAsia="仿宋" w:cs="宋体"/>
                <w:color w:val="auto"/>
                <w:szCs w:val="21"/>
                <w:highlight w:val="none"/>
              </w:rPr>
            </w:pPr>
            <w:r>
              <w:rPr>
                <w:rFonts w:hint="eastAsia" w:ascii="仿宋" w:hAnsi="仿宋" w:eastAsia="仿宋" w:cs="宋体"/>
                <w:color w:val="auto"/>
                <w:szCs w:val="21"/>
                <w:highlight w:val="none"/>
              </w:rPr>
              <w:t>□不收取</w:t>
            </w:r>
          </w:p>
        </w:tc>
      </w:tr>
      <w:tr w14:paraId="369F57EB">
        <w:tblPrEx>
          <w:tblCellMar>
            <w:top w:w="0" w:type="dxa"/>
            <w:left w:w="108" w:type="dxa"/>
            <w:bottom w:w="0" w:type="dxa"/>
            <w:right w:w="108" w:type="dxa"/>
          </w:tblCellMar>
        </w:tblPrEx>
        <w:trPr>
          <w:jc w:val="center"/>
        </w:trPr>
        <w:tc>
          <w:tcPr>
            <w:tcW w:w="626" w:type="pct"/>
            <w:tcBorders>
              <w:top w:val="single" w:color="auto" w:sz="4" w:space="0"/>
              <w:left w:val="single" w:color="auto" w:sz="4" w:space="0"/>
              <w:bottom w:val="single" w:color="auto" w:sz="4" w:space="0"/>
              <w:right w:val="single" w:color="auto" w:sz="4" w:space="0"/>
            </w:tcBorders>
            <w:noWrap w:val="0"/>
            <w:vAlign w:val="center"/>
          </w:tcPr>
          <w:p w14:paraId="0E9DB00E">
            <w:pPr>
              <w:pStyle w:val="114"/>
              <w:keepNext w:val="0"/>
              <w:keepLines w:val="0"/>
              <w:pageBreakBefore w:val="0"/>
              <w:suppressLineNumbers w:val="0"/>
              <w:kinsoku/>
              <w:overflowPunct/>
              <w:bidi w:val="0"/>
              <w:spacing w:before="62" w:beforeLines="20" w:beforeAutospacing="0" w:after="62" w:afterLines="20" w:afterAutospacing="0" w:line="600" w:lineRule="exact"/>
              <w:ind w:left="0" w:right="0"/>
              <w:jc w:val="center"/>
              <w:rPr>
                <w:rFonts w:hint="eastAsia" w:ascii="仿宋" w:hAnsi="仿宋" w:eastAsia="仿宋" w:cs="宋体"/>
                <w:color w:val="auto"/>
                <w:szCs w:val="21"/>
                <w:highlight w:val="none"/>
              </w:rPr>
            </w:pPr>
          </w:p>
        </w:tc>
        <w:tc>
          <w:tcPr>
            <w:tcW w:w="1205" w:type="pct"/>
            <w:tcBorders>
              <w:top w:val="single" w:color="auto" w:sz="4" w:space="0"/>
              <w:left w:val="single" w:color="auto" w:sz="4" w:space="0"/>
              <w:bottom w:val="single" w:color="auto" w:sz="4" w:space="0"/>
              <w:right w:val="single" w:color="auto" w:sz="4" w:space="0"/>
            </w:tcBorders>
            <w:noWrap w:val="0"/>
            <w:vAlign w:val="center"/>
          </w:tcPr>
          <w:p w14:paraId="04958122">
            <w:pPr>
              <w:keepNext w:val="0"/>
              <w:keepLines w:val="0"/>
              <w:pageBreakBefore w:val="0"/>
              <w:suppressLineNumbers w:val="0"/>
              <w:kinsoku/>
              <w:overflowPunct/>
              <w:bidi w:val="0"/>
              <w:adjustRightInd w:val="0"/>
              <w:spacing w:before="62" w:beforeLines="20" w:beforeAutospacing="0" w:after="62" w:afterLines="20" w:afterAutospacing="0" w:line="600" w:lineRule="exact"/>
              <w:ind w:left="0" w:right="0"/>
              <w:jc w:val="center"/>
              <w:rPr>
                <w:rFonts w:hint="eastAsia" w:ascii="仿宋" w:hAnsi="仿宋" w:eastAsia="仿宋" w:cs="宋体"/>
                <w:color w:val="auto"/>
                <w:szCs w:val="21"/>
                <w:highlight w:val="none"/>
              </w:rPr>
            </w:pPr>
            <w:r>
              <w:rPr>
                <w:rFonts w:hint="eastAsia" w:ascii="仿宋" w:hAnsi="仿宋" w:eastAsia="仿宋" w:cs="宋体"/>
                <w:color w:val="auto"/>
                <w:szCs w:val="21"/>
                <w:highlight w:val="none"/>
              </w:rPr>
              <w:t>招标代理服务费</w:t>
            </w:r>
          </w:p>
        </w:tc>
        <w:tc>
          <w:tcPr>
            <w:tcW w:w="3167" w:type="pct"/>
            <w:tcBorders>
              <w:top w:val="single" w:color="auto" w:sz="4" w:space="0"/>
              <w:left w:val="single" w:color="auto" w:sz="4" w:space="0"/>
              <w:bottom w:val="single" w:color="auto" w:sz="4" w:space="0"/>
              <w:right w:val="single" w:color="auto" w:sz="4" w:space="0"/>
            </w:tcBorders>
            <w:noWrap w:val="0"/>
            <w:vAlign w:val="center"/>
          </w:tcPr>
          <w:p w14:paraId="5A28B26B">
            <w:pPr>
              <w:keepNext w:val="0"/>
              <w:keepLines w:val="0"/>
              <w:pageBreakBefore w:val="0"/>
              <w:suppressLineNumbers w:val="0"/>
              <w:kinsoku/>
              <w:overflowPunct/>
              <w:autoSpaceDE w:val="0"/>
              <w:autoSpaceDN w:val="0"/>
              <w:bidi w:val="0"/>
              <w:spacing w:before="0" w:beforeAutospacing="0" w:after="0" w:afterAutospacing="0" w:line="600" w:lineRule="exact"/>
              <w:ind w:left="0" w:right="0"/>
              <w:rPr>
                <w:rFonts w:hint="eastAsia" w:ascii="仿宋" w:hAnsi="仿宋" w:eastAsia="仿宋" w:cs="宋体"/>
                <w:color w:val="auto"/>
                <w:szCs w:val="21"/>
                <w:highlight w:val="none"/>
              </w:rPr>
            </w:pPr>
            <w:r>
              <w:rPr>
                <w:rFonts w:hint="eastAsia" w:ascii="仿宋" w:hAnsi="仿宋" w:eastAsia="仿宋" w:cs="宋体"/>
                <w:color w:val="auto"/>
                <w:szCs w:val="21"/>
                <w:highlight w:val="none"/>
              </w:rPr>
              <w:t>（1）收费依据：参考原国家发展计划委员会《招标代理服务收费管理暂行办法》(计价格[2002]1980号文)、国家发展改革委员会办公厅发布的关于《招标代理服务收费有关问题的通知》(发改办[2003]857号文)和国家发展改革委《关于降低部分建设项目收费标准规范收费行为等有关问题的通知》(发改价格[2011]534号)的规定。</w:t>
            </w:r>
          </w:p>
          <w:p w14:paraId="6D4AC0EC">
            <w:pPr>
              <w:keepNext w:val="0"/>
              <w:keepLines w:val="0"/>
              <w:pageBreakBefore w:val="0"/>
              <w:suppressLineNumbers w:val="0"/>
              <w:kinsoku/>
              <w:overflowPunct/>
              <w:autoSpaceDE w:val="0"/>
              <w:autoSpaceDN w:val="0"/>
              <w:bidi w:val="0"/>
              <w:spacing w:before="0" w:beforeAutospacing="0" w:after="0" w:afterAutospacing="0" w:line="600" w:lineRule="exact"/>
              <w:ind w:left="0" w:right="0"/>
              <w:rPr>
                <w:rFonts w:hint="eastAsia" w:ascii="仿宋" w:hAnsi="仿宋" w:eastAsia="仿宋" w:cs="宋体"/>
                <w:color w:val="auto"/>
                <w:szCs w:val="21"/>
                <w:highlight w:val="none"/>
                <w:lang w:eastAsia="zh-CN"/>
              </w:rPr>
            </w:pPr>
            <w:r>
              <w:rPr>
                <w:rFonts w:hint="eastAsia" w:ascii="仿宋" w:hAnsi="仿宋" w:eastAsia="仿宋" w:cs="宋体"/>
                <w:color w:val="auto"/>
                <w:szCs w:val="21"/>
                <w:highlight w:val="none"/>
              </w:rPr>
              <w:t>（2）服务费金额：具体金额以招标代理公司与人保</w:t>
            </w:r>
            <w:r>
              <w:rPr>
                <w:rFonts w:hint="eastAsia" w:ascii="仿宋" w:hAnsi="仿宋" w:eastAsia="仿宋" w:cs="宋体"/>
                <w:color w:val="auto"/>
                <w:szCs w:val="21"/>
                <w:highlight w:val="none"/>
                <w:lang w:val="en-US" w:eastAsia="zh-CN"/>
              </w:rPr>
              <w:t>财险阿勒泰分公司</w:t>
            </w:r>
            <w:r>
              <w:rPr>
                <w:rFonts w:hint="eastAsia" w:ascii="仿宋" w:hAnsi="仿宋" w:eastAsia="仿宋" w:cs="宋体"/>
                <w:color w:val="auto"/>
                <w:szCs w:val="21"/>
                <w:highlight w:val="none"/>
              </w:rPr>
              <w:t>签订</w:t>
            </w:r>
            <w:r>
              <w:rPr>
                <w:rFonts w:hint="eastAsia" w:ascii="仿宋" w:hAnsi="仿宋" w:eastAsia="仿宋" w:cs="宋体"/>
                <w:color w:val="auto"/>
                <w:szCs w:val="21"/>
                <w:highlight w:val="none"/>
                <w:lang w:val="en-US" w:eastAsia="zh-CN"/>
              </w:rPr>
              <w:t>的</w:t>
            </w:r>
            <w:r>
              <w:rPr>
                <w:rFonts w:hint="eastAsia" w:ascii="仿宋" w:hAnsi="仿宋" w:eastAsia="仿宋" w:cs="宋体"/>
                <w:color w:val="auto"/>
                <w:szCs w:val="21"/>
                <w:highlight w:val="none"/>
              </w:rPr>
              <w:t>合同为准</w:t>
            </w:r>
            <w:r>
              <w:rPr>
                <w:rFonts w:hint="eastAsia" w:ascii="仿宋" w:hAnsi="仿宋" w:eastAsia="仿宋" w:cs="宋体"/>
                <w:color w:val="auto"/>
                <w:szCs w:val="21"/>
                <w:highlight w:val="none"/>
                <w:lang w:eastAsia="zh-CN"/>
              </w:rPr>
              <w:t>。</w:t>
            </w:r>
          </w:p>
          <w:p w14:paraId="5E6DF31C">
            <w:pPr>
              <w:keepNext w:val="0"/>
              <w:keepLines w:val="0"/>
              <w:pageBreakBefore w:val="0"/>
              <w:suppressLineNumbers w:val="0"/>
              <w:kinsoku/>
              <w:overflowPunct/>
              <w:autoSpaceDE w:val="0"/>
              <w:autoSpaceDN w:val="0"/>
              <w:bidi w:val="0"/>
              <w:spacing w:before="0" w:beforeAutospacing="0" w:after="0" w:afterAutospacing="0" w:line="600" w:lineRule="exact"/>
              <w:ind w:left="0" w:right="0"/>
              <w:rPr>
                <w:rFonts w:hint="eastAsia" w:ascii="仿宋" w:hAnsi="仿宋" w:eastAsia="仿宋" w:cs="宋体"/>
                <w:color w:val="auto"/>
                <w:szCs w:val="21"/>
                <w:highlight w:val="none"/>
              </w:rPr>
            </w:pPr>
            <w:r>
              <w:rPr>
                <w:rFonts w:hint="eastAsia" w:ascii="仿宋" w:hAnsi="仿宋" w:eastAsia="仿宋" w:cs="宋体"/>
                <w:color w:val="auto"/>
                <w:szCs w:val="21"/>
                <w:highlight w:val="none"/>
              </w:rPr>
              <w:t>（3）缴纳时限：</w:t>
            </w:r>
            <w:r>
              <w:rPr>
                <w:rFonts w:hint="eastAsia" w:ascii="仿宋" w:hAnsi="仿宋" w:eastAsia="仿宋" w:cs="宋体"/>
                <w:color w:val="auto"/>
                <w:szCs w:val="21"/>
                <w:highlight w:val="none"/>
                <w:lang w:val="en-US" w:eastAsia="zh-CN"/>
              </w:rPr>
              <w:t>中标人</w:t>
            </w:r>
            <w:r>
              <w:rPr>
                <w:rFonts w:hint="eastAsia" w:ascii="仿宋" w:hAnsi="仿宋" w:eastAsia="仿宋" w:cs="宋体"/>
                <w:color w:val="auto"/>
                <w:szCs w:val="21"/>
                <w:highlight w:val="none"/>
              </w:rPr>
              <w:t>在收到招标代理服务费付款通知书后15日内，向招标代理机构一次性支付。</w:t>
            </w:r>
          </w:p>
        </w:tc>
      </w:tr>
    </w:tbl>
    <w:p w14:paraId="7D2455E3">
      <w:pPr>
        <w:pageBreakBefore w:val="0"/>
        <w:kinsoku/>
        <w:overflowPunct/>
        <w:bidi w:val="0"/>
        <w:spacing w:line="600" w:lineRule="exact"/>
        <w:rPr>
          <w:rFonts w:hint="eastAsia" w:ascii="仿宋" w:hAnsi="仿宋" w:eastAsia="仿宋" w:cs="宋体"/>
          <w:color w:val="auto"/>
          <w:highlight w:val="none"/>
        </w:rPr>
      </w:pPr>
    </w:p>
    <w:p w14:paraId="5CC447D1">
      <w:pPr>
        <w:pStyle w:val="4"/>
        <w:pageBreakBefore w:val="0"/>
        <w:kinsoku/>
        <w:overflowPunct/>
        <w:bidi w:val="0"/>
        <w:spacing w:line="600" w:lineRule="exact"/>
        <w:rPr>
          <w:rFonts w:hint="eastAsia" w:ascii="仿宋" w:hAnsi="仿宋" w:cs="宋体"/>
          <w:color w:val="auto"/>
          <w:szCs w:val="24"/>
          <w:highlight w:val="none"/>
        </w:rPr>
      </w:pPr>
      <w:bookmarkStart w:id="60" w:name="_Toc109124233"/>
      <w:bookmarkStart w:id="61" w:name="_Toc18287"/>
      <w:bookmarkStart w:id="62" w:name="_Toc24060"/>
      <w:bookmarkStart w:id="63" w:name="_Toc65682924"/>
      <w:r>
        <w:rPr>
          <w:rFonts w:hint="eastAsia" w:ascii="仿宋" w:hAnsi="仿宋" w:cs="宋体"/>
          <w:color w:val="auto"/>
          <w:szCs w:val="24"/>
          <w:highlight w:val="none"/>
        </w:rPr>
        <w:t>1.总则</w:t>
      </w:r>
      <w:bookmarkEnd w:id="60"/>
      <w:bookmarkEnd w:id="61"/>
      <w:bookmarkEnd w:id="62"/>
      <w:bookmarkEnd w:id="63"/>
    </w:p>
    <w:p w14:paraId="3F9A99DB">
      <w:pPr>
        <w:pStyle w:val="5"/>
        <w:pageBreakBefore w:val="0"/>
        <w:kinsoku/>
        <w:overflowPunct/>
        <w:bidi w:val="0"/>
        <w:spacing w:line="600" w:lineRule="exact"/>
        <w:ind w:firstLine="0" w:firstLineChars="0"/>
        <w:rPr>
          <w:rFonts w:ascii="仿宋" w:hAnsi="仿宋" w:cs="宋体"/>
          <w:color w:val="auto"/>
          <w:highlight w:val="none"/>
        </w:rPr>
      </w:pPr>
      <w:bookmarkStart w:id="64" w:name="_Toc65682925"/>
      <w:bookmarkStart w:id="65" w:name="_Toc31396"/>
      <w:bookmarkStart w:id="66" w:name="_Toc179632547"/>
      <w:bookmarkStart w:id="67" w:name="_Toc246996176"/>
      <w:bookmarkStart w:id="68" w:name="_Toc5548"/>
      <w:bookmarkStart w:id="69" w:name="_Toc152045530"/>
      <w:bookmarkStart w:id="70" w:name="_Toc246996919"/>
      <w:bookmarkStart w:id="71" w:name="_Toc334766923"/>
      <w:bookmarkStart w:id="72" w:name="_Toc152042306"/>
      <w:bookmarkStart w:id="73" w:name="_Toc71191953"/>
      <w:bookmarkStart w:id="74" w:name="_Toc247085690"/>
      <w:bookmarkStart w:id="75" w:name="_Toc332188169"/>
      <w:bookmarkStart w:id="76" w:name="_Toc66390001"/>
      <w:bookmarkStart w:id="77" w:name="_Toc109124234"/>
      <w:bookmarkStart w:id="78" w:name="_Toc60224320"/>
      <w:bookmarkStart w:id="79" w:name="_Toc326223536"/>
      <w:bookmarkStart w:id="80" w:name="_Toc144974498"/>
      <w:r>
        <w:rPr>
          <w:rFonts w:ascii="仿宋" w:hAnsi="仿宋" w:cs="宋体"/>
          <w:color w:val="auto"/>
          <w:highlight w:val="none"/>
        </w:rPr>
        <w:t>1.1 项目概况</w:t>
      </w:r>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p>
    <w:p w14:paraId="5DEC75A4">
      <w:pPr>
        <w:pageBreakBefore w:val="0"/>
        <w:widowControl/>
        <w:kinsoku/>
        <w:overflowPunct/>
        <w:topLinePunct/>
        <w:bidi w:val="0"/>
        <w:spacing w:line="600" w:lineRule="exact"/>
        <w:ind w:firstLine="480" w:firstLineChars="200"/>
        <w:rPr>
          <w:rFonts w:hint="eastAsia" w:ascii="仿宋" w:hAnsi="仿宋" w:eastAsia="仿宋" w:cs="宋体"/>
          <w:color w:val="auto"/>
          <w:kern w:val="0"/>
          <w:sz w:val="24"/>
          <w:szCs w:val="24"/>
          <w:highlight w:val="none"/>
        </w:rPr>
      </w:pPr>
      <w:bookmarkStart w:id="81" w:name="_Toc144974499"/>
      <w:bookmarkStart w:id="82" w:name="_Toc152042307"/>
      <w:bookmarkStart w:id="83" w:name="_Toc332188170"/>
      <w:bookmarkStart w:id="84" w:name="_Toc326223537"/>
      <w:bookmarkStart w:id="85" w:name="_Toc247085691"/>
      <w:bookmarkStart w:id="86" w:name="_Toc246996177"/>
      <w:bookmarkStart w:id="87" w:name="_Toc246996920"/>
      <w:bookmarkStart w:id="88" w:name="_Toc334766924"/>
      <w:bookmarkStart w:id="89" w:name="_Toc179632548"/>
      <w:bookmarkStart w:id="90" w:name="_Toc152045531"/>
      <w:bookmarkStart w:id="91" w:name="_Toc327827316"/>
      <w:bookmarkStart w:id="92" w:name="_Toc327739994"/>
      <w:r>
        <w:rPr>
          <w:rFonts w:hint="eastAsia" w:ascii="仿宋" w:hAnsi="仿宋" w:eastAsia="仿宋" w:cs="宋体"/>
          <w:color w:val="auto"/>
          <w:kern w:val="0"/>
          <w:sz w:val="24"/>
          <w:szCs w:val="24"/>
          <w:highlight w:val="none"/>
        </w:rPr>
        <w:t>根据《中华人民共和国招标投标法》、《中华人民共和国招标投标法实施条例》、《国有金融企业集中采购管理暂行规定》等有关法律、法规和规章以及招标人采购管理制度的规定，本招标项目已具备招标条件，现对本项目进行招标。</w:t>
      </w:r>
    </w:p>
    <w:p w14:paraId="1774BFF7">
      <w:pPr>
        <w:pStyle w:val="5"/>
        <w:pageBreakBefore w:val="0"/>
        <w:kinsoku/>
        <w:overflowPunct/>
        <w:bidi w:val="0"/>
        <w:spacing w:line="600" w:lineRule="exact"/>
        <w:ind w:firstLine="0" w:firstLineChars="0"/>
        <w:rPr>
          <w:rFonts w:ascii="仿宋" w:hAnsi="仿宋" w:cs="宋体"/>
          <w:color w:val="auto"/>
          <w:highlight w:val="none"/>
        </w:rPr>
      </w:pPr>
      <w:bookmarkStart w:id="93" w:name="_Toc60224321"/>
      <w:bookmarkStart w:id="94" w:name="_Toc19949"/>
      <w:bookmarkStart w:id="95" w:name="_Toc109124235"/>
      <w:bookmarkStart w:id="96" w:name="_Toc438"/>
      <w:bookmarkStart w:id="97" w:name="_Toc71191954"/>
      <w:r>
        <w:rPr>
          <w:rFonts w:ascii="仿宋" w:hAnsi="仿宋" w:cs="宋体"/>
          <w:color w:val="auto"/>
          <w:highlight w:val="none"/>
        </w:rPr>
        <w:t>1.2 资金来源和落实情况</w:t>
      </w:r>
      <w:bookmarkEnd w:id="81"/>
      <w:bookmarkEnd w:id="82"/>
      <w:bookmarkEnd w:id="83"/>
      <w:bookmarkEnd w:id="84"/>
      <w:bookmarkEnd w:id="85"/>
      <w:bookmarkEnd w:id="86"/>
      <w:bookmarkEnd w:id="87"/>
      <w:bookmarkEnd w:id="88"/>
      <w:bookmarkEnd w:id="89"/>
      <w:bookmarkEnd w:id="90"/>
      <w:bookmarkEnd w:id="93"/>
      <w:bookmarkEnd w:id="94"/>
      <w:bookmarkEnd w:id="95"/>
      <w:bookmarkEnd w:id="96"/>
      <w:bookmarkEnd w:id="97"/>
    </w:p>
    <w:p w14:paraId="3859C5E5">
      <w:pPr>
        <w:pageBreakBefore w:val="0"/>
        <w:kinsoku/>
        <w:overflowPunct/>
        <w:bidi w:val="0"/>
        <w:spacing w:line="600" w:lineRule="exact"/>
        <w:ind w:firstLine="480" w:firstLineChars="200"/>
        <w:rPr>
          <w:rFonts w:hint="eastAsia" w:ascii="仿宋" w:hAnsi="仿宋" w:eastAsia="仿宋" w:cs="宋体"/>
          <w:color w:val="auto"/>
          <w:sz w:val="24"/>
          <w:szCs w:val="24"/>
          <w:highlight w:val="none"/>
        </w:rPr>
      </w:pPr>
      <w:bookmarkStart w:id="98" w:name="_Hlk136962920"/>
      <w:r>
        <w:rPr>
          <w:rFonts w:hint="eastAsia" w:ascii="仿宋" w:hAnsi="仿宋" w:eastAsia="仿宋" w:cs="宋体"/>
          <w:color w:val="auto"/>
          <w:sz w:val="24"/>
          <w:szCs w:val="24"/>
          <w:highlight w:val="none"/>
        </w:rPr>
        <w:t>本招标项目的资金已落实</w:t>
      </w:r>
      <w:bookmarkEnd w:id="98"/>
      <w:r>
        <w:rPr>
          <w:rFonts w:hint="eastAsia" w:ascii="仿宋" w:hAnsi="仿宋" w:eastAsia="仿宋" w:cs="宋体"/>
          <w:color w:val="auto"/>
          <w:sz w:val="24"/>
          <w:szCs w:val="24"/>
          <w:highlight w:val="none"/>
        </w:rPr>
        <w:t>。</w:t>
      </w:r>
    </w:p>
    <w:p w14:paraId="0C60FC97">
      <w:pPr>
        <w:pStyle w:val="5"/>
        <w:pageBreakBefore w:val="0"/>
        <w:kinsoku/>
        <w:overflowPunct/>
        <w:bidi w:val="0"/>
        <w:spacing w:line="600" w:lineRule="exact"/>
        <w:ind w:firstLine="0" w:firstLineChars="0"/>
        <w:rPr>
          <w:rFonts w:ascii="仿宋" w:hAnsi="仿宋" w:cs="宋体"/>
          <w:color w:val="auto"/>
          <w:highlight w:val="none"/>
        </w:rPr>
      </w:pPr>
      <w:bookmarkStart w:id="99" w:name="_Toc112068331"/>
      <w:bookmarkStart w:id="100" w:name="_Toc144741546"/>
      <w:bookmarkStart w:id="101" w:name="_Toc1291"/>
      <w:bookmarkStart w:id="102" w:name="_Toc109124236"/>
      <w:bookmarkStart w:id="103" w:name="_Toc247085692"/>
      <w:bookmarkStart w:id="104" w:name="_Toc152045532"/>
      <w:bookmarkStart w:id="105" w:name="_Toc179632549"/>
      <w:bookmarkStart w:id="106" w:name="_Toc71191955"/>
      <w:bookmarkStart w:id="107" w:name="_Toc152042308"/>
      <w:bookmarkStart w:id="108" w:name="_Toc246996178"/>
      <w:bookmarkStart w:id="109" w:name="_Toc144974500"/>
      <w:bookmarkStart w:id="110" w:name="_Toc326223538"/>
      <w:bookmarkStart w:id="111" w:name="_Toc334766925"/>
      <w:bookmarkStart w:id="112" w:name="_Toc332188171"/>
      <w:bookmarkStart w:id="113" w:name="_Toc246996921"/>
      <w:bookmarkStart w:id="114" w:name="_Toc12184"/>
      <w:bookmarkStart w:id="115" w:name="_Toc60224322"/>
      <w:r>
        <w:rPr>
          <w:rFonts w:ascii="仿宋" w:hAnsi="仿宋" w:cs="宋体"/>
          <w:color w:val="auto"/>
          <w:highlight w:val="none"/>
        </w:rPr>
        <w:t>1.</w:t>
      </w:r>
      <w:r>
        <w:rPr>
          <w:rFonts w:hint="default" w:ascii="仿宋" w:hAnsi="仿宋" w:cs="宋体"/>
          <w:color w:val="auto"/>
          <w:highlight w:val="none"/>
        </w:rPr>
        <w:t>3</w:t>
      </w:r>
      <w:r>
        <w:rPr>
          <w:rFonts w:ascii="仿宋" w:hAnsi="仿宋" w:cs="宋体"/>
          <w:color w:val="auto"/>
          <w:highlight w:val="none"/>
        </w:rPr>
        <w:t>招标方式</w:t>
      </w:r>
      <w:bookmarkEnd w:id="99"/>
      <w:bookmarkEnd w:id="100"/>
      <w:bookmarkEnd w:id="101"/>
    </w:p>
    <w:p w14:paraId="6C288986">
      <w:pPr>
        <w:pageBreakBefore w:val="0"/>
        <w:widowControl/>
        <w:kinsoku/>
        <w:overflowPunct/>
        <w:topLinePunct/>
        <w:bidi w:val="0"/>
        <w:spacing w:line="600" w:lineRule="exact"/>
        <w:ind w:firstLine="480" w:firstLineChars="200"/>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1.</w:t>
      </w:r>
      <w:r>
        <w:rPr>
          <w:rFonts w:ascii="仿宋" w:hAnsi="仿宋" w:eastAsia="仿宋" w:cs="宋体"/>
          <w:color w:val="auto"/>
          <w:kern w:val="0"/>
          <w:sz w:val="24"/>
          <w:szCs w:val="24"/>
          <w:highlight w:val="none"/>
        </w:rPr>
        <w:t>3</w:t>
      </w:r>
      <w:r>
        <w:rPr>
          <w:rFonts w:hint="eastAsia" w:ascii="仿宋" w:hAnsi="仿宋" w:eastAsia="仿宋" w:cs="宋体"/>
          <w:color w:val="auto"/>
          <w:kern w:val="0"/>
          <w:sz w:val="24"/>
          <w:szCs w:val="24"/>
          <w:highlight w:val="none"/>
        </w:rPr>
        <w:t>.1 公开招标：是指招标人以招标公告的方式邀请不特定的法人或者其他组织投标。</w:t>
      </w:r>
    </w:p>
    <w:p w14:paraId="70A71CFD">
      <w:pPr>
        <w:pageBreakBefore w:val="0"/>
        <w:widowControl/>
        <w:kinsoku/>
        <w:overflowPunct/>
        <w:topLinePunct/>
        <w:bidi w:val="0"/>
        <w:spacing w:line="600" w:lineRule="exact"/>
        <w:ind w:firstLine="480" w:firstLineChars="200"/>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1.</w:t>
      </w:r>
      <w:r>
        <w:rPr>
          <w:rFonts w:ascii="仿宋" w:hAnsi="仿宋" w:eastAsia="仿宋" w:cs="宋体"/>
          <w:color w:val="auto"/>
          <w:kern w:val="0"/>
          <w:sz w:val="24"/>
          <w:szCs w:val="24"/>
          <w:highlight w:val="none"/>
        </w:rPr>
        <w:t>3</w:t>
      </w:r>
      <w:r>
        <w:rPr>
          <w:rFonts w:hint="eastAsia" w:ascii="仿宋" w:hAnsi="仿宋" w:eastAsia="仿宋" w:cs="宋体"/>
          <w:color w:val="auto"/>
          <w:kern w:val="0"/>
          <w:sz w:val="24"/>
          <w:szCs w:val="24"/>
          <w:highlight w:val="none"/>
        </w:rPr>
        <w:t>.2 邀请招标：是指招标人以投标邀请函的方式邀请特定的法人或者其他组织投标。</w:t>
      </w:r>
    </w:p>
    <w:p w14:paraId="7A93ABA6">
      <w:pPr>
        <w:pageBreakBefore w:val="0"/>
        <w:widowControl/>
        <w:kinsoku/>
        <w:overflowPunct/>
        <w:topLinePunct/>
        <w:bidi w:val="0"/>
        <w:spacing w:line="600" w:lineRule="exact"/>
        <w:ind w:firstLine="480" w:firstLineChars="200"/>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1.</w:t>
      </w:r>
      <w:r>
        <w:rPr>
          <w:rFonts w:ascii="仿宋" w:hAnsi="仿宋" w:eastAsia="仿宋" w:cs="宋体"/>
          <w:color w:val="auto"/>
          <w:kern w:val="0"/>
          <w:sz w:val="24"/>
          <w:szCs w:val="24"/>
          <w:highlight w:val="none"/>
        </w:rPr>
        <w:t>3</w:t>
      </w:r>
      <w:r>
        <w:rPr>
          <w:rFonts w:hint="eastAsia" w:ascii="仿宋" w:hAnsi="仿宋" w:eastAsia="仿宋" w:cs="宋体"/>
          <w:color w:val="auto"/>
          <w:kern w:val="0"/>
          <w:sz w:val="24"/>
          <w:szCs w:val="24"/>
          <w:highlight w:val="none"/>
        </w:rPr>
        <w:t>.3 本项目招标方式见投标人须知前附表。</w:t>
      </w:r>
    </w:p>
    <w:p w14:paraId="75E6C371">
      <w:pPr>
        <w:pStyle w:val="5"/>
        <w:pageBreakBefore w:val="0"/>
        <w:kinsoku/>
        <w:overflowPunct/>
        <w:bidi w:val="0"/>
        <w:spacing w:line="600" w:lineRule="exact"/>
        <w:ind w:firstLine="0" w:firstLineChars="0"/>
        <w:rPr>
          <w:rFonts w:ascii="仿宋" w:hAnsi="仿宋" w:cs="宋体"/>
          <w:color w:val="auto"/>
          <w:highlight w:val="none"/>
        </w:rPr>
      </w:pPr>
      <w:bookmarkStart w:id="116" w:name="_Toc112068332"/>
      <w:bookmarkStart w:id="117" w:name="_Toc421"/>
      <w:bookmarkStart w:id="118" w:name="_Toc144741547"/>
      <w:r>
        <w:rPr>
          <w:rFonts w:ascii="仿宋" w:hAnsi="仿宋" w:cs="宋体"/>
          <w:color w:val="auto"/>
          <w:highlight w:val="none"/>
        </w:rPr>
        <w:t>1.</w:t>
      </w:r>
      <w:r>
        <w:rPr>
          <w:rFonts w:hint="default" w:ascii="仿宋" w:hAnsi="仿宋" w:cs="宋体"/>
          <w:color w:val="auto"/>
          <w:highlight w:val="none"/>
        </w:rPr>
        <w:t>4</w:t>
      </w:r>
      <w:r>
        <w:rPr>
          <w:rFonts w:ascii="仿宋" w:hAnsi="仿宋" w:cs="宋体"/>
          <w:color w:val="auto"/>
          <w:highlight w:val="none"/>
        </w:rPr>
        <w:t>招标组织形式</w:t>
      </w:r>
      <w:bookmarkEnd w:id="116"/>
      <w:bookmarkEnd w:id="117"/>
      <w:bookmarkEnd w:id="118"/>
    </w:p>
    <w:p w14:paraId="562DA44B">
      <w:pPr>
        <w:pageBreakBefore w:val="0"/>
        <w:widowControl/>
        <w:kinsoku/>
        <w:overflowPunct/>
        <w:topLinePunct/>
        <w:bidi w:val="0"/>
        <w:spacing w:line="600" w:lineRule="exact"/>
        <w:ind w:firstLine="480" w:firstLineChars="200"/>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本次招标由招标人自行组织/委托招标代理机构采用代理招标的方式进行，招标组织形式、代理机构名称见投标人须知前附表。</w:t>
      </w:r>
    </w:p>
    <w:p w14:paraId="66613D7C">
      <w:pPr>
        <w:pStyle w:val="5"/>
        <w:pageBreakBefore w:val="0"/>
        <w:kinsoku/>
        <w:overflowPunct/>
        <w:bidi w:val="0"/>
        <w:spacing w:line="600" w:lineRule="exact"/>
        <w:ind w:firstLine="0" w:firstLineChars="0"/>
        <w:rPr>
          <w:rFonts w:ascii="仿宋" w:hAnsi="仿宋" w:cs="宋体"/>
          <w:color w:val="auto"/>
          <w:highlight w:val="none"/>
        </w:rPr>
      </w:pPr>
      <w:bookmarkStart w:id="119" w:name="_Toc8509"/>
      <w:bookmarkStart w:id="120" w:name="_Toc112068333"/>
      <w:bookmarkStart w:id="121" w:name="_Toc144741548"/>
      <w:r>
        <w:rPr>
          <w:rFonts w:ascii="仿宋" w:hAnsi="仿宋" w:cs="宋体"/>
          <w:color w:val="auto"/>
          <w:highlight w:val="none"/>
        </w:rPr>
        <w:t>1.</w:t>
      </w:r>
      <w:r>
        <w:rPr>
          <w:rFonts w:hint="default" w:ascii="仿宋" w:hAnsi="仿宋" w:cs="宋体"/>
          <w:color w:val="auto"/>
          <w:highlight w:val="none"/>
        </w:rPr>
        <w:t>5</w:t>
      </w:r>
      <w:r>
        <w:rPr>
          <w:rFonts w:ascii="仿宋" w:hAnsi="仿宋" w:cs="宋体"/>
          <w:color w:val="auto"/>
          <w:highlight w:val="none"/>
        </w:rPr>
        <w:t>资格审查</w:t>
      </w:r>
      <w:bookmarkEnd w:id="119"/>
      <w:bookmarkEnd w:id="120"/>
      <w:bookmarkEnd w:id="121"/>
    </w:p>
    <w:p w14:paraId="12476E7D">
      <w:pPr>
        <w:pageBreakBefore w:val="0"/>
        <w:widowControl/>
        <w:kinsoku/>
        <w:overflowPunct/>
        <w:topLinePunct/>
        <w:bidi w:val="0"/>
        <w:spacing w:line="600" w:lineRule="exact"/>
        <w:ind w:firstLine="480" w:firstLineChars="200"/>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1.</w:t>
      </w:r>
      <w:r>
        <w:rPr>
          <w:rFonts w:ascii="仿宋" w:hAnsi="仿宋" w:eastAsia="仿宋" w:cs="宋体"/>
          <w:color w:val="auto"/>
          <w:kern w:val="0"/>
          <w:sz w:val="24"/>
          <w:szCs w:val="24"/>
          <w:highlight w:val="none"/>
        </w:rPr>
        <w:t>5</w:t>
      </w:r>
      <w:r>
        <w:rPr>
          <w:rFonts w:hint="eastAsia" w:ascii="仿宋" w:hAnsi="仿宋" w:eastAsia="仿宋" w:cs="宋体"/>
          <w:color w:val="auto"/>
          <w:kern w:val="0"/>
          <w:sz w:val="24"/>
          <w:szCs w:val="24"/>
          <w:highlight w:val="none"/>
        </w:rPr>
        <w:t>.1资格预审：是指在投标前对潜在投标人进行的资格审查。采用资格预审方式的，资格条件已经在招标文件发出前的“资格预审文件”中作出规定。</w:t>
      </w:r>
    </w:p>
    <w:p w14:paraId="31A1D889">
      <w:pPr>
        <w:pageBreakBefore w:val="0"/>
        <w:widowControl/>
        <w:kinsoku/>
        <w:overflowPunct/>
        <w:topLinePunct/>
        <w:bidi w:val="0"/>
        <w:spacing w:line="600" w:lineRule="exact"/>
        <w:ind w:firstLine="480" w:firstLineChars="200"/>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1.</w:t>
      </w:r>
      <w:r>
        <w:rPr>
          <w:rFonts w:ascii="仿宋" w:hAnsi="仿宋" w:eastAsia="仿宋" w:cs="宋体"/>
          <w:color w:val="auto"/>
          <w:kern w:val="0"/>
          <w:sz w:val="24"/>
          <w:szCs w:val="24"/>
          <w:highlight w:val="none"/>
        </w:rPr>
        <w:t>5</w:t>
      </w:r>
      <w:r>
        <w:rPr>
          <w:rFonts w:hint="eastAsia" w:ascii="仿宋" w:hAnsi="仿宋" w:eastAsia="仿宋" w:cs="宋体"/>
          <w:color w:val="auto"/>
          <w:kern w:val="0"/>
          <w:sz w:val="24"/>
          <w:szCs w:val="24"/>
          <w:highlight w:val="none"/>
        </w:rPr>
        <w:t>.2资格后审：是指在开标后由评标委员会根据招标文件的规定对投标人进行的资格审查。采用资格后审方式的，招标人必须在招标文件中详细规定资格审查标准和方法，</w:t>
      </w:r>
      <w:bookmarkStart w:id="122" w:name="_Hlk136963129"/>
      <w:r>
        <w:rPr>
          <w:rFonts w:hint="eastAsia" w:ascii="仿宋" w:hAnsi="仿宋" w:eastAsia="仿宋" w:cs="宋体"/>
          <w:color w:val="auto"/>
          <w:kern w:val="0"/>
          <w:sz w:val="24"/>
          <w:szCs w:val="24"/>
          <w:highlight w:val="none"/>
        </w:rPr>
        <w:t>投标人应具备的资格条件见第一章“招标公告”或“投标邀请书”。</w:t>
      </w:r>
      <w:bookmarkEnd w:id="122"/>
    </w:p>
    <w:p w14:paraId="24814DDC">
      <w:pPr>
        <w:pageBreakBefore w:val="0"/>
        <w:widowControl/>
        <w:kinsoku/>
        <w:overflowPunct/>
        <w:topLinePunct/>
        <w:bidi w:val="0"/>
        <w:spacing w:line="600" w:lineRule="exact"/>
        <w:ind w:firstLine="480" w:firstLineChars="200"/>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1.5.3资格后审不合格的投标人，评标委员会应否决其投标。</w:t>
      </w:r>
    </w:p>
    <w:p w14:paraId="49A3E38E">
      <w:pPr>
        <w:pageBreakBefore w:val="0"/>
        <w:widowControl/>
        <w:kinsoku/>
        <w:overflowPunct/>
        <w:topLinePunct/>
        <w:bidi w:val="0"/>
        <w:spacing w:line="600" w:lineRule="exact"/>
        <w:ind w:firstLine="480" w:firstLineChars="200"/>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1.</w:t>
      </w:r>
      <w:r>
        <w:rPr>
          <w:rFonts w:ascii="仿宋" w:hAnsi="仿宋" w:eastAsia="仿宋" w:cs="宋体"/>
          <w:color w:val="auto"/>
          <w:kern w:val="0"/>
          <w:sz w:val="24"/>
          <w:szCs w:val="24"/>
          <w:highlight w:val="none"/>
        </w:rPr>
        <w:t>5</w:t>
      </w:r>
      <w:r>
        <w:rPr>
          <w:rFonts w:hint="eastAsia" w:ascii="仿宋" w:hAnsi="仿宋" w:eastAsia="仿宋" w:cs="宋体"/>
          <w:color w:val="auto"/>
          <w:kern w:val="0"/>
          <w:sz w:val="24"/>
          <w:szCs w:val="24"/>
          <w:highlight w:val="none"/>
        </w:rPr>
        <w:t>.4本项目资格审查方式见投标人须知前附表。</w:t>
      </w:r>
    </w:p>
    <w:p w14:paraId="2D2F9E5B">
      <w:pPr>
        <w:pStyle w:val="5"/>
        <w:pageBreakBefore w:val="0"/>
        <w:kinsoku/>
        <w:overflowPunct/>
        <w:bidi w:val="0"/>
        <w:spacing w:line="600" w:lineRule="exact"/>
        <w:ind w:firstLine="0" w:firstLineChars="0"/>
        <w:rPr>
          <w:rFonts w:ascii="仿宋" w:hAnsi="仿宋" w:cs="宋体"/>
          <w:color w:val="auto"/>
          <w:highlight w:val="none"/>
        </w:rPr>
      </w:pPr>
      <w:bookmarkStart w:id="123" w:name="_Toc144741549"/>
      <w:bookmarkStart w:id="124" w:name="_Toc18097"/>
      <w:bookmarkStart w:id="125" w:name="_Toc112068335"/>
      <w:r>
        <w:rPr>
          <w:rFonts w:ascii="仿宋" w:hAnsi="仿宋" w:cs="宋体"/>
          <w:color w:val="auto"/>
          <w:highlight w:val="none"/>
        </w:rPr>
        <w:t>1.</w:t>
      </w:r>
      <w:r>
        <w:rPr>
          <w:rFonts w:hint="default" w:ascii="仿宋" w:hAnsi="仿宋" w:cs="宋体"/>
          <w:color w:val="auto"/>
          <w:highlight w:val="none"/>
        </w:rPr>
        <w:t>6</w:t>
      </w:r>
      <w:r>
        <w:rPr>
          <w:rFonts w:ascii="仿宋" w:hAnsi="仿宋" w:cs="宋体"/>
          <w:color w:val="auto"/>
          <w:highlight w:val="none"/>
        </w:rPr>
        <w:t>投标费用</w:t>
      </w:r>
      <w:bookmarkEnd w:id="123"/>
      <w:bookmarkEnd w:id="124"/>
      <w:bookmarkEnd w:id="125"/>
    </w:p>
    <w:p w14:paraId="0FB483BA">
      <w:pPr>
        <w:pageBreakBefore w:val="0"/>
        <w:widowControl/>
        <w:kinsoku/>
        <w:overflowPunct/>
        <w:topLinePunct/>
        <w:bidi w:val="0"/>
        <w:spacing w:line="600" w:lineRule="exact"/>
        <w:ind w:firstLine="480" w:firstLineChars="200"/>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不论结果如何，投标人自行承担所有准备和参与投标有关的费用。</w:t>
      </w:r>
    </w:p>
    <w:p w14:paraId="4D9A5E7D">
      <w:pPr>
        <w:pStyle w:val="5"/>
        <w:pageBreakBefore w:val="0"/>
        <w:kinsoku/>
        <w:overflowPunct/>
        <w:bidi w:val="0"/>
        <w:spacing w:line="600" w:lineRule="exact"/>
        <w:ind w:firstLine="0" w:firstLineChars="0"/>
        <w:rPr>
          <w:rFonts w:ascii="仿宋" w:hAnsi="仿宋" w:cs="宋体"/>
          <w:color w:val="auto"/>
          <w:highlight w:val="none"/>
        </w:rPr>
      </w:pPr>
      <w:bookmarkStart w:id="126" w:name="_Toc15437"/>
      <w:bookmarkStart w:id="127" w:name="_Toc112068336"/>
      <w:bookmarkStart w:id="128" w:name="_Toc144741550"/>
      <w:bookmarkStart w:id="129" w:name="_Hlk136963192"/>
      <w:r>
        <w:rPr>
          <w:rFonts w:ascii="仿宋" w:hAnsi="仿宋" w:cs="宋体"/>
          <w:color w:val="auto"/>
          <w:highlight w:val="none"/>
        </w:rPr>
        <w:t>1.</w:t>
      </w:r>
      <w:r>
        <w:rPr>
          <w:rFonts w:hint="default" w:ascii="仿宋" w:hAnsi="仿宋" w:cs="宋体"/>
          <w:color w:val="auto"/>
          <w:highlight w:val="none"/>
        </w:rPr>
        <w:t>7</w:t>
      </w:r>
      <w:r>
        <w:rPr>
          <w:rFonts w:ascii="仿宋" w:hAnsi="仿宋" w:cs="宋体"/>
          <w:color w:val="auto"/>
          <w:highlight w:val="none"/>
        </w:rPr>
        <w:t>保密</w:t>
      </w:r>
      <w:bookmarkEnd w:id="126"/>
      <w:bookmarkEnd w:id="127"/>
      <w:bookmarkEnd w:id="128"/>
    </w:p>
    <w:p w14:paraId="144EF8D3">
      <w:pPr>
        <w:pageBreakBefore w:val="0"/>
        <w:widowControl/>
        <w:kinsoku/>
        <w:overflowPunct/>
        <w:topLinePunct/>
        <w:bidi w:val="0"/>
        <w:spacing w:line="600" w:lineRule="exact"/>
        <w:ind w:firstLine="480" w:firstLineChars="200"/>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参与招标投标活动的各方应对招标文件和投标文件中的商业和技术等秘密保密，违者应对由此造成的后果承担法律责任。</w:t>
      </w:r>
    </w:p>
    <w:p w14:paraId="2CE60D94">
      <w:pPr>
        <w:pStyle w:val="5"/>
        <w:pageBreakBefore w:val="0"/>
        <w:kinsoku/>
        <w:overflowPunct/>
        <w:bidi w:val="0"/>
        <w:spacing w:line="600" w:lineRule="exact"/>
        <w:ind w:firstLine="0" w:firstLineChars="0"/>
        <w:rPr>
          <w:rFonts w:ascii="仿宋" w:hAnsi="仿宋" w:cs="宋体"/>
          <w:color w:val="auto"/>
          <w:highlight w:val="none"/>
        </w:rPr>
      </w:pPr>
      <w:bookmarkStart w:id="130" w:name="_Toc4477"/>
      <w:bookmarkStart w:id="131" w:name="_Toc144741551"/>
      <w:bookmarkStart w:id="132" w:name="_Toc112068337"/>
      <w:r>
        <w:rPr>
          <w:rFonts w:ascii="仿宋" w:hAnsi="仿宋" w:cs="宋体"/>
          <w:color w:val="auto"/>
          <w:highlight w:val="none"/>
        </w:rPr>
        <w:t>1.</w:t>
      </w:r>
      <w:r>
        <w:rPr>
          <w:rFonts w:hint="default" w:ascii="仿宋" w:hAnsi="仿宋" w:cs="宋体"/>
          <w:color w:val="auto"/>
          <w:highlight w:val="none"/>
        </w:rPr>
        <w:t>8</w:t>
      </w:r>
      <w:r>
        <w:rPr>
          <w:rFonts w:ascii="仿宋" w:hAnsi="仿宋" w:cs="宋体"/>
          <w:color w:val="auto"/>
          <w:highlight w:val="none"/>
        </w:rPr>
        <w:t>计量单位</w:t>
      </w:r>
      <w:bookmarkEnd w:id="130"/>
      <w:bookmarkEnd w:id="131"/>
      <w:bookmarkEnd w:id="132"/>
    </w:p>
    <w:p w14:paraId="0AE83337">
      <w:pPr>
        <w:pageBreakBefore w:val="0"/>
        <w:widowControl/>
        <w:kinsoku/>
        <w:overflowPunct/>
        <w:topLinePunct/>
        <w:bidi w:val="0"/>
        <w:spacing w:line="600" w:lineRule="exact"/>
        <w:ind w:firstLine="480" w:firstLineChars="200"/>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所有计量均采用中华人民共和国法定计量单位。</w:t>
      </w:r>
    </w:p>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29"/>
    <w:p w14:paraId="3A93CCE0">
      <w:pPr>
        <w:pStyle w:val="4"/>
        <w:pageBreakBefore w:val="0"/>
        <w:kinsoku/>
        <w:overflowPunct/>
        <w:bidi w:val="0"/>
        <w:spacing w:line="600" w:lineRule="exact"/>
        <w:rPr>
          <w:rFonts w:hint="eastAsia"/>
          <w:color w:val="auto"/>
          <w:highlight w:val="none"/>
        </w:rPr>
      </w:pPr>
      <w:bookmarkStart w:id="133" w:name="_Toc171"/>
      <w:bookmarkStart w:id="134" w:name="_Toc246996930"/>
      <w:bookmarkStart w:id="135" w:name="_Toc152045542"/>
      <w:bookmarkStart w:id="136" w:name="_Toc152042318"/>
      <w:bookmarkStart w:id="137" w:name="_Toc109124244"/>
      <w:bookmarkStart w:id="138" w:name="_Toc179632560"/>
      <w:bookmarkStart w:id="139" w:name="_Toc247085701"/>
      <w:bookmarkStart w:id="140" w:name="_Toc144974510"/>
      <w:bookmarkStart w:id="141" w:name="_Toc30737"/>
      <w:bookmarkStart w:id="142" w:name="_Toc246996187"/>
      <w:r>
        <w:rPr>
          <w:rFonts w:hint="eastAsia"/>
          <w:color w:val="auto"/>
          <w:highlight w:val="none"/>
        </w:rPr>
        <w:t>2.招标文件</w:t>
      </w:r>
      <w:bookmarkEnd w:id="133"/>
      <w:bookmarkEnd w:id="134"/>
      <w:bookmarkEnd w:id="135"/>
      <w:bookmarkEnd w:id="136"/>
      <w:bookmarkEnd w:id="137"/>
      <w:bookmarkEnd w:id="138"/>
      <w:bookmarkEnd w:id="139"/>
      <w:bookmarkEnd w:id="140"/>
      <w:bookmarkEnd w:id="141"/>
      <w:bookmarkEnd w:id="142"/>
    </w:p>
    <w:p w14:paraId="0B5339C9">
      <w:pPr>
        <w:pStyle w:val="5"/>
        <w:pageBreakBefore w:val="0"/>
        <w:kinsoku/>
        <w:overflowPunct/>
        <w:bidi w:val="0"/>
        <w:spacing w:line="600" w:lineRule="exact"/>
        <w:ind w:firstLine="0" w:firstLineChars="0"/>
        <w:rPr>
          <w:rFonts w:ascii="仿宋" w:hAnsi="仿宋" w:cs="宋体"/>
          <w:color w:val="auto"/>
          <w:highlight w:val="none"/>
        </w:rPr>
      </w:pPr>
      <w:bookmarkStart w:id="143" w:name="_Toc14683"/>
      <w:bookmarkStart w:id="144" w:name="_Toc334766935"/>
      <w:bookmarkStart w:id="145" w:name="_Toc246996931"/>
      <w:bookmarkStart w:id="146" w:name="_Toc144974511"/>
      <w:bookmarkStart w:id="147" w:name="_Toc246996188"/>
      <w:bookmarkStart w:id="148" w:name="_Toc332188181"/>
      <w:bookmarkStart w:id="149" w:name="_Toc16024"/>
      <w:bookmarkStart w:id="150" w:name="_Toc247085702"/>
      <w:bookmarkStart w:id="151" w:name="_Toc152042319"/>
      <w:bookmarkStart w:id="152" w:name="_Toc60224332"/>
      <w:bookmarkStart w:id="153" w:name="_Toc71191964"/>
      <w:bookmarkStart w:id="154" w:name="_Toc152045543"/>
      <w:bookmarkStart w:id="155" w:name="_Toc109124245"/>
      <w:bookmarkStart w:id="156" w:name="_Toc326223548"/>
      <w:bookmarkStart w:id="157" w:name="_Toc179632561"/>
      <w:r>
        <w:rPr>
          <w:rFonts w:ascii="仿宋" w:hAnsi="仿宋" w:cs="宋体"/>
          <w:color w:val="auto"/>
          <w:highlight w:val="none"/>
        </w:rPr>
        <w:t>2.1招标文件的组成</w:t>
      </w:r>
      <w:bookmarkEnd w:id="143"/>
    </w:p>
    <w:p w14:paraId="581770AD">
      <w:pPr>
        <w:pageBreakBefore w:val="0"/>
        <w:widowControl/>
        <w:kinsoku/>
        <w:overflowPunct/>
        <w:topLinePunct/>
        <w:bidi w:val="0"/>
        <w:spacing w:line="600" w:lineRule="exact"/>
        <w:ind w:firstLine="480" w:firstLineChars="200"/>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2.1.1招标人应当根据招标项目的特点和需要编制招标文件。招标文件应当包括招标项目的技术要求、对投标人资格审查的标准、投标报价要求和评标标准等所有实质性要求和条件以及拟签订合同的主要条款。招标文件的组成见投标人须知前附表。</w:t>
      </w:r>
    </w:p>
    <w:p w14:paraId="6D886B53">
      <w:pPr>
        <w:pageBreakBefore w:val="0"/>
        <w:widowControl/>
        <w:kinsoku/>
        <w:overflowPunct/>
        <w:topLinePunct/>
        <w:bidi w:val="0"/>
        <w:spacing w:line="600" w:lineRule="exact"/>
        <w:ind w:firstLine="480" w:firstLineChars="200"/>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2.1.2 招标文件对同一内容的表述应当一致。第一章 “招标公告”或者“投标邀请书”与招标文件在同一内容的表述上有矛盾或冲突时，以第一章 “招标公告”或者“投标邀请书”为准；投标人须知前附表与投标人须知正文在同一内容的表述上有矛盾或冲突时，以投标人须知前附表为准。</w:t>
      </w:r>
    </w:p>
    <w:p w14:paraId="53B756E4">
      <w:pPr>
        <w:pageBreakBefore w:val="0"/>
        <w:widowControl/>
        <w:kinsoku/>
        <w:overflowPunct/>
        <w:topLinePunct/>
        <w:bidi w:val="0"/>
        <w:spacing w:line="600" w:lineRule="exact"/>
        <w:ind w:firstLine="480" w:firstLineChars="200"/>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2.1.3招标人在招标文件中以显著的方式标明实质性要求、条件以及不满足实质性要求和条件的投标将被否决的提示，实质性要求的标识见投标人须知前附表。</w:t>
      </w:r>
    </w:p>
    <w:p w14:paraId="48E94D8C">
      <w:pPr>
        <w:pStyle w:val="5"/>
        <w:pageBreakBefore w:val="0"/>
        <w:kinsoku/>
        <w:overflowPunct/>
        <w:bidi w:val="0"/>
        <w:spacing w:line="600" w:lineRule="exact"/>
        <w:ind w:firstLine="0" w:firstLineChars="0"/>
        <w:rPr>
          <w:rFonts w:ascii="仿宋" w:hAnsi="仿宋" w:cs="宋体"/>
          <w:color w:val="auto"/>
          <w:highlight w:val="none"/>
        </w:rPr>
      </w:pPr>
      <w:bookmarkStart w:id="158" w:name="_Toc24602"/>
      <w:r>
        <w:rPr>
          <w:rFonts w:ascii="仿宋" w:hAnsi="仿宋" w:cs="宋体"/>
          <w:color w:val="auto"/>
          <w:highlight w:val="none"/>
        </w:rPr>
        <w:t>2.2踏勘现场</w:t>
      </w:r>
      <w:bookmarkEnd w:id="158"/>
    </w:p>
    <w:p w14:paraId="44CD57D6">
      <w:pPr>
        <w:pageBreakBefore w:val="0"/>
        <w:widowControl/>
        <w:kinsoku/>
        <w:overflowPunct/>
        <w:topLinePunct/>
        <w:bidi w:val="0"/>
        <w:spacing w:line="600" w:lineRule="exact"/>
        <w:ind w:firstLine="480" w:firstLineChars="200"/>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2.2.1招标人根据招标项目的具体情况，可以按照投标人须知前附表规定的时间和地点组织潜在投标人踏勘项目现场。招标人不得组织单个或者部分潜在投标人踏勘项目现场。</w:t>
      </w:r>
    </w:p>
    <w:p w14:paraId="16C13755">
      <w:pPr>
        <w:pageBreakBefore w:val="0"/>
        <w:widowControl/>
        <w:kinsoku/>
        <w:overflowPunct/>
        <w:topLinePunct/>
        <w:bidi w:val="0"/>
        <w:spacing w:line="600" w:lineRule="exact"/>
        <w:ind w:firstLine="480" w:firstLineChars="200"/>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2.2.2投标人应全面踏勘项目现场，应对可能影响投标报价及技术管理方案的现场条件进行全面踏勘。</w:t>
      </w:r>
    </w:p>
    <w:p w14:paraId="058EFC20">
      <w:pPr>
        <w:pageBreakBefore w:val="0"/>
        <w:widowControl/>
        <w:kinsoku/>
        <w:overflowPunct/>
        <w:topLinePunct/>
        <w:bidi w:val="0"/>
        <w:spacing w:line="600" w:lineRule="exact"/>
        <w:ind w:firstLine="480" w:firstLineChars="200"/>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2.2.3投标人根据踏勘项目现场做出的投标分析、推论和判断，应当自行负责，招标人不对投标人据此作出的判断和决策负责。</w:t>
      </w:r>
    </w:p>
    <w:p w14:paraId="660869BE">
      <w:pPr>
        <w:pageBreakBefore w:val="0"/>
        <w:widowControl/>
        <w:kinsoku/>
        <w:overflowPunct/>
        <w:topLinePunct/>
        <w:bidi w:val="0"/>
        <w:spacing w:line="600" w:lineRule="exact"/>
        <w:ind w:firstLine="480" w:firstLineChars="200"/>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2.2.4投标人踏勘现场发生的费用自理。除招标人的原因外，投标人自行负责在踏勘现场中所发生的人员伤亡和财产损失。</w:t>
      </w:r>
    </w:p>
    <w:p w14:paraId="601E1F45">
      <w:pPr>
        <w:pStyle w:val="5"/>
        <w:pageBreakBefore w:val="0"/>
        <w:kinsoku/>
        <w:overflowPunct/>
        <w:bidi w:val="0"/>
        <w:spacing w:line="600" w:lineRule="exact"/>
        <w:ind w:firstLine="0" w:firstLineChars="0"/>
        <w:rPr>
          <w:rFonts w:ascii="仿宋" w:hAnsi="仿宋" w:cs="宋体"/>
          <w:color w:val="auto"/>
          <w:highlight w:val="none"/>
        </w:rPr>
      </w:pPr>
      <w:bookmarkStart w:id="159" w:name="_Toc3833"/>
      <w:r>
        <w:rPr>
          <w:rFonts w:ascii="仿宋" w:hAnsi="仿宋" w:cs="宋体"/>
          <w:color w:val="auto"/>
          <w:highlight w:val="none"/>
        </w:rPr>
        <w:t>2.3投标预备会</w:t>
      </w:r>
      <w:bookmarkEnd w:id="159"/>
    </w:p>
    <w:p w14:paraId="2D8FF56B">
      <w:pPr>
        <w:pageBreakBefore w:val="0"/>
        <w:widowControl/>
        <w:kinsoku/>
        <w:overflowPunct/>
        <w:topLinePunct/>
        <w:bidi w:val="0"/>
        <w:spacing w:line="600" w:lineRule="exact"/>
        <w:ind w:firstLine="480" w:firstLineChars="200"/>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招标人认为必要时，将按照投标人须知前附表规定的时间和地点召开投标预备会(标前会)，公开解答潜在投标人对招标文件提出的疑问。</w:t>
      </w:r>
    </w:p>
    <w:p w14:paraId="03C68690">
      <w:pPr>
        <w:pStyle w:val="5"/>
        <w:pageBreakBefore w:val="0"/>
        <w:kinsoku/>
        <w:overflowPunct/>
        <w:bidi w:val="0"/>
        <w:spacing w:line="600" w:lineRule="exact"/>
        <w:ind w:firstLine="0" w:firstLineChars="0"/>
        <w:rPr>
          <w:rFonts w:ascii="仿宋" w:hAnsi="仿宋" w:cs="宋体"/>
          <w:color w:val="auto"/>
          <w:highlight w:val="none"/>
        </w:rPr>
      </w:pPr>
      <w:bookmarkStart w:id="160" w:name="_Toc12345"/>
      <w:r>
        <w:rPr>
          <w:rFonts w:ascii="仿宋" w:hAnsi="仿宋" w:cs="宋体"/>
          <w:color w:val="auto"/>
          <w:highlight w:val="none"/>
        </w:rPr>
        <w:t>2.4招标文件的修改</w:t>
      </w:r>
      <w:bookmarkEnd w:id="160"/>
    </w:p>
    <w:p w14:paraId="023E4CBC">
      <w:pPr>
        <w:pageBreakBefore w:val="0"/>
        <w:widowControl/>
        <w:kinsoku/>
        <w:overflowPunct/>
        <w:topLinePunct/>
        <w:bidi w:val="0"/>
        <w:spacing w:line="600" w:lineRule="exact"/>
        <w:ind w:firstLine="480" w:firstLineChars="200"/>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2.4.1投标人对招标文件有疑问的，应当按照投标人须知前附表规定的时间和方式，要求招标人对招标文件进行澄清。</w:t>
      </w:r>
    </w:p>
    <w:p w14:paraId="20330124">
      <w:pPr>
        <w:pageBreakBefore w:val="0"/>
        <w:widowControl/>
        <w:kinsoku/>
        <w:overflowPunct/>
        <w:topLinePunct/>
        <w:bidi w:val="0"/>
        <w:spacing w:line="600" w:lineRule="exact"/>
        <w:ind w:firstLine="480" w:firstLineChars="200"/>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2.4.2招标人可以对已发出的招标文件进行必要的澄清或者修改。澄清或修改内容可能影响投标文件编制的，招标人应当在投标截止时间至少15日前，以书面形式通知所有获取招标文件的潜在投标人，不足15日的，招标人应相应顺延提交投标文件的截止时间。</w:t>
      </w:r>
    </w:p>
    <w:p w14:paraId="51ECE904">
      <w:pPr>
        <w:pageBreakBefore w:val="0"/>
        <w:widowControl/>
        <w:kinsoku/>
        <w:overflowPunct/>
        <w:topLinePunct/>
        <w:bidi w:val="0"/>
        <w:spacing w:line="600" w:lineRule="exact"/>
        <w:ind w:firstLine="480" w:firstLineChars="200"/>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2.4.</w:t>
      </w:r>
      <w:r>
        <w:rPr>
          <w:rFonts w:ascii="仿宋" w:hAnsi="仿宋" w:eastAsia="仿宋" w:cs="宋体"/>
          <w:color w:val="auto"/>
          <w:kern w:val="0"/>
          <w:sz w:val="24"/>
          <w:szCs w:val="24"/>
          <w:highlight w:val="none"/>
        </w:rPr>
        <w:t>3</w:t>
      </w:r>
      <w:r>
        <w:rPr>
          <w:rFonts w:hint="eastAsia" w:ascii="仿宋" w:hAnsi="仿宋" w:eastAsia="仿宋" w:cs="宋体"/>
          <w:color w:val="auto"/>
          <w:kern w:val="0"/>
          <w:sz w:val="24"/>
          <w:szCs w:val="24"/>
          <w:highlight w:val="none"/>
        </w:rPr>
        <w:t>投标人收到澄清或修改后，应当按照投标人须知前附表规定的时间和方式通知招标人，确认已收到该澄清或修改。</w:t>
      </w:r>
    </w:p>
    <w:p w14:paraId="163B1578">
      <w:pPr>
        <w:pageBreakBefore w:val="0"/>
        <w:widowControl/>
        <w:kinsoku/>
        <w:overflowPunct/>
        <w:topLinePunct/>
        <w:bidi w:val="0"/>
        <w:spacing w:line="600" w:lineRule="exact"/>
        <w:ind w:firstLine="480" w:firstLineChars="200"/>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2.4.</w:t>
      </w:r>
      <w:r>
        <w:rPr>
          <w:rFonts w:ascii="仿宋" w:hAnsi="仿宋" w:eastAsia="仿宋" w:cs="宋体"/>
          <w:color w:val="auto"/>
          <w:kern w:val="0"/>
          <w:sz w:val="24"/>
          <w:szCs w:val="24"/>
          <w:highlight w:val="none"/>
        </w:rPr>
        <w:t>4</w:t>
      </w:r>
      <w:r>
        <w:rPr>
          <w:rFonts w:hint="eastAsia" w:ascii="仿宋" w:hAnsi="仿宋" w:eastAsia="仿宋" w:cs="宋体"/>
          <w:color w:val="auto"/>
          <w:kern w:val="0"/>
          <w:sz w:val="24"/>
          <w:szCs w:val="24"/>
          <w:highlight w:val="none"/>
        </w:rPr>
        <w:t>所有关于招标文件的澄清和修改均作为招标文件的组成部分。当招标文件、招标文件的澄清或修改等在同一内容的表述上不一致时，以最后发出的书面文件为准。</w:t>
      </w:r>
    </w:p>
    <w:p w14:paraId="71E2BACF">
      <w:pPr>
        <w:pStyle w:val="5"/>
        <w:pageBreakBefore w:val="0"/>
        <w:kinsoku/>
        <w:overflowPunct/>
        <w:bidi w:val="0"/>
        <w:spacing w:line="600" w:lineRule="exact"/>
        <w:ind w:firstLine="0" w:firstLineChars="0"/>
        <w:rPr>
          <w:rFonts w:ascii="仿宋" w:hAnsi="仿宋" w:cs="宋体"/>
          <w:color w:val="auto"/>
          <w:highlight w:val="none"/>
        </w:rPr>
      </w:pPr>
      <w:bookmarkStart w:id="161" w:name="_Toc15701"/>
      <w:r>
        <w:rPr>
          <w:rFonts w:ascii="仿宋" w:hAnsi="仿宋" w:cs="宋体"/>
          <w:color w:val="auto"/>
          <w:highlight w:val="none"/>
        </w:rPr>
        <w:t>2.5招标文件的异议</w:t>
      </w:r>
      <w:bookmarkEnd w:id="161"/>
    </w:p>
    <w:p w14:paraId="3F55E109">
      <w:pPr>
        <w:pageBreakBefore w:val="0"/>
        <w:widowControl/>
        <w:kinsoku/>
        <w:overflowPunct/>
        <w:topLinePunct/>
        <w:bidi w:val="0"/>
        <w:spacing w:line="600" w:lineRule="exact"/>
        <w:ind w:firstLine="480" w:firstLineChars="200"/>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潜在投标人或者其他利害关系人（是与招标项目或者招标活动有直接或者间接利益关系的法人、其他组织和自然人）对招标文件有异议的，应当在投标截止时间10日前提出。招标人应当自收到异议之日起3日内作出答复。作出答复前，应当暂停招标投标活动。</w:t>
      </w:r>
    </w:p>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p w14:paraId="734EE998">
      <w:pPr>
        <w:pStyle w:val="4"/>
        <w:pageBreakBefore w:val="0"/>
        <w:kinsoku/>
        <w:overflowPunct/>
        <w:bidi w:val="0"/>
        <w:spacing w:line="600" w:lineRule="exact"/>
        <w:rPr>
          <w:rFonts w:hint="eastAsia"/>
          <w:color w:val="auto"/>
          <w:highlight w:val="none"/>
        </w:rPr>
      </w:pPr>
      <w:bookmarkStart w:id="162" w:name="_Toc246996934"/>
      <w:bookmarkStart w:id="163" w:name="_Toc5145"/>
      <w:bookmarkStart w:id="164" w:name="_Toc15396"/>
      <w:bookmarkStart w:id="165" w:name="_Toc152045546"/>
      <w:bookmarkStart w:id="166" w:name="_Toc152042322"/>
      <w:bookmarkStart w:id="167" w:name="_Toc144974514"/>
      <w:bookmarkStart w:id="168" w:name="_Toc179632564"/>
      <w:bookmarkStart w:id="169" w:name="_Toc246996191"/>
      <w:bookmarkStart w:id="170" w:name="_Toc109124250"/>
      <w:bookmarkStart w:id="171" w:name="_Toc247085705"/>
      <w:r>
        <w:rPr>
          <w:rFonts w:hint="eastAsia"/>
          <w:color w:val="auto"/>
          <w:highlight w:val="none"/>
        </w:rPr>
        <w:t>3.投标文件</w:t>
      </w:r>
      <w:bookmarkEnd w:id="162"/>
      <w:bookmarkEnd w:id="163"/>
      <w:bookmarkEnd w:id="164"/>
      <w:bookmarkEnd w:id="165"/>
      <w:bookmarkEnd w:id="166"/>
      <w:bookmarkEnd w:id="167"/>
      <w:bookmarkEnd w:id="168"/>
      <w:bookmarkEnd w:id="169"/>
      <w:bookmarkEnd w:id="170"/>
      <w:bookmarkEnd w:id="171"/>
    </w:p>
    <w:p w14:paraId="54C916C6">
      <w:pPr>
        <w:pStyle w:val="5"/>
        <w:pageBreakBefore w:val="0"/>
        <w:kinsoku/>
        <w:overflowPunct/>
        <w:bidi w:val="0"/>
        <w:spacing w:line="600" w:lineRule="exact"/>
        <w:ind w:firstLine="0" w:firstLineChars="0"/>
        <w:rPr>
          <w:rFonts w:ascii="仿宋" w:hAnsi="仿宋" w:cs="宋体"/>
          <w:color w:val="auto"/>
          <w:highlight w:val="none"/>
        </w:rPr>
      </w:pPr>
      <w:bookmarkStart w:id="172" w:name="_Toc334766939"/>
      <w:bookmarkStart w:id="173" w:name="_Toc152042323"/>
      <w:bookmarkStart w:id="174" w:name="_Toc152045547"/>
      <w:bookmarkStart w:id="175" w:name="_Toc326223552"/>
      <w:bookmarkStart w:id="176" w:name="_Toc60224337"/>
      <w:bookmarkStart w:id="177" w:name="_Toc247085706"/>
      <w:bookmarkStart w:id="178" w:name="_Toc71191970"/>
      <w:bookmarkStart w:id="179" w:name="_Toc144974515"/>
      <w:bookmarkStart w:id="180" w:name="_Toc19843"/>
      <w:bookmarkStart w:id="181" w:name="_Toc179632565"/>
      <w:bookmarkStart w:id="182" w:name="_Toc246996935"/>
      <w:bookmarkStart w:id="183" w:name="_Toc246996192"/>
      <w:bookmarkStart w:id="184" w:name="_Toc332188185"/>
      <w:bookmarkStart w:id="185" w:name="_Toc109124251"/>
      <w:bookmarkStart w:id="186" w:name="_Toc25453"/>
      <w:r>
        <w:rPr>
          <w:rFonts w:ascii="仿宋" w:hAnsi="仿宋" w:cs="宋体"/>
          <w:color w:val="auto"/>
          <w:highlight w:val="none"/>
        </w:rPr>
        <w:t>3.1 投标文件的组成</w:t>
      </w:r>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p>
    <w:p w14:paraId="70FC7107">
      <w:pPr>
        <w:pageBreakBefore w:val="0"/>
        <w:kinsoku/>
        <w:overflowPunct/>
        <w:bidi w:val="0"/>
        <w:spacing w:line="600" w:lineRule="exact"/>
        <w:ind w:firstLine="480" w:firstLineChars="200"/>
        <w:textAlignment w:val="baseline"/>
        <w:rPr>
          <w:rFonts w:hint="eastAsia" w:ascii="仿宋" w:hAnsi="仿宋" w:eastAsia="仿宋" w:cs="宋体"/>
          <w:color w:val="auto"/>
          <w:sz w:val="24"/>
          <w:szCs w:val="24"/>
          <w:highlight w:val="none"/>
        </w:rPr>
      </w:pPr>
      <w:bookmarkStart w:id="187" w:name="_Toc332188186"/>
      <w:bookmarkStart w:id="188" w:name="_Toc144974516"/>
      <w:bookmarkStart w:id="189" w:name="_Toc246996936"/>
      <w:bookmarkStart w:id="190" w:name="_Toc326223553"/>
      <w:bookmarkStart w:id="191" w:name="_Toc179632566"/>
      <w:bookmarkStart w:id="192" w:name="_Toc152045548"/>
      <w:bookmarkStart w:id="193" w:name="_Toc246996193"/>
      <w:bookmarkStart w:id="194" w:name="_Toc334766940"/>
      <w:bookmarkStart w:id="195" w:name="_Toc247085707"/>
      <w:bookmarkStart w:id="196" w:name="_Toc152042324"/>
      <w:r>
        <w:rPr>
          <w:rFonts w:hint="eastAsia" w:ascii="仿宋" w:hAnsi="仿宋" w:eastAsia="仿宋" w:cs="宋体"/>
          <w:color w:val="auto"/>
          <w:sz w:val="24"/>
          <w:szCs w:val="24"/>
          <w:highlight w:val="none"/>
        </w:rPr>
        <w:t>投标人应当按照投标人须知前附表的要求制作并提交投标文件。投标文件的组成见投标人须知前附表。</w:t>
      </w:r>
    </w:p>
    <w:p w14:paraId="55F4AD1B">
      <w:pPr>
        <w:pStyle w:val="5"/>
        <w:pageBreakBefore w:val="0"/>
        <w:kinsoku/>
        <w:overflowPunct/>
        <w:bidi w:val="0"/>
        <w:spacing w:line="600" w:lineRule="exact"/>
        <w:ind w:firstLine="0" w:firstLineChars="0"/>
        <w:rPr>
          <w:rFonts w:ascii="仿宋" w:hAnsi="仿宋" w:cs="宋体"/>
          <w:color w:val="auto"/>
          <w:highlight w:val="none"/>
        </w:rPr>
      </w:pPr>
      <w:bookmarkStart w:id="197" w:name="_Toc60224338"/>
      <w:bookmarkStart w:id="198" w:name="_Toc20674"/>
      <w:bookmarkStart w:id="199" w:name="_Toc28066"/>
      <w:bookmarkStart w:id="200" w:name="_Toc71191971"/>
      <w:bookmarkStart w:id="201" w:name="_Toc109124252"/>
      <w:r>
        <w:rPr>
          <w:rFonts w:ascii="仿宋" w:hAnsi="仿宋" w:cs="宋体"/>
          <w:color w:val="auto"/>
          <w:highlight w:val="none"/>
        </w:rPr>
        <w:t xml:space="preserve">3.2 </w:t>
      </w:r>
      <w:bookmarkEnd w:id="187"/>
      <w:bookmarkEnd w:id="188"/>
      <w:bookmarkEnd w:id="189"/>
      <w:bookmarkEnd w:id="190"/>
      <w:bookmarkEnd w:id="191"/>
      <w:bookmarkEnd w:id="192"/>
      <w:bookmarkEnd w:id="193"/>
      <w:bookmarkEnd w:id="194"/>
      <w:bookmarkEnd w:id="195"/>
      <w:bookmarkEnd w:id="196"/>
      <w:r>
        <w:rPr>
          <w:rFonts w:ascii="仿宋" w:hAnsi="仿宋" w:cs="宋体"/>
          <w:color w:val="auto"/>
          <w:highlight w:val="none"/>
        </w:rPr>
        <w:t>投标文件的编制</w:t>
      </w:r>
      <w:bookmarkEnd w:id="197"/>
      <w:bookmarkEnd w:id="198"/>
      <w:bookmarkEnd w:id="199"/>
      <w:bookmarkEnd w:id="200"/>
      <w:bookmarkEnd w:id="201"/>
    </w:p>
    <w:p w14:paraId="54E120AD">
      <w:pPr>
        <w:pageBreakBefore w:val="0"/>
        <w:kinsoku/>
        <w:overflowPunct/>
        <w:bidi w:val="0"/>
        <w:spacing w:line="600" w:lineRule="exact"/>
        <w:ind w:firstLine="480" w:firstLineChars="200"/>
        <w:textAlignment w:val="baseline"/>
        <w:rPr>
          <w:rFonts w:hint="eastAsia" w:ascii="仿宋" w:hAnsi="仿宋" w:eastAsia="仿宋" w:cs="宋体"/>
          <w:color w:val="auto"/>
          <w:sz w:val="24"/>
          <w:szCs w:val="24"/>
          <w:highlight w:val="none"/>
        </w:rPr>
      </w:pPr>
      <w:bookmarkStart w:id="202" w:name="_Toc152042325"/>
      <w:bookmarkStart w:id="203" w:name="_Toc246996194"/>
      <w:bookmarkStart w:id="204" w:name="_Toc326223554"/>
      <w:bookmarkStart w:id="205" w:name="_Toc246996937"/>
      <w:bookmarkStart w:id="206" w:name="_Toc179632567"/>
      <w:bookmarkStart w:id="207" w:name="_Toc332188187"/>
      <w:bookmarkStart w:id="208" w:name="_Toc152045549"/>
      <w:bookmarkStart w:id="209" w:name="_Toc334766941"/>
      <w:bookmarkStart w:id="210" w:name="_Toc144974517"/>
      <w:bookmarkStart w:id="211" w:name="_Toc247085708"/>
      <w:r>
        <w:rPr>
          <w:rFonts w:hint="eastAsia" w:ascii="仿宋" w:hAnsi="仿宋" w:eastAsia="仿宋" w:cs="宋体"/>
          <w:color w:val="auto"/>
          <w:sz w:val="24"/>
          <w:szCs w:val="24"/>
          <w:highlight w:val="none"/>
        </w:rPr>
        <w:t xml:space="preserve">3.2.1投标人应当按照招标文件的要求编制投标文件，并对其投标文件的真实性、合法性承担法律责任，投标文件应当对招标文件提出的实质性要求和条件作出响应。 </w:t>
      </w:r>
    </w:p>
    <w:p w14:paraId="332103A3">
      <w:pPr>
        <w:pageBreakBefore w:val="0"/>
        <w:kinsoku/>
        <w:overflowPunct/>
        <w:bidi w:val="0"/>
        <w:spacing w:line="600" w:lineRule="exact"/>
        <w:ind w:firstLine="480" w:firstLineChars="200"/>
        <w:textAlignment w:val="baseline"/>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3.2.2投标人应认真阅读招标文件中所有的事项、格式、条款和技术规范等。投标人没有按照招标文件要求递交全部资料，或者投标人没有对招标文件在各方面都作出实质性响应是投标人的风险，并可能导致其投标被否决。投标文件应答和编写的具体要求见投标人须知前附表。</w:t>
      </w:r>
    </w:p>
    <w:p w14:paraId="10AF9D41">
      <w:pPr>
        <w:pageBreakBefore w:val="0"/>
        <w:kinsoku/>
        <w:overflowPunct/>
        <w:bidi w:val="0"/>
        <w:spacing w:line="600" w:lineRule="exact"/>
        <w:ind w:firstLine="480" w:firstLineChars="200"/>
        <w:textAlignment w:val="baseline"/>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3.2.3投标人提交的投标文件以及投标人与招标人就有关投标的所有往来函电均应使用中文。投标人提交的证明文件和印刷的文献可以使用另一种语言，但相应内容应当译成中文，在解释投标文件时以中文译本为准。</w:t>
      </w:r>
    </w:p>
    <w:p w14:paraId="39D0B925">
      <w:pPr>
        <w:pageBreakBefore w:val="0"/>
        <w:kinsoku/>
        <w:overflowPunct/>
        <w:bidi w:val="0"/>
        <w:spacing w:line="600" w:lineRule="exact"/>
        <w:ind w:firstLine="480" w:firstLineChars="200"/>
        <w:textAlignment w:val="baseline"/>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3.2.4纸质投标文件应当使用不褪色的材料书写或打印，并加盖公章或者由投标人的法定代表人（负责人）或者其委托代理人签字。委托代理人签字的，投标文件应当附法定代表人（负责人）签署的授权委托书。投标文件应尽量避免涂改、行间插字或删除。如果出现上述情况，改动之处应当加盖公章或由投标人的法定代表人（负责人）或其委托代理人签字确认。电子投标文件的签章要求及纸质投标文件盖章或者签字另有要求的，见投标人须知前附表。</w:t>
      </w:r>
    </w:p>
    <w:p w14:paraId="1F58C0CA">
      <w:pPr>
        <w:pStyle w:val="5"/>
        <w:pageBreakBefore w:val="0"/>
        <w:kinsoku/>
        <w:overflowPunct/>
        <w:bidi w:val="0"/>
        <w:spacing w:line="600" w:lineRule="exact"/>
        <w:ind w:firstLine="0" w:firstLineChars="0"/>
        <w:rPr>
          <w:rFonts w:ascii="仿宋" w:hAnsi="仿宋" w:cs="宋体"/>
          <w:color w:val="auto"/>
          <w:highlight w:val="none"/>
        </w:rPr>
      </w:pPr>
      <w:bookmarkStart w:id="212" w:name="_Toc71191972"/>
      <w:bookmarkStart w:id="213" w:name="_Toc18181"/>
      <w:bookmarkStart w:id="214" w:name="_Toc13378"/>
      <w:bookmarkStart w:id="215" w:name="_Toc109124253"/>
      <w:bookmarkStart w:id="216" w:name="_Toc60224339"/>
      <w:r>
        <w:rPr>
          <w:rFonts w:ascii="仿宋" w:hAnsi="仿宋" w:cs="宋体"/>
          <w:color w:val="auto"/>
          <w:highlight w:val="none"/>
        </w:rPr>
        <w:t>3.3 投标报价</w:t>
      </w:r>
      <w:bookmarkEnd w:id="212"/>
      <w:bookmarkEnd w:id="213"/>
      <w:bookmarkEnd w:id="214"/>
      <w:bookmarkEnd w:id="215"/>
      <w:bookmarkEnd w:id="216"/>
    </w:p>
    <w:p w14:paraId="2274D03A">
      <w:pPr>
        <w:pageBreakBefore w:val="0"/>
        <w:widowControl/>
        <w:kinsoku/>
        <w:overflowPunct/>
        <w:topLinePunct/>
        <w:bidi w:val="0"/>
        <w:spacing w:line="600" w:lineRule="exact"/>
        <w:ind w:firstLine="480" w:firstLineChars="200"/>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3.3.1投标人应当根据招标文件要求进行报价，投标人应当报出符合招标文件要求的拟提供投标货物或服务的单价、总价、费率、税率等内容。</w:t>
      </w:r>
    </w:p>
    <w:p w14:paraId="0F87B33B">
      <w:pPr>
        <w:pageBreakBefore w:val="0"/>
        <w:widowControl/>
        <w:kinsoku/>
        <w:overflowPunct/>
        <w:topLinePunct/>
        <w:bidi w:val="0"/>
        <w:spacing w:line="600" w:lineRule="exact"/>
        <w:ind w:firstLine="480" w:firstLineChars="200"/>
        <w:rPr>
          <w:rFonts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3.3.2 除招标文件另有规定外，投标报价一律用人民币填报，招标人不接受任何非人民币币种的投标报价。</w:t>
      </w:r>
    </w:p>
    <w:p w14:paraId="047B519D">
      <w:pPr>
        <w:pageBreakBefore w:val="0"/>
        <w:widowControl/>
        <w:kinsoku/>
        <w:overflowPunct/>
        <w:topLinePunct/>
        <w:bidi w:val="0"/>
        <w:spacing w:line="600" w:lineRule="exact"/>
        <w:ind w:firstLine="480" w:firstLineChars="200"/>
        <w:rPr>
          <w:rFonts w:ascii="仿宋" w:hAnsi="仿宋" w:eastAsia="仿宋" w:cs="宋体"/>
          <w:color w:val="auto"/>
          <w:kern w:val="0"/>
          <w:sz w:val="24"/>
          <w:szCs w:val="24"/>
          <w:highlight w:val="none"/>
        </w:rPr>
      </w:pPr>
      <w:r>
        <w:rPr>
          <w:rFonts w:ascii="仿宋" w:hAnsi="仿宋" w:eastAsia="仿宋" w:cs="宋体"/>
          <w:color w:val="auto"/>
          <w:kern w:val="0"/>
          <w:sz w:val="24"/>
          <w:szCs w:val="24"/>
          <w:highlight w:val="none"/>
        </w:rPr>
        <w:t>3.3.3</w:t>
      </w:r>
      <w:r>
        <w:rPr>
          <w:rFonts w:hint="eastAsia" w:ascii="仿宋" w:hAnsi="仿宋" w:eastAsia="仿宋" w:cs="宋体"/>
          <w:color w:val="auto"/>
          <w:kern w:val="0"/>
          <w:sz w:val="24"/>
          <w:szCs w:val="24"/>
          <w:highlight w:val="none"/>
        </w:rPr>
        <w:t>除招标文件另有规定外，投标人对每种货物或服务只允许有一个报价，招标人不接受有任何选择的报价。</w:t>
      </w:r>
    </w:p>
    <w:p w14:paraId="63EF7A92">
      <w:pPr>
        <w:pageBreakBefore w:val="0"/>
        <w:widowControl/>
        <w:kinsoku/>
        <w:overflowPunct/>
        <w:topLinePunct/>
        <w:bidi w:val="0"/>
        <w:spacing w:line="600" w:lineRule="exact"/>
        <w:ind w:firstLine="480" w:firstLineChars="200"/>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3.3.</w:t>
      </w:r>
      <w:r>
        <w:rPr>
          <w:rFonts w:ascii="仿宋" w:hAnsi="仿宋" w:eastAsia="仿宋" w:cs="宋体"/>
          <w:color w:val="auto"/>
          <w:kern w:val="0"/>
          <w:sz w:val="24"/>
          <w:szCs w:val="24"/>
          <w:highlight w:val="none"/>
        </w:rPr>
        <w:t>4</w:t>
      </w:r>
      <w:r>
        <w:rPr>
          <w:rFonts w:hint="eastAsia" w:ascii="仿宋" w:hAnsi="仿宋" w:eastAsia="仿宋" w:cs="宋体"/>
          <w:color w:val="auto"/>
          <w:kern w:val="0"/>
          <w:sz w:val="24"/>
          <w:szCs w:val="24"/>
          <w:highlight w:val="none"/>
        </w:rPr>
        <w:t>招标人设有最高投标限价的，投标人的投标报价不得超过最高投标限价，否则其投标将被否决。最高投标限价或者其计算方法见投标人须知前附表。</w:t>
      </w:r>
    </w:p>
    <w:p w14:paraId="6EA929C9">
      <w:pPr>
        <w:pageBreakBefore w:val="0"/>
        <w:widowControl/>
        <w:kinsoku/>
        <w:overflowPunct/>
        <w:topLinePunct/>
        <w:bidi w:val="0"/>
        <w:spacing w:line="600" w:lineRule="exact"/>
        <w:ind w:firstLine="480" w:firstLineChars="200"/>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3.3.</w:t>
      </w:r>
      <w:r>
        <w:rPr>
          <w:rFonts w:ascii="仿宋" w:hAnsi="仿宋" w:eastAsia="仿宋" w:cs="宋体"/>
          <w:color w:val="auto"/>
          <w:kern w:val="0"/>
          <w:sz w:val="24"/>
          <w:szCs w:val="24"/>
          <w:highlight w:val="none"/>
        </w:rPr>
        <w:t>5</w:t>
      </w:r>
      <w:r>
        <w:rPr>
          <w:rFonts w:hint="eastAsia" w:ascii="仿宋" w:hAnsi="仿宋" w:eastAsia="仿宋" w:cs="宋体"/>
          <w:color w:val="auto"/>
          <w:kern w:val="0"/>
          <w:sz w:val="24"/>
          <w:szCs w:val="24"/>
          <w:highlight w:val="none"/>
        </w:rPr>
        <w:t xml:space="preserve">投标报价的具体要求见投标人须知前附表。 </w:t>
      </w:r>
    </w:p>
    <w:p w14:paraId="49BDBCC0">
      <w:pPr>
        <w:pStyle w:val="5"/>
        <w:pageBreakBefore w:val="0"/>
        <w:kinsoku/>
        <w:overflowPunct/>
        <w:bidi w:val="0"/>
        <w:spacing w:line="600" w:lineRule="exact"/>
        <w:ind w:firstLine="0" w:firstLineChars="0"/>
        <w:rPr>
          <w:rFonts w:ascii="仿宋" w:hAnsi="仿宋" w:cs="宋体"/>
          <w:color w:val="auto"/>
          <w:highlight w:val="none"/>
        </w:rPr>
      </w:pPr>
      <w:bookmarkStart w:id="217" w:name="_Toc3831"/>
      <w:bookmarkStart w:id="218" w:name="_Toc60224340"/>
      <w:bookmarkStart w:id="219" w:name="_Toc10829"/>
      <w:bookmarkStart w:id="220" w:name="_Toc71191973"/>
      <w:bookmarkStart w:id="221" w:name="_Toc109124254"/>
      <w:r>
        <w:rPr>
          <w:rFonts w:ascii="仿宋" w:hAnsi="仿宋" w:cs="宋体"/>
          <w:color w:val="auto"/>
          <w:highlight w:val="none"/>
        </w:rPr>
        <w:t xml:space="preserve">3.4 </w:t>
      </w:r>
      <w:bookmarkEnd w:id="202"/>
      <w:bookmarkEnd w:id="203"/>
      <w:bookmarkEnd w:id="204"/>
      <w:bookmarkEnd w:id="205"/>
      <w:bookmarkEnd w:id="206"/>
      <w:bookmarkEnd w:id="207"/>
      <w:bookmarkEnd w:id="208"/>
      <w:bookmarkEnd w:id="209"/>
      <w:bookmarkEnd w:id="210"/>
      <w:bookmarkEnd w:id="211"/>
      <w:r>
        <w:rPr>
          <w:rFonts w:ascii="仿宋" w:hAnsi="仿宋" w:cs="宋体"/>
          <w:color w:val="auto"/>
          <w:highlight w:val="none"/>
        </w:rPr>
        <w:t>投标有效期</w:t>
      </w:r>
      <w:bookmarkEnd w:id="217"/>
      <w:bookmarkEnd w:id="218"/>
      <w:bookmarkEnd w:id="219"/>
      <w:bookmarkEnd w:id="220"/>
      <w:bookmarkEnd w:id="221"/>
    </w:p>
    <w:p w14:paraId="419AD8AF">
      <w:pPr>
        <w:pageBreakBefore w:val="0"/>
        <w:widowControl/>
        <w:kinsoku/>
        <w:overflowPunct/>
        <w:topLinePunct/>
        <w:bidi w:val="0"/>
        <w:spacing w:line="600" w:lineRule="exact"/>
        <w:ind w:firstLine="480" w:firstLineChars="200"/>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3.4.1投标有效期从提交投标文件的截止之日起算，投标有效期的具体时间见投标人须知前附表。投标人承诺的投标有效期必须不短于招标文件规定的投标有效期，否则将构成对招标文件的非实质性响应，投标将被否决。</w:t>
      </w:r>
    </w:p>
    <w:p w14:paraId="5E37A8E6">
      <w:pPr>
        <w:pageBreakBefore w:val="0"/>
        <w:widowControl/>
        <w:kinsoku/>
        <w:overflowPunct/>
        <w:topLinePunct/>
        <w:bidi w:val="0"/>
        <w:spacing w:line="600" w:lineRule="exact"/>
        <w:ind w:firstLine="480" w:firstLineChars="200"/>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3.4.2在原投标有效期结束前，出现特殊情况的，招标人可以书面形式要求所有投标人延长投标有效期。投标人同意延长的，不得要求或被允许修改其投标文件的实质性内容</w:t>
      </w:r>
      <w:r>
        <w:rPr>
          <w:rFonts w:hint="eastAsia" w:ascii="仿宋" w:hAnsi="仿宋" w:eastAsia="仿宋" w:cs="宋体"/>
          <w:color w:val="auto"/>
          <w:kern w:val="0"/>
          <w:sz w:val="24"/>
          <w:szCs w:val="24"/>
          <w:highlight w:val="none"/>
          <w:lang w:eastAsia="zh-CN"/>
        </w:rPr>
        <w:t>。</w:t>
      </w:r>
      <w:r>
        <w:rPr>
          <w:rFonts w:hint="eastAsia" w:ascii="仿宋" w:hAnsi="仿宋" w:eastAsia="仿宋" w:cs="宋体"/>
          <w:color w:val="auto"/>
          <w:kern w:val="0"/>
          <w:sz w:val="24"/>
          <w:szCs w:val="24"/>
          <w:highlight w:val="none"/>
        </w:rPr>
        <w:t>投标人拒绝延长投标有效期的，其投标失效。</w:t>
      </w:r>
    </w:p>
    <w:p w14:paraId="5302972C">
      <w:pPr>
        <w:pStyle w:val="5"/>
        <w:pageBreakBefore w:val="0"/>
        <w:kinsoku/>
        <w:overflowPunct/>
        <w:bidi w:val="0"/>
        <w:spacing w:line="600" w:lineRule="exact"/>
        <w:ind w:firstLine="0" w:firstLineChars="0"/>
        <w:rPr>
          <w:rFonts w:ascii="仿宋" w:hAnsi="仿宋" w:cs="宋体"/>
          <w:color w:val="auto"/>
          <w:highlight w:val="none"/>
        </w:rPr>
      </w:pPr>
      <w:bookmarkStart w:id="222" w:name="_Toc144974518"/>
      <w:bookmarkStart w:id="223" w:name="_Toc152045550"/>
      <w:bookmarkStart w:id="224" w:name="_Toc71191974"/>
      <w:bookmarkStart w:id="225" w:name="_Toc179632568"/>
      <w:bookmarkStart w:id="226" w:name="_Toc6186"/>
      <w:bookmarkStart w:id="227" w:name="_Toc60224341"/>
      <w:bookmarkStart w:id="228" w:name="_Toc246996938"/>
      <w:bookmarkStart w:id="229" w:name="_Toc247085709"/>
      <w:bookmarkStart w:id="230" w:name="_Toc109124255"/>
      <w:bookmarkStart w:id="231" w:name="_Toc246996195"/>
      <w:bookmarkStart w:id="232" w:name="_Toc326223555"/>
      <w:bookmarkStart w:id="233" w:name="_Toc334766942"/>
      <w:bookmarkStart w:id="234" w:name="_Toc332188188"/>
      <w:bookmarkStart w:id="235" w:name="_Toc152042326"/>
      <w:bookmarkStart w:id="236" w:name="_Toc7184"/>
      <w:r>
        <w:rPr>
          <w:rFonts w:ascii="仿宋" w:hAnsi="仿宋" w:cs="宋体"/>
          <w:color w:val="auto"/>
          <w:highlight w:val="none"/>
        </w:rPr>
        <w:t>3.5 投标保证金</w:t>
      </w:r>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p>
    <w:p w14:paraId="1E21FB7C">
      <w:pPr>
        <w:pageBreakBefore w:val="0"/>
        <w:widowControl/>
        <w:kinsoku/>
        <w:overflowPunct/>
        <w:topLinePunct/>
        <w:bidi w:val="0"/>
        <w:spacing w:line="600" w:lineRule="exact"/>
        <w:ind w:firstLine="480" w:firstLineChars="200"/>
        <w:rPr>
          <w:rFonts w:hint="eastAsia" w:ascii="仿宋" w:hAnsi="仿宋" w:eastAsia="仿宋" w:cs="宋体"/>
          <w:color w:val="auto"/>
          <w:kern w:val="0"/>
          <w:sz w:val="24"/>
          <w:szCs w:val="24"/>
          <w:highlight w:val="none"/>
        </w:rPr>
      </w:pPr>
      <w:bookmarkStart w:id="237" w:name="_Hlk112074683"/>
      <w:bookmarkStart w:id="238" w:name="_Toc152042328"/>
      <w:bookmarkStart w:id="239" w:name="_Toc246996939"/>
      <w:bookmarkStart w:id="240" w:name="_Toc152045552"/>
      <w:bookmarkStart w:id="241" w:name="_Toc179632570"/>
      <w:bookmarkStart w:id="242" w:name="_Toc334766943"/>
      <w:bookmarkStart w:id="243" w:name="_Toc144974520"/>
      <w:bookmarkStart w:id="244" w:name="_Toc326223556"/>
      <w:bookmarkStart w:id="245" w:name="_Toc246996196"/>
      <w:bookmarkStart w:id="246" w:name="_Toc247085710"/>
      <w:bookmarkStart w:id="247" w:name="_Toc332188189"/>
      <w:r>
        <w:rPr>
          <w:rFonts w:hint="eastAsia" w:ascii="仿宋" w:hAnsi="仿宋" w:eastAsia="仿宋" w:cs="宋体"/>
          <w:color w:val="auto"/>
          <w:kern w:val="0"/>
          <w:sz w:val="24"/>
          <w:szCs w:val="24"/>
          <w:highlight w:val="none"/>
        </w:rPr>
        <w:t>3.5.1招标人要求投标人提交投标保证金的，投标保证金不得超过招标项目估算价的2%，且不超过人民币8</w:t>
      </w:r>
      <w:r>
        <w:rPr>
          <w:rFonts w:ascii="仿宋" w:hAnsi="仿宋" w:eastAsia="仿宋" w:cs="宋体"/>
          <w:color w:val="auto"/>
          <w:kern w:val="0"/>
          <w:sz w:val="24"/>
          <w:szCs w:val="24"/>
          <w:highlight w:val="none"/>
        </w:rPr>
        <w:t>0</w:t>
      </w:r>
      <w:r>
        <w:rPr>
          <w:rFonts w:hint="eastAsia" w:ascii="仿宋" w:hAnsi="仿宋" w:eastAsia="仿宋" w:cs="宋体"/>
          <w:color w:val="auto"/>
          <w:kern w:val="0"/>
          <w:sz w:val="24"/>
          <w:szCs w:val="24"/>
          <w:highlight w:val="none"/>
        </w:rPr>
        <w:t>万元。投标保证金有效期与投标有效期一致。本招标项目的投标保证金金额、形式见投标人须知前附表。</w:t>
      </w:r>
    </w:p>
    <w:p w14:paraId="34781465">
      <w:pPr>
        <w:pageBreakBefore w:val="0"/>
        <w:widowControl/>
        <w:kinsoku/>
        <w:overflowPunct/>
        <w:topLinePunct/>
        <w:bidi w:val="0"/>
        <w:spacing w:line="600" w:lineRule="exact"/>
        <w:ind w:firstLine="480" w:firstLineChars="200"/>
        <w:rPr>
          <w:rFonts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3.5.2</w:t>
      </w:r>
      <w:bookmarkStart w:id="248" w:name="_Hlk142926284"/>
      <w:r>
        <w:rPr>
          <w:rFonts w:hint="eastAsia" w:ascii="仿宋" w:hAnsi="仿宋" w:eastAsia="仿宋" w:cs="宋体"/>
          <w:color w:val="auto"/>
          <w:kern w:val="0"/>
          <w:sz w:val="24"/>
          <w:szCs w:val="24"/>
          <w:highlight w:val="none"/>
        </w:rPr>
        <w:t>投标人或中标人出现下列行为之一，投标保证金不予退还：</w:t>
      </w:r>
    </w:p>
    <w:p w14:paraId="5FE2EB58">
      <w:pPr>
        <w:pageBreakBefore w:val="0"/>
        <w:widowControl/>
        <w:kinsoku/>
        <w:overflowPunct/>
        <w:topLinePunct/>
        <w:bidi w:val="0"/>
        <w:spacing w:line="600" w:lineRule="exact"/>
        <w:ind w:firstLine="480" w:firstLineChars="200"/>
        <w:rPr>
          <w:rFonts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（1）投标人在投标截止后至投标有效期期满前,要求撤回已递交的投标文件；</w:t>
      </w:r>
    </w:p>
    <w:p w14:paraId="2F570196">
      <w:pPr>
        <w:pageBreakBefore w:val="0"/>
        <w:widowControl/>
        <w:kinsoku/>
        <w:overflowPunct/>
        <w:topLinePunct/>
        <w:bidi w:val="0"/>
        <w:spacing w:line="600" w:lineRule="exact"/>
        <w:ind w:firstLine="480" w:firstLineChars="200"/>
        <w:rPr>
          <w:rFonts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（2）中标后放弃中标的；</w:t>
      </w:r>
    </w:p>
    <w:p w14:paraId="1AAC2780">
      <w:pPr>
        <w:pageBreakBefore w:val="0"/>
        <w:widowControl/>
        <w:kinsoku/>
        <w:overflowPunct/>
        <w:topLinePunct/>
        <w:bidi w:val="0"/>
        <w:spacing w:line="600" w:lineRule="exact"/>
        <w:ind w:firstLine="480" w:firstLineChars="200"/>
        <w:rPr>
          <w:rFonts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（3）中标或成交后无正当理由不与招标人订立合同的；</w:t>
      </w:r>
    </w:p>
    <w:p w14:paraId="0AF758C7">
      <w:pPr>
        <w:pageBreakBefore w:val="0"/>
        <w:widowControl/>
        <w:kinsoku/>
        <w:overflowPunct/>
        <w:topLinePunct/>
        <w:bidi w:val="0"/>
        <w:spacing w:line="600" w:lineRule="exact"/>
        <w:ind w:firstLine="480" w:firstLineChars="200"/>
        <w:rPr>
          <w:rFonts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（4）中标人在签订合同时向招标人提出附加条件或要求变更实质性合同条款的；</w:t>
      </w:r>
    </w:p>
    <w:p w14:paraId="660BBCD5">
      <w:pPr>
        <w:pageBreakBefore w:val="0"/>
        <w:widowControl/>
        <w:kinsoku/>
        <w:overflowPunct/>
        <w:topLinePunct/>
        <w:bidi w:val="0"/>
        <w:spacing w:line="600" w:lineRule="exact"/>
        <w:ind w:firstLine="480" w:firstLineChars="200"/>
        <w:rPr>
          <w:rFonts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（5）中标人不按照招标文件要求提交履约保证金的；</w:t>
      </w:r>
    </w:p>
    <w:p w14:paraId="524881CE">
      <w:pPr>
        <w:pageBreakBefore w:val="0"/>
        <w:widowControl/>
        <w:kinsoku/>
        <w:overflowPunct/>
        <w:topLinePunct/>
        <w:bidi w:val="0"/>
        <w:spacing w:line="600" w:lineRule="exact"/>
        <w:ind w:firstLine="480" w:firstLineChars="200"/>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（6）投标人有恶意欺诈、弄虚作假、围标串标、哄抬标价、徇私行贿等法律法规中所列违规行为的。</w:t>
      </w:r>
    </w:p>
    <w:bookmarkEnd w:id="237"/>
    <w:bookmarkEnd w:id="248"/>
    <w:p w14:paraId="1342ED54">
      <w:pPr>
        <w:pStyle w:val="5"/>
        <w:pageBreakBefore w:val="0"/>
        <w:kinsoku/>
        <w:overflowPunct/>
        <w:bidi w:val="0"/>
        <w:spacing w:line="600" w:lineRule="exact"/>
        <w:ind w:firstLine="0" w:firstLineChars="0"/>
        <w:rPr>
          <w:rFonts w:ascii="仿宋" w:hAnsi="仿宋" w:cs="宋体"/>
          <w:color w:val="auto"/>
          <w:highlight w:val="none"/>
        </w:rPr>
      </w:pPr>
      <w:bookmarkStart w:id="249" w:name="_Toc30245"/>
      <w:bookmarkStart w:id="250" w:name="_Toc71191975"/>
      <w:bookmarkStart w:id="251" w:name="_Toc30161"/>
      <w:bookmarkStart w:id="252" w:name="_Toc60224342"/>
      <w:bookmarkStart w:id="253" w:name="_Toc109124256"/>
      <w:r>
        <w:rPr>
          <w:rFonts w:ascii="仿宋" w:hAnsi="仿宋" w:cs="宋体"/>
          <w:color w:val="auto"/>
          <w:highlight w:val="none"/>
        </w:rPr>
        <w:t xml:space="preserve">3.6 </w:t>
      </w:r>
      <w:bookmarkEnd w:id="238"/>
      <w:bookmarkEnd w:id="239"/>
      <w:bookmarkEnd w:id="240"/>
      <w:bookmarkEnd w:id="241"/>
      <w:bookmarkEnd w:id="242"/>
      <w:bookmarkEnd w:id="243"/>
      <w:bookmarkEnd w:id="244"/>
      <w:bookmarkEnd w:id="245"/>
      <w:bookmarkEnd w:id="246"/>
      <w:bookmarkEnd w:id="247"/>
      <w:r>
        <w:rPr>
          <w:rFonts w:ascii="仿宋" w:hAnsi="仿宋" w:cs="宋体"/>
          <w:color w:val="auto"/>
          <w:highlight w:val="none"/>
        </w:rPr>
        <w:t>备选投标方案</w:t>
      </w:r>
      <w:bookmarkEnd w:id="249"/>
      <w:bookmarkEnd w:id="250"/>
      <w:bookmarkEnd w:id="251"/>
      <w:bookmarkEnd w:id="252"/>
      <w:bookmarkEnd w:id="253"/>
    </w:p>
    <w:p w14:paraId="32B3B755">
      <w:pPr>
        <w:pageBreakBefore w:val="0"/>
        <w:widowControl/>
        <w:kinsoku/>
        <w:overflowPunct/>
        <w:topLinePunct/>
        <w:bidi w:val="0"/>
        <w:spacing w:line="600" w:lineRule="exact"/>
        <w:ind w:firstLine="480" w:firstLineChars="200"/>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招标人可以要求投标人在提交符合招标文件规定要求的投标文件外，提交备选投标方案，但应当在招标文件中做出说明，并提出相应的评审和比较办法。除投标人须知前附表另有规定外，投标人不得递交备选投标方案。</w:t>
      </w:r>
    </w:p>
    <w:p w14:paraId="296EEF9C">
      <w:pPr>
        <w:pStyle w:val="5"/>
        <w:pageBreakBefore w:val="0"/>
        <w:kinsoku/>
        <w:overflowPunct/>
        <w:bidi w:val="0"/>
        <w:spacing w:line="600" w:lineRule="exact"/>
        <w:ind w:firstLine="0" w:firstLineChars="0"/>
        <w:rPr>
          <w:rFonts w:ascii="仿宋" w:hAnsi="仿宋" w:cs="宋体"/>
          <w:color w:val="auto"/>
          <w:highlight w:val="none"/>
        </w:rPr>
      </w:pPr>
      <w:bookmarkStart w:id="254" w:name="_Toc334766944"/>
      <w:bookmarkStart w:id="255" w:name="_Toc332188190"/>
      <w:bookmarkStart w:id="256" w:name="_Toc326223557"/>
      <w:bookmarkStart w:id="257" w:name="_Toc4921"/>
      <w:bookmarkStart w:id="258" w:name="_Toc109124257"/>
      <w:bookmarkStart w:id="259" w:name="_Toc71191976"/>
      <w:bookmarkStart w:id="260" w:name="_Toc60224343"/>
      <w:bookmarkStart w:id="261" w:name="_Toc24967"/>
      <w:r>
        <w:rPr>
          <w:rFonts w:ascii="仿宋" w:hAnsi="仿宋" w:cs="宋体"/>
          <w:color w:val="auto"/>
          <w:highlight w:val="none"/>
        </w:rPr>
        <w:t xml:space="preserve">3.7 </w:t>
      </w:r>
      <w:bookmarkEnd w:id="254"/>
      <w:bookmarkEnd w:id="255"/>
      <w:bookmarkEnd w:id="256"/>
      <w:r>
        <w:rPr>
          <w:rFonts w:ascii="仿宋" w:hAnsi="仿宋" w:cs="宋体"/>
          <w:color w:val="auto"/>
          <w:highlight w:val="none"/>
        </w:rPr>
        <w:t>纸质投标文件的式样、密封和标记</w:t>
      </w:r>
      <w:bookmarkEnd w:id="257"/>
      <w:bookmarkEnd w:id="258"/>
      <w:bookmarkEnd w:id="259"/>
      <w:bookmarkEnd w:id="260"/>
      <w:bookmarkEnd w:id="261"/>
    </w:p>
    <w:p w14:paraId="08E98259">
      <w:pPr>
        <w:pageBreakBefore w:val="0"/>
        <w:widowControl/>
        <w:kinsoku/>
        <w:overflowPunct/>
        <w:topLinePunct/>
        <w:bidi w:val="0"/>
        <w:spacing w:line="600" w:lineRule="exact"/>
        <w:ind w:firstLine="480" w:firstLineChars="200"/>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3.7.1 投标人应当编制一份投标文件“正本”和投标人须知前附表所述份数的“副本”和“电子版”，副本为正本复印件。电子文件与</w:t>
      </w:r>
      <w:r>
        <w:rPr>
          <w:rFonts w:ascii="仿宋" w:hAnsi="仿宋" w:eastAsia="仿宋" w:cs="宋体"/>
          <w:color w:val="auto"/>
          <w:kern w:val="0"/>
          <w:sz w:val="24"/>
          <w:szCs w:val="24"/>
          <w:highlight w:val="none"/>
        </w:rPr>
        <w:t>纸质</w:t>
      </w:r>
      <w:r>
        <w:rPr>
          <w:rFonts w:hint="eastAsia" w:ascii="仿宋" w:hAnsi="仿宋" w:eastAsia="仿宋" w:cs="宋体"/>
          <w:color w:val="auto"/>
          <w:kern w:val="0"/>
          <w:sz w:val="24"/>
          <w:szCs w:val="24"/>
          <w:highlight w:val="none"/>
        </w:rPr>
        <w:t>文件不一致时，以</w:t>
      </w:r>
      <w:r>
        <w:rPr>
          <w:rFonts w:hint="eastAsia" w:ascii="仿宋" w:hAnsi="仿宋" w:eastAsia="仿宋" w:cs="宋体"/>
          <w:b/>
          <w:bCs/>
          <w:color w:val="auto"/>
          <w:kern w:val="0"/>
          <w:sz w:val="24"/>
          <w:szCs w:val="24"/>
          <w:highlight w:val="none"/>
        </w:rPr>
        <w:t>电子文件</w:t>
      </w:r>
      <w:r>
        <w:rPr>
          <w:rFonts w:hint="eastAsia" w:ascii="仿宋" w:hAnsi="仿宋" w:eastAsia="仿宋" w:cs="宋体"/>
          <w:color w:val="auto"/>
          <w:kern w:val="0"/>
          <w:sz w:val="24"/>
          <w:szCs w:val="24"/>
          <w:highlight w:val="none"/>
        </w:rPr>
        <w:t>为准，纸质文件正本与副本不一致时，以正本为准。</w:t>
      </w:r>
    </w:p>
    <w:p w14:paraId="0E63D8C2">
      <w:pPr>
        <w:pageBreakBefore w:val="0"/>
        <w:widowControl/>
        <w:kinsoku/>
        <w:overflowPunct/>
        <w:topLinePunct/>
        <w:bidi w:val="0"/>
        <w:spacing w:line="600" w:lineRule="exact"/>
        <w:ind w:firstLine="480" w:firstLineChars="200"/>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3.7.2 投标文件的正本、副本应当分别装订，并于封面上明确标明“正本”“副本”字样。</w:t>
      </w:r>
    </w:p>
    <w:p w14:paraId="4D666E23">
      <w:pPr>
        <w:pageBreakBefore w:val="0"/>
        <w:widowControl/>
        <w:kinsoku/>
        <w:overflowPunct/>
        <w:topLinePunct/>
        <w:bidi w:val="0"/>
        <w:spacing w:line="600" w:lineRule="exact"/>
        <w:ind w:firstLine="480" w:firstLineChars="200"/>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3.7.3 纸质投标文件应当按照招标文件规定密封包装，外层包封应当写明招标人名称、地址、项目名称、招标编号以及投标人的名称、地址、邮政编码等信息，明确标明“正本”“副本”字样，注明“开标时间以前不得开封”。招标人对于纸质投标文件密封、标记另有要求的，见投标人须知前附表。</w:t>
      </w:r>
    </w:p>
    <w:p w14:paraId="073380DD">
      <w:pPr>
        <w:pStyle w:val="5"/>
        <w:pageBreakBefore w:val="0"/>
        <w:kinsoku/>
        <w:overflowPunct/>
        <w:bidi w:val="0"/>
        <w:spacing w:line="600" w:lineRule="exact"/>
        <w:ind w:firstLine="0" w:firstLineChars="0"/>
        <w:rPr>
          <w:rFonts w:ascii="仿宋" w:hAnsi="仿宋" w:cs="宋体"/>
          <w:color w:val="auto"/>
          <w:highlight w:val="none"/>
        </w:rPr>
      </w:pPr>
      <w:bookmarkStart w:id="262" w:name="_Toc109124258"/>
      <w:bookmarkStart w:id="263" w:name="_Toc32531"/>
      <w:bookmarkStart w:id="264" w:name="_Toc19897"/>
      <w:bookmarkStart w:id="265" w:name="_Toc71191977"/>
      <w:bookmarkStart w:id="266" w:name="_Toc60224344"/>
      <w:bookmarkStart w:id="267" w:name="_Toc247085711"/>
      <w:bookmarkStart w:id="268" w:name="_Toc179632571"/>
      <w:bookmarkStart w:id="269" w:name="_Toc152042329"/>
      <w:bookmarkStart w:id="270" w:name="_Toc152045553"/>
      <w:bookmarkStart w:id="271" w:name="_Toc246996940"/>
      <w:bookmarkStart w:id="272" w:name="_Toc246996197"/>
      <w:bookmarkStart w:id="273" w:name="_Toc144974521"/>
      <w:r>
        <w:rPr>
          <w:rFonts w:ascii="仿宋" w:hAnsi="仿宋" w:cs="宋体"/>
          <w:color w:val="auto"/>
          <w:highlight w:val="none"/>
        </w:rPr>
        <w:t>3.8 电子招投标的投标文件上传形式</w:t>
      </w:r>
      <w:bookmarkEnd w:id="262"/>
      <w:bookmarkEnd w:id="263"/>
      <w:bookmarkEnd w:id="264"/>
      <w:bookmarkEnd w:id="265"/>
      <w:bookmarkEnd w:id="266"/>
    </w:p>
    <w:p w14:paraId="53AFC751">
      <w:pPr>
        <w:pageBreakBefore w:val="0"/>
        <w:kinsoku/>
        <w:overflowPunct/>
        <w:bidi w:val="0"/>
        <w:spacing w:line="600" w:lineRule="exact"/>
        <w:ind w:firstLine="480" w:firstLineChars="200"/>
        <w:textAlignment w:val="baseline"/>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投标文件应当按照投标人须知前附表要求的形式上传。</w:t>
      </w:r>
    </w:p>
    <w:bookmarkEnd w:id="267"/>
    <w:bookmarkEnd w:id="268"/>
    <w:bookmarkEnd w:id="269"/>
    <w:bookmarkEnd w:id="270"/>
    <w:bookmarkEnd w:id="271"/>
    <w:bookmarkEnd w:id="272"/>
    <w:bookmarkEnd w:id="273"/>
    <w:p w14:paraId="01378E85">
      <w:pPr>
        <w:pStyle w:val="4"/>
        <w:pageBreakBefore w:val="0"/>
        <w:kinsoku/>
        <w:overflowPunct/>
        <w:bidi w:val="0"/>
        <w:spacing w:line="600" w:lineRule="exact"/>
        <w:rPr>
          <w:rFonts w:hint="eastAsia"/>
          <w:color w:val="auto"/>
          <w:highlight w:val="none"/>
        </w:rPr>
      </w:pPr>
      <w:bookmarkStart w:id="274" w:name="_Toc152045555"/>
      <w:bookmarkStart w:id="275" w:name="_Toc247085713"/>
      <w:bookmarkStart w:id="276" w:name="_Toc144974523"/>
      <w:bookmarkStart w:id="277" w:name="_Toc152042331"/>
      <w:bookmarkStart w:id="278" w:name="_Toc246996199"/>
      <w:bookmarkStart w:id="279" w:name="_Toc246996942"/>
      <w:bookmarkStart w:id="280" w:name="_Toc109124259"/>
      <w:bookmarkStart w:id="281" w:name="_Toc28146"/>
      <w:bookmarkStart w:id="282" w:name="_Toc179632573"/>
      <w:bookmarkStart w:id="283" w:name="_Toc30810"/>
      <w:r>
        <w:rPr>
          <w:rFonts w:hint="eastAsia"/>
          <w:color w:val="auto"/>
          <w:highlight w:val="none"/>
        </w:rPr>
        <w:t>4.投标</w:t>
      </w:r>
      <w:bookmarkEnd w:id="274"/>
      <w:bookmarkEnd w:id="275"/>
      <w:bookmarkEnd w:id="276"/>
      <w:bookmarkEnd w:id="277"/>
      <w:bookmarkEnd w:id="278"/>
      <w:bookmarkEnd w:id="279"/>
      <w:bookmarkEnd w:id="280"/>
      <w:bookmarkEnd w:id="281"/>
      <w:bookmarkEnd w:id="282"/>
      <w:bookmarkEnd w:id="283"/>
    </w:p>
    <w:p w14:paraId="3D6A163F">
      <w:pPr>
        <w:pStyle w:val="5"/>
        <w:pageBreakBefore w:val="0"/>
        <w:kinsoku/>
        <w:overflowPunct/>
        <w:bidi w:val="0"/>
        <w:spacing w:line="600" w:lineRule="exact"/>
        <w:ind w:firstLine="0" w:firstLineChars="0"/>
        <w:rPr>
          <w:rFonts w:ascii="仿宋" w:hAnsi="仿宋" w:cs="宋体"/>
          <w:color w:val="auto"/>
          <w:highlight w:val="none"/>
        </w:rPr>
      </w:pPr>
      <w:bookmarkStart w:id="284" w:name="_Toc152042332"/>
      <w:bookmarkStart w:id="285" w:name="_Toc247085714"/>
      <w:bookmarkStart w:id="286" w:name="_Toc334766946"/>
      <w:bookmarkStart w:id="287" w:name="_Toc144974524"/>
      <w:bookmarkStart w:id="288" w:name="_Toc179632574"/>
      <w:bookmarkStart w:id="289" w:name="_Toc152045556"/>
      <w:bookmarkStart w:id="290" w:name="_Toc332188192"/>
      <w:bookmarkStart w:id="291" w:name="_Toc326223559"/>
      <w:bookmarkStart w:id="292" w:name="_Toc246996200"/>
      <w:bookmarkStart w:id="293" w:name="_Toc246996943"/>
      <w:bookmarkStart w:id="294" w:name="_Toc20297"/>
      <w:bookmarkStart w:id="295" w:name="_Toc31475"/>
      <w:bookmarkStart w:id="296" w:name="_Toc109124260"/>
      <w:bookmarkStart w:id="297" w:name="_Toc60224346"/>
      <w:bookmarkStart w:id="298" w:name="_Toc71191979"/>
      <w:r>
        <w:rPr>
          <w:rFonts w:ascii="仿宋" w:hAnsi="仿宋" w:cs="宋体"/>
          <w:color w:val="auto"/>
          <w:highlight w:val="none"/>
        </w:rPr>
        <w:t xml:space="preserve">4.1 </w:t>
      </w:r>
      <w:bookmarkEnd w:id="284"/>
      <w:bookmarkEnd w:id="285"/>
      <w:bookmarkEnd w:id="286"/>
      <w:bookmarkEnd w:id="287"/>
      <w:bookmarkEnd w:id="288"/>
      <w:bookmarkEnd w:id="289"/>
      <w:bookmarkEnd w:id="290"/>
      <w:bookmarkEnd w:id="291"/>
      <w:bookmarkEnd w:id="292"/>
      <w:bookmarkEnd w:id="293"/>
      <w:r>
        <w:rPr>
          <w:rFonts w:ascii="仿宋" w:hAnsi="仿宋" w:cs="宋体"/>
          <w:color w:val="auto"/>
          <w:highlight w:val="none"/>
        </w:rPr>
        <w:t>投标文件的递交</w:t>
      </w:r>
      <w:bookmarkEnd w:id="294"/>
      <w:bookmarkEnd w:id="295"/>
      <w:bookmarkEnd w:id="296"/>
      <w:bookmarkEnd w:id="297"/>
      <w:bookmarkEnd w:id="298"/>
    </w:p>
    <w:p w14:paraId="35069440">
      <w:pPr>
        <w:pageBreakBefore w:val="0"/>
        <w:kinsoku/>
        <w:overflowPunct/>
        <w:bidi w:val="0"/>
        <w:spacing w:line="600" w:lineRule="exact"/>
        <w:ind w:firstLine="480" w:firstLineChars="200"/>
        <w:textAlignment w:val="baseline"/>
        <w:rPr>
          <w:rFonts w:hint="eastAsia"/>
          <w:b/>
          <w:bCs/>
          <w:color w:val="auto"/>
          <w:highlight w:val="none"/>
        </w:rPr>
      </w:pPr>
      <w:bookmarkStart w:id="299" w:name="_Toc326223560"/>
      <w:bookmarkStart w:id="300" w:name="_Toc144974525"/>
      <w:bookmarkStart w:id="301" w:name="_Toc152042333"/>
      <w:bookmarkStart w:id="302" w:name="_Toc334766947"/>
      <w:bookmarkStart w:id="303" w:name="_Toc152045557"/>
      <w:bookmarkStart w:id="304" w:name="_Toc179632575"/>
      <w:bookmarkStart w:id="305" w:name="_Toc246996201"/>
      <w:bookmarkStart w:id="306" w:name="_Toc247085715"/>
      <w:bookmarkStart w:id="307" w:name="_Toc246996944"/>
      <w:bookmarkStart w:id="308" w:name="_Toc332188193"/>
      <w:r>
        <w:rPr>
          <w:rFonts w:hint="eastAsia" w:ascii="仿宋" w:hAnsi="仿宋" w:eastAsia="仿宋" w:cs="宋体"/>
          <w:color w:val="auto"/>
          <w:kern w:val="0"/>
          <w:sz w:val="24"/>
          <w:szCs w:val="24"/>
          <w:highlight w:val="none"/>
        </w:rPr>
        <w:t>4.1.1递交</w:t>
      </w:r>
      <w:r>
        <w:rPr>
          <w:rFonts w:hint="eastAsia" w:ascii="仿宋" w:hAnsi="仿宋" w:eastAsia="仿宋" w:cs="宋体"/>
          <w:color w:val="auto"/>
          <w:sz w:val="24"/>
          <w:szCs w:val="24"/>
          <w:highlight w:val="none"/>
        </w:rPr>
        <w:t>投标文件的截止时间、递交地点、递交方式及要求见第一章招标公告。</w:t>
      </w:r>
    </w:p>
    <w:p w14:paraId="6826DB2B">
      <w:pPr>
        <w:pageBreakBefore w:val="0"/>
        <w:widowControl/>
        <w:kinsoku/>
        <w:overflowPunct/>
        <w:topLinePunct/>
        <w:bidi w:val="0"/>
        <w:spacing w:line="600" w:lineRule="exact"/>
        <w:ind w:firstLine="464" w:firstLineChars="200"/>
        <w:rPr>
          <w:rFonts w:hint="eastAsia" w:ascii="仿宋" w:hAnsi="仿宋" w:eastAsia="仿宋" w:cs="宋体"/>
          <w:color w:val="auto"/>
          <w:kern w:val="0"/>
          <w:sz w:val="24"/>
          <w:szCs w:val="24"/>
          <w:highlight w:val="none"/>
        </w:rPr>
      </w:pPr>
      <w:r>
        <w:rPr>
          <w:rFonts w:hint="eastAsia" w:ascii="仿宋" w:hAnsi="仿宋" w:eastAsia="仿宋" w:cs="宋体"/>
          <w:color w:val="auto"/>
          <w:spacing w:val="-4"/>
          <w:kern w:val="0"/>
          <w:sz w:val="24"/>
          <w:szCs w:val="24"/>
          <w:highlight w:val="none"/>
        </w:rPr>
        <w:t>4.1.2 投标人所递交的投标文件不予退还。</w:t>
      </w:r>
    </w:p>
    <w:p w14:paraId="45EE92F6">
      <w:pPr>
        <w:pageBreakBefore w:val="0"/>
        <w:widowControl/>
        <w:kinsoku/>
        <w:overflowPunct/>
        <w:topLinePunct/>
        <w:bidi w:val="0"/>
        <w:spacing w:line="600" w:lineRule="exact"/>
        <w:ind w:firstLine="480" w:firstLineChars="200"/>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4.1.3 出现下列情形之一时，招标人/招标代理机构不予接收投标文件：</w:t>
      </w:r>
    </w:p>
    <w:p w14:paraId="5B5536B3">
      <w:pPr>
        <w:pageBreakBefore w:val="0"/>
        <w:widowControl/>
        <w:kinsoku/>
        <w:overflowPunct/>
        <w:topLinePunct/>
        <w:bidi w:val="0"/>
        <w:spacing w:line="600" w:lineRule="exact"/>
        <w:ind w:firstLine="480" w:firstLineChars="200"/>
        <w:rPr>
          <w:rFonts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（1）逾期递交电子投标文件的投标人；</w:t>
      </w:r>
    </w:p>
    <w:p w14:paraId="7C989A11">
      <w:pPr>
        <w:pageBreakBefore w:val="0"/>
        <w:widowControl/>
        <w:kinsoku/>
        <w:overflowPunct/>
        <w:topLinePunct/>
        <w:bidi w:val="0"/>
        <w:spacing w:line="600" w:lineRule="exact"/>
        <w:ind w:firstLine="480" w:firstLineChars="200"/>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（2）逾期递交或者未在指定地点递交纸质投标文件的投标人；</w:t>
      </w:r>
    </w:p>
    <w:p w14:paraId="0E0CFC7B">
      <w:pPr>
        <w:pageBreakBefore w:val="0"/>
        <w:widowControl/>
        <w:kinsoku/>
        <w:overflowPunct/>
        <w:topLinePunct/>
        <w:bidi w:val="0"/>
        <w:spacing w:line="600" w:lineRule="exact"/>
        <w:ind w:firstLine="480" w:firstLineChars="200"/>
        <w:rPr>
          <w:rFonts w:ascii="仿宋" w:hAnsi="仿宋" w:eastAsia="仿宋" w:cs="宋体"/>
          <w:color w:val="auto"/>
          <w:sz w:val="24"/>
          <w:szCs w:val="24"/>
          <w:highlight w:val="none"/>
        </w:rPr>
      </w:pPr>
      <w:r>
        <w:rPr>
          <w:rFonts w:hint="eastAsia" w:ascii="仿宋" w:hAnsi="仿宋" w:eastAsia="仿宋" w:cs="宋体"/>
          <w:color w:val="auto"/>
          <w:kern w:val="0"/>
          <w:sz w:val="24"/>
          <w:szCs w:val="24"/>
          <w:highlight w:val="none"/>
        </w:rPr>
        <w:t>（</w:t>
      </w:r>
      <w:r>
        <w:rPr>
          <w:rFonts w:ascii="仿宋" w:hAnsi="仿宋" w:eastAsia="仿宋" w:cs="宋体"/>
          <w:color w:val="auto"/>
          <w:kern w:val="0"/>
          <w:sz w:val="24"/>
          <w:szCs w:val="24"/>
          <w:highlight w:val="none"/>
        </w:rPr>
        <w:t>3</w:t>
      </w:r>
      <w:r>
        <w:rPr>
          <w:rFonts w:hint="eastAsia" w:ascii="仿宋" w:hAnsi="仿宋" w:eastAsia="仿宋" w:cs="宋体"/>
          <w:color w:val="auto"/>
          <w:kern w:val="0"/>
          <w:sz w:val="24"/>
          <w:szCs w:val="24"/>
          <w:highlight w:val="none"/>
        </w:rPr>
        <w:t>）电子投标文件未按招标文件要求加密的；</w:t>
      </w:r>
    </w:p>
    <w:p w14:paraId="17A7C7DF">
      <w:pPr>
        <w:pageBreakBefore w:val="0"/>
        <w:widowControl/>
        <w:kinsoku/>
        <w:overflowPunct/>
        <w:topLinePunct/>
        <w:bidi w:val="0"/>
        <w:spacing w:line="600" w:lineRule="exact"/>
        <w:ind w:firstLine="480" w:firstLineChars="200"/>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w:t>
      </w:r>
      <w:r>
        <w:rPr>
          <w:rFonts w:ascii="仿宋" w:hAnsi="仿宋" w:eastAsia="仿宋" w:cs="宋体"/>
          <w:color w:val="auto"/>
          <w:kern w:val="0"/>
          <w:sz w:val="24"/>
          <w:szCs w:val="24"/>
          <w:highlight w:val="none"/>
        </w:rPr>
        <w:t>4</w:t>
      </w:r>
      <w:r>
        <w:rPr>
          <w:rFonts w:hint="eastAsia" w:ascii="仿宋" w:hAnsi="仿宋" w:eastAsia="仿宋" w:cs="宋体"/>
          <w:color w:val="auto"/>
          <w:kern w:val="0"/>
          <w:sz w:val="24"/>
          <w:szCs w:val="24"/>
          <w:highlight w:val="none"/>
        </w:rPr>
        <w:t>）未通过资格预审的申请人递交的；</w:t>
      </w:r>
      <w:r>
        <w:rPr>
          <w:rFonts w:hint="eastAsia" w:ascii="仿宋" w:hAnsi="仿宋" w:eastAsia="仿宋" w:cs="宋体"/>
          <w:i/>
          <w:iCs/>
          <w:color w:val="auto"/>
          <w:kern w:val="0"/>
          <w:sz w:val="24"/>
          <w:szCs w:val="24"/>
          <w:highlight w:val="none"/>
        </w:rPr>
        <w:t>（资格预审项目适用）</w:t>
      </w:r>
    </w:p>
    <w:p w14:paraId="1A0A0A04">
      <w:pPr>
        <w:pageBreakBefore w:val="0"/>
        <w:widowControl/>
        <w:kinsoku/>
        <w:overflowPunct/>
        <w:topLinePunct/>
        <w:bidi w:val="0"/>
        <w:spacing w:line="600" w:lineRule="exact"/>
        <w:ind w:firstLine="480" w:firstLineChars="200"/>
        <w:rPr>
          <w:rFonts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w:t>
      </w:r>
      <w:r>
        <w:rPr>
          <w:rFonts w:ascii="仿宋" w:hAnsi="仿宋" w:eastAsia="仿宋" w:cs="宋体"/>
          <w:color w:val="auto"/>
          <w:kern w:val="0"/>
          <w:sz w:val="24"/>
          <w:szCs w:val="24"/>
          <w:highlight w:val="none"/>
        </w:rPr>
        <w:t>5</w:t>
      </w:r>
      <w:r>
        <w:rPr>
          <w:rFonts w:hint="eastAsia" w:ascii="仿宋" w:hAnsi="仿宋" w:eastAsia="仿宋" w:cs="宋体"/>
          <w:color w:val="auto"/>
          <w:kern w:val="0"/>
          <w:sz w:val="24"/>
          <w:szCs w:val="24"/>
          <w:highlight w:val="none"/>
        </w:rPr>
        <w:t>）未按招标公告或者投标邀请书要求获得本项目招标文件的。</w:t>
      </w:r>
    </w:p>
    <w:p w14:paraId="11632191">
      <w:pPr>
        <w:pStyle w:val="5"/>
        <w:pageBreakBefore w:val="0"/>
        <w:kinsoku/>
        <w:overflowPunct/>
        <w:bidi w:val="0"/>
        <w:spacing w:line="600" w:lineRule="exact"/>
        <w:ind w:firstLine="0" w:firstLineChars="0"/>
        <w:rPr>
          <w:rFonts w:ascii="仿宋" w:hAnsi="仿宋" w:cs="宋体"/>
          <w:color w:val="auto"/>
          <w:highlight w:val="none"/>
        </w:rPr>
      </w:pPr>
      <w:bookmarkStart w:id="309" w:name="_Toc60224347"/>
      <w:bookmarkStart w:id="310" w:name="_Toc15182"/>
      <w:bookmarkStart w:id="311" w:name="_Toc4530"/>
      <w:bookmarkStart w:id="312" w:name="_Toc71191980"/>
      <w:bookmarkStart w:id="313" w:name="_Toc109124261"/>
      <w:r>
        <w:rPr>
          <w:rFonts w:ascii="仿宋" w:hAnsi="仿宋" w:cs="宋体"/>
          <w:color w:val="auto"/>
          <w:highlight w:val="none"/>
        </w:rPr>
        <w:t xml:space="preserve">4.2 </w:t>
      </w:r>
      <w:bookmarkEnd w:id="299"/>
      <w:bookmarkEnd w:id="300"/>
      <w:bookmarkEnd w:id="301"/>
      <w:bookmarkEnd w:id="302"/>
      <w:bookmarkEnd w:id="303"/>
      <w:bookmarkEnd w:id="304"/>
      <w:bookmarkEnd w:id="305"/>
      <w:bookmarkEnd w:id="306"/>
      <w:bookmarkEnd w:id="307"/>
      <w:bookmarkEnd w:id="308"/>
      <w:r>
        <w:rPr>
          <w:rFonts w:ascii="仿宋" w:hAnsi="仿宋" w:cs="宋体"/>
          <w:color w:val="auto"/>
          <w:highlight w:val="none"/>
        </w:rPr>
        <w:t>投标文件的修改</w:t>
      </w:r>
      <w:r>
        <w:rPr>
          <w:rFonts w:hint="eastAsia" w:ascii="仿宋" w:hAnsi="仿宋" w:cs="宋体"/>
          <w:color w:val="auto"/>
          <w:highlight w:val="none"/>
          <w:lang w:eastAsia="zh-CN"/>
        </w:rPr>
        <w:t>、</w:t>
      </w:r>
      <w:r>
        <w:rPr>
          <w:rFonts w:hint="eastAsia" w:ascii="仿宋" w:hAnsi="仿宋" w:cs="宋体"/>
          <w:color w:val="auto"/>
          <w:highlight w:val="none"/>
          <w:lang w:val="en-US" w:eastAsia="zh-CN"/>
        </w:rPr>
        <w:t>撤回</w:t>
      </w:r>
      <w:r>
        <w:rPr>
          <w:rFonts w:ascii="仿宋" w:hAnsi="仿宋" w:cs="宋体"/>
          <w:color w:val="auto"/>
          <w:highlight w:val="none"/>
        </w:rPr>
        <w:t>和撤销</w:t>
      </w:r>
      <w:bookmarkEnd w:id="309"/>
      <w:bookmarkEnd w:id="310"/>
      <w:bookmarkEnd w:id="311"/>
      <w:bookmarkEnd w:id="312"/>
      <w:bookmarkEnd w:id="313"/>
    </w:p>
    <w:p w14:paraId="075F3D57">
      <w:pPr>
        <w:pageBreakBefore w:val="0"/>
        <w:widowControl/>
        <w:kinsoku/>
        <w:overflowPunct/>
        <w:topLinePunct/>
        <w:bidi w:val="0"/>
        <w:spacing w:line="600" w:lineRule="exact"/>
        <w:ind w:firstLine="480" w:firstLineChars="200"/>
        <w:rPr>
          <w:rFonts w:ascii="仿宋" w:hAnsi="仿宋" w:eastAsia="仿宋" w:cs="宋体"/>
          <w:color w:val="auto"/>
          <w:kern w:val="0"/>
          <w:sz w:val="24"/>
          <w:szCs w:val="24"/>
          <w:highlight w:val="none"/>
        </w:rPr>
      </w:pPr>
      <w:bookmarkStart w:id="314" w:name="_Toc144974526"/>
      <w:bookmarkStart w:id="315" w:name="_Toc246996202"/>
      <w:bookmarkStart w:id="316" w:name="_Toc334766948"/>
      <w:bookmarkStart w:id="317" w:name="_Toc246996945"/>
      <w:bookmarkStart w:id="318" w:name="_Toc247085716"/>
      <w:bookmarkStart w:id="319" w:name="_Toc332188194"/>
      <w:bookmarkStart w:id="320" w:name="_Toc326223561"/>
      <w:bookmarkStart w:id="321" w:name="_Toc152045558"/>
      <w:bookmarkStart w:id="322" w:name="_Toc152042334"/>
      <w:bookmarkStart w:id="323" w:name="_Toc179632576"/>
      <w:r>
        <w:rPr>
          <w:rFonts w:hint="eastAsia" w:ascii="仿宋" w:hAnsi="仿宋" w:eastAsia="仿宋" w:cs="宋体"/>
          <w:color w:val="auto"/>
          <w:kern w:val="0"/>
          <w:sz w:val="24"/>
          <w:szCs w:val="24"/>
          <w:highlight w:val="none"/>
        </w:rPr>
        <w:t>4.2.1投标人在招标文件要求的投标截止时间前，可以补充、修改或撤回已提交的投标文件。</w:t>
      </w:r>
      <w:r>
        <w:rPr>
          <w:rFonts w:ascii="仿宋" w:hAnsi="仿宋" w:eastAsia="仿宋" w:cs="宋体"/>
          <w:color w:val="auto"/>
          <w:kern w:val="0"/>
          <w:sz w:val="24"/>
          <w:szCs w:val="24"/>
          <w:highlight w:val="none"/>
        </w:rPr>
        <w:t>补充、修改的内容为投标文件的组成部分</w:t>
      </w:r>
      <w:r>
        <w:rPr>
          <w:rFonts w:hint="eastAsia" w:ascii="仿宋" w:hAnsi="仿宋" w:eastAsia="仿宋" w:cs="宋体"/>
          <w:color w:val="auto"/>
          <w:kern w:val="0"/>
          <w:sz w:val="24"/>
          <w:szCs w:val="24"/>
          <w:highlight w:val="none"/>
        </w:rPr>
        <w:t>，应当在投标截止时间前按照招标文件的规定进行加密、递交。</w:t>
      </w:r>
    </w:p>
    <w:p w14:paraId="34058084">
      <w:pPr>
        <w:pageBreakBefore w:val="0"/>
        <w:widowControl/>
        <w:kinsoku/>
        <w:overflowPunct/>
        <w:topLinePunct/>
        <w:bidi w:val="0"/>
        <w:spacing w:line="600" w:lineRule="exact"/>
        <w:ind w:firstLine="480" w:firstLineChars="200"/>
        <w:rPr>
          <w:rFonts w:hint="eastAsia"/>
          <w:color w:val="auto"/>
          <w:highlight w:val="none"/>
        </w:rPr>
      </w:pPr>
      <w:r>
        <w:rPr>
          <w:rFonts w:hint="eastAsia" w:ascii="仿宋" w:hAnsi="仿宋" w:eastAsia="仿宋" w:cs="宋体"/>
          <w:color w:val="auto"/>
          <w:kern w:val="0"/>
          <w:sz w:val="24"/>
          <w:szCs w:val="24"/>
          <w:highlight w:val="none"/>
        </w:rPr>
        <w:t>4.2.</w:t>
      </w:r>
      <w:r>
        <w:rPr>
          <w:rFonts w:hint="eastAsia" w:ascii="仿宋" w:hAnsi="仿宋" w:eastAsia="仿宋" w:cs="宋体"/>
          <w:color w:val="auto"/>
          <w:kern w:val="0"/>
          <w:sz w:val="24"/>
          <w:szCs w:val="24"/>
          <w:highlight w:val="none"/>
          <w:lang w:val="en-US" w:eastAsia="zh-CN"/>
        </w:rPr>
        <w:t>2</w:t>
      </w:r>
      <w:r>
        <w:rPr>
          <w:rFonts w:hint="eastAsia" w:ascii="仿宋" w:hAnsi="仿宋" w:eastAsia="仿宋" w:cs="宋体"/>
          <w:color w:val="auto"/>
          <w:kern w:val="0"/>
          <w:sz w:val="24"/>
          <w:szCs w:val="24"/>
          <w:highlight w:val="none"/>
        </w:rPr>
        <w:t xml:space="preserve"> 投标截止时间后，投标人在投标有效期内撤销其投标文件，投标保证金不予退还。</w:t>
      </w:r>
    </w:p>
    <w:bookmarkEnd w:id="314"/>
    <w:bookmarkEnd w:id="315"/>
    <w:bookmarkEnd w:id="316"/>
    <w:bookmarkEnd w:id="317"/>
    <w:bookmarkEnd w:id="318"/>
    <w:bookmarkEnd w:id="319"/>
    <w:bookmarkEnd w:id="320"/>
    <w:bookmarkEnd w:id="321"/>
    <w:bookmarkEnd w:id="322"/>
    <w:bookmarkEnd w:id="323"/>
    <w:p w14:paraId="4C8FC2D0">
      <w:pPr>
        <w:pStyle w:val="4"/>
        <w:pageBreakBefore w:val="0"/>
        <w:kinsoku/>
        <w:overflowPunct/>
        <w:bidi w:val="0"/>
        <w:spacing w:line="600" w:lineRule="exact"/>
        <w:rPr>
          <w:rFonts w:hint="eastAsia"/>
          <w:color w:val="auto"/>
          <w:highlight w:val="none"/>
        </w:rPr>
      </w:pPr>
      <w:bookmarkStart w:id="324" w:name="_Toc152042335"/>
      <w:bookmarkStart w:id="325" w:name="_Toc179632577"/>
      <w:bookmarkStart w:id="326" w:name="_Toc20953"/>
      <w:bookmarkStart w:id="327" w:name="_Toc10106"/>
      <w:bookmarkStart w:id="328" w:name="_Toc246996203"/>
      <w:bookmarkStart w:id="329" w:name="_Toc144974527"/>
      <w:bookmarkStart w:id="330" w:name="_Toc152045559"/>
      <w:bookmarkStart w:id="331" w:name="_Toc247085717"/>
      <w:bookmarkStart w:id="332" w:name="_Toc246996946"/>
      <w:bookmarkStart w:id="333" w:name="_Toc109124262"/>
      <w:r>
        <w:rPr>
          <w:rFonts w:hint="eastAsia"/>
          <w:color w:val="auto"/>
          <w:highlight w:val="none"/>
        </w:rPr>
        <w:t>5.开标</w:t>
      </w:r>
      <w:bookmarkEnd w:id="324"/>
      <w:bookmarkEnd w:id="325"/>
      <w:bookmarkEnd w:id="326"/>
      <w:bookmarkEnd w:id="327"/>
      <w:bookmarkEnd w:id="328"/>
      <w:bookmarkEnd w:id="329"/>
      <w:bookmarkEnd w:id="330"/>
      <w:bookmarkEnd w:id="331"/>
      <w:bookmarkEnd w:id="332"/>
      <w:bookmarkEnd w:id="333"/>
    </w:p>
    <w:p w14:paraId="0B50B087">
      <w:pPr>
        <w:pStyle w:val="5"/>
        <w:pageBreakBefore w:val="0"/>
        <w:kinsoku/>
        <w:overflowPunct/>
        <w:bidi w:val="0"/>
        <w:spacing w:line="600" w:lineRule="exact"/>
        <w:ind w:firstLine="0" w:firstLineChars="0"/>
        <w:rPr>
          <w:rFonts w:ascii="仿宋" w:hAnsi="仿宋" w:cs="宋体"/>
          <w:color w:val="auto"/>
          <w:highlight w:val="none"/>
        </w:rPr>
      </w:pPr>
      <w:bookmarkStart w:id="334" w:name="_Toc152042336"/>
      <w:bookmarkStart w:id="335" w:name="_Toc326223563"/>
      <w:bookmarkStart w:id="336" w:name="_Toc2603"/>
      <w:bookmarkStart w:id="337" w:name="_Toc60224349"/>
      <w:bookmarkStart w:id="338" w:name="_Toc334766950"/>
      <w:bookmarkStart w:id="339" w:name="_Toc246996204"/>
      <w:bookmarkStart w:id="340" w:name="_Toc247085718"/>
      <w:bookmarkStart w:id="341" w:name="_Toc109124263"/>
      <w:bookmarkStart w:id="342" w:name="_Toc152045560"/>
      <w:bookmarkStart w:id="343" w:name="_Toc246996947"/>
      <w:bookmarkStart w:id="344" w:name="_Toc179632578"/>
      <w:bookmarkStart w:id="345" w:name="_Toc144974528"/>
      <w:bookmarkStart w:id="346" w:name="_Toc71191982"/>
      <w:bookmarkStart w:id="347" w:name="_Toc332188196"/>
      <w:bookmarkStart w:id="348" w:name="_Toc2860"/>
      <w:r>
        <w:rPr>
          <w:rFonts w:ascii="仿宋" w:hAnsi="仿宋" w:cs="宋体"/>
          <w:color w:val="auto"/>
          <w:highlight w:val="none"/>
        </w:rPr>
        <w:t>5.1 开标时间</w:t>
      </w:r>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p>
    <w:p w14:paraId="0FE37368">
      <w:pPr>
        <w:pStyle w:val="31"/>
        <w:pageBreakBefore w:val="0"/>
        <w:kinsoku/>
        <w:overflowPunct/>
        <w:bidi w:val="0"/>
        <w:spacing w:line="600" w:lineRule="exact"/>
        <w:ind w:firstLine="480" w:firstLineChars="200"/>
        <w:rPr>
          <w:rFonts w:hint="eastAsia" w:ascii="仿宋" w:hAnsi="仿宋" w:eastAsia="仿宋"/>
          <w:color w:val="auto"/>
          <w:highlight w:val="none"/>
        </w:rPr>
      </w:pPr>
      <w:r>
        <w:rPr>
          <w:rFonts w:hint="eastAsia" w:ascii="仿宋" w:hAnsi="仿宋" w:eastAsia="仿宋"/>
          <w:color w:val="auto"/>
          <w:highlight w:val="none"/>
        </w:rPr>
        <w:t>本项目</w:t>
      </w:r>
      <w:r>
        <w:rPr>
          <w:rFonts w:ascii="仿宋" w:hAnsi="仿宋" w:eastAsia="仿宋"/>
          <w:color w:val="auto"/>
          <w:highlight w:val="none"/>
        </w:rPr>
        <w:t>在</w:t>
      </w:r>
      <w:r>
        <w:rPr>
          <w:rFonts w:hint="eastAsia" w:ascii="仿宋" w:hAnsi="仿宋" w:eastAsia="仿宋"/>
          <w:color w:val="auto"/>
          <w:highlight w:val="none"/>
        </w:rPr>
        <w:t>招标公告要求的</w:t>
      </w:r>
      <w:r>
        <w:rPr>
          <w:rFonts w:ascii="仿宋" w:hAnsi="仿宋" w:eastAsia="仿宋"/>
          <w:color w:val="auto"/>
          <w:highlight w:val="none"/>
        </w:rPr>
        <w:t>投标截止时间的同一时间进行</w:t>
      </w:r>
      <w:r>
        <w:rPr>
          <w:rFonts w:hint="eastAsia" w:ascii="仿宋" w:hAnsi="仿宋" w:eastAsia="仿宋"/>
          <w:color w:val="auto"/>
          <w:highlight w:val="none"/>
        </w:rPr>
        <w:t>开标。</w:t>
      </w:r>
    </w:p>
    <w:p w14:paraId="360FB772">
      <w:pPr>
        <w:pStyle w:val="5"/>
        <w:pageBreakBefore w:val="0"/>
        <w:kinsoku/>
        <w:overflowPunct/>
        <w:bidi w:val="0"/>
        <w:spacing w:line="600" w:lineRule="exact"/>
        <w:ind w:firstLine="0" w:firstLineChars="0"/>
        <w:rPr>
          <w:rFonts w:ascii="仿宋" w:hAnsi="仿宋" w:cs="宋体"/>
          <w:color w:val="auto"/>
          <w:highlight w:val="none"/>
        </w:rPr>
      </w:pPr>
      <w:bookmarkStart w:id="349" w:name="_Toc326223564"/>
      <w:bookmarkStart w:id="350" w:name="_Toc332188197"/>
      <w:bookmarkStart w:id="351" w:name="_Toc152045561"/>
      <w:bookmarkStart w:id="352" w:name="_Toc246996948"/>
      <w:bookmarkStart w:id="353" w:name="_Toc71191983"/>
      <w:bookmarkStart w:id="354" w:name="_Toc334766951"/>
      <w:bookmarkStart w:id="355" w:name="_Toc179632579"/>
      <w:bookmarkStart w:id="356" w:name="_Toc8110"/>
      <w:bookmarkStart w:id="357" w:name="_Toc109124264"/>
      <w:bookmarkStart w:id="358" w:name="_Toc247085719"/>
      <w:bookmarkStart w:id="359" w:name="_Toc152042337"/>
      <w:bookmarkStart w:id="360" w:name="_Toc60224350"/>
      <w:bookmarkStart w:id="361" w:name="_Toc527"/>
      <w:bookmarkStart w:id="362" w:name="_Toc246996205"/>
      <w:bookmarkStart w:id="363" w:name="_Toc144974529"/>
      <w:r>
        <w:rPr>
          <w:rFonts w:ascii="仿宋" w:hAnsi="仿宋" w:cs="宋体"/>
          <w:color w:val="auto"/>
          <w:highlight w:val="none"/>
        </w:rPr>
        <w:t>5.2 开标程序</w:t>
      </w:r>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p>
    <w:p w14:paraId="5347F966">
      <w:pPr>
        <w:pageBreakBefore w:val="0"/>
        <w:widowControl/>
        <w:kinsoku/>
        <w:overflowPunct/>
        <w:topLinePunct/>
        <w:bidi w:val="0"/>
        <w:spacing w:line="600" w:lineRule="exact"/>
        <w:ind w:firstLine="480" w:firstLineChars="200"/>
        <w:rPr>
          <w:rFonts w:hint="eastAsia" w:ascii="仿宋" w:hAnsi="仿宋" w:eastAsia="仿宋" w:cs="宋体"/>
          <w:color w:val="auto"/>
          <w:kern w:val="0"/>
          <w:sz w:val="24"/>
          <w:szCs w:val="24"/>
          <w:highlight w:val="none"/>
        </w:rPr>
      </w:pPr>
      <w:bookmarkStart w:id="364" w:name="_Toc71191984"/>
      <w:bookmarkStart w:id="365" w:name="_Toc326223565"/>
      <w:bookmarkStart w:id="366" w:name="_Toc109124265"/>
      <w:bookmarkStart w:id="367" w:name="_Toc332188198"/>
      <w:bookmarkStart w:id="368" w:name="_Toc334766952"/>
      <w:bookmarkStart w:id="369" w:name="_Toc17472"/>
      <w:bookmarkStart w:id="370" w:name="_Toc60224351"/>
      <w:r>
        <w:rPr>
          <w:rFonts w:hint="eastAsia" w:ascii="仿宋" w:hAnsi="仿宋" w:eastAsia="仿宋" w:cs="宋体"/>
          <w:color w:val="auto"/>
          <w:kern w:val="0"/>
          <w:sz w:val="24"/>
          <w:szCs w:val="24"/>
          <w:highlight w:val="none"/>
        </w:rPr>
        <w:t>5.2.1 开标会议由招标人或其委托的招标代理机构组织并主持，邀请所有的投标人或其代表出席。招标人应当当众宣布参加本次招标的投标人个数，由投标人代表或招标人委托的公证机构或招标人委派的采购监督人员对投标文件密封情况进行检查，检查结果由主持人宣布。</w:t>
      </w:r>
    </w:p>
    <w:p w14:paraId="115E6E01">
      <w:pPr>
        <w:pageBreakBefore w:val="0"/>
        <w:widowControl/>
        <w:kinsoku/>
        <w:overflowPunct/>
        <w:topLinePunct/>
        <w:bidi w:val="0"/>
        <w:spacing w:line="600" w:lineRule="exact"/>
        <w:ind w:firstLine="480" w:firstLineChars="200"/>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5.2.2 招标人在递交投标文件截止时间前收到的所有投标文件在开标时都应当当众予以拆封、宣读。但按照招标文件规定递交合格的书面撤回通知的投标文件不予开封。</w:t>
      </w:r>
    </w:p>
    <w:p w14:paraId="6B6632A3">
      <w:pPr>
        <w:pageBreakBefore w:val="0"/>
        <w:widowControl/>
        <w:kinsoku/>
        <w:overflowPunct/>
        <w:topLinePunct/>
        <w:bidi w:val="0"/>
        <w:spacing w:line="600" w:lineRule="exact"/>
        <w:ind w:firstLine="480" w:firstLineChars="200"/>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5.2.3 开标时，招标人应当宣读所有未撤回的投标文件中的投标一览表，内容一般包括：投标人名称、投标总报价、税率以及招标文件中规定的其他内容，并将唱标内容如实记录在开标记录表，由唱标人、记录人、投标人代表签字确认，存档备查。</w:t>
      </w:r>
    </w:p>
    <w:p w14:paraId="672EC869">
      <w:pPr>
        <w:pStyle w:val="5"/>
        <w:pageBreakBefore w:val="0"/>
        <w:kinsoku/>
        <w:overflowPunct/>
        <w:bidi w:val="0"/>
        <w:spacing w:line="600" w:lineRule="exact"/>
        <w:ind w:firstLine="0" w:firstLineChars="0"/>
        <w:rPr>
          <w:rFonts w:ascii="仿宋" w:hAnsi="仿宋" w:cs="宋体"/>
          <w:color w:val="auto"/>
          <w:highlight w:val="none"/>
        </w:rPr>
      </w:pPr>
      <w:bookmarkStart w:id="371" w:name="_Toc19665"/>
      <w:r>
        <w:rPr>
          <w:rFonts w:ascii="仿宋" w:hAnsi="仿宋" w:cs="宋体"/>
          <w:color w:val="auto"/>
          <w:highlight w:val="none"/>
        </w:rPr>
        <w:t>5.3 开标异议</w:t>
      </w:r>
      <w:bookmarkEnd w:id="364"/>
      <w:bookmarkEnd w:id="365"/>
      <w:bookmarkEnd w:id="366"/>
      <w:bookmarkEnd w:id="367"/>
      <w:bookmarkEnd w:id="368"/>
      <w:bookmarkEnd w:id="369"/>
      <w:bookmarkEnd w:id="370"/>
      <w:bookmarkEnd w:id="371"/>
    </w:p>
    <w:p w14:paraId="44A5821A">
      <w:pPr>
        <w:pageBreakBefore w:val="0"/>
        <w:widowControl/>
        <w:kinsoku/>
        <w:overflowPunct/>
        <w:topLinePunct/>
        <w:bidi w:val="0"/>
        <w:spacing w:line="600" w:lineRule="exact"/>
        <w:ind w:firstLine="480" w:firstLineChars="200"/>
        <w:rPr>
          <w:rFonts w:hint="eastAsia" w:ascii="仿宋" w:hAnsi="仿宋" w:eastAsia="仿宋" w:cs="宋体"/>
          <w:color w:val="auto"/>
          <w:kern w:val="0"/>
          <w:sz w:val="24"/>
          <w:szCs w:val="24"/>
          <w:highlight w:val="none"/>
        </w:rPr>
      </w:pPr>
      <w:bookmarkStart w:id="372" w:name="_Toc71191985"/>
      <w:bookmarkStart w:id="373" w:name="_Toc6867"/>
      <w:bookmarkStart w:id="374" w:name="_Toc60224352"/>
      <w:bookmarkStart w:id="375" w:name="_Toc109124266"/>
      <w:bookmarkStart w:id="376" w:name="_Toc144974530"/>
      <w:bookmarkStart w:id="377" w:name="_Toc246996206"/>
      <w:bookmarkStart w:id="378" w:name="_Toc152045562"/>
      <w:bookmarkStart w:id="379" w:name="_Toc246996949"/>
      <w:bookmarkStart w:id="380" w:name="_Toc179632580"/>
      <w:bookmarkStart w:id="381" w:name="_Toc152042338"/>
      <w:bookmarkStart w:id="382" w:name="_Toc247085720"/>
      <w:r>
        <w:rPr>
          <w:rFonts w:hint="eastAsia" w:ascii="仿宋" w:hAnsi="仿宋" w:eastAsia="仿宋" w:cs="宋体"/>
          <w:color w:val="auto"/>
          <w:kern w:val="0"/>
          <w:sz w:val="24"/>
          <w:szCs w:val="24"/>
          <w:highlight w:val="none"/>
        </w:rPr>
        <w:t>5.3.1 投标人对开标有异议的，应当在开标现场提出，招标人应当当场作出答复，并制作记录。</w:t>
      </w:r>
    </w:p>
    <w:p w14:paraId="1DB415B1">
      <w:pPr>
        <w:pageBreakBefore w:val="0"/>
        <w:widowControl/>
        <w:kinsoku/>
        <w:overflowPunct/>
        <w:topLinePunct/>
        <w:bidi w:val="0"/>
        <w:spacing w:line="600" w:lineRule="exact"/>
        <w:ind w:firstLine="480" w:firstLineChars="200"/>
        <w:rPr>
          <w:rFonts w:hint="eastAsia" w:ascii="仿宋" w:hAnsi="仿宋" w:eastAsia="仿宋" w:cs="宋体"/>
          <w:color w:val="auto"/>
          <w:spacing w:val="-6"/>
          <w:kern w:val="0"/>
          <w:sz w:val="24"/>
          <w:szCs w:val="24"/>
          <w:highlight w:val="none"/>
        </w:rPr>
      </w:pPr>
      <w:r>
        <w:rPr>
          <w:rFonts w:hint="eastAsia" w:ascii="仿宋" w:hAnsi="仿宋" w:eastAsia="仿宋" w:cs="宋体"/>
          <w:color w:val="auto"/>
          <w:kern w:val="0"/>
          <w:sz w:val="24"/>
          <w:szCs w:val="24"/>
          <w:highlight w:val="none"/>
        </w:rPr>
        <w:t xml:space="preserve">5.3.2 </w:t>
      </w:r>
      <w:r>
        <w:rPr>
          <w:rFonts w:hint="eastAsia" w:ascii="仿宋" w:hAnsi="仿宋" w:eastAsia="仿宋" w:cs="宋体"/>
          <w:color w:val="auto"/>
          <w:spacing w:val="-6"/>
          <w:kern w:val="0"/>
          <w:sz w:val="24"/>
          <w:szCs w:val="24"/>
          <w:highlight w:val="none"/>
        </w:rPr>
        <w:t>投标人认为存在低于成本价投标情形的，可以在开标现场提出异议，并在评标完成前向招标人递交书面材料，招标人应当及时将书面材料转交评标委员会。</w:t>
      </w:r>
    </w:p>
    <w:p w14:paraId="3164F7D9">
      <w:pPr>
        <w:pStyle w:val="5"/>
        <w:pageBreakBefore w:val="0"/>
        <w:kinsoku/>
        <w:overflowPunct/>
        <w:bidi w:val="0"/>
        <w:spacing w:line="600" w:lineRule="exact"/>
        <w:ind w:firstLine="0" w:firstLineChars="0"/>
        <w:rPr>
          <w:rFonts w:ascii="仿宋" w:hAnsi="仿宋" w:cs="宋体"/>
          <w:color w:val="auto"/>
          <w:highlight w:val="none"/>
        </w:rPr>
      </w:pPr>
      <w:bookmarkStart w:id="383" w:name="_Toc18709"/>
      <w:r>
        <w:rPr>
          <w:rFonts w:ascii="仿宋" w:hAnsi="仿宋" w:cs="宋体"/>
          <w:color w:val="auto"/>
          <w:highlight w:val="none"/>
        </w:rPr>
        <w:t>5.4 电子招投标的其他开标要求及异常处理</w:t>
      </w:r>
      <w:bookmarkEnd w:id="372"/>
      <w:bookmarkEnd w:id="373"/>
      <w:bookmarkEnd w:id="374"/>
      <w:bookmarkEnd w:id="375"/>
      <w:bookmarkEnd w:id="383"/>
    </w:p>
    <w:p w14:paraId="5D67681D">
      <w:pPr>
        <w:pageBreakBefore w:val="0"/>
        <w:widowControl/>
        <w:kinsoku/>
        <w:overflowPunct/>
        <w:topLinePunct/>
        <w:bidi w:val="0"/>
        <w:spacing w:line="600" w:lineRule="exact"/>
        <w:ind w:firstLine="480" w:firstLineChars="200"/>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招标人采用电子招标投标方式的，开标的其他要求及异常处理方式见投标人须知前附表。</w:t>
      </w:r>
    </w:p>
    <w:p w14:paraId="0CB65498">
      <w:pPr>
        <w:pStyle w:val="5"/>
        <w:pageBreakBefore w:val="0"/>
        <w:kinsoku/>
        <w:overflowPunct/>
        <w:bidi w:val="0"/>
        <w:spacing w:line="600" w:lineRule="exact"/>
        <w:ind w:firstLine="0" w:firstLineChars="0"/>
        <w:rPr>
          <w:rFonts w:ascii="仿宋" w:hAnsi="仿宋" w:cs="宋体"/>
          <w:color w:val="auto"/>
          <w:highlight w:val="none"/>
        </w:rPr>
      </w:pPr>
      <w:bookmarkStart w:id="384" w:name="_Toc478565678"/>
      <w:bookmarkStart w:id="385" w:name="_Toc478566233"/>
      <w:bookmarkStart w:id="386" w:name="_Toc474147997"/>
      <w:bookmarkStart w:id="387" w:name="_Toc525896321"/>
      <w:bookmarkStart w:id="388" w:name="_Toc478566041"/>
      <w:bookmarkStart w:id="389" w:name="_Toc9008"/>
      <w:bookmarkStart w:id="390" w:name="_Toc19094"/>
      <w:bookmarkStart w:id="391" w:name="_Toc109124267"/>
      <w:r>
        <w:rPr>
          <w:rFonts w:ascii="仿宋" w:hAnsi="仿宋" w:cs="宋体"/>
          <w:color w:val="auto"/>
          <w:highlight w:val="none"/>
        </w:rPr>
        <w:t>5.5不得开标</w:t>
      </w:r>
      <w:bookmarkEnd w:id="384"/>
      <w:bookmarkEnd w:id="385"/>
      <w:bookmarkEnd w:id="386"/>
      <w:bookmarkEnd w:id="387"/>
      <w:bookmarkEnd w:id="388"/>
      <w:r>
        <w:rPr>
          <w:rFonts w:ascii="仿宋" w:hAnsi="仿宋" w:cs="宋体"/>
          <w:color w:val="auto"/>
          <w:highlight w:val="none"/>
        </w:rPr>
        <w:t>的情形</w:t>
      </w:r>
      <w:bookmarkEnd w:id="389"/>
    </w:p>
    <w:p w14:paraId="154B1F86">
      <w:pPr>
        <w:pageBreakBefore w:val="0"/>
        <w:widowControl/>
        <w:kinsoku/>
        <w:overflowPunct/>
        <w:topLinePunct/>
        <w:bidi w:val="0"/>
        <w:spacing w:line="600" w:lineRule="exact"/>
        <w:ind w:firstLine="480" w:firstLineChars="200"/>
        <w:rPr>
          <w:rFonts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按照招标文件要求递交电子投标文件的投标人数量少于3个（中标人为1家时）或者少于投标人须知前附表规定的</w:t>
      </w:r>
      <w:r>
        <w:rPr>
          <w:rFonts w:ascii="仿宋" w:hAnsi="仿宋" w:eastAsia="仿宋" w:cs="宋体"/>
          <w:color w:val="auto"/>
          <w:kern w:val="0"/>
          <w:sz w:val="24"/>
          <w:szCs w:val="24"/>
          <w:highlight w:val="none"/>
        </w:rPr>
        <w:t>数量</w:t>
      </w:r>
      <w:r>
        <w:rPr>
          <w:rFonts w:hint="eastAsia" w:ascii="仿宋" w:hAnsi="仿宋" w:eastAsia="仿宋" w:cs="宋体"/>
          <w:color w:val="auto"/>
          <w:kern w:val="0"/>
          <w:sz w:val="24"/>
          <w:szCs w:val="24"/>
          <w:highlight w:val="none"/>
        </w:rPr>
        <w:t>时，招标人不得开标，应当重新招标。</w:t>
      </w:r>
    </w:p>
    <w:p w14:paraId="56246C2A">
      <w:pPr>
        <w:pStyle w:val="4"/>
        <w:pageBreakBefore w:val="0"/>
        <w:kinsoku/>
        <w:overflowPunct/>
        <w:bidi w:val="0"/>
        <w:spacing w:line="600" w:lineRule="exact"/>
        <w:rPr>
          <w:rFonts w:hint="eastAsia"/>
          <w:color w:val="auto"/>
          <w:highlight w:val="none"/>
        </w:rPr>
      </w:pPr>
      <w:bookmarkStart w:id="392" w:name="_Toc23132"/>
      <w:r>
        <w:rPr>
          <w:rFonts w:hint="eastAsia"/>
          <w:color w:val="auto"/>
          <w:highlight w:val="none"/>
        </w:rPr>
        <w:t>6.评标</w:t>
      </w:r>
      <w:bookmarkEnd w:id="376"/>
      <w:bookmarkEnd w:id="377"/>
      <w:bookmarkEnd w:id="378"/>
      <w:bookmarkEnd w:id="379"/>
      <w:bookmarkEnd w:id="380"/>
      <w:bookmarkEnd w:id="381"/>
      <w:bookmarkEnd w:id="382"/>
      <w:bookmarkEnd w:id="390"/>
      <w:bookmarkEnd w:id="391"/>
      <w:bookmarkEnd w:id="392"/>
    </w:p>
    <w:p w14:paraId="6300220C">
      <w:pPr>
        <w:pStyle w:val="5"/>
        <w:pageBreakBefore w:val="0"/>
        <w:kinsoku/>
        <w:overflowPunct/>
        <w:bidi w:val="0"/>
        <w:spacing w:line="600" w:lineRule="exact"/>
        <w:rPr>
          <w:rFonts w:ascii="仿宋" w:hAnsi="仿宋" w:cs="宋体"/>
          <w:color w:val="auto"/>
          <w:highlight w:val="none"/>
        </w:rPr>
      </w:pPr>
      <w:bookmarkStart w:id="393" w:name="_Toc247085721"/>
      <w:bookmarkStart w:id="394" w:name="_Toc334766954"/>
      <w:bookmarkStart w:id="395" w:name="_Toc71191987"/>
      <w:bookmarkStart w:id="396" w:name="_Toc16388"/>
      <w:bookmarkStart w:id="397" w:name="_Toc152042339"/>
      <w:bookmarkStart w:id="398" w:name="_Toc109124268"/>
      <w:bookmarkStart w:id="399" w:name="_Toc332188200"/>
      <w:bookmarkStart w:id="400" w:name="_Toc179632581"/>
      <w:bookmarkStart w:id="401" w:name="_Toc3541"/>
      <w:bookmarkStart w:id="402" w:name="_Toc246996207"/>
      <w:bookmarkStart w:id="403" w:name="_Toc152045563"/>
      <w:bookmarkStart w:id="404" w:name="_Toc326223567"/>
      <w:bookmarkStart w:id="405" w:name="_Toc246996950"/>
      <w:bookmarkStart w:id="406" w:name="_Toc60224354"/>
      <w:bookmarkStart w:id="407" w:name="_Toc144974531"/>
      <w:r>
        <w:rPr>
          <w:rFonts w:ascii="仿宋" w:hAnsi="仿宋" w:cs="宋体"/>
          <w:color w:val="auto"/>
          <w:highlight w:val="none"/>
        </w:rPr>
        <w:t>6.1 评标委员会</w:t>
      </w:r>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p>
    <w:p w14:paraId="0B3F5B18">
      <w:pPr>
        <w:pageBreakBefore w:val="0"/>
        <w:widowControl/>
        <w:kinsoku/>
        <w:overflowPunct/>
        <w:topLinePunct/>
        <w:bidi w:val="0"/>
        <w:spacing w:line="600" w:lineRule="exact"/>
        <w:ind w:firstLine="480" w:firstLineChars="200"/>
        <w:rPr>
          <w:rFonts w:hint="eastAsia" w:ascii="仿宋" w:hAnsi="仿宋" w:eastAsia="仿宋" w:cs="宋体"/>
          <w:color w:val="auto"/>
          <w:kern w:val="0"/>
          <w:sz w:val="24"/>
          <w:szCs w:val="24"/>
          <w:highlight w:val="none"/>
        </w:rPr>
      </w:pPr>
      <w:bookmarkStart w:id="408" w:name="_Toc334766955"/>
      <w:bookmarkStart w:id="409" w:name="_Toc332188201"/>
      <w:bookmarkStart w:id="410" w:name="_Toc144974532"/>
      <w:bookmarkStart w:id="411" w:name="_Toc152042340"/>
      <w:bookmarkStart w:id="412" w:name="_Toc152045564"/>
      <w:bookmarkStart w:id="413" w:name="_Toc246996208"/>
      <w:bookmarkStart w:id="414" w:name="_Toc247085722"/>
      <w:bookmarkStart w:id="415" w:name="_Toc179632582"/>
      <w:bookmarkStart w:id="416" w:name="_Toc326223568"/>
      <w:bookmarkStart w:id="417" w:name="_Toc246996951"/>
      <w:r>
        <w:rPr>
          <w:rFonts w:hint="eastAsia" w:ascii="仿宋" w:hAnsi="仿宋" w:eastAsia="仿宋" w:cs="宋体"/>
          <w:color w:val="auto"/>
          <w:kern w:val="0"/>
          <w:sz w:val="24"/>
          <w:szCs w:val="24"/>
          <w:highlight w:val="none"/>
        </w:rPr>
        <w:t>6.1.1 评标由依法组建的评标委员会负责，具体人数见投标人须知前附表。国有金融采购的一般采购项目从评审专家库中随机抽取选定评审专家，对技术复杂、专业性强或者有特殊要求的采购项目，通过随机抽取方式难以确定合适评审专家的，可由国有金融企业按程序自行选定。</w:t>
      </w:r>
    </w:p>
    <w:p w14:paraId="68552362">
      <w:pPr>
        <w:pageBreakBefore w:val="0"/>
        <w:widowControl/>
        <w:kinsoku/>
        <w:overflowPunct/>
        <w:topLinePunct/>
        <w:bidi w:val="0"/>
        <w:spacing w:line="600" w:lineRule="exact"/>
        <w:ind w:firstLine="480" w:firstLineChars="200"/>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 xml:space="preserve">6.1.2 </w:t>
      </w:r>
      <w:r>
        <w:rPr>
          <w:rFonts w:hint="eastAsia" w:ascii="仿宋" w:hAnsi="仿宋" w:eastAsia="仿宋" w:cs="宋体"/>
          <w:color w:val="auto"/>
          <w:spacing w:val="-4"/>
          <w:kern w:val="0"/>
          <w:sz w:val="24"/>
          <w:szCs w:val="24"/>
          <w:highlight w:val="none"/>
        </w:rPr>
        <w:t>评标期间，任何单位和个人不得非法干预或者影响评标的过程和结果。</w:t>
      </w:r>
    </w:p>
    <w:p w14:paraId="30560009">
      <w:pPr>
        <w:pageBreakBefore w:val="0"/>
        <w:widowControl/>
        <w:kinsoku/>
        <w:overflowPunct/>
        <w:topLinePunct/>
        <w:bidi w:val="0"/>
        <w:spacing w:line="600" w:lineRule="exact"/>
        <w:ind w:firstLine="480" w:firstLineChars="200"/>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6.1.3 评标委员会成员名单在中标结果确定前保密。</w:t>
      </w:r>
    </w:p>
    <w:p w14:paraId="27F1FAC1">
      <w:pPr>
        <w:pStyle w:val="5"/>
        <w:pageBreakBefore w:val="0"/>
        <w:kinsoku/>
        <w:overflowPunct/>
        <w:bidi w:val="0"/>
        <w:spacing w:line="600" w:lineRule="exact"/>
        <w:ind w:firstLine="0" w:firstLineChars="0"/>
        <w:rPr>
          <w:rFonts w:ascii="仿宋" w:hAnsi="仿宋" w:cs="宋体"/>
          <w:color w:val="auto"/>
          <w:highlight w:val="none"/>
        </w:rPr>
      </w:pPr>
      <w:bookmarkStart w:id="418" w:name="_Toc109124269"/>
      <w:bookmarkStart w:id="419" w:name="_Toc60224355"/>
      <w:bookmarkStart w:id="420" w:name="_Toc11297"/>
      <w:bookmarkStart w:id="421" w:name="_Toc71191988"/>
      <w:bookmarkStart w:id="422" w:name="_Toc13320"/>
      <w:r>
        <w:rPr>
          <w:rFonts w:ascii="仿宋" w:hAnsi="仿宋" w:cs="宋体"/>
          <w:color w:val="auto"/>
          <w:highlight w:val="none"/>
        </w:rPr>
        <w:t>6.2 评标原则</w:t>
      </w:r>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p>
    <w:p w14:paraId="0F3B8CE6">
      <w:pPr>
        <w:pageBreakBefore w:val="0"/>
        <w:widowControl/>
        <w:kinsoku/>
        <w:overflowPunct/>
        <w:topLinePunct/>
        <w:bidi w:val="0"/>
        <w:spacing w:line="600" w:lineRule="exact"/>
        <w:ind w:firstLine="480" w:firstLineChars="200"/>
        <w:rPr>
          <w:rFonts w:hint="eastAsia" w:ascii="仿宋" w:hAnsi="仿宋" w:eastAsia="仿宋" w:cs="宋体"/>
          <w:color w:val="auto"/>
          <w:kern w:val="0"/>
          <w:sz w:val="24"/>
          <w:szCs w:val="24"/>
          <w:highlight w:val="none"/>
        </w:rPr>
      </w:pPr>
      <w:bookmarkStart w:id="423" w:name="_Toc334766956"/>
      <w:bookmarkStart w:id="424" w:name="_Toc326223569"/>
      <w:bookmarkStart w:id="425" w:name="_Toc144974533"/>
      <w:bookmarkStart w:id="426" w:name="_Toc152042341"/>
      <w:bookmarkStart w:id="427" w:name="_Toc332188202"/>
      <w:bookmarkStart w:id="428" w:name="_Toc179632583"/>
      <w:bookmarkStart w:id="429" w:name="_Toc152045565"/>
      <w:bookmarkStart w:id="430" w:name="_Toc246996209"/>
      <w:bookmarkStart w:id="431" w:name="_Toc247085723"/>
      <w:bookmarkStart w:id="432" w:name="_Toc246996952"/>
      <w:r>
        <w:rPr>
          <w:rFonts w:hint="eastAsia" w:ascii="仿宋" w:hAnsi="仿宋" w:eastAsia="仿宋" w:cs="宋体"/>
          <w:color w:val="auto"/>
          <w:kern w:val="0"/>
          <w:sz w:val="24"/>
          <w:szCs w:val="24"/>
          <w:highlight w:val="none"/>
        </w:rPr>
        <w:t>6.2.1 评标活动遵循公平、公正、科学和择优的原则。</w:t>
      </w:r>
    </w:p>
    <w:p w14:paraId="220B0C15">
      <w:pPr>
        <w:pageBreakBefore w:val="0"/>
        <w:widowControl/>
        <w:kinsoku/>
        <w:overflowPunct/>
        <w:topLinePunct/>
        <w:bidi w:val="0"/>
        <w:spacing w:line="600" w:lineRule="exact"/>
        <w:ind w:firstLine="480" w:firstLineChars="200"/>
        <w:rPr>
          <w:rFonts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6.2.2评标委员会应当按照第三章“评标办法”规定的评标标准和方法，客观、公正地对投标文件进行评审和比较、提出评审意见。招标文件没有规定的评标标准和方法不得作为评标的依据。</w:t>
      </w:r>
    </w:p>
    <w:p w14:paraId="3E001E88">
      <w:pPr>
        <w:pStyle w:val="5"/>
        <w:pageBreakBefore w:val="0"/>
        <w:kinsoku/>
        <w:overflowPunct/>
        <w:bidi w:val="0"/>
        <w:spacing w:line="600" w:lineRule="exact"/>
        <w:ind w:firstLine="0" w:firstLineChars="0"/>
        <w:rPr>
          <w:rFonts w:ascii="仿宋" w:hAnsi="仿宋" w:cs="宋体"/>
          <w:color w:val="auto"/>
          <w:highlight w:val="none"/>
        </w:rPr>
      </w:pPr>
      <w:bookmarkStart w:id="433" w:name="_Toc60224356"/>
      <w:bookmarkStart w:id="434" w:name="_Toc7172"/>
      <w:bookmarkStart w:id="435" w:name="_Toc29632"/>
      <w:bookmarkStart w:id="436" w:name="_Toc71191989"/>
      <w:bookmarkStart w:id="437" w:name="_Toc109124270"/>
      <w:r>
        <w:rPr>
          <w:rFonts w:ascii="仿宋" w:hAnsi="仿宋" w:cs="宋体"/>
          <w:color w:val="auto"/>
          <w:highlight w:val="none"/>
        </w:rPr>
        <w:t>6.3 评标</w:t>
      </w:r>
      <w:bookmarkEnd w:id="423"/>
      <w:bookmarkEnd w:id="424"/>
      <w:bookmarkEnd w:id="425"/>
      <w:bookmarkEnd w:id="426"/>
      <w:bookmarkEnd w:id="427"/>
      <w:bookmarkEnd w:id="428"/>
      <w:bookmarkEnd w:id="429"/>
      <w:bookmarkEnd w:id="430"/>
      <w:bookmarkEnd w:id="431"/>
      <w:bookmarkEnd w:id="432"/>
      <w:r>
        <w:rPr>
          <w:rFonts w:ascii="仿宋" w:hAnsi="仿宋" w:cs="宋体"/>
          <w:color w:val="auto"/>
          <w:highlight w:val="none"/>
        </w:rPr>
        <w:t>方法</w:t>
      </w:r>
      <w:bookmarkEnd w:id="433"/>
      <w:bookmarkEnd w:id="434"/>
      <w:bookmarkEnd w:id="435"/>
      <w:bookmarkEnd w:id="436"/>
      <w:bookmarkEnd w:id="437"/>
    </w:p>
    <w:p w14:paraId="428B80B0">
      <w:pPr>
        <w:pageBreakBefore w:val="0"/>
        <w:widowControl/>
        <w:kinsoku/>
        <w:overflowPunct/>
        <w:topLinePunct/>
        <w:bidi w:val="0"/>
        <w:spacing w:line="600" w:lineRule="exact"/>
        <w:ind w:firstLine="480" w:firstLineChars="200"/>
        <w:rPr>
          <w:rFonts w:hint="eastAsia" w:ascii="仿宋" w:hAnsi="仿宋" w:eastAsia="仿宋" w:cs="宋体"/>
          <w:color w:val="auto"/>
          <w:kern w:val="0"/>
          <w:sz w:val="24"/>
          <w:szCs w:val="24"/>
          <w:highlight w:val="none"/>
        </w:rPr>
      </w:pPr>
      <w:bookmarkStart w:id="438" w:name="_Toc179632584"/>
      <w:bookmarkStart w:id="439" w:name="_Toc246996953"/>
      <w:bookmarkStart w:id="440" w:name="_Toc152045566"/>
      <w:bookmarkStart w:id="441" w:name="_Toc152042342"/>
      <w:bookmarkStart w:id="442" w:name="_Toc246996210"/>
      <w:bookmarkStart w:id="443" w:name="_Toc144974534"/>
      <w:bookmarkStart w:id="444" w:name="_Toc247085724"/>
      <w:r>
        <w:rPr>
          <w:rFonts w:hint="eastAsia" w:ascii="仿宋" w:hAnsi="仿宋" w:eastAsia="仿宋" w:cs="宋体"/>
          <w:color w:val="auto"/>
          <w:kern w:val="0"/>
          <w:sz w:val="24"/>
          <w:szCs w:val="24"/>
          <w:highlight w:val="none"/>
        </w:rPr>
        <w:t>6.3.1 招标文件中详细载明下述评标方法之一作为本次评标所采用的评标方法。评标方法见投标人须知前附表。</w:t>
      </w:r>
    </w:p>
    <w:p w14:paraId="5E1B1C46">
      <w:pPr>
        <w:pageBreakBefore w:val="0"/>
        <w:widowControl/>
        <w:kinsoku/>
        <w:overflowPunct/>
        <w:topLinePunct/>
        <w:bidi w:val="0"/>
        <w:spacing w:line="600" w:lineRule="exact"/>
        <w:ind w:firstLine="480" w:firstLineChars="200"/>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6.3.2 经评审的最低投标价法：能够满足招标文件的实质性要求，并且经评审的投标价格最低的投标，应当推荐为中标候选人，但是价格低于成本的除外。</w:t>
      </w:r>
    </w:p>
    <w:p w14:paraId="37CFF2F5">
      <w:pPr>
        <w:pageBreakBefore w:val="0"/>
        <w:widowControl/>
        <w:kinsoku/>
        <w:overflowPunct/>
        <w:topLinePunct/>
        <w:bidi w:val="0"/>
        <w:spacing w:line="600" w:lineRule="exact"/>
        <w:ind w:firstLine="480" w:firstLineChars="200"/>
        <w:rPr>
          <w:rFonts w:hint="eastAsia" w:ascii="仿宋" w:hAnsi="仿宋" w:eastAsia="仿宋" w:cs="宋体"/>
          <w:color w:val="auto"/>
          <w:spacing w:val="-4"/>
          <w:kern w:val="0"/>
          <w:sz w:val="24"/>
          <w:szCs w:val="24"/>
          <w:highlight w:val="none"/>
        </w:rPr>
      </w:pPr>
      <w:r>
        <w:rPr>
          <w:rFonts w:hint="eastAsia" w:ascii="仿宋" w:hAnsi="仿宋" w:eastAsia="仿宋" w:cs="宋体"/>
          <w:color w:val="auto"/>
          <w:kern w:val="0"/>
          <w:sz w:val="24"/>
          <w:szCs w:val="24"/>
          <w:highlight w:val="none"/>
        </w:rPr>
        <w:t xml:space="preserve">6.3.3 </w:t>
      </w:r>
      <w:r>
        <w:rPr>
          <w:rFonts w:hint="eastAsia" w:ascii="仿宋" w:hAnsi="仿宋" w:eastAsia="仿宋" w:cs="宋体"/>
          <w:color w:val="auto"/>
          <w:spacing w:val="-4"/>
          <w:kern w:val="0"/>
          <w:sz w:val="24"/>
          <w:szCs w:val="24"/>
          <w:highlight w:val="none"/>
        </w:rPr>
        <w:t>综合评分法：最大限度地满足招标文件中规定的各项综合评价标准的投标，应当推荐为中标候选人，量化的标准和权重应当在招标文件中明确规定。</w:t>
      </w:r>
    </w:p>
    <w:p w14:paraId="1598273F">
      <w:pPr>
        <w:pageBreakBefore w:val="0"/>
        <w:widowControl/>
        <w:kinsoku/>
        <w:overflowPunct/>
        <w:topLinePunct/>
        <w:bidi w:val="0"/>
        <w:spacing w:line="600" w:lineRule="exact"/>
        <w:ind w:firstLine="480" w:firstLineChars="200"/>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6.3.4 法律、法规允许的其他评标方法。</w:t>
      </w:r>
    </w:p>
    <w:p w14:paraId="4347DE19">
      <w:pPr>
        <w:pStyle w:val="5"/>
        <w:pageBreakBefore w:val="0"/>
        <w:kinsoku/>
        <w:overflowPunct/>
        <w:bidi w:val="0"/>
        <w:spacing w:line="600" w:lineRule="exact"/>
        <w:ind w:firstLine="0" w:firstLineChars="0"/>
        <w:rPr>
          <w:rFonts w:ascii="仿宋" w:hAnsi="仿宋" w:cs="宋体"/>
          <w:color w:val="auto"/>
          <w:highlight w:val="none"/>
        </w:rPr>
      </w:pPr>
      <w:bookmarkStart w:id="445" w:name="_Toc109124271"/>
      <w:bookmarkStart w:id="446" w:name="_Toc71191990"/>
      <w:bookmarkStart w:id="447" w:name="_Toc60224357"/>
      <w:bookmarkStart w:id="448" w:name="_Toc22331"/>
      <w:bookmarkStart w:id="449" w:name="_Toc19769"/>
      <w:r>
        <w:rPr>
          <w:rFonts w:ascii="仿宋" w:hAnsi="仿宋" w:cs="宋体"/>
          <w:color w:val="auto"/>
          <w:highlight w:val="none"/>
        </w:rPr>
        <w:t>6.4 中标候选人推荐原则</w:t>
      </w:r>
      <w:bookmarkEnd w:id="445"/>
      <w:bookmarkEnd w:id="446"/>
      <w:bookmarkEnd w:id="447"/>
      <w:bookmarkEnd w:id="448"/>
      <w:bookmarkEnd w:id="449"/>
    </w:p>
    <w:p w14:paraId="2F068FFD">
      <w:pPr>
        <w:pageBreakBefore w:val="0"/>
        <w:widowControl/>
        <w:kinsoku/>
        <w:overflowPunct/>
        <w:topLinePunct/>
        <w:bidi w:val="0"/>
        <w:spacing w:line="600" w:lineRule="exact"/>
        <w:ind w:firstLine="464" w:firstLineChars="200"/>
        <w:rPr>
          <w:rFonts w:hint="eastAsia" w:ascii="仿宋" w:hAnsi="仿宋" w:eastAsia="仿宋" w:cs="宋体"/>
          <w:color w:val="auto"/>
          <w:spacing w:val="-4"/>
          <w:kern w:val="0"/>
          <w:sz w:val="24"/>
          <w:szCs w:val="24"/>
          <w:highlight w:val="none"/>
        </w:rPr>
      </w:pPr>
      <w:r>
        <w:rPr>
          <w:rFonts w:hint="eastAsia" w:ascii="仿宋" w:hAnsi="仿宋" w:eastAsia="仿宋" w:cs="宋体"/>
          <w:color w:val="auto"/>
          <w:spacing w:val="-4"/>
          <w:kern w:val="0"/>
          <w:sz w:val="24"/>
          <w:szCs w:val="24"/>
          <w:highlight w:val="none"/>
        </w:rPr>
        <w:t>评标委员会根据投标人须知前附表约定的原则推荐中标候选人。</w:t>
      </w:r>
    </w:p>
    <w:p w14:paraId="182AF29F">
      <w:pPr>
        <w:pStyle w:val="5"/>
        <w:pageBreakBefore w:val="0"/>
        <w:kinsoku/>
        <w:overflowPunct/>
        <w:bidi w:val="0"/>
        <w:spacing w:line="600" w:lineRule="exact"/>
        <w:ind w:firstLine="0" w:firstLineChars="0"/>
        <w:rPr>
          <w:rFonts w:ascii="仿宋" w:hAnsi="仿宋" w:cs="宋体"/>
          <w:color w:val="auto"/>
          <w:highlight w:val="none"/>
        </w:rPr>
      </w:pPr>
      <w:bookmarkStart w:id="450" w:name="_Toc109124272"/>
      <w:bookmarkStart w:id="451" w:name="_Toc71191991"/>
      <w:bookmarkStart w:id="452" w:name="_Toc21364"/>
      <w:bookmarkStart w:id="453" w:name="_Toc60224358"/>
      <w:bookmarkStart w:id="454" w:name="_Toc8982"/>
      <w:r>
        <w:rPr>
          <w:rFonts w:ascii="仿宋" w:hAnsi="仿宋" w:cs="宋体"/>
          <w:color w:val="auto"/>
          <w:highlight w:val="none"/>
        </w:rPr>
        <w:t>6.5 评标报告</w:t>
      </w:r>
      <w:bookmarkEnd w:id="450"/>
      <w:bookmarkEnd w:id="451"/>
      <w:bookmarkEnd w:id="452"/>
      <w:bookmarkEnd w:id="453"/>
      <w:bookmarkEnd w:id="454"/>
    </w:p>
    <w:p w14:paraId="7A45DAFD">
      <w:pPr>
        <w:pageBreakBefore w:val="0"/>
        <w:widowControl/>
        <w:kinsoku/>
        <w:overflowPunct/>
        <w:topLinePunct/>
        <w:bidi w:val="0"/>
        <w:spacing w:line="600" w:lineRule="exact"/>
        <w:ind w:firstLine="464" w:firstLineChars="200"/>
        <w:rPr>
          <w:rFonts w:ascii="仿宋" w:hAnsi="仿宋" w:eastAsia="仿宋" w:cs="宋体"/>
          <w:color w:val="auto"/>
          <w:spacing w:val="-4"/>
          <w:kern w:val="0"/>
          <w:sz w:val="24"/>
          <w:szCs w:val="24"/>
          <w:highlight w:val="none"/>
        </w:rPr>
      </w:pPr>
      <w:r>
        <w:rPr>
          <w:rFonts w:hint="eastAsia" w:ascii="仿宋" w:hAnsi="仿宋" w:eastAsia="仿宋" w:cs="宋体"/>
          <w:color w:val="auto"/>
          <w:spacing w:val="-4"/>
          <w:kern w:val="0"/>
          <w:sz w:val="24"/>
          <w:szCs w:val="24"/>
          <w:highlight w:val="none"/>
        </w:rPr>
        <w:t>6.5.1评标完成后，评标委员会应当及时向招标人提交书面评标报告，并推荐合格的中标候选人，中标候选人应标明排序。</w:t>
      </w:r>
    </w:p>
    <w:p w14:paraId="7C642CF9">
      <w:pPr>
        <w:pageBreakBefore w:val="0"/>
        <w:widowControl/>
        <w:kinsoku/>
        <w:overflowPunct/>
        <w:topLinePunct/>
        <w:bidi w:val="0"/>
        <w:spacing w:line="600" w:lineRule="exact"/>
        <w:ind w:firstLine="464" w:firstLineChars="200"/>
        <w:rPr>
          <w:rFonts w:hint="eastAsia" w:ascii="仿宋" w:hAnsi="仿宋" w:eastAsia="仿宋" w:cs="宋体"/>
          <w:color w:val="auto"/>
          <w:spacing w:val="-4"/>
          <w:kern w:val="0"/>
          <w:sz w:val="24"/>
          <w:szCs w:val="24"/>
          <w:highlight w:val="none"/>
        </w:rPr>
      </w:pPr>
      <w:r>
        <w:rPr>
          <w:rFonts w:ascii="仿宋" w:hAnsi="仿宋" w:eastAsia="仿宋" w:cs="宋体"/>
          <w:color w:val="auto"/>
          <w:spacing w:val="-4"/>
          <w:kern w:val="0"/>
          <w:sz w:val="24"/>
          <w:szCs w:val="24"/>
          <w:highlight w:val="none"/>
        </w:rPr>
        <w:t>6.5.2</w:t>
      </w:r>
      <w:r>
        <w:rPr>
          <w:rFonts w:hint="eastAsia" w:ascii="仿宋" w:hAnsi="仿宋" w:eastAsia="仿宋" w:cs="宋体"/>
          <w:color w:val="auto"/>
          <w:spacing w:val="-4"/>
          <w:kern w:val="0"/>
          <w:sz w:val="24"/>
          <w:szCs w:val="24"/>
          <w:highlight w:val="none"/>
        </w:rPr>
        <w:t>评标报告应当由评标委员会全体成员签字。对评标结果有不同意见的评标委员会成员应当以书面形式说明其不同意见和理由，评标报告应当注明该不同意见。评标委员会成员拒绝在评标报告上签字又不书面说明其不同意见和理由的，视为同意评标结果。</w:t>
      </w:r>
    </w:p>
    <w:p w14:paraId="16280859">
      <w:pPr>
        <w:pStyle w:val="4"/>
        <w:pageBreakBefore w:val="0"/>
        <w:kinsoku/>
        <w:overflowPunct/>
        <w:bidi w:val="0"/>
        <w:spacing w:line="600" w:lineRule="exact"/>
        <w:rPr>
          <w:rFonts w:hint="eastAsia"/>
          <w:color w:val="auto"/>
          <w:highlight w:val="none"/>
        </w:rPr>
      </w:pPr>
      <w:bookmarkStart w:id="455" w:name="_Toc109124273"/>
      <w:bookmarkStart w:id="456" w:name="_Toc24032"/>
      <w:bookmarkStart w:id="457" w:name="_Toc532"/>
      <w:r>
        <w:rPr>
          <w:rFonts w:hint="eastAsia"/>
          <w:color w:val="auto"/>
          <w:highlight w:val="none"/>
        </w:rPr>
        <w:t>7.</w:t>
      </w:r>
      <w:bookmarkEnd w:id="438"/>
      <w:bookmarkEnd w:id="439"/>
      <w:bookmarkEnd w:id="440"/>
      <w:bookmarkEnd w:id="441"/>
      <w:bookmarkEnd w:id="442"/>
      <w:bookmarkEnd w:id="443"/>
      <w:bookmarkEnd w:id="444"/>
      <w:r>
        <w:rPr>
          <w:rFonts w:hint="eastAsia"/>
          <w:color w:val="auto"/>
          <w:highlight w:val="none"/>
        </w:rPr>
        <w:t>中标</w:t>
      </w:r>
      <w:bookmarkEnd w:id="455"/>
      <w:bookmarkEnd w:id="456"/>
      <w:bookmarkEnd w:id="457"/>
    </w:p>
    <w:p w14:paraId="34878702">
      <w:pPr>
        <w:pStyle w:val="5"/>
        <w:pageBreakBefore w:val="0"/>
        <w:kinsoku/>
        <w:overflowPunct/>
        <w:bidi w:val="0"/>
        <w:spacing w:line="600" w:lineRule="exact"/>
        <w:ind w:firstLine="0" w:firstLineChars="0"/>
        <w:rPr>
          <w:rFonts w:ascii="仿宋" w:hAnsi="仿宋" w:cs="宋体"/>
          <w:color w:val="auto"/>
          <w:highlight w:val="none"/>
        </w:rPr>
      </w:pPr>
      <w:bookmarkStart w:id="458" w:name="_Toc332188204"/>
      <w:bookmarkStart w:id="459" w:name="_Toc179632585"/>
      <w:bookmarkStart w:id="460" w:name="_Toc246996211"/>
      <w:bookmarkStart w:id="461" w:name="_Toc334766958"/>
      <w:bookmarkStart w:id="462" w:name="_Toc152042343"/>
      <w:bookmarkStart w:id="463" w:name="_Toc144974535"/>
      <w:bookmarkStart w:id="464" w:name="_Toc247085725"/>
      <w:bookmarkStart w:id="465" w:name="_Toc152045567"/>
      <w:bookmarkStart w:id="466" w:name="_Toc246996954"/>
      <w:bookmarkStart w:id="467" w:name="_Toc326223571"/>
      <w:bookmarkStart w:id="468" w:name="_Toc109124274"/>
      <w:bookmarkStart w:id="469" w:name="_Toc26416"/>
      <w:bookmarkStart w:id="470" w:name="_Toc71191993"/>
      <w:bookmarkStart w:id="471" w:name="_Toc60224360"/>
      <w:bookmarkStart w:id="472" w:name="_Toc27928"/>
      <w:r>
        <w:rPr>
          <w:rFonts w:ascii="仿宋" w:hAnsi="仿宋" w:cs="宋体"/>
          <w:color w:val="auto"/>
          <w:highlight w:val="none"/>
        </w:rPr>
        <w:t>7.1</w:t>
      </w:r>
      <w:bookmarkEnd w:id="458"/>
      <w:bookmarkEnd w:id="459"/>
      <w:bookmarkEnd w:id="460"/>
      <w:bookmarkEnd w:id="461"/>
      <w:bookmarkEnd w:id="462"/>
      <w:bookmarkEnd w:id="463"/>
      <w:bookmarkEnd w:id="464"/>
      <w:bookmarkEnd w:id="465"/>
      <w:bookmarkEnd w:id="466"/>
      <w:bookmarkEnd w:id="467"/>
      <w:r>
        <w:rPr>
          <w:rFonts w:ascii="仿宋" w:hAnsi="仿宋" w:cs="宋体"/>
          <w:color w:val="auto"/>
          <w:highlight w:val="none"/>
        </w:rPr>
        <w:t xml:space="preserve"> 中标候选人公示</w:t>
      </w:r>
      <w:bookmarkEnd w:id="468"/>
      <w:bookmarkEnd w:id="469"/>
      <w:bookmarkEnd w:id="470"/>
      <w:bookmarkEnd w:id="471"/>
      <w:bookmarkEnd w:id="472"/>
    </w:p>
    <w:p w14:paraId="301CAC4D">
      <w:pPr>
        <w:pageBreakBefore w:val="0"/>
        <w:widowControl/>
        <w:kinsoku/>
        <w:overflowPunct/>
        <w:topLinePunct/>
        <w:bidi w:val="0"/>
        <w:spacing w:line="600" w:lineRule="exact"/>
        <w:ind w:firstLine="480" w:firstLineChars="200"/>
        <w:rPr>
          <w:rFonts w:hint="eastAsia" w:ascii="仿宋" w:hAnsi="仿宋" w:eastAsia="仿宋" w:cs="宋体"/>
          <w:color w:val="auto"/>
          <w:kern w:val="0"/>
          <w:sz w:val="24"/>
          <w:szCs w:val="24"/>
          <w:highlight w:val="none"/>
        </w:rPr>
      </w:pPr>
      <w:bookmarkStart w:id="473" w:name="_Toc326223572"/>
      <w:bookmarkStart w:id="474" w:name="_Toc332188205"/>
      <w:bookmarkStart w:id="475" w:name="_Toc334766959"/>
      <w:r>
        <w:rPr>
          <w:rFonts w:hint="eastAsia" w:ascii="仿宋" w:hAnsi="仿宋" w:eastAsia="仿宋" w:cs="宋体"/>
          <w:color w:val="auto"/>
          <w:kern w:val="0"/>
          <w:sz w:val="24"/>
          <w:szCs w:val="24"/>
          <w:highlight w:val="none"/>
        </w:rPr>
        <w:t>7.1.1公开招标的采购项目，招标人将在完成评标报告之日起3日内在招标公告发布的同一平台发布中标候选人公示，公示期不少于3个日历日，如公示期最后一日为法定节假日，公示期将顺延至下1个工作日。</w:t>
      </w:r>
    </w:p>
    <w:p w14:paraId="326B404F">
      <w:pPr>
        <w:pageBreakBefore w:val="0"/>
        <w:widowControl/>
        <w:kinsoku/>
        <w:overflowPunct/>
        <w:topLinePunct/>
        <w:bidi w:val="0"/>
        <w:spacing w:line="600" w:lineRule="exact"/>
        <w:ind w:firstLine="480" w:firstLineChars="200"/>
        <w:rPr>
          <w:rFonts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7.1.2投标人或者其他利害关系人（是与该招标项目或者招标活动有直接或者间接利益关系的法人、其他组织和自然人）对评标结果有异议的，应在中标候选人公示期间以书面形式通过邮件或信函方式提出，应有具体明确的异议事项、与异议事项相关的请求和必要的证明材料。</w:t>
      </w:r>
    </w:p>
    <w:p w14:paraId="0974F988">
      <w:pPr>
        <w:pageBreakBefore w:val="0"/>
        <w:widowControl/>
        <w:kinsoku/>
        <w:overflowPunct/>
        <w:topLinePunct/>
        <w:bidi w:val="0"/>
        <w:spacing w:line="600" w:lineRule="exact"/>
        <w:ind w:firstLine="480" w:firstLineChars="200"/>
        <w:rPr>
          <w:rFonts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7</w:t>
      </w:r>
      <w:r>
        <w:rPr>
          <w:rFonts w:ascii="仿宋" w:hAnsi="仿宋" w:eastAsia="仿宋" w:cs="宋体"/>
          <w:color w:val="auto"/>
          <w:kern w:val="0"/>
          <w:sz w:val="24"/>
          <w:szCs w:val="24"/>
          <w:highlight w:val="none"/>
        </w:rPr>
        <w:t>.1.3</w:t>
      </w:r>
      <w:r>
        <w:rPr>
          <w:rFonts w:hint="eastAsia" w:ascii="仿宋" w:hAnsi="仿宋" w:eastAsia="仿宋" w:cs="宋体"/>
          <w:color w:val="auto"/>
          <w:kern w:val="0"/>
          <w:sz w:val="24"/>
          <w:szCs w:val="24"/>
          <w:highlight w:val="none"/>
        </w:rPr>
        <w:t>异议采取实名制，如异议人为自然人，应提交个人签名的异议函以及必要的证明材料、有效的身份证明材料、个人与招标项目直接或间接利益关系说明函。如异议人为法人、其他组织，应提交加盖公章并由法定代表人（负责人）或受其委托的授权代表签字的异议函及必要的证明材料。</w:t>
      </w:r>
    </w:p>
    <w:p w14:paraId="0EE9CFD4">
      <w:pPr>
        <w:pageBreakBefore w:val="0"/>
        <w:widowControl/>
        <w:kinsoku/>
        <w:overflowPunct/>
        <w:topLinePunct/>
        <w:bidi w:val="0"/>
        <w:spacing w:line="600" w:lineRule="exact"/>
        <w:ind w:firstLine="480" w:firstLineChars="200"/>
        <w:rPr>
          <w:rFonts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7</w:t>
      </w:r>
      <w:r>
        <w:rPr>
          <w:rFonts w:ascii="仿宋" w:hAnsi="仿宋" w:eastAsia="仿宋" w:cs="宋体"/>
          <w:color w:val="auto"/>
          <w:kern w:val="0"/>
          <w:sz w:val="24"/>
          <w:szCs w:val="24"/>
          <w:highlight w:val="none"/>
        </w:rPr>
        <w:t>.1.4</w:t>
      </w:r>
      <w:r>
        <w:rPr>
          <w:rFonts w:hint="eastAsia" w:ascii="仿宋" w:hAnsi="仿宋" w:eastAsia="仿宋" w:cs="宋体"/>
          <w:color w:val="auto"/>
          <w:kern w:val="0"/>
          <w:sz w:val="24"/>
          <w:szCs w:val="24"/>
          <w:highlight w:val="none"/>
        </w:rPr>
        <w:t>招标人对投标人和其他利害关系人提出的异议作出答复后，投标人和其他利害关系人在异议期内依然存在同样异议的，不应当就同样的问题反复提出同样的异议。</w:t>
      </w:r>
    </w:p>
    <w:p w14:paraId="6A862471">
      <w:pPr>
        <w:pageBreakBefore w:val="0"/>
        <w:widowControl/>
        <w:kinsoku/>
        <w:overflowPunct/>
        <w:topLinePunct/>
        <w:bidi w:val="0"/>
        <w:spacing w:line="600" w:lineRule="exact"/>
        <w:ind w:firstLine="480" w:firstLineChars="200"/>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7</w:t>
      </w:r>
      <w:r>
        <w:rPr>
          <w:rFonts w:ascii="仿宋" w:hAnsi="仿宋" w:eastAsia="仿宋" w:cs="宋体"/>
          <w:color w:val="auto"/>
          <w:kern w:val="0"/>
          <w:sz w:val="24"/>
          <w:szCs w:val="24"/>
          <w:highlight w:val="none"/>
        </w:rPr>
        <w:t xml:space="preserve">.1.5 </w:t>
      </w:r>
      <w:r>
        <w:rPr>
          <w:rFonts w:hint="eastAsia" w:ascii="仿宋" w:hAnsi="仿宋" w:eastAsia="仿宋" w:cs="宋体"/>
          <w:color w:val="auto"/>
          <w:kern w:val="0"/>
          <w:sz w:val="24"/>
          <w:szCs w:val="24"/>
          <w:highlight w:val="none"/>
        </w:rPr>
        <w:t>投标人捏造事实、提供虚假材料或者以非法手段取得证明材料提出异议，以及假冒他人名义提出异议的，认定为供应商不良行为，按照招标人供应商管理办法有关规定处理。</w:t>
      </w:r>
    </w:p>
    <w:p w14:paraId="2D3829DB">
      <w:pPr>
        <w:pStyle w:val="5"/>
        <w:pageBreakBefore w:val="0"/>
        <w:kinsoku/>
        <w:overflowPunct/>
        <w:bidi w:val="0"/>
        <w:spacing w:line="600" w:lineRule="exact"/>
        <w:ind w:firstLine="0" w:firstLineChars="0"/>
        <w:rPr>
          <w:rFonts w:ascii="仿宋" w:hAnsi="仿宋" w:cs="宋体"/>
          <w:color w:val="auto"/>
          <w:highlight w:val="none"/>
        </w:rPr>
      </w:pPr>
      <w:bookmarkStart w:id="476" w:name="_Toc60224361"/>
      <w:bookmarkStart w:id="477" w:name="_Toc109124275"/>
      <w:bookmarkStart w:id="478" w:name="_Toc4538"/>
      <w:bookmarkStart w:id="479" w:name="_Toc71191994"/>
      <w:bookmarkStart w:id="480" w:name="_Toc25855"/>
      <w:r>
        <w:rPr>
          <w:rFonts w:ascii="仿宋" w:hAnsi="仿宋" w:cs="宋体"/>
          <w:color w:val="auto"/>
          <w:highlight w:val="none"/>
        </w:rPr>
        <w:t xml:space="preserve">7.2 </w:t>
      </w:r>
      <w:bookmarkEnd w:id="473"/>
      <w:bookmarkEnd w:id="474"/>
      <w:bookmarkEnd w:id="475"/>
      <w:r>
        <w:rPr>
          <w:rFonts w:ascii="仿宋" w:hAnsi="仿宋" w:cs="宋体"/>
          <w:color w:val="auto"/>
          <w:highlight w:val="none"/>
        </w:rPr>
        <w:t>确定中标人</w:t>
      </w:r>
      <w:bookmarkEnd w:id="476"/>
      <w:bookmarkEnd w:id="477"/>
      <w:bookmarkEnd w:id="478"/>
      <w:bookmarkEnd w:id="479"/>
      <w:bookmarkEnd w:id="480"/>
    </w:p>
    <w:p w14:paraId="20F4E2E9">
      <w:pPr>
        <w:pageBreakBefore w:val="0"/>
        <w:widowControl/>
        <w:kinsoku/>
        <w:overflowPunct/>
        <w:topLinePunct/>
        <w:bidi w:val="0"/>
        <w:spacing w:line="600" w:lineRule="exact"/>
        <w:ind w:firstLine="480" w:firstLineChars="200"/>
        <w:rPr>
          <w:rFonts w:hint="eastAsia" w:ascii="仿宋" w:hAnsi="仿宋" w:eastAsia="仿宋" w:cs="宋体"/>
          <w:color w:val="auto"/>
          <w:kern w:val="0"/>
          <w:sz w:val="24"/>
          <w:szCs w:val="24"/>
          <w:highlight w:val="none"/>
        </w:rPr>
      </w:pPr>
      <w:bookmarkStart w:id="481" w:name="_Toc246996212"/>
      <w:bookmarkStart w:id="482" w:name="_Toc332188206"/>
      <w:bookmarkStart w:id="483" w:name="_Toc144974536"/>
      <w:bookmarkStart w:id="484" w:name="_Toc326223573"/>
      <w:bookmarkStart w:id="485" w:name="_Toc152045568"/>
      <w:bookmarkStart w:id="486" w:name="_Toc152042344"/>
      <w:bookmarkStart w:id="487" w:name="_Toc179632586"/>
      <w:bookmarkStart w:id="488" w:name="_Toc334766960"/>
      <w:bookmarkStart w:id="489" w:name="_Toc247085726"/>
      <w:bookmarkStart w:id="490" w:name="_Toc246996955"/>
      <w:r>
        <w:rPr>
          <w:rFonts w:hint="eastAsia" w:ascii="仿宋" w:hAnsi="仿宋" w:eastAsia="仿宋" w:cs="宋体"/>
          <w:color w:val="auto"/>
          <w:kern w:val="0"/>
          <w:sz w:val="24"/>
          <w:szCs w:val="24"/>
          <w:highlight w:val="none"/>
        </w:rPr>
        <w:t>7.2.1 除投标人须知前附表规定评标委员会直接确定中标人外，招标人根据评标委员会提出的书面评标报告和推荐的中标候选人确定中标人，中标人数量见投标人须知前附表。</w:t>
      </w:r>
    </w:p>
    <w:p w14:paraId="3654469A">
      <w:pPr>
        <w:pageBreakBefore w:val="0"/>
        <w:widowControl/>
        <w:kinsoku/>
        <w:overflowPunct/>
        <w:topLinePunct/>
        <w:bidi w:val="0"/>
        <w:spacing w:line="600" w:lineRule="exact"/>
        <w:ind w:firstLine="480" w:firstLineChars="200"/>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7.2.2 招标人根据评标委员会推荐的中标候选人名单排序依次确定中标人，具体中标原则见投标人须知前附表。</w:t>
      </w:r>
    </w:p>
    <w:p w14:paraId="7B4F77DB">
      <w:pPr>
        <w:pageBreakBefore w:val="0"/>
        <w:widowControl/>
        <w:kinsoku/>
        <w:overflowPunct/>
        <w:topLinePunct/>
        <w:bidi w:val="0"/>
        <w:spacing w:line="600" w:lineRule="exact"/>
        <w:ind w:firstLine="480" w:firstLineChars="200"/>
        <w:rPr>
          <w:rFonts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7.2.3在确定中标人前，招标人不得与投标人就投标价格、投标方案等实质性内容进行谈判。</w:t>
      </w:r>
    </w:p>
    <w:p w14:paraId="1ED2309A">
      <w:pPr>
        <w:pageBreakBefore w:val="0"/>
        <w:widowControl/>
        <w:kinsoku/>
        <w:overflowPunct/>
        <w:topLinePunct/>
        <w:bidi w:val="0"/>
        <w:spacing w:line="600" w:lineRule="exact"/>
        <w:ind w:firstLine="480" w:firstLineChars="200"/>
        <w:rPr>
          <w:rFonts w:hint="eastAsia" w:ascii="宋体" w:hAnsi="宋体"/>
          <w:color w:val="auto"/>
          <w:szCs w:val="21"/>
          <w:highlight w:val="none"/>
        </w:rPr>
      </w:pPr>
      <w:r>
        <w:rPr>
          <w:rFonts w:hint="eastAsia" w:ascii="仿宋" w:hAnsi="仿宋" w:eastAsia="仿宋" w:cs="宋体"/>
          <w:color w:val="auto"/>
          <w:kern w:val="0"/>
          <w:sz w:val="24"/>
          <w:szCs w:val="24"/>
          <w:highlight w:val="none"/>
        </w:rPr>
        <w:t>7</w:t>
      </w:r>
      <w:r>
        <w:rPr>
          <w:rFonts w:ascii="仿宋" w:hAnsi="仿宋" w:eastAsia="仿宋" w:cs="宋体"/>
          <w:color w:val="auto"/>
          <w:kern w:val="0"/>
          <w:sz w:val="24"/>
          <w:szCs w:val="24"/>
          <w:highlight w:val="none"/>
        </w:rPr>
        <w:t>.2.</w:t>
      </w:r>
      <w:r>
        <w:rPr>
          <w:rFonts w:hint="eastAsia" w:ascii="仿宋" w:hAnsi="仿宋" w:eastAsia="仿宋" w:cs="宋体"/>
          <w:color w:val="auto"/>
          <w:kern w:val="0"/>
          <w:sz w:val="24"/>
          <w:szCs w:val="24"/>
          <w:highlight w:val="none"/>
        </w:rPr>
        <w:t>4中标候选人的经营、财务状况发生较大变化或者存在违法行为，招标人认为可能影响其履约能力的，将在发出中标通知书前由原评标委员会按照招标文件规定的标准和方法审查确认。</w:t>
      </w:r>
    </w:p>
    <w:p w14:paraId="3CA652B9">
      <w:pPr>
        <w:pStyle w:val="5"/>
        <w:pageBreakBefore w:val="0"/>
        <w:kinsoku/>
        <w:overflowPunct/>
        <w:bidi w:val="0"/>
        <w:spacing w:line="600" w:lineRule="exact"/>
        <w:ind w:firstLine="0" w:firstLineChars="0"/>
        <w:rPr>
          <w:rFonts w:ascii="仿宋" w:hAnsi="仿宋" w:cs="宋体"/>
          <w:color w:val="auto"/>
          <w:highlight w:val="none"/>
        </w:rPr>
      </w:pPr>
      <w:bookmarkStart w:id="491" w:name="_Toc8102"/>
      <w:bookmarkStart w:id="492" w:name="_Toc60224362"/>
      <w:bookmarkStart w:id="493" w:name="_Toc109124276"/>
      <w:bookmarkStart w:id="494" w:name="_Toc15904"/>
      <w:bookmarkStart w:id="495" w:name="_Toc71191995"/>
      <w:r>
        <w:rPr>
          <w:rFonts w:ascii="仿宋" w:hAnsi="仿宋" w:cs="宋体"/>
          <w:color w:val="auto"/>
          <w:highlight w:val="none"/>
        </w:rPr>
        <w:t>7.3 中标结果</w:t>
      </w:r>
      <w:bookmarkEnd w:id="491"/>
      <w:bookmarkEnd w:id="492"/>
      <w:r>
        <w:rPr>
          <w:rFonts w:ascii="仿宋" w:hAnsi="仿宋" w:cs="宋体"/>
          <w:color w:val="auto"/>
          <w:highlight w:val="none"/>
        </w:rPr>
        <w:t>公示</w:t>
      </w:r>
      <w:bookmarkEnd w:id="493"/>
      <w:bookmarkEnd w:id="494"/>
      <w:bookmarkEnd w:id="495"/>
    </w:p>
    <w:p w14:paraId="5DED7DFD">
      <w:pPr>
        <w:pageBreakBefore w:val="0"/>
        <w:widowControl/>
        <w:kinsoku/>
        <w:overflowPunct/>
        <w:topLinePunct/>
        <w:bidi w:val="0"/>
        <w:spacing w:line="600" w:lineRule="exact"/>
        <w:ind w:firstLine="480" w:firstLineChars="200"/>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采用公开招标方式的采购项目，应当发布中标结果公示，内容包括但不限于招标项目名称、招标人、招标代理机构、招标公告日期、中标人、中标内容及价格等基本要素。中标结果公示应与招标公告在同一渠道公开。</w:t>
      </w:r>
    </w:p>
    <w:p w14:paraId="7A0483F8">
      <w:pPr>
        <w:pStyle w:val="5"/>
        <w:pageBreakBefore w:val="0"/>
        <w:kinsoku/>
        <w:overflowPunct/>
        <w:bidi w:val="0"/>
        <w:spacing w:line="600" w:lineRule="exact"/>
        <w:ind w:firstLine="0" w:firstLineChars="0"/>
        <w:rPr>
          <w:rFonts w:ascii="仿宋" w:hAnsi="仿宋" w:cs="宋体"/>
          <w:color w:val="auto"/>
          <w:highlight w:val="none"/>
        </w:rPr>
      </w:pPr>
      <w:bookmarkStart w:id="496" w:name="_Toc109124277"/>
      <w:bookmarkStart w:id="497" w:name="_Toc71191996"/>
      <w:bookmarkStart w:id="498" w:name="_Toc60224363"/>
      <w:bookmarkStart w:id="499" w:name="_Toc24847"/>
      <w:bookmarkStart w:id="500" w:name="_Toc30350"/>
      <w:r>
        <w:rPr>
          <w:rFonts w:ascii="仿宋" w:hAnsi="仿宋" w:cs="宋体"/>
          <w:color w:val="auto"/>
          <w:highlight w:val="none"/>
        </w:rPr>
        <w:t>7.4 中标通知</w:t>
      </w:r>
      <w:bookmarkEnd w:id="481"/>
      <w:bookmarkEnd w:id="482"/>
      <w:bookmarkEnd w:id="483"/>
      <w:bookmarkEnd w:id="484"/>
      <w:bookmarkEnd w:id="485"/>
      <w:bookmarkEnd w:id="486"/>
      <w:bookmarkEnd w:id="487"/>
      <w:bookmarkEnd w:id="488"/>
      <w:bookmarkEnd w:id="489"/>
      <w:bookmarkEnd w:id="490"/>
      <w:bookmarkEnd w:id="496"/>
      <w:bookmarkEnd w:id="497"/>
      <w:bookmarkEnd w:id="498"/>
      <w:bookmarkEnd w:id="499"/>
      <w:bookmarkEnd w:id="500"/>
    </w:p>
    <w:p w14:paraId="17F5E6E0">
      <w:pPr>
        <w:pageBreakBefore w:val="0"/>
        <w:widowControl/>
        <w:kinsoku/>
        <w:overflowPunct/>
        <w:topLinePunct/>
        <w:bidi w:val="0"/>
        <w:spacing w:line="600" w:lineRule="exact"/>
        <w:ind w:firstLine="480" w:firstLineChars="200"/>
        <w:rPr>
          <w:rFonts w:hint="eastAsia" w:ascii="仿宋" w:hAnsi="仿宋" w:eastAsia="仿宋" w:cs="宋体"/>
          <w:color w:val="auto"/>
          <w:kern w:val="0"/>
          <w:sz w:val="24"/>
          <w:szCs w:val="24"/>
          <w:highlight w:val="none"/>
        </w:rPr>
      </w:pPr>
      <w:bookmarkStart w:id="501" w:name="_Toc246996213"/>
      <w:bookmarkStart w:id="502" w:name="_Toc152045569"/>
      <w:bookmarkStart w:id="503" w:name="_Toc332188207"/>
      <w:bookmarkStart w:id="504" w:name="_Toc179632587"/>
      <w:bookmarkStart w:id="505" w:name="_Toc326223574"/>
      <w:bookmarkStart w:id="506" w:name="_Toc334766961"/>
      <w:bookmarkStart w:id="507" w:name="_Toc152042345"/>
      <w:bookmarkStart w:id="508" w:name="_Toc246996956"/>
      <w:bookmarkStart w:id="509" w:name="_Toc247085727"/>
      <w:bookmarkStart w:id="510" w:name="_Toc144974537"/>
      <w:r>
        <w:rPr>
          <w:rFonts w:hint="eastAsia" w:ascii="仿宋" w:hAnsi="仿宋" w:eastAsia="仿宋" w:cs="宋体"/>
          <w:color w:val="auto"/>
          <w:kern w:val="0"/>
          <w:sz w:val="24"/>
          <w:szCs w:val="24"/>
          <w:highlight w:val="none"/>
        </w:rPr>
        <w:t>7.4.1 中标人确定后，招标人应当向中标人发出中标通知书，并同时将中标结果通知所有未中标的投标人。</w:t>
      </w:r>
    </w:p>
    <w:p w14:paraId="536F97DD">
      <w:pPr>
        <w:pageBreakBefore w:val="0"/>
        <w:widowControl/>
        <w:kinsoku/>
        <w:overflowPunct/>
        <w:topLinePunct/>
        <w:bidi w:val="0"/>
        <w:spacing w:line="600" w:lineRule="exact"/>
        <w:ind w:firstLine="480" w:firstLineChars="200"/>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7.4.2中标通知书对招标人和中标人具有法律效力。中标通知书发出后，招标人改变中标结果的，或者中标人放弃中标项目的，应当依法承担法律责任</w:t>
      </w:r>
      <w:bookmarkStart w:id="511" w:name="_Hlk142926396"/>
      <w:r>
        <w:rPr>
          <w:rFonts w:hint="eastAsia" w:ascii="仿宋" w:hAnsi="仿宋" w:eastAsia="仿宋" w:cs="宋体"/>
          <w:color w:val="auto"/>
          <w:kern w:val="0"/>
          <w:sz w:val="24"/>
          <w:szCs w:val="24"/>
          <w:highlight w:val="none"/>
        </w:rPr>
        <w:t>，投标保证金不予退还。投标保证金以投标保证保险方式递交的，招标人作为被保险人有权发起保证保险赔偿，保险人有权向投保人（投标人）进行等额追偿。</w:t>
      </w:r>
    </w:p>
    <w:bookmarkEnd w:id="501"/>
    <w:bookmarkEnd w:id="502"/>
    <w:bookmarkEnd w:id="503"/>
    <w:bookmarkEnd w:id="504"/>
    <w:bookmarkEnd w:id="505"/>
    <w:bookmarkEnd w:id="506"/>
    <w:bookmarkEnd w:id="507"/>
    <w:bookmarkEnd w:id="508"/>
    <w:bookmarkEnd w:id="509"/>
    <w:bookmarkEnd w:id="510"/>
    <w:bookmarkEnd w:id="511"/>
    <w:p w14:paraId="0DA4D883">
      <w:pPr>
        <w:pStyle w:val="4"/>
        <w:pageBreakBefore w:val="0"/>
        <w:kinsoku/>
        <w:overflowPunct/>
        <w:bidi w:val="0"/>
        <w:spacing w:line="600" w:lineRule="exact"/>
        <w:rPr>
          <w:rFonts w:hint="eastAsia"/>
          <w:color w:val="auto"/>
          <w:highlight w:val="none"/>
        </w:rPr>
      </w:pPr>
      <w:bookmarkStart w:id="512" w:name="_Toc32618"/>
      <w:bookmarkStart w:id="513" w:name="_Toc3918"/>
      <w:bookmarkStart w:id="514" w:name="_Toc109124278"/>
      <w:r>
        <w:rPr>
          <w:rFonts w:hint="eastAsia"/>
          <w:color w:val="auto"/>
          <w:highlight w:val="none"/>
        </w:rPr>
        <w:t>8.合同签订</w:t>
      </w:r>
      <w:bookmarkEnd w:id="512"/>
      <w:bookmarkEnd w:id="513"/>
      <w:bookmarkEnd w:id="514"/>
    </w:p>
    <w:p w14:paraId="451953C4">
      <w:pPr>
        <w:pStyle w:val="5"/>
        <w:pageBreakBefore w:val="0"/>
        <w:kinsoku/>
        <w:overflowPunct/>
        <w:bidi w:val="0"/>
        <w:spacing w:line="600" w:lineRule="exact"/>
        <w:ind w:firstLine="0" w:firstLineChars="0"/>
        <w:rPr>
          <w:rFonts w:ascii="仿宋" w:hAnsi="仿宋" w:cs="宋体"/>
          <w:color w:val="auto"/>
          <w:highlight w:val="none"/>
        </w:rPr>
      </w:pPr>
      <w:bookmarkStart w:id="515" w:name="_Toc296590983"/>
      <w:bookmarkStart w:id="516" w:name="_Toc334766964"/>
      <w:bookmarkStart w:id="517" w:name="_Toc144974543"/>
      <w:bookmarkStart w:id="518" w:name="_Toc152042351"/>
      <w:bookmarkStart w:id="519" w:name="_Toc246996219"/>
      <w:bookmarkStart w:id="520" w:name="_Toc152045575"/>
      <w:bookmarkStart w:id="521" w:name="_Toc179632593"/>
      <w:bookmarkStart w:id="522" w:name="_Toc247085733"/>
      <w:bookmarkStart w:id="523" w:name="_Toc326223577"/>
      <w:bookmarkStart w:id="524" w:name="_Toc332188210"/>
      <w:bookmarkStart w:id="525" w:name="_Toc246996962"/>
      <w:bookmarkStart w:id="526" w:name="_Toc109124279"/>
      <w:bookmarkStart w:id="527" w:name="_Toc71191998"/>
      <w:bookmarkStart w:id="528" w:name="_Toc20000"/>
      <w:bookmarkStart w:id="529" w:name="_Toc6277"/>
      <w:bookmarkStart w:id="530" w:name="_Toc60224365"/>
      <w:r>
        <w:rPr>
          <w:rFonts w:ascii="仿宋" w:hAnsi="仿宋" w:cs="宋体"/>
          <w:color w:val="auto"/>
          <w:highlight w:val="none"/>
        </w:rPr>
        <w:t xml:space="preserve">8.1 </w:t>
      </w:r>
      <w:bookmarkEnd w:id="515"/>
      <w:bookmarkEnd w:id="516"/>
      <w:bookmarkEnd w:id="517"/>
      <w:bookmarkEnd w:id="518"/>
      <w:bookmarkEnd w:id="519"/>
      <w:bookmarkEnd w:id="520"/>
      <w:bookmarkEnd w:id="521"/>
      <w:bookmarkEnd w:id="522"/>
      <w:bookmarkEnd w:id="523"/>
      <w:bookmarkEnd w:id="524"/>
      <w:bookmarkEnd w:id="525"/>
      <w:r>
        <w:rPr>
          <w:rFonts w:ascii="仿宋" w:hAnsi="仿宋" w:cs="宋体"/>
          <w:color w:val="auto"/>
          <w:highlight w:val="none"/>
        </w:rPr>
        <w:t>履约保证金</w:t>
      </w:r>
      <w:bookmarkEnd w:id="526"/>
      <w:bookmarkEnd w:id="527"/>
      <w:bookmarkEnd w:id="528"/>
      <w:bookmarkEnd w:id="529"/>
      <w:bookmarkEnd w:id="530"/>
    </w:p>
    <w:p w14:paraId="0E7E8F49">
      <w:pPr>
        <w:pageBreakBefore w:val="0"/>
        <w:widowControl/>
        <w:kinsoku/>
        <w:overflowPunct/>
        <w:topLinePunct/>
        <w:bidi w:val="0"/>
        <w:spacing w:line="600" w:lineRule="exact"/>
        <w:ind w:firstLine="480" w:firstLineChars="200"/>
        <w:rPr>
          <w:rFonts w:hint="eastAsia" w:ascii="仿宋" w:hAnsi="仿宋" w:eastAsia="仿宋" w:cs="宋体"/>
          <w:color w:val="auto"/>
          <w:kern w:val="0"/>
          <w:sz w:val="24"/>
          <w:szCs w:val="24"/>
          <w:highlight w:val="none"/>
        </w:rPr>
      </w:pPr>
      <w:bookmarkStart w:id="531" w:name="_Toc334766965"/>
      <w:bookmarkStart w:id="532" w:name="_Toc326223578"/>
      <w:bookmarkStart w:id="533" w:name="_Toc246996963"/>
      <w:bookmarkStart w:id="534" w:name="_Toc152045576"/>
      <w:bookmarkStart w:id="535" w:name="_Toc332188211"/>
      <w:bookmarkStart w:id="536" w:name="_Toc246996220"/>
      <w:bookmarkStart w:id="537" w:name="_Toc179632594"/>
      <w:bookmarkStart w:id="538" w:name="_Toc247085734"/>
      <w:bookmarkStart w:id="539" w:name="_Toc144974544"/>
      <w:bookmarkStart w:id="540" w:name="_Toc152042352"/>
      <w:r>
        <w:rPr>
          <w:rFonts w:hint="eastAsia" w:ascii="仿宋" w:hAnsi="仿宋" w:eastAsia="仿宋" w:cs="宋体"/>
          <w:color w:val="auto"/>
          <w:kern w:val="0"/>
          <w:sz w:val="24"/>
          <w:szCs w:val="24"/>
          <w:highlight w:val="none"/>
        </w:rPr>
        <w:t>8.1.1 招标文件要求中标人提交履约保证金的，中标人应当提交中标人应当按照招标文件的要求提交。履约保证金不得超过中标合同金额的10%。履约保证金金额和方式见投标人须知前附表。</w:t>
      </w:r>
    </w:p>
    <w:p w14:paraId="650E1EA3">
      <w:pPr>
        <w:pageBreakBefore w:val="0"/>
        <w:widowControl/>
        <w:kinsoku/>
        <w:overflowPunct/>
        <w:topLinePunct/>
        <w:bidi w:val="0"/>
        <w:spacing w:line="600" w:lineRule="exact"/>
        <w:ind w:firstLine="480" w:firstLineChars="200"/>
        <w:rPr>
          <w:rFonts w:ascii="仿宋" w:hAnsi="仿宋" w:eastAsia="仿宋" w:cs="宋体"/>
          <w:color w:val="auto"/>
          <w:kern w:val="0"/>
          <w:sz w:val="24"/>
          <w:szCs w:val="24"/>
          <w:highlight w:val="none"/>
        </w:rPr>
      </w:pPr>
      <w:bookmarkStart w:id="541" w:name="_Hlk142926410"/>
      <w:r>
        <w:rPr>
          <w:rFonts w:hint="eastAsia" w:ascii="仿宋" w:hAnsi="仿宋" w:eastAsia="仿宋" w:cs="宋体"/>
          <w:color w:val="auto"/>
          <w:kern w:val="0"/>
          <w:sz w:val="24"/>
          <w:szCs w:val="24"/>
          <w:highlight w:val="none"/>
        </w:rPr>
        <w:t>8.1.2中标人不按照招标文件要求提交履约保证金的，取消其中标资格，投标保证金不予退还。投标保证金以投标保证保险方式递交的，招标人作为被保险人有权发起保证保险赔偿，保险人有权向投保人（投标人）进行等额追偿。</w:t>
      </w:r>
    </w:p>
    <w:bookmarkEnd w:id="541"/>
    <w:p w14:paraId="67E21474">
      <w:pPr>
        <w:pageBreakBefore w:val="0"/>
        <w:widowControl/>
        <w:kinsoku/>
        <w:overflowPunct/>
        <w:topLinePunct/>
        <w:bidi w:val="0"/>
        <w:spacing w:line="600" w:lineRule="exact"/>
        <w:ind w:firstLine="480" w:firstLineChars="200"/>
        <w:rPr>
          <w:rFonts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8</w:t>
      </w:r>
      <w:r>
        <w:rPr>
          <w:rFonts w:ascii="仿宋" w:hAnsi="仿宋" w:eastAsia="仿宋" w:cs="宋体"/>
          <w:color w:val="auto"/>
          <w:kern w:val="0"/>
          <w:sz w:val="24"/>
          <w:szCs w:val="24"/>
          <w:highlight w:val="none"/>
        </w:rPr>
        <w:t>.1.3中标人不履行与招标人订立的合同的，履约保证金不予退还，给招标人造成的损失超过履约保证金数额的，还应当对超过部分予以赔偿；没有提交履约保证金的，应当对招标人的损失承担赔偿责任。</w:t>
      </w:r>
    </w:p>
    <w:p w14:paraId="496CDF1B">
      <w:pPr>
        <w:pStyle w:val="5"/>
        <w:pageBreakBefore w:val="0"/>
        <w:kinsoku/>
        <w:overflowPunct/>
        <w:bidi w:val="0"/>
        <w:spacing w:line="600" w:lineRule="exact"/>
        <w:ind w:firstLine="0" w:firstLineChars="0"/>
        <w:rPr>
          <w:rFonts w:ascii="仿宋" w:hAnsi="仿宋" w:cs="宋体"/>
          <w:color w:val="auto"/>
          <w:highlight w:val="none"/>
        </w:rPr>
      </w:pPr>
      <w:bookmarkStart w:id="542" w:name="_Toc60224366"/>
      <w:bookmarkStart w:id="543" w:name="_Toc71191999"/>
      <w:bookmarkStart w:id="544" w:name="_Toc23774"/>
      <w:bookmarkStart w:id="545" w:name="_Toc109124280"/>
      <w:bookmarkStart w:id="546" w:name="_Toc18661"/>
      <w:r>
        <w:rPr>
          <w:rFonts w:ascii="仿宋" w:hAnsi="仿宋" w:cs="宋体"/>
          <w:color w:val="auto"/>
          <w:highlight w:val="none"/>
        </w:rPr>
        <w:t xml:space="preserve">8.2 </w:t>
      </w:r>
      <w:bookmarkEnd w:id="531"/>
      <w:bookmarkEnd w:id="532"/>
      <w:bookmarkEnd w:id="533"/>
      <w:bookmarkEnd w:id="534"/>
      <w:bookmarkEnd w:id="535"/>
      <w:bookmarkEnd w:id="536"/>
      <w:bookmarkEnd w:id="537"/>
      <w:bookmarkEnd w:id="538"/>
      <w:bookmarkEnd w:id="539"/>
      <w:bookmarkEnd w:id="540"/>
      <w:r>
        <w:rPr>
          <w:rFonts w:ascii="仿宋" w:hAnsi="仿宋" w:cs="宋体"/>
          <w:color w:val="auto"/>
          <w:highlight w:val="none"/>
        </w:rPr>
        <w:t>合同签订</w:t>
      </w:r>
      <w:bookmarkEnd w:id="542"/>
      <w:bookmarkEnd w:id="543"/>
      <w:bookmarkEnd w:id="544"/>
      <w:bookmarkEnd w:id="545"/>
      <w:bookmarkEnd w:id="546"/>
    </w:p>
    <w:p w14:paraId="3014CCFF">
      <w:pPr>
        <w:pageBreakBefore w:val="0"/>
        <w:widowControl/>
        <w:kinsoku/>
        <w:overflowPunct/>
        <w:topLinePunct/>
        <w:bidi w:val="0"/>
        <w:spacing w:line="600" w:lineRule="exact"/>
        <w:ind w:firstLine="480" w:firstLineChars="200"/>
        <w:rPr>
          <w:rFonts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8.2.1 招标人和中标人应当自中标通知书发出之日起30日内，按照招标文件和中标人的投标文件订立书面合同。合同的标的、价款、质量、履行期限等主要条款应当与招标文件和中标人的投标文件的内容一致。招标人和中标人不得再行订立背离合同实质性内容的其他协议。</w:t>
      </w:r>
    </w:p>
    <w:p w14:paraId="549C562E">
      <w:pPr>
        <w:pageBreakBefore w:val="0"/>
        <w:widowControl/>
        <w:kinsoku/>
        <w:overflowPunct/>
        <w:topLinePunct/>
        <w:bidi w:val="0"/>
        <w:spacing w:line="600" w:lineRule="exact"/>
        <w:ind w:firstLine="480" w:firstLineChars="200"/>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8.2.2中标人无正当理由不与招标人订立合同，在签订合同时向招标人提出附加条件或要求变更实质性合同条款的，取消其中标资格，投标保证金不予退还。投标保证金以投标保证保险方式递交的，招标人作为被保险人有权发起保证保险赔偿，保险人有权向投保人（投标人）进行等额追偿。</w:t>
      </w:r>
    </w:p>
    <w:p w14:paraId="54C79ABA">
      <w:pPr>
        <w:keepNext/>
        <w:keepLines/>
        <w:pageBreakBefore w:val="0"/>
        <w:tabs>
          <w:tab w:val="right" w:pos="9638"/>
        </w:tabs>
        <w:kinsoku/>
        <w:overflowPunct/>
        <w:bidi w:val="0"/>
        <w:adjustRightInd w:val="0"/>
        <w:snapToGrid w:val="0"/>
        <w:spacing w:before="120" w:after="120" w:line="600" w:lineRule="exact"/>
        <w:jc w:val="left"/>
        <w:outlineLvl w:val="1"/>
        <w:rPr>
          <w:rFonts w:hint="eastAsia" w:ascii="仿宋" w:hAnsi="仿宋" w:eastAsia="仿宋" w:cs="宋体"/>
          <w:b/>
          <w:color w:val="auto"/>
          <w:sz w:val="24"/>
          <w:highlight w:val="none"/>
        </w:rPr>
      </w:pPr>
      <w:bookmarkStart w:id="547" w:name="_Toc246996967"/>
      <w:bookmarkStart w:id="548" w:name="_Toc144974547"/>
      <w:bookmarkStart w:id="549" w:name="_Toc179632598"/>
      <w:bookmarkStart w:id="550" w:name="_Toc247085738"/>
      <w:bookmarkStart w:id="551" w:name="_Toc246996224"/>
      <w:bookmarkStart w:id="552" w:name="_Toc152045580"/>
      <w:bookmarkStart w:id="553" w:name="_Toc152042357"/>
      <w:bookmarkStart w:id="554" w:name="_Toc109124281"/>
      <w:bookmarkStart w:id="555" w:name="_Toc31639"/>
      <w:bookmarkStart w:id="556" w:name="_Toc23625"/>
      <w:r>
        <w:rPr>
          <w:rStyle w:val="48"/>
          <w:rFonts w:hint="eastAsia"/>
          <w:color w:val="auto"/>
          <w:highlight w:val="none"/>
        </w:rPr>
        <w:t>9</w:t>
      </w:r>
      <w:bookmarkEnd w:id="547"/>
      <w:bookmarkEnd w:id="548"/>
      <w:bookmarkEnd w:id="549"/>
      <w:bookmarkEnd w:id="550"/>
      <w:bookmarkEnd w:id="551"/>
      <w:bookmarkEnd w:id="552"/>
      <w:bookmarkEnd w:id="553"/>
      <w:r>
        <w:rPr>
          <w:rStyle w:val="48"/>
          <w:rFonts w:hint="eastAsia"/>
          <w:color w:val="auto"/>
          <w:highlight w:val="none"/>
        </w:rPr>
        <w:t>.招标代理服务费</w:t>
      </w:r>
      <w:bookmarkEnd w:id="554"/>
      <w:bookmarkEnd w:id="555"/>
      <w:bookmarkEnd w:id="556"/>
      <w:r>
        <w:rPr>
          <w:rFonts w:hint="eastAsia" w:ascii="仿宋" w:hAnsi="仿宋" w:eastAsia="仿宋" w:cs="宋体"/>
          <w:b/>
          <w:color w:val="auto"/>
          <w:sz w:val="24"/>
          <w:highlight w:val="none"/>
        </w:rPr>
        <w:tab/>
      </w:r>
    </w:p>
    <w:p w14:paraId="182FB361">
      <w:pPr>
        <w:pageBreakBefore w:val="0"/>
        <w:widowControl/>
        <w:kinsoku/>
        <w:overflowPunct/>
        <w:topLinePunct/>
        <w:bidi w:val="0"/>
        <w:spacing w:line="600" w:lineRule="exact"/>
        <w:ind w:firstLine="480" w:firstLineChars="200"/>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中标人应当按照招标文件规定交纳招标代理服务费，招标人和招标代理机构另有约定的从其规定。招标代理服务费的金额、形式及交纳时限见投标人须知前附表。</w:t>
      </w:r>
    </w:p>
    <w:p w14:paraId="66F62820">
      <w:pPr>
        <w:pStyle w:val="4"/>
        <w:pageBreakBefore w:val="0"/>
        <w:kinsoku/>
        <w:overflowPunct/>
        <w:bidi w:val="0"/>
        <w:spacing w:line="600" w:lineRule="exact"/>
        <w:rPr>
          <w:rFonts w:hint="eastAsia"/>
          <w:color w:val="auto"/>
          <w:highlight w:val="none"/>
        </w:rPr>
      </w:pPr>
      <w:bookmarkStart w:id="557" w:name="_Toc18001"/>
      <w:bookmarkStart w:id="558" w:name="_Toc24687"/>
      <w:bookmarkStart w:id="559" w:name="_Toc109124282"/>
      <w:r>
        <w:rPr>
          <w:rFonts w:hint="eastAsia"/>
          <w:color w:val="auto"/>
          <w:highlight w:val="none"/>
        </w:rPr>
        <w:t>10.纪律和监督</w:t>
      </w:r>
      <w:bookmarkEnd w:id="557"/>
      <w:bookmarkEnd w:id="558"/>
      <w:bookmarkEnd w:id="559"/>
    </w:p>
    <w:p w14:paraId="33E1CF14">
      <w:pPr>
        <w:pStyle w:val="5"/>
        <w:pageBreakBefore w:val="0"/>
        <w:kinsoku/>
        <w:overflowPunct/>
        <w:bidi w:val="0"/>
        <w:spacing w:line="600" w:lineRule="exact"/>
        <w:ind w:firstLine="0" w:firstLineChars="0"/>
        <w:rPr>
          <w:rFonts w:ascii="仿宋" w:hAnsi="仿宋" w:cs="宋体"/>
          <w:color w:val="auto"/>
          <w:highlight w:val="none"/>
        </w:rPr>
      </w:pPr>
      <w:bookmarkStart w:id="560" w:name="_Toc18766"/>
      <w:bookmarkStart w:id="561" w:name="_Toc9807"/>
      <w:bookmarkStart w:id="562" w:name="_Toc109124283"/>
      <w:bookmarkStart w:id="563" w:name="_Toc60224369"/>
      <w:bookmarkStart w:id="564" w:name="_Toc71192002"/>
      <w:r>
        <w:rPr>
          <w:rFonts w:ascii="仿宋" w:hAnsi="仿宋" w:cs="宋体"/>
          <w:color w:val="auto"/>
          <w:highlight w:val="none"/>
        </w:rPr>
        <w:t>10.1 对招标人的纪律要求</w:t>
      </w:r>
      <w:bookmarkEnd w:id="560"/>
      <w:bookmarkEnd w:id="561"/>
      <w:bookmarkEnd w:id="562"/>
      <w:bookmarkEnd w:id="563"/>
      <w:bookmarkEnd w:id="564"/>
    </w:p>
    <w:p w14:paraId="15190EF7">
      <w:pPr>
        <w:pageBreakBefore w:val="0"/>
        <w:widowControl/>
        <w:kinsoku/>
        <w:overflowPunct/>
        <w:topLinePunct/>
        <w:bidi w:val="0"/>
        <w:spacing w:line="600" w:lineRule="exact"/>
        <w:ind w:firstLine="480" w:firstLineChars="200"/>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10.1.1招标人不得向他人透露已获取招标文件的潜在投标人的名称、数量以及可能影响公平竞争的有关招标投标的其他情况。招标人设有标底的，标底必须保密。</w:t>
      </w:r>
    </w:p>
    <w:p w14:paraId="4F85E1F5">
      <w:pPr>
        <w:pageBreakBefore w:val="0"/>
        <w:widowControl/>
        <w:kinsoku/>
        <w:overflowPunct/>
        <w:topLinePunct/>
        <w:bidi w:val="0"/>
        <w:spacing w:line="600" w:lineRule="exact"/>
        <w:ind w:firstLine="480" w:firstLineChars="200"/>
        <w:rPr>
          <w:rFonts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10.1.2招标人不得向评标委员会明示或者暗示其倾向或者排斥特定投标人。不得透露对投标文件的评审和比较、中标候选人的推荐情况以及评标有关的其他情况</w:t>
      </w:r>
    </w:p>
    <w:p w14:paraId="1C44A66A">
      <w:pPr>
        <w:pageBreakBefore w:val="0"/>
        <w:widowControl/>
        <w:kinsoku/>
        <w:overflowPunct/>
        <w:topLinePunct/>
        <w:bidi w:val="0"/>
        <w:spacing w:line="600" w:lineRule="exact"/>
        <w:ind w:firstLine="480" w:firstLineChars="200"/>
        <w:rPr>
          <w:rFonts w:hint="eastAsia" w:ascii="仿宋" w:hAnsi="仿宋" w:eastAsia="仿宋" w:cs="宋体"/>
          <w:color w:val="auto"/>
          <w:kern w:val="0"/>
          <w:sz w:val="24"/>
          <w:szCs w:val="24"/>
          <w:highlight w:val="none"/>
        </w:rPr>
      </w:pPr>
      <w:r>
        <w:rPr>
          <w:rFonts w:ascii="仿宋" w:hAnsi="仿宋" w:eastAsia="仿宋" w:cs="宋体"/>
          <w:color w:val="auto"/>
          <w:kern w:val="0"/>
          <w:sz w:val="24"/>
          <w:szCs w:val="24"/>
          <w:highlight w:val="none"/>
        </w:rPr>
        <w:t>10.1.3</w:t>
      </w:r>
      <w:r>
        <w:rPr>
          <w:rFonts w:hint="eastAsia" w:ascii="仿宋" w:hAnsi="仿宋" w:eastAsia="仿宋" w:cs="宋体"/>
          <w:color w:val="auto"/>
          <w:kern w:val="0"/>
          <w:sz w:val="24"/>
          <w:szCs w:val="24"/>
          <w:highlight w:val="none"/>
        </w:rPr>
        <w:t>招标人不得与投标人串通投标，损害国家利益、社会公共利益或者他人合法权益。</w:t>
      </w:r>
    </w:p>
    <w:p w14:paraId="0820228F">
      <w:pPr>
        <w:pStyle w:val="5"/>
        <w:pageBreakBefore w:val="0"/>
        <w:kinsoku/>
        <w:overflowPunct/>
        <w:bidi w:val="0"/>
        <w:spacing w:line="600" w:lineRule="exact"/>
        <w:ind w:firstLine="0" w:firstLineChars="0"/>
        <w:rPr>
          <w:rFonts w:ascii="仿宋" w:hAnsi="仿宋" w:cs="宋体"/>
          <w:color w:val="auto"/>
          <w:highlight w:val="none"/>
        </w:rPr>
      </w:pPr>
      <w:bookmarkStart w:id="565" w:name="_Toc24046"/>
      <w:bookmarkStart w:id="566" w:name="_Toc60224370"/>
      <w:bookmarkStart w:id="567" w:name="_Toc109124284"/>
      <w:bookmarkStart w:id="568" w:name="_Toc26437"/>
      <w:bookmarkStart w:id="569" w:name="_Toc71192003"/>
      <w:r>
        <w:rPr>
          <w:rFonts w:ascii="仿宋" w:hAnsi="仿宋" w:cs="宋体"/>
          <w:color w:val="auto"/>
          <w:highlight w:val="none"/>
        </w:rPr>
        <w:t>10.2 对投标人的纪律要求</w:t>
      </w:r>
      <w:bookmarkEnd w:id="565"/>
      <w:bookmarkEnd w:id="566"/>
      <w:bookmarkEnd w:id="567"/>
      <w:bookmarkEnd w:id="568"/>
      <w:bookmarkEnd w:id="569"/>
    </w:p>
    <w:p w14:paraId="3D5E5BFA">
      <w:pPr>
        <w:pageBreakBefore w:val="0"/>
        <w:widowControl/>
        <w:kinsoku/>
        <w:overflowPunct/>
        <w:topLinePunct/>
        <w:bidi w:val="0"/>
        <w:spacing w:line="600" w:lineRule="exact"/>
        <w:ind w:firstLine="480" w:firstLineChars="200"/>
        <w:rPr>
          <w:rFonts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1</w:t>
      </w:r>
      <w:r>
        <w:rPr>
          <w:rFonts w:ascii="仿宋" w:hAnsi="仿宋" w:eastAsia="仿宋" w:cs="宋体"/>
          <w:color w:val="auto"/>
          <w:kern w:val="0"/>
          <w:sz w:val="24"/>
          <w:szCs w:val="24"/>
          <w:highlight w:val="none"/>
        </w:rPr>
        <w:t>0.2.1</w:t>
      </w:r>
      <w:r>
        <w:rPr>
          <w:rFonts w:hint="eastAsia" w:ascii="仿宋" w:hAnsi="仿宋" w:eastAsia="仿宋" w:cs="宋体"/>
          <w:color w:val="auto"/>
          <w:kern w:val="0"/>
          <w:sz w:val="24"/>
          <w:szCs w:val="24"/>
          <w:highlight w:val="none"/>
        </w:rPr>
        <w:t>投标人不得相互串通投标，</w:t>
      </w:r>
      <w:r>
        <w:rPr>
          <w:rFonts w:ascii="仿宋" w:hAnsi="仿宋" w:eastAsia="仿宋" w:cs="宋体"/>
          <w:color w:val="auto"/>
          <w:kern w:val="0"/>
          <w:sz w:val="24"/>
          <w:szCs w:val="24"/>
          <w:highlight w:val="none"/>
        </w:rPr>
        <w:t>不得排挤其他投标人的公平竞争，损害招标人或者其他投标人的合法权益。</w:t>
      </w:r>
    </w:p>
    <w:p w14:paraId="4538255D">
      <w:pPr>
        <w:pStyle w:val="31"/>
        <w:pageBreakBefore w:val="0"/>
        <w:kinsoku/>
        <w:overflowPunct/>
        <w:bidi w:val="0"/>
        <w:spacing w:line="600" w:lineRule="exact"/>
        <w:ind w:firstLine="480" w:firstLineChars="200"/>
        <w:rPr>
          <w:rFonts w:ascii="仿宋" w:hAnsi="仿宋" w:eastAsia="仿宋"/>
          <w:color w:val="auto"/>
          <w:highlight w:val="none"/>
        </w:rPr>
      </w:pPr>
      <w:r>
        <w:rPr>
          <w:rFonts w:hint="eastAsia" w:ascii="仿宋" w:hAnsi="仿宋" w:eastAsia="仿宋" w:cs="宋体"/>
          <w:color w:val="auto"/>
          <w:szCs w:val="24"/>
          <w:highlight w:val="none"/>
        </w:rPr>
        <w:t>1</w:t>
      </w:r>
      <w:r>
        <w:rPr>
          <w:rFonts w:ascii="仿宋" w:hAnsi="仿宋" w:eastAsia="仿宋" w:cs="宋体"/>
          <w:color w:val="auto"/>
          <w:szCs w:val="24"/>
          <w:highlight w:val="none"/>
        </w:rPr>
        <w:t>0.2.2</w:t>
      </w:r>
      <w:r>
        <w:rPr>
          <w:rFonts w:hint="eastAsia" w:ascii="仿宋" w:hAnsi="仿宋" w:eastAsia="仿宋" w:cs="宋体"/>
          <w:color w:val="auto"/>
          <w:szCs w:val="24"/>
          <w:highlight w:val="none"/>
        </w:rPr>
        <w:t>投标人不得与招标人串通投标，</w:t>
      </w:r>
      <w:r>
        <w:rPr>
          <w:rFonts w:ascii="仿宋" w:hAnsi="仿宋" w:eastAsia="仿宋"/>
          <w:color w:val="auto"/>
          <w:highlight w:val="none"/>
        </w:rPr>
        <w:t>损害国家利益、社会公共利益或者他人的合法权益。</w:t>
      </w:r>
    </w:p>
    <w:p w14:paraId="389B79A3">
      <w:pPr>
        <w:pageBreakBefore w:val="0"/>
        <w:widowControl/>
        <w:kinsoku/>
        <w:overflowPunct/>
        <w:topLinePunct/>
        <w:bidi w:val="0"/>
        <w:spacing w:line="600" w:lineRule="exact"/>
        <w:ind w:firstLine="480" w:firstLineChars="200"/>
        <w:rPr>
          <w:rFonts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1</w:t>
      </w:r>
      <w:r>
        <w:rPr>
          <w:rFonts w:ascii="仿宋" w:hAnsi="仿宋" w:eastAsia="仿宋" w:cs="宋体"/>
          <w:color w:val="auto"/>
          <w:kern w:val="0"/>
          <w:sz w:val="24"/>
          <w:szCs w:val="24"/>
          <w:highlight w:val="none"/>
        </w:rPr>
        <w:t>0.2.3</w:t>
      </w:r>
      <w:r>
        <w:rPr>
          <w:rFonts w:hint="eastAsia" w:ascii="仿宋" w:hAnsi="仿宋" w:eastAsia="仿宋" w:cs="宋体"/>
          <w:color w:val="auto"/>
          <w:kern w:val="0"/>
          <w:sz w:val="24"/>
          <w:szCs w:val="24"/>
          <w:highlight w:val="none"/>
        </w:rPr>
        <w:t>禁止投标人以向招标人或者评标委员会成员行贿的手段谋取中标。</w:t>
      </w:r>
    </w:p>
    <w:p w14:paraId="02E766BF">
      <w:pPr>
        <w:pageBreakBefore w:val="0"/>
        <w:widowControl/>
        <w:kinsoku/>
        <w:overflowPunct/>
        <w:topLinePunct/>
        <w:bidi w:val="0"/>
        <w:spacing w:line="600" w:lineRule="exact"/>
        <w:ind w:firstLine="480" w:firstLineChars="200"/>
        <w:rPr>
          <w:rFonts w:ascii="仿宋" w:hAnsi="仿宋" w:eastAsia="仿宋" w:cs="宋体"/>
          <w:color w:val="auto"/>
          <w:kern w:val="0"/>
          <w:sz w:val="24"/>
          <w:szCs w:val="24"/>
          <w:highlight w:val="none"/>
        </w:rPr>
      </w:pPr>
      <w:r>
        <w:rPr>
          <w:rFonts w:ascii="仿宋" w:hAnsi="仿宋" w:eastAsia="仿宋" w:cs="宋体"/>
          <w:color w:val="auto"/>
          <w:kern w:val="0"/>
          <w:sz w:val="24"/>
          <w:szCs w:val="24"/>
          <w:highlight w:val="none"/>
        </w:rPr>
        <w:t>10.2.4</w:t>
      </w:r>
      <w:r>
        <w:rPr>
          <w:rFonts w:hint="eastAsia" w:ascii="仿宋" w:hAnsi="仿宋" w:eastAsia="仿宋" w:cs="宋体"/>
          <w:color w:val="auto"/>
          <w:kern w:val="0"/>
          <w:sz w:val="24"/>
          <w:szCs w:val="24"/>
          <w:highlight w:val="none"/>
        </w:rPr>
        <w:t>投标人不得以低于成本的报价竞标，不得以他人名义投标或者以其他方式弄虚作假，骗取中标。</w:t>
      </w:r>
    </w:p>
    <w:p w14:paraId="6AFDCD5B">
      <w:pPr>
        <w:pageBreakBefore w:val="0"/>
        <w:widowControl/>
        <w:kinsoku/>
        <w:overflowPunct/>
        <w:topLinePunct/>
        <w:bidi w:val="0"/>
        <w:spacing w:line="600" w:lineRule="exact"/>
        <w:ind w:firstLine="480" w:firstLineChars="200"/>
        <w:rPr>
          <w:rFonts w:hint="eastAsia" w:ascii="仿宋" w:hAnsi="仿宋" w:eastAsia="仿宋" w:cs="宋体"/>
          <w:color w:val="auto"/>
          <w:kern w:val="0"/>
          <w:sz w:val="24"/>
          <w:szCs w:val="24"/>
          <w:highlight w:val="none"/>
        </w:rPr>
      </w:pPr>
      <w:r>
        <w:rPr>
          <w:rFonts w:ascii="仿宋" w:hAnsi="仿宋" w:eastAsia="仿宋" w:cs="宋体"/>
          <w:color w:val="auto"/>
          <w:kern w:val="0"/>
          <w:sz w:val="24"/>
          <w:szCs w:val="24"/>
          <w:highlight w:val="none"/>
        </w:rPr>
        <w:t>10.2.5</w:t>
      </w:r>
      <w:r>
        <w:rPr>
          <w:rFonts w:hint="eastAsia" w:ascii="仿宋" w:hAnsi="仿宋" w:eastAsia="仿宋" w:cs="宋体"/>
          <w:color w:val="auto"/>
          <w:kern w:val="0"/>
          <w:sz w:val="24"/>
          <w:szCs w:val="24"/>
          <w:highlight w:val="none"/>
        </w:rPr>
        <w:t>投标人不得非法干扰、影响评标的过程和结果。</w:t>
      </w:r>
    </w:p>
    <w:p w14:paraId="4C891B72">
      <w:pPr>
        <w:pStyle w:val="5"/>
        <w:pageBreakBefore w:val="0"/>
        <w:kinsoku/>
        <w:overflowPunct/>
        <w:bidi w:val="0"/>
        <w:spacing w:line="600" w:lineRule="exact"/>
        <w:ind w:firstLine="0" w:firstLineChars="0"/>
        <w:rPr>
          <w:rFonts w:ascii="仿宋" w:hAnsi="仿宋" w:cs="宋体"/>
          <w:color w:val="auto"/>
          <w:highlight w:val="none"/>
        </w:rPr>
      </w:pPr>
      <w:bookmarkStart w:id="570" w:name="_Toc109124285"/>
      <w:bookmarkStart w:id="571" w:name="_Toc12807"/>
      <w:bookmarkStart w:id="572" w:name="_Toc60224371"/>
      <w:bookmarkStart w:id="573" w:name="_Toc71192004"/>
      <w:bookmarkStart w:id="574" w:name="_Toc4098"/>
      <w:r>
        <w:rPr>
          <w:rFonts w:ascii="仿宋" w:hAnsi="仿宋" w:cs="宋体"/>
          <w:color w:val="auto"/>
          <w:highlight w:val="none"/>
        </w:rPr>
        <w:t>10.3 对评标委员会成员的纪律要求</w:t>
      </w:r>
      <w:bookmarkEnd w:id="570"/>
      <w:bookmarkEnd w:id="571"/>
      <w:bookmarkEnd w:id="572"/>
      <w:bookmarkEnd w:id="573"/>
      <w:bookmarkEnd w:id="574"/>
    </w:p>
    <w:p w14:paraId="11AE69EA">
      <w:pPr>
        <w:pageBreakBefore w:val="0"/>
        <w:widowControl/>
        <w:kinsoku/>
        <w:overflowPunct/>
        <w:topLinePunct/>
        <w:bidi w:val="0"/>
        <w:spacing w:line="600" w:lineRule="exact"/>
        <w:ind w:firstLine="480" w:firstLineChars="200"/>
        <w:rPr>
          <w:rFonts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10.3.1评标委员会成员应当客观、公正地履行职务，遵守职业道德，对所提出的评审意见承担个人责任。</w:t>
      </w:r>
    </w:p>
    <w:p w14:paraId="1941BF50">
      <w:pPr>
        <w:pageBreakBefore w:val="0"/>
        <w:widowControl/>
        <w:kinsoku/>
        <w:overflowPunct/>
        <w:topLinePunct/>
        <w:bidi w:val="0"/>
        <w:spacing w:line="600" w:lineRule="exact"/>
        <w:ind w:firstLine="480" w:firstLineChars="200"/>
        <w:rPr>
          <w:rFonts w:ascii="仿宋" w:hAnsi="仿宋" w:eastAsia="仿宋" w:cs="宋体"/>
          <w:color w:val="auto"/>
          <w:kern w:val="0"/>
          <w:sz w:val="24"/>
          <w:szCs w:val="24"/>
          <w:highlight w:val="none"/>
        </w:rPr>
      </w:pPr>
      <w:r>
        <w:rPr>
          <w:rFonts w:ascii="仿宋" w:hAnsi="仿宋" w:eastAsia="仿宋" w:cs="宋体"/>
          <w:color w:val="auto"/>
          <w:kern w:val="0"/>
          <w:sz w:val="24"/>
          <w:szCs w:val="24"/>
          <w:highlight w:val="none"/>
        </w:rPr>
        <w:t>10.3.2</w:t>
      </w:r>
      <w:r>
        <w:rPr>
          <w:rFonts w:hint="eastAsia" w:ascii="仿宋" w:hAnsi="仿宋" w:eastAsia="仿宋" w:cs="宋体"/>
          <w:color w:val="auto"/>
          <w:kern w:val="0"/>
          <w:sz w:val="24"/>
          <w:szCs w:val="24"/>
          <w:highlight w:val="none"/>
        </w:rPr>
        <w:t>评标委员会成员</w:t>
      </w:r>
      <w:r>
        <w:rPr>
          <w:rFonts w:ascii="仿宋" w:hAnsi="仿宋" w:eastAsia="仿宋" w:cs="宋体"/>
          <w:color w:val="auto"/>
          <w:kern w:val="0"/>
          <w:sz w:val="24"/>
          <w:szCs w:val="24"/>
          <w:highlight w:val="none"/>
        </w:rPr>
        <w:t>与投标人有利害关系的</w:t>
      </w:r>
      <w:r>
        <w:rPr>
          <w:rFonts w:hint="eastAsia" w:ascii="仿宋" w:hAnsi="仿宋" w:eastAsia="仿宋" w:cs="宋体"/>
          <w:color w:val="auto"/>
          <w:kern w:val="0"/>
          <w:sz w:val="24"/>
          <w:szCs w:val="24"/>
          <w:highlight w:val="none"/>
        </w:rPr>
        <w:t>，应当主动回避，</w:t>
      </w:r>
      <w:r>
        <w:rPr>
          <w:rFonts w:ascii="仿宋" w:hAnsi="仿宋" w:eastAsia="仿宋" w:cs="宋体"/>
          <w:color w:val="auto"/>
          <w:kern w:val="0"/>
          <w:sz w:val="24"/>
          <w:szCs w:val="24"/>
          <w:highlight w:val="none"/>
        </w:rPr>
        <w:t>不得进入相关项目的评标委员会</w:t>
      </w:r>
      <w:r>
        <w:rPr>
          <w:rFonts w:hint="eastAsia" w:ascii="仿宋" w:hAnsi="仿宋" w:eastAsia="仿宋" w:cs="宋体"/>
          <w:color w:val="auto"/>
          <w:kern w:val="0"/>
          <w:sz w:val="24"/>
          <w:szCs w:val="24"/>
          <w:highlight w:val="none"/>
        </w:rPr>
        <w:t>，</w:t>
      </w:r>
      <w:r>
        <w:rPr>
          <w:rFonts w:ascii="仿宋" w:hAnsi="仿宋" w:eastAsia="仿宋" w:cs="宋体"/>
          <w:color w:val="auto"/>
          <w:kern w:val="0"/>
          <w:sz w:val="24"/>
          <w:szCs w:val="24"/>
          <w:highlight w:val="none"/>
        </w:rPr>
        <w:t>已经进入的应当更换。</w:t>
      </w:r>
    </w:p>
    <w:p w14:paraId="2F93EEC3">
      <w:pPr>
        <w:pageBreakBefore w:val="0"/>
        <w:widowControl/>
        <w:kinsoku/>
        <w:overflowPunct/>
        <w:topLinePunct/>
        <w:bidi w:val="0"/>
        <w:spacing w:line="600" w:lineRule="exact"/>
        <w:ind w:firstLine="480" w:firstLineChars="200"/>
        <w:rPr>
          <w:rFonts w:ascii="仿宋" w:hAnsi="仿宋" w:eastAsia="仿宋" w:cs="宋体"/>
          <w:color w:val="auto"/>
          <w:kern w:val="0"/>
          <w:sz w:val="24"/>
          <w:szCs w:val="24"/>
          <w:highlight w:val="none"/>
        </w:rPr>
      </w:pPr>
      <w:r>
        <w:rPr>
          <w:rFonts w:ascii="仿宋" w:hAnsi="仿宋" w:eastAsia="仿宋" w:cs="宋体"/>
          <w:color w:val="auto"/>
          <w:kern w:val="0"/>
          <w:sz w:val="24"/>
          <w:szCs w:val="24"/>
          <w:highlight w:val="none"/>
        </w:rPr>
        <w:t>10.</w:t>
      </w:r>
      <w:r>
        <w:rPr>
          <w:rFonts w:hint="eastAsia" w:ascii="仿宋" w:hAnsi="仿宋" w:eastAsia="仿宋" w:cs="宋体"/>
          <w:color w:val="auto"/>
          <w:kern w:val="0"/>
          <w:sz w:val="24"/>
          <w:szCs w:val="24"/>
          <w:highlight w:val="none"/>
        </w:rPr>
        <w:t>3</w:t>
      </w:r>
      <w:r>
        <w:rPr>
          <w:rFonts w:ascii="仿宋" w:hAnsi="仿宋" w:eastAsia="仿宋" w:cs="宋体"/>
          <w:color w:val="auto"/>
          <w:kern w:val="0"/>
          <w:sz w:val="24"/>
          <w:szCs w:val="24"/>
          <w:highlight w:val="none"/>
        </w:rPr>
        <w:t>.3</w:t>
      </w:r>
      <w:r>
        <w:rPr>
          <w:rFonts w:hint="eastAsia" w:ascii="仿宋" w:hAnsi="仿宋" w:eastAsia="仿宋" w:cs="宋体"/>
          <w:color w:val="auto"/>
          <w:kern w:val="0"/>
          <w:sz w:val="24"/>
          <w:szCs w:val="24"/>
          <w:highlight w:val="none"/>
        </w:rPr>
        <w:t>评标委员会成员不得私下接触投标人，不得收受投标人给予的财物或者其他好处。</w:t>
      </w:r>
    </w:p>
    <w:p w14:paraId="611BDE52">
      <w:pPr>
        <w:pageBreakBefore w:val="0"/>
        <w:widowControl/>
        <w:kinsoku/>
        <w:overflowPunct/>
        <w:topLinePunct/>
        <w:bidi w:val="0"/>
        <w:spacing w:line="600" w:lineRule="exact"/>
        <w:ind w:firstLine="480" w:firstLineChars="200"/>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1</w:t>
      </w:r>
      <w:r>
        <w:rPr>
          <w:rFonts w:ascii="仿宋" w:hAnsi="仿宋" w:eastAsia="仿宋" w:cs="宋体"/>
          <w:color w:val="auto"/>
          <w:kern w:val="0"/>
          <w:sz w:val="24"/>
          <w:szCs w:val="24"/>
          <w:highlight w:val="none"/>
        </w:rPr>
        <w:t>0.3.4</w:t>
      </w:r>
      <w:r>
        <w:rPr>
          <w:rFonts w:hint="eastAsia" w:ascii="仿宋" w:hAnsi="仿宋" w:eastAsia="仿宋" w:cs="宋体"/>
          <w:color w:val="auto"/>
          <w:kern w:val="0"/>
          <w:sz w:val="24"/>
          <w:szCs w:val="24"/>
          <w:highlight w:val="none"/>
        </w:rPr>
        <w:t>评标委员会成员不得透露对投标文件的评审和比较、中标候选人的推荐情况以及与评标有关的其他情况。</w:t>
      </w:r>
    </w:p>
    <w:p w14:paraId="3D950420">
      <w:pPr>
        <w:pageBreakBefore w:val="0"/>
        <w:widowControl/>
        <w:kinsoku/>
        <w:overflowPunct/>
        <w:topLinePunct/>
        <w:bidi w:val="0"/>
        <w:spacing w:line="600" w:lineRule="exact"/>
        <w:ind w:firstLine="480" w:firstLineChars="200"/>
        <w:rPr>
          <w:rFonts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10.3.</w:t>
      </w:r>
      <w:r>
        <w:rPr>
          <w:rFonts w:ascii="仿宋" w:hAnsi="仿宋" w:eastAsia="仿宋" w:cs="宋体"/>
          <w:color w:val="auto"/>
          <w:kern w:val="0"/>
          <w:sz w:val="24"/>
          <w:szCs w:val="24"/>
          <w:highlight w:val="none"/>
        </w:rPr>
        <w:t>5</w:t>
      </w:r>
      <w:r>
        <w:rPr>
          <w:rFonts w:hint="eastAsia" w:ascii="仿宋" w:hAnsi="仿宋" w:eastAsia="仿宋" w:cs="宋体"/>
          <w:color w:val="auto"/>
          <w:kern w:val="0"/>
          <w:sz w:val="24"/>
          <w:szCs w:val="24"/>
          <w:highlight w:val="none"/>
        </w:rPr>
        <w:t>评标委员会成员不得按照招标文件规定外的评标标准和方法进行评标，不得向招标人征询确定中标人的意向，不得接受任何单位或者个人明示或者暗示提出的倾向或者排斥特定投标人的要求，不得对依法应当否决的投标不提出否决意见。</w:t>
      </w:r>
    </w:p>
    <w:p w14:paraId="09E0E937">
      <w:pPr>
        <w:pageBreakBefore w:val="0"/>
        <w:widowControl/>
        <w:kinsoku/>
        <w:overflowPunct/>
        <w:topLinePunct/>
        <w:bidi w:val="0"/>
        <w:spacing w:line="600" w:lineRule="exact"/>
        <w:ind w:firstLine="480" w:firstLineChars="200"/>
        <w:rPr>
          <w:rFonts w:hint="eastAsia" w:ascii="仿宋" w:hAnsi="仿宋" w:eastAsia="仿宋" w:cs="宋体"/>
          <w:color w:val="auto"/>
          <w:kern w:val="0"/>
          <w:sz w:val="24"/>
          <w:szCs w:val="24"/>
          <w:highlight w:val="none"/>
        </w:rPr>
      </w:pPr>
      <w:r>
        <w:rPr>
          <w:rFonts w:ascii="仿宋" w:hAnsi="仿宋" w:eastAsia="仿宋" w:cs="宋体"/>
          <w:color w:val="auto"/>
          <w:kern w:val="0"/>
          <w:sz w:val="24"/>
          <w:szCs w:val="24"/>
          <w:highlight w:val="none"/>
        </w:rPr>
        <w:t>10.3.6</w:t>
      </w:r>
      <w:r>
        <w:rPr>
          <w:rFonts w:hint="eastAsia" w:ascii="仿宋" w:hAnsi="仿宋" w:eastAsia="仿宋" w:cs="宋体"/>
          <w:color w:val="auto"/>
          <w:kern w:val="0"/>
          <w:sz w:val="24"/>
          <w:szCs w:val="24"/>
          <w:highlight w:val="none"/>
        </w:rPr>
        <w:t>评标委员会成员不得暗示或者诱导投标人作出澄清、说明，不得接受投标人主动提出的澄清、说明。</w:t>
      </w:r>
    </w:p>
    <w:p w14:paraId="6A4B1514">
      <w:pPr>
        <w:pStyle w:val="5"/>
        <w:pageBreakBefore w:val="0"/>
        <w:kinsoku/>
        <w:overflowPunct/>
        <w:bidi w:val="0"/>
        <w:spacing w:line="600" w:lineRule="exact"/>
        <w:ind w:firstLine="0" w:firstLineChars="0"/>
        <w:rPr>
          <w:rFonts w:ascii="仿宋" w:hAnsi="仿宋" w:cs="宋体"/>
          <w:color w:val="auto"/>
          <w:highlight w:val="none"/>
        </w:rPr>
      </w:pPr>
      <w:bookmarkStart w:id="575" w:name="_Toc60224372"/>
      <w:bookmarkStart w:id="576" w:name="_Toc109124286"/>
      <w:bookmarkStart w:id="577" w:name="_Toc26531"/>
      <w:bookmarkStart w:id="578" w:name="_Toc16571"/>
      <w:bookmarkStart w:id="579" w:name="_Toc71192005"/>
      <w:r>
        <w:rPr>
          <w:rFonts w:ascii="仿宋" w:hAnsi="仿宋" w:cs="宋体"/>
          <w:color w:val="auto"/>
          <w:highlight w:val="none"/>
        </w:rPr>
        <w:t>10.4 对招标代理机构的纪律要求</w:t>
      </w:r>
      <w:bookmarkEnd w:id="575"/>
      <w:bookmarkEnd w:id="576"/>
      <w:bookmarkEnd w:id="577"/>
      <w:bookmarkEnd w:id="578"/>
      <w:bookmarkEnd w:id="579"/>
    </w:p>
    <w:p w14:paraId="63B9BF26">
      <w:pPr>
        <w:pageBreakBefore w:val="0"/>
        <w:widowControl/>
        <w:kinsoku/>
        <w:overflowPunct/>
        <w:topLinePunct/>
        <w:bidi w:val="0"/>
        <w:spacing w:line="600" w:lineRule="exact"/>
        <w:ind w:firstLine="480" w:firstLineChars="200"/>
        <w:rPr>
          <w:rFonts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1</w:t>
      </w:r>
      <w:r>
        <w:rPr>
          <w:rFonts w:ascii="仿宋" w:hAnsi="仿宋" w:eastAsia="仿宋" w:cs="宋体"/>
          <w:color w:val="auto"/>
          <w:kern w:val="0"/>
          <w:sz w:val="24"/>
          <w:szCs w:val="24"/>
          <w:highlight w:val="none"/>
        </w:rPr>
        <w:t>0.4.1</w:t>
      </w:r>
      <w:r>
        <w:rPr>
          <w:rFonts w:hint="eastAsia" w:ascii="仿宋" w:hAnsi="仿宋" w:eastAsia="仿宋" w:cs="宋体"/>
          <w:color w:val="auto"/>
          <w:kern w:val="0"/>
          <w:sz w:val="24"/>
          <w:szCs w:val="24"/>
          <w:highlight w:val="none"/>
        </w:rPr>
        <w:t>招标代理机构不得泄露应当保密的与招标投标活动有关的情况和资料，不得向他人透露对投标文件的评审和比较、中标候选人的推荐情况以及评标有关的其他情况，不得与招标人、投标人串通损害国家利益、社会公共利益或者他人合法权益。</w:t>
      </w:r>
    </w:p>
    <w:p w14:paraId="33C8EDA9">
      <w:pPr>
        <w:pageBreakBefore w:val="0"/>
        <w:widowControl/>
        <w:kinsoku/>
        <w:overflowPunct/>
        <w:topLinePunct/>
        <w:bidi w:val="0"/>
        <w:spacing w:line="600" w:lineRule="exact"/>
        <w:ind w:firstLine="480" w:firstLineChars="200"/>
        <w:rPr>
          <w:rFonts w:hint="eastAsia" w:ascii="仿宋" w:hAnsi="仿宋" w:eastAsia="仿宋" w:cs="宋体"/>
          <w:color w:val="auto"/>
          <w:kern w:val="0"/>
          <w:sz w:val="24"/>
          <w:szCs w:val="24"/>
          <w:highlight w:val="none"/>
        </w:rPr>
      </w:pPr>
      <w:r>
        <w:rPr>
          <w:rFonts w:ascii="仿宋" w:hAnsi="仿宋" w:eastAsia="仿宋" w:cs="宋体"/>
          <w:color w:val="auto"/>
          <w:kern w:val="0"/>
          <w:sz w:val="24"/>
          <w:szCs w:val="24"/>
          <w:highlight w:val="none"/>
        </w:rPr>
        <w:t>10.4.2</w:t>
      </w:r>
      <w:r>
        <w:rPr>
          <w:rFonts w:hint="eastAsia" w:ascii="仿宋" w:hAnsi="仿宋" w:eastAsia="仿宋" w:cs="宋体"/>
          <w:color w:val="auto"/>
          <w:kern w:val="0"/>
          <w:sz w:val="24"/>
          <w:szCs w:val="24"/>
          <w:highlight w:val="none"/>
        </w:rPr>
        <w:t>招标代理机构不得在所代理的招标项目中投标、代理投标，不得为所代理的招标项目的投标人编制投标文件、提供咨询，不得接受委托编制标底的中介机构参加受托编制标底项目的投标。</w:t>
      </w:r>
    </w:p>
    <w:p w14:paraId="2BF991D1">
      <w:pPr>
        <w:pStyle w:val="5"/>
        <w:pageBreakBefore w:val="0"/>
        <w:kinsoku/>
        <w:overflowPunct/>
        <w:bidi w:val="0"/>
        <w:spacing w:line="600" w:lineRule="exact"/>
        <w:ind w:firstLine="0" w:firstLineChars="0"/>
        <w:rPr>
          <w:rFonts w:ascii="仿宋" w:hAnsi="仿宋" w:cs="宋体"/>
          <w:color w:val="auto"/>
          <w:highlight w:val="none"/>
        </w:rPr>
      </w:pPr>
      <w:bookmarkStart w:id="580" w:name="_Toc71192006"/>
      <w:bookmarkStart w:id="581" w:name="_Toc28887"/>
      <w:bookmarkStart w:id="582" w:name="_Toc109124287"/>
      <w:bookmarkStart w:id="583" w:name="_Toc60224373"/>
      <w:bookmarkStart w:id="584" w:name="_Toc27943"/>
      <w:r>
        <w:rPr>
          <w:rFonts w:ascii="仿宋" w:hAnsi="仿宋" w:cs="宋体"/>
          <w:color w:val="auto"/>
          <w:highlight w:val="none"/>
        </w:rPr>
        <w:t>10.5 对与评标活动有关的工作人员的纪律要求</w:t>
      </w:r>
      <w:bookmarkEnd w:id="580"/>
      <w:bookmarkEnd w:id="581"/>
      <w:bookmarkEnd w:id="582"/>
    </w:p>
    <w:p w14:paraId="78C74CBD">
      <w:pPr>
        <w:pageBreakBefore w:val="0"/>
        <w:widowControl/>
        <w:kinsoku/>
        <w:overflowPunct/>
        <w:topLinePunct/>
        <w:bidi w:val="0"/>
        <w:spacing w:line="600" w:lineRule="exact"/>
        <w:ind w:firstLine="480" w:firstLineChars="200"/>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与评标活动有关的工作人员不得向他人透露对投标文件的评审和比较、中标候选人的推荐情况以及与评标有关的其他情况。</w:t>
      </w:r>
    </w:p>
    <w:bookmarkEnd w:id="583"/>
    <w:bookmarkEnd w:id="584"/>
    <w:p w14:paraId="20CF1931">
      <w:pPr>
        <w:pStyle w:val="4"/>
        <w:pageBreakBefore w:val="0"/>
        <w:numPr>
          <w:ilvl w:val="0"/>
          <w:numId w:val="1"/>
        </w:numPr>
        <w:kinsoku/>
        <w:overflowPunct/>
        <w:bidi w:val="0"/>
        <w:spacing w:line="600" w:lineRule="exact"/>
        <w:rPr>
          <w:rFonts w:hint="eastAsia"/>
          <w:color w:val="auto"/>
          <w:highlight w:val="none"/>
        </w:rPr>
      </w:pPr>
      <w:bookmarkStart w:id="585" w:name="_Toc71192010"/>
      <w:bookmarkStart w:id="586" w:name="_Toc29072"/>
      <w:bookmarkStart w:id="587" w:name="_Toc5195"/>
      <w:r>
        <w:rPr>
          <w:rFonts w:hint="eastAsia"/>
          <w:color w:val="auto"/>
          <w:highlight w:val="none"/>
        </w:rPr>
        <w:t>需要补充的其他内容</w:t>
      </w:r>
      <w:bookmarkEnd w:id="585"/>
      <w:bookmarkEnd w:id="586"/>
      <w:bookmarkEnd w:id="587"/>
    </w:p>
    <w:p w14:paraId="76F523A8">
      <w:pPr>
        <w:pageBreakBefore w:val="0"/>
        <w:widowControl/>
        <w:kinsoku/>
        <w:overflowPunct/>
        <w:topLinePunct/>
        <w:bidi w:val="0"/>
        <w:spacing w:line="600" w:lineRule="exact"/>
        <w:ind w:firstLine="480" w:firstLineChars="200"/>
        <w:rPr>
          <w:rFonts w:hint="eastAsia" w:ascii="仿宋" w:hAnsi="仿宋" w:eastAsia="仿宋" w:cs="宋体"/>
          <w:color w:val="auto"/>
          <w:kern w:val="0"/>
          <w:highlight w:val="none"/>
        </w:rPr>
      </w:pPr>
      <w:r>
        <w:rPr>
          <w:rFonts w:hint="eastAsia" w:ascii="仿宋" w:hAnsi="仿宋" w:eastAsia="仿宋" w:cs="宋体"/>
          <w:color w:val="auto"/>
          <w:kern w:val="0"/>
          <w:sz w:val="24"/>
          <w:szCs w:val="24"/>
          <w:highlight w:val="none"/>
        </w:rPr>
        <w:t>需要补充的其他内容：见投标人须知前附表。</w:t>
      </w:r>
    </w:p>
    <w:p w14:paraId="68A7620E">
      <w:pPr>
        <w:pageBreakBefore w:val="0"/>
        <w:widowControl/>
        <w:kinsoku/>
        <w:overflowPunct/>
        <w:topLinePunct/>
        <w:bidi w:val="0"/>
        <w:spacing w:line="600" w:lineRule="exact"/>
        <w:ind w:firstLine="480"/>
        <w:rPr>
          <w:rFonts w:hint="eastAsia" w:ascii="仿宋" w:hAnsi="仿宋" w:eastAsia="仿宋" w:cs="宋体"/>
          <w:color w:val="auto"/>
          <w:kern w:val="0"/>
          <w:highlight w:val="none"/>
        </w:rPr>
      </w:pPr>
    </w:p>
    <w:p w14:paraId="7DEFBF65">
      <w:pPr>
        <w:pageBreakBefore w:val="0"/>
        <w:kinsoku/>
        <w:overflowPunct/>
        <w:bidi w:val="0"/>
        <w:spacing w:before="120" w:after="120" w:line="600" w:lineRule="exact"/>
        <w:rPr>
          <w:rFonts w:hint="eastAsia" w:ascii="仿宋" w:hAnsi="仿宋" w:eastAsia="仿宋" w:cs="宋体"/>
          <w:b/>
          <w:color w:val="auto"/>
          <w:sz w:val="24"/>
          <w:highlight w:val="none"/>
        </w:rPr>
      </w:pPr>
    </w:p>
    <w:p w14:paraId="0869AF62">
      <w:pPr>
        <w:pStyle w:val="3"/>
        <w:pageBreakBefore w:val="0"/>
        <w:kinsoku/>
        <w:overflowPunct/>
        <w:bidi w:val="0"/>
        <w:spacing w:before="0" w:after="0" w:line="600" w:lineRule="exact"/>
        <w:rPr>
          <w:rFonts w:hint="eastAsia" w:ascii="仿宋" w:hAnsi="仿宋" w:cs="宋体"/>
          <w:color w:val="auto"/>
          <w:highlight w:val="none"/>
        </w:rPr>
      </w:pPr>
      <w:r>
        <w:rPr>
          <w:rFonts w:hint="eastAsia" w:ascii="仿宋" w:hAnsi="仿宋" w:cs="宋体"/>
          <w:b w:val="0"/>
          <w:color w:val="auto"/>
          <w:sz w:val="32"/>
          <w:highlight w:val="none"/>
        </w:rPr>
        <w:br w:type="page"/>
      </w:r>
      <w:bookmarkEnd w:id="91"/>
      <w:bookmarkEnd w:id="92"/>
      <w:bookmarkStart w:id="588" w:name="_Toc246996241"/>
      <w:bookmarkStart w:id="589" w:name="_Toc30018"/>
      <w:bookmarkStart w:id="590" w:name="_Toc179632616"/>
      <w:bookmarkStart w:id="591" w:name="_Toc144974565"/>
      <w:bookmarkStart w:id="592" w:name="_Toc247085756"/>
      <w:bookmarkStart w:id="593" w:name="_Toc65682980"/>
      <w:bookmarkStart w:id="594" w:name="_Toc152042375"/>
      <w:bookmarkStart w:id="595" w:name="_Toc28186"/>
      <w:bookmarkStart w:id="596" w:name="_Toc152045598"/>
      <w:bookmarkStart w:id="597" w:name="_Toc485225388"/>
      <w:bookmarkStart w:id="598" w:name="_Toc246996984"/>
      <w:bookmarkStart w:id="599" w:name="_Toc109124288"/>
      <w:r>
        <w:rPr>
          <w:rFonts w:hint="eastAsia" w:ascii="仿宋" w:hAnsi="仿宋" w:cs="宋体"/>
          <w:color w:val="auto"/>
          <w:highlight w:val="none"/>
        </w:rPr>
        <w:t>第三章 评标办法</w:t>
      </w:r>
      <w:bookmarkEnd w:id="588"/>
      <w:bookmarkEnd w:id="589"/>
      <w:bookmarkEnd w:id="590"/>
      <w:bookmarkEnd w:id="591"/>
      <w:bookmarkEnd w:id="592"/>
      <w:bookmarkEnd w:id="593"/>
      <w:bookmarkEnd w:id="594"/>
      <w:bookmarkEnd w:id="595"/>
      <w:bookmarkEnd w:id="596"/>
      <w:bookmarkEnd w:id="597"/>
      <w:bookmarkEnd w:id="598"/>
      <w:bookmarkEnd w:id="599"/>
    </w:p>
    <w:p w14:paraId="28C6CA85">
      <w:pPr>
        <w:pStyle w:val="4"/>
        <w:pageBreakBefore w:val="0"/>
        <w:kinsoku/>
        <w:overflowPunct/>
        <w:bidi w:val="0"/>
        <w:spacing w:line="600" w:lineRule="exact"/>
        <w:jc w:val="center"/>
        <w:rPr>
          <w:rFonts w:hint="eastAsia" w:ascii="仿宋" w:hAnsi="仿宋" w:cs="宋体"/>
          <w:color w:val="auto"/>
          <w:szCs w:val="24"/>
          <w:highlight w:val="none"/>
        </w:rPr>
      </w:pPr>
      <w:bookmarkStart w:id="600" w:name="_Toc31831"/>
      <w:bookmarkStart w:id="601" w:name="_Toc65682981"/>
      <w:bookmarkStart w:id="602" w:name="_Toc109124289"/>
      <w:bookmarkStart w:id="603" w:name="_Toc29379"/>
      <w:r>
        <w:rPr>
          <w:rFonts w:hint="eastAsia" w:ascii="仿宋" w:hAnsi="仿宋" w:cs="宋体"/>
          <w:color w:val="auto"/>
          <w:szCs w:val="24"/>
          <w:highlight w:val="none"/>
        </w:rPr>
        <w:t>评标办法前附表</w:t>
      </w:r>
      <w:bookmarkEnd w:id="600"/>
      <w:bookmarkEnd w:id="601"/>
      <w:bookmarkEnd w:id="602"/>
      <w:bookmarkEnd w:id="603"/>
    </w:p>
    <w:p w14:paraId="3C68D234">
      <w:pPr>
        <w:pageBreakBefore w:val="0"/>
        <w:kinsoku/>
        <w:overflowPunct/>
        <w:bidi w:val="0"/>
        <w:adjustRightInd w:val="0"/>
        <w:snapToGrid w:val="0"/>
        <w:spacing w:line="600" w:lineRule="exact"/>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本项目采用综合评分法，总分共100分。</w:t>
      </w:r>
    </w:p>
    <w:p w14:paraId="358F04A1">
      <w:pPr>
        <w:pStyle w:val="5"/>
        <w:pageBreakBefore w:val="0"/>
        <w:kinsoku/>
        <w:overflowPunct/>
        <w:bidi w:val="0"/>
        <w:spacing w:line="600" w:lineRule="exact"/>
        <w:rPr>
          <w:color w:val="auto"/>
          <w:highlight w:val="none"/>
        </w:rPr>
      </w:pPr>
      <w:bookmarkStart w:id="604" w:name="_Toc22942"/>
      <w:bookmarkStart w:id="605" w:name="_Toc65682982"/>
      <w:bookmarkStart w:id="606" w:name="_Toc109124290"/>
      <w:bookmarkStart w:id="607" w:name="_Toc1372"/>
      <w:r>
        <w:rPr>
          <w:color w:val="auto"/>
          <w:highlight w:val="none"/>
        </w:rPr>
        <w:t>1、初步评审标准</w:t>
      </w:r>
      <w:bookmarkEnd w:id="604"/>
      <w:bookmarkEnd w:id="605"/>
      <w:bookmarkEnd w:id="606"/>
      <w:bookmarkEnd w:id="607"/>
    </w:p>
    <w:tbl>
      <w:tblPr>
        <w:tblStyle w:val="33"/>
        <w:tblW w:w="0" w:type="auto"/>
        <w:jc w:val="center"/>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fixed"/>
        <w:tblCellMar>
          <w:top w:w="0" w:type="dxa"/>
          <w:left w:w="108" w:type="dxa"/>
          <w:bottom w:w="0" w:type="dxa"/>
          <w:right w:w="108" w:type="dxa"/>
        </w:tblCellMar>
      </w:tblPr>
      <w:tblGrid>
        <w:gridCol w:w="727"/>
        <w:gridCol w:w="1370"/>
        <w:gridCol w:w="2595"/>
        <w:gridCol w:w="4973"/>
      </w:tblGrid>
      <w:tr w14:paraId="2BEB5A5B">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361" w:hRule="atLeast"/>
          <w:jc w:val="center"/>
        </w:trPr>
        <w:tc>
          <w:tcPr>
            <w:tcW w:w="2097" w:type="dxa"/>
            <w:gridSpan w:val="2"/>
            <w:noWrap w:val="0"/>
            <w:vAlign w:val="center"/>
          </w:tcPr>
          <w:p w14:paraId="15F1A5A0">
            <w:pPr>
              <w:keepNext w:val="0"/>
              <w:keepLines w:val="0"/>
              <w:pageBreakBefore w:val="0"/>
              <w:widowControl/>
              <w:suppressLineNumbers w:val="0"/>
              <w:kinsoku/>
              <w:overflowPunct/>
              <w:bidi w:val="0"/>
              <w:spacing w:before="0" w:beforeAutospacing="0" w:after="0" w:afterAutospacing="0" w:line="600" w:lineRule="exact"/>
              <w:ind w:left="0" w:right="0"/>
              <w:jc w:val="center"/>
              <w:rPr>
                <w:rFonts w:hint="eastAsia" w:ascii="仿宋" w:hAnsi="仿宋" w:eastAsia="仿宋" w:cs="宋体"/>
                <w:b/>
                <w:color w:val="auto"/>
                <w:kern w:val="0"/>
                <w:szCs w:val="21"/>
                <w:highlight w:val="none"/>
              </w:rPr>
            </w:pPr>
            <w:r>
              <w:rPr>
                <w:rFonts w:hint="eastAsia" w:ascii="仿宋" w:hAnsi="仿宋" w:eastAsia="仿宋" w:cs="宋体"/>
                <w:b/>
                <w:color w:val="auto"/>
                <w:kern w:val="0"/>
                <w:szCs w:val="21"/>
                <w:highlight w:val="none"/>
              </w:rPr>
              <w:t>条款号</w:t>
            </w:r>
          </w:p>
        </w:tc>
        <w:tc>
          <w:tcPr>
            <w:tcW w:w="2595" w:type="dxa"/>
            <w:noWrap w:val="0"/>
            <w:vAlign w:val="center"/>
          </w:tcPr>
          <w:p w14:paraId="53589B70">
            <w:pPr>
              <w:keepNext w:val="0"/>
              <w:keepLines w:val="0"/>
              <w:pageBreakBefore w:val="0"/>
              <w:widowControl/>
              <w:suppressLineNumbers w:val="0"/>
              <w:kinsoku/>
              <w:overflowPunct/>
              <w:bidi w:val="0"/>
              <w:spacing w:before="24" w:beforeAutospacing="0" w:after="24" w:afterAutospacing="0" w:line="600" w:lineRule="exact"/>
              <w:ind w:left="0" w:right="0"/>
              <w:jc w:val="center"/>
              <w:rPr>
                <w:rFonts w:hint="eastAsia" w:ascii="仿宋" w:hAnsi="仿宋" w:eastAsia="仿宋" w:cs="宋体"/>
                <w:b/>
                <w:color w:val="auto"/>
                <w:kern w:val="0"/>
                <w:szCs w:val="21"/>
                <w:highlight w:val="none"/>
              </w:rPr>
            </w:pPr>
            <w:r>
              <w:rPr>
                <w:rFonts w:hint="eastAsia" w:ascii="仿宋" w:hAnsi="仿宋" w:eastAsia="仿宋" w:cs="宋体"/>
                <w:b/>
                <w:color w:val="auto"/>
                <w:kern w:val="0"/>
                <w:szCs w:val="21"/>
                <w:highlight w:val="none"/>
              </w:rPr>
              <w:t>评审因素</w:t>
            </w:r>
          </w:p>
        </w:tc>
        <w:tc>
          <w:tcPr>
            <w:tcW w:w="4973" w:type="dxa"/>
            <w:noWrap w:val="0"/>
            <w:vAlign w:val="center"/>
          </w:tcPr>
          <w:p w14:paraId="77C321E0">
            <w:pPr>
              <w:keepNext w:val="0"/>
              <w:keepLines w:val="0"/>
              <w:pageBreakBefore w:val="0"/>
              <w:widowControl/>
              <w:suppressLineNumbers w:val="0"/>
              <w:kinsoku/>
              <w:overflowPunct/>
              <w:bidi w:val="0"/>
              <w:spacing w:before="0" w:beforeAutospacing="0" w:after="0" w:afterAutospacing="0" w:line="600" w:lineRule="exact"/>
              <w:ind w:left="0" w:right="0"/>
              <w:jc w:val="center"/>
              <w:rPr>
                <w:rFonts w:hint="eastAsia" w:ascii="仿宋" w:hAnsi="仿宋" w:eastAsia="仿宋" w:cs="宋体"/>
                <w:b/>
                <w:color w:val="auto"/>
                <w:kern w:val="0"/>
                <w:szCs w:val="21"/>
                <w:highlight w:val="none"/>
              </w:rPr>
            </w:pPr>
            <w:r>
              <w:rPr>
                <w:rFonts w:hint="eastAsia" w:ascii="仿宋" w:hAnsi="仿宋" w:eastAsia="仿宋" w:cs="宋体"/>
                <w:b/>
                <w:color w:val="auto"/>
                <w:kern w:val="0"/>
                <w:szCs w:val="21"/>
                <w:highlight w:val="none"/>
              </w:rPr>
              <w:t>评审标准</w:t>
            </w:r>
          </w:p>
        </w:tc>
      </w:tr>
      <w:tr w14:paraId="1C7BEEEB">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17" w:hRule="atLeast"/>
          <w:jc w:val="center"/>
        </w:trPr>
        <w:tc>
          <w:tcPr>
            <w:tcW w:w="727" w:type="dxa"/>
            <w:vMerge w:val="restart"/>
            <w:noWrap w:val="0"/>
            <w:vAlign w:val="center"/>
          </w:tcPr>
          <w:p w14:paraId="1DBBBC2E">
            <w:pPr>
              <w:keepNext w:val="0"/>
              <w:keepLines w:val="0"/>
              <w:pageBreakBefore w:val="0"/>
              <w:widowControl/>
              <w:suppressLineNumbers w:val="0"/>
              <w:kinsoku/>
              <w:overflowPunct/>
              <w:bidi w:val="0"/>
              <w:spacing w:before="0" w:beforeAutospacing="0" w:after="0" w:afterAutospacing="0" w:line="600" w:lineRule="exact"/>
              <w:ind w:left="0" w:right="0"/>
              <w:jc w:val="center"/>
              <w:rPr>
                <w:rFonts w:hint="eastAsia" w:ascii="仿宋" w:hAnsi="仿宋" w:eastAsia="仿宋" w:cs="宋体"/>
                <w:color w:val="auto"/>
                <w:kern w:val="0"/>
                <w:szCs w:val="21"/>
                <w:highlight w:val="none"/>
              </w:rPr>
            </w:pPr>
            <w:r>
              <w:rPr>
                <w:rFonts w:hint="eastAsia" w:ascii="仿宋" w:hAnsi="仿宋" w:eastAsia="仿宋" w:cs="宋体"/>
                <w:color w:val="auto"/>
                <w:kern w:val="0"/>
                <w:szCs w:val="21"/>
                <w:highlight w:val="none"/>
              </w:rPr>
              <w:t>1</w:t>
            </w:r>
          </w:p>
        </w:tc>
        <w:tc>
          <w:tcPr>
            <w:tcW w:w="1370" w:type="dxa"/>
            <w:vMerge w:val="restart"/>
            <w:noWrap w:val="0"/>
            <w:vAlign w:val="center"/>
          </w:tcPr>
          <w:p w14:paraId="76ABE050">
            <w:pPr>
              <w:keepNext w:val="0"/>
              <w:keepLines w:val="0"/>
              <w:pageBreakBefore w:val="0"/>
              <w:widowControl/>
              <w:suppressLineNumbers w:val="0"/>
              <w:kinsoku/>
              <w:overflowPunct/>
              <w:bidi w:val="0"/>
              <w:spacing w:before="0" w:beforeAutospacing="0" w:after="0" w:afterAutospacing="0" w:line="600" w:lineRule="exact"/>
              <w:ind w:left="0" w:right="0"/>
              <w:jc w:val="center"/>
              <w:rPr>
                <w:rFonts w:hint="eastAsia" w:ascii="仿宋" w:hAnsi="仿宋" w:eastAsia="仿宋" w:cs="宋体"/>
                <w:color w:val="auto"/>
                <w:kern w:val="0"/>
                <w:szCs w:val="21"/>
                <w:highlight w:val="none"/>
              </w:rPr>
            </w:pPr>
            <w:r>
              <w:rPr>
                <w:rFonts w:hint="eastAsia" w:ascii="仿宋" w:hAnsi="仿宋" w:eastAsia="仿宋" w:cs="宋体"/>
                <w:color w:val="auto"/>
                <w:kern w:val="0"/>
                <w:szCs w:val="21"/>
                <w:highlight w:val="none"/>
              </w:rPr>
              <w:t>形式评审标准</w:t>
            </w:r>
          </w:p>
        </w:tc>
        <w:tc>
          <w:tcPr>
            <w:tcW w:w="2595" w:type="dxa"/>
            <w:noWrap w:val="0"/>
            <w:vAlign w:val="center"/>
          </w:tcPr>
          <w:p w14:paraId="3E72FD29">
            <w:pPr>
              <w:keepNext w:val="0"/>
              <w:keepLines w:val="0"/>
              <w:pageBreakBefore w:val="0"/>
              <w:suppressLineNumbers w:val="0"/>
              <w:kinsoku/>
              <w:overflowPunct/>
              <w:bidi w:val="0"/>
              <w:spacing w:before="24" w:beforeAutospacing="0" w:after="24" w:afterAutospacing="0" w:line="600" w:lineRule="exact"/>
              <w:ind w:left="0" w:right="0"/>
              <w:jc w:val="center"/>
              <w:rPr>
                <w:rFonts w:hint="eastAsia" w:ascii="仿宋" w:hAnsi="仿宋" w:eastAsia="仿宋" w:cs="宋体"/>
                <w:color w:val="auto"/>
                <w:kern w:val="0"/>
                <w:szCs w:val="21"/>
                <w:highlight w:val="none"/>
              </w:rPr>
            </w:pPr>
            <w:r>
              <w:rPr>
                <w:rFonts w:hint="eastAsia" w:ascii="仿宋" w:hAnsi="仿宋" w:eastAsia="仿宋" w:cs="宋体"/>
                <w:color w:val="auto"/>
                <w:szCs w:val="21"/>
                <w:highlight w:val="none"/>
              </w:rPr>
              <w:t>投标人名称</w:t>
            </w:r>
          </w:p>
        </w:tc>
        <w:tc>
          <w:tcPr>
            <w:tcW w:w="4973" w:type="dxa"/>
            <w:noWrap w:val="0"/>
            <w:vAlign w:val="center"/>
          </w:tcPr>
          <w:p w14:paraId="7ED2778F">
            <w:pPr>
              <w:keepNext w:val="0"/>
              <w:keepLines w:val="0"/>
              <w:pageBreakBefore w:val="0"/>
              <w:suppressLineNumbers w:val="0"/>
              <w:kinsoku/>
              <w:overflowPunct/>
              <w:bidi w:val="0"/>
              <w:spacing w:before="24" w:beforeAutospacing="0" w:after="24" w:afterAutospacing="0" w:line="600" w:lineRule="exact"/>
              <w:ind w:left="0" w:right="0"/>
              <w:jc w:val="left"/>
              <w:rPr>
                <w:rFonts w:hint="eastAsia" w:ascii="仿宋" w:hAnsi="仿宋" w:eastAsia="仿宋" w:cs="宋体"/>
                <w:color w:val="auto"/>
                <w:kern w:val="0"/>
                <w:szCs w:val="21"/>
                <w:highlight w:val="none"/>
              </w:rPr>
            </w:pPr>
            <w:r>
              <w:rPr>
                <w:rFonts w:hint="eastAsia" w:ascii="仿宋" w:hAnsi="仿宋" w:eastAsia="仿宋" w:cs="宋体"/>
                <w:color w:val="auto"/>
                <w:szCs w:val="21"/>
                <w:highlight w:val="none"/>
              </w:rPr>
              <w:t>公章名称与企业营业执照、资质证书（如有）等其他证书一致。</w:t>
            </w:r>
          </w:p>
        </w:tc>
      </w:tr>
      <w:tr w14:paraId="4DCB0A05">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436" w:hRule="atLeast"/>
          <w:jc w:val="center"/>
        </w:trPr>
        <w:tc>
          <w:tcPr>
            <w:tcW w:w="727" w:type="dxa"/>
            <w:vMerge w:val="continue"/>
            <w:noWrap w:val="0"/>
            <w:vAlign w:val="center"/>
          </w:tcPr>
          <w:p w14:paraId="64A509A7">
            <w:pPr>
              <w:keepNext w:val="0"/>
              <w:keepLines w:val="0"/>
              <w:pageBreakBefore w:val="0"/>
              <w:widowControl/>
              <w:suppressLineNumbers w:val="0"/>
              <w:kinsoku/>
              <w:overflowPunct/>
              <w:bidi w:val="0"/>
              <w:spacing w:before="0" w:beforeAutospacing="0" w:after="0" w:afterAutospacing="0" w:line="600" w:lineRule="exact"/>
              <w:ind w:left="0" w:right="0"/>
              <w:jc w:val="center"/>
              <w:rPr>
                <w:rFonts w:hint="eastAsia" w:ascii="仿宋" w:hAnsi="仿宋" w:eastAsia="仿宋" w:cs="宋体"/>
                <w:color w:val="auto"/>
                <w:kern w:val="0"/>
                <w:szCs w:val="21"/>
                <w:highlight w:val="none"/>
              </w:rPr>
            </w:pPr>
          </w:p>
        </w:tc>
        <w:tc>
          <w:tcPr>
            <w:tcW w:w="1370" w:type="dxa"/>
            <w:vMerge w:val="continue"/>
            <w:noWrap w:val="0"/>
            <w:vAlign w:val="center"/>
          </w:tcPr>
          <w:p w14:paraId="0647B606">
            <w:pPr>
              <w:keepNext w:val="0"/>
              <w:keepLines w:val="0"/>
              <w:pageBreakBefore w:val="0"/>
              <w:widowControl/>
              <w:suppressLineNumbers w:val="0"/>
              <w:kinsoku/>
              <w:overflowPunct/>
              <w:bidi w:val="0"/>
              <w:spacing w:before="0" w:beforeAutospacing="0" w:after="0" w:afterAutospacing="0" w:line="600" w:lineRule="exact"/>
              <w:ind w:left="0" w:right="0"/>
              <w:jc w:val="center"/>
              <w:rPr>
                <w:rFonts w:hint="eastAsia" w:ascii="仿宋" w:hAnsi="仿宋" w:eastAsia="仿宋" w:cs="宋体"/>
                <w:color w:val="auto"/>
                <w:kern w:val="0"/>
                <w:szCs w:val="21"/>
                <w:highlight w:val="none"/>
              </w:rPr>
            </w:pPr>
          </w:p>
        </w:tc>
        <w:tc>
          <w:tcPr>
            <w:tcW w:w="2595" w:type="dxa"/>
            <w:noWrap w:val="0"/>
            <w:vAlign w:val="center"/>
          </w:tcPr>
          <w:p w14:paraId="5D4A5D13">
            <w:pPr>
              <w:keepNext w:val="0"/>
              <w:keepLines w:val="0"/>
              <w:pageBreakBefore w:val="0"/>
              <w:suppressLineNumbers w:val="0"/>
              <w:kinsoku/>
              <w:overflowPunct/>
              <w:bidi w:val="0"/>
              <w:spacing w:before="24" w:beforeAutospacing="0" w:after="24" w:afterAutospacing="0" w:line="600" w:lineRule="exact"/>
              <w:ind w:left="0" w:right="0"/>
              <w:jc w:val="center"/>
              <w:rPr>
                <w:rFonts w:hint="eastAsia" w:ascii="仿宋" w:hAnsi="仿宋" w:eastAsia="仿宋" w:cs="宋体"/>
                <w:color w:val="auto"/>
                <w:kern w:val="0"/>
                <w:szCs w:val="21"/>
                <w:highlight w:val="none"/>
              </w:rPr>
            </w:pPr>
            <w:r>
              <w:rPr>
                <w:rFonts w:hint="eastAsia" w:ascii="仿宋" w:hAnsi="仿宋" w:eastAsia="仿宋" w:cs="宋体"/>
                <w:color w:val="auto"/>
                <w:szCs w:val="21"/>
                <w:highlight w:val="none"/>
              </w:rPr>
              <w:t>法定代表人（负责人）身份证明</w:t>
            </w:r>
          </w:p>
        </w:tc>
        <w:tc>
          <w:tcPr>
            <w:tcW w:w="4973" w:type="dxa"/>
            <w:noWrap w:val="0"/>
            <w:vAlign w:val="center"/>
          </w:tcPr>
          <w:p w14:paraId="16E1A85C">
            <w:pPr>
              <w:pStyle w:val="138"/>
              <w:keepNext w:val="0"/>
              <w:keepLines w:val="0"/>
              <w:pageBreakBefore w:val="0"/>
              <w:suppressLineNumbers w:val="0"/>
              <w:kinsoku/>
              <w:overflowPunct/>
              <w:topLinePunct/>
              <w:bidi w:val="0"/>
              <w:spacing w:before="0" w:beforeAutospacing="0" w:after="0" w:afterAutospacing="0" w:line="600" w:lineRule="exact"/>
              <w:ind w:left="0" w:right="0"/>
              <w:jc w:val="left"/>
              <w:rPr>
                <w:rFonts w:hint="default" w:ascii="仿宋" w:hAnsi="仿宋" w:eastAsia="仿宋" w:cs="仿宋"/>
                <w:color w:val="auto"/>
                <w:sz w:val="21"/>
                <w:szCs w:val="21"/>
                <w:highlight w:val="none"/>
              </w:rPr>
            </w:pPr>
            <w:r>
              <w:rPr>
                <w:rFonts w:hint="eastAsia" w:ascii="仿宋" w:hAnsi="仿宋" w:eastAsia="仿宋" w:cs="仿宋"/>
                <w:color w:val="auto"/>
                <w:sz w:val="21"/>
                <w:szCs w:val="21"/>
                <w:highlight w:val="none"/>
              </w:rPr>
              <w:t>（1）提供法定代表人（负责人）身份证复印件。</w:t>
            </w:r>
          </w:p>
          <w:p w14:paraId="7BAEF01F">
            <w:pPr>
              <w:pStyle w:val="138"/>
              <w:keepNext w:val="0"/>
              <w:keepLines w:val="0"/>
              <w:pageBreakBefore w:val="0"/>
              <w:suppressLineNumbers w:val="0"/>
              <w:kinsoku/>
              <w:overflowPunct/>
              <w:topLinePunct/>
              <w:bidi w:val="0"/>
              <w:spacing w:before="0" w:beforeAutospacing="0" w:after="0" w:afterAutospacing="0" w:line="600" w:lineRule="exact"/>
              <w:ind w:left="0" w:right="0"/>
              <w:jc w:val="left"/>
              <w:rPr>
                <w:rFonts w:hint="eastAsia" w:ascii="仿宋" w:hAnsi="仿宋" w:eastAsia="仿宋" w:cs="仿宋"/>
                <w:color w:val="auto"/>
                <w:sz w:val="21"/>
                <w:szCs w:val="21"/>
                <w:highlight w:val="none"/>
              </w:rPr>
            </w:pPr>
            <w:r>
              <w:rPr>
                <w:rFonts w:hint="eastAsia" w:ascii="仿宋" w:hAnsi="仿宋" w:eastAsia="仿宋" w:cs="仿宋"/>
                <w:color w:val="auto"/>
                <w:sz w:val="22"/>
                <w:szCs w:val="20"/>
                <w:highlight w:val="none"/>
              </w:rPr>
              <w:t>（2）落款加盖公章。</w:t>
            </w:r>
          </w:p>
        </w:tc>
      </w:tr>
      <w:tr w14:paraId="00BAD5D5">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47" w:hRule="atLeast"/>
          <w:jc w:val="center"/>
        </w:trPr>
        <w:tc>
          <w:tcPr>
            <w:tcW w:w="727" w:type="dxa"/>
            <w:vMerge w:val="continue"/>
            <w:noWrap w:val="0"/>
            <w:vAlign w:val="center"/>
          </w:tcPr>
          <w:p w14:paraId="58AC2A6A">
            <w:pPr>
              <w:keepNext w:val="0"/>
              <w:keepLines w:val="0"/>
              <w:pageBreakBefore w:val="0"/>
              <w:widowControl/>
              <w:suppressLineNumbers w:val="0"/>
              <w:kinsoku/>
              <w:overflowPunct/>
              <w:bidi w:val="0"/>
              <w:spacing w:before="0" w:beforeAutospacing="0" w:after="0" w:afterAutospacing="0" w:line="600" w:lineRule="exact"/>
              <w:ind w:left="0" w:right="0"/>
              <w:jc w:val="left"/>
              <w:rPr>
                <w:rFonts w:hint="eastAsia" w:ascii="仿宋" w:hAnsi="仿宋" w:eastAsia="仿宋" w:cs="宋体"/>
                <w:color w:val="auto"/>
                <w:kern w:val="0"/>
                <w:szCs w:val="21"/>
                <w:highlight w:val="none"/>
              </w:rPr>
            </w:pPr>
          </w:p>
        </w:tc>
        <w:tc>
          <w:tcPr>
            <w:tcW w:w="1370" w:type="dxa"/>
            <w:vMerge w:val="continue"/>
            <w:noWrap w:val="0"/>
            <w:vAlign w:val="center"/>
          </w:tcPr>
          <w:p w14:paraId="6FF3A9EE">
            <w:pPr>
              <w:keepNext w:val="0"/>
              <w:keepLines w:val="0"/>
              <w:pageBreakBefore w:val="0"/>
              <w:widowControl/>
              <w:suppressLineNumbers w:val="0"/>
              <w:kinsoku/>
              <w:overflowPunct/>
              <w:bidi w:val="0"/>
              <w:spacing w:before="0" w:beforeAutospacing="0" w:after="0" w:afterAutospacing="0" w:line="600" w:lineRule="exact"/>
              <w:ind w:left="0" w:right="0"/>
              <w:jc w:val="left"/>
              <w:rPr>
                <w:rFonts w:hint="eastAsia" w:ascii="仿宋" w:hAnsi="仿宋" w:eastAsia="仿宋" w:cs="宋体"/>
                <w:color w:val="auto"/>
                <w:kern w:val="0"/>
                <w:szCs w:val="21"/>
                <w:highlight w:val="none"/>
              </w:rPr>
            </w:pPr>
          </w:p>
        </w:tc>
        <w:tc>
          <w:tcPr>
            <w:tcW w:w="2595" w:type="dxa"/>
            <w:noWrap w:val="0"/>
            <w:vAlign w:val="center"/>
          </w:tcPr>
          <w:p w14:paraId="3B873AE9">
            <w:pPr>
              <w:keepNext w:val="0"/>
              <w:keepLines w:val="0"/>
              <w:pageBreakBefore w:val="0"/>
              <w:suppressLineNumbers w:val="0"/>
              <w:kinsoku/>
              <w:overflowPunct/>
              <w:bidi w:val="0"/>
              <w:spacing w:before="24" w:beforeAutospacing="0" w:after="24" w:afterAutospacing="0" w:line="600" w:lineRule="exact"/>
              <w:ind w:left="0" w:right="0"/>
              <w:jc w:val="center"/>
              <w:rPr>
                <w:rFonts w:hint="eastAsia" w:ascii="仿宋" w:hAnsi="仿宋" w:eastAsia="仿宋" w:cs="宋体"/>
                <w:color w:val="auto"/>
                <w:spacing w:val="-4"/>
                <w:kern w:val="0"/>
                <w:szCs w:val="21"/>
                <w:highlight w:val="none"/>
              </w:rPr>
            </w:pPr>
            <w:r>
              <w:rPr>
                <w:rFonts w:hint="eastAsia" w:ascii="仿宋" w:hAnsi="仿宋" w:eastAsia="仿宋" w:cs="宋体"/>
                <w:color w:val="auto"/>
                <w:szCs w:val="21"/>
                <w:highlight w:val="none"/>
              </w:rPr>
              <w:t>法定代表人（负责人）授权委托书</w:t>
            </w:r>
          </w:p>
        </w:tc>
        <w:tc>
          <w:tcPr>
            <w:tcW w:w="4973" w:type="dxa"/>
            <w:noWrap w:val="0"/>
            <w:vAlign w:val="center"/>
          </w:tcPr>
          <w:p w14:paraId="3738C381">
            <w:pPr>
              <w:pStyle w:val="138"/>
              <w:keepNext w:val="0"/>
              <w:keepLines w:val="0"/>
              <w:pageBreakBefore w:val="0"/>
              <w:suppressLineNumbers w:val="0"/>
              <w:kinsoku/>
              <w:overflowPunct/>
              <w:topLinePunct/>
              <w:bidi w:val="0"/>
              <w:spacing w:before="0" w:beforeAutospacing="0" w:after="0" w:afterAutospacing="0" w:line="600" w:lineRule="exact"/>
              <w:ind w:left="0" w:right="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（1）提供委托代理人身份证复印件。</w:t>
            </w:r>
          </w:p>
          <w:p w14:paraId="0CADC743">
            <w:pPr>
              <w:pStyle w:val="138"/>
              <w:keepNext w:val="0"/>
              <w:keepLines w:val="0"/>
              <w:pageBreakBefore w:val="0"/>
              <w:suppressLineNumbers w:val="0"/>
              <w:kinsoku/>
              <w:overflowPunct/>
              <w:topLinePunct/>
              <w:bidi w:val="0"/>
              <w:spacing w:before="0" w:beforeAutospacing="0" w:after="0" w:afterAutospacing="0" w:line="600" w:lineRule="exact"/>
              <w:ind w:left="0" w:right="0"/>
              <w:rPr>
                <w:rFonts w:hint="eastAsia" w:hAnsi="宋体" w:eastAsia="仿宋"/>
                <w:color w:val="auto"/>
                <w:szCs w:val="21"/>
                <w:highlight w:val="none"/>
              </w:rPr>
            </w:pPr>
            <w:r>
              <w:rPr>
                <w:rFonts w:hint="eastAsia" w:ascii="仿宋" w:hAnsi="仿宋" w:eastAsia="仿宋" w:cs="仿宋"/>
                <w:color w:val="auto"/>
                <w:sz w:val="22"/>
                <w:szCs w:val="20"/>
                <w:highlight w:val="none"/>
              </w:rPr>
              <w:t>（2）落款</w:t>
            </w:r>
            <w:r>
              <w:rPr>
                <w:rFonts w:hint="eastAsia" w:ascii="仿宋" w:hAnsi="仿宋" w:eastAsia="仿宋" w:cs="仿宋"/>
                <w:bCs/>
                <w:color w:val="auto"/>
                <w:sz w:val="22"/>
                <w:szCs w:val="20"/>
                <w:highlight w:val="none"/>
              </w:rPr>
              <w:t>加盖公章</w:t>
            </w:r>
            <w:r>
              <w:rPr>
                <w:rFonts w:hint="eastAsia" w:ascii="仿宋" w:hAnsi="仿宋" w:eastAsia="仿宋" w:cs="仿宋"/>
                <w:b/>
                <w:bCs/>
                <w:color w:val="auto"/>
                <w:sz w:val="22"/>
                <w:szCs w:val="20"/>
                <w:highlight w:val="none"/>
              </w:rPr>
              <w:t>并由</w:t>
            </w:r>
            <w:r>
              <w:rPr>
                <w:rFonts w:hint="eastAsia" w:ascii="仿宋" w:hAnsi="仿宋" w:eastAsia="仿宋" w:cs="仿宋"/>
                <w:color w:val="auto"/>
                <w:sz w:val="22"/>
                <w:szCs w:val="20"/>
                <w:highlight w:val="none"/>
              </w:rPr>
              <w:t>法定代表人（负责人）签字</w:t>
            </w:r>
            <w:r>
              <w:rPr>
                <w:rFonts w:hint="eastAsia" w:ascii="仿宋" w:hAnsi="仿宋" w:eastAsia="仿宋" w:cs="仿宋"/>
                <w:b/>
                <w:bCs/>
                <w:color w:val="auto"/>
                <w:sz w:val="22"/>
                <w:szCs w:val="20"/>
                <w:highlight w:val="none"/>
              </w:rPr>
              <w:t>和</w:t>
            </w:r>
            <w:r>
              <w:rPr>
                <w:rFonts w:hint="eastAsia" w:ascii="仿宋" w:hAnsi="仿宋" w:eastAsia="仿宋" w:cs="仿宋"/>
                <w:color w:val="auto"/>
                <w:sz w:val="22"/>
                <w:szCs w:val="20"/>
                <w:highlight w:val="none"/>
              </w:rPr>
              <w:t>其委托代理人</w:t>
            </w:r>
            <w:r>
              <w:rPr>
                <w:rFonts w:hint="eastAsia" w:ascii="仿宋" w:hAnsi="仿宋" w:eastAsia="仿宋" w:cs="仿宋"/>
                <w:b/>
                <w:bCs/>
                <w:color w:val="auto"/>
                <w:sz w:val="22"/>
                <w:szCs w:val="20"/>
                <w:highlight w:val="none"/>
              </w:rPr>
              <w:t>双方</w:t>
            </w:r>
            <w:r>
              <w:rPr>
                <w:rFonts w:hint="eastAsia" w:ascii="仿宋" w:hAnsi="仿宋" w:eastAsia="仿宋" w:cs="仿宋"/>
                <w:bCs/>
                <w:color w:val="auto"/>
                <w:sz w:val="22"/>
                <w:szCs w:val="20"/>
                <w:highlight w:val="none"/>
              </w:rPr>
              <w:t>签字。</w:t>
            </w:r>
          </w:p>
        </w:tc>
      </w:tr>
      <w:tr w14:paraId="79B36699">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47" w:hRule="atLeast"/>
          <w:jc w:val="center"/>
        </w:trPr>
        <w:tc>
          <w:tcPr>
            <w:tcW w:w="727" w:type="dxa"/>
            <w:vMerge w:val="continue"/>
            <w:noWrap w:val="0"/>
            <w:vAlign w:val="center"/>
          </w:tcPr>
          <w:p w14:paraId="4E29639F">
            <w:pPr>
              <w:keepNext w:val="0"/>
              <w:keepLines w:val="0"/>
              <w:pageBreakBefore w:val="0"/>
              <w:widowControl/>
              <w:suppressLineNumbers w:val="0"/>
              <w:kinsoku/>
              <w:overflowPunct/>
              <w:bidi w:val="0"/>
              <w:spacing w:before="0" w:beforeAutospacing="0" w:after="0" w:afterAutospacing="0" w:line="600" w:lineRule="exact"/>
              <w:ind w:left="0" w:right="0"/>
              <w:jc w:val="left"/>
              <w:rPr>
                <w:rFonts w:hint="eastAsia" w:ascii="仿宋" w:hAnsi="仿宋" w:eastAsia="仿宋" w:cs="宋体"/>
                <w:color w:val="auto"/>
                <w:kern w:val="0"/>
                <w:szCs w:val="21"/>
                <w:highlight w:val="none"/>
              </w:rPr>
            </w:pPr>
          </w:p>
        </w:tc>
        <w:tc>
          <w:tcPr>
            <w:tcW w:w="1370" w:type="dxa"/>
            <w:vMerge w:val="continue"/>
            <w:noWrap w:val="0"/>
            <w:vAlign w:val="center"/>
          </w:tcPr>
          <w:p w14:paraId="431B082D">
            <w:pPr>
              <w:keepNext w:val="0"/>
              <w:keepLines w:val="0"/>
              <w:pageBreakBefore w:val="0"/>
              <w:widowControl/>
              <w:suppressLineNumbers w:val="0"/>
              <w:kinsoku/>
              <w:overflowPunct/>
              <w:bidi w:val="0"/>
              <w:spacing w:before="0" w:beforeAutospacing="0" w:after="0" w:afterAutospacing="0" w:line="600" w:lineRule="exact"/>
              <w:ind w:left="0" w:right="0"/>
              <w:jc w:val="left"/>
              <w:rPr>
                <w:rFonts w:hint="eastAsia" w:ascii="仿宋" w:hAnsi="仿宋" w:eastAsia="仿宋" w:cs="宋体"/>
                <w:color w:val="auto"/>
                <w:kern w:val="0"/>
                <w:szCs w:val="21"/>
                <w:highlight w:val="none"/>
              </w:rPr>
            </w:pPr>
          </w:p>
        </w:tc>
        <w:tc>
          <w:tcPr>
            <w:tcW w:w="2595" w:type="dxa"/>
            <w:noWrap w:val="0"/>
            <w:vAlign w:val="center"/>
          </w:tcPr>
          <w:p w14:paraId="0739B455">
            <w:pPr>
              <w:keepNext w:val="0"/>
              <w:keepLines w:val="0"/>
              <w:pageBreakBefore w:val="0"/>
              <w:suppressLineNumbers w:val="0"/>
              <w:kinsoku/>
              <w:overflowPunct/>
              <w:bidi w:val="0"/>
              <w:spacing w:before="24" w:beforeAutospacing="0" w:after="24" w:afterAutospacing="0" w:line="600" w:lineRule="exact"/>
              <w:ind w:left="0" w:right="0"/>
              <w:jc w:val="center"/>
              <w:rPr>
                <w:rFonts w:hint="eastAsia" w:ascii="仿宋" w:hAnsi="仿宋" w:eastAsia="仿宋" w:cs="宋体"/>
                <w:color w:val="auto"/>
                <w:kern w:val="0"/>
                <w:szCs w:val="21"/>
                <w:highlight w:val="none"/>
              </w:rPr>
            </w:pPr>
            <w:r>
              <w:rPr>
                <w:rFonts w:hint="eastAsia" w:ascii="仿宋" w:hAnsi="仿宋" w:eastAsia="仿宋" w:cs="宋体"/>
                <w:color w:val="auto"/>
                <w:szCs w:val="21"/>
                <w:highlight w:val="none"/>
              </w:rPr>
              <w:t>投标文件的签字、盖章</w:t>
            </w:r>
          </w:p>
        </w:tc>
        <w:tc>
          <w:tcPr>
            <w:tcW w:w="4973" w:type="dxa"/>
            <w:noWrap w:val="0"/>
            <w:vAlign w:val="center"/>
          </w:tcPr>
          <w:p w14:paraId="02464366">
            <w:pPr>
              <w:pStyle w:val="13"/>
              <w:keepNext w:val="0"/>
              <w:keepLines w:val="0"/>
              <w:pageBreakBefore w:val="0"/>
              <w:suppressLineNumbers w:val="0"/>
              <w:kinsoku/>
              <w:overflowPunct/>
              <w:bidi w:val="0"/>
              <w:spacing w:before="0" w:beforeAutospacing="0" w:after="0" w:afterAutospacing="0" w:line="600" w:lineRule="exact"/>
              <w:ind w:left="0" w:right="0"/>
              <w:rPr>
                <w:rFonts w:hint="eastAsia" w:ascii="仿宋" w:hAnsi="仿宋" w:eastAsia="仿宋" w:cs="仿宋"/>
                <w:color w:val="auto"/>
                <w:szCs w:val="20"/>
                <w:highlight w:val="none"/>
              </w:rPr>
            </w:pPr>
            <w:r>
              <w:rPr>
                <w:rFonts w:hint="eastAsia" w:ascii="仿宋" w:hAnsi="仿宋" w:eastAsia="仿宋" w:cs="仿宋"/>
                <w:color w:val="auto"/>
                <w:szCs w:val="21"/>
                <w:highlight w:val="none"/>
              </w:rPr>
              <w:t>（1）</w:t>
            </w:r>
            <w:r>
              <w:rPr>
                <w:rFonts w:hint="eastAsia" w:ascii="仿宋" w:hAnsi="仿宋" w:eastAsia="仿宋" w:cs="仿宋"/>
                <w:color w:val="auto"/>
                <w:szCs w:val="20"/>
                <w:highlight w:val="none"/>
              </w:rPr>
              <w:t>投标文件格式中其他有落款的文件，均需加盖公章。</w:t>
            </w:r>
          </w:p>
          <w:p w14:paraId="098ACD5A">
            <w:pPr>
              <w:pStyle w:val="13"/>
              <w:keepNext w:val="0"/>
              <w:keepLines w:val="0"/>
              <w:pageBreakBefore w:val="0"/>
              <w:suppressLineNumbers w:val="0"/>
              <w:kinsoku/>
              <w:overflowPunct/>
              <w:bidi w:val="0"/>
              <w:spacing w:before="0" w:beforeAutospacing="0" w:after="0" w:afterAutospacing="0" w:line="600" w:lineRule="exact"/>
              <w:ind w:left="0" w:right="0"/>
              <w:rPr>
                <w:rFonts w:hint="default" w:ascii="仿宋" w:hAnsi="仿宋" w:eastAsia="仿宋" w:cs="仿宋"/>
                <w:color w:val="auto"/>
                <w:szCs w:val="20"/>
                <w:highlight w:val="none"/>
              </w:rPr>
            </w:pPr>
            <w:r>
              <w:rPr>
                <w:rFonts w:hint="eastAsia" w:ascii="仿宋" w:hAnsi="仿宋" w:eastAsia="仿宋" w:cs="仿宋"/>
                <w:color w:val="auto"/>
                <w:szCs w:val="20"/>
                <w:highlight w:val="none"/>
              </w:rPr>
              <w:t>（2）投标文件的所有签字处均指手写签字或签名章/印章或CA签名章，不得以打印体代替。</w:t>
            </w:r>
          </w:p>
          <w:p w14:paraId="65DB7A88">
            <w:pPr>
              <w:pStyle w:val="13"/>
              <w:keepNext w:val="0"/>
              <w:keepLines w:val="0"/>
              <w:pageBreakBefore w:val="0"/>
              <w:suppressLineNumbers w:val="0"/>
              <w:kinsoku/>
              <w:overflowPunct/>
              <w:bidi w:val="0"/>
              <w:spacing w:before="0" w:beforeAutospacing="0" w:after="0" w:afterAutospacing="0" w:line="600" w:lineRule="exact"/>
              <w:ind w:left="0" w:right="0"/>
              <w:rPr>
                <w:rFonts w:hint="eastAsia" w:ascii="仿宋" w:hAnsi="仿宋" w:eastAsia="仿宋" w:cs="仿宋"/>
                <w:color w:val="auto"/>
                <w:szCs w:val="20"/>
                <w:highlight w:val="none"/>
              </w:rPr>
            </w:pPr>
            <w:r>
              <w:rPr>
                <w:rFonts w:hint="eastAsia" w:ascii="仿宋" w:hAnsi="仿宋" w:eastAsia="仿宋" w:cs="仿宋"/>
                <w:color w:val="auto"/>
                <w:szCs w:val="20"/>
                <w:highlight w:val="none"/>
              </w:rPr>
              <w:t>（3）电子投标文件加盖公章处须使用CA印章。</w:t>
            </w:r>
          </w:p>
        </w:tc>
      </w:tr>
      <w:tr w14:paraId="0190966A">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361" w:hRule="atLeast"/>
          <w:jc w:val="center"/>
        </w:trPr>
        <w:tc>
          <w:tcPr>
            <w:tcW w:w="727" w:type="dxa"/>
            <w:vMerge w:val="restart"/>
            <w:noWrap w:val="0"/>
            <w:vAlign w:val="center"/>
          </w:tcPr>
          <w:p w14:paraId="56F4D027">
            <w:pPr>
              <w:keepNext w:val="0"/>
              <w:keepLines w:val="0"/>
              <w:pageBreakBefore w:val="0"/>
              <w:widowControl/>
              <w:suppressLineNumbers w:val="0"/>
              <w:kinsoku/>
              <w:overflowPunct/>
              <w:bidi w:val="0"/>
              <w:spacing w:before="0" w:beforeAutospacing="0" w:after="0" w:afterAutospacing="0" w:line="600" w:lineRule="exact"/>
              <w:ind w:left="0" w:right="0"/>
              <w:jc w:val="center"/>
              <w:rPr>
                <w:rFonts w:hint="eastAsia" w:ascii="仿宋" w:hAnsi="仿宋" w:eastAsia="仿宋" w:cs="宋体"/>
                <w:color w:val="auto"/>
                <w:kern w:val="0"/>
                <w:szCs w:val="21"/>
                <w:highlight w:val="none"/>
              </w:rPr>
            </w:pPr>
            <w:r>
              <w:rPr>
                <w:rFonts w:hint="eastAsia" w:ascii="仿宋" w:hAnsi="仿宋" w:eastAsia="仿宋" w:cs="宋体"/>
                <w:color w:val="auto"/>
                <w:kern w:val="0"/>
                <w:szCs w:val="21"/>
                <w:highlight w:val="none"/>
              </w:rPr>
              <w:t>2</w:t>
            </w:r>
          </w:p>
        </w:tc>
        <w:tc>
          <w:tcPr>
            <w:tcW w:w="1370" w:type="dxa"/>
            <w:vMerge w:val="restart"/>
            <w:noWrap w:val="0"/>
            <w:vAlign w:val="center"/>
          </w:tcPr>
          <w:p w14:paraId="309D7DC2">
            <w:pPr>
              <w:keepNext w:val="0"/>
              <w:keepLines w:val="0"/>
              <w:pageBreakBefore w:val="0"/>
              <w:widowControl/>
              <w:suppressLineNumbers w:val="0"/>
              <w:kinsoku/>
              <w:overflowPunct/>
              <w:bidi w:val="0"/>
              <w:spacing w:before="0" w:beforeAutospacing="0" w:after="0" w:afterAutospacing="0" w:line="600" w:lineRule="exact"/>
              <w:ind w:left="0" w:right="0"/>
              <w:jc w:val="center"/>
              <w:rPr>
                <w:rFonts w:hint="eastAsia" w:ascii="仿宋" w:hAnsi="仿宋" w:eastAsia="仿宋" w:cs="宋体"/>
                <w:color w:val="auto"/>
                <w:kern w:val="0"/>
                <w:szCs w:val="21"/>
                <w:highlight w:val="none"/>
              </w:rPr>
            </w:pPr>
            <w:r>
              <w:rPr>
                <w:rFonts w:hint="eastAsia" w:ascii="仿宋" w:hAnsi="仿宋" w:eastAsia="仿宋" w:cs="宋体"/>
                <w:color w:val="auto"/>
                <w:kern w:val="0"/>
                <w:szCs w:val="21"/>
                <w:highlight w:val="none"/>
              </w:rPr>
              <w:t>资格评审标准</w:t>
            </w:r>
          </w:p>
        </w:tc>
        <w:tc>
          <w:tcPr>
            <w:tcW w:w="2595" w:type="dxa"/>
            <w:noWrap w:val="0"/>
            <w:vAlign w:val="center"/>
          </w:tcPr>
          <w:p w14:paraId="74B01109">
            <w:pPr>
              <w:keepNext w:val="0"/>
              <w:keepLines w:val="0"/>
              <w:pageBreakBefore w:val="0"/>
              <w:suppressLineNumbers w:val="0"/>
              <w:kinsoku/>
              <w:overflowPunct/>
              <w:bidi w:val="0"/>
              <w:spacing w:before="24" w:beforeAutospacing="0" w:after="24" w:afterAutospacing="0" w:line="600" w:lineRule="exact"/>
              <w:ind w:left="0" w:right="0"/>
              <w:jc w:val="center"/>
              <w:rPr>
                <w:rFonts w:hint="eastAsia" w:ascii="仿宋" w:hAnsi="仿宋" w:eastAsia="仿宋" w:cs="宋体"/>
                <w:color w:val="auto"/>
                <w:kern w:val="0"/>
                <w:szCs w:val="21"/>
                <w:highlight w:val="none"/>
              </w:rPr>
            </w:pPr>
            <w:r>
              <w:rPr>
                <w:rFonts w:hint="eastAsia" w:ascii="仿宋" w:hAnsi="仿宋" w:eastAsia="仿宋" w:cs="宋体"/>
                <w:color w:val="auto"/>
                <w:szCs w:val="21"/>
                <w:highlight w:val="none"/>
              </w:rPr>
              <w:t>营业执照</w:t>
            </w:r>
          </w:p>
        </w:tc>
        <w:tc>
          <w:tcPr>
            <w:tcW w:w="4973" w:type="dxa"/>
            <w:noWrap w:val="0"/>
            <w:vAlign w:val="top"/>
          </w:tcPr>
          <w:p w14:paraId="45EA4E98">
            <w:pPr>
              <w:keepNext w:val="0"/>
              <w:keepLines w:val="0"/>
              <w:pageBreakBefore w:val="0"/>
              <w:suppressLineNumbers w:val="0"/>
              <w:kinsoku/>
              <w:overflowPunct/>
              <w:bidi w:val="0"/>
              <w:spacing w:before="24" w:beforeAutospacing="0" w:after="24" w:afterAutospacing="0" w:line="600" w:lineRule="exact"/>
              <w:ind w:left="0" w:right="0"/>
              <w:jc w:val="left"/>
              <w:rPr>
                <w:rFonts w:hint="eastAsia" w:ascii="仿宋" w:hAnsi="仿宋" w:eastAsia="仿宋" w:cs="宋体"/>
                <w:color w:val="auto"/>
                <w:szCs w:val="21"/>
                <w:highlight w:val="none"/>
              </w:rPr>
            </w:pPr>
            <w:r>
              <w:rPr>
                <w:rFonts w:hint="eastAsia" w:ascii="仿宋" w:hAnsi="仿宋" w:eastAsia="仿宋" w:cs="宋体"/>
                <w:color w:val="auto"/>
                <w:szCs w:val="21"/>
                <w:highlight w:val="none"/>
              </w:rPr>
              <w:t>符合第一章“招标公告”要求。</w:t>
            </w:r>
          </w:p>
        </w:tc>
      </w:tr>
      <w:tr w14:paraId="57D6A9D3">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361" w:hRule="atLeast"/>
          <w:jc w:val="center"/>
        </w:trPr>
        <w:tc>
          <w:tcPr>
            <w:tcW w:w="727" w:type="dxa"/>
            <w:vMerge w:val="continue"/>
            <w:noWrap w:val="0"/>
            <w:vAlign w:val="center"/>
          </w:tcPr>
          <w:p w14:paraId="71D02C34">
            <w:pPr>
              <w:keepNext w:val="0"/>
              <w:keepLines w:val="0"/>
              <w:pageBreakBefore w:val="0"/>
              <w:widowControl/>
              <w:suppressLineNumbers w:val="0"/>
              <w:kinsoku/>
              <w:overflowPunct/>
              <w:bidi w:val="0"/>
              <w:spacing w:before="0" w:beforeAutospacing="0" w:after="0" w:afterAutospacing="0" w:line="600" w:lineRule="exact"/>
              <w:ind w:left="0" w:right="0"/>
              <w:jc w:val="center"/>
              <w:rPr>
                <w:rFonts w:hint="eastAsia" w:ascii="仿宋" w:hAnsi="仿宋" w:eastAsia="仿宋" w:cs="宋体"/>
                <w:color w:val="auto"/>
                <w:kern w:val="0"/>
                <w:szCs w:val="21"/>
                <w:highlight w:val="none"/>
              </w:rPr>
            </w:pPr>
          </w:p>
        </w:tc>
        <w:tc>
          <w:tcPr>
            <w:tcW w:w="1370" w:type="dxa"/>
            <w:vMerge w:val="continue"/>
            <w:noWrap w:val="0"/>
            <w:vAlign w:val="center"/>
          </w:tcPr>
          <w:p w14:paraId="04716B90">
            <w:pPr>
              <w:keepNext w:val="0"/>
              <w:keepLines w:val="0"/>
              <w:pageBreakBefore w:val="0"/>
              <w:widowControl/>
              <w:suppressLineNumbers w:val="0"/>
              <w:kinsoku/>
              <w:overflowPunct/>
              <w:bidi w:val="0"/>
              <w:spacing w:before="0" w:beforeAutospacing="0" w:after="0" w:afterAutospacing="0" w:line="600" w:lineRule="exact"/>
              <w:ind w:left="0" w:right="0"/>
              <w:jc w:val="center"/>
              <w:rPr>
                <w:rFonts w:hint="eastAsia" w:ascii="仿宋" w:hAnsi="仿宋" w:eastAsia="仿宋" w:cs="宋体"/>
                <w:color w:val="auto"/>
                <w:kern w:val="0"/>
                <w:szCs w:val="21"/>
                <w:highlight w:val="none"/>
              </w:rPr>
            </w:pPr>
          </w:p>
        </w:tc>
        <w:tc>
          <w:tcPr>
            <w:tcW w:w="2595" w:type="dxa"/>
            <w:noWrap w:val="0"/>
            <w:vAlign w:val="center"/>
          </w:tcPr>
          <w:p w14:paraId="2F4BAC12">
            <w:pPr>
              <w:keepNext w:val="0"/>
              <w:keepLines w:val="0"/>
              <w:pageBreakBefore w:val="0"/>
              <w:suppressLineNumbers w:val="0"/>
              <w:kinsoku/>
              <w:overflowPunct/>
              <w:bidi w:val="0"/>
              <w:spacing w:before="24" w:beforeAutospacing="0" w:after="24" w:afterAutospacing="0" w:line="600" w:lineRule="exact"/>
              <w:ind w:left="0" w:right="0"/>
              <w:jc w:val="center"/>
              <w:rPr>
                <w:rFonts w:hint="eastAsia" w:ascii="仿宋" w:hAnsi="仿宋" w:eastAsia="仿宋" w:cs="宋体"/>
                <w:color w:val="auto"/>
                <w:szCs w:val="21"/>
                <w:highlight w:val="none"/>
              </w:rPr>
            </w:pPr>
            <w:r>
              <w:rPr>
                <w:rFonts w:hint="eastAsia" w:ascii="仿宋" w:hAnsi="仿宋" w:eastAsia="仿宋" w:cs="仿宋"/>
                <w:color w:val="auto"/>
                <w:szCs w:val="21"/>
                <w:highlight w:val="none"/>
              </w:rPr>
              <w:t>无违法违规记录</w:t>
            </w:r>
          </w:p>
        </w:tc>
        <w:tc>
          <w:tcPr>
            <w:tcW w:w="4973" w:type="dxa"/>
            <w:noWrap w:val="0"/>
            <w:vAlign w:val="top"/>
          </w:tcPr>
          <w:p w14:paraId="22DAF3F1">
            <w:pPr>
              <w:keepNext w:val="0"/>
              <w:keepLines w:val="0"/>
              <w:pageBreakBefore w:val="0"/>
              <w:suppressLineNumbers w:val="0"/>
              <w:kinsoku/>
              <w:overflowPunct/>
              <w:bidi w:val="0"/>
              <w:spacing w:before="0" w:beforeAutospacing="0" w:after="0" w:afterAutospacing="0" w:line="600" w:lineRule="exact"/>
              <w:ind w:left="0" w:right="0"/>
              <w:rPr>
                <w:rFonts w:hint="eastAsia" w:ascii="仿宋" w:hAnsi="仿宋" w:eastAsia="仿宋" w:cs="宋体"/>
                <w:color w:val="auto"/>
                <w:szCs w:val="21"/>
                <w:highlight w:val="none"/>
              </w:rPr>
            </w:pPr>
            <w:r>
              <w:rPr>
                <w:rFonts w:hint="eastAsia" w:ascii="仿宋" w:hAnsi="仿宋" w:eastAsia="仿宋" w:cs="宋体"/>
                <w:color w:val="auto"/>
                <w:szCs w:val="21"/>
                <w:highlight w:val="none"/>
              </w:rPr>
              <w:t>符合第一章“招标公告”要求。</w:t>
            </w:r>
          </w:p>
        </w:tc>
      </w:tr>
      <w:tr w14:paraId="633BE5AF">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376" w:hRule="atLeast"/>
          <w:jc w:val="center"/>
        </w:trPr>
        <w:tc>
          <w:tcPr>
            <w:tcW w:w="727" w:type="dxa"/>
            <w:vMerge w:val="continue"/>
            <w:noWrap w:val="0"/>
            <w:vAlign w:val="center"/>
          </w:tcPr>
          <w:p w14:paraId="7BCE9B2B">
            <w:pPr>
              <w:keepNext w:val="0"/>
              <w:keepLines w:val="0"/>
              <w:pageBreakBefore w:val="0"/>
              <w:widowControl/>
              <w:suppressLineNumbers w:val="0"/>
              <w:kinsoku/>
              <w:overflowPunct/>
              <w:bidi w:val="0"/>
              <w:spacing w:before="0" w:beforeAutospacing="0" w:after="0" w:afterAutospacing="0" w:line="600" w:lineRule="exact"/>
              <w:ind w:left="0" w:right="0"/>
              <w:jc w:val="left"/>
              <w:rPr>
                <w:rFonts w:hint="eastAsia" w:ascii="仿宋" w:hAnsi="仿宋" w:eastAsia="仿宋" w:cs="宋体"/>
                <w:color w:val="auto"/>
                <w:kern w:val="0"/>
                <w:szCs w:val="21"/>
                <w:highlight w:val="none"/>
              </w:rPr>
            </w:pPr>
          </w:p>
        </w:tc>
        <w:tc>
          <w:tcPr>
            <w:tcW w:w="1370" w:type="dxa"/>
            <w:vMerge w:val="continue"/>
            <w:noWrap w:val="0"/>
            <w:vAlign w:val="center"/>
          </w:tcPr>
          <w:p w14:paraId="264C33D8">
            <w:pPr>
              <w:keepNext w:val="0"/>
              <w:keepLines w:val="0"/>
              <w:pageBreakBefore w:val="0"/>
              <w:widowControl/>
              <w:suppressLineNumbers w:val="0"/>
              <w:kinsoku/>
              <w:overflowPunct/>
              <w:bidi w:val="0"/>
              <w:spacing w:before="0" w:beforeAutospacing="0" w:after="0" w:afterAutospacing="0" w:line="600" w:lineRule="exact"/>
              <w:ind w:left="0" w:right="0"/>
              <w:jc w:val="left"/>
              <w:rPr>
                <w:rFonts w:hint="eastAsia" w:ascii="仿宋" w:hAnsi="仿宋" w:eastAsia="仿宋" w:cs="宋体"/>
                <w:color w:val="auto"/>
                <w:kern w:val="0"/>
                <w:szCs w:val="21"/>
                <w:highlight w:val="none"/>
              </w:rPr>
            </w:pPr>
          </w:p>
        </w:tc>
        <w:tc>
          <w:tcPr>
            <w:tcW w:w="2595" w:type="dxa"/>
            <w:noWrap w:val="0"/>
            <w:vAlign w:val="center"/>
          </w:tcPr>
          <w:p w14:paraId="7F64EF2C">
            <w:pPr>
              <w:keepNext w:val="0"/>
              <w:keepLines w:val="0"/>
              <w:pageBreakBefore w:val="0"/>
              <w:suppressLineNumbers w:val="0"/>
              <w:kinsoku/>
              <w:overflowPunct/>
              <w:bidi w:val="0"/>
              <w:spacing w:before="24" w:beforeAutospacing="0" w:after="24" w:afterAutospacing="0" w:line="600" w:lineRule="exact"/>
              <w:ind w:left="0" w:right="0"/>
              <w:jc w:val="center"/>
              <w:rPr>
                <w:rFonts w:hint="eastAsia" w:ascii="仿宋" w:hAnsi="仿宋" w:eastAsia="仿宋" w:cs="宋体"/>
                <w:color w:val="auto"/>
                <w:szCs w:val="21"/>
                <w:highlight w:val="none"/>
              </w:rPr>
            </w:pPr>
            <w:r>
              <w:rPr>
                <w:rFonts w:hint="eastAsia" w:ascii="仿宋" w:hAnsi="仿宋" w:eastAsia="仿宋" w:cs="Monaco"/>
                <w:color w:val="auto"/>
                <w:szCs w:val="21"/>
                <w:highlight w:val="none"/>
              </w:rPr>
              <w:t>未被列入黑名单</w:t>
            </w:r>
          </w:p>
        </w:tc>
        <w:tc>
          <w:tcPr>
            <w:tcW w:w="4973" w:type="dxa"/>
            <w:noWrap w:val="0"/>
            <w:vAlign w:val="center"/>
          </w:tcPr>
          <w:p w14:paraId="67DB4999">
            <w:pPr>
              <w:keepNext w:val="0"/>
              <w:keepLines w:val="0"/>
              <w:pageBreakBefore w:val="0"/>
              <w:suppressLineNumbers w:val="0"/>
              <w:kinsoku/>
              <w:overflowPunct/>
              <w:bidi w:val="0"/>
              <w:spacing w:before="24" w:beforeAutospacing="0" w:after="24" w:afterAutospacing="0" w:line="600" w:lineRule="exact"/>
              <w:ind w:left="0" w:right="0"/>
              <w:jc w:val="left"/>
              <w:rPr>
                <w:rFonts w:hint="eastAsia" w:ascii="仿宋" w:hAnsi="仿宋" w:eastAsia="仿宋" w:cs="宋体"/>
                <w:color w:val="auto"/>
                <w:szCs w:val="21"/>
                <w:highlight w:val="none"/>
              </w:rPr>
            </w:pPr>
            <w:r>
              <w:rPr>
                <w:rFonts w:hint="eastAsia" w:ascii="仿宋" w:hAnsi="仿宋" w:eastAsia="仿宋" w:cs="宋体"/>
                <w:color w:val="auto"/>
                <w:szCs w:val="21"/>
                <w:highlight w:val="none"/>
              </w:rPr>
              <w:t>符合第一章“招标公告”要求。</w:t>
            </w:r>
          </w:p>
        </w:tc>
      </w:tr>
      <w:tr w14:paraId="6F958472">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376" w:hRule="atLeast"/>
          <w:jc w:val="center"/>
        </w:trPr>
        <w:tc>
          <w:tcPr>
            <w:tcW w:w="727" w:type="dxa"/>
            <w:vMerge w:val="continue"/>
            <w:noWrap w:val="0"/>
            <w:vAlign w:val="center"/>
          </w:tcPr>
          <w:p w14:paraId="1DEFD9CB">
            <w:pPr>
              <w:keepNext w:val="0"/>
              <w:keepLines w:val="0"/>
              <w:pageBreakBefore w:val="0"/>
              <w:widowControl/>
              <w:suppressLineNumbers w:val="0"/>
              <w:kinsoku/>
              <w:overflowPunct/>
              <w:bidi w:val="0"/>
              <w:spacing w:before="0" w:beforeAutospacing="0" w:after="0" w:afterAutospacing="0" w:line="600" w:lineRule="exact"/>
              <w:ind w:left="0" w:right="0"/>
              <w:jc w:val="left"/>
              <w:rPr>
                <w:rFonts w:hint="eastAsia" w:ascii="仿宋" w:hAnsi="仿宋" w:eastAsia="仿宋" w:cs="宋体"/>
                <w:color w:val="auto"/>
                <w:kern w:val="0"/>
                <w:szCs w:val="21"/>
                <w:highlight w:val="none"/>
              </w:rPr>
            </w:pPr>
          </w:p>
        </w:tc>
        <w:tc>
          <w:tcPr>
            <w:tcW w:w="1370" w:type="dxa"/>
            <w:vMerge w:val="continue"/>
            <w:noWrap w:val="0"/>
            <w:vAlign w:val="center"/>
          </w:tcPr>
          <w:p w14:paraId="1793BD46">
            <w:pPr>
              <w:keepNext w:val="0"/>
              <w:keepLines w:val="0"/>
              <w:pageBreakBefore w:val="0"/>
              <w:widowControl/>
              <w:suppressLineNumbers w:val="0"/>
              <w:kinsoku/>
              <w:overflowPunct/>
              <w:bidi w:val="0"/>
              <w:spacing w:before="0" w:beforeAutospacing="0" w:after="0" w:afterAutospacing="0" w:line="600" w:lineRule="exact"/>
              <w:ind w:left="0" w:right="0"/>
              <w:jc w:val="left"/>
              <w:rPr>
                <w:rFonts w:hint="eastAsia" w:ascii="仿宋" w:hAnsi="仿宋" w:eastAsia="仿宋" w:cs="宋体"/>
                <w:color w:val="auto"/>
                <w:kern w:val="0"/>
                <w:szCs w:val="21"/>
                <w:highlight w:val="none"/>
              </w:rPr>
            </w:pPr>
          </w:p>
        </w:tc>
        <w:tc>
          <w:tcPr>
            <w:tcW w:w="2595" w:type="dxa"/>
            <w:noWrap w:val="0"/>
            <w:vAlign w:val="center"/>
          </w:tcPr>
          <w:p w14:paraId="216401AB">
            <w:pPr>
              <w:keepNext w:val="0"/>
              <w:keepLines w:val="0"/>
              <w:pageBreakBefore w:val="0"/>
              <w:suppressLineNumbers w:val="0"/>
              <w:kinsoku/>
              <w:overflowPunct/>
              <w:bidi w:val="0"/>
              <w:spacing w:before="24" w:beforeAutospacing="0" w:after="24" w:afterAutospacing="0" w:line="600" w:lineRule="exact"/>
              <w:ind w:left="0" w:right="0"/>
              <w:jc w:val="center"/>
              <w:rPr>
                <w:rFonts w:hint="default" w:ascii="仿宋" w:hAnsi="仿宋" w:eastAsia="仿宋" w:cs="宋体"/>
                <w:color w:val="auto"/>
                <w:szCs w:val="21"/>
                <w:highlight w:val="none"/>
                <w:lang w:val="en-US" w:eastAsia="zh-CN"/>
              </w:rPr>
            </w:pPr>
            <w:r>
              <w:rPr>
                <w:rFonts w:hint="eastAsia" w:ascii="仿宋" w:hAnsi="仿宋" w:eastAsia="仿宋" w:cs="宋体"/>
                <w:color w:val="auto"/>
                <w:szCs w:val="21"/>
                <w:highlight w:val="none"/>
              </w:rPr>
              <w:t>控股及管理关系</w:t>
            </w:r>
          </w:p>
        </w:tc>
        <w:tc>
          <w:tcPr>
            <w:tcW w:w="4973" w:type="dxa"/>
            <w:noWrap w:val="0"/>
            <w:vAlign w:val="center"/>
          </w:tcPr>
          <w:p w14:paraId="180C5172">
            <w:pPr>
              <w:keepNext w:val="0"/>
              <w:keepLines w:val="0"/>
              <w:pageBreakBefore w:val="0"/>
              <w:suppressLineNumbers w:val="0"/>
              <w:kinsoku/>
              <w:overflowPunct/>
              <w:bidi w:val="0"/>
              <w:spacing w:before="24" w:beforeAutospacing="0" w:after="24" w:afterAutospacing="0" w:line="600" w:lineRule="exact"/>
              <w:ind w:left="0" w:right="0"/>
              <w:jc w:val="left"/>
              <w:rPr>
                <w:rFonts w:hint="eastAsia" w:ascii="仿宋" w:hAnsi="仿宋" w:eastAsia="仿宋" w:cs="宋体"/>
                <w:color w:val="auto"/>
                <w:kern w:val="0"/>
                <w:szCs w:val="21"/>
                <w:highlight w:val="none"/>
              </w:rPr>
            </w:pPr>
            <w:r>
              <w:rPr>
                <w:rFonts w:hint="eastAsia" w:ascii="仿宋" w:hAnsi="仿宋" w:eastAsia="仿宋" w:cs="宋体"/>
                <w:color w:val="auto"/>
                <w:szCs w:val="21"/>
                <w:highlight w:val="none"/>
              </w:rPr>
              <w:t>符合第一章“招标公告”要求。</w:t>
            </w:r>
          </w:p>
        </w:tc>
      </w:tr>
      <w:tr w14:paraId="2FD8DA79">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361" w:hRule="atLeast"/>
          <w:jc w:val="center"/>
        </w:trPr>
        <w:tc>
          <w:tcPr>
            <w:tcW w:w="727" w:type="dxa"/>
            <w:vMerge w:val="restart"/>
            <w:noWrap w:val="0"/>
            <w:vAlign w:val="center"/>
          </w:tcPr>
          <w:p w14:paraId="6EEFC327">
            <w:pPr>
              <w:keepNext w:val="0"/>
              <w:keepLines w:val="0"/>
              <w:pageBreakBefore w:val="0"/>
              <w:widowControl/>
              <w:suppressLineNumbers w:val="0"/>
              <w:kinsoku/>
              <w:overflowPunct/>
              <w:bidi w:val="0"/>
              <w:spacing w:before="0" w:beforeAutospacing="0" w:after="0" w:afterAutospacing="0" w:line="600" w:lineRule="exact"/>
              <w:ind w:left="0" w:right="0"/>
              <w:jc w:val="center"/>
              <w:rPr>
                <w:rFonts w:hint="eastAsia" w:ascii="仿宋" w:hAnsi="仿宋" w:eastAsia="仿宋" w:cs="宋体"/>
                <w:color w:val="auto"/>
                <w:kern w:val="0"/>
                <w:szCs w:val="21"/>
                <w:highlight w:val="none"/>
              </w:rPr>
            </w:pPr>
            <w:r>
              <w:rPr>
                <w:rFonts w:hint="eastAsia" w:ascii="仿宋" w:hAnsi="仿宋" w:eastAsia="仿宋" w:cs="宋体"/>
                <w:color w:val="auto"/>
                <w:kern w:val="0"/>
                <w:szCs w:val="21"/>
                <w:highlight w:val="none"/>
              </w:rPr>
              <w:t>3</w:t>
            </w:r>
          </w:p>
        </w:tc>
        <w:tc>
          <w:tcPr>
            <w:tcW w:w="1370" w:type="dxa"/>
            <w:vMerge w:val="restart"/>
            <w:noWrap w:val="0"/>
            <w:vAlign w:val="center"/>
          </w:tcPr>
          <w:p w14:paraId="681E0350">
            <w:pPr>
              <w:keepNext w:val="0"/>
              <w:keepLines w:val="0"/>
              <w:pageBreakBefore w:val="0"/>
              <w:widowControl/>
              <w:suppressLineNumbers w:val="0"/>
              <w:kinsoku/>
              <w:overflowPunct/>
              <w:bidi w:val="0"/>
              <w:spacing w:before="0" w:beforeAutospacing="0" w:after="0" w:afterAutospacing="0" w:line="600" w:lineRule="exact"/>
              <w:ind w:left="0" w:right="0"/>
              <w:jc w:val="center"/>
              <w:rPr>
                <w:rFonts w:hint="eastAsia" w:ascii="仿宋" w:hAnsi="仿宋" w:eastAsia="仿宋" w:cs="宋体"/>
                <w:color w:val="auto"/>
                <w:kern w:val="0"/>
                <w:szCs w:val="21"/>
                <w:highlight w:val="none"/>
              </w:rPr>
            </w:pPr>
            <w:r>
              <w:rPr>
                <w:rFonts w:hint="eastAsia" w:ascii="仿宋" w:hAnsi="仿宋" w:eastAsia="仿宋" w:cs="宋体"/>
                <w:color w:val="auto"/>
                <w:kern w:val="0"/>
                <w:szCs w:val="21"/>
                <w:highlight w:val="none"/>
              </w:rPr>
              <w:t>响应性评审标准</w:t>
            </w:r>
          </w:p>
        </w:tc>
        <w:tc>
          <w:tcPr>
            <w:tcW w:w="2595" w:type="dxa"/>
            <w:noWrap w:val="0"/>
            <w:vAlign w:val="center"/>
          </w:tcPr>
          <w:p w14:paraId="3086A69B">
            <w:pPr>
              <w:keepNext w:val="0"/>
              <w:keepLines w:val="0"/>
              <w:pageBreakBefore w:val="0"/>
              <w:suppressLineNumbers w:val="0"/>
              <w:kinsoku/>
              <w:overflowPunct/>
              <w:bidi w:val="0"/>
              <w:spacing w:before="24" w:beforeAutospacing="0" w:after="24" w:afterAutospacing="0" w:line="600" w:lineRule="exact"/>
              <w:ind w:left="0" w:right="0"/>
              <w:jc w:val="center"/>
              <w:rPr>
                <w:rFonts w:hint="eastAsia" w:ascii="仿宋" w:hAnsi="仿宋" w:eastAsia="仿宋" w:cs="宋体"/>
                <w:color w:val="auto"/>
                <w:kern w:val="0"/>
                <w:szCs w:val="21"/>
                <w:highlight w:val="none"/>
                <w:lang w:val="en-US" w:eastAsia="zh-CN"/>
              </w:rPr>
            </w:pPr>
            <w:r>
              <w:rPr>
                <w:rFonts w:hint="eastAsia" w:ascii="仿宋" w:hAnsi="仿宋" w:eastAsia="仿宋" w:cs="宋体"/>
                <w:color w:val="auto"/>
                <w:szCs w:val="21"/>
                <w:highlight w:val="none"/>
              </w:rPr>
              <w:t>投标保证</w:t>
            </w:r>
            <w:r>
              <w:rPr>
                <w:rFonts w:hint="eastAsia" w:ascii="仿宋" w:hAnsi="仿宋" w:eastAsia="仿宋" w:cs="宋体"/>
                <w:color w:val="auto"/>
                <w:szCs w:val="21"/>
                <w:highlight w:val="none"/>
                <w:lang w:val="en-US" w:eastAsia="zh-CN"/>
              </w:rPr>
              <w:t>金</w:t>
            </w:r>
          </w:p>
        </w:tc>
        <w:tc>
          <w:tcPr>
            <w:tcW w:w="4973" w:type="dxa"/>
            <w:noWrap w:val="0"/>
            <w:vAlign w:val="center"/>
          </w:tcPr>
          <w:p w14:paraId="1824A521">
            <w:pPr>
              <w:keepNext w:val="0"/>
              <w:keepLines w:val="0"/>
              <w:pageBreakBefore w:val="0"/>
              <w:suppressLineNumbers w:val="0"/>
              <w:kinsoku/>
              <w:overflowPunct/>
              <w:bidi w:val="0"/>
              <w:spacing w:before="0" w:beforeAutospacing="0" w:after="0" w:afterAutospacing="0" w:line="600" w:lineRule="exact"/>
              <w:ind w:left="0" w:right="0"/>
              <w:rPr>
                <w:rFonts w:hint="eastAsia" w:ascii="仿宋" w:hAnsi="仿宋" w:eastAsia="仿宋" w:cs="宋体"/>
                <w:color w:val="auto"/>
                <w:kern w:val="0"/>
                <w:szCs w:val="21"/>
                <w:highlight w:val="none"/>
              </w:rPr>
            </w:pPr>
            <w:r>
              <w:rPr>
                <w:rFonts w:hint="eastAsia" w:ascii="仿宋" w:hAnsi="仿宋" w:eastAsia="仿宋" w:cs="宋体"/>
                <w:color w:val="auto"/>
                <w:szCs w:val="21"/>
                <w:highlight w:val="none"/>
              </w:rPr>
              <w:t>符合第二章“投标人须知”规定。</w:t>
            </w:r>
          </w:p>
        </w:tc>
      </w:tr>
      <w:tr w14:paraId="32003CD1">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361" w:hRule="atLeast"/>
          <w:jc w:val="center"/>
        </w:trPr>
        <w:tc>
          <w:tcPr>
            <w:tcW w:w="727" w:type="dxa"/>
            <w:vMerge w:val="continue"/>
            <w:noWrap w:val="0"/>
            <w:vAlign w:val="center"/>
          </w:tcPr>
          <w:p w14:paraId="668F75F8">
            <w:pPr>
              <w:keepNext w:val="0"/>
              <w:keepLines w:val="0"/>
              <w:pageBreakBefore w:val="0"/>
              <w:widowControl/>
              <w:suppressLineNumbers w:val="0"/>
              <w:kinsoku/>
              <w:overflowPunct/>
              <w:bidi w:val="0"/>
              <w:spacing w:before="0" w:beforeAutospacing="0" w:after="0" w:afterAutospacing="0" w:line="600" w:lineRule="exact"/>
              <w:ind w:left="0" w:right="0"/>
              <w:jc w:val="center"/>
              <w:rPr>
                <w:rFonts w:hint="eastAsia" w:ascii="仿宋" w:hAnsi="仿宋" w:eastAsia="仿宋" w:cs="宋体"/>
                <w:color w:val="auto"/>
                <w:kern w:val="0"/>
                <w:szCs w:val="21"/>
                <w:highlight w:val="none"/>
              </w:rPr>
            </w:pPr>
          </w:p>
        </w:tc>
        <w:tc>
          <w:tcPr>
            <w:tcW w:w="1370" w:type="dxa"/>
            <w:vMerge w:val="continue"/>
            <w:noWrap w:val="0"/>
            <w:vAlign w:val="center"/>
          </w:tcPr>
          <w:p w14:paraId="45EB2C8B">
            <w:pPr>
              <w:keepNext w:val="0"/>
              <w:keepLines w:val="0"/>
              <w:pageBreakBefore w:val="0"/>
              <w:widowControl/>
              <w:suppressLineNumbers w:val="0"/>
              <w:kinsoku/>
              <w:overflowPunct/>
              <w:bidi w:val="0"/>
              <w:spacing w:before="0" w:beforeAutospacing="0" w:after="0" w:afterAutospacing="0" w:line="600" w:lineRule="exact"/>
              <w:ind w:left="0" w:right="0"/>
              <w:jc w:val="center"/>
              <w:rPr>
                <w:rFonts w:hint="eastAsia" w:ascii="仿宋" w:hAnsi="仿宋" w:eastAsia="仿宋" w:cs="宋体"/>
                <w:color w:val="auto"/>
                <w:kern w:val="0"/>
                <w:szCs w:val="21"/>
                <w:highlight w:val="none"/>
              </w:rPr>
            </w:pPr>
          </w:p>
        </w:tc>
        <w:tc>
          <w:tcPr>
            <w:tcW w:w="2595" w:type="dxa"/>
            <w:noWrap w:val="0"/>
            <w:vAlign w:val="center"/>
          </w:tcPr>
          <w:p w14:paraId="05B0C973">
            <w:pPr>
              <w:keepNext w:val="0"/>
              <w:keepLines w:val="0"/>
              <w:pageBreakBefore w:val="0"/>
              <w:suppressLineNumbers w:val="0"/>
              <w:kinsoku/>
              <w:overflowPunct/>
              <w:bidi w:val="0"/>
              <w:spacing w:before="24" w:beforeAutospacing="0" w:after="24" w:afterAutospacing="0" w:line="600" w:lineRule="exact"/>
              <w:ind w:left="0" w:right="0"/>
              <w:jc w:val="center"/>
              <w:rPr>
                <w:rFonts w:hint="eastAsia" w:ascii="仿宋" w:hAnsi="仿宋" w:eastAsia="仿宋" w:cs="宋体"/>
                <w:color w:val="auto"/>
                <w:szCs w:val="21"/>
                <w:highlight w:val="none"/>
              </w:rPr>
            </w:pPr>
            <w:r>
              <w:rPr>
                <w:rFonts w:hint="eastAsia" w:ascii="仿宋" w:hAnsi="仿宋" w:eastAsia="仿宋" w:cs="仿宋"/>
                <w:color w:val="auto"/>
                <w:szCs w:val="21"/>
                <w:highlight w:val="none"/>
              </w:rPr>
              <w:t>投标函</w:t>
            </w:r>
          </w:p>
        </w:tc>
        <w:tc>
          <w:tcPr>
            <w:tcW w:w="4973" w:type="dxa"/>
            <w:noWrap w:val="0"/>
            <w:vAlign w:val="center"/>
          </w:tcPr>
          <w:p w14:paraId="1EBCD302">
            <w:pPr>
              <w:keepNext w:val="0"/>
              <w:keepLines w:val="0"/>
              <w:pageBreakBefore w:val="0"/>
              <w:suppressLineNumbers w:val="0"/>
              <w:kinsoku/>
              <w:overflowPunct/>
              <w:bidi w:val="0"/>
              <w:spacing w:before="0" w:beforeAutospacing="0" w:after="0" w:afterAutospacing="0" w:line="600" w:lineRule="exact"/>
              <w:ind w:left="0" w:right="0"/>
              <w:rPr>
                <w:rFonts w:hint="eastAsia" w:ascii="仿宋" w:hAnsi="仿宋" w:eastAsia="仿宋" w:cs="宋体"/>
                <w:color w:val="auto"/>
                <w:szCs w:val="21"/>
                <w:highlight w:val="none"/>
              </w:rPr>
            </w:pPr>
            <w:r>
              <w:rPr>
                <w:rFonts w:hint="eastAsia" w:ascii="仿宋" w:hAnsi="仿宋" w:eastAsia="仿宋" w:cs="仿宋"/>
                <w:color w:val="auto"/>
                <w:szCs w:val="21"/>
                <w:highlight w:val="none"/>
              </w:rPr>
              <w:t>除填写投标人名称、项目名称外，未修改原文内容。</w:t>
            </w:r>
          </w:p>
        </w:tc>
      </w:tr>
      <w:tr w14:paraId="0E3A39E4">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361" w:hRule="atLeast"/>
          <w:jc w:val="center"/>
        </w:trPr>
        <w:tc>
          <w:tcPr>
            <w:tcW w:w="727" w:type="dxa"/>
            <w:vMerge w:val="continue"/>
            <w:noWrap w:val="0"/>
            <w:vAlign w:val="center"/>
          </w:tcPr>
          <w:p w14:paraId="4354F48F">
            <w:pPr>
              <w:keepNext w:val="0"/>
              <w:keepLines w:val="0"/>
              <w:pageBreakBefore w:val="0"/>
              <w:widowControl/>
              <w:suppressLineNumbers w:val="0"/>
              <w:kinsoku/>
              <w:overflowPunct/>
              <w:bidi w:val="0"/>
              <w:spacing w:before="0" w:beforeAutospacing="0" w:after="0" w:afterAutospacing="0" w:line="600" w:lineRule="exact"/>
              <w:ind w:left="0" w:right="0"/>
              <w:jc w:val="center"/>
              <w:rPr>
                <w:rFonts w:hint="eastAsia" w:ascii="仿宋" w:hAnsi="仿宋" w:eastAsia="仿宋" w:cs="宋体"/>
                <w:color w:val="auto"/>
                <w:kern w:val="0"/>
                <w:szCs w:val="21"/>
                <w:highlight w:val="none"/>
              </w:rPr>
            </w:pPr>
          </w:p>
        </w:tc>
        <w:tc>
          <w:tcPr>
            <w:tcW w:w="1370" w:type="dxa"/>
            <w:vMerge w:val="continue"/>
            <w:noWrap w:val="0"/>
            <w:vAlign w:val="center"/>
          </w:tcPr>
          <w:p w14:paraId="32158063">
            <w:pPr>
              <w:keepNext w:val="0"/>
              <w:keepLines w:val="0"/>
              <w:pageBreakBefore w:val="0"/>
              <w:widowControl/>
              <w:suppressLineNumbers w:val="0"/>
              <w:kinsoku/>
              <w:overflowPunct/>
              <w:bidi w:val="0"/>
              <w:spacing w:before="0" w:beforeAutospacing="0" w:after="0" w:afterAutospacing="0" w:line="600" w:lineRule="exact"/>
              <w:ind w:left="0" w:right="0"/>
              <w:jc w:val="center"/>
              <w:rPr>
                <w:rFonts w:hint="eastAsia" w:ascii="仿宋" w:hAnsi="仿宋" w:eastAsia="仿宋" w:cs="宋体"/>
                <w:color w:val="auto"/>
                <w:kern w:val="0"/>
                <w:szCs w:val="21"/>
                <w:highlight w:val="none"/>
              </w:rPr>
            </w:pPr>
          </w:p>
        </w:tc>
        <w:tc>
          <w:tcPr>
            <w:tcW w:w="2595" w:type="dxa"/>
            <w:noWrap w:val="0"/>
            <w:vAlign w:val="center"/>
          </w:tcPr>
          <w:p w14:paraId="660692C0">
            <w:pPr>
              <w:keepNext w:val="0"/>
              <w:keepLines w:val="0"/>
              <w:pageBreakBefore w:val="0"/>
              <w:suppressLineNumbers w:val="0"/>
              <w:kinsoku/>
              <w:overflowPunct/>
              <w:bidi w:val="0"/>
              <w:spacing w:before="24" w:beforeAutospacing="0" w:after="24" w:afterAutospacing="0" w:line="600" w:lineRule="exact"/>
              <w:ind w:left="0" w:right="0"/>
              <w:jc w:val="center"/>
              <w:rPr>
                <w:rFonts w:hint="eastAsia" w:ascii="仿宋" w:hAnsi="仿宋" w:eastAsia="仿宋" w:cs="仿宋"/>
                <w:color w:val="auto"/>
                <w:szCs w:val="21"/>
                <w:highlight w:val="none"/>
              </w:rPr>
            </w:pPr>
            <w:r>
              <w:rPr>
                <w:rFonts w:hint="eastAsia" w:ascii="仿宋" w:hAnsi="仿宋" w:eastAsia="仿宋" w:cs="宋体"/>
                <w:color w:val="auto"/>
                <w:szCs w:val="21"/>
                <w:highlight w:val="none"/>
              </w:rPr>
              <w:t>供应商行为准则承诺书</w:t>
            </w:r>
          </w:p>
        </w:tc>
        <w:tc>
          <w:tcPr>
            <w:tcW w:w="4973" w:type="dxa"/>
            <w:noWrap w:val="0"/>
            <w:vAlign w:val="center"/>
          </w:tcPr>
          <w:p w14:paraId="03DE4653">
            <w:pPr>
              <w:keepNext w:val="0"/>
              <w:keepLines w:val="0"/>
              <w:pageBreakBefore w:val="0"/>
              <w:suppressLineNumbers w:val="0"/>
              <w:kinsoku/>
              <w:overflowPunct/>
              <w:bidi w:val="0"/>
              <w:spacing w:before="0" w:beforeAutospacing="0" w:after="0" w:afterAutospacing="0" w:line="600" w:lineRule="exact"/>
              <w:ind w:left="0" w:right="0"/>
              <w:rPr>
                <w:rFonts w:hint="eastAsia" w:ascii="仿宋" w:hAnsi="仿宋" w:eastAsia="仿宋" w:cs="仿宋"/>
                <w:color w:val="auto"/>
                <w:szCs w:val="21"/>
                <w:highlight w:val="none"/>
              </w:rPr>
            </w:pPr>
            <w:r>
              <w:rPr>
                <w:rFonts w:hint="eastAsia" w:ascii="仿宋" w:hAnsi="仿宋" w:eastAsia="仿宋" w:cs="仿宋"/>
                <w:color w:val="auto"/>
                <w:szCs w:val="21"/>
                <w:highlight w:val="none"/>
              </w:rPr>
              <w:t>除投标人填写内容外，未修改原文内容。</w:t>
            </w:r>
          </w:p>
        </w:tc>
      </w:tr>
      <w:tr w14:paraId="30015B3E">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361" w:hRule="atLeast"/>
          <w:jc w:val="center"/>
        </w:trPr>
        <w:tc>
          <w:tcPr>
            <w:tcW w:w="727" w:type="dxa"/>
            <w:vMerge w:val="continue"/>
            <w:noWrap w:val="0"/>
            <w:vAlign w:val="center"/>
          </w:tcPr>
          <w:p w14:paraId="73B8EA2A">
            <w:pPr>
              <w:keepNext w:val="0"/>
              <w:keepLines w:val="0"/>
              <w:pageBreakBefore w:val="0"/>
              <w:widowControl/>
              <w:suppressLineNumbers w:val="0"/>
              <w:kinsoku/>
              <w:overflowPunct/>
              <w:bidi w:val="0"/>
              <w:spacing w:before="0" w:beforeAutospacing="0" w:after="0" w:afterAutospacing="0" w:line="600" w:lineRule="exact"/>
              <w:ind w:left="0" w:right="0"/>
              <w:jc w:val="center"/>
              <w:rPr>
                <w:rFonts w:hint="eastAsia" w:ascii="仿宋" w:hAnsi="仿宋" w:eastAsia="仿宋" w:cs="宋体"/>
                <w:color w:val="auto"/>
                <w:kern w:val="0"/>
                <w:szCs w:val="21"/>
                <w:highlight w:val="none"/>
              </w:rPr>
            </w:pPr>
          </w:p>
        </w:tc>
        <w:tc>
          <w:tcPr>
            <w:tcW w:w="1370" w:type="dxa"/>
            <w:vMerge w:val="continue"/>
            <w:noWrap w:val="0"/>
            <w:vAlign w:val="center"/>
          </w:tcPr>
          <w:p w14:paraId="10F0C75A">
            <w:pPr>
              <w:keepNext w:val="0"/>
              <w:keepLines w:val="0"/>
              <w:pageBreakBefore w:val="0"/>
              <w:widowControl/>
              <w:suppressLineNumbers w:val="0"/>
              <w:kinsoku/>
              <w:overflowPunct/>
              <w:bidi w:val="0"/>
              <w:spacing w:before="0" w:beforeAutospacing="0" w:after="0" w:afterAutospacing="0" w:line="600" w:lineRule="exact"/>
              <w:ind w:left="0" w:right="0"/>
              <w:jc w:val="center"/>
              <w:rPr>
                <w:rFonts w:hint="eastAsia" w:ascii="仿宋" w:hAnsi="仿宋" w:eastAsia="仿宋" w:cs="宋体"/>
                <w:color w:val="auto"/>
                <w:kern w:val="0"/>
                <w:szCs w:val="21"/>
                <w:highlight w:val="none"/>
              </w:rPr>
            </w:pPr>
          </w:p>
        </w:tc>
        <w:tc>
          <w:tcPr>
            <w:tcW w:w="2595" w:type="dxa"/>
            <w:noWrap w:val="0"/>
            <w:vAlign w:val="center"/>
          </w:tcPr>
          <w:p w14:paraId="69D2B786">
            <w:pPr>
              <w:keepNext w:val="0"/>
              <w:keepLines w:val="0"/>
              <w:pageBreakBefore w:val="0"/>
              <w:suppressLineNumbers w:val="0"/>
              <w:kinsoku/>
              <w:overflowPunct/>
              <w:bidi w:val="0"/>
              <w:spacing w:before="24" w:beforeAutospacing="0" w:after="24" w:afterAutospacing="0" w:line="600" w:lineRule="exact"/>
              <w:ind w:left="0" w:right="0"/>
              <w:jc w:val="center"/>
              <w:rPr>
                <w:rFonts w:hint="eastAsia" w:ascii="仿宋" w:hAnsi="仿宋" w:eastAsia="仿宋" w:cs="宋体"/>
                <w:color w:val="auto"/>
                <w:szCs w:val="21"/>
                <w:highlight w:val="none"/>
              </w:rPr>
            </w:pPr>
            <w:r>
              <w:rPr>
                <w:rFonts w:hint="eastAsia" w:ascii="仿宋" w:hAnsi="仿宋" w:eastAsia="仿宋" w:cs="宋体"/>
                <w:color w:val="auto"/>
                <w:szCs w:val="21"/>
                <w:highlight w:val="none"/>
              </w:rPr>
              <w:t>供应商廉洁诚信承诺书</w:t>
            </w:r>
          </w:p>
        </w:tc>
        <w:tc>
          <w:tcPr>
            <w:tcW w:w="4973" w:type="dxa"/>
            <w:noWrap w:val="0"/>
            <w:vAlign w:val="center"/>
          </w:tcPr>
          <w:p w14:paraId="710920B1">
            <w:pPr>
              <w:keepNext w:val="0"/>
              <w:keepLines w:val="0"/>
              <w:pageBreakBefore w:val="0"/>
              <w:suppressLineNumbers w:val="0"/>
              <w:kinsoku/>
              <w:overflowPunct/>
              <w:bidi w:val="0"/>
              <w:spacing w:before="0" w:beforeAutospacing="0" w:after="0" w:afterAutospacing="0" w:line="600" w:lineRule="exact"/>
              <w:ind w:left="0" w:right="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除投标人填写内容外，未修改原文内容。</w:t>
            </w:r>
          </w:p>
        </w:tc>
      </w:tr>
      <w:tr w14:paraId="438042A3">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23" w:hRule="atLeast"/>
          <w:jc w:val="center"/>
        </w:trPr>
        <w:tc>
          <w:tcPr>
            <w:tcW w:w="727" w:type="dxa"/>
            <w:vMerge w:val="continue"/>
            <w:noWrap w:val="0"/>
            <w:vAlign w:val="center"/>
          </w:tcPr>
          <w:p w14:paraId="7D4661C5">
            <w:pPr>
              <w:keepNext w:val="0"/>
              <w:keepLines w:val="0"/>
              <w:pageBreakBefore w:val="0"/>
              <w:widowControl/>
              <w:suppressLineNumbers w:val="0"/>
              <w:kinsoku/>
              <w:overflowPunct/>
              <w:bidi w:val="0"/>
              <w:spacing w:before="0" w:beforeAutospacing="0" w:after="0" w:afterAutospacing="0" w:line="600" w:lineRule="exact"/>
              <w:ind w:left="0" w:right="0"/>
              <w:jc w:val="left"/>
              <w:rPr>
                <w:rFonts w:hint="eastAsia" w:ascii="仿宋" w:hAnsi="仿宋" w:eastAsia="仿宋" w:cs="宋体"/>
                <w:color w:val="auto"/>
                <w:kern w:val="0"/>
                <w:szCs w:val="21"/>
                <w:highlight w:val="none"/>
              </w:rPr>
            </w:pPr>
          </w:p>
        </w:tc>
        <w:tc>
          <w:tcPr>
            <w:tcW w:w="1370" w:type="dxa"/>
            <w:vMerge w:val="continue"/>
            <w:noWrap w:val="0"/>
            <w:vAlign w:val="center"/>
          </w:tcPr>
          <w:p w14:paraId="11976EC4">
            <w:pPr>
              <w:keepNext w:val="0"/>
              <w:keepLines w:val="0"/>
              <w:pageBreakBefore w:val="0"/>
              <w:widowControl/>
              <w:suppressLineNumbers w:val="0"/>
              <w:kinsoku/>
              <w:overflowPunct/>
              <w:bidi w:val="0"/>
              <w:spacing w:before="0" w:beforeAutospacing="0" w:after="0" w:afterAutospacing="0" w:line="600" w:lineRule="exact"/>
              <w:ind w:left="0" w:right="0"/>
              <w:jc w:val="left"/>
              <w:rPr>
                <w:rFonts w:hint="eastAsia" w:ascii="仿宋" w:hAnsi="仿宋" w:eastAsia="仿宋" w:cs="宋体"/>
                <w:color w:val="auto"/>
                <w:kern w:val="0"/>
                <w:szCs w:val="21"/>
                <w:highlight w:val="none"/>
              </w:rPr>
            </w:pPr>
          </w:p>
        </w:tc>
        <w:tc>
          <w:tcPr>
            <w:tcW w:w="2595" w:type="dxa"/>
            <w:noWrap w:val="0"/>
            <w:vAlign w:val="center"/>
          </w:tcPr>
          <w:p w14:paraId="15A068F8">
            <w:pPr>
              <w:keepNext w:val="0"/>
              <w:keepLines w:val="0"/>
              <w:pageBreakBefore w:val="0"/>
              <w:suppressLineNumbers w:val="0"/>
              <w:kinsoku/>
              <w:overflowPunct/>
              <w:bidi w:val="0"/>
              <w:spacing w:before="24" w:beforeAutospacing="0" w:after="24" w:afterAutospacing="0" w:line="600" w:lineRule="exact"/>
              <w:ind w:left="0" w:right="0"/>
              <w:jc w:val="center"/>
              <w:rPr>
                <w:rFonts w:hint="eastAsia" w:ascii="仿宋" w:hAnsi="仿宋" w:eastAsia="仿宋" w:cs="宋体"/>
                <w:color w:val="auto"/>
                <w:kern w:val="0"/>
                <w:szCs w:val="21"/>
                <w:highlight w:val="none"/>
              </w:rPr>
            </w:pPr>
            <w:r>
              <w:rPr>
                <w:rFonts w:hint="eastAsia" w:ascii="仿宋" w:hAnsi="仿宋" w:eastAsia="仿宋" w:cs="仿宋"/>
                <w:color w:val="auto"/>
                <w:szCs w:val="21"/>
                <w:highlight w:val="none"/>
              </w:rPr>
              <w:t>投标一览表</w:t>
            </w:r>
          </w:p>
        </w:tc>
        <w:tc>
          <w:tcPr>
            <w:tcW w:w="4973" w:type="dxa"/>
            <w:noWrap w:val="0"/>
            <w:vAlign w:val="center"/>
          </w:tcPr>
          <w:p w14:paraId="090BA263">
            <w:pPr>
              <w:keepNext w:val="0"/>
              <w:keepLines w:val="0"/>
              <w:pageBreakBefore w:val="0"/>
              <w:suppressLineNumbers w:val="0"/>
              <w:kinsoku/>
              <w:overflowPunct/>
              <w:bidi w:val="0"/>
              <w:spacing w:before="0" w:beforeAutospacing="0" w:after="0" w:afterAutospacing="0" w:line="600" w:lineRule="exact"/>
              <w:ind w:left="0" w:right="0"/>
              <w:rPr>
                <w:rFonts w:hint="eastAsia" w:ascii="仿宋" w:hAnsi="仿宋" w:eastAsia="仿宋" w:cs="宋体"/>
                <w:color w:val="auto"/>
                <w:kern w:val="0"/>
                <w:szCs w:val="21"/>
                <w:highlight w:val="none"/>
              </w:rPr>
            </w:pPr>
            <w:r>
              <w:rPr>
                <w:rFonts w:hint="eastAsia" w:ascii="仿宋" w:hAnsi="仿宋" w:eastAsia="仿宋" w:cs="仿宋"/>
                <w:color w:val="auto"/>
                <w:szCs w:val="21"/>
                <w:highlight w:val="none"/>
              </w:rPr>
              <w:t>报价项未缺省或回避填写，符合第二章“投标人须知”规定。</w:t>
            </w:r>
          </w:p>
        </w:tc>
      </w:tr>
      <w:tr w14:paraId="7C55B7F0">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23" w:hRule="atLeast"/>
          <w:jc w:val="center"/>
        </w:trPr>
        <w:tc>
          <w:tcPr>
            <w:tcW w:w="727" w:type="dxa"/>
            <w:vMerge w:val="continue"/>
            <w:noWrap w:val="0"/>
            <w:vAlign w:val="center"/>
          </w:tcPr>
          <w:p w14:paraId="7B901839">
            <w:pPr>
              <w:keepNext w:val="0"/>
              <w:keepLines w:val="0"/>
              <w:pageBreakBefore w:val="0"/>
              <w:widowControl/>
              <w:suppressLineNumbers w:val="0"/>
              <w:kinsoku/>
              <w:overflowPunct/>
              <w:bidi w:val="0"/>
              <w:spacing w:before="0" w:beforeAutospacing="0" w:after="0" w:afterAutospacing="0" w:line="600" w:lineRule="exact"/>
              <w:ind w:left="0" w:right="0"/>
              <w:jc w:val="left"/>
              <w:rPr>
                <w:rFonts w:hint="eastAsia" w:ascii="仿宋" w:hAnsi="仿宋" w:eastAsia="仿宋" w:cs="宋体"/>
                <w:color w:val="auto"/>
                <w:kern w:val="0"/>
                <w:szCs w:val="21"/>
                <w:highlight w:val="none"/>
              </w:rPr>
            </w:pPr>
          </w:p>
        </w:tc>
        <w:tc>
          <w:tcPr>
            <w:tcW w:w="1370" w:type="dxa"/>
            <w:vMerge w:val="continue"/>
            <w:noWrap w:val="0"/>
            <w:vAlign w:val="center"/>
          </w:tcPr>
          <w:p w14:paraId="1B5FC438">
            <w:pPr>
              <w:keepNext w:val="0"/>
              <w:keepLines w:val="0"/>
              <w:pageBreakBefore w:val="0"/>
              <w:widowControl/>
              <w:suppressLineNumbers w:val="0"/>
              <w:kinsoku/>
              <w:overflowPunct/>
              <w:bidi w:val="0"/>
              <w:spacing w:before="0" w:beforeAutospacing="0" w:after="0" w:afterAutospacing="0" w:line="600" w:lineRule="exact"/>
              <w:ind w:left="0" w:right="0"/>
              <w:jc w:val="left"/>
              <w:rPr>
                <w:rFonts w:hint="eastAsia" w:ascii="仿宋" w:hAnsi="仿宋" w:eastAsia="仿宋" w:cs="宋体"/>
                <w:color w:val="auto"/>
                <w:kern w:val="0"/>
                <w:szCs w:val="21"/>
                <w:highlight w:val="none"/>
              </w:rPr>
            </w:pPr>
          </w:p>
        </w:tc>
        <w:tc>
          <w:tcPr>
            <w:tcW w:w="2595" w:type="dxa"/>
            <w:noWrap w:val="0"/>
            <w:vAlign w:val="center"/>
          </w:tcPr>
          <w:p w14:paraId="3A40BB78">
            <w:pPr>
              <w:keepNext w:val="0"/>
              <w:keepLines w:val="0"/>
              <w:pageBreakBefore w:val="0"/>
              <w:suppressLineNumbers w:val="0"/>
              <w:kinsoku/>
              <w:overflowPunct/>
              <w:bidi w:val="0"/>
              <w:spacing w:before="24" w:beforeAutospacing="0" w:after="24" w:afterAutospacing="0" w:line="600" w:lineRule="exact"/>
              <w:ind w:left="0" w:right="0"/>
              <w:jc w:val="center"/>
              <w:rPr>
                <w:rFonts w:hint="eastAsia" w:ascii="仿宋" w:hAnsi="仿宋" w:eastAsia="仿宋" w:cs="宋体"/>
                <w:color w:val="auto"/>
                <w:kern w:val="0"/>
                <w:szCs w:val="21"/>
                <w:highlight w:val="none"/>
              </w:rPr>
            </w:pPr>
            <w:r>
              <w:rPr>
                <w:rFonts w:hint="eastAsia" w:ascii="仿宋" w:hAnsi="仿宋" w:eastAsia="仿宋" w:cs="仿宋"/>
                <w:color w:val="auto"/>
                <w:szCs w:val="21"/>
                <w:highlight w:val="none"/>
              </w:rPr>
              <w:t>偏离表应答</w:t>
            </w:r>
          </w:p>
        </w:tc>
        <w:tc>
          <w:tcPr>
            <w:tcW w:w="4973" w:type="dxa"/>
            <w:noWrap w:val="0"/>
            <w:vAlign w:val="center"/>
          </w:tcPr>
          <w:p w14:paraId="4D83E45D">
            <w:pPr>
              <w:keepNext w:val="0"/>
              <w:keepLines w:val="0"/>
              <w:pageBreakBefore w:val="0"/>
              <w:suppressLineNumbers w:val="0"/>
              <w:kinsoku/>
              <w:overflowPunct/>
              <w:bidi w:val="0"/>
              <w:spacing w:before="0" w:beforeAutospacing="0" w:after="0" w:afterAutospacing="0" w:line="600" w:lineRule="exact"/>
              <w:ind w:left="0" w:right="0"/>
              <w:rPr>
                <w:rFonts w:hint="eastAsia" w:ascii="仿宋" w:hAnsi="仿宋" w:eastAsia="仿宋" w:cs="宋体"/>
                <w:color w:val="auto"/>
                <w:kern w:val="0"/>
                <w:szCs w:val="21"/>
                <w:highlight w:val="none"/>
              </w:rPr>
            </w:pPr>
            <w:r>
              <w:rPr>
                <w:rFonts w:hint="eastAsia" w:ascii="仿宋" w:hAnsi="仿宋" w:eastAsia="仿宋" w:cs="仿宋"/>
                <w:color w:val="auto"/>
                <w:szCs w:val="21"/>
                <w:highlight w:val="none"/>
              </w:rPr>
              <w:t>《投标人须知应答偏离表》、《合同条款应答偏离表》、《技术需求书应答偏离表》进行了符合投标人须知的应答。</w:t>
            </w:r>
          </w:p>
        </w:tc>
      </w:tr>
      <w:tr w14:paraId="7A33D4C7">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416" w:hRule="atLeast"/>
          <w:jc w:val="center"/>
        </w:trPr>
        <w:tc>
          <w:tcPr>
            <w:tcW w:w="727" w:type="dxa"/>
            <w:vMerge w:val="continue"/>
            <w:noWrap w:val="0"/>
            <w:vAlign w:val="center"/>
          </w:tcPr>
          <w:p w14:paraId="2FB04B14">
            <w:pPr>
              <w:keepNext w:val="0"/>
              <w:keepLines w:val="0"/>
              <w:pageBreakBefore w:val="0"/>
              <w:widowControl/>
              <w:suppressLineNumbers w:val="0"/>
              <w:kinsoku/>
              <w:overflowPunct/>
              <w:bidi w:val="0"/>
              <w:spacing w:before="0" w:beforeAutospacing="0" w:after="0" w:afterAutospacing="0" w:line="600" w:lineRule="exact"/>
              <w:ind w:left="0" w:right="0"/>
              <w:jc w:val="left"/>
              <w:rPr>
                <w:rFonts w:hint="eastAsia" w:ascii="仿宋" w:hAnsi="仿宋" w:eastAsia="仿宋" w:cs="宋体"/>
                <w:color w:val="auto"/>
                <w:kern w:val="0"/>
                <w:szCs w:val="21"/>
                <w:highlight w:val="none"/>
              </w:rPr>
            </w:pPr>
          </w:p>
        </w:tc>
        <w:tc>
          <w:tcPr>
            <w:tcW w:w="1370" w:type="dxa"/>
            <w:vMerge w:val="continue"/>
            <w:noWrap w:val="0"/>
            <w:vAlign w:val="center"/>
          </w:tcPr>
          <w:p w14:paraId="53BAB893">
            <w:pPr>
              <w:keepNext w:val="0"/>
              <w:keepLines w:val="0"/>
              <w:pageBreakBefore w:val="0"/>
              <w:widowControl/>
              <w:suppressLineNumbers w:val="0"/>
              <w:kinsoku/>
              <w:overflowPunct/>
              <w:bidi w:val="0"/>
              <w:spacing w:before="0" w:beforeAutospacing="0" w:after="0" w:afterAutospacing="0" w:line="600" w:lineRule="exact"/>
              <w:ind w:left="0" w:right="0"/>
              <w:jc w:val="left"/>
              <w:rPr>
                <w:rFonts w:hint="eastAsia" w:ascii="仿宋" w:hAnsi="仿宋" w:eastAsia="仿宋" w:cs="宋体"/>
                <w:color w:val="auto"/>
                <w:kern w:val="0"/>
                <w:szCs w:val="21"/>
                <w:highlight w:val="none"/>
              </w:rPr>
            </w:pPr>
          </w:p>
        </w:tc>
        <w:tc>
          <w:tcPr>
            <w:tcW w:w="2595" w:type="dxa"/>
            <w:noWrap w:val="0"/>
            <w:vAlign w:val="center"/>
          </w:tcPr>
          <w:p w14:paraId="766AB50E">
            <w:pPr>
              <w:keepNext w:val="0"/>
              <w:keepLines w:val="0"/>
              <w:pageBreakBefore w:val="0"/>
              <w:suppressLineNumbers w:val="0"/>
              <w:kinsoku/>
              <w:overflowPunct/>
              <w:bidi w:val="0"/>
              <w:spacing w:before="24" w:beforeAutospacing="0" w:after="24" w:afterAutospacing="0" w:line="600" w:lineRule="exact"/>
              <w:ind w:left="0" w:right="0"/>
              <w:jc w:val="center"/>
              <w:rPr>
                <w:rFonts w:hint="eastAsia" w:ascii="仿宋" w:hAnsi="仿宋" w:eastAsia="仿宋" w:cs="宋体"/>
                <w:color w:val="auto"/>
                <w:kern w:val="0"/>
                <w:szCs w:val="21"/>
                <w:highlight w:val="none"/>
              </w:rPr>
            </w:pPr>
            <w:r>
              <w:rPr>
                <w:rFonts w:hint="eastAsia" w:ascii="仿宋" w:hAnsi="仿宋" w:eastAsia="仿宋" w:cs="宋体"/>
                <w:color w:val="auto"/>
                <w:szCs w:val="21"/>
                <w:highlight w:val="none"/>
              </w:rPr>
              <w:t>其他实质性响应情况</w:t>
            </w:r>
          </w:p>
        </w:tc>
        <w:tc>
          <w:tcPr>
            <w:tcW w:w="4973" w:type="dxa"/>
            <w:noWrap w:val="0"/>
            <w:vAlign w:val="center"/>
          </w:tcPr>
          <w:p w14:paraId="5C5F6DA3">
            <w:pPr>
              <w:keepNext w:val="0"/>
              <w:keepLines w:val="0"/>
              <w:pageBreakBefore w:val="0"/>
              <w:suppressLineNumbers w:val="0"/>
              <w:kinsoku/>
              <w:overflowPunct/>
              <w:bidi w:val="0"/>
              <w:spacing w:before="0" w:beforeAutospacing="0" w:after="0" w:afterAutospacing="0" w:line="600" w:lineRule="exact"/>
              <w:ind w:left="0" w:right="0"/>
              <w:rPr>
                <w:rFonts w:hint="eastAsia" w:ascii="仿宋" w:hAnsi="仿宋" w:eastAsia="仿宋" w:cs="宋体"/>
                <w:color w:val="auto"/>
                <w:szCs w:val="21"/>
                <w:highlight w:val="none"/>
              </w:rPr>
            </w:pPr>
            <w:r>
              <w:rPr>
                <w:rFonts w:hint="eastAsia" w:ascii="仿宋" w:hAnsi="仿宋" w:eastAsia="仿宋" w:cs="宋体"/>
                <w:color w:val="auto"/>
                <w:szCs w:val="21"/>
                <w:highlight w:val="none"/>
                <w:u w:val="single"/>
              </w:rPr>
              <w:t>招标文件中标识“★”号的条款、注明“投标将被否决”的条款</w:t>
            </w:r>
            <w:r>
              <w:rPr>
                <w:rFonts w:hint="eastAsia" w:ascii="仿宋" w:hAnsi="仿宋" w:eastAsia="仿宋" w:cs="宋体"/>
                <w:color w:val="auto"/>
                <w:szCs w:val="21"/>
                <w:highlight w:val="none"/>
              </w:rPr>
              <w:t>均为实质性条款，</w:t>
            </w:r>
            <w:r>
              <w:rPr>
                <w:rFonts w:hint="eastAsia" w:ascii="仿宋" w:hAnsi="仿宋" w:eastAsia="仿宋" w:cs="宋体"/>
                <w:b/>
                <w:color w:val="auto"/>
                <w:szCs w:val="21"/>
                <w:highlight w:val="none"/>
              </w:rPr>
              <w:t>不满足任意一项实质性条款的投标将被否决</w:t>
            </w:r>
          </w:p>
        </w:tc>
      </w:tr>
    </w:tbl>
    <w:p w14:paraId="2C4577BC">
      <w:pPr>
        <w:pStyle w:val="5"/>
        <w:pageBreakBefore w:val="0"/>
        <w:kinsoku/>
        <w:overflowPunct/>
        <w:bidi w:val="0"/>
        <w:spacing w:line="600" w:lineRule="exact"/>
        <w:ind w:firstLine="0" w:firstLineChars="0"/>
        <w:rPr>
          <w:rFonts w:ascii="仿宋" w:hAnsi="仿宋" w:cs="宋体"/>
          <w:color w:val="auto"/>
          <w:szCs w:val="24"/>
          <w:highlight w:val="none"/>
        </w:rPr>
      </w:pPr>
      <w:bookmarkStart w:id="608" w:name="_Toc109124291"/>
      <w:r>
        <w:rPr>
          <w:rFonts w:hint="default" w:ascii="仿宋" w:hAnsi="仿宋" w:cs="宋体"/>
          <w:color w:val="auto"/>
          <w:szCs w:val="24"/>
          <w:highlight w:val="none"/>
        </w:rPr>
        <w:br w:type="page"/>
      </w:r>
      <w:bookmarkStart w:id="609" w:name="_Toc31474"/>
      <w:r>
        <w:rPr>
          <w:rStyle w:val="50"/>
          <w:b/>
          <w:color w:val="auto"/>
          <w:highlight w:val="none"/>
        </w:rPr>
        <w:t>2、否决投标情形汇总</w:t>
      </w:r>
      <w:bookmarkEnd w:id="608"/>
      <w:bookmarkEnd w:id="609"/>
    </w:p>
    <w:tbl>
      <w:tblPr>
        <w:tblStyle w:val="33"/>
        <w:tblW w:w="4835" w:type="pct"/>
        <w:jc w:val="center"/>
        <w:tblLayout w:type="autofit"/>
        <w:tblCellMar>
          <w:top w:w="0" w:type="dxa"/>
          <w:left w:w="108" w:type="dxa"/>
          <w:bottom w:w="0" w:type="dxa"/>
          <w:right w:w="108" w:type="dxa"/>
        </w:tblCellMar>
      </w:tblPr>
      <w:tblGrid>
        <w:gridCol w:w="1309"/>
        <w:gridCol w:w="1744"/>
        <w:gridCol w:w="6476"/>
      </w:tblGrid>
      <w:tr w14:paraId="797B6B9F">
        <w:tblPrEx>
          <w:tblCellMar>
            <w:top w:w="0" w:type="dxa"/>
            <w:left w:w="108" w:type="dxa"/>
            <w:bottom w:w="0" w:type="dxa"/>
            <w:right w:w="108" w:type="dxa"/>
          </w:tblCellMar>
        </w:tblPrEx>
        <w:trPr>
          <w:jc w:val="center"/>
        </w:trPr>
        <w:tc>
          <w:tcPr>
            <w:tcW w:w="687" w:type="pct"/>
            <w:tcBorders>
              <w:top w:val="single" w:color="auto" w:sz="4" w:space="0"/>
              <w:left w:val="single" w:color="auto" w:sz="4" w:space="0"/>
              <w:bottom w:val="single" w:color="auto" w:sz="4" w:space="0"/>
              <w:right w:val="single" w:color="auto" w:sz="4" w:space="0"/>
            </w:tcBorders>
            <w:noWrap w:val="0"/>
            <w:vAlign w:val="center"/>
          </w:tcPr>
          <w:p w14:paraId="17842A7B">
            <w:pPr>
              <w:keepNext w:val="0"/>
              <w:keepLines w:val="0"/>
              <w:pageBreakBefore w:val="0"/>
              <w:suppressLineNumbers w:val="0"/>
              <w:kinsoku/>
              <w:overflowPunct/>
              <w:bidi w:val="0"/>
              <w:adjustRightInd w:val="0"/>
              <w:spacing w:before="62" w:beforeLines="20" w:beforeAutospacing="0" w:after="62" w:afterLines="20" w:afterAutospacing="0" w:line="600" w:lineRule="exact"/>
              <w:ind w:left="0" w:right="0"/>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章节</w:t>
            </w:r>
          </w:p>
        </w:tc>
        <w:tc>
          <w:tcPr>
            <w:tcW w:w="915" w:type="pct"/>
            <w:tcBorders>
              <w:top w:val="single" w:color="auto" w:sz="4" w:space="0"/>
              <w:left w:val="single" w:color="auto" w:sz="4" w:space="0"/>
              <w:bottom w:val="single" w:color="auto" w:sz="4" w:space="0"/>
              <w:right w:val="single" w:color="auto" w:sz="4" w:space="0"/>
            </w:tcBorders>
            <w:noWrap w:val="0"/>
            <w:vAlign w:val="center"/>
          </w:tcPr>
          <w:p w14:paraId="61ED285B">
            <w:pPr>
              <w:keepNext w:val="0"/>
              <w:keepLines w:val="0"/>
              <w:pageBreakBefore w:val="0"/>
              <w:suppressLineNumbers w:val="0"/>
              <w:kinsoku/>
              <w:overflowPunct/>
              <w:bidi w:val="0"/>
              <w:adjustRightInd w:val="0"/>
              <w:spacing w:before="62" w:beforeLines="20" w:beforeAutospacing="0" w:after="62" w:afterLines="20" w:afterAutospacing="0" w:line="600" w:lineRule="exact"/>
              <w:ind w:left="0" w:right="0"/>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内容</w:t>
            </w:r>
          </w:p>
        </w:tc>
        <w:tc>
          <w:tcPr>
            <w:tcW w:w="3398" w:type="pct"/>
            <w:tcBorders>
              <w:top w:val="single" w:color="auto" w:sz="4" w:space="0"/>
              <w:left w:val="single" w:color="auto" w:sz="4" w:space="0"/>
              <w:bottom w:val="single" w:color="auto" w:sz="4" w:space="0"/>
              <w:right w:val="single" w:color="auto" w:sz="4" w:space="0"/>
            </w:tcBorders>
            <w:noWrap w:val="0"/>
            <w:vAlign w:val="center"/>
          </w:tcPr>
          <w:p w14:paraId="6E859BC0">
            <w:pPr>
              <w:keepNext w:val="0"/>
              <w:keepLines w:val="0"/>
              <w:pageBreakBefore w:val="0"/>
              <w:suppressLineNumbers w:val="0"/>
              <w:kinsoku/>
              <w:overflowPunct/>
              <w:autoSpaceDE w:val="0"/>
              <w:autoSpaceDN w:val="0"/>
              <w:bidi w:val="0"/>
              <w:spacing w:before="0" w:beforeAutospacing="0" w:after="0" w:afterAutospacing="0" w:line="600" w:lineRule="exact"/>
              <w:ind w:left="0" w:right="0"/>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条款</w:t>
            </w:r>
          </w:p>
        </w:tc>
      </w:tr>
      <w:tr w14:paraId="0B81CAA6">
        <w:tblPrEx>
          <w:tblCellMar>
            <w:top w:w="0" w:type="dxa"/>
            <w:left w:w="108" w:type="dxa"/>
            <w:bottom w:w="0" w:type="dxa"/>
            <w:right w:w="108" w:type="dxa"/>
          </w:tblCellMar>
        </w:tblPrEx>
        <w:trPr>
          <w:jc w:val="center"/>
        </w:trPr>
        <w:tc>
          <w:tcPr>
            <w:tcW w:w="687" w:type="pct"/>
            <w:tcBorders>
              <w:top w:val="single" w:color="auto" w:sz="4" w:space="0"/>
              <w:left w:val="single" w:color="auto" w:sz="4" w:space="0"/>
              <w:bottom w:val="single" w:color="auto" w:sz="4" w:space="0"/>
              <w:right w:val="single" w:color="auto" w:sz="4" w:space="0"/>
            </w:tcBorders>
            <w:noWrap w:val="0"/>
            <w:vAlign w:val="center"/>
          </w:tcPr>
          <w:p w14:paraId="4F5138B5">
            <w:pPr>
              <w:keepNext w:val="0"/>
              <w:keepLines w:val="0"/>
              <w:pageBreakBefore w:val="0"/>
              <w:suppressLineNumbers w:val="0"/>
              <w:kinsoku/>
              <w:overflowPunct/>
              <w:bidi w:val="0"/>
              <w:adjustRightInd w:val="0"/>
              <w:spacing w:before="62" w:beforeLines="20" w:beforeAutospacing="0" w:after="62" w:afterLines="20" w:afterAutospacing="0" w:line="600" w:lineRule="exact"/>
              <w:ind w:left="0" w:right="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第一章</w:t>
            </w:r>
          </w:p>
        </w:tc>
        <w:tc>
          <w:tcPr>
            <w:tcW w:w="915" w:type="pct"/>
            <w:tcBorders>
              <w:top w:val="single" w:color="auto" w:sz="4" w:space="0"/>
              <w:left w:val="single" w:color="auto" w:sz="4" w:space="0"/>
              <w:bottom w:val="single" w:color="auto" w:sz="4" w:space="0"/>
              <w:right w:val="single" w:color="auto" w:sz="4" w:space="0"/>
            </w:tcBorders>
            <w:noWrap w:val="0"/>
            <w:vAlign w:val="center"/>
          </w:tcPr>
          <w:p w14:paraId="07F2246A">
            <w:pPr>
              <w:keepNext w:val="0"/>
              <w:keepLines w:val="0"/>
              <w:pageBreakBefore w:val="0"/>
              <w:suppressLineNumbers w:val="0"/>
              <w:kinsoku/>
              <w:overflowPunct/>
              <w:bidi w:val="0"/>
              <w:adjustRightInd w:val="0"/>
              <w:spacing w:before="62" w:beforeLines="20" w:beforeAutospacing="0" w:after="62" w:afterLines="20" w:afterAutospacing="0" w:line="600" w:lineRule="exact"/>
              <w:ind w:left="0" w:right="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招标公告</w:t>
            </w:r>
          </w:p>
        </w:tc>
        <w:tc>
          <w:tcPr>
            <w:tcW w:w="3398" w:type="pct"/>
            <w:tcBorders>
              <w:top w:val="single" w:color="auto" w:sz="4" w:space="0"/>
              <w:left w:val="single" w:color="auto" w:sz="4" w:space="0"/>
              <w:bottom w:val="single" w:color="auto" w:sz="4" w:space="0"/>
              <w:right w:val="single" w:color="auto" w:sz="4" w:space="0"/>
            </w:tcBorders>
            <w:noWrap w:val="0"/>
            <w:vAlign w:val="center"/>
          </w:tcPr>
          <w:p w14:paraId="290E1244">
            <w:pPr>
              <w:keepNext w:val="0"/>
              <w:keepLines w:val="0"/>
              <w:pageBreakBefore w:val="0"/>
              <w:suppressLineNumbers w:val="0"/>
              <w:kinsoku/>
              <w:overflowPunct/>
              <w:autoSpaceDE w:val="0"/>
              <w:autoSpaceDN w:val="0"/>
              <w:bidi w:val="0"/>
              <w:spacing w:before="0" w:beforeAutospacing="0" w:after="0" w:afterAutospacing="0" w:line="600" w:lineRule="exact"/>
              <w:ind w:left="0" w:right="0"/>
              <w:rPr>
                <w:rFonts w:hint="eastAsia" w:ascii="仿宋" w:hAnsi="仿宋" w:eastAsia="仿宋" w:cs="仿宋"/>
                <w:color w:val="auto"/>
                <w:szCs w:val="21"/>
                <w:highlight w:val="none"/>
              </w:rPr>
            </w:pPr>
            <w:r>
              <w:rPr>
                <w:rFonts w:hint="eastAsia" w:ascii="仿宋" w:hAnsi="仿宋" w:eastAsia="仿宋" w:cs="仿宋"/>
                <w:color w:val="auto"/>
                <w:szCs w:val="21"/>
                <w:highlight w:val="none"/>
              </w:rPr>
              <w:t>不完全符合“三、投标人资格要求”的投标将被否决</w:t>
            </w:r>
          </w:p>
        </w:tc>
      </w:tr>
      <w:tr w14:paraId="383DD9AC">
        <w:tblPrEx>
          <w:tblCellMar>
            <w:top w:w="0" w:type="dxa"/>
            <w:left w:w="108" w:type="dxa"/>
            <w:bottom w:w="0" w:type="dxa"/>
            <w:right w:w="108" w:type="dxa"/>
          </w:tblCellMar>
        </w:tblPrEx>
        <w:trPr>
          <w:jc w:val="center"/>
        </w:trPr>
        <w:tc>
          <w:tcPr>
            <w:tcW w:w="687" w:type="pct"/>
            <w:tcBorders>
              <w:top w:val="single" w:color="auto" w:sz="4" w:space="0"/>
              <w:left w:val="single" w:color="auto" w:sz="4" w:space="0"/>
              <w:bottom w:val="single" w:color="auto" w:sz="4" w:space="0"/>
              <w:right w:val="single" w:color="auto" w:sz="4" w:space="0"/>
            </w:tcBorders>
            <w:noWrap w:val="0"/>
            <w:vAlign w:val="center"/>
          </w:tcPr>
          <w:p w14:paraId="32BEA40D">
            <w:pPr>
              <w:keepNext w:val="0"/>
              <w:keepLines w:val="0"/>
              <w:pageBreakBefore w:val="0"/>
              <w:suppressLineNumbers w:val="0"/>
              <w:kinsoku/>
              <w:overflowPunct/>
              <w:bidi w:val="0"/>
              <w:adjustRightInd w:val="0"/>
              <w:spacing w:before="62" w:beforeLines="20" w:beforeAutospacing="0" w:after="62" w:afterLines="20" w:afterAutospacing="0" w:line="600" w:lineRule="exact"/>
              <w:ind w:left="0" w:right="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第二章</w:t>
            </w:r>
          </w:p>
        </w:tc>
        <w:tc>
          <w:tcPr>
            <w:tcW w:w="915" w:type="pct"/>
            <w:tcBorders>
              <w:top w:val="single" w:color="auto" w:sz="4" w:space="0"/>
              <w:left w:val="single" w:color="auto" w:sz="4" w:space="0"/>
              <w:bottom w:val="single" w:color="auto" w:sz="4" w:space="0"/>
              <w:right w:val="single" w:color="auto" w:sz="4" w:space="0"/>
            </w:tcBorders>
            <w:noWrap w:val="0"/>
            <w:vAlign w:val="center"/>
          </w:tcPr>
          <w:p w14:paraId="6A9C7D7B">
            <w:pPr>
              <w:keepNext w:val="0"/>
              <w:keepLines w:val="0"/>
              <w:pageBreakBefore w:val="0"/>
              <w:suppressLineNumbers w:val="0"/>
              <w:kinsoku/>
              <w:overflowPunct/>
              <w:bidi w:val="0"/>
              <w:adjustRightInd w:val="0"/>
              <w:spacing w:before="62" w:beforeLines="20" w:beforeAutospacing="0" w:after="62" w:afterLines="20" w:afterAutospacing="0" w:line="600" w:lineRule="exact"/>
              <w:ind w:left="0" w:right="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投标人须知</w:t>
            </w:r>
          </w:p>
        </w:tc>
        <w:tc>
          <w:tcPr>
            <w:tcW w:w="3398" w:type="pct"/>
            <w:tcBorders>
              <w:top w:val="single" w:color="auto" w:sz="4" w:space="0"/>
              <w:left w:val="single" w:color="auto" w:sz="4" w:space="0"/>
              <w:bottom w:val="single" w:color="auto" w:sz="4" w:space="0"/>
              <w:right w:val="single" w:color="auto" w:sz="4" w:space="0"/>
            </w:tcBorders>
            <w:noWrap w:val="0"/>
            <w:vAlign w:val="center"/>
          </w:tcPr>
          <w:p w14:paraId="320EADBF">
            <w:pPr>
              <w:keepNext w:val="0"/>
              <w:keepLines w:val="0"/>
              <w:pageBreakBefore w:val="0"/>
              <w:suppressLineNumbers w:val="0"/>
              <w:kinsoku/>
              <w:overflowPunct/>
              <w:autoSpaceDE w:val="0"/>
              <w:autoSpaceDN w:val="0"/>
              <w:bidi w:val="0"/>
              <w:spacing w:before="0" w:beforeAutospacing="0" w:after="0" w:afterAutospacing="0" w:line="600" w:lineRule="exact"/>
              <w:ind w:left="0" w:right="0"/>
              <w:rPr>
                <w:rFonts w:hint="eastAsia" w:ascii="仿宋" w:hAnsi="仿宋" w:eastAsia="仿宋" w:cs="宋体"/>
                <w:b/>
                <w:color w:val="auto"/>
                <w:szCs w:val="21"/>
                <w:highlight w:val="none"/>
              </w:rPr>
            </w:pPr>
            <w:r>
              <w:rPr>
                <w:rFonts w:hint="eastAsia" w:ascii="仿宋" w:hAnsi="仿宋" w:eastAsia="仿宋" w:cs="宋体"/>
                <w:color w:val="auto"/>
                <w:szCs w:val="21"/>
                <w:highlight w:val="none"/>
              </w:rPr>
              <w:t xml:space="preserve">2.1.3 </w:t>
            </w:r>
            <w:r>
              <w:rPr>
                <w:rFonts w:hint="eastAsia" w:ascii="仿宋" w:hAnsi="仿宋" w:eastAsia="仿宋" w:cs="宋体"/>
                <w:color w:val="auto"/>
                <w:szCs w:val="21"/>
                <w:highlight w:val="none"/>
                <w:u w:val="single"/>
              </w:rPr>
              <w:t>招标文件中标识“★”条款、注明“投标将被否决”的条款</w:t>
            </w:r>
            <w:r>
              <w:rPr>
                <w:rFonts w:hint="eastAsia" w:ascii="仿宋" w:hAnsi="仿宋" w:eastAsia="仿宋" w:cs="宋体"/>
                <w:color w:val="auto"/>
                <w:szCs w:val="21"/>
                <w:highlight w:val="none"/>
              </w:rPr>
              <w:t>，均为实质性条款，</w:t>
            </w:r>
            <w:r>
              <w:rPr>
                <w:rFonts w:hint="eastAsia" w:ascii="仿宋" w:hAnsi="仿宋" w:eastAsia="仿宋" w:cs="宋体"/>
                <w:b/>
                <w:color w:val="auto"/>
                <w:szCs w:val="21"/>
                <w:highlight w:val="none"/>
              </w:rPr>
              <w:t>不满足任意一项实质性条款的投标将被否决。</w:t>
            </w:r>
          </w:p>
          <w:p w14:paraId="3971A363">
            <w:pPr>
              <w:pStyle w:val="13"/>
              <w:keepNext w:val="0"/>
              <w:keepLines w:val="0"/>
              <w:pageBreakBefore w:val="0"/>
              <w:suppressLineNumbers w:val="0"/>
              <w:kinsoku/>
              <w:overflowPunct/>
              <w:bidi w:val="0"/>
              <w:spacing w:before="0" w:beforeAutospacing="0" w:afterAutospacing="0" w:line="600" w:lineRule="exact"/>
              <w:ind w:left="0" w:right="0"/>
              <w:rPr>
                <w:rFonts w:hint="default" w:ascii="Times New Roman" w:hAnsi="Times New Roman" w:cs="Times New Roman"/>
                <w:color w:val="auto"/>
                <w:szCs w:val="20"/>
                <w:highlight w:val="none"/>
              </w:rPr>
            </w:pPr>
            <w:r>
              <w:rPr>
                <w:rFonts w:hint="eastAsia" w:ascii="仿宋" w:hAnsi="仿宋" w:eastAsia="仿宋" w:cs="宋体"/>
                <w:color w:val="auto"/>
                <w:szCs w:val="21"/>
                <w:highlight w:val="none"/>
              </w:rPr>
              <w:t>3.1</w:t>
            </w:r>
            <w:r>
              <w:rPr>
                <w:rFonts w:hint="eastAsia" w:ascii="仿宋" w:hAnsi="仿宋" w:eastAsia="仿宋" w:cs="宋体"/>
                <w:b/>
                <w:color w:val="auto"/>
                <w:szCs w:val="21"/>
                <w:highlight w:val="none"/>
              </w:rPr>
              <w:t>★所有纸质报价文件须单独成册并密封，电子投标文件的报价部分须单独上传，不得与商务、技术文件合并装订或上传，商务、技术文件不得有任何明示、暗示投标报价的内容，否则投标将被否决。</w:t>
            </w:r>
          </w:p>
          <w:p w14:paraId="11C9BABE">
            <w:pPr>
              <w:keepNext w:val="0"/>
              <w:keepLines w:val="0"/>
              <w:pageBreakBefore w:val="0"/>
              <w:suppressLineNumbers w:val="0"/>
              <w:kinsoku/>
              <w:overflowPunct/>
              <w:autoSpaceDE w:val="0"/>
              <w:autoSpaceDN w:val="0"/>
              <w:bidi w:val="0"/>
              <w:spacing w:before="0" w:beforeAutospacing="0" w:after="0" w:afterAutospacing="0" w:line="600" w:lineRule="exact"/>
              <w:ind w:left="0" w:right="0"/>
              <w:rPr>
                <w:rFonts w:hint="eastAsia" w:ascii="仿宋" w:hAnsi="仿宋" w:eastAsia="仿宋" w:cs="仿宋"/>
                <w:color w:val="auto"/>
                <w:szCs w:val="21"/>
                <w:highlight w:val="none"/>
              </w:rPr>
            </w:pPr>
            <w:r>
              <w:rPr>
                <w:rFonts w:hint="eastAsia" w:ascii="仿宋" w:hAnsi="仿宋" w:eastAsia="仿宋" w:cs="仿宋"/>
                <w:color w:val="auto"/>
                <w:szCs w:val="21"/>
                <w:highlight w:val="none"/>
              </w:rPr>
              <w:t>3.2.2 投标人应认真阅读招标文件中所有的事项、格式、条款和技术规范等。投标人没有按照招标文件要求递交全部资料，或者投标人没有对招标文件在各方面都作出实质性响应是投标人的风险，</w:t>
            </w:r>
            <w:r>
              <w:rPr>
                <w:rFonts w:hint="eastAsia" w:ascii="仿宋" w:hAnsi="仿宋" w:eastAsia="仿宋" w:cs="仿宋"/>
                <w:b/>
                <w:color w:val="auto"/>
                <w:szCs w:val="21"/>
                <w:highlight w:val="none"/>
              </w:rPr>
              <w:t>并可能导致其投标被否决</w:t>
            </w:r>
            <w:r>
              <w:rPr>
                <w:rFonts w:hint="eastAsia" w:ascii="仿宋" w:hAnsi="仿宋" w:eastAsia="仿宋" w:cs="仿宋"/>
                <w:color w:val="auto"/>
                <w:szCs w:val="21"/>
                <w:highlight w:val="none"/>
              </w:rPr>
              <w:t>。</w:t>
            </w:r>
          </w:p>
          <w:p w14:paraId="12FEABD1">
            <w:pPr>
              <w:keepNext w:val="0"/>
              <w:keepLines w:val="0"/>
              <w:pageBreakBefore w:val="0"/>
              <w:suppressLineNumbers w:val="0"/>
              <w:kinsoku/>
              <w:overflowPunct/>
              <w:autoSpaceDE w:val="0"/>
              <w:autoSpaceDN w:val="0"/>
              <w:bidi w:val="0"/>
              <w:spacing w:before="0" w:beforeAutospacing="0" w:after="0" w:afterAutospacing="0" w:line="600" w:lineRule="exact"/>
              <w:ind w:left="0" w:right="0"/>
              <w:rPr>
                <w:rFonts w:hint="eastAsia" w:ascii="仿宋" w:hAnsi="仿宋" w:eastAsia="仿宋" w:cs="仿宋"/>
                <w:b/>
                <w:color w:val="auto"/>
                <w:szCs w:val="21"/>
                <w:highlight w:val="none"/>
              </w:rPr>
            </w:pPr>
            <w:r>
              <w:rPr>
                <w:rFonts w:hint="eastAsia" w:ascii="仿宋" w:hAnsi="仿宋" w:eastAsia="仿宋" w:cs="仿宋"/>
                <w:color w:val="auto"/>
                <w:szCs w:val="21"/>
                <w:highlight w:val="none"/>
              </w:rPr>
              <w:t>3.3.4 招标人设有最高投标限价的，投标人的投标报价不得超过最高投标限价，</w:t>
            </w:r>
            <w:r>
              <w:rPr>
                <w:rFonts w:hint="eastAsia" w:ascii="仿宋" w:hAnsi="仿宋" w:eastAsia="仿宋" w:cs="仿宋"/>
                <w:b/>
                <w:color w:val="auto"/>
                <w:szCs w:val="21"/>
                <w:highlight w:val="none"/>
              </w:rPr>
              <w:t>否则其投标将被否决。</w:t>
            </w:r>
          </w:p>
          <w:p w14:paraId="733C5F9A">
            <w:pPr>
              <w:keepNext w:val="0"/>
              <w:keepLines w:val="0"/>
              <w:pageBreakBefore w:val="0"/>
              <w:suppressLineNumbers w:val="0"/>
              <w:kinsoku/>
              <w:overflowPunct/>
              <w:autoSpaceDE w:val="0"/>
              <w:autoSpaceDN w:val="0"/>
              <w:bidi w:val="0"/>
              <w:spacing w:before="0" w:beforeAutospacing="0" w:after="0" w:afterAutospacing="0" w:line="600" w:lineRule="exact"/>
              <w:ind w:left="0" w:right="0"/>
              <w:rPr>
                <w:rFonts w:hint="eastAsia" w:ascii="仿宋" w:hAnsi="仿宋" w:eastAsia="仿宋" w:cs="仿宋"/>
                <w:b/>
                <w:color w:val="auto"/>
                <w:szCs w:val="21"/>
                <w:highlight w:val="none"/>
              </w:rPr>
            </w:pPr>
            <w:r>
              <w:rPr>
                <w:rFonts w:hint="eastAsia" w:ascii="仿宋" w:hAnsi="仿宋" w:eastAsia="仿宋" w:cs="仿宋"/>
                <w:color w:val="auto"/>
                <w:szCs w:val="21"/>
                <w:highlight w:val="none"/>
              </w:rPr>
              <w:t>3.3.5（2）投标人应根据技术规范书的要求并遵照“第六章 投标文件格式”给出的投标一览表、分项报价表进行报价，不得缺省或回避填写，</w:t>
            </w:r>
            <w:r>
              <w:rPr>
                <w:rFonts w:hint="eastAsia" w:ascii="仿宋" w:hAnsi="仿宋" w:eastAsia="仿宋" w:cs="仿宋"/>
                <w:b/>
                <w:color w:val="auto"/>
                <w:szCs w:val="21"/>
                <w:highlight w:val="none"/>
              </w:rPr>
              <w:t>否则视为非实质性响应，投标将被否决。</w:t>
            </w:r>
          </w:p>
          <w:p w14:paraId="5601DAE8">
            <w:pPr>
              <w:keepNext w:val="0"/>
              <w:keepLines w:val="0"/>
              <w:pageBreakBefore w:val="0"/>
              <w:suppressLineNumbers w:val="0"/>
              <w:kinsoku/>
              <w:overflowPunct/>
              <w:autoSpaceDE w:val="0"/>
              <w:autoSpaceDN w:val="0"/>
              <w:bidi w:val="0"/>
              <w:spacing w:before="0" w:beforeAutospacing="0" w:after="0" w:afterAutospacing="0" w:line="600" w:lineRule="exact"/>
              <w:ind w:left="0" w:right="0"/>
              <w:rPr>
                <w:rFonts w:hint="eastAsia" w:ascii="仿宋" w:hAnsi="仿宋" w:eastAsia="仿宋" w:cs="仿宋"/>
                <w:b/>
                <w:color w:val="auto"/>
                <w:szCs w:val="21"/>
                <w:highlight w:val="none"/>
              </w:rPr>
            </w:pPr>
            <w:r>
              <w:rPr>
                <w:rFonts w:hint="eastAsia" w:ascii="仿宋" w:hAnsi="仿宋" w:eastAsia="仿宋" w:cs="仿宋"/>
                <w:color w:val="auto"/>
                <w:szCs w:val="21"/>
                <w:highlight w:val="none"/>
              </w:rPr>
              <w:t>3.4.1 投标人承诺的投标有效期必须不短于招标文件规定的投标有效期，</w:t>
            </w:r>
            <w:r>
              <w:rPr>
                <w:rFonts w:hint="eastAsia" w:ascii="仿宋" w:hAnsi="仿宋" w:eastAsia="仿宋" w:cs="仿宋"/>
                <w:b/>
                <w:color w:val="auto"/>
                <w:szCs w:val="21"/>
                <w:highlight w:val="none"/>
              </w:rPr>
              <w:t>否则将构成对招标文件的非实质性响应，投标将被否决。</w:t>
            </w:r>
          </w:p>
          <w:p w14:paraId="1E16FCA2">
            <w:pPr>
              <w:keepNext w:val="0"/>
              <w:keepLines w:val="0"/>
              <w:pageBreakBefore w:val="0"/>
              <w:suppressLineNumbers w:val="0"/>
              <w:kinsoku/>
              <w:overflowPunct/>
              <w:autoSpaceDE w:val="0"/>
              <w:autoSpaceDN w:val="0"/>
              <w:bidi w:val="0"/>
              <w:spacing w:before="0" w:beforeAutospacing="0" w:after="0" w:afterAutospacing="0" w:line="600" w:lineRule="exact"/>
              <w:ind w:left="0" w:right="0"/>
              <w:rPr>
                <w:rFonts w:hint="eastAsia" w:ascii="Times New Roman" w:hAnsi="Times New Roman" w:cs="Times New Roman"/>
                <w:color w:val="auto"/>
                <w:szCs w:val="20"/>
                <w:highlight w:val="none"/>
              </w:rPr>
            </w:pPr>
            <w:r>
              <w:rPr>
                <w:rFonts w:hint="eastAsia" w:ascii="仿宋" w:hAnsi="仿宋" w:eastAsia="仿宋" w:cs="仿宋"/>
                <w:color w:val="auto"/>
                <w:szCs w:val="21"/>
                <w:highlight w:val="none"/>
              </w:rPr>
              <w:t>3.5.</w:t>
            </w:r>
            <w:r>
              <w:rPr>
                <w:rFonts w:hint="default" w:ascii="仿宋" w:hAnsi="仿宋" w:eastAsia="仿宋" w:cs="仿宋"/>
                <w:color w:val="auto"/>
                <w:szCs w:val="21"/>
                <w:highlight w:val="none"/>
              </w:rPr>
              <w:t>2</w:t>
            </w:r>
            <w:r>
              <w:rPr>
                <w:rFonts w:hint="eastAsia" w:ascii="仿宋" w:hAnsi="仿宋" w:eastAsia="仿宋" w:cs="仿宋"/>
                <w:color w:val="auto"/>
                <w:szCs w:val="21"/>
                <w:highlight w:val="none"/>
              </w:rPr>
              <w:t>（3）未在投标文件递交截止时间前提交投标保证</w:t>
            </w:r>
            <w:r>
              <w:rPr>
                <w:rFonts w:hint="eastAsia" w:ascii="仿宋" w:hAnsi="仿宋" w:eastAsia="仿宋" w:cs="仿宋"/>
                <w:color w:val="auto"/>
                <w:szCs w:val="21"/>
                <w:highlight w:val="none"/>
                <w:lang w:val="en-US" w:eastAsia="zh-CN"/>
              </w:rPr>
              <w:t>金</w:t>
            </w:r>
            <w:r>
              <w:rPr>
                <w:rFonts w:hint="eastAsia" w:ascii="仿宋" w:hAnsi="仿宋" w:eastAsia="仿宋" w:cs="仿宋"/>
                <w:color w:val="auto"/>
                <w:szCs w:val="21"/>
                <w:highlight w:val="none"/>
              </w:rPr>
              <w:t>的或者提交的投标保证</w:t>
            </w:r>
            <w:r>
              <w:rPr>
                <w:rFonts w:hint="eastAsia" w:ascii="仿宋" w:hAnsi="仿宋" w:eastAsia="仿宋" w:cs="仿宋"/>
                <w:color w:val="auto"/>
                <w:szCs w:val="21"/>
                <w:highlight w:val="none"/>
                <w:lang w:val="en-US" w:eastAsia="zh-CN"/>
              </w:rPr>
              <w:t>金</w:t>
            </w:r>
            <w:r>
              <w:rPr>
                <w:rFonts w:hint="eastAsia" w:ascii="仿宋" w:hAnsi="仿宋" w:eastAsia="仿宋" w:cs="仿宋"/>
                <w:color w:val="auto"/>
                <w:szCs w:val="21"/>
                <w:highlight w:val="none"/>
              </w:rPr>
              <w:t>有瑕疵的，</w:t>
            </w:r>
            <w:r>
              <w:rPr>
                <w:rFonts w:hint="eastAsia" w:ascii="仿宋" w:hAnsi="仿宋" w:eastAsia="仿宋" w:cs="仿宋"/>
                <w:b/>
                <w:color w:val="auto"/>
                <w:szCs w:val="21"/>
                <w:highlight w:val="none"/>
              </w:rPr>
              <w:t>投标将被否决</w:t>
            </w:r>
            <w:r>
              <w:rPr>
                <w:rFonts w:hint="eastAsia" w:ascii="仿宋" w:hAnsi="仿宋" w:eastAsia="仿宋" w:cs="仿宋"/>
                <w:color w:val="auto"/>
                <w:szCs w:val="21"/>
                <w:highlight w:val="none"/>
              </w:rPr>
              <w:t>。</w:t>
            </w:r>
          </w:p>
        </w:tc>
      </w:tr>
      <w:tr w14:paraId="749A5CF9">
        <w:tblPrEx>
          <w:tblCellMar>
            <w:top w:w="0" w:type="dxa"/>
            <w:left w:w="108" w:type="dxa"/>
            <w:bottom w:w="0" w:type="dxa"/>
            <w:right w:w="108" w:type="dxa"/>
          </w:tblCellMar>
        </w:tblPrEx>
        <w:trPr>
          <w:jc w:val="center"/>
        </w:trPr>
        <w:tc>
          <w:tcPr>
            <w:tcW w:w="687" w:type="pct"/>
            <w:tcBorders>
              <w:top w:val="single" w:color="auto" w:sz="4" w:space="0"/>
              <w:left w:val="single" w:color="auto" w:sz="4" w:space="0"/>
              <w:bottom w:val="single" w:color="auto" w:sz="4" w:space="0"/>
              <w:right w:val="single" w:color="auto" w:sz="4" w:space="0"/>
            </w:tcBorders>
            <w:noWrap w:val="0"/>
            <w:vAlign w:val="center"/>
          </w:tcPr>
          <w:p w14:paraId="230B0DDC">
            <w:pPr>
              <w:keepNext w:val="0"/>
              <w:keepLines w:val="0"/>
              <w:pageBreakBefore w:val="0"/>
              <w:suppressLineNumbers w:val="0"/>
              <w:kinsoku/>
              <w:overflowPunct/>
              <w:bidi w:val="0"/>
              <w:adjustRightInd w:val="0"/>
              <w:spacing w:before="62" w:beforeLines="20" w:beforeAutospacing="0" w:after="62" w:afterLines="20" w:afterAutospacing="0" w:line="600" w:lineRule="exact"/>
              <w:ind w:left="0" w:right="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第三章</w:t>
            </w:r>
          </w:p>
        </w:tc>
        <w:tc>
          <w:tcPr>
            <w:tcW w:w="915" w:type="pct"/>
            <w:tcBorders>
              <w:top w:val="single" w:color="auto" w:sz="4" w:space="0"/>
              <w:left w:val="single" w:color="auto" w:sz="4" w:space="0"/>
              <w:bottom w:val="single" w:color="auto" w:sz="4" w:space="0"/>
              <w:right w:val="single" w:color="auto" w:sz="4" w:space="0"/>
            </w:tcBorders>
            <w:noWrap w:val="0"/>
            <w:vAlign w:val="center"/>
          </w:tcPr>
          <w:p w14:paraId="4866A4C9">
            <w:pPr>
              <w:keepNext w:val="0"/>
              <w:keepLines w:val="0"/>
              <w:pageBreakBefore w:val="0"/>
              <w:suppressLineNumbers w:val="0"/>
              <w:kinsoku/>
              <w:overflowPunct/>
              <w:bidi w:val="0"/>
              <w:adjustRightInd w:val="0"/>
              <w:spacing w:before="62" w:beforeLines="20" w:beforeAutospacing="0" w:after="62" w:afterLines="20" w:afterAutospacing="0" w:line="600" w:lineRule="exact"/>
              <w:ind w:left="0" w:right="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评标办法</w:t>
            </w:r>
          </w:p>
        </w:tc>
        <w:tc>
          <w:tcPr>
            <w:tcW w:w="3398" w:type="pct"/>
            <w:tcBorders>
              <w:top w:val="single" w:color="auto" w:sz="4" w:space="0"/>
              <w:left w:val="single" w:color="auto" w:sz="4" w:space="0"/>
              <w:bottom w:val="single" w:color="auto" w:sz="4" w:space="0"/>
              <w:right w:val="single" w:color="auto" w:sz="4" w:space="0"/>
            </w:tcBorders>
            <w:noWrap w:val="0"/>
            <w:vAlign w:val="center"/>
          </w:tcPr>
          <w:p w14:paraId="0F6A2F38">
            <w:pPr>
              <w:keepNext w:val="0"/>
              <w:keepLines w:val="0"/>
              <w:pageBreakBefore w:val="0"/>
              <w:suppressLineNumbers w:val="0"/>
              <w:kinsoku/>
              <w:overflowPunct/>
              <w:autoSpaceDE w:val="0"/>
              <w:autoSpaceDN w:val="0"/>
              <w:bidi w:val="0"/>
              <w:spacing w:before="0" w:beforeAutospacing="0" w:after="0" w:afterAutospacing="0" w:line="600" w:lineRule="exact"/>
              <w:ind w:left="0" w:right="0"/>
              <w:rPr>
                <w:rFonts w:hint="eastAsia" w:ascii="仿宋" w:hAnsi="仿宋" w:eastAsia="仿宋" w:cs="仿宋"/>
                <w:color w:val="auto"/>
                <w:szCs w:val="21"/>
                <w:highlight w:val="none"/>
              </w:rPr>
            </w:pPr>
            <w:r>
              <w:rPr>
                <w:rFonts w:hint="eastAsia" w:ascii="仿宋" w:hAnsi="仿宋" w:eastAsia="仿宋" w:cs="仿宋"/>
                <w:color w:val="auto"/>
                <w:szCs w:val="21"/>
                <w:highlight w:val="none"/>
              </w:rPr>
              <w:t>3.1.1有一项不符合初步评审标准的，评标委员会</w:t>
            </w:r>
            <w:r>
              <w:rPr>
                <w:rFonts w:hint="eastAsia" w:ascii="仿宋" w:hAnsi="仿宋" w:eastAsia="仿宋" w:cs="仿宋"/>
                <w:b/>
                <w:bCs/>
                <w:color w:val="auto"/>
                <w:szCs w:val="21"/>
                <w:highlight w:val="none"/>
              </w:rPr>
              <w:t>应当否决其投标</w:t>
            </w:r>
            <w:r>
              <w:rPr>
                <w:rFonts w:hint="eastAsia" w:ascii="仿宋" w:hAnsi="仿宋" w:eastAsia="仿宋" w:cs="仿宋"/>
                <w:color w:val="auto"/>
                <w:szCs w:val="21"/>
                <w:highlight w:val="none"/>
              </w:rPr>
              <w:t>。</w:t>
            </w:r>
          </w:p>
          <w:p w14:paraId="04883CC2">
            <w:pPr>
              <w:keepNext w:val="0"/>
              <w:keepLines w:val="0"/>
              <w:pageBreakBefore w:val="0"/>
              <w:suppressLineNumbers w:val="0"/>
              <w:kinsoku/>
              <w:overflowPunct/>
              <w:autoSpaceDE w:val="0"/>
              <w:autoSpaceDN w:val="0"/>
              <w:bidi w:val="0"/>
              <w:spacing w:before="0" w:beforeAutospacing="0" w:after="0" w:afterAutospacing="0" w:line="600" w:lineRule="exact"/>
              <w:ind w:left="0" w:right="0"/>
              <w:rPr>
                <w:rFonts w:hint="eastAsia" w:ascii="仿宋" w:hAnsi="仿宋" w:eastAsia="仿宋" w:cs="仿宋"/>
                <w:color w:val="auto"/>
                <w:szCs w:val="21"/>
                <w:highlight w:val="none"/>
              </w:rPr>
            </w:pPr>
            <w:bookmarkStart w:id="610" w:name="_Toc71192015"/>
            <w:bookmarkStart w:id="611" w:name="_Toc109124292"/>
            <w:r>
              <w:rPr>
                <w:rFonts w:hint="eastAsia" w:ascii="仿宋" w:hAnsi="仿宋" w:eastAsia="仿宋" w:cs="仿宋"/>
                <w:color w:val="auto"/>
                <w:szCs w:val="21"/>
                <w:highlight w:val="none"/>
              </w:rPr>
              <w:t>3.1.2投标人有以下情形之一的，评标委员会</w:t>
            </w:r>
            <w:r>
              <w:rPr>
                <w:rFonts w:hint="eastAsia" w:ascii="仿宋" w:hAnsi="仿宋" w:eastAsia="仿宋" w:cs="仿宋"/>
                <w:b/>
                <w:bCs/>
                <w:color w:val="auto"/>
                <w:szCs w:val="21"/>
                <w:highlight w:val="none"/>
              </w:rPr>
              <w:t>应当否决其投标</w:t>
            </w:r>
            <w:r>
              <w:rPr>
                <w:rFonts w:hint="eastAsia" w:ascii="仿宋" w:hAnsi="仿宋" w:eastAsia="仿宋" w:cs="仿宋"/>
                <w:color w:val="auto"/>
                <w:szCs w:val="21"/>
                <w:highlight w:val="none"/>
              </w:rPr>
              <w:t>：</w:t>
            </w:r>
            <w:bookmarkEnd w:id="610"/>
            <w:bookmarkEnd w:id="611"/>
          </w:p>
          <w:p w14:paraId="49911BE5">
            <w:pPr>
              <w:keepNext w:val="0"/>
              <w:keepLines w:val="0"/>
              <w:pageBreakBefore w:val="0"/>
              <w:suppressLineNumbers w:val="0"/>
              <w:kinsoku/>
              <w:overflowPunct/>
              <w:autoSpaceDE w:val="0"/>
              <w:autoSpaceDN w:val="0"/>
              <w:bidi w:val="0"/>
              <w:spacing w:before="0" w:beforeAutospacing="0" w:after="0" w:afterAutospacing="0" w:line="600" w:lineRule="exact"/>
              <w:ind w:left="0" w:right="0"/>
              <w:rPr>
                <w:rFonts w:hint="eastAsia" w:ascii="仿宋" w:hAnsi="仿宋" w:eastAsia="仿宋" w:cs="仿宋"/>
                <w:color w:val="auto"/>
                <w:szCs w:val="21"/>
                <w:highlight w:val="none"/>
              </w:rPr>
            </w:pPr>
            <w:r>
              <w:rPr>
                <w:rFonts w:hint="eastAsia" w:ascii="仿宋" w:hAnsi="仿宋" w:eastAsia="仿宋" w:cs="仿宋"/>
                <w:color w:val="auto"/>
                <w:szCs w:val="21"/>
                <w:highlight w:val="none"/>
              </w:rPr>
              <w:t>（1）按照招标公告要求已经递交电子投标文件，但未按时递交纸质投标文件；</w:t>
            </w:r>
          </w:p>
          <w:p w14:paraId="6B0B3657">
            <w:pPr>
              <w:keepNext w:val="0"/>
              <w:keepLines w:val="0"/>
              <w:pageBreakBefore w:val="0"/>
              <w:suppressLineNumbers w:val="0"/>
              <w:kinsoku/>
              <w:overflowPunct/>
              <w:autoSpaceDE w:val="0"/>
              <w:autoSpaceDN w:val="0"/>
              <w:bidi w:val="0"/>
              <w:spacing w:before="0" w:beforeAutospacing="0" w:after="0" w:afterAutospacing="0" w:line="600" w:lineRule="exact"/>
              <w:ind w:left="0" w:right="0"/>
              <w:rPr>
                <w:rFonts w:hint="eastAsia" w:ascii="仿宋" w:hAnsi="仿宋" w:eastAsia="仿宋" w:cs="仿宋"/>
                <w:color w:val="auto"/>
                <w:szCs w:val="21"/>
                <w:highlight w:val="none"/>
              </w:rPr>
            </w:pPr>
            <w:r>
              <w:rPr>
                <w:rFonts w:hint="eastAsia" w:ascii="仿宋" w:hAnsi="仿宋" w:eastAsia="仿宋" w:cs="仿宋"/>
                <w:color w:val="auto"/>
                <w:szCs w:val="21"/>
                <w:highlight w:val="none"/>
              </w:rPr>
              <w:t>（2）投标文件未经投标单位盖章或单位负责人签字；</w:t>
            </w:r>
          </w:p>
          <w:p w14:paraId="29827C92">
            <w:pPr>
              <w:keepNext w:val="0"/>
              <w:keepLines w:val="0"/>
              <w:pageBreakBefore w:val="0"/>
              <w:suppressLineNumbers w:val="0"/>
              <w:kinsoku/>
              <w:overflowPunct/>
              <w:autoSpaceDE w:val="0"/>
              <w:autoSpaceDN w:val="0"/>
              <w:bidi w:val="0"/>
              <w:spacing w:before="0" w:beforeAutospacing="0" w:after="0" w:afterAutospacing="0" w:line="600" w:lineRule="exact"/>
              <w:ind w:left="0" w:right="0"/>
              <w:rPr>
                <w:rFonts w:hint="eastAsia" w:ascii="仿宋" w:hAnsi="仿宋" w:eastAsia="仿宋" w:cs="仿宋"/>
                <w:color w:val="auto"/>
                <w:szCs w:val="21"/>
                <w:highlight w:val="none"/>
              </w:rPr>
            </w:pPr>
            <w:r>
              <w:rPr>
                <w:rFonts w:hint="eastAsia" w:ascii="仿宋" w:hAnsi="仿宋" w:eastAsia="仿宋" w:cs="仿宋"/>
                <w:color w:val="auto"/>
                <w:szCs w:val="21"/>
                <w:highlight w:val="none"/>
              </w:rPr>
              <w:t>（3）允许联合体投标的，投标联合体没有递交共同投标协议；</w:t>
            </w:r>
          </w:p>
          <w:p w14:paraId="5D1D9D0C">
            <w:pPr>
              <w:keepNext w:val="0"/>
              <w:keepLines w:val="0"/>
              <w:pageBreakBefore w:val="0"/>
              <w:suppressLineNumbers w:val="0"/>
              <w:kinsoku/>
              <w:overflowPunct/>
              <w:autoSpaceDE w:val="0"/>
              <w:autoSpaceDN w:val="0"/>
              <w:bidi w:val="0"/>
              <w:spacing w:before="0" w:beforeAutospacing="0" w:after="0" w:afterAutospacing="0" w:line="600" w:lineRule="exact"/>
              <w:ind w:left="0" w:right="0"/>
              <w:rPr>
                <w:rFonts w:hint="eastAsia" w:ascii="仿宋" w:hAnsi="仿宋" w:eastAsia="仿宋" w:cs="仿宋"/>
                <w:color w:val="auto"/>
                <w:szCs w:val="21"/>
                <w:highlight w:val="none"/>
              </w:rPr>
            </w:pPr>
            <w:r>
              <w:rPr>
                <w:rFonts w:hint="eastAsia" w:ascii="仿宋" w:hAnsi="仿宋" w:eastAsia="仿宋" w:cs="仿宋"/>
                <w:color w:val="auto"/>
                <w:szCs w:val="21"/>
                <w:highlight w:val="none"/>
              </w:rPr>
              <w:t>（4）投标人不符合国家或者招标文件规定的资格条件；</w:t>
            </w:r>
          </w:p>
          <w:p w14:paraId="20851CBF">
            <w:pPr>
              <w:keepNext w:val="0"/>
              <w:keepLines w:val="0"/>
              <w:pageBreakBefore w:val="0"/>
              <w:suppressLineNumbers w:val="0"/>
              <w:kinsoku/>
              <w:overflowPunct/>
              <w:autoSpaceDE w:val="0"/>
              <w:autoSpaceDN w:val="0"/>
              <w:bidi w:val="0"/>
              <w:spacing w:before="0" w:beforeAutospacing="0" w:after="0" w:afterAutospacing="0" w:line="600" w:lineRule="exact"/>
              <w:ind w:left="0" w:right="0"/>
              <w:rPr>
                <w:rFonts w:hint="eastAsia" w:ascii="仿宋" w:hAnsi="仿宋" w:eastAsia="仿宋" w:cs="仿宋"/>
                <w:color w:val="auto"/>
                <w:szCs w:val="21"/>
                <w:highlight w:val="none"/>
              </w:rPr>
            </w:pPr>
            <w:r>
              <w:rPr>
                <w:rFonts w:hint="eastAsia" w:ascii="仿宋" w:hAnsi="仿宋" w:eastAsia="仿宋" w:cs="仿宋"/>
                <w:color w:val="auto"/>
                <w:szCs w:val="21"/>
                <w:highlight w:val="none"/>
              </w:rPr>
              <w:t>（5）同一投标人提交两个以上不同的投标文件或者投标报价，但招标文件要求提交备选投标的除外；</w:t>
            </w:r>
          </w:p>
          <w:p w14:paraId="72D8B6AA">
            <w:pPr>
              <w:keepNext w:val="0"/>
              <w:keepLines w:val="0"/>
              <w:pageBreakBefore w:val="0"/>
              <w:suppressLineNumbers w:val="0"/>
              <w:kinsoku/>
              <w:overflowPunct/>
              <w:autoSpaceDE w:val="0"/>
              <w:autoSpaceDN w:val="0"/>
              <w:bidi w:val="0"/>
              <w:spacing w:before="0" w:beforeAutospacing="0" w:after="0" w:afterAutospacing="0" w:line="600" w:lineRule="exact"/>
              <w:ind w:left="0" w:right="0"/>
              <w:rPr>
                <w:rFonts w:hint="eastAsia" w:ascii="仿宋" w:hAnsi="仿宋" w:eastAsia="仿宋" w:cs="仿宋"/>
                <w:color w:val="auto"/>
                <w:szCs w:val="21"/>
                <w:highlight w:val="none"/>
              </w:rPr>
            </w:pPr>
            <w:r>
              <w:rPr>
                <w:rFonts w:hint="eastAsia" w:ascii="仿宋" w:hAnsi="仿宋" w:eastAsia="仿宋" w:cs="仿宋"/>
                <w:color w:val="auto"/>
                <w:szCs w:val="21"/>
                <w:highlight w:val="none"/>
              </w:rPr>
              <w:t>（6）投标报价低于成本或者高于招标文件设定的最高投标限价；</w:t>
            </w:r>
          </w:p>
          <w:p w14:paraId="56DDA3F7">
            <w:pPr>
              <w:keepNext w:val="0"/>
              <w:keepLines w:val="0"/>
              <w:pageBreakBefore w:val="0"/>
              <w:suppressLineNumbers w:val="0"/>
              <w:kinsoku/>
              <w:overflowPunct/>
              <w:autoSpaceDE w:val="0"/>
              <w:autoSpaceDN w:val="0"/>
              <w:bidi w:val="0"/>
              <w:spacing w:before="0" w:beforeAutospacing="0" w:after="0" w:afterAutospacing="0" w:line="600" w:lineRule="exact"/>
              <w:ind w:left="0" w:right="0"/>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（7）投标文件未对招标文件的实质性要求和条件作出响应； </w:t>
            </w:r>
          </w:p>
          <w:p w14:paraId="65E41892">
            <w:pPr>
              <w:keepNext w:val="0"/>
              <w:keepLines w:val="0"/>
              <w:pageBreakBefore w:val="0"/>
              <w:suppressLineNumbers w:val="0"/>
              <w:kinsoku/>
              <w:overflowPunct/>
              <w:autoSpaceDE w:val="0"/>
              <w:autoSpaceDN w:val="0"/>
              <w:bidi w:val="0"/>
              <w:spacing w:before="0" w:beforeAutospacing="0" w:after="0" w:afterAutospacing="0" w:line="600" w:lineRule="exact"/>
              <w:ind w:left="0" w:right="0"/>
              <w:rPr>
                <w:rFonts w:hint="eastAsia" w:ascii="仿宋" w:hAnsi="仿宋" w:eastAsia="仿宋" w:cs="仿宋"/>
                <w:color w:val="auto"/>
                <w:szCs w:val="21"/>
                <w:highlight w:val="none"/>
              </w:rPr>
            </w:pPr>
            <w:r>
              <w:rPr>
                <w:rFonts w:hint="eastAsia" w:ascii="仿宋" w:hAnsi="仿宋" w:eastAsia="仿宋" w:cs="仿宋"/>
                <w:color w:val="auto"/>
                <w:szCs w:val="21"/>
                <w:highlight w:val="none"/>
              </w:rPr>
              <w:t>（8）投标人有串通投标、弄虚作假、行贿等违法行为；</w:t>
            </w:r>
          </w:p>
          <w:p w14:paraId="50127080">
            <w:pPr>
              <w:keepNext w:val="0"/>
              <w:keepLines w:val="0"/>
              <w:pageBreakBefore w:val="0"/>
              <w:suppressLineNumbers w:val="0"/>
              <w:kinsoku/>
              <w:overflowPunct/>
              <w:autoSpaceDE w:val="0"/>
              <w:autoSpaceDN w:val="0"/>
              <w:bidi w:val="0"/>
              <w:spacing w:before="0" w:beforeAutospacing="0" w:after="0" w:afterAutospacing="0" w:line="600" w:lineRule="exact"/>
              <w:ind w:left="0" w:right="0"/>
              <w:rPr>
                <w:rFonts w:hint="eastAsia" w:ascii="仿宋" w:hAnsi="仿宋" w:eastAsia="仿宋" w:cs="仿宋"/>
                <w:color w:val="auto"/>
                <w:szCs w:val="21"/>
                <w:highlight w:val="none"/>
              </w:rPr>
            </w:pPr>
            <w:r>
              <w:rPr>
                <w:rFonts w:hint="eastAsia" w:ascii="仿宋" w:hAnsi="仿宋" w:eastAsia="仿宋" w:cs="仿宋"/>
                <w:color w:val="auto"/>
                <w:szCs w:val="21"/>
                <w:highlight w:val="none"/>
              </w:rPr>
              <w:t>（9）不接受或不确认因算术性错误进行的价格修正；</w:t>
            </w:r>
          </w:p>
          <w:p w14:paraId="779A97F0">
            <w:pPr>
              <w:keepNext w:val="0"/>
              <w:keepLines w:val="0"/>
              <w:pageBreakBefore w:val="0"/>
              <w:suppressLineNumbers w:val="0"/>
              <w:kinsoku/>
              <w:overflowPunct/>
              <w:autoSpaceDE w:val="0"/>
              <w:autoSpaceDN w:val="0"/>
              <w:bidi w:val="0"/>
              <w:spacing w:before="0" w:beforeAutospacing="0" w:after="0" w:afterAutospacing="0" w:line="600" w:lineRule="exact"/>
              <w:ind w:left="0" w:right="0"/>
              <w:rPr>
                <w:rFonts w:hint="eastAsia" w:ascii="仿宋" w:hAnsi="仿宋" w:eastAsia="仿宋" w:cs="仿宋"/>
                <w:color w:val="auto"/>
                <w:szCs w:val="21"/>
                <w:highlight w:val="none"/>
              </w:rPr>
            </w:pPr>
            <w:r>
              <w:rPr>
                <w:rFonts w:hint="eastAsia" w:ascii="仿宋" w:hAnsi="仿宋" w:eastAsia="仿宋" w:cs="仿宋"/>
                <w:color w:val="auto"/>
                <w:szCs w:val="21"/>
                <w:highlight w:val="none"/>
              </w:rPr>
              <w:t>（10）投标文件附有招标人不能接受的条件；</w:t>
            </w:r>
          </w:p>
          <w:p w14:paraId="4F5604B8">
            <w:pPr>
              <w:keepNext w:val="0"/>
              <w:keepLines w:val="0"/>
              <w:pageBreakBefore w:val="0"/>
              <w:suppressLineNumbers w:val="0"/>
              <w:kinsoku/>
              <w:overflowPunct/>
              <w:autoSpaceDE w:val="0"/>
              <w:autoSpaceDN w:val="0"/>
              <w:bidi w:val="0"/>
              <w:spacing w:before="0" w:beforeAutospacing="0" w:after="0" w:afterAutospacing="0" w:line="600" w:lineRule="exact"/>
              <w:ind w:left="0" w:right="0"/>
              <w:rPr>
                <w:rFonts w:hint="eastAsia" w:ascii="仿宋" w:hAnsi="仿宋" w:eastAsia="仿宋" w:cs="仿宋"/>
                <w:color w:val="auto"/>
                <w:szCs w:val="21"/>
                <w:highlight w:val="none"/>
              </w:rPr>
            </w:pPr>
            <w:r>
              <w:rPr>
                <w:rFonts w:hint="eastAsia" w:ascii="仿宋" w:hAnsi="仿宋" w:eastAsia="仿宋" w:cs="仿宋"/>
                <w:color w:val="auto"/>
                <w:szCs w:val="21"/>
                <w:highlight w:val="none"/>
              </w:rPr>
              <w:t>（11）不符合招标文件中规定的其他实质性要求。</w:t>
            </w:r>
          </w:p>
          <w:p w14:paraId="27D041E0">
            <w:pPr>
              <w:keepNext w:val="0"/>
              <w:keepLines w:val="0"/>
              <w:pageBreakBefore w:val="0"/>
              <w:suppressLineNumbers w:val="0"/>
              <w:kinsoku/>
              <w:overflowPunct/>
              <w:autoSpaceDE w:val="0"/>
              <w:autoSpaceDN w:val="0"/>
              <w:bidi w:val="0"/>
              <w:spacing w:before="0" w:beforeAutospacing="0" w:after="0" w:afterAutospacing="0" w:line="600" w:lineRule="exact"/>
              <w:ind w:left="0" w:right="0"/>
              <w:rPr>
                <w:rFonts w:hint="eastAsia" w:ascii="仿宋" w:hAnsi="仿宋" w:eastAsia="仿宋" w:cs="仿宋"/>
                <w:color w:val="auto"/>
                <w:szCs w:val="21"/>
                <w:highlight w:val="none"/>
              </w:rPr>
            </w:pPr>
            <w:r>
              <w:rPr>
                <w:rFonts w:hint="eastAsia" w:ascii="仿宋" w:hAnsi="仿宋" w:eastAsia="仿宋" w:cs="仿宋"/>
                <w:color w:val="auto"/>
                <w:szCs w:val="21"/>
                <w:highlight w:val="none"/>
              </w:rPr>
              <w:t>3.1.3投标报价有算术错误的，评标委员会按照以下原则对投标报价进行修正，修正的价格经投标人书面确认后具有约束力。投标人不接受或不确认修正后价格的，</w:t>
            </w:r>
            <w:r>
              <w:rPr>
                <w:rFonts w:hint="eastAsia" w:ascii="仿宋" w:hAnsi="仿宋" w:eastAsia="仿宋" w:cs="仿宋"/>
                <w:b/>
                <w:bCs/>
                <w:color w:val="auto"/>
                <w:szCs w:val="21"/>
                <w:highlight w:val="none"/>
              </w:rPr>
              <w:t>评标委员会应当否决其投标。</w:t>
            </w:r>
          </w:p>
          <w:p w14:paraId="75EF9120">
            <w:pPr>
              <w:keepNext w:val="0"/>
              <w:keepLines w:val="0"/>
              <w:pageBreakBefore w:val="0"/>
              <w:suppressLineNumbers w:val="0"/>
              <w:kinsoku/>
              <w:overflowPunct/>
              <w:autoSpaceDE w:val="0"/>
              <w:autoSpaceDN w:val="0"/>
              <w:bidi w:val="0"/>
              <w:spacing w:before="0" w:beforeAutospacing="0" w:after="0" w:afterAutospacing="0" w:line="600" w:lineRule="exact"/>
              <w:ind w:left="0" w:right="0"/>
              <w:rPr>
                <w:rFonts w:hint="eastAsia" w:ascii="仿宋" w:hAnsi="仿宋" w:eastAsia="仿宋" w:cs="仿宋"/>
                <w:color w:val="auto"/>
                <w:szCs w:val="21"/>
                <w:highlight w:val="none"/>
              </w:rPr>
            </w:pPr>
            <w:r>
              <w:rPr>
                <w:rFonts w:hint="eastAsia" w:ascii="仿宋" w:hAnsi="仿宋" w:eastAsia="仿宋" w:cs="仿宋"/>
                <w:color w:val="auto"/>
                <w:szCs w:val="21"/>
                <w:highlight w:val="none"/>
              </w:rPr>
              <w:t>（1） 投标文件中的大写金额与小写金额不一致的，以大写金额为准；</w:t>
            </w:r>
          </w:p>
          <w:p w14:paraId="0344BB4B">
            <w:pPr>
              <w:keepNext w:val="0"/>
              <w:keepLines w:val="0"/>
              <w:pageBreakBefore w:val="0"/>
              <w:suppressLineNumbers w:val="0"/>
              <w:kinsoku/>
              <w:overflowPunct/>
              <w:autoSpaceDE w:val="0"/>
              <w:autoSpaceDN w:val="0"/>
              <w:bidi w:val="0"/>
              <w:spacing w:before="0" w:beforeAutospacing="0" w:after="0" w:afterAutospacing="0" w:line="600" w:lineRule="exact"/>
              <w:ind w:left="0" w:right="0"/>
              <w:rPr>
                <w:rFonts w:hint="eastAsia" w:ascii="仿宋" w:hAnsi="仿宋" w:eastAsia="仿宋" w:cs="仿宋"/>
                <w:color w:val="auto"/>
                <w:szCs w:val="21"/>
                <w:highlight w:val="none"/>
              </w:rPr>
            </w:pPr>
            <w:r>
              <w:rPr>
                <w:rFonts w:hint="eastAsia" w:ascii="仿宋" w:hAnsi="仿宋" w:eastAsia="仿宋" w:cs="仿宋"/>
                <w:color w:val="auto"/>
                <w:szCs w:val="21"/>
                <w:highlight w:val="none"/>
              </w:rPr>
              <w:t>（2） 总价金额与根据单价计算出的结果不一致的，以单价金额为准修正总价，但单价金额小数点有明显错误的除外。</w:t>
            </w:r>
          </w:p>
          <w:p w14:paraId="6121CA8B">
            <w:pPr>
              <w:pStyle w:val="13"/>
              <w:keepNext w:val="0"/>
              <w:keepLines w:val="0"/>
              <w:pageBreakBefore w:val="0"/>
              <w:suppressLineNumbers w:val="0"/>
              <w:kinsoku/>
              <w:overflowPunct/>
              <w:bidi w:val="0"/>
              <w:spacing w:before="0" w:beforeAutospacing="0" w:afterAutospacing="0" w:line="600" w:lineRule="exact"/>
              <w:ind w:left="0" w:right="0"/>
              <w:rPr>
                <w:rFonts w:hint="default" w:ascii="仿宋" w:hAnsi="仿宋" w:eastAsia="仿宋" w:cs="Times New Roman"/>
                <w:color w:val="auto"/>
                <w:szCs w:val="21"/>
                <w:highlight w:val="none"/>
              </w:rPr>
            </w:pPr>
            <w:r>
              <w:rPr>
                <w:rFonts w:hint="eastAsia" w:ascii="仿宋" w:hAnsi="仿宋" w:eastAsia="仿宋" w:cs="仿宋"/>
                <w:color w:val="auto"/>
                <w:szCs w:val="21"/>
                <w:highlight w:val="none"/>
              </w:rPr>
              <w:t>3.1.4在评标过程中，评标委员会发现投标人的报价明显低于其他投标报价或者在设有标底时明显低于标底，使得其投标报价可能低于其个别成本的，应当要求该投标人作出书面说明并提供相关证明材料。投标人不能合理说明或者不能提供相关证明材料的，由评标委员会认定该投标人以低于成本报价竞标，</w:t>
            </w:r>
            <w:r>
              <w:rPr>
                <w:rFonts w:hint="eastAsia" w:ascii="仿宋" w:hAnsi="仿宋" w:eastAsia="仿宋" w:cs="仿宋"/>
                <w:b/>
                <w:bCs/>
                <w:color w:val="auto"/>
                <w:szCs w:val="21"/>
                <w:highlight w:val="none"/>
              </w:rPr>
              <w:t>应当否决其投标。</w:t>
            </w:r>
          </w:p>
          <w:p w14:paraId="07F7FED7">
            <w:pPr>
              <w:pStyle w:val="13"/>
              <w:keepNext w:val="0"/>
              <w:keepLines w:val="0"/>
              <w:pageBreakBefore w:val="0"/>
              <w:suppressLineNumbers w:val="0"/>
              <w:kinsoku/>
              <w:overflowPunct/>
              <w:bidi w:val="0"/>
              <w:spacing w:before="0" w:beforeAutospacing="0" w:afterAutospacing="0" w:line="600" w:lineRule="exact"/>
              <w:ind w:left="0" w:right="0"/>
              <w:rPr>
                <w:rFonts w:hint="eastAsia" w:ascii="仿宋" w:hAnsi="仿宋" w:eastAsia="仿宋" w:cs="Times New Roman"/>
                <w:color w:val="auto"/>
                <w:szCs w:val="21"/>
                <w:highlight w:val="none"/>
              </w:rPr>
            </w:pPr>
            <w:r>
              <w:rPr>
                <w:rFonts w:hint="eastAsia" w:ascii="仿宋" w:hAnsi="仿宋" w:eastAsia="仿宋" w:cs="Times New Roman"/>
                <w:color w:val="auto"/>
                <w:szCs w:val="21"/>
                <w:highlight w:val="none"/>
              </w:rPr>
              <w:t>3.1.5 中标人为1家的项目，如果有效投标人少于3家（不含本数），评标委员会</w:t>
            </w:r>
            <w:r>
              <w:rPr>
                <w:rFonts w:hint="eastAsia" w:ascii="仿宋" w:hAnsi="仿宋" w:eastAsia="仿宋" w:cs="Times New Roman"/>
                <w:b/>
                <w:bCs/>
                <w:color w:val="auto"/>
                <w:szCs w:val="21"/>
                <w:highlight w:val="none"/>
              </w:rPr>
              <w:t>将否决全部投标</w:t>
            </w:r>
            <w:r>
              <w:rPr>
                <w:rFonts w:hint="eastAsia" w:ascii="仿宋" w:hAnsi="仿宋" w:eastAsia="仿宋" w:cs="Times New Roman"/>
                <w:color w:val="auto"/>
                <w:szCs w:val="21"/>
                <w:highlight w:val="none"/>
              </w:rPr>
              <w:t>。中标人为N家（1＜N≤3）的项目，如果有效投标人少于2N家（不含本数），评标委员会</w:t>
            </w:r>
            <w:r>
              <w:rPr>
                <w:rFonts w:hint="eastAsia" w:ascii="仿宋" w:hAnsi="仿宋" w:eastAsia="仿宋" w:cs="Times New Roman"/>
                <w:b/>
                <w:bCs/>
                <w:color w:val="auto"/>
                <w:szCs w:val="21"/>
                <w:highlight w:val="none"/>
              </w:rPr>
              <w:t>将否决全部投标</w:t>
            </w:r>
            <w:r>
              <w:rPr>
                <w:rFonts w:hint="eastAsia" w:ascii="仿宋" w:hAnsi="仿宋" w:eastAsia="仿宋" w:cs="Times New Roman"/>
                <w:color w:val="auto"/>
                <w:szCs w:val="21"/>
                <w:highlight w:val="none"/>
              </w:rPr>
              <w:t>。中标人为N家（N＞3）的项目，如果有效投标人少于1.5N家（不含本数），评标委员会</w:t>
            </w:r>
            <w:r>
              <w:rPr>
                <w:rFonts w:hint="eastAsia" w:ascii="仿宋" w:hAnsi="仿宋" w:eastAsia="仿宋" w:cs="Times New Roman"/>
                <w:b/>
                <w:bCs/>
                <w:color w:val="auto"/>
                <w:szCs w:val="21"/>
                <w:highlight w:val="none"/>
              </w:rPr>
              <w:t>将否决全部投标</w:t>
            </w:r>
            <w:r>
              <w:rPr>
                <w:rFonts w:hint="eastAsia" w:ascii="仿宋" w:hAnsi="仿宋" w:eastAsia="仿宋" w:cs="Times New Roman"/>
                <w:color w:val="auto"/>
                <w:szCs w:val="21"/>
                <w:highlight w:val="none"/>
              </w:rPr>
              <w:t>。</w:t>
            </w:r>
          </w:p>
          <w:p w14:paraId="09940688">
            <w:pPr>
              <w:pStyle w:val="13"/>
              <w:keepNext w:val="0"/>
              <w:keepLines w:val="0"/>
              <w:pageBreakBefore w:val="0"/>
              <w:suppressLineNumbers w:val="0"/>
              <w:kinsoku/>
              <w:overflowPunct/>
              <w:bidi w:val="0"/>
              <w:spacing w:before="0" w:beforeAutospacing="0" w:afterAutospacing="0" w:line="600" w:lineRule="exact"/>
              <w:ind w:left="0" w:right="0"/>
              <w:rPr>
                <w:rFonts w:hint="eastAsia" w:ascii="仿宋" w:hAnsi="仿宋" w:eastAsia="仿宋" w:cs="Times New Roman"/>
                <w:b/>
                <w:bCs/>
                <w:color w:val="auto"/>
                <w:szCs w:val="21"/>
                <w:highlight w:val="none"/>
              </w:rPr>
            </w:pPr>
            <w:r>
              <w:rPr>
                <w:rFonts w:hint="eastAsia" w:ascii="仿宋" w:hAnsi="仿宋" w:eastAsia="仿宋" w:cs="Times New Roman"/>
                <w:color w:val="auto"/>
                <w:szCs w:val="21"/>
                <w:highlight w:val="none"/>
              </w:rPr>
              <w:t>3</w:t>
            </w:r>
            <w:r>
              <w:rPr>
                <w:rFonts w:hint="default" w:ascii="仿宋" w:hAnsi="仿宋" w:eastAsia="仿宋" w:cs="Times New Roman"/>
                <w:color w:val="auto"/>
                <w:szCs w:val="21"/>
                <w:highlight w:val="none"/>
              </w:rPr>
              <w:t xml:space="preserve">.3.3 </w:t>
            </w:r>
            <w:r>
              <w:rPr>
                <w:rFonts w:hint="eastAsia" w:ascii="仿宋" w:hAnsi="仿宋" w:eastAsia="仿宋" w:cs="Times New Roman"/>
                <w:color w:val="auto"/>
                <w:szCs w:val="21"/>
                <w:highlight w:val="none"/>
              </w:rPr>
              <w:t>投标人的澄清、说明和补正应当采用书面形式,并不得超出投标文件的范围或者改变投标文件的实质性内容（算术性错误修正的除外），投标人的书面澄清、说明和补正属于投标文件的组成部分。拒不按照要求对投标文件进行澄清、说明或补正的，</w:t>
            </w:r>
            <w:r>
              <w:rPr>
                <w:rFonts w:hint="eastAsia" w:ascii="仿宋" w:hAnsi="仿宋" w:eastAsia="仿宋" w:cs="Times New Roman"/>
                <w:b/>
                <w:bCs/>
                <w:color w:val="auto"/>
                <w:szCs w:val="21"/>
                <w:highlight w:val="none"/>
              </w:rPr>
              <w:t>评标委员会可以否决其投标。</w:t>
            </w:r>
          </w:p>
          <w:p w14:paraId="56B9F7E8">
            <w:pPr>
              <w:keepNext w:val="0"/>
              <w:keepLines w:val="0"/>
              <w:pageBreakBefore w:val="0"/>
              <w:suppressLineNumbers w:val="0"/>
              <w:kinsoku/>
              <w:overflowPunct/>
              <w:autoSpaceDE w:val="0"/>
              <w:autoSpaceDN w:val="0"/>
              <w:bidi w:val="0"/>
              <w:spacing w:before="0" w:beforeAutospacing="0" w:after="0" w:afterAutospacing="0" w:line="600" w:lineRule="exact"/>
              <w:ind w:left="0" w:right="0"/>
              <w:rPr>
                <w:rFonts w:hint="eastAsia" w:ascii="宋体" w:hAnsi="宋体" w:cs="Times New Roman"/>
                <w:color w:val="auto"/>
                <w:szCs w:val="21"/>
                <w:highlight w:val="none"/>
              </w:rPr>
            </w:pPr>
            <w:r>
              <w:rPr>
                <w:rFonts w:hint="eastAsia" w:ascii="仿宋" w:hAnsi="仿宋" w:eastAsia="仿宋" w:cs="仿宋"/>
                <w:color w:val="auto"/>
                <w:szCs w:val="21"/>
                <w:highlight w:val="none"/>
              </w:rPr>
              <w:t>3.3.5 评标委员会必要时可以要求投标人提交有关证明和证件的原件，以便核验。拒不按照要求提供原件的，</w:t>
            </w:r>
            <w:r>
              <w:rPr>
                <w:rFonts w:hint="eastAsia" w:ascii="仿宋" w:hAnsi="仿宋" w:eastAsia="仿宋" w:cs="仿宋"/>
                <w:b/>
                <w:bCs/>
                <w:color w:val="auto"/>
                <w:szCs w:val="21"/>
                <w:highlight w:val="none"/>
              </w:rPr>
              <w:t>评标委员会可以否决其投标。</w:t>
            </w:r>
          </w:p>
        </w:tc>
      </w:tr>
      <w:tr w14:paraId="5B92BC02">
        <w:tblPrEx>
          <w:tblCellMar>
            <w:top w:w="0" w:type="dxa"/>
            <w:left w:w="108" w:type="dxa"/>
            <w:bottom w:w="0" w:type="dxa"/>
            <w:right w:w="108" w:type="dxa"/>
          </w:tblCellMar>
        </w:tblPrEx>
        <w:trPr>
          <w:jc w:val="center"/>
        </w:trPr>
        <w:tc>
          <w:tcPr>
            <w:tcW w:w="687" w:type="pct"/>
            <w:tcBorders>
              <w:top w:val="single" w:color="auto" w:sz="4" w:space="0"/>
              <w:left w:val="single" w:color="auto" w:sz="4" w:space="0"/>
              <w:bottom w:val="single" w:color="auto" w:sz="4" w:space="0"/>
              <w:right w:val="single" w:color="auto" w:sz="4" w:space="0"/>
            </w:tcBorders>
            <w:noWrap w:val="0"/>
            <w:vAlign w:val="center"/>
          </w:tcPr>
          <w:p w14:paraId="23F41C56">
            <w:pPr>
              <w:keepNext w:val="0"/>
              <w:keepLines w:val="0"/>
              <w:pageBreakBefore w:val="0"/>
              <w:suppressLineNumbers w:val="0"/>
              <w:kinsoku/>
              <w:overflowPunct/>
              <w:bidi w:val="0"/>
              <w:adjustRightInd w:val="0"/>
              <w:spacing w:before="62" w:beforeLines="20" w:beforeAutospacing="0" w:after="62" w:afterLines="20" w:afterAutospacing="0" w:line="600" w:lineRule="exact"/>
              <w:ind w:left="0" w:right="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第五章</w:t>
            </w:r>
          </w:p>
        </w:tc>
        <w:tc>
          <w:tcPr>
            <w:tcW w:w="915" w:type="pct"/>
            <w:tcBorders>
              <w:top w:val="single" w:color="auto" w:sz="4" w:space="0"/>
              <w:left w:val="single" w:color="auto" w:sz="4" w:space="0"/>
              <w:bottom w:val="single" w:color="auto" w:sz="4" w:space="0"/>
              <w:right w:val="single" w:color="auto" w:sz="4" w:space="0"/>
            </w:tcBorders>
            <w:noWrap w:val="0"/>
            <w:vAlign w:val="center"/>
          </w:tcPr>
          <w:p w14:paraId="504BA5C3">
            <w:pPr>
              <w:keepNext w:val="0"/>
              <w:keepLines w:val="0"/>
              <w:pageBreakBefore w:val="0"/>
              <w:suppressLineNumbers w:val="0"/>
              <w:kinsoku/>
              <w:overflowPunct/>
              <w:bidi w:val="0"/>
              <w:adjustRightInd w:val="0"/>
              <w:spacing w:before="62" w:beforeLines="20" w:beforeAutospacing="0" w:after="62" w:afterLines="20" w:afterAutospacing="0" w:line="600" w:lineRule="exact"/>
              <w:ind w:left="0" w:right="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技术规范书</w:t>
            </w:r>
          </w:p>
        </w:tc>
        <w:tc>
          <w:tcPr>
            <w:tcW w:w="3398" w:type="pct"/>
            <w:tcBorders>
              <w:top w:val="single" w:color="auto" w:sz="4" w:space="0"/>
              <w:left w:val="single" w:color="auto" w:sz="4" w:space="0"/>
              <w:bottom w:val="single" w:color="auto" w:sz="4" w:space="0"/>
              <w:right w:val="single" w:color="auto" w:sz="4" w:space="0"/>
            </w:tcBorders>
            <w:noWrap w:val="0"/>
            <w:vAlign w:val="center"/>
          </w:tcPr>
          <w:p w14:paraId="6800ECE4">
            <w:pPr>
              <w:keepNext w:val="0"/>
              <w:keepLines w:val="0"/>
              <w:pageBreakBefore w:val="0"/>
              <w:suppressLineNumbers w:val="0"/>
              <w:kinsoku/>
              <w:overflowPunct/>
              <w:autoSpaceDE w:val="0"/>
              <w:autoSpaceDN w:val="0"/>
              <w:bidi w:val="0"/>
              <w:spacing w:before="0" w:beforeAutospacing="0" w:after="0" w:afterAutospacing="0" w:line="600" w:lineRule="exact"/>
              <w:ind w:left="0" w:right="0"/>
              <w:rPr>
                <w:rFonts w:hint="eastAsia" w:ascii="仿宋" w:hAnsi="仿宋" w:eastAsia="仿宋" w:cs="仿宋"/>
                <w:color w:val="auto"/>
                <w:szCs w:val="21"/>
                <w:highlight w:val="none"/>
              </w:rPr>
            </w:pPr>
            <w:r>
              <w:rPr>
                <w:rFonts w:hint="eastAsia" w:ascii="仿宋" w:hAnsi="仿宋" w:eastAsia="仿宋" w:cs="仿宋"/>
                <w:color w:val="auto"/>
                <w:szCs w:val="21"/>
                <w:highlight w:val="none"/>
              </w:rPr>
              <w:t>未能完全响应任意一项★号条款的投标将被否决。</w:t>
            </w:r>
          </w:p>
        </w:tc>
      </w:tr>
    </w:tbl>
    <w:p w14:paraId="3281E821">
      <w:pPr>
        <w:pStyle w:val="10"/>
        <w:pageBreakBefore w:val="0"/>
        <w:kinsoku/>
        <w:overflowPunct/>
        <w:bidi w:val="0"/>
        <w:spacing w:line="600" w:lineRule="exact"/>
        <w:rPr>
          <w:rFonts w:hint="eastAsia" w:ascii="仿宋" w:hAnsi="仿宋" w:eastAsia="仿宋" w:cs="宋体"/>
          <w:b/>
          <w:color w:val="auto"/>
          <w:highlight w:val="none"/>
        </w:rPr>
        <w:sectPr>
          <w:headerReference r:id="rId8" w:type="first"/>
          <w:footerReference r:id="rId10" w:type="first"/>
          <w:footerReference r:id="rId9" w:type="default"/>
          <w:pgSz w:w="11906" w:h="16838"/>
          <w:pgMar w:top="1417" w:right="1134" w:bottom="1134" w:left="1134" w:header="851" w:footer="992" w:gutter="0"/>
          <w:pgNumType w:start="1"/>
          <w:cols w:space="720" w:num="1"/>
          <w:titlePg/>
          <w:docGrid w:type="lines" w:linePitch="312" w:charSpace="0"/>
        </w:sectPr>
      </w:pPr>
    </w:p>
    <w:p w14:paraId="569412C6">
      <w:pPr>
        <w:pStyle w:val="5"/>
        <w:pageBreakBefore w:val="0"/>
        <w:kinsoku/>
        <w:overflowPunct/>
        <w:bidi w:val="0"/>
        <w:spacing w:line="600" w:lineRule="exact"/>
        <w:rPr>
          <w:rFonts w:hint="eastAsia" w:ascii="仿宋" w:hAnsi="仿宋" w:eastAsia="仿宋" w:cs="宋体"/>
          <w:b/>
          <w:color w:val="auto"/>
          <w:highlight w:val="none"/>
        </w:rPr>
      </w:pPr>
      <w:bookmarkStart w:id="612" w:name="_Toc26101"/>
      <w:bookmarkStart w:id="613" w:name="_Toc65682983"/>
      <w:bookmarkStart w:id="614" w:name="_Toc109124308"/>
      <w:bookmarkStart w:id="615" w:name="_Toc18549"/>
      <w:r>
        <w:rPr>
          <w:rFonts w:hint="eastAsia"/>
          <w:color w:val="auto"/>
          <w:highlight w:val="none"/>
          <w:lang w:val="en-US" w:eastAsia="zh-CN"/>
        </w:rPr>
        <w:t>3、</w:t>
      </w:r>
      <w:r>
        <w:rPr>
          <w:color w:val="auto"/>
          <w:highlight w:val="none"/>
        </w:rPr>
        <w:t>详细评审标准</w:t>
      </w:r>
      <w:bookmarkEnd w:id="612"/>
      <w:bookmarkEnd w:id="613"/>
      <w:bookmarkEnd w:id="614"/>
      <w:bookmarkEnd w:id="615"/>
    </w:p>
    <w:tbl>
      <w:tblPr>
        <w:tblStyle w:val="33"/>
        <w:tblW w:w="104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21"/>
        <w:gridCol w:w="1408"/>
        <w:gridCol w:w="1731"/>
        <w:gridCol w:w="2246"/>
        <w:gridCol w:w="877"/>
        <w:gridCol w:w="1470"/>
        <w:gridCol w:w="1484"/>
      </w:tblGrid>
      <w:tr w14:paraId="5AFC49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jc w:val="center"/>
        </w:trPr>
        <w:tc>
          <w:tcPr>
            <w:tcW w:w="1221" w:type="dxa"/>
            <w:noWrap/>
            <w:vAlign w:val="center"/>
          </w:tcPr>
          <w:p w14:paraId="3FB769A8">
            <w:pPr>
              <w:keepNext w:val="0"/>
              <w:keepLines w:val="0"/>
              <w:pageBreakBefore w:val="0"/>
              <w:suppressLineNumbers w:val="0"/>
              <w:kinsoku/>
              <w:overflowPunct/>
              <w:bidi w:val="0"/>
              <w:spacing w:before="0" w:beforeAutospacing="0" w:after="0" w:afterAutospacing="0" w:line="600" w:lineRule="exact"/>
              <w:ind w:left="0" w:right="0"/>
              <w:jc w:val="center"/>
              <w:rPr>
                <w:rFonts w:hint="default" w:ascii="仿宋" w:hAnsi="仿宋" w:eastAsia="仿宋" w:cs="仿宋"/>
                <w:b/>
                <w:color w:val="auto"/>
                <w:sz w:val="22"/>
                <w:szCs w:val="22"/>
                <w:highlight w:val="none"/>
              </w:rPr>
            </w:pPr>
            <w:r>
              <w:rPr>
                <w:rFonts w:hint="eastAsia" w:ascii="仿宋" w:hAnsi="仿宋" w:eastAsia="仿宋" w:cs="仿宋"/>
                <w:b/>
                <w:color w:val="auto"/>
                <w:sz w:val="22"/>
                <w:szCs w:val="22"/>
                <w:highlight w:val="none"/>
              </w:rPr>
              <w:t>条款号</w:t>
            </w:r>
          </w:p>
        </w:tc>
        <w:tc>
          <w:tcPr>
            <w:tcW w:w="3139" w:type="dxa"/>
            <w:gridSpan w:val="2"/>
            <w:noWrap/>
            <w:vAlign w:val="center"/>
          </w:tcPr>
          <w:p w14:paraId="5A4ADE29">
            <w:pPr>
              <w:keepNext w:val="0"/>
              <w:keepLines w:val="0"/>
              <w:pageBreakBefore w:val="0"/>
              <w:suppressLineNumbers w:val="0"/>
              <w:kinsoku/>
              <w:overflowPunct/>
              <w:bidi w:val="0"/>
              <w:spacing w:before="0" w:beforeAutospacing="0" w:after="0" w:afterAutospacing="0" w:line="600" w:lineRule="exact"/>
              <w:ind w:left="0" w:right="0"/>
              <w:jc w:val="center"/>
              <w:rPr>
                <w:rFonts w:hint="default" w:ascii="仿宋" w:hAnsi="仿宋" w:eastAsia="仿宋" w:cs="仿宋"/>
                <w:b/>
                <w:color w:val="auto"/>
                <w:sz w:val="22"/>
                <w:szCs w:val="22"/>
                <w:highlight w:val="none"/>
              </w:rPr>
            </w:pPr>
            <w:r>
              <w:rPr>
                <w:rFonts w:hint="eastAsia" w:ascii="仿宋" w:hAnsi="仿宋" w:eastAsia="仿宋" w:cs="仿宋"/>
                <w:b/>
                <w:color w:val="auto"/>
                <w:sz w:val="22"/>
                <w:szCs w:val="22"/>
                <w:highlight w:val="none"/>
              </w:rPr>
              <w:t>条款内容</w:t>
            </w:r>
          </w:p>
        </w:tc>
        <w:tc>
          <w:tcPr>
            <w:tcW w:w="6077" w:type="dxa"/>
            <w:gridSpan w:val="4"/>
            <w:noWrap/>
            <w:vAlign w:val="center"/>
          </w:tcPr>
          <w:p w14:paraId="7DD9236C">
            <w:pPr>
              <w:keepNext w:val="0"/>
              <w:keepLines w:val="0"/>
              <w:pageBreakBefore w:val="0"/>
              <w:suppressLineNumbers w:val="0"/>
              <w:kinsoku/>
              <w:overflowPunct/>
              <w:bidi w:val="0"/>
              <w:spacing w:before="0" w:beforeAutospacing="0" w:after="0" w:afterAutospacing="0" w:line="600" w:lineRule="exact"/>
              <w:ind w:left="0" w:right="0"/>
              <w:jc w:val="center"/>
              <w:rPr>
                <w:rFonts w:hint="default" w:ascii="仿宋" w:hAnsi="仿宋" w:eastAsia="仿宋" w:cs="仿宋"/>
                <w:b/>
                <w:color w:val="auto"/>
                <w:sz w:val="22"/>
                <w:szCs w:val="22"/>
                <w:highlight w:val="none"/>
              </w:rPr>
            </w:pPr>
            <w:r>
              <w:rPr>
                <w:rFonts w:hint="eastAsia" w:ascii="仿宋" w:hAnsi="仿宋" w:eastAsia="仿宋" w:cs="仿宋"/>
                <w:b/>
                <w:color w:val="auto"/>
                <w:sz w:val="22"/>
                <w:szCs w:val="22"/>
                <w:highlight w:val="none"/>
              </w:rPr>
              <w:t>编列内容</w:t>
            </w:r>
          </w:p>
        </w:tc>
      </w:tr>
      <w:tr w14:paraId="6E8012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jc w:val="center"/>
        </w:trPr>
        <w:tc>
          <w:tcPr>
            <w:tcW w:w="1221" w:type="dxa"/>
            <w:vMerge w:val="restart"/>
            <w:noWrap/>
            <w:vAlign w:val="center"/>
          </w:tcPr>
          <w:p w14:paraId="0EEC4625">
            <w:pPr>
              <w:keepNext w:val="0"/>
              <w:keepLines w:val="0"/>
              <w:pageBreakBefore w:val="0"/>
              <w:suppressLineNumbers w:val="0"/>
              <w:kinsoku/>
              <w:overflowPunct/>
              <w:bidi w:val="0"/>
              <w:spacing w:before="0" w:beforeAutospacing="0" w:after="0" w:afterAutospacing="0" w:line="600" w:lineRule="exact"/>
              <w:ind w:left="0" w:right="0"/>
              <w:jc w:val="center"/>
              <w:rPr>
                <w:rFonts w:hint="default" w:ascii="仿宋" w:hAnsi="仿宋" w:eastAsia="仿宋" w:cs="仿宋"/>
                <w:color w:val="auto"/>
                <w:sz w:val="22"/>
                <w:szCs w:val="22"/>
                <w:highlight w:val="none"/>
              </w:rPr>
            </w:pPr>
            <w:r>
              <w:rPr>
                <w:rFonts w:hint="eastAsia" w:ascii="仿宋" w:hAnsi="仿宋" w:eastAsia="仿宋" w:cs="仿宋"/>
                <w:color w:val="auto"/>
                <w:sz w:val="22"/>
                <w:szCs w:val="22"/>
                <w:highlight w:val="none"/>
              </w:rPr>
              <w:t>3.1</w:t>
            </w:r>
          </w:p>
        </w:tc>
        <w:tc>
          <w:tcPr>
            <w:tcW w:w="3139" w:type="dxa"/>
            <w:gridSpan w:val="2"/>
            <w:vMerge w:val="restart"/>
            <w:noWrap/>
            <w:vAlign w:val="center"/>
          </w:tcPr>
          <w:p w14:paraId="6C4FB2AB">
            <w:pPr>
              <w:keepNext w:val="0"/>
              <w:keepLines w:val="0"/>
              <w:pageBreakBefore w:val="0"/>
              <w:suppressLineNumbers w:val="0"/>
              <w:kinsoku/>
              <w:overflowPunct/>
              <w:bidi w:val="0"/>
              <w:spacing w:before="0" w:beforeAutospacing="0" w:after="0" w:afterAutospacing="0" w:line="600" w:lineRule="exact"/>
              <w:ind w:left="0" w:right="0"/>
              <w:jc w:val="center"/>
              <w:rPr>
                <w:rFonts w:hint="default" w:ascii="仿宋" w:hAnsi="仿宋" w:eastAsia="仿宋" w:cs="仿宋"/>
                <w:color w:val="auto"/>
                <w:sz w:val="22"/>
                <w:szCs w:val="22"/>
                <w:highlight w:val="none"/>
              </w:rPr>
            </w:pPr>
            <w:r>
              <w:rPr>
                <w:rFonts w:hint="eastAsia" w:ascii="仿宋" w:hAnsi="仿宋" w:eastAsia="仿宋" w:cs="仿宋"/>
                <w:color w:val="auto"/>
                <w:sz w:val="22"/>
                <w:szCs w:val="22"/>
                <w:highlight w:val="none"/>
              </w:rPr>
              <w:t>分值构成（总分100分）</w:t>
            </w:r>
          </w:p>
        </w:tc>
        <w:tc>
          <w:tcPr>
            <w:tcW w:w="2246" w:type="dxa"/>
            <w:noWrap/>
            <w:vAlign w:val="center"/>
          </w:tcPr>
          <w:p w14:paraId="542F9F15">
            <w:pPr>
              <w:keepNext w:val="0"/>
              <w:keepLines w:val="0"/>
              <w:pageBreakBefore w:val="0"/>
              <w:suppressLineNumbers w:val="0"/>
              <w:kinsoku/>
              <w:overflowPunct/>
              <w:bidi w:val="0"/>
              <w:spacing w:before="0" w:beforeAutospacing="0" w:after="0" w:afterAutospacing="0" w:line="600" w:lineRule="exact"/>
              <w:ind w:left="0" w:right="0"/>
              <w:jc w:val="center"/>
              <w:rPr>
                <w:rFonts w:hint="default" w:ascii="仿宋" w:hAnsi="仿宋" w:eastAsia="仿宋" w:cs="仿宋"/>
                <w:color w:val="auto"/>
                <w:sz w:val="22"/>
                <w:szCs w:val="22"/>
                <w:highlight w:val="none"/>
              </w:rPr>
            </w:pPr>
            <w:r>
              <w:rPr>
                <w:rFonts w:hint="eastAsia" w:ascii="仿宋" w:hAnsi="仿宋" w:eastAsia="仿宋" w:cs="仿宋"/>
                <w:color w:val="auto"/>
                <w:sz w:val="22"/>
                <w:szCs w:val="22"/>
                <w:highlight w:val="none"/>
              </w:rPr>
              <w:t>评分因素</w:t>
            </w:r>
          </w:p>
        </w:tc>
        <w:tc>
          <w:tcPr>
            <w:tcW w:w="877" w:type="dxa"/>
            <w:noWrap/>
            <w:vAlign w:val="center"/>
          </w:tcPr>
          <w:p w14:paraId="6BD1126F">
            <w:pPr>
              <w:keepNext w:val="0"/>
              <w:keepLines w:val="0"/>
              <w:pageBreakBefore w:val="0"/>
              <w:suppressLineNumbers w:val="0"/>
              <w:kinsoku/>
              <w:overflowPunct/>
              <w:bidi w:val="0"/>
              <w:spacing w:before="0" w:beforeAutospacing="0" w:after="0" w:afterAutospacing="0" w:line="600" w:lineRule="exact"/>
              <w:ind w:left="0" w:right="0"/>
              <w:jc w:val="center"/>
              <w:rPr>
                <w:rFonts w:hint="default" w:ascii="仿宋" w:hAnsi="仿宋" w:eastAsia="仿宋" w:cs="仿宋"/>
                <w:color w:val="auto"/>
                <w:sz w:val="22"/>
                <w:szCs w:val="22"/>
                <w:highlight w:val="none"/>
              </w:rPr>
            </w:pPr>
            <w:r>
              <w:rPr>
                <w:rFonts w:hint="eastAsia" w:ascii="仿宋" w:hAnsi="仿宋" w:eastAsia="仿宋" w:cs="仿宋"/>
                <w:color w:val="auto"/>
                <w:sz w:val="22"/>
                <w:szCs w:val="22"/>
                <w:highlight w:val="none"/>
              </w:rPr>
              <w:t>分值</w:t>
            </w:r>
          </w:p>
        </w:tc>
        <w:tc>
          <w:tcPr>
            <w:tcW w:w="2954" w:type="dxa"/>
            <w:gridSpan w:val="2"/>
            <w:noWrap/>
            <w:vAlign w:val="center"/>
          </w:tcPr>
          <w:p w14:paraId="38932371">
            <w:pPr>
              <w:keepNext w:val="0"/>
              <w:keepLines w:val="0"/>
              <w:pageBreakBefore w:val="0"/>
              <w:suppressLineNumbers w:val="0"/>
              <w:kinsoku/>
              <w:overflowPunct/>
              <w:bidi w:val="0"/>
              <w:spacing w:before="0" w:beforeAutospacing="0" w:after="0" w:afterAutospacing="0" w:line="600" w:lineRule="exact"/>
              <w:ind w:left="0" w:right="0"/>
              <w:jc w:val="center"/>
              <w:rPr>
                <w:rFonts w:hint="default" w:ascii="仿宋" w:hAnsi="仿宋" w:eastAsia="仿宋" w:cs="仿宋"/>
                <w:color w:val="auto"/>
                <w:sz w:val="22"/>
                <w:szCs w:val="22"/>
                <w:highlight w:val="none"/>
              </w:rPr>
            </w:pPr>
            <w:r>
              <w:rPr>
                <w:rFonts w:hint="eastAsia" w:ascii="仿宋" w:hAnsi="仿宋" w:eastAsia="仿宋" w:cs="仿宋"/>
                <w:color w:val="auto"/>
                <w:sz w:val="22"/>
                <w:szCs w:val="22"/>
                <w:highlight w:val="none"/>
              </w:rPr>
              <w:t>分值区间</w:t>
            </w:r>
          </w:p>
        </w:tc>
      </w:tr>
      <w:tr w14:paraId="04F4D7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jc w:val="center"/>
        </w:trPr>
        <w:tc>
          <w:tcPr>
            <w:tcW w:w="1221" w:type="dxa"/>
            <w:vMerge w:val="continue"/>
            <w:noWrap/>
            <w:vAlign w:val="center"/>
          </w:tcPr>
          <w:p w14:paraId="2B8B595D">
            <w:pPr>
              <w:keepNext w:val="0"/>
              <w:keepLines w:val="0"/>
              <w:pageBreakBefore w:val="0"/>
              <w:suppressLineNumbers w:val="0"/>
              <w:kinsoku/>
              <w:overflowPunct/>
              <w:bidi w:val="0"/>
              <w:spacing w:before="0" w:beforeAutospacing="0" w:after="0" w:afterAutospacing="0" w:line="600" w:lineRule="exact"/>
              <w:ind w:left="0" w:right="0"/>
              <w:jc w:val="center"/>
              <w:rPr>
                <w:rFonts w:hint="default" w:ascii="仿宋" w:hAnsi="仿宋" w:eastAsia="仿宋" w:cs="仿宋"/>
                <w:color w:val="auto"/>
                <w:sz w:val="22"/>
                <w:szCs w:val="22"/>
                <w:highlight w:val="none"/>
              </w:rPr>
            </w:pPr>
          </w:p>
        </w:tc>
        <w:tc>
          <w:tcPr>
            <w:tcW w:w="3139" w:type="dxa"/>
            <w:gridSpan w:val="2"/>
            <w:vMerge w:val="continue"/>
            <w:noWrap/>
            <w:vAlign w:val="center"/>
          </w:tcPr>
          <w:p w14:paraId="631AFE60">
            <w:pPr>
              <w:keepNext w:val="0"/>
              <w:keepLines w:val="0"/>
              <w:pageBreakBefore w:val="0"/>
              <w:suppressLineNumbers w:val="0"/>
              <w:kinsoku/>
              <w:overflowPunct/>
              <w:bidi w:val="0"/>
              <w:spacing w:before="0" w:beforeAutospacing="0" w:after="0" w:afterAutospacing="0" w:line="600" w:lineRule="exact"/>
              <w:ind w:left="0" w:right="0"/>
              <w:jc w:val="center"/>
              <w:rPr>
                <w:rFonts w:hint="default" w:ascii="仿宋" w:hAnsi="仿宋" w:eastAsia="仿宋" w:cs="仿宋"/>
                <w:color w:val="auto"/>
                <w:sz w:val="22"/>
                <w:szCs w:val="22"/>
                <w:highlight w:val="none"/>
              </w:rPr>
            </w:pPr>
          </w:p>
        </w:tc>
        <w:tc>
          <w:tcPr>
            <w:tcW w:w="2246" w:type="dxa"/>
            <w:noWrap/>
            <w:vAlign w:val="center"/>
          </w:tcPr>
          <w:p w14:paraId="56436523">
            <w:pPr>
              <w:keepNext w:val="0"/>
              <w:keepLines w:val="0"/>
              <w:pageBreakBefore w:val="0"/>
              <w:suppressLineNumbers w:val="0"/>
              <w:kinsoku/>
              <w:overflowPunct/>
              <w:bidi w:val="0"/>
              <w:spacing w:before="0" w:beforeAutospacing="0" w:after="0" w:afterAutospacing="0" w:line="600" w:lineRule="exact"/>
              <w:ind w:left="0" w:right="0"/>
              <w:jc w:val="center"/>
              <w:rPr>
                <w:rFonts w:hint="default" w:ascii="仿宋" w:hAnsi="仿宋" w:eastAsia="仿宋" w:cs="仿宋"/>
                <w:color w:val="auto"/>
                <w:sz w:val="22"/>
                <w:szCs w:val="22"/>
                <w:highlight w:val="none"/>
              </w:rPr>
            </w:pPr>
            <w:r>
              <w:rPr>
                <w:rFonts w:hint="eastAsia" w:ascii="仿宋" w:hAnsi="仿宋" w:eastAsia="仿宋" w:cs="仿宋"/>
                <w:color w:val="auto"/>
                <w:sz w:val="22"/>
                <w:szCs w:val="22"/>
                <w:highlight w:val="none"/>
              </w:rPr>
              <w:t>商务标</w:t>
            </w:r>
          </w:p>
        </w:tc>
        <w:tc>
          <w:tcPr>
            <w:tcW w:w="877" w:type="dxa"/>
            <w:noWrap/>
            <w:vAlign w:val="center"/>
          </w:tcPr>
          <w:p w14:paraId="5B1C9397">
            <w:pPr>
              <w:keepNext w:val="0"/>
              <w:keepLines w:val="0"/>
              <w:pageBreakBefore w:val="0"/>
              <w:suppressLineNumbers w:val="0"/>
              <w:kinsoku/>
              <w:overflowPunct/>
              <w:bidi w:val="0"/>
              <w:spacing w:before="0" w:beforeAutospacing="0" w:after="0" w:afterAutospacing="0" w:line="600" w:lineRule="exact"/>
              <w:ind w:left="0" w:right="0"/>
              <w:jc w:val="center"/>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10</w:t>
            </w:r>
          </w:p>
        </w:tc>
        <w:tc>
          <w:tcPr>
            <w:tcW w:w="2954" w:type="dxa"/>
            <w:gridSpan w:val="2"/>
            <w:noWrap/>
            <w:vAlign w:val="center"/>
          </w:tcPr>
          <w:p w14:paraId="1CE913AC">
            <w:pPr>
              <w:keepNext w:val="0"/>
              <w:keepLines w:val="0"/>
              <w:pageBreakBefore w:val="0"/>
              <w:suppressLineNumbers w:val="0"/>
              <w:kinsoku/>
              <w:overflowPunct/>
              <w:bidi w:val="0"/>
              <w:spacing w:before="0" w:beforeAutospacing="0" w:after="0" w:afterAutospacing="0" w:line="600" w:lineRule="exact"/>
              <w:ind w:left="0" w:right="0"/>
              <w:jc w:val="center"/>
              <w:rPr>
                <w:rFonts w:hint="default" w:ascii="仿宋" w:hAnsi="仿宋" w:eastAsia="仿宋" w:cs="仿宋"/>
                <w:color w:val="auto"/>
                <w:sz w:val="22"/>
                <w:szCs w:val="22"/>
                <w:highlight w:val="none"/>
              </w:rPr>
            </w:pPr>
            <w:r>
              <w:rPr>
                <w:rFonts w:hint="eastAsia" w:ascii="仿宋" w:hAnsi="仿宋" w:eastAsia="仿宋" w:cs="仿宋"/>
                <w:color w:val="auto"/>
                <w:sz w:val="22"/>
                <w:szCs w:val="22"/>
                <w:highlight w:val="none"/>
              </w:rPr>
              <w:t>0—</w:t>
            </w:r>
            <w:r>
              <w:rPr>
                <w:rFonts w:hint="eastAsia" w:ascii="仿宋" w:hAnsi="仿宋" w:eastAsia="仿宋" w:cs="仿宋"/>
                <w:color w:val="auto"/>
                <w:sz w:val="22"/>
                <w:szCs w:val="22"/>
                <w:highlight w:val="none"/>
                <w:lang w:val="en-US" w:eastAsia="zh-CN"/>
              </w:rPr>
              <w:t>1</w:t>
            </w:r>
            <w:r>
              <w:rPr>
                <w:rFonts w:hint="eastAsia" w:ascii="仿宋" w:hAnsi="仿宋" w:eastAsia="仿宋" w:cs="仿宋"/>
                <w:color w:val="auto"/>
                <w:sz w:val="22"/>
                <w:szCs w:val="22"/>
                <w:highlight w:val="none"/>
              </w:rPr>
              <w:t>0</w:t>
            </w:r>
          </w:p>
        </w:tc>
      </w:tr>
      <w:tr w14:paraId="6587C9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jc w:val="center"/>
        </w:trPr>
        <w:tc>
          <w:tcPr>
            <w:tcW w:w="1221" w:type="dxa"/>
            <w:vMerge w:val="continue"/>
            <w:noWrap/>
            <w:vAlign w:val="center"/>
          </w:tcPr>
          <w:p w14:paraId="63DCC3A8">
            <w:pPr>
              <w:keepNext w:val="0"/>
              <w:keepLines w:val="0"/>
              <w:pageBreakBefore w:val="0"/>
              <w:suppressLineNumbers w:val="0"/>
              <w:kinsoku/>
              <w:overflowPunct/>
              <w:bidi w:val="0"/>
              <w:spacing w:before="0" w:beforeAutospacing="0" w:after="0" w:afterAutospacing="0" w:line="600" w:lineRule="exact"/>
              <w:ind w:left="0" w:right="0"/>
              <w:jc w:val="center"/>
              <w:rPr>
                <w:rFonts w:hint="default" w:ascii="仿宋" w:hAnsi="仿宋" w:eastAsia="仿宋" w:cs="仿宋"/>
                <w:color w:val="auto"/>
                <w:sz w:val="22"/>
                <w:szCs w:val="22"/>
                <w:highlight w:val="none"/>
              </w:rPr>
            </w:pPr>
          </w:p>
        </w:tc>
        <w:tc>
          <w:tcPr>
            <w:tcW w:w="3139" w:type="dxa"/>
            <w:gridSpan w:val="2"/>
            <w:vMerge w:val="continue"/>
            <w:noWrap/>
            <w:vAlign w:val="center"/>
          </w:tcPr>
          <w:p w14:paraId="38AE65EA">
            <w:pPr>
              <w:keepNext w:val="0"/>
              <w:keepLines w:val="0"/>
              <w:pageBreakBefore w:val="0"/>
              <w:suppressLineNumbers w:val="0"/>
              <w:kinsoku/>
              <w:overflowPunct/>
              <w:bidi w:val="0"/>
              <w:spacing w:before="0" w:beforeAutospacing="0" w:after="0" w:afterAutospacing="0" w:line="600" w:lineRule="exact"/>
              <w:ind w:left="0" w:right="0"/>
              <w:jc w:val="center"/>
              <w:rPr>
                <w:rFonts w:hint="default" w:ascii="仿宋" w:hAnsi="仿宋" w:eastAsia="仿宋" w:cs="仿宋"/>
                <w:color w:val="auto"/>
                <w:sz w:val="22"/>
                <w:szCs w:val="22"/>
                <w:highlight w:val="none"/>
              </w:rPr>
            </w:pPr>
          </w:p>
        </w:tc>
        <w:tc>
          <w:tcPr>
            <w:tcW w:w="2246" w:type="dxa"/>
            <w:noWrap/>
            <w:vAlign w:val="center"/>
          </w:tcPr>
          <w:p w14:paraId="62321487">
            <w:pPr>
              <w:keepNext w:val="0"/>
              <w:keepLines w:val="0"/>
              <w:pageBreakBefore w:val="0"/>
              <w:suppressLineNumbers w:val="0"/>
              <w:kinsoku/>
              <w:overflowPunct/>
              <w:bidi w:val="0"/>
              <w:spacing w:before="0" w:beforeAutospacing="0" w:after="0" w:afterAutospacing="0" w:line="600" w:lineRule="exact"/>
              <w:ind w:left="0" w:right="0"/>
              <w:jc w:val="center"/>
              <w:rPr>
                <w:rFonts w:hint="default" w:ascii="仿宋" w:hAnsi="仿宋" w:eastAsia="仿宋" w:cs="仿宋"/>
                <w:color w:val="auto"/>
                <w:sz w:val="22"/>
                <w:szCs w:val="22"/>
                <w:highlight w:val="none"/>
              </w:rPr>
            </w:pPr>
            <w:r>
              <w:rPr>
                <w:rFonts w:hint="eastAsia" w:ascii="仿宋" w:hAnsi="仿宋" w:eastAsia="仿宋" w:cs="仿宋"/>
                <w:color w:val="auto"/>
                <w:sz w:val="22"/>
                <w:szCs w:val="22"/>
                <w:highlight w:val="none"/>
              </w:rPr>
              <w:t>技术标</w:t>
            </w:r>
          </w:p>
        </w:tc>
        <w:tc>
          <w:tcPr>
            <w:tcW w:w="877" w:type="dxa"/>
            <w:noWrap/>
            <w:vAlign w:val="center"/>
          </w:tcPr>
          <w:p w14:paraId="35F8638B">
            <w:pPr>
              <w:keepNext w:val="0"/>
              <w:keepLines w:val="0"/>
              <w:pageBreakBefore w:val="0"/>
              <w:suppressLineNumbers w:val="0"/>
              <w:kinsoku/>
              <w:overflowPunct/>
              <w:bidi w:val="0"/>
              <w:spacing w:before="0" w:beforeAutospacing="0" w:after="0" w:afterAutospacing="0" w:line="600" w:lineRule="exact"/>
              <w:ind w:left="0" w:right="0"/>
              <w:jc w:val="center"/>
              <w:rPr>
                <w:rFonts w:hint="default" w:ascii="仿宋" w:hAnsi="仿宋" w:eastAsia="仿宋" w:cs="仿宋"/>
                <w:color w:val="auto"/>
                <w:sz w:val="22"/>
                <w:szCs w:val="22"/>
                <w:highlight w:val="none"/>
              </w:rPr>
            </w:pPr>
            <w:r>
              <w:rPr>
                <w:rFonts w:hint="eastAsia" w:ascii="仿宋" w:hAnsi="仿宋" w:eastAsia="仿宋" w:cs="仿宋"/>
                <w:color w:val="auto"/>
                <w:sz w:val="22"/>
                <w:szCs w:val="22"/>
                <w:highlight w:val="none"/>
              </w:rPr>
              <w:t>40</w:t>
            </w:r>
          </w:p>
        </w:tc>
        <w:tc>
          <w:tcPr>
            <w:tcW w:w="2954" w:type="dxa"/>
            <w:gridSpan w:val="2"/>
            <w:noWrap/>
            <w:vAlign w:val="center"/>
          </w:tcPr>
          <w:p w14:paraId="7BBC34D1">
            <w:pPr>
              <w:keepNext w:val="0"/>
              <w:keepLines w:val="0"/>
              <w:pageBreakBefore w:val="0"/>
              <w:suppressLineNumbers w:val="0"/>
              <w:kinsoku/>
              <w:overflowPunct/>
              <w:bidi w:val="0"/>
              <w:spacing w:before="0" w:beforeAutospacing="0" w:after="0" w:afterAutospacing="0" w:line="600" w:lineRule="exact"/>
              <w:ind w:left="0" w:right="0"/>
              <w:jc w:val="center"/>
              <w:rPr>
                <w:rFonts w:hint="default" w:ascii="仿宋" w:hAnsi="仿宋" w:eastAsia="仿宋" w:cs="仿宋"/>
                <w:color w:val="auto"/>
                <w:sz w:val="22"/>
                <w:szCs w:val="22"/>
                <w:highlight w:val="none"/>
              </w:rPr>
            </w:pPr>
            <w:r>
              <w:rPr>
                <w:rFonts w:hint="eastAsia" w:ascii="仿宋" w:hAnsi="仿宋" w:eastAsia="仿宋" w:cs="仿宋"/>
                <w:color w:val="auto"/>
                <w:sz w:val="22"/>
                <w:szCs w:val="22"/>
                <w:highlight w:val="none"/>
              </w:rPr>
              <w:t>0—40</w:t>
            </w:r>
          </w:p>
        </w:tc>
      </w:tr>
      <w:tr w14:paraId="3A6FAD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jc w:val="center"/>
        </w:trPr>
        <w:tc>
          <w:tcPr>
            <w:tcW w:w="1221" w:type="dxa"/>
            <w:vMerge w:val="continue"/>
            <w:noWrap/>
            <w:vAlign w:val="center"/>
          </w:tcPr>
          <w:p w14:paraId="4F92C1FF">
            <w:pPr>
              <w:keepNext w:val="0"/>
              <w:keepLines w:val="0"/>
              <w:pageBreakBefore w:val="0"/>
              <w:suppressLineNumbers w:val="0"/>
              <w:kinsoku/>
              <w:overflowPunct/>
              <w:bidi w:val="0"/>
              <w:spacing w:before="0" w:beforeAutospacing="0" w:after="0" w:afterAutospacing="0" w:line="600" w:lineRule="exact"/>
              <w:ind w:left="0" w:right="0"/>
              <w:jc w:val="center"/>
              <w:rPr>
                <w:rFonts w:hint="default" w:ascii="仿宋" w:hAnsi="仿宋" w:eastAsia="仿宋" w:cs="仿宋"/>
                <w:color w:val="auto"/>
                <w:sz w:val="22"/>
                <w:szCs w:val="22"/>
                <w:highlight w:val="none"/>
              </w:rPr>
            </w:pPr>
          </w:p>
        </w:tc>
        <w:tc>
          <w:tcPr>
            <w:tcW w:w="3139" w:type="dxa"/>
            <w:gridSpan w:val="2"/>
            <w:vMerge w:val="continue"/>
            <w:noWrap/>
            <w:vAlign w:val="center"/>
          </w:tcPr>
          <w:p w14:paraId="1C0DEAE8">
            <w:pPr>
              <w:keepNext w:val="0"/>
              <w:keepLines w:val="0"/>
              <w:pageBreakBefore w:val="0"/>
              <w:suppressLineNumbers w:val="0"/>
              <w:kinsoku/>
              <w:overflowPunct/>
              <w:bidi w:val="0"/>
              <w:spacing w:before="0" w:beforeAutospacing="0" w:after="0" w:afterAutospacing="0" w:line="600" w:lineRule="exact"/>
              <w:ind w:left="0" w:right="0"/>
              <w:jc w:val="center"/>
              <w:rPr>
                <w:rFonts w:hint="default" w:ascii="仿宋" w:hAnsi="仿宋" w:eastAsia="仿宋" w:cs="仿宋"/>
                <w:color w:val="auto"/>
                <w:sz w:val="22"/>
                <w:szCs w:val="22"/>
                <w:highlight w:val="none"/>
              </w:rPr>
            </w:pPr>
          </w:p>
        </w:tc>
        <w:tc>
          <w:tcPr>
            <w:tcW w:w="2246" w:type="dxa"/>
            <w:noWrap/>
            <w:vAlign w:val="center"/>
          </w:tcPr>
          <w:p w14:paraId="3D4C5A58">
            <w:pPr>
              <w:keepNext w:val="0"/>
              <w:keepLines w:val="0"/>
              <w:pageBreakBefore w:val="0"/>
              <w:suppressLineNumbers w:val="0"/>
              <w:kinsoku/>
              <w:overflowPunct/>
              <w:bidi w:val="0"/>
              <w:spacing w:before="0" w:beforeAutospacing="0" w:after="0" w:afterAutospacing="0" w:line="600" w:lineRule="exact"/>
              <w:ind w:left="0" w:right="0"/>
              <w:jc w:val="center"/>
              <w:rPr>
                <w:rFonts w:hint="default" w:ascii="仿宋" w:hAnsi="仿宋" w:eastAsia="仿宋" w:cs="仿宋"/>
                <w:color w:val="auto"/>
                <w:sz w:val="22"/>
                <w:szCs w:val="22"/>
                <w:highlight w:val="none"/>
              </w:rPr>
            </w:pPr>
            <w:r>
              <w:rPr>
                <w:rFonts w:hint="eastAsia" w:ascii="仿宋" w:hAnsi="仿宋" w:eastAsia="仿宋" w:cs="仿宋"/>
                <w:color w:val="auto"/>
                <w:sz w:val="22"/>
                <w:szCs w:val="22"/>
                <w:highlight w:val="none"/>
              </w:rPr>
              <w:t>价格标</w:t>
            </w:r>
          </w:p>
        </w:tc>
        <w:tc>
          <w:tcPr>
            <w:tcW w:w="877" w:type="dxa"/>
            <w:noWrap/>
            <w:vAlign w:val="center"/>
          </w:tcPr>
          <w:p w14:paraId="48A4B75C">
            <w:pPr>
              <w:keepNext w:val="0"/>
              <w:keepLines w:val="0"/>
              <w:pageBreakBefore w:val="0"/>
              <w:suppressLineNumbers w:val="0"/>
              <w:kinsoku/>
              <w:overflowPunct/>
              <w:bidi w:val="0"/>
              <w:spacing w:before="0" w:beforeAutospacing="0" w:after="0" w:afterAutospacing="0" w:line="600" w:lineRule="exact"/>
              <w:ind w:left="0" w:right="0"/>
              <w:jc w:val="center"/>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50</w:t>
            </w:r>
          </w:p>
        </w:tc>
        <w:tc>
          <w:tcPr>
            <w:tcW w:w="2954" w:type="dxa"/>
            <w:gridSpan w:val="2"/>
            <w:noWrap/>
            <w:vAlign w:val="center"/>
          </w:tcPr>
          <w:p w14:paraId="32D9E265">
            <w:pPr>
              <w:keepNext w:val="0"/>
              <w:keepLines w:val="0"/>
              <w:pageBreakBefore w:val="0"/>
              <w:suppressLineNumbers w:val="0"/>
              <w:kinsoku/>
              <w:overflowPunct/>
              <w:bidi w:val="0"/>
              <w:spacing w:before="0" w:beforeAutospacing="0" w:after="0" w:afterAutospacing="0" w:line="600" w:lineRule="exact"/>
              <w:ind w:left="0" w:right="0"/>
              <w:jc w:val="center"/>
              <w:rPr>
                <w:rFonts w:hint="default" w:ascii="仿宋" w:hAnsi="仿宋" w:eastAsia="仿宋" w:cs="仿宋"/>
                <w:color w:val="auto"/>
                <w:sz w:val="22"/>
                <w:szCs w:val="22"/>
                <w:highlight w:val="none"/>
              </w:rPr>
            </w:pPr>
            <w:r>
              <w:rPr>
                <w:rFonts w:hint="eastAsia" w:ascii="仿宋" w:hAnsi="仿宋" w:eastAsia="仿宋" w:cs="仿宋"/>
                <w:color w:val="auto"/>
                <w:sz w:val="22"/>
                <w:szCs w:val="22"/>
                <w:highlight w:val="none"/>
              </w:rPr>
              <w:t>0—</w:t>
            </w:r>
            <w:r>
              <w:rPr>
                <w:rFonts w:hint="eastAsia" w:ascii="仿宋" w:hAnsi="仿宋" w:eastAsia="仿宋" w:cs="仿宋"/>
                <w:color w:val="auto"/>
                <w:sz w:val="22"/>
                <w:szCs w:val="22"/>
                <w:highlight w:val="none"/>
                <w:lang w:val="en-US" w:eastAsia="zh-CN"/>
              </w:rPr>
              <w:t>5</w:t>
            </w:r>
            <w:r>
              <w:rPr>
                <w:rFonts w:hint="eastAsia" w:ascii="仿宋" w:hAnsi="仿宋" w:eastAsia="仿宋" w:cs="仿宋"/>
                <w:color w:val="auto"/>
                <w:sz w:val="22"/>
                <w:szCs w:val="22"/>
                <w:highlight w:val="none"/>
              </w:rPr>
              <w:t>0</w:t>
            </w:r>
          </w:p>
        </w:tc>
      </w:tr>
      <w:tr w14:paraId="652D00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5" w:hRule="atLeast"/>
          <w:jc w:val="center"/>
        </w:trPr>
        <w:tc>
          <w:tcPr>
            <w:tcW w:w="1221" w:type="dxa"/>
            <w:vMerge w:val="restart"/>
            <w:noWrap/>
            <w:vAlign w:val="center"/>
          </w:tcPr>
          <w:p w14:paraId="4F079764">
            <w:pPr>
              <w:keepNext w:val="0"/>
              <w:keepLines w:val="0"/>
              <w:pageBreakBefore w:val="0"/>
              <w:suppressLineNumbers w:val="0"/>
              <w:kinsoku/>
              <w:overflowPunct/>
              <w:bidi w:val="0"/>
              <w:spacing w:before="0" w:beforeAutospacing="0" w:after="0" w:afterAutospacing="0" w:line="600" w:lineRule="exact"/>
              <w:ind w:left="0" w:right="0"/>
              <w:jc w:val="center"/>
              <w:rPr>
                <w:rFonts w:hint="default" w:ascii="仿宋" w:hAnsi="仿宋" w:eastAsia="仿宋" w:cs="仿宋"/>
                <w:color w:val="auto"/>
                <w:sz w:val="22"/>
                <w:szCs w:val="22"/>
                <w:highlight w:val="none"/>
              </w:rPr>
            </w:pPr>
            <w:r>
              <w:rPr>
                <w:rFonts w:hint="eastAsia" w:ascii="仿宋" w:hAnsi="仿宋" w:eastAsia="仿宋" w:cs="仿宋"/>
                <w:color w:val="auto"/>
                <w:sz w:val="22"/>
                <w:szCs w:val="22"/>
                <w:highlight w:val="none"/>
              </w:rPr>
              <w:t>3.2</w:t>
            </w:r>
          </w:p>
        </w:tc>
        <w:tc>
          <w:tcPr>
            <w:tcW w:w="1408" w:type="dxa"/>
            <w:vMerge w:val="restart"/>
            <w:noWrap/>
            <w:vAlign w:val="center"/>
          </w:tcPr>
          <w:p w14:paraId="66C1EFF2">
            <w:pPr>
              <w:keepNext w:val="0"/>
              <w:keepLines w:val="0"/>
              <w:pageBreakBefore w:val="0"/>
              <w:suppressLineNumbers w:val="0"/>
              <w:kinsoku/>
              <w:overflowPunct/>
              <w:bidi w:val="0"/>
              <w:spacing w:before="0" w:beforeAutospacing="0" w:after="0" w:afterAutospacing="0" w:line="600" w:lineRule="exact"/>
              <w:ind w:left="0" w:right="0"/>
              <w:jc w:val="center"/>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rPr>
              <w:t>价格</w:t>
            </w:r>
            <w:r>
              <w:rPr>
                <w:rFonts w:hint="eastAsia" w:ascii="仿宋" w:hAnsi="仿宋" w:eastAsia="仿宋" w:cs="仿宋"/>
                <w:color w:val="auto"/>
                <w:sz w:val="22"/>
                <w:szCs w:val="22"/>
                <w:highlight w:val="none"/>
                <w:lang w:val="en-US" w:eastAsia="zh-CN"/>
              </w:rPr>
              <w:t>标</w:t>
            </w:r>
          </w:p>
          <w:p w14:paraId="409E4ECA">
            <w:pPr>
              <w:keepNext w:val="0"/>
              <w:keepLines w:val="0"/>
              <w:pageBreakBefore w:val="0"/>
              <w:suppressLineNumbers w:val="0"/>
              <w:kinsoku/>
              <w:overflowPunct/>
              <w:bidi w:val="0"/>
              <w:spacing w:before="0" w:beforeAutospacing="0" w:after="0" w:afterAutospacing="0" w:line="600" w:lineRule="exact"/>
              <w:ind w:left="0" w:right="0"/>
              <w:jc w:val="center"/>
              <w:rPr>
                <w:rFonts w:hint="default" w:ascii="仿宋" w:hAnsi="仿宋" w:eastAsia="仿宋" w:cs="仿宋"/>
                <w:color w:val="auto"/>
                <w:sz w:val="22"/>
                <w:szCs w:val="22"/>
                <w:highlight w:val="none"/>
              </w:rPr>
            </w:pPr>
            <w:r>
              <w:rPr>
                <w:rFonts w:hint="eastAsia" w:ascii="仿宋" w:hAnsi="仿宋" w:eastAsia="仿宋" w:cs="仿宋"/>
                <w:color w:val="auto"/>
                <w:sz w:val="22"/>
                <w:szCs w:val="22"/>
                <w:highlight w:val="none"/>
              </w:rPr>
              <w:t>（</w:t>
            </w:r>
            <w:r>
              <w:rPr>
                <w:rFonts w:hint="eastAsia" w:ascii="仿宋" w:hAnsi="仿宋" w:eastAsia="仿宋" w:cs="仿宋"/>
                <w:color w:val="auto"/>
                <w:sz w:val="22"/>
                <w:szCs w:val="22"/>
                <w:highlight w:val="none"/>
                <w:lang w:val="en-US" w:eastAsia="zh-CN"/>
              </w:rPr>
              <w:t>5</w:t>
            </w:r>
            <w:r>
              <w:rPr>
                <w:rFonts w:hint="eastAsia" w:ascii="仿宋" w:hAnsi="仿宋" w:eastAsia="仿宋" w:cs="仿宋"/>
                <w:color w:val="auto"/>
                <w:sz w:val="22"/>
                <w:szCs w:val="22"/>
                <w:highlight w:val="none"/>
              </w:rPr>
              <w:t>0分）</w:t>
            </w:r>
          </w:p>
        </w:tc>
        <w:tc>
          <w:tcPr>
            <w:tcW w:w="1731" w:type="dxa"/>
            <w:vMerge w:val="restart"/>
            <w:noWrap/>
            <w:vAlign w:val="center"/>
          </w:tcPr>
          <w:p w14:paraId="60E75600">
            <w:pPr>
              <w:keepNext w:val="0"/>
              <w:keepLines w:val="0"/>
              <w:pageBreakBefore w:val="0"/>
              <w:suppressLineNumbers w:val="0"/>
              <w:kinsoku/>
              <w:overflowPunct/>
              <w:bidi w:val="0"/>
              <w:spacing w:before="0" w:beforeAutospacing="0" w:after="0" w:afterAutospacing="0" w:line="600" w:lineRule="exact"/>
              <w:ind w:left="0" w:right="0"/>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评标基准价计算方法</w:t>
            </w:r>
          </w:p>
        </w:tc>
        <w:tc>
          <w:tcPr>
            <w:tcW w:w="6077" w:type="dxa"/>
            <w:gridSpan w:val="4"/>
            <w:noWrap/>
            <w:vAlign w:val="center"/>
          </w:tcPr>
          <w:p w14:paraId="6F6CD2F5">
            <w:pPr>
              <w:keepNext w:val="0"/>
              <w:keepLines w:val="0"/>
              <w:pageBreakBefore w:val="0"/>
              <w:suppressLineNumbers w:val="0"/>
              <w:kinsoku/>
              <w:overflowPunct/>
              <w:bidi w:val="0"/>
              <w:spacing w:before="0" w:beforeAutospacing="0" w:after="0" w:afterAutospacing="0" w:line="600" w:lineRule="exact"/>
              <w:ind w:left="0" w:right="0"/>
              <w:rPr>
                <w:rFonts w:hint="default" w:ascii="仿宋" w:hAnsi="仿宋" w:eastAsia="仿宋" w:cs="仿宋"/>
                <w:color w:val="auto"/>
                <w:sz w:val="22"/>
                <w:szCs w:val="22"/>
                <w:highlight w:val="none"/>
              </w:rPr>
            </w:pPr>
            <w:r>
              <w:rPr>
                <w:rFonts w:hint="eastAsia" w:ascii="仿宋" w:hAnsi="仿宋" w:eastAsia="仿宋" w:cs="仿宋"/>
                <w:color w:val="auto"/>
                <w:sz w:val="22"/>
                <w:szCs w:val="22"/>
                <w:highlight w:val="none"/>
              </w:rPr>
              <w:t>低价优先法</w:t>
            </w:r>
          </w:p>
          <w:p w14:paraId="749489A1">
            <w:pPr>
              <w:keepNext w:val="0"/>
              <w:keepLines w:val="0"/>
              <w:pageBreakBefore w:val="0"/>
              <w:suppressLineNumbers w:val="0"/>
              <w:kinsoku/>
              <w:overflowPunct/>
              <w:bidi w:val="0"/>
              <w:spacing w:before="0" w:beforeAutospacing="0" w:after="0" w:afterAutospacing="0" w:line="600" w:lineRule="exact"/>
              <w:ind w:left="0" w:right="0"/>
              <w:rPr>
                <w:rFonts w:hint="default" w:ascii="仿宋" w:hAnsi="仿宋" w:eastAsia="仿宋" w:cs="仿宋"/>
                <w:color w:val="auto"/>
                <w:sz w:val="22"/>
                <w:szCs w:val="22"/>
                <w:highlight w:val="none"/>
              </w:rPr>
            </w:pPr>
            <w:r>
              <w:rPr>
                <w:rFonts w:hint="eastAsia" w:ascii="仿宋" w:hAnsi="仿宋" w:eastAsia="仿宋" w:cs="仿宋"/>
                <w:color w:val="auto"/>
                <w:sz w:val="22"/>
                <w:szCs w:val="22"/>
                <w:highlight w:val="none"/>
              </w:rPr>
              <w:t>1）适用情形：有效投标人少于5家（不含本数）</w:t>
            </w:r>
          </w:p>
          <w:p w14:paraId="20293123">
            <w:pPr>
              <w:keepNext w:val="0"/>
              <w:keepLines w:val="0"/>
              <w:pageBreakBefore w:val="0"/>
              <w:suppressLineNumbers w:val="0"/>
              <w:kinsoku/>
              <w:overflowPunct/>
              <w:bidi w:val="0"/>
              <w:spacing w:before="0" w:beforeAutospacing="0" w:after="0" w:afterAutospacing="0" w:line="600" w:lineRule="exact"/>
              <w:ind w:left="0" w:right="0"/>
              <w:rPr>
                <w:rFonts w:hint="default" w:ascii="仿宋" w:hAnsi="仿宋" w:eastAsia="仿宋" w:cs="仿宋"/>
                <w:color w:val="auto"/>
                <w:sz w:val="22"/>
                <w:szCs w:val="22"/>
                <w:highlight w:val="none"/>
              </w:rPr>
            </w:pPr>
            <w:r>
              <w:rPr>
                <w:rFonts w:hint="eastAsia" w:ascii="仿宋" w:hAnsi="仿宋" w:eastAsia="仿宋" w:cs="仿宋"/>
                <w:color w:val="auto"/>
                <w:sz w:val="22"/>
                <w:szCs w:val="22"/>
                <w:highlight w:val="none"/>
              </w:rPr>
              <w:t>2）评标价：各有效投标人的含税投标价（折扣率）。</w:t>
            </w:r>
          </w:p>
          <w:p w14:paraId="21958E22">
            <w:pPr>
              <w:keepNext w:val="0"/>
              <w:keepLines w:val="0"/>
              <w:pageBreakBefore w:val="0"/>
              <w:suppressLineNumbers w:val="0"/>
              <w:kinsoku/>
              <w:overflowPunct/>
              <w:bidi w:val="0"/>
              <w:spacing w:before="0" w:beforeAutospacing="0" w:after="0" w:afterAutospacing="0" w:line="600" w:lineRule="exact"/>
              <w:ind w:left="0" w:right="0"/>
              <w:rPr>
                <w:rFonts w:hint="default" w:ascii="仿宋" w:hAnsi="仿宋" w:eastAsia="仿宋" w:cs="仿宋"/>
                <w:color w:val="auto"/>
                <w:sz w:val="22"/>
                <w:szCs w:val="22"/>
                <w:highlight w:val="none"/>
              </w:rPr>
            </w:pPr>
            <w:r>
              <w:rPr>
                <w:rFonts w:hint="eastAsia" w:ascii="仿宋" w:hAnsi="仿宋" w:eastAsia="仿宋" w:cs="仿宋"/>
                <w:color w:val="auto"/>
                <w:sz w:val="22"/>
                <w:szCs w:val="22"/>
                <w:highlight w:val="none"/>
              </w:rPr>
              <w:t>3）评标基准价：满足招标文件要求且最低的有效评标价。</w:t>
            </w:r>
          </w:p>
          <w:p w14:paraId="1A67CB78">
            <w:pPr>
              <w:keepNext w:val="0"/>
              <w:keepLines w:val="0"/>
              <w:pageBreakBefore w:val="0"/>
              <w:suppressLineNumbers w:val="0"/>
              <w:kinsoku/>
              <w:overflowPunct/>
              <w:bidi w:val="0"/>
              <w:spacing w:before="0" w:beforeAutospacing="0" w:after="0" w:afterAutospacing="0" w:line="600" w:lineRule="exact"/>
              <w:ind w:left="0" w:right="0"/>
              <w:rPr>
                <w:rFonts w:hint="default" w:ascii="仿宋" w:hAnsi="仿宋" w:eastAsia="仿宋" w:cs="仿宋"/>
                <w:color w:val="auto"/>
                <w:sz w:val="22"/>
                <w:szCs w:val="22"/>
                <w:highlight w:val="none"/>
              </w:rPr>
            </w:pPr>
            <w:r>
              <w:rPr>
                <w:rFonts w:hint="eastAsia" w:ascii="仿宋" w:hAnsi="仿宋" w:eastAsia="仿宋" w:cs="仿宋"/>
                <w:color w:val="auto"/>
                <w:sz w:val="22"/>
                <w:szCs w:val="22"/>
                <w:highlight w:val="none"/>
              </w:rPr>
              <w:t>4）价格分计算：评标价=评标基准价的投标人，得价格分的满分；其他投标人的价格分按照以下公式计算，并精确到小数点后两位：</w:t>
            </w:r>
          </w:p>
          <w:p w14:paraId="0350B135">
            <w:pPr>
              <w:keepNext w:val="0"/>
              <w:keepLines w:val="0"/>
              <w:pageBreakBefore w:val="0"/>
              <w:suppressLineNumbers w:val="0"/>
              <w:kinsoku/>
              <w:overflowPunct/>
              <w:bidi w:val="0"/>
              <w:spacing w:before="0" w:beforeAutospacing="0" w:after="0" w:afterAutospacing="0" w:line="600" w:lineRule="exact"/>
              <w:ind w:left="0" w:right="0"/>
              <w:rPr>
                <w:rFonts w:hint="default" w:ascii="仿宋" w:hAnsi="仿宋" w:eastAsia="仿宋" w:cs="仿宋"/>
                <w:color w:val="auto"/>
                <w:sz w:val="22"/>
                <w:szCs w:val="22"/>
                <w:highlight w:val="none"/>
              </w:rPr>
            </w:pPr>
            <w:r>
              <w:rPr>
                <w:rFonts w:hint="eastAsia" w:ascii="仿宋" w:hAnsi="仿宋" w:eastAsia="仿宋" w:cs="仿宋"/>
                <w:color w:val="auto"/>
                <w:sz w:val="22"/>
                <w:szCs w:val="22"/>
                <w:highlight w:val="none"/>
              </w:rPr>
              <w:t>5）价格得分＝（评标基准价/该投标人的评标价）*30；</w:t>
            </w:r>
          </w:p>
        </w:tc>
      </w:tr>
      <w:tr w14:paraId="57BF00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3" w:hRule="atLeast"/>
          <w:jc w:val="center"/>
        </w:trPr>
        <w:tc>
          <w:tcPr>
            <w:tcW w:w="1221" w:type="dxa"/>
            <w:vMerge w:val="continue"/>
            <w:noWrap/>
            <w:vAlign w:val="center"/>
          </w:tcPr>
          <w:p w14:paraId="3895D41B">
            <w:pPr>
              <w:keepNext w:val="0"/>
              <w:keepLines w:val="0"/>
              <w:pageBreakBefore w:val="0"/>
              <w:suppressLineNumbers w:val="0"/>
              <w:kinsoku/>
              <w:overflowPunct/>
              <w:bidi w:val="0"/>
              <w:spacing w:before="0" w:beforeAutospacing="0" w:after="0" w:afterAutospacing="0" w:line="600" w:lineRule="exact"/>
              <w:ind w:left="0" w:right="0"/>
              <w:jc w:val="center"/>
              <w:rPr>
                <w:rFonts w:hint="default" w:ascii="仿宋" w:hAnsi="仿宋" w:eastAsia="仿宋" w:cs="仿宋"/>
                <w:color w:val="auto"/>
                <w:sz w:val="22"/>
                <w:szCs w:val="22"/>
                <w:highlight w:val="none"/>
              </w:rPr>
            </w:pPr>
          </w:p>
        </w:tc>
        <w:tc>
          <w:tcPr>
            <w:tcW w:w="1408" w:type="dxa"/>
            <w:vMerge w:val="continue"/>
            <w:noWrap/>
            <w:vAlign w:val="center"/>
          </w:tcPr>
          <w:p w14:paraId="3454FE02">
            <w:pPr>
              <w:keepNext w:val="0"/>
              <w:keepLines w:val="0"/>
              <w:pageBreakBefore w:val="0"/>
              <w:suppressLineNumbers w:val="0"/>
              <w:kinsoku/>
              <w:overflowPunct/>
              <w:bidi w:val="0"/>
              <w:spacing w:before="0" w:beforeAutospacing="0" w:after="0" w:afterAutospacing="0" w:line="600" w:lineRule="exact"/>
              <w:ind w:left="0" w:right="0"/>
              <w:jc w:val="center"/>
              <w:rPr>
                <w:rFonts w:hint="default" w:ascii="仿宋" w:hAnsi="仿宋" w:eastAsia="仿宋" w:cs="仿宋"/>
                <w:color w:val="auto"/>
                <w:sz w:val="22"/>
                <w:szCs w:val="22"/>
                <w:highlight w:val="none"/>
              </w:rPr>
            </w:pPr>
          </w:p>
        </w:tc>
        <w:tc>
          <w:tcPr>
            <w:tcW w:w="1731" w:type="dxa"/>
            <w:vMerge w:val="continue"/>
            <w:noWrap/>
            <w:vAlign w:val="center"/>
          </w:tcPr>
          <w:p w14:paraId="742FAE05">
            <w:pPr>
              <w:keepNext w:val="0"/>
              <w:keepLines w:val="0"/>
              <w:pageBreakBefore w:val="0"/>
              <w:suppressLineNumbers w:val="0"/>
              <w:kinsoku/>
              <w:overflowPunct/>
              <w:bidi w:val="0"/>
              <w:spacing w:before="0" w:beforeAutospacing="0" w:after="0" w:afterAutospacing="0" w:line="600" w:lineRule="exact"/>
              <w:ind w:left="0" w:right="0"/>
              <w:jc w:val="center"/>
              <w:rPr>
                <w:rFonts w:hint="default" w:ascii="仿宋" w:hAnsi="仿宋" w:eastAsia="仿宋" w:cs="仿宋"/>
                <w:color w:val="auto"/>
                <w:sz w:val="22"/>
                <w:szCs w:val="22"/>
                <w:highlight w:val="none"/>
              </w:rPr>
            </w:pPr>
          </w:p>
        </w:tc>
        <w:tc>
          <w:tcPr>
            <w:tcW w:w="6077" w:type="dxa"/>
            <w:gridSpan w:val="4"/>
            <w:noWrap/>
            <w:vAlign w:val="center"/>
          </w:tcPr>
          <w:p w14:paraId="198E45C9">
            <w:pPr>
              <w:keepNext w:val="0"/>
              <w:keepLines w:val="0"/>
              <w:pageBreakBefore w:val="0"/>
              <w:suppressLineNumbers w:val="0"/>
              <w:kinsoku/>
              <w:overflowPunct/>
              <w:bidi w:val="0"/>
              <w:spacing w:before="0" w:beforeAutospacing="0" w:after="0" w:afterAutospacing="0" w:line="600" w:lineRule="exact"/>
              <w:ind w:left="0" w:right="0"/>
              <w:rPr>
                <w:rFonts w:hint="default" w:ascii="仿宋" w:hAnsi="仿宋" w:eastAsia="仿宋" w:cs="仿宋"/>
                <w:color w:val="auto"/>
                <w:sz w:val="22"/>
                <w:szCs w:val="22"/>
                <w:highlight w:val="none"/>
              </w:rPr>
            </w:pPr>
            <w:r>
              <w:rPr>
                <w:rFonts w:hint="eastAsia" w:ascii="仿宋" w:hAnsi="仿宋" w:eastAsia="仿宋" w:cs="仿宋"/>
                <w:color w:val="auto"/>
                <w:sz w:val="22"/>
                <w:szCs w:val="22"/>
                <w:highlight w:val="none"/>
              </w:rPr>
              <w:t>偏离度计算法</w:t>
            </w:r>
          </w:p>
          <w:p w14:paraId="5A11B111">
            <w:pPr>
              <w:keepNext w:val="0"/>
              <w:keepLines w:val="0"/>
              <w:pageBreakBefore w:val="0"/>
              <w:suppressLineNumbers w:val="0"/>
              <w:kinsoku/>
              <w:overflowPunct/>
              <w:bidi w:val="0"/>
              <w:spacing w:before="0" w:beforeAutospacing="0" w:after="0" w:afterAutospacing="0" w:line="600" w:lineRule="exact"/>
              <w:ind w:left="0" w:right="0"/>
              <w:rPr>
                <w:rFonts w:hint="default" w:ascii="仿宋" w:hAnsi="仿宋" w:eastAsia="仿宋" w:cs="仿宋"/>
                <w:color w:val="auto"/>
                <w:sz w:val="22"/>
                <w:szCs w:val="22"/>
                <w:highlight w:val="none"/>
              </w:rPr>
            </w:pPr>
            <w:r>
              <w:rPr>
                <w:rFonts w:hint="eastAsia" w:ascii="仿宋" w:hAnsi="仿宋" w:eastAsia="仿宋" w:cs="仿宋"/>
                <w:color w:val="auto"/>
                <w:sz w:val="22"/>
                <w:szCs w:val="22"/>
                <w:highlight w:val="none"/>
              </w:rPr>
              <w:t>1）适用情形：有效投标人大于5家（含本数）</w:t>
            </w:r>
          </w:p>
          <w:p w14:paraId="1F082D05">
            <w:pPr>
              <w:keepNext w:val="0"/>
              <w:keepLines w:val="0"/>
              <w:pageBreakBefore w:val="0"/>
              <w:suppressLineNumbers w:val="0"/>
              <w:kinsoku/>
              <w:overflowPunct/>
              <w:bidi w:val="0"/>
              <w:spacing w:before="0" w:beforeAutospacing="0" w:after="0" w:afterAutospacing="0" w:line="600" w:lineRule="exact"/>
              <w:ind w:left="0" w:right="0"/>
              <w:rPr>
                <w:rFonts w:hint="default" w:ascii="仿宋" w:hAnsi="仿宋" w:eastAsia="仿宋" w:cs="仿宋"/>
                <w:color w:val="auto"/>
                <w:sz w:val="22"/>
                <w:szCs w:val="22"/>
                <w:highlight w:val="none"/>
              </w:rPr>
            </w:pPr>
            <w:r>
              <w:rPr>
                <w:rFonts w:hint="eastAsia" w:ascii="仿宋" w:hAnsi="仿宋" w:eastAsia="仿宋" w:cs="仿宋"/>
                <w:color w:val="auto"/>
                <w:sz w:val="22"/>
                <w:szCs w:val="22"/>
                <w:highlight w:val="none"/>
              </w:rPr>
              <w:t>2）评标价：各有效投标人的含税投标价（折扣率）。</w:t>
            </w:r>
          </w:p>
          <w:p w14:paraId="2DBE0ACB">
            <w:pPr>
              <w:keepNext w:val="0"/>
              <w:keepLines w:val="0"/>
              <w:pageBreakBefore w:val="0"/>
              <w:suppressLineNumbers w:val="0"/>
              <w:kinsoku/>
              <w:overflowPunct/>
              <w:bidi w:val="0"/>
              <w:spacing w:before="0" w:beforeAutospacing="0" w:after="0" w:afterAutospacing="0" w:line="600" w:lineRule="exact"/>
              <w:ind w:left="0" w:right="0"/>
              <w:rPr>
                <w:rFonts w:hint="default" w:ascii="仿宋" w:hAnsi="仿宋" w:eastAsia="仿宋" w:cs="仿宋"/>
                <w:color w:val="auto"/>
                <w:sz w:val="22"/>
                <w:szCs w:val="22"/>
                <w:highlight w:val="none"/>
              </w:rPr>
            </w:pPr>
            <w:r>
              <w:rPr>
                <w:rFonts w:hint="eastAsia" w:ascii="仿宋" w:hAnsi="仿宋" w:eastAsia="仿宋" w:cs="仿宋"/>
                <w:color w:val="auto"/>
                <w:sz w:val="22"/>
                <w:szCs w:val="22"/>
                <w:highlight w:val="none"/>
              </w:rPr>
              <w:t>3）评标基准价：取所有有效评标价的算术平均值。</w:t>
            </w:r>
          </w:p>
          <w:p w14:paraId="7F8DD225">
            <w:pPr>
              <w:keepNext w:val="0"/>
              <w:keepLines w:val="0"/>
              <w:pageBreakBefore w:val="0"/>
              <w:suppressLineNumbers w:val="0"/>
              <w:kinsoku/>
              <w:overflowPunct/>
              <w:bidi w:val="0"/>
              <w:spacing w:before="0" w:beforeAutospacing="0" w:after="0" w:afterAutospacing="0" w:line="600" w:lineRule="exact"/>
              <w:ind w:left="0" w:right="0"/>
              <w:rPr>
                <w:rFonts w:hint="default" w:ascii="仿宋" w:hAnsi="仿宋" w:eastAsia="仿宋" w:cs="仿宋"/>
                <w:color w:val="auto"/>
                <w:sz w:val="22"/>
                <w:szCs w:val="22"/>
                <w:highlight w:val="none"/>
              </w:rPr>
            </w:pPr>
            <w:r>
              <w:rPr>
                <w:rFonts w:hint="eastAsia" w:ascii="仿宋" w:hAnsi="仿宋" w:eastAsia="仿宋" w:cs="仿宋"/>
                <w:color w:val="auto"/>
                <w:sz w:val="22"/>
                <w:szCs w:val="22"/>
                <w:highlight w:val="none"/>
              </w:rPr>
              <w:t>4）价格分计算：按照以下公式计算，并精确到小数点后两位：</w:t>
            </w:r>
          </w:p>
          <w:p w14:paraId="3571454F">
            <w:pPr>
              <w:keepNext w:val="0"/>
              <w:keepLines w:val="0"/>
              <w:pageBreakBefore w:val="0"/>
              <w:suppressLineNumbers w:val="0"/>
              <w:kinsoku/>
              <w:overflowPunct/>
              <w:bidi w:val="0"/>
              <w:spacing w:before="0" w:beforeAutospacing="0" w:after="0" w:afterAutospacing="0" w:line="600" w:lineRule="exact"/>
              <w:ind w:left="0" w:right="0"/>
              <w:rPr>
                <w:rFonts w:hint="default" w:ascii="仿宋" w:hAnsi="仿宋" w:eastAsia="仿宋" w:cs="仿宋"/>
                <w:color w:val="auto"/>
                <w:sz w:val="22"/>
                <w:szCs w:val="22"/>
                <w:highlight w:val="none"/>
              </w:rPr>
            </w:pPr>
            <w:r>
              <w:rPr>
                <w:rFonts w:hint="eastAsia" w:ascii="仿宋" w:hAnsi="仿宋" w:eastAsia="仿宋" w:cs="仿宋"/>
                <w:color w:val="auto"/>
                <w:sz w:val="22"/>
                <w:szCs w:val="22"/>
                <w:highlight w:val="none"/>
              </w:rPr>
              <w:t>5）价格得分=(1-A*│1－该投标人的评标价／评标基准价│)*</w:t>
            </w:r>
            <w:r>
              <w:rPr>
                <w:rFonts w:hint="eastAsia" w:ascii="仿宋" w:hAnsi="仿宋" w:eastAsia="仿宋" w:cs="仿宋"/>
                <w:color w:val="auto"/>
                <w:sz w:val="22"/>
                <w:szCs w:val="22"/>
                <w:highlight w:val="none"/>
                <w:lang w:val="en-US" w:eastAsia="zh-CN"/>
              </w:rPr>
              <w:t>5</w:t>
            </w:r>
            <w:r>
              <w:rPr>
                <w:rFonts w:hint="eastAsia" w:ascii="仿宋" w:hAnsi="仿宋" w:eastAsia="仿宋" w:cs="仿宋"/>
                <w:color w:val="auto"/>
                <w:sz w:val="22"/>
                <w:szCs w:val="22"/>
                <w:highlight w:val="none"/>
              </w:rPr>
              <w:t xml:space="preserve">0； </w:t>
            </w:r>
          </w:p>
          <w:p w14:paraId="47FF6B28">
            <w:pPr>
              <w:keepNext w:val="0"/>
              <w:keepLines w:val="0"/>
              <w:pageBreakBefore w:val="0"/>
              <w:suppressLineNumbers w:val="0"/>
              <w:kinsoku/>
              <w:overflowPunct/>
              <w:bidi w:val="0"/>
              <w:spacing w:before="0" w:beforeAutospacing="0" w:after="0" w:afterAutospacing="0" w:line="600" w:lineRule="exact"/>
              <w:ind w:left="0" w:right="0"/>
              <w:rPr>
                <w:rFonts w:hint="default" w:ascii="仿宋" w:hAnsi="仿宋" w:eastAsia="仿宋" w:cs="仿宋"/>
                <w:color w:val="auto"/>
                <w:sz w:val="22"/>
                <w:szCs w:val="22"/>
                <w:highlight w:val="none"/>
              </w:rPr>
            </w:pPr>
            <w:r>
              <w:rPr>
                <w:rFonts w:hint="eastAsia" w:ascii="仿宋" w:hAnsi="仿宋" w:eastAsia="仿宋" w:cs="仿宋"/>
                <w:color w:val="auto"/>
                <w:sz w:val="22"/>
                <w:szCs w:val="22"/>
                <w:highlight w:val="none"/>
              </w:rPr>
              <w:t>A：价格调整系数，当该投标人的评标价低于评标基准价时，A=0.</w:t>
            </w:r>
            <w:r>
              <w:rPr>
                <w:rFonts w:hint="eastAsia" w:ascii="仿宋" w:hAnsi="仿宋" w:eastAsia="仿宋" w:cs="仿宋"/>
                <w:color w:val="auto"/>
                <w:sz w:val="22"/>
                <w:szCs w:val="22"/>
                <w:highlight w:val="none"/>
                <w:lang w:val="en-US" w:eastAsia="zh-CN"/>
              </w:rPr>
              <w:t>5</w:t>
            </w:r>
            <w:r>
              <w:rPr>
                <w:rFonts w:hint="eastAsia" w:ascii="仿宋" w:hAnsi="仿宋" w:eastAsia="仿宋" w:cs="仿宋"/>
                <w:color w:val="auto"/>
                <w:sz w:val="22"/>
                <w:szCs w:val="22"/>
                <w:highlight w:val="none"/>
              </w:rPr>
              <w:t>；当该投标人的评标价高于评标基准价时，A=1；当价格得分&lt;0时，取0。</w:t>
            </w:r>
          </w:p>
          <w:p w14:paraId="51C87024">
            <w:pPr>
              <w:pStyle w:val="19"/>
              <w:keepNext w:val="0"/>
              <w:keepLines w:val="0"/>
              <w:pageBreakBefore w:val="0"/>
              <w:suppressLineNumbers w:val="0"/>
              <w:kinsoku/>
              <w:overflowPunct/>
              <w:bidi w:val="0"/>
              <w:spacing w:before="0" w:beforeAutospacing="0" w:after="0" w:afterAutospacing="0" w:line="600" w:lineRule="exact"/>
              <w:ind w:left="8500" w:right="0"/>
              <w:rPr>
                <w:rFonts w:hint="default" w:ascii="仿宋" w:hAnsi="仿宋" w:eastAsia="仿宋" w:cs="仿宋"/>
                <w:color w:val="auto"/>
                <w:szCs w:val="20"/>
                <w:highlight w:val="none"/>
              </w:rPr>
            </w:pPr>
          </w:p>
        </w:tc>
      </w:tr>
      <w:tr w14:paraId="3CFA90B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2873" w:hRule="atLeast"/>
          <w:jc w:val="center"/>
        </w:trPr>
        <w:tc>
          <w:tcPr>
            <w:tcW w:w="1221" w:type="dxa"/>
            <w:vMerge w:val="restart"/>
            <w:tcBorders>
              <w:top w:val="single" w:color="auto" w:sz="4" w:space="0"/>
              <w:right w:val="single" w:color="000000" w:sz="4" w:space="0"/>
            </w:tcBorders>
            <w:noWrap/>
            <w:tcMar>
              <w:top w:w="15" w:type="dxa"/>
              <w:left w:w="15" w:type="dxa"/>
              <w:right w:w="15" w:type="dxa"/>
            </w:tcMar>
            <w:vAlign w:val="center"/>
          </w:tcPr>
          <w:p w14:paraId="10235538">
            <w:pPr>
              <w:keepNext w:val="0"/>
              <w:keepLines w:val="0"/>
              <w:pageBreakBefore w:val="0"/>
              <w:suppressLineNumbers w:val="0"/>
              <w:kinsoku/>
              <w:overflowPunct/>
              <w:bidi w:val="0"/>
              <w:spacing w:before="0" w:beforeAutospacing="0" w:after="0" w:afterAutospacing="0" w:line="600" w:lineRule="exact"/>
              <w:ind w:left="0" w:right="0"/>
              <w:jc w:val="center"/>
              <w:textAlignment w:val="center"/>
              <w:rPr>
                <w:rFonts w:hint="default" w:ascii="仿宋" w:hAnsi="仿宋" w:eastAsia="仿宋" w:cs="仿宋"/>
                <w:color w:val="auto"/>
                <w:sz w:val="22"/>
                <w:szCs w:val="22"/>
                <w:highlight w:val="none"/>
              </w:rPr>
            </w:pPr>
            <w:bookmarkStart w:id="616" w:name="_Toc18545"/>
            <w:bookmarkStart w:id="617" w:name="_Toc109124309"/>
            <w:bookmarkStart w:id="618" w:name="_Toc65682984"/>
            <w:bookmarkStart w:id="619" w:name="_Toc2188"/>
            <w:r>
              <w:rPr>
                <w:rFonts w:hint="eastAsia" w:ascii="仿宋" w:hAnsi="仿宋" w:eastAsia="仿宋" w:cs="仿宋"/>
                <w:color w:val="auto"/>
                <w:sz w:val="22"/>
                <w:szCs w:val="22"/>
                <w:highlight w:val="none"/>
              </w:rPr>
              <w:t>商务</w:t>
            </w:r>
            <w:r>
              <w:rPr>
                <w:rFonts w:hint="eastAsia" w:ascii="仿宋" w:hAnsi="仿宋" w:eastAsia="仿宋" w:cs="仿宋"/>
                <w:color w:val="auto"/>
                <w:sz w:val="22"/>
                <w:szCs w:val="22"/>
                <w:highlight w:val="none"/>
                <w:lang w:val="en-US" w:eastAsia="zh-CN"/>
              </w:rPr>
              <w:t>标</w:t>
            </w:r>
            <w:r>
              <w:rPr>
                <w:rFonts w:hint="eastAsia" w:ascii="仿宋" w:hAnsi="仿宋" w:eastAsia="仿宋" w:cs="仿宋"/>
                <w:color w:val="auto"/>
                <w:sz w:val="22"/>
                <w:szCs w:val="22"/>
                <w:highlight w:val="none"/>
              </w:rPr>
              <w:t>（</w:t>
            </w:r>
            <w:r>
              <w:rPr>
                <w:rFonts w:hint="eastAsia" w:ascii="仿宋" w:hAnsi="仿宋" w:eastAsia="仿宋" w:cs="仿宋"/>
                <w:color w:val="auto"/>
                <w:sz w:val="22"/>
                <w:szCs w:val="22"/>
                <w:highlight w:val="none"/>
                <w:lang w:val="en-US" w:eastAsia="zh-CN"/>
              </w:rPr>
              <w:t>1</w:t>
            </w:r>
            <w:r>
              <w:rPr>
                <w:rFonts w:hint="eastAsia" w:ascii="仿宋" w:hAnsi="仿宋" w:eastAsia="仿宋" w:cs="仿宋"/>
                <w:color w:val="auto"/>
                <w:sz w:val="22"/>
                <w:szCs w:val="22"/>
                <w:highlight w:val="none"/>
              </w:rPr>
              <w:t>0分）</w:t>
            </w:r>
          </w:p>
        </w:tc>
        <w:tc>
          <w:tcPr>
            <w:tcW w:w="1408" w:type="dxa"/>
            <w:tcBorders>
              <w:left w:val="nil"/>
              <w:bottom w:val="single" w:color="000000" w:sz="8" w:space="0"/>
              <w:right w:val="single" w:color="000000" w:sz="8" w:space="0"/>
            </w:tcBorders>
            <w:noWrap/>
            <w:tcMar>
              <w:top w:w="15" w:type="dxa"/>
              <w:left w:w="15" w:type="dxa"/>
              <w:right w:w="15" w:type="dxa"/>
            </w:tcMar>
            <w:vAlign w:val="center"/>
          </w:tcPr>
          <w:p w14:paraId="1E886C35">
            <w:pPr>
              <w:keepNext w:val="0"/>
              <w:keepLines w:val="0"/>
              <w:pageBreakBefore w:val="0"/>
              <w:widowControl/>
              <w:suppressLineNumbers w:val="0"/>
              <w:kinsoku/>
              <w:overflowPunct/>
              <w:bidi w:val="0"/>
              <w:spacing w:before="0" w:beforeAutospacing="0" w:after="0" w:afterAutospacing="0" w:line="600" w:lineRule="exact"/>
              <w:ind w:left="0" w:right="0"/>
              <w:jc w:val="center"/>
              <w:textAlignment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综合实力</w:t>
            </w:r>
          </w:p>
        </w:tc>
        <w:tc>
          <w:tcPr>
            <w:tcW w:w="6324" w:type="dxa"/>
            <w:gridSpan w:val="4"/>
            <w:tcBorders>
              <w:left w:val="single" w:color="000000" w:sz="8" w:space="0"/>
              <w:bottom w:val="single" w:color="000000" w:sz="8" w:space="0"/>
              <w:right w:val="single" w:color="000000" w:sz="8" w:space="0"/>
            </w:tcBorders>
            <w:noWrap/>
            <w:tcMar>
              <w:top w:w="15" w:type="dxa"/>
              <w:left w:w="15" w:type="dxa"/>
              <w:right w:w="15" w:type="dxa"/>
            </w:tcMar>
            <w:vAlign w:val="center"/>
          </w:tcPr>
          <w:p w14:paraId="11163BD7">
            <w:pPr>
              <w:keepNext w:val="0"/>
              <w:keepLines w:val="0"/>
              <w:pageBreakBefore w:val="0"/>
              <w:widowControl/>
              <w:suppressLineNumbers w:val="0"/>
              <w:kinsoku/>
              <w:overflowPunct/>
              <w:bidi w:val="0"/>
              <w:spacing w:before="0" w:beforeAutospacing="0" w:after="0" w:afterAutospacing="0" w:line="600" w:lineRule="exact"/>
              <w:ind w:left="0" w:right="0"/>
              <w:textAlignment w:val="center"/>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在投标人范围内，横向比较。</w:t>
            </w:r>
          </w:p>
          <w:p w14:paraId="5FEB0A9E">
            <w:pPr>
              <w:keepNext w:val="0"/>
              <w:keepLines w:val="0"/>
              <w:pageBreakBefore w:val="0"/>
              <w:widowControl/>
              <w:suppressLineNumbers w:val="0"/>
              <w:kinsoku/>
              <w:overflowPunct/>
              <w:bidi w:val="0"/>
              <w:spacing w:before="0" w:beforeAutospacing="0" w:after="0" w:afterAutospacing="0" w:line="600" w:lineRule="exact"/>
              <w:ind w:left="0" w:right="0"/>
              <w:textAlignment w:val="center"/>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优（3-4分）：需提供相应证明材料，近三年财务报表显示营收稳定增长、负债率合理，同时良好信用记录（无失信/违约记录）及与项目匹配的经营规模。</w:t>
            </w:r>
          </w:p>
          <w:p w14:paraId="00065136">
            <w:pPr>
              <w:keepNext w:val="0"/>
              <w:keepLines w:val="0"/>
              <w:pageBreakBefore w:val="0"/>
              <w:widowControl/>
              <w:suppressLineNumbers w:val="0"/>
              <w:kinsoku/>
              <w:overflowPunct/>
              <w:bidi w:val="0"/>
              <w:spacing w:before="0" w:beforeAutospacing="0" w:after="0" w:afterAutospacing="0" w:line="600" w:lineRule="exact"/>
              <w:ind w:left="0" w:right="0"/>
              <w:textAlignment w:val="center"/>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良好（1-2分）：具备行业基础资质，经营规模和财务状况可支撑本项目正常履约，近三年财务数据无重大亏损、负债率处于合理区间。</w:t>
            </w:r>
          </w:p>
          <w:p w14:paraId="0A602EE9">
            <w:pPr>
              <w:keepNext w:val="0"/>
              <w:keepLines w:val="0"/>
              <w:pageBreakBefore w:val="0"/>
              <w:widowControl/>
              <w:suppressLineNumbers w:val="0"/>
              <w:kinsoku/>
              <w:overflowPunct/>
              <w:bidi w:val="0"/>
              <w:spacing w:before="0" w:beforeAutospacing="0" w:after="0" w:afterAutospacing="0" w:line="600" w:lineRule="exact"/>
              <w:ind w:left="0" w:right="0"/>
              <w:textAlignment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val="en-US" w:eastAsia="zh-CN"/>
              </w:rPr>
              <w:t xml:space="preserve"> 一般（0-1分）：仅具备部分基础资质或资质不全，经营规模较小、难以完全匹配项目需求，或近三年财务报表存在亏损记录、负债率过高，无法充分证明履约能力。</w:t>
            </w:r>
          </w:p>
        </w:tc>
        <w:tc>
          <w:tcPr>
            <w:tcW w:w="1484" w:type="dxa"/>
            <w:tcBorders>
              <w:left w:val="single" w:color="000000" w:sz="8" w:space="0"/>
              <w:bottom w:val="single" w:color="000000" w:sz="8" w:space="0"/>
            </w:tcBorders>
            <w:noWrap/>
            <w:tcMar>
              <w:top w:w="15" w:type="dxa"/>
              <w:left w:w="15" w:type="dxa"/>
              <w:right w:w="15" w:type="dxa"/>
            </w:tcMar>
            <w:vAlign w:val="center"/>
          </w:tcPr>
          <w:p w14:paraId="41F0299A">
            <w:pPr>
              <w:keepNext w:val="0"/>
              <w:keepLines w:val="0"/>
              <w:pageBreakBefore w:val="0"/>
              <w:widowControl/>
              <w:suppressLineNumbers w:val="0"/>
              <w:kinsoku/>
              <w:overflowPunct/>
              <w:bidi w:val="0"/>
              <w:spacing w:before="0" w:beforeAutospacing="0" w:after="0" w:afterAutospacing="0" w:line="600" w:lineRule="exact"/>
              <w:ind w:left="0" w:right="0"/>
              <w:jc w:val="center"/>
              <w:textAlignment w:val="center"/>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val="en-US" w:eastAsia="zh-CN"/>
              </w:rPr>
              <w:t>4</w:t>
            </w:r>
          </w:p>
        </w:tc>
      </w:tr>
      <w:tr w14:paraId="7C5DDCD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1458" w:hRule="atLeast"/>
          <w:jc w:val="center"/>
        </w:trPr>
        <w:tc>
          <w:tcPr>
            <w:tcW w:w="1221" w:type="dxa"/>
            <w:vMerge w:val="continue"/>
            <w:tcBorders>
              <w:right w:val="single" w:color="000000" w:sz="4" w:space="0"/>
            </w:tcBorders>
            <w:noWrap/>
            <w:tcMar>
              <w:top w:w="15" w:type="dxa"/>
              <w:left w:w="15" w:type="dxa"/>
              <w:right w:w="15" w:type="dxa"/>
            </w:tcMar>
            <w:vAlign w:val="center"/>
          </w:tcPr>
          <w:p w14:paraId="6BF5AB4A">
            <w:pPr>
              <w:keepNext w:val="0"/>
              <w:keepLines w:val="0"/>
              <w:pageBreakBefore w:val="0"/>
              <w:suppressLineNumbers w:val="0"/>
              <w:kinsoku/>
              <w:overflowPunct/>
              <w:bidi w:val="0"/>
              <w:spacing w:before="0" w:beforeAutospacing="0" w:after="0" w:afterAutospacing="0" w:line="600" w:lineRule="exact"/>
              <w:ind w:left="0" w:right="0"/>
              <w:jc w:val="center"/>
              <w:textAlignment w:val="center"/>
              <w:rPr>
                <w:rFonts w:hint="default" w:ascii="仿宋" w:hAnsi="仿宋" w:eastAsia="仿宋" w:cs="仿宋"/>
                <w:color w:val="auto"/>
                <w:sz w:val="22"/>
                <w:szCs w:val="22"/>
                <w:highlight w:val="none"/>
              </w:rPr>
            </w:pPr>
          </w:p>
        </w:tc>
        <w:tc>
          <w:tcPr>
            <w:tcW w:w="1408" w:type="dxa"/>
            <w:tcBorders>
              <w:left w:val="nil"/>
              <w:bottom w:val="single" w:color="000000" w:sz="8" w:space="0"/>
              <w:right w:val="single" w:color="000000" w:sz="8" w:space="0"/>
            </w:tcBorders>
            <w:noWrap/>
            <w:tcMar>
              <w:top w:w="15" w:type="dxa"/>
              <w:left w:w="15" w:type="dxa"/>
              <w:right w:w="15" w:type="dxa"/>
            </w:tcMar>
            <w:vAlign w:val="center"/>
          </w:tcPr>
          <w:p w14:paraId="6C350A61">
            <w:pPr>
              <w:keepNext w:val="0"/>
              <w:keepLines w:val="0"/>
              <w:pageBreakBefore w:val="0"/>
              <w:widowControl/>
              <w:suppressLineNumbers w:val="0"/>
              <w:kinsoku/>
              <w:overflowPunct/>
              <w:bidi w:val="0"/>
              <w:spacing w:before="0" w:beforeAutospacing="0" w:after="0" w:afterAutospacing="0" w:line="600" w:lineRule="exact"/>
              <w:ind w:left="0" w:right="0"/>
              <w:jc w:val="center"/>
              <w:textAlignment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类似业绩</w:t>
            </w:r>
          </w:p>
        </w:tc>
        <w:tc>
          <w:tcPr>
            <w:tcW w:w="6324" w:type="dxa"/>
            <w:gridSpan w:val="4"/>
            <w:tcBorders>
              <w:left w:val="single" w:color="000000" w:sz="8" w:space="0"/>
              <w:bottom w:val="single" w:color="000000" w:sz="8" w:space="0"/>
              <w:right w:val="single" w:color="000000" w:sz="8" w:space="0"/>
            </w:tcBorders>
            <w:noWrap/>
            <w:tcMar>
              <w:top w:w="15" w:type="dxa"/>
              <w:left w:w="15" w:type="dxa"/>
              <w:right w:w="15" w:type="dxa"/>
            </w:tcMar>
            <w:vAlign w:val="center"/>
          </w:tcPr>
          <w:p w14:paraId="03B92904">
            <w:pPr>
              <w:keepNext w:val="0"/>
              <w:keepLines w:val="0"/>
              <w:pageBreakBefore w:val="0"/>
              <w:widowControl/>
              <w:suppressLineNumbers w:val="0"/>
              <w:kinsoku/>
              <w:overflowPunct/>
              <w:bidi w:val="0"/>
              <w:spacing w:before="0" w:beforeAutospacing="0" w:after="0" w:afterAutospacing="0" w:line="600" w:lineRule="exact"/>
              <w:ind w:left="0" w:right="0"/>
              <w:textAlignment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val="en-US" w:eastAsia="zh-CN"/>
              </w:rPr>
              <w:t>近三年类似项目的实施情况，提供1个近二年（合同签订时间为准）与本项目规模、业态相似的成功案例得2分；在此基础上每增加1个案例得1分，最高得14分。案例需满足：项目金额不低于本次招标的60%，且有完整的验收报告或业主好评证明。合同关键页（含项目金额、服务内容）</w:t>
            </w:r>
          </w:p>
        </w:tc>
        <w:tc>
          <w:tcPr>
            <w:tcW w:w="1484" w:type="dxa"/>
            <w:tcBorders>
              <w:left w:val="single" w:color="000000" w:sz="8" w:space="0"/>
              <w:bottom w:val="single" w:color="000000" w:sz="8" w:space="0"/>
            </w:tcBorders>
            <w:noWrap/>
            <w:tcMar>
              <w:top w:w="15" w:type="dxa"/>
              <w:left w:w="15" w:type="dxa"/>
              <w:right w:w="15" w:type="dxa"/>
            </w:tcMar>
            <w:vAlign w:val="center"/>
          </w:tcPr>
          <w:p w14:paraId="455421BD">
            <w:pPr>
              <w:keepNext w:val="0"/>
              <w:keepLines w:val="0"/>
              <w:pageBreakBefore w:val="0"/>
              <w:widowControl/>
              <w:suppressLineNumbers w:val="0"/>
              <w:kinsoku/>
              <w:overflowPunct/>
              <w:bidi w:val="0"/>
              <w:spacing w:before="0" w:beforeAutospacing="0" w:after="0" w:afterAutospacing="0" w:line="600" w:lineRule="exact"/>
              <w:ind w:left="0" w:right="0"/>
              <w:jc w:val="center"/>
              <w:textAlignment w:val="center"/>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val="en-US" w:eastAsia="zh-CN"/>
              </w:rPr>
              <w:t>4</w:t>
            </w:r>
          </w:p>
        </w:tc>
      </w:tr>
      <w:tr w14:paraId="6EA5479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2399" w:hRule="atLeast"/>
          <w:jc w:val="center"/>
        </w:trPr>
        <w:tc>
          <w:tcPr>
            <w:tcW w:w="1221" w:type="dxa"/>
            <w:vMerge w:val="continue"/>
            <w:tcBorders>
              <w:right w:val="single" w:color="000000" w:sz="4" w:space="0"/>
            </w:tcBorders>
            <w:noWrap/>
            <w:tcMar>
              <w:top w:w="15" w:type="dxa"/>
              <w:left w:w="15" w:type="dxa"/>
              <w:right w:w="15" w:type="dxa"/>
            </w:tcMar>
            <w:vAlign w:val="center"/>
          </w:tcPr>
          <w:p w14:paraId="79A5C20D">
            <w:pPr>
              <w:keepNext w:val="0"/>
              <w:keepLines w:val="0"/>
              <w:pageBreakBefore w:val="0"/>
              <w:suppressLineNumbers w:val="0"/>
              <w:kinsoku/>
              <w:overflowPunct/>
              <w:bidi w:val="0"/>
              <w:spacing w:before="0" w:beforeAutospacing="0" w:after="0" w:afterAutospacing="0" w:line="600" w:lineRule="exact"/>
              <w:ind w:left="0" w:right="0"/>
              <w:jc w:val="center"/>
              <w:textAlignment w:val="center"/>
              <w:rPr>
                <w:rFonts w:hint="default" w:ascii="仿宋" w:hAnsi="仿宋" w:eastAsia="仿宋" w:cs="仿宋"/>
                <w:color w:val="auto"/>
                <w:sz w:val="22"/>
                <w:szCs w:val="22"/>
                <w:highlight w:val="none"/>
              </w:rPr>
            </w:pPr>
          </w:p>
        </w:tc>
        <w:tc>
          <w:tcPr>
            <w:tcW w:w="1408" w:type="dxa"/>
            <w:tcBorders>
              <w:left w:val="nil"/>
              <w:bottom w:val="single" w:color="000000" w:sz="8" w:space="0"/>
              <w:right w:val="single" w:color="000000" w:sz="8" w:space="0"/>
            </w:tcBorders>
            <w:noWrap/>
            <w:tcMar>
              <w:top w:w="15" w:type="dxa"/>
              <w:left w:w="15" w:type="dxa"/>
              <w:right w:w="15" w:type="dxa"/>
            </w:tcMar>
            <w:vAlign w:val="center"/>
          </w:tcPr>
          <w:p w14:paraId="71B47FBB">
            <w:pPr>
              <w:keepNext w:val="0"/>
              <w:keepLines w:val="0"/>
              <w:pageBreakBefore w:val="0"/>
              <w:widowControl/>
              <w:suppressLineNumbers w:val="0"/>
              <w:kinsoku/>
              <w:overflowPunct/>
              <w:bidi w:val="0"/>
              <w:spacing w:before="0" w:beforeAutospacing="0" w:after="0" w:afterAutospacing="0" w:line="600" w:lineRule="exact"/>
              <w:ind w:left="0" w:right="0"/>
              <w:jc w:val="center"/>
              <w:textAlignment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商务条款响应与服务承诺</w:t>
            </w:r>
          </w:p>
        </w:tc>
        <w:tc>
          <w:tcPr>
            <w:tcW w:w="6324" w:type="dxa"/>
            <w:gridSpan w:val="4"/>
            <w:tcBorders>
              <w:left w:val="single" w:color="000000" w:sz="8" w:space="0"/>
              <w:bottom w:val="single" w:color="000000" w:sz="8" w:space="0"/>
              <w:right w:val="single" w:color="000000" w:sz="8" w:space="0"/>
            </w:tcBorders>
            <w:noWrap/>
            <w:tcMar>
              <w:top w:w="15" w:type="dxa"/>
              <w:left w:w="15" w:type="dxa"/>
              <w:right w:w="15" w:type="dxa"/>
            </w:tcMar>
            <w:vAlign w:val="center"/>
          </w:tcPr>
          <w:p w14:paraId="6FBAE603">
            <w:pPr>
              <w:keepNext w:val="0"/>
              <w:keepLines w:val="0"/>
              <w:pageBreakBefore w:val="0"/>
              <w:widowControl/>
              <w:suppressLineNumbers w:val="0"/>
              <w:kinsoku/>
              <w:overflowPunct/>
              <w:bidi w:val="0"/>
              <w:spacing w:before="0" w:beforeAutospacing="0" w:after="0" w:afterAutospacing="0" w:line="600" w:lineRule="exact"/>
              <w:ind w:left="0" w:right="0"/>
              <w:textAlignment w:val="center"/>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在投标人范围内，横向比较。</w:t>
            </w:r>
          </w:p>
          <w:p w14:paraId="2FA77000">
            <w:pPr>
              <w:keepNext w:val="0"/>
              <w:keepLines w:val="0"/>
              <w:pageBreakBefore w:val="0"/>
              <w:widowControl/>
              <w:suppressLineNumbers w:val="0"/>
              <w:kinsoku/>
              <w:overflowPunct/>
              <w:bidi w:val="0"/>
              <w:spacing w:before="0" w:beforeAutospacing="0" w:after="0" w:afterAutospacing="0" w:line="600" w:lineRule="exact"/>
              <w:ind w:left="0" w:right="0"/>
              <w:textAlignment w:val="center"/>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1.对核心商务条款的响应及额外服务承诺 ，核心商务条款响应（2分）：对付款方式、交付周期、质保期等招标文件核心条款完全响应得2分，每有1项非关键条款偏离扣1分，关键条款偏离此项不得分。</w:t>
            </w:r>
          </w:p>
          <w:p w14:paraId="76919EAE">
            <w:pPr>
              <w:keepNext w:val="0"/>
              <w:keepLines w:val="0"/>
              <w:pageBreakBefore w:val="0"/>
              <w:widowControl/>
              <w:suppressLineNumbers w:val="0"/>
              <w:kinsoku/>
              <w:overflowPunct/>
              <w:bidi w:val="0"/>
              <w:spacing w:before="0" w:beforeAutospacing="0" w:after="0" w:afterAutospacing="0" w:line="600" w:lineRule="exact"/>
              <w:ind w:left="0" w:right="0"/>
              <w:textAlignment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val="en-US" w:eastAsia="zh-CN"/>
              </w:rPr>
              <w:t xml:space="preserve">2.额外服务承诺（0-1分）：提出有利于项目的额外服务，每有1项合理且有可操作性的承诺最高得1分。商务条款响应对照表、额外服务承诺说明文件 。       </w:t>
            </w:r>
          </w:p>
        </w:tc>
        <w:tc>
          <w:tcPr>
            <w:tcW w:w="1484" w:type="dxa"/>
            <w:tcBorders>
              <w:left w:val="single" w:color="000000" w:sz="8" w:space="0"/>
              <w:bottom w:val="single" w:color="000000" w:sz="8" w:space="0"/>
            </w:tcBorders>
            <w:noWrap/>
            <w:tcMar>
              <w:top w:w="15" w:type="dxa"/>
              <w:left w:w="15" w:type="dxa"/>
              <w:right w:w="15" w:type="dxa"/>
            </w:tcMar>
            <w:vAlign w:val="center"/>
          </w:tcPr>
          <w:p w14:paraId="6498EAF6">
            <w:pPr>
              <w:keepNext w:val="0"/>
              <w:keepLines w:val="0"/>
              <w:pageBreakBefore w:val="0"/>
              <w:widowControl/>
              <w:suppressLineNumbers w:val="0"/>
              <w:kinsoku/>
              <w:overflowPunct/>
              <w:bidi w:val="0"/>
              <w:spacing w:before="0" w:beforeAutospacing="0" w:after="0" w:afterAutospacing="0" w:line="600" w:lineRule="exact"/>
              <w:ind w:left="0" w:right="0"/>
              <w:jc w:val="center"/>
              <w:textAlignment w:val="center"/>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val="en-US" w:eastAsia="zh-CN"/>
              </w:rPr>
              <w:t>2</w:t>
            </w:r>
          </w:p>
        </w:tc>
      </w:tr>
      <w:tr w14:paraId="215D64A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874" w:hRule="atLeast"/>
          <w:jc w:val="center"/>
        </w:trPr>
        <w:tc>
          <w:tcPr>
            <w:tcW w:w="1221" w:type="dxa"/>
            <w:vMerge w:val="restart"/>
            <w:tcBorders>
              <w:top w:val="single" w:color="000000" w:sz="4" w:space="0"/>
              <w:right w:val="single" w:color="000000" w:sz="4" w:space="0"/>
            </w:tcBorders>
            <w:noWrap/>
            <w:tcMar>
              <w:top w:w="15" w:type="dxa"/>
              <w:left w:w="15" w:type="dxa"/>
              <w:right w:w="15" w:type="dxa"/>
            </w:tcMar>
            <w:vAlign w:val="center"/>
          </w:tcPr>
          <w:p w14:paraId="3FF3CFA5">
            <w:pPr>
              <w:keepNext w:val="0"/>
              <w:keepLines w:val="0"/>
              <w:pageBreakBefore w:val="0"/>
              <w:widowControl/>
              <w:suppressLineNumbers w:val="0"/>
              <w:kinsoku/>
              <w:overflowPunct/>
              <w:bidi w:val="0"/>
              <w:spacing w:before="0" w:beforeAutospacing="0" w:after="0" w:afterAutospacing="0" w:line="600" w:lineRule="exact"/>
              <w:ind w:left="0" w:right="0"/>
              <w:jc w:val="center"/>
              <w:textAlignment w:val="center"/>
              <w:rPr>
                <w:rFonts w:hint="default" w:ascii="仿宋" w:hAnsi="仿宋" w:eastAsia="仿宋" w:cs="仿宋"/>
                <w:color w:val="auto"/>
                <w:sz w:val="22"/>
                <w:szCs w:val="22"/>
                <w:highlight w:val="none"/>
              </w:rPr>
            </w:pPr>
            <w:r>
              <w:rPr>
                <w:rFonts w:hint="eastAsia" w:ascii="仿宋" w:hAnsi="仿宋" w:eastAsia="仿宋" w:cs="仿宋"/>
                <w:color w:val="auto"/>
                <w:sz w:val="22"/>
                <w:szCs w:val="22"/>
                <w:highlight w:val="none"/>
              </w:rPr>
              <w:t>技术</w:t>
            </w:r>
            <w:r>
              <w:rPr>
                <w:rFonts w:hint="eastAsia" w:ascii="仿宋" w:hAnsi="仿宋" w:eastAsia="仿宋" w:cs="仿宋"/>
                <w:color w:val="auto"/>
                <w:sz w:val="22"/>
                <w:szCs w:val="22"/>
                <w:highlight w:val="none"/>
                <w:lang w:val="en-US" w:eastAsia="zh-CN"/>
              </w:rPr>
              <w:t>标</w:t>
            </w:r>
            <w:r>
              <w:rPr>
                <w:rFonts w:hint="eastAsia" w:ascii="仿宋" w:hAnsi="仿宋" w:eastAsia="仿宋" w:cs="仿宋"/>
                <w:color w:val="auto"/>
                <w:sz w:val="22"/>
                <w:szCs w:val="22"/>
                <w:highlight w:val="none"/>
              </w:rPr>
              <w:t>（40分）</w:t>
            </w:r>
          </w:p>
        </w:tc>
        <w:tc>
          <w:tcPr>
            <w:tcW w:w="1408" w:type="dxa"/>
            <w:tcBorders>
              <w:top w:val="nil"/>
              <w:left w:val="nil"/>
              <w:bottom w:val="single" w:color="000000" w:sz="8" w:space="0"/>
              <w:right w:val="single" w:color="000000" w:sz="8" w:space="0"/>
            </w:tcBorders>
            <w:noWrap/>
            <w:tcMar>
              <w:top w:w="15" w:type="dxa"/>
              <w:left w:w="15" w:type="dxa"/>
              <w:right w:w="15" w:type="dxa"/>
            </w:tcMar>
            <w:vAlign w:val="center"/>
          </w:tcPr>
          <w:p w14:paraId="292E8271">
            <w:pPr>
              <w:keepNext w:val="0"/>
              <w:keepLines w:val="0"/>
              <w:pageBreakBefore w:val="0"/>
              <w:widowControl/>
              <w:suppressLineNumbers w:val="0"/>
              <w:kinsoku/>
              <w:overflowPunct/>
              <w:bidi w:val="0"/>
              <w:spacing w:before="0" w:beforeAutospacing="0" w:after="0" w:afterAutospacing="0" w:line="600" w:lineRule="exact"/>
              <w:ind w:left="0" w:right="0"/>
              <w:jc w:val="center"/>
              <w:textAlignment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施工总体方案及技术管控</w:t>
            </w:r>
          </w:p>
        </w:tc>
        <w:tc>
          <w:tcPr>
            <w:tcW w:w="6324" w:type="dxa"/>
            <w:gridSpan w:val="4"/>
            <w:tcBorders>
              <w:top w:val="nil"/>
              <w:left w:val="single" w:color="000000" w:sz="8" w:space="0"/>
              <w:bottom w:val="single" w:color="auto" w:sz="4" w:space="0"/>
              <w:right w:val="single" w:color="000000" w:sz="8" w:space="0"/>
            </w:tcBorders>
            <w:noWrap/>
            <w:tcMar>
              <w:top w:w="15" w:type="dxa"/>
              <w:left w:w="15" w:type="dxa"/>
              <w:right w:w="15" w:type="dxa"/>
            </w:tcMar>
            <w:vAlign w:val="center"/>
          </w:tcPr>
          <w:p w14:paraId="65B2F2B5">
            <w:pPr>
              <w:keepNext w:val="0"/>
              <w:keepLines w:val="0"/>
              <w:pageBreakBefore w:val="0"/>
              <w:widowControl/>
              <w:suppressLineNumbers w:val="0"/>
              <w:kinsoku/>
              <w:overflowPunct/>
              <w:bidi w:val="0"/>
              <w:spacing w:before="0" w:beforeAutospacing="0" w:after="0" w:afterAutospacing="0" w:line="600" w:lineRule="exact"/>
              <w:ind w:left="0" w:right="0"/>
              <w:textAlignment w:val="center"/>
              <w:rPr>
                <w:rFonts w:hint="default" w:ascii="仿宋" w:hAnsi="仿宋" w:eastAsia="仿宋" w:cs="仿宋"/>
                <w:color w:val="auto"/>
                <w:sz w:val="22"/>
                <w:szCs w:val="22"/>
                <w:highlight w:val="none"/>
              </w:rPr>
            </w:pPr>
            <w:r>
              <w:rPr>
                <w:rFonts w:hint="default" w:ascii="仿宋" w:hAnsi="仿宋" w:eastAsia="仿宋" w:cs="仿宋"/>
                <w:color w:val="auto"/>
                <w:sz w:val="22"/>
                <w:szCs w:val="22"/>
                <w:highlight w:val="none"/>
              </w:rPr>
              <w:t>方案完整、工艺贴合项目、进度计划逻辑清晰、平面布置规划合理，得8-10分；内容存在少量缺项、措施简略，得4-7分；方案空洞、关键内容缺失，得0-3分。</w:t>
            </w:r>
          </w:p>
        </w:tc>
        <w:tc>
          <w:tcPr>
            <w:tcW w:w="1484" w:type="dxa"/>
            <w:tcBorders>
              <w:top w:val="nil"/>
              <w:left w:val="single" w:color="000000" w:sz="8" w:space="0"/>
              <w:bottom w:val="single" w:color="000000" w:sz="8" w:space="0"/>
            </w:tcBorders>
            <w:noWrap/>
            <w:tcMar>
              <w:top w:w="15" w:type="dxa"/>
              <w:left w:w="15" w:type="dxa"/>
              <w:right w:w="15" w:type="dxa"/>
            </w:tcMar>
            <w:vAlign w:val="center"/>
          </w:tcPr>
          <w:p w14:paraId="11E79437">
            <w:pPr>
              <w:keepNext w:val="0"/>
              <w:keepLines w:val="0"/>
              <w:pageBreakBefore w:val="0"/>
              <w:widowControl/>
              <w:suppressLineNumbers w:val="0"/>
              <w:kinsoku/>
              <w:overflowPunct/>
              <w:bidi w:val="0"/>
              <w:spacing w:before="0" w:beforeAutospacing="0" w:after="0" w:afterAutospacing="0" w:line="600" w:lineRule="exact"/>
              <w:ind w:left="0" w:right="0"/>
              <w:jc w:val="center"/>
              <w:textAlignment w:val="center"/>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10</w:t>
            </w:r>
          </w:p>
        </w:tc>
      </w:tr>
      <w:tr w14:paraId="1FABE82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775" w:hRule="atLeast"/>
          <w:jc w:val="center"/>
        </w:trPr>
        <w:tc>
          <w:tcPr>
            <w:tcW w:w="1221" w:type="dxa"/>
            <w:vMerge w:val="continue"/>
            <w:tcBorders>
              <w:right w:val="single" w:color="000000" w:sz="4" w:space="0"/>
            </w:tcBorders>
            <w:noWrap/>
            <w:tcMar>
              <w:top w:w="15" w:type="dxa"/>
              <w:left w:w="15" w:type="dxa"/>
              <w:right w:w="15" w:type="dxa"/>
            </w:tcMar>
            <w:vAlign w:val="center"/>
          </w:tcPr>
          <w:p w14:paraId="246D8592">
            <w:pPr>
              <w:keepNext w:val="0"/>
              <w:keepLines w:val="0"/>
              <w:pageBreakBefore w:val="0"/>
              <w:suppressLineNumbers w:val="0"/>
              <w:kinsoku/>
              <w:overflowPunct/>
              <w:bidi w:val="0"/>
              <w:spacing w:before="0" w:beforeAutospacing="0" w:after="0" w:afterAutospacing="0" w:line="600" w:lineRule="exact"/>
              <w:ind w:left="0" w:right="0"/>
              <w:jc w:val="center"/>
              <w:rPr>
                <w:rFonts w:hint="default" w:ascii="仿宋" w:hAnsi="仿宋" w:eastAsia="仿宋" w:cs="仿宋"/>
                <w:color w:val="auto"/>
                <w:sz w:val="22"/>
                <w:szCs w:val="22"/>
                <w:highlight w:val="none"/>
              </w:rPr>
            </w:pPr>
          </w:p>
        </w:tc>
        <w:tc>
          <w:tcPr>
            <w:tcW w:w="1408" w:type="dxa"/>
            <w:tcBorders>
              <w:top w:val="nil"/>
              <w:left w:val="nil"/>
              <w:bottom w:val="single" w:color="000000" w:sz="8" w:space="0"/>
              <w:right w:val="single" w:color="auto" w:sz="4" w:space="0"/>
            </w:tcBorders>
            <w:noWrap/>
            <w:tcMar>
              <w:top w:w="15" w:type="dxa"/>
              <w:left w:w="15" w:type="dxa"/>
              <w:right w:w="15" w:type="dxa"/>
            </w:tcMar>
            <w:vAlign w:val="center"/>
          </w:tcPr>
          <w:p w14:paraId="683DF28B">
            <w:pPr>
              <w:keepNext w:val="0"/>
              <w:keepLines w:val="0"/>
              <w:pageBreakBefore w:val="0"/>
              <w:widowControl/>
              <w:suppressLineNumbers w:val="0"/>
              <w:kinsoku/>
              <w:overflowPunct/>
              <w:bidi w:val="0"/>
              <w:spacing w:before="0" w:beforeAutospacing="0" w:after="0" w:afterAutospacing="0" w:line="600" w:lineRule="exact"/>
              <w:ind w:left="0" w:right="0"/>
              <w:jc w:val="center"/>
              <w:textAlignment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质量保证措施与创优管理</w:t>
            </w:r>
          </w:p>
        </w:tc>
        <w:tc>
          <w:tcPr>
            <w:tcW w:w="6324" w:type="dxa"/>
            <w:gridSpan w:val="4"/>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5BCAE545">
            <w:pPr>
              <w:keepNext w:val="0"/>
              <w:keepLines w:val="0"/>
              <w:pageBreakBefore w:val="0"/>
              <w:widowControl/>
              <w:suppressLineNumbers w:val="0"/>
              <w:kinsoku/>
              <w:overflowPunct/>
              <w:bidi w:val="0"/>
              <w:spacing w:before="0" w:beforeAutospacing="0" w:after="0" w:afterAutospacing="0" w:line="600" w:lineRule="exact"/>
              <w:ind w:left="0" w:right="0"/>
              <w:textAlignment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质量管控流程完善、创优目标清晰、成品保护及保修细则完整可落地，得6-8分；措施简单、缺少部分管控节点，得3-5分；无完整质保、保修方案，得0-2分。</w:t>
            </w:r>
          </w:p>
        </w:tc>
        <w:tc>
          <w:tcPr>
            <w:tcW w:w="1484" w:type="dxa"/>
            <w:tcBorders>
              <w:top w:val="nil"/>
              <w:left w:val="single" w:color="auto" w:sz="4" w:space="0"/>
              <w:bottom w:val="single" w:color="000000" w:sz="8" w:space="0"/>
            </w:tcBorders>
            <w:noWrap/>
            <w:tcMar>
              <w:top w:w="15" w:type="dxa"/>
              <w:left w:w="15" w:type="dxa"/>
              <w:right w:w="15" w:type="dxa"/>
            </w:tcMar>
            <w:vAlign w:val="center"/>
          </w:tcPr>
          <w:p w14:paraId="3EB73BC4">
            <w:pPr>
              <w:keepNext w:val="0"/>
              <w:keepLines w:val="0"/>
              <w:pageBreakBefore w:val="0"/>
              <w:widowControl/>
              <w:suppressLineNumbers w:val="0"/>
              <w:kinsoku/>
              <w:overflowPunct/>
              <w:bidi w:val="0"/>
              <w:spacing w:before="0" w:beforeAutospacing="0" w:after="0" w:afterAutospacing="0" w:line="600" w:lineRule="exact"/>
              <w:ind w:left="0" w:right="0"/>
              <w:jc w:val="center"/>
              <w:textAlignment w:val="center"/>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val="en-US" w:eastAsia="zh-CN"/>
              </w:rPr>
              <w:t>8</w:t>
            </w:r>
          </w:p>
        </w:tc>
      </w:tr>
      <w:tr w14:paraId="7F7D5F9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78" w:hRule="atLeast"/>
          <w:jc w:val="center"/>
        </w:trPr>
        <w:tc>
          <w:tcPr>
            <w:tcW w:w="1221" w:type="dxa"/>
            <w:vMerge w:val="continue"/>
            <w:tcBorders>
              <w:right w:val="single" w:color="000000" w:sz="4" w:space="0"/>
            </w:tcBorders>
            <w:noWrap/>
            <w:tcMar>
              <w:top w:w="15" w:type="dxa"/>
              <w:left w:w="15" w:type="dxa"/>
              <w:right w:w="15" w:type="dxa"/>
            </w:tcMar>
            <w:vAlign w:val="center"/>
          </w:tcPr>
          <w:p w14:paraId="1107A7D4">
            <w:pPr>
              <w:keepNext w:val="0"/>
              <w:keepLines w:val="0"/>
              <w:pageBreakBefore w:val="0"/>
              <w:suppressLineNumbers w:val="0"/>
              <w:kinsoku/>
              <w:overflowPunct/>
              <w:bidi w:val="0"/>
              <w:spacing w:before="0" w:beforeAutospacing="0" w:after="0" w:afterAutospacing="0" w:line="600" w:lineRule="exact"/>
              <w:ind w:left="0" w:right="0"/>
              <w:jc w:val="center"/>
              <w:rPr>
                <w:rFonts w:hint="default" w:ascii="仿宋" w:hAnsi="仿宋" w:eastAsia="仿宋" w:cs="仿宋"/>
                <w:color w:val="auto"/>
                <w:sz w:val="22"/>
                <w:szCs w:val="22"/>
                <w:highlight w:val="none"/>
              </w:rPr>
            </w:pPr>
          </w:p>
        </w:tc>
        <w:tc>
          <w:tcPr>
            <w:tcW w:w="1408" w:type="dxa"/>
            <w:tcBorders>
              <w:top w:val="nil"/>
              <w:left w:val="nil"/>
              <w:bottom w:val="single" w:color="000000" w:sz="8" w:space="0"/>
              <w:right w:val="single" w:color="auto" w:sz="4" w:space="0"/>
            </w:tcBorders>
            <w:noWrap/>
            <w:tcMar>
              <w:top w:w="15" w:type="dxa"/>
              <w:left w:w="15" w:type="dxa"/>
              <w:right w:w="15" w:type="dxa"/>
            </w:tcMar>
            <w:vAlign w:val="center"/>
          </w:tcPr>
          <w:p w14:paraId="4899C165">
            <w:pPr>
              <w:keepNext w:val="0"/>
              <w:keepLines w:val="0"/>
              <w:pageBreakBefore w:val="0"/>
              <w:widowControl/>
              <w:suppressLineNumbers w:val="0"/>
              <w:kinsoku/>
              <w:overflowPunct/>
              <w:bidi w:val="0"/>
              <w:spacing w:before="0" w:beforeAutospacing="0" w:after="0" w:afterAutospacing="0" w:line="600" w:lineRule="exact"/>
              <w:ind w:left="0" w:right="0"/>
              <w:jc w:val="center"/>
              <w:textAlignment w:val="center"/>
              <w:rPr>
                <w:rFonts w:hint="default" w:ascii="仿宋" w:hAnsi="仿宋" w:eastAsia="仿宋" w:cs="仿宋"/>
                <w:color w:val="auto"/>
                <w:sz w:val="22"/>
                <w:szCs w:val="22"/>
                <w:highlight w:val="none"/>
              </w:rPr>
            </w:pPr>
            <w:r>
              <w:rPr>
                <w:rFonts w:hint="default" w:ascii="仿宋" w:hAnsi="仿宋" w:eastAsia="仿宋" w:cs="仿宋"/>
                <w:color w:val="auto"/>
                <w:sz w:val="22"/>
                <w:szCs w:val="22"/>
                <w:highlight w:val="none"/>
              </w:rPr>
              <w:t>安全、文明、环保及场地治安管理</w:t>
            </w:r>
          </w:p>
        </w:tc>
        <w:tc>
          <w:tcPr>
            <w:tcW w:w="6324" w:type="dxa"/>
            <w:gridSpan w:val="4"/>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478F7F79">
            <w:pPr>
              <w:keepNext w:val="0"/>
              <w:keepLines w:val="0"/>
              <w:pageBreakBefore w:val="0"/>
              <w:widowControl/>
              <w:suppressLineNumbers w:val="0"/>
              <w:kinsoku/>
              <w:overflowPunct/>
              <w:bidi w:val="0"/>
              <w:spacing w:before="0" w:beforeAutospacing="0" w:after="0" w:afterAutospacing="0" w:line="600" w:lineRule="exact"/>
              <w:ind w:left="0" w:right="0"/>
              <w:textAlignment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安全防护、文明施工、扬尘降噪、治安管理措施齐全细化，全覆盖现场各类场景，得6-8分；部分措施简略，存在管控漏洞，得3-5分；缺少多项专项管理计划，得0-2分。</w:t>
            </w:r>
          </w:p>
        </w:tc>
        <w:tc>
          <w:tcPr>
            <w:tcW w:w="1484" w:type="dxa"/>
            <w:tcBorders>
              <w:top w:val="nil"/>
              <w:left w:val="single" w:color="auto" w:sz="4" w:space="0"/>
              <w:bottom w:val="single" w:color="auto" w:sz="4" w:space="0"/>
            </w:tcBorders>
            <w:noWrap/>
            <w:tcMar>
              <w:top w:w="15" w:type="dxa"/>
              <w:left w:w="15" w:type="dxa"/>
              <w:right w:w="15" w:type="dxa"/>
            </w:tcMar>
            <w:vAlign w:val="center"/>
          </w:tcPr>
          <w:p w14:paraId="00EA6822">
            <w:pPr>
              <w:keepNext w:val="0"/>
              <w:keepLines w:val="0"/>
              <w:pageBreakBefore w:val="0"/>
              <w:widowControl/>
              <w:suppressLineNumbers w:val="0"/>
              <w:kinsoku/>
              <w:overflowPunct/>
              <w:bidi w:val="0"/>
              <w:spacing w:before="0" w:beforeAutospacing="0" w:after="0" w:afterAutospacing="0" w:line="600" w:lineRule="exact"/>
              <w:ind w:left="0" w:right="0"/>
              <w:jc w:val="center"/>
              <w:textAlignment w:val="center"/>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8</w:t>
            </w:r>
          </w:p>
        </w:tc>
      </w:tr>
      <w:tr w14:paraId="4A58A48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853" w:hRule="atLeast"/>
          <w:jc w:val="center"/>
        </w:trPr>
        <w:tc>
          <w:tcPr>
            <w:tcW w:w="1221" w:type="dxa"/>
            <w:vMerge w:val="continue"/>
            <w:tcBorders>
              <w:right w:val="single" w:color="000000" w:sz="4" w:space="0"/>
            </w:tcBorders>
            <w:noWrap/>
            <w:tcMar>
              <w:top w:w="15" w:type="dxa"/>
              <w:left w:w="15" w:type="dxa"/>
              <w:right w:w="15" w:type="dxa"/>
            </w:tcMar>
            <w:vAlign w:val="center"/>
          </w:tcPr>
          <w:p w14:paraId="43EF98B2">
            <w:pPr>
              <w:keepNext w:val="0"/>
              <w:keepLines w:val="0"/>
              <w:pageBreakBefore w:val="0"/>
              <w:suppressLineNumbers w:val="0"/>
              <w:kinsoku/>
              <w:overflowPunct/>
              <w:bidi w:val="0"/>
              <w:spacing w:before="0" w:beforeAutospacing="0" w:after="0" w:afterAutospacing="0" w:line="600" w:lineRule="exact"/>
              <w:ind w:left="0" w:right="0"/>
              <w:jc w:val="center"/>
              <w:rPr>
                <w:rFonts w:hint="default" w:ascii="仿宋" w:hAnsi="仿宋" w:eastAsia="仿宋" w:cs="仿宋"/>
                <w:color w:val="auto"/>
                <w:sz w:val="22"/>
                <w:szCs w:val="22"/>
                <w:highlight w:val="none"/>
              </w:rPr>
            </w:pPr>
          </w:p>
        </w:tc>
        <w:tc>
          <w:tcPr>
            <w:tcW w:w="1408" w:type="dxa"/>
            <w:tcBorders>
              <w:top w:val="nil"/>
              <w:left w:val="nil"/>
              <w:bottom w:val="nil"/>
              <w:right w:val="single" w:color="000000" w:sz="8" w:space="0"/>
            </w:tcBorders>
            <w:noWrap/>
            <w:tcMar>
              <w:top w:w="15" w:type="dxa"/>
              <w:left w:w="15" w:type="dxa"/>
              <w:right w:w="15" w:type="dxa"/>
            </w:tcMar>
            <w:vAlign w:val="center"/>
          </w:tcPr>
          <w:p w14:paraId="75FD33CF">
            <w:pPr>
              <w:keepNext w:val="0"/>
              <w:keepLines w:val="0"/>
              <w:pageBreakBefore w:val="0"/>
              <w:widowControl/>
              <w:suppressLineNumbers w:val="0"/>
              <w:kinsoku/>
              <w:overflowPunct/>
              <w:bidi w:val="0"/>
              <w:spacing w:before="0" w:beforeAutospacing="0" w:after="0" w:afterAutospacing="0" w:line="600" w:lineRule="exact"/>
              <w:ind w:left="0" w:right="0"/>
              <w:jc w:val="center"/>
              <w:textAlignment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突发事件应急与风险防控预案</w:t>
            </w:r>
          </w:p>
        </w:tc>
        <w:tc>
          <w:tcPr>
            <w:tcW w:w="6324" w:type="dxa"/>
            <w:gridSpan w:val="4"/>
            <w:tcBorders>
              <w:top w:val="single" w:color="auto" w:sz="4" w:space="0"/>
              <w:left w:val="single" w:color="000000" w:sz="8" w:space="0"/>
              <w:bottom w:val="single" w:color="auto" w:sz="4" w:space="0"/>
              <w:right w:val="single" w:color="auto" w:sz="4" w:space="0"/>
            </w:tcBorders>
            <w:noWrap/>
            <w:tcMar>
              <w:top w:w="15" w:type="dxa"/>
              <w:left w:w="15" w:type="dxa"/>
              <w:right w:w="15" w:type="dxa"/>
            </w:tcMar>
            <w:vAlign w:val="center"/>
          </w:tcPr>
          <w:p w14:paraId="6315A4B5">
            <w:pPr>
              <w:keepNext w:val="0"/>
              <w:keepLines w:val="0"/>
              <w:pageBreakBefore w:val="0"/>
              <w:widowControl/>
              <w:numPr>
                <w:ilvl w:val="0"/>
                <w:numId w:val="0"/>
              </w:numPr>
              <w:suppressLineNumbers w:val="0"/>
              <w:kinsoku/>
              <w:overflowPunct/>
              <w:bidi w:val="0"/>
              <w:spacing w:before="0" w:beforeAutospacing="0" w:after="0" w:afterAutospacing="0" w:line="600" w:lineRule="exact"/>
              <w:ind w:left="0" w:leftChars="0" w:right="0"/>
              <w:textAlignment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应急场景覆盖全面、处置流程清晰、物资人员保障齐全，预案可实操，得5-7分；预案内容单薄，缺少处置细节，得2-4分；无完整应急方案，得0-1分。</w:t>
            </w:r>
          </w:p>
        </w:tc>
        <w:tc>
          <w:tcPr>
            <w:tcW w:w="1484" w:type="dxa"/>
            <w:tcBorders>
              <w:top w:val="single" w:color="auto" w:sz="4" w:space="0"/>
              <w:left w:val="single" w:color="auto" w:sz="4" w:space="0"/>
              <w:bottom w:val="single" w:color="auto" w:sz="4" w:space="0"/>
            </w:tcBorders>
            <w:noWrap/>
            <w:tcMar>
              <w:top w:w="15" w:type="dxa"/>
              <w:left w:w="15" w:type="dxa"/>
              <w:right w:w="15" w:type="dxa"/>
            </w:tcMar>
            <w:vAlign w:val="center"/>
          </w:tcPr>
          <w:p w14:paraId="2C747A71">
            <w:pPr>
              <w:keepNext w:val="0"/>
              <w:keepLines w:val="0"/>
              <w:pageBreakBefore w:val="0"/>
              <w:widowControl/>
              <w:suppressLineNumbers w:val="0"/>
              <w:kinsoku/>
              <w:overflowPunct/>
              <w:bidi w:val="0"/>
              <w:spacing w:before="0" w:beforeAutospacing="0" w:after="0" w:afterAutospacing="0" w:line="600" w:lineRule="exact"/>
              <w:ind w:left="0" w:right="0"/>
              <w:jc w:val="center"/>
              <w:textAlignment w:val="center"/>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7</w:t>
            </w:r>
          </w:p>
        </w:tc>
      </w:tr>
      <w:tr w14:paraId="44E209A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853" w:hRule="atLeast"/>
          <w:jc w:val="center"/>
        </w:trPr>
        <w:tc>
          <w:tcPr>
            <w:tcW w:w="1221" w:type="dxa"/>
            <w:tcBorders>
              <w:right w:val="single" w:color="000000" w:sz="4" w:space="0"/>
            </w:tcBorders>
            <w:noWrap/>
            <w:tcMar>
              <w:top w:w="15" w:type="dxa"/>
              <w:left w:w="15" w:type="dxa"/>
              <w:right w:w="15" w:type="dxa"/>
            </w:tcMar>
            <w:vAlign w:val="center"/>
          </w:tcPr>
          <w:p w14:paraId="29F0939F">
            <w:pPr>
              <w:keepNext w:val="0"/>
              <w:keepLines w:val="0"/>
              <w:pageBreakBefore w:val="0"/>
              <w:suppressLineNumbers w:val="0"/>
              <w:kinsoku/>
              <w:overflowPunct/>
              <w:bidi w:val="0"/>
              <w:spacing w:before="0" w:beforeAutospacing="0" w:after="0" w:afterAutospacing="0" w:line="600" w:lineRule="exact"/>
              <w:ind w:left="0" w:right="0"/>
              <w:jc w:val="center"/>
              <w:rPr>
                <w:rFonts w:hint="default" w:ascii="仿宋" w:hAnsi="仿宋" w:eastAsia="仿宋" w:cs="仿宋"/>
                <w:color w:val="auto"/>
                <w:sz w:val="22"/>
                <w:szCs w:val="22"/>
                <w:highlight w:val="none"/>
              </w:rPr>
            </w:pPr>
          </w:p>
        </w:tc>
        <w:tc>
          <w:tcPr>
            <w:tcW w:w="1408" w:type="dxa"/>
            <w:tcBorders>
              <w:top w:val="nil"/>
              <w:left w:val="nil"/>
              <w:bottom w:val="single" w:color="auto" w:sz="4" w:space="0"/>
              <w:right w:val="single" w:color="000000" w:sz="8" w:space="0"/>
            </w:tcBorders>
            <w:noWrap/>
            <w:tcMar>
              <w:top w:w="15" w:type="dxa"/>
              <w:left w:w="15" w:type="dxa"/>
              <w:right w:w="15" w:type="dxa"/>
            </w:tcMar>
            <w:vAlign w:val="center"/>
          </w:tcPr>
          <w:p w14:paraId="3668A1A8">
            <w:pPr>
              <w:keepNext w:val="0"/>
              <w:keepLines w:val="0"/>
              <w:pageBreakBefore w:val="0"/>
              <w:widowControl/>
              <w:suppressLineNumbers w:val="0"/>
              <w:kinsoku/>
              <w:overflowPunct/>
              <w:bidi w:val="0"/>
              <w:spacing w:before="0" w:beforeAutospacing="0" w:after="0" w:afterAutospacing="0" w:line="600" w:lineRule="exact"/>
              <w:ind w:left="0" w:right="0"/>
              <w:jc w:val="center"/>
              <w:textAlignment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项目组织架构与总分包协调管理</w:t>
            </w:r>
          </w:p>
        </w:tc>
        <w:tc>
          <w:tcPr>
            <w:tcW w:w="6324" w:type="dxa"/>
            <w:gridSpan w:val="4"/>
            <w:tcBorders>
              <w:top w:val="single" w:color="auto" w:sz="4" w:space="0"/>
              <w:left w:val="single" w:color="000000" w:sz="8" w:space="0"/>
              <w:bottom w:val="single" w:color="auto" w:sz="4" w:space="0"/>
              <w:right w:val="single" w:color="auto" w:sz="4" w:space="0"/>
            </w:tcBorders>
            <w:noWrap/>
            <w:tcMar>
              <w:top w:w="15" w:type="dxa"/>
              <w:left w:w="15" w:type="dxa"/>
              <w:right w:w="15" w:type="dxa"/>
            </w:tcMar>
            <w:vAlign w:val="center"/>
          </w:tcPr>
          <w:p w14:paraId="6BCA6685">
            <w:pPr>
              <w:keepNext w:val="0"/>
              <w:keepLines w:val="0"/>
              <w:pageBreakBefore w:val="0"/>
              <w:widowControl/>
              <w:numPr>
                <w:ilvl w:val="0"/>
                <w:numId w:val="0"/>
              </w:numPr>
              <w:suppressLineNumbers w:val="0"/>
              <w:kinsoku/>
              <w:overflowPunct/>
              <w:bidi w:val="0"/>
              <w:spacing w:before="0" w:beforeAutospacing="0" w:after="0" w:afterAutospacing="0" w:line="600" w:lineRule="exact"/>
              <w:ind w:left="0" w:leftChars="0" w:right="0"/>
              <w:textAlignment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组织架构完整、岗位职责清晰、总分包协调机制完善，管理服务细则全面，得5-7分；架构简单、分包协调方案简略，得2-4分；无完整项目管理及分包配合方案，得0-1分。</w:t>
            </w:r>
          </w:p>
        </w:tc>
        <w:tc>
          <w:tcPr>
            <w:tcW w:w="1484" w:type="dxa"/>
            <w:tcBorders>
              <w:top w:val="single" w:color="auto" w:sz="4" w:space="0"/>
              <w:left w:val="single" w:color="auto" w:sz="4" w:space="0"/>
              <w:bottom w:val="single" w:color="auto" w:sz="4" w:space="0"/>
            </w:tcBorders>
            <w:noWrap/>
            <w:tcMar>
              <w:top w:w="15" w:type="dxa"/>
              <w:left w:w="15" w:type="dxa"/>
              <w:right w:w="15" w:type="dxa"/>
            </w:tcMar>
            <w:vAlign w:val="center"/>
          </w:tcPr>
          <w:p w14:paraId="57518E0E">
            <w:pPr>
              <w:keepNext w:val="0"/>
              <w:keepLines w:val="0"/>
              <w:pageBreakBefore w:val="0"/>
              <w:widowControl/>
              <w:suppressLineNumbers w:val="0"/>
              <w:kinsoku/>
              <w:overflowPunct/>
              <w:bidi w:val="0"/>
              <w:spacing w:before="0" w:beforeAutospacing="0" w:after="0" w:afterAutospacing="0" w:line="600" w:lineRule="exact"/>
              <w:ind w:left="0" w:right="0"/>
              <w:jc w:val="center"/>
              <w:textAlignment w:val="center"/>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7</w:t>
            </w:r>
          </w:p>
        </w:tc>
      </w:tr>
    </w:tbl>
    <w:p w14:paraId="754708D9">
      <w:pPr>
        <w:pStyle w:val="4"/>
        <w:pageBreakBefore w:val="0"/>
        <w:kinsoku/>
        <w:overflowPunct/>
        <w:bidi w:val="0"/>
        <w:spacing w:line="600" w:lineRule="exact"/>
        <w:ind w:firstLine="482" w:firstLineChars="200"/>
        <w:rPr>
          <w:rFonts w:hint="eastAsia" w:ascii="仿宋" w:hAnsi="仿宋" w:cs="宋体"/>
          <w:color w:val="auto"/>
          <w:szCs w:val="24"/>
          <w:highlight w:val="none"/>
        </w:rPr>
      </w:pPr>
      <w:r>
        <w:rPr>
          <w:rFonts w:hint="eastAsia" w:ascii="仿宋" w:hAnsi="仿宋" w:cs="宋体"/>
          <w:color w:val="auto"/>
          <w:szCs w:val="24"/>
          <w:highlight w:val="none"/>
        </w:rPr>
        <w:t>一、评标方法</w:t>
      </w:r>
      <w:bookmarkEnd w:id="616"/>
      <w:bookmarkEnd w:id="617"/>
      <w:bookmarkEnd w:id="618"/>
      <w:bookmarkEnd w:id="619"/>
    </w:p>
    <w:p w14:paraId="36890656">
      <w:pPr>
        <w:pageBreakBefore w:val="0"/>
        <w:kinsoku/>
        <w:overflowPunct/>
        <w:bidi w:val="0"/>
        <w:spacing w:line="600" w:lineRule="exact"/>
        <w:ind w:firstLine="480" w:firstLineChars="200"/>
        <w:textAlignment w:val="baseline"/>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本招标项目评标采用综合评分法。评标委员会对满足招标文件实质性要求的投标文件，按照本章第2.2款规定的评审因素和评审标准进行评分，并按照综合得分由高到低的顺序推荐中标候选人，或者根据招标人授权直接确定中标人，但投标报价低于成本的除外。</w:t>
      </w:r>
    </w:p>
    <w:p w14:paraId="466D361A">
      <w:pPr>
        <w:pStyle w:val="4"/>
        <w:pageBreakBefore w:val="0"/>
        <w:kinsoku/>
        <w:overflowPunct/>
        <w:bidi w:val="0"/>
        <w:spacing w:line="600" w:lineRule="exact"/>
        <w:ind w:firstLine="482" w:firstLineChars="200"/>
        <w:rPr>
          <w:rFonts w:hint="eastAsia" w:ascii="仿宋" w:hAnsi="仿宋" w:cs="宋体"/>
          <w:color w:val="auto"/>
          <w:szCs w:val="24"/>
          <w:highlight w:val="none"/>
        </w:rPr>
      </w:pPr>
      <w:bookmarkStart w:id="620" w:name="_Toc24853"/>
      <w:bookmarkStart w:id="621" w:name="_Toc109124310"/>
      <w:bookmarkStart w:id="622" w:name="_Toc65682985"/>
      <w:bookmarkStart w:id="623" w:name="_Toc11746"/>
      <w:r>
        <w:rPr>
          <w:rFonts w:hint="eastAsia" w:ascii="仿宋" w:hAnsi="仿宋" w:cs="宋体"/>
          <w:color w:val="auto"/>
          <w:szCs w:val="24"/>
          <w:highlight w:val="none"/>
        </w:rPr>
        <w:t>二、评审标准</w:t>
      </w:r>
      <w:bookmarkEnd w:id="620"/>
      <w:bookmarkEnd w:id="621"/>
      <w:bookmarkEnd w:id="622"/>
      <w:bookmarkEnd w:id="623"/>
    </w:p>
    <w:p w14:paraId="23B8FDDD">
      <w:pPr>
        <w:pageBreakBefore w:val="0"/>
        <w:kinsoku/>
        <w:overflowPunct/>
        <w:bidi w:val="0"/>
        <w:spacing w:line="600" w:lineRule="exact"/>
        <w:ind w:firstLine="480" w:firstLineChars="200"/>
        <w:rPr>
          <w:rFonts w:hint="eastAsia" w:ascii="仿宋" w:hAnsi="仿宋" w:eastAsia="仿宋" w:cs="宋体"/>
          <w:color w:val="auto"/>
          <w:sz w:val="24"/>
          <w:szCs w:val="24"/>
          <w:highlight w:val="none"/>
        </w:rPr>
      </w:pPr>
      <w:bookmarkStart w:id="624" w:name="_Toc65682986"/>
      <w:bookmarkStart w:id="625" w:name="_Toc11677"/>
      <w:r>
        <w:rPr>
          <w:rFonts w:hint="eastAsia" w:ascii="仿宋" w:hAnsi="仿宋" w:eastAsia="仿宋" w:cs="宋体"/>
          <w:color w:val="auto"/>
          <w:sz w:val="24"/>
          <w:szCs w:val="24"/>
          <w:highlight w:val="none"/>
        </w:rPr>
        <w:t>2.1 初步评审标准：见评标办法前附表。</w:t>
      </w:r>
    </w:p>
    <w:p w14:paraId="00C00855">
      <w:pPr>
        <w:pageBreakBefore w:val="0"/>
        <w:kinsoku/>
        <w:overflowPunct/>
        <w:bidi w:val="0"/>
        <w:spacing w:line="600" w:lineRule="exact"/>
        <w:ind w:firstLine="480" w:firstLineChars="200"/>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2.2 详细评审标准：见评标办法前附表。</w:t>
      </w:r>
    </w:p>
    <w:p w14:paraId="0FF8E4B2">
      <w:pPr>
        <w:pStyle w:val="4"/>
        <w:pageBreakBefore w:val="0"/>
        <w:kinsoku/>
        <w:overflowPunct/>
        <w:bidi w:val="0"/>
        <w:spacing w:line="600" w:lineRule="exact"/>
        <w:ind w:firstLine="482" w:firstLineChars="200"/>
        <w:rPr>
          <w:rFonts w:hint="eastAsia" w:ascii="仿宋" w:hAnsi="仿宋" w:cs="宋体"/>
          <w:color w:val="auto"/>
          <w:szCs w:val="24"/>
          <w:highlight w:val="none"/>
        </w:rPr>
      </w:pPr>
      <w:bookmarkStart w:id="626" w:name="_Toc5379"/>
      <w:bookmarkStart w:id="627" w:name="_Toc109124311"/>
      <w:r>
        <w:rPr>
          <w:rFonts w:hint="eastAsia" w:ascii="仿宋" w:hAnsi="仿宋" w:cs="宋体"/>
          <w:color w:val="auto"/>
          <w:szCs w:val="24"/>
          <w:highlight w:val="none"/>
        </w:rPr>
        <w:t>三、评标程序</w:t>
      </w:r>
      <w:bookmarkEnd w:id="624"/>
      <w:bookmarkEnd w:id="625"/>
      <w:bookmarkEnd w:id="626"/>
      <w:bookmarkEnd w:id="627"/>
    </w:p>
    <w:p w14:paraId="5D4AF510">
      <w:pPr>
        <w:pStyle w:val="5"/>
        <w:pageBreakBefore w:val="0"/>
        <w:kinsoku/>
        <w:overflowPunct/>
        <w:bidi w:val="0"/>
        <w:spacing w:line="600" w:lineRule="exact"/>
        <w:ind w:firstLine="482" w:firstLineChars="200"/>
        <w:rPr>
          <w:rFonts w:hint="eastAsia"/>
          <w:color w:val="auto"/>
          <w:highlight w:val="none"/>
        </w:rPr>
      </w:pPr>
      <w:bookmarkStart w:id="628" w:name="_Toc1356"/>
      <w:r>
        <w:rPr>
          <w:rFonts w:hint="eastAsia"/>
          <w:color w:val="auto"/>
          <w:highlight w:val="none"/>
        </w:rPr>
        <w:t>3.1初步评审</w:t>
      </w:r>
      <w:bookmarkEnd w:id="628"/>
    </w:p>
    <w:p w14:paraId="74F4D501">
      <w:pPr>
        <w:pageBreakBefore w:val="0"/>
        <w:widowControl/>
        <w:kinsoku/>
        <w:overflowPunct/>
        <w:topLinePunct/>
        <w:bidi w:val="0"/>
        <w:spacing w:line="600" w:lineRule="exact"/>
        <w:ind w:firstLine="480" w:firstLineChars="200"/>
        <w:rPr>
          <w:rFonts w:hint="eastAsia" w:ascii="仿宋" w:hAnsi="仿宋" w:eastAsia="仿宋" w:cs="宋体"/>
          <w:b/>
          <w:bCs/>
          <w:color w:val="auto"/>
          <w:kern w:val="0"/>
          <w:sz w:val="24"/>
          <w:szCs w:val="24"/>
          <w:highlight w:val="none"/>
        </w:rPr>
      </w:pPr>
      <w:r>
        <w:rPr>
          <w:rFonts w:hint="eastAsia" w:ascii="仿宋" w:hAnsi="仿宋" w:eastAsia="仿宋" w:cs="宋体"/>
          <w:color w:val="auto"/>
          <w:kern w:val="0"/>
          <w:sz w:val="24"/>
          <w:szCs w:val="24"/>
          <w:highlight w:val="none"/>
        </w:rPr>
        <w:t>3.1.1评标委员会根据本章第2.1条规定的标准对投标文件进行初步评审。有一项不符合初步评审标准的，</w:t>
      </w:r>
      <w:r>
        <w:rPr>
          <w:rFonts w:hint="eastAsia" w:ascii="仿宋" w:hAnsi="仿宋" w:eastAsia="仿宋" w:cs="宋体"/>
          <w:b/>
          <w:bCs/>
          <w:color w:val="auto"/>
          <w:kern w:val="0"/>
          <w:sz w:val="24"/>
          <w:szCs w:val="24"/>
          <w:highlight w:val="none"/>
        </w:rPr>
        <w:t xml:space="preserve">评标委员会应当否决其投标。 </w:t>
      </w:r>
    </w:p>
    <w:p w14:paraId="14075765">
      <w:pPr>
        <w:pageBreakBefore w:val="0"/>
        <w:widowControl/>
        <w:kinsoku/>
        <w:overflowPunct/>
        <w:topLinePunct/>
        <w:bidi w:val="0"/>
        <w:spacing w:line="600" w:lineRule="exact"/>
        <w:ind w:firstLine="480" w:firstLineChars="200"/>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3.1.2投标人有以下情形之一的，</w:t>
      </w:r>
      <w:r>
        <w:rPr>
          <w:rFonts w:hint="eastAsia" w:ascii="仿宋" w:hAnsi="仿宋" w:eastAsia="仿宋" w:cs="宋体"/>
          <w:b/>
          <w:bCs/>
          <w:color w:val="auto"/>
          <w:kern w:val="0"/>
          <w:sz w:val="24"/>
          <w:szCs w:val="24"/>
          <w:highlight w:val="none"/>
        </w:rPr>
        <w:t>评标委员会应当否决其投标</w:t>
      </w:r>
      <w:r>
        <w:rPr>
          <w:rFonts w:hint="eastAsia" w:ascii="仿宋" w:hAnsi="仿宋" w:eastAsia="仿宋" w:cs="宋体"/>
          <w:color w:val="auto"/>
          <w:kern w:val="0"/>
          <w:sz w:val="24"/>
          <w:szCs w:val="24"/>
          <w:highlight w:val="none"/>
        </w:rPr>
        <w:t>：</w:t>
      </w:r>
    </w:p>
    <w:p w14:paraId="7D747DE9">
      <w:pPr>
        <w:pageBreakBefore w:val="0"/>
        <w:widowControl/>
        <w:kinsoku/>
        <w:overflowPunct/>
        <w:topLinePunct/>
        <w:bidi w:val="0"/>
        <w:spacing w:line="600" w:lineRule="exact"/>
        <w:ind w:firstLine="480" w:firstLineChars="200"/>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（1）按照招标公告要求已经递交电子投标文件，但未按时递交纸质投标文件；</w:t>
      </w:r>
    </w:p>
    <w:p w14:paraId="448D9B47">
      <w:pPr>
        <w:pageBreakBefore w:val="0"/>
        <w:widowControl/>
        <w:kinsoku/>
        <w:overflowPunct/>
        <w:topLinePunct/>
        <w:bidi w:val="0"/>
        <w:spacing w:line="600" w:lineRule="exact"/>
        <w:ind w:firstLine="480" w:firstLineChars="200"/>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（2）投标文件未经投标单位盖章或单位负责人签字；</w:t>
      </w:r>
    </w:p>
    <w:p w14:paraId="03C13E4E">
      <w:pPr>
        <w:pageBreakBefore w:val="0"/>
        <w:widowControl/>
        <w:kinsoku/>
        <w:overflowPunct/>
        <w:topLinePunct/>
        <w:bidi w:val="0"/>
        <w:spacing w:line="600" w:lineRule="exact"/>
        <w:ind w:firstLine="480" w:firstLineChars="200"/>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（3）允许联合体投标的，投标联合体没有递交共同投标协议；</w:t>
      </w:r>
    </w:p>
    <w:p w14:paraId="432B2848">
      <w:pPr>
        <w:pageBreakBefore w:val="0"/>
        <w:widowControl/>
        <w:kinsoku/>
        <w:overflowPunct/>
        <w:topLinePunct/>
        <w:bidi w:val="0"/>
        <w:spacing w:line="600" w:lineRule="exact"/>
        <w:ind w:firstLine="480" w:firstLineChars="200"/>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（4）投标人不符合国家或者招标文件规定的资格条件；</w:t>
      </w:r>
    </w:p>
    <w:p w14:paraId="2F19CFE7">
      <w:pPr>
        <w:pageBreakBefore w:val="0"/>
        <w:widowControl/>
        <w:kinsoku/>
        <w:overflowPunct/>
        <w:topLinePunct/>
        <w:bidi w:val="0"/>
        <w:spacing w:line="600" w:lineRule="exact"/>
        <w:ind w:firstLine="480" w:firstLineChars="200"/>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（5）同一投标人提交两个以上不同的投标文件或者投标报价，但招标文件要求提交备选投标的除外；</w:t>
      </w:r>
    </w:p>
    <w:p w14:paraId="121829BF">
      <w:pPr>
        <w:pageBreakBefore w:val="0"/>
        <w:widowControl/>
        <w:kinsoku/>
        <w:overflowPunct/>
        <w:topLinePunct/>
        <w:bidi w:val="0"/>
        <w:spacing w:line="600" w:lineRule="exact"/>
        <w:ind w:firstLine="480" w:firstLineChars="200"/>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（6）投标报价低于成本或者高于招标文件设定的最高投标限价；</w:t>
      </w:r>
    </w:p>
    <w:p w14:paraId="702E60A6">
      <w:pPr>
        <w:pageBreakBefore w:val="0"/>
        <w:widowControl/>
        <w:kinsoku/>
        <w:overflowPunct/>
        <w:topLinePunct/>
        <w:bidi w:val="0"/>
        <w:spacing w:line="600" w:lineRule="exact"/>
        <w:ind w:firstLine="480" w:firstLineChars="200"/>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 xml:space="preserve">（7）投标文件未对招标文件的实质性要求和条件作出响应； </w:t>
      </w:r>
    </w:p>
    <w:p w14:paraId="7791EE5D">
      <w:pPr>
        <w:pageBreakBefore w:val="0"/>
        <w:widowControl/>
        <w:kinsoku/>
        <w:overflowPunct/>
        <w:topLinePunct/>
        <w:bidi w:val="0"/>
        <w:spacing w:line="600" w:lineRule="exact"/>
        <w:ind w:firstLine="480" w:firstLineChars="200"/>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（8）投标人有串通投标、弄虚作假、行贿等违法行为；</w:t>
      </w:r>
    </w:p>
    <w:p w14:paraId="53EC2834">
      <w:pPr>
        <w:pageBreakBefore w:val="0"/>
        <w:widowControl/>
        <w:kinsoku/>
        <w:overflowPunct/>
        <w:topLinePunct/>
        <w:bidi w:val="0"/>
        <w:spacing w:line="600" w:lineRule="exact"/>
        <w:ind w:firstLine="480" w:firstLineChars="200"/>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（9）不接受或不确认因算术性错误进行的价格修正；</w:t>
      </w:r>
    </w:p>
    <w:p w14:paraId="5ECE3B47">
      <w:pPr>
        <w:pageBreakBefore w:val="0"/>
        <w:widowControl/>
        <w:kinsoku/>
        <w:overflowPunct/>
        <w:topLinePunct/>
        <w:bidi w:val="0"/>
        <w:spacing w:line="600" w:lineRule="exact"/>
        <w:ind w:firstLine="480" w:firstLineChars="200"/>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（10）投标文件附有招标人不能接受的条件；</w:t>
      </w:r>
    </w:p>
    <w:p w14:paraId="1A2AD51C">
      <w:pPr>
        <w:pageBreakBefore w:val="0"/>
        <w:widowControl/>
        <w:kinsoku/>
        <w:overflowPunct/>
        <w:topLinePunct/>
        <w:bidi w:val="0"/>
        <w:spacing w:line="600" w:lineRule="exact"/>
        <w:ind w:firstLine="480" w:firstLineChars="200"/>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（11）不符合招标文件中规定的其他实质性要求。</w:t>
      </w:r>
    </w:p>
    <w:p w14:paraId="05F830E4">
      <w:pPr>
        <w:pageBreakBefore w:val="0"/>
        <w:widowControl/>
        <w:kinsoku/>
        <w:overflowPunct/>
        <w:topLinePunct/>
        <w:bidi w:val="0"/>
        <w:spacing w:line="600" w:lineRule="exact"/>
        <w:ind w:firstLine="480" w:firstLineChars="200"/>
        <w:rPr>
          <w:rFonts w:ascii="仿宋" w:hAnsi="仿宋" w:eastAsia="仿宋" w:cs="宋体"/>
          <w:b/>
          <w:bCs/>
          <w:color w:val="auto"/>
          <w:kern w:val="0"/>
          <w:sz w:val="24"/>
          <w:szCs w:val="24"/>
          <w:highlight w:val="none"/>
        </w:rPr>
      </w:pPr>
      <w:r>
        <w:rPr>
          <w:rFonts w:hint="eastAsia" w:ascii="仿宋" w:hAnsi="仿宋" w:eastAsia="仿宋" w:cs="宋体"/>
          <w:color w:val="auto"/>
          <w:kern w:val="0"/>
          <w:sz w:val="24"/>
          <w:szCs w:val="24"/>
          <w:highlight w:val="none"/>
        </w:rPr>
        <w:t>3.1.</w:t>
      </w:r>
      <w:r>
        <w:rPr>
          <w:rFonts w:ascii="仿宋" w:hAnsi="仿宋" w:eastAsia="仿宋" w:cs="宋体"/>
          <w:color w:val="auto"/>
          <w:kern w:val="0"/>
          <w:sz w:val="24"/>
          <w:szCs w:val="24"/>
          <w:highlight w:val="none"/>
        </w:rPr>
        <w:t>3</w:t>
      </w:r>
      <w:r>
        <w:rPr>
          <w:rFonts w:hint="eastAsia" w:ascii="仿宋" w:hAnsi="仿宋" w:eastAsia="仿宋" w:cs="宋体"/>
          <w:color w:val="auto"/>
          <w:kern w:val="0"/>
          <w:sz w:val="24"/>
          <w:szCs w:val="24"/>
          <w:highlight w:val="none"/>
        </w:rPr>
        <w:t>投标报价有算术错误的，评标委员会按照以下原则对投标报价进行修正，修正的价格经投标人书面确认后具有约束力。投标人不接受或不确认修正后价格的，</w:t>
      </w:r>
      <w:r>
        <w:rPr>
          <w:rFonts w:hint="eastAsia" w:ascii="仿宋" w:hAnsi="仿宋" w:eastAsia="仿宋" w:cs="宋体"/>
          <w:b/>
          <w:bCs/>
          <w:color w:val="auto"/>
          <w:kern w:val="0"/>
          <w:sz w:val="24"/>
          <w:szCs w:val="24"/>
          <w:highlight w:val="none"/>
        </w:rPr>
        <w:t>评标委员会应当否决其投标。</w:t>
      </w:r>
    </w:p>
    <w:p w14:paraId="51C5A302">
      <w:pPr>
        <w:pageBreakBefore w:val="0"/>
        <w:widowControl/>
        <w:kinsoku/>
        <w:overflowPunct/>
        <w:topLinePunct/>
        <w:bidi w:val="0"/>
        <w:spacing w:line="600" w:lineRule="exact"/>
        <w:ind w:firstLine="480" w:firstLineChars="200"/>
        <w:rPr>
          <w:rFonts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（1） 投标文件中的大写金额与小写金额不一致的，以大写金额为准；</w:t>
      </w:r>
    </w:p>
    <w:p w14:paraId="0D1044BB">
      <w:pPr>
        <w:pageBreakBefore w:val="0"/>
        <w:widowControl/>
        <w:kinsoku/>
        <w:overflowPunct/>
        <w:topLinePunct/>
        <w:bidi w:val="0"/>
        <w:spacing w:line="600" w:lineRule="exact"/>
        <w:ind w:firstLine="480" w:firstLineChars="200"/>
        <w:rPr>
          <w:rFonts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（2） 总价金额与根据单价计算出的结果不一致的，以单价金额为准修正总价，但单价金额小数点有明显错误的除外。</w:t>
      </w:r>
    </w:p>
    <w:p w14:paraId="0F19FF0D">
      <w:pPr>
        <w:pageBreakBefore w:val="0"/>
        <w:widowControl/>
        <w:kinsoku/>
        <w:overflowPunct/>
        <w:topLinePunct/>
        <w:bidi w:val="0"/>
        <w:spacing w:line="600" w:lineRule="exact"/>
        <w:ind w:firstLine="480" w:firstLineChars="200"/>
        <w:rPr>
          <w:rFonts w:ascii="仿宋" w:hAnsi="仿宋" w:eastAsia="仿宋" w:cs="宋体"/>
          <w:b/>
          <w:bCs/>
          <w:color w:val="auto"/>
          <w:kern w:val="0"/>
          <w:sz w:val="24"/>
          <w:szCs w:val="24"/>
          <w:highlight w:val="none"/>
        </w:rPr>
      </w:pPr>
      <w:r>
        <w:rPr>
          <w:rFonts w:hint="eastAsia" w:ascii="仿宋" w:hAnsi="仿宋" w:eastAsia="仿宋" w:cs="宋体"/>
          <w:color w:val="auto"/>
          <w:kern w:val="0"/>
          <w:sz w:val="24"/>
          <w:szCs w:val="24"/>
          <w:highlight w:val="none"/>
        </w:rPr>
        <w:t>3</w:t>
      </w:r>
      <w:r>
        <w:rPr>
          <w:rFonts w:ascii="仿宋" w:hAnsi="仿宋" w:eastAsia="仿宋" w:cs="宋体"/>
          <w:color w:val="auto"/>
          <w:kern w:val="0"/>
          <w:sz w:val="24"/>
          <w:szCs w:val="24"/>
          <w:highlight w:val="none"/>
        </w:rPr>
        <w:t>.1.4</w:t>
      </w:r>
      <w:r>
        <w:rPr>
          <w:rFonts w:hint="eastAsia" w:ascii="仿宋" w:hAnsi="仿宋" w:eastAsia="仿宋" w:cs="宋体"/>
          <w:color w:val="auto"/>
          <w:kern w:val="0"/>
          <w:sz w:val="24"/>
          <w:szCs w:val="24"/>
          <w:highlight w:val="none"/>
        </w:rPr>
        <w:t>在评标过程中，评标委员会发现投标人的报价明显低于其他投标报价或者在设有标底时明显低于标底，使得其投标报价可能低于其个别成本的，应当要求该投标人作出书面说明并提供相关证明材料。投标人不能合理说明或者不能提供相关证明材料的，由评标委员会认定该投标人以低于成本报价竞标，</w:t>
      </w:r>
      <w:r>
        <w:rPr>
          <w:rFonts w:hint="eastAsia" w:ascii="仿宋" w:hAnsi="仿宋" w:eastAsia="仿宋" w:cs="宋体"/>
          <w:b/>
          <w:bCs/>
          <w:color w:val="auto"/>
          <w:kern w:val="0"/>
          <w:sz w:val="24"/>
          <w:szCs w:val="24"/>
          <w:highlight w:val="none"/>
        </w:rPr>
        <w:t>应当否决其投标。</w:t>
      </w:r>
    </w:p>
    <w:p w14:paraId="61320A23">
      <w:pPr>
        <w:pageBreakBefore w:val="0"/>
        <w:widowControl/>
        <w:kinsoku/>
        <w:overflowPunct/>
        <w:topLinePunct/>
        <w:bidi w:val="0"/>
        <w:spacing w:line="600" w:lineRule="exact"/>
        <w:ind w:firstLine="480" w:firstLineChars="200"/>
        <w:rPr>
          <w:rFonts w:hint="eastAsia" w:ascii="仿宋" w:hAnsi="仿宋" w:eastAsia="仿宋" w:cs="宋体"/>
          <w:b/>
          <w:bCs/>
          <w:color w:val="auto"/>
          <w:kern w:val="0"/>
          <w:sz w:val="24"/>
          <w:szCs w:val="24"/>
          <w:highlight w:val="none"/>
        </w:rPr>
      </w:pPr>
      <w:r>
        <w:rPr>
          <w:rFonts w:hint="eastAsia" w:ascii="仿宋" w:hAnsi="仿宋" w:eastAsia="仿宋" w:cs="宋体"/>
          <w:color w:val="auto"/>
          <w:kern w:val="0"/>
          <w:sz w:val="24"/>
          <w:szCs w:val="24"/>
          <w:highlight w:val="none"/>
        </w:rPr>
        <w:t>3.1.5 中标人为1家的项目，如果有效投标人少于3家（不含本数），</w:t>
      </w:r>
      <w:r>
        <w:rPr>
          <w:rFonts w:hint="eastAsia" w:ascii="仿宋" w:hAnsi="仿宋" w:eastAsia="仿宋" w:cs="宋体"/>
          <w:b/>
          <w:bCs/>
          <w:color w:val="auto"/>
          <w:kern w:val="0"/>
          <w:sz w:val="24"/>
          <w:szCs w:val="24"/>
          <w:highlight w:val="none"/>
        </w:rPr>
        <w:t>评标委员会将否决全部投标。</w:t>
      </w:r>
      <w:r>
        <w:rPr>
          <w:rFonts w:hint="eastAsia" w:ascii="仿宋" w:hAnsi="仿宋" w:eastAsia="仿宋" w:cs="宋体"/>
          <w:color w:val="auto"/>
          <w:kern w:val="0"/>
          <w:sz w:val="24"/>
          <w:szCs w:val="24"/>
          <w:highlight w:val="none"/>
        </w:rPr>
        <w:t>中标人为N家（1</w:t>
      </w:r>
      <w:r>
        <w:rPr>
          <w:rFonts w:ascii="仿宋" w:hAnsi="仿宋" w:eastAsia="仿宋" w:cs="宋体"/>
          <w:color w:val="auto"/>
          <w:kern w:val="0"/>
          <w:sz w:val="24"/>
          <w:szCs w:val="24"/>
          <w:highlight w:val="none"/>
        </w:rPr>
        <w:t>&lt;</w:t>
      </w:r>
      <w:r>
        <w:rPr>
          <w:rFonts w:hint="eastAsia" w:ascii="仿宋" w:hAnsi="仿宋" w:eastAsia="仿宋" w:cs="宋体"/>
          <w:color w:val="auto"/>
          <w:kern w:val="0"/>
          <w:sz w:val="24"/>
          <w:szCs w:val="24"/>
          <w:highlight w:val="none"/>
        </w:rPr>
        <w:t>N≤3）的项目，如果有效投标人少于2N家（不含本数），评标委员会</w:t>
      </w:r>
      <w:r>
        <w:rPr>
          <w:rFonts w:hint="eastAsia" w:ascii="仿宋" w:hAnsi="仿宋" w:eastAsia="仿宋" w:cs="宋体"/>
          <w:b/>
          <w:bCs/>
          <w:color w:val="auto"/>
          <w:kern w:val="0"/>
          <w:sz w:val="24"/>
          <w:szCs w:val="24"/>
          <w:highlight w:val="none"/>
        </w:rPr>
        <w:t>将否决全部投标</w:t>
      </w:r>
      <w:r>
        <w:rPr>
          <w:rFonts w:hint="eastAsia" w:ascii="仿宋" w:hAnsi="仿宋" w:eastAsia="仿宋" w:cs="宋体"/>
          <w:color w:val="auto"/>
          <w:kern w:val="0"/>
          <w:sz w:val="24"/>
          <w:szCs w:val="24"/>
          <w:highlight w:val="none"/>
        </w:rPr>
        <w:t>。中标人为N家（N＞3）的项目，如果有效投标人少于1.5N家（不含本数），评标委员会</w:t>
      </w:r>
      <w:r>
        <w:rPr>
          <w:rFonts w:hint="eastAsia" w:ascii="仿宋" w:hAnsi="仿宋" w:eastAsia="仿宋" w:cs="宋体"/>
          <w:b/>
          <w:bCs/>
          <w:color w:val="auto"/>
          <w:kern w:val="0"/>
          <w:sz w:val="24"/>
          <w:szCs w:val="24"/>
          <w:highlight w:val="none"/>
        </w:rPr>
        <w:t>将否决全部投标。</w:t>
      </w:r>
    </w:p>
    <w:p w14:paraId="5448EC05">
      <w:pPr>
        <w:pageBreakBefore w:val="0"/>
        <w:widowControl/>
        <w:kinsoku/>
        <w:overflowPunct/>
        <w:topLinePunct/>
        <w:bidi w:val="0"/>
        <w:spacing w:line="600" w:lineRule="exact"/>
        <w:ind w:firstLine="480" w:firstLineChars="200"/>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3.1.6 对不同文字文本投标文件的解释发生异议的，以中文文本为准。</w:t>
      </w:r>
    </w:p>
    <w:p w14:paraId="3814C96A">
      <w:pPr>
        <w:pStyle w:val="5"/>
        <w:pageBreakBefore w:val="0"/>
        <w:kinsoku/>
        <w:overflowPunct/>
        <w:bidi w:val="0"/>
        <w:spacing w:line="600" w:lineRule="exact"/>
        <w:ind w:firstLine="482" w:firstLineChars="200"/>
        <w:rPr>
          <w:rFonts w:hint="eastAsia"/>
          <w:color w:val="auto"/>
          <w:highlight w:val="none"/>
        </w:rPr>
      </w:pPr>
      <w:bookmarkStart w:id="629" w:name="_Toc549"/>
      <w:r>
        <w:rPr>
          <w:rFonts w:hint="eastAsia"/>
          <w:color w:val="auto"/>
          <w:highlight w:val="none"/>
        </w:rPr>
        <w:t>3.2 详细评审</w:t>
      </w:r>
      <w:bookmarkEnd w:id="629"/>
    </w:p>
    <w:p w14:paraId="3ECB0899">
      <w:pPr>
        <w:pageBreakBefore w:val="0"/>
        <w:widowControl/>
        <w:kinsoku/>
        <w:overflowPunct/>
        <w:topLinePunct/>
        <w:bidi w:val="0"/>
        <w:spacing w:line="600" w:lineRule="exact"/>
        <w:ind w:firstLine="480" w:firstLineChars="200"/>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3.2.1 评标委员会按照本章第2.2款规定的评审因素和量化标准进行评分，并计算出综合评估得分。</w:t>
      </w:r>
    </w:p>
    <w:p w14:paraId="6B076088">
      <w:pPr>
        <w:pageBreakBefore w:val="0"/>
        <w:widowControl/>
        <w:kinsoku/>
        <w:overflowPunct/>
        <w:topLinePunct/>
        <w:bidi w:val="0"/>
        <w:spacing w:line="600" w:lineRule="exact"/>
        <w:ind w:firstLine="480" w:firstLineChars="200"/>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3.2.2 评分分值计算原则上保留小数点后两位，小数点后第三位“四舍五入”。</w:t>
      </w:r>
    </w:p>
    <w:p w14:paraId="42C405AD">
      <w:pPr>
        <w:pStyle w:val="5"/>
        <w:pageBreakBefore w:val="0"/>
        <w:kinsoku/>
        <w:overflowPunct/>
        <w:bidi w:val="0"/>
        <w:spacing w:line="600" w:lineRule="exact"/>
        <w:ind w:firstLine="482" w:firstLineChars="200"/>
        <w:rPr>
          <w:rFonts w:hint="eastAsia"/>
          <w:color w:val="auto"/>
          <w:highlight w:val="none"/>
        </w:rPr>
      </w:pPr>
      <w:bookmarkStart w:id="630" w:name="_Toc3245"/>
      <w:r>
        <w:rPr>
          <w:rFonts w:hint="eastAsia"/>
          <w:color w:val="auto"/>
          <w:highlight w:val="none"/>
        </w:rPr>
        <w:t>3.3 投标文件的澄清、说明</w:t>
      </w:r>
      <w:bookmarkEnd w:id="630"/>
    </w:p>
    <w:p w14:paraId="72B5DF31">
      <w:pPr>
        <w:pageBreakBefore w:val="0"/>
        <w:widowControl/>
        <w:kinsoku/>
        <w:overflowPunct/>
        <w:topLinePunct/>
        <w:bidi w:val="0"/>
        <w:spacing w:line="600" w:lineRule="exact"/>
        <w:ind w:firstLine="480" w:firstLineChars="200"/>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3.3.1 投标文件中有含义不明确的内容、明显文字或者计算错误、对同类问题表述不一致的，评标委员会认为需要投标人作出必要澄清、说明或者补正的，应当以书面形式通知该投标人。</w:t>
      </w:r>
      <w:bookmarkStart w:id="631" w:name="_Hlk142926906"/>
      <w:r>
        <w:rPr>
          <w:rFonts w:hint="eastAsia" w:ascii="仿宋" w:hAnsi="仿宋" w:eastAsia="仿宋" w:cs="宋体"/>
          <w:color w:val="auto"/>
          <w:kern w:val="0"/>
          <w:sz w:val="24"/>
          <w:szCs w:val="24"/>
          <w:highlight w:val="none"/>
        </w:rPr>
        <w:t>评标委员会不得暗示或者诱导投标人作出澄清、说明或补正，不得接受投标人主动提出的澄清、说明或补正。</w:t>
      </w:r>
    </w:p>
    <w:bookmarkEnd w:id="631"/>
    <w:p w14:paraId="2814BED5">
      <w:pPr>
        <w:pageBreakBefore w:val="0"/>
        <w:widowControl/>
        <w:kinsoku/>
        <w:overflowPunct/>
        <w:topLinePunct/>
        <w:bidi w:val="0"/>
        <w:spacing w:line="600" w:lineRule="exact"/>
        <w:ind w:firstLine="480" w:firstLineChars="200"/>
        <w:rPr>
          <w:rFonts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3.3.2 细微偏差是指投标文件在实质上响应招标文件要求，但在个别地方存在漏项或者提供了不完整的技术信息和数据等情况，并且补正这些遗漏或者不完整不会对其他投标人造成不公平的结果。细微偏差不影响投标文件的有效性。</w:t>
      </w:r>
    </w:p>
    <w:p w14:paraId="48BEDA2E">
      <w:pPr>
        <w:pageBreakBefore w:val="0"/>
        <w:widowControl/>
        <w:kinsoku/>
        <w:overflowPunct/>
        <w:topLinePunct/>
        <w:bidi w:val="0"/>
        <w:spacing w:line="600" w:lineRule="exact"/>
        <w:ind w:firstLine="480" w:firstLineChars="200"/>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3</w:t>
      </w:r>
      <w:r>
        <w:rPr>
          <w:rFonts w:ascii="仿宋" w:hAnsi="仿宋" w:eastAsia="仿宋" w:cs="宋体"/>
          <w:color w:val="auto"/>
          <w:kern w:val="0"/>
          <w:sz w:val="24"/>
          <w:szCs w:val="24"/>
          <w:highlight w:val="none"/>
        </w:rPr>
        <w:t xml:space="preserve">.3.3 </w:t>
      </w:r>
      <w:r>
        <w:rPr>
          <w:rFonts w:hint="eastAsia" w:ascii="仿宋" w:hAnsi="仿宋" w:eastAsia="仿宋" w:cs="宋体"/>
          <w:color w:val="auto"/>
          <w:kern w:val="0"/>
          <w:sz w:val="24"/>
          <w:szCs w:val="24"/>
          <w:highlight w:val="none"/>
        </w:rPr>
        <w:t>投标人的澄清、说明和补正应当采用书面形式,并不得超出投标文件的范围或者改变投标文件的实质性内容（算术性错误修正的除外），投标人的书面澄清、说明和补正属于投标文件的组成部分。</w:t>
      </w:r>
      <w:bookmarkStart w:id="632" w:name="_Hlk142926929"/>
      <w:r>
        <w:rPr>
          <w:rFonts w:hint="eastAsia" w:ascii="仿宋" w:hAnsi="仿宋" w:eastAsia="仿宋" w:cs="宋体"/>
          <w:color w:val="auto"/>
          <w:kern w:val="0"/>
          <w:sz w:val="24"/>
          <w:szCs w:val="24"/>
          <w:highlight w:val="none"/>
        </w:rPr>
        <w:t>拒不按照要求对投标文件进行澄清、说明或补正的，评标委员会</w:t>
      </w:r>
      <w:r>
        <w:rPr>
          <w:rFonts w:hint="eastAsia" w:ascii="仿宋" w:hAnsi="仿宋" w:eastAsia="仿宋" w:cs="宋体"/>
          <w:b/>
          <w:bCs/>
          <w:color w:val="auto"/>
          <w:kern w:val="0"/>
          <w:sz w:val="24"/>
          <w:szCs w:val="24"/>
          <w:highlight w:val="none"/>
        </w:rPr>
        <w:t>可以否决其投标</w:t>
      </w:r>
      <w:r>
        <w:rPr>
          <w:rFonts w:hint="eastAsia" w:ascii="仿宋" w:hAnsi="仿宋" w:eastAsia="仿宋" w:cs="宋体"/>
          <w:color w:val="auto"/>
          <w:kern w:val="0"/>
          <w:sz w:val="24"/>
          <w:szCs w:val="24"/>
          <w:highlight w:val="none"/>
        </w:rPr>
        <w:t>。</w:t>
      </w:r>
    </w:p>
    <w:bookmarkEnd w:id="632"/>
    <w:p w14:paraId="3C147BA4">
      <w:pPr>
        <w:pageBreakBefore w:val="0"/>
        <w:widowControl/>
        <w:kinsoku/>
        <w:overflowPunct/>
        <w:topLinePunct/>
        <w:bidi w:val="0"/>
        <w:spacing w:line="600" w:lineRule="exact"/>
        <w:ind w:firstLine="480" w:firstLineChars="200"/>
        <w:rPr>
          <w:rFonts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3.3.</w:t>
      </w:r>
      <w:r>
        <w:rPr>
          <w:rFonts w:ascii="仿宋" w:hAnsi="仿宋" w:eastAsia="仿宋" w:cs="宋体"/>
          <w:color w:val="auto"/>
          <w:kern w:val="0"/>
          <w:sz w:val="24"/>
          <w:szCs w:val="24"/>
          <w:highlight w:val="none"/>
        </w:rPr>
        <w:t xml:space="preserve">4 </w:t>
      </w:r>
      <w:r>
        <w:rPr>
          <w:rFonts w:hint="eastAsia" w:ascii="仿宋" w:hAnsi="仿宋" w:eastAsia="仿宋" w:cs="宋体"/>
          <w:color w:val="auto"/>
          <w:kern w:val="0"/>
          <w:sz w:val="24"/>
          <w:szCs w:val="24"/>
          <w:highlight w:val="none"/>
        </w:rPr>
        <w:t>评标委员会对投标人递交的澄清、说明或补正有疑问的，可以要求投标人进一步澄清、说明或者补正，直至满足评标委员会的要求。</w:t>
      </w:r>
    </w:p>
    <w:p w14:paraId="06EAE5B2">
      <w:pPr>
        <w:pageBreakBefore w:val="0"/>
        <w:widowControl/>
        <w:kinsoku/>
        <w:overflowPunct/>
        <w:topLinePunct/>
        <w:bidi w:val="0"/>
        <w:spacing w:line="600" w:lineRule="exact"/>
        <w:ind w:firstLine="480" w:firstLineChars="200"/>
        <w:rPr>
          <w:rFonts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3.3.</w:t>
      </w:r>
      <w:r>
        <w:rPr>
          <w:rFonts w:ascii="仿宋" w:hAnsi="仿宋" w:eastAsia="仿宋" w:cs="宋体"/>
          <w:color w:val="auto"/>
          <w:kern w:val="0"/>
          <w:sz w:val="24"/>
          <w:szCs w:val="24"/>
          <w:highlight w:val="none"/>
        </w:rPr>
        <w:t>5</w:t>
      </w:r>
      <w:r>
        <w:rPr>
          <w:rFonts w:hint="eastAsia" w:ascii="仿宋" w:hAnsi="仿宋" w:eastAsia="仿宋" w:cs="宋体"/>
          <w:color w:val="auto"/>
          <w:kern w:val="0"/>
          <w:sz w:val="24"/>
          <w:szCs w:val="24"/>
          <w:highlight w:val="none"/>
        </w:rPr>
        <w:t xml:space="preserve"> 评标委员会必要时可以要求投标人提交有关证明和证件的原件，以便核验。</w:t>
      </w:r>
      <w:bookmarkStart w:id="633" w:name="_Hlk142926937"/>
      <w:r>
        <w:rPr>
          <w:rFonts w:hint="eastAsia" w:ascii="仿宋" w:hAnsi="仿宋" w:eastAsia="仿宋" w:cs="宋体"/>
          <w:color w:val="auto"/>
          <w:kern w:val="0"/>
          <w:sz w:val="24"/>
          <w:szCs w:val="24"/>
          <w:highlight w:val="none"/>
        </w:rPr>
        <w:t>拒不按照要求提供原件的，评标委员会</w:t>
      </w:r>
      <w:r>
        <w:rPr>
          <w:rFonts w:hint="eastAsia" w:ascii="仿宋" w:hAnsi="仿宋" w:eastAsia="仿宋" w:cs="宋体"/>
          <w:b/>
          <w:bCs/>
          <w:color w:val="auto"/>
          <w:kern w:val="0"/>
          <w:sz w:val="24"/>
          <w:szCs w:val="24"/>
          <w:highlight w:val="none"/>
        </w:rPr>
        <w:t>可以否决其投标。</w:t>
      </w:r>
    </w:p>
    <w:bookmarkEnd w:id="633"/>
    <w:p w14:paraId="1692D2FE">
      <w:pPr>
        <w:pStyle w:val="5"/>
        <w:pageBreakBefore w:val="0"/>
        <w:kinsoku/>
        <w:overflowPunct/>
        <w:bidi w:val="0"/>
        <w:spacing w:line="600" w:lineRule="exact"/>
        <w:ind w:firstLine="482" w:firstLineChars="200"/>
        <w:rPr>
          <w:rFonts w:hint="eastAsia"/>
          <w:color w:val="auto"/>
          <w:highlight w:val="none"/>
        </w:rPr>
      </w:pPr>
      <w:bookmarkStart w:id="634" w:name="_Toc27472"/>
      <w:r>
        <w:rPr>
          <w:rFonts w:hint="eastAsia"/>
          <w:color w:val="auto"/>
          <w:highlight w:val="none"/>
        </w:rPr>
        <w:t>3.4 中标候选人推荐原则</w:t>
      </w:r>
      <w:bookmarkEnd w:id="634"/>
    </w:p>
    <w:p w14:paraId="5FDE85CB">
      <w:pPr>
        <w:pageBreakBefore w:val="0"/>
        <w:widowControl/>
        <w:kinsoku/>
        <w:overflowPunct/>
        <w:topLinePunct/>
        <w:bidi w:val="0"/>
        <w:spacing w:line="600" w:lineRule="exact"/>
        <w:ind w:firstLine="480" w:firstLineChars="200"/>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3.4.1 除第二章“投标人须知前附表”第7.2.1条授权评标委员会直接确定中标人外，评标委员会应按照投标人综合得分由高到低的顺序推荐中标候选人。综合得分相同时的处理情形见</w:t>
      </w:r>
      <w:r>
        <w:rPr>
          <w:rFonts w:hint="eastAsia" w:ascii="仿宋" w:hAnsi="仿宋" w:eastAsia="仿宋" w:cs="宋体"/>
          <w:color w:val="auto"/>
          <w:spacing w:val="4"/>
          <w:kern w:val="0"/>
          <w:sz w:val="24"/>
          <w:szCs w:val="24"/>
          <w:highlight w:val="none"/>
        </w:rPr>
        <w:t>第二章“投标人须知前附表”第6.4条</w:t>
      </w:r>
      <w:r>
        <w:rPr>
          <w:rFonts w:hint="eastAsia" w:ascii="仿宋" w:hAnsi="仿宋" w:eastAsia="仿宋" w:cs="宋体"/>
          <w:color w:val="auto"/>
          <w:kern w:val="0"/>
          <w:sz w:val="24"/>
          <w:szCs w:val="24"/>
          <w:highlight w:val="none"/>
        </w:rPr>
        <w:t>。</w:t>
      </w:r>
    </w:p>
    <w:p w14:paraId="65A0A076">
      <w:pPr>
        <w:pageBreakBefore w:val="0"/>
        <w:widowControl/>
        <w:kinsoku/>
        <w:overflowPunct/>
        <w:topLinePunct/>
        <w:bidi w:val="0"/>
        <w:spacing w:line="600" w:lineRule="exact"/>
        <w:ind w:firstLine="480" w:firstLineChars="200"/>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3.4.2 中标候选人推荐原则</w:t>
      </w:r>
      <w:r>
        <w:rPr>
          <w:rFonts w:hint="eastAsia" w:ascii="仿宋" w:hAnsi="仿宋" w:eastAsia="仿宋" w:cs="宋体"/>
          <w:color w:val="auto"/>
          <w:spacing w:val="4"/>
          <w:kern w:val="0"/>
          <w:sz w:val="24"/>
          <w:szCs w:val="24"/>
          <w:highlight w:val="none"/>
        </w:rPr>
        <w:t>与第二章“投标人须知前附表”第6.4条一致</w:t>
      </w:r>
      <w:r>
        <w:rPr>
          <w:rFonts w:hint="eastAsia" w:ascii="仿宋" w:hAnsi="仿宋" w:eastAsia="仿宋" w:cs="宋体"/>
          <w:color w:val="auto"/>
          <w:kern w:val="0"/>
          <w:sz w:val="24"/>
          <w:szCs w:val="24"/>
          <w:highlight w:val="none"/>
        </w:rPr>
        <w:t>。</w:t>
      </w:r>
    </w:p>
    <w:p w14:paraId="4FBA58EC">
      <w:pPr>
        <w:pStyle w:val="5"/>
        <w:pageBreakBefore w:val="0"/>
        <w:kinsoku/>
        <w:overflowPunct/>
        <w:bidi w:val="0"/>
        <w:spacing w:line="600" w:lineRule="exact"/>
        <w:ind w:firstLine="482" w:firstLineChars="200"/>
        <w:rPr>
          <w:rFonts w:hint="eastAsia"/>
          <w:color w:val="auto"/>
          <w:highlight w:val="none"/>
        </w:rPr>
      </w:pPr>
      <w:bookmarkStart w:id="635" w:name="_Toc4198"/>
      <w:r>
        <w:rPr>
          <w:rFonts w:hint="eastAsia"/>
          <w:color w:val="auto"/>
          <w:highlight w:val="none"/>
        </w:rPr>
        <w:t>3.5 评标结果</w:t>
      </w:r>
      <w:bookmarkEnd w:id="635"/>
    </w:p>
    <w:p w14:paraId="0C6BE9F8">
      <w:pPr>
        <w:pageBreakBefore w:val="0"/>
        <w:widowControl/>
        <w:kinsoku/>
        <w:overflowPunct/>
        <w:topLinePunct/>
        <w:bidi w:val="0"/>
        <w:spacing w:line="600" w:lineRule="exact"/>
        <w:ind w:firstLine="480" w:firstLineChars="200"/>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3.5.1 评标委员会完成评标后，应当向招标人递交书面评标报告。评标委员会分组评审的，应当形成统一、完整的评标报告。</w:t>
      </w:r>
    </w:p>
    <w:p w14:paraId="015488C5">
      <w:pPr>
        <w:pageBreakBefore w:val="0"/>
        <w:widowControl/>
        <w:kinsoku/>
        <w:overflowPunct/>
        <w:topLinePunct/>
        <w:bidi w:val="0"/>
        <w:spacing w:line="600" w:lineRule="exact"/>
        <w:ind w:firstLine="480" w:firstLineChars="200"/>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3.5.2 评标报告应当包括下列内容：</w:t>
      </w:r>
    </w:p>
    <w:p w14:paraId="346E3D5E">
      <w:pPr>
        <w:pageBreakBefore w:val="0"/>
        <w:widowControl/>
        <w:kinsoku/>
        <w:overflowPunct/>
        <w:topLinePunct/>
        <w:bidi w:val="0"/>
        <w:spacing w:line="600" w:lineRule="exact"/>
        <w:ind w:left="283" w:leftChars="135" w:firstLine="480" w:firstLineChars="200"/>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（1）项目简况；</w:t>
      </w:r>
    </w:p>
    <w:p w14:paraId="665A519E">
      <w:pPr>
        <w:pageBreakBefore w:val="0"/>
        <w:widowControl/>
        <w:kinsoku/>
        <w:overflowPunct/>
        <w:topLinePunct/>
        <w:bidi w:val="0"/>
        <w:spacing w:line="600" w:lineRule="exact"/>
        <w:ind w:left="283" w:leftChars="135" w:firstLine="480" w:firstLineChars="200"/>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（2）开标情况；</w:t>
      </w:r>
    </w:p>
    <w:p w14:paraId="5B1B050A">
      <w:pPr>
        <w:pageBreakBefore w:val="0"/>
        <w:widowControl/>
        <w:kinsoku/>
        <w:overflowPunct/>
        <w:topLinePunct/>
        <w:bidi w:val="0"/>
        <w:spacing w:line="600" w:lineRule="exact"/>
        <w:ind w:left="283" w:leftChars="135" w:firstLine="480" w:firstLineChars="200"/>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（3）评标方法、评分标准；</w:t>
      </w:r>
    </w:p>
    <w:p w14:paraId="183F120C">
      <w:pPr>
        <w:pageBreakBefore w:val="0"/>
        <w:widowControl/>
        <w:kinsoku/>
        <w:overflowPunct/>
        <w:topLinePunct/>
        <w:bidi w:val="0"/>
        <w:spacing w:line="600" w:lineRule="exact"/>
        <w:ind w:left="283" w:leftChars="135" w:firstLine="480" w:firstLineChars="200"/>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（4）初步评审情况；</w:t>
      </w:r>
    </w:p>
    <w:p w14:paraId="3AD90D26">
      <w:pPr>
        <w:pageBreakBefore w:val="0"/>
        <w:widowControl/>
        <w:kinsoku/>
        <w:overflowPunct/>
        <w:topLinePunct/>
        <w:bidi w:val="0"/>
        <w:spacing w:line="600" w:lineRule="exact"/>
        <w:ind w:left="283" w:leftChars="135" w:firstLine="480" w:firstLineChars="200"/>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（5）否决投标的情况说明；</w:t>
      </w:r>
    </w:p>
    <w:p w14:paraId="435C25D7">
      <w:pPr>
        <w:pageBreakBefore w:val="0"/>
        <w:widowControl/>
        <w:kinsoku/>
        <w:overflowPunct/>
        <w:topLinePunct/>
        <w:bidi w:val="0"/>
        <w:spacing w:line="600" w:lineRule="exact"/>
        <w:ind w:left="283" w:leftChars="135" w:firstLine="480" w:firstLineChars="200"/>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（6）详细评审情况；</w:t>
      </w:r>
    </w:p>
    <w:p w14:paraId="7120E560">
      <w:pPr>
        <w:pageBreakBefore w:val="0"/>
        <w:widowControl/>
        <w:kinsoku/>
        <w:overflowPunct/>
        <w:topLinePunct/>
        <w:bidi w:val="0"/>
        <w:spacing w:line="600" w:lineRule="exact"/>
        <w:ind w:left="283" w:leftChars="135" w:firstLine="480" w:firstLineChars="200"/>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（7）评标委员会意见；</w:t>
      </w:r>
    </w:p>
    <w:p w14:paraId="2B5E7182">
      <w:pPr>
        <w:pageBreakBefore w:val="0"/>
        <w:widowControl/>
        <w:kinsoku/>
        <w:overflowPunct/>
        <w:topLinePunct/>
        <w:bidi w:val="0"/>
        <w:spacing w:line="600" w:lineRule="exact"/>
        <w:ind w:left="283" w:leftChars="135" w:firstLine="480" w:firstLineChars="200"/>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（8）合同签订注意事项；</w:t>
      </w:r>
    </w:p>
    <w:p w14:paraId="47812CA2">
      <w:pPr>
        <w:pageBreakBefore w:val="0"/>
        <w:widowControl/>
        <w:kinsoku/>
        <w:overflowPunct/>
        <w:topLinePunct/>
        <w:bidi w:val="0"/>
        <w:spacing w:line="600" w:lineRule="exact"/>
        <w:ind w:left="283" w:leftChars="135" w:firstLine="480" w:firstLineChars="200"/>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（9）澄清、说明及补正事项；</w:t>
      </w:r>
    </w:p>
    <w:p w14:paraId="5CDCE613">
      <w:pPr>
        <w:pageBreakBefore w:val="0"/>
        <w:widowControl/>
        <w:kinsoku/>
        <w:overflowPunct/>
        <w:topLinePunct/>
        <w:bidi w:val="0"/>
        <w:spacing w:line="600" w:lineRule="exact"/>
        <w:ind w:left="283" w:leftChars="135" w:firstLine="480" w:firstLineChars="200"/>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（10）附件（《开标记录表》《评审专家签到表》《初步审查表》《评标专家个人评分表》《价格评分汇总表》《综合得分汇总表》）；</w:t>
      </w:r>
    </w:p>
    <w:p w14:paraId="1080BE68">
      <w:pPr>
        <w:pageBreakBefore w:val="0"/>
        <w:widowControl/>
        <w:kinsoku/>
        <w:overflowPunct/>
        <w:topLinePunct/>
        <w:bidi w:val="0"/>
        <w:spacing w:line="600" w:lineRule="exact"/>
        <w:ind w:left="283" w:leftChars="135" w:firstLine="480" w:firstLineChars="200"/>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（11）拒绝在评标报告上签字的评标委员会成员名单及其陈述的不同意见和理由；</w:t>
      </w:r>
    </w:p>
    <w:p w14:paraId="45BD2DEC">
      <w:pPr>
        <w:pageBreakBefore w:val="0"/>
        <w:widowControl/>
        <w:kinsoku/>
        <w:overflowPunct/>
        <w:topLinePunct/>
        <w:bidi w:val="0"/>
        <w:spacing w:line="600" w:lineRule="exact"/>
        <w:ind w:left="283" w:leftChars="135" w:firstLine="480" w:firstLineChars="200"/>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（12）其他。</w:t>
      </w:r>
    </w:p>
    <w:p w14:paraId="43850815">
      <w:pPr>
        <w:pStyle w:val="3"/>
        <w:pageBreakBefore w:val="0"/>
        <w:numPr>
          <w:ilvl w:val="0"/>
          <w:numId w:val="2"/>
        </w:numPr>
        <w:kinsoku/>
        <w:overflowPunct/>
        <w:bidi w:val="0"/>
        <w:spacing w:line="600" w:lineRule="exact"/>
        <w:rPr>
          <w:rFonts w:hint="eastAsia" w:ascii="仿宋" w:hAnsi="仿宋" w:cs="宋体"/>
          <w:color w:val="auto"/>
          <w:highlight w:val="none"/>
        </w:rPr>
      </w:pPr>
      <w:bookmarkStart w:id="636" w:name="_Toc20727"/>
      <w:bookmarkStart w:id="637" w:name="_Toc109124312"/>
      <w:bookmarkStart w:id="638" w:name="_Toc65682987"/>
      <w:bookmarkStart w:id="639" w:name="_Toc27416"/>
      <w:r>
        <w:rPr>
          <w:rFonts w:hint="eastAsia" w:ascii="仿宋" w:hAnsi="仿宋" w:cs="宋体"/>
          <w:color w:val="auto"/>
          <w:highlight w:val="none"/>
        </w:rPr>
        <w:t>合同条款</w:t>
      </w:r>
      <w:bookmarkEnd w:id="636"/>
      <w:bookmarkEnd w:id="637"/>
      <w:bookmarkEnd w:id="638"/>
      <w:bookmarkEnd w:id="639"/>
    </w:p>
    <w:p w14:paraId="05421C63">
      <w:pPr>
        <w:keepNext w:val="0"/>
        <w:keepLines w:val="0"/>
        <w:widowControl/>
        <w:suppressLineNumbers w:val="0"/>
        <w:spacing w:before="100" w:beforeAutospacing="1" w:after="100" w:afterAutospacing="1" w:line="310" w:lineRule="exact"/>
        <w:ind w:left="0" w:right="0"/>
        <w:jc w:val="center"/>
        <w:rPr>
          <w:color w:val="auto"/>
          <w:highlight w:val="none"/>
        </w:rPr>
      </w:pPr>
      <w:r>
        <w:rPr>
          <w:rFonts w:hint="eastAsia" w:ascii="宋体" w:hAnsi="宋体" w:eastAsia="宋体" w:cs="宋体"/>
          <w:b/>
          <w:bCs/>
          <w:color w:val="auto"/>
          <w:sz w:val="21"/>
          <w:szCs w:val="21"/>
          <w:highlight w:val="none"/>
        </w:rPr>
        <w:t>合同正文</w:t>
      </w:r>
    </w:p>
    <w:p w14:paraId="08D365F0">
      <w:pPr>
        <w:keepNext w:val="0"/>
        <w:keepLines w:val="0"/>
        <w:widowControl/>
        <w:suppressLineNumbers w:val="0"/>
        <w:spacing w:before="100" w:beforeAutospacing="1" w:after="100" w:afterAutospacing="1" w:line="310" w:lineRule="exact"/>
        <w:ind w:left="0" w:right="0" w:firstLine="525"/>
        <w:jc w:val="left"/>
        <w:rPr>
          <w:color w:val="auto"/>
          <w:highlight w:val="none"/>
        </w:rPr>
      </w:pPr>
      <w:r>
        <w:rPr>
          <w:rFonts w:hint="eastAsia" w:ascii="宋体" w:hAnsi="宋体" w:eastAsia="宋体" w:cs="宋体"/>
          <w:b/>
          <w:bCs w:val="0"/>
          <w:color w:val="auto"/>
          <w:sz w:val="21"/>
          <w:szCs w:val="21"/>
          <w:highlight w:val="none"/>
        </w:rPr>
        <w:t xml:space="preserve">第一条 </w:t>
      </w:r>
      <w:r>
        <w:rPr>
          <w:rFonts w:hint="eastAsia" w:ascii="宋体" w:hAnsi="宋体" w:eastAsia="宋体" w:cs="宋体"/>
          <w:color w:val="auto"/>
          <w:sz w:val="21"/>
          <w:szCs w:val="21"/>
          <w:highlight w:val="none"/>
        </w:rPr>
        <w:t>工程概况</w:t>
      </w:r>
      <w:r>
        <w:rPr>
          <w:rFonts w:hint="eastAsia" w:ascii="宋体" w:hAnsi="宋体" w:eastAsia="宋体" w:cs="宋体"/>
          <w:color w:val="auto"/>
          <w:sz w:val="21"/>
          <w:szCs w:val="21"/>
          <w:highlight w:val="none"/>
        </w:rPr>
        <w:br w:type="textWrapping"/>
      </w:r>
      <w:r>
        <w:rPr>
          <w:rFonts w:hint="eastAsia" w:ascii="宋体" w:hAnsi="宋体" w:eastAsia="宋体" w:cs="宋体"/>
          <w:b/>
          <w:bCs/>
          <w:color w:val="auto"/>
          <w:sz w:val="21"/>
          <w:szCs w:val="21"/>
          <w:highlight w:val="none"/>
        </w:rPr>
        <w:t>工程概况</w:t>
      </w:r>
      <w:r>
        <w:rPr>
          <w:rFonts w:hint="eastAsia" w:ascii="宋体" w:hAnsi="宋体" w:eastAsia="宋体" w:cs="宋体"/>
          <w:color w:val="auto"/>
          <w:sz w:val="21"/>
          <w:szCs w:val="21"/>
          <w:highlight w:val="none"/>
        </w:rPr>
        <w:br w:type="textWrapping"/>
      </w:r>
      <w:r>
        <w:rPr>
          <w:rFonts w:hint="eastAsia" w:ascii="宋体" w:hAnsi="宋体" w:eastAsia="宋体" w:cs="宋体"/>
          <w:color w:val="auto"/>
          <w:sz w:val="21"/>
          <w:szCs w:val="21"/>
          <w:highlight w:val="none"/>
        </w:rPr>
        <w:t>本合同项下甲乙双方约定的工程项目的概况见本合同【附件】。</w:t>
      </w:r>
    </w:p>
    <w:p w14:paraId="37B33F89">
      <w:pPr>
        <w:keepNext w:val="0"/>
        <w:keepLines w:val="0"/>
        <w:widowControl/>
        <w:suppressLineNumbers w:val="0"/>
        <w:spacing w:before="100" w:beforeAutospacing="1" w:after="100" w:afterAutospacing="1" w:line="310" w:lineRule="exact"/>
        <w:ind w:left="0" w:right="0" w:firstLine="525"/>
        <w:jc w:val="left"/>
        <w:rPr>
          <w:color w:val="auto"/>
          <w:highlight w:val="none"/>
        </w:rPr>
      </w:pPr>
      <w:r>
        <w:rPr>
          <w:rFonts w:hint="eastAsia" w:ascii="宋体" w:hAnsi="宋体" w:eastAsia="宋体" w:cs="宋体"/>
          <w:b/>
          <w:bCs w:val="0"/>
          <w:color w:val="auto"/>
          <w:sz w:val="21"/>
          <w:szCs w:val="21"/>
          <w:highlight w:val="none"/>
        </w:rPr>
        <w:t xml:space="preserve">第二条 </w:t>
      </w:r>
      <w:r>
        <w:rPr>
          <w:rFonts w:hint="eastAsia" w:ascii="宋体" w:hAnsi="宋体" w:eastAsia="宋体" w:cs="宋体"/>
          <w:color w:val="auto"/>
          <w:sz w:val="21"/>
          <w:szCs w:val="21"/>
          <w:highlight w:val="none"/>
        </w:rPr>
        <w:t>合同工期及质量标准</w:t>
      </w:r>
      <w:r>
        <w:rPr>
          <w:rFonts w:hint="eastAsia" w:ascii="宋体" w:hAnsi="宋体" w:eastAsia="宋体" w:cs="宋体"/>
          <w:color w:val="auto"/>
          <w:sz w:val="21"/>
          <w:szCs w:val="21"/>
          <w:highlight w:val="none"/>
        </w:rPr>
        <w:br w:type="textWrapping"/>
      </w:r>
      <w:r>
        <w:rPr>
          <w:rFonts w:hint="eastAsia" w:ascii="宋体" w:hAnsi="宋体" w:eastAsia="宋体" w:cs="宋体"/>
          <w:b/>
          <w:bCs/>
          <w:color w:val="auto"/>
          <w:sz w:val="21"/>
          <w:szCs w:val="21"/>
          <w:highlight w:val="none"/>
        </w:rPr>
        <w:t>合同工期及质量标准</w:t>
      </w:r>
      <w:r>
        <w:rPr>
          <w:rFonts w:hint="eastAsia" w:ascii="宋体" w:hAnsi="宋体" w:eastAsia="宋体" w:cs="宋体"/>
          <w:color w:val="auto"/>
          <w:sz w:val="21"/>
          <w:szCs w:val="21"/>
          <w:highlight w:val="none"/>
        </w:rPr>
        <w:br w:type="textWrapping"/>
      </w:r>
      <w:r>
        <w:rPr>
          <w:rFonts w:hint="eastAsia" w:ascii="宋体" w:hAnsi="宋体" w:eastAsia="宋体" w:cs="宋体"/>
          <w:color w:val="auto"/>
          <w:sz w:val="21"/>
          <w:szCs w:val="21"/>
          <w:highlight w:val="none"/>
        </w:rPr>
        <w:t>本合同项下甲乙双方约定的工程期限及质量标准见本合同【附件】。</w:t>
      </w:r>
    </w:p>
    <w:p w14:paraId="0E6A13C1">
      <w:pPr>
        <w:keepNext w:val="0"/>
        <w:keepLines w:val="0"/>
        <w:widowControl/>
        <w:suppressLineNumbers w:val="0"/>
        <w:spacing w:before="100" w:beforeAutospacing="1" w:after="100" w:afterAutospacing="1" w:line="310" w:lineRule="exact"/>
        <w:ind w:left="0" w:right="0" w:firstLine="525"/>
        <w:jc w:val="left"/>
        <w:rPr>
          <w:color w:val="auto"/>
          <w:highlight w:val="none"/>
        </w:rPr>
      </w:pPr>
      <w:r>
        <w:rPr>
          <w:rFonts w:hint="eastAsia" w:ascii="宋体" w:hAnsi="宋体" w:eastAsia="宋体" w:cs="宋体"/>
          <w:b/>
          <w:bCs w:val="0"/>
          <w:color w:val="auto"/>
          <w:sz w:val="21"/>
          <w:szCs w:val="21"/>
          <w:highlight w:val="none"/>
        </w:rPr>
        <w:t xml:space="preserve">第三条 </w:t>
      </w:r>
      <w:r>
        <w:rPr>
          <w:rFonts w:hint="eastAsia" w:ascii="宋体" w:hAnsi="宋体" w:eastAsia="宋体" w:cs="宋体"/>
          <w:b/>
          <w:bCs/>
          <w:color w:val="auto"/>
          <w:sz w:val="21"/>
          <w:szCs w:val="21"/>
          <w:highlight w:val="none"/>
        </w:rPr>
        <w:t>合同价格</w:t>
      </w:r>
    </w:p>
    <w:p w14:paraId="4DF0550A">
      <w:pPr>
        <w:keepNext w:val="0"/>
        <w:keepLines w:val="0"/>
        <w:widowControl/>
        <w:suppressLineNumbers w:val="0"/>
        <w:spacing w:before="100" w:beforeAutospacing="1" w:after="100" w:afterAutospacing="1" w:line="310" w:lineRule="exact"/>
        <w:ind w:left="0" w:right="0" w:firstLine="525"/>
        <w:jc w:val="left"/>
        <w:rPr>
          <w:color w:val="auto"/>
          <w:highlight w:val="none"/>
        </w:rPr>
      </w:pPr>
      <w:r>
        <w:rPr>
          <w:rFonts w:hint="eastAsia" w:ascii="宋体" w:hAnsi="宋体" w:eastAsia="宋体" w:cs="宋体"/>
          <w:color w:val="auto"/>
          <w:sz w:val="21"/>
          <w:szCs w:val="21"/>
          <w:highlight w:val="none"/>
        </w:rPr>
        <w:t>（一） 合同价格（含税）总计为RMB_______元（大写：_______）。</w:t>
      </w:r>
    </w:p>
    <w:p w14:paraId="3BA110CE">
      <w:pPr>
        <w:keepNext w:val="0"/>
        <w:keepLines w:val="0"/>
        <w:widowControl/>
        <w:suppressLineNumbers w:val="0"/>
        <w:spacing w:before="100" w:beforeAutospacing="1" w:after="100" w:afterAutospacing="1" w:line="310" w:lineRule="exact"/>
        <w:ind w:left="0" w:right="0" w:firstLine="525"/>
        <w:jc w:val="left"/>
        <w:rPr>
          <w:color w:val="auto"/>
          <w:highlight w:val="none"/>
        </w:rPr>
      </w:pPr>
      <w:r>
        <w:rPr>
          <w:rFonts w:hint="eastAsia" w:ascii="宋体" w:hAnsi="宋体" w:eastAsia="宋体" w:cs="宋体"/>
          <w:color w:val="auto"/>
          <w:sz w:val="21"/>
          <w:szCs w:val="21"/>
          <w:highlight w:val="none"/>
        </w:rPr>
        <w:t>（二） 上述合同价格为承包范围所确定的固定包干价，包括本工程的设计（如有）、供货、施工、安装、竣工验收及保修的所有费用，包括但不限于人工、材料及材料市场差价、机械费、其他直接及间接费用、临时设施费、现场经费、企业管理费、计划利润、税金（营业税、城市建设维护税和教育费附加）、需交纳的总包服务费（如有）、文明施工增加费、风险费、冬雨季施工费、技术措施费、安全措施费、扬尘费、工期奖、保险费、检验试验费、民扰及扰民费，及治安、消防、安全、环保等政府部门因进行本工程规定应由施工单位交纳的所有费用。除双方另有明确约定外，发包人不再向承包人另行支付其它任何费用。</w:t>
      </w:r>
    </w:p>
    <w:p w14:paraId="2D2D20F5">
      <w:pPr>
        <w:keepNext w:val="0"/>
        <w:keepLines w:val="0"/>
        <w:widowControl/>
        <w:suppressLineNumbers w:val="0"/>
        <w:spacing w:before="100" w:beforeAutospacing="1" w:after="100" w:afterAutospacing="1" w:line="310" w:lineRule="exact"/>
        <w:ind w:left="0" w:right="0" w:firstLine="525"/>
        <w:jc w:val="left"/>
        <w:rPr>
          <w:color w:val="auto"/>
          <w:highlight w:val="none"/>
        </w:rPr>
      </w:pPr>
      <w:r>
        <w:rPr>
          <w:rFonts w:hint="eastAsia" w:ascii="宋体" w:hAnsi="宋体" w:eastAsia="宋体" w:cs="宋体"/>
          <w:color w:val="auto"/>
          <w:sz w:val="21"/>
          <w:szCs w:val="21"/>
          <w:highlight w:val="none"/>
        </w:rPr>
        <w:t>（三） 本合同付款安排见【附件】。</w:t>
      </w:r>
    </w:p>
    <w:p w14:paraId="416F3284">
      <w:pPr>
        <w:keepNext w:val="0"/>
        <w:keepLines w:val="0"/>
        <w:widowControl/>
        <w:suppressLineNumbers w:val="0"/>
        <w:spacing w:before="100" w:beforeAutospacing="1" w:after="100" w:afterAutospacing="1" w:line="310" w:lineRule="exact"/>
        <w:ind w:left="0" w:right="0" w:firstLine="525"/>
        <w:jc w:val="left"/>
        <w:rPr>
          <w:color w:val="auto"/>
          <w:highlight w:val="none"/>
        </w:rPr>
      </w:pPr>
      <w:r>
        <w:rPr>
          <w:rFonts w:hint="eastAsia" w:ascii="宋体" w:hAnsi="宋体" w:eastAsia="宋体" w:cs="宋体"/>
          <w:color w:val="auto"/>
          <w:sz w:val="21"/>
          <w:szCs w:val="21"/>
          <w:highlight w:val="none"/>
        </w:rPr>
        <w:t>（四） ......</w:t>
      </w:r>
    </w:p>
    <w:p w14:paraId="6373A463">
      <w:pPr>
        <w:keepNext w:val="0"/>
        <w:keepLines w:val="0"/>
        <w:widowControl/>
        <w:suppressLineNumbers w:val="0"/>
        <w:spacing w:before="100" w:beforeAutospacing="1" w:after="100" w:afterAutospacing="1" w:line="310" w:lineRule="exact"/>
        <w:ind w:left="0" w:right="0" w:firstLine="525"/>
        <w:jc w:val="left"/>
        <w:rPr>
          <w:color w:val="auto"/>
          <w:highlight w:val="none"/>
        </w:rPr>
      </w:pPr>
      <w:r>
        <w:rPr>
          <w:rFonts w:hint="eastAsia" w:ascii="宋体" w:hAnsi="宋体" w:eastAsia="宋体" w:cs="宋体"/>
          <w:b/>
          <w:bCs w:val="0"/>
          <w:color w:val="auto"/>
          <w:sz w:val="21"/>
          <w:szCs w:val="21"/>
          <w:highlight w:val="none"/>
        </w:rPr>
        <w:t xml:space="preserve">第四条 </w:t>
      </w:r>
      <w:r>
        <w:rPr>
          <w:rFonts w:hint="eastAsia" w:ascii="宋体" w:hAnsi="宋体" w:eastAsia="宋体" w:cs="宋体"/>
          <w:b/>
          <w:bCs/>
          <w:color w:val="auto"/>
          <w:sz w:val="21"/>
          <w:szCs w:val="21"/>
          <w:highlight w:val="none"/>
        </w:rPr>
        <w:t>双方的权利和义务</w:t>
      </w:r>
    </w:p>
    <w:p w14:paraId="6876893B">
      <w:pPr>
        <w:keepNext w:val="0"/>
        <w:keepLines w:val="0"/>
        <w:widowControl/>
        <w:suppressLineNumbers w:val="0"/>
        <w:spacing w:before="100" w:beforeAutospacing="1" w:after="100" w:afterAutospacing="1" w:line="310" w:lineRule="exact"/>
        <w:ind w:left="420" w:leftChars="200" w:right="0" w:firstLine="105" w:firstLineChars="50"/>
        <w:jc w:val="left"/>
        <w:rPr>
          <w:color w:val="auto"/>
          <w:highlight w:val="none"/>
        </w:rPr>
      </w:pPr>
      <w:r>
        <w:rPr>
          <w:rFonts w:hint="eastAsia" w:ascii="宋体" w:hAnsi="宋体" w:eastAsia="宋体" w:cs="宋体"/>
          <w:color w:val="auto"/>
          <w:sz w:val="21"/>
          <w:szCs w:val="21"/>
          <w:highlight w:val="none"/>
        </w:rPr>
        <w:t>（一） 发包人的权利和义务</w:t>
      </w:r>
      <w:r>
        <w:rPr>
          <w:rFonts w:hint="eastAsia" w:ascii="宋体" w:hAnsi="宋体" w:eastAsia="宋体" w:cs="宋体"/>
          <w:color w:val="auto"/>
          <w:sz w:val="21"/>
          <w:szCs w:val="21"/>
          <w:highlight w:val="none"/>
        </w:rPr>
        <w:br w:type="textWrapping"/>
      </w:r>
      <w:r>
        <w:rPr>
          <w:rFonts w:hint="eastAsia" w:ascii="宋体" w:hAnsi="宋体" w:eastAsia="宋体" w:cs="宋体"/>
          <w:color w:val="auto"/>
          <w:sz w:val="21"/>
          <w:szCs w:val="21"/>
          <w:highlight w:val="none"/>
        </w:rPr>
        <w:t>（1）发包人为承包人的施工提供协助和配合；</w:t>
      </w:r>
      <w:r>
        <w:rPr>
          <w:rFonts w:hint="eastAsia" w:ascii="宋体" w:hAnsi="宋体" w:eastAsia="宋体" w:cs="宋体"/>
          <w:color w:val="auto"/>
          <w:sz w:val="21"/>
          <w:szCs w:val="21"/>
          <w:highlight w:val="none"/>
        </w:rPr>
        <w:br w:type="textWrapping"/>
      </w:r>
      <w:r>
        <w:rPr>
          <w:rFonts w:hint="eastAsia" w:ascii="宋体" w:hAnsi="宋体" w:eastAsia="宋体" w:cs="宋体"/>
          <w:color w:val="auto"/>
          <w:sz w:val="21"/>
          <w:szCs w:val="21"/>
          <w:highlight w:val="none"/>
        </w:rPr>
        <w:t>（2）施工场地具备开工条件后，发包人应按约定及时向承包人交付施工现场；</w:t>
      </w:r>
      <w:r>
        <w:rPr>
          <w:rFonts w:hint="eastAsia" w:ascii="宋体" w:hAnsi="宋体" w:eastAsia="宋体" w:cs="宋体"/>
          <w:color w:val="auto"/>
          <w:sz w:val="21"/>
          <w:szCs w:val="21"/>
          <w:highlight w:val="none"/>
        </w:rPr>
        <w:br w:type="textWrapping"/>
      </w:r>
      <w:r>
        <w:rPr>
          <w:rFonts w:hint="eastAsia" w:ascii="宋体" w:hAnsi="宋体" w:eastAsia="宋体" w:cs="宋体"/>
          <w:color w:val="auto"/>
          <w:sz w:val="21"/>
          <w:szCs w:val="21"/>
          <w:highlight w:val="none"/>
        </w:rPr>
        <w:t>（3）开工前向承包人提供施工图纸；</w:t>
      </w:r>
      <w:r>
        <w:rPr>
          <w:rFonts w:hint="eastAsia" w:ascii="宋体" w:hAnsi="宋体" w:eastAsia="宋体" w:cs="宋体"/>
          <w:color w:val="auto"/>
          <w:sz w:val="21"/>
          <w:szCs w:val="21"/>
          <w:highlight w:val="none"/>
        </w:rPr>
        <w:br w:type="textWrapping"/>
      </w:r>
      <w:r>
        <w:rPr>
          <w:rFonts w:hint="eastAsia" w:ascii="宋体" w:hAnsi="宋体" w:eastAsia="宋体" w:cs="宋体"/>
          <w:color w:val="auto"/>
          <w:sz w:val="21"/>
          <w:szCs w:val="21"/>
          <w:highlight w:val="none"/>
        </w:rPr>
        <w:t>（4）协调物业公司及有关部门做好通道、电梯等设施的使用；</w:t>
      </w:r>
      <w:r>
        <w:rPr>
          <w:rFonts w:hint="eastAsia" w:ascii="宋体" w:hAnsi="宋体" w:eastAsia="宋体" w:cs="宋体"/>
          <w:color w:val="auto"/>
          <w:sz w:val="21"/>
          <w:szCs w:val="21"/>
          <w:highlight w:val="none"/>
        </w:rPr>
        <w:br w:type="textWrapping"/>
      </w:r>
      <w:r>
        <w:rPr>
          <w:rFonts w:hint="eastAsia" w:ascii="宋体" w:hAnsi="宋体" w:eastAsia="宋体" w:cs="宋体"/>
          <w:color w:val="auto"/>
          <w:sz w:val="21"/>
          <w:szCs w:val="21"/>
          <w:highlight w:val="none"/>
        </w:rPr>
        <w:t>（5）指派驻工地代表，负责对工程质量、进度进行监督检查，办理验收、变更洽商手续及其他事宜；</w:t>
      </w:r>
      <w:r>
        <w:rPr>
          <w:rFonts w:hint="eastAsia" w:ascii="宋体" w:hAnsi="宋体" w:eastAsia="宋体" w:cs="宋体"/>
          <w:color w:val="auto"/>
          <w:sz w:val="21"/>
          <w:szCs w:val="21"/>
          <w:highlight w:val="none"/>
        </w:rPr>
        <w:br w:type="textWrapping"/>
      </w:r>
      <w:r>
        <w:rPr>
          <w:rFonts w:hint="eastAsia" w:ascii="宋体" w:hAnsi="宋体" w:eastAsia="宋体" w:cs="宋体"/>
          <w:color w:val="auto"/>
          <w:sz w:val="21"/>
          <w:szCs w:val="21"/>
          <w:highlight w:val="none"/>
        </w:rPr>
        <w:t>（6）开工时向承包人提供原始水、电、燃气、暖气管道等管道线路图纸，如经发包人认可确实需要拆改原建筑物结构或设备管线，由发包人负责协调到有关部门办理相应审批手续；</w:t>
      </w:r>
      <w:r>
        <w:rPr>
          <w:rFonts w:hint="eastAsia" w:ascii="宋体" w:hAnsi="宋体" w:eastAsia="宋体" w:cs="宋体"/>
          <w:color w:val="auto"/>
          <w:sz w:val="21"/>
          <w:szCs w:val="21"/>
          <w:highlight w:val="none"/>
        </w:rPr>
        <w:br w:type="textWrapping"/>
      </w:r>
      <w:r>
        <w:rPr>
          <w:rFonts w:hint="eastAsia" w:ascii="宋体" w:hAnsi="宋体" w:eastAsia="宋体" w:cs="宋体"/>
          <w:color w:val="auto"/>
          <w:sz w:val="21"/>
          <w:szCs w:val="21"/>
          <w:highlight w:val="none"/>
        </w:rPr>
        <w:t>（7）知会邻里在施工期限间产生的灰尘和噪音可能对其生活和工作环境造成的影响，协调邻里关系；</w:t>
      </w:r>
      <w:r>
        <w:rPr>
          <w:rFonts w:hint="eastAsia" w:ascii="宋体" w:hAnsi="宋体" w:eastAsia="宋体" w:cs="宋体"/>
          <w:color w:val="auto"/>
          <w:sz w:val="21"/>
          <w:szCs w:val="21"/>
          <w:highlight w:val="none"/>
        </w:rPr>
        <w:br w:type="textWrapping"/>
      </w:r>
      <w:r>
        <w:rPr>
          <w:rFonts w:hint="eastAsia" w:ascii="宋体" w:hAnsi="宋体" w:eastAsia="宋体" w:cs="宋体"/>
          <w:color w:val="auto"/>
          <w:sz w:val="21"/>
          <w:szCs w:val="21"/>
          <w:highlight w:val="none"/>
        </w:rPr>
        <w:t>（8）发包人享有其他双方约定的权利、承担其他双方约定的义务。</w:t>
      </w:r>
    </w:p>
    <w:p w14:paraId="2B0FF4A3">
      <w:pPr>
        <w:keepNext w:val="0"/>
        <w:keepLines w:val="0"/>
        <w:widowControl/>
        <w:suppressLineNumbers w:val="0"/>
        <w:spacing w:before="100" w:beforeAutospacing="1" w:after="100" w:afterAutospacing="1" w:line="310" w:lineRule="exact"/>
        <w:ind w:left="420" w:leftChars="200" w:right="0" w:firstLine="105" w:firstLineChars="50"/>
        <w:jc w:val="left"/>
        <w:rPr>
          <w:color w:val="auto"/>
          <w:highlight w:val="none"/>
        </w:rPr>
      </w:pPr>
      <w:r>
        <w:rPr>
          <w:rFonts w:hint="eastAsia" w:ascii="宋体" w:hAnsi="宋体" w:eastAsia="宋体" w:cs="宋体"/>
          <w:color w:val="auto"/>
          <w:sz w:val="21"/>
          <w:szCs w:val="21"/>
          <w:highlight w:val="none"/>
        </w:rPr>
        <w:t>（二） 承包人的权利和义务</w:t>
      </w:r>
      <w:r>
        <w:rPr>
          <w:rFonts w:hint="eastAsia" w:ascii="宋体" w:hAnsi="宋体" w:eastAsia="宋体" w:cs="宋体"/>
          <w:color w:val="auto"/>
          <w:sz w:val="21"/>
          <w:szCs w:val="21"/>
          <w:highlight w:val="none"/>
        </w:rPr>
        <w:br w:type="textWrapping"/>
      </w:r>
      <w:r>
        <w:rPr>
          <w:rFonts w:hint="eastAsia" w:ascii="宋体" w:hAnsi="宋体" w:eastAsia="宋体" w:cs="宋体"/>
          <w:color w:val="auto"/>
          <w:sz w:val="21"/>
          <w:szCs w:val="21"/>
          <w:highlight w:val="none"/>
        </w:rPr>
        <w:t>（1）承包人在开工前应按照政府及相关部门、物业公司的要求办理一切施工所需手续，并缴纳有关的费用和装修押金；</w:t>
      </w:r>
      <w:r>
        <w:rPr>
          <w:rFonts w:hint="eastAsia" w:ascii="宋体" w:hAnsi="宋体" w:eastAsia="宋体" w:cs="宋体"/>
          <w:color w:val="auto"/>
          <w:sz w:val="21"/>
          <w:szCs w:val="21"/>
          <w:highlight w:val="none"/>
        </w:rPr>
        <w:br w:type="textWrapping"/>
      </w:r>
      <w:r>
        <w:rPr>
          <w:rFonts w:hint="eastAsia" w:ascii="宋体" w:hAnsi="宋体" w:eastAsia="宋体" w:cs="宋体"/>
          <w:color w:val="auto"/>
          <w:sz w:val="21"/>
          <w:szCs w:val="21"/>
          <w:highlight w:val="none"/>
        </w:rPr>
        <w:t>（2）拟定施工方案和进度计划，开工前交发包人审定后执行；</w:t>
      </w:r>
      <w:r>
        <w:rPr>
          <w:rFonts w:hint="eastAsia" w:ascii="宋体" w:hAnsi="宋体" w:eastAsia="宋体" w:cs="宋体"/>
          <w:color w:val="auto"/>
          <w:sz w:val="21"/>
          <w:szCs w:val="21"/>
          <w:highlight w:val="none"/>
        </w:rPr>
        <w:br w:type="textWrapping"/>
      </w:r>
      <w:r>
        <w:rPr>
          <w:rFonts w:hint="eastAsia" w:ascii="宋体" w:hAnsi="宋体" w:eastAsia="宋体" w:cs="宋体"/>
          <w:color w:val="auto"/>
          <w:sz w:val="21"/>
          <w:szCs w:val="21"/>
          <w:highlight w:val="none"/>
        </w:rPr>
        <w:t>（3）开工前，应将施工主要负责人员名单报发包人确认、备案，如承包人更换施工主要负责人时，必须事先征得发包人书面同意；</w:t>
      </w:r>
      <w:r>
        <w:rPr>
          <w:rFonts w:hint="eastAsia" w:ascii="宋体" w:hAnsi="宋体" w:eastAsia="宋体" w:cs="宋体"/>
          <w:color w:val="auto"/>
          <w:sz w:val="21"/>
          <w:szCs w:val="21"/>
          <w:highlight w:val="none"/>
        </w:rPr>
        <w:br w:type="textWrapping"/>
      </w:r>
      <w:r>
        <w:rPr>
          <w:rFonts w:hint="eastAsia" w:ascii="宋体" w:hAnsi="宋体" w:eastAsia="宋体" w:cs="宋体"/>
          <w:color w:val="auto"/>
          <w:sz w:val="21"/>
          <w:szCs w:val="21"/>
          <w:highlight w:val="none"/>
        </w:rPr>
        <w:t>（4）指派驻工地代表，并将其姓名、简历及联系方式书面告知发包人，负责履行合同，组织施工，按期限保质保量完成施工任务，解决由承包人负责的各项事宜；</w:t>
      </w:r>
      <w:r>
        <w:rPr>
          <w:rFonts w:hint="eastAsia" w:ascii="宋体" w:hAnsi="宋体" w:eastAsia="宋体" w:cs="宋体"/>
          <w:color w:val="auto"/>
          <w:sz w:val="21"/>
          <w:szCs w:val="21"/>
          <w:highlight w:val="none"/>
        </w:rPr>
        <w:br w:type="textWrapping"/>
      </w:r>
      <w:r>
        <w:rPr>
          <w:rFonts w:hint="eastAsia" w:ascii="宋体" w:hAnsi="宋体" w:eastAsia="宋体" w:cs="宋体"/>
          <w:color w:val="auto"/>
          <w:sz w:val="21"/>
          <w:szCs w:val="21"/>
          <w:highlight w:val="none"/>
        </w:rPr>
        <w:t>（5）严格执行施工规范、安全操作规程、防火安全和环境保护规定。严格按照图纸或作法说明进行施工，做好各项事宜；</w:t>
      </w:r>
      <w:r>
        <w:rPr>
          <w:rFonts w:hint="eastAsia" w:ascii="宋体" w:hAnsi="宋体" w:eastAsia="宋体" w:cs="宋体"/>
          <w:color w:val="auto"/>
          <w:sz w:val="21"/>
          <w:szCs w:val="21"/>
          <w:highlight w:val="none"/>
        </w:rPr>
        <w:br w:type="textWrapping"/>
      </w:r>
      <w:r>
        <w:rPr>
          <w:rFonts w:hint="eastAsia" w:ascii="宋体" w:hAnsi="宋体" w:eastAsia="宋体" w:cs="宋体"/>
          <w:color w:val="auto"/>
          <w:sz w:val="21"/>
          <w:szCs w:val="21"/>
          <w:highlight w:val="none"/>
        </w:rPr>
        <w:t>（6）遵守政府有关主管部门及物业公司对施工场地交通及通道、施工噪音以及环境保护、安全生产、施工时间等的管理规定，按规定办理有关手续，并以书面形式通知发包人；</w:t>
      </w:r>
      <w:r>
        <w:rPr>
          <w:rFonts w:hint="eastAsia" w:ascii="宋体" w:hAnsi="宋体" w:eastAsia="宋体" w:cs="宋体"/>
          <w:color w:val="auto"/>
          <w:sz w:val="21"/>
          <w:szCs w:val="21"/>
          <w:highlight w:val="none"/>
        </w:rPr>
        <w:br w:type="textWrapping"/>
      </w:r>
      <w:r>
        <w:rPr>
          <w:rFonts w:hint="eastAsia" w:ascii="宋体" w:hAnsi="宋体" w:eastAsia="宋体" w:cs="宋体"/>
          <w:color w:val="auto"/>
          <w:sz w:val="21"/>
          <w:szCs w:val="21"/>
          <w:highlight w:val="none"/>
        </w:rPr>
        <w:t>（7）已竣工工程未交付发包人之前，承包人负责成品的保护工作，保护期间发生损坏，承包人自费予以修复；</w:t>
      </w:r>
      <w:r>
        <w:rPr>
          <w:rFonts w:hint="eastAsia" w:ascii="宋体" w:hAnsi="宋体" w:eastAsia="宋体" w:cs="宋体"/>
          <w:color w:val="auto"/>
          <w:sz w:val="21"/>
          <w:szCs w:val="21"/>
          <w:highlight w:val="none"/>
        </w:rPr>
        <w:br w:type="textWrapping"/>
      </w:r>
      <w:r>
        <w:rPr>
          <w:rFonts w:hint="eastAsia" w:ascii="宋体" w:hAnsi="宋体" w:eastAsia="宋体" w:cs="宋体"/>
          <w:color w:val="auto"/>
          <w:sz w:val="21"/>
          <w:szCs w:val="21"/>
          <w:highlight w:val="none"/>
        </w:rPr>
        <w:t>（8）妥善保管发包人堆放在现场的财产和物品，做好施工所涉设备设施及管线和邻近建筑物、构筑物的保护工作，并承担相关费用，造成损失的由承包人承担责任；</w:t>
      </w:r>
      <w:r>
        <w:rPr>
          <w:rFonts w:hint="eastAsia" w:ascii="宋体" w:hAnsi="宋体" w:eastAsia="宋体" w:cs="宋体"/>
          <w:color w:val="auto"/>
          <w:sz w:val="21"/>
          <w:szCs w:val="21"/>
          <w:highlight w:val="none"/>
        </w:rPr>
        <w:br w:type="textWrapping"/>
      </w:r>
      <w:r>
        <w:rPr>
          <w:rFonts w:hint="eastAsia" w:ascii="宋体" w:hAnsi="宋体" w:eastAsia="宋体" w:cs="宋体"/>
          <w:color w:val="auto"/>
          <w:sz w:val="21"/>
          <w:szCs w:val="21"/>
          <w:highlight w:val="none"/>
        </w:rPr>
        <w:t>（9）保证施工场地清洁符合环境卫生管理的有关规定，交工前清理现场达到规定要求，承担因自身原因违反有关规定造成的损失和罚款；</w:t>
      </w:r>
      <w:r>
        <w:rPr>
          <w:rFonts w:hint="eastAsia" w:ascii="宋体" w:hAnsi="宋体" w:eastAsia="宋体" w:cs="宋体"/>
          <w:color w:val="auto"/>
          <w:sz w:val="21"/>
          <w:szCs w:val="21"/>
          <w:highlight w:val="none"/>
        </w:rPr>
        <w:br w:type="textWrapping"/>
      </w:r>
      <w:r>
        <w:rPr>
          <w:rFonts w:hint="eastAsia" w:ascii="宋体" w:hAnsi="宋体" w:eastAsia="宋体" w:cs="宋体"/>
          <w:color w:val="auto"/>
          <w:sz w:val="21"/>
          <w:szCs w:val="21"/>
          <w:highlight w:val="none"/>
        </w:rPr>
        <w:t>（10）遵守国家或地方政府及有关部门对施工现场管理的规定，做好施工现场保卫和垃圾清运等工作，处理好由于施工带来的扰民问题及与周围单位的关系；</w:t>
      </w:r>
      <w:r>
        <w:rPr>
          <w:rFonts w:hint="eastAsia" w:ascii="宋体" w:hAnsi="宋体" w:eastAsia="宋体" w:cs="宋体"/>
          <w:color w:val="auto"/>
          <w:sz w:val="21"/>
          <w:szCs w:val="21"/>
          <w:highlight w:val="none"/>
        </w:rPr>
        <w:br w:type="textWrapping"/>
      </w:r>
      <w:r>
        <w:rPr>
          <w:rFonts w:hint="eastAsia" w:ascii="宋体" w:hAnsi="宋体" w:eastAsia="宋体" w:cs="宋体"/>
          <w:color w:val="auto"/>
          <w:sz w:val="21"/>
          <w:szCs w:val="21"/>
          <w:highlight w:val="none"/>
        </w:rPr>
        <w:t>（11）施工中未经发包人同意或有关部门批准，不得随意拆改原建筑物结构及各种设备管线。未经发包人同意，承包人擅自拆改原建筑物结构或设备管线，由此发生的损失或造成的事故（包括罚款），由承包人负责并承担损失；</w:t>
      </w:r>
      <w:r>
        <w:rPr>
          <w:rFonts w:hint="eastAsia" w:ascii="宋体" w:hAnsi="宋体" w:eastAsia="宋体" w:cs="宋体"/>
          <w:color w:val="auto"/>
          <w:sz w:val="21"/>
          <w:szCs w:val="21"/>
          <w:highlight w:val="none"/>
        </w:rPr>
        <w:br w:type="textWrapping"/>
      </w:r>
      <w:r>
        <w:rPr>
          <w:rFonts w:hint="eastAsia" w:ascii="宋体" w:hAnsi="宋体" w:eastAsia="宋体" w:cs="宋体"/>
          <w:color w:val="auto"/>
          <w:sz w:val="21"/>
          <w:szCs w:val="21"/>
          <w:highlight w:val="none"/>
        </w:rPr>
        <w:t>（12）承包人有义务事先告知发包人未知的与本工程质量相关的事项，如承包人知道或根据经验应该知道的有关质量问题而未告知发包人，则造成的损失由承包人承担；</w:t>
      </w:r>
      <w:r>
        <w:rPr>
          <w:rFonts w:hint="eastAsia" w:ascii="宋体" w:hAnsi="宋体" w:eastAsia="宋体" w:cs="宋体"/>
          <w:color w:val="auto"/>
          <w:sz w:val="21"/>
          <w:szCs w:val="21"/>
          <w:highlight w:val="none"/>
        </w:rPr>
        <w:br w:type="textWrapping"/>
      </w:r>
      <w:r>
        <w:rPr>
          <w:rFonts w:hint="eastAsia" w:ascii="宋体" w:hAnsi="宋体" w:eastAsia="宋体" w:cs="宋体"/>
          <w:color w:val="auto"/>
          <w:sz w:val="21"/>
          <w:szCs w:val="21"/>
          <w:highlight w:val="none"/>
        </w:rPr>
        <w:t>（13）承包人负责工程的消防验收通过。验收不通过，承包人承担一切损失和责任。但如在消防验收未通过之前发包人擅自使用而造成的验收不通过，发包人承担相应的损失；</w:t>
      </w:r>
      <w:r>
        <w:rPr>
          <w:rFonts w:hint="eastAsia" w:ascii="宋体" w:hAnsi="宋体" w:eastAsia="宋体" w:cs="宋体"/>
          <w:color w:val="auto"/>
          <w:sz w:val="21"/>
          <w:szCs w:val="21"/>
          <w:highlight w:val="none"/>
        </w:rPr>
        <w:br w:type="textWrapping"/>
      </w:r>
      <w:r>
        <w:rPr>
          <w:rFonts w:hint="eastAsia" w:ascii="宋体" w:hAnsi="宋体" w:eastAsia="宋体" w:cs="宋体"/>
          <w:color w:val="auto"/>
          <w:sz w:val="21"/>
          <w:szCs w:val="21"/>
          <w:highlight w:val="none"/>
        </w:rPr>
        <w:t>（14）负责编制竣工验收报告及工程结算报告，并提交发包人审核；</w:t>
      </w:r>
      <w:r>
        <w:rPr>
          <w:rFonts w:hint="eastAsia" w:ascii="宋体" w:hAnsi="宋体" w:eastAsia="宋体" w:cs="宋体"/>
          <w:color w:val="auto"/>
          <w:sz w:val="21"/>
          <w:szCs w:val="21"/>
          <w:highlight w:val="none"/>
        </w:rPr>
        <w:br w:type="textWrapping"/>
      </w:r>
      <w:r>
        <w:rPr>
          <w:rFonts w:hint="eastAsia" w:ascii="宋体" w:hAnsi="宋体" w:eastAsia="宋体" w:cs="宋体"/>
          <w:color w:val="auto"/>
          <w:sz w:val="21"/>
          <w:szCs w:val="21"/>
          <w:highlight w:val="none"/>
        </w:rPr>
        <w:t>（15）承包人享有其他双方约定的权利、承担其他双方约定的义务。</w:t>
      </w:r>
    </w:p>
    <w:p w14:paraId="77D7E1A1">
      <w:pPr>
        <w:keepNext w:val="0"/>
        <w:keepLines w:val="0"/>
        <w:widowControl/>
        <w:suppressLineNumbers w:val="0"/>
        <w:spacing w:before="100" w:beforeAutospacing="1" w:after="100" w:afterAutospacing="1" w:line="310" w:lineRule="exact"/>
        <w:ind w:left="0" w:right="0" w:firstLine="525"/>
        <w:jc w:val="left"/>
        <w:rPr>
          <w:color w:val="auto"/>
          <w:highlight w:val="none"/>
        </w:rPr>
      </w:pPr>
      <w:r>
        <w:rPr>
          <w:rFonts w:hint="eastAsia" w:ascii="宋体" w:hAnsi="宋体" w:eastAsia="宋体" w:cs="宋体"/>
          <w:color w:val="auto"/>
          <w:sz w:val="21"/>
          <w:szCs w:val="21"/>
          <w:highlight w:val="none"/>
        </w:rPr>
        <w:t>（三） ......</w:t>
      </w:r>
    </w:p>
    <w:p w14:paraId="5AE22837">
      <w:pPr>
        <w:keepNext w:val="0"/>
        <w:keepLines w:val="0"/>
        <w:widowControl/>
        <w:suppressLineNumbers w:val="0"/>
        <w:spacing w:before="100" w:beforeAutospacing="1" w:after="100" w:afterAutospacing="1" w:line="310" w:lineRule="exact"/>
        <w:ind w:left="0" w:right="0" w:firstLine="525"/>
        <w:jc w:val="left"/>
        <w:rPr>
          <w:color w:val="auto"/>
          <w:highlight w:val="none"/>
        </w:rPr>
      </w:pPr>
      <w:r>
        <w:rPr>
          <w:rFonts w:hint="eastAsia" w:ascii="宋体" w:hAnsi="宋体" w:eastAsia="宋体" w:cs="宋体"/>
          <w:b/>
          <w:bCs w:val="0"/>
          <w:color w:val="auto"/>
          <w:sz w:val="21"/>
          <w:szCs w:val="21"/>
          <w:highlight w:val="none"/>
        </w:rPr>
        <w:t xml:space="preserve">第五条 </w:t>
      </w:r>
      <w:r>
        <w:rPr>
          <w:rFonts w:hint="eastAsia" w:ascii="宋体" w:hAnsi="宋体" w:eastAsia="宋体" w:cs="宋体"/>
          <w:b/>
          <w:bCs/>
          <w:color w:val="auto"/>
          <w:sz w:val="21"/>
          <w:szCs w:val="21"/>
          <w:highlight w:val="none"/>
        </w:rPr>
        <w:t>材料设备供应</w:t>
      </w:r>
    </w:p>
    <w:p w14:paraId="59E4D466">
      <w:pPr>
        <w:keepNext w:val="0"/>
        <w:keepLines w:val="0"/>
        <w:widowControl/>
        <w:suppressLineNumbers w:val="0"/>
        <w:spacing w:before="100" w:beforeAutospacing="1" w:after="100" w:afterAutospacing="1" w:line="310" w:lineRule="exact"/>
        <w:ind w:left="420" w:leftChars="200" w:right="0" w:firstLine="105" w:firstLineChars="50"/>
        <w:jc w:val="left"/>
        <w:rPr>
          <w:color w:val="auto"/>
          <w:highlight w:val="none"/>
        </w:rPr>
      </w:pPr>
      <w:r>
        <w:rPr>
          <w:rFonts w:hint="eastAsia" w:ascii="宋体" w:hAnsi="宋体" w:eastAsia="宋体" w:cs="宋体"/>
          <w:color w:val="auto"/>
          <w:sz w:val="21"/>
          <w:szCs w:val="21"/>
          <w:highlight w:val="none"/>
        </w:rPr>
        <w:t>（一） 材料设备供应</w:t>
      </w:r>
      <w:r>
        <w:rPr>
          <w:rFonts w:hint="eastAsia" w:ascii="宋体" w:hAnsi="宋体" w:eastAsia="宋体" w:cs="宋体"/>
          <w:color w:val="auto"/>
          <w:sz w:val="21"/>
          <w:szCs w:val="21"/>
          <w:highlight w:val="none"/>
        </w:rPr>
        <w:br w:type="textWrapping"/>
      </w:r>
      <w:r>
        <w:rPr>
          <w:rFonts w:hint="eastAsia" w:ascii="宋体" w:hAnsi="宋体" w:eastAsia="宋体" w:cs="宋体"/>
          <w:color w:val="auto"/>
          <w:sz w:val="21"/>
          <w:szCs w:val="21"/>
          <w:highlight w:val="none"/>
        </w:rPr>
        <w:t>（1）承包人提供的材料设备清单见本合同【附件】。</w:t>
      </w:r>
      <w:r>
        <w:rPr>
          <w:rFonts w:hint="eastAsia" w:ascii="宋体" w:hAnsi="宋体" w:eastAsia="宋体" w:cs="宋体"/>
          <w:color w:val="auto"/>
          <w:sz w:val="21"/>
          <w:szCs w:val="21"/>
          <w:highlight w:val="none"/>
        </w:rPr>
        <w:br w:type="textWrapping"/>
      </w:r>
      <w:r>
        <w:rPr>
          <w:rFonts w:hint="eastAsia" w:ascii="宋体" w:hAnsi="宋体" w:eastAsia="宋体" w:cs="宋体"/>
          <w:color w:val="auto"/>
          <w:sz w:val="21"/>
          <w:szCs w:val="21"/>
          <w:highlight w:val="none"/>
        </w:rPr>
        <w:t>（2）如有发包人供应材料，承包人有义务事先告知发包人准确的材料用量及符合施工条件的材料，否则造成的损失由承包人承担。若发包人不予采纳而造成工程质量问题及材料的浪费，由发包人负责。</w:t>
      </w:r>
    </w:p>
    <w:p w14:paraId="1BC652AA">
      <w:pPr>
        <w:keepNext w:val="0"/>
        <w:keepLines w:val="0"/>
        <w:widowControl/>
        <w:suppressLineNumbers w:val="0"/>
        <w:spacing w:before="100" w:beforeAutospacing="1" w:after="100" w:afterAutospacing="1" w:line="310" w:lineRule="exact"/>
        <w:ind w:left="420" w:leftChars="200" w:right="0" w:firstLine="105" w:firstLineChars="50"/>
        <w:jc w:val="left"/>
        <w:rPr>
          <w:color w:val="auto"/>
          <w:highlight w:val="none"/>
        </w:rPr>
      </w:pPr>
      <w:r>
        <w:rPr>
          <w:rFonts w:hint="eastAsia" w:ascii="宋体" w:hAnsi="宋体" w:eastAsia="宋体" w:cs="宋体"/>
          <w:color w:val="auto"/>
          <w:sz w:val="21"/>
          <w:szCs w:val="21"/>
          <w:highlight w:val="none"/>
        </w:rPr>
        <w:t>（二） 设备材料质量要求</w:t>
      </w:r>
      <w:r>
        <w:rPr>
          <w:rFonts w:hint="eastAsia" w:ascii="宋体" w:hAnsi="宋体" w:eastAsia="宋体" w:cs="宋体"/>
          <w:color w:val="auto"/>
          <w:sz w:val="21"/>
          <w:szCs w:val="21"/>
          <w:highlight w:val="none"/>
        </w:rPr>
        <w:br w:type="textWrapping"/>
      </w:r>
      <w:r>
        <w:rPr>
          <w:rFonts w:hint="eastAsia" w:ascii="宋体" w:hAnsi="宋体" w:eastAsia="宋体" w:cs="宋体"/>
          <w:color w:val="auto"/>
          <w:sz w:val="21"/>
          <w:szCs w:val="21"/>
          <w:highlight w:val="none"/>
        </w:rPr>
        <w:t>（1）承包人应就其材料设备向发包人提供产品合格证明、使用说明书等文件；若材料设备不符合质量要求，由承包人承担由此发生的责任和费用。</w:t>
      </w:r>
      <w:r>
        <w:rPr>
          <w:rFonts w:hint="eastAsia" w:ascii="宋体" w:hAnsi="宋体" w:eastAsia="宋体" w:cs="宋体"/>
          <w:color w:val="auto"/>
          <w:sz w:val="21"/>
          <w:szCs w:val="21"/>
          <w:highlight w:val="none"/>
        </w:rPr>
        <w:br w:type="textWrapping"/>
      </w:r>
      <w:r>
        <w:rPr>
          <w:rFonts w:hint="eastAsia" w:ascii="宋体" w:hAnsi="宋体" w:eastAsia="宋体" w:cs="宋体"/>
          <w:color w:val="auto"/>
          <w:sz w:val="21"/>
          <w:szCs w:val="21"/>
          <w:highlight w:val="none"/>
        </w:rPr>
        <w:t>（2）凡由承包人采购的材料、设备，如不符合质量要求或规格有差异，应禁止使用。若已使用，对工程造成质量问题及由此发生的损失由承包人承担。</w:t>
      </w:r>
      <w:r>
        <w:rPr>
          <w:rFonts w:hint="eastAsia" w:ascii="宋体" w:hAnsi="宋体" w:eastAsia="宋体" w:cs="宋体"/>
          <w:color w:val="auto"/>
          <w:sz w:val="21"/>
          <w:szCs w:val="21"/>
          <w:highlight w:val="none"/>
        </w:rPr>
        <w:br w:type="textWrapping"/>
      </w:r>
      <w:r>
        <w:rPr>
          <w:rFonts w:hint="eastAsia" w:ascii="宋体" w:hAnsi="宋体" w:eastAsia="宋体" w:cs="宋体"/>
          <w:color w:val="auto"/>
          <w:sz w:val="21"/>
          <w:szCs w:val="21"/>
          <w:highlight w:val="none"/>
        </w:rPr>
        <w:t>（3）凡由承包人供应的材料致使室内甲醛等有害物质浓度含量超标，造成环境污染的，承包人应承担相应责任并赔偿损失。</w:t>
      </w:r>
    </w:p>
    <w:p w14:paraId="00BCFC4F">
      <w:pPr>
        <w:keepNext w:val="0"/>
        <w:keepLines w:val="0"/>
        <w:widowControl/>
        <w:suppressLineNumbers w:val="0"/>
        <w:spacing w:before="100" w:beforeAutospacing="1" w:after="100" w:afterAutospacing="1" w:line="310" w:lineRule="exact"/>
        <w:ind w:left="0" w:right="0" w:firstLine="525"/>
        <w:jc w:val="left"/>
        <w:rPr>
          <w:color w:val="auto"/>
          <w:highlight w:val="none"/>
        </w:rPr>
      </w:pPr>
      <w:r>
        <w:rPr>
          <w:rFonts w:hint="eastAsia" w:ascii="宋体" w:hAnsi="宋体" w:eastAsia="宋体" w:cs="宋体"/>
          <w:color w:val="auto"/>
          <w:sz w:val="21"/>
          <w:szCs w:val="21"/>
          <w:highlight w:val="none"/>
        </w:rPr>
        <w:t>（三） 如有发包人供应的材料交由承包人保管的，承包人应妥善保管，如因保管不当造成损失或丢失，由承包人赔偿。</w:t>
      </w:r>
    </w:p>
    <w:p w14:paraId="2FF60EE3">
      <w:pPr>
        <w:keepNext w:val="0"/>
        <w:keepLines w:val="0"/>
        <w:widowControl/>
        <w:suppressLineNumbers w:val="0"/>
        <w:spacing w:before="100" w:beforeAutospacing="1" w:after="100" w:afterAutospacing="1" w:line="310" w:lineRule="exact"/>
        <w:ind w:left="0" w:right="0" w:firstLine="525"/>
        <w:jc w:val="left"/>
        <w:rPr>
          <w:color w:val="auto"/>
          <w:highlight w:val="none"/>
        </w:rPr>
      </w:pPr>
      <w:r>
        <w:rPr>
          <w:rFonts w:hint="eastAsia" w:ascii="宋体" w:hAnsi="宋体" w:eastAsia="宋体" w:cs="宋体"/>
          <w:b/>
          <w:bCs w:val="0"/>
          <w:color w:val="auto"/>
          <w:sz w:val="21"/>
          <w:szCs w:val="21"/>
          <w:highlight w:val="none"/>
        </w:rPr>
        <w:t xml:space="preserve">第六条 </w:t>
      </w:r>
      <w:r>
        <w:rPr>
          <w:rFonts w:hint="eastAsia" w:ascii="宋体" w:hAnsi="宋体" w:eastAsia="宋体" w:cs="宋体"/>
          <w:b/>
          <w:bCs/>
          <w:color w:val="auto"/>
          <w:sz w:val="21"/>
          <w:szCs w:val="21"/>
          <w:highlight w:val="none"/>
        </w:rPr>
        <w:t>工程变更</w:t>
      </w:r>
    </w:p>
    <w:p w14:paraId="5457D1BA">
      <w:pPr>
        <w:keepNext w:val="0"/>
        <w:keepLines w:val="0"/>
        <w:widowControl/>
        <w:suppressLineNumbers w:val="0"/>
        <w:spacing w:before="100" w:beforeAutospacing="1" w:after="100" w:afterAutospacing="1" w:line="310" w:lineRule="exact"/>
        <w:ind w:left="0" w:right="0" w:firstLine="525"/>
        <w:jc w:val="left"/>
        <w:rPr>
          <w:color w:val="auto"/>
          <w:highlight w:val="none"/>
        </w:rPr>
      </w:pPr>
      <w:r>
        <w:rPr>
          <w:rFonts w:hint="eastAsia" w:ascii="宋体" w:hAnsi="宋体" w:eastAsia="宋体" w:cs="宋体"/>
          <w:color w:val="auto"/>
          <w:sz w:val="21"/>
          <w:szCs w:val="21"/>
          <w:highlight w:val="none"/>
        </w:rPr>
        <w:t>（一） 施工中如发包人对原设计提出的变更未实质影响工程量的（单项子目在_______以内的变更视为未实质影响工程量），应视为合理变更，承包人应按照发包人的要求进行施工，合同价款不变。如发包人对原设计进行重大变更，应在变更前_______天向承包人发出书面变更通知，承包人按通知进行变更。变更涉及工程量增加的，承包人应于接到变更通知后的7天内提出变更价款报告的完整资料，逾期不报变更签认的视为承包人放弃该变更价款的请求权；变更涉及工程量减少的，经双方审核确认后签署相关变更洽商文件。工程变更在发包人审核确认前，只能作为技术洽商，而不作经济洽商或支付依据；所有变更结算将在工程验收合格后，在工程结算办理时一并办理，因变更所涉及款项将与工程尾款一并支付。承包人不得以存在工程变更或者需要办理变更结算手续为由，拖延交付工程，否则将被视为违反本合同约定而承担约定的逾期违约金。</w:t>
      </w:r>
    </w:p>
    <w:p w14:paraId="40671AC9">
      <w:pPr>
        <w:keepNext w:val="0"/>
        <w:keepLines w:val="0"/>
        <w:widowControl/>
        <w:suppressLineNumbers w:val="0"/>
        <w:spacing w:before="100" w:beforeAutospacing="1" w:after="100" w:afterAutospacing="1" w:line="310" w:lineRule="exact"/>
        <w:ind w:left="0" w:right="0" w:firstLine="525"/>
        <w:jc w:val="left"/>
        <w:rPr>
          <w:color w:val="auto"/>
          <w:highlight w:val="none"/>
        </w:rPr>
      </w:pPr>
      <w:r>
        <w:rPr>
          <w:rFonts w:hint="eastAsia" w:ascii="宋体" w:hAnsi="宋体" w:eastAsia="宋体" w:cs="宋体"/>
          <w:color w:val="auto"/>
          <w:sz w:val="21"/>
          <w:szCs w:val="21"/>
          <w:highlight w:val="none"/>
        </w:rPr>
        <w:t>（二） 承包人根据现场实际情况提出合理建议涉及到变更设计和对原定材料的更换，以及增减工程量，必须经发包人或发包人代表批准，并签字确认。未经发包人批准签字，承包人擅自变更设计或对原定材料更换，发包人有权不认可，发生的全部费用由承包人承担，且工期不顺延。</w:t>
      </w:r>
    </w:p>
    <w:p w14:paraId="4640AA75">
      <w:pPr>
        <w:keepNext w:val="0"/>
        <w:keepLines w:val="0"/>
        <w:widowControl/>
        <w:suppressLineNumbers w:val="0"/>
        <w:spacing w:before="100" w:beforeAutospacing="1" w:after="100" w:afterAutospacing="1" w:line="310" w:lineRule="exact"/>
        <w:ind w:left="0" w:right="0" w:firstLine="525"/>
        <w:jc w:val="left"/>
        <w:rPr>
          <w:color w:val="auto"/>
          <w:highlight w:val="none"/>
        </w:rPr>
      </w:pPr>
      <w:r>
        <w:rPr>
          <w:rFonts w:hint="eastAsia" w:ascii="宋体" w:hAnsi="宋体" w:eastAsia="宋体" w:cs="宋体"/>
          <w:color w:val="auto"/>
          <w:sz w:val="21"/>
          <w:szCs w:val="21"/>
          <w:highlight w:val="none"/>
        </w:rPr>
        <w:t>（三） 施工中如发现设计有错误或者不合理的地方，承包人应及时以书面形式通知发包人（最迟不得超过发现之时起12小时），由发包人及时会同设计等单位作出修改意见或变更设计文件，并及时将修改或变更的设计文件送达承包人，承包人应按修改或变更的设计文件进行施工。</w:t>
      </w:r>
    </w:p>
    <w:p w14:paraId="20EB06C2">
      <w:pPr>
        <w:keepNext w:val="0"/>
        <w:keepLines w:val="0"/>
        <w:widowControl/>
        <w:suppressLineNumbers w:val="0"/>
        <w:spacing w:before="100" w:beforeAutospacing="1" w:after="100" w:afterAutospacing="1" w:line="310" w:lineRule="exact"/>
        <w:ind w:left="0" w:right="0" w:firstLine="525"/>
        <w:jc w:val="left"/>
        <w:rPr>
          <w:color w:val="auto"/>
          <w:highlight w:val="none"/>
        </w:rPr>
      </w:pPr>
      <w:r>
        <w:rPr>
          <w:rFonts w:hint="eastAsia" w:ascii="宋体" w:hAnsi="宋体" w:eastAsia="宋体" w:cs="宋体"/>
          <w:color w:val="auto"/>
          <w:sz w:val="21"/>
          <w:szCs w:val="21"/>
          <w:highlight w:val="none"/>
        </w:rPr>
        <w:t>（四） 承包人报发包人的所有签证均应客观、真实、准确，承包人所报的签认材料有错误或失误的，发包人退回承包人进行修正，承包人故意虚报或瞒报的，发包人有权拒绝签认并不再签认本项签证，其相应损失由承包人自行承担。</w:t>
      </w:r>
    </w:p>
    <w:p w14:paraId="6F5A10E9">
      <w:pPr>
        <w:keepNext w:val="0"/>
        <w:keepLines w:val="0"/>
        <w:widowControl/>
        <w:suppressLineNumbers w:val="0"/>
        <w:spacing w:before="100" w:beforeAutospacing="1" w:after="100" w:afterAutospacing="1" w:line="310" w:lineRule="exact"/>
        <w:ind w:left="0" w:right="0" w:firstLine="525"/>
        <w:jc w:val="left"/>
        <w:rPr>
          <w:color w:val="auto"/>
          <w:highlight w:val="none"/>
        </w:rPr>
      </w:pPr>
      <w:r>
        <w:rPr>
          <w:rFonts w:hint="eastAsia" w:ascii="宋体" w:hAnsi="宋体" w:eastAsia="宋体" w:cs="宋体"/>
          <w:color w:val="auto"/>
          <w:sz w:val="21"/>
          <w:szCs w:val="21"/>
          <w:highlight w:val="none"/>
        </w:rPr>
        <w:t>（五） 对以下原因造成竣工日期推迟的，经发包人书面确认，工期相应顺延，除此以外的其他原因导致竣工日期延误的，由承包人承担违约责任：</w:t>
      </w:r>
      <w:r>
        <w:rPr>
          <w:rFonts w:hint="eastAsia" w:ascii="宋体" w:hAnsi="宋体" w:eastAsia="宋体" w:cs="宋体"/>
          <w:color w:val="auto"/>
          <w:sz w:val="21"/>
          <w:szCs w:val="21"/>
          <w:highlight w:val="none"/>
        </w:rPr>
        <w:br w:type="textWrapping"/>
      </w:r>
      <w:r>
        <w:rPr>
          <w:rFonts w:hint="eastAsia" w:ascii="宋体" w:hAnsi="宋体" w:eastAsia="宋体" w:cs="宋体"/>
          <w:color w:val="auto"/>
          <w:sz w:val="21"/>
          <w:szCs w:val="21"/>
          <w:highlight w:val="none"/>
        </w:rPr>
        <w:t>（1）政府机关或发包人要求承包人暂停施工的；</w:t>
      </w:r>
      <w:r>
        <w:rPr>
          <w:rFonts w:hint="eastAsia" w:ascii="宋体" w:hAnsi="宋体" w:eastAsia="宋体" w:cs="宋体"/>
          <w:color w:val="auto"/>
          <w:sz w:val="21"/>
          <w:szCs w:val="21"/>
          <w:highlight w:val="none"/>
        </w:rPr>
        <w:br w:type="textWrapping"/>
      </w:r>
      <w:r>
        <w:rPr>
          <w:rFonts w:hint="eastAsia" w:ascii="宋体" w:hAnsi="宋体" w:eastAsia="宋体" w:cs="宋体"/>
          <w:color w:val="auto"/>
          <w:sz w:val="21"/>
          <w:szCs w:val="21"/>
          <w:highlight w:val="none"/>
        </w:rPr>
        <w:t>（2）不可抗力；</w:t>
      </w:r>
      <w:r>
        <w:rPr>
          <w:rFonts w:hint="eastAsia" w:ascii="宋体" w:hAnsi="宋体" w:eastAsia="宋体" w:cs="宋体"/>
          <w:color w:val="auto"/>
          <w:sz w:val="21"/>
          <w:szCs w:val="21"/>
          <w:highlight w:val="none"/>
        </w:rPr>
        <w:br w:type="textWrapping"/>
      </w:r>
      <w:r>
        <w:rPr>
          <w:rFonts w:hint="eastAsia" w:ascii="宋体" w:hAnsi="宋体" w:eastAsia="宋体" w:cs="宋体"/>
          <w:color w:val="auto"/>
          <w:sz w:val="21"/>
          <w:szCs w:val="21"/>
          <w:highlight w:val="none"/>
        </w:rPr>
        <w:t>（3）发包人设计变更导致关键线路上的工作延误的。</w:t>
      </w:r>
    </w:p>
    <w:p w14:paraId="336A0FC0">
      <w:pPr>
        <w:keepNext w:val="0"/>
        <w:keepLines w:val="0"/>
        <w:widowControl/>
        <w:suppressLineNumbers w:val="0"/>
        <w:spacing w:before="100" w:beforeAutospacing="1" w:after="100" w:afterAutospacing="1" w:line="310" w:lineRule="exact"/>
        <w:ind w:left="0" w:right="0" w:firstLine="525"/>
        <w:jc w:val="left"/>
        <w:rPr>
          <w:color w:val="auto"/>
          <w:highlight w:val="none"/>
        </w:rPr>
      </w:pPr>
      <w:r>
        <w:rPr>
          <w:rFonts w:hint="eastAsia" w:ascii="宋体" w:hAnsi="宋体" w:eastAsia="宋体" w:cs="宋体"/>
          <w:color w:val="auto"/>
          <w:sz w:val="21"/>
          <w:szCs w:val="21"/>
          <w:highlight w:val="none"/>
        </w:rPr>
        <w:t>（六） 承包人负责设计工作的，因施工图设计错误或缺陷造成的所有损失均由承包人承担。</w:t>
      </w:r>
    </w:p>
    <w:p w14:paraId="36DA1624">
      <w:pPr>
        <w:keepNext w:val="0"/>
        <w:keepLines w:val="0"/>
        <w:widowControl/>
        <w:suppressLineNumbers w:val="0"/>
        <w:spacing w:before="100" w:beforeAutospacing="1" w:after="100" w:afterAutospacing="1" w:line="310" w:lineRule="exact"/>
        <w:ind w:left="0" w:right="0" w:firstLine="525"/>
        <w:jc w:val="left"/>
        <w:rPr>
          <w:color w:val="auto"/>
          <w:highlight w:val="none"/>
        </w:rPr>
      </w:pPr>
      <w:r>
        <w:rPr>
          <w:rFonts w:hint="eastAsia" w:ascii="宋体" w:hAnsi="宋体" w:eastAsia="宋体" w:cs="宋体"/>
          <w:b/>
          <w:bCs w:val="0"/>
          <w:color w:val="auto"/>
          <w:sz w:val="21"/>
          <w:szCs w:val="21"/>
          <w:highlight w:val="none"/>
        </w:rPr>
        <w:t xml:space="preserve">第七条 </w:t>
      </w:r>
      <w:r>
        <w:rPr>
          <w:rFonts w:hint="eastAsia" w:ascii="宋体" w:hAnsi="宋体" w:eastAsia="宋体" w:cs="宋体"/>
          <w:b/>
          <w:bCs/>
          <w:color w:val="auto"/>
          <w:sz w:val="21"/>
          <w:szCs w:val="21"/>
          <w:highlight w:val="none"/>
        </w:rPr>
        <w:t>检查与返工</w:t>
      </w:r>
    </w:p>
    <w:p w14:paraId="6E326CCC">
      <w:pPr>
        <w:keepNext w:val="0"/>
        <w:keepLines w:val="0"/>
        <w:widowControl/>
        <w:suppressLineNumbers w:val="0"/>
        <w:spacing w:before="100" w:beforeAutospacing="1" w:after="100" w:afterAutospacing="1" w:line="310" w:lineRule="exact"/>
        <w:ind w:left="0" w:right="0" w:firstLine="525"/>
        <w:jc w:val="left"/>
        <w:rPr>
          <w:color w:val="auto"/>
          <w:highlight w:val="none"/>
        </w:rPr>
      </w:pPr>
      <w:r>
        <w:rPr>
          <w:rFonts w:hint="eastAsia" w:ascii="宋体" w:hAnsi="宋体" w:eastAsia="宋体" w:cs="宋体"/>
          <w:color w:val="auto"/>
          <w:sz w:val="21"/>
          <w:szCs w:val="21"/>
          <w:highlight w:val="none"/>
        </w:rPr>
        <w:t>（一） 承包人应认真按照标准、规范、设计的要求和合同的约定进行施工和自检。</w:t>
      </w:r>
    </w:p>
    <w:p w14:paraId="49821ED5">
      <w:pPr>
        <w:keepNext w:val="0"/>
        <w:keepLines w:val="0"/>
        <w:widowControl/>
        <w:suppressLineNumbers w:val="0"/>
        <w:spacing w:before="100" w:beforeAutospacing="1" w:after="100" w:afterAutospacing="1" w:line="310" w:lineRule="exact"/>
        <w:ind w:left="0" w:right="0" w:firstLine="525"/>
        <w:jc w:val="left"/>
        <w:rPr>
          <w:color w:val="auto"/>
          <w:highlight w:val="none"/>
        </w:rPr>
      </w:pPr>
      <w:r>
        <w:rPr>
          <w:rFonts w:hint="eastAsia" w:ascii="宋体" w:hAnsi="宋体" w:eastAsia="宋体" w:cs="宋体"/>
          <w:color w:val="auto"/>
          <w:sz w:val="21"/>
          <w:szCs w:val="21"/>
          <w:highlight w:val="none"/>
        </w:rPr>
        <w:t>（二） 发包人有权随时对承包人进行施工检查，检查发现质量不合格的，承包人应按发包人要求进行返工或修复处理，直至达到发包人要求。发包人进行破坏性检查后发现质量不合格的，承包人自行负责修复或返工费用；检验合格的，由发包人承担必要的返工或修复成本费用。</w:t>
      </w:r>
    </w:p>
    <w:p w14:paraId="3C804498">
      <w:pPr>
        <w:keepNext w:val="0"/>
        <w:keepLines w:val="0"/>
        <w:widowControl/>
        <w:suppressLineNumbers w:val="0"/>
        <w:spacing w:before="100" w:beforeAutospacing="1" w:after="100" w:afterAutospacing="1" w:line="310" w:lineRule="exact"/>
        <w:ind w:left="0" w:right="0" w:firstLine="525"/>
        <w:jc w:val="left"/>
        <w:rPr>
          <w:color w:val="auto"/>
          <w:highlight w:val="none"/>
        </w:rPr>
      </w:pPr>
      <w:r>
        <w:rPr>
          <w:rFonts w:hint="eastAsia" w:ascii="宋体" w:hAnsi="宋体" w:eastAsia="宋体" w:cs="宋体"/>
          <w:b/>
          <w:bCs w:val="0"/>
          <w:color w:val="auto"/>
          <w:sz w:val="21"/>
          <w:szCs w:val="21"/>
          <w:highlight w:val="none"/>
        </w:rPr>
        <w:t xml:space="preserve">第八条 </w:t>
      </w:r>
      <w:r>
        <w:rPr>
          <w:rFonts w:hint="eastAsia" w:ascii="宋体" w:hAnsi="宋体" w:eastAsia="宋体" w:cs="宋体"/>
          <w:color w:val="auto"/>
          <w:sz w:val="21"/>
          <w:szCs w:val="21"/>
          <w:highlight w:val="none"/>
        </w:rPr>
        <w:t>安全施工</w:t>
      </w:r>
      <w:r>
        <w:rPr>
          <w:rFonts w:hint="eastAsia" w:ascii="宋体" w:hAnsi="宋体" w:eastAsia="宋体" w:cs="宋体"/>
          <w:color w:val="auto"/>
          <w:sz w:val="21"/>
          <w:szCs w:val="21"/>
          <w:highlight w:val="none"/>
        </w:rPr>
        <w:br w:type="textWrapping"/>
      </w:r>
      <w:r>
        <w:rPr>
          <w:rFonts w:hint="eastAsia" w:ascii="宋体" w:hAnsi="宋体" w:eastAsia="宋体" w:cs="宋体"/>
          <w:b/>
          <w:bCs/>
          <w:color w:val="auto"/>
          <w:sz w:val="21"/>
          <w:szCs w:val="21"/>
          <w:highlight w:val="none"/>
        </w:rPr>
        <w:t>安全施工</w:t>
      </w:r>
      <w:r>
        <w:rPr>
          <w:rFonts w:hint="eastAsia" w:ascii="宋体" w:hAnsi="宋体" w:eastAsia="宋体" w:cs="宋体"/>
          <w:color w:val="auto"/>
          <w:sz w:val="21"/>
          <w:szCs w:val="21"/>
          <w:highlight w:val="none"/>
        </w:rPr>
        <w:br w:type="textWrapping"/>
      </w:r>
      <w:r>
        <w:rPr>
          <w:rFonts w:hint="eastAsia" w:ascii="宋体" w:hAnsi="宋体" w:eastAsia="宋体" w:cs="宋体"/>
          <w:color w:val="auto"/>
          <w:sz w:val="21"/>
          <w:szCs w:val="21"/>
          <w:highlight w:val="none"/>
        </w:rPr>
        <w:t>（一）承包人应遵守工程建设安全生产有关管理规定，严格按安全标准组织施工，并随时接受行业安全检查人员依法实施的监督检查，采取必要的安全防护措施，消除事故隐患。承包人已充分了解施工现场，并负责自行排除施工现场可能的各类隐患。由于承包人措施不力造成事故的责任和因此发生的费用，由承包人承担。</w:t>
      </w:r>
      <w:r>
        <w:rPr>
          <w:rFonts w:hint="eastAsia" w:ascii="宋体" w:hAnsi="宋体" w:eastAsia="宋体" w:cs="宋体"/>
          <w:color w:val="auto"/>
          <w:sz w:val="21"/>
          <w:szCs w:val="21"/>
          <w:highlight w:val="none"/>
        </w:rPr>
        <w:br w:type="textWrapping"/>
      </w:r>
      <w:r>
        <w:rPr>
          <w:rFonts w:hint="eastAsia" w:ascii="宋体" w:hAnsi="宋体" w:eastAsia="宋体" w:cs="宋体"/>
          <w:color w:val="auto"/>
          <w:sz w:val="21"/>
          <w:szCs w:val="21"/>
          <w:highlight w:val="none"/>
        </w:rPr>
        <w:t>（二）承包人应对其在施工场地的工作人员进行安全教育，并对他们的安全负责。发包人不得要求承包人违反安全管理的规定进行施工。</w:t>
      </w:r>
      <w:r>
        <w:rPr>
          <w:rFonts w:hint="eastAsia" w:ascii="宋体" w:hAnsi="宋体" w:eastAsia="宋体" w:cs="宋体"/>
          <w:color w:val="auto"/>
          <w:sz w:val="21"/>
          <w:szCs w:val="21"/>
          <w:highlight w:val="none"/>
        </w:rPr>
        <w:br w:type="textWrapping"/>
      </w:r>
      <w:r>
        <w:rPr>
          <w:rFonts w:hint="eastAsia" w:ascii="宋体" w:hAnsi="宋体" w:eastAsia="宋体" w:cs="宋体"/>
          <w:color w:val="auto"/>
          <w:sz w:val="21"/>
          <w:szCs w:val="21"/>
          <w:highlight w:val="none"/>
        </w:rPr>
        <w:t>（三）发生重大伤亡事故，承包人应按照有关规定立即上报有关部门并通知发包人，同时按政府有关部门要求处理。发包人为抢救提供必要条件，发生的费用由事故责任方承担。</w:t>
      </w:r>
    </w:p>
    <w:p w14:paraId="3E122A65">
      <w:pPr>
        <w:keepNext w:val="0"/>
        <w:keepLines w:val="0"/>
        <w:widowControl/>
        <w:suppressLineNumbers w:val="0"/>
        <w:spacing w:before="100" w:beforeAutospacing="1" w:after="100" w:afterAutospacing="1" w:line="310" w:lineRule="exact"/>
        <w:ind w:left="0" w:right="0" w:firstLine="525"/>
        <w:jc w:val="left"/>
        <w:rPr>
          <w:color w:val="auto"/>
          <w:highlight w:val="none"/>
        </w:rPr>
      </w:pPr>
      <w:r>
        <w:rPr>
          <w:rFonts w:hint="eastAsia" w:ascii="宋体" w:hAnsi="宋体" w:eastAsia="宋体" w:cs="宋体"/>
          <w:b/>
          <w:bCs w:val="0"/>
          <w:color w:val="auto"/>
          <w:sz w:val="21"/>
          <w:szCs w:val="21"/>
          <w:highlight w:val="none"/>
        </w:rPr>
        <w:t xml:space="preserve">第九条 </w:t>
      </w:r>
      <w:r>
        <w:rPr>
          <w:rFonts w:hint="eastAsia" w:ascii="宋体" w:hAnsi="宋体" w:eastAsia="宋体" w:cs="宋体"/>
          <w:b/>
          <w:bCs/>
          <w:color w:val="auto"/>
          <w:sz w:val="21"/>
          <w:szCs w:val="21"/>
          <w:highlight w:val="none"/>
        </w:rPr>
        <w:t>工程验收</w:t>
      </w:r>
    </w:p>
    <w:p w14:paraId="7799BB0A">
      <w:pPr>
        <w:keepNext w:val="0"/>
        <w:keepLines w:val="0"/>
        <w:widowControl/>
        <w:suppressLineNumbers w:val="0"/>
        <w:spacing w:before="100" w:beforeAutospacing="1" w:after="100" w:afterAutospacing="1" w:line="310" w:lineRule="exact"/>
        <w:ind w:left="0" w:right="0" w:firstLine="525"/>
        <w:jc w:val="left"/>
        <w:rPr>
          <w:color w:val="auto"/>
          <w:highlight w:val="none"/>
        </w:rPr>
      </w:pPr>
      <w:r>
        <w:rPr>
          <w:rFonts w:hint="eastAsia" w:ascii="宋体" w:hAnsi="宋体" w:eastAsia="宋体" w:cs="宋体"/>
          <w:color w:val="auto"/>
          <w:sz w:val="21"/>
          <w:szCs w:val="21"/>
          <w:highlight w:val="none"/>
        </w:rPr>
        <w:t>（一） 工程验收</w:t>
      </w:r>
      <w:r>
        <w:rPr>
          <w:rFonts w:hint="eastAsia" w:ascii="宋体" w:hAnsi="宋体" w:eastAsia="宋体" w:cs="宋体"/>
          <w:color w:val="auto"/>
          <w:sz w:val="21"/>
          <w:szCs w:val="21"/>
          <w:highlight w:val="none"/>
        </w:rPr>
        <w:br w:type="textWrapping"/>
      </w:r>
      <w:r>
        <w:rPr>
          <w:rFonts w:hint="eastAsia" w:ascii="宋体" w:hAnsi="宋体" w:eastAsia="宋体" w:cs="宋体"/>
          <w:color w:val="auto"/>
          <w:sz w:val="21"/>
          <w:szCs w:val="21"/>
          <w:highlight w:val="none"/>
        </w:rPr>
        <w:t>（1）工程完工后，承包人应书面通知发包人验收，并向发包人提交竣工验收报告和完整的竣工验收资料，发包人收到竣工资料和竣工验收报告应及时组织验收。验收合格，由发包人书面确认。</w:t>
      </w:r>
      <w:r>
        <w:rPr>
          <w:rFonts w:hint="eastAsia" w:ascii="宋体" w:hAnsi="宋体" w:eastAsia="宋体" w:cs="宋体"/>
          <w:color w:val="auto"/>
          <w:sz w:val="21"/>
          <w:szCs w:val="21"/>
          <w:highlight w:val="none"/>
        </w:rPr>
        <w:br w:type="textWrapping"/>
      </w:r>
      <w:r>
        <w:rPr>
          <w:rFonts w:hint="eastAsia" w:ascii="宋体" w:hAnsi="宋体" w:eastAsia="宋体" w:cs="宋体"/>
          <w:color w:val="auto"/>
          <w:sz w:val="21"/>
          <w:szCs w:val="21"/>
          <w:highlight w:val="none"/>
        </w:rPr>
        <w:t>（2）发包人和承包人双方应及时办理隐蔽工程和中间工程的检查与验收手续。当工程具备覆盖、遮盖条件或达到中间验收标准（如水管及电线管的凿槽暗敷恢复工作），承包人自检，并于八小时前通知发包人参加，验收合格，发包人或发包人代表在验收记录上签字后，方可进行隐蔽工程继续施工。</w:t>
      </w:r>
      <w:r>
        <w:rPr>
          <w:rFonts w:hint="eastAsia" w:ascii="宋体" w:hAnsi="宋体" w:eastAsia="宋体" w:cs="宋体"/>
          <w:color w:val="auto"/>
          <w:sz w:val="21"/>
          <w:szCs w:val="21"/>
          <w:highlight w:val="none"/>
        </w:rPr>
        <w:br w:type="textWrapping"/>
      </w:r>
      <w:r>
        <w:rPr>
          <w:rFonts w:hint="eastAsia" w:ascii="宋体" w:hAnsi="宋体" w:eastAsia="宋体" w:cs="宋体"/>
          <w:color w:val="auto"/>
          <w:sz w:val="21"/>
          <w:szCs w:val="21"/>
          <w:highlight w:val="none"/>
        </w:rPr>
        <w:t>（3）验收不合格的，承包人应在发包人确定的合理期限内完成整改，经整改仍不合格或承包人在发包人确定的合理期限内未完成整改的，发包人可委托第三方进行整改，所需费用由承包人承担，发包人有权直接从承包人工程款中直接扣除该等费用。发包人有其他损失的，承包人还应负责赔偿。</w:t>
      </w:r>
    </w:p>
    <w:p w14:paraId="00DD2DAC">
      <w:pPr>
        <w:keepNext w:val="0"/>
        <w:keepLines w:val="0"/>
        <w:widowControl/>
        <w:suppressLineNumbers w:val="0"/>
        <w:spacing w:before="100" w:beforeAutospacing="1" w:after="100" w:afterAutospacing="1" w:line="310" w:lineRule="exact"/>
        <w:ind w:left="0" w:right="0" w:firstLine="525"/>
        <w:jc w:val="left"/>
        <w:rPr>
          <w:color w:val="auto"/>
          <w:highlight w:val="none"/>
        </w:rPr>
      </w:pPr>
      <w:r>
        <w:rPr>
          <w:rFonts w:hint="eastAsia" w:ascii="宋体" w:hAnsi="宋体" w:eastAsia="宋体" w:cs="宋体"/>
          <w:color w:val="auto"/>
          <w:sz w:val="21"/>
          <w:szCs w:val="21"/>
          <w:highlight w:val="none"/>
        </w:rPr>
        <w:t>（二） 验收标准</w:t>
      </w:r>
      <w:r>
        <w:rPr>
          <w:rFonts w:hint="eastAsia" w:ascii="宋体" w:hAnsi="宋体" w:eastAsia="宋体" w:cs="宋体"/>
          <w:color w:val="auto"/>
          <w:sz w:val="21"/>
          <w:szCs w:val="21"/>
          <w:highlight w:val="none"/>
        </w:rPr>
        <w:br w:type="textWrapping"/>
      </w:r>
      <w:r>
        <w:rPr>
          <w:rFonts w:hint="eastAsia" w:ascii="宋体" w:hAnsi="宋体" w:eastAsia="宋体" w:cs="宋体"/>
          <w:color w:val="auto"/>
          <w:sz w:val="21"/>
          <w:szCs w:val="21"/>
          <w:highlight w:val="none"/>
        </w:rPr>
        <w:t>本工程质量评定验收标准的依据：</w:t>
      </w:r>
      <w:r>
        <w:rPr>
          <w:rFonts w:hint="eastAsia" w:ascii="宋体" w:hAnsi="宋体" w:eastAsia="宋体" w:cs="宋体"/>
          <w:color w:val="auto"/>
          <w:sz w:val="21"/>
          <w:szCs w:val="21"/>
          <w:highlight w:val="none"/>
        </w:rPr>
        <w:br w:type="textWrapping"/>
      </w:r>
      <w:r>
        <w:rPr>
          <w:rFonts w:hint="eastAsia" w:ascii="宋体" w:hAnsi="宋体" w:eastAsia="宋体" w:cs="宋体"/>
          <w:color w:val="auto"/>
          <w:sz w:val="21"/>
          <w:szCs w:val="21"/>
          <w:highlight w:val="none"/>
        </w:rPr>
        <w:t>（1）施工图纸、作法说明、设计变更、施工技术文件等；</w:t>
      </w:r>
      <w:r>
        <w:rPr>
          <w:rFonts w:hint="eastAsia" w:ascii="宋体" w:hAnsi="宋体" w:eastAsia="宋体" w:cs="宋体"/>
          <w:color w:val="auto"/>
          <w:sz w:val="21"/>
          <w:szCs w:val="21"/>
          <w:highlight w:val="none"/>
        </w:rPr>
        <w:br w:type="textWrapping"/>
      </w:r>
      <w:r>
        <w:rPr>
          <w:rFonts w:hint="eastAsia" w:ascii="宋体" w:hAnsi="宋体" w:eastAsia="宋体" w:cs="宋体"/>
          <w:color w:val="auto"/>
          <w:sz w:val="21"/>
          <w:szCs w:val="21"/>
          <w:highlight w:val="none"/>
        </w:rPr>
        <w:t>（2）有关工程质量的相关法律法规的规定，以及国家有关施工验收规范、室内环境污染控制规范；</w:t>
      </w:r>
      <w:r>
        <w:rPr>
          <w:rFonts w:hint="eastAsia" w:ascii="宋体" w:hAnsi="宋体" w:eastAsia="宋体" w:cs="宋体"/>
          <w:color w:val="auto"/>
          <w:sz w:val="21"/>
          <w:szCs w:val="21"/>
          <w:highlight w:val="none"/>
        </w:rPr>
        <w:br w:type="textWrapping"/>
      </w:r>
      <w:r>
        <w:rPr>
          <w:rFonts w:hint="eastAsia" w:ascii="宋体" w:hAnsi="宋体" w:eastAsia="宋体" w:cs="宋体"/>
          <w:color w:val="auto"/>
          <w:sz w:val="21"/>
          <w:szCs w:val="21"/>
          <w:highlight w:val="none"/>
        </w:rPr>
        <w:t>（3）招标文件、本合同对工程的具体要求。</w:t>
      </w:r>
    </w:p>
    <w:p w14:paraId="62E997E5">
      <w:pPr>
        <w:keepNext w:val="0"/>
        <w:keepLines w:val="0"/>
        <w:widowControl/>
        <w:suppressLineNumbers w:val="0"/>
        <w:spacing w:before="100" w:beforeAutospacing="1" w:after="100" w:afterAutospacing="1" w:line="310" w:lineRule="exact"/>
        <w:ind w:left="0" w:right="0" w:firstLine="525"/>
        <w:jc w:val="left"/>
        <w:rPr>
          <w:color w:val="auto"/>
          <w:highlight w:val="none"/>
        </w:rPr>
      </w:pPr>
      <w:r>
        <w:rPr>
          <w:rFonts w:hint="eastAsia" w:ascii="宋体" w:hAnsi="宋体" w:eastAsia="宋体" w:cs="宋体"/>
          <w:color w:val="auto"/>
          <w:sz w:val="21"/>
          <w:szCs w:val="21"/>
          <w:highlight w:val="none"/>
        </w:rPr>
        <w:t>（三） 工程阶段验收项目：_______</w:t>
      </w:r>
    </w:p>
    <w:p w14:paraId="31B2085B">
      <w:pPr>
        <w:keepNext w:val="0"/>
        <w:keepLines w:val="0"/>
        <w:widowControl/>
        <w:suppressLineNumbers w:val="0"/>
        <w:spacing w:before="100" w:beforeAutospacing="1" w:after="100" w:afterAutospacing="1" w:line="310" w:lineRule="exact"/>
        <w:ind w:left="0" w:right="0" w:firstLine="525"/>
        <w:jc w:val="left"/>
        <w:rPr>
          <w:color w:val="auto"/>
          <w:highlight w:val="none"/>
        </w:rPr>
      </w:pPr>
      <w:r>
        <w:rPr>
          <w:rFonts w:hint="eastAsia" w:ascii="宋体" w:hAnsi="宋体" w:eastAsia="宋体" w:cs="宋体"/>
          <w:b/>
          <w:bCs w:val="0"/>
          <w:color w:val="auto"/>
          <w:sz w:val="21"/>
          <w:szCs w:val="21"/>
          <w:highlight w:val="none"/>
        </w:rPr>
        <w:t xml:space="preserve">第十条 </w:t>
      </w:r>
      <w:r>
        <w:rPr>
          <w:rFonts w:hint="eastAsia" w:ascii="宋体" w:hAnsi="宋体" w:eastAsia="宋体" w:cs="宋体"/>
          <w:b/>
          <w:bCs/>
          <w:color w:val="auto"/>
          <w:sz w:val="21"/>
          <w:szCs w:val="21"/>
          <w:highlight w:val="none"/>
        </w:rPr>
        <w:t>工程结算</w:t>
      </w:r>
    </w:p>
    <w:p w14:paraId="5F3FBE3C">
      <w:pPr>
        <w:keepNext w:val="0"/>
        <w:keepLines w:val="0"/>
        <w:widowControl/>
        <w:suppressLineNumbers w:val="0"/>
        <w:spacing w:before="100" w:beforeAutospacing="1" w:after="100" w:afterAutospacing="1" w:line="310" w:lineRule="exact"/>
        <w:ind w:left="0" w:right="0" w:firstLine="525"/>
        <w:jc w:val="left"/>
        <w:rPr>
          <w:color w:val="auto"/>
          <w:highlight w:val="none"/>
        </w:rPr>
      </w:pPr>
      <w:r>
        <w:rPr>
          <w:rFonts w:hint="eastAsia" w:ascii="宋体" w:hAnsi="宋体" w:eastAsia="宋体" w:cs="宋体"/>
          <w:color w:val="auto"/>
          <w:sz w:val="21"/>
          <w:szCs w:val="21"/>
          <w:highlight w:val="none"/>
        </w:rPr>
        <w:t>（一） 工程验收合格后，承包人应向发包人提交工程结算报告和完整的结算资料，发包人收到工程结算报告和完整的结算资料后应及时进行结算。</w:t>
      </w:r>
    </w:p>
    <w:p w14:paraId="6067BB49">
      <w:pPr>
        <w:keepNext w:val="0"/>
        <w:keepLines w:val="0"/>
        <w:widowControl/>
        <w:suppressLineNumbers w:val="0"/>
        <w:spacing w:before="100" w:beforeAutospacing="1" w:after="100" w:afterAutospacing="1" w:line="310" w:lineRule="exact"/>
        <w:ind w:left="0" w:right="0" w:firstLine="525"/>
        <w:jc w:val="left"/>
        <w:rPr>
          <w:color w:val="auto"/>
          <w:highlight w:val="none"/>
        </w:rPr>
      </w:pPr>
      <w:r>
        <w:rPr>
          <w:rFonts w:hint="eastAsia" w:ascii="宋体" w:hAnsi="宋体" w:eastAsia="宋体" w:cs="宋体"/>
          <w:color w:val="auto"/>
          <w:sz w:val="21"/>
          <w:szCs w:val="21"/>
          <w:highlight w:val="none"/>
        </w:rPr>
        <w:t>（二） 按本合同约定的固定包干价，以及双方书面签署确认的变更价款洽商文件进行结算。</w:t>
      </w:r>
    </w:p>
    <w:p w14:paraId="624351B2">
      <w:pPr>
        <w:keepNext w:val="0"/>
        <w:keepLines w:val="0"/>
        <w:widowControl/>
        <w:suppressLineNumbers w:val="0"/>
        <w:spacing w:before="100" w:beforeAutospacing="1" w:after="100" w:afterAutospacing="1" w:line="310" w:lineRule="exact"/>
        <w:ind w:left="0" w:right="0" w:firstLine="525"/>
        <w:jc w:val="left"/>
        <w:rPr>
          <w:color w:val="auto"/>
          <w:highlight w:val="none"/>
        </w:rPr>
      </w:pPr>
      <w:r>
        <w:rPr>
          <w:rFonts w:hint="eastAsia" w:ascii="宋体" w:hAnsi="宋体" w:eastAsia="宋体" w:cs="宋体"/>
          <w:b/>
          <w:bCs w:val="0"/>
          <w:color w:val="auto"/>
          <w:sz w:val="21"/>
          <w:szCs w:val="21"/>
          <w:highlight w:val="none"/>
        </w:rPr>
        <w:t xml:space="preserve">第十一条 </w:t>
      </w:r>
      <w:r>
        <w:rPr>
          <w:rFonts w:hint="eastAsia" w:ascii="宋体" w:hAnsi="宋体" w:eastAsia="宋体" w:cs="宋体"/>
          <w:color w:val="auto"/>
          <w:sz w:val="21"/>
          <w:szCs w:val="21"/>
          <w:highlight w:val="none"/>
        </w:rPr>
        <w:t>保修(适用于建设工程施工合同)</w:t>
      </w:r>
      <w:r>
        <w:rPr>
          <w:rFonts w:hint="eastAsia" w:ascii="宋体" w:hAnsi="宋体" w:eastAsia="宋体" w:cs="宋体"/>
          <w:color w:val="auto"/>
          <w:sz w:val="21"/>
          <w:szCs w:val="21"/>
          <w:highlight w:val="none"/>
        </w:rPr>
        <w:br w:type="textWrapping"/>
      </w:r>
      <w:r>
        <w:rPr>
          <w:rFonts w:hint="eastAsia" w:ascii="宋体" w:hAnsi="宋体" w:eastAsia="宋体" w:cs="宋体"/>
          <w:b/>
          <w:bCs/>
          <w:color w:val="auto"/>
          <w:sz w:val="21"/>
          <w:szCs w:val="21"/>
          <w:highlight w:val="none"/>
        </w:rPr>
        <w:t>保修</w:t>
      </w:r>
      <w:r>
        <w:rPr>
          <w:rFonts w:hint="eastAsia" w:ascii="宋体" w:hAnsi="宋体" w:eastAsia="宋体" w:cs="宋体"/>
          <w:color w:val="auto"/>
          <w:sz w:val="21"/>
          <w:szCs w:val="21"/>
          <w:highlight w:val="none"/>
        </w:rPr>
        <w:br w:type="textWrapping"/>
      </w:r>
      <w:r>
        <w:rPr>
          <w:rFonts w:hint="eastAsia" w:ascii="宋体" w:hAnsi="宋体" w:eastAsia="宋体" w:cs="宋体"/>
          <w:color w:val="auto"/>
          <w:sz w:val="21"/>
          <w:szCs w:val="21"/>
          <w:highlight w:val="none"/>
        </w:rPr>
        <w:t>保修期内乙方对工程项目提供保修维护服务，具体内容及方式见【附件】，甲方不再就此支付任何费用。</w:t>
      </w:r>
    </w:p>
    <w:p w14:paraId="2E647FD4">
      <w:pPr>
        <w:keepNext w:val="0"/>
        <w:keepLines w:val="0"/>
        <w:widowControl/>
        <w:suppressLineNumbers w:val="0"/>
        <w:spacing w:before="100" w:beforeAutospacing="1" w:after="100" w:afterAutospacing="1" w:line="310" w:lineRule="exact"/>
        <w:ind w:left="0" w:right="0" w:firstLine="525"/>
        <w:jc w:val="left"/>
        <w:rPr>
          <w:color w:val="auto"/>
          <w:highlight w:val="none"/>
        </w:rPr>
      </w:pPr>
      <w:r>
        <w:rPr>
          <w:rFonts w:hint="eastAsia" w:ascii="宋体" w:hAnsi="宋体" w:eastAsia="宋体" w:cs="宋体"/>
          <w:b/>
          <w:bCs w:val="0"/>
          <w:color w:val="auto"/>
          <w:sz w:val="21"/>
          <w:szCs w:val="21"/>
          <w:highlight w:val="none"/>
        </w:rPr>
        <w:t xml:space="preserve">第十二条 </w:t>
      </w:r>
      <w:r>
        <w:rPr>
          <w:rFonts w:hint="eastAsia" w:ascii="宋体" w:hAnsi="宋体" w:eastAsia="宋体" w:cs="宋体"/>
          <w:b/>
          <w:bCs/>
          <w:color w:val="auto"/>
          <w:sz w:val="21"/>
          <w:szCs w:val="21"/>
          <w:highlight w:val="none"/>
        </w:rPr>
        <w:t>禁止分包与转让</w:t>
      </w:r>
    </w:p>
    <w:p w14:paraId="746DDBEE">
      <w:pPr>
        <w:keepNext w:val="0"/>
        <w:keepLines w:val="0"/>
        <w:widowControl/>
        <w:suppressLineNumbers w:val="0"/>
        <w:spacing w:before="100" w:beforeAutospacing="1" w:after="100" w:afterAutospacing="1" w:line="310" w:lineRule="exact"/>
        <w:ind w:left="0" w:right="0" w:firstLine="525"/>
        <w:jc w:val="left"/>
        <w:rPr>
          <w:color w:val="auto"/>
          <w:highlight w:val="none"/>
        </w:rPr>
      </w:pPr>
      <w:r>
        <w:rPr>
          <w:rFonts w:hint="eastAsia" w:ascii="宋体" w:hAnsi="宋体" w:eastAsia="宋体" w:cs="宋体"/>
          <w:color w:val="auto"/>
          <w:sz w:val="21"/>
          <w:szCs w:val="21"/>
          <w:highlight w:val="none"/>
        </w:rPr>
        <w:t>（一） 非经发包人事先书面同意，承包人不得将承包工程的任何部分分包。</w:t>
      </w:r>
    </w:p>
    <w:p w14:paraId="553A65F7">
      <w:pPr>
        <w:keepNext w:val="0"/>
        <w:keepLines w:val="0"/>
        <w:widowControl/>
        <w:suppressLineNumbers w:val="0"/>
        <w:spacing w:before="100" w:beforeAutospacing="1" w:after="100" w:afterAutospacing="1" w:line="310" w:lineRule="exact"/>
        <w:ind w:left="0" w:right="0" w:firstLine="525"/>
        <w:jc w:val="left"/>
        <w:rPr>
          <w:color w:val="auto"/>
          <w:highlight w:val="none"/>
        </w:rPr>
      </w:pPr>
      <w:r>
        <w:rPr>
          <w:rFonts w:hint="eastAsia" w:ascii="宋体" w:hAnsi="宋体" w:eastAsia="宋体" w:cs="宋体"/>
          <w:color w:val="auto"/>
          <w:sz w:val="21"/>
          <w:szCs w:val="21"/>
          <w:highlight w:val="none"/>
        </w:rPr>
        <w:t>（二） 承包人不得将其承包的全部工程转包给他人，也不得将其承包的全部工程肢解以后以分包的名义分别转包给他人。</w:t>
      </w:r>
    </w:p>
    <w:p w14:paraId="7573FE0B">
      <w:pPr>
        <w:keepNext w:val="0"/>
        <w:keepLines w:val="0"/>
        <w:widowControl/>
        <w:suppressLineNumbers w:val="0"/>
        <w:spacing w:before="100" w:beforeAutospacing="1" w:after="100" w:afterAutospacing="1" w:line="310" w:lineRule="exact"/>
        <w:ind w:left="0" w:right="0" w:firstLine="525"/>
        <w:jc w:val="left"/>
        <w:rPr>
          <w:color w:val="auto"/>
          <w:highlight w:val="none"/>
        </w:rPr>
      </w:pPr>
      <w:r>
        <w:rPr>
          <w:rFonts w:hint="eastAsia" w:ascii="宋体" w:hAnsi="宋体" w:eastAsia="宋体" w:cs="宋体"/>
          <w:color w:val="auto"/>
          <w:sz w:val="21"/>
          <w:szCs w:val="21"/>
          <w:highlight w:val="none"/>
        </w:rPr>
        <w:t>（三） 承包人将其承包的全部工程转包给他人或者肢解以后以分包的名义分别转包给他人，发包人有权解除合同，本合同自解除通知送达承包人之日或发包人指定日期届至时解除。</w:t>
      </w:r>
    </w:p>
    <w:p w14:paraId="4AF19206">
      <w:pPr>
        <w:keepNext w:val="0"/>
        <w:keepLines w:val="0"/>
        <w:widowControl/>
        <w:suppressLineNumbers w:val="0"/>
        <w:spacing w:before="100" w:beforeAutospacing="1" w:after="100" w:afterAutospacing="1" w:line="310" w:lineRule="exact"/>
        <w:ind w:left="0" w:right="0" w:firstLine="525"/>
        <w:jc w:val="left"/>
        <w:rPr>
          <w:color w:val="auto"/>
          <w:highlight w:val="none"/>
        </w:rPr>
      </w:pPr>
      <w:r>
        <w:rPr>
          <w:rFonts w:hint="eastAsia" w:ascii="宋体" w:hAnsi="宋体" w:eastAsia="宋体" w:cs="宋体"/>
          <w:color w:val="auto"/>
          <w:sz w:val="21"/>
          <w:szCs w:val="21"/>
          <w:highlight w:val="none"/>
        </w:rPr>
        <w:t>（四） 未经发包人书面同意，承包人不得将其本合同项下之全部义务或其中一部分义务转让给第三方执行。</w:t>
      </w:r>
    </w:p>
    <w:p w14:paraId="2FDAEAB6">
      <w:pPr>
        <w:keepNext w:val="0"/>
        <w:keepLines w:val="0"/>
        <w:widowControl/>
        <w:suppressLineNumbers w:val="0"/>
        <w:spacing w:before="100" w:beforeAutospacing="1" w:after="100" w:afterAutospacing="1" w:line="310" w:lineRule="exact"/>
        <w:ind w:left="0" w:right="0" w:firstLine="525"/>
        <w:jc w:val="left"/>
        <w:rPr>
          <w:color w:val="auto"/>
          <w:highlight w:val="none"/>
        </w:rPr>
      </w:pPr>
      <w:r>
        <w:rPr>
          <w:rFonts w:hint="eastAsia" w:ascii="宋体" w:hAnsi="宋体" w:eastAsia="宋体" w:cs="宋体"/>
          <w:b/>
          <w:bCs w:val="0"/>
          <w:color w:val="auto"/>
          <w:sz w:val="21"/>
          <w:szCs w:val="21"/>
          <w:highlight w:val="none"/>
        </w:rPr>
        <w:t xml:space="preserve">第十三条 </w:t>
      </w:r>
      <w:r>
        <w:rPr>
          <w:rFonts w:hint="eastAsia" w:ascii="宋体" w:hAnsi="宋体" w:eastAsia="宋体" w:cs="宋体"/>
          <w:color w:val="auto"/>
          <w:sz w:val="21"/>
          <w:szCs w:val="21"/>
          <w:highlight w:val="none"/>
        </w:rPr>
        <w:t>权利保证</w:t>
      </w:r>
      <w:r>
        <w:rPr>
          <w:rFonts w:hint="eastAsia" w:ascii="宋体" w:hAnsi="宋体" w:eastAsia="宋体" w:cs="宋体"/>
          <w:color w:val="auto"/>
          <w:sz w:val="21"/>
          <w:szCs w:val="21"/>
          <w:highlight w:val="none"/>
        </w:rPr>
        <w:br w:type="textWrapping"/>
      </w:r>
      <w:r>
        <w:rPr>
          <w:rFonts w:hint="eastAsia" w:ascii="宋体" w:hAnsi="宋体" w:eastAsia="宋体" w:cs="宋体"/>
          <w:b/>
          <w:bCs/>
          <w:color w:val="auto"/>
          <w:sz w:val="21"/>
          <w:szCs w:val="21"/>
          <w:highlight w:val="none"/>
        </w:rPr>
        <w:t>权利保证</w:t>
      </w:r>
      <w:r>
        <w:rPr>
          <w:rFonts w:hint="eastAsia" w:ascii="宋体" w:hAnsi="宋体" w:eastAsia="宋体" w:cs="宋体"/>
          <w:color w:val="auto"/>
          <w:sz w:val="21"/>
          <w:szCs w:val="21"/>
          <w:highlight w:val="none"/>
        </w:rPr>
        <w:br w:type="textWrapping"/>
      </w:r>
      <w:r>
        <w:rPr>
          <w:rFonts w:hint="eastAsia" w:ascii="宋体" w:hAnsi="宋体" w:eastAsia="宋体" w:cs="宋体"/>
          <w:color w:val="auto"/>
          <w:sz w:val="21"/>
          <w:szCs w:val="21"/>
          <w:highlight w:val="none"/>
        </w:rPr>
        <w:t>乙方确保甲方不因签署本合同、接受或使用本合同中约定的事项侵犯甲方或任何第三方权利。如乙方违反本保证，导致第三方主张权利或者甲方遭受索赔，乙方应负责解决并应当赔偿甲方为此而支付的一切费用以及因此而给甲方造成的全部损失（包括但不限于甲方支出的律师费、仲裁费、诉讼费以及向第三方支付的赔偿金）。</w:t>
      </w:r>
    </w:p>
    <w:p w14:paraId="2F276B64">
      <w:pPr>
        <w:keepNext w:val="0"/>
        <w:keepLines w:val="0"/>
        <w:widowControl/>
        <w:suppressLineNumbers w:val="0"/>
        <w:spacing w:before="100" w:beforeAutospacing="1" w:after="100" w:afterAutospacing="1" w:line="310" w:lineRule="exact"/>
        <w:ind w:left="0" w:right="0" w:firstLine="525"/>
        <w:jc w:val="left"/>
        <w:rPr>
          <w:color w:val="auto"/>
          <w:highlight w:val="none"/>
        </w:rPr>
      </w:pPr>
      <w:r>
        <w:rPr>
          <w:rFonts w:hint="eastAsia" w:ascii="宋体" w:hAnsi="宋体" w:eastAsia="宋体" w:cs="宋体"/>
          <w:b/>
          <w:bCs w:val="0"/>
          <w:color w:val="auto"/>
          <w:sz w:val="21"/>
          <w:szCs w:val="21"/>
          <w:highlight w:val="none"/>
        </w:rPr>
        <w:t xml:space="preserve">第十四条 </w:t>
      </w:r>
      <w:r>
        <w:rPr>
          <w:rFonts w:hint="eastAsia" w:ascii="宋体" w:hAnsi="宋体" w:eastAsia="宋体" w:cs="宋体"/>
          <w:b/>
          <w:bCs/>
          <w:color w:val="auto"/>
          <w:sz w:val="21"/>
          <w:szCs w:val="21"/>
          <w:highlight w:val="none"/>
        </w:rPr>
        <w:t>违约责任</w:t>
      </w:r>
    </w:p>
    <w:p w14:paraId="779713BA">
      <w:pPr>
        <w:keepNext w:val="0"/>
        <w:keepLines w:val="0"/>
        <w:widowControl/>
        <w:suppressLineNumbers w:val="0"/>
        <w:spacing w:before="100" w:beforeAutospacing="1" w:after="100" w:afterAutospacing="1" w:line="310" w:lineRule="exact"/>
        <w:ind w:left="0" w:right="0" w:firstLine="525"/>
        <w:jc w:val="left"/>
        <w:rPr>
          <w:color w:val="auto"/>
          <w:highlight w:val="none"/>
        </w:rPr>
      </w:pPr>
      <w:r>
        <w:rPr>
          <w:rFonts w:hint="eastAsia" w:ascii="宋体" w:hAnsi="宋体" w:eastAsia="宋体" w:cs="宋体"/>
          <w:color w:val="auto"/>
          <w:sz w:val="21"/>
          <w:szCs w:val="21"/>
          <w:highlight w:val="none"/>
        </w:rPr>
        <w:t>（一） 发包人或承包人不能按本合同条款约定内容履行自己的各项义务及发生使合同无法履行的行为，应承担相应的违约责任，包括支付违约金、赔偿因其违约给对方造成的全部经济损失。</w:t>
      </w:r>
    </w:p>
    <w:p w14:paraId="152E06C8">
      <w:pPr>
        <w:keepNext w:val="0"/>
        <w:keepLines w:val="0"/>
        <w:widowControl/>
        <w:suppressLineNumbers w:val="0"/>
        <w:spacing w:before="100" w:beforeAutospacing="1" w:after="100" w:afterAutospacing="1" w:line="310" w:lineRule="exact"/>
        <w:ind w:left="0" w:right="0" w:firstLine="525"/>
        <w:jc w:val="left"/>
        <w:rPr>
          <w:color w:val="auto"/>
          <w:highlight w:val="none"/>
        </w:rPr>
      </w:pPr>
      <w:r>
        <w:rPr>
          <w:rFonts w:hint="eastAsia" w:ascii="宋体" w:hAnsi="宋体" w:eastAsia="宋体" w:cs="宋体"/>
          <w:color w:val="auto"/>
          <w:sz w:val="21"/>
          <w:szCs w:val="21"/>
          <w:highlight w:val="none"/>
        </w:rPr>
        <w:t>（二） 发包人未按本合同的约定支付合同价款，经承包人书面催告后7日内仍未支付的，每逾期一日，按应付款金额_______%向承包人支付违约金。</w:t>
      </w:r>
    </w:p>
    <w:p w14:paraId="6A35ABB2">
      <w:pPr>
        <w:keepNext w:val="0"/>
        <w:keepLines w:val="0"/>
        <w:widowControl/>
        <w:suppressLineNumbers w:val="0"/>
        <w:spacing w:before="100" w:beforeAutospacing="1" w:after="100" w:afterAutospacing="1" w:line="310" w:lineRule="exact"/>
        <w:ind w:left="0" w:right="0" w:firstLine="525"/>
        <w:jc w:val="left"/>
        <w:rPr>
          <w:color w:val="auto"/>
          <w:highlight w:val="none"/>
        </w:rPr>
      </w:pPr>
      <w:r>
        <w:rPr>
          <w:rFonts w:hint="eastAsia" w:ascii="宋体" w:hAnsi="宋体" w:eastAsia="宋体" w:cs="宋体"/>
          <w:color w:val="auto"/>
          <w:sz w:val="21"/>
          <w:szCs w:val="21"/>
          <w:highlight w:val="none"/>
        </w:rPr>
        <w:t>（三） 除发包人批准的工期顺延外，因承包人原因不能按本合同约定的工期完成本工程的，每逾期一日，向发包人支付本合同约定的合同总价款_______%的逾期违约金。</w:t>
      </w:r>
    </w:p>
    <w:p w14:paraId="1CFFF936">
      <w:pPr>
        <w:keepNext w:val="0"/>
        <w:keepLines w:val="0"/>
        <w:widowControl/>
        <w:suppressLineNumbers w:val="0"/>
        <w:spacing w:before="100" w:beforeAutospacing="1" w:after="100" w:afterAutospacing="1" w:line="310" w:lineRule="exact"/>
        <w:ind w:left="0" w:right="0" w:firstLine="525"/>
        <w:jc w:val="left"/>
        <w:rPr>
          <w:color w:val="auto"/>
          <w:highlight w:val="none"/>
        </w:rPr>
      </w:pPr>
      <w:r>
        <w:rPr>
          <w:rFonts w:hint="eastAsia" w:ascii="宋体" w:hAnsi="宋体" w:eastAsia="宋体" w:cs="宋体"/>
          <w:color w:val="auto"/>
          <w:sz w:val="21"/>
          <w:szCs w:val="21"/>
          <w:highlight w:val="none"/>
        </w:rPr>
        <w:t xml:space="preserve">（四） </w:t>
      </w:r>
      <w:r>
        <w:rPr>
          <w:rFonts w:hint="eastAsia" w:ascii="宋体" w:hAnsi="宋体" w:eastAsia="宋体" w:cs="宋体"/>
          <w:b/>
          <w:bCs/>
          <w:color w:val="auto"/>
          <w:sz w:val="21"/>
          <w:szCs w:val="21"/>
          <w:highlight w:val="none"/>
        </w:rPr>
        <w:t>承包人瑕疵履行的违约责任</w:t>
      </w:r>
      <w:r>
        <w:rPr>
          <w:rFonts w:hint="eastAsia" w:ascii="宋体" w:hAnsi="宋体" w:eastAsia="宋体" w:cs="宋体"/>
          <w:color w:val="auto"/>
          <w:sz w:val="21"/>
          <w:szCs w:val="21"/>
          <w:highlight w:val="none"/>
        </w:rPr>
        <w:br w:type="textWrapping"/>
      </w:r>
      <w:r>
        <w:rPr>
          <w:rFonts w:hint="eastAsia" w:ascii="宋体" w:hAnsi="宋体" w:eastAsia="宋体" w:cs="宋体"/>
          <w:color w:val="auto"/>
          <w:sz w:val="21"/>
          <w:szCs w:val="21"/>
          <w:highlight w:val="none"/>
        </w:rPr>
        <w:t>（1）本合同工程完工后，因工程存在较大质量问题不能通过验收，且经整改后仍无法达到约定质量标准的，发包人有权解除合同，拒绝就工程支付任何费用，承包人应予退还已支付的全部工程款，并向发包人支付本合同约定的总价款_______%的质量违约金。</w:t>
      </w:r>
      <w:r>
        <w:rPr>
          <w:rFonts w:hint="eastAsia" w:ascii="宋体" w:hAnsi="宋体" w:eastAsia="宋体" w:cs="宋体"/>
          <w:color w:val="auto"/>
          <w:sz w:val="21"/>
          <w:szCs w:val="21"/>
          <w:highlight w:val="none"/>
        </w:rPr>
        <w:br w:type="textWrapping"/>
      </w:r>
      <w:r>
        <w:rPr>
          <w:rFonts w:hint="eastAsia" w:ascii="宋体" w:hAnsi="宋体" w:eastAsia="宋体" w:cs="宋体"/>
          <w:color w:val="auto"/>
          <w:sz w:val="21"/>
          <w:szCs w:val="21"/>
          <w:highlight w:val="none"/>
        </w:rPr>
        <w:t>（2）因承包人施工质量不合格又拒绝进行修复或返工，或者工期拖延达_______日以上的，发包人有权解除合同。合同解除后的_______日内双方就已完工且合格部分办理结算，发包人有权从结算金额中扣除因承包人违约给发包人造成的损失及违约金。承包人应在发包人通知合同解除后_______日内撤离现场，不得以任何理由占住施工现场。承包人迟延撤离现场的，每逾期一日，按照本合同规定的逾期违约金的_______倍计算迟延撤场违约金。</w:t>
      </w:r>
    </w:p>
    <w:p w14:paraId="785A40CD">
      <w:pPr>
        <w:keepNext w:val="0"/>
        <w:keepLines w:val="0"/>
        <w:widowControl/>
        <w:suppressLineNumbers w:val="0"/>
        <w:spacing w:before="100" w:beforeAutospacing="1" w:after="100" w:afterAutospacing="1" w:line="310" w:lineRule="exact"/>
        <w:ind w:left="0" w:right="0" w:firstLine="525"/>
        <w:jc w:val="left"/>
        <w:rPr>
          <w:color w:val="auto"/>
          <w:highlight w:val="none"/>
        </w:rPr>
      </w:pPr>
      <w:r>
        <w:rPr>
          <w:rFonts w:hint="eastAsia" w:ascii="宋体" w:hAnsi="宋体" w:eastAsia="宋体" w:cs="宋体"/>
          <w:color w:val="auto"/>
          <w:sz w:val="21"/>
          <w:szCs w:val="21"/>
          <w:highlight w:val="none"/>
        </w:rPr>
        <w:t>（五） 工程竣工验收合格并交付发包人使用后，在承包人承诺的合理使用年限内，承包人不履行修理或维护义务给发包人造成经济损失的，承包人承担赔偿责任。</w:t>
      </w:r>
    </w:p>
    <w:p w14:paraId="3837E462">
      <w:pPr>
        <w:keepNext w:val="0"/>
        <w:keepLines w:val="0"/>
        <w:widowControl/>
        <w:suppressLineNumbers w:val="0"/>
        <w:spacing w:before="100" w:beforeAutospacing="1" w:after="100" w:afterAutospacing="1" w:line="310" w:lineRule="exact"/>
        <w:ind w:left="0" w:right="0" w:firstLine="525"/>
        <w:jc w:val="left"/>
        <w:rPr>
          <w:color w:val="auto"/>
          <w:highlight w:val="none"/>
        </w:rPr>
      </w:pPr>
      <w:r>
        <w:rPr>
          <w:rFonts w:hint="eastAsia" w:ascii="宋体" w:hAnsi="宋体" w:eastAsia="宋体" w:cs="宋体"/>
          <w:color w:val="auto"/>
          <w:sz w:val="21"/>
          <w:szCs w:val="21"/>
          <w:highlight w:val="none"/>
        </w:rPr>
        <w:t>（六） 如果乙方违反本合同约定的保密义务，乙方应向甲方支付相当于本合同总价款_______%的违约金，甲方受到的损失超出违约金的部分，由乙方继续承担赔偿责任。</w:t>
      </w:r>
    </w:p>
    <w:p w14:paraId="2E0BAE1C">
      <w:pPr>
        <w:keepNext w:val="0"/>
        <w:keepLines w:val="0"/>
        <w:widowControl/>
        <w:suppressLineNumbers w:val="0"/>
        <w:spacing w:before="100" w:beforeAutospacing="1" w:after="100" w:afterAutospacing="1" w:line="310" w:lineRule="exact"/>
        <w:ind w:left="0" w:right="0" w:firstLine="525"/>
        <w:jc w:val="left"/>
        <w:rPr>
          <w:color w:val="auto"/>
          <w:highlight w:val="none"/>
        </w:rPr>
      </w:pPr>
      <w:r>
        <w:rPr>
          <w:rFonts w:hint="eastAsia" w:ascii="宋体" w:hAnsi="宋体" w:eastAsia="宋体" w:cs="宋体"/>
          <w:color w:val="auto"/>
          <w:sz w:val="21"/>
          <w:szCs w:val="21"/>
          <w:highlight w:val="none"/>
        </w:rPr>
        <w:t>（七） 除本合同的约定外，因承包人的违约行为给发包人造成损失的，承包人应向发包人支付相当于本合同总价款_______%的违约金，如发包人受到的损失超过违约金的，超出部分由承包人继续承担赔偿责任。</w:t>
      </w:r>
    </w:p>
    <w:p w14:paraId="35076FD9">
      <w:pPr>
        <w:keepNext w:val="0"/>
        <w:keepLines w:val="0"/>
        <w:widowControl/>
        <w:suppressLineNumbers w:val="0"/>
        <w:spacing w:before="100" w:beforeAutospacing="1" w:after="100" w:afterAutospacing="1" w:line="310" w:lineRule="exact"/>
        <w:ind w:left="0" w:right="0" w:firstLine="525"/>
        <w:jc w:val="left"/>
        <w:rPr>
          <w:color w:val="auto"/>
          <w:highlight w:val="none"/>
        </w:rPr>
      </w:pPr>
      <w:r>
        <w:rPr>
          <w:rFonts w:hint="eastAsia" w:ascii="宋体" w:hAnsi="宋体" w:eastAsia="宋体" w:cs="宋体"/>
          <w:b/>
          <w:bCs w:val="0"/>
          <w:color w:val="auto"/>
          <w:sz w:val="21"/>
          <w:szCs w:val="21"/>
          <w:highlight w:val="none"/>
        </w:rPr>
        <w:t xml:space="preserve">第十五条 </w:t>
      </w:r>
      <w:r>
        <w:rPr>
          <w:rFonts w:hint="eastAsia" w:ascii="宋体" w:hAnsi="宋体" w:eastAsia="宋体" w:cs="宋体"/>
          <w:b/>
          <w:bCs/>
          <w:color w:val="auto"/>
          <w:sz w:val="21"/>
          <w:szCs w:val="21"/>
          <w:highlight w:val="none"/>
        </w:rPr>
        <w:t>保密义务</w:t>
      </w:r>
    </w:p>
    <w:p w14:paraId="0B6D4932">
      <w:pPr>
        <w:keepNext w:val="0"/>
        <w:keepLines w:val="0"/>
        <w:widowControl/>
        <w:suppressLineNumbers w:val="0"/>
        <w:spacing w:before="100" w:beforeAutospacing="1" w:after="100" w:afterAutospacing="1" w:line="310" w:lineRule="exact"/>
        <w:ind w:left="0" w:right="0" w:firstLine="525"/>
        <w:jc w:val="left"/>
        <w:rPr>
          <w:color w:val="auto"/>
          <w:highlight w:val="none"/>
        </w:rPr>
      </w:pPr>
      <w:r>
        <w:rPr>
          <w:rFonts w:hint="eastAsia" w:ascii="宋体" w:hAnsi="宋体" w:eastAsia="宋体" w:cs="宋体"/>
          <w:color w:val="auto"/>
          <w:sz w:val="21"/>
          <w:szCs w:val="21"/>
          <w:highlight w:val="none"/>
        </w:rPr>
        <w:t>（一） 乙方应保证对本合同的所有相关内容及其因履行本合同所获知的各种甲方的具有保密性质的信息（包括但不限于经营、管理、商务、技术、营销、发展规划等）负有保密义务，未经甲方事前书面许可，不得将上述信息用于本合同目的之外；除为履行其职责而确有必要知悉保密资料的乙方工作人员或其他第三方外，乙方不向其他任何人披露上述信息，且乙方应确保上述人员承担与本合同约定同等严格的保密义务。</w:t>
      </w:r>
    </w:p>
    <w:p w14:paraId="2FADEB34">
      <w:pPr>
        <w:keepNext w:val="0"/>
        <w:keepLines w:val="0"/>
        <w:widowControl/>
        <w:suppressLineNumbers w:val="0"/>
        <w:spacing w:before="100" w:beforeAutospacing="1" w:after="100" w:afterAutospacing="1" w:line="310" w:lineRule="exact"/>
        <w:ind w:left="0" w:right="0" w:firstLine="525"/>
        <w:jc w:val="left"/>
        <w:rPr>
          <w:color w:val="auto"/>
          <w:highlight w:val="none"/>
        </w:rPr>
      </w:pPr>
      <w:r>
        <w:rPr>
          <w:rFonts w:hint="eastAsia" w:ascii="宋体" w:hAnsi="宋体" w:eastAsia="宋体" w:cs="宋体"/>
          <w:color w:val="auto"/>
          <w:sz w:val="21"/>
          <w:szCs w:val="21"/>
          <w:highlight w:val="none"/>
        </w:rPr>
        <w:t>（二） 乙方在本合同中所受领的保密信息应及时返还甲方或在甲方监督下予以销毁。乙方擅自留存备份信息，视为违反保密约定。</w:t>
      </w:r>
    </w:p>
    <w:p w14:paraId="5BDA7776">
      <w:pPr>
        <w:keepNext w:val="0"/>
        <w:keepLines w:val="0"/>
        <w:widowControl/>
        <w:suppressLineNumbers w:val="0"/>
        <w:spacing w:before="100" w:beforeAutospacing="1" w:after="100" w:afterAutospacing="1" w:line="310" w:lineRule="exact"/>
        <w:ind w:left="0" w:right="0" w:firstLine="525"/>
        <w:jc w:val="left"/>
        <w:rPr>
          <w:color w:val="auto"/>
          <w:highlight w:val="none"/>
        </w:rPr>
      </w:pPr>
      <w:r>
        <w:rPr>
          <w:rFonts w:hint="eastAsia" w:ascii="宋体" w:hAnsi="宋体" w:eastAsia="宋体" w:cs="宋体"/>
          <w:color w:val="auto"/>
          <w:sz w:val="21"/>
          <w:szCs w:val="21"/>
          <w:highlight w:val="none"/>
        </w:rPr>
        <w:t>（三） 无论本合同因何种原因终止，本保密条款依然有效。</w:t>
      </w:r>
    </w:p>
    <w:p w14:paraId="5E390A72">
      <w:pPr>
        <w:keepNext w:val="0"/>
        <w:keepLines w:val="0"/>
        <w:widowControl/>
        <w:suppressLineNumbers w:val="0"/>
        <w:spacing w:before="100" w:beforeAutospacing="1" w:after="100" w:afterAutospacing="1" w:line="310" w:lineRule="exact"/>
        <w:ind w:left="0" w:right="0" w:firstLine="525"/>
        <w:jc w:val="left"/>
        <w:rPr>
          <w:color w:val="auto"/>
          <w:highlight w:val="none"/>
        </w:rPr>
      </w:pPr>
      <w:r>
        <w:rPr>
          <w:rFonts w:hint="eastAsia" w:ascii="宋体" w:hAnsi="宋体" w:eastAsia="宋体" w:cs="宋体"/>
          <w:b/>
          <w:bCs w:val="0"/>
          <w:color w:val="auto"/>
          <w:sz w:val="21"/>
          <w:szCs w:val="21"/>
          <w:highlight w:val="none"/>
        </w:rPr>
        <w:t xml:space="preserve">第十六条 </w:t>
      </w:r>
      <w:r>
        <w:rPr>
          <w:rFonts w:hint="eastAsia" w:ascii="宋体" w:hAnsi="宋体" w:eastAsia="宋体" w:cs="宋体"/>
          <w:b/>
          <w:bCs/>
          <w:color w:val="auto"/>
          <w:sz w:val="21"/>
          <w:szCs w:val="21"/>
          <w:highlight w:val="none"/>
        </w:rPr>
        <w:t>不可抗力</w:t>
      </w:r>
    </w:p>
    <w:p w14:paraId="20F8E9DC">
      <w:pPr>
        <w:keepNext w:val="0"/>
        <w:keepLines w:val="0"/>
        <w:widowControl/>
        <w:suppressLineNumbers w:val="0"/>
        <w:spacing w:before="100" w:beforeAutospacing="1" w:after="100" w:afterAutospacing="1" w:line="310" w:lineRule="exact"/>
        <w:ind w:left="0" w:right="0" w:firstLine="525"/>
        <w:jc w:val="left"/>
        <w:rPr>
          <w:color w:val="auto"/>
          <w:highlight w:val="none"/>
        </w:rPr>
      </w:pPr>
      <w:r>
        <w:rPr>
          <w:rFonts w:hint="eastAsia" w:ascii="宋体" w:hAnsi="宋体" w:eastAsia="宋体" w:cs="宋体"/>
          <w:color w:val="auto"/>
          <w:sz w:val="21"/>
          <w:szCs w:val="21"/>
          <w:highlight w:val="none"/>
        </w:rPr>
        <w:t>（一） 本合同任何一方因不可抗力不能履行本合同约定的全部或部分义务，应尽快通知另一方，并应在不可抗力发生后3日内以书面形式向对方提供详细情况报告及不可抗力对履行本合同影响程度的说明。甲、乙双方应根据不可抗力对合同履行的影响程度，协商确定是否终止合同，或继续履行本合同。</w:t>
      </w:r>
    </w:p>
    <w:p w14:paraId="7297B649">
      <w:pPr>
        <w:keepNext w:val="0"/>
        <w:keepLines w:val="0"/>
        <w:widowControl/>
        <w:suppressLineNumbers w:val="0"/>
        <w:spacing w:before="100" w:beforeAutospacing="1" w:after="100" w:afterAutospacing="1" w:line="310" w:lineRule="exact"/>
        <w:ind w:left="0" w:right="0" w:firstLine="525"/>
        <w:jc w:val="left"/>
        <w:rPr>
          <w:color w:val="auto"/>
          <w:highlight w:val="none"/>
        </w:rPr>
      </w:pPr>
      <w:r>
        <w:rPr>
          <w:rFonts w:hint="eastAsia" w:ascii="宋体" w:hAnsi="宋体" w:eastAsia="宋体" w:cs="宋体"/>
          <w:color w:val="auto"/>
          <w:sz w:val="21"/>
          <w:szCs w:val="21"/>
          <w:highlight w:val="none"/>
        </w:rPr>
        <w:t>（二） 本合同任何一方均不对因不可抗力无法履行或迟延履行义务而使对方遭受到任何损失承担责任，但遭受不可抗力影响的一方有责任采取适当和必要的措施减轻或消除不可抗力的影响。遭受不可抗力影响的一方应当对未尽本项责任造成或扩大的损失承担责任。</w:t>
      </w:r>
    </w:p>
    <w:p w14:paraId="3C4ECE57">
      <w:pPr>
        <w:keepNext w:val="0"/>
        <w:keepLines w:val="0"/>
        <w:widowControl/>
        <w:suppressLineNumbers w:val="0"/>
        <w:spacing w:before="100" w:beforeAutospacing="1" w:after="100" w:afterAutospacing="1" w:line="310" w:lineRule="exact"/>
        <w:ind w:left="0" w:right="0" w:firstLine="525"/>
        <w:jc w:val="left"/>
        <w:rPr>
          <w:color w:val="auto"/>
          <w:highlight w:val="none"/>
        </w:rPr>
      </w:pPr>
      <w:r>
        <w:rPr>
          <w:rFonts w:hint="eastAsia" w:ascii="宋体" w:hAnsi="宋体" w:eastAsia="宋体" w:cs="宋体"/>
          <w:color w:val="auto"/>
          <w:sz w:val="21"/>
          <w:szCs w:val="21"/>
          <w:highlight w:val="none"/>
        </w:rPr>
        <w:t>（三） 合同一方迟延履行后发生不可抗力的，不能免除其责任。</w:t>
      </w:r>
    </w:p>
    <w:p w14:paraId="3D61A385">
      <w:pPr>
        <w:keepNext w:val="0"/>
        <w:keepLines w:val="0"/>
        <w:widowControl/>
        <w:suppressLineNumbers w:val="0"/>
        <w:spacing w:before="100" w:beforeAutospacing="1" w:after="100" w:afterAutospacing="1" w:line="310" w:lineRule="exact"/>
        <w:ind w:left="0" w:right="0" w:firstLine="525"/>
        <w:jc w:val="left"/>
        <w:rPr>
          <w:color w:val="auto"/>
          <w:highlight w:val="none"/>
        </w:rPr>
      </w:pPr>
      <w:r>
        <w:rPr>
          <w:rFonts w:hint="eastAsia" w:ascii="宋体" w:hAnsi="宋体" w:eastAsia="宋体" w:cs="宋体"/>
          <w:b/>
          <w:bCs w:val="0"/>
          <w:color w:val="auto"/>
          <w:sz w:val="21"/>
          <w:szCs w:val="21"/>
          <w:highlight w:val="none"/>
        </w:rPr>
        <w:t xml:space="preserve">第十七条 </w:t>
      </w:r>
      <w:r>
        <w:rPr>
          <w:rFonts w:hint="eastAsia" w:ascii="宋体" w:hAnsi="宋体" w:eastAsia="宋体" w:cs="宋体"/>
          <w:color w:val="auto"/>
          <w:sz w:val="21"/>
          <w:szCs w:val="21"/>
          <w:highlight w:val="none"/>
        </w:rPr>
        <w:t>合同变更</w:t>
      </w:r>
      <w:r>
        <w:rPr>
          <w:rFonts w:hint="eastAsia" w:ascii="宋体" w:hAnsi="宋体" w:eastAsia="宋体" w:cs="宋体"/>
          <w:color w:val="auto"/>
          <w:sz w:val="21"/>
          <w:szCs w:val="21"/>
          <w:highlight w:val="none"/>
        </w:rPr>
        <w:br w:type="textWrapping"/>
      </w:r>
      <w:r>
        <w:rPr>
          <w:rFonts w:hint="eastAsia" w:ascii="宋体" w:hAnsi="宋体" w:eastAsia="宋体" w:cs="宋体"/>
          <w:b/>
          <w:bCs/>
          <w:color w:val="auto"/>
          <w:sz w:val="21"/>
          <w:szCs w:val="21"/>
          <w:highlight w:val="none"/>
        </w:rPr>
        <w:t>合同变更</w:t>
      </w:r>
      <w:r>
        <w:rPr>
          <w:rFonts w:hint="eastAsia" w:ascii="宋体" w:hAnsi="宋体" w:eastAsia="宋体" w:cs="宋体"/>
          <w:color w:val="auto"/>
          <w:sz w:val="21"/>
          <w:szCs w:val="21"/>
          <w:highlight w:val="none"/>
        </w:rPr>
        <w:br w:type="textWrapping"/>
      </w:r>
      <w:r>
        <w:rPr>
          <w:rFonts w:hint="eastAsia" w:ascii="宋体" w:hAnsi="宋体" w:eastAsia="宋体" w:cs="宋体"/>
          <w:color w:val="auto"/>
          <w:sz w:val="21"/>
          <w:szCs w:val="21"/>
          <w:highlight w:val="none"/>
        </w:rPr>
        <w:t>对本合同的任何变更或补充，须经甲乙双方协商一致，并另行签订书面补充协议。</w:t>
      </w:r>
    </w:p>
    <w:p w14:paraId="34CF2BA0">
      <w:pPr>
        <w:keepNext w:val="0"/>
        <w:keepLines w:val="0"/>
        <w:widowControl/>
        <w:suppressLineNumbers w:val="0"/>
        <w:spacing w:before="100" w:beforeAutospacing="1" w:after="100" w:afterAutospacing="1" w:line="310" w:lineRule="exact"/>
        <w:ind w:left="0" w:right="0" w:firstLine="525"/>
        <w:jc w:val="left"/>
        <w:rPr>
          <w:color w:val="auto"/>
          <w:highlight w:val="none"/>
        </w:rPr>
      </w:pPr>
      <w:r>
        <w:rPr>
          <w:rFonts w:hint="eastAsia" w:ascii="宋体" w:hAnsi="宋体" w:eastAsia="宋体" w:cs="宋体"/>
          <w:b/>
          <w:bCs w:val="0"/>
          <w:color w:val="auto"/>
          <w:sz w:val="21"/>
          <w:szCs w:val="21"/>
          <w:highlight w:val="none"/>
        </w:rPr>
        <w:t xml:space="preserve">第十八条 </w:t>
      </w:r>
      <w:r>
        <w:rPr>
          <w:rFonts w:hint="eastAsia" w:ascii="宋体" w:hAnsi="宋体" w:eastAsia="宋体" w:cs="宋体"/>
          <w:b/>
          <w:bCs/>
          <w:color w:val="auto"/>
          <w:sz w:val="21"/>
          <w:szCs w:val="21"/>
          <w:highlight w:val="none"/>
        </w:rPr>
        <w:t>合同特别终止</w:t>
      </w:r>
    </w:p>
    <w:p w14:paraId="4842F0B8">
      <w:pPr>
        <w:keepNext w:val="0"/>
        <w:keepLines w:val="0"/>
        <w:widowControl/>
        <w:suppressLineNumbers w:val="0"/>
        <w:spacing w:before="100" w:beforeAutospacing="1" w:after="100" w:afterAutospacing="1" w:line="310" w:lineRule="exact"/>
        <w:ind w:left="0" w:right="0" w:firstLine="525"/>
        <w:jc w:val="left"/>
        <w:rPr>
          <w:color w:val="auto"/>
          <w:highlight w:val="none"/>
        </w:rPr>
      </w:pPr>
      <w:r>
        <w:rPr>
          <w:rFonts w:hint="eastAsia" w:ascii="宋体" w:hAnsi="宋体" w:eastAsia="宋体" w:cs="宋体"/>
          <w:color w:val="auto"/>
          <w:sz w:val="21"/>
          <w:szCs w:val="21"/>
          <w:highlight w:val="none"/>
        </w:rPr>
        <w:t>（一） 甲乙双方同意在乙方出现下列情形时，甲方可以书面形式通知乙方（或者乙方的破产清算组或相关管理人）提出终止合同而不向其提供任何补偿：</w:t>
      </w:r>
      <w:r>
        <w:rPr>
          <w:rFonts w:hint="eastAsia" w:ascii="宋体" w:hAnsi="宋体" w:eastAsia="宋体" w:cs="宋体"/>
          <w:color w:val="auto"/>
          <w:sz w:val="21"/>
          <w:szCs w:val="21"/>
          <w:highlight w:val="none"/>
        </w:rPr>
        <w:br w:type="textWrapping"/>
      </w:r>
      <w:r>
        <w:rPr>
          <w:rFonts w:hint="eastAsia" w:ascii="宋体" w:hAnsi="宋体" w:eastAsia="宋体" w:cs="宋体"/>
          <w:color w:val="auto"/>
          <w:sz w:val="21"/>
          <w:szCs w:val="21"/>
          <w:highlight w:val="none"/>
        </w:rPr>
        <w:t>（1）乙方破产、解散（包括但不限于乙方股东会决议解散、乙方被吊销营业执照、被责令关闭、被撤销、被司法机关裁决解散等情形）；</w:t>
      </w:r>
      <w:r>
        <w:rPr>
          <w:rFonts w:hint="eastAsia" w:ascii="宋体" w:hAnsi="宋体" w:eastAsia="宋体" w:cs="宋体"/>
          <w:color w:val="auto"/>
          <w:sz w:val="21"/>
          <w:szCs w:val="21"/>
          <w:highlight w:val="none"/>
        </w:rPr>
        <w:br w:type="textWrapping"/>
      </w:r>
      <w:r>
        <w:rPr>
          <w:rFonts w:hint="eastAsia" w:ascii="宋体" w:hAnsi="宋体" w:eastAsia="宋体" w:cs="宋体"/>
          <w:color w:val="auto"/>
          <w:sz w:val="21"/>
          <w:szCs w:val="21"/>
          <w:highlight w:val="none"/>
        </w:rPr>
        <w:t>（2）乙方发生未经甲方书面同意的重大产权变更（包括但不限于合并、分立、注销等情形)；（如系上市公司）被勒令停止上市；以及任何原因背负重大债务导致无履行能力。</w:t>
      </w:r>
    </w:p>
    <w:p w14:paraId="6EC2ACCD">
      <w:pPr>
        <w:keepNext w:val="0"/>
        <w:keepLines w:val="0"/>
        <w:widowControl/>
        <w:suppressLineNumbers w:val="0"/>
        <w:spacing w:before="100" w:beforeAutospacing="1" w:after="100" w:afterAutospacing="1" w:line="310" w:lineRule="exact"/>
        <w:ind w:left="0" w:right="0" w:firstLine="525"/>
        <w:jc w:val="left"/>
        <w:rPr>
          <w:color w:val="auto"/>
          <w:highlight w:val="none"/>
        </w:rPr>
      </w:pPr>
      <w:r>
        <w:rPr>
          <w:rFonts w:hint="eastAsia" w:ascii="宋体" w:hAnsi="宋体" w:eastAsia="宋体" w:cs="宋体"/>
          <w:color w:val="auto"/>
          <w:sz w:val="21"/>
          <w:szCs w:val="21"/>
          <w:highlight w:val="none"/>
        </w:rPr>
        <w:t>（二） 如果因上述原因导致本合同终止，甲方已经采取或者将要采取任何补救措施的权利不受任何影响。</w:t>
      </w:r>
    </w:p>
    <w:p w14:paraId="511C9235">
      <w:pPr>
        <w:keepNext w:val="0"/>
        <w:keepLines w:val="0"/>
        <w:widowControl/>
        <w:suppressLineNumbers w:val="0"/>
        <w:spacing w:before="100" w:beforeAutospacing="1" w:after="100" w:afterAutospacing="1" w:line="310" w:lineRule="exact"/>
        <w:ind w:left="0" w:right="0" w:firstLine="525"/>
        <w:jc w:val="left"/>
        <w:rPr>
          <w:color w:val="auto"/>
          <w:highlight w:val="none"/>
        </w:rPr>
      </w:pPr>
      <w:r>
        <w:rPr>
          <w:rFonts w:hint="eastAsia" w:ascii="宋体" w:hAnsi="宋体" w:eastAsia="宋体" w:cs="宋体"/>
          <w:b/>
          <w:bCs w:val="0"/>
          <w:color w:val="auto"/>
          <w:sz w:val="21"/>
          <w:szCs w:val="21"/>
          <w:highlight w:val="none"/>
        </w:rPr>
        <w:t xml:space="preserve">第十九条 </w:t>
      </w:r>
      <w:r>
        <w:rPr>
          <w:rFonts w:hint="eastAsia" w:ascii="宋体" w:hAnsi="宋体" w:eastAsia="宋体" w:cs="宋体"/>
          <w:b/>
          <w:bCs/>
          <w:color w:val="auto"/>
          <w:sz w:val="21"/>
          <w:szCs w:val="21"/>
          <w:highlight w:val="none"/>
        </w:rPr>
        <w:t>法律适用与争议解决</w:t>
      </w:r>
    </w:p>
    <w:p w14:paraId="4DC3151D">
      <w:pPr>
        <w:keepNext w:val="0"/>
        <w:keepLines w:val="0"/>
        <w:widowControl/>
        <w:suppressLineNumbers w:val="0"/>
        <w:spacing w:before="100" w:beforeAutospacing="1" w:after="100" w:afterAutospacing="1" w:line="310" w:lineRule="exact"/>
        <w:ind w:left="0" w:right="0" w:firstLine="525"/>
        <w:jc w:val="left"/>
        <w:rPr>
          <w:color w:val="auto"/>
          <w:highlight w:val="none"/>
        </w:rPr>
      </w:pPr>
      <w:r>
        <w:rPr>
          <w:rFonts w:hint="eastAsia" w:ascii="宋体" w:hAnsi="宋体" w:eastAsia="宋体" w:cs="宋体"/>
          <w:color w:val="auto"/>
          <w:sz w:val="21"/>
          <w:szCs w:val="21"/>
          <w:highlight w:val="none"/>
        </w:rPr>
        <w:t>（一） 本合同的订立、效力、解释、履行和争议的解决均适用中华人民共和国法律（不包括港澳台地区法律）。</w:t>
      </w:r>
    </w:p>
    <w:p w14:paraId="0A3E0AE7">
      <w:pPr>
        <w:keepNext w:val="0"/>
        <w:keepLines w:val="0"/>
        <w:widowControl/>
        <w:suppressLineNumbers w:val="0"/>
        <w:spacing w:before="100" w:beforeAutospacing="1" w:after="100" w:afterAutospacing="1" w:line="310" w:lineRule="exact"/>
        <w:ind w:left="0" w:right="0" w:firstLine="525"/>
        <w:jc w:val="left"/>
        <w:rPr>
          <w:color w:val="auto"/>
          <w:highlight w:val="none"/>
        </w:rPr>
      </w:pPr>
      <w:r>
        <w:rPr>
          <w:rFonts w:hint="eastAsia" w:ascii="宋体" w:hAnsi="宋体" w:eastAsia="宋体" w:cs="宋体"/>
          <w:color w:val="auto"/>
          <w:sz w:val="21"/>
          <w:szCs w:val="21"/>
          <w:highlight w:val="none"/>
        </w:rPr>
        <w:t>（二） 凡因本合同引起的或与本合同有关的任何争议，双方首先应友好协商解决。协商不成的，任何一方均有权向甲方所在地人民法院提起诉讼。</w:t>
      </w:r>
    </w:p>
    <w:p w14:paraId="730ED8A3">
      <w:pPr>
        <w:keepNext w:val="0"/>
        <w:keepLines w:val="0"/>
        <w:widowControl/>
        <w:suppressLineNumbers w:val="0"/>
        <w:spacing w:before="100" w:beforeAutospacing="1" w:after="100" w:afterAutospacing="1" w:line="310" w:lineRule="exact"/>
        <w:ind w:left="0" w:right="0" w:firstLine="525"/>
        <w:jc w:val="left"/>
        <w:rPr>
          <w:color w:val="auto"/>
          <w:highlight w:val="none"/>
        </w:rPr>
      </w:pPr>
      <w:r>
        <w:rPr>
          <w:rFonts w:hint="eastAsia" w:ascii="宋体" w:hAnsi="宋体" w:eastAsia="宋体" w:cs="宋体"/>
          <w:b/>
          <w:bCs w:val="0"/>
          <w:color w:val="auto"/>
          <w:sz w:val="21"/>
          <w:szCs w:val="21"/>
          <w:highlight w:val="none"/>
        </w:rPr>
        <w:t xml:space="preserve">第二十条 </w:t>
      </w:r>
      <w:r>
        <w:rPr>
          <w:rFonts w:hint="eastAsia" w:ascii="宋体" w:hAnsi="宋体" w:eastAsia="宋体" w:cs="宋体"/>
          <w:b/>
          <w:bCs/>
          <w:color w:val="auto"/>
          <w:sz w:val="21"/>
          <w:szCs w:val="21"/>
          <w:highlight w:val="none"/>
        </w:rPr>
        <w:t>合同生效及其他</w:t>
      </w:r>
    </w:p>
    <w:p w14:paraId="40684D1E">
      <w:pPr>
        <w:keepNext w:val="0"/>
        <w:keepLines w:val="0"/>
        <w:widowControl/>
        <w:suppressLineNumbers w:val="0"/>
        <w:spacing w:before="100" w:beforeAutospacing="1" w:after="100" w:afterAutospacing="1" w:line="310" w:lineRule="exact"/>
        <w:ind w:left="0" w:right="0" w:firstLine="525"/>
        <w:jc w:val="left"/>
        <w:rPr>
          <w:color w:val="auto"/>
          <w:highlight w:val="none"/>
        </w:rPr>
      </w:pPr>
      <w:r>
        <w:rPr>
          <w:rFonts w:hint="eastAsia" w:ascii="宋体" w:hAnsi="宋体" w:eastAsia="宋体" w:cs="宋体"/>
          <w:color w:val="auto"/>
          <w:sz w:val="21"/>
          <w:szCs w:val="21"/>
          <w:highlight w:val="none"/>
        </w:rPr>
        <w:t>（一） 本合同经甲乙双方法定代表人或授权代表签字并加盖公章后生效，在竣工结算、发包人支付完毕，工程验收合格并交付给发包人后，除有关保修条款、违约责任条款、争议解决条款仍然生效外，其他条款即告终止。</w:t>
      </w:r>
    </w:p>
    <w:p w14:paraId="44A9E8EC">
      <w:pPr>
        <w:keepNext w:val="0"/>
        <w:keepLines w:val="0"/>
        <w:widowControl/>
        <w:suppressLineNumbers w:val="0"/>
        <w:spacing w:before="100" w:beforeAutospacing="1" w:after="100" w:afterAutospacing="1" w:line="310" w:lineRule="exact"/>
        <w:ind w:left="0" w:right="0" w:firstLine="525"/>
        <w:jc w:val="left"/>
        <w:rPr>
          <w:color w:val="auto"/>
          <w:highlight w:val="none"/>
        </w:rPr>
      </w:pPr>
      <w:r>
        <w:rPr>
          <w:rFonts w:hint="eastAsia" w:ascii="宋体" w:hAnsi="宋体" w:eastAsia="宋体" w:cs="宋体"/>
          <w:color w:val="auto"/>
          <w:sz w:val="21"/>
          <w:szCs w:val="21"/>
          <w:highlight w:val="none"/>
        </w:rPr>
        <w:t>（二） 本合同一式_______份，其中正本_______份，副本_______份。甲方执_______份正本，_______份副本；乙方执_______份正本，_______份副本。</w:t>
      </w:r>
    </w:p>
    <w:p w14:paraId="7833B6DD">
      <w:pPr>
        <w:keepNext w:val="0"/>
        <w:keepLines w:val="0"/>
        <w:widowControl/>
        <w:suppressLineNumbers w:val="0"/>
        <w:spacing w:before="100" w:beforeAutospacing="1" w:after="100" w:afterAutospacing="1" w:line="310" w:lineRule="exact"/>
        <w:ind w:left="0" w:right="0" w:firstLine="525"/>
        <w:jc w:val="left"/>
        <w:rPr>
          <w:color w:val="auto"/>
          <w:highlight w:val="none"/>
        </w:rPr>
      </w:pPr>
      <w:r>
        <w:rPr>
          <w:rFonts w:hint="eastAsia" w:ascii="宋体" w:hAnsi="宋体" w:eastAsia="宋体" w:cs="宋体"/>
          <w:b/>
          <w:bCs w:val="0"/>
          <w:color w:val="auto"/>
          <w:sz w:val="21"/>
          <w:szCs w:val="21"/>
          <w:highlight w:val="none"/>
        </w:rPr>
        <w:t xml:space="preserve">第二十一条 </w:t>
      </w:r>
      <w:r>
        <w:rPr>
          <w:rFonts w:hint="eastAsia" w:ascii="宋体" w:hAnsi="宋体" w:eastAsia="宋体" w:cs="宋体"/>
          <w:b/>
          <w:bCs/>
          <w:color w:val="auto"/>
          <w:sz w:val="21"/>
          <w:szCs w:val="21"/>
          <w:highlight w:val="none"/>
        </w:rPr>
        <w:t>合同效力</w:t>
      </w:r>
    </w:p>
    <w:p w14:paraId="6A8A47FE">
      <w:pPr>
        <w:keepNext w:val="0"/>
        <w:keepLines w:val="0"/>
        <w:widowControl/>
        <w:suppressLineNumbers w:val="0"/>
        <w:spacing w:before="100" w:beforeAutospacing="1" w:after="100" w:afterAutospacing="1" w:line="310" w:lineRule="exact"/>
        <w:ind w:left="0" w:right="0" w:firstLine="525"/>
        <w:jc w:val="left"/>
        <w:rPr>
          <w:color w:val="auto"/>
          <w:highlight w:val="none"/>
        </w:rPr>
      </w:pPr>
      <w:r>
        <w:rPr>
          <w:rFonts w:hint="eastAsia" w:ascii="宋体" w:hAnsi="宋体" w:eastAsia="宋体" w:cs="宋体"/>
          <w:color w:val="auto"/>
          <w:sz w:val="21"/>
          <w:szCs w:val="21"/>
          <w:highlight w:val="none"/>
        </w:rPr>
        <w:t>（一） 无论本合同是否有相反约定，本合同附件（如有）作为本合同的组成部分，与本合同具有同等法律效力，当附件条款与本合同条款发生冲突时，以本合同条款为准。</w:t>
      </w:r>
    </w:p>
    <w:p w14:paraId="2DABA351">
      <w:pPr>
        <w:keepNext w:val="0"/>
        <w:keepLines w:val="0"/>
        <w:widowControl/>
        <w:suppressLineNumbers w:val="0"/>
        <w:spacing w:before="100" w:beforeAutospacing="1" w:after="100" w:afterAutospacing="1" w:line="310" w:lineRule="exact"/>
        <w:ind w:left="0" w:right="0" w:firstLine="525"/>
        <w:jc w:val="left"/>
        <w:rPr>
          <w:color w:val="auto"/>
          <w:highlight w:val="none"/>
        </w:rPr>
      </w:pPr>
      <w:r>
        <w:rPr>
          <w:rFonts w:hint="eastAsia" w:ascii="宋体" w:hAnsi="宋体" w:eastAsia="宋体" w:cs="宋体"/>
          <w:color w:val="auto"/>
          <w:sz w:val="21"/>
          <w:szCs w:val="21"/>
          <w:highlight w:val="none"/>
        </w:rPr>
        <w:t>（二） 本合同及合同附件（如有）是甲乙双方关于本次交易所最终确定的全部内容，甲乙双方均承认其已审阅、理解本合同及合同附件的内容，并同意取代甲乙双方之间此前关于本次交易所做出的任何口头或书面的承诺。</w:t>
      </w:r>
    </w:p>
    <w:p w14:paraId="198D59BA">
      <w:pPr>
        <w:keepNext w:val="0"/>
        <w:keepLines w:val="0"/>
        <w:widowControl/>
        <w:suppressLineNumbers w:val="0"/>
        <w:spacing w:before="100" w:beforeAutospacing="1" w:after="100" w:afterAutospacing="1" w:line="310" w:lineRule="exact"/>
        <w:ind w:left="0" w:right="0" w:firstLine="525"/>
        <w:jc w:val="left"/>
        <w:rPr>
          <w:color w:val="auto"/>
          <w:highlight w:val="none"/>
        </w:rPr>
      </w:pPr>
      <w:r>
        <w:rPr>
          <w:rFonts w:hint="eastAsia" w:ascii="宋体" w:hAnsi="宋体" w:eastAsia="宋体" w:cs="宋体"/>
          <w:color w:val="auto"/>
          <w:sz w:val="21"/>
          <w:szCs w:val="21"/>
          <w:highlight w:val="none"/>
        </w:rPr>
        <w:t>（三） 由于法律和法规、政策而导致本合同任何条款无效或无法执行，则该条款无效，但不影响剩余其他条款的效力。</w:t>
      </w:r>
    </w:p>
    <w:p w14:paraId="0996247B">
      <w:pPr>
        <w:keepNext w:val="0"/>
        <w:keepLines w:val="0"/>
        <w:widowControl/>
        <w:suppressLineNumbers w:val="0"/>
        <w:spacing w:before="100" w:beforeAutospacing="1" w:after="100" w:afterAutospacing="1" w:line="310" w:lineRule="exact"/>
        <w:ind w:left="0" w:right="0" w:firstLine="525"/>
        <w:jc w:val="left"/>
        <w:rPr>
          <w:color w:val="auto"/>
          <w:highlight w:val="none"/>
        </w:rPr>
      </w:pPr>
      <w:r>
        <w:rPr>
          <w:rFonts w:hint="eastAsia" w:ascii="宋体" w:hAnsi="宋体" w:eastAsia="宋体" w:cs="宋体"/>
          <w:b/>
          <w:bCs w:val="0"/>
          <w:color w:val="auto"/>
          <w:sz w:val="21"/>
          <w:szCs w:val="21"/>
          <w:highlight w:val="none"/>
        </w:rPr>
        <w:t xml:space="preserve">第二十二条 </w:t>
      </w:r>
      <w:r>
        <w:rPr>
          <w:rFonts w:hint="eastAsia" w:ascii="宋体" w:hAnsi="宋体" w:eastAsia="宋体" w:cs="宋体"/>
          <w:color w:val="auto"/>
          <w:sz w:val="21"/>
          <w:szCs w:val="21"/>
          <w:highlight w:val="none"/>
        </w:rPr>
        <w:t>附件的组成（适用于建设工程施工合同）</w:t>
      </w:r>
      <w:r>
        <w:rPr>
          <w:rFonts w:hint="eastAsia" w:ascii="宋体" w:hAnsi="宋体" w:eastAsia="宋体" w:cs="宋体"/>
          <w:color w:val="auto"/>
          <w:sz w:val="21"/>
          <w:szCs w:val="21"/>
          <w:highlight w:val="none"/>
        </w:rPr>
        <w:br w:type="textWrapping"/>
      </w:r>
      <w:r>
        <w:rPr>
          <w:rFonts w:hint="eastAsia" w:ascii="宋体" w:hAnsi="宋体" w:eastAsia="宋体" w:cs="宋体"/>
          <w:color w:val="auto"/>
          <w:sz w:val="21"/>
          <w:szCs w:val="21"/>
          <w:highlight w:val="none"/>
        </w:rPr>
        <w:t>附件的组成</w:t>
      </w:r>
      <w:r>
        <w:rPr>
          <w:rFonts w:hint="eastAsia" w:ascii="宋体" w:hAnsi="宋体" w:eastAsia="宋体" w:cs="宋体"/>
          <w:color w:val="auto"/>
          <w:sz w:val="21"/>
          <w:szCs w:val="21"/>
          <w:highlight w:val="none"/>
        </w:rPr>
        <w:br w:type="textWrapping"/>
      </w:r>
      <w:r>
        <w:rPr>
          <w:rFonts w:hint="eastAsia" w:ascii="宋体" w:hAnsi="宋体" w:eastAsia="宋体" w:cs="宋体"/>
          <w:color w:val="auto"/>
          <w:sz w:val="21"/>
          <w:szCs w:val="21"/>
          <w:highlight w:val="none"/>
        </w:rPr>
        <w:t>附件一、工程概况</w:t>
      </w:r>
      <w:r>
        <w:rPr>
          <w:rFonts w:hint="eastAsia" w:ascii="宋体" w:hAnsi="宋体" w:eastAsia="宋体" w:cs="宋体"/>
          <w:color w:val="auto"/>
          <w:sz w:val="21"/>
          <w:szCs w:val="21"/>
          <w:highlight w:val="none"/>
        </w:rPr>
        <w:br w:type="textWrapping"/>
      </w:r>
      <w:r>
        <w:rPr>
          <w:rFonts w:hint="eastAsia" w:ascii="宋体" w:hAnsi="宋体" w:eastAsia="宋体" w:cs="宋体"/>
          <w:color w:val="auto"/>
          <w:sz w:val="21"/>
          <w:szCs w:val="21"/>
          <w:highlight w:val="none"/>
        </w:rPr>
        <w:t>附件二、合同工期及质量标准</w:t>
      </w:r>
      <w:r>
        <w:rPr>
          <w:rFonts w:hint="eastAsia" w:ascii="宋体" w:hAnsi="宋体" w:eastAsia="宋体" w:cs="宋体"/>
          <w:color w:val="auto"/>
          <w:sz w:val="21"/>
          <w:szCs w:val="21"/>
          <w:highlight w:val="none"/>
        </w:rPr>
        <w:br w:type="textWrapping"/>
      </w:r>
      <w:r>
        <w:rPr>
          <w:rFonts w:hint="eastAsia" w:ascii="宋体" w:hAnsi="宋体" w:eastAsia="宋体" w:cs="宋体"/>
          <w:color w:val="auto"/>
          <w:sz w:val="21"/>
          <w:szCs w:val="21"/>
          <w:highlight w:val="none"/>
        </w:rPr>
        <w:t>附件三、付款</w:t>
      </w:r>
      <w:r>
        <w:rPr>
          <w:rFonts w:hint="eastAsia" w:ascii="宋体" w:hAnsi="宋体" w:eastAsia="宋体" w:cs="宋体"/>
          <w:color w:val="auto"/>
          <w:sz w:val="21"/>
          <w:szCs w:val="21"/>
          <w:highlight w:val="none"/>
        </w:rPr>
        <w:br w:type="textWrapping"/>
      </w:r>
      <w:r>
        <w:rPr>
          <w:rFonts w:hint="eastAsia" w:ascii="宋体" w:hAnsi="宋体" w:eastAsia="宋体" w:cs="宋体"/>
          <w:color w:val="auto"/>
          <w:sz w:val="21"/>
          <w:szCs w:val="21"/>
          <w:highlight w:val="none"/>
        </w:rPr>
        <w:t>附件四、材料设备供应</w:t>
      </w:r>
      <w:r>
        <w:rPr>
          <w:rFonts w:hint="eastAsia" w:ascii="宋体" w:hAnsi="宋体" w:eastAsia="宋体" w:cs="宋体"/>
          <w:color w:val="auto"/>
          <w:sz w:val="21"/>
          <w:szCs w:val="21"/>
          <w:highlight w:val="none"/>
        </w:rPr>
        <w:br w:type="textWrapping"/>
      </w:r>
      <w:r>
        <w:rPr>
          <w:rFonts w:hint="eastAsia" w:ascii="宋体" w:hAnsi="宋体" w:eastAsia="宋体" w:cs="宋体"/>
          <w:color w:val="auto"/>
          <w:sz w:val="21"/>
          <w:szCs w:val="21"/>
          <w:highlight w:val="none"/>
        </w:rPr>
        <w:t>附件五、保修</w:t>
      </w:r>
    </w:p>
    <w:p w14:paraId="7DFE001C">
      <w:pPr>
        <w:keepNext w:val="0"/>
        <w:keepLines w:val="0"/>
        <w:widowControl/>
        <w:suppressLineNumbers w:val="0"/>
        <w:spacing w:before="100" w:beforeAutospacing="1" w:after="100" w:afterAutospacing="1" w:line="310" w:lineRule="exact"/>
        <w:ind w:left="0" w:right="0" w:firstLine="525"/>
        <w:jc w:val="left"/>
        <w:rPr>
          <w:color w:val="auto"/>
          <w:highlight w:val="none"/>
        </w:rPr>
      </w:pPr>
      <w:r>
        <w:rPr>
          <w:rFonts w:hint="eastAsia" w:ascii="宋体" w:hAnsi="宋体" w:eastAsia="宋体" w:cs="宋体"/>
          <w:b/>
          <w:bCs w:val="0"/>
          <w:color w:val="auto"/>
          <w:sz w:val="21"/>
          <w:szCs w:val="21"/>
          <w:highlight w:val="none"/>
        </w:rPr>
        <w:t xml:space="preserve">第二十三条 </w:t>
      </w:r>
      <w:r>
        <w:rPr>
          <w:rFonts w:hint="eastAsia" w:ascii="宋体" w:hAnsi="宋体" w:eastAsia="宋体" w:cs="宋体"/>
          <w:color w:val="auto"/>
          <w:sz w:val="21"/>
          <w:szCs w:val="21"/>
          <w:highlight w:val="none"/>
        </w:rPr>
        <w:t>......</w:t>
      </w:r>
    </w:p>
    <w:p w14:paraId="530DBF24">
      <w:pPr>
        <w:snapToGrid w:val="0"/>
        <w:spacing w:line="360" w:lineRule="auto"/>
        <w:rPr>
          <w:rFonts w:ascii="楷体" w:hAnsi="楷体" w:eastAsia="楷体" w:cs="宋体"/>
          <w:b/>
          <w:color w:val="auto"/>
          <w:kern w:val="0"/>
          <w:sz w:val="24"/>
          <w:highlight w:val="none"/>
        </w:rPr>
      </w:pPr>
      <w:r>
        <w:rPr>
          <w:rFonts w:hint="eastAsia" w:ascii="楷体" w:hAnsi="楷体" w:eastAsia="楷体"/>
          <w:b/>
          <w:color w:val="auto"/>
          <w:sz w:val="24"/>
          <w:highlight w:val="none"/>
        </w:rPr>
        <w:t>附件一：【重要提示：属于重要商务条款，此模板供主办部门参照执行，主办部门可以根据项目实际进行相应的调整，但应注意避免出现重大偏离的情形。】</w:t>
      </w:r>
    </w:p>
    <w:p w14:paraId="24ADC662">
      <w:pPr>
        <w:adjustRightInd w:val="0"/>
        <w:snapToGrid w:val="0"/>
        <w:spacing w:line="360" w:lineRule="auto"/>
        <w:ind w:left="482" w:firstLine="2771" w:firstLineChars="1150"/>
        <w:rPr>
          <w:rFonts w:ascii="楷体" w:hAnsi="楷体" w:eastAsia="楷体" w:cs="宋体"/>
          <w:b/>
          <w:color w:val="auto"/>
          <w:kern w:val="0"/>
          <w:sz w:val="24"/>
          <w:highlight w:val="none"/>
        </w:rPr>
      </w:pPr>
      <w:r>
        <w:rPr>
          <w:rFonts w:hint="eastAsia" w:ascii="楷体" w:hAnsi="楷体" w:eastAsia="楷体" w:cs="宋体"/>
          <w:b/>
          <w:color w:val="auto"/>
          <w:kern w:val="0"/>
          <w:sz w:val="24"/>
          <w:highlight w:val="none"/>
        </w:rPr>
        <w:t>工程概况</w:t>
      </w:r>
    </w:p>
    <w:p w14:paraId="2A2D6531">
      <w:pPr>
        <w:adjustRightInd w:val="0"/>
        <w:snapToGrid w:val="0"/>
        <w:spacing w:line="360" w:lineRule="auto"/>
        <w:ind w:left="482" w:firstLine="2771" w:firstLineChars="1150"/>
        <w:rPr>
          <w:rFonts w:ascii="楷体" w:hAnsi="楷体" w:eastAsia="楷体" w:cs="宋体"/>
          <w:b/>
          <w:color w:val="auto"/>
          <w:kern w:val="0"/>
          <w:sz w:val="24"/>
          <w:highlight w:val="none"/>
        </w:rPr>
      </w:pPr>
    </w:p>
    <w:p w14:paraId="5E90923B">
      <w:pPr>
        <w:adjustRightInd w:val="0"/>
        <w:snapToGrid w:val="0"/>
        <w:spacing w:line="360" w:lineRule="auto"/>
        <w:ind w:firstLine="480" w:firstLineChars="200"/>
        <w:rPr>
          <w:rFonts w:ascii="楷体" w:hAnsi="楷体" w:eastAsia="楷体" w:cs="宋体"/>
          <w:color w:val="auto"/>
          <w:kern w:val="0"/>
          <w:sz w:val="24"/>
          <w:highlight w:val="none"/>
        </w:rPr>
      </w:pPr>
      <w:r>
        <w:rPr>
          <w:rFonts w:hint="eastAsia" w:ascii="楷体" w:hAnsi="楷体" w:eastAsia="楷体" w:cs="宋体"/>
          <w:color w:val="auto"/>
          <w:kern w:val="0"/>
          <w:sz w:val="24"/>
          <w:highlight w:val="none"/>
        </w:rPr>
        <w:t>1.</w:t>
      </w:r>
      <w:r>
        <w:rPr>
          <w:rFonts w:ascii="楷体" w:hAnsi="楷体" w:eastAsia="楷体" w:cs="宋体"/>
          <w:color w:val="auto"/>
          <w:kern w:val="0"/>
          <w:sz w:val="24"/>
          <w:highlight w:val="none"/>
        </w:rPr>
        <w:t xml:space="preserve"> </w:t>
      </w:r>
      <w:r>
        <w:rPr>
          <w:rFonts w:hint="eastAsia" w:ascii="楷体" w:hAnsi="楷体" w:eastAsia="楷体" w:cs="宋体"/>
          <w:color w:val="auto"/>
          <w:kern w:val="0"/>
          <w:sz w:val="24"/>
          <w:highlight w:val="none"/>
        </w:rPr>
        <w:t>工程名称：。</w:t>
      </w:r>
    </w:p>
    <w:p w14:paraId="191FA827">
      <w:pPr>
        <w:adjustRightInd w:val="0"/>
        <w:snapToGrid w:val="0"/>
        <w:spacing w:line="360" w:lineRule="auto"/>
        <w:rPr>
          <w:rFonts w:ascii="楷体" w:hAnsi="楷体" w:eastAsia="楷体" w:cs="宋体"/>
          <w:b/>
          <w:bCs/>
          <w:color w:val="auto"/>
          <w:kern w:val="0"/>
          <w:sz w:val="24"/>
          <w:highlight w:val="none"/>
        </w:rPr>
      </w:pPr>
      <w:r>
        <w:rPr>
          <w:rFonts w:hint="eastAsia" w:ascii="楷体" w:hAnsi="楷体" w:eastAsia="楷体" w:cs="宋体"/>
          <w:b/>
          <w:bCs/>
          <w:color w:val="auto"/>
          <w:kern w:val="0"/>
          <w:sz w:val="24"/>
          <w:highlight w:val="none"/>
        </w:rPr>
        <w:t>【重要提示：工程名称应填写工程官方全称，即发包人在向相关行政部门报批时所使用的名称。】</w:t>
      </w:r>
    </w:p>
    <w:p w14:paraId="6621A91C">
      <w:pPr>
        <w:adjustRightInd w:val="0"/>
        <w:snapToGrid w:val="0"/>
        <w:spacing w:line="360" w:lineRule="auto"/>
        <w:ind w:firstLine="480" w:firstLineChars="200"/>
        <w:rPr>
          <w:rFonts w:ascii="楷体" w:hAnsi="楷体" w:eastAsia="楷体" w:cs="宋体"/>
          <w:color w:val="auto"/>
          <w:kern w:val="0"/>
          <w:sz w:val="24"/>
          <w:highlight w:val="none"/>
        </w:rPr>
      </w:pPr>
      <w:r>
        <w:rPr>
          <w:rFonts w:hint="eastAsia" w:ascii="楷体" w:hAnsi="楷体" w:eastAsia="楷体" w:cs="宋体"/>
          <w:color w:val="auto"/>
          <w:kern w:val="0"/>
          <w:sz w:val="24"/>
          <w:highlight w:val="none"/>
        </w:rPr>
        <w:t>2．工程地点：。</w:t>
      </w:r>
    </w:p>
    <w:p w14:paraId="4CD0299C">
      <w:pPr>
        <w:adjustRightInd w:val="0"/>
        <w:snapToGrid w:val="0"/>
        <w:spacing w:line="360" w:lineRule="auto"/>
        <w:rPr>
          <w:rFonts w:ascii="楷体" w:hAnsi="楷体" w:eastAsia="楷体" w:cs="宋体"/>
          <w:b/>
          <w:bCs/>
          <w:color w:val="auto"/>
          <w:kern w:val="0"/>
          <w:sz w:val="24"/>
          <w:highlight w:val="none"/>
        </w:rPr>
      </w:pPr>
      <w:r>
        <w:rPr>
          <w:rFonts w:hint="eastAsia" w:ascii="楷体" w:hAnsi="楷体" w:eastAsia="楷体" w:cs="宋体"/>
          <w:b/>
          <w:bCs/>
          <w:color w:val="auto"/>
          <w:kern w:val="0"/>
          <w:sz w:val="24"/>
          <w:highlight w:val="none"/>
        </w:rPr>
        <w:t>【重要提示：应对工程地点做必要且明确的说明。】</w:t>
      </w:r>
    </w:p>
    <w:p w14:paraId="51644F21">
      <w:pPr>
        <w:adjustRightInd w:val="0"/>
        <w:snapToGrid w:val="0"/>
        <w:spacing w:line="360" w:lineRule="auto"/>
        <w:ind w:firstLine="480"/>
        <w:rPr>
          <w:rFonts w:ascii="楷体" w:hAnsi="楷体" w:eastAsia="楷体" w:cs="宋体"/>
          <w:color w:val="auto"/>
          <w:kern w:val="0"/>
          <w:sz w:val="24"/>
          <w:highlight w:val="none"/>
        </w:rPr>
      </w:pPr>
      <w:r>
        <w:rPr>
          <w:rFonts w:hint="eastAsia" w:ascii="楷体" w:hAnsi="楷体" w:eastAsia="楷体" w:cs="宋体"/>
          <w:color w:val="auto"/>
          <w:kern w:val="0"/>
          <w:sz w:val="24"/>
          <w:highlight w:val="none"/>
        </w:rPr>
        <w:t>3.</w:t>
      </w:r>
      <w:r>
        <w:rPr>
          <w:rFonts w:ascii="楷体" w:hAnsi="楷体" w:eastAsia="楷体" w:cs="宋体"/>
          <w:color w:val="auto"/>
          <w:kern w:val="0"/>
          <w:sz w:val="24"/>
          <w:highlight w:val="none"/>
        </w:rPr>
        <w:t xml:space="preserve"> </w:t>
      </w:r>
      <w:r>
        <w:rPr>
          <w:rFonts w:hint="eastAsia" w:ascii="楷体" w:hAnsi="楷体" w:eastAsia="楷体" w:cs="宋体"/>
          <w:color w:val="auto"/>
          <w:kern w:val="0"/>
          <w:sz w:val="24"/>
          <w:highlight w:val="none"/>
        </w:rPr>
        <w:t>工程承包范围：</w:t>
      </w:r>
    </w:p>
    <w:p w14:paraId="2059D852">
      <w:pPr>
        <w:adjustRightInd w:val="0"/>
        <w:snapToGrid w:val="0"/>
        <w:spacing w:line="360" w:lineRule="auto"/>
        <w:rPr>
          <w:rFonts w:ascii="楷体" w:hAnsi="楷体" w:eastAsia="楷体" w:cs="宋体"/>
          <w:color w:val="auto"/>
          <w:kern w:val="0"/>
          <w:sz w:val="24"/>
          <w:highlight w:val="none"/>
        </w:rPr>
      </w:pPr>
      <w:r>
        <w:rPr>
          <w:rFonts w:hint="eastAsia" w:ascii="楷体" w:hAnsi="楷体" w:eastAsia="楷体" w:cs="宋体"/>
          <w:color w:val="auto"/>
          <w:kern w:val="0"/>
          <w:sz w:val="24"/>
          <w:highlight w:val="none"/>
        </w:rPr>
        <w:t>___________________________________________________________________</w:t>
      </w:r>
    </w:p>
    <w:p w14:paraId="3CCC81D5">
      <w:pPr>
        <w:adjustRightInd w:val="0"/>
        <w:snapToGrid w:val="0"/>
        <w:spacing w:line="360" w:lineRule="auto"/>
        <w:rPr>
          <w:rFonts w:ascii="楷体" w:hAnsi="楷体" w:eastAsia="楷体" w:cs="宋体"/>
          <w:b/>
          <w:bCs/>
          <w:color w:val="auto"/>
          <w:kern w:val="0"/>
          <w:sz w:val="24"/>
          <w:highlight w:val="none"/>
        </w:rPr>
      </w:pPr>
      <w:r>
        <w:rPr>
          <w:rFonts w:hint="eastAsia" w:ascii="楷体" w:hAnsi="楷体" w:eastAsia="楷体" w:cs="宋体"/>
          <w:b/>
          <w:bCs/>
          <w:color w:val="auto"/>
          <w:kern w:val="0"/>
          <w:sz w:val="24"/>
          <w:highlight w:val="none"/>
        </w:rPr>
        <w:t>【重要提示：承包范围是指发包人发包给承包人的工作范围；承包范围中工作内容应当与承包人的资质性质相一致，承包范围中工作范围应与承包人的资质等级相匹配；对于承包范围描述应当做到明确、周延，在空间上，不重叠不真空；在内容上，不包含，不漏项。】</w:t>
      </w:r>
    </w:p>
    <w:p w14:paraId="3DA4F5FA">
      <w:pPr>
        <w:adjustRightInd w:val="0"/>
        <w:snapToGrid w:val="0"/>
        <w:spacing w:line="360" w:lineRule="auto"/>
        <w:ind w:firstLine="480" w:firstLineChars="200"/>
        <w:rPr>
          <w:rFonts w:ascii="楷体" w:hAnsi="楷体" w:eastAsia="楷体" w:cs="宋体"/>
          <w:color w:val="auto"/>
          <w:kern w:val="0"/>
          <w:sz w:val="24"/>
          <w:highlight w:val="none"/>
        </w:rPr>
      </w:pPr>
      <w:r>
        <w:rPr>
          <w:rFonts w:hint="eastAsia" w:ascii="楷体" w:hAnsi="楷体" w:eastAsia="楷体" w:cs="宋体"/>
          <w:color w:val="auto"/>
          <w:kern w:val="0"/>
          <w:sz w:val="24"/>
          <w:highlight w:val="none"/>
        </w:rPr>
        <w:t>4. 工程承包方式：</w:t>
      </w:r>
    </w:p>
    <w:p w14:paraId="51D6D858">
      <w:pPr>
        <w:adjustRightInd w:val="0"/>
        <w:snapToGrid w:val="0"/>
        <w:spacing w:line="360" w:lineRule="auto"/>
        <w:rPr>
          <w:rFonts w:ascii="楷体" w:hAnsi="楷体" w:eastAsia="楷体" w:cs="宋体"/>
          <w:color w:val="auto"/>
          <w:kern w:val="0"/>
          <w:sz w:val="24"/>
          <w:highlight w:val="none"/>
        </w:rPr>
      </w:pPr>
      <w:r>
        <w:rPr>
          <w:rFonts w:hint="eastAsia" w:ascii="楷体" w:hAnsi="楷体" w:eastAsia="楷体" w:cs="宋体"/>
          <w:color w:val="auto"/>
          <w:kern w:val="0"/>
          <w:sz w:val="24"/>
          <w:highlight w:val="none"/>
        </w:rPr>
        <w:t>___________________________________________________________________</w:t>
      </w:r>
    </w:p>
    <w:p w14:paraId="4923033A">
      <w:pPr>
        <w:adjustRightInd w:val="0"/>
        <w:snapToGrid w:val="0"/>
        <w:spacing w:line="360" w:lineRule="auto"/>
        <w:rPr>
          <w:rFonts w:ascii="楷体" w:hAnsi="楷体" w:eastAsia="楷体" w:cs="宋体"/>
          <w:b/>
          <w:bCs/>
          <w:color w:val="auto"/>
          <w:kern w:val="0"/>
          <w:sz w:val="24"/>
          <w:highlight w:val="none"/>
        </w:rPr>
      </w:pPr>
      <w:r>
        <w:rPr>
          <w:rFonts w:hint="eastAsia" w:ascii="楷体" w:hAnsi="楷体" w:eastAsia="楷体" w:cs="宋体"/>
          <w:b/>
          <w:bCs/>
          <w:color w:val="auto"/>
          <w:kern w:val="0"/>
          <w:sz w:val="24"/>
          <w:highlight w:val="none"/>
        </w:rPr>
        <w:t>【重要提示：主办部门应该根据实际情况，对工程承包方式做必要且明确的说明，如“包工包料”。】</w:t>
      </w:r>
    </w:p>
    <w:p w14:paraId="5F3DB389">
      <w:pPr>
        <w:rPr>
          <w:color w:val="auto"/>
          <w:highlight w:val="none"/>
        </w:rPr>
      </w:pPr>
    </w:p>
    <w:p w14:paraId="0EA804C5">
      <w:pPr>
        <w:snapToGrid w:val="0"/>
        <w:spacing w:line="360" w:lineRule="auto"/>
        <w:rPr>
          <w:rFonts w:ascii="楷体" w:hAnsi="楷体" w:eastAsia="楷体"/>
          <w:b/>
          <w:color w:val="auto"/>
          <w:sz w:val="24"/>
          <w:highlight w:val="none"/>
        </w:rPr>
      </w:pPr>
      <w:r>
        <w:rPr>
          <w:rFonts w:hint="eastAsia" w:ascii="楷体" w:hAnsi="楷体" w:eastAsia="楷体"/>
          <w:b/>
          <w:color w:val="auto"/>
          <w:sz w:val="24"/>
          <w:highlight w:val="none"/>
        </w:rPr>
        <w:t>附件二：【重要提示：属于重要商务条款，此模板供主办部门参照执行，主办部门可以根据项目实际进行相应的调整，但应注意避免出现重大偏离的情形。】</w:t>
      </w:r>
    </w:p>
    <w:p w14:paraId="4A341F24">
      <w:pPr>
        <w:adjustRightInd w:val="0"/>
        <w:snapToGrid w:val="0"/>
        <w:spacing w:line="360" w:lineRule="auto"/>
        <w:ind w:left="482" w:firstLine="480"/>
        <w:rPr>
          <w:rFonts w:ascii="楷体" w:hAnsi="楷体" w:eastAsia="楷体" w:cs="宋体"/>
          <w:b/>
          <w:color w:val="auto"/>
          <w:kern w:val="0"/>
          <w:sz w:val="24"/>
          <w:highlight w:val="none"/>
        </w:rPr>
      </w:pPr>
    </w:p>
    <w:p w14:paraId="39473057">
      <w:pPr>
        <w:adjustRightInd w:val="0"/>
        <w:snapToGrid w:val="0"/>
        <w:spacing w:line="360" w:lineRule="auto"/>
        <w:ind w:left="840" w:leftChars="228" w:hanging="361" w:hangingChars="150"/>
        <w:jc w:val="center"/>
        <w:rPr>
          <w:rFonts w:ascii="楷体" w:hAnsi="楷体" w:eastAsia="楷体" w:cs="宋体"/>
          <w:b/>
          <w:color w:val="auto"/>
          <w:kern w:val="0"/>
          <w:sz w:val="24"/>
          <w:highlight w:val="none"/>
        </w:rPr>
      </w:pPr>
      <w:r>
        <w:rPr>
          <w:rFonts w:hint="eastAsia" w:ascii="楷体" w:hAnsi="楷体" w:eastAsia="楷体" w:cs="宋体"/>
          <w:b/>
          <w:color w:val="auto"/>
          <w:kern w:val="0"/>
          <w:sz w:val="24"/>
          <w:highlight w:val="none"/>
        </w:rPr>
        <w:t>合同工期及质量标准</w:t>
      </w:r>
    </w:p>
    <w:p w14:paraId="3DC470B8">
      <w:pPr>
        <w:adjustRightInd w:val="0"/>
        <w:snapToGrid w:val="0"/>
        <w:spacing w:line="360" w:lineRule="auto"/>
        <w:ind w:left="840" w:leftChars="228" w:hanging="361" w:hangingChars="150"/>
        <w:jc w:val="center"/>
        <w:rPr>
          <w:rFonts w:ascii="楷体" w:hAnsi="楷体" w:eastAsia="楷体" w:cs="宋体"/>
          <w:b/>
          <w:color w:val="auto"/>
          <w:kern w:val="0"/>
          <w:sz w:val="24"/>
          <w:highlight w:val="none"/>
        </w:rPr>
      </w:pPr>
    </w:p>
    <w:p w14:paraId="40C96FD3">
      <w:pPr>
        <w:adjustRightInd w:val="0"/>
        <w:snapToGrid w:val="0"/>
        <w:spacing w:line="360" w:lineRule="auto"/>
        <w:ind w:firstLine="480" w:firstLineChars="200"/>
        <w:rPr>
          <w:rFonts w:ascii="楷体" w:hAnsi="楷体" w:eastAsia="楷体" w:cs="宋体"/>
          <w:color w:val="auto"/>
          <w:kern w:val="0"/>
          <w:sz w:val="24"/>
          <w:highlight w:val="none"/>
        </w:rPr>
      </w:pPr>
      <w:r>
        <w:rPr>
          <w:rFonts w:hint="eastAsia" w:ascii="楷体" w:hAnsi="楷体" w:eastAsia="楷体" w:cs="宋体"/>
          <w:color w:val="auto"/>
          <w:kern w:val="0"/>
          <w:sz w:val="24"/>
          <w:highlight w:val="none"/>
        </w:rPr>
        <w:t>1. 合同工期</w:t>
      </w:r>
    </w:p>
    <w:p w14:paraId="1AD0DCC9">
      <w:pPr>
        <w:adjustRightInd w:val="0"/>
        <w:snapToGrid w:val="0"/>
        <w:spacing w:line="360" w:lineRule="auto"/>
        <w:ind w:firstLine="480" w:firstLineChars="200"/>
        <w:rPr>
          <w:rFonts w:ascii="楷体" w:hAnsi="楷体" w:eastAsia="楷体" w:cs="宋体"/>
          <w:color w:val="auto"/>
          <w:kern w:val="0"/>
          <w:sz w:val="24"/>
          <w:highlight w:val="none"/>
          <w:u w:val="single"/>
        </w:rPr>
      </w:pPr>
      <w:r>
        <w:rPr>
          <w:rFonts w:hint="eastAsia" w:ascii="楷体" w:hAnsi="楷体" w:eastAsia="楷体" w:cs="宋体"/>
          <w:color w:val="auto"/>
          <w:kern w:val="0"/>
          <w:sz w:val="24"/>
          <w:highlight w:val="none"/>
        </w:rPr>
        <w:t>开工日期：</w:t>
      </w:r>
      <w:r>
        <w:rPr>
          <w:rFonts w:hint="eastAsia" w:ascii="楷体" w:hAnsi="楷体" w:eastAsia="楷体" w:cs="宋体"/>
          <w:color w:val="auto"/>
          <w:kern w:val="0"/>
          <w:sz w:val="24"/>
          <w:highlight w:val="none"/>
          <w:u w:val="single"/>
        </w:rPr>
        <w:t xml:space="preserve">                       ；</w:t>
      </w:r>
    </w:p>
    <w:p w14:paraId="2A90738E">
      <w:pPr>
        <w:adjustRightInd w:val="0"/>
        <w:snapToGrid w:val="0"/>
        <w:spacing w:line="360" w:lineRule="auto"/>
        <w:ind w:firstLine="480" w:firstLineChars="200"/>
        <w:rPr>
          <w:rFonts w:ascii="楷体" w:hAnsi="楷体" w:eastAsia="楷体" w:cs="宋体"/>
          <w:color w:val="auto"/>
          <w:kern w:val="0"/>
          <w:sz w:val="24"/>
          <w:highlight w:val="none"/>
          <w:u w:val="single"/>
        </w:rPr>
      </w:pPr>
      <w:r>
        <w:rPr>
          <w:rFonts w:hint="eastAsia" w:ascii="楷体" w:hAnsi="楷体" w:eastAsia="楷体" w:cs="宋体"/>
          <w:color w:val="auto"/>
          <w:kern w:val="0"/>
          <w:sz w:val="24"/>
          <w:highlight w:val="none"/>
        </w:rPr>
        <w:t>竣工日期：</w:t>
      </w:r>
      <w:r>
        <w:rPr>
          <w:rFonts w:hint="eastAsia" w:ascii="楷体" w:hAnsi="楷体" w:eastAsia="楷体" w:cs="宋体"/>
          <w:color w:val="auto"/>
          <w:kern w:val="0"/>
          <w:sz w:val="24"/>
          <w:highlight w:val="none"/>
          <w:u w:val="single"/>
        </w:rPr>
        <w:t xml:space="preserve">                       ；</w:t>
      </w:r>
    </w:p>
    <w:p w14:paraId="5C0573B2">
      <w:pPr>
        <w:adjustRightInd w:val="0"/>
        <w:snapToGrid w:val="0"/>
        <w:spacing w:line="360" w:lineRule="auto"/>
        <w:ind w:firstLine="480" w:firstLineChars="200"/>
        <w:rPr>
          <w:rFonts w:ascii="楷体" w:hAnsi="楷体" w:eastAsia="楷体" w:cs="宋体"/>
          <w:color w:val="auto"/>
          <w:kern w:val="0"/>
          <w:sz w:val="24"/>
          <w:highlight w:val="none"/>
        </w:rPr>
      </w:pPr>
      <w:r>
        <w:rPr>
          <w:rFonts w:hint="eastAsia" w:ascii="楷体" w:hAnsi="楷体" w:eastAsia="楷体" w:cs="宋体"/>
          <w:color w:val="auto"/>
          <w:kern w:val="0"/>
          <w:sz w:val="24"/>
          <w:highlight w:val="none"/>
        </w:rPr>
        <w:t>合同工期总日历天数天。</w:t>
      </w:r>
    </w:p>
    <w:p w14:paraId="53005C82">
      <w:pPr>
        <w:adjustRightInd w:val="0"/>
        <w:snapToGrid w:val="0"/>
        <w:spacing w:line="360" w:lineRule="auto"/>
        <w:rPr>
          <w:rFonts w:ascii="楷体" w:hAnsi="楷体" w:eastAsia="楷体" w:cs="宋体"/>
          <w:color w:val="auto"/>
          <w:kern w:val="0"/>
          <w:sz w:val="24"/>
          <w:highlight w:val="none"/>
        </w:rPr>
      </w:pPr>
      <w:r>
        <w:rPr>
          <w:rFonts w:hint="eastAsia" w:ascii="楷体" w:hAnsi="楷体" w:eastAsia="楷体" w:cs="宋体"/>
          <w:b/>
          <w:bCs/>
          <w:color w:val="auto"/>
          <w:kern w:val="0"/>
          <w:sz w:val="24"/>
          <w:highlight w:val="none"/>
        </w:rPr>
        <w:t>【重要提示：应对开工日期、竣工日期及工期总天数做必要且明确的说明。】</w:t>
      </w:r>
    </w:p>
    <w:p w14:paraId="106725E5">
      <w:pPr>
        <w:adjustRightInd w:val="0"/>
        <w:snapToGrid w:val="0"/>
        <w:spacing w:line="360" w:lineRule="auto"/>
        <w:ind w:firstLine="480" w:firstLineChars="200"/>
        <w:rPr>
          <w:rFonts w:ascii="楷体" w:hAnsi="楷体" w:eastAsia="楷体" w:cs="宋体"/>
          <w:color w:val="auto"/>
          <w:kern w:val="0"/>
          <w:sz w:val="24"/>
          <w:highlight w:val="none"/>
        </w:rPr>
      </w:pPr>
      <w:r>
        <w:rPr>
          <w:rFonts w:hint="eastAsia" w:ascii="楷体" w:hAnsi="楷体" w:eastAsia="楷体" w:cs="宋体"/>
          <w:color w:val="auto"/>
          <w:kern w:val="0"/>
          <w:sz w:val="24"/>
          <w:highlight w:val="none"/>
        </w:rPr>
        <w:t>2. 质量标准：</w:t>
      </w:r>
    </w:p>
    <w:p w14:paraId="5943AE58">
      <w:pPr>
        <w:adjustRightInd w:val="0"/>
        <w:snapToGrid w:val="0"/>
        <w:spacing w:line="360" w:lineRule="auto"/>
        <w:ind w:firstLine="480" w:firstLineChars="200"/>
        <w:rPr>
          <w:rFonts w:ascii="楷体" w:hAnsi="楷体" w:eastAsia="楷体" w:cs="宋体"/>
          <w:color w:val="auto"/>
          <w:kern w:val="0"/>
          <w:sz w:val="24"/>
          <w:highlight w:val="none"/>
        </w:rPr>
      </w:pPr>
      <w:r>
        <w:rPr>
          <w:rFonts w:hint="eastAsia" w:ascii="楷体" w:hAnsi="楷体" w:eastAsia="楷体" w:cs="宋体"/>
          <w:color w:val="auto"/>
          <w:kern w:val="0"/>
          <w:sz w:val="24"/>
          <w:highlight w:val="none"/>
        </w:rPr>
        <w:t>（1）本工程质量应达到国家、地方或专业的质量检验标准、设计标准；</w:t>
      </w:r>
    </w:p>
    <w:p w14:paraId="56E04D91">
      <w:pPr>
        <w:adjustRightInd w:val="0"/>
        <w:snapToGrid w:val="0"/>
        <w:spacing w:line="360" w:lineRule="auto"/>
        <w:ind w:firstLine="480" w:firstLineChars="200"/>
        <w:rPr>
          <w:rFonts w:ascii="楷体" w:hAnsi="楷体" w:eastAsia="楷体" w:cs="宋体"/>
          <w:color w:val="auto"/>
          <w:kern w:val="0"/>
          <w:sz w:val="24"/>
          <w:highlight w:val="none"/>
        </w:rPr>
      </w:pPr>
      <w:r>
        <w:rPr>
          <w:rFonts w:hint="eastAsia" w:ascii="楷体" w:hAnsi="楷体" w:eastAsia="楷体" w:cs="宋体"/>
          <w:color w:val="auto"/>
          <w:kern w:val="0"/>
          <w:sz w:val="24"/>
          <w:highlight w:val="none"/>
        </w:rPr>
        <w:t>（2）双方约定标准：</w:t>
      </w:r>
    </w:p>
    <w:p w14:paraId="763025F1">
      <w:pPr>
        <w:adjustRightInd w:val="0"/>
        <w:snapToGrid w:val="0"/>
        <w:spacing w:line="360" w:lineRule="auto"/>
        <w:rPr>
          <w:rFonts w:ascii="楷体" w:hAnsi="楷体" w:eastAsia="楷体" w:cs="宋体"/>
          <w:color w:val="auto"/>
          <w:kern w:val="0"/>
          <w:sz w:val="24"/>
          <w:highlight w:val="none"/>
        </w:rPr>
      </w:pPr>
      <w:r>
        <w:rPr>
          <w:rFonts w:hint="eastAsia" w:ascii="楷体" w:hAnsi="楷体" w:eastAsia="楷体" w:cs="宋体"/>
          <w:color w:val="auto"/>
          <w:kern w:val="0"/>
          <w:sz w:val="24"/>
          <w:highlight w:val="none"/>
        </w:rPr>
        <w:t>___________________________________________________________________</w:t>
      </w:r>
    </w:p>
    <w:p w14:paraId="66CF6BAA">
      <w:pPr>
        <w:adjustRightInd w:val="0"/>
        <w:snapToGrid w:val="0"/>
        <w:spacing w:line="360" w:lineRule="auto"/>
        <w:rPr>
          <w:rFonts w:ascii="楷体" w:hAnsi="楷体" w:eastAsia="楷体" w:cs="宋体"/>
          <w:b/>
          <w:bCs/>
          <w:color w:val="auto"/>
          <w:kern w:val="0"/>
          <w:sz w:val="24"/>
          <w:highlight w:val="none"/>
        </w:rPr>
      </w:pPr>
      <w:r>
        <w:rPr>
          <w:rFonts w:hint="eastAsia" w:ascii="楷体" w:hAnsi="楷体" w:eastAsia="楷体" w:cs="宋体"/>
          <w:b/>
          <w:bCs/>
          <w:color w:val="auto"/>
          <w:kern w:val="0"/>
          <w:sz w:val="24"/>
          <w:highlight w:val="none"/>
        </w:rPr>
        <w:t>【重要提示：</w:t>
      </w:r>
      <w:r>
        <w:rPr>
          <w:rFonts w:hint="eastAsia" w:ascii="楷体" w:hAnsi="楷体" w:eastAsia="楷体"/>
          <w:b/>
          <w:bCs/>
          <w:color w:val="auto"/>
          <w:sz w:val="24"/>
          <w:highlight w:val="none"/>
        </w:rPr>
        <w:t>若双方对工程的质量标准另有其它约定，请以附件形式在此列明。若无附加质量标准约定，应删除第2（2）款。</w:t>
      </w:r>
      <w:r>
        <w:rPr>
          <w:rFonts w:hint="eastAsia" w:ascii="楷体" w:hAnsi="楷体" w:eastAsia="楷体" w:cs="宋体"/>
          <w:b/>
          <w:bCs/>
          <w:color w:val="auto"/>
          <w:kern w:val="0"/>
          <w:sz w:val="24"/>
          <w:highlight w:val="none"/>
        </w:rPr>
        <w:t>】</w:t>
      </w:r>
    </w:p>
    <w:p w14:paraId="2C5A3F10">
      <w:pPr>
        <w:adjustRightInd w:val="0"/>
        <w:snapToGrid w:val="0"/>
        <w:spacing w:line="360" w:lineRule="auto"/>
        <w:ind w:firstLine="480" w:firstLineChars="200"/>
        <w:rPr>
          <w:rFonts w:ascii="楷体" w:hAnsi="楷体" w:eastAsia="楷体"/>
          <w:color w:val="auto"/>
          <w:sz w:val="24"/>
          <w:highlight w:val="none"/>
        </w:rPr>
      </w:pPr>
    </w:p>
    <w:p w14:paraId="23EC0350">
      <w:pPr>
        <w:adjustRightInd w:val="0"/>
        <w:snapToGrid w:val="0"/>
        <w:spacing w:line="360" w:lineRule="auto"/>
        <w:ind w:firstLine="480" w:firstLineChars="200"/>
        <w:rPr>
          <w:rFonts w:ascii="楷体" w:hAnsi="楷体" w:eastAsia="楷体"/>
          <w:color w:val="auto"/>
          <w:sz w:val="24"/>
          <w:highlight w:val="none"/>
        </w:rPr>
      </w:pPr>
    </w:p>
    <w:p w14:paraId="1D71CD6E">
      <w:pPr>
        <w:rPr>
          <w:color w:val="auto"/>
          <w:highlight w:val="none"/>
        </w:rPr>
      </w:pPr>
    </w:p>
    <w:p w14:paraId="2186DC1D">
      <w:pPr>
        <w:snapToGrid w:val="0"/>
        <w:spacing w:line="360" w:lineRule="auto"/>
        <w:rPr>
          <w:rFonts w:ascii="楷体" w:hAnsi="楷体" w:eastAsia="楷体"/>
          <w:b/>
          <w:color w:val="auto"/>
          <w:sz w:val="24"/>
          <w:highlight w:val="none"/>
        </w:rPr>
      </w:pPr>
      <w:r>
        <w:rPr>
          <w:rFonts w:hint="eastAsia" w:ascii="楷体" w:hAnsi="楷体" w:eastAsia="楷体"/>
          <w:b/>
          <w:color w:val="auto"/>
          <w:sz w:val="24"/>
          <w:highlight w:val="none"/>
        </w:rPr>
        <w:t>附件三：【重要提示：属于重要商务条款，此模板供主办部门参照执行，主办部门可以根据项目实际进行相应的调整，但应注意避免出现重大偏离的情形。】</w:t>
      </w:r>
    </w:p>
    <w:p w14:paraId="6AE723AE">
      <w:pPr>
        <w:adjustRightInd w:val="0"/>
        <w:snapToGrid w:val="0"/>
        <w:spacing w:line="360" w:lineRule="auto"/>
        <w:ind w:left="482" w:firstLine="480"/>
        <w:rPr>
          <w:rFonts w:ascii="楷体" w:hAnsi="楷体" w:eastAsia="楷体" w:cs="宋体"/>
          <w:b/>
          <w:color w:val="auto"/>
          <w:kern w:val="0"/>
          <w:sz w:val="24"/>
          <w:highlight w:val="none"/>
        </w:rPr>
      </w:pPr>
    </w:p>
    <w:p w14:paraId="40705F1D">
      <w:pPr>
        <w:adjustRightInd w:val="0"/>
        <w:snapToGrid w:val="0"/>
        <w:spacing w:line="360" w:lineRule="auto"/>
        <w:ind w:left="840" w:leftChars="228" w:hanging="361" w:hangingChars="150"/>
        <w:jc w:val="center"/>
        <w:rPr>
          <w:rFonts w:ascii="楷体" w:hAnsi="楷体" w:eastAsia="楷体" w:cs="宋体"/>
          <w:b/>
          <w:color w:val="auto"/>
          <w:kern w:val="0"/>
          <w:sz w:val="24"/>
          <w:highlight w:val="none"/>
        </w:rPr>
      </w:pPr>
      <w:r>
        <w:rPr>
          <w:rFonts w:hint="eastAsia" w:ascii="楷体" w:hAnsi="楷体" w:eastAsia="楷体" w:cs="宋体"/>
          <w:b/>
          <w:color w:val="auto"/>
          <w:kern w:val="0"/>
          <w:sz w:val="24"/>
          <w:highlight w:val="none"/>
        </w:rPr>
        <w:t>付款</w:t>
      </w:r>
    </w:p>
    <w:p w14:paraId="41C40A4A">
      <w:pPr>
        <w:adjustRightInd w:val="0"/>
        <w:snapToGrid w:val="0"/>
        <w:spacing w:line="360" w:lineRule="auto"/>
        <w:ind w:left="840" w:leftChars="228" w:hanging="361" w:hangingChars="150"/>
        <w:jc w:val="center"/>
        <w:rPr>
          <w:rFonts w:ascii="楷体" w:hAnsi="楷体" w:eastAsia="楷体" w:cs="宋体"/>
          <w:b/>
          <w:color w:val="auto"/>
          <w:kern w:val="0"/>
          <w:sz w:val="24"/>
          <w:highlight w:val="none"/>
        </w:rPr>
      </w:pPr>
    </w:p>
    <w:p w14:paraId="5672D5B6">
      <w:pPr>
        <w:adjustRightInd w:val="0"/>
        <w:snapToGrid w:val="0"/>
        <w:spacing w:line="360" w:lineRule="auto"/>
        <w:ind w:firstLine="480" w:firstLineChars="200"/>
        <w:rPr>
          <w:rFonts w:ascii="楷体" w:hAnsi="楷体" w:eastAsia="楷体"/>
          <w:color w:val="auto"/>
          <w:sz w:val="24"/>
          <w:highlight w:val="none"/>
        </w:rPr>
      </w:pPr>
      <w:r>
        <w:rPr>
          <w:rFonts w:hint="eastAsia" w:ascii="楷体" w:hAnsi="楷体" w:eastAsia="楷体"/>
          <w:color w:val="auto"/>
          <w:sz w:val="24"/>
          <w:highlight w:val="none"/>
        </w:rPr>
        <w:t>1.</w:t>
      </w:r>
      <w:r>
        <w:rPr>
          <w:rFonts w:ascii="楷体" w:hAnsi="楷体" w:eastAsia="楷体"/>
          <w:color w:val="auto"/>
          <w:sz w:val="24"/>
          <w:highlight w:val="none"/>
        </w:rPr>
        <w:t xml:space="preserve"> </w:t>
      </w:r>
      <w:r>
        <w:rPr>
          <w:rFonts w:hint="eastAsia" w:ascii="楷体" w:hAnsi="楷体" w:eastAsia="楷体"/>
          <w:color w:val="auto"/>
          <w:sz w:val="24"/>
          <w:highlight w:val="none"/>
        </w:rPr>
        <w:t>本合同使用货币种类为人民币。</w:t>
      </w:r>
    </w:p>
    <w:p w14:paraId="58C635DC">
      <w:pPr>
        <w:adjustRightInd w:val="0"/>
        <w:snapToGrid w:val="0"/>
        <w:spacing w:line="360" w:lineRule="auto"/>
        <w:ind w:firstLine="480" w:firstLineChars="200"/>
        <w:rPr>
          <w:rFonts w:ascii="楷体" w:hAnsi="楷体" w:eastAsia="楷体"/>
          <w:color w:val="auto"/>
          <w:sz w:val="24"/>
          <w:highlight w:val="none"/>
        </w:rPr>
      </w:pPr>
      <w:r>
        <w:rPr>
          <w:rFonts w:hint="eastAsia" w:ascii="楷体" w:hAnsi="楷体" w:eastAsia="楷体"/>
          <w:color w:val="auto"/>
          <w:sz w:val="24"/>
          <w:highlight w:val="none"/>
        </w:rPr>
        <w:t>2. 付款方式：转账[现金/支票]。</w:t>
      </w:r>
      <w:r>
        <w:rPr>
          <w:rFonts w:ascii="楷体" w:hAnsi="楷体" w:eastAsia="楷体"/>
          <w:color w:val="auto"/>
          <w:sz w:val="24"/>
          <w:highlight w:val="none"/>
        </w:rPr>
        <w:t>双方采用转账方式付款</w:t>
      </w:r>
      <w:r>
        <w:rPr>
          <w:rFonts w:hint="eastAsia" w:ascii="楷体" w:hAnsi="楷体" w:eastAsia="楷体"/>
          <w:color w:val="auto"/>
          <w:sz w:val="24"/>
          <w:highlight w:val="none"/>
        </w:rPr>
        <w:t>的，发包人应向承包人</w:t>
      </w:r>
      <w:r>
        <w:rPr>
          <w:rFonts w:ascii="楷体" w:hAnsi="楷体" w:eastAsia="楷体"/>
          <w:color w:val="auto"/>
          <w:sz w:val="24"/>
          <w:highlight w:val="none"/>
        </w:rPr>
        <w:t>以下账户进行付费：</w:t>
      </w:r>
    </w:p>
    <w:p w14:paraId="5F015351">
      <w:pPr>
        <w:adjustRightInd w:val="0"/>
        <w:snapToGrid w:val="0"/>
        <w:spacing w:line="360" w:lineRule="auto"/>
        <w:ind w:firstLine="480" w:firstLineChars="200"/>
        <w:rPr>
          <w:rFonts w:ascii="楷体" w:hAnsi="楷体" w:eastAsia="楷体"/>
          <w:color w:val="auto"/>
          <w:sz w:val="24"/>
          <w:highlight w:val="none"/>
          <w:u w:val="single"/>
        </w:rPr>
      </w:pPr>
      <w:r>
        <w:rPr>
          <w:rFonts w:ascii="楷体" w:hAnsi="楷体" w:eastAsia="楷体"/>
          <w:color w:val="auto"/>
          <w:sz w:val="24"/>
          <w:highlight w:val="none"/>
        </w:rPr>
        <w:tab/>
      </w:r>
      <w:r>
        <w:rPr>
          <w:rFonts w:hint="eastAsia" w:ascii="楷体" w:hAnsi="楷体" w:eastAsia="楷体"/>
          <w:color w:val="auto"/>
          <w:sz w:val="24"/>
          <w:highlight w:val="none"/>
        </w:rPr>
        <w:t>承包人</w:t>
      </w:r>
      <w:r>
        <w:rPr>
          <w:rFonts w:ascii="楷体" w:hAnsi="楷体" w:eastAsia="楷体"/>
          <w:color w:val="auto"/>
          <w:sz w:val="24"/>
          <w:highlight w:val="none"/>
        </w:rPr>
        <w:t>：</w:t>
      </w:r>
    </w:p>
    <w:p w14:paraId="20381613">
      <w:pPr>
        <w:adjustRightInd w:val="0"/>
        <w:snapToGrid w:val="0"/>
        <w:spacing w:line="360" w:lineRule="auto"/>
        <w:ind w:firstLine="480" w:firstLineChars="200"/>
        <w:rPr>
          <w:rFonts w:ascii="楷体" w:hAnsi="楷体" w:eastAsia="楷体"/>
          <w:color w:val="auto"/>
          <w:sz w:val="24"/>
          <w:highlight w:val="none"/>
          <w:u w:val="single"/>
        </w:rPr>
      </w:pPr>
      <w:r>
        <w:rPr>
          <w:rFonts w:ascii="楷体" w:hAnsi="楷体" w:eastAsia="楷体"/>
          <w:color w:val="auto"/>
          <w:sz w:val="24"/>
          <w:highlight w:val="none"/>
        </w:rPr>
        <w:tab/>
      </w:r>
      <w:r>
        <w:rPr>
          <w:rFonts w:ascii="楷体" w:hAnsi="楷体" w:eastAsia="楷体"/>
          <w:color w:val="auto"/>
          <w:sz w:val="24"/>
          <w:highlight w:val="none"/>
        </w:rPr>
        <w:t>开户行：</w:t>
      </w:r>
    </w:p>
    <w:p w14:paraId="45692A54">
      <w:pPr>
        <w:adjustRightInd w:val="0"/>
        <w:snapToGrid w:val="0"/>
        <w:spacing w:line="360" w:lineRule="auto"/>
        <w:ind w:firstLine="480" w:firstLineChars="200"/>
        <w:rPr>
          <w:rFonts w:ascii="楷体" w:hAnsi="楷体" w:eastAsia="楷体"/>
          <w:color w:val="auto"/>
          <w:sz w:val="24"/>
          <w:highlight w:val="none"/>
          <w:u w:val="single"/>
        </w:rPr>
      </w:pPr>
      <w:r>
        <w:rPr>
          <w:rFonts w:ascii="楷体" w:hAnsi="楷体" w:eastAsia="楷体"/>
          <w:color w:val="auto"/>
          <w:sz w:val="24"/>
          <w:highlight w:val="none"/>
        </w:rPr>
        <w:tab/>
      </w:r>
      <w:r>
        <w:rPr>
          <w:rFonts w:ascii="楷体" w:hAnsi="楷体" w:eastAsia="楷体"/>
          <w:color w:val="auto"/>
          <w:sz w:val="24"/>
          <w:highlight w:val="none"/>
        </w:rPr>
        <w:t>账户名称：</w:t>
      </w:r>
    </w:p>
    <w:p w14:paraId="3B7D077A">
      <w:pPr>
        <w:adjustRightInd w:val="0"/>
        <w:snapToGrid w:val="0"/>
        <w:spacing w:line="360" w:lineRule="auto"/>
        <w:ind w:firstLine="480" w:firstLineChars="200"/>
        <w:rPr>
          <w:rFonts w:ascii="楷体" w:hAnsi="楷体" w:eastAsia="楷体"/>
          <w:color w:val="auto"/>
          <w:sz w:val="24"/>
          <w:highlight w:val="none"/>
          <w:u w:val="single"/>
        </w:rPr>
      </w:pPr>
      <w:r>
        <w:rPr>
          <w:rFonts w:ascii="楷体" w:hAnsi="楷体" w:eastAsia="楷体"/>
          <w:color w:val="auto"/>
          <w:sz w:val="24"/>
          <w:highlight w:val="none"/>
        </w:rPr>
        <w:tab/>
      </w:r>
      <w:r>
        <w:rPr>
          <w:rFonts w:ascii="楷体" w:hAnsi="楷体" w:eastAsia="楷体"/>
          <w:color w:val="auto"/>
          <w:sz w:val="24"/>
          <w:highlight w:val="none"/>
        </w:rPr>
        <w:t>账号：</w:t>
      </w:r>
    </w:p>
    <w:p w14:paraId="67A9406C">
      <w:pPr>
        <w:widowControl/>
        <w:adjustRightInd w:val="0"/>
        <w:snapToGrid w:val="0"/>
        <w:spacing w:line="360" w:lineRule="auto"/>
        <w:ind w:firstLine="480" w:firstLineChars="200"/>
        <w:jc w:val="left"/>
        <w:rPr>
          <w:rFonts w:ascii="楷体" w:hAnsi="楷体" w:eastAsia="楷体"/>
          <w:color w:val="auto"/>
          <w:sz w:val="24"/>
          <w:highlight w:val="none"/>
        </w:rPr>
      </w:pPr>
      <w:r>
        <w:rPr>
          <w:rFonts w:hint="eastAsia" w:ascii="楷体" w:hAnsi="楷体" w:eastAsia="楷体"/>
          <w:color w:val="auto"/>
          <w:sz w:val="24"/>
          <w:highlight w:val="none"/>
        </w:rPr>
        <w:t>承包人</w:t>
      </w:r>
      <w:r>
        <w:rPr>
          <w:rFonts w:ascii="楷体" w:hAnsi="楷体" w:eastAsia="楷体"/>
          <w:color w:val="auto"/>
          <w:sz w:val="24"/>
          <w:highlight w:val="none"/>
        </w:rPr>
        <w:t>如需改变上述账户，应提前</w:t>
      </w:r>
      <w:r>
        <w:rPr>
          <w:rFonts w:hint="eastAsia" w:ascii="楷体" w:hAnsi="楷体" w:eastAsia="楷体"/>
          <w:color w:val="auto"/>
          <w:sz w:val="24"/>
          <w:highlight w:val="none"/>
        </w:rPr>
        <w:t>10</w:t>
      </w:r>
      <w:r>
        <w:rPr>
          <w:rFonts w:ascii="楷体" w:hAnsi="楷体" w:eastAsia="楷体"/>
          <w:color w:val="auto"/>
          <w:sz w:val="24"/>
          <w:highlight w:val="none"/>
        </w:rPr>
        <w:t>日以书面通知</w:t>
      </w:r>
      <w:r>
        <w:rPr>
          <w:rFonts w:hint="eastAsia" w:ascii="楷体" w:hAnsi="楷体" w:eastAsia="楷体"/>
          <w:color w:val="auto"/>
          <w:sz w:val="24"/>
          <w:highlight w:val="none"/>
        </w:rPr>
        <w:t>发包人</w:t>
      </w:r>
      <w:r>
        <w:rPr>
          <w:rFonts w:ascii="楷体" w:hAnsi="楷体" w:eastAsia="楷体"/>
          <w:color w:val="auto"/>
          <w:sz w:val="24"/>
          <w:highlight w:val="none"/>
        </w:rPr>
        <w:t>。</w:t>
      </w:r>
    </w:p>
    <w:p w14:paraId="331C63BB">
      <w:pPr>
        <w:adjustRightInd w:val="0"/>
        <w:snapToGrid w:val="0"/>
        <w:spacing w:line="360" w:lineRule="auto"/>
        <w:ind w:firstLine="480" w:firstLineChars="200"/>
        <w:rPr>
          <w:rFonts w:ascii="楷体" w:hAnsi="楷体" w:eastAsia="楷体" w:cs="宋体"/>
          <w:color w:val="auto"/>
          <w:kern w:val="0"/>
          <w:sz w:val="24"/>
          <w:highlight w:val="none"/>
        </w:rPr>
      </w:pPr>
      <w:r>
        <w:rPr>
          <w:rFonts w:hint="eastAsia" w:ascii="楷体" w:hAnsi="楷体" w:eastAsia="楷体" w:cs="宋体"/>
          <w:color w:val="auto"/>
          <w:kern w:val="0"/>
          <w:sz w:val="24"/>
          <w:highlight w:val="none"/>
        </w:rPr>
        <w:t>3．付款安排：</w:t>
      </w:r>
    </w:p>
    <w:p w14:paraId="4AB1911C">
      <w:pPr>
        <w:adjustRightInd w:val="0"/>
        <w:snapToGrid w:val="0"/>
        <w:spacing w:line="360" w:lineRule="auto"/>
        <w:ind w:left="2" w:firstLine="480" w:firstLineChars="200"/>
        <w:rPr>
          <w:rFonts w:ascii="楷体" w:hAnsi="楷体" w:eastAsia="楷体" w:cs="宋体"/>
          <w:iCs/>
          <w:color w:val="auto"/>
          <w:kern w:val="0"/>
          <w:sz w:val="24"/>
          <w:highlight w:val="none"/>
        </w:rPr>
      </w:pPr>
      <w:r>
        <w:rPr>
          <w:rFonts w:hint="eastAsia" w:ascii="楷体" w:hAnsi="楷体" w:eastAsia="楷体" w:cs="宋体"/>
          <w:iCs/>
          <w:color w:val="auto"/>
          <w:kern w:val="0"/>
          <w:sz w:val="24"/>
          <w:highlight w:val="none"/>
        </w:rPr>
        <w:t>（1）本合同签订后，发包人在收到承包人相应金额的合法有效</w:t>
      </w:r>
      <w:r>
        <w:rPr>
          <w:rFonts w:ascii="楷体" w:hAnsi="楷体" w:eastAsia="楷体" w:cs="宋体"/>
          <w:iCs/>
          <w:color w:val="auto"/>
          <w:kern w:val="0"/>
          <w:sz w:val="24"/>
          <w:highlight w:val="none"/>
        </w:rPr>
        <w:t>的增值税专用</w:t>
      </w:r>
      <w:r>
        <w:rPr>
          <w:rFonts w:hint="eastAsia" w:ascii="楷体" w:hAnsi="楷体" w:eastAsia="楷体" w:cs="宋体"/>
          <w:iCs/>
          <w:color w:val="auto"/>
          <w:kern w:val="0"/>
          <w:sz w:val="24"/>
          <w:highlight w:val="none"/>
        </w:rPr>
        <w:t>发票后_____个工作日内向承包人支付上述合同价款的_____%，计人民币_____元；</w:t>
      </w:r>
    </w:p>
    <w:p w14:paraId="5FD3FF23">
      <w:pPr>
        <w:adjustRightInd w:val="0"/>
        <w:snapToGrid w:val="0"/>
        <w:spacing w:line="360" w:lineRule="auto"/>
        <w:ind w:left="2" w:firstLine="480" w:firstLineChars="200"/>
        <w:rPr>
          <w:rFonts w:ascii="楷体" w:hAnsi="楷体" w:eastAsia="楷体" w:cs="宋体"/>
          <w:iCs/>
          <w:color w:val="auto"/>
          <w:kern w:val="0"/>
          <w:sz w:val="24"/>
          <w:highlight w:val="none"/>
        </w:rPr>
      </w:pPr>
      <w:r>
        <w:rPr>
          <w:rFonts w:hint="eastAsia" w:ascii="楷体" w:hAnsi="楷体" w:eastAsia="楷体" w:cs="宋体"/>
          <w:iCs/>
          <w:color w:val="auto"/>
          <w:kern w:val="0"/>
          <w:sz w:val="24"/>
          <w:highlight w:val="none"/>
        </w:rPr>
        <w:t>（2）工程竣工验收合格并完成结算后，发包人在收到承包人相应金额的合法有效</w:t>
      </w:r>
      <w:r>
        <w:rPr>
          <w:rFonts w:ascii="楷体" w:hAnsi="楷体" w:eastAsia="楷体" w:cs="宋体"/>
          <w:iCs/>
          <w:color w:val="auto"/>
          <w:kern w:val="0"/>
          <w:sz w:val="24"/>
          <w:highlight w:val="none"/>
        </w:rPr>
        <w:t>的增值税专用</w:t>
      </w:r>
      <w:r>
        <w:rPr>
          <w:rFonts w:hint="eastAsia" w:ascii="楷体" w:hAnsi="楷体" w:eastAsia="楷体" w:cs="宋体"/>
          <w:iCs/>
          <w:color w:val="auto"/>
          <w:kern w:val="0"/>
          <w:sz w:val="24"/>
          <w:highlight w:val="none"/>
        </w:rPr>
        <w:t>发票后____个工作日内向承包人支付到最终工程结算总价款的_____%；</w:t>
      </w:r>
    </w:p>
    <w:p w14:paraId="015B336C">
      <w:pPr>
        <w:adjustRightInd w:val="0"/>
        <w:snapToGrid w:val="0"/>
        <w:spacing w:line="360" w:lineRule="auto"/>
        <w:ind w:firstLine="480" w:firstLineChars="200"/>
        <w:rPr>
          <w:rFonts w:ascii="楷体" w:hAnsi="楷体" w:eastAsia="楷体" w:cs="宋体"/>
          <w:color w:val="auto"/>
          <w:kern w:val="0"/>
          <w:sz w:val="24"/>
          <w:highlight w:val="none"/>
        </w:rPr>
      </w:pPr>
      <w:r>
        <w:rPr>
          <w:rFonts w:hint="eastAsia" w:ascii="楷体" w:hAnsi="楷体" w:eastAsia="楷体" w:cs="宋体"/>
          <w:iCs/>
          <w:color w:val="auto"/>
          <w:kern w:val="0"/>
          <w:sz w:val="24"/>
          <w:highlight w:val="none"/>
        </w:rPr>
        <w:t>（3）保修金支付：双方最终工程结算总价款的_____%作为工程保修金，在工程验收合格且年保修期限届满后，发包人在收到承包人相应金额的增值税</w:t>
      </w:r>
      <w:r>
        <w:rPr>
          <w:rFonts w:ascii="楷体" w:hAnsi="楷体" w:eastAsia="楷体" w:cs="宋体"/>
          <w:iCs/>
          <w:color w:val="auto"/>
          <w:kern w:val="0"/>
          <w:sz w:val="24"/>
          <w:highlight w:val="none"/>
        </w:rPr>
        <w:t>专用</w:t>
      </w:r>
      <w:r>
        <w:rPr>
          <w:rFonts w:hint="eastAsia" w:ascii="楷体" w:hAnsi="楷体" w:eastAsia="楷体" w:cs="宋体"/>
          <w:iCs/>
          <w:color w:val="auto"/>
          <w:kern w:val="0"/>
          <w:sz w:val="24"/>
          <w:highlight w:val="none"/>
        </w:rPr>
        <w:t>发票后_____个工作日内付清。</w:t>
      </w:r>
    </w:p>
    <w:p w14:paraId="1EA289FD">
      <w:pPr>
        <w:adjustRightInd w:val="0"/>
        <w:snapToGrid w:val="0"/>
        <w:spacing w:line="360" w:lineRule="auto"/>
        <w:rPr>
          <w:rFonts w:ascii="楷体" w:hAnsi="楷体" w:eastAsia="楷体"/>
          <w:b/>
          <w:color w:val="auto"/>
          <w:sz w:val="24"/>
          <w:highlight w:val="none"/>
        </w:rPr>
      </w:pPr>
      <w:r>
        <w:rPr>
          <w:rFonts w:hint="eastAsia" w:ascii="楷体" w:hAnsi="楷体" w:eastAsia="楷体"/>
          <w:b/>
          <w:color w:val="auto"/>
          <w:sz w:val="24"/>
          <w:highlight w:val="none"/>
        </w:rPr>
        <w:t>【重要提示：主办部门也可以根据项目实际情况另行协商约定支付条件，在此列明，但应注意避免取消保修金的约定。】</w:t>
      </w:r>
    </w:p>
    <w:p w14:paraId="60515508">
      <w:pPr>
        <w:adjustRightInd w:val="0"/>
        <w:snapToGrid w:val="0"/>
        <w:spacing w:line="360" w:lineRule="auto"/>
        <w:ind w:firstLine="480" w:firstLineChars="200"/>
        <w:rPr>
          <w:rFonts w:ascii="楷体" w:hAnsi="楷体" w:eastAsia="楷体" w:cs="宋体"/>
          <w:color w:val="auto"/>
          <w:kern w:val="0"/>
          <w:sz w:val="24"/>
          <w:highlight w:val="none"/>
        </w:rPr>
      </w:pPr>
      <w:r>
        <w:rPr>
          <w:rFonts w:hint="eastAsia" w:ascii="楷体" w:hAnsi="楷体" w:eastAsia="楷体" w:cs="宋体"/>
          <w:color w:val="auto"/>
          <w:kern w:val="0"/>
          <w:sz w:val="24"/>
          <w:highlight w:val="none"/>
        </w:rPr>
        <w:t>4. 接通施工所需的水、电，水电费由承担。</w:t>
      </w:r>
    </w:p>
    <w:p w14:paraId="76B82477">
      <w:pPr>
        <w:adjustRightInd w:val="0"/>
        <w:snapToGrid w:val="0"/>
        <w:spacing w:line="360" w:lineRule="auto"/>
        <w:rPr>
          <w:rFonts w:ascii="楷体" w:hAnsi="楷体" w:eastAsia="楷体" w:cs="宋体"/>
          <w:b/>
          <w:bCs/>
          <w:color w:val="auto"/>
          <w:kern w:val="0"/>
          <w:sz w:val="24"/>
          <w:highlight w:val="none"/>
        </w:rPr>
      </w:pPr>
      <w:r>
        <w:rPr>
          <w:rFonts w:hint="eastAsia" w:ascii="楷体" w:hAnsi="楷体" w:eastAsia="楷体" w:cs="宋体"/>
          <w:b/>
          <w:bCs/>
          <w:color w:val="auto"/>
          <w:kern w:val="0"/>
          <w:sz w:val="24"/>
          <w:highlight w:val="none"/>
        </w:rPr>
        <w:t>【重要提示：应对水电费的承担方做必要且明确的说明。】</w:t>
      </w:r>
    </w:p>
    <w:p w14:paraId="5E0CE6D1">
      <w:pPr>
        <w:adjustRightInd w:val="0"/>
        <w:snapToGrid w:val="0"/>
        <w:spacing w:line="360" w:lineRule="auto"/>
        <w:ind w:firstLine="480" w:firstLineChars="200"/>
        <w:rPr>
          <w:rFonts w:ascii="楷体" w:hAnsi="楷体" w:eastAsia="楷体" w:cs="宋体"/>
          <w:color w:val="auto"/>
          <w:kern w:val="0"/>
          <w:sz w:val="24"/>
          <w:highlight w:val="none"/>
        </w:rPr>
      </w:pPr>
      <w:r>
        <w:rPr>
          <w:rFonts w:hint="eastAsia" w:ascii="楷体" w:hAnsi="楷体" w:eastAsia="楷体" w:cs="宋体"/>
          <w:color w:val="auto"/>
          <w:kern w:val="0"/>
          <w:sz w:val="24"/>
          <w:highlight w:val="none"/>
        </w:rPr>
        <w:t>5</w:t>
      </w:r>
      <w:r>
        <w:rPr>
          <w:rFonts w:ascii="楷体" w:hAnsi="楷体" w:eastAsia="楷体" w:cs="宋体"/>
          <w:color w:val="auto"/>
          <w:kern w:val="0"/>
          <w:sz w:val="24"/>
          <w:highlight w:val="none"/>
        </w:rPr>
        <w:t xml:space="preserve">. </w:t>
      </w:r>
      <w:r>
        <w:rPr>
          <w:rFonts w:hint="eastAsia" w:ascii="楷体" w:hAnsi="楷体" w:eastAsia="楷体" w:cs="宋体"/>
          <w:color w:val="auto"/>
          <w:kern w:val="0"/>
          <w:sz w:val="24"/>
          <w:highlight w:val="none"/>
        </w:rPr>
        <w:t>增值税</w:t>
      </w:r>
      <w:r>
        <w:rPr>
          <w:rFonts w:ascii="楷体" w:hAnsi="楷体" w:eastAsia="楷体" w:cs="宋体"/>
          <w:color w:val="auto"/>
          <w:kern w:val="0"/>
          <w:sz w:val="24"/>
          <w:highlight w:val="none"/>
        </w:rPr>
        <w:t>专用发票的相关</w:t>
      </w:r>
      <w:r>
        <w:rPr>
          <w:rFonts w:hint="eastAsia" w:ascii="楷体" w:hAnsi="楷体" w:eastAsia="楷体" w:cs="宋体"/>
          <w:color w:val="auto"/>
          <w:kern w:val="0"/>
          <w:sz w:val="24"/>
          <w:highlight w:val="none"/>
        </w:rPr>
        <w:t>约定</w:t>
      </w:r>
    </w:p>
    <w:p w14:paraId="17C6D352">
      <w:pPr>
        <w:snapToGrid w:val="0"/>
        <w:spacing w:line="360" w:lineRule="auto"/>
        <w:rPr>
          <w:rFonts w:ascii="楷体_GB2312" w:hAnsi="宋体" w:eastAsia="楷体_GB2312"/>
          <w:color w:val="auto"/>
          <w:sz w:val="24"/>
          <w:highlight w:val="none"/>
        </w:rPr>
      </w:pPr>
      <w:r>
        <w:rPr>
          <w:rFonts w:hint="eastAsia" w:ascii="楷体_GB2312" w:hAnsi="宋体" w:eastAsia="楷体_GB2312"/>
          <w:color w:val="auto"/>
          <w:sz w:val="24"/>
          <w:highlight w:val="none"/>
        </w:rPr>
        <w:t>（1）乙方应向甲方开具增值税专用发票，甲方开票信息如下：</w:t>
      </w:r>
      <w:r>
        <w:rPr>
          <w:rFonts w:ascii="楷体_GB2312" w:hAnsi="宋体" w:eastAsia="楷体_GB2312"/>
          <w:color w:val="auto"/>
          <w:sz w:val="24"/>
          <w:highlight w:val="none"/>
        </w:rPr>
        <w:t xml:space="preserve"> </w:t>
      </w:r>
    </w:p>
    <w:p w14:paraId="02A50259">
      <w:pPr>
        <w:snapToGrid w:val="0"/>
        <w:spacing w:line="360" w:lineRule="auto"/>
        <w:rPr>
          <w:rFonts w:ascii="楷体_GB2312" w:hAnsi="宋体" w:eastAsia="楷体_GB2312"/>
          <w:color w:val="auto"/>
          <w:sz w:val="24"/>
          <w:highlight w:val="none"/>
        </w:rPr>
      </w:pPr>
      <w:r>
        <w:rPr>
          <w:rFonts w:hint="eastAsia" w:ascii="楷体_GB2312" w:hAnsi="宋体" w:eastAsia="楷体_GB2312"/>
          <w:color w:val="auto"/>
          <w:sz w:val="24"/>
          <w:highlight w:val="none"/>
        </w:rPr>
        <w:t>公司名称：</w:t>
      </w:r>
      <w:r>
        <w:rPr>
          <w:rFonts w:ascii="楷体_GB2312" w:hAnsi="宋体" w:eastAsia="楷体_GB2312"/>
          <w:color w:val="auto"/>
          <w:sz w:val="24"/>
          <w:highlight w:val="none"/>
        </w:rPr>
        <w:t xml:space="preserve"> ______________________________</w:t>
      </w:r>
    </w:p>
    <w:p w14:paraId="2A3C15FE">
      <w:pPr>
        <w:snapToGrid w:val="0"/>
        <w:spacing w:line="360" w:lineRule="auto"/>
        <w:rPr>
          <w:rFonts w:ascii="楷体_GB2312" w:hAnsi="宋体" w:eastAsia="楷体_GB2312"/>
          <w:color w:val="auto"/>
          <w:sz w:val="24"/>
          <w:highlight w:val="none"/>
        </w:rPr>
      </w:pPr>
      <w:r>
        <w:rPr>
          <w:rFonts w:hint="eastAsia" w:ascii="楷体_GB2312" w:hAnsi="宋体" w:eastAsia="楷体_GB2312"/>
          <w:color w:val="auto"/>
          <w:sz w:val="24"/>
          <w:highlight w:val="none"/>
        </w:rPr>
        <w:t>纳税识别号：</w:t>
      </w:r>
      <w:r>
        <w:rPr>
          <w:rFonts w:ascii="楷体_GB2312" w:hAnsi="宋体" w:eastAsia="楷体_GB2312"/>
          <w:color w:val="auto"/>
          <w:sz w:val="24"/>
          <w:highlight w:val="none"/>
        </w:rPr>
        <w:t xml:space="preserve"> ____________________________</w:t>
      </w:r>
    </w:p>
    <w:p w14:paraId="317D21FC">
      <w:pPr>
        <w:snapToGrid w:val="0"/>
        <w:spacing w:line="360" w:lineRule="auto"/>
        <w:rPr>
          <w:rFonts w:ascii="楷体_GB2312" w:hAnsi="宋体" w:eastAsia="楷体_GB2312"/>
          <w:color w:val="auto"/>
          <w:sz w:val="24"/>
          <w:highlight w:val="none"/>
        </w:rPr>
      </w:pPr>
      <w:r>
        <w:rPr>
          <w:rFonts w:hint="eastAsia" w:ascii="楷体_GB2312" w:hAnsi="宋体" w:eastAsia="楷体_GB2312"/>
          <w:color w:val="auto"/>
          <w:sz w:val="24"/>
          <w:highlight w:val="none"/>
        </w:rPr>
        <w:t>银行账号：</w:t>
      </w:r>
      <w:r>
        <w:rPr>
          <w:rFonts w:ascii="楷体_GB2312" w:hAnsi="宋体" w:eastAsia="楷体_GB2312"/>
          <w:color w:val="auto"/>
          <w:sz w:val="24"/>
          <w:highlight w:val="none"/>
        </w:rPr>
        <w:t xml:space="preserve"> ______________________________</w:t>
      </w:r>
    </w:p>
    <w:p w14:paraId="1B598C10">
      <w:pPr>
        <w:snapToGrid w:val="0"/>
        <w:spacing w:line="360" w:lineRule="auto"/>
        <w:rPr>
          <w:rFonts w:ascii="楷体_GB2312" w:hAnsi="宋体" w:eastAsia="楷体_GB2312"/>
          <w:color w:val="auto"/>
          <w:sz w:val="24"/>
          <w:highlight w:val="none"/>
        </w:rPr>
      </w:pPr>
      <w:r>
        <w:rPr>
          <w:rFonts w:hint="eastAsia" w:ascii="楷体_GB2312" w:hAnsi="宋体" w:eastAsia="楷体_GB2312"/>
          <w:color w:val="auto"/>
          <w:sz w:val="24"/>
          <w:highlight w:val="none"/>
        </w:rPr>
        <w:t>开户银行：</w:t>
      </w:r>
      <w:r>
        <w:rPr>
          <w:rFonts w:ascii="楷体_GB2312" w:hAnsi="宋体" w:eastAsia="楷体_GB2312"/>
          <w:color w:val="auto"/>
          <w:sz w:val="24"/>
          <w:highlight w:val="none"/>
        </w:rPr>
        <w:t xml:space="preserve"> ______________________________</w:t>
      </w:r>
    </w:p>
    <w:p w14:paraId="3070D8BB">
      <w:pPr>
        <w:snapToGrid w:val="0"/>
        <w:spacing w:line="360" w:lineRule="auto"/>
        <w:rPr>
          <w:rFonts w:ascii="楷体_GB2312" w:hAnsi="宋体" w:eastAsia="楷体_GB2312"/>
          <w:color w:val="auto"/>
          <w:sz w:val="24"/>
          <w:highlight w:val="none"/>
        </w:rPr>
      </w:pPr>
      <w:r>
        <w:rPr>
          <w:rFonts w:hint="eastAsia" w:ascii="楷体_GB2312" w:hAnsi="宋体" w:eastAsia="楷体_GB2312"/>
          <w:color w:val="auto"/>
          <w:sz w:val="24"/>
          <w:highlight w:val="none"/>
        </w:rPr>
        <w:t>开票地址：</w:t>
      </w:r>
      <w:r>
        <w:rPr>
          <w:rFonts w:ascii="楷体_GB2312" w:hAnsi="宋体" w:eastAsia="楷体_GB2312"/>
          <w:color w:val="auto"/>
          <w:sz w:val="24"/>
          <w:highlight w:val="none"/>
        </w:rPr>
        <w:t xml:space="preserve"> ______________________________</w:t>
      </w:r>
    </w:p>
    <w:p w14:paraId="10CB5CC1">
      <w:pPr>
        <w:snapToGrid w:val="0"/>
        <w:spacing w:line="360" w:lineRule="auto"/>
        <w:rPr>
          <w:rFonts w:ascii="楷体_GB2312" w:hAnsi="宋体" w:eastAsia="楷体_GB2312"/>
          <w:color w:val="auto"/>
          <w:sz w:val="24"/>
          <w:highlight w:val="none"/>
        </w:rPr>
      </w:pPr>
      <w:r>
        <w:rPr>
          <w:rFonts w:hint="eastAsia" w:ascii="楷体_GB2312" w:hAnsi="宋体" w:eastAsia="楷体_GB2312"/>
          <w:color w:val="auto"/>
          <w:sz w:val="24"/>
          <w:highlight w:val="none"/>
        </w:rPr>
        <w:t>开票电话：</w:t>
      </w:r>
      <w:r>
        <w:rPr>
          <w:rFonts w:ascii="楷体_GB2312" w:hAnsi="宋体" w:eastAsia="楷体_GB2312"/>
          <w:color w:val="auto"/>
          <w:sz w:val="24"/>
          <w:highlight w:val="none"/>
        </w:rPr>
        <w:t xml:space="preserve"> ______________________________</w:t>
      </w:r>
    </w:p>
    <w:p w14:paraId="61E1EA11">
      <w:pPr>
        <w:snapToGrid w:val="0"/>
        <w:spacing w:line="360" w:lineRule="auto"/>
        <w:rPr>
          <w:rFonts w:ascii="楷体_GB2312" w:hAnsi="宋体" w:eastAsia="楷体_GB2312"/>
          <w:color w:val="auto"/>
          <w:sz w:val="24"/>
          <w:highlight w:val="none"/>
        </w:rPr>
      </w:pPr>
      <w:r>
        <w:rPr>
          <w:rFonts w:hint="eastAsia" w:ascii="楷体_GB2312" w:hAnsi="宋体" w:eastAsia="楷体_GB2312"/>
          <w:color w:val="auto"/>
          <w:sz w:val="24"/>
          <w:highlight w:val="none"/>
        </w:rPr>
        <w:t>（2）乙方同时向甲方公司及其分支机构提供产品及服务的，双方应在合同中约定甲方的分支机构和对应的价款。乙方应分别对清单中的费用承担方开具相应金额的增值税专用发票；</w:t>
      </w:r>
    </w:p>
    <w:p w14:paraId="3728D81F">
      <w:pPr>
        <w:snapToGrid w:val="0"/>
        <w:spacing w:line="360" w:lineRule="auto"/>
        <w:rPr>
          <w:rFonts w:ascii="楷体_GB2312" w:hAnsi="宋体" w:eastAsia="楷体_GB2312"/>
          <w:color w:val="auto"/>
          <w:sz w:val="24"/>
          <w:highlight w:val="none"/>
        </w:rPr>
      </w:pPr>
      <w:r>
        <w:rPr>
          <w:rFonts w:hint="eastAsia" w:ascii="楷体_GB2312" w:hAnsi="宋体" w:eastAsia="楷体_GB2312"/>
          <w:color w:val="auto"/>
          <w:sz w:val="24"/>
          <w:highlight w:val="none"/>
        </w:rPr>
        <w:t xml:space="preserve">（3）乙方应在每次增值税专用发票开具后的30个自然日内向甲方提交相应增值税专用发票，否则甲方有权拒收发票。经多次分批的增值税专用发票的开具、提交以及双方收付款，乙方开具并提交甲方的增值税专用发票的价税合计金额应与甲方已经支付的价税合计款项保持一致； </w:t>
      </w:r>
    </w:p>
    <w:p w14:paraId="28B0CC84">
      <w:pPr>
        <w:snapToGrid w:val="0"/>
        <w:spacing w:line="360" w:lineRule="auto"/>
        <w:rPr>
          <w:rFonts w:ascii="楷体_GB2312" w:hAnsi="宋体" w:eastAsia="楷体_GB2312"/>
          <w:color w:val="auto"/>
          <w:sz w:val="24"/>
          <w:highlight w:val="none"/>
        </w:rPr>
      </w:pPr>
      <w:r>
        <w:rPr>
          <w:rFonts w:hint="eastAsia" w:ascii="楷体_GB2312" w:hAnsi="宋体" w:eastAsia="楷体_GB2312"/>
          <w:color w:val="auto"/>
          <w:sz w:val="24"/>
          <w:highlight w:val="none"/>
        </w:rPr>
        <w:t>（4）乙方必须严格遵照相关税收法规和文件，开具合法的增值税专用发票。因乙方开具的增值税专用发票不符合税收法规与税务机关相关规定而给甲方造成经济损失的，乙方负责赔偿。即乙方如不能提供增值税专用发票，则采购对应的进项税额由乙方承担；如提供的票面税率与承诺不一致，则差额由乙方承担；</w:t>
      </w:r>
    </w:p>
    <w:p w14:paraId="1A07683C">
      <w:pPr>
        <w:snapToGrid w:val="0"/>
        <w:spacing w:line="360" w:lineRule="auto"/>
        <w:rPr>
          <w:rFonts w:ascii="楷体_GB2312" w:hAnsi="宋体" w:eastAsia="楷体_GB2312"/>
          <w:color w:val="auto"/>
          <w:sz w:val="24"/>
          <w:highlight w:val="none"/>
        </w:rPr>
      </w:pPr>
      <w:r>
        <w:rPr>
          <w:rFonts w:hint="eastAsia" w:ascii="楷体_GB2312" w:hAnsi="宋体" w:eastAsia="楷体_GB2312"/>
          <w:color w:val="auto"/>
          <w:sz w:val="24"/>
          <w:highlight w:val="none"/>
        </w:rPr>
        <w:t>（5）乙方开具的增值税专用发票在送达甲方前如发生丢失、灭失或被盗等情况，导致相应票据未能顺利送达甲方的，乙方应负责按相关税收法律法规的规定提供相应资料，以保证甲方顺利获得抵扣，否则甲方因此遭受的经济损失由乙方负责赔偿；</w:t>
      </w:r>
    </w:p>
    <w:p w14:paraId="4DA04243">
      <w:pPr>
        <w:snapToGrid w:val="0"/>
        <w:spacing w:line="360" w:lineRule="auto"/>
        <w:rPr>
          <w:rFonts w:ascii="楷体_GB2312" w:hAnsi="宋体" w:eastAsia="楷体_GB2312"/>
          <w:color w:val="auto"/>
          <w:sz w:val="24"/>
          <w:highlight w:val="none"/>
        </w:rPr>
      </w:pPr>
      <w:r>
        <w:rPr>
          <w:rFonts w:hint="eastAsia" w:ascii="楷体_GB2312" w:hAnsi="宋体" w:eastAsia="楷体_GB2312"/>
          <w:color w:val="auto"/>
          <w:sz w:val="24"/>
          <w:highlight w:val="none"/>
        </w:rPr>
        <w:t>（6）为保证取得的发票可以及时并成功获得抵扣，乙方开具的增值税专用发票送达并经甲方签收后，若发生丢失，乙方应积极协助甲方，按照相关税收法规和文件的规定提供相应资料，并确保甲方顺利获得抵扣；</w:t>
      </w:r>
    </w:p>
    <w:p w14:paraId="5C48CB04">
      <w:pPr>
        <w:snapToGrid w:val="0"/>
        <w:spacing w:line="360" w:lineRule="auto"/>
        <w:rPr>
          <w:rFonts w:ascii="楷体_GB2312" w:hAnsi="宋体" w:eastAsia="楷体_GB2312"/>
          <w:color w:val="auto"/>
          <w:sz w:val="24"/>
          <w:highlight w:val="none"/>
        </w:rPr>
      </w:pPr>
      <w:r>
        <w:rPr>
          <w:rFonts w:hint="eastAsia" w:ascii="楷体_GB2312" w:hAnsi="宋体" w:eastAsia="楷体_GB2312"/>
          <w:color w:val="auto"/>
          <w:sz w:val="24"/>
          <w:highlight w:val="none"/>
        </w:rPr>
        <w:t>（7）本合同项下的业务发生销售折让、销售退回或其它按照国家规定需要开具红字发票或重新开票的情况，乙方有义务按照国家税收规定向甲方开具红字发票或重新开票。如果乙方</w:t>
      </w:r>
      <w:r>
        <w:rPr>
          <w:rFonts w:ascii="楷体_GB2312" w:hAnsi="宋体" w:eastAsia="楷体_GB2312"/>
          <w:color w:val="auto"/>
          <w:sz w:val="24"/>
          <w:highlight w:val="none"/>
        </w:rPr>
        <w:t>需要</w:t>
      </w:r>
      <w:r>
        <w:rPr>
          <w:rFonts w:hint="eastAsia" w:ascii="楷体_GB2312" w:hAnsi="宋体" w:eastAsia="楷体_GB2312"/>
          <w:color w:val="auto"/>
          <w:sz w:val="24"/>
          <w:highlight w:val="none"/>
        </w:rPr>
        <w:t>甲方提供开具红字发票或重新开票的有关资料，甲方应视具体情况予以</w:t>
      </w:r>
      <w:r>
        <w:rPr>
          <w:rFonts w:ascii="楷体_GB2312" w:hAnsi="宋体" w:eastAsia="楷体_GB2312"/>
          <w:color w:val="auto"/>
          <w:sz w:val="24"/>
          <w:highlight w:val="none"/>
        </w:rPr>
        <w:t>提供</w:t>
      </w:r>
      <w:r>
        <w:rPr>
          <w:rFonts w:hint="eastAsia" w:ascii="楷体_GB2312" w:hAnsi="宋体" w:eastAsia="楷体_GB2312"/>
          <w:color w:val="auto"/>
          <w:sz w:val="24"/>
          <w:highlight w:val="none"/>
        </w:rPr>
        <w:t>。</w:t>
      </w:r>
    </w:p>
    <w:p w14:paraId="7375EA3A">
      <w:pPr>
        <w:rPr>
          <w:color w:val="auto"/>
          <w:highlight w:val="none"/>
        </w:rPr>
      </w:pPr>
    </w:p>
    <w:p w14:paraId="65B831F3">
      <w:pPr>
        <w:snapToGrid w:val="0"/>
        <w:spacing w:line="360" w:lineRule="auto"/>
        <w:rPr>
          <w:rFonts w:ascii="楷体" w:hAnsi="楷体" w:eastAsia="楷体"/>
          <w:b/>
          <w:color w:val="auto"/>
          <w:sz w:val="24"/>
          <w:highlight w:val="none"/>
        </w:rPr>
      </w:pPr>
      <w:r>
        <w:rPr>
          <w:rFonts w:hint="eastAsia" w:ascii="楷体" w:hAnsi="楷体" w:eastAsia="楷体"/>
          <w:b/>
          <w:color w:val="auto"/>
          <w:sz w:val="24"/>
          <w:highlight w:val="none"/>
        </w:rPr>
        <w:t>附件四：【重要提示：属于重要商务条款，此模板供主办部门参照执行，主办部门可以根据项目实际进行相应的调整，但应注意避免出现重大偏离的情形。】</w:t>
      </w:r>
    </w:p>
    <w:p w14:paraId="1DCCF09C">
      <w:pPr>
        <w:adjustRightInd w:val="0"/>
        <w:snapToGrid w:val="0"/>
        <w:spacing w:line="360" w:lineRule="auto"/>
        <w:rPr>
          <w:rFonts w:ascii="楷体" w:hAnsi="楷体" w:eastAsia="楷体" w:cs="宋体"/>
          <w:b/>
          <w:color w:val="auto"/>
          <w:kern w:val="0"/>
          <w:sz w:val="24"/>
          <w:highlight w:val="none"/>
        </w:rPr>
      </w:pPr>
    </w:p>
    <w:p w14:paraId="6CAF7742">
      <w:pPr>
        <w:adjustRightInd w:val="0"/>
        <w:snapToGrid w:val="0"/>
        <w:spacing w:line="360" w:lineRule="auto"/>
        <w:ind w:left="840" w:leftChars="228" w:hanging="361" w:hangingChars="150"/>
        <w:jc w:val="center"/>
        <w:rPr>
          <w:rFonts w:ascii="楷体" w:hAnsi="楷体" w:eastAsia="楷体" w:cs="宋体"/>
          <w:b/>
          <w:color w:val="auto"/>
          <w:kern w:val="0"/>
          <w:sz w:val="24"/>
          <w:highlight w:val="none"/>
        </w:rPr>
      </w:pPr>
      <w:r>
        <w:rPr>
          <w:rFonts w:hint="eastAsia" w:ascii="楷体" w:hAnsi="楷体" w:eastAsia="楷体" w:cs="宋体"/>
          <w:b/>
          <w:color w:val="auto"/>
          <w:kern w:val="0"/>
          <w:sz w:val="24"/>
          <w:highlight w:val="none"/>
        </w:rPr>
        <w:t>材料设备供应</w:t>
      </w:r>
    </w:p>
    <w:p w14:paraId="354888F6">
      <w:pPr>
        <w:adjustRightInd w:val="0"/>
        <w:snapToGrid w:val="0"/>
        <w:spacing w:line="360" w:lineRule="auto"/>
        <w:ind w:left="840" w:leftChars="228" w:hanging="361" w:hangingChars="150"/>
        <w:jc w:val="center"/>
        <w:rPr>
          <w:rFonts w:ascii="楷体" w:hAnsi="楷体" w:eastAsia="楷体" w:cs="宋体"/>
          <w:b/>
          <w:color w:val="auto"/>
          <w:kern w:val="0"/>
          <w:sz w:val="24"/>
          <w:highlight w:val="none"/>
        </w:rPr>
      </w:pPr>
    </w:p>
    <w:p w14:paraId="0B764BE5">
      <w:pPr>
        <w:adjustRightInd w:val="0"/>
        <w:snapToGrid w:val="0"/>
        <w:spacing w:line="360" w:lineRule="auto"/>
        <w:ind w:firstLine="480" w:firstLineChars="200"/>
        <w:rPr>
          <w:rFonts w:ascii="楷体" w:hAnsi="楷体" w:eastAsia="楷体" w:cs="宋体"/>
          <w:color w:val="auto"/>
          <w:kern w:val="0"/>
          <w:sz w:val="24"/>
          <w:highlight w:val="none"/>
        </w:rPr>
      </w:pPr>
      <w:r>
        <w:rPr>
          <w:rFonts w:hint="eastAsia" w:ascii="楷体" w:hAnsi="楷体" w:eastAsia="楷体" w:cs="宋体"/>
          <w:color w:val="auto"/>
          <w:kern w:val="0"/>
          <w:sz w:val="24"/>
          <w:highlight w:val="none"/>
        </w:rPr>
        <w:t>承包人提供的材料设备有：</w:t>
      </w:r>
    </w:p>
    <w:p w14:paraId="4CBDE080">
      <w:pPr>
        <w:adjustRightInd w:val="0"/>
        <w:snapToGrid w:val="0"/>
        <w:spacing w:line="360" w:lineRule="auto"/>
        <w:rPr>
          <w:rFonts w:ascii="楷体" w:hAnsi="楷体" w:eastAsia="楷体" w:cs="宋体"/>
          <w:color w:val="auto"/>
          <w:kern w:val="0"/>
          <w:sz w:val="24"/>
          <w:highlight w:val="none"/>
        </w:rPr>
      </w:pPr>
      <w:r>
        <w:rPr>
          <w:rFonts w:hint="eastAsia" w:ascii="楷体" w:hAnsi="楷体" w:eastAsia="楷体" w:cs="宋体"/>
          <w:color w:val="auto"/>
          <w:kern w:val="0"/>
          <w:sz w:val="24"/>
          <w:highlight w:val="none"/>
        </w:rPr>
        <w:t>___________________________________________________________________</w:t>
      </w:r>
    </w:p>
    <w:p w14:paraId="1B1B5D46">
      <w:pPr>
        <w:adjustRightInd w:val="0"/>
        <w:snapToGrid w:val="0"/>
        <w:spacing w:line="360" w:lineRule="auto"/>
        <w:rPr>
          <w:rFonts w:ascii="楷体" w:hAnsi="楷体" w:eastAsia="楷体" w:cs="宋体"/>
          <w:b/>
          <w:bCs/>
          <w:color w:val="auto"/>
          <w:kern w:val="0"/>
          <w:sz w:val="24"/>
          <w:highlight w:val="none"/>
        </w:rPr>
      </w:pPr>
      <w:r>
        <w:rPr>
          <w:rFonts w:hint="eastAsia" w:ascii="楷体" w:hAnsi="楷体" w:eastAsia="楷体" w:cs="宋体"/>
          <w:b/>
          <w:bCs/>
          <w:color w:val="auto"/>
          <w:kern w:val="0"/>
          <w:sz w:val="24"/>
          <w:highlight w:val="none"/>
        </w:rPr>
        <w:t>【重要提示：应对承包人提供的材料和设备做必要且明确的说明。】</w:t>
      </w:r>
    </w:p>
    <w:p w14:paraId="19A4FA32">
      <w:pPr>
        <w:snapToGrid w:val="0"/>
        <w:spacing w:line="360" w:lineRule="auto"/>
        <w:rPr>
          <w:rFonts w:ascii="楷体" w:hAnsi="楷体" w:eastAsia="楷体"/>
          <w:b/>
          <w:color w:val="auto"/>
          <w:sz w:val="24"/>
          <w:highlight w:val="none"/>
        </w:rPr>
      </w:pPr>
    </w:p>
    <w:p w14:paraId="5EEAF46A">
      <w:pPr>
        <w:snapToGrid w:val="0"/>
        <w:spacing w:line="360" w:lineRule="auto"/>
        <w:rPr>
          <w:rFonts w:ascii="楷体" w:hAnsi="楷体" w:eastAsia="楷体"/>
          <w:b/>
          <w:color w:val="auto"/>
          <w:sz w:val="24"/>
          <w:highlight w:val="none"/>
        </w:rPr>
      </w:pPr>
      <w:r>
        <w:rPr>
          <w:rFonts w:hint="eastAsia" w:ascii="楷体" w:hAnsi="楷体" w:eastAsia="楷体"/>
          <w:b/>
          <w:color w:val="auto"/>
          <w:sz w:val="24"/>
          <w:highlight w:val="none"/>
        </w:rPr>
        <w:t>附件五：【重要提示：属于重要商务条款，此模板供主办部门参照执行，主办部门可以根据项目实际进行相应的调整，但应注意避免出现重大偏离的情形。】</w:t>
      </w:r>
    </w:p>
    <w:p w14:paraId="695520B0">
      <w:pPr>
        <w:snapToGrid w:val="0"/>
        <w:spacing w:line="360" w:lineRule="auto"/>
        <w:rPr>
          <w:rFonts w:ascii="楷体" w:hAnsi="楷体" w:eastAsia="楷体"/>
          <w:b/>
          <w:color w:val="auto"/>
          <w:sz w:val="24"/>
          <w:highlight w:val="none"/>
        </w:rPr>
      </w:pPr>
    </w:p>
    <w:p w14:paraId="1E2E6F92">
      <w:pPr>
        <w:spacing w:line="360" w:lineRule="auto"/>
        <w:jc w:val="center"/>
        <w:rPr>
          <w:rFonts w:ascii="楷体" w:hAnsi="楷体" w:eastAsia="楷体" w:cs="宋体"/>
          <w:b/>
          <w:color w:val="auto"/>
          <w:kern w:val="0"/>
          <w:sz w:val="24"/>
          <w:highlight w:val="none"/>
        </w:rPr>
      </w:pPr>
      <w:r>
        <w:rPr>
          <w:rFonts w:hint="eastAsia" w:ascii="楷体" w:hAnsi="楷体" w:eastAsia="楷体" w:cs="宋体"/>
          <w:b/>
          <w:color w:val="auto"/>
          <w:kern w:val="0"/>
          <w:sz w:val="24"/>
          <w:highlight w:val="none"/>
        </w:rPr>
        <w:t>保修</w:t>
      </w:r>
    </w:p>
    <w:p w14:paraId="3166320A">
      <w:pPr>
        <w:spacing w:line="360" w:lineRule="auto"/>
        <w:jc w:val="center"/>
        <w:rPr>
          <w:rFonts w:ascii="楷体" w:hAnsi="楷体" w:eastAsia="楷体"/>
          <w:color w:val="auto"/>
          <w:sz w:val="24"/>
          <w:highlight w:val="none"/>
        </w:rPr>
      </w:pPr>
    </w:p>
    <w:p w14:paraId="1E841032">
      <w:pPr>
        <w:adjustRightInd w:val="0"/>
        <w:snapToGrid w:val="0"/>
        <w:spacing w:line="360" w:lineRule="auto"/>
        <w:ind w:firstLine="480" w:firstLineChars="200"/>
        <w:rPr>
          <w:rFonts w:ascii="楷体" w:hAnsi="楷体" w:eastAsia="楷体" w:cs="宋体"/>
          <w:color w:val="auto"/>
          <w:kern w:val="0"/>
          <w:sz w:val="24"/>
          <w:highlight w:val="none"/>
        </w:rPr>
      </w:pPr>
      <w:r>
        <w:rPr>
          <w:rFonts w:hint="eastAsia" w:ascii="楷体" w:hAnsi="楷体" w:eastAsia="楷体" w:cs="宋体"/>
          <w:color w:val="auto"/>
          <w:kern w:val="0"/>
          <w:sz w:val="24"/>
          <w:highlight w:val="none"/>
        </w:rPr>
        <w:t xml:space="preserve">1. 本合同工程保修期限为 </w:t>
      </w:r>
      <w:r>
        <w:rPr>
          <w:rFonts w:ascii="楷体" w:hAnsi="楷体" w:eastAsia="楷体" w:cs="宋体"/>
          <w:color w:val="auto"/>
          <w:kern w:val="0"/>
          <w:sz w:val="24"/>
          <w:highlight w:val="none"/>
        </w:rPr>
        <w:t xml:space="preserve"> </w:t>
      </w:r>
      <w:r>
        <w:rPr>
          <w:rFonts w:hint="eastAsia" w:ascii="楷体" w:hAnsi="楷体" w:eastAsia="楷体" w:cs="宋体"/>
          <w:color w:val="auto"/>
          <w:kern w:val="0"/>
          <w:sz w:val="24"/>
          <w:highlight w:val="none"/>
        </w:rPr>
        <w:t>年，但防水工程、有防水要求的房间、卫生间和外墙的防渗漏工程为年，自工程竣工验收合格之日起计算。</w:t>
      </w:r>
    </w:p>
    <w:p w14:paraId="55110D48">
      <w:pPr>
        <w:adjustRightInd w:val="0"/>
        <w:snapToGrid w:val="0"/>
        <w:spacing w:line="360" w:lineRule="auto"/>
        <w:rPr>
          <w:rFonts w:ascii="楷体" w:hAnsi="楷体" w:eastAsia="楷体" w:cs="宋体"/>
          <w:b/>
          <w:bCs/>
          <w:color w:val="auto"/>
          <w:kern w:val="0"/>
          <w:sz w:val="24"/>
          <w:highlight w:val="none"/>
        </w:rPr>
      </w:pPr>
      <w:r>
        <w:rPr>
          <w:rFonts w:hint="eastAsia" w:ascii="楷体" w:hAnsi="楷体" w:eastAsia="楷体" w:cs="宋体"/>
          <w:b/>
          <w:bCs/>
          <w:color w:val="auto"/>
          <w:kern w:val="0"/>
          <w:sz w:val="24"/>
          <w:highlight w:val="none"/>
        </w:rPr>
        <w:t>【重要提示：法律对不同部位规定了不同的保修期：地基基础工程和主体结构工程为合理使用年限；防水防漏的工程为5年；供热与供冷系统为2个采暖、供冷期；电气管理、给水排水管道、设备安装和装修工程为2年。主办部门可以约定高于以上法定期限的保修期，但不能低于法定期限。】</w:t>
      </w:r>
    </w:p>
    <w:p w14:paraId="05B733D5">
      <w:pPr>
        <w:adjustRightInd w:val="0"/>
        <w:snapToGrid w:val="0"/>
        <w:spacing w:line="360" w:lineRule="auto"/>
        <w:ind w:firstLine="480" w:firstLineChars="200"/>
        <w:rPr>
          <w:rFonts w:ascii="楷体" w:hAnsi="楷体" w:eastAsia="楷体" w:cs="宋体"/>
          <w:color w:val="auto"/>
          <w:kern w:val="0"/>
          <w:sz w:val="24"/>
          <w:highlight w:val="none"/>
        </w:rPr>
      </w:pPr>
      <w:r>
        <w:rPr>
          <w:rFonts w:hint="eastAsia" w:ascii="楷体" w:hAnsi="楷体" w:eastAsia="楷体" w:cs="宋体"/>
          <w:color w:val="auto"/>
          <w:kern w:val="0"/>
          <w:sz w:val="24"/>
          <w:highlight w:val="none"/>
        </w:rPr>
        <w:t>2. 保修期内承包人应在接到发包人修理或维护通知后在发包人指定的合理时间内派人修理维护，承包人不能在指定时间内进行修理或维护的，发包人可以自行或另行委托第三方进行修复，所发生的费用从保修金内扣除，不足部分由承包人向发包人另行支付。承包人不按本合同约定履行修理或维护义务的，应承担违约责任。</w:t>
      </w:r>
    </w:p>
    <w:p w14:paraId="7F483916">
      <w:pPr>
        <w:rPr>
          <w:color w:val="auto"/>
          <w:highlight w:val="none"/>
        </w:rPr>
      </w:pPr>
    </w:p>
    <w:p w14:paraId="5C63D07F">
      <w:pPr>
        <w:numPr>
          <w:ilvl w:val="0"/>
          <w:numId w:val="0"/>
        </w:numPr>
        <w:rPr>
          <w:rFonts w:hint="eastAsia"/>
          <w:color w:val="auto"/>
          <w:highlight w:val="none"/>
        </w:rPr>
      </w:pPr>
    </w:p>
    <w:p w14:paraId="122242C1">
      <w:pPr>
        <w:pageBreakBefore w:val="0"/>
        <w:widowControl/>
        <w:kinsoku/>
        <w:overflowPunct/>
        <w:bidi w:val="0"/>
        <w:spacing w:before="100" w:beforeAutospacing="1" w:after="100" w:afterAutospacing="1" w:line="600" w:lineRule="exact"/>
        <w:jc w:val="center"/>
        <w:rPr>
          <w:rFonts w:hint="eastAsia" w:ascii="仿宋" w:hAnsi="仿宋" w:eastAsia="仿宋" w:cs="宋体"/>
          <w:color w:val="auto"/>
          <w:highlight w:val="none"/>
        </w:rPr>
      </w:pPr>
    </w:p>
    <w:p w14:paraId="4B823BA1">
      <w:pPr>
        <w:pStyle w:val="3"/>
        <w:pageBreakBefore w:val="0"/>
        <w:kinsoku/>
        <w:overflowPunct/>
        <w:bidi w:val="0"/>
        <w:spacing w:line="600" w:lineRule="exact"/>
        <w:rPr>
          <w:rFonts w:ascii="仿宋" w:hAnsi="仿宋" w:cs="宋体"/>
          <w:color w:val="auto"/>
          <w:highlight w:val="none"/>
        </w:rPr>
      </w:pPr>
      <w:bookmarkStart w:id="640" w:name="_Toc109124313"/>
      <w:bookmarkStart w:id="641" w:name="_Toc65682988"/>
      <w:bookmarkStart w:id="642" w:name="_Toc10044"/>
      <w:bookmarkStart w:id="643" w:name="_Toc25837"/>
      <w:bookmarkStart w:id="644" w:name="_Toc58177604"/>
      <w:bookmarkStart w:id="645" w:name="_Toc58177607"/>
      <w:r>
        <w:rPr>
          <w:rFonts w:hint="eastAsia" w:ascii="仿宋" w:hAnsi="仿宋" w:cs="宋体"/>
          <w:color w:val="auto"/>
          <w:highlight w:val="none"/>
        </w:rPr>
        <w:br w:type="page"/>
      </w:r>
      <w:bookmarkStart w:id="646" w:name="_Toc5715"/>
      <w:r>
        <w:rPr>
          <w:rFonts w:hint="eastAsia" w:ascii="仿宋" w:hAnsi="仿宋" w:cs="宋体"/>
          <w:color w:val="auto"/>
          <w:highlight w:val="none"/>
        </w:rPr>
        <w:t>第五章 技术规范书</w:t>
      </w:r>
      <w:bookmarkEnd w:id="640"/>
      <w:bookmarkEnd w:id="641"/>
      <w:bookmarkEnd w:id="642"/>
      <w:bookmarkEnd w:id="646"/>
    </w:p>
    <w:p w14:paraId="3C86ED3F">
      <w:pPr>
        <w:spacing w:line="600" w:lineRule="exact"/>
        <w:ind w:firstLine="640" w:firstLineChars="200"/>
        <w:rPr>
          <w:rFonts w:hint="eastAsia" w:ascii="仿宋_GB2312" w:hAnsi="Times New Roman" w:eastAsia="仿宋_GB2312" w:cs="Times New Roman"/>
          <w:color w:val="auto"/>
          <w:sz w:val="32"/>
          <w:szCs w:val="32"/>
          <w:highlight w:val="none"/>
          <w:lang w:val="en-US" w:eastAsia="zh-CN"/>
        </w:rPr>
      </w:pPr>
      <w:r>
        <w:rPr>
          <w:rFonts w:hint="eastAsia" w:ascii="仿宋_GB2312" w:hAnsi="Times New Roman" w:eastAsia="仿宋_GB2312" w:cs="Times New Roman"/>
          <w:color w:val="auto"/>
          <w:sz w:val="32"/>
          <w:szCs w:val="32"/>
          <w:highlight w:val="none"/>
        </w:rPr>
        <w:t>本项目选定1家供应商，为我公司提供为期2个月的职场整体维修改造施工服务。</w:t>
      </w:r>
    </w:p>
    <w:p w14:paraId="26FB6821">
      <w:pPr>
        <w:numPr>
          <w:ilvl w:val="0"/>
          <w:numId w:val="3"/>
        </w:numPr>
        <w:spacing w:line="600" w:lineRule="exact"/>
        <w:ind w:firstLine="643" w:firstLineChars="200"/>
        <w:rPr>
          <w:rFonts w:hint="eastAsia" w:ascii="楷体_GB2312" w:hAnsi="楷体_GB2312" w:eastAsia="楷体_GB2312" w:cs="楷体_GB2312"/>
          <w:b/>
          <w:bCs/>
          <w:color w:val="auto"/>
          <w:kern w:val="0"/>
          <w:sz w:val="32"/>
          <w:szCs w:val="32"/>
          <w:highlight w:val="none"/>
          <w:lang w:val="en-US" w:eastAsia="zh-CN" w:bidi="ar-SA"/>
        </w:rPr>
      </w:pPr>
      <w:r>
        <w:rPr>
          <w:rFonts w:hint="eastAsia" w:ascii="楷体_GB2312" w:hAnsi="楷体_GB2312" w:eastAsia="楷体_GB2312" w:cs="楷体_GB2312"/>
          <w:b/>
          <w:bCs/>
          <w:color w:val="auto"/>
          <w:kern w:val="0"/>
          <w:sz w:val="32"/>
          <w:szCs w:val="32"/>
          <w:highlight w:val="none"/>
          <w:lang w:val="en-US" w:eastAsia="zh-CN" w:bidi="ar-SA"/>
        </w:rPr>
        <w:t>具体采购需求</w:t>
      </w:r>
    </w:p>
    <w:p w14:paraId="6DAAF4FA">
      <w:pPr>
        <w:spacing w:line="600" w:lineRule="exact"/>
        <w:ind w:firstLine="640" w:firstLineChars="200"/>
        <w:rPr>
          <w:rFonts w:hint="eastAsia" w:ascii="仿宋_GB2312" w:hAnsi="Times New Roman" w:eastAsia="仿宋_GB2312" w:cs="Times New Roman"/>
          <w:color w:val="auto"/>
          <w:sz w:val="32"/>
          <w:szCs w:val="32"/>
          <w:highlight w:val="none"/>
        </w:rPr>
      </w:pPr>
      <w:r>
        <w:rPr>
          <w:rFonts w:hint="eastAsia" w:ascii="仿宋_GB2312" w:hAnsi="Times New Roman" w:eastAsia="仿宋_GB2312" w:cs="Times New Roman"/>
          <w:color w:val="auto"/>
          <w:sz w:val="32"/>
          <w:szCs w:val="32"/>
          <w:highlight w:val="none"/>
        </w:rPr>
        <w:t>采购需求：吉木乃支公司营业职场位于吉木乃县城区核心路段，始建于1989年，为支公司自有独立营业办公用房，是目前支公司日常经营、客户接待、政务对接、办公运转的唯一场所。因建筑建成年代久远、常年自然风化侵蚀，外立面、屋面檐口、通行设施、门窗及室内给排水设施老化破损严重，存在明显安全隐患、功能缺失、形象老旧等问题，现已无法满足合规经营、安全生产及标准化服务办公需求。本次主要施工内容为：建筑外立面整体翻新保温、屋面檐口加固修缮、门前台阶整体翻新、窗户密封系统更换、卫生间给排水改造除臭、局部墙面修缮等项目。工程范围具体如下：</w:t>
      </w:r>
    </w:p>
    <w:p w14:paraId="271DB682">
      <w:pPr>
        <w:spacing w:line="600" w:lineRule="exact"/>
        <w:ind w:firstLine="640" w:firstLineChars="200"/>
        <w:rPr>
          <w:rFonts w:hint="eastAsia" w:ascii="仿宋_GB2312" w:hAnsi="Times New Roman" w:eastAsia="仿宋_GB2312" w:cs="Times New Roman"/>
          <w:color w:val="auto"/>
          <w:sz w:val="32"/>
          <w:szCs w:val="32"/>
          <w:highlight w:val="none"/>
        </w:rPr>
      </w:pPr>
      <w:r>
        <w:rPr>
          <w:rFonts w:hint="eastAsia" w:ascii="仿宋_GB2312" w:hAnsi="Times New Roman" w:eastAsia="仿宋_GB2312" w:cs="Times New Roman"/>
          <w:color w:val="auto"/>
          <w:sz w:val="32"/>
          <w:szCs w:val="32"/>
          <w:highlight w:val="none"/>
          <w:lang w:eastAsia="zh-CN"/>
        </w:rPr>
        <w:t>（</w:t>
      </w:r>
      <w:r>
        <w:rPr>
          <w:rFonts w:hint="eastAsia" w:ascii="仿宋_GB2312" w:hAnsi="Times New Roman" w:eastAsia="仿宋_GB2312" w:cs="Times New Roman"/>
          <w:color w:val="auto"/>
          <w:sz w:val="32"/>
          <w:szCs w:val="32"/>
          <w:highlight w:val="none"/>
          <w:lang w:val="en-US" w:eastAsia="zh-CN"/>
        </w:rPr>
        <w:t>1</w:t>
      </w:r>
      <w:r>
        <w:rPr>
          <w:rFonts w:hint="eastAsia" w:ascii="仿宋_GB2312" w:hAnsi="Times New Roman" w:eastAsia="仿宋_GB2312" w:cs="Times New Roman"/>
          <w:color w:val="auto"/>
          <w:sz w:val="32"/>
          <w:szCs w:val="32"/>
          <w:highlight w:val="none"/>
          <w:lang w:eastAsia="zh-CN"/>
        </w:rPr>
        <w:t>）</w:t>
      </w:r>
      <w:r>
        <w:rPr>
          <w:rFonts w:hint="eastAsia" w:ascii="仿宋_GB2312" w:hAnsi="Times New Roman" w:eastAsia="仿宋_GB2312" w:cs="Times New Roman"/>
          <w:color w:val="auto"/>
          <w:sz w:val="32"/>
          <w:szCs w:val="32"/>
          <w:highlight w:val="none"/>
        </w:rPr>
        <w:t>营业职场整体外立面改造。对建筑东南西北四面外墙开展基层加固、挂网保温、面层翻新喷漆施工，对风化、空鼓、松动墙体结构专项修复，统一外立面整体风貌，消除外墙脱落隐患、提升职场整体品牌形象。</w:t>
      </w:r>
    </w:p>
    <w:p w14:paraId="383AB079">
      <w:pPr>
        <w:spacing w:line="600" w:lineRule="exact"/>
        <w:ind w:firstLine="640" w:firstLineChars="200"/>
        <w:rPr>
          <w:rFonts w:hint="eastAsia" w:ascii="仿宋_GB2312" w:hAnsi="Times New Roman" w:eastAsia="仿宋_GB2312" w:cs="Times New Roman"/>
          <w:color w:val="auto"/>
          <w:sz w:val="32"/>
          <w:szCs w:val="32"/>
          <w:highlight w:val="none"/>
        </w:rPr>
      </w:pPr>
      <w:r>
        <w:rPr>
          <w:rFonts w:hint="eastAsia" w:ascii="仿宋_GB2312" w:hAnsi="Times New Roman" w:eastAsia="仿宋_GB2312" w:cs="Times New Roman"/>
          <w:color w:val="auto"/>
          <w:sz w:val="32"/>
          <w:szCs w:val="32"/>
          <w:highlight w:val="none"/>
          <w:lang w:eastAsia="zh-CN"/>
        </w:rPr>
        <w:t>（</w:t>
      </w:r>
      <w:r>
        <w:rPr>
          <w:rFonts w:hint="eastAsia" w:ascii="仿宋_GB2312" w:hAnsi="Times New Roman" w:eastAsia="仿宋_GB2312" w:cs="Times New Roman"/>
          <w:color w:val="auto"/>
          <w:sz w:val="32"/>
          <w:szCs w:val="32"/>
          <w:highlight w:val="none"/>
          <w:lang w:val="en-US" w:eastAsia="zh-CN"/>
        </w:rPr>
        <w:t>2</w:t>
      </w:r>
      <w:r>
        <w:rPr>
          <w:rFonts w:hint="eastAsia" w:ascii="仿宋_GB2312" w:hAnsi="Times New Roman" w:eastAsia="仿宋_GB2312" w:cs="Times New Roman"/>
          <w:color w:val="auto"/>
          <w:sz w:val="32"/>
          <w:szCs w:val="32"/>
          <w:highlight w:val="none"/>
          <w:lang w:eastAsia="zh-CN"/>
        </w:rPr>
        <w:t>）</w:t>
      </w:r>
      <w:r>
        <w:rPr>
          <w:rFonts w:hint="eastAsia" w:ascii="仿宋_GB2312" w:hAnsi="Times New Roman" w:eastAsia="仿宋_GB2312" w:cs="Times New Roman"/>
          <w:color w:val="auto"/>
          <w:sz w:val="32"/>
          <w:szCs w:val="32"/>
          <w:highlight w:val="none"/>
        </w:rPr>
        <w:t>屋面檐口专项加固修缮。对房顶屋檐空鼓、松动、风化部位全面加固修复，彻底解决檐口碎渣脱落、高空坠物安全隐患，防范行人、车辆安全事故及责任风险。</w:t>
      </w:r>
    </w:p>
    <w:p w14:paraId="69C0EBB9">
      <w:pPr>
        <w:spacing w:line="600" w:lineRule="exact"/>
        <w:ind w:firstLine="640" w:firstLineChars="200"/>
        <w:rPr>
          <w:rFonts w:hint="eastAsia" w:ascii="仿宋_GB2312" w:hAnsi="Times New Roman" w:eastAsia="仿宋_GB2312" w:cs="Times New Roman"/>
          <w:color w:val="auto"/>
          <w:sz w:val="32"/>
          <w:szCs w:val="32"/>
          <w:highlight w:val="none"/>
        </w:rPr>
      </w:pPr>
      <w:r>
        <w:rPr>
          <w:rFonts w:hint="eastAsia" w:ascii="仿宋_GB2312" w:hAnsi="Times New Roman" w:eastAsia="仿宋_GB2312" w:cs="Times New Roman"/>
          <w:color w:val="auto"/>
          <w:sz w:val="32"/>
          <w:szCs w:val="32"/>
          <w:highlight w:val="none"/>
          <w:lang w:eastAsia="zh-CN"/>
        </w:rPr>
        <w:t>（</w:t>
      </w:r>
      <w:r>
        <w:rPr>
          <w:rFonts w:hint="eastAsia" w:ascii="仿宋_GB2312" w:hAnsi="Times New Roman" w:eastAsia="仿宋_GB2312" w:cs="Times New Roman"/>
          <w:color w:val="auto"/>
          <w:sz w:val="32"/>
          <w:szCs w:val="32"/>
          <w:highlight w:val="none"/>
          <w:lang w:val="en-US" w:eastAsia="zh-CN"/>
        </w:rPr>
        <w:t>3</w:t>
      </w:r>
      <w:r>
        <w:rPr>
          <w:rFonts w:hint="eastAsia" w:ascii="仿宋_GB2312" w:hAnsi="Times New Roman" w:eastAsia="仿宋_GB2312" w:cs="Times New Roman"/>
          <w:color w:val="auto"/>
          <w:sz w:val="32"/>
          <w:szCs w:val="32"/>
          <w:highlight w:val="none"/>
          <w:lang w:eastAsia="zh-CN"/>
        </w:rPr>
        <w:t>）</w:t>
      </w:r>
      <w:r>
        <w:rPr>
          <w:rFonts w:hint="eastAsia" w:ascii="仿宋_GB2312" w:hAnsi="Times New Roman" w:eastAsia="仿宋_GB2312" w:cs="Times New Roman"/>
          <w:color w:val="auto"/>
          <w:sz w:val="32"/>
          <w:szCs w:val="32"/>
          <w:highlight w:val="none"/>
        </w:rPr>
        <w:t>门前通行台阶翻新改造。对职场入口破损、松动、缺角台阶整体翻新加固、结构修复，消除人员踩空、摔伤、构件掉落安全隐患，保障日常安全通行。</w:t>
      </w:r>
    </w:p>
    <w:p w14:paraId="383ED6D6">
      <w:pPr>
        <w:spacing w:line="600" w:lineRule="exact"/>
        <w:ind w:firstLine="640" w:firstLineChars="200"/>
        <w:rPr>
          <w:rFonts w:hint="eastAsia" w:ascii="仿宋_GB2312" w:hAnsi="Times New Roman" w:eastAsia="仿宋_GB2312" w:cs="Times New Roman"/>
          <w:color w:val="auto"/>
          <w:sz w:val="32"/>
          <w:szCs w:val="32"/>
          <w:highlight w:val="none"/>
        </w:rPr>
      </w:pPr>
      <w:r>
        <w:rPr>
          <w:rFonts w:hint="eastAsia" w:ascii="仿宋_GB2312" w:hAnsi="Times New Roman" w:eastAsia="仿宋_GB2312" w:cs="Times New Roman"/>
          <w:color w:val="auto"/>
          <w:sz w:val="32"/>
          <w:szCs w:val="32"/>
          <w:highlight w:val="none"/>
          <w:lang w:eastAsia="zh-CN"/>
        </w:rPr>
        <w:t>（</w:t>
      </w:r>
      <w:r>
        <w:rPr>
          <w:rFonts w:hint="eastAsia" w:ascii="仿宋_GB2312" w:hAnsi="Times New Roman" w:eastAsia="仿宋_GB2312" w:cs="Times New Roman"/>
          <w:color w:val="auto"/>
          <w:sz w:val="32"/>
          <w:szCs w:val="32"/>
          <w:highlight w:val="none"/>
          <w:lang w:val="en-US" w:eastAsia="zh-CN"/>
        </w:rPr>
        <w:t>4</w:t>
      </w:r>
      <w:r>
        <w:rPr>
          <w:rFonts w:hint="eastAsia" w:ascii="仿宋_GB2312" w:hAnsi="Times New Roman" w:eastAsia="仿宋_GB2312" w:cs="Times New Roman"/>
          <w:color w:val="auto"/>
          <w:sz w:val="32"/>
          <w:szCs w:val="32"/>
          <w:highlight w:val="none"/>
          <w:lang w:eastAsia="zh-CN"/>
        </w:rPr>
        <w:t>）</w:t>
      </w:r>
      <w:r>
        <w:rPr>
          <w:rFonts w:hint="eastAsia" w:ascii="仿宋_GB2312" w:hAnsi="Times New Roman" w:eastAsia="仿宋_GB2312" w:cs="Times New Roman"/>
          <w:color w:val="auto"/>
          <w:sz w:val="32"/>
          <w:szCs w:val="32"/>
          <w:highlight w:val="none"/>
        </w:rPr>
        <w:t>职场窗户系统维修改造。全面更换老化、硬化、脱落窗户密封胶条及配套配件，恢复门窗防风、保温、隔音性能，优化办公环境、降低冬季能耗。</w:t>
      </w:r>
    </w:p>
    <w:p w14:paraId="0D4106C7">
      <w:pPr>
        <w:spacing w:line="600" w:lineRule="exact"/>
        <w:ind w:firstLine="640" w:firstLineChars="200"/>
        <w:rPr>
          <w:rFonts w:hint="eastAsia" w:ascii="仿宋_GB2312" w:hAnsi="Times New Roman" w:eastAsia="仿宋_GB2312" w:cs="Times New Roman"/>
          <w:color w:val="auto"/>
          <w:sz w:val="32"/>
          <w:szCs w:val="32"/>
          <w:highlight w:val="none"/>
        </w:rPr>
      </w:pPr>
      <w:r>
        <w:rPr>
          <w:rFonts w:hint="eastAsia" w:ascii="仿宋_GB2312" w:hAnsi="Times New Roman" w:eastAsia="仿宋_GB2312" w:cs="Times New Roman"/>
          <w:color w:val="auto"/>
          <w:sz w:val="32"/>
          <w:szCs w:val="32"/>
          <w:highlight w:val="none"/>
          <w:lang w:eastAsia="zh-CN"/>
        </w:rPr>
        <w:t>（</w:t>
      </w:r>
      <w:r>
        <w:rPr>
          <w:rFonts w:hint="eastAsia" w:ascii="仿宋_GB2312" w:hAnsi="Times New Roman" w:eastAsia="仿宋_GB2312" w:cs="Times New Roman"/>
          <w:color w:val="auto"/>
          <w:sz w:val="32"/>
          <w:szCs w:val="32"/>
          <w:highlight w:val="none"/>
          <w:lang w:val="en-US" w:eastAsia="zh-CN"/>
        </w:rPr>
        <w:t>5</w:t>
      </w:r>
      <w:r>
        <w:rPr>
          <w:rFonts w:hint="eastAsia" w:ascii="仿宋_GB2312" w:hAnsi="Times New Roman" w:eastAsia="仿宋_GB2312" w:cs="Times New Roman"/>
          <w:color w:val="auto"/>
          <w:sz w:val="32"/>
          <w:szCs w:val="32"/>
          <w:highlight w:val="none"/>
          <w:lang w:eastAsia="zh-CN"/>
        </w:rPr>
        <w:t>）</w:t>
      </w:r>
      <w:r>
        <w:rPr>
          <w:rFonts w:hint="eastAsia" w:ascii="仿宋_GB2312" w:hAnsi="Times New Roman" w:eastAsia="仿宋_GB2312" w:cs="Times New Roman"/>
          <w:color w:val="auto"/>
          <w:sz w:val="32"/>
          <w:szCs w:val="32"/>
          <w:highlight w:val="none"/>
        </w:rPr>
        <w:t>一楼卫生间给排水及除臭改造。更换下水主管道接头，加装存水弯及防返味设施，彻底解决卫生间长期返味、室内空气污染问题，规范职场卫生标准。</w:t>
      </w:r>
    </w:p>
    <w:p w14:paraId="76B97D06">
      <w:pPr>
        <w:spacing w:line="600" w:lineRule="exact"/>
        <w:ind w:firstLine="640" w:firstLineChars="200"/>
        <w:rPr>
          <w:rFonts w:hint="eastAsia" w:ascii="仿宋_GB2312" w:hAnsi="Times New Roman" w:eastAsia="仿宋_GB2312" w:cs="Times New Roman"/>
          <w:color w:val="auto"/>
          <w:sz w:val="32"/>
          <w:szCs w:val="32"/>
          <w:highlight w:val="none"/>
        </w:rPr>
      </w:pPr>
      <w:r>
        <w:rPr>
          <w:rFonts w:hint="eastAsia" w:ascii="仿宋_GB2312" w:hAnsi="Times New Roman" w:eastAsia="仿宋_GB2312" w:cs="Times New Roman"/>
          <w:color w:val="auto"/>
          <w:sz w:val="32"/>
          <w:szCs w:val="32"/>
          <w:highlight w:val="none"/>
          <w:lang w:eastAsia="zh-CN"/>
        </w:rPr>
        <w:t>（</w:t>
      </w:r>
      <w:r>
        <w:rPr>
          <w:rFonts w:hint="eastAsia" w:ascii="仿宋_GB2312" w:hAnsi="Times New Roman" w:eastAsia="仿宋_GB2312" w:cs="Times New Roman"/>
          <w:color w:val="auto"/>
          <w:sz w:val="32"/>
          <w:szCs w:val="32"/>
          <w:highlight w:val="none"/>
          <w:lang w:val="en-US" w:eastAsia="zh-CN"/>
        </w:rPr>
        <w:t>6</w:t>
      </w:r>
      <w:r>
        <w:rPr>
          <w:rFonts w:hint="eastAsia" w:ascii="仿宋_GB2312" w:hAnsi="Times New Roman" w:eastAsia="仿宋_GB2312" w:cs="Times New Roman"/>
          <w:color w:val="auto"/>
          <w:sz w:val="32"/>
          <w:szCs w:val="32"/>
          <w:highlight w:val="none"/>
          <w:lang w:eastAsia="zh-CN"/>
        </w:rPr>
        <w:t>）</w:t>
      </w:r>
      <w:r>
        <w:rPr>
          <w:rFonts w:hint="eastAsia" w:ascii="仿宋_GB2312" w:hAnsi="Times New Roman" w:eastAsia="仿宋_GB2312" w:cs="Times New Roman"/>
          <w:color w:val="auto"/>
          <w:sz w:val="32"/>
          <w:szCs w:val="32"/>
          <w:highlight w:val="none"/>
        </w:rPr>
        <w:t>库房局部墙面修缮。针对库房局部墙面老化破损位置进行修补平整，保障库房整洁合规、安全有序。</w:t>
      </w:r>
    </w:p>
    <w:p w14:paraId="7D46BCD2">
      <w:pPr>
        <w:spacing w:line="600" w:lineRule="exact"/>
        <w:ind w:firstLine="640" w:firstLineChars="200"/>
        <w:rPr>
          <w:rFonts w:hint="eastAsia" w:ascii="仿宋_GB2312" w:hAnsi="Times New Roman" w:eastAsia="仿宋_GB2312" w:cs="Times New Roman"/>
          <w:color w:val="auto"/>
          <w:sz w:val="32"/>
          <w:szCs w:val="32"/>
          <w:highlight w:val="none"/>
        </w:rPr>
      </w:pPr>
      <w:r>
        <w:rPr>
          <w:rFonts w:hint="eastAsia" w:ascii="仿宋_GB2312" w:hAnsi="Times New Roman" w:eastAsia="仿宋_GB2312" w:cs="Times New Roman"/>
          <w:color w:val="auto"/>
          <w:sz w:val="32"/>
          <w:szCs w:val="32"/>
          <w:highlight w:val="none"/>
        </w:rPr>
        <w:t>本次改造建安工程总费用</w:t>
      </w:r>
      <w:r>
        <w:rPr>
          <w:rFonts w:hint="eastAsia" w:ascii="仿宋_GB2312" w:hAnsi="Times New Roman" w:eastAsia="仿宋_GB2312" w:cs="Times New Roman"/>
          <w:color w:val="auto"/>
          <w:sz w:val="32"/>
          <w:szCs w:val="32"/>
          <w:lang w:val="en-US" w:eastAsia="zh-CN"/>
        </w:rPr>
        <w:t>148094.9</w:t>
      </w:r>
      <w:r>
        <w:rPr>
          <w:rFonts w:hint="eastAsia" w:ascii="仿宋_GB2312" w:hAnsi="Times New Roman" w:eastAsia="仿宋_GB2312" w:cs="Times New Roman"/>
          <w:color w:val="auto"/>
          <w:sz w:val="32"/>
          <w:szCs w:val="32"/>
          <w:highlight w:val="none"/>
        </w:rPr>
        <w:t>元，包含室内维修、室外装饰、室外场地、给排水工程四</w:t>
      </w:r>
      <w:r>
        <w:rPr>
          <w:rFonts w:hint="eastAsia" w:ascii="仿宋_GB2312" w:hAnsi="Times New Roman" w:eastAsia="仿宋_GB2312" w:cs="Times New Roman"/>
          <w:color w:val="auto"/>
          <w:sz w:val="32"/>
          <w:szCs w:val="32"/>
          <w:highlight w:val="none"/>
          <w:lang w:val="en-US" w:eastAsia="zh-CN"/>
        </w:rPr>
        <w:t>项。</w:t>
      </w:r>
    </w:p>
    <w:p w14:paraId="3FAD42DF">
      <w:pPr>
        <w:numPr>
          <w:ilvl w:val="0"/>
          <w:numId w:val="3"/>
        </w:numPr>
        <w:spacing w:line="600" w:lineRule="exact"/>
        <w:ind w:firstLine="643" w:firstLineChars="200"/>
        <w:rPr>
          <w:rFonts w:hint="eastAsia" w:ascii="楷体_GB2312" w:hAnsi="楷体_GB2312" w:eastAsia="楷体_GB2312" w:cs="楷体_GB2312"/>
          <w:b/>
          <w:bCs/>
          <w:color w:val="auto"/>
          <w:kern w:val="0"/>
          <w:sz w:val="32"/>
          <w:szCs w:val="32"/>
          <w:highlight w:val="none"/>
          <w:lang w:val="en-US" w:eastAsia="zh-CN" w:bidi="ar-SA"/>
        </w:rPr>
      </w:pPr>
      <w:r>
        <w:rPr>
          <w:rFonts w:hint="eastAsia" w:ascii="楷体_GB2312" w:hAnsi="楷体_GB2312" w:eastAsia="楷体_GB2312" w:cs="楷体_GB2312"/>
          <w:b/>
          <w:bCs/>
          <w:color w:val="auto"/>
          <w:kern w:val="0"/>
          <w:sz w:val="32"/>
          <w:szCs w:val="32"/>
          <w:highlight w:val="none"/>
          <w:lang w:val="en-US" w:eastAsia="zh-CN" w:bidi="ar-SA"/>
        </w:rPr>
        <w:t>验收/考核</w:t>
      </w:r>
    </w:p>
    <w:p w14:paraId="1044D2D5">
      <w:pPr>
        <w:spacing w:line="600" w:lineRule="exact"/>
        <w:ind w:firstLine="640" w:firstLineChars="200"/>
        <w:rPr>
          <w:rFonts w:hint="eastAsia" w:ascii="仿宋_GB2312" w:hAnsi="Times New Roman" w:eastAsia="仿宋_GB2312" w:cs="Times New Roman"/>
          <w:color w:val="auto"/>
          <w:sz w:val="32"/>
          <w:szCs w:val="32"/>
          <w:highlight w:val="none"/>
        </w:rPr>
      </w:pPr>
      <w:r>
        <w:rPr>
          <w:rFonts w:hint="eastAsia" w:ascii="仿宋_GB2312" w:hAnsi="Times New Roman" w:eastAsia="仿宋_GB2312" w:cs="Times New Roman"/>
          <w:color w:val="auto"/>
          <w:sz w:val="32"/>
          <w:szCs w:val="32"/>
          <w:highlight w:val="none"/>
          <w:lang w:eastAsia="zh-CN"/>
        </w:rPr>
        <w:t>（</w:t>
      </w:r>
      <w:r>
        <w:rPr>
          <w:rFonts w:hint="eastAsia" w:ascii="仿宋_GB2312" w:hAnsi="Times New Roman" w:eastAsia="仿宋_GB2312" w:cs="Times New Roman"/>
          <w:color w:val="auto"/>
          <w:sz w:val="32"/>
          <w:szCs w:val="32"/>
          <w:highlight w:val="none"/>
          <w:lang w:val="en-US" w:eastAsia="zh-CN"/>
        </w:rPr>
        <w:t>1</w:t>
      </w:r>
      <w:r>
        <w:rPr>
          <w:rFonts w:hint="eastAsia" w:ascii="仿宋_GB2312" w:hAnsi="Times New Roman" w:eastAsia="仿宋_GB2312" w:cs="Times New Roman"/>
          <w:color w:val="auto"/>
          <w:sz w:val="32"/>
          <w:szCs w:val="32"/>
          <w:highlight w:val="none"/>
          <w:lang w:eastAsia="zh-CN"/>
        </w:rPr>
        <w:t>）</w:t>
      </w:r>
      <w:r>
        <w:rPr>
          <w:rFonts w:hint="eastAsia" w:ascii="仿宋_GB2312" w:hAnsi="Times New Roman" w:eastAsia="仿宋_GB2312" w:cs="Times New Roman"/>
          <w:color w:val="auto"/>
          <w:sz w:val="32"/>
          <w:szCs w:val="32"/>
          <w:highlight w:val="none"/>
        </w:rPr>
        <w:t>分项验收：职场外立面保温板敷设平整、挂网牢固、风化部位处置到位、整体漆面均匀完好；屋面檐口空鼓松动部位加固密实，彻底消除高空坠物隐患；门前台阶翻新平整牢固、无松动破损；全域窗户密封胶条更换到位，保温、防风、隔音效果达标；卫生间下水改造及防返味设施安装规范，无异味回流、积水堵塞问题；库房墙面修缮平整干净，所有零星配套施工收尾到位。</w:t>
      </w:r>
    </w:p>
    <w:p w14:paraId="50846E61">
      <w:pPr>
        <w:spacing w:line="600" w:lineRule="exact"/>
        <w:ind w:firstLine="640" w:firstLineChars="200"/>
        <w:rPr>
          <w:rFonts w:hint="eastAsia" w:ascii="仿宋_GB2312" w:hAnsi="Times New Roman" w:eastAsia="仿宋_GB2312" w:cs="Times New Roman"/>
          <w:color w:val="auto"/>
          <w:sz w:val="32"/>
          <w:szCs w:val="32"/>
          <w:highlight w:val="none"/>
        </w:rPr>
      </w:pPr>
      <w:r>
        <w:rPr>
          <w:rFonts w:hint="eastAsia" w:ascii="仿宋_GB2312" w:hAnsi="Times New Roman" w:eastAsia="仿宋_GB2312" w:cs="Times New Roman"/>
          <w:color w:val="auto"/>
          <w:sz w:val="32"/>
          <w:szCs w:val="32"/>
          <w:highlight w:val="none"/>
          <w:lang w:eastAsia="zh-CN"/>
        </w:rPr>
        <w:t>（</w:t>
      </w:r>
      <w:r>
        <w:rPr>
          <w:rFonts w:hint="eastAsia" w:ascii="仿宋_GB2312" w:hAnsi="Times New Roman" w:eastAsia="仿宋_GB2312" w:cs="Times New Roman"/>
          <w:color w:val="auto"/>
          <w:sz w:val="32"/>
          <w:szCs w:val="32"/>
          <w:highlight w:val="none"/>
          <w:lang w:val="en-US" w:eastAsia="zh-CN"/>
        </w:rPr>
        <w:t>2</w:t>
      </w:r>
      <w:r>
        <w:rPr>
          <w:rFonts w:hint="eastAsia" w:ascii="仿宋_GB2312" w:hAnsi="Times New Roman" w:eastAsia="仿宋_GB2312" w:cs="Times New Roman"/>
          <w:color w:val="auto"/>
          <w:sz w:val="32"/>
          <w:szCs w:val="32"/>
          <w:highlight w:val="none"/>
          <w:lang w:eastAsia="zh-CN"/>
        </w:rPr>
        <w:t>）</w:t>
      </w:r>
      <w:r>
        <w:rPr>
          <w:rFonts w:hint="eastAsia" w:ascii="仿宋_GB2312" w:hAnsi="Times New Roman" w:eastAsia="仿宋_GB2312" w:cs="Times New Roman"/>
          <w:color w:val="auto"/>
          <w:sz w:val="32"/>
          <w:szCs w:val="32"/>
          <w:highlight w:val="none"/>
        </w:rPr>
        <w:t>整体验收：所有施工项目完成后，整体工程符合《建筑装饰装修工程质量验收标准》《建筑给水排水及采暖工程施工质量验收规范》等国家及行业标准，全面消除职场各类安全隐患，建筑外观整洁统一、设施功能完好，施工场地清理干净，无施工遗留问题，满足公司日常营业、办公、档案、接待、机房储藏等使用需求。</w:t>
      </w:r>
    </w:p>
    <w:p w14:paraId="147752D9">
      <w:pPr>
        <w:spacing w:line="600" w:lineRule="exact"/>
        <w:ind w:firstLine="640" w:firstLineChars="200"/>
        <w:rPr>
          <w:rFonts w:hint="eastAsia" w:ascii="仿宋_GB2312" w:hAnsi="Times New Roman" w:eastAsia="仿宋_GB2312" w:cs="Times New Roman"/>
          <w:color w:val="auto"/>
          <w:sz w:val="32"/>
          <w:szCs w:val="32"/>
          <w:highlight w:val="none"/>
          <w:lang w:eastAsia="zh-CN"/>
        </w:rPr>
      </w:pPr>
      <w:r>
        <w:rPr>
          <w:rFonts w:hint="eastAsia" w:ascii="仿宋_GB2312" w:hAnsi="Times New Roman" w:eastAsia="仿宋_GB2312" w:cs="Times New Roman"/>
          <w:color w:val="auto"/>
          <w:sz w:val="32"/>
          <w:szCs w:val="32"/>
          <w:highlight w:val="none"/>
          <w:lang w:eastAsia="zh-CN"/>
        </w:rPr>
        <w:t>（</w:t>
      </w:r>
      <w:r>
        <w:rPr>
          <w:rFonts w:hint="eastAsia" w:ascii="仿宋_GB2312" w:hAnsi="Times New Roman" w:eastAsia="仿宋_GB2312" w:cs="Times New Roman"/>
          <w:color w:val="auto"/>
          <w:sz w:val="32"/>
          <w:szCs w:val="32"/>
          <w:highlight w:val="none"/>
          <w:lang w:val="en-US" w:eastAsia="zh-CN"/>
        </w:rPr>
        <w:t>3</w:t>
      </w:r>
      <w:r>
        <w:rPr>
          <w:rFonts w:hint="eastAsia" w:ascii="仿宋_GB2312" w:hAnsi="Times New Roman" w:eastAsia="仿宋_GB2312" w:cs="Times New Roman"/>
          <w:color w:val="auto"/>
          <w:sz w:val="32"/>
          <w:szCs w:val="32"/>
          <w:highlight w:val="none"/>
          <w:lang w:eastAsia="zh-CN"/>
        </w:rPr>
        <w:t>）符合本次招标文件、施工图纸、作法说明、施工技术文件、合同等对工程的具体要求。</w:t>
      </w:r>
    </w:p>
    <w:p w14:paraId="57D6C545">
      <w:pPr>
        <w:numPr>
          <w:ilvl w:val="0"/>
          <w:numId w:val="3"/>
        </w:numPr>
        <w:spacing w:line="600" w:lineRule="exact"/>
        <w:ind w:firstLine="643" w:firstLineChars="200"/>
        <w:rPr>
          <w:rFonts w:hint="eastAsia" w:ascii="楷体_GB2312" w:hAnsi="楷体_GB2312" w:eastAsia="楷体_GB2312" w:cs="楷体_GB2312"/>
          <w:b/>
          <w:bCs/>
          <w:color w:val="auto"/>
          <w:kern w:val="0"/>
          <w:sz w:val="32"/>
          <w:szCs w:val="32"/>
          <w:highlight w:val="none"/>
          <w:lang w:val="en-US" w:eastAsia="zh-CN" w:bidi="ar-SA"/>
        </w:rPr>
      </w:pPr>
      <w:r>
        <w:rPr>
          <w:rFonts w:hint="eastAsia" w:ascii="楷体_GB2312" w:hAnsi="楷体_GB2312" w:eastAsia="楷体_GB2312" w:cs="楷体_GB2312"/>
          <w:b/>
          <w:bCs/>
          <w:color w:val="auto"/>
          <w:kern w:val="0"/>
          <w:sz w:val="32"/>
          <w:szCs w:val="32"/>
          <w:highlight w:val="none"/>
          <w:lang w:val="en-US" w:eastAsia="zh-CN" w:bidi="ar-SA"/>
        </w:rPr>
        <w:t>考核要素</w:t>
      </w:r>
    </w:p>
    <w:p w14:paraId="2161404D">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lang w:val="en-US" w:eastAsia="zh-CN"/>
        </w:rPr>
        <w:t>1.</w:t>
      </w:r>
      <w:r>
        <w:rPr>
          <w:rFonts w:hint="eastAsia" w:ascii="仿宋_GB2312" w:hAnsi="仿宋_GB2312" w:eastAsia="仿宋_GB2312" w:cs="仿宋_GB2312"/>
          <w:color w:val="auto"/>
          <w:sz w:val="32"/>
          <w:szCs w:val="32"/>
          <w:highlight w:val="none"/>
        </w:rPr>
        <w:t>为规范本次职场装修改造项目施工管理，压实供应商施工主体责任，保障工程质量、施工安全及后期质保服务落地，结合项目设计要求、合同条款及验收标准，建立全过程施工考核机制，具体考核内容、考核方式及未达标处置措施如下：</w:t>
      </w:r>
    </w:p>
    <w:p w14:paraId="73EBAF53">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lang w:val="en-US" w:eastAsia="zh-CN"/>
        </w:rPr>
        <w:t>1</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rPr>
        <w:t>工程施工质量考核</w:t>
      </w:r>
    </w:p>
    <w:p w14:paraId="1F533F4D">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严格对照项目施工设计图纸、技术规范、施工标准及合同约定内容开展全过程考核。采取全过程巡查+分阶段验收+竣工验收模式，逐项核查外立面保温翻新、檐口加固、台阶改造、门窗维修、卫生间给排水改造等施工内容。重点考核施工工序是否规范、用材是否达标、施工成果是否完全符合设计要求、整体工程是否达到行业验收标准，确保无偷工减料、工艺不达标、施工漏项等问题。</w:t>
      </w:r>
    </w:p>
    <w:p w14:paraId="76BF392B">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lang w:val="en-US" w:eastAsia="zh-CN"/>
        </w:rPr>
        <w:t>2</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rPr>
        <w:t>施工安全规范考核</w:t>
      </w:r>
    </w:p>
    <w:p w14:paraId="538DC746">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全程考核供应商施工现场安全管理履职情况。重点核查施工期间是否严格遵守安全生产操作规范、是否落实围挡防护、高空作业防护、用电用水安全、建筑垃圾规范处置等安全措施。全程跟踪施工现场安全管理记录，考核施工全过程零违规、零隐患、零安全事故，杜绝高空坠物、人员摔伤、设施损坏等安全生产事故。</w:t>
      </w:r>
    </w:p>
    <w:p w14:paraId="4E76A88D">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lang w:val="en-US" w:eastAsia="zh-CN"/>
        </w:rPr>
        <w:t>3</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rPr>
        <w:t>售后服务及质保响应考核</w:t>
      </w:r>
    </w:p>
    <w:p w14:paraId="641E471F">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质保期内实行常态化售后服务考核。明确供应商须严格履行质保服务承诺，对工程交付后出现的墙面开裂、渗水、返味、密封失效、构件松动等质量问题，须在合同约定时限内主动响应、上门排查、免费维修整改，考核其售后响应速度、问题处置效率、整改完成质量是否达标。</w:t>
      </w:r>
    </w:p>
    <w:p w14:paraId="01C2E264">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lang w:val="en-US" w:eastAsia="zh-CN"/>
        </w:rPr>
        <w:t>2.</w:t>
      </w:r>
      <w:r>
        <w:rPr>
          <w:rFonts w:hint="eastAsia" w:ascii="仿宋_GB2312" w:hAnsi="仿宋_GB2312" w:eastAsia="仿宋_GB2312" w:cs="仿宋_GB2312"/>
          <w:color w:val="auto"/>
          <w:sz w:val="32"/>
          <w:szCs w:val="32"/>
          <w:highlight w:val="none"/>
        </w:rPr>
        <w:t>未完成、不达标及违规违约处置措施</w:t>
      </w:r>
    </w:p>
    <w:p w14:paraId="090A76D5">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lang w:val="en-US" w:eastAsia="zh-CN"/>
        </w:rPr>
        <w:t>（1）</w:t>
      </w:r>
      <w:r>
        <w:rPr>
          <w:rFonts w:hint="eastAsia" w:ascii="仿宋_GB2312" w:hAnsi="仿宋_GB2312" w:eastAsia="仿宋_GB2312" w:cs="仿宋_GB2312"/>
          <w:color w:val="auto"/>
          <w:sz w:val="32"/>
          <w:szCs w:val="32"/>
          <w:highlight w:val="none"/>
        </w:rPr>
        <w:t>施工质量不达标处置</w:t>
      </w:r>
    </w:p>
    <w:p w14:paraId="7D373CCD">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若供应商未按设计图纸、技术标准、合同约定完成施工，存在施工漏项、工艺粗糙、用材不符、质量不达标、验收不合格等问题，一律不予验收、不予结算。要求施工方限期无偿返工、整改、修复，直至完全符合验收标准；若逾期未整改、整改不到位或多次整改仍不达标，甲方有权扣除相应工程尾款、扣除履约保证金，并保留追究合同违约责任的权利。</w:t>
      </w:r>
    </w:p>
    <w:p w14:paraId="6E7BE163">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lang w:val="en-US" w:eastAsia="zh-CN"/>
        </w:rPr>
        <w:t>2</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rPr>
        <w:t>施工安全违规及事故处置</w:t>
      </w:r>
    </w:p>
    <w:p w14:paraId="55F883B0">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施工过程中若出现违规施工、安全措施不到位、现场管理混乱等问题，立即责令停工整改、通报批评；若发生任何安全生产事故、造成人员受伤或财产损失，由供应商承担全部经济损失及法律责任，甲方有权终止合同、扣除全部履约保证金，取消合作资格，并纳入供应商黑名单，终身限制合作。</w:t>
      </w:r>
    </w:p>
    <w:p w14:paraId="1615483A">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lang w:val="en-US" w:eastAsia="zh-CN"/>
        </w:rPr>
        <w:t>3</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rPr>
        <w:t>售后服务滞后、质保履职不到位处置</w:t>
      </w:r>
    </w:p>
    <w:p w14:paraId="2AE241EE">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Times New Roman" w:eastAsia="仿宋_GB2312" w:cs="Times New Roman"/>
          <w:color w:val="auto"/>
          <w:sz w:val="32"/>
          <w:szCs w:val="32"/>
          <w:highlight w:val="none"/>
          <w:lang w:val="en-US" w:eastAsia="zh-CN"/>
        </w:rPr>
      </w:pPr>
      <w:r>
        <w:rPr>
          <w:rFonts w:hint="eastAsia" w:ascii="仿宋_GB2312" w:hAnsi="仿宋_GB2312" w:eastAsia="仿宋_GB2312" w:cs="仿宋_GB2312"/>
          <w:color w:val="auto"/>
          <w:sz w:val="32"/>
          <w:szCs w:val="32"/>
          <w:highlight w:val="none"/>
        </w:rPr>
        <w:t>质保期内，若供应商出现售后响应不及时、拖延上门、敷衍处置、拒不维修、重复故障不彻底整改等履职不到位情况，每次视情节扣除质保金、记录不良履约评价；因维修不及时造成职场二次损坏、安全隐患、影响正常办公运营的，由供应商承担全部修复费用及连带损失，情节严重的终止质保协议，依法追究违约责任。</w:t>
      </w:r>
    </w:p>
    <w:p w14:paraId="10611FA8">
      <w:pPr>
        <w:numPr>
          <w:ilvl w:val="0"/>
          <w:numId w:val="3"/>
        </w:numPr>
        <w:spacing w:line="600" w:lineRule="exact"/>
        <w:ind w:firstLine="643" w:firstLineChars="200"/>
        <w:rPr>
          <w:rFonts w:hint="eastAsia" w:ascii="楷体_GB2312" w:hAnsi="楷体_GB2312" w:eastAsia="楷体_GB2312" w:cs="楷体_GB2312"/>
          <w:b/>
          <w:bCs/>
          <w:color w:val="auto"/>
          <w:kern w:val="0"/>
          <w:sz w:val="32"/>
          <w:szCs w:val="32"/>
          <w:highlight w:val="none"/>
          <w:lang w:val="en-US" w:eastAsia="zh-CN" w:bidi="ar-SA"/>
        </w:rPr>
      </w:pPr>
      <w:r>
        <w:rPr>
          <w:rFonts w:hint="eastAsia" w:ascii="楷体_GB2312" w:hAnsi="楷体_GB2312" w:eastAsia="楷体_GB2312" w:cs="楷体_GB2312"/>
          <w:b/>
          <w:bCs/>
          <w:color w:val="auto"/>
          <w:kern w:val="0"/>
          <w:sz w:val="32"/>
          <w:szCs w:val="32"/>
          <w:highlight w:val="none"/>
          <w:lang w:val="en-US" w:eastAsia="zh-CN" w:bidi="ar-SA"/>
        </w:rPr>
        <w:t>供应商资质要求：</w:t>
      </w:r>
    </w:p>
    <w:p w14:paraId="71E9C2DF">
      <w:pPr>
        <w:spacing w:line="600" w:lineRule="exact"/>
        <w:ind w:firstLine="640" w:firstLineChars="200"/>
        <w:rPr>
          <w:rFonts w:hint="eastAsia" w:ascii="仿宋_GB2312" w:hAnsi="Times New Roman" w:eastAsia="仿宋_GB2312" w:cs="Times New Roman"/>
          <w:color w:val="auto"/>
          <w:sz w:val="32"/>
          <w:szCs w:val="32"/>
          <w:highlight w:val="none"/>
          <w:lang w:val="en-US" w:eastAsia="zh-CN"/>
        </w:rPr>
      </w:pPr>
      <w:r>
        <w:rPr>
          <w:rFonts w:hint="eastAsia" w:ascii="仿宋_GB2312" w:hAnsi="Times New Roman" w:eastAsia="仿宋_GB2312" w:cs="Times New Roman"/>
          <w:color w:val="auto"/>
          <w:sz w:val="32"/>
          <w:szCs w:val="32"/>
          <w:highlight w:val="none"/>
          <w:lang w:val="en-US" w:eastAsia="zh-CN"/>
        </w:rPr>
        <w:t>1.在中华人民共和国境内依法登记的法人或其他组织，具有独立承担民事责任的能力或独立签合同的能力，投标人如为企业法人，须提供企业法人营业执照（复印件）；投标人如为事业单位或其他组织，须提供事业单位法人证书或登记证或组织机构代码证或其他有效证明文件（复印件）；</w:t>
      </w:r>
    </w:p>
    <w:p w14:paraId="0C309302">
      <w:pPr>
        <w:spacing w:line="600" w:lineRule="exact"/>
        <w:ind w:firstLine="640" w:firstLineChars="200"/>
        <w:rPr>
          <w:rFonts w:hint="eastAsia" w:ascii="仿宋_GB2312" w:hAnsi="Times New Roman" w:eastAsia="仿宋_GB2312" w:cs="Times New Roman"/>
          <w:color w:val="auto"/>
          <w:sz w:val="32"/>
          <w:szCs w:val="32"/>
          <w:highlight w:val="none"/>
          <w:lang w:val="en-US" w:eastAsia="zh-CN"/>
        </w:rPr>
      </w:pPr>
      <w:r>
        <w:rPr>
          <w:rFonts w:hint="eastAsia" w:ascii="仿宋_GB2312" w:hAnsi="Times New Roman" w:eastAsia="仿宋_GB2312" w:cs="Times New Roman"/>
          <w:color w:val="auto"/>
          <w:sz w:val="32"/>
          <w:szCs w:val="32"/>
          <w:highlight w:val="none"/>
          <w:lang w:val="en-US" w:eastAsia="zh-CN"/>
        </w:rPr>
        <w:t>2.具有良好的商业信誉和健全的财务会计制度,需提供近三年任意一年度经会计师事务所或审计机构审计的财务审计报告（至少包含会计师事务所或审计机构签章页、资产负债表、现金流量表、损益表/利润表）或开标日前6个月内开具的银行资信证明或财务报表；</w:t>
      </w:r>
    </w:p>
    <w:p w14:paraId="0ED4EFD0">
      <w:pPr>
        <w:spacing w:line="600" w:lineRule="exact"/>
        <w:ind w:firstLine="640" w:firstLineChars="200"/>
        <w:rPr>
          <w:rFonts w:hint="eastAsia" w:ascii="仿宋_GB2312" w:hAnsi="Times New Roman" w:eastAsia="仿宋_GB2312" w:cs="Times New Roman"/>
          <w:color w:val="auto"/>
          <w:sz w:val="32"/>
          <w:szCs w:val="32"/>
          <w:highlight w:val="none"/>
          <w:lang w:val="en-US" w:eastAsia="zh-CN"/>
        </w:rPr>
      </w:pPr>
      <w:r>
        <w:rPr>
          <w:rFonts w:hint="eastAsia" w:ascii="仿宋_GB2312" w:hAnsi="Times New Roman" w:eastAsia="仿宋_GB2312" w:cs="Times New Roman"/>
          <w:color w:val="auto"/>
          <w:sz w:val="32"/>
          <w:szCs w:val="32"/>
          <w:highlight w:val="none"/>
          <w:lang w:val="en-US" w:eastAsia="zh-CN"/>
        </w:rPr>
        <w:t>3.投标人应具有履行合同所必需的设备和专业技术能力（提供承诺函，格式自拟）；</w:t>
      </w:r>
    </w:p>
    <w:p w14:paraId="5A4D6863">
      <w:pPr>
        <w:spacing w:line="600" w:lineRule="exact"/>
        <w:ind w:firstLine="640" w:firstLineChars="200"/>
        <w:rPr>
          <w:rFonts w:hint="eastAsia" w:ascii="仿宋_GB2312" w:hAnsi="Times New Roman" w:eastAsia="仿宋_GB2312" w:cs="Times New Roman"/>
          <w:color w:val="auto"/>
          <w:sz w:val="32"/>
          <w:szCs w:val="32"/>
          <w:highlight w:val="none"/>
          <w:lang w:val="en-US" w:eastAsia="zh-CN"/>
        </w:rPr>
      </w:pPr>
      <w:r>
        <w:rPr>
          <w:rFonts w:hint="eastAsia" w:ascii="仿宋_GB2312" w:hAnsi="Times New Roman" w:eastAsia="仿宋_GB2312" w:cs="Times New Roman"/>
          <w:color w:val="auto"/>
          <w:sz w:val="32"/>
          <w:szCs w:val="32"/>
          <w:highlight w:val="none"/>
          <w:lang w:val="en-US" w:eastAsia="zh-CN"/>
        </w:rPr>
        <w:t>4.具有依法缴纳税收的良好记录，提供近6个月任意一个月的企业完税证明复印件加盖公章，如依法免税的，提供相应证明材料；</w:t>
      </w:r>
    </w:p>
    <w:p w14:paraId="0FA6E069">
      <w:pPr>
        <w:spacing w:line="600" w:lineRule="exact"/>
        <w:ind w:firstLine="640" w:firstLineChars="200"/>
        <w:rPr>
          <w:rFonts w:hint="eastAsia" w:ascii="仿宋_GB2312" w:hAnsi="Times New Roman" w:eastAsia="仿宋_GB2312" w:cs="Times New Roman"/>
          <w:color w:val="auto"/>
          <w:sz w:val="32"/>
          <w:szCs w:val="32"/>
          <w:highlight w:val="none"/>
          <w:lang w:val="en-US" w:eastAsia="zh-CN"/>
        </w:rPr>
      </w:pPr>
      <w:r>
        <w:rPr>
          <w:rFonts w:hint="eastAsia" w:ascii="仿宋_GB2312" w:hAnsi="Times New Roman" w:eastAsia="仿宋_GB2312" w:cs="Times New Roman"/>
          <w:color w:val="auto"/>
          <w:sz w:val="32"/>
          <w:szCs w:val="32"/>
          <w:highlight w:val="none"/>
          <w:lang w:val="en-US" w:eastAsia="zh-CN"/>
        </w:rPr>
        <w:t>4.1具有依法缴纳社会保障资金的良好记录，提供近6个月任意一个月的社会保障缴费记录复印件加盖公章，以银行付款凭证或完税证明为准；</w:t>
      </w:r>
    </w:p>
    <w:p w14:paraId="57089DF4">
      <w:pPr>
        <w:spacing w:line="600" w:lineRule="exact"/>
        <w:ind w:firstLine="640" w:firstLineChars="200"/>
        <w:rPr>
          <w:rFonts w:hint="eastAsia" w:ascii="仿宋_GB2312" w:hAnsi="Times New Roman" w:eastAsia="仿宋_GB2312" w:cs="Times New Roman"/>
          <w:color w:val="auto"/>
          <w:sz w:val="32"/>
          <w:szCs w:val="32"/>
          <w:highlight w:val="none"/>
          <w:lang w:val="en-US" w:eastAsia="zh-CN"/>
        </w:rPr>
      </w:pPr>
      <w:r>
        <w:rPr>
          <w:rFonts w:hint="eastAsia" w:ascii="仿宋_GB2312" w:hAnsi="Times New Roman" w:eastAsia="仿宋_GB2312" w:cs="Times New Roman"/>
          <w:color w:val="auto"/>
          <w:sz w:val="32"/>
          <w:szCs w:val="32"/>
          <w:highlight w:val="none"/>
          <w:lang w:val="en-US" w:eastAsia="zh-CN"/>
        </w:rPr>
        <w:t>5.投标人应经营状况良好，且近三年内（2023年1月1日至今）无违法违规记录。违法违规记录是指被“信用中国”列入失信被执行人、重大税收违法失信主体、政府采购严重违法失信行为记录名单。投标人需提供自招标公告发布之日至投标截止之日期间对以上三项内容的查询截图；</w:t>
      </w:r>
    </w:p>
    <w:p w14:paraId="23C99957">
      <w:pPr>
        <w:spacing w:line="600" w:lineRule="exact"/>
        <w:ind w:firstLine="640" w:firstLineChars="200"/>
        <w:rPr>
          <w:rFonts w:hint="eastAsia" w:ascii="仿宋_GB2312" w:hAnsi="Times New Roman" w:eastAsia="仿宋_GB2312" w:cs="Times New Roman"/>
          <w:color w:val="auto"/>
          <w:sz w:val="32"/>
          <w:szCs w:val="32"/>
          <w:highlight w:val="none"/>
          <w:lang w:val="en-US" w:eastAsia="zh-CN"/>
        </w:rPr>
      </w:pPr>
      <w:r>
        <w:rPr>
          <w:rFonts w:hint="eastAsia" w:ascii="仿宋_GB2312" w:hAnsi="Times New Roman" w:eastAsia="仿宋_GB2312" w:cs="Times New Roman"/>
          <w:color w:val="auto"/>
          <w:sz w:val="32"/>
          <w:szCs w:val="32"/>
          <w:highlight w:val="none"/>
          <w:lang w:val="en-US" w:eastAsia="zh-CN"/>
        </w:rPr>
        <w:t>6.严禁列入招标人及其所隶属的中国人民保险各级机构的供应商黑名单且在禁入期内的供应商参与采购活动；</w:t>
      </w:r>
    </w:p>
    <w:p w14:paraId="02B26091">
      <w:pPr>
        <w:spacing w:line="600" w:lineRule="exact"/>
        <w:ind w:firstLine="640" w:firstLineChars="200"/>
        <w:rPr>
          <w:rFonts w:hint="eastAsia" w:ascii="仿宋_GB2312" w:hAnsi="Times New Roman" w:eastAsia="仿宋_GB2312" w:cs="Times New Roman"/>
          <w:color w:val="auto"/>
          <w:sz w:val="32"/>
          <w:szCs w:val="32"/>
          <w:highlight w:val="none"/>
          <w:lang w:val="en-US" w:eastAsia="zh-CN"/>
        </w:rPr>
      </w:pPr>
      <w:r>
        <w:rPr>
          <w:rFonts w:hint="eastAsia" w:ascii="仿宋_GB2312" w:hAnsi="Times New Roman" w:eastAsia="仿宋_GB2312" w:cs="Times New Roman"/>
          <w:color w:val="auto"/>
          <w:sz w:val="32"/>
          <w:szCs w:val="32"/>
          <w:highlight w:val="none"/>
          <w:lang w:val="en-US" w:eastAsia="zh-CN"/>
        </w:rPr>
        <w:t>7.单位负责人为同一人或存在控股、管理关系的不同单位，不得参加同一标段/标包投标或未划分标段/标包的同一招标项目投标，需填写《投标人控股及管理关系情况申报表》；</w:t>
      </w:r>
    </w:p>
    <w:p w14:paraId="451E7796">
      <w:pPr>
        <w:spacing w:line="600" w:lineRule="exact"/>
        <w:ind w:firstLine="640" w:firstLineChars="200"/>
        <w:rPr>
          <w:rFonts w:hint="eastAsia" w:ascii="仿宋_GB2312" w:hAnsi="Times New Roman" w:eastAsia="仿宋_GB2312" w:cs="Times New Roman"/>
          <w:color w:val="auto"/>
          <w:sz w:val="32"/>
          <w:szCs w:val="32"/>
          <w:highlight w:val="none"/>
          <w:lang w:val="en-US" w:eastAsia="zh-CN"/>
        </w:rPr>
      </w:pPr>
      <w:r>
        <w:rPr>
          <w:rFonts w:hint="eastAsia" w:ascii="仿宋_GB2312" w:hAnsi="Times New Roman" w:eastAsia="仿宋_GB2312" w:cs="Times New Roman"/>
          <w:color w:val="auto"/>
          <w:sz w:val="32"/>
          <w:szCs w:val="32"/>
          <w:highlight w:val="none"/>
          <w:lang w:val="en-US" w:eastAsia="zh-CN"/>
        </w:rPr>
        <w:t>8.本项目不接受联合体投标；</w:t>
      </w:r>
    </w:p>
    <w:p w14:paraId="0C765E2A">
      <w:pPr>
        <w:spacing w:line="600" w:lineRule="exact"/>
        <w:ind w:firstLine="640" w:firstLineChars="200"/>
        <w:rPr>
          <w:rFonts w:hint="eastAsia" w:ascii="仿宋_GB2312" w:hAnsi="Times New Roman" w:eastAsia="仿宋_GB2312" w:cs="Times New Roman"/>
          <w:color w:val="auto"/>
          <w:sz w:val="32"/>
          <w:szCs w:val="32"/>
          <w:highlight w:val="none"/>
          <w:lang w:val="en-US" w:eastAsia="zh-CN"/>
        </w:rPr>
      </w:pPr>
      <w:r>
        <w:rPr>
          <w:rFonts w:hint="eastAsia" w:ascii="仿宋_GB2312" w:hAnsi="Times New Roman" w:eastAsia="仿宋_GB2312" w:cs="Times New Roman"/>
          <w:color w:val="auto"/>
          <w:sz w:val="32"/>
          <w:szCs w:val="32"/>
          <w:highlight w:val="none"/>
          <w:lang w:val="en-US" w:eastAsia="zh-CN"/>
        </w:rPr>
        <w:t>9.近三年以来满足至少一个类似项目业绩（需提供中标通知书或合同复印件）；</w:t>
      </w:r>
    </w:p>
    <w:p w14:paraId="74AD45A4">
      <w:pPr>
        <w:spacing w:line="600" w:lineRule="exact"/>
        <w:ind w:firstLine="640" w:firstLineChars="200"/>
        <w:rPr>
          <w:rFonts w:hint="eastAsia" w:ascii="仿宋_GB2312" w:hAnsi="Times New Roman" w:eastAsia="仿宋_GB2312" w:cs="Times New Roman"/>
          <w:color w:val="auto"/>
          <w:sz w:val="32"/>
          <w:szCs w:val="32"/>
          <w:highlight w:val="none"/>
          <w:lang w:val="en-US" w:eastAsia="zh-CN"/>
        </w:rPr>
      </w:pPr>
      <w:r>
        <w:rPr>
          <w:rFonts w:hint="eastAsia" w:ascii="仿宋_GB2312" w:hAnsi="Times New Roman" w:eastAsia="仿宋_GB2312" w:cs="Times New Roman"/>
          <w:color w:val="auto"/>
          <w:sz w:val="32"/>
          <w:szCs w:val="32"/>
          <w:highlight w:val="none"/>
          <w:lang w:val="en-US" w:eastAsia="zh-CN"/>
        </w:rPr>
        <w:t>10.其它资格要求:具有有效的建筑工程施工资质及室内装饰装修资质。</w:t>
      </w:r>
    </w:p>
    <w:p w14:paraId="348A0D61">
      <w:pPr>
        <w:pageBreakBefore w:val="0"/>
        <w:widowControl/>
        <w:kinsoku/>
        <w:overflowPunct/>
        <w:topLinePunct/>
        <w:bidi w:val="0"/>
        <w:spacing w:line="600" w:lineRule="exact"/>
        <w:ind w:firstLine="480" w:firstLineChars="200"/>
        <w:jc w:val="center"/>
        <w:rPr>
          <w:rFonts w:hint="eastAsia" w:ascii="仿宋" w:hAnsi="仿宋" w:cs="宋体"/>
          <w:color w:val="auto"/>
          <w:highlight w:val="none"/>
        </w:rPr>
      </w:pPr>
      <w:r>
        <w:rPr>
          <w:rFonts w:hint="eastAsia" w:ascii="仿宋" w:hAnsi="仿宋" w:eastAsia="仿宋" w:cs="宋体"/>
          <w:color w:val="auto"/>
          <w:kern w:val="0"/>
          <w:sz w:val="24"/>
          <w:szCs w:val="24"/>
          <w:highlight w:val="none"/>
          <w:lang w:val="en-US" w:eastAsia="zh-CN"/>
        </w:rPr>
        <w:br w:type="page"/>
      </w:r>
      <w:bookmarkEnd w:id="643"/>
      <w:bookmarkEnd w:id="644"/>
      <w:bookmarkStart w:id="647" w:name="_Toc28744"/>
      <w:bookmarkStart w:id="648" w:name="_Toc15177"/>
      <w:bookmarkStart w:id="649" w:name="_Toc109124314"/>
      <w:bookmarkStart w:id="650" w:name="_Toc22300"/>
      <w:bookmarkStart w:id="651" w:name="_Toc65683002"/>
      <w:r>
        <w:rPr>
          <w:rFonts w:hint="eastAsia" w:ascii="仿宋" w:hAnsi="仿宋" w:eastAsia="仿宋" w:cs="宋体"/>
          <w:b/>
          <w:color w:val="auto"/>
          <w:kern w:val="44"/>
          <w:sz w:val="28"/>
          <w:highlight w:val="none"/>
          <w:lang w:val="en-US" w:eastAsia="zh-CN" w:bidi="ar-SA"/>
        </w:rPr>
        <w:t>第六章 投标文件格式</w:t>
      </w:r>
      <w:bookmarkEnd w:id="645"/>
      <w:bookmarkEnd w:id="647"/>
      <w:bookmarkEnd w:id="648"/>
      <w:bookmarkEnd w:id="649"/>
      <w:bookmarkEnd w:id="650"/>
      <w:bookmarkEnd w:id="651"/>
    </w:p>
    <w:p w14:paraId="62346F06">
      <w:pPr>
        <w:pageBreakBefore w:val="0"/>
        <w:kinsoku/>
        <w:overflowPunct/>
        <w:bidi w:val="0"/>
        <w:spacing w:line="600" w:lineRule="exact"/>
        <w:rPr>
          <w:rFonts w:hint="eastAsia" w:ascii="仿宋" w:hAnsi="仿宋" w:eastAsia="仿宋" w:cs="宋体"/>
          <w:b/>
          <w:color w:val="auto"/>
          <w:highlight w:val="none"/>
        </w:rPr>
      </w:pPr>
      <w:r>
        <w:rPr>
          <w:rFonts w:hint="eastAsia" w:ascii="仿宋" w:hAnsi="仿宋" w:eastAsia="仿宋" w:cs="宋体"/>
          <w:b/>
          <w:color w:val="auto"/>
          <w:sz w:val="24"/>
          <w:szCs w:val="24"/>
          <w:highlight w:val="none"/>
        </w:rPr>
        <w:t>纸质投标文件封面格式</w:t>
      </w:r>
    </w:p>
    <w:tbl>
      <w:tblPr>
        <w:tblStyle w:val="33"/>
        <w:tblW w:w="0" w:type="auto"/>
        <w:jc w:val="center"/>
        <w:tblLayout w:type="fixed"/>
        <w:tblCellMar>
          <w:top w:w="0" w:type="dxa"/>
          <w:left w:w="108" w:type="dxa"/>
          <w:bottom w:w="0" w:type="dxa"/>
          <w:right w:w="108" w:type="dxa"/>
        </w:tblCellMar>
      </w:tblPr>
      <w:tblGrid>
        <w:gridCol w:w="9854"/>
      </w:tblGrid>
      <w:tr w14:paraId="0A37C271">
        <w:tblPrEx>
          <w:tblCellMar>
            <w:top w:w="0" w:type="dxa"/>
            <w:left w:w="108" w:type="dxa"/>
            <w:bottom w:w="0" w:type="dxa"/>
            <w:right w:w="108" w:type="dxa"/>
          </w:tblCellMar>
        </w:tblPrEx>
        <w:trPr>
          <w:trHeight w:val="10007" w:hRule="atLeast"/>
          <w:jc w:val="center"/>
        </w:trPr>
        <w:tc>
          <w:tcPr>
            <w:tcW w:w="9854" w:type="dxa"/>
            <w:tcBorders>
              <w:top w:val="single" w:color="000000" w:sz="4" w:space="0"/>
              <w:left w:val="single" w:color="000000" w:sz="4" w:space="0"/>
              <w:bottom w:val="single" w:color="000000" w:sz="4" w:space="0"/>
              <w:right w:val="single" w:color="000000" w:sz="4" w:space="0"/>
            </w:tcBorders>
            <w:noWrap w:val="0"/>
            <w:vAlign w:val="top"/>
          </w:tcPr>
          <w:p w14:paraId="7C701C9B">
            <w:pPr>
              <w:pStyle w:val="114"/>
              <w:keepNext w:val="0"/>
              <w:keepLines w:val="0"/>
              <w:pageBreakBefore w:val="0"/>
              <w:suppressLineNumbers w:val="0"/>
              <w:kinsoku/>
              <w:overflowPunct/>
              <w:bidi w:val="0"/>
              <w:spacing w:before="156" w:beforeAutospacing="0" w:after="312" w:afterAutospacing="0" w:line="600" w:lineRule="exact"/>
              <w:ind w:left="0" w:right="508"/>
              <w:jc w:val="right"/>
              <w:rPr>
                <w:rFonts w:hint="eastAsia" w:ascii="仿宋" w:hAnsi="仿宋" w:eastAsia="仿宋" w:cs="宋体"/>
                <w:color w:val="auto"/>
                <w:sz w:val="32"/>
                <w:szCs w:val="20"/>
                <w:highlight w:val="none"/>
              </w:rPr>
            </w:pPr>
            <w:r>
              <w:rPr>
                <w:rFonts w:hint="eastAsia" w:ascii="仿宋" w:hAnsi="仿宋" w:eastAsia="仿宋" w:cs="宋体"/>
                <w:color w:val="auto"/>
                <w:sz w:val="32"/>
                <w:szCs w:val="20"/>
                <w:highlight w:val="none"/>
              </w:rPr>
              <w:t>正本/副本</w:t>
            </w:r>
          </w:p>
          <w:p w14:paraId="76D25949">
            <w:pPr>
              <w:pStyle w:val="114"/>
              <w:keepNext w:val="0"/>
              <w:keepLines w:val="0"/>
              <w:pageBreakBefore w:val="0"/>
              <w:suppressLineNumbers w:val="0"/>
              <w:kinsoku/>
              <w:overflowPunct/>
              <w:bidi w:val="0"/>
              <w:spacing w:before="156" w:beforeAutospacing="0" w:after="312" w:afterAutospacing="0" w:line="600" w:lineRule="exact"/>
              <w:ind w:left="0" w:right="-284"/>
              <w:jc w:val="center"/>
              <w:rPr>
                <w:rFonts w:hint="eastAsia" w:ascii="仿宋" w:hAnsi="仿宋" w:eastAsia="仿宋" w:cs="宋体"/>
                <w:color w:val="auto"/>
                <w:sz w:val="32"/>
                <w:szCs w:val="20"/>
                <w:highlight w:val="none"/>
              </w:rPr>
            </w:pPr>
            <w:r>
              <w:rPr>
                <w:rFonts w:hint="eastAsia" w:ascii="仿宋" w:hAnsi="仿宋" w:eastAsia="仿宋" w:cs="宋体"/>
                <w:color w:val="auto"/>
                <w:sz w:val="32"/>
                <w:szCs w:val="20"/>
                <w:highlight w:val="none"/>
                <w:u w:val="single"/>
              </w:rPr>
              <w:t xml:space="preserve">     （项目名称）    </w:t>
            </w:r>
            <w:r>
              <w:rPr>
                <w:rFonts w:hint="eastAsia" w:ascii="仿宋" w:hAnsi="仿宋" w:eastAsia="仿宋" w:cs="宋体"/>
                <w:color w:val="auto"/>
                <w:sz w:val="32"/>
                <w:szCs w:val="20"/>
                <w:highlight w:val="none"/>
              </w:rPr>
              <w:t>项目</w:t>
            </w:r>
          </w:p>
          <w:p w14:paraId="0CFC6D86">
            <w:pPr>
              <w:pStyle w:val="114"/>
              <w:keepNext w:val="0"/>
              <w:keepLines w:val="0"/>
              <w:pageBreakBefore w:val="0"/>
              <w:suppressLineNumbers w:val="0"/>
              <w:kinsoku/>
              <w:overflowPunct/>
              <w:bidi w:val="0"/>
              <w:spacing w:before="624" w:beforeAutospacing="0" w:after="156" w:afterAutospacing="0" w:line="600" w:lineRule="exact"/>
              <w:ind w:left="0" w:right="-284"/>
              <w:jc w:val="center"/>
              <w:rPr>
                <w:rFonts w:hint="eastAsia" w:ascii="仿宋" w:hAnsi="仿宋" w:eastAsia="仿宋" w:cs="宋体"/>
                <w:color w:val="auto"/>
                <w:sz w:val="52"/>
                <w:szCs w:val="20"/>
                <w:highlight w:val="none"/>
              </w:rPr>
            </w:pPr>
            <w:r>
              <w:rPr>
                <w:rFonts w:hint="eastAsia" w:ascii="仿宋" w:hAnsi="仿宋" w:eastAsia="仿宋" w:cs="宋体"/>
                <w:color w:val="auto"/>
                <w:sz w:val="52"/>
                <w:szCs w:val="20"/>
                <w:highlight w:val="none"/>
              </w:rPr>
              <w:t>投标文件</w:t>
            </w:r>
          </w:p>
          <w:p w14:paraId="2B2CD142">
            <w:pPr>
              <w:pStyle w:val="114"/>
              <w:keepNext w:val="0"/>
              <w:keepLines w:val="0"/>
              <w:pageBreakBefore w:val="0"/>
              <w:suppressLineNumbers w:val="0"/>
              <w:kinsoku/>
              <w:overflowPunct/>
              <w:bidi w:val="0"/>
              <w:spacing w:before="624" w:beforeAutospacing="0" w:after="156" w:afterAutospacing="0" w:line="600" w:lineRule="exact"/>
              <w:ind w:left="0" w:right="0"/>
              <w:jc w:val="center"/>
              <w:rPr>
                <w:rFonts w:hint="eastAsia" w:ascii="仿宋" w:hAnsi="仿宋" w:eastAsia="仿宋" w:cs="宋体"/>
                <w:color w:val="auto"/>
                <w:sz w:val="40"/>
                <w:szCs w:val="20"/>
                <w:highlight w:val="none"/>
              </w:rPr>
            </w:pPr>
            <w:r>
              <w:rPr>
                <w:rFonts w:hint="eastAsia" w:ascii="仿宋" w:hAnsi="仿宋" w:eastAsia="仿宋" w:cs="宋体"/>
                <w:color w:val="auto"/>
                <w:sz w:val="40"/>
                <w:szCs w:val="20"/>
                <w:highlight w:val="none"/>
              </w:rPr>
              <w:t>（商务文件/技术文件/报价文件）</w:t>
            </w:r>
          </w:p>
          <w:p w14:paraId="7EED0FDB">
            <w:pPr>
              <w:pStyle w:val="114"/>
              <w:keepNext w:val="0"/>
              <w:keepLines w:val="0"/>
              <w:pageBreakBefore w:val="0"/>
              <w:suppressLineNumbers w:val="0"/>
              <w:kinsoku/>
              <w:overflowPunct/>
              <w:bidi w:val="0"/>
              <w:spacing w:before="1560" w:beforeAutospacing="0" w:after="0" w:afterAutospacing="0" w:line="600" w:lineRule="exact"/>
              <w:ind w:left="0" w:right="-284"/>
              <w:jc w:val="center"/>
              <w:rPr>
                <w:rFonts w:hint="eastAsia" w:ascii="仿宋" w:hAnsi="仿宋" w:eastAsia="仿宋" w:cs="宋体"/>
                <w:color w:val="auto"/>
                <w:sz w:val="24"/>
                <w:szCs w:val="20"/>
                <w:highlight w:val="none"/>
              </w:rPr>
            </w:pPr>
            <w:r>
              <w:rPr>
                <w:rFonts w:hint="eastAsia" w:ascii="仿宋" w:hAnsi="仿宋" w:eastAsia="仿宋" w:cs="宋体"/>
                <w:color w:val="auto"/>
                <w:sz w:val="24"/>
                <w:szCs w:val="20"/>
                <w:highlight w:val="none"/>
              </w:rPr>
              <w:t>投标人名称：</w:t>
            </w:r>
            <w:r>
              <w:rPr>
                <w:rFonts w:hint="eastAsia" w:ascii="仿宋" w:hAnsi="仿宋" w:eastAsia="仿宋" w:cs="宋体"/>
                <w:color w:val="auto"/>
                <w:sz w:val="24"/>
                <w:szCs w:val="20"/>
                <w:highlight w:val="none"/>
                <w:u w:val="single"/>
              </w:rPr>
              <w:t xml:space="preserve"> </w:t>
            </w:r>
            <w:r>
              <w:rPr>
                <w:rFonts w:hint="default" w:ascii="仿宋" w:hAnsi="仿宋" w:eastAsia="仿宋" w:cs="宋体"/>
                <w:color w:val="auto"/>
                <w:sz w:val="24"/>
                <w:szCs w:val="20"/>
                <w:highlight w:val="none"/>
                <w:u w:val="single"/>
              </w:rPr>
              <w:t xml:space="preserve">       </w:t>
            </w:r>
            <w:r>
              <w:rPr>
                <w:rFonts w:hint="eastAsia" w:ascii="仿宋" w:hAnsi="仿宋" w:eastAsia="仿宋" w:cs="宋体"/>
                <w:color w:val="auto"/>
                <w:sz w:val="24"/>
                <w:szCs w:val="20"/>
                <w:highlight w:val="none"/>
                <w:u w:val="single"/>
              </w:rPr>
              <w:t xml:space="preserve">（盖章） </w:t>
            </w:r>
          </w:p>
          <w:p w14:paraId="65C291C5">
            <w:pPr>
              <w:pStyle w:val="114"/>
              <w:keepNext w:val="0"/>
              <w:keepLines w:val="0"/>
              <w:pageBreakBefore w:val="0"/>
              <w:suppressLineNumbers w:val="0"/>
              <w:kinsoku/>
              <w:overflowPunct/>
              <w:bidi w:val="0"/>
              <w:spacing w:before="0" w:beforeAutospacing="0" w:after="156" w:afterAutospacing="0" w:line="600" w:lineRule="exact"/>
              <w:ind w:left="0" w:right="-284"/>
              <w:jc w:val="center"/>
              <w:rPr>
                <w:rFonts w:hint="eastAsia" w:ascii="仿宋" w:hAnsi="仿宋" w:eastAsia="仿宋" w:cs="宋体"/>
                <w:color w:val="auto"/>
                <w:sz w:val="24"/>
                <w:szCs w:val="20"/>
                <w:highlight w:val="none"/>
                <w:u w:val="single"/>
              </w:rPr>
            </w:pPr>
            <w:r>
              <w:rPr>
                <w:rFonts w:hint="eastAsia" w:ascii="仿宋" w:hAnsi="仿宋" w:eastAsia="仿宋" w:cs="宋体"/>
                <w:color w:val="auto"/>
                <w:sz w:val="24"/>
                <w:szCs w:val="20"/>
                <w:highlight w:val="none"/>
              </w:rPr>
              <w:t>法定代表人（负责人）或其委托的代理人：</w:t>
            </w:r>
            <w:r>
              <w:rPr>
                <w:rFonts w:hint="eastAsia" w:ascii="仿宋" w:hAnsi="仿宋" w:eastAsia="仿宋" w:cs="宋体"/>
                <w:color w:val="auto"/>
                <w:sz w:val="24"/>
                <w:szCs w:val="20"/>
                <w:highlight w:val="none"/>
                <w:u w:val="single"/>
              </w:rPr>
              <w:t>（签字或盖章）</w:t>
            </w:r>
          </w:p>
          <w:p w14:paraId="19D7CD53">
            <w:pPr>
              <w:pStyle w:val="114"/>
              <w:keepNext w:val="0"/>
              <w:keepLines w:val="0"/>
              <w:pageBreakBefore w:val="0"/>
              <w:suppressLineNumbers w:val="0"/>
              <w:kinsoku/>
              <w:overflowPunct/>
              <w:bidi w:val="0"/>
              <w:spacing w:before="0" w:beforeAutospacing="0" w:after="156" w:afterAutospacing="0" w:line="600" w:lineRule="exact"/>
              <w:ind w:left="0" w:right="-284" w:firstLine="1920"/>
              <w:rPr>
                <w:rFonts w:hint="eastAsia" w:ascii="仿宋" w:hAnsi="仿宋" w:eastAsia="仿宋" w:cs="宋体"/>
                <w:color w:val="auto"/>
                <w:sz w:val="24"/>
                <w:szCs w:val="20"/>
                <w:highlight w:val="none"/>
                <w:u w:val="single"/>
              </w:rPr>
            </w:pPr>
            <w:r>
              <w:rPr>
                <w:rFonts w:hint="eastAsia" w:ascii="仿宋" w:hAnsi="仿宋" w:eastAsia="仿宋" w:cs="宋体"/>
                <w:color w:val="auto"/>
                <w:sz w:val="24"/>
                <w:szCs w:val="20"/>
                <w:highlight w:val="none"/>
              </w:rPr>
              <w:t>投标人地址：</w:t>
            </w:r>
            <w:r>
              <w:rPr>
                <w:rFonts w:hint="eastAsia" w:ascii="仿宋" w:hAnsi="仿宋" w:eastAsia="仿宋" w:cs="宋体"/>
                <w:color w:val="auto"/>
                <w:sz w:val="24"/>
                <w:szCs w:val="20"/>
                <w:highlight w:val="none"/>
                <w:u w:val="single"/>
              </w:rPr>
              <w:t xml:space="preserve"> </w:t>
            </w:r>
            <w:r>
              <w:rPr>
                <w:rFonts w:hint="default" w:ascii="仿宋" w:hAnsi="仿宋" w:eastAsia="仿宋" w:cs="宋体"/>
                <w:color w:val="auto"/>
                <w:sz w:val="24"/>
                <w:szCs w:val="20"/>
                <w:highlight w:val="none"/>
                <w:u w:val="single"/>
              </w:rPr>
              <w:t xml:space="preserve">                                </w:t>
            </w:r>
          </w:p>
          <w:p w14:paraId="04B88558">
            <w:pPr>
              <w:pStyle w:val="114"/>
              <w:keepNext w:val="0"/>
              <w:keepLines w:val="0"/>
              <w:pageBreakBefore w:val="0"/>
              <w:suppressLineNumbers w:val="0"/>
              <w:kinsoku/>
              <w:overflowPunct/>
              <w:bidi w:val="0"/>
              <w:spacing w:before="0" w:beforeAutospacing="0" w:after="624" w:afterAutospacing="0" w:line="600" w:lineRule="exact"/>
              <w:ind w:left="0" w:right="-284"/>
              <w:jc w:val="center"/>
              <w:rPr>
                <w:rFonts w:hint="eastAsia" w:ascii="仿宋" w:hAnsi="仿宋" w:eastAsia="仿宋" w:cs="宋体"/>
                <w:color w:val="auto"/>
                <w:szCs w:val="20"/>
                <w:highlight w:val="none"/>
              </w:rPr>
            </w:pPr>
            <w:r>
              <w:rPr>
                <w:rFonts w:hint="eastAsia" w:ascii="仿宋" w:hAnsi="仿宋" w:eastAsia="仿宋" w:cs="宋体"/>
                <w:color w:val="auto"/>
                <w:sz w:val="24"/>
                <w:szCs w:val="20"/>
                <w:highlight w:val="none"/>
              </w:rPr>
              <w:t xml:space="preserve">年     月   </w:t>
            </w:r>
            <w:r>
              <w:rPr>
                <w:rFonts w:hint="default" w:ascii="仿宋" w:hAnsi="仿宋" w:eastAsia="仿宋" w:cs="宋体"/>
                <w:color w:val="auto"/>
                <w:sz w:val="24"/>
                <w:szCs w:val="20"/>
                <w:highlight w:val="none"/>
              </w:rPr>
              <w:t xml:space="preserve"> </w:t>
            </w:r>
            <w:r>
              <w:rPr>
                <w:rFonts w:hint="eastAsia" w:ascii="仿宋" w:hAnsi="仿宋" w:eastAsia="仿宋" w:cs="宋体"/>
                <w:color w:val="auto"/>
                <w:sz w:val="24"/>
                <w:szCs w:val="20"/>
                <w:highlight w:val="none"/>
              </w:rPr>
              <w:t xml:space="preserve"> 日</w:t>
            </w:r>
          </w:p>
        </w:tc>
      </w:tr>
    </w:tbl>
    <w:p w14:paraId="0316CD24">
      <w:pPr>
        <w:pageBreakBefore w:val="0"/>
        <w:kinsoku/>
        <w:overflowPunct/>
        <w:bidi w:val="0"/>
        <w:spacing w:line="600" w:lineRule="exact"/>
        <w:rPr>
          <w:rFonts w:hint="eastAsia" w:ascii="仿宋" w:hAnsi="仿宋" w:eastAsia="仿宋" w:cs="宋体"/>
          <w:b/>
          <w:color w:val="auto"/>
          <w:sz w:val="24"/>
          <w:szCs w:val="24"/>
          <w:highlight w:val="none"/>
        </w:rPr>
      </w:pPr>
      <w:r>
        <w:rPr>
          <w:rFonts w:hint="eastAsia" w:ascii="仿宋" w:hAnsi="仿宋" w:eastAsia="仿宋" w:cs="宋体"/>
          <w:b/>
          <w:color w:val="auto"/>
          <w:sz w:val="24"/>
          <w:szCs w:val="24"/>
          <w:highlight w:val="none"/>
        </w:rPr>
        <w:t>格式：封口</w:t>
      </w:r>
    </w:p>
    <w:tbl>
      <w:tblPr>
        <w:tblStyle w:val="33"/>
        <w:tblW w:w="0" w:type="auto"/>
        <w:tblInd w:w="0" w:type="dxa"/>
        <w:tblLayout w:type="fixed"/>
        <w:tblCellMar>
          <w:top w:w="0" w:type="dxa"/>
          <w:left w:w="108" w:type="dxa"/>
          <w:bottom w:w="0" w:type="dxa"/>
          <w:right w:w="108" w:type="dxa"/>
        </w:tblCellMar>
      </w:tblPr>
      <w:tblGrid>
        <w:gridCol w:w="9854"/>
      </w:tblGrid>
      <w:tr w14:paraId="2346B3A8">
        <w:tblPrEx>
          <w:tblCellMar>
            <w:top w:w="0" w:type="dxa"/>
            <w:left w:w="108" w:type="dxa"/>
            <w:bottom w:w="0" w:type="dxa"/>
            <w:right w:w="108" w:type="dxa"/>
          </w:tblCellMar>
        </w:tblPrEx>
        <w:trPr>
          <w:trHeight w:val="1503" w:hRule="atLeast"/>
        </w:trPr>
        <w:tc>
          <w:tcPr>
            <w:tcW w:w="9854" w:type="dxa"/>
            <w:tcBorders>
              <w:top w:val="single" w:color="000000" w:sz="4" w:space="0"/>
              <w:left w:val="single" w:color="000000" w:sz="4" w:space="0"/>
              <w:bottom w:val="single" w:color="000000" w:sz="4" w:space="0"/>
              <w:right w:val="single" w:color="000000" w:sz="4" w:space="0"/>
            </w:tcBorders>
            <w:noWrap w:val="0"/>
            <w:vAlign w:val="center"/>
          </w:tcPr>
          <w:p w14:paraId="1F2DC125">
            <w:pPr>
              <w:pStyle w:val="114"/>
              <w:keepNext w:val="0"/>
              <w:keepLines w:val="0"/>
              <w:pageBreakBefore w:val="0"/>
              <w:suppressLineNumbers w:val="0"/>
              <w:kinsoku/>
              <w:overflowPunct/>
              <w:bidi w:val="0"/>
              <w:spacing w:before="0" w:beforeAutospacing="0" w:after="0" w:afterAutospacing="0" w:line="600" w:lineRule="exact"/>
              <w:ind w:left="0" w:right="-284"/>
              <w:jc w:val="center"/>
              <w:rPr>
                <w:rFonts w:hint="eastAsia" w:ascii="仿宋" w:hAnsi="仿宋" w:eastAsia="仿宋" w:cs="宋体"/>
                <w:b/>
                <w:color w:val="auto"/>
                <w:szCs w:val="20"/>
                <w:highlight w:val="none"/>
              </w:rPr>
            </w:pPr>
            <w:r>
              <w:rPr>
                <w:rFonts w:hint="eastAsia" w:ascii="仿宋" w:hAnsi="仿宋" w:eastAsia="仿宋" w:cs="宋体"/>
                <w:b/>
                <w:color w:val="auto"/>
                <w:szCs w:val="20"/>
                <w:highlight w:val="none"/>
              </w:rPr>
              <w:t>-------------于年月日时分之前不准启封（公章）------------</w:t>
            </w:r>
          </w:p>
        </w:tc>
      </w:tr>
    </w:tbl>
    <w:p w14:paraId="621D7EF6">
      <w:pPr>
        <w:pStyle w:val="4"/>
        <w:pageBreakBefore w:val="0"/>
        <w:kinsoku/>
        <w:overflowPunct/>
        <w:bidi w:val="0"/>
        <w:spacing w:line="600" w:lineRule="exact"/>
        <w:rPr>
          <w:rFonts w:hint="eastAsia" w:ascii="仿宋" w:hAnsi="仿宋" w:cs="宋体"/>
          <w:color w:val="auto"/>
          <w:highlight w:val="none"/>
        </w:rPr>
      </w:pPr>
      <w:bookmarkStart w:id="652" w:name="_Toc13951"/>
      <w:bookmarkStart w:id="653" w:name="_Toc65683003"/>
      <w:r>
        <w:rPr>
          <w:rFonts w:hint="eastAsia" w:ascii="仿宋" w:hAnsi="仿宋" w:cs="宋体"/>
          <w:color w:val="auto"/>
          <w:highlight w:val="none"/>
        </w:rPr>
        <w:br w:type="page"/>
      </w:r>
      <w:bookmarkStart w:id="654" w:name="_Toc109124315"/>
      <w:bookmarkStart w:id="655" w:name="_Toc12294"/>
      <w:r>
        <w:rPr>
          <w:rFonts w:hint="eastAsia" w:ascii="仿宋" w:hAnsi="仿宋" w:cs="宋体"/>
          <w:color w:val="auto"/>
          <w:highlight w:val="none"/>
        </w:rPr>
        <w:t>一、商务文件</w:t>
      </w:r>
      <w:bookmarkEnd w:id="652"/>
      <w:bookmarkEnd w:id="653"/>
      <w:bookmarkEnd w:id="654"/>
      <w:bookmarkEnd w:id="655"/>
    </w:p>
    <w:p w14:paraId="15D678B5">
      <w:pPr>
        <w:pStyle w:val="5"/>
        <w:pageBreakBefore w:val="0"/>
        <w:kinsoku/>
        <w:overflowPunct/>
        <w:bidi w:val="0"/>
        <w:spacing w:line="600" w:lineRule="exact"/>
        <w:ind w:firstLine="0" w:firstLineChars="0"/>
        <w:jc w:val="center"/>
        <w:rPr>
          <w:rFonts w:ascii="仿宋" w:hAnsi="仿宋" w:cs="宋体"/>
          <w:color w:val="auto"/>
          <w:highlight w:val="none"/>
        </w:rPr>
      </w:pPr>
      <w:bookmarkStart w:id="656" w:name="_Toc112068405"/>
      <w:bookmarkStart w:id="657" w:name="_Toc27497"/>
      <w:r>
        <w:rPr>
          <w:rFonts w:ascii="仿宋" w:hAnsi="仿宋" w:cs="宋体"/>
          <w:color w:val="auto"/>
          <w:highlight w:val="none"/>
        </w:rPr>
        <w:t>初步评审索引表</w:t>
      </w:r>
      <w:bookmarkEnd w:id="656"/>
      <w:bookmarkEnd w:id="657"/>
    </w:p>
    <w:tbl>
      <w:tblPr>
        <w:tblStyle w:val="33"/>
        <w:tblW w:w="0" w:type="auto"/>
        <w:jc w:val="center"/>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fixed"/>
        <w:tblCellMar>
          <w:top w:w="0" w:type="dxa"/>
          <w:left w:w="108" w:type="dxa"/>
          <w:bottom w:w="0" w:type="dxa"/>
          <w:right w:w="108" w:type="dxa"/>
        </w:tblCellMar>
      </w:tblPr>
      <w:tblGrid>
        <w:gridCol w:w="912"/>
        <w:gridCol w:w="1277"/>
        <w:gridCol w:w="3825"/>
        <w:gridCol w:w="3460"/>
      </w:tblGrid>
      <w:tr w14:paraId="6362F73F">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PrEx>
        <w:trPr>
          <w:trHeight w:val="361" w:hRule="atLeast"/>
          <w:jc w:val="center"/>
        </w:trPr>
        <w:tc>
          <w:tcPr>
            <w:tcW w:w="2189" w:type="dxa"/>
            <w:gridSpan w:val="2"/>
            <w:noWrap w:val="0"/>
            <w:vAlign w:val="center"/>
          </w:tcPr>
          <w:p w14:paraId="1240A870">
            <w:pPr>
              <w:keepNext w:val="0"/>
              <w:keepLines w:val="0"/>
              <w:pageBreakBefore w:val="0"/>
              <w:widowControl/>
              <w:suppressLineNumbers w:val="0"/>
              <w:kinsoku/>
              <w:overflowPunct/>
              <w:bidi w:val="0"/>
              <w:spacing w:before="0" w:beforeAutospacing="0" w:after="0" w:afterAutospacing="0" w:line="600" w:lineRule="exact"/>
              <w:ind w:left="0" w:right="0"/>
              <w:jc w:val="center"/>
              <w:rPr>
                <w:rFonts w:hint="eastAsia" w:ascii="仿宋" w:hAnsi="仿宋" w:eastAsia="仿宋" w:cs="宋体"/>
                <w:b/>
                <w:color w:val="auto"/>
                <w:kern w:val="0"/>
                <w:szCs w:val="21"/>
                <w:highlight w:val="none"/>
              </w:rPr>
            </w:pPr>
            <w:r>
              <w:rPr>
                <w:rFonts w:hint="eastAsia" w:ascii="仿宋" w:hAnsi="仿宋" w:eastAsia="仿宋" w:cs="宋体"/>
                <w:b/>
                <w:color w:val="auto"/>
                <w:kern w:val="0"/>
                <w:szCs w:val="21"/>
                <w:highlight w:val="none"/>
              </w:rPr>
              <w:t>条款号</w:t>
            </w:r>
          </w:p>
        </w:tc>
        <w:tc>
          <w:tcPr>
            <w:tcW w:w="3825" w:type="dxa"/>
            <w:noWrap w:val="0"/>
            <w:vAlign w:val="center"/>
          </w:tcPr>
          <w:p w14:paraId="3C256065">
            <w:pPr>
              <w:keepNext w:val="0"/>
              <w:keepLines w:val="0"/>
              <w:pageBreakBefore w:val="0"/>
              <w:widowControl/>
              <w:suppressLineNumbers w:val="0"/>
              <w:kinsoku/>
              <w:overflowPunct/>
              <w:bidi w:val="0"/>
              <w:spacing w:before="24" w:beforeAutospacing="0" w:after="24" w:afterAutospacing="0" w:line="600" w:lineRule="exact"/>
              <w:ind w:left="0" w:right="0"/>
              <w:jc w:val="center"/>
              <w:rPr>
                <w:rFonts w:hint="eastAsia" w:ascii="仿宋" w:hAnsi="仿宋" w:eastAsia="仿宋" w:cs="宋体"/>
                <w:b/>
                <w:color w:val="auto"/>
                <w:kern w:val="0"/>
                <w:szCs w:val="21"/>
                <w:highlight w:val="none"/>
              </w:rPr>
            </w:pPr>
            <w:r>
              <w:rPr>
                <w:rFonts w:hint="eastAsia" w:ascii="仿宋" w:hAnsi="仿宋" w:eastAsia="仿宋" w:cs="宋体"/>
                <w:b/>
                <w:color w:val="auto"/>
                <w:kern w:val="0"/>
                <w:szCs w:val="21"/>
                <w:highlight w:val="none"/>
              </w:rPr>
              <w:t>评审因素</w:t>
            </w:r>
          </w:p>
        </w:tc>
        <w:tc>
          <w:tcPr>
            <w:tcW w:w="3460" w:type="dxa"/>
            <w:noWrap w:val="0"/>
            <w:vAlign w:val="center"/>
          </w:tcPr>
          <w:p w14:paraId="04627C14">
            <w:pPr>
              <w:keepNext w:val="0"/>
              <w:keepLines w:val="0"/>
              <w:pageBreakBefore w:val="0"/>
              <w:widowControl/>
              <w:suppressLineNumbers w:val="0"/>
              <w:kinsoku/>
              <w:overflowPunct/>
              <w:bidi w:val="0"/>
              <w:spacing w:before="0" w:beforeAutospacing="0" w:after="0" w:afterAutospacing="0" w:line="600" w:lineRule="exact"/>
              <w:ind w:left="0" w:right="0"/>
              <w:jc w:val="center"/>
              <w:rPr>
                <w:rFonts w:hint="eastAsia" w:ascii="仿宋" w:hAnsi="仿宋" w:eastAsia="仿宋" w:cs="宋体"/>
                <w:b/>
                <w:color w:val="auto"/>
                <w:kern w:val="0"/>
                <w:szCs w:val="21"/>
                <w:highlight w:val="none"/>
              </w:rPr>
            </w:pPr>
            <w:r>
              <w:rPr>
                <w:rFonts w:hint="eastAsia" w:ascii="仿宋" w:hAnsi="仿宋" w:eastAsia="仿宋" w:cs="宋体"/>
                <w:b/>
                <w:color w:val="auto"/>
                <w:kern w:val="0"/>
                <w:szCs w:val="21"/>
                <w:highlight w:val="none"/>
              </w:rPr>
              <w:t>页码范围及说明</w:t>
            </w:r>
          </w:p>
        </w:tc>
      </w:tr>
      <w:tr w14:paraId="3A8FB410">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17" w:hRule="atLeast"/>
          <w:jc w:val="center"/>
        </w:trPr>
        <w:tc>
          <w:tcPr>
            <w:tcW w:w="912" w:type="dxa"/>
            <w:vMerge w:val="restart"/>
            <w:noWrap w:val="0"/>
            <w:vAlign w:val="center"/>
          </w:tcPr>
          <w:p w14:paraId="40A59FEA">
            <w:pPr>
              <w:keepNext w:val="0"/>
              <w:keepLines w:val="0"/>
              <w:pageBreakBefore w:val="0"/>
              <w:widowControl/>
              <w:suppressLineNumbers w:val="0"/>
              <w:kinsoku/>
              <w:overflowPunct/>
              <w:bidi w:val="0"/>
              <w:spacing w:before="0" w:beforeAutospacing="0" w:after="0" w:afterAutospacing="0" w:line="600" w:lineRule="exact"/>
              <w:ind w:left="0" w:right="0"/>
              <w:jc w:val="center"/>
              <w:rPr>
                <w:rFonts w:hint="eastAsia" w:ascii="仿宋" w:hAnsi="仿宋" w:eastAsia="仿宋" w:cs="宋体"/>
                <w:color w:val="auto"/>
                <w:kern w:val="0"/>
                <w:szCs w:val="21"/>
                <w:highlight w:val="none"/>
              </w:rPr>
            </w:pPr>
            <w:r>
              <w:rPr>
                <w:rFonts w:hint="eastAsia" w:ascii="仿宋" w:hAnsi="仿宋" w:eastAsia="仿宋" w:cs="宋体"/>
                <w:color w:val="auto"/>
                <w:kern w:val="0"/>
                <w:szCs w:val="21"/>
                <w:highlight w:val="none"/>
              </w:rPr>
              <w:t>1</w:t>
            </w:r>
          </w:p>
        </w:tc>
        <w:tc>
          <w:tcPr>
            <w:tcW w:w="1277" w:type="dxa"/>
            <w:vMerge w:val="restart"/>
            <w:noWrap w:val="0"/>
            <w:vAlign w:val="center"/>
          </w:tcPr>
          <w:p w14:paraId="3E39B1D3">
            <w:pPr>
              <w:keepNext w:val="0"/>
              <w:keepLines w:val="0"/>
              <w:pageBreakBefore w:val="0"/>
              <w:widowControl/>
              <w:suppressLineNumbers w:val="0"/>
              <w:kinsoku/>
              <w:overflowPunct/>
              <w:bidi w:val="0"/>
              <w:spacing w:before="0" w:beforeAutospacing="0" w:after="0" w:afterAutospacing="0" w:line="600" w:lineRule="exact"/>
              <w:ind w:left="0" w:right="0"/>
              <w:jc w:val="center"/>
              <w:rPr>
                <w:rFonts w:hint="eastAsia" w:ascii="仿宋" w:hAnsi="仿宋" w:eastAsia="仿宋" w:cs="宋体"/>
                <w:color w:val="auto"/>
                <w:kern w:val="0"/>
                <w:szCs w:val="21"/>
                <w:highlight w:val="none"/>
              </w:rPr>
            </w:pPr>
            <w:r>
              <w:rPr>
                <w:rFonts w:hint="eastAsia" w:ascii="仿宋" w:hAnsi="仿宋" w:eastAsia="仿宋" w:cs="宋体"/>
                <w:color w:val="auto"/>
                <w:kern w:val="0"/>
                <w:szCs w:val="21"/>
                <w:highlight w:val="none"/>
              </w:rPr>
              <w:t>形式评审标准</w:t>
            </w:r>
          </w:p>
        </w:tc>
        <w:tc>
          <w:tcPr>
            <w:tcW w:w="3825" w:type="dxa"/>
            <w:noWrap w:val="0"/>
            <w:vAlign w:val="center"/>
          </w:tcPr>
          <w:p w14:paraId="2BA913D0">
            <w:pPr>
              <w:keepNext w:val="0"/>
              <w:keepLines w:val="0"/>
              <w:pageBreakBefore w:val="0"/>
              <w:suppressLineNumbers w:val="0"/>
              <w:kinsoku/>
              <w:overflowPunct/>
              <w:bidi w:val="0"/>
              <w:spacing w:before="24" w:beforeAutospacing="0" w:after="24" w:afterAutospacing="0" w:line="600" w:lineRule="exact"/>
              <w:ind w:left="0" w:right="0"/>
              <w:jc w:val="center"/>
              <w:rPr>
                <w:rFonts w:hint="eastAsia" w:ascii="仿宋" w:hAnsi="仿宋" w:eastAsia="仿宋" w:cs="宋体"/>
                <w:color w:val="auto"/>
                <w:kern w:val="0"/>
                <w:szCs w:val="21"/>
                <w:highlight w:val="none"/>
              </w:rPr>
            </w:pPr>
            <w:r>
              <w:rPr>
                <w:rFonts w:hint="eastAsia" w:ascii="仿宋" w:hAnsi="仿宋" w:eastAsia="仿宋" w:cs="宋体"/>
                <w:color w:val="auto"/>
                <w:szCs w:val="21"/>
                <w:highlight w:val="none"/>
              </w:rPr>
              <w:t>投标人名称</w:t>
            </w:r>
          </w:p>
        </w:tc>
        <w:tc>
          <w:tcPr>
            <w:tcW w:w="3460" w:type="dxa"/>
            <w:noWrap w:val="0"/>
            <w:vAlign w:val="center"/>
          </w:tcPr>
          <w:p w14:paraId="5FA0C6C9">
            <w:pPr>
              <w:keepNext w:val="0"/>
              <w:keepLines w:val="0"/>
              <w:pageBreakBefore w:val="0"/>
              <w:widowControl/>
              <w:suppressLineNumbers w:val="0"/>
              <w:kinsoku/>
              <w:overflowPunct/>
              <w:bidi w:val="0"/>
              <w:adjustRightInd w:val="0"/>
              <w:snapToGrid w:val="0"/>
              <w:spacing w:before="0" w:beforeAutospacing="0" w:after="0" w:afterAutospacing="0" w:line="600" w:lineRule="exact"/>
              <w:ind w:left="0" w:right="0"/>
              <w:rPr>
                <w:rFonts w:hint="eastAsia" w:ascii="仿宋" w:hAnsi="仿宋" w:eastAsia="仿宋" w:cs="宋体"/>
                <w:color w:val="auto"/>
                <w:kern w:val="0"/>
                <w:szCs w:val="21"/>
                <w:highlight w:val="none"/>
              </w:rPr>
            </w:pPr>
            <w:r>
              <w:rPr>
                <w:rFonts w:hint="eastAsia" w:ascii="仿宋" w:hAnsi="仿宋" w:eastAsia="仿宋" w:cs="宋体"/>
                <w:color w:val="auto"/>
                <w:kern w:val="0"/>
                <w:szCs w:val="21"/>
                <w:highlight w:val="none"/>
              </w:rPr>
              <w:t>说明：XX</w:t>
            </w:r>
          </w:p>
          <w:p w14:paraId="37CCA2D4">
            <w:pPr>
              <w:keepNext w:val="0"/>
              <w:keepLines w:val="0"/>
              <w:pageBreakBefore w:val="0"/>
              <w:suppressLineNumbers w:val="0"/>
              <w:kinsoku/>
              <w:overflowPunct/>
              <w:bidi w:val="0"/>
              <w:spacing w:before="24" w:beforeAutospacing="0" w:after="24" w:afterAutospacing="0" w:line="600" w:lineRule="exact"/>
              <w:ind w:left="0" w:right="0"/>
              <w:jc w:val="left"/>
              <w:rPr>
                <w:rFonts w:hint="eastAsia" w:ascii="仿宋" w:hAnsi="仿宋" w:eastAsia="仿宋" w:cs="宋体"/>
                <w:color w:val="auto"/>
                <w:kern w:val="0"/>
                <w:szCs w:val="21"/>
                <w:highlight w:val="none"/>
              </w:rPr>
            </w:pPr>
            <w:r>
              <w:rPr>
                <w:rFonts w:hint="eastAsia" w:ascii="仿宋" w:hAnsi="仿宋" w:eastAsia="仿宋" w:cs="宋体"/>
                <w:color w:val="auto"/>
                <w:kern w:val="0"/>
                <w:szCs w:val="21"/>
                <w:highlight w:val="none"/>
              </w:rPr>
              <w:t>详见N-M页</w:t>
            </w:r>
          </w:p>
        </w:tc>
      </w:tr>
      <w:tr w14:paraId="5BAAC1DC">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17" w:hRule="atLeast"/>
          <w:jc w:val="center"/>
        </w:trPr>
        <w:tc>
          <w:tcPr>
            <w:tcW w:w="912" w:type="dxa"/>
            <w:vMerge w:val="continue"/>
            <w:noWrap w:val="0"/>
            <w:vAlign w:val="center"/>
          </w:tcPr>
          <w:p w14:paraId="386A1178">
            <w:pPr>
              <w:keepNext w:val="0"/>
              <w:keepLines w:val="0"/>
              <w:pageBreakBefore w:val="0"/>
              <w:widowControl/>
              <w:suppressLineNumbers w:val="0"/>
              <w:kinsoku/>
              <w:overflowPunct/>
              <w:bidi w:val="0"/>
              <w:spacing w:before="0" w:beforeAutospacing="0" w:after="0" w:afterAutospacing="0" w:line="600" w:lineRule="exact"/>
              <w:ind w:left="0" w:right="0"/>
              <w:jc w:val="center"/>
              <w:rPr>
                <w:rFonts w:hint="eastAsia" w:ascii="仿宋" w:hAnsi="仿宋" w:eastAsia="仿宋" w:cs="宋体"/>
                <w:color w:val="auto"/>
                <w:kern w:val="0"/>
                <w:szCs w:val="21"/>
                <w:highlight w:val="none"/>
              </w:rPr>
            </w:pPr>
          </w:p>
        </w:tc>
        <w:tc>
          <w:tcPr>
            <w:tcW w:w="1277" w:type="dxa"/>
            <w:vMerge w:val="continue"/>
            <w:noWrap w:val="0"/>
            <w:vAlign w:val="center"/>
          </w:tcPr>
          <w:p w14:paraId="29C8CB92">
            <w:pPr>
              <w:keepNext w:val="0"/>
              <w:keepLines w:val="0"/>
              <w:pageBreakBefore w:val="0"/>
              <w:widowControl/>
              <w:suppressLineNumbers w:val="0"/>
              <w:kinsoku/>
              <w:overflowPunct/>
              <w:bidi w:val="0"/>
              <w:spacing w:before="0" w:beforeAutospacing="0" w:after="0" w:afterAutospacing="0" w:line="600" w:lineRule="exact"/>
              <w:ind w:left="0" w:right="0"/>
              <w:jc w:val="center"/>
              <w:rPr>
                <w:rFonts w:hint="eastAsia" w:ascii="仿宋" w:hAnsi="仿宋" w:eastAsia="仿宋" w:cs="宋体"/>
                <w:color w:val="auto"/>
                <w:kern w:val="0"/>
                <w:szCs w:val="21"/>
                <w:highlight w:val="none"/>
              </w:rPr>
            </w:pPr>
          </w:p>
        </w:tc>
        <w:tc>
          <w:tcPr>
            <w:tcW w:w="3825" w:type="dxa"/>
            <w:noWrap w:val="0"/>
            <w:vAlign w:val="center"/>
          </w:tcPr>
          <w:p w14:paraId="157E5A28">
            <w:pPr>
              <w:keepNext w:val="0"/>
              <w:keepLines w:val="0"/>
              <w:pageBreakBefore w:val="0"/>
              <w:suppressLineNumbers w:val="0"/>
              <w:kinsoku/>
              <w:overflowPunct/>
              <w:bidi w:val="0"/>
              <w:spacing w:before="24" w:beforeAutospacing="0" w:after="24" w:afterAutospacing="0" w:line="600" w:lineRule="exact"/>
              <w:ind w:left="0" w:right="0"/>
              <w:jc w:val="center"/>
              <w:rPr>
                <w:rFonts w:hint="eastAsia" w:ascii="仿宋" w:hAnsi="仿宋" w:eastAsia="仿宋" w:cs="宋体"/>
                <w:color w:val="auto"/>
                <w:kern w:val="0"/>
                <w:szCs w:val="21"/>
                <w:highlight w:val="none"/>
              </w:rPr>
            </w:pPr>
            <w:r>
              <w:rPr>
                <w:rFonts w:hint="eastAsia" w:ascii="仿宋" w:hAnsi="仿宋" w:eastAsia="仿宋" w:cs="宋体"/>
                <w:color w:val="auto"/>
                <w:szCs w:val="21"/>
                <w:highlight w:val="none"/>
              </w:rPr>
              <w:t>法定代表人（负责人）身份证明</w:t>
            </w:r>
          </w:p>
        </w:tc>
        <w:tc>
          <w:tcPr>
            <w:tcW w:w="3460" w:type="dxa"/>
            <w:noWrap w:val="0"/>
            <w:vAlign w:val="center"/>
          </w:tcPr>
          <w:p w14:paraId="288AF097">
            <w:pPr>
              <w:keepNext w:val="0"/>
              <w:keepLines w:val="0"/>
              <w:pageBreakBefore w:val="0"/>
              <w:suppressLineNumbers w:val="0"/>
              <w:kinsoku/>
              <w:overflowPunct/>
              <w:bidi w:val="0"/>
              <w:spacing w:before="24" w:beforeAutospacing="0" w:after="24" w:afterAutospacing="0" w:line="600" w:lineRule="exact"/>
              <w:ind w:left="0" w:right="0"/>
              <w:jc w:val="left"/>
              <w:rPr>
                <w:rFonts w:hint="eastAsia" w:ascii="仿宋" w:hAnsi="仿宋" w:eastAsia="仿宋" w:cs="宋体"/>
                <w:color w:val="auto"/>
                <w:kern w:val="0"/>
                <w:szCs w:val="21"/>
                <w:highlight w:val="none"/>
              </w:rPr>
            </w:pPr>
          </w:p>
        </w:tc>
      </w:tr>
      <w:tr w14:paraId="7D9BE64A">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47" w:hRule="atLeast"/>
          <w:jc w:val="center"/>
        </w:trPr>
        <w:tc>
          <w:tcPr>
            <w:tcW w:w="912" w:type="dxa"/>
            <w:vMerge w:val="continue"/>
            <w:noWrap w:val="0"/>
            <w:vAlign w:val="center"/>
          </w:tcPr>
          <w:p w14:paraId="373AA4AB">
            <w:pPr>
              <w:keepNext w:val="0"/>
              <w:keepLines w:val="0"/>
              <w:pageBreakBefore w:val="0"/>
              <w:widowControl/>
              <w:suppressLineNumbers w:val="0"/>
              <w:kinsoku/>
              <w:overflowPunct/>
              <w:bidi w:val="0"/>
              <w:spacing w:before="0" w:beforeAutospacing="0" w:after="0" w:afterAutospacing="0" w:line="600" w:lineRule="exact"/>
              <w:ind w:left="0" w:right="0"/>
              <w:jc w:val="left"/>
              <w:rPr>
                <w:rFonts w:hint="eastAsia" w:ascii="仿宋" w:hAnsi="仿宋" w:eastAsia="仿宋" w:cs="宋体"/>
                <w:color w:val="auto"/>
                <w:kern w:val="0"/>
                <w:szCs w:val="21"/>
                <w:highlight w:val="none"/>
              </w:rPr>
            </w:pPr>
          </w:p>
        </w:tc>
        <w:tc>
          <w:tcPr>
            <w:tcW w:w="1277" w:type="dxa"/>
            <w:vMerge w:val="continue"/>
            <w:noWrap w:val="0"/>
            <w:vAlign w:val="center"/>
          </w:tcPr>
          <w:p w14:paraId="05C1FAF3">
            <w:pPr>
              <w:keepNext w:val="0"/>
              <w:keepLines w:val="0"/>
              <w:pageBreakBefore w:val="0"/>
              <w:widowControl/>
              <w:suppressLineNumbers w:val="0"/>
              <w:kinsoku/>
              <w:overflowPunct/>
              <w:bidi w:val="0"/>
              <w:spacing w:before="0" w:beforeAutospacing="0" w:after="0" w:afterAutospacing="0" w:line="600" w:lineRule="exact"/>
              <w:ind w:left="0" w:right="0"/>
              <w:jc w:val="left"/>
              <w:rPr>
                <w:rFonts w:hint="eastAsia" w:ascii="仿宋" w:hAnsi="仿宋" w:eastAsia="仿宋" w:cs="宋体"/>
                <w:color w:val="auto"/>
                <w:kern w:val="0"/>
                <w:szCs w:val="21"/>
                <w:highlight w:val="none"/>
              </w:rPr>
            </w:pPr>
          </w:p>
        </w:tc>
        <w:tc>
          <w:tcPr>
            <w:tcW w:w="3825" w:type="dxa"/>
            <w:noWrap w:val="0"/>
            <w:vAlign w:val="center"/>
          </w:tcPr>
          <w:p w14:paraId="58DF4B02">
            <w:pPr>
              <w:keepNext w:val="0"/>
              <w:keepLines w:val="0"/>
              <w:pageBreakBefore w:val="0"/>
              <w:suppressLineNumbers w:val="0"/>
              <w:kinsoku/>
              <w:overflowPunct/>
              <w:bidi w:val="0"/>
              <w:spacing w:before="24" w:beforeAutospacing="0" w:after="24" w:afterAutospacing="0" w:line="600" w:lineRule="exact"/>
              <w:ind w:left="0" w:right="0"/>
              <w:jc w:val="center"/>
              <w:rPr>
                <w:rFonts w:hint="eastAsia" w:ascii="仿宋" w:hAnsi="仿宋" w:eastAsia="仿宋" w:cs="宋体"/>
                <w:color w:val="auto"/>
                <w:spacing w:val="-4"/>
                <w:kern w:val="0"/>
                <w:szCs w:val="21"/>
                <w:highlight w:val="none"/>
              </w:rPr>
            </w:pPr>
            <w:r>
              <w:rPr>
                <w:rFonts w:hint="eastAsia" w:ascii="仿宋" w:hAnsi="仿宋" w:eastAsia="仿宋" w:cs="宋体"/>
                <w:color w:val="auto"/>
                <w:szCs w:val="21"/>
                <w:highlight w:val="none"/>
              </w:rPr>
              <w:t>法定代表人（负责人）授权委托书</w:t>
            </w:r>
          </w:p>
        </w:tc>
        <w:tc>
          <w:tcPr>
            <w:tcW w:w="3460" w:type="dxa"/>
            <w:noWrap w:val="0"/>
            <w:vAlign w:val="center"/>
          </w:tcPr>
          <w:p w14:paraId="6811D196">
            <w:pPr>
              <w:keepNext w:val="0"/>
              <w:keepLines w:val="0"/>
              <w:pageBreakBefore w:val="0"/>
              <w:suppressLineNumbers w:val="0"/>
              <w:kinsoku/>
              <w:overflowPunct/>
              <w:bidi w:val="0"/>
              <w:spacing w:before="24" w:beforeAutospacing="0" w:after="24" w:afterAutospacing="0" w:line="600" w:lineRule="exact"/>
              <w:ind w:left="0" w:right="0"/>
              <w:jc w:val="left"/>
              <w:rPr>
                <w:rFonts w:hint="eastAsia" w:ascii="仿宋" w:hAnsi="仿宋" w:eastAsia="仿宋" w:cs="宋体"/>
                <w:color w:val="auto"/>
                <w:kern w:val="0"/>
                <w:szCs w:val="21"/>
                <w:highlight w:val="none"/>
              </w:rPr>
            </w:pPr>
          </w:p>
        </w:tc>
      </w:tr>
      <w:tr w14:paraId="4E4A55C1">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47" w:hRule="atLeast"/>
          <w:jc w:val="center"/>
        </w:trPr>
        <w:tc>
          <w:tcPr>
            <w:tcW w:w="912" w:type="dxa"/>
            <w:vMerge w:val="continue"/>
            <w:noWrap w:val="0"/>
            <w:vAlign w:val="center"/>
          </w:tcPr>
          <w:p w14:paraId="6A3514C2">
            <w:pPr>
              <w:keepNext w:val="0"/>
              <w:keepLines w:val="0"/>
              <w:pageBreakBefore w:val="0"/>
              <w:widowControl/>
              <w:suppressLineNumbers w:val="0"/>
              <w:kinsoku/>
              <w:overflowPunct/>
              <w:bidi w:val="0"/>
              <w:spacing w:before="0" w:beforeAutospacing="0" w:after="0" w:afterAutospacing="0" w:line="600" w:lineRule="exact"/>
              <w:ind w:left="0" w:right="0"/>
              <w:jc w:val="left"/>
              <w:rPr>
                <w:rFonts w:hint="eastAsia" w:ascii="仿宋" w:hAnsi="仿宋" w:eastAsia="仿宋" w:cs="宋体"/>
                <w:color w:val="auto"/>
                <w:kern w:val="0"/>
                <w:szCs w:val="21"/>
                <w:highlight w:val="none"/>
              </w:rPr>
            </w:pPr>
          </w:p>
        </w:tc>
        <w:tc>
          <w:tcPr>
            <w:tcW w:w="1277" w:type="dxa"/>
            <w:vMerge w:val="continue"/>
            <w:noWrap w:val="0"/>
            <w:vAlign w:val="center"/>
          </w:tcPr>
          <w:p w14:paraId="173E21DE">
            <w:pPr>
              <w:keepNext w:val="0"/>
              <w:keepLines w:val="0"/>
              <w:pageBreakBefore w:val="0"/>
              <w:widowControl/>
              <w:suppressLineNumbers w:val="0"/>
              <w:kinsoku/>
              <w:overflowPunct/>
              <w:bidi w:val="0"/>
              <w:spacing w:before="0" w:beforeAutospacing="0" w:after="0" w:afterAutospacing="0" w:line="600" w:lineRule="exact"/>
              <w:ind w:left="0" w:right="0"/>
              <w:jc w:val="left"/>
              <w:rPr>
                <w:rFonts w:hint="eastAsia" w:ascii="仿宋" w:hAnsi="仿宋" w:eastAsia="仿宋" w:cs="宋体"/>
                <w:color w:val="auto"/>
                <w:kern w:val="0"/>
                <w:szCs w:val="21"/>
                <w:highlight w:val="none"/>
              </w:rPr>
            </w:pPr>
          </w:p>
        </w:tc>
        <w:tc>
          <w:tcPr>
            <w:tcW w:w="3825" w:type="dxa"/>
            <w:noWrap w:val="0"/>
            <w:vAlign w:val="center"/>
          </w:tcPr>
          <w:p w14:paraId="627C6FF4">
            <w:pPr>
              <w:keepNext w:val="0"/>
              <w:keepLines w:val="0"/>
              <w:pageBreakBefore w:val="0"/>
              <w:suppressLineNumbers w:val="0"/>
              <w:kinsoku/>
              <w:overflowPunct/>
              <w:bidi w:val="0"/>
              <w:spacing w:before="24" w:beforeAutospacing="0" w:after="24" w:afterAutospacing="0" w:line="600" w:lineRule="exact"/>
              <w:ind w:left="0" w:right="0"/>
              <w:jc w:val="center"/>
              <w:rPr>
                <w:rFonts w:hint="eastAsia" w:ascii="仿宋" w:hAnsi="仿宋" w:eastAsia="仿宋" w:cs="宋体"/>
                <w:color w:val="auto"/>
                <w:kern w:val="0"/>
                <w:szCs w:val="21"/>
                <w:highlight w:val="none"/>
              </w:rPr>
            </w:pPr>
            <w:r>
              <w:rPr>
                <w:rFonts w:hint="eastAsia" w:ascii="仿宋" w:hAnsi="仿宋" w:eastAsia="仿宋" w:cs="宋体"/>
                <w:color w:val="auto"/>
                <w:szCs w:val="21"/>
                <w:highlight w:val="none"/>
              </w:rPr>
              <w:t>投标文件签字或盖章</w:t>
            </w:r>
          </w:p>
        </w:tc>
        <w:tc>
          <w:tcPr>
            <w:tcW w:w="3460" w:type="dxa"/>
            <w:noWrap w:val="0"/>
            <w:vAlign w:val="center"/>
          </w:tcPr>
          <w:p w14:paraId="2D8122BE">
            <w:pPr>
              <w:keepNext w:val="0"/>
              <w:keepLines w:val="0"/>
              <w:pageBreakBefore w:val="0"/>
              <w:suppressLineNumbers w:val="0"/>
              <w:kinsoku/>
              <w:overflowPunct/>
              <w:bidi w:val="0"/>
              <w:spacing w:before="24" w:beforeAutospacing="0" w:after="24" w:afterAutospacing="0" w:line="600" w:lineRule="exact"/>
              <w:ind w:left="0" w:right="0"/>
              <w:jc w:val="left"/>
              <w:rPr>
                <w:rFonts w:hint="eastAsia" w:ascii="仿宋" w:hAnsi="仿宋" w:eastAsia="仿宋" w:cs="宋体"/>
                <w:color w:val="auto"/>
                <w:kern w:val="0"/>
                <w:szCs w:val="21"/>
                <w:highlight w:val="none"/>
              </w:rPr>
            </w:pPr>
          </w:p>
        </w:tc>
      </w:tr>
      <w:tr w14:paraId="3F209089">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361" w:hRule="atLeast"/>
          <w:jc w:val="center"/>
        </w:trPr>
        <w:tc>
          <w:tcPr>
            <w:tcW w:w="912" w:type="dxa"/>
            <w:vMerge w:val="restart"/>
            <w:noWrap w:val="0"/>
            <w:vAlign w:val="center"/>
          </w:tcPr>
          <w:p w14:paraId="364BC04B">
            <w:pPr>
              <w:keepNext w:val="0"/>
              <w:keepLines w:val="0"/>
              <w:pageBreakBefore w:val="0"/>
              <w:widowControl/>
              <w:suppressLineNumbers w:val="0"/>
              <w:kinsoku/>
              <w:overflowPunct/>
              <w:bidi w:val="0"/>
              <w:spacing w:before="0" w:beforeAutospacing="0" w:after="0" w:afterAutospacing="0" w:line="600" w:lineRule="exact"/>
              <w:ind w:left="0" w:right="0"/>
              <w:jc w:val="center"/>
              <w:rPr>
                <w:rFonts w:hint="eastAsia" w:ascii="仿宋" w:hAnsi="仿宋" w:eastAsia="仿宋" w:cs="宋体"/>
                <w:color w:val="auto"/>
                <w:kern w:val="0"/>
                <w:szCs w:val="21"/>
                <w:highlight w:val="none"/>
              </w:rPr>
            </w:pPr>
            <w:r>
              <w:rPr>
                <w:rFonts w:hint="eastAsia" w:ascii="仿宋" w:hAnsi="仿宋" w:eastAsia="仿宋" w:cs="宋体"/>
                <w:color w:val="auto"/>
                <w:kern w:val="0"/>
                <w:szCs w:val="21"/>
                <w:highlight w:val="none"/>
              </w:rPr>
              <w:t>2</w:t>
            </w:r>
          </w:p>
        </w:tc>
        <w:tc>
          <w:tcPr>
            <w:tcW w:w="1277" w:type="dxa"/>
            <w:vMerge w:val="restart"/>
            <w:noWrap w:val="0"/>
            <w:vAlign w:val="center"/>
          </w:tcPr>
          <w:p w14:paraId="572B168D">
            <w:pPr>
              <w:keepNext w:val="0"/>
              <w:keepLines w:val="0"/>
              <w:pageBreakBefore w:val="0"/>
              <w:widowControl/>
              <w:suppressLineNumbers w:val="0"/>
              <w:kinsoku/>
              <w:overflowPunct/>
              <w:bidi w:val="0"/>
              <w:spacing w:before="0" w:beforeAutospacing="0" w:after="0" w:afterAutospacing="0" w:line="600" w:lineRule="exact"/>
              <w:ind w:left="0" w:right="0"/>
              <w:jc w:val="center"/>
              <w:rPr>
                <w:rFonts w:hint="eastAsia" w:ascii="仿宋" w:hAnsi="仿宋" w:eastAsia="仿宋" w:cs="宋体"/>
                <w:color w:val="auto"/>
                <w:kern w:val="0"/>
                <w:szCs w:val="21"/>
                <w:highlight w:val="none"/>
              </w:rPr>
            </w:pPr>
            <w:r>
              <w:rPr>
                <w:rFonts w:hint="eastAsia" w:ascii="仿宋" w:hAnsi="仿宋" w:eastAsia="仿宋" w:cs="宋体"/>
                <w:color w:val="auto"/>
                <w:kern w:val="0"/>
                <w:szCs w:val="21"/>
                <w:highlight w:val="none"/>
              </w:rPr>
              <w:t>资格评审标准</w:t>
            </w:r>
          </w:p>
        </w:tc>
        <w:tc>
          <w:tcPr>
            <w:tcW w:w="3825" w:type="dxa"/>
            <w:noWrap w:val="0"/>
            <w:vAlign w:val="center"/>
          </w:tcPr>
          <w:p w14:paraId="5310E19C">
            <w:pPr>
              <w:keepNext w:val="0"/>
              <w:keepLines w:val="0"/>
              <w:pageBreakBefore w:val="0"/>
              <w:suppressLineNumbers w:val="0"/>
              <w:kinsoku/>
              <w:overflowPunct/>
              <w:bidi w:val="0"/>
              <w:spacing w:before="24" w:beforeAutospacing="0" w:after="24" w:afterAutospacing="0" w:line="600" w:lineRule="exact"/>
              <w:ind w:left="0" w:right="0"/>
              <w:jc w:val="center"/>
              <w:rPr>
                <w:rFonts w:hint="eastAsia" w:ascii="仿宋" w:hAnsi="仿宋" w:eastAsia="仿宋" w:cs="宋体"/>
                <w:color w:val="auto"/>
                <w:kern w:val="0"/>
                <w:szCs w:val="21"/>
                <w:highlight w:val="none"/>
              </w:rPr>
            </w:pPr>
            <w:r>
              <w:rPr>
                <w:rFonts w:hint="eastAsia" w:ascii="仿宋" w:hAnsi="仿宋" w:eastAsia="仿宋" w:cs="宋体"/>
                <w:color w:val="auto"/>
                <w:szCs w:val="21"/>
                <w:highlight w:val="none"/>
              </w:rPr>
              <w:t>营业执照</w:t>
            </w:r>
          </w:p>
        </w:tc>
        <w:tc>
          <w:tcPr>
            <w:tcW w:w="3460" w:type="dxa"/>
            <w:noWrap w:val="0"/>
            <w:vAlign w:val="top"/>
          </w:tcPr>
          <w:p w14:paraId="4B474EC4">
            <w:pPr>
              <w:keepNext w:val="0"/>
              <w:keepLines w:val="0"/>
              <w:pageBreakBefore w:val="0"/>
              <w:suppressLineNumbers w:val="0"/>
              <w:kinsoku/>
              <w:overflowPunct/>
              <w:bidi w:val="0"/>
              <w:spacing w:before="24" w:beforeAutospacing="0" w:after="24" w:afterAutospacing="0" w:line="600" w:lineRule="exact"/>
              <w:ind w:left="0" w:right="0"/>
              <w:jc w:val="left"/>
              <w:rPr>
                <w:rFonts w:hint="eastAsia" w:ascii="仿宋" w:hAnsi="仿宋" w:eastAsia="仿宋" w:cs="宋体"/>
                <w:color w:val="auto"/>
                <w:szCs w:val="21"/>
                <w:highlight w:val="none"/>
              </w:rPr>
            </w:pPr>
          </w:p>
        </w:tc>
      </w:tr>
      <w:tr w14:paraId="521F010D">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361" w:hRule="atLeast"/>
          <w:jc w:val="center"/>
        </w:trPr>
        <w:tc>
          <w:tcPr>
            <w:tcW w:w="912" w:type="dxa"/>
            <w:vMerge w:val="continue"/>
            <w:noWrap w:val="0"/>
            <w:vAlign w:val="center"/>
          </w:tcPr>
          <w:p w14:paraId="72F9C996">
            <w:pPr>
              <w:keepNext w:val="0"/>
              <w:keepLines w:val="0"/>
              <w:pageBreakBefore w:val="0"/>
              <w:widowControl/>
              <w:suppressLineNumbers w:val="0"/>
              <w:kinsoku/>
              <w:overflowPunct/>
              <w:bidi w:val="0"/>
              <w:spacing w:before="0" w:beforeAutospacing="0" w:after="0" w:afterAutospacing="0" w:line="600" w:lineRule="exact"/>
              <w:ind w:left="0" w:right="0"/>
              <w:jc w:val="center"/>
              <w:rPr>
                <w:rFonts w:hint="eastAsia" w:ascii="仿宋" w:hAnsi="仿宋" w:eastAsia="仿宋" w:cs="宋体"/>
                <w:color w:val="auto"/>
                <w:kern w:val="0"/>
                <w:szCs w:val="21"/>
                <w:highlight w:val="none"/>
              </w:rPr>
            </w:pPr>
          </w:p>
        </w:tc>
        <w:tc>
          <w:tcPr>
            <w:tcW w:w="1277" w:type="dxa"/>
            <w:vMerge w:val="continue"/>
            <w:noWrap w:val="0"/>
            <w:vAlign w:val="center"/>
          </w:tcPr>
          <w:p w14:paraId="10DC17AD">
            <w:pPr>
              <w:keepNext w:val="0"/>
              <w:keepLines w:val="0"/>
              <w:pageBreakBefore w:val="0"/>
              <w:widowControl/>
              <w:suppressLineNumbers w:val="0"/>
              <w:kinsoku/>
              <w:overflowPunct/>
              <w:bidi w:val="0"/>
              <w:spacing w:before="0" w:beforeAutospacing="0" w:after="0" w:afterAutospacing="0" w:line="600" w:lineRule="exact"/>
              <w:ind w:left="0" w:right="0"/>
              <w:jc w:val="center"/>
              <w:rPr>
                <w:rFonts w:hint="eastAsia" w:ascii="仿宋" w:hAnsi="仿宋" w:eastAsia="仿宋" w:cs="宋体"/>
                <w:color w:val="auto"/>
                <w:kern w:val="0"/>
                <w:szCs w:val="21"/>
                <w:highlight w:val="none"/>
              </w:rPr>
            </w:pPr>
          </w:p>
        </w:tc>
        <w:tc>
          <w:tcPr>
            <w:tcW w:w="3825" w:type="dxa"/>
            <w:noWrap w:val="0"/>
            <w:vAlign w:val="center"/>
          </w:tcPr>
          <w:p w14:paraId="48191970">
            <w:pPr>
              <w:keepNext w:val="0"/>
              <w:keepLines w:val="0"/>
              <w:pageBreakBefore w:val="0"/>
              <w:suppressLineNumbers w:val="0"/>
              <w:kinsoku/>
              <w:overflowPunct/>
              <w:bidi w:val="0"/>
              <w:spacing w:before="24" w:beforeAutospacing="0" w:after="24" w:afterAutospacing="0" w:line="600" w:lineRule="exact"/>
              <w:ind w:left="0" w:right="0"/>
              <w:jc w:val="center"/>
              <w:rPr>
                <w:rFonts w:hint="eastAsia" w:ascii="仿宋" w:hAnsi="仿宋" w:eastAsia="仿宋" w:cs="宋体"/>
                <w:color w:val="auto"/>
                <w:szCs w:val="21"/>
                <w:highlight w:val="none"/>
              </w:rPr>
            </w:pPr>
            <w:r>
              <w:rPr>
                <w:rFonts w:hint="eastAsia" w:ascii="仿宋" w:hAnsi="仿宋" w:eastAsia="仿宋" w:cs="仿宋"/>
                <w:color w:val="auto"/>
                <w:szCs w:val="21"/>
                <w:highlight w:val="none"/>
              </w:rPr>
              <w:t>无违法违规记录</w:t>
            </w:r>
          </w:p>
        </w:tc>
        <w:tc>
          <w:tcPr>
            <w:tcW w:w="3460" w:type="dxa"/>
            <w:noWrap w:val="0"/>
            <w:vAlign w:val="top"/>
          </w:tcPr>
          <w:p w14:paraId="3945FF62">
            <w:pPr>
              <w:keepNext w:val="0"/>
              <w:keepLines w:val="0"/>
              <w:pageBreakBefore w:val="0"/>
              <w:suppressLineNumbers w:val="0"/>
              <w:kinsoku/>
              <w:overflowPunct/>
              <w:bidi w:val="0"/>
              <w:spacing w:before="24" w:beforeAutospacing="0" w:after="24" w:afterAutospacing="0" w:line="600" w:lineRule="exact"/>
              <w:ind w:left="0" w:right="0"/>
              <w:jc w:val="left"/>
              <w:rPr>
                <w:rFonts w:hint="eastAsia" w:ascii="仿宋" w:hAnsi="仿宋" w:eastAsia="仿宋" w:cs="宋体"/>
                <w:color w:val="auto"/>
                <w:szCs w:val="21"/>
                <w:highlight w:val="none"/>
              </w:rPr>
            </w:pPr>
          </w:p>
        </w:tc>
      </w:tr>
      <w:tr w14:paraId="58F06762">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376" w:hRule="atLeast"/>
          <w:jc w:val="center"/>
        </w:trPr>
        <w:tc>
          <w:tcPr>
            <w:tcW w:w="912" w:type="dxa"/>
            <w:vMerge w:val="continue"/>
            <w:noWrap w:val="0"/>
            <w:vAlign w:val="center"/>
          </w:tcPr>
          <w:p w14:paraId="63FE532B">
            <w:pPr>
              <w:keepNext w:val="0"/>
              <w:keepLines w:val="0"/>
              <w:pageBreakBefore w:val="0"/>
              <w:widowControl/>
              <w:suppressLineNumbers w:val="0"/>
              <w:kinsoku/>
              <w:overflowPunct/>
              <w:bidi w:val="0"/>
              <w:spacing w:before="0" w:beforeAutospacing="0" w:after="0" w:afterAutospacing="0" w:line="600" w:lineRule="exact"/>
              <w:ind w:left="0" w:right="0"/>
              <w:jc w:val="left"/>
              <w:rPr>
                <w:rFonts w:hint="eastAsia" w:ascii="仿宋" w:hAnsi="仿宋" w:eastAsia="仿宋" w:cs="宋体"/>
                <w:color w:val="auto"/>
                <w:kern w:val="0"/>
                <w:szCs w:val="21"/>
                <w:highlight w:val="none"/>
              </w:rPr>
            </w:pPr>
          </w:p>
        </w:tc>
        <w:tc>
          <w:tcPr>
            <w:tcW w:w="1277" w:type="dxa"/>
            <w:vMerge w:val="continue"/>
            <w:noWrap w:val="0"/>
            <w:vAlign w:val="center"/>
          </w:tcPr>
          <w:p w14:paraId="04D089D4">
            <w:pPr>
              <w:keepNext w:val="0"/>
              <w:keepLines w:val="0"/>
              <w:pageBreakBefore w:val="0"/>
              <w:widowControl/>
              <w:suppressLineNumbers w:val="0"/>
              <w:kinsoku/>
              <w:overflowPunct/>
              <w:bidi w:val="0"/>
              <w:spacing w:before="0" w:beforeAutospacing="0" w:after="0" w:afterAutospacing="0" w:line="600" w:lineRule="exact"/>
              <w:ind w:left="0" w:right="0"/>
              <w:jc w:val="left"/>
              <w:rPr>
                <w:rFonts w:hint="eastAsia" w:ascii="仿宋" w:hAnsi="仿宋" w:eastAsia="仿宋" w:cs="宋体"/>
                <w:color w:val="auto"/>
                <w:kern w:val="0"/>
                <w:szCs w:val="21"/>
                <w:highlight w:val="none"/>
              </w:rPr>
            </w:pPr>
          </w:p>
        </w:tc>
        <w:tc>
          <w:tcPr>
            <w:tcW w:w="3825" w:type="dxa"/>
            <w:noWrap w:val="0"/>
            <w:vAlign w:val="center"/>
          </w:tcPr>
          <w:p w14:paraId="12B69087">
            <w:pPr>
              <w:keepNext w:val="0"/>
              <w:keepLines w:val="0"/>
              <w:pageBreakBefore w:val="0"/>
              <w:suppressLineNumbers w:val="0"/>
              <w:kinsoku/>
              <w:overflowPunct/>
              <w:bidi w:val="0"/>
              <w:spacing w:before="24" w:beforeAutospacing="0" w:after="24" w:afterAutospacing="0" w:line="600" w:lineRule="exact"/>
              <w:ind w:left="0" w:right="0"/>
              <w:jc w:val="center"/>
              <w:rPr>
                <w:rFonts w:hint="eastAsia" w:ascii="仿宋" w:hAnsi="仿宋" w:eastAsia="仿宋" w:cs="宋体"/>
                <w:color w:val="auto"/>
                <w:szCs w:val="21"/>
                <w:highlight w:val="none"/>
              </w:rPr>
            </w:pPr>
            <w:r>
              <w:rPr>
                <w:rFonts w:hint="eastAsia" w:ascii="仿宋" w:hAnsi="仿宋" w:eastAsia="仿宋" w:cs="Monaco"/>
                <w:color w:val="auto"/>
                <w:szCs w:val="21"/>
                <w:highlight w:val="none"/>
              </w:rPr>
              <w:t>未被列入黑名单</w:t>
            </w:r>
          </w:p>
        </w:tc>
        <w:tc>
          <w:tcPr>
            <w:tcW w:w="3460" w:type="dxa"/>
            <w:noWrap w:val="0"/>
            <w:vAlign w:val="top"/>
          </w:tcPr>
          <w:p w14:paraId="5D807E44">
            <w:pPr>
              <w:keepNext w:val="0"/>
              <w:keepLines w:val="0"/>
              <w:pageBreakBefore w:val="0"/>
              <w:suppressLineNumbers w:val="0"/>
              <w:kinsoku/>
              <w:overflowPunct/>
              <w:bidi w:val="0"/>
              <w:spacing w:before="0" w:beforeAutospacing="0" w:after="0" w:afterAutospacing="0" w:line="600" w:lineRule="exact"/>
              <w:ind w:left="0" w:right="0"/>
              <w:rPr>
                <w:rFonts w:hint="eastAsia" w:ascii="仿宋" w:hAnsi="仿宋" w:eastAsia="仿宋" w:cs="宋体"/>
                <w:color w:val="auto"/>
                <w:szCs w:val="21"/>
                <w:highlight w:val="none"/>
              </w:rPr>
            </w:pPr>
          </w:p>
        </w:tc>
      </w:tr>
      <w:tr w14:paraId="2678D96D">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376" w:hRule="atLeast"/>
          <w:jc w:val="center"/>
        </w:trPr>
        <w:tc>
          <w:tcPr>
            <w:tcW w:w="912" w:type="dxa"/>
            <w:vMerge w:val="continue"/>
            <w:noWrap w:val="0"/>
            <w:vAlign w:val="center"/>
          </w:tcPr>
          <w:p w14:paraId="4A208F7F">
            <w:pPr>
              <w:keepNext w:val="0"/>
              <w:keepLines w:val="0"/>
              <w:pageBreakBefore w:val="0"/>
              <w:widowControl/>
              <w:suppressLineNumbers w:val="0"/>
              <w:kinsoku/>
              <w:overflowPunct/>
              <w:bidi w:val="0"/>
              <w:spacing w:before="0" w:beforeAutospacing="0" w:after="0" w:afterAutospacing="0" w:line="600" w:lineRule="exact"/>
              <w:ind w:left="0" w:right="0"/>
              <w:jc w:val="left"/>
              <w:rPr>
                <w:rFonts w:hint="eastAsia" w:ascii="仿宋" w:hAnsi="仿宋" w:eastAsia="仿宋" w:cs="宋体"/>
                <w:color w:val="auto"/>
                <w:kern w:val="0"/>
                <w:szCs w:val="21"/>
                <w:highlight w:val="none"/>
              </w:rPr>
            </w:pPr>
          </w:p>
        </w:tc>
        <w:tc>
          <w:tcPr>
            <w:tcW w:w="1277" w:type="dxa"/>
            <w:vMerge w:val="continue"/>
            <w:noWrap w:val="0"/>
            <w:vAlign w:val="center"/>
          </w:tcPr>
          <w:p w14:paraId="032CA175">
            <w:pPr>
              <w:keepNext w:val="0"/>
              <w:keepLines w:val="0"/>
              <w:pageBreakBefore w:val="0"/>
              <w:widowControl/>
              <w:suppressLineNumbers w:val="0"/>
              <w:kinsoku/>
              <w:overflowPunct/>
              <w:bidi w:val="0"/>
              <w:spacing w:before="0" w:beforeAutospacing="0" w:after="0" w:afterAutospacing="0" w:line="600" w:lineRule="exact"/>
              <w:ind w:left="0" w:right="0"/>
              <w:jc w:val="left"/>
              <w:rPr>
                <w:rFonts w:hint="eastAsia" w:ascii="仿宋" w:hAnsi="仿宋" w:eastAsia="仿宋" w:cs="宋体"/>
                <w:color w:val="auto"/>
                <w:kern w:val="0"/>
                <w:szCs w:val="21"/>
                <w:highlight w:val="none"/>
              </w:rPr>
            </w:pPr>
          </w:p>
        </w:tc>
        <w:tc>
          <w:tcPr>
            <w:tcW w:w="3825" w:type="dxa"/>
            <w:noWrap w:val="0"/>
            <w:vAlign w:val="center"/>
          </w:tcPr>
          <w:p w14:paraId="3C98ACAD">
            <w:pPr>
              <w:keepNext w:val="0"/>
              <w:keepLines w:val="0"/>
              <w:pageBreakBefore w:val="0"/>
              <w:suppressLineNumbers w:val="0"/>
              <w:kinsoku/>
              <w:overflowPunct/>
              <w:bidi w:val="0"/>
              <w:spacing w:before="24" w:beforeAutospacing="0" w:after="24" w:afterAutospacing="0" w:line="600" w:lineRule="exact"/>
              <w:ind w:left="0" w:right="0"/>
              <w:jc w:val="center"/>
              <w:rPr>
                <w:rFonts w:hint="eastAsia" w:ascii="仿宋" w:hAnsi="仿宋" w:eastAsia="仿宋" w:cs="宋体"/>
                <w:color w:val="auto"/>
                <w:szCs w:val="21"/>
                <w:highlight w:val="none"/>
              </w:rPr>
            </w:pPr>
            <w:r>
              <w:rPr>
                <w:rFonts w:hint="eastAsia" w:ascii="仿宋" w:hAnsi="仿宋" w:eastAsia="仿宋" w:cs="Cambria Math"/>
                <w:color w:val="auto"/>
                <w:szCs w:val="21"/>
                <w:highlight w:val="none"/>
              </w:rPr>
              <w:t>控股及管理关系</w:t>
            </w:r>
          </w:p>
        </w:tc>
        <w:tc>
          <w:tcPr>
            <w:tcW w:w="3460" w:type="dxa"/>
            <w:noWrap w:val="0"/>
            <w:vAlign w:val="center"/>
          </w:tcPr>
          <w:p w14:paraId="4A87A126">
            <w:pPr>
              <w:keepNext w:val="0"/>
              <w:keepLines w:val="0"/>
              <w:pageBreakBefore w:val="0"/>
              <w:suppressLineNumbers w:val="0"/>
              <w:kinsoku/>
              <w:overflowPunct/>
              <w:bidi w:val="0"/>
              <w:spacing w:before="24" w:beforeAutospacing="0" w:after="24" w:afterAutospacing="0" w:line="600" w:lineRule="exact"/>
              <w:ind w:left="0" w:right="0"/>
              <w:jc w:val="left"/>
              <w:rPr>
                <w:rFonts w:hint="eastAsia" w:ascii="仿宋" w:hAnsi="仿宋" w:eastAsia="仿宋" w:cs="宋体"/>
                <w:color w:val="auto"/>
                <w:kern w:val="0"/>
                <w:szCs w:val="21"/>
                <w:highlight w:val="none"/>
              </w:rPr>
            </w:pPr>
          </w:p>
        </w:tc>
      </w:tr>
      <w:tr w14:paraId="0913506E">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361" w:hRule="atLeast"/>
          <w:jc w:val="center"/>
        </w:trPr>
        <w:tc>
          <w:tcPr>
            <w:tcW w:w="912" w:type="dxa"/>
            <w:vMerge w:val="restart"/>
            <w:noWrap w:val="0"/>
            <w:vAlign w:val="center"/>
          </w:tcPr>
          <w:p w14:paraId="41D4C341">
            <w:pPr>
              <w:keepNext w:val="0"/>
              <w:keepLines w:val="0"/>
              <w:pageBreakBefore w:val="0"/>
              <w:widowControl/>
              <w:suppressLineNumbers w:val="0"/>
              <w:kinsoku/>
              <w:overflowPunct/>
              <w:bidi w:val="0"/>
              <w:spacing w:before="0" w:beforeAutospacing="0" w:after="0" w:afterAutospacing="0" w:line="600" w:lineRule="exact"/>
              <w:ind w:left="0" w:right="0"/>
              <w:jc w:val="center"/>
              <w:rPr>
                <w:rFonts w:hint="eastAsia" w:ascii="仿宋" w:hAnsi="仿宋" w:eastAsia="仿宋" w:cs="宋体"/>
                <w:color w:val="auto"/>
                <w:kern w:val="0"/>
                <w:szCs w:val="21"/>
                <w:highlight w:val="none"/>
              </w:rPr>
            </w:pPr>
            <w:r>
              <w:rPr>
                <w:rFonts w:hint="eastAsia" w:ascii="仿宋" w:hAnsi="仿宋" w:eastAsia="仿宋" w:cs="宋体"/>
                <w:color w:val="auto"/>
                <w:kern w:val="0"/>
                <w:szCs w:val="21"/>
                <w:highlight w:val="none"/>
              </w:rPr>
              <w:t>3</w:t>
            </w:r>
          </w:p>
        </w:tc>
        <w:tc>
          <w:tcPr>
            <w:tcW w:w="1277" w:type="dxa"/>
            <w:vMerge w:val="restart"/>
            <w:noWrap w:val="0"/>
            <w:vAlign w:val="center"/>
          </w:tcPr>
          <w:p w14:paraId="1CF063E7">
            <w:pPr>
              <w:keepNext w:val="0"/>
              <w:keepLines w:val="0"/>
              <w:pageBreakBefore w:val="0"/>
              <w:widowControl/>
              <w:suppressLineNumbers w:val="0"/>
              <w:kinsoku/>
              <w:overflowPunct/>
              <w:bidi w:val="0"/>
              <w:spacing w:before="0" w:beforeAutospacing="0" w:after="0" w:afterAutospacing="0" w:line="600" w:lineRule="exact"/>
              <w:ind w:left="0" w:right="0"/>
              <w:jc w:val="center"/>
              <w:rPr>
                <w:rFonts w:hint="eastAsia" w:ascii="仿宋" w:hAnsi="仿宋" w:eastAsia="仿宋" w:cs="宋体"/>
                <w:color w:val="auto"/>
                <w:kern w:val="0"/>
                <w:szCs w:val="21"/>
                <w:highlight w:val="none"/>
              </w:rPr>
            </w:pPr>
            <w:r>
              <w:rPr>
                <w:rFonts w:hint="eastAsia" w:ascii="仿宋" w:hAnsi="仿宋" w:eastAsia="仿宋" w:cs="宋体"/>
                <w:color w:val="auto"/>
                <w:kern w:val="0"/>
                <w:szCs w:val="21"/>
                <w:highlight w:val="none"/>
              </w:rPr>
              <w:t>响应性评审标准</w:t>
            </w:r>
          </w:p>
        </w:tc>
        <w:tc>
          <w:tcPr>
            <w:tcW w:w="3825" w:type="dxa"/>
            <w:noWrap w:val="0"/>
            <w:vAlign w:val="center"/>
          </w:tcPr>
          <w:p w14:paraId="59D5D9E1">
            <w:pPr>
              <w:keepNext w:val="0"/>
              <w:keepLines w:val="0"/>
              <w:pageBreakBefore w:val="0"/>
              <w:suppressLineNumbers w:val="0"/>
              <w:kinsoku/>
              <w:overflowPunct/>
              <w:bidi w:val="0"/>
              <w:spacing w:before="24" w:beforeAutospacing="0" w:after="24" w:afterAutospacing="0" w:line="600" w:lineRule="exact"/>
              <w:ind w:left="0" w:right="0"/>
              <w:jc w:val="center"/>
              <w:rPr>
                <w:rFonts w:hint="eastAsia" w:ascii="仿宋" w:hAnsi="仿宋" w:eastAsia="仿宋" w:cs="宋体"/>
                <w:color w:val="auto"/>
                <w:kern w:val="0"/>
                <w:szCs w:val="21"/>
                <w:highlight w:val="none"/>
                <w:lang w:val="en-US" w:eastAsia="zh-CN"/>
              </w:rPr>
            </w:pPr>
            <w:r>
              <w:rPr>
                <w:rFonts w:hint="eastAsia" w:ascii="仿宋" w:hAnsi="仿宋" w:eastAsia="仿宋" w:cs="仿宋"/>
                <w:color w:val="auto"/>
                <w:szCs w:val="21"/>
                <w:highlight w:val="none"/>
              </w:rPr>
              <w:t>投标函</w:t>
            </w:r>
          </w:p>
        </w:tc>
        <w:tc>
          <w:tcPr>
            <w:tcW w:w="3460" w:type="dxa"/>
            <w:noWrap w:val="0"/>
            <w:vAlign w:val="center"/>
          </w:tcPr>
          <w:p w14:paraId="6104A912">
            <w:pPr>
              <w:keepNext w:val="0"/>
              <w:keepLines w:val="0"/>
              <w:pageBreakBefore w:val="0"/>
              <w:suppressLineNumbers w:val="0"/>
              <w:kinsoku/>
              <w:overflowPunct/>
              <w:bidi w:val="0"/>
              <w:spacing w:before="0" w:beforeAutospacing="0" w:after="0" w:afterAutospacing="0" w:line="600" w:lineRule="exact"/>
              <w:ind w:left="0" w:right="0"/>
              <w:rPr>
                <w:rFonts w:hint="eastAsia" w:ascii="仿宋" w:hAnsi="仿宋" w:eastAsia="仿宋" w:cs="宋体"/>
                <w:color w:val="auto"/>
                <w:kern w:val="0"/>
                <w:szCs w:val="21"/>
                <w:highlight w:val="none"/>
              </w:rPr>
            </w:pPr>
          </w:p>
        </w:tc>
      </w:tr>
      <w:tr w14:paraId="1F225647">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23" w:hRule="atLeast"/>
          <w:jc w:val="center"/>
        </w:trPr>
        <w:tc>
          <w:tcPr>
            <w:tcW w:w="912" w:type="dxa"/>
            <w:vMerge w:val="continue"/>
            <w:noWrap w:val="0"/>
            <w:vAlign w:val="center"/>
          </w:tcPr>
          <w:p w14:paraId="62FA6D52">
            <w:pPr>
              <w:keepNext w:val="0"/>
              <w:keepLines w:val="0"/>
              <w:pageBreakBefore w:val="0"/>
              <w:widowControl/>
              <w:suppressLineNumbers w:val="0"/>
              <w:kinsoku/>
              <w:overflowPunct/>
              <w:bidi w:val="0"/>
              <w:spacing w:before="0" w:beforeAutospacing="0" w:after="0" w:afterAutospacing="0" w:line="600" w:lineRule="exact"/>
              <w:ind w:left="0" w:right="0"/>
              <w:jc w:val="left"/>
              <w:rPr>
                <w:rFonts w:hint="eastAsia" w:ascii="仿宋" w:hAnsi="仿宋" w:eastAsia="仿宋" w:cs="宋体"/>
                <w:color w:val="auto"/>
                <w:kern w:val="0"/>
                <w:szCs w:val="21"/>
                <w:highlight w:val="none"/>
              </w:rPr>
            </w:pPr>
          </w:p>
        </w:tc>
        <w:tc>
          <w:tcPr>
            <w:tcW w:w="1277" w:type="dxa"/>
            <w:vMerge w:val="continue"/>
            <w:noWrap w:val="0"/>
            <w:vAlign w:val="center"/>
          </w:tcPr>
          <w:p w14:paraId="53B6C0DE">
            <w:pPr>
              <w:keepNext w:val="0"/>
              <w:keepLines w:val="0"/>
              <w:pageBreakBefore w:val="0"/>
              <w:widowControl/>
              <w:suppressLineNumbers w:val="0"/>
              <w:kinsoku/>
              <w:overflowPunct/>
              <w:bidi w:val="0"/>
              <w:spacing w:before="0" w:beforeAutospacing="0" w:after="0" w:afterAutospacing="0" w:line="600" w:lineRule="exact"/>
              <w:ind w:left="0" w:right="0"/>
              <w:jc w:val="left"/>
              <w:rPr>
                <w:rFonts w:hint="eastAsia" w:ascii="仿宋" w:hAnsi="仿宋" w:eastAsia="仿宋" w:cs="宋体"/>
                <w:color w:val="auto"/>
                <w:kern w:val="0"/>
                <w:szCs w:val="21"/>
                <w:highlight w:val="none"/>
              </w:rPr>
            </w:pPr>
          </w:p>
        </w:tc>
        <w:tc>
          <w:tcPr>
            <w:tcW w:w="3825" w:type="dxa"/>
            <w:noWrap w:val="0"/>
            <w:vAlign w:val="center"/>
          </w:tcPr>
          <w:p w14:paraId="242FD3A0">
            <w:pPr>
              <w:keepNext w:val="0"/>
              <w:keepLines w:val="0"/>
              <w:pageBreakBefore w:val="0"/>
              <w:suppressLineNumbers w:val="0"/>
              <w:kinsoku/>
              <w:overflowPunct/>
              <w:bidi w:val="0"/>
              <w:spacing w:before="24" w:beforeAutospacing="0" w:after="24" w:afterAutospacing="0" w:line="600" w:lineRule="exact"/>
              <w:ind w:left="0" w:right="0"/>
              <w:jc w:val="center"/>
              <w:rPr>
                <w:rFonts w:hint="eastAsia" w:ascii="仿宋" w:hAnsi="仿宋" w:eastAsia="仿宋" w:cs="宋体"/>
                <w:color w:val="auto"/>
                <w:kern w:val="0"/>
                <w:szCs w:val="21"/>
                <w:highlight w:val="none"/>
              </w:rPr>
            </w:pPr>
            <w:r>
              <w:rPr>
                <w:rFonts w:hint="eastAsia" w:ascii="仿宋" w:hAnsi="仿宋" w:eastAsia="仿宋" w:cs="宋体"/>
                <w:color w:val="auto"/>
                <w:szCs w:val="21"/>
                <w:highlight w:val="none"/>
              </w:rPr>
              <w:t>投标保证</w:t>
            </w:r>
            <w:r>
              <w:rPr>
                <w:rFonts w:hint="eastAsia" w:ascii="仿宋" w:hAnsi="仿宋" w:eastAsia="仿宋" w:cs="宋体"/>
                <w:color w:val="auto"/>
                <w:szCs w:val="21"/>
                <w:highlight w:val="none"/>
                <w:lang w:val="en-US" w:eastAsia="zh-CN"/>
              </w:rPr>
              <w:t>金</w:t>
            </w:r>
          </w:p>
        </w:tc>
        <w:tc>
          <w:tcPr>
            <w:tcW w:w="3460" w:type="dxa"/>
            <w:noWrap w:val="0"/>
            <w:vAlign w:val="center"/>
          </w:tcPr>
          <w:p w14:paraId="3952CFAF">
            <w:pPr>
              <w:keepNext w:val="0"/>
              <w:keepLines w:val="0"/>
              <w:pageBreakBefore w:val="0"/>
              <w:suppressLineNumbers w:val="0"/>
              <w:kinsoku/>
              <w:overflowPunct/>
              <w:bidi w:val="0"/>
              <w:spacing w:before="0" w:beforeAutospacing="0" w:after="0" w:afterAutospacing="0" w:line="600" w:lineRule="exact"/>
              <w:ind w:left="0" w:right="0"/>
              <w:rPr>
                <w:rFonts w:hint="eastAsia" w:ascii="仿宋" w:hAnsi="仿宋" w:eastAsia="仿宋" w:cs="宋体"/>
                <w:color w:val="auto"/>
                <w:kern w:val="0"/>
                <w:szCs w:val="21"/>
                <w:highlight w:val="none"/>
              </w:rPr>
            </w:pPr>
          </w:p>
        </w:tc>
      </w:tr>
      <w:tr w14:paraId="0A6CE6F2">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23" w:hRule="atLeast"/>
          <w:jc w:val="center"/>
        </w:trPr>
        <w:tc>
          <w:tcPr>
            <w:tcW w:w="912" w:type="dxa"/>
            <w:vMerge w:val="continue"/>
            <w:noWrap w:val="0"/>
            <w:vAlign w:val="center"/>
          </w:tcPr>
          <w:p w14:paraId="13B308EB">
            <w:pPr>
              <w:keepNext w:val="0"/>
              <w:keepLines w:val="0"/>
              <w:pageBreakBefore w:val="0"/>
              <w:widowControl/>
              <w:suppressLineNumbers w:val="0"/>
              <w:kinsoku/>
              <w:overflowPunct/>
              <w:bidi w:val="0"/>
              <w:spacing w:before="0" w:beforeAutospacing="0" w:after="0" w:afterAutospacing="0" w:line="600" w:lineRule="exact"/>
              <w:ind w:left="0" w:right="0"/>
              <w:jc w:val="left"/>
              <w:rPr>
                <w:rFonts w:hint="eastAsia" w:ascii="仿宋" w:hAnsi="仿宋" w:eastAsia="仿宋" w:cs="宋体"/>
                <w:color w:val="auto"/>
                <w:kern w:val="0"/>
                <w:szCs w:val="21"/>
                <w:highlight w:val="none"/>
              </w:rPr>
            </w:pPr>
          </w:p>
        </w:tc>
        <w:tc>
          <w:tcPr>
            <w:tcW w:w="1277" w:type="dxa"/>
            <w:vMerge w:val="continue"/>
            <w:noWrap w:val="0"/>
            <w:vAlign w:val="center"/>
          </w:tcPr>
          <w:p w14:paraId="76C831AE">
            <w:pPr>
              <w:keepNext w:val="0"/>
              <w:keepLines w:val="0"/>
              <w:pageBreakBefore w:val="0"/>
              <w:widowControl/>
              <w:suppressLineNumbers w:val="0"/>
              <w:kinsoku/>
              <w:overflowPunct/>
              <w:bidi w:val="0"/>
              <w:spacing w:before="0" w:beforeAutospacing="0" w:after="0" w:afterAutospacing="0" w:line="600" w:lineRule="exact"/>
              <w:ind w:left="0" w:right="0"/>
              <w:jc w:val="left"/>
              <w:rPr>
                <w:rFonts w:hint="eastAsia" w:ascii="仿宋" w:hAnsi="仿宋" w:eastAsia="仿宋" w:cs="宋体"/>
                <w:color w:val="auto"/>
                <w:kern w:val="0"/>
                <w:szCs w:val="21"/>
                <w:highlight w:val="none"/>
              </w:rPr>
            </w:pPr>
          </w:p>
        </w:tc>
        <w:tc>
          <w:tcPr>
            <w:tcW w:w="3825" w:type="dxa"/>
            <w:noWrap w:val="0"/>
            <w:vAlign w:val="center"/>
          </w:tcPr>
          <w:p w14:paraId="47F01FA5">
            <w:pPr>
              <w:keepNext w:val="0"/>
              <w:keepLines w:val="0"/>
              <w:pageBreakBefore w:val="0"/>
              <w:suppressLineNumbers w:val="0"/>
              <w:kinsoku/>
              <w:overflowPunct/>
              <w:bidi w:val="0"/>
              <w:spacing w:before="24" w:beforeAutospacing="0" w:after="24" w:afterAutospacing="0" w:line="600" w:lineRule="exact"/>
              <w:ind w:left="0" w:right="0"/>
              <w:jc w:val="center"/>
              <w:rPr>
                <w:rFonts w:hint="eastAsia" w:ascii="仿宋" w:hAnsi="仿宋" w:eastAsia="仿宋" w:cs="仿宋"/>
                <w:color w:val="auto"/>
                <w:szCs w:val="21"/>
                <w:highlight w:val="none"/>
              </w:rPr>
            </w:pPr>
            <w:r>
              <w:rPr>
                <w:rFonts w:hint="eastAsia" w:ascii="仿宋" w:hAnsi="仿宋" w:eastAsia="仿宋" w:cs="宋体"/>
                <w:color w:val="auto"/>
                <w:szCs w:val="21"/>
                <w:highlight w:val="none"/>
              </w:rPr>
              <w:t>供应商行为准则承诺书</w:t>
            </w:r>
          </w:p>
        </w:tc>
        <w:tc>
          <w:tcPr>
            <w:tcW w:w="3460" w:type="dxa"/>
            <w:noWrap w:val="0"/>
            <w:vAlign w:val="center"/>
          </w:tcPr>
          <w:p w14:paraId="34B18D63">
            <w:pPr>
              <w:keepNext w:val="0"/>
              <w:keepLines w:val="0"/>
              <w:pageBreakBefore w:val="0"/>
              <w:suppressLineNumbers w:val="0"/>
              <w:kinsoku/>
              <w:overflowPunct/>
              <w:bidi w:val="0"/>
              <w:spacing w:before="0" w:beforeAutospacing="0" w:after="0" w:afterAutospacing="0" w:line="600" w:lineRule="exact"/>
              <w:ind w:left="0" w:right="0"/>
              <w:rPr>
                <w:rFonts w:hint="eastAsia" w:ascii="仿宋" w:hAnsi="仿宋" w:eastAsia="仿宋" w:cs="宋体"/>
                <w:color w:val="auto"/>
                <w:kern w:val="0"/>
                <w:szCs w:val="21"/>
                <w:highlight w:val="none"/>
              </w:rPr>
            </w:pPr>
          </w:p>
        </w:tc>
      </w:tr>
      <w:tr w14:paraId="4CB4E9BC">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23" w:hRule="atLeast"/>
          <w:jc w:val="center"/>
        </w:trPr>
        <w:tc>
          <w:tcPr>
            <w:tcW w:w="912" w:type="dxa"/>
            <w:vMerge w:val="continue"/>
            <w:noWrap w:val="0"/>
            <w:vAlign w:val="center"/>
          </w:tcPr>
          <w:p w14:paraId="76D13ADA">
            <w:pPr>
              <w:keepNext w:val="0"/>
              <w:keepLines w:val="0"/>
              <w:pageBreakBefore w:val="0"/>
              <w:widowControl/>
              <w:suppressLineNumbers w:val="0"/>
              <w:kinsoku/>
              <w:overflowPunct/>
              <w:bidi w:val="0"/>
              <w:spacing w:before="0" w:beforeAutospacing="0" w:after="0" w:afterAutospacing="0" w:line="600" w:lineRule="exact"/>
              <w:ind w:left="0" w:right="0"/>
              <w:jc w:val="left"/>
              <w:rPr>
                <w:rFonts w:hint="eastAsia" w:ascii="仿宋" w:hAnsi="仿宋" w:eastAsia="仿宋" w:cs="宋体"/>
                <w:color w:val="auto"/>
                <w:kern w:val="0"/>
                <w:szCs w:val="21"/>
                <w:highlight w:val="none"/>
              </w:rPr>
            </w:pPr>
          </w:p>
        </w:tc>
        <w:tc>
          <w:tcPr>
            <w:tcW w:w="1277" w:type="dxa"/>
            <w:vMerge w:val="continue"/>
            <w:noWrap w:val="0"/>
            <w:vAlign w:val="center"/>
          </w:tcPr>
          <w:p w14:paraId="307AD042">
            <w:pPr>
              <w:keepNext w:val="0"/>
              <w:keepLines w:val="0"/>
              <w:pageBreakBefore w:val="0"/>
              <w:widowControl/>
              <w:suppressLineNumbers w:val="0"/>
              <w:kinsoku/>
              <w:overflowPunct/>
              <w:bidi w:val="0"/>
              <w:spacing w:before="0" w:beforeAutospacing="0" w:after="0" w:afterAutospacing="0" w:line="600" w:lineRule="exact"/>
              <w:ind w:left="0" w:right="0"/>
              <w:jc w:val="left"/>
              <w:rPr>
                <w:rFonts w:hint="eastAsia" w:ascii="仿宋" w:hAnsi="仿宋" w:eastAsia="仿宋" w:cs="宋体"/>
                <w:color w:val="auto"/>
                <w:kern w:val="0"/>
                <w:szCs w:val="21"/>
                <w:highlight w:val="none"/>
              </w:rPr>
            </w:pPr>
          </w:p>
        </w:tc>
        <w:tc>
          <w:tcPr>
            <w:tcW w:w="3825" w:type="dxa"/>
            <w:noWrap w:val="0"/>
            <w:vAlign w:val="center"/>
          </w:tcPr>
          <w:p w14:paraId="078C6368">
            <w:pPr>
              <w:keepNext w:val="0"/>
              <w:keepLines w:val="0"/>
              <w:pageBreakBefore w:val="0"/>
              <w:suppressLineNumbers w:val="0"/>
              <w:kinsoku/>
              <w:overflowPunct/>
              <w:bidi w:val="0"/>
              <w:spacing w:before="24" w:beforeAutospacing="0" w:after="24" w:afterAutospacing="0" w:line="600" w:lineRule="exact"/>
              <w:ind w:left="0" w:right="0"/>
              <w:jc w:val="center"/>
              <w:rPr>
                <w:rFonts w:hint="eastAsia" w:ascii="仿宋" w:hAnsi="仿宋" w:eastAsia="仿宋" w:cs="仿宋"/>
                <w:color w:val="auto"/>
                <w:szCs w:val="21"/>
                <w:highlight w:val="none"/>
              </w:rPr>
            </w:pPr>
            <w:r>
              <w:rPr>
                <w:rFonts w:hint="eastAsia" w:ascii="仿宋" w:hAnsi="仿宋" w:eastAsia="仿宋" w:cs="宋体"/>
                <w:color w:val="auto"/>
                <w:szCs w:val="21"/>
                <w:highlight w:val="none"/>
              </w:rPr>
              <w:t>供应商廉洁诚信承诺书</w:t>
            </w:r>
          </w:p>
        </w:tc>
        <w:tc>
          <w:tcPr>
            <w:tcW w:w="3460" w:type="dxa"/>
            <w:noWrap w:val="0"/>
            <w:vAlign w:val="center"/>
          </w:tcPr>
          <w:p w14:paraId="72698D1E">
            <w:pPr>
              <w:keepNext w:val="0"/>
              <w:keepLines w:val="0"/>
              <w:pageBreakBefore w:val="0"/>
              <w:suppressLineNumbers w:val="0"/>
              <w:kinsoku/>
              <w:overflowPunct/>
              <w:bidi w:val="0"/>
              <w:spacing w:before="0" w:beforeAutospacing="0" w:after="0" w:afterAutospacing="0" w:line="600" w:lineRule="exact"/>
              <w:ind w:left="0" w:right="0"/>
              <w:rPr>
                <w:rFonts w:hint="eastAsia" w:ascii="仿宋" w:hAnsi="仿宋" w:eastAsia="仿宋" w:cs="宋体"/>
                <w:color w:val="auto"/>
                <w:kern w:val="0"/>
                <w:szCs w:val="21"/>
                <w:highlight w:val="none"/>
              </w:rPr>
            </w:pPr>
          </w:p>
        </w:tc>
      </w:tr>
      <w:tr w14:paraId="70B657CD">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23" w:hRule="atLeast"/>
          <w:jc w:val="center"/>
        </w:trPr>
        <w:tc>
          <w:tcPr>
            <w:tcW w:w="912" w:type="dxa"/>
            <w:vMerge w:val="continue"/>
            <w:noWrap w:val="0"/>
            <w:vAlign w:val="center"/>
          </w:tcPr>
          <w:p w14:paraId="7D4C4C4B">
            <w:pPr>
              <w:keepNext w:val="0"/>
              <w:keepLines w:val="0"/>
              <w:pageBreakBefore w:val="0"/>
              <w:widowControl/>
              <w:suppressLineNumbers w:val="0"/>
              <w:kinsoku/>
              <w:overflowPunct/>
              <w:bidi w:val="0"/>
              <w:spacing w:before="0" w:beforeAutospacing="0" w:after="0" w:afterAutospacing="0" w:line="600" w:lineRule="exact"/>
              <w:ind w:left="0" w:right="0"/>
              <w:jc w:val="left"/>
              <w:rPr>
                <w:rFonts w:hint="eastAsia" w:ascii="仿宋" w:hAnsi="仿宋" w:eastAsia="仿宋" w:cs="宋体"/>
                <w:color w:val="auto"/>
                <w:kern w:val="0"/>
                <w:szCs w:val="21"/>
                <w:highlight w:val="none"/>
              </w:rPr>
            </w:pPr>
          </w:p>
        </w:tc>
        <w:tc>
          <w:tcPr>
            <w:tcW w:w="1277" w:type="dxa"/>
            <w:vMerge w:val="continue"/>
            <w:noWrap w:val="0"/>
            <w:vAlign w:val="center"/>
          </w:tcPr>
          <w:p w14:paraId="71F9E5F4">
            <w:pPr>
              <w:keepNext w:val="0"/>
              <w:keepLines w:val="0"/>
              <w:pageBreakBefore w:val="0"/>
              <w:widowControl/>
              <w:suppressLineNumbers w:val="0"/>
              <w:kinsoku/>
              <w:overflowPunct/>
              <w:bidi w:val="0"/>
              <w:spacing w:before="0" w:beforeAutospacing="0" w:after="0" w:afterAutospacing="0" w:line="600" w:lineRule="exact"/>
              <w:ind w:left="0" w:right="0"/>
              <w:jc w:val="left"/>
              <w:rPr>
                <w:rFonts w:hint="eastAsia" w:ascii="仿宋" w:hAnsi="仿宋" w:eastAsia="仿宋" w:cs="宋体"/>
                <w:color w:val="auto"/>
                <w:kern w:val="0"/>
                <w:szCs w:val="21"/>
                <w:highlight w:val="none"/>
              </w:rPr>
            </w:pPr>
          </w:p>
        </w:tc>
        <w:tc>
          <w:tcPr>
            <w:tcW w:w="3825" w:type="dxa"/>
            <w:noWrap w:val="0"/>
            <w:vAlign w:val="center"/>
          </w:tcPr>
          <w:p w14:paraId="4573F85A">
            <w:pPr>
              <w:keepNext w:val="0"/>
              <w:keepLines w:val="0"/>
              <w:pageBreakBefore w:val="0"/>
              <w:suppressLineNumbers w:val="0"/>
              <w:kinsoku/>
              <w:overflowPunct/>
              <w:bidi w:val="0"/>
              <w:spacing w:before="24" w:beforeAutospacing="0" w:after="24" w:afterAutospacing="0" w:line="600" w:lineRule="exact"/>
              <w:ind w:left="0" w:right="0"/>
              <w:jc w:val="center"/>
              <w:rPr>
                <w:rFonts w:hint="eastAsia" w:ascii="仿宋" w:hAnsi="仿宋" w:eastAsia="仿宋" w:cs="宋体"/>
                <w:color w:val="auto"/>
                <w:kern w:val="0"/>
                <w:szCs w:val="21"/>
                <w:highlight w:val="none"/>
              </w:rPr>
            </w:pPr>
            <w:r>
              <w:rPr>
                <w:rFonts w:hint="eastAsia" w:ascii="仿宋" w:hAnsi="仿宋" w:eastAsia="仿宋" w:cs="仿宋"/>
                <w:color w:val="auto"/>
                <w:szCs w:val="21"/>
                <w:highlight w:val="none"/>
              </w:rPr>
              <w:t>投标一览表</w:t>
            </w:r>
          </w:p>
        </w:tc>
        <w:tc>
          <w:tcPr>
            <w:tcW w:w="3460" w:type="dxa"/>
            <w:noWrap w:val="0"/>
            <w:vAlign w:val="center"/>
          </w:tcPr>
          <w:p w14:paraId="194B2239">
            <w:pPr>
              <w:keepNext w:val="0"/>
              <w:keepLines w:val="0"/>
              <w:pageBreakBefore w:val="0"/>
              <w:suppressLineNumbers w:val="0"/>
              <w:kinsoku/>
              <w:overflowPunct/>
              <w:bidi w:val="0"/>
              <w:spacing w:before="0" w:beforeAutospacing="0" w:after="0" w:afterAutospacing="0" w:line="600" w:lineRule="exact"/>
              <w:ind w:left="0" w:right="0"/>
              <w:rPr>
                <w:rFonts w:hint="eastAsia" w:ascii="仿宋" w:hAnsi="仿宋" w:eastAsia="仿宋" w:cs="宋体"/>
                <w:color w:val="auto"/>
                <w:kern w:val="0"/>
                <w:szCs w:val="21"/>
                <w:highlight w:val="none"/>
              </w:rPr>
            </w:pPr>
          </w:p>
        </w:tc>
      </w:tr>
      <w:tr w14:paraId="1F36CBFE">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23" w:hRule="atLeast"/>
          <w:jc w:val="center"/>
        </w:trPr>
        <w:tc>
          <w:tcPr>
            <w:tcW w:w="912" w:type="dxa"/>
            <w:vMerge w:val="continue"/>
            <w:noWrap w:val="0"/>
            <w:vAlign w:val="center"/>
          </w:tcPr>
          <w:p w14:paraId="7C380D22">
            <w:pPr>
              <w:keepNext w:val="0"/>
              <w:keepLines w:val="0"/>
              <w:pageBreakBefore w:val="0"/>
              <w:widowControl/>
              <w:suppressLineNumbers w:val="0"/>
              <w:kinsoku/>
              <w:overflowPunct/>
              <w:bidi w:val="0"/>
              <w:spacing w:before="0" w:beforeAutospacing="0" w:after="0" w:afterAutospacing="0" w:line="600" w:lineRule="exact"/>
              <w:ind w:left="0" w:right="0"/>
              <w:jc w:val="left"/>
              <w:rPr>
                <w:rFonts w:hint="eastAsia" w:ascii="仿宋" w:hAnsi="仿宋" w:eastAsia="仿宋" w:cs="宋体"/>
                <w:color w:val="auto"/>
                <w:kern w:val="0"/>
                <w:szCs w:val="21"/>
                <w:highlight w:val="none"/>
              </w:rPr>
            </w:pPr>
          </w:p>
        </w:tc>
        <w:tc>
          <w:tcPr>
            <w:tcW w:w="1277" w:type="dxa"/>
            <w:vMerge w:val="continue"/>
            <w:noWrap w:val="0"/>
            <w:vAlign w:val="center"/>
          </w:tcPr>
          <w:p w14:paraId="14C6288F">
            <w:pPr>
              <w:keepNext w:val="0"/>
              <w:keepLines w:val="0"/>
              <w:pageBreakBefore w:val="0"/>
              <w:widowControl/>
              <w:suppressLineNumbers w:val="0"/>
              <w:kinsoku/>
              <w:overflowPunct/>
              <w:bidi w:val="0"/>
              <w:spacing w:before="0" w:beforeAutospacing="0" w:after="0" w:afterAutospacing="0" w:line="600" w:lineRule="exact"/>
              <w:ind w:left="0" w:right="0"/>
              <w:jc w:val="left"/>
              <w:rPr>
                <w:rFonts w:hint="eastAsia" w:ascii="仿宋" w:hAnsi="仿宋" w:eastAsia="仿宋" w:cs="宋体"/>
                <w:color w:val="auto"/>
                <w:kern w:val="0"/>
                <w:szCs w:val="21"/>
                <w:highlight w:val="none"/>
              </w:rPr>
            </w:pPr>
          </w:p>
        </w:tc>
        <w:tc>
          <w:tcPr>
            <w:tcW w:w="3825" w:type="dxa"/>
            <w:noWrap w:val="0"/>
            <w:vAlign w:val="center"/>
          </w:tcPr>
          <w:p w14:paraId="29FCC7B6">
            <w:pPr>
              <w:keepNext w:val="0"/>
              <w:keepLines w:val="0"/>
              <w:pageBreakBefore w:val="0"/>
              <w:suppressLineNumbers w:val="0"/>
              <w:kinsoku/>
              <w:overflowPunct/>
              <w:bidi w:val="0"/>
              <w:spacing w:before="24" w:beforeAutospacing="0" w:after="24" w:afterAutospacing="0" w:line="600" w:lineRule="exact"/>
              <w:ind w:left="0" w:right="0"/>
              <w:jc w:val="center"/>
              <w:rPr>
                <w:rFonts w:hint="eastAsia" w:ascii="仿宋" w:hAnsi="仿宋" w:eastAsia="仿宋" w:cs="宋体"/>
                <w:color w:val="auto"/>
                <w:kern w:val="0"/>
                <w:szCs w:val="21"/>
                <w:highlight w:val="none"/>
              </w:rPr>
            </w:pPr>
            <w:r>
              <w:rPr>
                <w:rFonts w:hint="eastAsia" w:ascii="仿宋" w:hAnsi="仿宋" w:eastAsia="仿宋" w:cs="仿宋"/>
                <w:color w:val="auto"/>
                <w:szCs w:val="21"/>
                <w:highlight w:val="none"/>
              </w:rPr>
              <w:t>偏离表应答</w:t>
            </w:r>
          </w:p>
        </w:tc>
        <w:tc>
          <w:tcPr>
            <w:tcW w:w="3460" w:type="dxa"/>
            <w:noWrap w:val="0"/>
            <w:vAlign w:val="center"/>
          </w:tcPr>
          <w:p w14:paraId="33282910">
            <w:pPr>
              <w:keepNext w:val="0"/>
              <w:keepLines w:val="0"/>
              <w:pageBreakBefore w:val="0"/>
              <w:suppressLineNumbers w:val="0"/>
              <w:kinsoku/>
              <w:overflowPunct/>
              <w:bidi w:val="0"/>
              <w:spacing w:before="0" w:beforeAutospacing="0" w:after="0" w:afterAutospacing="0" w:line="600" w:lineRule="exact"/>
              <w:ind w:left="0" w:right="0"/>
              <w:rPr>
                <w:rFonts w:hint="eastAsia" w:ascii="仿宋" w:hAnsi="仿宋" w:eastAsia="仿宋" w:cs="宋体"/>
                <w:color w:val="auto"/>
                <w:kern w:val="0"/>
                <w:szCs w:val="21"/>
                <w:highlight w:val="none"/>
              </w:rPr>
            </w:pPr>
          </w:p>
        </w:tc>
      </w:tr>
      <w:tr w14:paraId="641E67ED">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459" w:hRule="atLeast"/>
          <w:jc w:val="center"/>
        </w:trPr>
        <w:tc>
          <w:tcPr>
            <w:tcW w:w="912" w:type="dxa"/>
            <w:vMerge w:val="continue"/>
            <w:noWrap w:val="0"/>
            <w:vAlign w:val="center"/>
          </w:tcPr>
          <w:p w14:paraId="5AA0D6E3">
            <w:pPr>
              <w:keepNext w:val="0"/>
              <w:keepLines w:val="0"/>
              <w:pageBreakBefore w:val="0"/>
              <w:widowControl/>
              <w:suppressLineNumbers w:val="0"/>
              <w:kinsoku/>
              <w:overflowPunct/>
              <w:bidi w:val="0"/>
              <w:spacing w:before="0" w:beforeAutospacing="0" w:after="0" w:afterAutospacing="0" w:line="600" w:lineRule="exact"/>
              <w:ind w:left="0" w:right="0"/>
              <w:jc w:val="left"/>
              <w:rPr>
                <w:rFonts w:hint="eastAsia" w:ascii="仿宋" w:hAnsi="仿宋" w:eastAsia="仿宋" w:cs="宋体"/>
                <w:color w:val="auto"/>
                <w:kern w:val="0"/>
                <w:szCs w:val="21"/>
                <w:highlight w:val="none"/>
              </w:rPr>
            </w:pPr>
          </w:p>
        </w:tc>
        <w:tc>
          <w:tcPr>
            <w:tcW w:w="1277" w:type="dxa"/>
            <w:vMerge w:val="continue"/>
            <w:noWrap w:val="0"/>
            <w:vAlign w:val="center"/>
          </w:tcPr>
          <w:p w14:paraId="44B9BD58">
            <w:pPr>
              <w:keepNext w:val="0"/>
              <w:keepLines w:val="0"/>
              <w:pageBreakBefore w:val="0"/>
              <w:widowControl/>
              <w:suppressLineNumbers w:val="0"/>
              <w:kinsoku/>
              <w:overflowPunct/>
              <w:bidi w:val="0"/>
              <w:spacing w:before="0" w:beforeAutospacing="0" w:after="0" w:afterAutospacing="0" w:line="600" w:lineRule="exact"/>
              <w:ind w:left="0" w:right="0"/>
              <w:jc w:val="left"/>
              <w:rPr>
                <w:rFonts w:hint="eastAsia" w:ascii="仿宋" w:hAnsi="仿宋" w:eastAsia="仿宋" w:cs="宋体"/>
                <w:color w:val="auto"/>
                <w:kern w:val="0"/>
                <w:szCs w:val="21"/>
                <w:highlight w:val="none"/>
              </w:rPr>
            </w:pPr>
          </w:p>
        </w:tc>
        <w:tc>
          <w:tcPr>
            <w:tcW w:w="3825" w:type="dxa"/>
            <w:noWrap w:val="0"/>
            <w:vAlign w:val="center"/>
          </w:tcPr>
          <w:p w14:paraId="5D4B1B1C">
            <w:pPr>
              <w:keepNext w:val="0"/>
              <w:keepLines w:val="0"/>
              <w:pageBreakBefore w:val="0"/>
              <w:suppressLineNumbers w:val="0"/>
              <w:kinsoku/>
              <w:overflowPunct/>
              <w:bidi w:val="0"/>
              <w:spacing w:before="24" w:beforeAutospacing="0" w:after="24" w:afterAutospacing="0" w:line="600" w:lineRule="exact"/>
              <w:ind w:left="0" w:right="0"/>
              <w:jc w:val="center"/>
              <w:rPr>
                <w:rFonts w:hint="eastAsia" w:ascii="仿宋" w:hAnsi="仿宋" w:eastAsia="仿宋" w:cs="宋体"/>
                <w:color w:val="auto"/>
                <w:kern w:val="0"/>
                <w:szCs w:val="21"/>
                <w:highlight w:val="none"/>
              </w:rPr>
            </w:pPr>
            <w:r>
              <w:rPr>
                <w:rFonts w:hint="eastAsia" w:ascii="仿宋" w:hAnsi="仿宋" w:eastAsia="仿宋" w:cs="宋体"/>
                <w:color w:val="auto"/>
                <w:szCs w:val="21"/>
                <w:highlight w:val="none"/>
              </w:rPr>
              <w:t>其他实质性响应情况</w:t>
            </w:r>
          </w:p>
        </w:tc>
        <w:tc>
          <w:tcPr>
            <w:tcW w:w="3460" w:type="dxa"/>
            <w:noWrap w:val="0"/>
            <w:vAlign w:val="center"/>
          </w:tcPr>
          <w:p w14:paraId="618B61BE">
            <w:pPr>
              <w:keepNext w:val="0"/>
              <w:keepLines w:val="0"/>
              <w:pageBreakBefore w:val="0"/>
              <w:suppressLineNumbers w:val="0"/>
              <w:kinsoku/>
              <w:overflowPunct/>
              <w:bidi w:val="0"/>
              <w:spacing w:before="0" w:beforeAutospacing="0" w:after="0" w:afterAutospacing="0" w:line="600" w:lineRule="exact"/>
              <w:ind w:left="0" w:right="0"/>
              <w:rPr>
                <w:rFonts w:hint="eastAsia" w:ascii="仿宋" w:hAnsi="仿宋" w:eastAsia="仿宋" w:cs="宋体"/>
                <w:color w:val="auto"/>
                <w:kern w:val="0"/>
                <w:szCs w:val="21"/>
                <w:highlight w:val="none"/>
              </w:rPr>
            </w:pPr>
          </w:p>
        </w:tc>
      </w:tr>
    </w:tbl>
    <w:p w14:paraId="0B8B86B7">
      <w:pPr>
        <w:pStyle w:val="10"/>
        <w:pageBreakBefore w:val="0"/>
        <w:kinsoku/>
        <w:overflowPunct/>
        <w:bidi w:val="0"/>
        <w:spacing w:line="600" w:lineRule="exact"/>
        <w:ind w:firstLine="0"/>
        <w:rPr>
          <w:rFonts w:hint="eastAsia" w:ascii="仿宋" w:hAnsi="仿宋" w:eastAsia="仿宋" w:cs="宋体"/>
          <w:b/>
          <w:color w:val="auto"/>
          <w:highlight w:val="none"/>
        </w:rPr>
      </w:pPr>
    </w:p>
    <w:p w14:paraId="06D4F2DD">
      <w:pPr>
        <w:pStyle w:val="5"/>
        <w:pageBreakBefore w:val="0"/>
        <w:kinsoku/>
        <w:overflowPunct/>
        <w:bidi w:val="0"/>
        <w:spacing w:line="600" w:lineRule="exact"/>
        <w:ind w:firstLine="482"/>
        <w:jc w:val="center"/>
        <w:rPr>
          <w:rFonts w:ascii="仿宋" w:hAnsi="仿宋" w:cs="宋体"/>
          <w:b w:val="0"/>
          <w:color w:val="auto"/>
          <w:highlight w:val="none"/>
        </w:rPr>
      </w:pPr>
      <w:bookmarkStart w:id="658" w:name="_Toc24334"/>
      <w:bookmarkStart w:id="659" w:name="_Toc65683005"/>
      <w:bookmarkStart w:id="660" w:name="_Toc6993"/>
      <w:bookmarkStart w:id="661" w:name="_Toc109124317"/>
      <w:r>
        <w:rPr>
          <w:rFonts w:ascii="仿宋" w:hAnsi="仿宋" w:cs="宋体"/>
          <w:color w:val="auto"/>
          <w:highlight w:val="none"/>
        </w:rPr>
        <w:t>详细评审索引表</w:t>
      </w:r>
      <w:bookmarkEnd w:id="658"/>
    </w:p>
    <w:tbl>
      <w:tblPr>
        <w:tblStyle w:val="33"/>
        <w:tblW w:w="951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29"/>
        <w:gridCol w:w="1696"/>
        <w:gridCol w:w="2268"/>
        <w:gridCol w:w="4820"/>
      </w:tblGrid>
      <w:tr w14:paraId="7695C7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5" w:hRule="atLeast"/>
          <w:jc w:val="center"/>
        </w:trPr>
        <w:tc>
          <w:tcPr>
            <w:tcW w:w="729" w:type="dxa"/>
            <w:noWrap w:val="0"/>
            <w:tcMar>
              <w:top w:w="15" w:type="dxa"/>
              <w:left w:w="15" w:type="dxa"/>
              <w:right w:w="15" w:type="dxa"/>
            </w:tcMar>
            <w:vAlign w:val="center"/>
          </w:tcPr>
          <w:p w14:paraId="7326A8BF">
            <w:pPr>
              <w:keepNext w:val="0"/>
              <w:keepLines w:val="0"/>
              <w:pageBreakBefore w:val="0"/>
              <w:widowControl/>
              <w:suppressLineNumbers w:val="0"/>
              <w:kinsoku/>
              <w:overflowPunct/>
              <w:bidi w:val="0"/>
              <w:spacing w:before="0" w:beforeAutospacing="0" w:after="0" w:afterAutospacing="0" w:line="600" w:lineRule="exact"/>
              <w:ind w:left="0" w:right="0"/>
              <w:jc w:val="center"/>
              <w:textAlignment w:val="center"/>
              <w:rPr>
                <w:rFonts w:hint="eastAsia" w:ascii="仿宋" w:hAnsi="仿宋" w:eastAsia="仿宋" w:cs="宋体"/>
                <w:b/>
                <w:color w:val="auto"/>
                <w:szCs w:val="21"/>
                <w:highlight w:val="none"/>
              </w:rPr>
            </w:pPr>
            <w:r>
              <w:rPr>
                <w:rFonts w:hint="eastAsia" w:ascii="仿宋" w:hAnsi="仿宋" w:eastAsia="仿宋" w:cs="宋体"/>
                <w:b/>
                <w:color w:val="auto"/>
                <w:kern w:val="0"/>
                <w:szCs w:val="21"/>
                <w:highlight w:val="none"/>
                <w:lang w:bidi="ar"/>
              </w:rPr>
              <w:t>序号</w:t>
            </w:r>
          </w:p>
        </w:tc>
        <w:tc>
          <w:tcPr>
            <w:tcW w:w="1696" w:type="dxa"/>
            <w:noWrap w:val="0"/>
            <w:tcMar>
              <w:top w:w="15" w:type="dxa"/>
              <w:left w:w="15" w:type="dxa"/>
              <w:right w:w="15" w:type="dxa"/>
            </w:tcMar>
            <w:vAlign w:val="center"/>
          </w:tcPr>
          <w:p w14:paraId="443BF09D">
            <w:pPr>
              <w:keepNext w:val="0"/>
              <w:keepLines w:val="0"/>
              <w:pageBreakBefore w:val="0"/>
              <w:suppressLineNumbers w:val="0"/>
              <w:kinsoku/>
              <w:overflowPunct/>
              <w:bidi w:val="0"/>
              <w:spacing w:before="0" w:beforeAutospacing="0" w:after="0" w:afterAutospacing="0" w:line="600" w:lineRule="exact"/>
              <w:ind w:left="0" w:right="0"/>
              <w:jc w:val="center"/>
              <w:rPr>
                <w:rFonts w:hint="eastAsia" w:ascii="仿宋" w:hAnsi="仿宋" w:eastAsia="仿宋" w:cs="宋体"/>
                <w:b/>
                <w:color w:val="auto"/>
                <w:kern w:val="0"/>
                <w:szCs w:val="21"/>
                <w:highlight w:val="none"/>
                <w:lang w:bidi="ar"/>
              </w:rPr>
            </w:pPr>
            <w:r>
              <w:rPr>
                <w:rFonts w:hint="eastAsia" w:ascii="仿宋" w:hAnsi="仿宋" w:eastAsia="仿宋" w:cs="宋体"/>
                <w:b/>
                <w:bCs/>
                <w:color w:val="auto"/>
                <w:szCs w:val="21"/>
                <w:highlight w:val="none"/>
              </w:rPr>
              <w:t>评审项</w:t>
            </w:r>
          </w:p>
        </w:tc>
        <w:tc>
          <w:tcPr>
            <w:tcW w:w="2268" w:type="dxa"/>
            <w:noWrap w:val="0"/>
            <w:vAlign w:val="top"/>
          </w:tcPr>
          <w:p w14:paraId="66F45108">
            <w:pPr>
              <w:keepNext w:val="0"/>
              <w:keepLines w:val="0"/>
              <w:pageBreakBefore w:val="0"/>
              <w:widowControl/>
              <w:suppressLineNumbers w:val="0"/>
              <w:kinsoku/>
              <w:overflowPunct/>
              <w:bidi w:val="0"/>
              <w:spacing w:before="0" w:beforeAutospacing="0" w:after="0" w:afterAutospacing="0" w:line="600" w:lineRule="exact"/>
              <w:ind w:left="0" w:right="0"/>
              <w:jc w:val="center"/>
              <w:rPr>
                <w:rFonts w:hint="eastAsia" w:ascii="仿宋" w:hAnsi="仿宋" w:eastAsia="仿宋" w:cs="宋体"/>
                <w:b/>
                <w:color w:val="auto"/>
                <w:kern w:val="0"/>
                <w:szCs w:val="21"/>
                <w:highlight w:val="none"/>
              </w:rPr>
            </w:pPr>
            <w:r>
              <w:rPr>
                <w:rFonts w:hint="eastAsia" w:ascii="仿宋" w:hAnsi="仿宋" w:eastAsia="仿宋" w:cs="宋体"/>
                <w:b/>
                <w:color w:val="auto"/>
                <w:kern w:val="0"/>
                <w:szCs w:val="21"/>
                <w:highlight w:val="none"/>
                <w:lang w:bidi="ar"/>
              </w:rPr>
              <w:t>评审因素</w:t>
            </w:r>
          </w:p>
        </w:tc>
        <w:tc>
          <w:tcPr>
            <w:tcW w:w="4820" w:type="dxa"/>
            <w:noWrap w:val="0"/>
            <w:tcMar>
              <w:top w:w="15" w:type="dxa"/>
              <w:left w:w="15" w:type="dxa"/>
              <w:right w:w="15" w:type="dxa"/>
            </w:tcMar>
            <w:vAlign w:val="center"/>
          </w:tcPr>
          <w:p w14:paraId="748A3577">
            <w:pPr>
              <w:keepNext w:val="0"/>
              <w:keepLines w:val="0"/>
              <w:pageBreakBefore w:val="0"/>
              <w:widowControl/>
              <w:suppressLineNumbers w:val="0"/>
              <w:kinsoku/>
              <w:overflowPunct/>
              <w:bidi w:val="0"/>
              <w:spacing w:before="0" w:beforeAutospacing="0" w:after="0" w:afterAutospacing="0" w:line="600" w:lineRule="exact"/>
              <w:ind w:left="0" w:right="0"/>
              <w:jc w:val="center"/>
              <w:rPr>
                <w:rFonts w:hint="eastAsia" w:ascii="仿宋" w:hAnsi="仿宋" w:eastAsia="仿宋" w:cs="宋体"/>
                <w:b/>
                <w:color w:val="auto"/>
                <w:kern w:val="0"/>
                <w:szCs w:val="21"/>
                <w:highlight w:val="none"/>
              </w:rPr>
            </w:pPr>
            <w:r>
              <w:rPr>
                <w:rFonts w:hint="eastAsia" w:ascii="仿宋" w:hAnsi="仿宋" w:eastAsia="仿宋" w:cs="宋体"/>
                <w:b/>
                <w:color w:val="auto"/>
                <w:kern w:val="0"/>
                <w:szCs w:val="21"/>
                <w:highlight w:val="none"/>
              </w:rPr>
              <w:t>页码范围及说明</w:t>
            </w:r>
          </w:p>
        </w:tc>
      </w:tr>
      <w:tr w14:paraId="544510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1" w:hRule="atLeast"/>
          <w:jc w:val="center"/>
        </w:trPr>
        <w:tc>
          <w:tcPr>
            <w:tcW w:w="729" w:type="dxa"/>
            <w:noWrap w:val="0"/>
            <w:tcMar>
              <w:top w:w="15" w:type="dxa"/>
              <w:left w:w="15" w:type="dxa"/>
              <w:right w:w="15" w:type="dxa"/>
            </w:tcMar>
            <w:vAlign w:val="center"/>
          </w:tcPr>
          <w:p w14:paraId="604E3D5C">
            <w:pPr>
              <w:keepNext w:val="0"/>
              <w:keepLines w:val="0"/>
              <w:pageBreakBefore w:val="0"/>
              <w:widowControl/>
              <w:suppressLineNumbers w:val="0"/>
              <w:kinsoku/>
              <w:overflowPunct/>
              <w:bidi w:val="0"/>
              <w:spacing w:before="0" w:beforeAutospacing="0" w:after="0" w:afterAutospacing="0" w:line="600" w:lineRule="exact"/>
              <w:ind w:left="0" w:right="0"/>
              <w:jc w:val="center"/>
              <w:textAlignment w:val="center"/>
              <w:rPr>
                <w:rFonts w:hint="eastAsia" w:ascii="仿宋" w:hAnsi="仿宋" w:eastAsia="仿宋" w:cs="宋体"/>
                <w:color w:val="auto"/>
                <w:kern w:val="0"/>
                <w:szCs w:val="21"/>
                <w:highlight w:val="none"/>
                <w:lang w:bidi="ar"/>
              </w:rPr>
            </w:pPr>
            <w:r>
              <w:rPr>
                <w:rFonts w:hint="eastAsia" w:ascii="仿宋" w:hAnsi="仿宋" w:eastAsia="仿宋" w:cs="宋体"/>
                <w:color w:val="auto"/>
                <w:kern w:val="0"/>
                <w:szCs w:val="21"/>
                <w:highlight w:val="none"/>
                <w:lang w:bidi="ar"/>
              </w:rPr>
              <w:t>1</w:t>
            </w:r>
          </w:p>
        </w:tc>
        <w:tc>
          <w:tcPr>
            <w:tcW w:w="1696" w:type="dxa"/>
            <w:vMerge w:val="restart"/>
            <w:noWrap w:val="0"/>
            <w:tcMar>
              <w:top w:w="15" w:type="dxa"/>
              <w:left w:w="15" w:type="dxa"/>
              <w:right w:w="15" w:type="dxa"/>
            </w:tcMar>
            <w:vAlign w:val="center"/>
          </w:tcPr>
          <w:p w14:paraId="315A691D">
            <w:pPr>
              <w:keepNext w:val="0"/>
              <w:keepLines w:val="0"/>
              <w:pageBreakBefore w:val="0"/>
              <w:widowControl/>
              <w:suppressLineNumbers w:val="0"/>
              <w:kinsoku/>
              <w:overflowPunct/>
              <w:bidi w:val="0"/>
              <w:spacing w:before="0" w:beforeAutospacing="0" w:after="0" w:afterAutospacing="0" w:line="600" w:lineRule="exact"/>
              <w:ind w:left="0" w:right="0"/>
              <w:jc w:val="center"/>
              <w:textAlignment w:val="center"/>
              <w:rPr>
                <w:rFonts w:hint="eastAsia" w:ascii="仿宋" w:hAnsi="仿宋" w:eastAsia="仿宋" w:cs="宋体"/>
                <w:color w:val="auto"/>
                <w:kern w:val="0"/>
                <w:szCs w:val="21"/>
                <w:highlight w:val="none"/>
                <w:lang w:bidi="ar"/>
              </w:rPr>
            </w:pPr>
            <w:r>
              <w:rPr>
                <w:rFonts w:hint="eastAsia" w:ascii="仿宋" w:hAnsi="仿宋" w:eastAsia="仿宋" w:cs="宋体"/>
                <w:color w:val="auto"/>
                <w:kern w:val="0"/>
                <w:szCs w:val="21"/>
                <w:highlight w:val="none"/>
                <w:lang w:bidi="ar"/>
              </w:rPr>
              <w:t>商务得分</w:t>
            </w:r>
          </w:p>
          <w:p w14:paraId="38BB1927">
            <w:pPr>
              <w:keepNext w:val="0"/>
              <w:keepLines w:val="0"/>
              <w:pageBreakBefore w:val="0"/>
              <w:widowControl/>
              <w:suppressLineNumbers w:val="0"/>
              <w:kinsoku/>
              <w:overflowPunct/>
              <w:bidi w:val="0"/>
              <w:spacing w:before="0" w:beforeAutospacing="0" w:after="0" w:afterAutospacing="0" w:line="600" w:lineRule="exact"/>
              <w:ind w:left="0" w:right="0"/>
              <w:jc w:val="center"/>
              <w:textAlignment w:val="center"/>
              <w:rPr>
                <w:rFonts w:hint="eastAsia" w:ascii="仿宋" w:hAnsi="仿宋" w:eastAsia="仿宋" w:cs="宋体"/>
                <w:color w:val="auto"/>
                <w:kern w:val="0"/>
                <w:szCs w:val="21"/>
                <w:highlight w:val="none"/>
                <w:lang w:bidi="ar"/>
              </w:rPr>
            </w:pPr>
            <w:r>
              <w:rPr>
                <w:rFonts w:hint="eastAsia" w:ascii="仿宋" w:hAnsi="仿宋" w:eastAsia="仿宋" w:cs="宋体"/>
                <w:color w:val="auto"/>
                <w:kern w:val="0"/>
                <w:szCs w:val="21"/>
                <w:highlight w:val="none"/>
                <w:lang w:bidi="ar"/>
              </w:rPr>
              <w:t>（XX分）</w:t>
            </w:r>
          </w:p>
        </w:tc>
        <w:tc>
          <w:tcPr>
            <w:tcW w:w="2268" w:type="dxa"/>
            <w:noWrap w:val="0"/>
            <w:vAlign w:val="center"/>
          </w:tcPr>
          <w:p w14:paraId="02EB9F2F">
            <w:pPr>
              <w:keepNext w:val="0"/>
              <w:keepLines w:val="0"/>
              <w:pageBreakBefore w:val="0"/>
              <w:widowControl/>
              <w:suppressLineNumbers w:val="0"/>
              <w:kinsoku/>
              <w:overflowPunct/>
              <w:bidi w:val="0"/>
              <w:spacing w:before="0" w:beforeAutospacing="0" w:after="0" w:afterAutospacing="0" w:line="600" w:lineRule="exact"/>
              <w:ind w:left="0" w:right="0"/>
              <w:jc w:val="center"/>
              <w:textAlignment w:val="center"/>
              <w:rPr>
                <w:rFonts w:hint="eastAsia" w:ascii="仿宋" w:hAnsi="仿宋" w:eastAsia="仿宋" w:cs="宋体"/>
                <w:color w:val="auto"/>
                <w:kern w:val="0"/>
                <w:szCs w:val="21"/>
                <w:highlight w:val="none"/>
                <w:lang w:bidi="ar"/>
              </w:rPr>
            </w:pPr>
            <w:r>
              <w:rPr>
                <w:rFonts w:hint="eastAsia" w:ascii="仿宋" w:hAnsi="仿宋" w:eastAsia="仿宋" w:cs="宋体"/>
                <w:color w:val="auto"/>
                <w:kern w:val="0"/>
                <w:szCs w:val="21"/>
                <w:highlight w:val="none"/>
                <w:lang w:bidi="ar"/>
              </w:rPr>
              <w:t>综合实力</w:t>
            </w:r>
          </w:p>
          <w:p w14:paraId="12A0AE5D">
            <w:pPr>
              <w:keepNext w:val="0"/>
              <w:keepLines w:val="0"/>
              <w:pageBreakBefore w:val="0"/>
              <w:widowControl/>
              <w:suppressLineNumbers w:val="0"/>
              <w:kinsoku/>
              <w:overflowPunct/>
              <w:bidi w:val="0"/>
              <w:spacing w:before="0" w:beforeAutospacing="0" w:after="0" w:afterAutospacing="0" w:line="600" w:lineRule="exact"/>
              <w:ind w:left="0" w:right="0"/>
              <w:jc w:val="center"/>
              <w:textAlignment w:val="center"/>
              <w:rPr>
                <w:rFonts w:hint="eastAsia" w:ascii="仿宋" w:hAnsi="仿宋" w:eastAsia="仿宋" w:cs="宋体"/>
                <w:color w:val="auto"/>
                <w:kern w:val="0"/>
                <w:szCs w:val="21"/>
                <w:highlight w:val="none"/>
                <w:lang w:bidi="ar"/>
              </w:rPr>
            </w:pPr>
            <w:r>
              <w:rPr>
                <w:rFonts w:hint="eastAsia" w:ascii="仿宋" w:hAnsi="仿宋" w:eastAsia="仿宋" w:cs="宋体"/>
                <w:color w:val="auto"/>
                <w:kern w:val="0"/>
                <w:szCs w:val="21"/>
                <w:highlight w:val="none"/>
                <w:lang w:bidi="ar"/>
              </w:rPr>
              <w:t>（XX分）</w:t>
            </w:r>
          </w:p>
        </w:tc>
        <w:tc>
          <w:tcPr>
            <w:tcW w:w="4820" w:type="dxa"/>
            <w:noWrap w:val="0"/>
            <w:tcMar>
              <w:top w:w="15" w:type="dxa"/>
              <w:left w:w="15" w:type="dxa"/>
              <w:right w:w="15" w:type="dxa"/>
            </w:tcMar>
            <w:vAlign w:val="center"/>
          </w:tcPr>
          <w:p w14:paraId="60619507">
            <w:pPr>
              <w:keepNext w:val="0"/>
              <w:keepLines w:val="0"/>
              <w:pageBreakBefore w:val="0"/>
              <w:widowControl/>
              <w:suppressLineNumbers w:val="0"/>
              <w:kinsoku/>
              <w:overflowPunct/>
              <w:bidi w:val="0"/>
              <w:adjustRightInd w:val="0"/>
              <w:snapToGrid w:val="0"/>
              <w:spacing w:before="0" w:beforeAutospacing="0" w:after="0" w:afterAutospacing="0" w:line="600" w:lineRule="exact"/>
              <w:ind w:left="0" w:right="0"/>
              <w:rPr>
                <w:rFonts w:hint="eastAsia" w:ascii="仿宋" w:hAnsi="仿宋" w:eastAsia="仿宋" w:cs="宋体"/>
                <w:color w:val="auto"/>
                <w:kern w:val="0"/>
                <w:szCs w:val="21"/>
                <w:highlight w:val="none"/>
              </w:rPr>
            </w:pPr>
            <w:r>
              <w:rPr>
                <w:rFonts w:hint="eastAsia" w:ascii="仿宋" w:hAnsi="仿宋" w:eastAsia="仿宋" w:cs="宋体"/>
                <w:color w:val="auto"/>
                <w:kern w:val="0"/>
                <w:szCs w:val="21"/>
                <w:highlight w:val="none"/>
              </w:rPr>
              <w:t>说明：XX</w:t>
            </w:r>
          </w:p>
          <w:p w14:paraId="49C9556D">
            <w:pPr>
              <w:keepNext w:val="0"/>
              <w:keepLines w:val="0"/>
              <w:pageBreakBefore w:val="0"/>
              <w:suppressLineNumbers w:val="0"/>
              <w:kinsoku/>
              <w:overflowPunct/>
              <w:bidi w:val="0"/>
              <w:spacing w:before="0" w:beforeAutospacing="0" w:after="0" w:afterAutospacing="0" w:line="600" w:lineRule="exact"/>
              <w:ind w:left="0" w:right="0"/>
              <w:rPr>
                <w:rStyle w:val="102"/>
                <w:rFonts w:hint="default" w:cs="宋体"/>
                <w:color w:val="auto"/>
                <w:highlight w:val="none"/>
                <w:lang w:bidi="ar"/>
              </w:rPr>
            </w:pPr>
            <w:r>
              <w:rPr>
                <w:rFonts w:hint="eastAsia" w:ascii="仿宋" w:hAnsi="仿宋" w:eastAsia="仿宋" w:cs="宋体"/>
                <w:color w:val="auto"/>
                <w:kern w:val="0"/>
                <w:szCs w:val="21"/>
                <w:highlight w:val="none"/>
              </w:rPr>
              <w:t>详见N-M页</w:t>
            </w:r>
          </w:p>
        </w:tc>
      </w:tr>
      <w:tr w14:paraId="2E9C8C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00" w:hRule="atLeast"/>
          <w:jc w:val="center"/>
        </w:trPr>
        <w:tc>
          <w:tcPr>
            <w:tcW w:w="729" w:type="dxa"/>
            <w:noWrap w:val="0"/>
            <w:tcMar>
              <w:top w:w="15" w:type="dxa"/>
              <w:left w:w="15" w:type="dxa"/>
              <w:right w:w="15" w:type="dxa"/>
            </w:tcMar>
            <w:vAlign w:val="center"/>
          </w:tcPr>
          <w:p w14:paraId="3F7D7F33">
            <w:pPr>
              <w:keepNext w:val="0"/>
              <w:keepLines w:val="0"/>
              <w:pageBreakBefore w:val="0"/>
              <w:widowControl/>
              <w:suppressLineNumbers w:val="0"/>
              <w:kinsoku/>
              <w:overflowPunct/>
              <w:bidi w:val="0"/>
              <w:spacing w:before="0" w:beforeAutospacing="0" w:after="0" w:afterAutospacing="0" w:line="600" w:lineRule="exact"/>
              <w:ind w:left="0" w:right="0"/>
              <w:jc w:val="center"/>
              <w:textAlignment w:val="center"/>
              <w:rPr>
                <w:rFonts w:hint="eastAsia" w:ascii="仿宋" w:hAnsi="仿宋" w:eastAsia="仿宋" w:cs="宋体"/>
                <w:color w:val="auto"/>
                <w:kern w:val="0"/>
                <w:szCs w:val="21"/>
                <w:highlight w:val="none"/>
                <w:lang w:bidi="ar"/>
              </w:rPr>
            </w:pPr>
            <w:r>
              <w:rPr>
                <w:rFonts w:hint="eastAsia" w:ascii="仿宋" w:hAnsi="仿宋" w:eastAsia="仿宋" w:cs="宋体"/>
                <w:color w:val="auto"/>
                <w:kern w:val="0"/>
                <w:szCs w:val="21"/>
                <w:highlight w:val="none"/>
                <w:lang w:bidi="ar"/>
              </w:rPr>
              <w:t>2</w:t>
            </w:r>
          </w:p>
        </w:tc>
        <w:tc>
          <w:tcPr>
            <w:tcW w:w="1696" w:type="dxa"/>
            <w:vMerge w:val="continue"/>
            <w:noWrap w:val="0"/>
            <w:tcMar>
              <w:top w:w="15" w:type="dxa"/>
              <w:left w:w="15" w:type="dxa"/>
              <w:right w:w="15" w:type="dxa"/>
            </w:tcMar>
            <w:vAlign w:val="center"/>
          </w:tcPr>
          <w:p w14:paraId="0A820BFC">
            <w:pPr>
              <w:keepNext w:val="0"/>
              <w:keepLines w:val="0"/>
              <w:pageBreakBefore w:val="0"/>
              <w:widowControl/>
              <w:suppressLineNumbers w:val="0"/>
              <w:kinsoku/>
              <w:overflowPunct/>
              <w:bidi w:val="0"/>
              <w:spacing w:before="0" w:beforeAutospacing="0" w:after="0" w:afterAutospacing="0" w:line="600" w:lineRule="exact"/>
              <w:ind w:left="0" w:right="0"/>
              <w:jc w:val="center"/>
              <w:textAlignment w:val="center"/>
              <w:rPr>
                <w:rFonts w:hint="eastAsia" w:ascii="仿宋" w:hAnsi="仿宋" w:eastAsia="仿宋" w:cs="宋体"/>
                <w:color w:val="auto"/>
                <w:kern w:val="0"/>
                <w:szCs w:val="21"/>
                <w:highlight w:val="none"/>
                <w:lang w:bidi="ar"/>
              </w:rPr>
            </w:pPr>
          </w:p>
        </w:tc>
        <w:tc>
          <w:tcPr>
            <w:tcW w:w="2268" w:type="dxa"/>
            <w:noWrap w:val="0"/>
            <w:vAlign w:val="center"/>
          </w:tcPr>
          <w:p w14:paraId="16DD13E0">
            <w:pPr>
              <w:keepNext w:val="0"/>
              <w:keepLines w:val="0"/>
              <w:pageBreakBefore w:val="0"/>
              <w:widowControl/>
              <w:suppressLineNumbers w:val="0"/>
              <w:kinsoku/>
              <w:overflowPunct/>
              <w:bidi w:val="0"/>
              <w:spacing w:before="0" w:beforeAutospacing="0" w:after="0" w:afterAutospacing="0" w:line="600" w:lineRule="exact"/>
              <w:ind w:left="0" w:right="0"/>
              <w:jc w:val="center"/>
              <w:textAlignment w:val="center"/>
              <w:rPr>
                <w:rFonts w:hint="eastAsia" w:ascii="仿宋" w:hAnsi="仿宋" w:eastAsia="仿宋" w:cs="宋体"/>
                <w:color w:val="auto"/>
                <w:kern w:val="0"/>
                <w:szCs w:val="21"/>
                <w:highlight w:val="none"/>
                <w:lang w:bidi="ar"/>
              </w:rPr>
            </w:pPr>
            <w:r>
              <w:rPr>
                <w:rFonts w:hint="eastAsia" w:ascii="仿宋" w:hAnsi="仿宋" w:eastAsia="仿宋" w:cs="宋体"/>
                <w:color w:val="auto"/>
                <w:kern w:val="0"/>
                <w:szCs w:val="21"/>
                <w:highlight w:val="none"/>
                <w:lang w:bidi="ar"/>
              </w:rPr>
              <w:t>同类业绩</w:t>
            </w:r>
          </w:p>
          <w:p w14:paraId="74777BD1">
            <w:pPr>
              <w:keepNext w:val="0"/>
              <w:keepLines w:val="0"/>
              <w:pageBreakBefore w:val="0"/>
              <w:widowControl/>
              <w:suppressLineNumbers w:val="0"/>
              <w:kinsoku/>
              <w:overflowPunct/>
              <w:bidi w:val="0"/>
              <w:spacing w:before="0" w:beforeAutospacing="0" w:after="0" w:afterAutospacing="0" w:line="600" w:lineRule="exact"/>
              <w:ind w:left="0" w:right="0"/>
              <w:jc w:val="center"/>
              <w:textAlignment w:val="center"/>
              <w:rPr>
                <w:rFonts w:hint="eastAsia" w:ascii="仿宋" w:hAnsi="仿宋" w:eastAsia="仿宋" w:cs="宋体"/>
                <w:color w:val="auto"/>
                <w:kern w:val="0"/>
                <w:szCs w:val="21"/>
                <w:highlight w:val="none"/>
                <w:lang w:bidi="ar"/>
              </w:rPr>
            </w:pPr>
            <w:r>
              <w:rPr>
                <w:rFonts w:hint="eastAsia" w:ascii="仿宋" w:hAnsi="仿宋" w:eastAsia="仿宋" w:cs="宋体"/>
                <w:color w:val="auto"/>
                <w:kern w:val="0"/>
                <w:szCs w:val="21"/>
                <w:highlight w:val="none"/>
                <w:lang w:bidi="ar"/>
              </w:rPr>
              <w:t>（XX分）</w:t>
            </w:r>
          </w:p>
        </w:tc>
        <w:tc>
          <w:tcPr>
            <w:tcW w:w="4820" w:type="dxa"/>
            <w:noWrap w:val="0"/>
            <w:tcMar>
              <w:top w:w="15" w:type="dxa"/>
              <w:left w:w="15" w:type="dxa"/>
              <w:right w:w="15" w:type="dxa"/>
            </w:tcMar>
            <w:vAlign w:val="center"/>
          </w:tcPr>
          <w:p w14:paraId="79994F3B">
            <w:pPr>
              <w:keepNext w:val="0"/>
              <w:keepLines w:val="0"/>
              <w:pageBreakBefore w:val="0"/>
              <w:suppressLineNumbers w:val="0"/>
              <w:kinsoku/>
              <w:overflowPunct/>
              <w:bidi w:val="0"/>
              <w:spacing w:before="0" w:beforeAutospacing="0" w:after="0" w:afterAutospacing="0" w:line="600" w:lineRule="exact"/>
              <w:ind w:left="0" w:right="0"/>
              <w:rPr>
                <w:rStyle w:val="102"/>
                <w:rFonts w:hint="default" w:cs="宋体"/>
                <w:color w:val="auto"/>
                <w:highlight w:val="none"/>
                <w:lang w:bidi="ar"/>
              </w:rPr>
            </w:pPr>
          </w:p>
        </w:tc>
      </w:tr>
    </w:tbl>
    <w:p w14:paraId="2E65F30E">
      <w:pPr>
        <w:pageBreakBefore w:val="0"/>
        <w:kinsoku/>
        <w:overflowPunct/>
        <w:bidi w:val="0"/>
        <w:spacing w:line="60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br w:type="page"/>
      </w:r>
    </w:p>
    <w:p w14:paraId="0F8CB427">
      <w:pPr>
        <w:pStyle w:val="10"/>
        <w:pageBreakBefore w:val="0"/>
        <w:kinsoku/>
        <w:overflowPunct/>
        <w:bidi w:val="0"/>
        <w:spacing w:line="600" w:lineRule="exact"/>
        <w:ind w:left="0" w:leftChars="0" w:firstLine="0" w:firstLineChars="0"/>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（一）投标函</w:t>
      </w:r>
      <w:bookmarkEnd w:id="659"/>
      <w:bookmarkEnd w:id="660"/>
      <w:bookmarkEnd w:id="661"/>
    </w:p>
    <w:p w14:paraId="4D718B92">
      <w:pPr>
        <w:pStyle w:val="114"/>
        <w:pageBreakBefore w:val="0"/>
        <w:kinsoku/>
        <w:overflowPunct/>
        <w:bidi w:val="0"/>
        <w:spacing w:line="600" w:lineRule="exact"/>
        <w:jc w:val="center"/>
        <w:rPr>
          <w:rFonts w:hint="eastAsia" w:ascii="仿宋" w:hAnsi="仿宋" w:eastAsia="仿宋" w:cs="宋体"/>
          <w:b/>
          <w:color w:val="auto"/>
          <w:sz w:val="24"/>
          <w:szCs w:val="24"/>
          <w:highlight w:val="none"/>
        </w:rPr>
      </w:pPr>
      <w:r>
        <w:rPr>
          <w:rFonts w:hint="eastAsia" w:ascii="仿宋" w:hAnsi="仿宋" w:eastAsia="仿宋" w:cs="宋体"/>
          <w:b/>
          <w:color w:val="auto"/>
          <w:sz w:val="24"/>
          <w:szCs w:val="24"/>
          <w:highlight w:val="none"/>
        </w:rPr>
        <w:t>投标函</w:t>
      </w:r>
    </w:p>
    <w:p w14:paraId="0E8AE098">
      <w:pPr>
        <w:pStyle w:val="114"/>
        <w:pageBreakBefore w:val="0"/>
        <w:kinsoku/>
        <w:overflowPunct/>
        <w:bidi w:val="0"/>
        <w:spacing w:line="600" w:lineRule="exact"/>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u w:val="single"/>
        </w:rPr>
        <w:t>致：（招标人</w:t>
      </w:r>
      <w:r>
        <w:rPr>
          <w:rFonts w:hint="eastAsia" w:ascii="仿宋" w:hAnsi="仿宋" w:eastAsia="仿宋" w:cs="宋体"/>
          <w:color w:val="auto"/>
          <w:sz w:val="24"/>
          <w:szCs w:val="24"/>
          <w:highlight w:val="none"/>
          <w:u w:val="single"/>
          <w:lang w:val="en-US" w:eastAsia="zh-CN"/>
        </w:rPr>
        <w:t>名称</w:t>
      </w:r>
      <w:r>
        <w:rPr>
          <w:rFonts w:hint="eastAsia" w:ascii="仿宋" w:hAnsi="仿宋" w:eastAsia="仿宋" w:cs="宋体"/>
          <w:color w:val="auto"/>
          <w:sz w:val="24"/>
          <w:szCs w:val="24"/>
          <w:highlight w:val="none"/>
          <w:u w:val="single"/>
        </w:rPr>
        <w:t xml:space="preserve">）   </w:t>
      </w:r>
    </w:p>
    <w:p w14:paraId="6DB5983C">
      <w:pPr>
        <w:pageBreakBefore w:val="0"/>
        <w:widowControl/>
        <w:kinsoku/>
        <w:overflowPunct/>
        <w:bidi w:val="0"/>
        <w:spacing w:line="600" w:lineRule="exact"/>
        <w:ind w:firstLine="420"/>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u w:val="single"/>
        </w:rPr>
        <w:t xml:space="preserve">   （投标人名称）   </w:t>
      </w:r>
      <w:r>
        <w:rPr>
          <w:rFonts w:hint="eastAsia" w:ascii="仿宋" w:hAnsi="仿宋" w:eastAsia="仿宋" w:cs="宋体"/>
          <w:color w:val="auto"/>
          <w:kern w:val="0"/>
          <w:sz w:val="24"/>
          <w:szCs w:val="24"/>
          <w:highlight w:val="none"/>
        </w:rPr>
        <w:t>（以下称“我方”）已仔细研究了</w:t>
      </w:r>
      <w:r>
        <w:rPr>
          <w:rFonts w:hint="eastAsia" w:ascii="仿宋" w:hAnsi="仿宋" w:eastAsia="仿宋" w:cs="宋体"/>
          <w:color w:val="auto"/>
          <w:kern w:val="0"/>
          <w:sz w:val="24"/>
          <w:szCs w:val="24"/>
          <w:highlight w:val="none"/>
          <w:u w:val="single"/>
        </w:rPr>
        <w:t xml:space="preserve">    （项目名称）   </w:t>
      </w:r>
      <w:r>
        <w:rPr>
          <w:rFonts w:hint="eastAsia" w:ascii="仿宋" w:hAnsi="仿宋" w:eastAsia="仿宋" w:cs="宋体"/>
          <w:color w:val="auto"/>
          <w:kern w:val="0"/>
          <w:sz w:val="24"/>
          <w:szCs w:val="24"/>
          <w:highlight w:val="none"/>
        </w:rPr>
        <w:t>招标文件的全部内容，包括澄清或者修改文件以及有关附件，我方将严格按照招标文件要求递交符合要求的全部投标文件。</w:t>
      </w:r>
    </w:p>
    <w:p w14:paraId="7D878210">
      <w:pPr>
        <w:pageBreakBefore w:val="0"/>
        <w:widowControl/>
        <w:kinsoku/>
        <w:overflowPunct/>
        <w:bidi w:val="0"/>
        <w:spacing w:line="600" w:lineRule="exact"/>
        <w:ind w:firstLine="420"/>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现我方承诺如下内容：</w:t>
      </w:r>
    </w:p>
    <w:p w14:paraId="5798730B">
      <w:pPr>
        <w:pageBreakBefore w:val="0"/>
        <w:widowControl/>
        <w:kinsoku/>
        <w:overflowPunct/>
        <w:bidi w:val="0"/>
        <w:spacing w:line="600" w:lineRule="exact"/>
        <w:ind w:firstLine="420"/>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1. 本投标函及投标文件自投标文件提交截止日起</w:t>
      </w:r>
      <w:r>
        <w:rPr>
          <w:rFonts w:hint="eastAsia" w:ascii="仿宋" w:hAnsi="仿宋" w:eastAsia="仿宋" w:cs="宋体"/>
          <w:color w:val="auto"/>
          <w:kern w:val="0"/>
          <w:sz w:val="24"/>
          <w:szCs w:val="24"/>
          <w:highlight w:val="none"/>
          <w:u w:val="single"/>
        </w:rPr>
        <w:t>有效期为</w:t>
      </w:r>
      <w:r>
        <w:rPr>
          <w:rFonts w:hint="eastAsia" w:ascii="仿宋" w:hAnsi="仿宋" w:eastAsia="仿宋" w:cs="宋体"/>
          <w:color w:val="auto"/>
          <w:kern w:val="0"/>
          <w:sz w:val="24"/>
          <w:szCs w:val="24"/>
          <w:highlight w:val="none"/>
          <w:u w:val="single"/>
          <w:lang w:val="en-US" w:eastAsia="zh-CN"/>
        </w:rPr>
        <w:t>XX</w:t>
      </w:r>
      <w:r>
        <w:rPr>
          <w:rFonts w:hint="eastAsia" w:ascii="仿宋" w:hAnsi="仿宋" w:eastAsia="仿宋" w:cs="宋体"/>
          <w:color w:val="auto"/>
          <w:kern w:val="0"/>
          <w:sz w:val="24"/>
          <w:szCs w:val="24"/>
          <w:highlight w:val="none"/>
          <w:u w:val="single"/>
        </w:rPr>
        <w:t>天</w:t>
      </w:r>
      <w:r>
        <w:rPr>
          <w:rFonts w:hint="eastAsia" w:ascii="仿宋" w:hAnsi="仿宋" w:eastAsia="仿宋" w:cs="宋体"/>
          <w:color w:val="auto"/>
          <w:kern w:val="0"/>
          <w:sz w:val="24"/>
          <w:szCs w:val="24"/>
          <w:highlight w:val="none"/>
        </w:rPr>
        <w:t>，我方承诺在投标有效期内不修改、撤销投标文件。</w:t>
      </w:r>
    </w:p>
    <w:p w14:paraId="32BEDF97">
      <w:pPr>
        <w:pageBreakBefore w:val="0"/>
        <w:widowControl/>
        <w:kinsoku/>
        <w:overflowPunct/>
        <w:bidi w:val="0"/>
        <w:spacing w:line="600" w:lineRule="exact"/>
        <w:ind w:firstLine="420"/>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2. 随同本投标函提交投标保证</w:t>
      </w:r>
      <w:r>
        <w:rPr>
          <w:rFonts w:hint="eastAsia" w:ascii="仿宋" w:hAnsi="仿宋" w:eastAsia="仿宋" w:cs="宋体"/>
          <w:color w:val="auto"/>
          <w:kern w:val="0"/>
          <w:sz w:val="24"/>
          <w:szCs w:val="24"/>
          <w:highlight w:val="none"/>
          <w:lang w:val="en-US" w:eastAsia="zh-CN"/>
        </w:rPr>
        <w:t>金</w:t>
      </w:r>
      <w:r>
        <w:rPr>
          <w:rFonts w:hint="eastAsia" w:ascii="仿宋" w:hAnsi="仿宋" w:eastAsia="仿宋" w:cs="宋体"/>
          <w:color w:val="auto"/>
          <w:kern w:val="0"/>
          <w:sz w:val="24"/>
          <w:szCs w:val="24"/>
          <w:highlight w:val="none"/>
        </w:rPr>
        <w:t>一份。</w:t>
      </w:r>
    </w:p>
    <w:p w14:paraId="0E007121">
      <w:pPr>
        <w:pageBreakBefore w:val="0"/>
        <w:widowControl/>
        <w:kinsoku/>
        <w:overflowPunct/>
        <w:bidi w:val="0"/>
        <w:spacing w:line="600" w:lineRule="exact"/>
        <w:ind w:firstLine="420"/>
        <w:rPr>
          <w:rFonts w:hint="eastAsia" w:ascii="仿宋" w:hAnsi="仿宋" w:eastAsia="仿宋" w:cs="仿宋"/>
          <w:color w:val="auto"/>
          <w:kern w:val="0"/>
          <w:sz w:val="24"/>
          <w:szCs w:val="24"/>
          <w:highlight w:val="none"/>
        </w:rPr>
      </w:pPr>
      <w:r>
        <w:rPr>
          <w:rFonts w:ascii="仿宋" w:hAnsi="仿宋" w:eastAsia="仿宋" w:cs="仿宋"/>
          <w:color w:val="auto"/>
          <w:kern w:val="0"/>
          <w:sz w:val="24"/>
          <w:szCs w:val="24"/>
          <w:highlight w:val="none"/>
        </w:rPr>
        <w:t>3</w:t>
      </w:r>
      <w:r>
        <w:rPr>
          <w:rFonts w:hint="eastAsia" w:ascii="仿宋" w:hAnsi="仿宋" w:eastAsia="仿宋" w:cs="仿宋"/>
          <w:color w:val="auto"/>
          <w:kern w:val="0"/>
          <w:sz w:val="24"/>
          <w:szCs w:val="24"/>
          <w:highlight w:val="none"/>
        </w:rPr>
        <w:t>.</w:t>
      </w:r>
      <w:r>
        <w:rPr>
          <w:rFonts w:ascii="仿宋" w:hAnsi="仿宋" w:eastAsia="仿宋" w:cs="仿宋"/>
          <w:color w:val="auto"/>
          <w:kern w:val="0"/>
          <w:sz w:val="24"/>
          <w:szCs w:val="24"/>
          <w:highlight w:val="none"/>
        </w:rPr>
        <w:t xml:space="preserve"> </w:t>
      </w:r>
      <w:r>
        <w:rPr>
          <w:rFonts w:hint="eastAsia" w:ascii="仿宋" w:hAnsi="仿宋" w:eastAsia="仿宋" w:cs="宋体"/>
          <w:color w:val="auto"/>
          <w:kern w:val="0"/>
          <w:sz w:val="24"/>
          <w:szCs w:val="24"/>
          <w:highlight w:val="none"/>
        </w:rPr>
        <w:t>我方承诺提供评标过程中可能要求的澄清、说明、补正或者算术性错误修正确认，并同意我方提供的以上材料构成我方投标文件的组成部分。</w:t>
      </w:r>
    </w:p>
    <w:p w14:paraId="61E085F5">
      <w:pPr>
        <w:pageBreakBefore w:val="0"/>
        <w:widowControl/>
        <w:kinsoku/>
        <w:overflowPunct/>
        <w:bidi w:val="0"/>
        <w:spacing w:line="600" w:lineRule="exact"/>
        <w:ind w:firstLine="420"/>
        <w:rPr>
          <w:rFonts w:hint="eastAsia" w:ascii="仿宋" w:hAnsi="仿宋" w:eastAsia="仿宋" w:cs="宋体"/>
          <w:color w:val="auto"/>
          <w:kern w:val="0"/>
          <w:sz w:val="24"/>
          <w:szCs w:val="24"/>
          <w:highlight w:val="none"/>
        </w:rPr>
      </w:pPr>
      <w:r>
        <w:rPr>
          <w:rFonts w:ascii="仿宋" w:hAnsi="仿宋" w:eastAsia="仿宋" w:cs="宋体"/>
          <w:color w:val="auto"/>
          <w:kern w:val="0"/>
          <w:sz w:val="24"/>
          <w:szCs w:val="24"/>
          <w:highlight w:val="none"/>
        </w:rPr>
        <w:t xml:space="preserve">4 </w:t>
      </w:r>
      <w:r>
        <w:rPr>
          <w:rFonts w:hint="eastAsia" w:ascii="仿宋" w:hAnsi="仿宋" w:eastAsia="仿宋" w:cs="宋体"/>
          <w:color w:val="auto"/>
          <w:kern w:val="0"/>
          <w:sz w:val="24"/>
          <w:szCs w:val="24"/>
          <w:highlight w:val="none"/>
        </w:rPr>
        <w:t>我方同意提供贵方可能要求的与我方投标文件有关的一切数据、资料、</w:t>
      </w:r>
      <w:r>
        <w:rPr>
          <w:rFonts w:hint="eastAsia" w:ascii="仿宋" w:hAnsi="仿宋" w:eastAsia="仿宋" w:cs="宋体"/>
          <w:color w:val="auto"/>
          <w:kern w:val="0"/>
          <w:sz w:val="24"/>
          <w:highlight w:val="none"/>
        </w:rPr>
        <w:t>证明原件、证件原件</w:t>
      </w:r>
      <w:r>
        <w:rPr>
          <w:rFonts w:hint="eastAsia" w:ascii="仿宋" w:hAnsi="仿宋" w:eastAsia="仿宋" w:cs="宋体"/>
          <w:color w:val="auto"/>
          <w:kern w:val="0"/>
          <w:sz w:val="24"/>
          <w:szCs w:val="24"/>
          <w:highlight w:val="none"/>
        </w:rPr>
        <w:t>，并完全理解贵方不一定接受最低价的投标。</w:t>
      </w:r>
    </w:p>
    <w:p w14:paraId="521711F1">
      <w:pPr>
        <w:pageBreakBefore w:val="0"/>
        <w:widowControl/>
        <w:kinsoku/>
        <w:overflowPunct/>
        <w:bidi w:val="0"/>
        <w:spacing w:line="600" w:lineRule="exact"/>
        <w:ind w:firstLine="420"/>
        <w:rPr>
          <w:rFonts w:hint="eastAsia" w:ascii="仿宋" w:hAnsi="仿宋" w:eastAsia="仿宋" w:cs="宋体"/>
          <w:color w:val="auto"/>
          <w:kern w:val="0"/>
          <w:sz w:val="24"/>
          <w:szCs w:val="24"/>
          <w:highlight w:val="none"/>
        </w:rPr>
      </w:pPr>
      <w:r>
        <w:rPr>
          <w:rFonts w:ascii="仿宋" w:hAnsi="仿宋" w:eastAsia="仿宋" w:cs="宋体"/>
          <w:color w:val="auto"/>
          <w:kern w:val="0"/>
          <w:sz w:val="24"/>
          <w:szCs w:val="24"/>
          <w:highlight w:val="none"/>
        </w:rPr>
        <w:t>5</w:t>
      </w:r>
      <w:r>
        <w:rPr>
          <w:rFonts w:hint="eastAsia" w:ascii="仿宋" w:hAnsi="仿宋" w:eastAsia="仿宋" w:cs="宋体"/>
          <w:color w:val="auto"/>
          <w:kern w:val="0"/>
          <w:sz w:val="24"/>
          <w:szCs w:val="24"/>
          <w:highlight w:val="none"/>
        </w:rPr>
        <w:t>. 我方承诺对在本次招标活动过程中所获知贵方一切商业秘密保密，不会向任何第三方泄露，不会用于本次招标活动之外的任何其他目的。</w:t>
      </w:r>
    </w:p>
    <w:p w14:paraId="06CDF2AE">
      <w:pPr>
        <w:pageBreakBefore w:val="0"/>
        <w:widowControl/>
        <w:kinsoku/>
        <w:overflowPunct/>
        <w:bidi w:val="0"/>
        <w:spacing w:line="600" w:lineRule="exact"/>
        <w:ind w:firstLine="420"/>
        <w:rPr>
          <w:rFonts w:hint="eastAsia" w:ascii="仿宋" w:hAnsi="仿宋" w:eastAsia="仿宋" w:cs="宋体"/>
          <w:color w:val="auto"/>
          <w:kern w:val="0"/>
          <w:sz w:val="24"/>
          <w:highlight w:val="none"/>
        </w:rPr>
      </w:pPr>
      <w:r>
        <w:rPr>
          <w:rFonts w:ascii="仿宋" w:hAnsi="仿宋" w:eastAsia="仿宋" w:cs="宋体"/>
          <w:color w:val="auto"/>
          <w:kern w:val="0"/>
          <w:sz w:val="24"/>
          <w:szCs w:val="24"/>
          <w:highlight w:val="none"/>
        </w:rPr>
        <w:t>6</w:t>
      </w:r>
      <w:r>
        <w:rPr>
          <w:rFonts w:hint="eastAsia" w:ascii="仿宋" w:hAnsi="仿宋" w:eastAsia="仿宋" w:cs="宋体"/>
          <w:color w:val="auto"/>
          <w:kern w:val="0"/>
          <w:sz w:val="24"/>
          <w:szCs w:val="24"/>
          <w:highlight w:val="none"/>
        </w:rPr>
        <w:t>．我方承诺对所递交的投标文件及有关材料</w:t>
      </w:r>
      <w:r>
        <w:rPr>
          <w:rFonts w:hint="eastAsia" w:ascii="仿宋" w:hAnsi="仿宋" w:eastAsia="仿宋" w:cs="宋体"/>
          <w:color w:val="auto"/>
          <w:kern w:val="0"/>
          <w:sz w:val="24"/>
          <w:highlight w:val="none"/>
        </w:rPr>
        <w:t>的真实性、合法性、完整性、准确性承担法律责任。</w:t>
      </w:r>
      <w:r>
        <w:rPr>
          <w:rFonts w:hint="eastAsia" w:ascii="仿宋" w:hAnsi="仿宋" w:eastAsia="仿宋" w:cs="宋体"/>
          <w:color w:val="auto"/>
          <w:kern w:val="0"/>
          <w:sz w:val="24"/>
          <w:szCs w:val="24"/>
          <w:highlight w:val="none"/>
        </w:rPr>
        <w:t>如有弄虚作假、串通投标、行贿等违法违规行为，将承担相应的法律责任，并赔偿由此给贵方造成的一切损失。</w:t>
      </w:r>
    </w:p>
    <w:p w14:paraId="396208A9">
      <w:pPr>
        <w:pageBreakBefore w:val="0"/>
        <w:widowControl/>
        <w:kinsoku/>
        <w:overflowPunct/>
        <w:bidi w:val="0"/>
        <w:spacing w:line="600" w:lineRule="exact"/>
        <w:ind w:firstLine="420"/>
        <w:rPr>
          <w:rFonts w:hint="eastAsia" w:ascii="仿宋" w:hAnsi="仿宋" w:eastAsia="仿宋" w:cs="宋体"/>
          <w:color w:val="auto"/>
          <w:kern w:val="0"/>
          <w:sz w:val="24"/>
          <w:szCs w:val="24"/>
          <w:highlight w:val="none"/>
        </w:rPr>
      </w:pPr>
      <w:r>
        <w:rPr>
          <w:rFonts w:ascii="仿宋" w:hAnsi="仿宋" w:eastAsia="仿宋" w:cs="宋体"/>
          <w:color w:val="auto"/>
          <w:kern w:val="0"/>
          <w:sz w:val="24"/>
          <w:szCs w:val="24"/>
          <w:highlight w:val="none"/>
        </w:rPr>
        <w:t>7</w:t>
      </w:r>
      <w:r>
        <w:rPr>
          <w:rFonts w:hint="eastAsia" w:ascii="仿宋" w:hAnsi="仿宋" w:eastAsia="仿宋" w:cs="宋体"/>
          <w:color w:val="auto"/>
          <w:kern w:val="0"/>
          <w:sz w:val="24"/>
          <w:szCs w:val="24"/>
          <w:highlight w:val="none"/>
        </w:rPr>
        <w:t>. 如我方中标：</w:t>
      </w:r>
    </w:p>
    <w:p w14:paraId="6B803378">
      <w:pPr>
        <w:pageBreakBefore w:val="0"/>
        <w:widowControl/>
        <w:kinsoku/>
        <w:overflowPunct/>
        <w:bidi w:val="0"/>
        <w:spacing w:line="600" w:lineRule="exact"/>
        <w:ind w:firstLine="420"/>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（1）我方承诺在收到中标通知书后，在中标通知书规定的期限内与贵方签订合同。</w:t>
      </w:r>
    </w:p>
    <w:p w14:paraId="1228C18A">
      <w:pPr>
        <w:pageBreakBefore w:val="0"/>
        <w:widowControl/>
        <w:kinsoku/>
        <w:overflowPunct/>
        <w:bidi w:val="0"/>
        <w:spacing w:line="600" w:lineRule="exact"/>
        <w:ind w:firstLine="420"/>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（2）我方承诺按照招标文件规定递交履约保证金、支付招标代理服务费。</w:t>
      </w:r>
    </w:p>
    <w:p w14:paraId="17FBB42F">
      <w:pPr>
        <w:pageBreakBefore w:val="0"/>
        <w:widowControl/>
        <w:kinsoku/>
        <w:overflowPunct/>
        <w:bidi w:val="0"/>
        <w:spacing w:line="600" w:lineRule="exact"/>
        <w:ind w:firstLine="420"/>
        <w:rPr>
          <w:rFonts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（3）我方承诺按照招标文件的规定及合同约定履行相关责任和义务。</w:t>
      </w:r>
    </w:p>
    <w:p w14:paraId="6A261989">
      <w:pPr>
        <w:pageBreakBefore w:val="0"/>
        <w:widowControl/>
        <w:kinsoku/>
        <w:overflowPunct/>
        <w:bidi w:val="0"/>
        <w:spacing w:line="600" w:lineRule="exact"/>
        <w:ind w:firstLine="420"/>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（4）我方承诺双方合作后，我方可开具增值税专用发票。</w:t>
      </w:r>
    </w:p>
    <w:p w14:paraId="08FCED22">
      <w:pPr>
        <w:pStyle w:val="114"/>
        <w:pageBreakBefore w:val="0"/>
        <w:kinsoku/>
        <w:overflowPunct/>
        <w:bidi w:val="0"/>
        <w:spacing w:line="600" w:lineRule="exact"/>
        <w:rPr>
          <w:rFonts w:hint="eastAsia" w:ascii="仿宋" w:hAnsi="仿宋" w:eastAsia="仿宋" w:cs="宋体"/>
          <w:color w:val="auto"/>
          <w:sz w:val="24"/>
          <w:szCs w:val="24"/>
          <w:highlight w:val="none"/>
        </w:rPr>
      </w:pPr>
    </w:p>
    <w:p w14:paraId="62D41A8B">
      <w:pPr>
        <w:pageBreakBefore w:val="0"/>
        <w:kinsoku/>
        <w:overflowPunct/>
        <w:bidi w:val="0"/>
        <w:spacing w:line="600" w:lineRule="exact"/>
        <w:ind w:firstLine="4080" w:firstLineChars="1700"/>
        <w:jc w:val="right"/>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投标人名称：</w:t>
      </w:r>
      <w:r>
        <w:rPr>
          <w:rFonts w:hint="eastAsia" w:ascii="仿宋" w:hAnsi="仿宋" w:eastAsia="仿宋" w:cs="宋体"/>
          <w:color w:val="auto"/>
          <w:sz w:val="24"/>
          <w:szCs w:val="24"/>
          <w:highlight w:val="none"/>
          <w:u w:val="single"/>
        </w:rPr>
        <w:t xml:space="preserve">     </w:t>
      </w:r>
      <w:r>
        <w:rPr>
          <w:rFonts w:hint="eastAsia" w:ascii="仿宋" w:hAnsi="仿宋" w:eastAsia="仿宋" w:cs="宋体"/>
          <w:color w:val="auto"/>
          <w:sz w:val="24"/>
          <w:szCs w:val="24"/>
          <w:highlight w:val="none"/>
        </w:rPr>
        <w:t>（盖章）</w:t>
      </w:r>
    </w:p>
    <w:p w14:paraId="42445239">
      <w:pPr>
        <w:pageBreakBefore w:val="0"/>
        <w:kinsoku/>
        <w:overflowPunct/>
        <w:bidi w:val="0"/>
        <w:spacing w:line="600" w:lineRule="exact"/>
        <w:jc w:val="right"/>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日期：</w:t>
      </w:r>
      <w:r>
        <w:rPr>
          <w:rFonts w:hint="eastAsia" w:ascii="仿宋" w:hAnsi="仿宋" w:eastAsia="仿宋" w:cs="宋体"/>
          <w:color w:val="auto"/>
          <w:sz w:val="24"/>
          <w:szCs w:val="24"/>
          <w:highlight w:val="none"/>
          <w:u w:val="single"/>
        </w:rPr>
        <w:t xml:space="preserve">   </w:t>
      </w:r>
      <w:r>
        <w:rPr>
          <w:rFonts w:hint="eastAsia" w:ascii="仿宋" w:hAnsi="仿宋" w:eastAsia="仿宋" w:cs="宋体"/>
          <w:color w:val="auto"/>
          <w:sz w:val="24"/>
          <w:szCs w:val="24"/>
          <w:highlight w:val="none"/>
        </w:rPr>
        <w:t>年</w:t>
      </w:r>
      <w:r>
        <w:rPr>
          <w:rFonts w:hint="eastAsia" w:ascii="仿宋" w:hAnsi="仿宋" w:eastAsia="仿宋" w:cs="宋体"/>
          <w:color w:val="auto"/>
          <w:sz w:val="24"/>
          <w:szCs w:val="24"/>
          <w:highlight w:val="none"/>
          <w:u w:val="single"/>
        </w:rPr>
        <w:t xml:space="preserve">   </w:t>
      </w:r>
      <w:r>
        <w:rPr>
          <w:rFonts w:hint="eastAsia" w:ascii="仿宋" w:hAnsi="仿宋" w:eastAsia="仿宋" w:cs="宋体"/>
          <w:color w:val="auto"/>
          <w:sz w:val="24"/>
          <w:szCs w:val="24"/>
          <w:highlight w:val="none"/>
        </w:rPr>
        <w:t>月</w:t>
      </w:r>
      <w:r>
        <w:rPr>
          <w:rFonts w:hint="eastAsia" w:ascii="仿宋" w:hAnsi="仿宋" w:eastAsia="仿宋" w:cs="宋体"/>
          <w:color w:val="auto"/>
          <w:sz w:val="24"/>
          <w:szCs w:val="24"/>
          <w:highlight w:val="none"/>
          <w:u w:val="single"/>
        </w:rPr>
        <w:t xml:space="preserve">   </w:t>
      </w:r>
      <w:r>
        <w:rPr>
          <w:rFonts w:hint="eastAsia" w:ascii="仿宋" w:hAnsi="仿宋" w:eastAsia="仿宋" w:cs="宋体"/>
          <w:color w:val="auto"/>
          <w:sz w:val="24"/>
          <w:szCs w:val="24"/>
          <w:highlight w:val="none"/>
        </w:rPr>
        <w:t>日</w:t>
      </w:r>
    </w:p>
    <w:p w14:paraId="430773A5">
      <w:pPr>
        <w:pageBreakBefore w:val="0"/>
        <w:tabs>
          <w:tab w:val="left" w:pos="338"/>
        </w:tabs>
        <w:kinsoku/>
        <w:overflowPunct/>
        <w:bidi w:val="0"/>
        <w:spacing w:line="600" w:lineRule="exact"/>
        <w:ind w:right="120"/>
        <w:jc w:val="both"/>
        <w:rPr>
          <w:rFonts w:ascii="仿宋" w:hAnsi="仿宋" w:cs="宋体"/>
          <w:color w:val="auto"/>
          <w:szCs w:val="24"/>
          <w:highlight w:val="none"/>
        </w:rPr>
      </w:pPr>
      <w:bookmarkStart w:id="662" w:name="_Toc65683006"/>
      <w:bookmarkStart w:id="663" w:name="_Toc27171"/>
      <w:bookmarkStart w:id="664" w:name="_Toc2403"/>
      <w:bookmarkStart w:id="665" w:name="_Toc109124318"/>
    </w:p>
    <w:p w14:paraId="192E60C5">
      <w:pPr>
        <w:pStyle w:val="2"/>
        <w:rPr>
          <w:rFonts w:ascii="仿宋" w:hAnsi="仿宋" w:cs="宋体"/>
          <w:color w:val="auto"/>
          <w:szCs w:val="24"/>
          <w:highlight w:val="none"/>
        </w:rPr>
      </w:pPr>
    </w:p>
    <w:p w14:paraId="1FE287A7">
      <w:pPr>
        <w:rPr>
          <w:rFonts w:ascii="仿宋" w:hAnsi="仿宋" w:cs="宋体"/>
          <w:color w:val="auto"/>
          <w:szCs w:val="24"/>
          <w:highlight w:val="none"/>
        </w:rPr>
      </w:pPr>
    </w:p>
    <w:p w14:paraId="7BB58FCC">
      <w:pPr>
        <w:pStyle w:val="2"/>
        <w:rPr>
          <w:rFonts w:ascii="仿宋" w:hAnsi="仿宋" w:cs="宋体"/>
          <w:color w:val="auto"/>
          <w:szCs w:val="24"/>
          <w:highlight w:val="none"/>
        </w:rPr>
      </w:pPr>
    </w:p>
    <w:p w14:paraId="20E38A15">
      <w:pPr>
        <w:rPr>
          <w:rFonts w:ascii="仿宋" w:hAnsi="仿宋" w:cs="宋体"/>
          <w:color w:val="auto"/>
          <w:szCs w:val="24"/>
          <w:highlight w:val="none"/>
        </w:rPr>
      </w:pPr>
    </w:p>
    <w:p w14:paraId="6A246967">
      <w:pPr>
        <w:pStyle w:val="2"/>
        <w:rPr>
          <w:rFonts w:ascii="仿宋" w:hAnsi="仿宋" w:cs="宋体"/>
          <w:color w:val="auto"/>
          <w:szCs w:val="24"/>
          <w:highlight w:val="none"/>
        </w:rPr>
      </w:pPr>
    </w:p>
    <w:p w14:paraId="09B8C27E">
      <w:pPr>
        <w:rPr>
          <w:rFonts w:ascii="仿宋" w:hAnsi="仿宋" w:cs="宋体"/>
          <w:color w:val="auto"/>
          <w:szCs w:val="24"/>
          <w:highlight w:val="none"/>
        </w:rPr>
      </w:pPr>
    </w:p>
    <w:p w14:paraId="62790FBA">
      <w:pPr>
        <w:pStyle w:val="2"/>
        <w:rPr>
          <w:rFonts w:ascii="仿宋" w:hAnsi="仿宋" w:cs="宋体"/>
          <w:color w:val="auto"/>
          <w:szCs w:val="24"/>
          <w:highlight w:val="none"/>
        </w:rPr>
      </w:pPr>
    </w:p>
    <w:p w14:paraId="31782AF8">
      <w:pPr>
        <w:rPr>
          <w:rFonts w:ascii="仿宋" w:hAnsi="仿宋" w:cs="宋体"/>
          <w:color w:val="auto"/>
          <w:szCs w:val="24"/>
          <w:highlight w:val="none"/>
        </w:rPr>
      </w:pPr>
    </w:p>
    <w:p w14:paraId="7640A569">
      <w:pPr>
        <w:pStyle w:val="2"/>
        <w:rPr>
          <w:rFonts w:ascii="仿宋" w:hAnsi="仿宋" w:cs="宋体"/>
          <w:color w:val="auto"/>
          <w:szCs w:val="24"/>
          <w:highlight w:val="none"/>
        </w:rPr>
      </w:pPr>
    </w:p>
    <w:p w14:paraId="1F45F1CC">
      <w:pPr>
        <w:rPr>
          <w:rFonts w:ascii="仿宋" w:hAnsi="仿宋" w:cs="宋体"/>
          <w:color w:val="auto"/>
          <w:szCs w:val="24"/>
          <w:highlight w:val="none"/>
        </w:rPr>
      </w:pPr>
    </w:p>
    <w:p w14:paraId="20D7A75C">
      <w:pPr>
        <w:pStyle w:val="2"/>
        <w:rPr>
          <w:rFonts w:ascii="仿宋" w:hAnsi="仿宋" w:cs="宋体"/>
          <w:color w:val="auto"/>
          <w:szCs w:val="24"/>
          <w:highlight w:val="none"/>
        </w:rPr>
      </w:pPr>
    </w:p>
    <w:p w14:paraId="576297B9">
      <w:pPr>
        <w:rPr>
          <w:rFonts w:ascii="仿宋" w:hAnsi="仿宋" w:cs="宋体"/>
          <w:color w:val="auto"/>
          <w:szCs w:val="24"/>
          <w:highlight w:val="none"/>
        </w:rPr>
      </w:pPr>
    </w:p>
    <w:p w14:paraId="38EBCED4">
      <w:pPr>
        <w:pStyle w:val="2"/>
        <w:rPr>
          <w:rFonts w:ascii="仿宋" w:hAnsi="仿宋" w:cs="宋体"/>
          <w:color w:val="auto"/>
          <w:szCs w:val="24"/>
          <w:highlight w:val="none"/>
        </w:rPr>
      </w:pPr>
    </w:p>
    <w:p w14:paraId="4FFBE621">
      <w:pPr>
        <w:rPr>
          <w:rFonts w:ascii="仿宋" w:hAnsi="仿宋" w:cs="宋体"/>
          <w:color w:val="auto"/>
          <w:szCs w:val="24"/>
          <w:highlight w:val="none"/>
        </w:rPr>
      </w:pPr>
    </w:p>
    <w:p w14:paraId="7E7B7950">
      <w:pPr>
        <w:pStyle w:val="2"/>
        <w:rPr>
          <w:rFonts w:ascii="仿宋" w:hAnsi="仿宋" w:cs="宋体"/>
          <w:color w:val="auto"/>
          <w:szCs w:val="24"/>
          <w:highlight w:val="none"/>
        </w:rPr>
      </w:pPr>
    </w:p>
    <w:p w14:paraId="15624AC2">
      <w:pPr>
        <w:rPr>
          <w:rFonts w:ascii="仿宋" w:hAnsi="仿宋" w:cs="宋体"/>
          <w:color w:val="auto"/>
          <w:szCs w:val="24"/>
          <w:highlight w:val="none"/>
        </w:rPr>
      </w:pPr>
    </w:p>
    <w:p w14:paraId="084B36F8">
      <w:pPr>
        <w:pStyle w:val="2"/>
        <w:rPr>
          <w:rFonts w:ascii="仿宋" w:hAnsi="仿宋" w:cs="宋体"/>
          <w:color w:val="auto"/>
          <w:szCs w:val="24"/>
          <w:highlight w:val="none"/>
        </w:rPr>
      </w:pPr>
    </w:p>
    <w:p w14:paraId="6F74BD85">
      <w:pPr>
        <w:rPr>
          <w:rFonts w:ascii="仿宋" w:hAnsi="仿宋" w:cs="宋体"/>
          <w:color w:val="auto"/>
          <w:szCs w:val="24"/>
          <w:highlight w:val="none"/>
        </w:rPr>
      </w:pPr>
    </w:p>
    <w:p w14:paraId="4C08340B">
      <w:pPr>
        <w:pStyle w:val="2"/>
        <w:rPr>
          <w:rFonts w:ascii="仿宋" w:hAnsi="仿宋" w:cs="宋体"/>
          <w:color w:val="auto"/>
          <w:szCs w:val="24"/>
          <w:highlight w:val="none"/>
        </w:rPr>
      </w:pPr>
    </w:p>
    <w:p w14:paraId="3EC741A4">
      <w:pPr>
        <w:rPr>
          <w:rFonts w:ascii="仿宋" w:hAnsi="仿宋" w:cs="宋体"/>
          <w:color w:val="auto"/>
          <w:szCs w:val="24"/>
          <w:highlight w:val="none"/>
        </w:rPr>
      </w:pPr>
    </w:p>
    <w:p w14:paraId="3568EFD5">
      <w:pPr>
        <w:pStyle w:val="2"/>
        <w:rPr>
          <w:rFonts w:ascii="仿宋" w:hAnsi="仿宋" w:cs="宋体"/>
          <w:color w:val="auto"/>
          <w:szCs w:val="24"/>
          <w:highlight w:val="none"/>
        </w:rPr>
      </w:pPr>
    </w:p>
    <w:p w14:paraId="0875F2A7"/>
    <w:p w14:paraId="309D94E8">
      <w:pPr>
        <w:pageBreakBefore w:val="0"/>
        <w:tabs>
          <w:tab w:val="left" w:pos="338"/>
        </w:tabs>
        <w:kinsoku/>
        <w:overflowPunct/>
        <w:bidi w:val="0"/>
        <w:spacing w:line="600" w:lineRule="exact"/>
        <w:ind w:right="120"/>
        <w:jc w:val="both"/>
        <w:rPr>
          <w:rFonts w:ascii="仿宋" w:hAnsi="仿宋" w:cs="宋体"/>
          <w:color w:val="auto"/>
          <w:szCs w:val="24"/>
          <w:highlight w:val="none"/>
        </w:rPr>
      </w:pPr>
      <w:r>
        <w:rPr>
          <w:rFonts w:ascii="仿宋" w:hAnsi="仿宋" w:cs="宋体"/>
          <w:color w:val="auto"/>
          <w:szCs w:val="24"/>
          <w:highlight w:val="none"/>
        </w:rPr>
        <w:t>（二）法定代表人（负责人）身份证明</w:t>
      </w:r>
      <w:bookmarkEnd w:id="662"/>
      <w:bookmarkEnd w:id="663"/>
      <w:bookmarkEnd w:id="664"/>
      <w:bookmarkEnd w:id="665"/>
    </w:p>
    <w:p w14:paraId="085F1068">
      <w:pPr>
        <w:pStyle w:val="114"/>
        <w:pageBreakBefore w:val="0"/>
        <w:kinsoku/>
        <w:overflowPunct/>
        <w:bidi w:val="0"/>
        <w:spacing w:line="600" w:lineRule="exact"/>
        <w:jc w:val="center"/>
        <w:rPr>
          <w:rFonts w:hint="eastAsia" w:ascii="仿宋" w:hAnsi="仿宋" w:eastAsia="仿宋" w:cs="宋体"/>
          <w:b/>
          <w:color w:val="auto"/>
          <w:sz w:val="24"/>
          <w:szCs w:val="24"/>
          <w:highlight w:val="none"/>
        </w:rPr>
      </w:pPr>
      <w:r>
        <w:rPr>
          <w:rFonts w:hint="eastAsia" w:ascii="仿宋" w:hAnsi="仿宋" w:eastAsia="仿宋" w:cs="宋体"/>
          <w:b/>
          <w:color w:val="auto"/>
          <w:sz w:val="24"/>
          <w:szCs w:val="24"/>
          <w:highlight w:val="none"/>
        </w:rPr>
        <w:t>法定代表人（负责人）身份证明</w:t>
      </w:r>
    </w:p>
    <w:p w14:paraId="06846985">
      <w:pPr>
        <w:pageBreakBefore w:val="0"/>
        <w:widowControl/>
        <w:kinsoku/>
        <w:overflowPunct/>
        <w:topLinePunct/>
        <w:bidi w:val="0"/>
        <w:spacing w:line="600" w:lineRule="exact"/>
        <w:rPr>
          <w:rFonts w:hint="eastAsia" w:ascii="仿宋" w:hAnsi="仿宋" w:eastAsia="仿宋" w:cs="宋体"/>
          <w:color w:val="auto"/>
          <w:kern w:val="0"/>
          <w:sz w:val="24"/>
          <w:szCs w:val="24"/>
          <w:highlight w:val="none"/>
          <w:u w:val="single"/>
        </w:rPr>
      </w:pPr>
      <w:r>
        <w:rPr>
          <w:rFonts w:hint="eastAsia" w:ascii="仿宋" w:hAnsi="仿宋" w:eastAsia="仿宋" w:cs="宋体"/>
          <w:color w:val="auto"/>
          <w:kern w:val="0"/>
          <w:sz w:val="24"/>
          <w:szCs w:val="24"/>
          <w:highlight w:val="none"/>
        </w:rPr>
        <w:t>投标人名称：</w:t>
      </w:r>
      <w:r>
        <w:rPr>
          <w:rFonts w:hint="eastAsia" w:ascii="仿宋" w:hAnsi="仿宋" w:eastAsia="仿宋" w:cs="宋体"/>
          <w:color w:val="auto"/>
          <w:kern w:val="0"/>
          <w:sz w:val="24"/>
          <w:szCs w:val="24"/>
          <w:highlight w:val="none"/>
          <w:u w:val="single"/>
        </w:rPr>
        <w:t xml:space="preserve">                         </w:t>
      </w:r>
    </w:p>
    <w:p w14:paraId="407D3639">
      <w:pPr>
        <w:pageBreakBefore w:val="0"/>
        <w:widowControl/>
        <w:kinsoku/>
        <w:overflowPunct/>
        <w:topLinePunct/>
        <w:bidi w:val="0"/>
        <w:spacing w:line="600" w:lineRule="exac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成立时间：</w:t>
      </w:r>
      <w:r>
        <w:rPr>
          <w:rFonts w:hint="eastAsia" w:ascii="仿宋" w:hAnsi="仿宋" w:eastAsia="仿宋" w:cs="宋体"/>
          <w:color w:val="auto"/>
          <w:kern w:val="0"/>
          <w:sz w:val="24"/>
          <w:szCs w:val="24"/>
          <w:highlight w:val="none"/>
          <w:u w:val="single"/>
        </w:rPr>
        <w:t xml:space="preserve">    </w:t>
      </w:r>
      <w:r>
        <w:rPr>
          <w:rFonts w:hint="eastAsia" w:ascii="仿宋" w:hAnsi="仿宋" w:eastAsia="仿宋" w:cs="宋体"/>
          <w:color w:val="auto"/>
          <w:kern w:val="0"/>
          <w:sz w:val="24"/>
          <w:szCs w:val="24"/>
          <w:highlight w:val="none"/>
        </w:rPr>
        <w:t>年</w:t>
      </w:r>
      <w:r>
        <w:rPr>
          <w:rFonts w:hint="eastAsia" w:ascii="仿宋" w:hAnsi="仿宋" w:eastAsia="仿宋" w:cs="宋体"/>
          <w:color w:val="auto"/>
          <w:kern w:val="0"/>
          <w:sz w:val="24"/>
          <w:szCs w:val="24"/>
          <w:highlight w:val="none"/>
          <w:u w:val="single"/>
        </w:rPr>
        <w:t xml:space="preserve">    </w:t>
      </w:r>
      <w:r>
        <w:rPr>
          <w:rFonts w:hint="eastAsia" w:ascii="仿宋" w:hAnsi="仿宋" w:eastAsia="仿宋" w:cs="宋体"/>
          <w:color w:val="auto"/>
          <w:kern w:val="0"/>
          <w:sz w:val="24"/>
          <w:szCs w:val="24"/>
          <w:highlight w:val="none"/>
        </w:rPr>
        <w:t>月</w:t>
      </w:r>
      <w:r>
        <w:rPr>
          <w:rFonts w:hint="eastAsia" w:ascii="仿宋" w:hAnsi="仿宋" w:eastAsia="仿宋" w:cs="宋体"/>
          <w:color w:val="auto"/>
          <w:kern w:val="0"/>
          <w:sz w:val="24"/>
          <w:szCs w:val="24"/>
          <w:highlight w:val="none"/>
          <w:u w:val="single"/>
        </w:rPr>
        <w:t xml:space="preserve">    </w:t>
      </w:r>
      <w:r>
        <w:rPr>
          <w:rFonts w:hint="eastAsia" w:ascii="仿宋" w:hAnsi="仿宋" w:eastAsia="仿宋" w:cs="宋体"/>
          <w:color w:val="auto"/>
          <w:kern w:val="0"/>
          <w:sz w:val="24"/>
          <w:szCs w:val="24"/>
          <w:highlight w:val="none"/>
        </w:rPr>
        <w:t>日</w:t>
      </w:r>
    </w:p>
    <w:p w14:paraId="12BAD540">
      <w:pPr>
        <w:pageBreakBefore w:val="0"/>
        <w:widowControl/>
        <w:kinsoku/>
        <w:overflowPunct/>
        <w:topLinePunct/>
        <w:bidi w:val="0"/>
        <w:spacing w:line="600" w:lineRule="exact"/>
        <w:rPr>
          <w:rFonts w:hint="eastAsia" w:ascii="仿宋" w:hAnsi="仿宋" w:eastAsia="仿宋" w:cs="宋体"/>
          <w:color w:val="auto"/>
          <w:kern w:val="0"/>
          <w:sz w:val="24"/>
          <w:szCs w:val="24"/>
          <w:highlight w:val="none"/>
          <w:u w:val="single"/>
        </w:rPr>
      </w:pPr>
      <w:r>
        <w:rPr>
          <w:rFonts w:hint="eastAsia" w:ascii="仿宋" w:hAnsi="仿宋" w:eastAsia="仿宋" w:cs="宋体"/>
          <w:color w:val="auto"/>
          <w:kern w:val="0"/>
          <w:sz w:val="24"/>
          <w:szCs w:val="24"/>
          <w:highlight w:val="none"/>
        </w:rPr>
        <w:t>姓名：</w:t>
      </w:r>
      <w:r>
        <w:rPr>
          <w:rFonts w:hint="eastAsia" w:ascii="仿宋" w:hAnsi="仿宋" w:eastAsia="仿宋" w:cs="宋体"/>
          <w:color w:val="auto"/>
          <w:kern w:val="0"/>
          <w:sz w:val="24"/>
          <w:szCs w:val="24"/>
          <w:highlight w:val="none"/>
          <w:u w:val="single"/>
        </w:rPr>
        <w:t xml:space="preserve">         </w:t>
      </w:r>
      <w:r>
        <w:rPr>
          <w:rFonts w:hint="eastAsia" w:ascii="仿宋" w:hAnsi="仿宋" w:eastAsia="仿宋" w:cs="宋体"/>
          <w:color w:val="auto"/>
          <w:kern w:val="0"/>
          <w:sz w:val="24"/>
          <w:szCs w:val="24"/>
          <w:highlight w:val="none"/>
        </w:rPr>
        <w:t>性别：</w:t>
      </w:r>
      <w:r>
        <w:rPr>
          <w:rFonts w:hint="eastAsia" w:ascii="仿宋" w:hAnsi="仿宋" w:eastAsia="仿宋" w:cs="宋体"/>
          <w:color w:val="auto"/>
          <w:kern w:val="0"/>
          <w:sz w:val="24"/>
          <w:szCs w:val="24"/>
          <w:highlight w:val="none"/>
          <w:u w:val="single"/>
        </w:rPr>
        <w:t xml:space="preserve">          </w:t>
      </w:r>
      <w:r>
        <w:rPr>
          <w:rFonts w:hint="eastAsia" w:ascii="仿宋" w:hAnsi="仿宋" w:eastAsia="仿宋" w:cs="宋体"/>
          <w:color w:val="auto"/>
          <w:kern w:val="0"/>
          <w:sz w:val="24"/>
          <w:szCs w:val="24"/>
          <w:highlight w:val="none"/>
        </w:rPr>
        <w:t>年龄：</w:t>
      </w:r>
      <w:r>
        <w:rPr>
          <w:rFonts w:hint="eastAsia" w:ascii="仿宋" w:hAnsi="仿宋" w:eastAsia="仿宋" w:cs="宋体"/>
          <w:color w:val="auto"/>
          <w:kern w:val="0"/>
          <w:sz w:val="24"/>
          <w:szCs w:val="24"/>
          <w:highlight w:val="none"/>
          <w:u w:val="single"/>
        </w:rPr>
        <w:t xml:space="preserve">         </w:t>
      </w:r>
      <w:r>
        <w:rPr>
          <w:rFonts w:hint="eastAsia" w:ascii="仿宋" w:hAnsi="仿宋" w:eastAsia="仿宋" w:cs="宋体"/>
          <w:color w:val="auto"/>
          <w:kern w:val="0"/>
          <w:sz w:val="24"/>
          <w:szCs w:val="24"/>
          <w:highlight w:val="none"/>
        </w:rPr>
        <w:t>职务：</w:t>
      </w:r>
      <w:r>
        <w:rPr>
          <w:rFonts w:hint="eastAsia" w:ascii="仿宋" w:hAnsi="仿宋" w:eastAsia="仿宋" w:cs="宋体"/>
          <w:color w:val="auto"/>
          <w:kern w:val="0"/>
          <w:sz w:val="24"/>
          <w:szCs w:val="24"/>
          <w:highlight w:val="none"/>
          <w:u w:val="single"/>
        </w:rPr>
        <w:t xml:space="preserve">         </w:t>
      </w:r>
    </w:p>
    <w:p w14:paraId="6048780B">
      <w:pPr>
        <w:pageBreakBefore w:val="0"/>
        <w:widowControl/>
        <w:kinsoku/>
        <w:overflowPunct/>
        <w:topLinePunct/>
        <w:bidi w:val="0"/>
        <w:spacing w:line="600" w:lineRule="exac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系</w:t>
      </w:r>
      <w:r>
        <w:rPr>
          <w:rFonts w:hint="eastAsia" w:ascii="仿宋" w:hAnsi="仿宋" w:eastAsia="仿宋" w:cs="宋体"/>
          <w:color w:val="auto"/>
          <w:kern w:val="0"/>
          <w:sz w:val="24"/>
          <w:szCs w:val="24"/>
          <w:highlight w:val="none"/>
          <w:u w:val="single"/>
        </w:rPr>
        <w:t xml:space="preserve">                   </w:t>
      </w:r>
      <w:r>
        <w:rPr>
          <w:rFonts w:hint="eastAsia" w:ascii="仿宋" w:hAnsi="仿宋" w:eastAsia="仿宋" w:cs="宋体"/>
          <w:color w:val="auto"/>
          <w:kern w:val="0"/>
          <w:sz w:val="24"/>
          <w:szCs w:val="24"/>
          <w:highlight w:val="none"/>
        </w:rPr>
        <w:t>（投标人名称）的法定代表人（负责人）。</w:t>
      </w:r>
    </w:p>
    <w:p w14:paraId="4D77ED92">
      <w:pPr>
        <w:pageBreakBefore w:val="0"/>
        <w:widowControl/>
        <w:kinsoku/>
        <w:overflowPunct/>
        <w:topLinePunct/>
        <w:bidi w:val="0"/>
        <w:spacing w:line="600" w:lineRule="exact"/>
        <w:rPr>
          <w:rFonts w:hint="eastAsia" w:ascii="宋体" w:hAnsi="宋体"/>
          <w:color w:val="auto"/>
          <w:szCs w:val="21"/>
          <w:highlight w:val="none"/>
        </w:rPr>
      </w:pPr>
      <w:r>
        <w:rPr>
          <w:rFonts w:hint="eastAsia" w:ascii="仿宋" w:hAnsi="仿宋" w:eastAsia="仿宋" w:cs="宋体"/>
          <w:color w:val="auto"/>
          <w:kern w:val="0"/>
          <w:sz w:val="24"/>
          <w:szCs w:val="24"/>
          <w:highlight w:val="none"/>
        </w:rPr>
        <w:t>特此证明。</w:t>
      </w:r>
    </w:p>
    <w:p w14:paraId="12AF877D">
      <w:pPr>
        <w:pageBreakBefore w:val="0"/>
        <w:widowControl/>
        <w:kinsoku/>
        <w:overflowPunct/>
        <w:bidi w:val="0"/>
        <w:spacing w:line="600" w:lineRule="exact"/>
        <w:rPr>
          <w:rFonts w:hint="eastAsia" w:ascii="仿宋" w:hAnsi="仿宋" w:eastAsia="仿宋" w:cs="宋体"/>
          <w:color w:val="auto"/>
          <w:kern w:val="0"/>
          <w:sz w:val="24"/>
          <w:szCs w:val="24"/>
          <w:highlight w:val="none"/>
        </w:rPr>
      </w:pPr>
      <w:r>
        <w:rPr>
          <w:rFonts w:hint="eastAsia" w:ascii="仿宋" w:hAnsi="仿宋" w:eastAsia="仿宋" w:cs="宋体"/>
          <w:b/>
          <w:bCs/>
          <w:color w:val="auto"/>
          <w:kern w:val="0"/>
          <w:sz w:val="24"/>
          <w:szCs w:val="24"/>
          <w:highlight w:val="none"/>
        </w:rPr>
        <w:t>附：法定代表人（负责人）身份证复印件（需同时提供正面及背面）</w:t>
      </w:r>
      <w:r>
        <w:rPr>
          <w:rFonts w:hint="eastAsia" w:ascii="仿宋" w:hAnsi="仿宋" w:eastAsia="仿宋" w:cs="宋体"/>
          <w:color w:val="auto"/>
          <w:kern w:val="0"/>
          <w:sz w:val="24"/>
          <w:szCs w:val="24"/>
          <w:highlight w:val="none"/>
        </w:rPr>
        <w:t>。</w:t>
      </w:r>
    </w:p>
    <w:tbl>
      <w:tblPr>
        <w:tblStyle w:val="3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DD6EE"/>
        <w:tblLayout w:type="autofit"/>
        <w:tblCellMar>
          <w:top w:w="0" w:type="dxa"/>
          <w:left w:w="108" w:type="dxa"/>
          <w:bottom w:w="0" w:type="dxa"/>
          <w:right w:w="108" w:type="dxa"/>
        </w:tblCellMar>
      </w:tblPr>
      <w:tblGrid>
        <w:gridCol w:w="4927"/>
        <w:gridCol w:w="4927"/>
      </w:tblGrid>
      <w:tr w14:paraId="710F4C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DD6EE"/>
          <w:tblCellMar>
            <w:top w:w="0" w:type="dxa"/>
            <w:left w:w="108" w:type="dxa"/>
            <w:bottom w:w="0" w:type="dxa"/>
            <w:right w:w="108" w:type="dxa"/>
          </w:tblCellMar>
        </w:tblPrEx>
        <w:trPr>
          <w:trHeight w:val="3432" w:hRule="atLeast"/>
        </w:trPr>
        <w:tc>
          <w:tcPr>
            <w:tcW w:w="4927" w:type="dxa"/>
            <w:shd w:val="clear" w:color="auto" w:fill="A8D08D"/>
            <w:noWrap w:val="0"/>
            <w:vAlign w:val="top"/>
          </w:tcPr>
          <w:p w14:paraId="0C282CF5">
            <w:pPr>
              <w:keepNext w:val="0"/>
              <w:keepLines w:val="0"/>
              <w:pageBreakBefore w:val="0"/>
              <w:widowControl/>
              <w:suppressLineNumbers w:val="0"/>
              <w:kinsoku/>
              <w:overflowPunct/>
              <w:bidi w:val="0"/>
              <w:spacing w:before="0" w:beforeAutospacing="0" w:after="0" w:afterAutospacing="0" w:line="600" w:lineRule="exact"/>
              <w:ind w:left="0" w:right="0"/>
              <w:rPr>
                <w:rFonts w:hint="eastAsia" w:ascii="仿宋" w:hAnsi="仿宋" w:eastAsia="仿宋" w:cs="仿宋"/>
                <w:color w:val="auto"/>
                <w:kern w:val="0"/>
                <w:szCs w:val="20"/>
                <w:highlight w:val="none"/>
              </w:rPr>
            </w:pPr>
          </w:p>
        </w:tc>
        <w:tc>
          <w:tcPr>
            <w:tcW w:w="4927" w:type="dxa"/>
            <w:shd w:val="clear" w:color="auto" w:fill="A8D08D"/>
            <w:noWrap w:val="0"/>
            <w:vAlign w:val="top"/>
          </w:tcPr>
          <w:p w14:paraId="2BBCB085">
            <w:pPr>
              <w:keepNext w:val="0"/>
              <w:keepLines w:val="0"/>
              <w:pageBreakBefore w:val="0"/>
              <w:widowControl/>
              <w:suppressLineNumbers w:val="0"/>
              <w:kinsoku/>
              <w:overflowPunct/>
              <w:bidi w:val="0"/>
              <w:spacing w:before="0" w:beforeAutospacing="0" w:after="0" w:afterAutospacing="0" w:line="600" w:lineRule="exact"/>
              <w:ind w:left="0" w:right="0"/>
              <w:rPr>
                <w:rFonts w:hint="eastAsia" w:ascii="仿宋" w:hAnsi="仿宋" w:eastAsia="仿宋" w:cs="仿宋"/>
                <w:color w:val="auto"/>
                <w:kern w:val="0"/>
                <w:szCs w:val="20"/>
                <w:highlight w:val="none"/>
              </w:rPr>
            </w:pPr>
          </w:p>
        </w:tc>
      </w:tr>
    </w:tbl>
    <w:p w14:paraId="5CE705B5">
      <w:pPr>
        <w:pStyle w:val="114"/>
        <w:pageBreakBefore w:val="0"/>
        <w:kinsoku/>
        <w:overflowPunct/>
        <w:bidi w:val="0"/>
        <w:spacing w:line="600" w:lineRule="exact"/>
        <w:jc w:val="both"/>
        <w:rPr>
          <w:rFonts w:hint="eastAsia" w:ascii="仿宋" w:hAnsi="仿宋" w:eastAsia="仿宋" w:cs="宋体"/>
          <w:color w:val="auto"/>
          <w:highlight w:val="none"/>
        </w:rPr>
      </w:pPr>
    </w:p>
    <w:p w14:paraId="194A006F">
      <w:pPr>
        <w:pageBreakBefore w:val="0"/>
        <w:kinsoku/>
        <w:overflowPunct/>
        <w:bidi w:val="0"/>
        <w:spacing w:line="600" w:lineRule="exact"/>
        <w:ind w:firstLine="4080" w:firstLineChars="1700"/>
        <w:jc w:val="right"/>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投标人名称：</w:t>
      </w:r>
      <w:r>
        <w:rPr>
          <w:rFonts w:hint="eastAsia" w:ascii="仿宋" w:hAnsi="仿宋" w:eastAsia="仿宋" w:cs="宋体"/>
          <w:color w:val="auto"/>
          <w:sz w:val="24"/>
          <w:szCs w:val="24"/>
          <w:highlight w:val="none"/>
          <w:u w:val="single"/>
        </w:rPr>
        <w:t xml:space="preserve">     </w:t>
      </w:r>
      <w:r>
        <w:rPr>
          <w:rFonts w:hint="eastAsia" w:ascii="仿宋" w:hAnsi="仿宋" w:eastAsia="仿宋" w:cs="宋体"/>
          <w:color w:val="auto"/>
          <w:sz w:val="24"/>
          <w:szCs w:val="24"/>
          <w:highlight w:val="none"/>
        </w:rPr>
        <w:t>（盖章）</w:t>
      </w:r>
    </w:p>
    <w:p w14:paraId="680DD32D">
      <w:pPr>
        <w:pageBreakBefore w:val="0"/>
        <w:kinsoku/>
        <w:overflowPunct/>
        <w:bidi w:val="0"/>
        <w:spacing w:line="600" w:lineRule="exact"/>
        <w:jc w:val="right"/>
        <w:rPr>
          <w:rFonts w:hint="eastAsia" w:ascii="仿宋" w:hAnsi="仿宋" w:eastAsia="仿宋" w:cs="宋体"/>
          <w:b/>
          <w:bCs/>
          <w:color w:val="auto"/>
          <w:sz w:val="24"/>
          <w:szCs w:val="24"/>
          <w:highlight w:val="none"/>
        </w:rPr>
      </w:pPr>
      <w:r>
        <w:rPr>
          <w:rFonts w:hint="eastAsia" w:ascii="仿宋" w:hAnsi="仿宋" w:eastAsia="仿宋" w:cs="宋体"/>
          <w:color w:val="auto"/>
          <w:sz w:val="24"/>
          <w:szCs w:val="24"/>
          <w:highlight w:val="none"/>
        </w:rPr>
        <w:t>日期：</w:t>
      </w:r>
      <w:r>
        <w:rPr>
          <w:rFonts w:hint="eastAsia" w:ascii="仿宋" w:hAnsi="仿宋" w:eastAsia="仿宋" w:cs="宋体"/>
          <w:color w:val="auto"/>
          <w:sz w:val="24"/>
          <w:szCs w:val="24"/>
          <w:highlight w:val="none"/>
          <w:u w:val="single"/>
        </w:rPr>
        <w:t xml:space="preserve">   </w:t>
      </w:r>
      <w:r>
        <w:rPr>
          <w:rFonts w:hint="eastAsia" w:ascii="仿宋" w:hAnsi="仿宋" w:eastAsia="仿宋" w:cs="宋体"/>
          <w:color w:val="auto"/>
          <w:sz w:val="24"/>
          <w:szCs w:val="24"/>
          <w:highlight w:val="none"/>
        </w:rPr>
        <w:t>年</w:t>
      </w:r>
      <w:r>
        <w:rPr>
          <w:rFonts w:hint="eastAsia" w:ascii="仿宋" w:hAnsi="仿宋" w:eastAsia="仿宋" w:cs="宋体"/>
          <w:color w:val="auto"/>
          <w:sz w:val="24"/>
          <w:szCs w:val="24"/>
          <w:highlight w:val="none"/>
          <w:u w:val="single"/>
        </w:rPr>
        <w:t xml:space="preserve">   </w:t>
      </w:r>
      <w:r>
        <w:rPr>
          <w:rFonts w:hint="eastAsia" w:ascii="仿宋" w:hAnsi="仿宋" w:eastAsia="仿宋" w:cs="宋体"/>
          <w:color w:val="auto"/>
          <w:sz w:val="24"/>
          <w:szCs w:val="24"/>
          <w:highlight w:val="none"/>
        </w:rPr>
        <w:t>月</w:t>
      </w:r>
      <w:r>
        <w:rPr>
          <w:rFonts w:hint="eastAsia" w:ascii="仿宋" w:hAnsi="仿宋" w:eastAsia="仿宋" w:cs="宋体"/>
          <w:color w:val="auto"/>
          <w:sz w:val="24"/>
          <w:szCs w:val="24"/>
          <w:highlight w:val="none"/>
          <w:u w:val="single"/>
        </w:rPr>
        <w:t xml:space="preserve">   </w:t>
      </w:r>
      <w:r>
        <w:rPr>
          <w:rFonts w:hint="eastAsia" w:ascii="仿宋" w:hAnsi="仿宋" w:eastAsia="仿宋" w:cs="宋体"/>
          <w:color w:val="auto"/>
          <w:sz w:val="24"/>
          <w:szCs w:val="24"/>
          <w:highlight w:val="none"/>
        </w:rPr>
        <w:t>日</w:t>
      </w:r>
    </w:p>
    <w:p w14:paraId="4FC77585">
      <w:pPr>
        <w:pStyle w:val="114"/>
        <w:pageBreakBefore w:val="0"/>
        <w:kinsoku/>
        <w:overflowPunct/>
        <w:bidi w:val="0"/>
        <w:spacing w:line="600" w:lineRule="exact"/>
        <w:jc w:val="center"/>
        <w:rPr>
          <w:rFonts w:hint="eastAsia" w:ascii="仿宋" w:hAnsi="仿宋" w:eastAsia="仿宋" w:cs="宋体"/>
          <w:color w:val="auto"/>
          <w:sz w:val="24"/>
          <w:szCs w:val="24"/>
          <w:highlight w:val="none"/>
        </w:rPr>
      </w:pPr>
    </w:p>
    <w:p w14:paraId="032C2337">
      <w:pPr>
        <w:pStyle w:val="5"/>
        <w:pageBreakBefore w:val="0"/>
        <w:kinsoku/>
        <w:overflowPunct/>
        <w:bidi w:val="0"/>
        <w:spacing w:line="600" w:lineRule="exact"/>
        <w:ind w:firstLine="0" w:firstLineChars="0"/>
        <w:rPr>
          <w:rFonts w:ascii="仿宋" w:hAnsi="仿宋" w:cs="宋体"/>
          <w:color w:val="auto"/>
          <w:szCs w:val="24"/>
          <w:highlight w:val="none"/>
        </w:rPr>
      </w:pPr>
      <w:r>
        <w:rPr>
          <w:rFonts w:ascii="仿宋" w:hAnsi="仿宋" w:cs="宋体"/>
          <w:color w:val="auto"/>
          <w:highlight w:val="none"/>
        </w:rPr>
        <w:br w:type="page"/>
      </w:r>
      <w:bookmarkStart w:id="666" w:name="_Toc20619"/>
      <w:bookmarkStart w:id="667" w:name="_Toc65683007"/>
      <w:bookmarkStart w:id="668" w:name="_Toc109124319"/>
      <w:bookmarkStart w:id="669" w:name="_Toc6523"/>
      <w:r>
        <w:rPr>
          <w:rFonts w:ascii="仿宋" w:hAnsi="仿宋" w:cs="宋体"/>
          <w:color w:val="auto"/>
          <w:szCs w:val="24"/>
          <w:highlight w:val="none"/>
        </w:rPr>
        <w:t>（三）法定代表人（负责人）授权委托书</w:t>
      </w:r>
      <w:bookmarkEnd w:id="666"/>
      <w:bookmarkEnd w:id="667"/>
      <w:bookmarkEnd w:id="668"/>
      <w:bookmarkEnd w:id="669"/>
    </w:p>
    <w:p w14:paraId="2E741A96">
      <w:pPr>
        <w:pStyle w:val="114"/>
        <w:pageBreakBefore w:val="0"/>
        <w:kinsoku/>
        <w:overflowPunct/>
        <w:bidi w:val="0"/>
        <w:spacing w:line="600" w:lineRule="exact"/>
        <w:jc w:val="center"/>
        <w:rPr>
          <w:rFonts w:hint="eastAsia" w:ascii="仿宋" w:hAnsi="仿宋" w:eastAsia="仿宋" w:cs="宋体"/>
          <w:b/>
          <w:color w:val="auto"/>
          <w:sz w:val="24"/>
          <w:szCs w:val="24"/>
          <w:highlight w:val="none"/>
        </w:rPr>
      </w:pPr>
      <w:r>
        <w:rPr>
          <w:rFonts w:hint="eastAsia" w:ascii="仿宋" w:hAnsi="仿宋" w:eastAsia="仿宋" w:cs="宋体"/>
          <w:b/>
          <w:color w:val="auto"/>
          <w:sz w:val="24"/>
          <w:szCs w:val="24"/>
          <w:highlight w:val="none"/>
        </w:rPr>
        <w:t>法定代表人（负责人）授权委托书</w:t>
      </w:r>
    </w:p>
    <w:p w14:paraId="49158AD5">
      <w:pPr>
        <w:pStyle w:val="114"/>
        <w:pageBreakBefore w:val="0"/>
        <w:kinsoku/>
        <w:overflowPunct/>
        <w:topLinePunct/>
        <w:bidi w:val="0"/>
        <w:spacing w:line="600" w:lineRule="exact"/>
        <w:ind w:firstLine="480" w:firstLineChars="200"/>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本人</w:t>
      </w:r>
      <w:r>
        <w:rPr>
          <w:rFonts w:hint="eastAsia" w:ascii="仿宋" w:hAnsi="仿宋" w:eastAsia="仿宋" w:cs="宋体"/>
          <w:color w:val="auto"/>
          <w:sz w:val="24"/>
          <w:szCs w:val="24"/>
          <w:highlight w:val="none"/>
          <w:u w:val="single"/>
        </w:rPr>
        <w:t>（姓名）</w:t>
      </w:r>
      <w:r>
        <w:rPr>
          <w:rFonts w:hint="eastAsia" w:ascii="仿宋" w:hAnsi="仿宋" w:eastAsia="仿宋" w:cs="宋体"/>
          <w:color w:val="auto"/>
          <w:sz w:val="24"/>
          <w:szCs w:val="24"/>
          <w:highlight w:val="none"/>
        </w:rPr>
        <w:t>系</w:t>
      </w:r>
      <w:r>
        <w:rPr>
          <w:rFonts w:hint="eastAsia" w:ascii="仿宋" w:hAnsi="仿宋" w:eastAsia="仿宋" w:cs="宋体"/>
          <w:color w:val="auto"/>
          <w:sz w:val="24"/>
          <w:szCs w:val="24"/>
          <w:highlight w:val="none"/>
          <w:u w:val="single"/>
        </w:rPr>
        <w:t>（投标人名称）</w:t>
      </w:r>
      <w:r>
        <w:rPr>
          <w:rFonts w:hint="eastAsia" w:ascii="仿宋" w:hAnsi="仿宋" w:eastAsia="仿宋" w:cs="宋体"/>
          <w:color w:val="auto"/>
          <w:sz w:val="24"/>
          <w:szCs w:val="24"/>
          <w:highlight w:val="none"/>
        </w:rPr>
        <w:t>的法定代表人（负责人），现委托</w:t>
      </w:r>
      <w:r>
        <w:rPr>
          <w:rFonts w:hint="eastAsia" w:ascii="仿宋" w:hAnsi="仿宋" w:eastAsia="仿宋" w:cs="宋体"/>
          <w:color w:val="auto"/>
          <w:sz w:val="24"/>
          <w:szCs w:val="24"/>
          <w:highlight w:val="none"/>
          <w:u w:val="single"/>
        </w:rPr>
        <w:t>（姓名）</w:t>
      </w:r>
      <w:r>
        <w:rPr>
          <w:rFonts w:hint="eastAsia" w:ascii="仿宋" w:hAnsi="仿宋" w:eastAsia="仿宋" w:cs="宋体"/>
          <w:color w:val="auto"/>
          <w:sz w:val="24"/>
          <w:szCs w:val="24"/>
          <w:highlight w:val="none"/>
        </w:rPr>
        <w:t>为我方代理人。代理人根据授权，以我方名义签署、澄清、说明、补正、递交、撤回、修改</w:t>
      </w:r>
      <w:r>
        <w:rPr>
          <w:rFonts w:hint="eastAsia" w:ascii="仿宋" w:hAnsi="仿宋" w:eastAsia="仿宋" w:cs="宋体"/>
          <w:color w:val="auto"/>
          <w:sz w:val="24"/>
          <w:szCs w:val="24"/>
          <w:highlight w:val="none"/>
          <w:u w:val="single"/>
        </w:rPr>
        <w:t>（项目名称）</w:t>
      </w:r>
      <w:r>
        <w:rPr>
          <w:rFonts w:hint="eastAsia" w:ascii="仿宋" w:hAnsi="仿宋" w:eastAsia="仿宋" w:cs="宋体"/>
          <w:color w:val="auto"/>
          <w:sz w:val="24"/>
          <w:szCs w:val="24"/>
          <w:highlight w:val="none"/>
        </w:rPr>
        <w:t>投标文件、签订合同和处理有关事宜，其法律后果由我方承担。</w:t>
      </w:r>
    </w:p>
    <w:p w14:paraId="59963C39">
      <w:pPr>
        <w:pageBreakBefore w:val="0"/>
        <w:widowControl/>
        <w:kinsoku/>
        <w:overflowPunct/>
        <w:bidi w:val="0"/>
        <w:spacing w:line="600" w:lineRule="exact"/>
        <w:ind w:firstLine="480" w:firstLineChars="200"/>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委托期限：</w:t>
      </w:r>
      <w:r>
        <w:rPr>
          <w:rFonts w:hint="eastAsia" w:ascii="仿宋" w:hAnsi="仿宋" w:eastAsia="仿宋" w:cs="微软雅黑"/>
          <w:color w:val="auto"/>
          <w:kern w:val="0"/>
          <w:sz w:val="24"/>
          <w:szCs w:val="24"/>
          <w:highlight w:val="none"/>
          <w:u w:val="single"/>
        </w:rPr>
        <w:t>自本委托书签字盖章生效之日起至投标有效期到期之日为止</w:t>
      </w:r>
      <w:r>
        <w:rPr>
          <w:rFonts w:hint="eastAsia" w:ascii="仿宋" w:hAnsi="仿宋" w:eastAsia="仿宋" w:cs="宋体"/>
          <w:color w:val="auto"/>
          <w:kern w:val="0"/>
          <w:sz w:val="24"/>
          <w:szCs w:val="24"/>
          <w:highlight w:val="none"/>
        </w:rPr>
        <w:t>。</w:t>
      </w:r>
    </w:p>
    <w:p w14:paraId="0759B451">
      <w:pPr>
        <w:pStyle w:val="114"/>
        <w:pageBreakBefore w:val="0"/>
        <w:kinsoku/>
        <w:overflowPunct/>
        <w:bidi w:val="0"/>
        <w:spacing w:line="600" w:lineRule="exact"/>
        <w:ind w:firstLine="480" w:firstLineChars="200"/>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代理人无转委托权。</w:t>
      </w:r>
    </w:p>
    <w:p w14:paraId="3C698F4C">
      <w:pPr>
        <w:pStyle w:val="114"/>
        <w:pageBreakBefore w:val="0"/>
        <w:kinsoku/>
        <w:overflowPunct/>
        <w:bidi w:val="0"/>
        <w:spacing w:line="600" w:lineRule="exact"/>
        <w:ind w:firstLine="480" w:firstLineChars="200"/>
        <w:rPr>
          <w:rFonts w:hint="eastAsia" w:ascii="仿宋" w:hAnsi="仿宋" w:eastAsia="仿宋" w:cs="宋体"/>
          <w:color w:val="auto"/>
          <w:sz w:val="24"/>
          <w:szCs w:val="24"/>
          <w:highlight w:val="none"/>
        </w:rPr>
      </w:pPr>
    </w:p>
    <w:p w14:paraId="68B8CAD4">
      <w:pPr>
        <w:pStyle w:val="114"/>
        <w:pageBreakBefore w:val="0"/>
        <w:kinsoku/>
        <w:overflowPunct/>
        <w:bidi w:val="0"/>
        <w:spacing w:line="600" w:lineRule="exact"/>
        <w:ind w:firstLine="200"/>
        <w:rPr>
          <w:rFonts w:hint="eastAsia" w:ascii="仿宋" w:hAnsi="仿宋" w:eastAsia="仿宋" w:cs="宋体"/>
          <w:color w:val="auto"/>
          <w:sz w:val="24"/>
          <w:szCs w:val="24"/>
          <w:highlight w:val="none"/>
        </w:rPr>
      </w:pPr>
      <w:r>
        <w:rPr>
          <w:rFonts w:hint="eastAsia" w:ascii="仿宋" w:hAnsi="仿宋" w:eastAsia="仿宋" w:cs="宋体"/>
          <w:b/>
          <w:bCs/>
          <w:color w:val="auto"/>
          <w:sz w:val="24"/>
          <w:szCs w:val="24"/>
          <w:highlight w:val="none"/>
        </w:rPr>
        <w:t>附：委托代理人身份证复印件（需同时提供正面及背面）</w:t>
      </w:r>
      <w:r>
        <w:rPr>
          <w:rFonts w:hint="eastAsia" w:ascii="仿宋" w:hAnsi="仿宋" w:eastAsia="仿宋" w:cs="宋体"/>
          <w:color w:val="auto"/>
          <w:sz w:val="24"/>
          <w:szCs w:val="24"/>
          <w:highlight w:val="none"/>
        </w:rPr>
        <w:t>。</w:t>
      </w:r>
    </w:p>
    <w:tbl>
      <w:tblPr>
        <w:tblStyle w:val="3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DD6EE"/>
        <w:tblLayout w:type="autofit"/>
        <w:tblCellMar>
          <w:top w:w="0" w:type="dxa"/>
          <w:left w:w="108" w:type="dxa"/>
          <w:bottom w:w="0" w:type="dxa"/>
          <w:right w:w="108" w:type="dxa"/>
        </w:tblCellMar>
      </w:tblPr>
      <w:tblGrid>
        <w:gridCol w:w="4927"/>
        <w:gridCol w:w="4927"/>
      </w:tblGrid>
      <w:tr w14:paraId="2BC315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32" w:hRule="atLeast"/>
        </w:trPr>
        <w:tc>
          <w:tcPr>
            <w:tcW w:w="4927" w:type="dxa"/>
            <w:shd w:val="clear" w:color="auto" w:fill="A8D08D"/>
            <w:noWrap w:val="0"/>
            <w:vAlign w:val="top"/>
          </w:tcPr>
          <w:p w14:paraId="23871B43">
            <w:pPr>
              <w:keepNext w:val="0"/>
              <w:keepLines w:val="0"/>
              <w:pageBreakBefore w:val="0"/>
              <w:widowControl/>
              <w:suppressLineNumbers w:val="0"/>
              <w:kinsoku/>
              <w:overflowPunct/>
              <w:bidi w:val="0"/>
              <w:spacing w:before="0" w:beforeAutospacing="0" w:after="0" w:afterAutospacing="0" w:line="600" w:lineRule="exact"/>
              <w:ind w:left="0" w:right="0"/>
              <w:rPr>
                <w:rFonts w:hint="eastAsia" w:ascii="仿宋" w:hAnsi="仿宋" w:eastAsia="仿宋" w:cs="仿宋"/>
                <w:color w:val="auto"/>
                <w:kern w:val="0"/>
                <w:szCs w:val="20"/>
                <w:highlight w:val="none"/>
              </w:rPr>
            </w:pPr>
          </w:p>
        </w:tc>
        <w:tc>
          <w:tcPr>
            <w:tcW w:w="4927" w:type="dxa"/>
            <w:shd w:val="clear" w:color="auto" w:fill="A8D08D"/>
            <w:noWrap w:val="0"/>
            <w:vAlign w:val="top"/>
          </w:tcPr>
          <w:p w14:paraId="262D566F">
            <w:pPr>
              <w:keepNext w:val="0"/>
              <w:keepLines w:val="0"/>
              <w:pageBreakBefore w:val="0"/>
              <w:widowControl/>
              <w:suppressLineNumbers w:val="0"/>
              <w:kinsoku/>
              <w:overflowPunct/>
              <w:bidi w:val="0"/>
              <w:spacing w:before="0" w:beforeAutospacing="0" w:after="0" w:afterAutospacing="0" w:line="600" w:lineRule="exact"/>
              <w:ind w:left="0" w:right="0"/>
              <w:rPr>
                <w:rFonts w:hint="eastAsia" w:ascii="仿宋" w:hAnsi="仿宋" w:eastAsia="仿宋" w:cs="仿宋"/>
                <w:color w:val="auto"/>
                <w:kern w:val="0"/>
                <w:szCs w:val="20"/>
                <w:highlight w:val="none"/>
              </w:rPr>
            </w:pPr>
          </w:p>
        </w:tc>
      </w:tr>
    </w:tbl>
    <w:p w14:paraId="292405B6">
      <w:pPr>
        <w:pStyle w:val="114"/>
        <w:pageBreakBefore w:val="0"/>
        <w:kinsoku/>
        <w:overflowPunct/>
        <w:bidi w:val="0"/>
        <w:spacing w:line="600" w:lineRule="exact"/>
        <w:jc w:val="center"/>
        <w:rPr>
          <w:rFonts w:hint="eastAsia" w:ascii="仿宋" w:hAnsi="仿宋" w:eastAsia="仿宋" w:cs="宋体"/>
          <w:color w:val="auto"/>
          <w:sz w:val="24"/>
          <w:szCs w:val="24"/>
          <w:highlight w:val="none"/>
        </w:rPr>
      </w:pPr>
    </w:p>
    <w:p w14:paraId="707238A3">
      <w:pPr>
        <w:pageBreakBefore w:val="0"/>
        <w:kinsoku/>
        <w:overflowPunct/>
        <w:bidi w:val="0"/>
        <w:spacing w:line="600" w:lineRule="exact"/>
        <w:ind w:right="420"/>
        <w:jc w:val="right"/>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投标人名称：</w:t>
      </w:r>
      <w:r>
        <w:rPr>
          <w:rFonts w:hint="eastAsia" w:ascii="仿宋" w:hAnsi="仿宋" w:eastAsia="仿宋" w:cs="宋体"/>
          <w:color w:val="auto"/>
          <w:sz w:val="24"/>
          <w:szCs w:val="24"/>
          <w:highlight w:val="none"/>
          <w:u w:val="single"/>
        </w:rPr>
        <w:t xml:space="preserve">             </w:t>
      </w:r>
      <w:r>
        <w:rPr>
          <w:rFonts w:hint="eastAsia" w:ascii="仿宋" w:hAnsi="仿宋" w:eastAsia="仿宋" w:cs="宋体"/>
          <w:color w:val="auto"/>
          <w:sz w:val="24"/>
          <w:szCs w:val="24"/>
          <w:highlight w:val="none"/>
        </w:rPr>
        <w:t>（盖章）</w:t>
      </w:r>
    </w:p>
    <w:p w14:paraId="59586114">
      <w:pPr>
        <w:pageBreakBefore w:val="0"/>
        <w:kinsoku/>
        <w:overflowPunct/>
        <w:bidi w:val="0"/>
        <w:spacing w:line="600" w:lineRule="exact"/>
        <w:ind w:right="420"/>
        <w:jc w:val="right"/>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法定代表人（负责人）：</w:t>
      </w:r>
      <w:r>
        <w:rPr>
          <w:rFonts w:hint="eastAsia" w:ascii="仿宋" w:hAnsi="仿宋" w:eastAsia="仿宋" w:cs="宋体"/>
          <w:color w:val="auto"/>
          <w:sz w:val="24"/>
          <w:szCs w:val="24"/>
          <w:highlight w:val="none"/>
          <w:u w:val="single"/>
        </w:rPr>
        <w:t xml:space="preserve">               </w:t>
      </w:r>
      <w:r>
        <w:rPr>
          <w:rFonts w:hint="eastAsia" w:ascii="仿宋" w:hAnsi="仿宋" w:eastAsia="仿宋" w:cs="宋体"/>
          <w:color w:val="auto"/>
          <w:sz w:val="24"/>
          <w:szCs w:val="24"/>
          <w:highlight w:val="none"/>
        </w:rPr>
        <w:t>（签字或盖章）</w:t>
      </w:r>
    </w:p>
    <w:p w14:paraId="58D49B16">
      <w:pPr>
        <w:pStyle w:val="114"/>
        <w:pageBreakBefore w:val="0"/>
        <w:kinsoku/>
        <w:wordWrap w:val="0"/>
        <w:overflowPunct/>
        <w:bidi w:val="0"/>
        <w:spacing w:line="600" w:lineRule="exact"/>
        <w:ind w:right="105"/>
        <w:jc w:val="right"/>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委托代理人：</w:t>
      </w:r>
      <w:r>
        <w:rPr>
          <w:rFonts w:hint="eastAsia" w:ascii="仿宋" w:hAnsi="仿宋" w:eastAsia="仿宋" w:cs="宋体"/>
          <w:color w:val="auto"/>
          <w:sz w:val="24"/>
          <w:szCs w:val="24"/>
          <w:highlight w:val="none"/>
          <w:u w:val="single"/>
        </w:rPr>
        <w:t xml:space="preserve">               </w:t>
      </w:r>
      <w:r>
        <w:rPr>
          <w:rFonts w:hint="eastAsia" w:ascii="仿宋" w:hAnsi="仿宋" w:eastAsia="仿宋" w:cs="宋体"/>
          <w:color w:val="auto"/>
          <w:sz w:val="24"/>
          <w:szCs w:val="24"/>
          <w:highlight w:val="none"/>
        </w:rPr>
        <w:t xml:space="preserve">（签字或盖章） </w:t>
      </w:r>
    </w:p>
    <w:p w14:paraId="38D88D87">
      <w:pPr>
        <w:pageBreakBefore w:val="0"/>
        <w:kinsoku/>
        <w:wordWrap w:val="0"/>
        <w:overflowPunct/>
        <w:bidi w:val="0"/>
        <w:spacing w:line="600" w:lineRule="exact"/>
        <w:jc w:val="right"/>
        <w:rPr>
          <w:rFonts w:hint="eastAsia" w:ascii="仿宋" w:hAnsi="仿宋" w:eastAsia="仿宋" w:cs="宋体"/>
          <w:b/>
          <w:bCs/>
          <w:color w:val="auto"/>
          <w:sz w:val="24"/>
          <w:szCs w:val="24"/>
          <w:highlight w:val="none"/>
        </w:rPr>
      </w:pPr>
      <w:r>
        <w:rPr>
          <w:rFonts w:hint="eastAsia" w:ascii="仿宋" w:hAnsi="仿宋" w:eastAsia="仿宋" w:cs="宋体"/>
          <w:color w:val="auto"/>
          <w:sz w:val="24"/>
          <w:szCs w:val="24"/>
          <w:highlight w:val="none"/>
        </w:rPr>
        <w:t>日期：</w:t>
      </w:r>
      <w:r>
        <w:rPr>
          <w:rFonts w:hint="eastAsia" w:ascii="仿宋" w:hAnsi="仿宋" w:eastAsia="仿宋" w:cs="宋体"/>
          <w:color w:val="auto"/>
          <w:sz w:val="24"/>
          <w:szCs w:val="24"/>
          <w:highlight w:val="none"/>
          <w:u w:val="single"/>
        </w:rPr>
        <w:t xml:space="preserve">       </w:t>
      </w:r>
      <w:r>
        <w:rPr>
          <w:rFonts w:hint="eastAsia" w:ascii="仿宋" w:hAnsi="仿宋" w:eastAsia="仿宋" w:cs="宋体"/>
          <w:color w:val="auto"/>
          <w:sz w:val="24"/>
          <w:szCs w:val="24"/>
          <w:highlight w:val="none"/>
        </w:rPr>
        <w:t>年</w:t>
      </w:r>
      <w:r>
        <w:rPr>
          <w:rFonts w:hint="eastAsia" w:ascii="仿宋" w:hAnsi="仿宋" w:eastAsia="仿宋" w:cs="宋体"/>
          <w:color w:val="auto"/>
          <w:sz w:val="24"/>
          <w:szCs w:val="24"/>
          <w:highlight w:val="none"/>
          <w:u w:val="single"/>
        </w:rPr>
        <w:t xml:space="preserve">   </w:t>
      </w:r>
      <w:r>
        <w:rPr>
          <w:rFonts w:hint="eastAsia" w:ascii="仿宋" w:hAnsi="仿宋" w:eastAsia="仿宋" w:cs="宋体"/>
          <w:color w:val="auto"/>
          <w:sz w:val="24"/>
          <w:szCs w:val="24"/>
          <w:highlight w:val="none"/>
        </w:rPr>
        <w:t>月</w:t>
      </w:r>
      <w:r>
        <w:rPr>
          <w:rFonts w:hint="eastAsia" w:ascii="仿宋" w:hAnsi="仿宋" w:eastAsia="仿宋" w:cs="宋体"/>
          <w:color w:val="auto"/>
          <w:sz w:val="24"/>
          <w:szCs w:val="24"/>
          <w:highlight w:val="none"/>
          <w:u w:val="single"/>
        </w:rPr>
        <w:t xml:space="preserve">   </w:t>
      </w:r>
      <w:r>
        <w:rPr>
          <w:rFonts w:hint="eastAsia" w:ascii="仿宋" w:hAnsi="仿宋" w:eastAsia="仿宋" w:cs="宋体"/>
          <w:color w:val="auto"/>
          <w:sz w:val="24"/>
          <w:szCs w:val="24"/>
          <w:highlight w:val="none"/>
        </w:rPr>
        <w:t>日</w:t>
      </w:r>
    </w:p>
    <w:p w14:paraId="17022B9C">
      <w:pPr>
        <w:pStyle w:val="114"/>
        <w:pageBreakBefore w:val="0"/>
        <w:kinsoku/>
        <w:overflowPunct/>
        <w:bidi w:val="0"/>
        <w:spacing w:line="600" w:lineRule="exact"/>
        <w:jc w:val="center"/>
        <w:rPr>
          <w:rFonts w:hint="eastAsia" w:ascii="仿宋" w:hAnsi="仿宋" w:eastAsia="仿宋" w:cs="宋体"/>
          <w:color w:val="auto"/>
          <w:sz w:val="20"/>
          <w:highlight w:val="none"/>
        </w:rPr>
        <w:sectPr>
          <w:pgSz w:w="11906" w:h="16838"/>
          <w:pgMar w:top="1417" w:right="1134" w:bottom="1134" w:left="1134" w:header="851" w:footer="992" w:gutter="0"/>
          <w:cols w:space="720" w:num="1"/>
          <w:titlePg/>
          <w:docGrid w:type="lines" w:linePitch="312" w:charSpace="0"/>
        </w:sectPr>
      </w:pPr>
    </w:p>
    <w:p w14:paraId="39463A21">
      <w:pPr>
        <w:pStyle w:val="5"/>
        <w:pageBreakBefore w:val="0"/>
        <w:kinsoku/>
        <w:overflowPunct/>
        <w:bidi w:val="0"/>
        <w:spacing w:line="600" w:lineRule="exact"/>
        <w:ind w:firstLine="0" w:firstLineChars="0"/>
        <w:rPr>
          <w:rFonts w:ascii="仿宋" w:hAnsi="仿宋" w:cs="宋体"/>
          <w:color w:val="auto"/>
          <w:szCs w:val="24"/>
          <w:highlight w:val="none"/>
        </w:rPr>
      </w:pPr>
      <w:bookmarkStart w:id="670" w:name="_Toc65683008"/>
      <w:bookmarkStart w:id="671" w:name="_Toc109124320"/>
      <w:bookmarkStart w:id="672" w:name="_Toc8696"/>
      <w:bookmarkStart w:id="673" w:name="_Toc6476"/>
      <w:r>
        <w:rPr>
          <w:rFonts w:ascii="仿宋" w:hAnsi="仿宋" w:cs="宋体"/>
          <w:color w:val="auto"/>
          <w:szCs w:val="24"/>
          <w:highlight w:val="none"/>
        </w:rPr>
        <w:t>（四）资格证明文件</w:t>
      </w:r>
      <w:bookmarkEnd w:id="670"/>
      <w:bookmarkEnd w:id="671"/>
      <w:bookmarkEnd w:id="672"/>
      <w:bookmarkEnd w:id="673"/>
    </w:p>
    <w:p w14:paraId="056213F5">
      <w:pPr>
        <w:pStyle w:val="6"/>
        <w:pageBreakBefore w:val="0"/>
        <w:kinsoku/>
        <w:overflowPunct/>
        <w:bidi w:val="0"/>
        <w:spacing w:line="600" w:lineRule="exact"/>
        <w:rPr>
          <w:rFonts w:hint="eastAsia" w:ascii="仿宋" w:hAnsi="仿宋" w:cs="宋体"/>
          <w:color w:val="auto"/>
          <w:highlight w:val="none"/>
        </w:rPr>
      </w:pPr>
      <w:r>
        <w:rPr>
          <w:rFonts w:hint="eastAsia" w:ascii="仿宋" w:hAnsi="仿宋" w:cs="宋体"/>
          <w:color w:val="auto"/>
          <w:highlight w:val="none"/>
        </w:rPr>
        <w:t>1、投标人基本情况信息表</w:t>
      </w:r>
    </w:p>
    <w:p w14:paraId="6F6CD7C3">
      <w:pPr>
        <w:pStyle w:val="114"/>
        <w:pageBreakBefore w:val="0"/>
        <w:kinsoku/>
        <w:overflowPunct/>
        <w:bidi w:val="0"/>
        <w:spacing w:line="600" w:lineRule="exact"/>
        <w:jc w:val="center"/>
        <w:rPr>
          <w:rFonts w:hint="eastAsia" w:ascii="仿宋" w:hAnsi="仿宋" w:eastAsia="仿宋" w:cs="宋体"/>
          <w:b/>
          <w:color w:val="auto"/>
          <w:sz w:val="24"/>
          <w:szCs w:val="24"/>
          <w:highlight w:val="none"/>
        </w:rPr>
      </w:pPr>
      <w:r>
        <w:rPr>
          <w:rFonts w:hint="eastAsia" w:ascii="仿宋" w:hAnsi="仿宋" w:eastAsia="仿宋" w:cs="宋体"/>
          <w:b/>
          <w:color w:val="auto"/>
          <w:sz w:val="24"/>
          <w:szCs w:val="24"/>
          <w:highlight w:val="none"/>
        </w:rPr>
        <w:t>投标人基本情况信息表</w:t>
      </w:r>
    </w:p>
    <w:tbl>
      <w:tblPr>
        <w:tblStyle w:val="33"/>
        <w:tblW w:w="0" w:type="auto"/>
        <w:tblInd w:w="0" w:type="dxa"/>
        <w:tblLayout w:type="fixed"/>
        <w:tblCellMar>
          <w:top w:w="0" w:type="dxa"/>
          <w:left w:w="108" w:type="dxa"/>
          <w:bottom w:w="0" w:type="dxa"/>
          <w:right w:w="108" w:type="dxa"/>
        </w:tblCellMar>
      </w:tblPr>
      <w:tblGrid>
        <w:gridCol w:w="2243"/>
        <w:gridCol w:w="775"/>
        <w:gridCol w:w="366"/>
        <w:gridCol w:w="979"/>
        <w:gridCol w:w="713"/>
        <w:gridCol w:w="755"/>
        <w:gridCol w:w="1789"/>
        <w:gridCol w:w="102"/>
        <w:gridCol w:w="985"/>
        <w:gridCol w:w="1145"/>
      </w:tblGrid>
      <w:tr w14:paraId="3AF8E087">
        <w:tblPrEx>
          <w:tblCellMar>
            <w:top w:w="0" w:type="dxa"/>
            <w:left w:w="108" w:type="dxa"/>
            <w:bottom w:w="0" w:type="dxa"/>
            <w:right w:w="108" w:type="dxa"/>
          </w:tblCellMar>
        </w:tblPrEx>
        <w:trPr>
          <w:trHeight w:val="283" w:hRule="atLeast"/>
        </w:trPr>
        <w:tc>
          <w:tcPr>
            <w:tcW w:w="2243" w:type="dxa"/>
            <w:tcBorders>
              <w:top w:val="single" w:color="000000" w:sz="4" w:space="0"/>
              <w:left w:val="single" w:color="000000" w:sz="4" w:space="0"/>
              <w:bottom w:val="single" w:color="000000" w:sz="4" w:space="0"/>
              <w:right w:val="single" w:color="000000" w:sz="4" w:space="0"/>
            </w:tcBorders>
            <w:noWrap w:val="0"/>
            <w:vAlign w:val="center"/>
          </w:tcPr>
          <w:p w14:paraId="51E85620">
            <w:pPr>
              <w:pStyle w:val="114"/>
              <w:keepNext w:val="0"/>
              <w:keepLines w:val="0"/>
              <w:pageBreakBefore w:val="0"/>
              <w:suppressLineNumbers w:val="0"/>
              <w:kinsoku/>
              <w:overflowPunct/>
              <w:topLinePunct/>
              <w:bidi w:val="0"/>
              <w:spacing w:before="0" w:beforeAutospacing="0" w:after="0" w:afterAutospacing="0" w:line="600" w:lineRule="exact"/>
              <w:ind w:left="0" w:right="0"/>
              <w:jc w:val="center"/>
              <w:rPr>
                <w:rFonts w:hint="eastAsia" w:ascii="仿宋" w:hAnsi="仿宋" w:eastAsia="仿宋" w:cs="宋体"/>
                <w:color w:val="auto"/>
                <w:szCs w:val="21"/>
                <w:highlight w:val="none"/>
              </w:rPr>
            </w:pPr>
            <w:r>
              <w:rPr>
                <w:rFonts w:hint="eastAsia" w:ascii="仿宋" w:hAnsi="仿宋" w:eastAsia="仿宋" w:cs="宋体"/>
                <w:color w:val="auto"/>
                <w:szCs w:val="21"/>
                <w:highlight w:val="none"/>
              </w:rPr>
              <w:t>投标人名称</w:t>
            </w:r>
          </w:p>
        </w:tc>
        <w:tc>
          <w:tcPr>
            <w:tcW w:w="7609" w:type="dxa"/>
            <w:gridSpan w:val="9"/>
            <w:tcBorders>
              <w:top w:val="single" w:color="000000" w:sz="4" w:space="0"/>
              <w:left w:val="nil"/>
              <w:bottom w:val="single" w:color="000000" w:sz="4" w:space="0"/>
              <w:right w:val="single" w:color="000000" w:sz="4" w:space="0"/>
            </w:tcBorders>
            <w:noWrap w:val="0"/>
            <w:vAlign w:val="center"/>
          </w:tcPr>
          <w:p w14:paraId="59A4985A">
            <w:pPr>
              <w:pStyle w:val="114"/>
              <w:keepNext w:val="0"/>
              <w:keepLines w:val="0"/>
              <w:pageBreakBefore w:val="0"/>
              <w:suppressLineNumbers w:val="0"/>
              <w:kinsoku/>
              <w:overflowPunct/>
              <w:topLinePunct/>
              <w:bidi w:val="0"/>
              <w:spacing w:before="0" w:beforeAutospacing="0" w:after="0" w:afterAutospacing="0" w:line="600" w:lineRule="exact"/>
              <w:ind w:left="0" w:right="0"/>
              <w:jc w:val="center"/>
              <w:rPr>
                <w:rFonts w:hint="eastAsia" w:ascii="仿宋" w:hAnsi="仿宋" w:eastAsia="仿宋" w:cs="宋体"/>
                <w:color w:val="auto"/>
                <w:szCs w:val="21"/>
                <w:highlight w:val="none"/>
              </w:rPr>
            </w:pPr>
          </w:p>
        </w:tc>
      </w:tr>
      <w:tr w14:paraId="12F9C836">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14:paraId="10C049DA">
            <w:pPr>
              <w:pStyle w:val="114"/>
              <w:keepNext w:val="0"/>
              <w:keepLines w:val="0"/>
              <w:pageBreakBefore w:val="0"/>
              <w:suppressLineNumbers w:val="0"/>
              <w:kinsoku/>
              <w:overflowPunct/>
              <w:topLinePunct/>
              <w:bidi w:val="0"/>
              <w:spacing w:before="0" w:beforeAutospacing="0" w:after="0" w:afterAutospacing="0" w:line="600" w:lineRule="exact"/>
              <w:ind w:left="0" w:right="0"/>
              <w:jc w:val="center"/>
              <w:rPr>
                <w:rFonts w:hint="eastAsia" w:ascii="仿宋" w:hAnsi="仿宋" w:eastAsia="仿宋" w:cs="宋体"/>
                <w:color w:val="auto"/>
                <w:szCs w:val="21"/>
                <w:highlight w:val="none"/>
              </w:rPr>
            </w:pPr>
            <w:r>
              <w:rPr>
                <w:rFonts w:hint="eastAsia" w:ascii="仿宋" w:hAnsi="仿宋" w:eastAsia="仿宋" w:cs="宋体"/>
                <w:color w:val="auto"/>
                <w:szCs w:val="21"/>
                <w:highlight w:val="none"/>
              </w:rPr>
              <w:t>注册地址</w:t>
            </w:r>
          </w:p>
        </w:tc>
        <w:tc>
          <w:tcPr>
            <w:tcW w:w="3588" w:type="dxa"/>
            <w:gridSpan w:val="5"/>
            <w:tcBorders>
              <w:top w:val="nil"/>
              <w:left w:val="nil"/>
              <w:bottom w:val="single" w:color="000000" w:sz="4" w:space="0"/>
              <w:right w:val="single" w:color="000000" w:sz="4" w:space="0"/>
            </w:tcBorders>
            <w:noWrap w:val="0"/>
            <w:vAlign w:val="center"/>
          </w:tcPr>
          <w:p w14:paraId="47293BEE">
            <w:pPr>
              <w:pStyle w:val="114"/>
              <w:keepNext w:val="0"/>
              <w:keepLines w:val="0"/>
              <w:pageBreakBefore w:val="0"/>
              <w:suppressLineNumbers w:val="0"/>
              <w:kinsoku/>
              <w:overflowPunct/>
              <w:topLinePunct/>
              <w:bidi w:val="0"/>
              <w:spacing w:before="0" w:beforeAutospacing="0" w:after="0" w:afterAutospacing="0" w:line="600" w:lineRule="exact"/>
              <w:ind w:left="0" w:right="0"/>
              <w:jc w:val="center"/>
              <w:rPr>
                <w:rFonts w:hint="eastAsia" w:ascii="仿宋" w:hAnsi="仿宋" w:eastAsia="仿宋" w:cs="宋体"/>
                <w:color w:val="auto"/>
                <w:szCs w:val="21"/>
                <w:highlight w:val="none"/>
              </w:rPr>
            </w:pPr>
          </w:p>
        </w:tc>
        <w:tc>
          <w:tcPr>
            <w:tcW w:w="1789" w:type="dxa"/>
            <w:tcBorders>
              <w:top w:val="single" w:color="000000" w:sz="4" w:space="0"/>
              <w:left w:val="nil"/>
              <w:bottom w:val="single" w:color="000000" w:sz="4" w:space="0"/>
              <w:right w:val="single" w:color="000000" w:sz="4" w:space="0"/>
            </w:tcBorders>
            <w:noWrap w:val="0"/>
            <w:vAlign w:val="center"/>
          </w:tcPr>
          <w:p w14:paraId="012F5E75">
            <w:pPr>
              <w:pStyle w:val="114"/>
              <w:keepNext w:val="0"/>
              <w:keepLines w:val="0"/>
              <w:pageBreakBefore w:val="0"/>
              <w:suppressLineNumbers w:val="0"/>
              <w:kinsoku/>
              <w:overflowPunct/>
              <w:topLinePunct/>
              <w:bidi w:val="0"/>
              <w:spacing w:before="0" w:beforeAutospacing="0" w:after="0" w:afterAutospacing="0" w:line="600" w:lineRule="exact"/>
              <w:ind w:left="0" w:right="0"/>
              <w:jc w:val="center"/>
              <w:rPr>
                <w:rFonts w:hint="eastAsia" w:ascii="仿宋" w:hAnsi="仿宋" w:eastAsia="仿宋" w:cs="宋体"/>
                <w:color w:val="auto"/>
                <w:szCs w:val="21"/>
                <w:highlight w:val="none"/>
              </w:rPr>
            </w:pPr>
            <w:r>
              <w:rPr>
                <w:rFonts w:hint="eastAsia" w:ascii="仿宋" w:hAnsi="仿宋" w:eastAsia="仿宋" w:cs="宋体"/>
                <w:color w:val="auto"/>
                <w:szCs w:val="21"/>
                <w:highlight w:val="none"/>
              </w:rPr>
              <w:t>邮政编码</w:t>
            </w:r>
          </w:p>
        </w:tc>
        <w:tc>
          <w:tcPr>
            <w:tcW w:w="2232" w:type="dxa"/>
            <w:gridSpan w:val="3"/>
            <w:tcBorders>
              <w:top w:val="single" w:color="000000" w:sz="4" w:space="0"/>
              <w:left w:val="nil"/>
              <w:bottom w:val="single" w:color="000000" w:sz="4" w:space="0"/>
              <w:right w:val="single" w:color="000000" w:sz="4" w:space="0"/>
            </w:tcBorders>
            <w:noWrap w:val="0"/>
            <w:vAlign w:val="center"/>
          </w:tcPr>
          <w:p w14:paraId="554164FE">
            <w:pPr>
              <w:pStyle w:val="114"/>
              <w:keepNext w:val="0"/>
              <w:keepLines w:val="0"/>
              <w:pageBreakBefore w:val="0"/>
              <w:suppressLineNumbers w:val="0"/>
              <w:kinsoku/>
              <w:overflowPunct/>
              <w:topLinePunct/>
              <w:bidi w:val="0"/>
              <w:spacing w:before="0" w:beforeAutospacing="0" w:after="0" w:afterAutospacing="0" w:line="600" w:lineRule="exact"/>
              <w:ind w:left="0" w:right="0"/>
              <w:jc w:val="center"/>
              <w:rPr>
                <w:rFonts w:hint="eastAsia" w:ascii="仿宋" w:hAnsi="仿宋" w:eastAsia="仿宋" w:cs="宋体"/>
                <w:color w:val="auto"/>
                <w:szCs w:val="21"/>
                <w:highlight w:val="none"/>
              </w:rPr>
            </w:pPr>
          </w:p>
        </w:tc>
      </w:tr>
      <w:tr w14:paraId="580722F8">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14:paraId="42AA8E1B">
            <w:pPr>
              <w:pStyle w:val="114"/>
              <w:keepNext w:val="0"/>
              <w:keepLines w:val="0"/>
              <w:pageBreakBefore w:val="0"/>
              <w:suppressLineNumbers w:val="0"/>
              <w:kinsoku/>
              <w:overflowPunct/>
              <w:topLinePunct/>
              <w:bidi w:val="0"/>
              <w:spacing w:before="0" w:beforeAutospacing="0" w:after="0" w:afterAutospacing="0" w:line="600" w:lineRule="exact"/>
              <w:ind w:left="0" w:right="0"/>
              <w:jc w:val="center"/>
              <w:rPr>
                <w:rFonts w:hint="eastAsia" w:ascii="仿宋" w:hAnsi="仿宋" w:eastAsia="仿宋" w:cs="宋体"/>
                <w:color w:val="auto"/>
                <w:szCs w:val="21"/>
                <w:highlight w:val="none"/>
              </w:rPr>
            </w:pPr>
            <w:r>
              <w:rPr>
                <w:rFonts w:hint="eastAsia" w:ascii="仿宋" w:hAnsi="仿宋" w:eastAsia="仿宋" w:cs="宋体"/>
                <w:color w:val="auto"/>
                <w:szCs w:val="21"/>
                <w:highlight w:val="none"/>
              </w:rPr>
              <w:t>公司办公场所面职</w:t>
            </w:r>
          </w:p>
        </w:tc>
        <w:tc>
          <w:tcPr>
            <w:tcW w:w="3588" w:type="dxa"/>
            <w:gridSpan w:val="5"/>
            <w:tcBorders>
              <w:top w:val="nil"/>
              <w:left w:val="nil"/>
              <w:bottom w:val="single" w:color="000000" w:sz="4" w:space="0"/>
              <w:right w:val="single" w:color="000000" w:sz="4" w:space="0"/>
            </w:tcBorders>
            <w:noWrap w:val="0"/>
            <w:vAlign w:val="center"/>
          </w:tcPr>
          <w:p w14:paraId="04441462">
            <w:pPr>
              <w:pStyle w:val="114"/>
              <w:keepNext w:val="0"/>
              <w:keepLines w:val="0"/>
              <w:pageBreakBefore w:val="0"/>
              <w:suppressLineNumbers w:val="0"/>
              <w:kinsoku/>
              <w:overflowPunct/>
              <w:topLinePunct/>
              <w:bidi w:val="0"/>
              <w:spacing w:before="0" w:beforeAutospacing="0" w:after="0" w:afterAutospacing="0" w:line="600" w:lineRule="exact"/>
              <w:ind w:left="0" w:right="0"/>
              <w:jc w:val="center"/>
              <w:rPr>
                <w:rFonts w:hint="eastAsia" w:ascii="仿宋" w:hAnsi="仿宋" w:eastAsia="仿宋" w:cs="宋体"/>
                <w:color w:val="auto"/>
                <w:szCs w:val="21"/>
                <w:highlight w:val="none"/>
              </w:rPr>
            </w:pPr>
            <w:r>
              <w:rPr>
                <w:rFonts w:hint="eastAsia" w:ascii="仿宋" w:hAnsi="仿宋" w:eastAsia="仿宋" w:cs="宋体"/>
                <w:color w:val="auto"/>
                <w:szCs w:val="21"/>
                <w:highlight w:val="none"/>
              </w:rPr>
              <w:t>平米</w:t>
            </w:r>
          </w:p>
        </w:tc>
        <w:tc>
          <w:tcPr>
            <w:tcW w:w="1789" w:type="dxa"/>
            <w:tcBorders>
              <w:top w:val="nil"/>
              <w:left w:val="nil"/>
              <w:bottom w:val="single" w:color="000000" w:sz="4" w:space="0"/>
              <w:right w:val="single" w:color="000000" w:sz="4" w:space="0"/>
            </w:tcBorders>
            <w:noWrap w:val="0"/>
            <w:vAlign w:val="center"/>
          </w:tcPr>
          <w:p w14:paraId="6AFE0E7B">
            <w:pPr>
              <w:pStyle w:val="114"/>
              <w:keepNext w:val="0"/>
              <w:keepLines w:val="0"/>
              <w:pageBreakBefore w:val="0"/>
              <w:suppressLineNumbers w:val="0"/>
              <w:kinsoku/>
              <w:overflowPunct/>
              <w:topLinePunct/>
              <w:bidi w:val="0"/>
              <w:spacing w:before="0" w:beforeAutospacing="0" w:after="0" w:afterAutospacing="0" w:line="600" w:lineRule="exact"/>
              <w:ind w:left="0" w:right="0"/>
              <w:jc w:val="center"/>
              <w:rPr>
                <w:rFonts w:hint="eastAsia" w:ascii="仿宋" w:hAnsi="仿宋" w:eastAsia="仿宋" w:cs="宋体"/>
                <w:color w:val="auto"/>
                <w:szCs w:val="21"/>
                <w:highlight w:val="none"/>
              </w:rPr>
            </w:pPr>
            <w:r>
              <w:rPr>
                <w:rFonts w:hint="eastAsia" w:ascii="仿宋" w:hAnsi="仿宋" w:eastAsia="仿宋" w:cs="宋体"/>
                <w:color w:val="auto"/>
                <w:szCs w:val="21"/>
                <w:highlight w:val="none"/>
              </w:rPr>
              <w:t>办事处地址</w:t>
            </w:r>
          </w:p>
        </w:tc>
        <w:tc>
          <w:tcPr>
            <w:tcW w:w="2232" w:type="dxa"/>
            <w:gridSpan w:val="3"/>
            <w:tcBorders>
              <w:top w:val="nil"/>
              <w:left w:val="nil"/>
              <w:bottom w:val="single" w:color="000000" w:sz="4" w:space="0"/>
              <w:right w:val="single" w:color="000000" w:sz="4" w:space="0"/>
            </w:tcBorders>
            <w:noWrap w:val="0"/>
            <w:vAlign w:val="center"/>
          </w:tcPr>
          <w:p w14:paraId="3E79CD4D">
            <w:pPr>
              <w:pStyle w:val="114"/>
              <w:keepNext w:val="0"/>
              <w:keepLines w:val="0"/>
              <w:pageBreakBefore w:val="0"/>
              <w:suppressLineNumbers w:val="0"/>
              <w:kinsoku/>
              <w:overflowPunct/>
              <w:topLinePunct/>
              <w:bidi w:val="0"/>
              <w:spacing w:before="0" w:beforeAutospacing="0" w:after="0" w:afterAutospacing="0" w:line="600" w:lineRule="exact"/>
              <w:ind w:left="0" w:right="0"/>
              <w:jc w:val="center"/>
              <w:rPr>
                <w:rFonts w:hint="eastAsia" w:ascii="仿宋" w:hAnsi="仿宋" w:eastAsia="仿宋" w:cs="宋体"/>
                <w:color w:val="auto"/>
                <w:szCs w:val="21"/>
                <w:highlight w:val="none"/>
              </w:rPr>
            </w:pPr>
          </w:p>
        </w:tc>
      </w:tr>
      <w:tr w14:paraId="7BC251CC">
        <w:tblPrEx>
          <w:tblCellMar>
            <w:top w:w="0" w:type="dxa"/>
            <w:left w:w="108" w:type="dxa"/>
            <w:bottom w:w="0" w:type="dxa"/>
            <w:right w:w="108" w:type="dxa"/>
          </w:tblCellMar>
        </w:tblPrEx>
        <w:trPr>
          <w:trHeight w:val="283" w:hRule="atLeast"/>
        </w:trPr>
        <w:tc>
          <w:tcPr>
            <w:tcW w:w="2243" w:type="dxa"/>
            <w:vMerge w:val="restart"/>
            <w:tcBorders>
              <w:top w:val="nil"/>
              <w:left w:val="single" w:color="000000" w:sz="4" w:space="0"/>
              <w:bottom w:val="single" w:color="000000" w:sz="4" w:space="0"/>
              <w:right w:val="single" w:color="000000" w:sz="4" w:space="0"/>
            </w:tcBorders>
            <w:noWrap w:val="0"/>
            <w:vAlign w:val="center"/>
          </w:tcPr>
          <w:p w14:paraId="4FB23293">
            <w:pPr>
              <w:pStyle w:val="114"/>
              <w:keepNext w:val="0"/>
              <w:keepLines w:val="0"/>
              <w:pageBreakBefore w:val="0"/>
              <w:suppressLineNumbers w:val="0"/>
              <w:kinsoku/>
              <w:overflowPunct/>
              <w:topLinePunct/>
              <w:bidi w:val="0"/>
              <w:spacing w:before="0" w:beforeAutospacing="0" w:after="0" w:afterAutospacing="0" w:line="600" w:lineRule="exact"/>
              <w:ind w:left="0" w:right="0"/>
              <w:jc w:val="center"/>
              <w:rPr>
                <w:rFonts w:hint="eastAsia" w:ascii="仿宋" w:hAnsi="仿宋" w:eastAsia="仿宋" w:cs="宋体"/>
                <w:color w:val="auto"/>
                <w:szCs w:val="21"/>
                <w:highlight w:val="none"/>
              </w:rPr>
            </w:pPr>
            <w:r>
              <w:rPr>
                <w:rFonts w:hint="eastAsia" w:ascii="仿宋" w:hAnsi="仿宋" w:eastAsia="仿宋" w:cs="宋体"/>
                <w:color w:val="auto"/>
                <w:szCs w:val="21"/>
                <w:highlight w:val="none"/>
              </w:rPr>
              <w:t>联系方式</w:t>
            </w:r>
          </w:p>
        </w:tc>
        <w:tc>
          <w:tcPr>
            <w:tcW w:w="1141" w:type="dxa"/>
            <w:gridSpan w:val="2"/>
            <w:tcBorders>
              <w:top w:val="nil"/>
              <w:left w:val="nil"/>
              <w:bottom w:val="single" w:color="000000" w:sz="4" w:space="0"/>
              <w:right w:val="single" w:color="000000" w:sz="4" w:space="0"/>
            </w:tcBorders>
            <w:noWrap w:val="0"/>
            <w:vAlign w:val="center"/>
          </w:tcPr>
          <w:p w14:paraId="135D3DE5">
            <w:pPr>
              <w:pStyle w:val="114"/>
              <w:keepNext w:val="0"/>
              <w:keepLines w:val="0"/>
              <w:pageBreakBefore w:val="0"/>
              <w:suppressLineNumbers w:val="0"/>
              <w:kinsoku/>
              <w:overflowPunct/>
              <w:topLinePunct/>
              <w:bidi w:val="0"/>
              <w:spacing w:before="0" w:beforeAutospacing="0" w:after="0" w:afterAutospacing="0" w:line="600" w:lineRule="exact"/>
              <w:ind w:left="0" w:right="0"/>
              <w:jc w:val="center"/>
              <w:rPr>
                <w:rFonts w:hint="eastAsia" w:ascii="仿宋" w:hAnsi="仿宋" w:eastAsia="仿宋" w:cs="宋体"/>
                <w:color w:val="auto"/>
                <w:szCs w:val="21"/>
                <w:highlight w:val="none"/>
              </w:rPr>
            </w:pPr>
            <w:r>
              <w:rPr>
                <w:rFonts w:hint="eastAsia" w:ascii="仿宋" w:hAnsi="仿宋" w:eastAsia="仿宋" w:cs="宋体"/>
                <w:color w:val="auto"/>
                <w:szCs w:val="21"/>
                <w:highlight w:val="none"/>
              </w:rPr>
              <w:t>联系人</w:t>
            </w:r>
          </w:p>
        </w:tc>
        <w:tc>
          <w:tcPr>
            <w:tcW w:w="2447" w:type="dxa"/>
            <w:gridSpan w:val="3"/>
            <w:tcBorders>
              <w:top w:val="nil"/>
              <w:left w:val="nil"/>
              <w:bottom w:val="single" w:color="000000" w:sz="4" w:space="0"/>
              <w:right w:val="single" w:color="000000" w:sz="4" w:space="0"/>
            </w:tcBorders>
            <w:noWrap w:val="0"/>
            <w:vAlign w:val="center"/>
          </w:tcPr>
          <w:p w14:paraId="42BA394A">
            <w:pPr>
              <w:pStyle w:val="114"/>
              <w:keepNext w:val="0"/>
              <w:keepLines w:val="0"/>
              <w:pageBreakBefore w:val="0"/>
              <w:suppressLineNumbers w:val="0"/>
              <w:kinsoku/>
              <w:overflowPunct/>
              <w:topLinePunct/>
              <w:bidi w:val="0"/>
              <w:spacing w:before="0" w:beforeAutospacing="0" w:after="0" w:afterAutospacing="0" w:line="600" w:lineRule="exact"/>
              <w:ind w:left="0" w:right="0"/>
              <w:jc w:val="center"/>
              <w:rPr>
                <w:rFonts w:hint="eastAsia" w:ascii="仿宋" w:hAnsi="仿宋" w:eastAsia="仿宋" w:cs="宋体"/>
                <w:color w:val="auto"/>
                <w:szCs w:val="21"/>
                <w:highlight w:val="none"/>
              </w:rPr>
            </w:pPr>
          </w:p>
        </w:tc>
        <w:tc>
          <w:tcPr>
            <w:tcW w:w="1789" w:type="dxa"/>
            <w:tcBorders>
              <w:top w:val="nil"/>
              <w:left w:val="nil"/>
              <w:bottom w:val="single" w:color="000000" w:sz="4" w:space="0"/>
              <w:right w:val="single" w:color="000000" w:sz="4" w:space="0"/>
            </w:tcBorders>
            <w:noWrap w:val="0"/>
            <w:vAlign w:val="center"/>
          </w:tcPr>
          <w:p w14:paraId="0D903310">
            <w:pPr>
              <w:pStyle w:val="114"/>
              <w:keepNext w:val="0"/>
              <w:keepLines w:val="0"/>
              <w:pageBreakBefore w:val="0"/>
              <w:suppressLineNumbers w:val="0"/>
              <w:kinsoku/>
              <w:overflowPunct/>
              <w:topLinePunct/>
              <w:bidi w:val="0"/>
              <w:spacing w:before="0" w:beforeAutospacing="0" w:after="0" w:afterAutospacing="0" w:line="600" w:lineRule="exact"/>
              <w:ind w:left="0" w:right="0"/>
              <w:jc w:val="center"/>
              <w:rPr>
                <w:rFonts w:hint="eastAsia" w:ascii="仿宋" w:hAnsi="仿宋" w:eastAsia="仿宋" w:cs="宋体"/>
                <w:color w:val="auto"/>
                <w:szCs w:val="21"/>
                <w:highlight w:val="none"/>
              </w:rPr>
            </w:pPr>
            <w:r>
              <w:rPr>
                <w:rFonts w:hint="eastAsia" w:ascii="仿宋" w:hAnsi="仿宋" w:eastAsia="仿宋" w:cs="宋体"/>
                <w:color w:val="auto"/>
                <w:szCs w:val="21"/>
                <w:highlight w:val="none"/>
              </w:rPr>
              <w:t>电话</w:t>
            </w:r>
          </w:p>
        </w:tc>
        <w:tc>
          <w:tcPr>
            <w:tcW w:w="2232" w:type="dxa"/>
            <w:gridSpan w:val="3"/>
            <w:tcBorders>
              <w:top w:val="single" w:color="000000" w:sz="4" w:space="0"/>
              <w:left w:val="nil"/>
              <w:bottom w:val="single" w:color="000000" w:sz="4" w:space="0"/>
              <w:right w:val="single" w:color="000000" w:sz="4" w:space="0"/>
            </w:tcBorders>
            <w:noWrap w:val="0"/>
            <w:vAlign w:val="center"/>
          </w:tcPr>
          <w:p w14:paraId="51675944">
            <w:pPr>
              <w:pStyle w:val="114"/>
              <w:keepNext w:val="0"/>
              <w:keepLines w:val="0"/>
              <w:pageBreakBefore w:val="0"/>
              <w:suppressLineNumbers w:val="0"/>
              <w:kinsoku/>
              <w:overflowPunct/>
              <w:topLinePunct/>
              <w:bidi w:val="0"/>
              <w:spacing w:before="0" w:beforeAutospacing="0" w:after="0" w:afterAutospacing="0" w:line="600" w:lineRule="exact"/>
              <w:ind w:left="0" w:right="0"/>
              <w:jc w:val="center"/>
              <w:rPr>
                <w:rFonts w:hint="eastAsia" w:ascii="仿宋" w:hAnsi="仿宋" w:eastAsia="仿宋" w:cs="宋体"/>
                <w:color w:val="auto"/>
                <w:szCs w:val="21"/>
                <w:highlight w:val="none"/>
              </w:rPr>
            </w:pPr>
          </w:p>
        </w:tc>
      </w:tr>
      <w:tr w14:paraId="3D6D07CE">
        <w:tblPrEx>
          <w:tblCellMar>
            <w:top w:w="0" w:type="dxa"/>
            <w:left w:w="108" w:type="dxa"/>
            <w:bottom w:w="0" w:type="dxa"/>
            <w:right w:w="108" w:type="dxa"/>
          </w:tblCellMar>
        </w:tblPrEx>
        <w:trPr>
          <w:trHeight w:val="283" w:hRule="atLeast"/>
        </w:trPr>
        <w:tc>
          <w:tcPr>
            <w:tcW w:w="2243" w:type="dxa"/>
            <w:vMerge w:val="continue"/>
            <w:tcBorders>
              <w:top w:val="nil"/>
              <w:left w:val="single" w:color="000000" w:sz="4" w:space="0"/>
              <w:bottom w:val="single" w:color="000000" w:sz="4" w:space="0"/>
              <w:right w:val="single" w:color="000000" w:sz="4" w:space="0"/>
            </w:tcBorders>
            <w:noWrap w:val="0"/>
            <w:vAlign w:val="center"/>
          </w:tcPr>
          <w:p w14:paraId="50172BEF">
            <w:pPr>
              <w:keepNext w:val="0"/>
              <w:keepLines w:val="0"/>
              <w:pageBreakBefore w:val="0"/>
              <w:suppressLineNumbers w:val="0"/>
              <w:kinsoku/>
              <w:overflowPunct/>
              <w:bidi w:val="0"/>
              <w:spacing w:before="0" w:beforeAutospacing="0" w:after="0" w:afterAutospacing="0" w:line="600" w:lineRule="exact"/>
              <w:ind w:left="0" w:right="0"/>
              <w:rPr>
                <w:rFonts w:hint="eastAsia" w:ascii="仿宋" w:hAnsi="仿宋" w:eastAsia="仿宋" w:cs="宋体"/>
                <w:color w:val="auto"/>
                <w:szCs w:val="21"/>
                <w:highlight w:val="none"/>
              </w:rPr>
            </w:pPr>
          </w:p>
        </w:tc>
        <w:tc>
          <w:tcPr>
            <w:tcW w:w="1141" w:type="dxa"/>
            <w:gridSpan w:val="2"/>
            <w:tcBorders>
              <w:top w:val="nil"/>
              <w:left w:val="nil"/>
              <w:bottom w:val="single" w:color="000000" w:sz="4" w:space="0"/>
              <w:right w:val="single" w:color="000000" w:sz="4" w:space="0"/>
            </w:tcBorders>
            <w:noWrap w:val="0"/>
            <w:vAlign w:val="center"/>
          </w:tcPr>
          <w:p w14:paraId="11AC03B0">
            <w:pPr>
              <w:pStyle w:val="114"/>
              <w:keepNext w:val="0"/>
              <w:keepLines w:val="0"/>
              <w:pageBreakBefore w:val="0"/>
              <w:suppressLineNumbers w:val="0"/>
              <w:kinsoku/>
              <w:overflowPunct/>
              <w:topLinePunct/>
              <w:bidi w:val="0"/>
              <w:spacing w:before="0" w:beforeAutospacing="0" w:after="0" w:afterAutospacing="0" w:line="600" w:lineRule="exact"/>
              <w:ind w:left="0" w:right="0"/>
              <w:jc w:val="center"/>
              <w:rPr>
                <w:rFonts w:hint="eastAsia" w:ascii="仿宋" w:hAnsi="仿宋" w:eastAsia="仿宋" w:cs="宋体"/>
                <w:color w:val="auto"/>
                <w:szCs w:val="21"/>
                <w:highlight w:val="none"/>
              </w:rPr>
            </w:pPr>
            <w:r>
              <w:rPr>
                <w:rFonts w:hint="eastAsia" w:ascii="仿宋" w:hAnsi="仿宋" w:eastAsia="仿宋" w:cs="宋体"/>
                <w:color w:val="auto"/>
                <w:szCs w:val="21"/>
                <w:highlight w:val="none"/>
              </w:rPr>
              <w:t>传真</w:t>
            </w:r>
          </w:p>
        </w:tc>
        <w:tc>
          <w:tcPr>
            <w:tcW w:w="2447" w:type="dxa"/>
            <w:gridSpan w:val="3"/>
            <w:tcBorders>
              <w:top w:val="nil"/>
              <w:left w:val="nil"/>
              <w:bottom w:val="single" w:color="000000" w:sz="4" w:space="0"/>
              <w:right w:val="single" w:color="000000" w:sz="4" w:space="0"/>
            </w:tcBorders>
            <w:noWrap w:val="0"/>
            <w:vAlign w:val="center"/>
          </w:tcPr>
          <w:p w14:paraId="340D0458">
            <w:pPr>
              <w:pStyle w:val="114"/>
              <w:keepNext w:val="0"/>
              <w:keepLines w:val="0"/>
              <w:pageBreakBefore w:val="0"/>
              <w:suppressLineNumbers w:val="0"/>
              <w:kinsoku/>
              <w:overflowPunct/>
              <w:topLinePunct/>
              <w:bidi w:val="0"/>
              <w:spacing w:before="0" w:beforeAutospacing="0" w:after="0" w:afterAutospacing="0" w:line="600" w:lineRule="exact"/>
              <w:ind w:left="0" w:right="0"/>
              <w:jc w:val="center"/>
              <w:rPr>
                <w:rFonts w:hint="eastAsia" w:ascii="仿宋" w:hAnsi="仿宋" w:eastAsia="仿宋" w:cs="宋体"/>
                <w:color w:val="auto"/>
                <w:szCs w:val="21"/>
                <w:highlight w:val="none"/>
              </w:rPr>
            </w:pPr>
          </w:p>
        </w:tc>
        <w:tc>
          <w:tcPr>
            <w:tcW w:w="1789" w:type="dxa"/>
            <w:tcBorders>
              <w:top w:val="nil"/>
              <w:left w:val="nil"/>
              <w:bottom w:val="single" w:color="000000" w:sz="4" w:space="0"/>
              <w:right w:val="single" w:color="000000" w:sz="4" w:space="0"/>
            </w:tcBorders>
            <w:noWrap w:val="0"/>
            <w:vAlign w:val="center"/>
          </w:tcPr>
          <w:p w14:paraId="289949AF">
            <w:pPr>
              <w:pStyle w:val="114"/>
              <w:keepNext w:val="0"/>
              <w:keepLines w:val="0"/>
              <w:pageBreakBefore w:val="0"/>
              <w:suppressLineNumbers w:val="0"/>
              <w:kinsoku/>
              <w:overflowPunct/>
              <w:topLinePunct/>
              <w:bidi w:val="0"/>
              <w:spacing w:before="0" w:beforeAutospacing="0" w:after="0" w:afterAutospacing="0" w:line="600" w:lineRule="exact"/>
              <w:ind w:left="0" w:right="0"/>
              <w:jc w:val="center"/>
              <w:rPr>
                <w:rFonts w:hint="eastAsia" w:ascii="仿宋" w:hAnsi="仿宋" w:eastAsia="仿宋" w:cs="宋体"/>
                <w:color w:val="auto"/>
                <w:szCs w:val="21"/>
                <w:highlight w:val="none"/>
              </w:rPr>
            </w:pPr>
            <w:r>
              <w:rPr>
                <w:rFonts w:hint="eastAsia" w:ascii="仿宋" w:hAnsi="仿宋" w:eastAsia="仿宋" w:cs="宋体"/>
                <w:color w:val="auto"/>
                <w:szCs w:val="21"/>
                <w:highlight w:val="none"/>
              </w:rPr>
              <w:t>网址</w:t>
            </w:r>
          </w:p>
        </w:tc>
        <w:tc>
          <w:tcPr>
            <w:tcW w:w="2232" w:type="dxa"/>
            <w:gridSpan w:val="3"/>
            <w:tcBorders>
              <w:top w:val="nil"/>
              <w:left w:val="nil"/>
              <w:bottom w:val="single" w:color="000000" w:sz="4" w:space="0"/>
              <w:right w:val="single" w:color="000000" w:sz="4" w:space="0"/>
            </w:tcBorders>
            <w:noWrap w:val="0"/>
            <w:vAlign w:val="center"/>
          </w:tcPr>
          <w:p w14:paraId="38B02DEB">
            <w:pPr>
              <w:pStyle w:val="114"/>
              <w:keepNext w:val="0"/>
              <w:keepLines w:val="0"/>
              <w:pageBreakBefore w:val="0"/>
              <w:suppressLineNumbers w:val="0"/>
              <w:kinsoku/>
              <w:overflowPunct/>
              <w:topLinePunct/>
              <w:bidi w:val="0"/>
              <w:spacing w:before="0" w:beforeAutospacing="0" w:after="0" w:afterAutospacing="0" w:line="600" w:lineRule="exact"/>
              <w:ind w:left="0" w:right="0"/>
              <w:jc w:val="center"/>
              <w:rPr>
                <w:rFonts w:hint="eastAsia" w:ascii="仿宋" w:hAnsi="仿宋" w:eastAsia="仿宋" w:cs="宋体"/>
                <w:color w:val="auto"/>
                <w:szCs w:val="21"/>
                <w:highlight w:val="none"/>
              </w:rPr>
            </w:pPr>
          </w:p>
        </w:tc>
      </w:tr>
      <w:tr w14:paraId="5FF4DA1B">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14:paraId="064B7EA8">
            <w:pPr>
              <w:pStyle w:val="114"/>
              <w:keepNext w:val="0"/>
              <w:keepLines w:val="0"/>
              <w:pageBreakBefore w:val="0"/>
              <w:suppressLineNumbers w:val="0"/>
              <w:kinsoku/>
              <w:overflowPunct/>
              <w:topLinePunct/>
              <w:bidi w:val="0"/>
              <w:spacing w:before="0" w:beforeAutospacing="0" w:after="0" w:afterAutospacing="0" w:line="600" w:lineRule="exact"/>
              <w:ind w:left="0" w:right="0"/>
              <w:jc w:val="center"/>
              <w:rPr>
                <w:rFonts w:hint="eastAsia" w:ascii="仿宋" w:hAnsi="仿宋" w:eastAsia="仿宋" w:cs="宋体"/>
                <w:color w:val="auto"/>
                <w:szCs w:val="21"/>
                <w:highlight w:val="none"/>
              </w:rPr>
            </w:pPr>
            <w:r>
              <w:rPr>
                <w:rFonts w:hint="eastAsia" w:ascii="仿宋" w:hAnsi="仿宋" w:eastAsia="仿宋" w:cs="宋体"/>
                <w:color w:val="auto"/>
                <w:szCs w:val="21"/>
                <w:highlight w:val="none"/>
              </w:rPr>
              <w:t>组织结构</w:t>
            </w:r>
          </w:p>
        </w:tc>
        <w:tc>
          <w:tcPr>
            <w:tcW w:w="7609" w:type="dxa"/>
            <w:gridSpan w:val="9"/>
            <w:tcBorders>
              <w:top w:val="nil"/>
              <w:left w:val="nil"/>
              <w:bottom w:val="single" w:color="000000" w:sz="4" w:space="0"/>
              <w:right w:val="single" w:color="000000" w:sz="4" w:space="0"/>
            </w:tcBorders>
            <w:noWrap w:val="0"/>
            <w:vAlign w:val="center"/>
          </w:tcPr>
          <w:p w14:paraId="1E3EDE3A">
            <w:pPr>
              <w:pStyle w:val="114"/>
              <w:keepNext w:val="0"/>
              <w:keepLines w:val="0"/>
              <w:pageBreakBefore w:val="0"/>
              <w:suppressLineNumbers w:val="0"/>
              <w:kinsoku/>
              <w:overflowPunct/>
              <w:topLinePunct/>
              <w:bidi w:val="0"/>
              <w:spacing w:before="0" w:beforeAutospacing="0" w:after="0" w:afterAutospacing="0" w:line="600" w:lineRule="exact"/>
              <w:ind w:left="0" w:right="0"/>
              <w:jc w:val="center"/>
              <w:rPr>
                <w:rFonts w:hint="eastAsia" w:ascii="仿宋" w:hAnsi="仿宋" w:eastAsia="仿宋" w:cs="宋体"/>
                <w:color w:val="auto"/>
                <w:szCs w:val="21"/>
                <w:highlight w:val="none"/>
              </w:rPr>
            </w:pPr>
          </w:p>
        </w:tc>
      </w:tr>
      <w:tr w14:paraId="2B6E381F">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14:paraId="0274FF9F">
            <w:pPr>
              <w:pStyle w:val="114"/>
              <w:keepNext w:val="0"/>
              <w:keepLines w:val="0"/>
              <w:pageBreakBefore w:val="0"/>
              <w:suppressLineNumbers w:val="0"/>
              <w:kinsoku/>
              <w:overflowPunct/>
              <w:topLinePunct/>
              <w:bidi w:val="0"/>
              <w:spacing w:before="0" w:beforeAutospacing="0" w:after="0" w:afterAutospacing="0" w:line="600" w:lineRule="exact"/>
              <w:ind w:left="0" w:right="0"/>
              <w:jc w:val="center"/>
              <w:rPr>
                <w:rFonts w:hint="eastAsia" w:ascii="仿宋" w:hAnsi="仿宋" w:eastAsia="仿宋" w:cs="宋体"/>
                <w:color w:val="auto"/>
                <w:szCs w:val="21"/>
                <w:highlight w:val="none"/>
              </w:rPr>
            </w:pPr>
            <w:r>
              <w:rPr>
                <w:rFonts w:hint="eastAsia" w:ascii="仿宋" w:hAnsi="仿宋" w:eastAsia="仿宋" w:cs="宋体"/>
                <w:color w:val="auto"/>
                <w:szCs w:val="21"/>
                <w:highlight w:val="none"/>
              </w:rPr>
              <w:t>法定代表人（负责人）</w:t>
            </w:r>
          </w:p>
        </w:tc>
        <w:tc>
          <w:tcPr>
            <w:tcW w:w="775" w:type="dxa"/>
            <w:tcBorders>
              <w:top w:val="nil"/>
              <w:left w:val="nil"/>
              <w:bottom w:val="single" w:color="000000" w:sz="4" w:space="0"/>
              <w:right w:val="single" w:color="000000" w:sz="4" w:space="0"/>
            </w:tcBorders>
            <w:noWrap w:val="0"/>
            <w:vAlign w:val="center"/>
          </w:tcPr>
          <w:p w14:paraId="27862C38">
            <w:pPr>
              <w:pStyle w:val="114"/>
              <w:keepNext w:val="0"/>
              <w:keepLines w:val="0"/>
              <w:pageBreakBefore w:val="0"/>
              <w:suppressLineNumbers w:val="0"/>
              <w:kinsoku/>
              <w:overflowPunct/>
              <w:topLinePunct/>
              <w:bidi w:val="0"/>
              <w:spacing w:before="0" w:beforeAutospacing="0" w:after="0" w:afterAutospacing="0" w:line="600" w:lineRule="exact"/>
              <w:ind w:left="0" w:right="0"/>
              <w:jc w:val="center"/>
              <w:rPr>
                <w:rFonts w:hint="eastAsia" w:ascii="仿宋" w:hAnsi="仿宋" w:eastAsia="仿宋" w:cs="宋体"/>
                <w:color w:val="auto"/>
                <w:szCs w:val="21"/>
                <w:highlight w:val="none"/>
              </w:rPr>
            </w:pPr>
            <w:r>
              <w:rPr>
                <w:rFonts w:hint="eastAsia" w:ascii="仿宋" w:hAnsi="仿宋" w:eastAsia="仿宋" w:cs="宋体"/>
                <w:color w:val="auto"/>
                <w:szCs w:val="21"/>
                <w:highlight w:val="none"/>
              </w:rPr>
              <w:t>姓名</w:t>
            </w:r>
          </w:p>
        </w:tc>
        <w:tc>
          <w:tcPr>
            <w:tcW w:w="1345" w:type="dxa"/>
            <w:gridSpan w:val="2"/>
            <w:tcBorders>
              <w:top w:val="single" w:color="000000" w:sz="4" w:space="0"/>
              <w:left w:val="nil"/>
              <w:bottom w:val="single" w:color="000000" w:sz="4" w:space="0"/>
              <w:right w:val="single" w:color="000000" w:sz="4" w:space="0"/>
            </w:tcBorders>
            <w:noWrap w:val="0"/>
            <w:vAlign w:val="center"/>
          </w:tcPr>
          <w:p w14:paraId="0053A72D">
            <w:pPr>
              <w:pStyle w:val="114"/>
              <w:keepNext w:val="0"/>
              <w:keepLines w:val="0"/>
              <w:pageBreakBefore w:val="0"/>
              <w:suppressLineNumbers w:val="0"/>
              <w:kinsoku/>
              <w:overflowPunct/>
              <w:topLinePunct/>
              <w:bidi w:val="0"/>
              <w:spacing w:before="0" w:beforeAutospacing="0" w:after="0" w:afterAutospacing="0" w:line="600" w:lineRule="exact"/>
              <w:ind w:left="0" w:right="0"/>
              <w:jc w:val="center"/>
              <w:rPr>
                <w:rFonts w:hint="eastAsia" w:ascii="仿宋" w:hAnsi="仿宋" w:eastAsia="仿宋" w:cs="宋体"/>
                <w:color w:val="auto"/>
                <w:szCs w:val="21"/>
                <w:highlight w:val="none"/>
              </w:rPr>
            </w:pPr>
          </w:p>
        </w:tc>
        <w:tc>
          <w:tcPr>
            <w:tcW w:w="1468" w:type="dxa"/>
            <w:gridSpan w:val="2"/>
            <w:tcBorders>
              <w:top w:val="single" w:color="000000" w:sz="4" w:space="0"/>
              <w:left w:val="nil"/>
              <w:bottom w:val="single" w:color="000000" w:sz="4" w:space="0"/>
              <w:right w:val="single" w:color="000000" w:sz="4" w:space="0"/>
            </w:tcBorders>
            <w:noWrap w:val="0"/>
            <w:vAlign w:val="center"/>
          </w:tcPr>
          <w:p w14:paraId="475FF95C">
            <w:pPr>
              <w:pStyle w:val="114"/>
              <w:keepNext w:val="0"/>
              <w:keepLines w:val="0"/>
              <w:pageBreakBefore w:val="0"/>
              <w:suppressLineNumbers w:val="0"/>
              <w:kinsoku/>
              <w:overflowPunct/>
              <w:topLinePunct/>
              <w:bidi w:val="0"/>
              <w:spacing w:before="0" w:beforeAutospacing="0" w:after="0" w:afterAutospacing="0" w:line="600" w:lineRule="exact"/>
              <w:ind w:left="0" w:right="0"/>
              <w:jc w:val="center"/>
              <w:rPr>
                <w:rFonts w:hint="eastAsia" w:ascii="仿宋" w:hAnsi="仿宋" w:eastAsia="仿宋" w:cs="宋体"/>
                <w:color w:val="auto"/>
                <w:szCs w:val="21"/>
                <w:highlight w:val="none"/>
              </w:rPr>
            </w:pPr>
            <w:r>
              <w:rPr>
                <w:rFonts w:hint="eastAsia" w:ascii="仿宋" w:hAnsi="仿宋" w:eastAsia="仿宋" w:cs="宋体"/>
                <w:color w:val="auto"/>
                <w:szCs w:val="21"/>
                <w:highlight w:val="none"/>
              </w:rPr>
              <w:t>职称</w:t>
            </w:r>
          </w:p>
        </w:tc>
        <w:tc>
          <w:tcPr>
            <w:tcW w:w="1891" w:type="dxa"/>
            <w:gridSpan w:val="2"/>
            <w:tcBorders>
              <w:top w:val="single" w:color="000000" w:sz="4" w:space="0"/>
              <w:left w:val="nil"/>
              <w:bottom w:val="single" w:color="000000" w:sz="4" w:space="0"/>
              <w:right w:val="single" w:color="000000" w:sz="4" w:space="0"/>
            </w:tcBorders>
            <w:noWrap w:val="0"/>
            <w:vAlign w:val="center"/>
          </w:tcPr>
          <w:p w14:paraId="755A5946">
            <w:pPr>
              <w:pStyle w:val="114"/>
              <w:keepNext w:val="0"/>
              <w:keepLines w:val="0"/>
              <w:pageBreakBefore w:val="0"/>
              <w:suppressLineNumbers w:val="0"/>
              <w:kinsoku/>
              <w:overflowPunct/>
              <w:topLinePunct/>
              <w:bidi w:val="0"/>
              <w:spacing w:before="0" w:beforeAutospacing="0" w:after="0" w:afterAutospacing="0" w:line="600" w:lineRule="exact"/>
              <w:ind w:left="0" w:right="0"/>
              <w:jc w:val="center"/>
              <w:rPr>
                <w:rFonts w:hint="eastAsia" w:ascii="仿宋" w:hAnsi="仿宋" w:eastAsia="仿宋" w:cs="宋体"/>
                <w:color w:val="auto"/>
                <w:szCs w:val="21"/>
                <w:highlight w:val="none"/>
              </w:rPr>
            </w:pPr>
          </w:p>
        </w:tc>
        <w:tc>
          <w:tcPr>
            <w:tcW w:w="985" w:type="dxa"/>
            <w:tcBorders>
              <w:top w:val="single" w:color="000000" w:sz="4" w:space="0"/>
              <w:left w:val="nil"/>
              <w:bottom w:val="single" w:color="000000" w:sz="4" w:space="0"/>
              <w:right w:val="single" w:color="000000" w:sz="4" w:space="0"/>
            </w:tcBorders>
            <w:noWrap w:val="0"/>
            <w:vAlign w:val="center"/>
          </w:tcPr>
          <w:p w14:paraId="4C3CCC81">
            <w:pPr>
              <w:pStyle w:val="114"/>
              <w:keepNext w:val="0"/>
              <w:keepLines w:val="0"/>
              <w:pageBreakBefore w:val="0"/>
              <w:suppressLineNumbers w:val="0"/>
              <w:kinsoku/>
              <w:overflowPunct/>
              <w:topLinePunct/>
              <w:bidi w:val="0"/>
              <w:spacing w:before="0" w:beforeAutospacing="0" w:after="0" w:afterAutospacing="0" w:line="600" w:lineRule="exact"/>
              <w:ind w:left="0" w:right="0"/>
              <w:jc w:val="center"/>
              <w:rPr>
                <w:rFonts w:hint="eastAsia" w:ascii="仿宋" w:hAnsi="仿宋" w:eastAsia="仿宋" w:cs="宋体"/>
                <w:color w:val="auto"/>
                <w:szCs w:val="21"/>
                <w:highlight w:val="none"/>
              </w:rPr>
            </w:pPr>
            <w:r>
              <w:rPr>
                <w:rFonts w:hint="eastAsia" w:ascii="仿宋" w:hAnsi="仿宋" w:eastAsia="仿宋" w:cs="宋体"/>
                <w:color w:val="auto"/>
                <w:szCs w:val="21"/>
                <w:highlight w:val="none"/>
              </w:rPr>
              <w:t>电话</w:t>
            </w:r>
          </w:p>
        </w:tc>
        <w:tc>
          <w:tcPr>
            <w:tcW w:w="1145" w:type="dxa"/>
            <w:tcBorders>
              <w:top w:val="single" w:color="000000" w:sz="4" w:space="0"/>
              <w:left w:val="nil"/>
              <w:bottom w:val="single" w:color="000000" w:sz="4" w:space="0"/>
              <w:right w:val="single" w:color="000000" w:sz="4" w:space="0"/>
            </w:tcBorders>
            <w:noWrap w:val="0"/>
            <w:vAlign w:val="center"/>
          </w:tcPr>
          <w:p w14:paraId="49DB6754">
            <w:pPr>
              <w:pStyle w:val="114"/>
              <w:keepNext w:val="0"/>
              <w:keepLines w:val="0"/>
              <w:pageBreakBefore w:val="0"/>
              <w:suppressLineNumbers w:val="0"/>
              <w:kinsoku/>
              <w:overflowPunct/>
              <w:topLinePunct/>
              <w:bidi w:val="0"/>
              <w:spacing w:before="0" w:beforeAutospacing="0" w:after="0" w:afterAutospacing="0" w:line="600" w:lineRule="exact"/>
              <w:ind w:left="0" w:right="0"/>
              <w:jc w:val="center"/>
              <w:rPr>
                <w:rFonts w:hint="eastAsia" w:ascii="仿宋" w:hAnsi="仿宋" w:eastAsia="仿宋" w:cs="宋体"/>
                <w:color w:val="auto"/>
                <w:szCs w:val="21"/>
                <w:highlight w:val="none"/>
              </w:rPr>
            </w:pPr>
          </w:p>
        </w:tc>
      </w:tr>
      <w:tr w14:paraId="3C2B368F">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14:paraId="4D2C5753">
            <w:pPr>
              <w:pStyle w:val="114"/>
              <w:keepNext w:val="0"/>
              <w:keepLines w:val="0"/>
              <w:pageBreakBefore w:val="0"/>
              <w:suppressLineNumbers w:val="0"/>
              <w:kinsoku/>
              <w:overflowPunct/>
              <w:topLinePunct/>
              <w:bidi w:val="0"/>
              <w:spacing w:before="0" w:beforeAutospacing="0" w:after="0" w:afterAutospacing="0" w:line="600" w:lineRule="exact"/>
              <w:ind w:left="0" w:right="0"/>
              <w:jc w:val="center"/>
              <w:rPr>
                <w:rFonts w:hint="eastAsia" w:ascii="仿宋" w:hAnsi="仿宋" w:eastAsia="仿宋" w:cs="宋体"/>
                <w:color w:val="auto"/>
                <w:szCs w:val="21"/>
                <w:highlight w:val="none"/>
              </w:rPr>
            </w:pPr>
            <w:r>
              <w:rPr>
                <w:rFonts w:hint="eastAsia" w:ascii="仿宋" w:hAnsi="仿宋" w:eastAsia="仿宋" w:cs="宋体"/>
                <w:color w:val="auto"/>
                <w:szCs w:val="21"/>
                <w:highlight w:val="none"/>
              </w:rPr>
              <w:t>技术负责人</w:t>
            </w:r>
          </w:p>
        </w:tc>
        <w:tc>
          <w:tcPr>
            <w:tcW w:w="775" w:type="dxa"/>
            <w:tcBorders>
              <w:top w:val="nil"/>
              <w:left w:val="nil"/>
              <w:bottom w:val="single" w:color="000000" w:sz="4" w:space="0"/>
              <w:right w:val="single" w:color="000000" w:sz="4" w:space="0"/>
            </w:tcBorders>
            <w:noWrap w:val="0"/>
            <w:vAlign w:val="center"/>
          </w:tcPr>
          <w:p w14:paraId="16A96430">
            <w:pPr>
              <w:pStyle w:val="114"/>
              <w:keepNext w:val="0"/>
              <w:keepLines w:val="0"/>
              <w:pageBreakBefore w:val="0"/>
              <w:suppressLineNumbers w:val="0"/>
              <w:kinsoku/>
              <w:overflowPunct/>
              <w:topLinePunct/>
              <w:bidi w:val="0"/>
              <w:spacing w:before="0" w:beforeAutospacing="0" w:after="0" w:afterAutospacing="0" w:line="600" w:lineRule="exact"/>
              <w:ind w:left="0" w:right="0"/>
              <w:jc w:val="center"/>
              <w:rPr>
                <w:rFonts w:hint="eastAsia" w:ascii="仿宋" w:hAnsi="仿宋" w:eastAsia="仿宋" w:cs="宋体"/>
                <w:color w:val="auto"/>
                <w:szCs w:val="21"/>
                <w:highlight w:val="none"/>
              </w:rPr>
            </w:pPr>
            <w:r>
              <w:rPr>
                <w:rFonts w:hint="eastAsia" w:ascii="仿宋" w:hAnsi="仿宋" w:eastAsia="仿宋" w:cs="宋体"/>
                <w:color w:val="auto"/>
                <w:szCs w:val="21"/>
                <w:highlight w:val="none"/>
              </w:rPr>
              <w:t>姓名</w:t>
            </w:r>
          </w:p>
        </w:tc>
        <w:tc>
          <w:tcPr>
            <w:tcW w:w="1345" w:type="dxa"/>
            <w:gridSpan w:val="2"/>
            <w:tcBorders>
              <w:top w:val="nil"/>
              <w:left w:val="nil"/>
              <w:bottom w:val="single" w:color="000000" w:sz="4" w:space="0"/>
              <w:right w:val="single" w:color="000000" w:sz="4" w:space="0"/>
            </w:tcBorders>
            <w:noWrap w:val="0"/>
            <w:vAlign w:val="center"/>
          </w:tcPr>
          <w:p w14:paraId="5B4D5980">
            <w:pPr>
              <w:pStyle w:val="114"/>
              <w:keepNext w:val="0"/>
              <w:keepLines w:val="0"/>
              <w:pageBreakBefore w:val="0"/>
              <w:suppressLineNumbers w:val="0"/>
              <w:kinsoku/>
              <w:overflowPunct/>
              <w:topLinePunct/>
              <w:bidi w:val="0"/>
              <w:spacing w:before="0" w:beforeAutospacing="0" w:after="0" w:afterAutospacing="0" w:line="600" w:lineRule="exact"/>
              <w:ind w:left="0" w:right="0"/>
              <w:jc w:val="center"/>
              <w:rPr>
                <w:rFonts w:hint="eastAsia" w:ascii="仿宋" w:hAnsi="仿宋" w:eastAsia="仿宋" w:cs="宋体"/>
                <w:color w:val="auto"/>
                <w:szCs w:val="21"/>
                <w:highlight w:val="none"/>
              </w:rPr>
            </w:pPr>
          </w:p>
        </w:tc>
        <w:tc>
          <w:tcPr>
            <w:tcW w:w="1468" w:type="dxa"/>
            <w:gridSpan w:val="2"/>
            <w:tcBorders>
              <w:top w:val="nil"/>
              <w:left w:val="nil"/>
              <w:bottom w:val="single" w:color="000000" w:sz="4" w:space="0"/>
              <w:right w:val="single" w:color="000000" w:sz="4" w:space="0"/>
            </w:tcBorders>
            <w:noWrap w:val="0"/>
            <w:vAlign w:val="center"/>
          </w:tcPr>
          <w:p w14:paraId="6F3B11A1">
            <w:pPr>
              <w:pStyle w:val="114"/>
              <w:keepNext w:val="0"/>
              <w:keepLines w:val="0"/>
              <w:pageBreakBefore w:val="0"/>
              <w:suppressLineNumbers w:val="0"/>
              <w:kinsoku/>
              <w:overflowPunct/>
              <w:topLinePunct/>
              <w:bidi w:val="0"/>
              <w:spacing w:before="0" w:beforeAutospacing="0" w:after="0" w:afterAutospacing="0" w:line="600" w:lineRule="exact"/>
              <w:ind w:left="0" w:right="0"/>
              <w:jc w:val="center"/>
              <w:rPr>
                <w:rFonts w:hint="eastAsia" w:ascii="仿宋" w:hAnsi="仿宋" w:eastAsia="仿宋" w:cs="宋体"/>
                <w:color w:val="auto"/>
                <w:szCs w:val="21"/>
                <w:highlight w:val="none"/>
              </w:rPr>
            </w:pPr>
            <w:r>
              <w:rPr>
                <w:rFonts w:hint="eastAsia" w:ascii="仿宋" w:hAnsi="仿宋" w:eastAsia="仿宋" w:cs="宋体"/>
                <w:color w:val="auto"/>
                <w:szCs w:val="21"/>
                <w:highlight w:val="none"/>
              </w:rPr>
              <w:t>职称</w:t>
            </w:r>
          </w:p>
        </w:tc>
        <w:tc>
          <w:tcPr>
            <w:tcW w:w="1891" w:type="dxa"/>
            <w:gridSpan w:val="2"/>
            <w:tcBorders>
              <w:top w:val="nil"/>
              <w:left w:val="nil"/>
              <w:bottom w:val="single" w:color="000000" w:sz="4" w:space="0"/>
              <w:right w:val="single" w:color="000000" w:sz="4" w:space="0"/>
            </w:tcBorders>
            <w:noWrap w:val="0"/>
            <w:vAlign w:val="center"/>
          </w:tcPr>
          <w:p w14:paraId="367B796A">
            <w:pPr>
              <w:pStyle w:val="114"/>
              <w:keepNext w:val="0"/>
              <w:keepLines w:val="0"/>
              <w:pageBreakBefore w:val="0"/>
              <w:suppressLineNumbers w:val="0"/>
              <w:kinsoku/>
              <w:overflowPunct/>
              <w:topLinePunct/>
              <w:bidi w:val="0"/>
              <w:spacing w:before="0" w:beforeAutospacing="0" w:after="0" w:afterAutospacing="0" w:line="600" w:lineRule="exact"/>
              <w:ind w:left="0" w:right="0"/>
              <w:jc w:val="center"/>
              <w:rPr>
                <w:rFonts w:hint="eastAsia" w:ascii="仿宋" w:hAnsi="仿宋" w:eastAsia="仿宋" w:cs="宋体"/>
                <w:color w:val="auto"/>
                <w:szCs w:val="21"/>
                <w:highlight w:val="none"/>
              </w:rPr>
            </w:pPr>
          </w:p>
        </w:tc>
        <w:tc>
          <w:tcPr>
            <w:tcW w:w="985" w:type="dxa"/>
            <w:tcBorders>
              <w:top w:val="nil"/>
              <w:left w:val="nil"/>
              <w:bottom w:val="single" w:color="000000" w:sz="4" w:space="0"/>
              <w:right w:val="single" w:color="000000" w:sz="4" w:space="0"/>
            </w:tcBorders>
            <w:noWrap w:val="0"/>
            <w:vAlign w:val="center"/>
          </w:tcPr>
          <w:p w14:paraId="17DE73D1">
            <w:pPr>
              <w:pStyle w:val="114"/>
              <w:keepNext w:val="0"/>
              <w:keepLines w:val="0"/>
              <w:pageBreakBefore w:val="0"/>
              <w:suppressLineNumbers w:val="0"/>
              <w:kinsoku/>
              <w:overflowPunct/>
              <w:topLinePunct/>
              <w:bidi w:val="0"/>
              <w:spacing w:before="0" w:beforeAutospacing="0" w:after="0" w:afterAutospacing="0" w:line="600" w:lineRule="exact"/>
              <w:ind w:left="0" w:right="0"/>
              <w:jc w:val="center"/>
              <w:rPr>
                <w:rFonts w:hint="eastAsia" w:ascii="仿宋" w:hAnsi="仿宋" w:eastAsia="仿宋" w:cs="宋体"/>
                <w:color w:val="auto"/>
                <w:szCs w:val="21"/>
                <w:highlight w:val="none"/>
              </w:rPr>
            </w:pPr>
            <w:r>
              <w:rPr>
                <w:rFonts w:hint="eastAsia" w:ascii="仿宋" w:hAnsi="仿宋" w:eastAsia="仿宋" w:cs="宋体"/>
                <w:color w:val="auto"/>
                <w:szCs w:val="21"/>
                <w:highlight w:val="none"/>
              </w:rPr>
              <w:t>电话</w:t>
            </w:r>
          </w:p>
        </w:tc>
        <w:tc>
          <w:tcPr>
            <w:tcW w:w="1145" w:type="dxa"/>
            <w:tcBorders>
              <w:top w:val="nil"/>
              <w:left w:val="nil"/>
              <w:bottom w:val="single" w:color="000000" w:sz="4" w:space="0"/>
              <w:right w:val="single" w:color="000000" w:sz="4" w:space="0"/>
            </w:tcBorders>
            <w:noWrap w:val="0"/>
            <w:vAlign w:val="center"/>
          </w:tcPr>
          <w:p w14:paraId="6BABD403">
            <w:pPr>
              <w:pStyle w:val="114"/>
              <w:keepNext w:val="0"/>
              <w:keepLines w:val="0"/>
              <w:pageBreakBefore w:val="0"/>
              <w:suppressLineNumbers w:val="0"/>
              <w:kinsoku/>
              <w:overflowPunct/>
              <w:topLinePunct/>
              <w:bidi w:val="0"/>
              <w:spacing w:before="0" w:beforeAutospacing="0" w:after="0" w:afterAutospacing="0" w:line="600" w:lineRule="exact"/>
              <w:ind w:left="0" w:right="0"/>
              <w:jc w:val="center"/>
              <w:rPr>
                <w:rFonts w:hint="eastAsia" w:ascii="仿宋" w:hAnsi="仿宋" w:eastAsia="仿宋" w:cs="宋体"/>
                <w:color w:val="auto"/>
                <w:szCs w:val="21"/>
                <w:highlight w:val="none"/>
              </w:rPr>
            </w:pPr>
          </w:p>
        </w:tc>
      </w:tr>
      <w:tr w14:paraId="635F561D">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14:paraId="3C40D7AF">
            <w:pPr>
              <w:pStyle w:val="114"/>
              <w:keepNext w:val="0"/>
              <w:keepLines w:val="0"/>
              <w:pageBreakBefore w:val="0"/>
              <w:suppressLineNumbers w:val="0"/>
              <w:kinsoku/>
              <w:overflowPunct/>
              <w:topLinePunct/>
              <w:bidi w:val="0"/>
              <w:spacing w:before="0" w:beforeAutospacing="0" w:after="0" w:afterAutospacing="0" w:line="600" w:lineRule="exact"/>
              <w:ind w:left="0" w:right="0"/>
              <w:jc w:val="center"/>
              <w:rPr>
                <w:rFonts w:hint="eastAsia" w:ascii="仿宋" w:hAnsi="仿宋" w:eastAsia="仿宋" w:cs="宋体"/>
                <w:color w:val="auto"/>
                <w:szCs w:val="21"/>
                <w:highlight w:val="none"/>
              </w:rPr>
            </w:pPr>
            <w:r>
              <w:rPr>
                <w:rFonts w:hint="eastAsia" w:ascii="仿宋" w:hAnsi="仿宋" w:eastAsia="仿宋" w:cs="宋体"/>
                <w:color w:val="auto"/>
                <w:szCs w:val="21"/>
                <w:highlight w:val="none"/>
              </w:rPr>
              <w:t>成立时间</w:t>
            </w:r>
          </w:p>
        </w:tc>
        <w:tc>
          <w:tcPr>
            <w:tcW w:w="2120" w:type="dxa"/>
            <w:gridSpan w:val="3"/>
            <w:tcBorders>
              <w:top w:val="nil"/>
              <w:left w:val="nil"/>
              <w:bottom w:val="single" w:color="000000" w:sz="4" w:space="0"/>
              <w:right w:val="single" w:color="000000" w:sz="4" w:space="0"/>
            </w:tcBorders>
            <w:noWrap w:val="0"/>
            <w:vAlign w:val="center"/>
          </w:tcPr>
          <w:p w14:paraId="232C2B91">
            <w:pPr>
              <w:pStyle w:val="114"/>
              <w:keepNext w:val="0"/>
              <w:keepLines w:val="0"/>
              <w:pageBreakBefore w:val="0"/>
              <w:suppressLineNumbers w:val="0"/>
              <w:kinsoku/>
              <w:overflowPunct/>
              <w:topLinePunct/>
              <w:bidi w:val="0"/>
              <w:spacing w:before="0" w:beforeAutospacing="0" w:after="0" w:afterAutospacing="0" w:line="600" w:lineRule="exact"/>
              <w:ind w:left="0" w:right="0"/>
              <w:jc w:val="center"/>
              <w:rPr>
                <w:rFonts w:hint="eastAsia" w:ascii="仿宋" w:hAnsi="仿宋" w:eastAsia="仿宋" w:cs="宋体"/>
                <w:color w:val="auto"/>
                <w:szCs w:val="21"/>
                <w:highlight w:val="none"/>
              </w:rPr>
            </w:pPr>
          </w:p>
        </w:tc>
        <w:tc>
          <w:tcPr>
            <w:tcW w:w="5489" w:type="dxa"/>
            <w:gridSpan w:val="6"/>
            <w:tcBorders>
              <w:top w:val="nil"/>
              <w:left w:val="nil"/>
              <w:bottom w:val="single" w:color="000000" w:sz="4" w:space="0"/>
              <w:right w:val="single" w:color="000000" w:sz="4" w:space="0"/>
            </w:tcBorders>
            <w:noWrap w:val="0"/>
            <w:vAlign w:val="center"/>
          </w:tcPr>
          <w:p w14:paraId="46B3D1A4">
            <w:pPr>
              <w:pStyle w:val="114"/>
              <w:keepNext w:val="0"/>
              <w:keepLines w:val="0"/>
              <w:pageBreakBefore w:val="0"/>
              <w:suppressLineNumbers w:val="0"/>
              <w:kinsoku/>
              <w:overflowPunct/>
              <w:topLinePunct/>
              <w:bidi w:val="0"/>
              <w:spacing w:before="0" w:beforeAutospacing="0" w:after="0" w:afterAutospacing="0" w:line="600" w:lineRule="exact"/>
              <w:ind w:left="0" w:right="0" w:firstLine="105"/>
              <w:jc w:val="center"/>
              <w:rPr>
                <w:rFonts w:hint="eastAsia" w:ascii="仿宋" w:hAnsi="仿宋" w:eastAsia="仿宋" w:cs="宋体"/>
                <w:color w:val="auto"/>
                <w:szCs w:val="21"/>
                <w:highlight w:val="none"/>
              </w:rPr>
            </w:pPr>
            <w:r>
              <w:rPr>
                <w:rFonts w:hint="eastAsia" w:ascii="仿宋" w:hAnsi="仿宋" w:eastAsia="仿宋" w:cs="宋体"/>
                <w:color w:val="auto"/>
                <w:szCs w:val="21"/>
                <w:highlight w:val="none"/>
              </w:rPr>
              <w:t>员工总人数：</w:t>
            </w:r>
          </w:p>
        </w:tc>
      </w:tr>
      <w:tr w14:paraId="5BC8F887">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14:paraId="49054D12">
            <w:pPr>
              <w:pStyle w:val="114"/>
              <w:keepNext w:val="0"/>
              <w:keepLines w:val="0"/>
              <w:pageBreakBefore w:val="0"/>
              <w:suppressLineNumbers w:val="0"/>
              <w:kinsoku/>
              <w:overflowPunct/>
              <w:topLinePunct/>
              <w:bidi w:val="0"/>
              <w:spacing w:before="0" w:beforeAutospacing="0" w:after="0" w:afterAutospacing="0" w:line="600" w:lineRule="exact"/>
              <w:ind w:left="0" w:right="0"/>
              <w:jc w:val="center"/>
              <w:rPr>
                <w:rFonts w:hint="eastAsia" w:ascii="仿宋" w:hAnsi="仿宋" w:eastAsia="仿宋" w:cs="宋体"/>
                <w:color w:val="auto"/>
                <w:szCs w:val="21"/>
                <w:highlight w:val="none"/>
              </w:rPr>
            </w:pPr>
            <w:r>
              <w:rPr>
                <w:rFonts w:hint="eastAsia" w:ascii="仿宋" w:hAnsi="仿宋" w:eastAsia="仿宋" w:cs="宋体"/>
                <w:color w:val="auto"/>
                <w:szCs w:val="21"/>
                <w:highlight w:val="none"/>
              </w:rPr>
              <w:t>企业资质等级</w:t>
            </w:r>
          </w:p>
        </w:tc>
        <w:tc>
          <w:tcPr>
            <w:tcW w:w="2120" w:type="dxa"/>
            <w:gridSpan w:val="3"/>
            <w:tcBorders>
              <w:top w:val="nil"/>
              <w:left w:val="nil"/>
              <w:bottom w:val="single" w:color="000000" w:sz="4" w:space="0"/>
              <w:right w:val="single" w:color="000000" w:sz="4" w:space="0"/>
            </w:tcBorders>
            <w:noWrap w:val="0"/>
            <w:vAlign w:val="center"/>
          </w:tcPr>
          <w:p w14:paraId="6102BE69">
            <w:pPr>
              <w:pStyle w:val="114"/>
              <w:keepNext w:val="0"/>
              <w:keepLines w:val="0"/>
              <w:pageBreakBefore w:val="0"/>
              <w:suppressLineNumbers w:val="0"/>
              <w:kinsoku/>
              <w:overflowPunct/>
              <w:topLinePunct/>
              <w:bidi w:val="0"/>
              <w:spacing w:before="0" w:beforeAutospacing="0" w:after="0" w:afterAutospacing="0" w:line="600" w:lineRule="exact"/>
              <w:ind w:left="0" w:right="0"/>
              <w:jc w:val="center"/>
              <w:rPr>
                <w:rFonts w:hint="eastAsia" w:ascii="仿宋" w:hAnsi="仿宋" w:eastAsia="仿宋" w:cs="宋体"/>
                <w:color w:val="auto"/>
                <w:szCs w:val="21"/>
                <w:highlight w:val="none"/>
              </w:rPr>
            </w:pPr>
          </w:p>
        </w:tc>
        <w:tc>
          <w:tcPr>
            <w:tcW w:w="713" w:type="dxa"/>
            <w:vMerge w:val="restart"/>
            <w:tcBorders>
              <w:top w:val="nil"/>
              <w:left w:val="nil"/>
              <w:bottom w:val="single" w:color="000000" w:sz="4" w:space="0"/>
              <w:right w:val="single" w:color="000000" w:sz="4" w:space="0"/>
            </w:tcBorders>
            <w:noWrap w:val="0"/>
            <w:vAlign w:val="center"/>
          </w:tcPr>
          <w:p w14:paraId="6705F1FD">
            <w:pPr>
              <w:pStyle w:val="114"/>
              <w:keepNext w:val="0"/>
              <w:keepLines w:val="0"/>
              <w:pageBreakBefore w:val="0"/>
              <w:suppressLineNumbers w:val="0"/>
              <w:kinsoku/>
              <w:overflowPunct/>
              <w:topLinePunct/>
              <w:bidi w:val="0"/>
              <w:spacing w:before="0" w:beforeAutospacing="0" w:after="0" w:afterAutospacing="0" w:line="600" w:lineRule="exact"/>
              <w:ind w:left="0" w:right="0"/>
              <w:jc w:val="center"/>
              <w:rPr>
                <w:rFonts w:hint="eastAsia" w:ascii="仿宋" w:hAnsi="仿宋" w:eastAsia="仿宋" w:cs="宋体"/>
                <w:color w:val="auto"/>
                <w:szCs w:val="21"/>
                <w:highlight w:val="none"/>
              </w:rPr>
            </w:pPr>
            <w:r>
              <w:rPr>
                <w:rFonts w:hint="eastAsia" w:ascii="仿宋" w:hAnsi="仿宋" w:eastAsia="仿宋" w:cs="宋体"/>
                <w:color w:val="auto"/>
                <w:szCs w:val="21"/>
                <w:highlight w:val="none"/>
              </w:rPr>
              <w:t>其中</w:t>
            </w:r>
          </w:p>
        </w:tc>
        <w:tc>
          <w:tcPr>
            <w:tcW w:w="2646" w:type="dxa"/>
            <w:gridSpan w:val="3"/>
            <w:tcBorders>
              <w:top w:val="single" w:color="000000" w:sz="4" w:space="0"/>
              <w:left w:val="nil"/>
              <w:bottom w:val="single" w:color="000000" w:sz="4" w:space="0"/>
              <w:right w:val="single" w:color="000000" w:sz="4" w:space="0"/>
            </w:tcBorders>
            <w:noWrap w:val="0"/>
            <w:vAlign w:val="center"/>
          </w:tcPr>
          <w:p w14:paraId="2F36C14C">
            <w:pPr>
              <w:pStyle w:val="114"/>
              <w:keepNext w:val="0"/>
              <w:keepLines w:val="0"/>
              <w:pageBreakBefore w:val="0"/>
              <w:suppressLineNumbers w:val="0"/>
              <w:kinsoku/>
              <w:overflowPunct/>
              <w:topLinePunct/>
              <w:bidi w:val="0"/>
              <w:spacing w:before="0" w:beforeAutospacing="0" w:after="0" w:afterAutospacing="0" w:line="600" w:lineRule="exact"/>
              <w:ind w:left="0" w:right="0"/>
              <w:jc w:val="center"/>
              <w:rPr>
                <w:rFonts w:hint="eastAsia" w:ascii="仿宋" w:hAnsi="仿宋" w:eastAsia="仿宋" w:cs="宋体"/>
                <w:color w:val="auto"/>
                <w:szCs w:val="21"/>
                <w:highlight w:val="none"/>
              </w:rPr>
            </w:pPr>
            <w:r>
              <w:rPr>
                <w:rFonts w:hint="eastAsia" w:ascii="仿宋" w:hAnsi="仿宋" w:eastAsia="仿宋" w:cs="宋体"/>
                <w:color w:val="auto"/>
                <w:szCs w:val="21"/>
                <w:highlight w:val="none"/>
              </w:rPr>
              <w:t>项目负责人</w:t>
            </w:r>
          </w:p>
        </w:tc>
        <w:tc>
          <w:tcPr>
            <w:tcW w:w="2130" w:type="dxa"/>
            <w:gridSpan w:val="2"/>
            <w:tcBorders>
              <w:top w:val="single" w:color="000000" w:sz="4" w:space="0"/>
              <w:left w:val="nil"/>
              <w:bottom w:val="single" w:color="000000" w:sz="4" w:space="0"/>
              <w:right w:val="single" w:color="000000" w:sz="4" w:space="0"/>
            </w:tcBorders>
            <w:noWrap w:val="0"/>
            <w:vAlign w:val="center"/>
          </w:tcPr>
          <w:p w14:paraId="187D0A15">
            <w:pPr>
              <w:pStyle w:val="114"/>
              <w:keepNext w:val="0"/>
              <w:keepLines w:val="0"/>
              <w:pageBreakBefore w:val="0"/>
              <w:suppressLineNumbers w:val="0"/>
              <w:kinsoku/>
              <w:overflowPunct/>
              <w:topLinePunct/>
              <w:bidi w:val="0"/>
              <w:spacing w:before="0" w:beforeAutospacing="0" w:after="0" w:afterAutospacing="0" w:line="600" w:lineRule="exact"/>
              <w:ind w:left="0" w:right="0"/>
              <w:jc w:val="center"/>
              <w:rPr>
                <w:rFonts w:hint="eastAsia" w:ascii="仿宋" w:hAnsi="仿宋" w:eastAsia="仿宋" w:cs="宋体"/>
                <w:color w:val="auto"/>
                <w:szCs w:val="21"/>
                <w:highlight w:val="none"/>
              </w:rPr>
            </w:pPr>
          </w:p>
        </w:tc>
      </w:tr>
      <w:tr w14:paraId="3FCCFD26">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14:paraId="0DF30072">
            <w:pPr>
              <w:pStyle w:val="114"/>
              <w:keepNext w:val="0"/>
              <w:keepLines w:val="0"/>
              <w:pageBreakBefore w:val="0"/>
              <w:suppressLineNumbers w:val="0"/>
              <w:kinsoku/>
              <w:overflowPunct/>
              <w:topLinePunct/>
              <w:bidi w:val="0"/>
              <w:spacing w:before="0" w:beforeAutospacing="0" w:after="0" w:afterAutospacing="0" w:line="600" w:lineRule="exact"/>
              <w:ind w:left="0" w:right="0"/>
              <w:jc w:val="center"/>
              <w:rPr>
                <w:rFonts w:hint="eastAsia" w:ascii="仿宋" w:hAnsi="仿宋" w:eastAsia="仿宋" w:cs="宋体"/>
                <w:color w:val="auto"/>
                <w:szCs w:val="21"/>
                <w:highlight w:val="none"/>
              </w:rPr>
            </w:pPr>
            <w:r>
              <w:rPr>
                <w:rFonts w:hint="eastAsia" w:ascii="仿宋" w:hAnsi="仿宋" w:eastAsia="仿宋" w:cs="宋体"/>
                <w:color w:val="auto"/>
                <w:szCs w:val="21"/>
                <w:highlight w:val="none"/>
              </w:rPr>
              <w:t>营业执照号</w:t>
            </w:r>
          </w:p>
        </w:tc>
        <w:tc>
          <w:tcPr>
            <w:tcW w:w="2120" w:type="dxa"/>
            <w:gridSpan w:val="3"/>
            <w:tcBorders>
              <w:top w:val="nil"/>
              <w:left w:val="nil"/>
              <w:bottom w:val="single" w:color="000000" w:sz="4" w:space="0"/>
              <w:right w:val="single" w:color="000000" w:sz="4" w:space="0"/>
            </w:tcBorders>
            <w:noWrap w:val="0"/>
            <w:vAlign w:val="center"/>
          </w:tcPr>
          <w:p w14:paraId="117B3BB2">
            <w:pPr>
              <w:pStyle w:val="114"/>
              <w:keepNext w:val="0"/>
              <w:keepLines w:val="0"/>
              <w:pageBreakBefore w:val="0"/>
              <w:suppressLineNumbers w:val="0"/>
              <w:kinsoku/>
              <w:overflowPunct/>
              <w:topLinePunct/>
              <w:bidi w:val="0"/>
              <w:spacing w:before="0" w:beforeAutospacing="0" w:after="0" w:afterAutospacing="0" w:line="600" w:lineRule="exact"/>
              <w:ind w:left="0" w:right="0"/>
              <w:jc w:val="center"/>
              <w:rPr>
                <w:rFonts w:hint="eastAsia" w:ascii="仿宋" w:hAnsi="仿宋" w:eastAsia="仿宋" w:cs="宋体"/>
                <w:color w:val="auto"/>
                <w:szCs w:val="21"/>
                <w:highlight w:val="none"/>
              </w:rPr>
            </w:pPr>
          </w:p>
        </w:tc>
        <w:tc>
          <w:tcPr>
            <w:tcW w:w="713" w:type="dxa"/>
            <w:vMerge w:val="continue"/>
            <w:tcBorders>
              <w:top w:val="nil"/>
              <w:left w:val="nil"/>
              <w:bottom w:val="single" w:color="000000" w:sz="4" w:space="0"/>
              <w:right w:val="single" w:color="000000" w:sz="4" w:space="0"/>
            </w:tcBorders>
            <w:noWrap w:val="0"/>
            <w:vAlign w:val="center"/>
          </w:tcPr>
          <w:p w14:paraId="7DFCFC53">
            <w:pPr>
              <w:keepNext w:val="0"/>
              <w:keepLines w:val="0"/>
              <w:pageBreakBefore w:val="0"/>
              <w:suppressLineNumbers w:val="0"/>
              <w:kinsoku/>
              <w:overflowPunct/>
              <w:bidi w:val="0"/>
              <w:spacing w:before="0" w:beforeAutospacing="0" w:after="0" w:afterAutospacing="0" w:line="600" w:lineRule="exact"/>
              <w:ind w:left="0" w:right="0"/>
              <w:rPr>
                <w:rFonts w:hint="eastAsia" w:ascii="仿宋" w:hAnsi="仿宋" w:eastAsia="仿宋" w:cs="宋体"/>
                <w:color w:val="auto"/>
                <w:szCs w:val="21"/>
                <w:highlight w:val="none"/>
              </w:rPr>
            </w:pPr>
          </w:p>
        </w:tc>
        <w:tc>
          <w:tcPr>
            <w:tcW w:w="2646" w:type="dxa"/>
            <w:gridSpan w:val="3"/>
            <w:tcBorders>
              <w:top w:val="nil"/>
              <w:left w:val="nil"/>
              <w:bottom w:val="single" w:color="000000" w:sz="4" w:space="0"/>
              <w:right w:val="single" w:color="000000" w:sz="4" w:space="0"/>
            </w:tcBorders>
            <w:noWrap w:val="0"/>
            <w:vAlign w:val="center"/>
          </w:tcPr>
          <w:p w14:paraId="7BD69054">
            <w:pPr>
              <w:pStyle w:val="114"/>
              <w:keepNext w:val="0"/>
              <w:keepLines w:val="0"/>
              <w:pageBreakBefore w:val="0"/>
              <w:suppressLineNumbers w:val="0"/>
              <w:kinsoku/>
              <w:overflowPunct/>
              <w:topLinePunct/>
              <w:bidi w:val="0"/>
              <w:spacing w:before="0" w:beforeAutospacing="0" w:after="0" w:afterAutospacing="0" w:line="600" w:lineRule="exact"/>
              <w:ind w:left="0" w:right="0"/>
              <w:jc w:val="center"/>
              <w:rPr>
                <w:rFonts w:hint="eastAsia" w:ascii="仿宋" w:hAnsi="仿宋" w:eastAsia="仿宋" w:cs="宋体"/>
                <w:color w:val="auto"/>
                <w:szCs w:val="21"/>
                <w:highlight w:val="none"/>
              </w:rPr>
            </w:pPr>
            <w:r>
              <w:rPr>
                <w:rFonts w:hint="eastAsia" w:ascii="仿宋" w:hAnsi="仿宋" w:eastAsia="仿宋" w:cs="宋体"/>
                <w:color w:val="auto"/>
                <w:szCs w:val="21"/>
                <w:highlight w:val="none"/>
              </w:rPr>
              <w:t>高级职称人员</w:t>
            </w:r>
          </w:p>
        </w:tc>
        <w:tc>
          <w:tcPr>
            <w:tcW w:w="2130" w:type="dxa"/>
            <w:gridSpan w:val="2"/>
            <w:tcBorders>
              <w:top w:val="nil"/>
              <w:left w:val="nil"/>
              <w:bottom w:val="single" w:color="000000" w:sz="4" w:space="0"/>
              <w:right w:val="single" w:color="000000" w:sz="4" w:space="0"/>
            </w:tcBorders>
            <w:noWrap w:val="0"/>
            <w:vAlign w:val="center"/>
          </w:tcPr>
          <w:p w14:paraId="4255F36B">
            <w:pPr>
              <w:pStyle w:val="114"/>
              <w:keepNext w:val="0"/>
              <w:keepLines w:val="0"/>
              <w:pageBreakBefore w:val="0"/>
              <w:suppressLineNumbers w:val="0"/>
              <w:kinsoku/>
              <w:overflowPunct/>
              <w:topLinePunct/>
              <w:bidi w:val="0"/>
              <w:spacing w:before="0" w:beforeAutospacing="0" w:after="0" w:afterAutospacing="0" w:line="600" w:lineRule="exact"/>
              <w:ind w:left="0" w:right="0"/>
              <w:jc w:val="center"/>
              <w:rPr>
                <w:rFonts w:hint="eastAsia" w:ascii="仿宋" w:hAnsi="仿宋" w:eastAsia="仿宋" w:cs="宋体"/>
                <w:color w:val="auto"/>
                <w:szCs w:val="21"/>
                <w:highlight w:val="none"/>
              </w:rPr>
            </w:pPr>
          </w:p>
        </w:tc>
      </w:tr>
      <w:tr w14:paraId="0BFD9A10">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14:paraId="71C24CDA">
            <w:pPr>
              <w:pStyle w:val="114"/>
              <w:keepNext w:val="0"/>
              <w:keepLines w:val="0"/>
              <w:pageBreakBefore w:val="0"/>
              <w:suppressLineNumbers w:val="0"/>
              <w:kinsoku/>
              <w:overflowPunct/>
              <w:topLinePunct/>
              <w:bidi w:val="0"/>
              <w:spacing w:before="0" w:beforeAutospacing="0" w:after="0" w:afterAutospacing="0" w:line="600" w:lineRule="exact"/>
              <w:ind w:left="0" w:right="0"/>
              <w:jc w:val="center"/>
              <w:rPr>
                <w:rFonts w:hint="eastAsia" w:ascii="仿宋" w:hAnsi="仿宋" w:eastAsia="仿宋" w:cs="宋体"/>
                <w:color w:val="auto"/>
                <w:szCs w:val="21"/>
                <w:highlight w:val="none"/>
              </w:rPr>
            </w:pPr>
            <w:r>
              <w:rPr>
                <w:rFonts w:hint="eastAsia" w:ascii="仿宋" w:hAnsi="仿宋" w:eastAsia="仿宋" w:cs="宋体"/>
                <w:color w:val="auto"/>
                <w:szCs w:val="21"/>
                <w:highlight w:val="none"/>
              </w:rPr>
              <w:t>注册资金</w:t>
            </w:r>
          </w:p>
        </w:tc>
        <w:tc>
          <w:tcPr>
            <w:tcW w:w="2120" w:type="dxa"/>
            <w:gridSpan w:val="3"/>
            <w:tcBorders>
              <w:top w:val="nil"/>
              <w:left w:val="nil"/>
              <w:bottom w:val="single" w:color="000000" w:sz="4" w:space="0"/>
              <w:right w:val="single" w:color="000000" w:sz="4" w:space="0"/>
            </w:tcBorders>
            <w:noWrap w:val="0"/>
            <w:vAlign w:val="center"/>
          </w:tcPr>
          <w:p w14:paraId="13672F13">
            <w:pPr>
              <w:pStyle w:val="114"/>
              <w:keepNext w:val="0"/>
              <w:keepLines w:val="0"/>
              <w:pageBreakBefore w:val="0"/>
              <w:suppressLineNumbers w:val="0"/>
              <w:kinsoku/>
              <w:overflowPunct/>
              <w:topLinePunct/>
              <w:bidi w:val="0"/>
              <w:spacing w:before="0" w:beforeAutospacing="0" w:after="0" w:afterAutospacing="0" w:line="600" w:lineRule="exact"/>
              <w:ind w:left="0" w:right="0"/>
              <w:jc w:val="center"/>
              <w:rPr>
                <w:rFonts w:hint="eastAsia" w:ascii="仿宋" w:hAnsi="仿宋" w:eastAsia="仿宋" w:cs="宋体"/>
                <w:color w:val="auto"/>
                <w:szCs w:val="21"/>
                <w:highlight w:val="none"/>
              </w:rPr>
            </w:pPr>
          </w:p>
        </w:tc>
        <w:tc>
          <w:tcPr>
            <w:tcW w:w="713" w:type="dxa"/>
            <w:vMerge w:val="continue"/>
            <w:tcBorders>
              <w:top w:val="nil"/>
              <w:left w:val="nil"/>
              <w:bottom w:val="single" w:color="000000" w:sz="4" w:space="0"/>
              <w:right w:val="single" w:color="000000" w:sz="4" w:space="0"/>
            </w:tcBorders>
            <w:noWrap w:val="0"/>
            <w:vAlign w:val="center"/>
          </w:tcPr>
          <w:p w14:paraId="73443ACD">
            <w:pPr>
              <w:keepNext w:val="0"/>
              <w:keepLines w:val="0"/>
              <w:pageBreakBefore w:val="0"/>
              <w:suppressLineNumbers w:val="0"/>
              <w:kinsoku/>
              <w:overflowPunct/>
              <w:bidi w:val="0"/>
              <w:spacing w:before="0" w:beforeAutospacing="0" w:after="0" w:afterAutospacing="0" w:line="600" w:lineRule="exact"/>
              <w:ind w:left="0" w:right="0"/>
              <w:rPr>
                <w:rFonts w:hint="eastAsia" w:ascii="仿宋" w:hAnsi="仿宋" w:eastAsia="仿宋" w:cs="宋体"/>
                <w:color w:val="auto"/>
                <w:szCs w:val="21"/>
                <w:highlight w:val="none"/>
              </w:rPr>
            </w:pPr>
          </w:p>
        </w:tc>
        <w:tc>
          <w:tcPr>
            <w:tcW w:w="2646" w:type="dxa"/>
            <w:gridSpan w:val="3"/>
            <w:tcBorders>
              <w:top w:val="nil"/>
              <w:left w:val="nil"/>
              <w:bottom w:val="single" w:color="000000" w:sz="4" w:space="0"/>
              <w:right w:val="single" w:color="000000" w:sz="4" w:space="0"/>
            </w:tcBorders>
            <w:noWrap w:val="0"/>
            <w:vAlign w:val="center"/>
          </w:tcPr>
          <w:p w14:paraId="504B3E9E">
            <w:pPr>
              <w:pStyle w:val="114"/>
              <w:keepNext w:val="0"/>
              <w:keepLines w:val="0"/>
              <w:pageBreakBefore w:val="0"/>
              <w:suppressLineNumbers w:val="0"/>
              <w:kinsoku/>
              <w:overflowPunct/>
              <w:topLinePunct/>
              <w:bidi w:val="0"/>
              <w:spacing w:before="0" w:beforeAutospacing="0" w:after="0" w:afterAutospacing="0" w:line="600" w:lineRule="exact"/>
              <w:ind w:left="0" w:right="0"/>
              <w:jc w:val="center"/>
              <w:rPr>
                <w:rFonts w:hint="eastAsia" w:ascii="仿宋" w:hAnsi="仿宋" w:eastAsia="仿宋" w:cs="宋体"/>
                <w:color w:val="auto"/>
                <w:szCs w:val="21"/>
                <w:highlight w:val="none"/>
              </w:rPr>
            </w:pPr>
            <w:r>
              <w:rPr>
                <w:rFonts w:hint="eastAsia" w:ascii="仿宋" w:hAnsi="仿宋" w:eastAsia="仿宋" w:cs="宋体"/>
                <w:color w:val="auto"/>
                <w:szCs w:val="21"/>
                <w:highlight w:val="none"/>
              </w:rPr>
              <w:t>中级职称人员</w:t>
            </w:r>
          </w:p>
        </w:tc>
        <w:tc>
          <w:tcPr>
            <w:tcW w:w="2130" w:type="dxa"/>
            <w:gridSpan w:val="2"/>
            <w:tcBorders>
              <w:top w:val="nil"/>
              <w:left w:val="nil"/>
              <w:bottom w:val="single" w:color="000000" w:sz="4" w:space="0"/>
              <w:right w:val="single" w:color="000000" w:sz="4" w:space="0"/>
            </w:tcBorders>
            <w:noWrap w:val="0"/>
            <w:vAlign w:val="center"/>
          </w:tcPr>
          <w:p w14:paraId="761DB310">
            <w:pPr>
              <w:pStyle w:val="114"/>
              <w:keepNext w:val="0"/>
              <w:keepLines w:val="0"/>
              <w:pageBreakBefore w:val="0"/>
              <w:suppressLineNumbers w:val="0"/>
              <w:kinsoku/>
              <w:overflowPunct/>
              <w:topLinePunct/>
              <w:bidi w:val="0"/>
              <w:spacing w:before="0" w:beforeAutospacing="0" w:after="0" w:afterAutospacing="0" w:line="600" w:lineRule="exact"/>
              <w:ind w:left="0" w:right="0"/>
              <w:jc w:val="center"/>
              <w:rPr>
                <w:rFonts w:hint="eastAsia" w:ascii="仿宋" w:hAnsi="仿宋" w:eastAsia="仿宋" w:cs="宋体"/>
                <w:color w:val="auto"/>
                <w:szCs w:val="21"/>
                <w:highlight w:val="none"/>
              </w:rPr>
            </w:pPr>
          </w:p>
        </w:tc>
      </w:tr>
      <w:tr w14:paraId="1E7411AB">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14:paraId="53FF734F">
            <w:pPr>
              <w:pStyle w:val="114"/>
              <w:keepNext w:val="0"/>
              <w:keepLines w:val="0"/>
              <w:pageBreakBefore w:val="0"/>
              <w:suppressLineNumbers w:val="0"/>
              <w:kinsoku/>
              <w:overflowPunct/>
              <w:topLinePunct/>
              <w:bidi w:val="0"/>
              <w:spacing w:before="0" w:beforeAutospacing="0" w:after="0" w:afterAutospacing="0" w:line="600" w:lineRule="exact"/>
              <w:ind w:left="0" w:right="0"/>
              <w:jc w:val="center"/>
              <w:rPr>
                <w:rFonts w:hint="eastAsia" w:ascii="仿宋" w:hAnsi="仿宋" w:eastAsia="仿宋" w:cs="宋体"/>
                <w:color w:val="auto"/>
                <w:szCs w:val="21"/>
                <w:highlight w:val="none"/>
              </w:rPr>
            </w:pPr>
            <w:r>
              <w:rPr>
                <w:rFonts w:hint="eastAsia" w:ascii="仿宋" w:hAnsi="仿宋" w:eastAsia="仿宋" w:cs="宋体"/>
                <w:color w:val="auto"/>
                <w:szCs w:val="21"/>
                <w:highlight w:val="none"/>
              </w:rPr>
              <w:t>开户银行</w:t>
            </w:r>
          </w:p>
        </w:tc>
        <w:tc>
          <w:tcPr>
            <w:tcW w:w="2120" w:type="dxa"/>
            <w:gridSpan w:val="3"/>
            <w:tcBorders>
              <w:top w:val="nil"/>
              <w:left w:val="nil"/>
              <w:bottom w:val="single" w:color="000000" w:sz="4" w:space="0"/>
              <w:right w:val="single" w:color="000000" w:sz="4" w:space="0"/>
            </w:tcBorders>
            <w:noWrap w:val="0"/>
            <w:vAlign w:val="center"/>
          </w:tcPr>
          <w:p w14:paraId="1070DFBB">
            <w:pPr>
              <w:pStyle w:val="114"/>
              <w:keepNext w:val="0"/>
              <w:keepLines w:val="0"/>
              <w:pageBreakBefore w:val="0"/>
              <w:suppressLineNumbers w:val="0"/>
              <w:kinsoku/>
              <w:overflowPunct/>
              <w:topLinePunct/>
              <w:bidi w:val="0"/>
              <w:spacing w:before="0" w:beforeAutospacing="0" w:after="0" w:afterAutospacing="0" w:line="600" w:lineRule="exact"/>
              <w:ind w:left="0" w:right="0"/>
              <w:jc w:val="center"/>
              <w:rPr>
                <w:rFonts w:hint="eastAsia" w:ascii="仿宋" w:hAnsi="仿宋" w:eastAsia="仿宋" w:cs="宋体"/>
                <w:color w:val="auto"/>
                <w:szCs w:val="21"/>
                <w:highlight w:val="none"/>
              </w:rPr>
            </w:pPr>
          </w:p>
        </w:tc>
        <w:tc>
          <w:tcPr>
            <w:tcW w:w="713" w:type="dxa"/>
            <w:vMerge w:val="continue"/>
            <w:tcBorders>
              <w:top w:val="nil"/>
              <w:left w:val="nil"/>
              <w:bottom w:val="single" w:color="000000" w:sz="4" w:space="0"/>
              <w:right w:val="single" w:color="000000" w:sz="4" w:space="0"/>
            </w:tcBorders>
            <w:noWrap w:val="0"/>
            <w:vAlign w:val="center"/>
          </w:tcPr>
          <w:p w14:paraId="57CFC5C3">
            <w:pPr>
              <w:keepNext w:val="0"/>
              <w:keepLines w:val="0"/>
              <w:pageBreakBefore w:val="0"/>
              <w:suppressLineNumbers w:val="0"/>
              <w:kinsoku/>
              <w:overflowPunct/>
              <w:bidi w:val="0"/>
              <w:spacing w:before="0" w:beforeAutospacing="0" w:after="0" w:afterAutospacing="0" w:line="600" w:lineRule="exact"/>
              <w:ind w:left="0" w:right="0"/>
              <w:rPr>
                <w:rFonts w:hint="eastAsia" w:ascii="仿宋" w:hAnsi="仿宋" w:eastAsia="仿宋" w:cs="宋体"/>
                <w:color w:val="auto"/>
                <w:szCs w:val="21"/>
                <w:highlight w:val="none"/>
              </w:rPr>
            </w:pPr>
          </w:p>
        </w:tc>
        <w:tc>
          <w:tcPr>
            <w:tcW w:w="2646" w:type="dxa"/>
            <w:gridSpan w:val="3"/>
            <w:vMerge w:val="restart"/>
            <w:tcBorders>
              <w:top w:val="nil"/>
              <w:left w:val="nil"/>
              <w:right w:val="single" w:color="000000" w:sz="4" w:space="0"/>
            </w:tcBorders>
            <w:noWrap w:val="0"/>
            <w:vAlign w:val="center"/>
          </w:tcPr>
          <w:p w14:paraId="62B2CDCC">
            <w:pPr>
              <w:pStyle w:val="114"/>
              <w:keepNext w:val="0"/>
              <w:keepLines w:val="0"/>
              <w:pageBreakBefore w:val="0"/>
              <w:suppressLineNumbers w:val="0"/>
              <w:kinsoku/>
              <w:overflowPunct/>
              <w:topLinePunct/>
              <w:bidi w:val="0"/>
              <w:spacing w:before="0" w:beforeAutospacing="0" w:after="0" w:afterAutospacing="0" w:line="600" w:lineRule="exact"/>
              <w:ind w:left="0" w:right="0"/>
              <w:jc w:val="center"/>
              <w:rPr>
                <w:rFonts w:hint="eastAsia" w:ascii="仿宋" w:hAnsi="仿宋" w:eastAsia="仿宋" w:cs="宋体"/>
                <w:color w:val="auto"/>
                <w:szCs w:val="21"/>
                <w:highlight w:val="none"/>
              </w:rPr>
            </w:pPr>
            <w:r>
              <w:rPr>
                <w:rFonts w:hint="eastAsia" w:ascii="仿宋" w:hAnsi="仿宋" w:eastAsia="仿宋" w:cs="宋体"/>
                <w:color w:val="auto"/>
                <w:szCs w:val="21"/>
                <w:highlight w:val="none"/>
              </w:rPr>
              <w:t>初级职称人员</w:t>
            </w:r>
          </w:p>
        </w:tc>
        <w:tc>
          <w:tcPr>
            <w:tcW w:w="2130" w:type="dxa"/>
            <w:gridSpan w:val="2"/>
            <w:vMerge w:val="restart"/>
            <w:tcBorders>
              <w:top w:val="nil"/>
              <w:left w:val="nil"/>
              <w:right w:val="single" w:color="000000" w:sz="4" w:space="0"/>
            </w:tcBorders>
            <w:noWrap w:val="0"/>
            <w:vAlign w:val="center"/>
          </w:tcPr>
          <w:p w14:paraId="22DD8D3C">
            <w:pPr>
              <w:pStyle w:val="114"/>
              <w:keepNext w:val="0"/>
              <w:keepLines w:val="0"/>
              <w:pageBreakBefore w:val="0"/>
              <w:suppressLineNumbers w:val="0"/>
              <w:kinsoku/>
              <w:overflowPunct/>
              <w:topLinePunct/>
              <w:bidi w:val="0"/>
              <w:spacing w:before="0" w:beforeAutospacing="0" w:after="0" w:afterAutospacing="0" w:line="600" w:lineRule="exact"/>
              <w:ind w:left="0" w:right="0"/>
              <w:jc w:val="center"/>
              <w:rPr>
                <w:rFonts w:hint="eastAsia" w:ascii="仿宋" w:hAnsi="仿宋" w:eastAsia="仿宋" w:cs="宋体"/>
                <w:color w:val="auto"/>
                <w:szCs w:val="21"/>
                <w:highlight w:val="none"/>
              </w:rPr>
            </w:pPr>
          </w:p>
        </w:tc>
      </w:tr>
      <w:tr w14:paraId="2847BE87">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14:paraId="30D389D8">
            <w:pPr>
              <w:pStyle w:val="114"/>
              <w:keepNext w:val="0"/>
              <w:keepLines w:val="0"/>
              <w:pageBreakBefore w:val="0"/>
              <w:suppressLineNumbers w:val="0"/>
              <w:kinsoku/>
              <w:overflowPunct/>
              <w:topLinePunct/>
              <w:bidi w:val="0"/>
              <w:spacing w:before="0" w:beforeAutospacing="0" w:after="0" w:afterAutospacing="0" w:line="600" w:lineRule="exact"/>
              <w:ind w:left="0" w:right="0"/>
              <w:jc w:val="center"/>
              <w:rPr>
                <w:rFonts w:hint="eastAsia" w:ascii="仿宋" w:hAnsi="仿宋" w:eastAsia="仿宋" w:cs="宋体"/>
                <w:color w:val="auto"/>
                <w:szCs w:val="21"/>
                <w:highlight w:val="none"/>
              </w:rPr>
            </w:pPr>
            <w:r>
              <w:rPr>
                <w:rFonts w:hint="eastAsia" w:ascii="仿宋" w:hAnsi="仿宋" w:eastAsia="仿宋" w:cs="宋体"/>
                <w:color w:val="auto"/>
                <w:szCs w:val="21"/>
                <w:highlight w:val="none"/>
              </w:rPr>
              <w:t>账号</w:t>
            </w:r>
          </w:p>
        </w:tc>
        <w:tc>
          <w:tcPr>
            <w:tcW w:w="2120" w:type="dxa"/>
            <w:gridSpan w:val="3"/>
            <w:tcBorders>
              <w:top w:val="nil"/>
              <w:left w:val="nil"/>
              <w:bottom w:val="single" w:color="000000" w:sz="4" w:space="0"/>
              <w:right w:val="single" w:color="000000" w:sz="4" w:space="0"/>
            </w:tcBorders>
            <w:noWrap w:val="0"/>
            <w:vAlign w:val="center"/>
          </w:tcPr>
          <w:p w14:paraId="53BAF840">
            <w:pPr>
              <w:pStyle w:val="114"/>
              <w:keepNext w:val="0"/>
              <w:keepLines w:val="0"/>
              <w:pageBreakBefore w:val="0"/>
              <w:suppressLineNumbers w:val="0"/>
              <w:kinsoku/>
              <w:overflowPunct/>
              <w:topLinePunct/>
              <w:bidi w:val="0"/>
              <w:spacing w:before="0" w:beforeAutospacing="0" w:after="0" w:afterAutospacing="0" w:line="600" w:lineRule="exact"/>
              <w:ind w:left="0" w:right="0"/>
              <w:jc w:val="center"/>
              <w:rPr>
                <w:rFonts w:hint="eastAsia" w:ascii="仿宋" w:hAnsi="仿宋" w:eastAsia="仿宋" w:cs="宋体"/>
                <w:color w:val="auto"/>
                <w:szCs w:val="21"/>
                <w:highlight w:val="none"/>
              </w:rPr>
            </w:pPr>
          </w:p>
        </w:tc>
        <w:tc>
          <w:tcPr>
            <w:tcW w:w="713" w:type="dxa"/>
            <w:vMerge w:val="continue"/>
            <w:tcBorders>
              <w:top w:val="nil"/>
              <w:left w:val="nil"/>
              <w:bottom w:val="single" w:color="000000" w:sz="4" w:space="0"/>
              <w:right w:val="single" w:color="000000" w:sz="4" w:space="0"/>
            </w:tcBorders>
            <w:noWrap w:val="0"/>
            <w:vAlign w:val="center"/>
          </w:tcPr>
          <w:p w14:paraId="05364EC7">
            <w:pPr>
              <w:keepNext w:val="0"/>
              <w:keepLines w:val="0"/>
              <w:pageBreakBefore w:val="0"/>
              <w:suppressLineNumbers w:val="0"/>
              <w:kinsoku/>
              <w:overflowPunct/>
              <w:bidi w:val="0"/>
              <w:spacing w:before="0" w:beforeAutospacing="0" w:after="0" w:afterAutospacing="0" w:line="600" w:lineRule="exact"/>
              <w:ind w:left="0" w:right="0"/>
              <w:rPr>
                <w:rFonts w:hint="eastAsia" w:ascii="仿宋" w:hAnsi="仿宋" w:eastAsia="仿宋" w:cs="宋体"/>
                <w:color w:val="auto"/>
                <w:szCs w:val="21"/>
                <w:highlight w:val="none"/>
              </w:rPr>
            </w:pPr>
          </w:p>
        </w:tc>
        <w:tc>
          <w:tcPr>
            <w:tcW w:w="2646" w:type="dxa"/>
            <w:gridSpan w:val="3"/>
            <w:vMerge w:val="continue"/>
            <w:tcBorders>
              <w:left w:val="nil"/>
              <w:bottom w:val="single" w:color="000000" w:sz="4" w:space="0"/>
              <w:right w:val="single" w:color="000000" w:sz="4" w:space="0"/>
            </w:tcBorders>
            <w:noWrap w:val="0"/>
            <w:vAlign w:val="center"/>
          </w:tcPr>
          <w:p w14:paraId="69FEE6F7">
            <w:pPr>
              <w:pStyle w:val="114"/>
              <w:keepNext w:val="0"/>
              <w:keepLines w:val="0"/>
              <w:pageBreakBefore w:val="0"/>
              <w:suppressLineNumbers w:val="0"/>
              <w:kinsoku/>
              <w:overflowPunct/>
              <w:topLinePunct/>
              <w:bidi w:val="0"/>
              <w:spacing w:before="0" w:beforeAutospacing="0" w:after="0" w:afterAutospacing="0" w:line="600" w:lineRule="exact"/>
              <w:ind w:left="0" w:right="0"/>
              <w:jc w:val="center"/>
              <w:rPr>
                <w:rFonts w:hint="eastAsia" w:ascii="仿宋" w:hAnsi="仿宋" w:eastAsia="仿宋" w:cs="宋体"/>
                <w:color w:val="auto"/>
                <w:szCs w:val="21"/>
                <w:highlight w:val="none"/>
              </w:rPr>
            </w:pPr>
          </w:p>
        </w:tc>
        <w:tc>
          <w:tcPr>
            <w:tcW w:w="2130" w:type="dxa"/>
            <w:gridSpan w:val="2"/>
            <w:vMerge w:val="continue"/>
            <w:tcBorders>
              <w:left w:val="nil"/>
              <w:bottom w:val="single" w:color="000000" w:sz="4" w:space="0"/>
              <w:right w:val="single" w:color="000000" w:sz="4" w:space="0"/>
            </w:tcBorders>
            <w:noWrap w:val="0"/>
            <w:vAlign w:val="center"/>
          </w:tcPr>
          <w:p w14:paraId="24AE40A2">
            <w:pPr>
              <w:pStyle w:val="114"/>
              <w:keepNext w:val="0"/>
              <w:keepLines w:val="0"/>
              <w:pageBreakBefore w:val="0"/>
              <w:suppressLineNumbers w:val="0"/>
              <w:kinsoku/>
              <w:overflowPunct/>
              <w:topLinePunct/>
              <w:bidi w:val="0"/>
              <w:spacing w:before="0" w:beforeAutospacing="0" w:after="0" w:afterAutospacing="0" w:line="600" w:lineRule="exact"/>
              <w:ind w:left="0" w:right="0"/>
              <w:jc w:val="center"/>
              <w:rPr>
                <w:rFonts w:hint="eastAsia" w:ascii="仿宋" w:hAnsi="仿宋" w:eastAsia="仿宋" w:cs="宋体"/>
                <w:color w:val="auto"/>
                <w:szCs w:val="21"/>
                <w:highlight w:val="none"/>
              </w:rPr>
            </w:pPr>
          </w:p>
        </w:tc>
      </w:tr>
      <w:tr w14:paraId="1E6672E0">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14:paraId="0EAEF613">
            <w:pPr>
              <w:pStyle w:val="114"/>
              <w:keepNext w:val="0"/>
              <w:keepLines w:val="0"/>
              <w:pageBreakBefore w:val="0"/>
              <w:suppressLineNumbers w:val="0"/>
              <w:kinsoku/>
              <w:overflowPunct/>
              <w:topLinePunct/>
              <w:bidi w:val="0"/>
              <w:spacing w:before="0" w:beforeAutospacing="0" w:after="0" w:afterAutospacing="0" w:line="600" w:lineRule="exact"/>
              <w:ind w:left="0" w:right="0" w:firstLine="210"/>
              <w:jc w:val="center"/>
              <w:rPr>
                <w:rFonts w:hint="eastAsia" w:ascii="仿宋" w:hAnsi="仿宋" w:eastAsia="仿宋" w:cs="宋体"/>
                <w:color w:val="auto"/>
                <w:szCs w:val="21"/>
                <w:highlight w:val="none"/>
              </w:rPr>
            </w:pPr>
            <w:r>
              <w:rPr>
                <w:rFonts w:hint="eastAsia" w:ascii="仿宋" w:hAnsi="仿宋" w:eastAsia="仿宋" w:cs="宋体"/>
                <w:color w:val="auto"/>
                <w:szCs w:val="21"/>
                <w:highlight w:val="none"/>
              </w:rPr>
              <w:t>经营范围</w:t>
            </w:r>
          </w:p>
        </w:tc>
        <w:tc>
          <w:tcPr>
            <w:tcW w:w="7609" w:type="dxa"/>
            <w:gridSpan w:val="9"/>
            <w:tcBorders>
              <w:top w:val="nil"/>
              <w:left w:val="nil"/>
              <w:bottom w:val="single" w:color="000000" w:sz="4" w:space="0"/>
              <w:right w:val="single" w:color="000000" w:sz="4" w:space="0"/>
            </w:tcBorders>
            <w:noWrap w:val="0"/>
            <w:vAlign w:val="center"/>
          </w:tcPr>
          <w:p w14:paraId="4C137033">
            <w:pPr>
              <w:pStyle w:val="114"/>
              <w:keepNext w:val="0"/>
              <w:keepLines w:val="0"/>
              <w:pageBreakBefore w:val="0"/>
              <w:suppressLineNumbers w:val="0"/>
              <w:kinsoku/>
              <w:overflowPunct/>
              <w:topLinePunct/>
              <w:bidi w:val="0"/>
              <w:spacing w:before="0" w:beforeAutospacing="0" w:after="0" w:afterAutospacing="0" w:line="600" w:lineRule="exact"/>
              <w:ind w:left="0" w:right="0"/>
              <w:rPr>
                <w:rFonts w:hint="eastAsia" w:ascii="仿宋" w:hAnsi="仿宋" w:eastAsia="仿宋" w:cs="宋体"/>
                <w:color w:val="auto"/>
                <w:szCs w:val="21"/>
                <w:highlight w:val="none"/>
              </w:rPr>
            </w:pPr>
          </w:p>
        </w:tc>
      </w:tr>
      <w:tr w14:paraId="787DE575">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14:paraId="029E1618">
            <w:pPr>
              <w:pStyle w:val="114"/>
              <w:keepNext w:val="0"/>
              <w:keepLines w:val="0"/>
              <w:pageBreakBefore w:val="0"/>
              <w:suppressLineNumbers w:val="0"/>
              <w:kinsoku/>
              <w:overflowPunct/>
              <w:topLinePunct/>
              <w:bidi w:val="0"/>
              <w:spacing w:before="0" w:beforeAutospacing="0" w:after="0" w:afterAutospacing="0" w:line="600" w:lineRule="exact"/>
              <w:ind w:left="0" w:right="0"/>
              <w:jc w:val="center"/>
              <w:rPr>
                <w:rFonts w:hint="eastAsia" w:ascii="仿宋" w:hAnsi="仿宋" w:eastAsia="仿宋" w:cs="宋体"/>
                <w:color w:val="auto"/>
                <w:szCs w:val="21"/>
                <w:highlight w:val="none"/>
              </w:rPr>
            </w:pPr>
            <w:r>
              <w:rPr>
                <w:rFonts w:hint="eastAsia" w:ascii="仿宋" w:hAnsi="仿宋" w:eastAsia="仿宋" w:cs="宋体"/>
                <w:color w:val="auto"/>
                <w:szCs w:val="21"/>
                <w:highlight w:val="none"/>
              </w:rPr>
              <w:t>备注</w:t>
            </w:r>
          </w:p>
        </w:tc>
        <w:tc>
          <w:tcPr>
            <w:tcW w:w="7609" w:type="dxa"/>
            <w:gridSpan w:val="9"/>
            <w:tcBorders>
              <w:top w:val="nil"/>
              <w:left w:val="nil"/>
              <w:bottom w:val="single" w:color="000000" w:sz="4" w:space="0"/>
              <w:right w:val="single" w:color="000000" w:sz="4" w:space="0"/>
            </w:tcBorders>
            <w:noWrap w:val="0"/>
            <w:vAlign w:val="center"/>
          </w:tcPr>
          <w:p w14:paraId="1F8E3E7E">
            <w:pPr>
              <w:pStyle w:val="114"/>
              <w:keepNext w:val="0"/>
              <w:keepLines w:val="0"/>
              <w:pageBreakBefore w:val="0"/>
              <w:suppressLineNumbers w:val="0"/>
              <w:kinsoku/>
              <w:overflowPunct/>
              <w:topLinePunct/>
              <w:bidi w:val="0"/>
              <w:spacing w:before="0" w:beforeAutospacing="0" w:after="0" w:afterAutospacing="0" w:line="600" w:lineRule="exact"/>
              <w:ind w:left="0" w:right="0"/>
              <w:jc w:val="center"/>
              <w:rPr>
                <w:rFonts w:hint="eastAsia" w:ascii="仿宋" w:hAnsi="仿宋" w:eastAsia="仿宋" w:cs="宋体"/>
                <w:color w:val="auto"/>
                <w:szCs w:val="21"/>
                <w:highlight w:val="none"/>
              </w:rPr>
            </w:pPr>
          </w:p>
        </w:tc>
      </w:tr>
    </w:tbl>
    <w:p w14:paraId="4D8FEF48">
      <w:pPr>
        <w:pageBreakBefore w:val="0"/>
        <w:kinsoku/>
        <w:overflowPunct/>
        <w:bidi w:val="0"/>
        <w:spacing w:line="600" w:lineRule="exact"/>
        <w:ind w:left="482" w:hanging="482" w:hangingChars="200"/>
        <w:rPr>
          <w:rFonts w:hint="eastAsia" w:ascii="仿宋" w:hAnsi="仿宋" w:eastAsia="仿宋" w:cs="宋体"/>
          <w:color w:val="auto"/>
          <w:sz w:val="24"/>
          <w:szCs w:val="24"/>
          <w:highlight w:val="none"/>
        </w:rPr>
      </w:pPr>
      <w:bookmarkStart w:id="674" w:name="_Hlk122532292"/>
      <w:r>
        <w:rPr>
          <w:rFonts w:hint="eastAsia" w:ascii="仿宋" w:hAnsi="仿宋" w:eastAsia="仿宋" w:cs="宋体"/>
          <w:b/>
          <w:color w:val="auto"/>
          <w:sz w:val="24"/>
          <w:szCs w:val="24"/>
          <w:highlight w:val="none"/>
        </w:rPr>
        <w:t>注：提供由工商部门核发的最新营业执照（正副本皆可）。</w:t>
      </w:r>
      <w:bookmarkEnd w:id="674"/>
    </w:p>
    <w:p w14:paraId="154A1FEA">
      <w:pPr>
        <w:pageBreakBefore w:val="0"/>
        <w:kinsoku/>
        <w:overflowPunct/>
        <w:bidi w:val="0"/>
        <w:spacing w:line="600" w:lineRule="exact"/>
        <w:ind w:firstLine="4080" w:firstLineChars="1700"/>
        <w:jc w:val="right"/>
        <w:rPr>
          <w:rFonts w:hint="eastAsia" w:ascii="仿宋" w:hAnsi="仿宋" w:eastAsia="仿宋" w:cs="Cambria Math"/>
          <w:color w:val="auto"/>
          <w:sz w:val="24"/>
          <w:highlight w:val="none"/>
        </w:rPr>
      </w:pPr>
      <w:r>
        <w:rPr>
          <w:rFonts w:hint="eastAsia" w:ascii="仿宋" w:hAnsi="仿宋" w:eastAsia="仿宋" w:cs="Cambria Math"/>
          <w:color w:val="auto"/>
          <w:sz w:val="24"/>
          <w:highlight w:val="none"/>
        </w:rPr>
        <w:t>投标人名称：</w:t>
      </w:r>
      <w:r>
        <w:rPr>
          <w:rFonts w:hint="eastAsia" w:ascii="仿宋" w:hAnsi="仿宋" w:eastAsia="仿宋" w:cs="Cambria Math"/>
          <w:color w:val="auto"/>
          <w:sz w:val="24"/>
          <w:highlight w:val="none"/>
          <w:u w:val="single"/>
        </w:rPr>
        <w:t xml:space="preserve">     </w:t>
      </w:r>
      <w:r>
        <w:rPr>
          <w:rFonts w:hint="eastAsia" w:ascii="仿宋" w:hAnsi="仿宋" w:eastAsia="仿宋" w:cs="Cambria Math"/>
          <w:color w:val="auto"/>
          <w:sz w:val="24"/>
          <w:highlight w:val="none"/>
        </w:rPr>
        <w:t>（盖章）</w:t>
      </w:r>
    </w:p>
    <w:p w14:paraId="6C73AA5B">
      <w:pPr>
        <w:pageBreakBefore w:val="0"/>
        <w:kinsoku/>
        <w:overflowPunct/>
        <w:bidi w:val="0"/>
        <w:spacing w:line="600" w:lineRule="exact"/>
        <w:jc w:val="right"/>
        <w:rPr>
          <w:rFonts w:hint="eastAsia" w:ascii="仿宋" w:hAnsi="仿宋" w:eastAsia="仿宋" w:cs="Cambria Math"/>
          <w:b/>
          <w:bCs/>
          <w:color w:val="auto"/>
          <w:sz w:val="24"/>
          <w:highlight w:val="none"/>
        </w:rPr>
      </w:pPr>
      <w:r>
        <w:rPr>
          <w:rFonts w:hint="eastAsia" w:ascii="仿宋" w:hAnsi="仿宋" w:eastAsia="仿宋" w:cs="Cambria Math"/>
          <w:color w:val="auto"/>
          <w:sz w:val="24"/>
          <w:highlight w:val="none"/>
        </w:rPr>
        <w:t>日期：</w:t>
      </w:r>
      <w:r>
        <w:rPr>
          <w:rFonts w:hint="eastAsia" w:ascii="仿宋" w:hAnsi="仿宋" w:eastAsia="仿宋" w:cs="Cambria Math"/>
          <w:color w:val="auto"/>
          <w:sz w:val="24"/>
          <w:highlight w:val="none"/>
          <w:u w:val="single"/>
        </w:rPr>
        <w:t xml:space="preserve">   </w:t>
      </w:r>
      <w:r>
        <w:rPr>
          <w:rFonts w:hint="eastAsia" w:ascii="仿宋" w:hAnsi="仿宋" w:eastAsia="仿宋" w:cs="Cambria Math"/>
          <w:color w:val="auto"/>
          <w:sz w:val="24"/>
          <w:highlight w:val="none"/>
        </w:rPr>
        <w:t>年</w:t>
      </w:r>
      <w:r>
        <w:rPr>
          <w:rFonts w:hint="eastAsia" w:ascii="仿宋" w:hAnsi="仿宋" w:eastAsia="仿宋" w:cs="Cambria Math"/>
          <w:color w:val="auto"/>
          <w:sz w:val="24"/>
          <w:highlight w:val="none"/>
          <w:u w:val="single"/>
        </w:rPr>
        <w:t xml:space="preserve">   </w:t>
      </w:r>
      <w:r>
        <w:rPr>
          <w:rFonts w:hint="eastAsia" w:ascii="仿宋" w:hAnsi="仿宋" w:eastAsia="仿宋" w:cs="Cambria Math"/>
          <w:color w:val="auto"/>
          <w:sz w:val="24"/>
          <w:highlight w:val="none"/>
        </w:rPr>
        <w:t>月</w:t>
      </w:r>
      <w:r>
        <w:rPr>
          <w:rFonts w:hint="eastAsia" w:ascii="仿宋" w:hAnsi="仿宋" w:eastAsia="仿宋" w:cs="Cambria Math"/>
          <w:color w:val="auto"/>
          <w:sz w:val="24"/>
          <w:highlight w:val="none"/>
          <w:u w:val="single"/>
        </w:rPr>
        <w:t xml:space="preserve">   </w:t>
      </w:r>
      <w:r>
        <w:rPr>
          <w:rFonts w:hint="eastAsia" w:ascii="仿宋" w:hAnsi="仿宋" w:eastAsia="仿宋" w:cs="Cambria Math"/>
          <w:color w:val="auto"/>
          <w:sz w:val="24"/>
          <w:highlight w:val="none"/>
        </w:rPr>
        <w:t>日</w:t>
      </w:r>
    </w:p>
    <w:p w14:paraId="03714575">
      <w:pPr>
        <w:pStyle w:val="6"/>
        <w:pageBreakBefore w:val="0"/>
        <w:numPr>
          <w:ilvl w:val="0"/>
          <w:numId w:val="0"/>
        </w:numPr>
        <w:kinsoku/>
        <w:overflowPunct/>
        <w:bidi w:val="0"/>
        <w:spacing w:line="600" w:lineRule="exact"/>
        <w:rPr>
          <w:rFonts w:hint="eastAsia" w:ascii="仿宋" w:hAnsi="仿宋" w:cs="宋体"/>
          <w:color w:val="auto"/>
          <w:szCs w:val="24"/>
          <w:highlight w:val="none"/>
        </w:rPr>
      </w:pPr>
      <w:r>
        <w:rPr>
          <w:rFonts w:hint="eastAsia" w:ascii="仿宋" w:hAnsi="仿宋" w:cs="宋体"/>
          <w:color w:val="auto"/>
          <w:szCs w:val="24"/>
          <w:highlight w:val="none"/>
        </w:rPr>
        <w:br w:type="page"/>
      </w:r>
      <w:r>
        <w:rPr>
          <w:rFonts w:hint="eastAsia" w:ascii="仿宋" w:hAnsi="仿宋" w:cs="宋体"/>
          <w:color w:val="auto"/>
          <w:szCs w:val="24"/>
          <w:highlight w:val="none"/>
          <w:lang w:val="en-US" w:eastAsia="zh-CN"/>
        </w:rPr>
        <w:t>2、</w:t>
      </w:r>
      <w:r>
        <w:rPr>
          <w:rFonts w:hint="eastAsia" w:ascii="仿宋" w:hAnsi="仿宋" w:cs="宋体"/>
          <w:color w:val="auto"/>
          <w:szCs w:val="24"/>
          <w:highlight w:val="none"/>
        </w:rPr>
        <w:t>财务审计报告或银行资信证明</w:t>
      </w:r>
    </w:p>
    <w:p w14:paraId="6202968B">
      <w:pPr>
        <w:pageBreakBefore w:val="0"/>
        <w:kinsoku/>
        <w:overflowPunct/>
        <w:bidi w:val="0"/>
        <w:spacing w:line="600" w:lineRule="exact"/>
        <w:textAlignment w:val="baseline"/>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提供20</w:t>
      </w:r>
      <w:r>
        <w:rPr>
          <w:rFonts w:hint="eastAsia" w:ascii="仿宋" w:hAnsi="仿宋" w:eastAsia="仿宋" w:cs="宋体"/>
          <w:color w:val="auto"/>
          <w:sz w:val="24"/>
          <w:szCs w:val="24"/>
          <w:highlight w:val="none"/>
          <w:lang w:val="en-US" w:eastAsia="zh-CN"/>
        </w:rPr>
        <w:t>25</w:t>
      </w:r>
      <w:r>
        <w:rPr>
          <w:rFonts w:hint="eastAsia" w:ascii="仿宋" w:hAnsi="仿宋" w:eastAsia="仿宋" w:cs="宋体"/>
          <w:color w:val="auto"/>
          <w:sz w:val="24"/>
          <w:szCs w:val="24"/>
          <w:highlight w:val="none"/>
        </w:rPr>
        <w:t>年度经会计师事务所或审计机构审计的财务审计报告（至少包含会计师事务所或审计机构签章页、资产负债表、现金流量表、损益表/利润表）或开标日前6个月内开具的银行资信证明。</w:t>
      </w:r>
    </w:p>
    <w:p w14:paraId="30D2BF21">
      <w:pPr>
        <w:pageBreakBefore w:val="0"/>
        <w:kinsoku/>
        <w:overflowPunct/>
        <w:bidi w:val="0"/>
        <w:spacing w:line="600" w:lineRule="exact"/>
        <w:rPr>
          <w:rFonts w:ascii="仿宋" w:hAnsi="仿宋" w:cs="宋体"/>
          <w:color w:val="auto"/>
          <w:highlight w:val="none"/>
        </w:rPr>
      </w:pPr>
      <w:r>
        <w:rPr>
          <w:rFonts w:ascii="仿宋" w:hAnsi="仿宋" w:cs="宋体"/>
          <w:color w:val="auto"/>
          <w:highlight w:val="none"/>
        </w:rPr>
        <w:br w:type="page"/>
      </w:r>
    </w:p>
    <w:p w14:paraId="3251E4EA">
      <w:pPr>
        <w:pStyle w:val="6"/>
        <w:pageBreakBefore w:val="0"/>
        <w:numPr>
          <w:ilvl w:val="0"/>
          <w:numId w:val="0"/>
        </w:numPr>
        <w:kinsoku/>
        <w:overflowPunct/>
        <w:bidi w:val="0"/>
        <w:spacing w:line="600" w:lineRule="exact"/>
        <w:rPr>
          <w:rFonts w:hint="eastAsia" w:ascii="仿宋" w:hAnsi="仿宋" w:cs="宋体"/>
          <w:color w:val="auto"/>
          <w:highlight w:val="none"/>
        </w:rPr>
      </w:pPr>
      <w:r>
        <w:rPr>
          <w:rFonts w:hint="eastAsia" w:ascii="仿宋" w:hAnsi="仿宋" w:cs="宋体"/>
          <w:color w:val="auto"/>
          <w:highlight w:val="none"/>
          <w:lang w:val="en-US" w:eastAsia="zh-CN"/>
        </w:rPr>
        <w:t>3、</w:t>
      </w:r>
      <w:r>
        <w:rPr>
          <w:rFonts w:hint="eastAsia" w:ascii="仿宋" w:hAnsi="仿宋" w:cs="宋体"/>
          <w:color w:val="auto"/>
          <w:highlight w:val="none"/>
        </w:rPr>
        <w:t>同类项目实施经验</w:t>
      </w:r>
    </w:p>
    <w:p w14:paraId="6E094F3F">
      <w:pPr>
        <w:pageBreakBefore w:val="0"/>
        <w:kinsoku/>
        <w:overflowPunct/>
        <w:bidi w:val="0"/>
        <w:spacing w:line="600" w:lineRule="exact"/>
        <w:jc w:val="center"/>
        <w:rPr>
          <w:rFonts w:hint="eastAsia" w:ascii="仿宋" w:hAnsi="仿宋" w:eastAsia="仿宋" w:cs="宋体"/>
          <w:b/>
          <w:color w:val="auto"/>
          <w:sz w:val="24"/>
          <w:szCs w:val="24"/>
          <w:highlight w:val="none"/>
        </w:rPr>
      </w:pPr>
      <w:r>
        <w:rPr>
          <w:rFonts w:hint="eastAsia" w:ascii="仿宋" w:hAnsi="仿宋" w:eastAsia="仿宋" w:cs="宋体"/>
          <w:b/>
          <w:color w:val="auto"/>
          <w:sz w:val="24"/>
          <w:szCs w:val="24"/>
          <w:highlight w:val="none"/>
        </w:rPr>
        <w:t>同类业绩汇总表</w:t>
      </w:r>
    </w:p>
    <w:tbl>
      <w:tblPr>
        <w:tblStyle w:val="3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0"/>
        <w:gridCol w:w="827"/>
        <w:gridCol w:w="1068"/>
        <w:gridCol w:w="1192"/>
        <w:gridCol w:w="1160"/>
        <w:gridCol w:w="1275"/>
        <w:gridCol w:w="1134"/>
        <w:gridCol w:w="1418"/>
        <w:gridCol w:w="954"/>
      </w:tblGrid>
      <w:tr w14:paraId="50CDB3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820" w:type="dxa"/>
            <w:noWrap w:val="0"/>
            <w:vAlign w:val="center"/>
          </w:tcPr>
          <w:p w14:paraId="748D51B5">
            <w:pPr>
              <w:keepNext w:val="0"/>
              <w:keepLines w:val="0"/>
              <w:pageBreakBefore w:val="0"/>
              <w:suppressLineNumbers w:val="0"/>
              <w:kinsoku/>
              <w:overflowPunct/>
              <w:bidi w:val="0"/>
              <w:spacing w:before="0" w:beforeAutospacing="0" w:after="0" w:afterAutospacing="0" w:line="600" w:lineRule="exact"/>
              <w:ind w:left="0" w:right="0"/>
              <w:jc w:val="center"/>
              <w:rPr>
                <w:rFonts w:hint="eastAsia" w:ascii="仿宋" w:hAnsi="仿宋" w:eastAsia="仿宋" w:cs="宋体"/>
                <w:b/>
                <w:color w:val="auto"/>
                <w:szCs w:val="21"/>
                <w:highlight w:val="none"/>
              </w:rPr>
            </w:pPr>
            <w:r>
              <w:rPr>
                <w:rFonts w:hint="eastAsia" w:ascii="仿宋" w:hAnsi="仿宋" w:eastAsia="仿宋" w:cs="宋体"/>
                <w:b/>
                <w:color w:val="auto"/>
                <w:szCs w:val="21"/>
                <w:highlight w:val="none"/>
              </w:rPr>
              <w:t>序号</w:t>
            </w:r>
          </w:p>
        </w:tc>
        <w:tc>
          <w:tcPr>
            <w:tcW w:w="827" w:type="dxa"/>
            <w:noWrap w:val="0"/>
            <w:vAlign w:val="center"/>
          </w:tcPr>
          <w:p w14:paraId="25128201">
            <w:pPr>
              <w:keepNext w:val="0"/>
              <w:keepLines w:val="0"/>
              <w:pageBreakBefore w:val="0"/>
              <w:suppressLineNumbers w:val="0"/>
              <w:kinsoku/>
              <w:overflowPunct/>
              <w:bidi w:val="0"/>
              <w:spacing w:before="0" w:beforeAutospacing="0" w:after="0" w:afterAutospacing="0" w:line="600" w:lineRule="exact"/>
              <w:ind w:left="0" w:right="0"/>
              <w:jc w:val="center"/>
              <w:rPr>
                <w:rFonts w:hint="eastAsia" w:ascii="仿宋" w:hAnsi="仿宋" w:eastAsia="仿宋" w:cs="宋体"/>
                <w:b/>
                <w:color w:val="auto"/>
                <w:szCs w:val="21"/>
                <w:highlight w:val="none"/>
              </w:rPr>
            </w:pPr>
            <w:r>
              <w:rPr>
                <w:rFonts w:hint="eastAsia" w:ascii="仿宋" w:hAnsi="仿宋" w:eastAsia="仿宋" w:cs="宋体"/>
                <w:b/>
                <w:color w:val="auto"/>
                <w:szCs w:val="21"/>
                <w:highlight w:val="none"/>
              </w:rPr>
              <w:t>合同名称</w:t>
            </w:r>
          </w:p>
        </w:tc>
        <w:tc>
          <w:tcPr>
            <w:tcW w:w="1068" w:type="dxa"/>
            <w:noWrap w:val="0"/>
            <w:vAlign w:val="center"/>
          </w:tcPr>
          <w:p w14:paraId="11F3A093">
            <w:pPr>
              <w:keepNext w:val="0"/>
              <w:keepLines w:val="0"/>
              <w:pageBreakBefore w:val="0"/>
              <w:suppressLineNumbers w:val="0"/>
              <w:kinsoku/>
              <w:overflowPunct/>
              <w:bidi w:val="0"/>
              <w:spacing w:before="0" w:beforeAutospacing="0" w:after="0" w:afterAutospacing="0" w:line="600" w:lineRule="exact"/>
              <w:ind w:left="0" w:right="0"/>
              <w:jc w:val="center"/>
              <w:rPr>
                <w:rFonts w:hint="eastAsia" w:ascii="仿宋" w:hAnsi="仿宋" w:eastAsia="仿宋" w:cs="宋体"/>
                <w:b/>
                <w:color w:val="auto"/>
                <w:szCs w:val="21"/>
                <w:highlight w:val="none"/>
              </w:rPr>
            </w:pPr>
            <w:r>
              <w:rPr>
                <w:rFonts w:hint="eastAsia" w:ascii="仿宋" w:hAnsi="仿宋" w:eastAsia="仿宋" w:cs="宋体"/>
                <w:b/>
                <w:color w:val="auto"/>
                <w:szCs w:val="21"/>
                <w:highlight w:val="none"/>
              </w:rPr>
              <w:t>合同编号</w:t>
            </w:r>
          </w:p>
        </w:tc>
        <w:tc>
          <w:tcPr>
            <w:tcW w:w="1192" w:type="dxa"/>
            <w:noWrap w:val="0"/>
            <w:vAlign w:val="center"/>
          </w:tcPr>
          <w:p w14:paraId="4D22BFF8">
            <w:pPr>
              <w:keepNext w:val="0"/>
              <w:keepLines w:val="0"/>
              <w:pageBreakBefore w:val="0"/>
              <w:suppressLineNumbers w:val="0"/>
              <w:kinsoku/>
              <w:overflowPunct/>
              <w:bidi w:val="0"/>
              <w:spacing w:before="0" w:beforeAutospacing="0" w:after="0" w:afterAutospacing="0" w:line="600" w:lineRule="exact"/>
              <w:ind w:left="0" w:right="0"/>
              <w:jc w:val="center"/>
              <w:rPr>
                <w:rFonts w:hint="eastAsia" w:ascii="仿宋" w:hAnsi="仿宋" w:eastAsia="仿宋" w:cs="宋体"/>
                <w:b/>
                <w:color w:val="auto"/>
                <w:szCs w:val="21"/>
                <w:highlight w:val="none"/>
              </w:rPr>
            </w:pPr>
            <w:r>
              <w:rPr>
                <w:rFonts w:hint="eastAsia" w:ascii="仿宋" w:hAnsi="仿宋" w:eastAsia="仿宋" w:cs="宋体"/>
                <w:b/>
                <w:color w:val="auto"/>
                <w:szCs w:val="21"/>
                <w:highlight w:val="none"/>
              </w:rPr>
              <w:t>签订时间</w:t>
            </w:r>
          </w:p>
        </w:tc>
        <w:tc>
          <w:tcPr>
            <w:tcW w:w="1160" w:type="dxa"/>
            <w:noWrap w:val="0"/>
            <w:vAlign w:val="center"/>
          </w:tcPr>
          <w:p w14:paraId="75D6D808">
            <w:pPr>
              <w:keepNext w:val="0"/>
              <w:keepLines w:val="0"/>
              <w:pageBreakBefore w:val="0"/>
              <w:suppressLineNumbers w:val="0"/>
              <w:kinsoku/>
              <w:overflowPunct/>
              <w:bidi w:val="0"/>
              <w:spacing w:before="0" w:beforeAutospacing="0" w:after="0" w:afterAutospacing="0" w:line="600" w:lineRule="exact"/>
              <w:ind w:left="0" w:right="0"/>
              <w:jc w:val="center"/>
              <w:rPr>
                <w:rFonts w:hint="eastAsia" w:ascii="仿宋" w:hAnsi="仿宋" w:eastAsia="仿宋" w:cs="宋体"/>
                <w:b/>
                <w:color w:val="auto"/>
                <w:szCs w:val="21"/>
                <w:highlight w:val="none"/>
              </w:rPr>
            </w:pPr>
            <w:r>
              <w:rPr>
                <w:rFonts w:hint="eastAsia" w:ascii="仿宋" w:hAnsi="仿宋" w:eastAsia="仿宋" w:cs="宋体"/>
                <w:b/>
                <w:color w:val="auto"/>
                <w:szCs w:val="21"/>
                <w:highlight w:val="none"/>
              </w:rPr>
              <w:t>采购内容</w:t>
            </w:r>
          </w:p>
        </w:tc>
        <w:tc>
          <w:tcPr>
            <w:tcW w:w="1275" w:type="dxa"/>
            <w:noWrap w:val="0"/>
            <w:vAlign w:val="center"/>
          </w:tcPr>
          <w:p w14:paraId="5FE85542">
            <w:pPr>
              <w:keepNext w:val="0"/>
              <w:keepLines w:val="0"/>
              <w:pageBreakBefore w:val="0"/>
              <w:suppressLineNumbers w:val="0"/>
              <w:kinsoku/>
              <w:overflowPunct/>
              <w:bidi w:val="0"/>
              <w:spacing w:before="0" w:beforeAutospacing="0" w:after="0" w:afterAutospacing="0" w:line="600" w:lineRule="exact"/>
              <w:ind w:left="0" w:right="0"/>
              <w:jc w:val="center"/>
              <w:rPr>
                <w:rFonts w:hint="eastAsia" w:ascii="仿宋" w:hAnsi="仿宋" w:eastAsia="仿宋" w:cs="宋体"/>
                <w:b/>
                <w:color w:val="auto"/>
                <w:szCs w:val="21"/>
                <w:highlight w:val="none"/>
              </w:rPr>
            </w:pPr>
            <w:r>
              <w:rPr>
                <w:rFonts w:hint="eastAsia" w:ascii="仿宋" w:hAnsi="仿宋" w:eastAsia="仿宋" w:cs="宋体"/>
                <w:b/>
                <w:color w:val="auto"/>
                <w:szCs w:val="21"/>
                <w:highlight w:val="none"/>
              </w:rPr>
              <w:t>合同金额（万元）</w:t>
            </w:r>
          </w:p>
        </w:tc>
        <w:tc>
          <w:tcPr>
            <w:tcW w:w="1134" w:type="dxa"/>
            <w:noWrap w:val="0"/>
            <w:vAlign w:val="center"/>
          </w:tcPr>
          <w:p w14:paraId="6E6C4295">
            <w:pPr>
              <w:keepNext w:val="0"/>
              <w:keepLines w:val="0"/>
              <w:pageBreakBefore w:val="0"/>
              <w:suppressLineNumbers w:val="0"/>
              <w:kinsoku/>
              <w:overflowPunct/>
              <w:bidi w:val="0"/>
              <w:spacing w:before="0" w:beforeAutospacing="0" w:after="0" w:afterAutospacing="0" w:line="600" w:lineRule="exact"/>
              <w:ind w:left="0" w:right="0"/>
              <w:jc w:val="center"/>
              <w:rPr>
                <w:rFonts w:hint="eastAsia" w:ascii="仿宋" w:hAnsi="仿宋" w:eastAsia="仿宋" w:cs="宋体"/>
                <w:b/>
                <w:color w:val="auto"/>
                <w:szCs w:val="21"/>
                <w:highlight w:val="none"/>
              </w:rPr>
            </w:pPr>
            <w:r>
              <w:rPr>
                <w:rFonts w:hint="eastAsia" w:ascii="仿宋" w:hAnsi="仿宋" w:eastAsia="仿宋" w:cs="宋体"/>
                <w:b/>
                <w:color w:val="auto"/>
                <w:szCs w:val="21"/>
                <w:highlight w:val="none"/>
              </w:rPr>
              <w:t>合同甲方</w:t>
            </w:r>
          </w:p>
        </w:tc>
        <w:tc>
          <w:tcPr>
            <w:tcW w:w="1418" w:type="dxa"/>
            <w:noWrap w:val="0"/>
            <w:vAlign w:val="center"/>
          </w:tcPr>
          <w:p w14:paraId="6AA05806">
            <w:pPr>
              <w:keepNext w:val="0"/>
              <w:keepLines w:val="0"/>
              <w:pageBreakBefore w:val="0"/>
              <w:suppressLineNumbers w:val="0"/>
              <w:kinsoku/>
              <w:overflowPunct/>
              <w:bidi w:val="0"/>
              <w:spacing w:before="0" w:beforeAutospacing="0" w:after="0" w:afterAutospacing="0" w:line="600" w:lineRule="exact"/>
              <w:ind w:left="0" w:right="0"/>
              <w:jc w:val="center"/>
              <w:rPr>
                <w:rFonts w:hint="eastAsia" w:ascii="仿宋" w:hAnsi="仿宋" w:eastAsia="仿宋" w:cs="宋体"/>
                <w:b/>
                <w:color w:val="auto"/>
                <w:szCs w:val="21"/>
                <w:highlight w:val="none"/>
              </w:rPr>
            </w:pPr>
            <w:r>
              <w:rPr>
                <w:rFonts w:hint="eastAsia" w:ascii="仿宋" w:hAnsi="仿宋" w:eastAsia="仿宋" w:cs="宋体"/>
                <w:b/>
                <w:color w:val="auto"/>
                <w:szCs w:val="21"/>
                <w:highlight w:val="none"/>
              </w:rPr>
              <w:t>甲方联系人及电话</w:t>
            </w:r>
          </w:p>
        </w:tc>
        <w:tc>
          <w:tcPr>
            <w:tcW w:w="954" w:type="dxa"/>
            <w:noWrap w:val="0"/>
            <w:vAlign w:val="center"/>
          </w:tcPr>
          <w:p w14:paraId="4BEF7E0F">
            <w:pPr>
              <w:keepNext w:val="0"/>
              <w:keepLines w:val="0"/>
              <w:pageBreakBefore w:val="0"/>
              <w:suppressLineNumbers w:val="0"/>
              <w:kinsoku/>
              <w:overflowPunct/>
              <w:bidi w:val="0"/>
              <w:spacing w:before="0" w:beforeAutospacing="0" w:after="0" w:afterAutospacing="0" w:line="600" w:lineRule="exact"/>
              <w:ind w:left="0" w:right="0"/>
              <w:jc w:val="center"/>
              <w:rPr>
                <w:rFonts w:hint="eastAsia" w:ascii="仿宋" w:hAnsi="仿宋" w:eastAsia="仿宋" w:cs="宋体"/>
                <w:b/>
                <w:color w:val="auto"/>
                <w:szCs w:val="21"/>
                <w:highlight w:val="none"/>
              </w:rPr>
            </w:pPr>
            <w:r>
              <w:rPr>
                <w:rFonts w:hint="eastAsia" w:ascii="仿宋" w:hAnsi="仿宋" w:eastAsia="仿宋" w:cs="宋体"/>
                <w:b/>
                <w:color w:val="auto"/>
                <w:szCs w:val="21"/>
                <w:highlight w:val="none"/>
              </w:rPr>
              <w:t>备注</w:t>
            </w:r>
          </w:p>
        </w:tc>
      </w:tr>
      <w:tr w14:paraId="08B78E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20" w:type="dxa"/>
            <w:noWrap w:val="0"/>
            <w:vAlign w:val="center"/>
          </w:tcPr>
          <w:p w14:paraId="5FD986DA">
            <w:pPr>
              <w:keepNext w:val="0"/>
              <w:keepLines w:val="0"/>
              <w:pageBreakBefore w:val="0"/>
              <w:suppressLineNumbers w:val="0"/>
              <w:kinsoku/>
              <w:overflowPunct/>
              <w:bidi w:val="0"/>
              <w:spacing w:before="0" w:beforeAutospacing="0" w:after="0" w:afterAutospacing="0" w:line="600" w:lineRule="exact"/>
              <w:ind w:left="0" w:right="0"/>
              <w:jc w:val="center"/>
              <w:rPr>
                <w:rFonts w:hint="eastAsia" w:ascii="仿宋" w:hAnsi="仿宋" w:eastAsia="仿宋" w:cs="宋体"/>
                <w:color w:val="auto"/>
                <w:szCs w:val="21"/>
                <w:highlight w:val="none"/>
              </w:rPr>
            </w:pPr>
          </w:p>
        </w:tc>
        <w:tc>
          <w:tcPr>
            <w:tcW w:w="827" w:type="dxa"/>
            <w:noWrap w:val="0"/>
            <w:vAlign w:val="center"/>
          </w:tcPr>
          <w:p w14:paraId="744163EC">
            <w:pPr>
              <w:keepNext w:val="0"/>
              <w:keepLines w:val="0"/>
              <w:pageBreakBefore w:val="0"/>
              <w:suppressLineNumbers w:val="0"/>
              <w:kinsoku/>
              <w:overflowPunct/>
              <w:bidi w:val="0"/>
              <w:spacing w:before="0" w:beforeAutospacing="0" w:after="0" w:afterAutospacing="0" w:line="600" w:lineRule="exact"/>
              <w:ind w:left="0" w:right="0"/>
              <w:jc w:val="center"/>
              <w:rPr>
                <w:rFonts w:hint="eastAsia" w:ascii="仿宋" w:hAnsi="仿宋" w:eastAsia="仿宋" w:cs="宋体"/>
                <w:color w:val="auto"/>
                <w:szCs w:val="21"/>
                <w:highlight w:val="none"/>
              </w:rPr>
            </w:pPr>
          </w:p>
        </w:tc>
        <w:tc>
          <w:tcPr>
            <w:tcW w:w="1068" w:type="dxa"/>
            <w:noWrap w:val="0"/>
            <w:vAlign w:val="center"/>
          </w:tcPr>
          <w:p w14:paraId="36614D52">
            <w:pPr>
              <w:keepNext w:val="0"/>
              <w:keepLines w:val="0"/>
              <w:pageBreakBefore w:val="0"/>
              <w:suppressLineNumbers w:val="0"/>
              <w:kinsoku/>
              <w:overflowPunct/>
              <w:bidi w:val="0"/>
              <w:spacing w:before="0" w:beforeAutospacing="0" w:after="0" w:afterAutospacing="0" w:line="600" w:lineRule="exact"/>
              <w:ind w:left="0" w:right="0"/>
              <w:jc w:val="center"/>
              <w:rPr>
                <w:rFonts w:hint="eastAsia" w:ascii="仿宋" w:hAnsi="仿宋" w:eastAsia="仿宋" w:cs="宋体"/>
                <w:color w:val="auto"/>
                <w:szCs w:val="21"/>
                <w:highlight w:val="none"/>
              </w:rPr>
            </w:pPr>
          </w:p>
        </w:tc>
        <w:tc>
          <w:tcPr>
            <w:tcW w:w="1192" w:type="dxa"/>
            <w:noWrap w:val="0"/>
            <w:vAlign w:val="center"/>
          </w:tcPr>
          <w:p w14:paraId="7C014BB6">
            <w:pPr>
              <w:keepNext w:val="0"/>
              <w:keepLines w:val="0"/>
              <w:pageBreakBefore w:val="0"/>
              <w:suppressLineNumbers w:val="0"/>
              <w:kinsoku/>
              <w:overflowPunct/>
              <w:bidi w:val="0"/>
              <w:spacing w:before="0" w:beforeAutospacing="0" w:after="0" w:afterAutospacing="0" w:line="600" w:lineRule="exact"/>
              <w:ind w:left="0" w:right="0"/>
              <w:jc w:val="center"/>
              <w:rPr>
                <w:rFonts w:hint="eastAsia" w:ascii="仿宋" w:hAnsi="仿宋" w:eastAsia="仿宋" w:cs="宋体"/>
                <w:color w:val="auto"/>
                <w:szCs w:val="21"/>
                <w:highlight w:val="none"/>
              </w:rPr>
            </w:pPr>
          </w:p>
        </w:tc>
        <w:tc>
          <w:tcPr>
            <w:tcW w:w="1160" w:type="dxa"/>
            <w:noWrap w:val="0"/>
            <w:vAlign w:val="center"/>
          </w:tcPr>
          <w:p w14:paraId="34C3286E">
            <w:pPr>
              <w:keepNext w:val="0"/>
              <w:keepLines w:val="0"/>
              <w:pageBreakBefore w:val="0"/>
              <w:suppressLineNumbers w:val="0"/>
              <w:kinsoku/>
              <w:overflowPunct/>
              <w:bidi w:val="0"/>
              <w:spacing w:before="0" w:beforeAutospacing="0" w:after="0" w:afterAutospacing="0" w:line="600" w:lineRule="exact"/>
              <w:ind w:left="0" w:right="0"/>
              <w:jc w:val="center"/>
              <w:rPr>
                <w:rFonts w:hint="eastAsia" w:ascii="仿宋" w:hAnsi="仿宋" w:eastAsia="仿宋" w:cs="宋体"/>
                <w:color w:val="auto"/>
                <w:szCs w:val="21"/>
                <w:highlight w:val="none"/>
              </w:rPr>
            </w:pPr>
          </w:p>
        </w:tc>
        <w:tc>
          <w:tcPr>
            <w:tcW w:w="1275" w:type="dxa"/>
            <w:noWrap w:val="0"/>
            <w:vAlign w:val="center"/>
          </w:tcPr>
          <w:p w14:paraId="0BF70CBA">
            <w:pPr>
              <w:keepNext w:val="0"/>
              <w:keepLines w:val="0"/>
              <w:pageBreakBefore w:val="0"/>
              <w:suppressLineNumbers w:val="0"/>
              <w:kinsoku/>
              <w:overflowPunct/>
              <w:bidi w:val="0"/>
              <w:spacing w:before="0" w:beforeAutospacing="0" w:after="0" w:afterAutospacing="0" w:line="600" w:lineRule="exact"/>
              <w:ind w:left="0" w:right="0"/>
              <w:jc w:val="center"/>
              <w:rPr>
                <w:rFonts w:hint="eastAsia" w:ascii="仿宋" w:hAnsi="仿宋" w:eastAsia="仿宋" w:cs="宋体"/>
                <w:color w:val="auto"/>
                <w:szCs w:val="21"/>
                <w:highlight w:val="none"/>
              </w:rPr>
            </w:pPr>
          </w:p>
        </w:tc>
        <w:tc>
          <w:tcPr>
            <w:tcW w:w="1134" w:type="dxa"/>
            <w:noWrap w:val="0"/>
            <w:vAlign w:val="center"/>
          </w:tcPr>
          <w:p w14:paraId="58AEEB40">
            <w:pPr>
              <w:keepNext w:val="0"/>
              <w:keepLines w:val="0"/>
              <w:pageBreakBefore w:val="0"/>
              <w:suppressLineNumbers w:val="0"/>
              <w:kinsoku/>
              <w:overflowPunct/>
              <w:bidi w:val="0"/>
              <w:spacing w:before="0" w:beforeAutospacing="0" w:after="0" w:afterAutospacing="0" w:line="600" w:lineRule="exact"/>
              <w:ind w:left="0" w:right="0"/>
              <w:jc w:val="center"/>
              <w:rPr>
                <w:rFonts w:hint="eastAsia" w:ascii="仿宋" w:hAnsi="仿宋" w:eastAsia="仿宋" w:cs="宋体"/>
                <w:color w:val="auto"/>
                <w:szCs w:val="21"/>
                <w:highlight w:val="none"/>
              </w:rPr>
            </w:pPr>
          </w:p>
        </w:tc>
        <w:tc>
          <w:tcPr>
            <w:tcW w:w="1418" w:type="dxa"/>
            <w:noWrap w:val="0"/>
            <w:vAlign w:val="center"/>
          </w:tcPr>
          <w:p w14:paraId="526EC4D5">
            <w:pPr>
              <w:keepNext w:val="0"/>
              <w:keepLines w:val="0"/>
              <w:pageBreakBefore w:val="0"/>
              <w:suppressLineNumbers w:val="0"/>
              <w:kinsoku/>
              <w:overflowPunct/>
              <w:bidi w:val="0"/>
              <w:spacing w:before="0" w:beforeAutospacing="0" w:after="0" w:afterAutospacing="0" w:line="600" w:lineRule="exact"/>
              <w:ind w:left="0" w:right="0"/>
              <w:jc w:val="center"/>
              <w:rPr>
                <w:rFonts w:hint="eastAsia" w:ascii="仿宋" w:hAnsi="仿宋" w:eastAsia="仿宋" w:cs="宋体"/>
                <w:color w:val="auto"/>
                <w:szCs w:val="21"/>
                <w:highlight w:val="none"/>
              </w:rPr>
            </w:pPr>
          </w:p>
        </w:tc>
        <w:tc>
          <w:tcPr>
            <w:tcW w:w="954" w:type="dxa"/>
            <w:noWrap w:val="0"/>
            <w:vAlign w:val="center"/>
          </w:tcPr>
          <w:p w14:paraId="516CCFBD">
            <w:pPr>
              <w:keepNext w:val="0"/>
              <w:keepLines w:val="0"/>
              <w:pageBreakBefore w:val="0"/>
              <w:suppressLineNumbers w:val="0"/>
              <w:kinsoku/>
              <w:overflowPunct/>
              <w:bidi w:val="0"/>
              <w:spacing w:before="0" w:beforeAutospacing="0" w:after="0" w:afterAutospacing="0" w:line="600" w:lineRule="exact"/>
              <w:ind w:left="0" w:right="0"/>
              <w:jc w:val="center"/>
              <w:rPr>
                <w:rFonts w:hint="eastAsia" w:ascii="仿宋" w:hAnsi="仿宋" w:eastAsia="仿宋" w:cs="宋体"/>
                <w:color w:val="auto"/>
                <w:szCs w:val="21"/>
                <w:highlight w:val="none"/>
              </w:rPr>
            </w:pPr>
          </w:p>
        </w:tc>
      </w:tr>
      <w:tr w14:paraId="793E0C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820" w:type="dxa"/>
            <w:noWrap w:val="0"/>
            <w:vAlign w:val="center"/>
          </w:tcPr>
          <w:p w14:paraId="582E0A8B">
            <w:pPr>
              <w:keepNext w:val="0"/>
              <w:keepLines w:val="0"/>
              <w:pageBreakBefore w:val="0"/>
              <w:suppressLineNumbers w:val="0"/>
              <w:kinsoku/>
              <w:overflowPunct/>
              <w:bidi w:val="0"/>
              <w:spacing w:before="0" w:beforeAutospacing="0" w:after="0" w:afterAutospacing="0" w:line="600" w:lineRule="exact"/>
              <w:ind w:left="0" w:right="0"/>
              <w:jc w:val="center"/>
              <w:rPr>
                <w:rFonts w:hint="eastAsia" w:ascii="仿宋" w:hAnsi="仿宋" w:eastAsia="仿宋" w:cs="宋体"/>
                <w:color w:val="auto"/>
                <w:szCs w:val="21"/>
                <w:highlight w:val="none"/>
              </w:rPr>
            </w:pPr>
          </w:p>
          <w:p w14:paraId="54BC0CB3">
            <w:pPr>
              <w:keepNext w:val="0"/>
              <w:keepLines w:val="0"/>
              <w:pageBreakBefore w:val="0"/>
              <w:suppressLineNumbers w:val="0"/>
              <w:kinsoku/>
              <w:overflowPunct/>
              <w:bidi w:val="0"/>
              <w:spacing w:before="0" w:beforeAutospacing="0" w:after="0" w:afterAutospacing="0" w:line="600" w:lineRule="exact"/>
              <w:ind w:left="0" w:right="0"/>
              <w:jc w:val="center"/>
              <w:rPr>
                <w:rFonts w:hint="eastAsia" w:ascii="仿宋" w:hAnsi="仿宋" w:eastAsia="仿宋" w:cs="宋体"/>
                <w:color w:val="auto"/>
                <w:szCs w:val="21"/>
                <w:highlight w:val="none"/>
              </w:rPr>
            </w:pPr>
          </w:p>
        </w:tc>
        <w:tc>
          <w:tcPr>
            <w:tcW w:w="827" w:type="dxa"/>
            <w:noWrap w:val="0"/>
            <w:vAlign w:val="center"/>
          </w:tcPr>
          <w:p w14:paraId="7432BE07">
            <w:pPr>
              <w:keepNext w:val="0"/>
              <w:keepLines w:val="0"/>
              <w:pageBreakBefore w:val="0"/>
              <w:suppressLineNumbers w:val="0"/>
              <w:kinsoku/>
              <w:overflowPunct/>
              <w:bidi w:val="0"/>
              <w:spacing w:before="0" w:beforeAutospacing="0" w:after="0" w:afterAutospacing="0" w:line="600" w:lineRule="exact"/>
              <w:ind w:left="0" w:right="0"/>
              <w:jc w:val="center"/>
              <w:rPr>
                <w:rFonts w:hint="eastAsia" w:ascii="仿宋" w:hAnsi="仿宋" w:eastAsia="仿宋" w:cs="宋体"/>
                <w:color w:val="auto"/>
                <w:szCs w:val="21"/>
                <w:highlight w:val="none"/>
              </w:rPr>
            </w:pPr>
          </w:p>
        </w:tc>
        <w:tc>
          <w:tcPr>
            <w:tcW w:w="1068" w:type="dxa"/>
            <w:noWrap w:val="0"/>
            <w:vAlign w:val="center"/>
          </w:tcPr>
          <w:p w14:paraId="347BF924">
            <w:pPr>
              <w:keepNext w:val="0"/>
              <w:keepLines w:val="0"/>
              <w:pageBreakBefore w:val="0"/>
              <w:suppressLineNumbers w:val="0"/>
              <w:kinsoku/>
              <w:overflowPunct/>
              <w:bidi w:val="0"/>
              <w:spacing w:before="0" w:beforeAutospacing="0" w:after="0" w:afterAutospacing="0" w:line="600" w:lineRule="exact"/>
              <w:ind w:left="0" w:right="0"/>
              <w:jc w:val="center"/>
              <w:rPr>
                <w:rFonts w:hint="eastAsia" w:ascii="仿宋" w:hAnsi="仿宋" w:eastAsia="仿宋" w:cs="宋体"/>
                <w:color w:val="auto"/>
                <w:szCs w:val="21"/>
                <w:highlight w:val="none"/>
              </w:rPr>
            </w:pPr>
          </w:p>
        </w:tc>
        <w:tc>
          <w:tcPr>
            <w:tcW w:w="1192" w:type="dxa"/>
            <w:noWrap w:val="0"/>
            <w:vAlign w:val="center"/>
          </w:tcPr>
          <w:p w14:paraId="7041BCF4">
            <w:pPr>
              <w:keepNext w:val="0"/>
              <w:keepLines w:val="0"/>
              <w:pageBreakBefore w:val="0"/>
              <w:suppressLineNumbers w:val="0"/>
              <w:kinsoku/>
              <w:overflowPunct/>
              <w:bidi w:val="0"/>
              <w:spacing w:before="0" w:beforeAutospacing="0" w:after="0" w:afterAutospacing="0" w:line="600" w:lineRule="exact"/>
              <w:ind w:left="0" w:right="0"/>
              <w:jc w:val="center"/>
              <w:rPr>
                <w:rFonts w:hint="eastAsia" w:ascii="仿宋" w:hAnsi="仿宋" w:eastAsia="仿宋" w:cs="宋体"/>
                <w:color w:val="auto"/>
                <w:szCs w:val="21"/>
                <w:highlight w:val="none"/>
              </w:rPr>
            </w:pPr>
          </w:p>
        </w:tc>
        <w:tc>
          <w:tcPr>
            <w:tcW w:w="1160" w:type="dxa"/>
            <w:noWrap w:val="0"/>
            <w:vAlign w:val="center"/>
          </w:tcPr>
          <w:p w14:paraId="55B6ED85">
            <w:pPr>
              <w:keepNext w:val="0"/>
              <w:keepLines w:val="0"/>
              <w:pageBreakBefore w:val="0"/>
              <w:suppressLineNumbers w:val="0"/>
              <w:kinsoku/>
              <w:overflowPunct/>
              <w:bidi w:val="0"/>
              <w:spacing w:before="0" w:beforeAutospacing="0" w:after="0" w:afterAutospacing="0" w:line="600" w:lineRule="exact"/>
              <w:ind w:left="0" w:right="0"/>
              <w:jc w:val="center"/>
              <w:rPr>
                <w:rFonts w:hint="eastAsia" w:ascii="仿宋" w:hAnsi="仿宋" w:eastAsia="仿宋" w:cs="宋体"/>
                <w:color w:val="auto"/>
                <w:szCs w:val="21"/>
                <w:highlight w:val="none"/>
              </w:rPr>
            </w:pPr>
          </w:p>
        </w:tc>
        <w:tc>
          <w:tcPr>
            <w:tcW w:w="1275" w:type="dxa"/>
            <w:noWrap w:val="0"/>
            <w:vAlign w:val="center"/>
          </w:tcPr>
          <w:p w14:paraId="3D1536F4">
            <w:pPr>
              <w:keepNext w:val="0"/>
              <w:keepLines w:val="0"/>
              <w:pageBreakBefore w:val="0"/>
              <w:suppressLineNumbers w:val="0"/>
              <w:kinsoku/>
              <w:overflowPunct/>
              <w:bidi w:val="0"/>
              <w:spacing w:before="0" w:beforeAutospacing="0" w:after="0" w:afterAutospacing="0" w:line="600" w:lineRule="exact"/>
              <w:ind w:left="0" w:right="0"/>
              <w:jc w:val="center"/>
              <w:rPr>
                <w:rFonts w:hint="eastAsia" w:ascii="仿宋" w:hAnsi="仿宋" w:eastAsia="仿宋" w:cs="宋体"/>
                <w:color w:val="auto"/>
                <w:szCs w:val="21"/>
                <w:highlight w:val="none"/>
              </w:rPr>
            </w:pPr>
          </w:p>
        </w:tc>
        <w:tc>
          <w:tcPr>
            <w:tcW w:w="1134" w:type="dxa"/>
            <w:noWrap w:val="0"/>
            <w:vAlign w:val="center"/>
          </w:tcPr>
          <w:p w14:paraId="71B34452">
            <w:pPr>
              <w:keepNext w:val="0"/>
              <w:keepLines w:val="0"/>
              <w:pageBreakBefore w:val="0"/>
              <w:suppressLineNumbers w:val="0"/>
              <w:kinsoku/>
              <w:overflowPunct/>
              <w:bidi w:val="0"/>
              <w:spacing w:before="0" w:beforeAutospacing="0" w:after="0" w:afterAutospacing="0" w:line="600" w:lineRule="exact"/>
              <w:ind w:left="0" w:right="0"/>
              <w:jc w:val="center"/>
              <w:rPr>
                <w:rFonts w:hint="eastAsia" w:ascii="仿宋" w:hAnsi="仿宋" w:eastAsia="仿宋" w:cs="宋体"/>
                <w:color w:val="auto"/>
                <w:szCs w:val="21"/>
                <w:highlight w:val="none"/>
              </w:rPr>
            </w:pPr>
          </w:p>
        </w:tc>
        <w:tc>
          <w:tcPr>
            <w:tcW w:w="1418" w:type="dxa"/>
            <w:noWrap w:val="0"/>
            <w:vAlign w:val="center"/>
          </w:tcPr>
          <w:p w14:paraId="0D67A7B3">
            <w:pPr>
              <w:keepNext w:val="0"/>
              <w:keepLines w:val="0"/>
              <w:pageBreakBefore w:val="0"/>
              <w:suppressLineNumbers w:val="0"/>
              <w:kinsoku/>
              <w:overflowPunct/>
              <w:bidi w:val="0"/>
              <w:spacing w:before="0" w:beforeAutospacing="0" w:after="0" w:afterAutospacing="0" w:line="600" w:lineRule="exact"/>
              <w:ind w:left="0" w:right="0"/>
              <w:jc w:val="center"/>
              <w:rPr>
                <w:rFonts w:hint="eastAsia" w:ascii="仿宋" w:hAnsi="仿宋" w:eastAsia="仿宋" w:cs="宋体"/>
                <w:color w:val="auto"/>
                <w:szCs w:val="21"/>
                <w:highlight w:val="none"/>
              </w:rPr>
            </w:pPr>
          </w:p>
        </w:tc>
        <w:tc>
          <w:tcPr>
            <w:tcW w:w="954" w:type="dxa"/>
            <w:noWrap w:val="0"/>
            <w:vAlign w:val="center"/>
          </w:tcPr>
          <w:p w14:paraId="5DDFE7B8">
            <w:pPr>
              <w:keepNext w:val="0"/>
              <w:keepLines w:val="0"/>
              <w:pageBreakBefore w:val="0"/>
              <w:suppressLineNumbers w:val="0"/>
              <w:kinsoku/>
              <w:overflowPunct/>
              <w:bidi w:val="0"/>
              <w:spacing w:before="0" w:beforeAutospacing="0" w:after="0" w:afterAutospacing="0" w:line="600" w:lineRule="exact"/>
              <w:ind w:left="0" w:right="0"/>
              <w:jc w:val="center"/>
              <w:rPr>
                <w:rFonts w:hint="eastAsia" w:ascii="仿宋" w:hAnsi="仿宋" w:eastAsia="仿宋" w:cs="宋体"/>
                <w:color w:val="auto"/>
                <w:szCs w:val="21"/>
                <w:highlight w:val="none"/>
              </w:rPr>
            </w:pPr>
          </w:p>
        </w:tc>
      </w:tr>
      <w:tr w14:paraId="2D00F7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820" w:type="dxa"/>
            <w:noWrap w:val="0"/>
            <w:vAlign w:val="center"/>
          </w:tcPr>
          <w:p w14:paraId="699A1DA2">
            <w:pPr>
              <w:keepNext w:val="0"/>
              <w:keepLines w:val="0"/>
              <w:pageBreakBefore w:val="0"/>
              <w:suppressLineNumbers w:val="0"/>
              <w:kinsoku/>
              <w:overflowPunct/>
              <w:bidi w:val="0"/>
              <w:spacing w:before="0" w:beforeAutospacing="0" w:after="0" w:afterAutospacing="0" w:line="600" w:lineRule="exact"/>
              <w:ind w:left="0" w:right="0"/>
              <w:jc w:val="center"/>
              <w:rPr>
                <w:rFonts w:hint="eastAsia" w:ascii="仿宋" w:hAnsi="仿宋" w:eastAsia="仿宋" w:cs="宋体"/>
                <w:color w:val="auto"/>
                <w:szCs w:val="21"/>
                <w:highlight w:val="none"/>
              </w:rPr>
            </w:pPr>
          </w:p>
        </w:tc>
        <w:tc>
          <w:tcPr>
            <w:tcW w:w="827" w:type="dxa"/>
            <w:noWrap w:val="0"/>
            <w:vAlign w:val="center"/>
          </w:tcPr>
          <w:p w14:paraId="2EE0E74A">
            <w:pPr>
              <w:keepNext w:val="0"/>
              <w:keepLines w:val="0"/>
              <w:pageBreakBefore w:val="0"/>
              <w:suppressLineNumbers w:val="0"/>
              <w:kinsoku/>
              <w:overflowPunct/>
              <w:bidi w:val="0"/>
              <w:spacing w:before="0" w:beforeAutospacing="0" w:after="0" w:afterAutospacing="0" w:line="600" w:lineRule="exact"/>
              <w:ind w:left="0" w:right="0"/>
              <w:jc w:val="center"/>
              <w:rPr>
                <w:rFonts w:hint="eastAsia" w:ascii="仿宋" w:hAnsi="仿宋" w:eastAsia="仿宋" w:cs="宋体"/>
                <w:color w:val="auto"/>
                <w:szCs w:val="21"/>
                <w:highlight w:val="none"/>
              </w:rPr>
            </w:pPr>
          </w:p>
        </w:tc>
        <w:tc>
          <w:tcPr>
            <w:tcW w:w="1068" w:type="dxa"/>
            <w:noWrap w:val="0"/>
            <w:vAlign w:val="center"/>
          </w:tcPr>
          <w:p w14:paraId="1DAEEB20">
            <w:pPr>
              <w:keepNext w:val="0"/>
              <w:keepLines w:val="0"/>
              <w:pageBreakBefore w:val="0"/>
              <w:suppressLineNumbers w:val="0"/>
              <w:kinsoku/>
              <w:overflowPunct/>
              <w:bidi w:val="0"/>
              <w:spacing w:before="0" w:beforeAutospacing="0" w:after="0" w:afterAutospacing="0" w:line="600" w:lineRule="exact"/>
              <w:ind w:left="0" w:right="0"/>
              <w:jc w:val="center"/>
              <w:rPr>
                <w:rFonts w:hint="eastAsia" w:ascii="仿宋" w:hAnsi="仿宋" w:eastAsia="仿宋" w:cs="宋体"/>
                <w:color w:val="auto"/>
                <w:szCs w:val="21"/>
                <w:highlight w:val="none"/>
              </w:rPr>
            </w:pPr>
          </w:p>
        </w:tc>
        <w:tc>
          <w:tcPr>
            <w:tcW w:w="1192" w:type="dxa"/>
            <w:noWrap w:val="0"/>
            <w:vAlign w:val="center"/>
          </w:tcPr>
          <w:p w14:paraId="5166F423">
            <w:pPr>
              <w:keepNext w:val="0"/>
              <w:keepLines w:val="0"/>
              <w:pageBreakBefore w:val="0"/>
              <w:suppressLineNumbers w:val="0"/>
              <w:kinsoku/>
              <w:overflowPunct/>
              <w:bidi w:val="0"/>
              <w:spacing w:before="0" w:beforeAutospacing="0" w:after="0" w:afterAutospacing="0" w:line="600" w:lineRule="exact"/>
              <w:ind w:left="0" w:right="0"/>
              <w:jc w:val="center"/>
              <w:rPr>
                <w:rFonts w:hint="eastAsia" w:ascii="仿宋" w:hAnsi="仿宋" w:eastAsia="仿宋" w:cs="宋体"/>
                <w:color w:val="auto"/>
                <w:szCs w:val="21"/>
                <w:highlight w:val="none"/>
              </w:rPr>
            </w:pPr>
          </w:p>
        </w:tc>
        <w:tc>
          <w:tcPr>
            <w:tcW w:w="1160" w:type="dxa"/>
            <w:noWrap w:val="0"/>
            <w:vAlign w:val="center"/>
          </w:tcPr>
          <w:p w14:paraId="3EAC4F08">
            <w:pPr>
              <w:keepNext w:val="0"/>
              <w:keepLines w:val="0"/>
              <w:pageBreakBefore w:val="0"/>
              <w:suppressLineNumbers w:val="0"/>
              <w:kinsoku/>
              <w:overflowPunct/>
              <w:bidi w:val="0"/>
              <w:spacing w:before="0" w:beforeAutospacing="0" w:after="0" w:afterAutospacing="0" w:line="600" w:lineRule="exact"/>
              <w:ind w:left="0" w:right="0"/>
              <w:jc w:val="center"/>
              <w:rPr>
                <w:rFonts w:hint="eastAsia" w:ascii="仿宋" w:hAnsi="仿宋" w:eastAsia="仿宋" w:cs="宋体"/>
                <w:color w:val="auto"/>
                <w:szCs w:val="21"/>
                <w:highlight w:val="none"/>
              </w:rPr>
            </w:pPr>
          </w:p>
        </w:tc>
        <w:tc>
          <w:tcPr>
            <w:tcW w:w="1275" w:type="dxa"/>
            <w:noWrap w:val="0"/>
            <w:vAlign w:val="center"/>
          </w:tcPr>
          <w:p w14:paraId="7C8998E6">
            <w:pPr>
              <w:keepNext w:val="0"/>
              <w:keepLines w:val="0"/>
              <w:pageBreakBefore w:val="0"/>
              <w:suppressLineNumbers w:val="0"/>
              <w:kinsoku/>
              <w:overflowPunct/>
              <w:bidi w:val="0"/>
              <w:spacing w:before="0" w:beforeAutospacing="0" w:after="0" w:afterAutospacing="0" w:line="600" w:lineRule="exact"/>
              <w:ind w:left="0" w:right="0"/>
              <w:jc w:val="center"/>
              <w:rPr>
                <w:rFonts w:hint="eastAsia" w:ascii="仿宋" w:hAnsi="仿宋" w:eastAsia="仿宋" w:cs="宋体"/>
                <w:color w:val="auto"/>
                <w:szCs w:val="21"/>
                <w:highlight w:val="none"/>
              </w:rPr>
            </w:pPr>
          </w:p>
        </w:tc>
        <w:tc>
          <w:tcPr>
            <w:tcW w:w="1134" w:type="dxa"/>
            <w:noWrap w:val="0"/>
            <w:vAlign w:val="center"/>
          </w:tcPr>
          <w:p w14:paraId="3736BE2C">
            <w:pPr>
              <w:keepNext w:val="0"/>
              <w:keepLines w:val="0"/>
              <w:pageBreakBefore w:val="0"/>
              <w:suppressLineNumbers w:val="0"/>
              <w:kinsoku/>
              <w:overflowPunct/>
              <w:bidi w:val="0"/>
              <w:spacing w:before="0" w:beforeAutospacing="0" w:after="0" w:afterAutospacing="0" w:line="600" w:lineRule="exact"/>
              <w:ind w:left="0" w:right="0"/>
              <w:jc w:val="center"/>
              <w:rPr>
                <w:rFonts w:hint="eastAsia" w:ascii="仿宋" w:hAnsi="仿宋" w:eastAsia="仿宋" w:cs="宋体"/>
                <w:color w:val="auto"/>
                <w:szCs w:val="21"/>
                <w:highlight w:val="none"/>
              </w:rPr>
            </w:pPr>
          </w:p>
        </w:tc>
        <w:tc>
          <w:tcPr>
            <w:tcW w:w="1418" w:type="dxa"/>
            <w:noWrap w:val="0"/>
            <w:vAlign w:val="center"/>
          </w:tcPr>
          <w:p w14:paraId="7616D7F2">
            <w:pPr>
              <w:keepNext w:val="0"/>
              <w:keepLines w:val="0"/>
              <w:pageBreakBefore w:val="0"/>
              <w:suppressLineNumbers w:val="0"/>
              <w:kinsoku/>
              <w:overflowPunct/>
              <w:bidi w:val="0"/>
              <w:spacing w:before="0" w:beforeAutospacing="0" w:after="0" w:afterAutospacing="0" w:line="600" w:lineRule="exact"/>
              <w:ind w:left="0" w:right="0"/>
              <w:jc w:val="center"/>
              <w:rPr>
                <w:rFonts w:hint="eastAsia" w:ascii="仿宋" w:hAnsi="仿宋" w:eastAsia="仿宋" w:cs="宋体"/>
                <w:color w:val="auto"/>
                <w:szCs w:val="21"/>
                <w:highlight w:val="none"/>
              </w:rPr>
            </w:pPr>
          </w:p>
        </w:tc>
        <w:tc>
          <w:tcPr>
            <w:tcW w:w="954" w:type="dxa"/>
            <w:noWrap w:val="0"/>
            <w:vAlign w:val="center"/>
          </w:tcPr>
          <w:p w14:paraId="2405D1BA">
            <w:pPr>
              <w:keepNext w:val="0"/>
              <w:keepLines w:val="0"/>
              <w:pageBreakBefore w:val="0"/>
              <w:suppressLineNumbers w:val="0"/>
              <w:kinsoku/>
              <w:overflowPunct/>
              <w:bidi w:val="0"/>
              <w:spacing w:before="0" w:beforeAutospacing="0" w:after="0" w:afterAutospacing="0" w:line="600" w:lineRule="exact"/>
              <w:ind w:left="0" w:right="0"/>
              <w:jc w:val="center"/>
              <w:rPr>
                <w:rFonts w:hint="eastAsia" w:ascii="仿宋" w:hAnsi="仿宋" w:eastAsia="仿宋" w:cs="宋体"/>
                <w:color w:val="auto"/>
                <w:szCs w:val="21"/>
                <w:highlight w:val="none"/>
              </w:rPr>
            </w:pPr>
          </w:p>
        </w:tc>
      </w:tr>
      <w:tr w14:paraId="0B9924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820" w:type="dxa"/>
            <w:noWrap w:val="0"/>
            <w:vAlign w:val="center"/>
          </w:tcPr>
          <w:p w14:paraId="6566CCDC">
            <w:pPr>
              <w:keepNext w:val="0"/>
              <w:keepLines w:val="0"/>
              <w:pageBreakBefore w:val="0"/>
              <w:suppressLineNumbers w:val="0"/>
              <w:kinsoku/>
              <w:overflowPunct/>
              <w:bidi w:val="0"/>
              <w:spacing w:before="0" w:beforeAutospacing="0" w:after="0" w:afterAutospacing="0" w:line="600" w:lineRule="exact"/>
              <w:ind w:left="0" w:right="0"/>
              <w:jc w:val="center"/>
              <w:rPr>
                <w:rFonts w:hint="eastAsia" w:ascii="仿宋" w:hAnsi="仿宋" w:eastAsia="仿宋" w:cs="宋体"/>
                <w:color w:val="auto"/>
                <w:szCs w:val="21"/>
                <w:highlight w:val="none"/>
              </w:rPr>
            </w:pPr>
          </w:p>
        </w:tc>
        <w:tc>
          <w:tcPr>
            <w:tcW w:w="827" w:type="dxa"/>
            <w:noWrap w:val="0"/>
            <w:vAlign w:val="center"/>
          </w:tcPr>
          <w:p w14:paraId="008111EF">
            <w:pPr>
              <w:keepNext w:val="0"/>
              <w:keepLines w:val="0"/>
              <w:pageBreakBefore w:val="0"/>
              <w:suppressLineNumbers w:val="0"/>
              <w:kinsoku/>
              <w:overflowPunct/>
              <w:bidi w:val="0"/>
              <w:spacing w:before="0" w:beforeAutospacing="0" w:after="0" w:afterAutospacing="0" w:line="600" w:lineRule="exact"/>
              <w:ind w:left="0" w:right="0"/>
              <w:jc w:val="center"/>
              <w:rPr>
                <w:rFonts w:hint="eastAsia" w:ascii="仿宋" w:hAnsi="仿宋" w:eastAsia="仿宋" w:cs="宋体"/>
                <w:color w:val="auto"/>
                <w:szCs w:val="21"/>
                <w:highlight w:val="none"/>
              </w:rPr>
            </w:pPr>
          </w:p>
        </w:tc>
        <w:tc>
          <w:tcPr>
            <w:tcW w:w="1068" w:type="dxa"/>
            <w:noWrap w:val="0"/>
            <w:vAlign w:val="center"/>
          </w:tcPr>
          <w:p w14:paraId="3DE1AB0F">
            <w:pPr>
              <w:keepNext w:val="0"/>
              <w:keepLines w:val="0"/>
              <w:pageBreakBefore w:val="0"/>
              <w:suppressLineNumbers w:val="0"/>
              <w:kinsoku/>
              <w:overflowPunct/>
              <w:bidi w:val="0"/>
              <w:spacing w:before="0" w:beforeAutospacing="0" w:after="0" w:afterAutospacing="0" w:line="600" w:lineRule="exact"/>
              <w:ind w:left="0" w:right="0"/>
              <w:jc w:val="center"/>
              <w:rPr>
                <w:rFonts w:hint="eastAsia" w:ascii="仿宋" w:hAnsi="仿宋" w:eastAsia="仿宋" w:cs="宋体"/>
                <w:color w:val="auto"/>
                <w:szCs w:val="21"/>
                <w:highlight w:val="none"/>
              </w:rPr>
            </w:pPr>
          </w:p>
        </w:tc>
        <w:tc>
          <w:tcPr>
            <w:tcW w:w="1192" w:type="dxa"/>
            <w:noWrap w:val="0"/>
            <w:vAlign w:val="center"/>
          </w:tcPr>
          <w:p w14:paraId="4602A41A">
            <w:pPr>
              <w:keepNext w:val="0"/>
              <w:keepLines w:val="0"/>
              <w:pageBreakBefore w:val="0"/>
              <w:suppressLineNumbers w:val="0"/>
              <w:kinsoku/>
              <w:overflowPunct/>
              <w:bidi w:val="0"/>
              <w:spacing w:before="0" w:beforeAutospacing="0" w:after="0" w:afterAutospacing="0" w:line="600" w:lineRule="exact"/>
              <w:ind w:left="0" w:right="0"/>
              <w:jc w:val="center"/>
              <w:rPr>
                <w:rFonts w:hint="eastAsia" w:ascii="仿宋" w:hAnsi="仿宋" w:eastAsia="仿宋" w:cs="宋体"/>
                <w:color w:val="auto"/>
                <w:szCs w:val="21"/>
                <w:highlight w:val="none"/>
              </w:rPr>
            </w:pPr>
          </w:p>
        </w:tc>
        <w:tc>
          <w:tcPr>
            <w:tcW w:w="1160" w:type="dxa"/>
            <w:noWrap w:val="0"/>
            <w:vAlign w:val="center"/>
          </w:tcPr>
          <w:p w14:paraId="7D2B1477">
            <w:pPr>
              <w:keepNext w:val="0"/>
              <w:keepLines w:val="0"/>
              <w:pageBreakBefore w:val="0"/>
              <w:suppressLineNumbers w:val="0"/>
              <w:kinsoku/>
              <w:overflowPunct/>
              <w:bidi w:val="0"/>
              <w:spacing w:before="0" w:beforeAutospacing="0" w:after="0" w:afterAutospacing="0" w:line="600" w:lineRule="exact"/>
              <w:ind w:left="0" w:right="0"/>
              <w:jc w:val="center"/>
              <w:rPr>
                <w:rFonts w:hint="eastAsia" w:ascii="仿宋" w:hAnsi="仿宋" w:eastAsia="仿宋" w:cs="宋体"/>
                <w:color w:val="auto"/>
                <w:szCs w:val="21"/>
                <w:highlight w:val="none"/>
              </w:rPr>
            </w:pPr>
          </w:p>
        </w:tc>
        <w:tc>
          <w:tcPr>
            <w:tcW w:w="1275" w:type="dxa"/>
            <w:noWrap w:val="0"/>
            <w:vAlign w:val="center"/>
          </w:tcPr>
          <w:p w14:paraId="65E959E8">
            <w:pPr>
              <w:keepNext w:val="0"/>
              <w:keepLines w:val="0"/>
              <w:pageBreakBefore w:val="0"/>
              <w:suppressLineNumbers w:val="0"/>
              <w:kinsoku/>
              <w:overflowPunct/>
              <w:bidi w:val="0"/>
              <w:spacing w:before="0" w:beforeAutospacing="0" w:after="0" w:afterAutospacing="0" w:line="600" w:lineRule="exact"/>
              <w:ind w:left="0" w:right="0"/>
              <w:jc w:val="center"/>
              <w:rPr>
                <w:rFonts w:hint="eastAsia" w:ascii="仿宋" w:hAnsi="仿宋" w:eastAsia="仿宋" w:cs="宋体"/>
                <w:color w:val="auto"/>
                <w:szCs w:val="21"/>
                <w:highlight w:val="none"/>
              </w:rPr>
            </w:pPr>
          </w:p>
        </w:tc>
        <w:tc>
          <w:tcPr>
            <w:tcW w:w="1134" w:type="dxa"/>
            <w:noWrap w:val="0"/>
            <w:vAlign w:val="center"/>
          </w:tcPr>
          <w:p w14:paraId="4730B4D4">
            <w:pPr>
              <w:keepNext w:val="0"/>
              <w:keepLines w:val="0"/>
              <w:pageBreakBefore w:val="0"/>
              <w:suppressLineNumbers w:val="0"/>
              <w:kinsoku/>
              <w:overflowPunct/>
              <w:bidi w:val="0"/>
              <w:spacing w:before="0" w:beforeAutospacing="0" w:after="0" w:afterAutospacing="0" w:line="600" w:lineRule="exact"/>
              <w:ind w:left="0" w:right="0"/>
              <w:jc w:val="center"/>
              <w:rPr>
                <w:rFonts w:hint="eastAsia" w:ascii="仿宋" w:hAnsi="仿宋" w:eastAsia="仿宋" w:cs="宋体"/>
                <w:color w:val="auto"/>
                <w:szCs w:val="21"/>
                <w:highlight w:val="none"/>
              </w:rPr>
            </w:pPr>
          </w:p>
        </w:tc>
        <w:tc>
          <w:tcPr>
            <w:tcW w:w="1418" w:type="dxa"/>
            <w:noWrap w:val="0"/>
            <w:vAlign w:val="center"/>
          </w:tcPr>
          <w:p w14:paraId="3555CC58">
            <w:pPr>
              <w:keepNext w:val="0"/>
              <w:keepLines w:val="0"/>
              <w:pageBreakBefore w:val="0"/>
              <w:suppressLineNumbers w:val="0"/>
              <w:kinsoku/>
              <w:overflowPunct/>
              <w:bidi w:val="0"/>
              <w:spacing w:before="0" w:beforeAutospacing="0" w:after="0" w:afterAutospacing="0" w:line="600" w:lineRule="exact"/>
              <w:ind w:left="0" w:right="0"/>
              <w:jc w:val="center"/>
              <w:rPr>
                <w:rFonts w:hint="eastAsia" w:ascii="仿宋" w:hAnsi="仿宋" w:eastAsia="仿宋" w:cs="宋体"/>
                <w:color w:val="auto"/>
                <w:szCs w:val="21"/>
                <w:highlight w:val="none"/>
              </w:rPr>
            </w:pPr>
          </w:p>
        </w:tc>
        <w:tc>
          <w:tcPr>
            <w:tcW w:w="954" w:type="dxa"/>
            <w:noWrap w:val="0"/>
            <w:vAlign w:val="center"/>
          </w:tcPr>
          <w:p w14:paraId="1E78DE1C">
            <w:pPr>
              <w:keepNext w:val="0"/>
              <w:keepLines w:val="0"/>
              <w:pageBreakBefore w:val="0"/>
              <w:suppressLineNumbers w:val="0"/>
              <w:kinsoku/>
              <w:overflowPunct/>
              <w:bidi w:val="0"/>
              <w:spacing w:before="0" w:beforeAutospacing="0" w:after="0" w:afterAutospacing="0" w:line="600" w:lineRule="exact"/>
              <w:ind w:left="0" w:right="0"/>
              <w:jc w:val="center"/>
              <w:rPr>
                <w:rFonts w:hint="eastAsia" w:ascii="仿宋" w:hAnsi="仿宋" w:eastAsia="仿宋" w:cs="宋体"/>
                <w:color w:val="auto"/>
                <w:szCs w:val="21"/>
                <w:highlight w:val="none"/>
              </w:rPr>
            </w:pPr>
          </w:p>
        </w:tc>
      </w:tr>
      <w:tr w14:paraId="596245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820" w:type="dxa"/>
            <w:noWrap w:val="0"/>
            <w:vAlign w:val="center"/>
          </w:tcPr>
          <w:p w14:paraId="73C3E4BA">
            <w:pPr>
              <w:keepNext w:val="0"/>
              <w:keepLines w:val="0"/>
              <w:pageBreakBefore w:val="0"/>
              <w:suppressLineNumbers w:val="0"/>
              <w:kinsoku/>
              <w:overflowPunct/>
              <w:bidi w:val="0"/>
              <w:spacing w:before="0" w:beforeAutospacing="0" w:after="0" w:afterAutospacing="0" w:line="600" w:lineRule="exact"/>
              <w:ind w:left="0" w:right="0"/>
              <w:jc w:val="center"/>
              <w:rPr>
                <w:rFonts w:hint="eastAsia" w:ascii="仿宋" w:hAnsi="仿宋" w:eastAsia="仿宋" w:cs="宋体"/>
                <w:color w:val="auto"/>
                <w:szCs w:val="21"/>
                <w:highlight w:val="none"/>
              </w:rPr>
            </w:pPr>
          </w:p>
        </w:tc>
        <w:tc>
          <w:tcPr>
            <w:tcW w:w="827" w:type="dxa"/>
            <w:noWrap w:val="0"/>
            <w:vAlign w:val="center"/>
          </w:tcPr>
          <w:p w14:paraId="2C10E211">
            <w:pPr>
              <w:keepNext w:val="0"/>
              <w:keepLines w:val="0"/>
              <w:pageBreakBefore w:val="0"/>
              <w:suppressLineNumbers w:val="0"/>
              <w:kinsoku/>
              <w:overflowPunct/>
              <w:bidi w:val="0"/>
              <w:spacing w:before="0" w:beforeAutospacing="0" w:after="0" w:afterAutospacing="0" w:line="600" w:lineRule="exact"/>
              <w:ind w:left="0" w:right="0"/>
              <w:jc w:val="center"/>
              <w:rPr>
                <w:rFonts w:hint="eastAsia" w:ascii="仿宋" w:hAnsi="仿宋" w:eastAsia="仿宋" w:cs="宋体"/>
                <w:color w:val="auto"/>
                <w:szCs w:val="21"/>
                <w:highlight w:val="none"/>
              </w:rPr>
            </w:pPr>
          </w:p>
        </w:tc>
        <w:tc>
          <w:tcPr>
            <w:tcW w:w="1068" w:type="dxa"/>
            <w:noWrap w:val="0"/>
            <w:vAlign w:val="center"/>
          </w:tcPr>
          <w:p w14:paraId="31576B42">
            <w:pPr>
              <w:keepNext w:val="0"/>
              <w:keepLines w:val="0"/>
              <w:pageBreakBefore w:val="0"/>
              <w:suppressLineNumbers w:val="0"/>
              <w:kinsoku/>
              <w:overflowPunct/>
              <w:bidi w:val="0"/>
              <w:spacing w:before="0" w:beforeAutospacing="0" w:after="0" w:afterAutospacing="0" w:line="600" w:lineRule="exact"/>
              <w:ind w:left="0" w:right="0"/>
              <w:jc w:val="center"/>
              <w:rPr>
                <w:rFonts w:hint="eastAsia" w:ascii="仿宋" w:hAnsi="仿宋" w:eastAsia="仿宋" w:cs="宋体"/>
                <w:color w:val="auto"/>
                <w:szCs w:val="21"/>
                <w:highlight w:val="none"/>
              </w:rPr>
            </w:pPr>
          </w:p>
        </w:tc>
        <w:tc>
          <w:tcPr>
            <w:tcW w:w="1192" w:type="dxa"/>
            <w:noWrap w:val="0"/>
            <w:vAlign w:val="center"/>
          </w:tcPr>
          <w:p w14:paraId="1F7A7913">
            <w:pPr>
              <w:keepNext w:val="0"/>
              <w:keepLines w:val="0"/>
              <w:pageBreakBefore w:val="0"/>
              <w:suppressLineNumbers w:val="0"/>
              <w:kinsoku/>
              <w:overflowPunct/>
              <w:bidi w:val="0"/>
              <w:spacing w:before="0" w:beforeAutospacing="0" w:after="0" w:afterAutospacing="0" w:line="600" w:lineRule="exact"/>
              <w:ind w:left="0" w:right="0"/>
              <w:jc w:val="center"/>
              <w:rPr>
                <w:rFonts w:hint="eastAsia" w:ascii="仿宋" w:hAnsi="仿宋" w:eastAsia="仿宋" w:cs="宋体"/>
                <w:color w:val="auto"/>
                <w:szCs w:val="21"/>
                <w:highlight w:val="none"/>
              </w:rPr>
            </w:pPr>
          </w:p>
        </w:tc>
        <w:tc>
          <w:tcPr>
            <w:tcW w:w="1160" w:type="dxa"/>
            <w:noWrap w:val="0"/>
            <w:vAlign w:val="center"/>
          </w:tcPr>
          <w:p w14:paraId="004C0837">
            <w:pPr>
              <w:keepNext w:val="0"/>
              <w:keepLines w:val="0"/>
              <w:pageBreakBefore w:val="0"/>
              <w:suppressLineNumbers w:val="0"/>
              <w:kinsoku/>
              <w:overflowPunct/>
              <w:bidi w:val="0"/>
              <w:spacing w:before="0" w:beforeAutospacing="0" w:after="0" w:afterAutospacing="0" w:line="600" w:lineRule="exact"/>
              <w:ind w:left="0" w:right="0"/>
              <w:jc w:val="center"/>
              <w:rPr>
                <w:rFonts w:hint="eastAsia" w:ascii="仿宋" w:hAnsi="仿宋" w:eastAsia="仿宋" w:cs="宋体"/>
                <w:color w:val="auto"/>
                <w:szCs w:val="21"/>
                <w:highlight w:val="none"/>
              </w:rPr>
            </w:pPr>
          </w:p>
        </w:tc>
        <w:tc>
          <w:tcPr>
            <w:tcW w:w="1275" w:type="dxa"/>
            <w:noWrap w:val="0"/>
            <w:vAlign w:val="center"/>
          </w:tcPr>
          <w:p w14:paraId="0D88FCB0">
            <w:pPr>
              <w:keepNext w:val="0"/>
              <w:keepLines w:val="0"/>
              <w:pageBreakBefore w:val="0"/>
              <w:suppressLineNumbers w:val="0"/>
              <w:kinsoku/>
              <w:overflowPunct/>
              <w:bidi w:val="0"/>
              <w:spacing w:before="0" w:beforeAutospacing="0" w:after="0" w:afterAutospacing="0" w:line="600" w:lineRule="exact"/>
              <w:ind w:left="0" w:right="0"/>
              <w:jc w:val="center"/>
              <w:rPr>
                <w:rFonts w:hint="eastAsia" w:ascii="仿宋" w:hAnsi="仿宋" w:eastAsia="仿宋" w:cs="宋体"/>
                <w:color w:val="auto"/>
                <w:szCs w:val="21"/>
                <w:highlight w:val="none"/>
              </w:rPr>
            </w:pPr>
          </w:p>
        </w:tc>
        <w:tc>
          <w:tcPr>
            <w:tcW w:w="1134" w:type="dxa"/>
            <w:noWrap w:val="0"/>
            <w:vAlign w:val="center"/>
          </w:tcPr>
          <w:p w14:paraId="5D645CF7">
            <w:pPr>
              <w:keepNext w:val="0"/>
              <w:keepLines w:val="0"/>
              <w:pageBreakBefore w:val="0"/>
              <w:suppressLineNumbers w:val="0"/>
              <w:kinsoku/>
              <w:overflowPunct/>
              <w:bidi w:val="0"/>
              <w:spacing w:before="0" w:beforeAutospacing="0" w:after="0" w:afterAutospacing="0" w:line="600" w:lineRule="exact"/>
              <w:ind w:left="0" w:right="0"/>
              <w:jc w:val="center"/>
              <w:rPr>
                <w:rFonts w:hint="eastAsia" w:ascii="仿宋" w:hAnsi="仿宋" w:eastAsia="仿宋" w:cs="宋体"/>
                <w:color w:val="auto"/>
                <w:szCs w:val="21"/>
                <w:highlight w:val="none"/>
              </w:rPr>
            </w:pPr>
          </w:p>
        </w:tc>
        <w:tc>
          <w:tcPr>
            <w:tcW w:w="1418" w:type="dxa"/>
            <w:noWrap w:val="0"/>
            <w:vAlign w:val="center"/>
          </w:tcPr>
          <w:p w14:paraId="0C9B7715">
            <w:pPr>
              <w:keepNext w:val="0"/>
              <w:keepLines w:val="0"/>
              <w:pageBreakBefore w:val="0"/>
              <w:suppressLineNumbers w:val="0"/>
              <w:kinsoku/>
              <w:overflowPunct/>
              <w:bidi w:val="0"/>
              <w:spacing w:before="0" w:beforeAutospacing="0" w:after="0" w:afterAutospacing="0" w:line="600" w:lineRule="exact"/>
              <w:ind w:left="0" w:right="0"/>
              <w:jc w:val="center"/>
              <w:rPr>
                <w:rFonts w:hint="eastAsia" w:ascii="仿宋" w:hAnsi="仿宋" w:eastAsia="仿宋" w:cs="宋体"/>
                <w:color w:val="auto"/>
                <w:szCs w:val="21"/>
                <w:highlight w:val="none"/>
              </w:rPr>
            </w:pPr>
          </w:p>
        </w:tc>
        <w:tc>
          <w:tcPr>
            <w:tcW w:w="954" w:type="dxa"/>
            <w:noWrap w:val="0"/>
            <w:vAlign w:val="center"/>
          </w:tcPr>
          <w:p w14:paraId="266600AE">
            <w:pPr>
              <w:keepNext w:val="0"/>
              <w:keepLines w:val="0"/>
              <w:pageBreakBefore w:val="0"/>
              <w:suppressLineNumbers w:val="0"/>
              <w:kinsoku/>
              <w:overflowPunct/>
              <w:bidi w:val="0"/>
              <w:spacing w:before="0" w:beforeAutospacing="0" w:after="0" w:afterAutospacing="0" w:line="600" w:lineRule="exact"/>
              <w:ind w:left="0" w:right="0"/>
              <w:jc w:val="center"/>
              <w:rPr>
                <w:rFonts w:hint="eastAsia" w:ascii="仿宋" w:hAnsi="仿宋" w:eastAsia="仿宋" w:cs="宋体"/>
                <w:color w:val="auto"/>
                <w:szCs w:val="21"/>
                <w:highlight w:val="none"/>
              </w:rPr>
            </w:pPr>
          </w:p>
        </w:tc>
      </w:tr>
      <w:tr w14:paraId="77AF85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820" w:type="dxa"/>
            <w:noWrap w:val="0"/>
            <w:vAlign w:val="center"/>
          </w:tcPr>
          <w:p w14:paraId="0B9C22C3">
            <w:pPr>
              <w:keepNext w:val="0"/>
              <w:keepLines w:val="0"/>
              <w:pageBreakBefore w:val="0"/>
              <w:suppressLineNumbers w:val="0"/>
              <w:kinsoku/>
              <w:overflowPunct/>
              <w:bidi w:val="0"/>
              <w:spacing w:before="0" w:beforeAutospacing="0" w:after="0" w:afterAutospacing="0" w:line="600" w:lineRule="exact"/>
              <w:ind w:left="0" w:right="0"/>
              <w:jc w:val="center"/>
              <w:rPr>
                <w:rFonts w:hint="eastAsia" w:ascii="仿宋" w:hAnsi="仿宋" w:eastAsia="仿宋" w:cs="宋体"/>
                <w:color w:val="auto"/>
                <w:szCs w:val="21"/>
                <w:highlight w:val="none"/>
              </w:rPr>
            </w:pPr>
          </w:p>
        </w:tc>
        <w:tc>
          <w:tcPr>
            <w:tcW w:w="827" w:type="dxa"/>
            <w:noWrap w:val="0"/>
            <w:vAlign w:val="center"/>
          </w:tcPr>
          <w:p w14:paraId="086F8DF3">
            <w:pPr>
              <w:keepNext w:val="0"/>
              <w:keepLines w:val="0"/>
              <w:pageBreakBefore w:val="0"/>
              <w:suppressLineNumbers w:val="0"/>
              <w:kinsoku/>
              <w:overflowPunct/>
              <w:bidi w:val="0"/>
              <w:spacing w:before="0" w:beforeAutospacing="0" w:after="0" w:afterAutospacing="0" w:line="600" w:lineRule="exact"/>
              <w:ind w:left="0" w:right="0"/>
              <w:jc w:val="center"/>
              <w:rPr>
                <w:rFonts w:hint="eastAsia" w:ascii="仿宋" w:hAnsi="仿宋" w:eastAsia="仿宋" w:cs="宋体"/>
                <w:color w:val="auto"/>
                <w:szCs w:val="21"/>
                <w:highlight w:val="none"/>
              </w:rPr>
            </w:pPr>
          </w:p>
        </w:tc>
        <w:tc>
          <w:tcPr>
            <w:tcW w:w="1068" w:type="dxa"/>
            <w:noWrap w:val="0"/>
            <w:vAlign w:val="center"/>
          </w:tcPr>
          <w:p w14:paraId="6FE49630">
            <w:pPr>
              <w:keepNext w:val="0"/>
              <w:keepLines w:val="0"/>
              <w:pageBreakBefore w:val="0"/>
              <w:suppressLineNumbers w:val="0"/>
              <w:kinsoku/>
              <w:overflowPunct/>
              <w:bidi w:val="0"/>
              <w:spacing w:before="0" w:beforeAutospacing="0" w:after="0" w:afterAutospacing="0" w:line="600" w:lineRule="exact"/>
              <w:ind w:left="0" w:right="0"/>
              <w:jc w:val="center"/>
              <w:rPr>
                <w:rFonts w:hint="eastAsia" w:ascii="仿宋" w:hAnsi="仿宋" w:eastAsia="仿宋" w:cs="宋体"/>
                <w:color w:val="auto"/>
                <w:szCs w:val="21"/>
                <w:highlight w:val="none"/>
              </w:rPr>
            </w:pPr>
          </w:p>
        </w:tc>
        <w:tc>
          <w:tcPr>
            <w:tcW w:w="1192" w:type="dxa"/>
            <w:noWrap w:val="0"/>
            <w:vAlign w:val="center"/>
          </w:tcPr>
          <w:p w14:paraId="4B1192BC">
            <w:pPr>
              <w:keepNext w:val="0"/>
              <w:keepLines w:val="0"/>
              <w:pageBreakBefore w:val="0"/>
              <w:suppressLineNumbers w:val="0"/>
              <w:kinsoku/>
              <w:overflowPunct/>
              <w:bidi w:val="0"/>
              <w:spacing w:before="0" w:beforeAutospacing="0" w:after="0" w:afterAutospacing="0" w:line="600" w:lineRule="exact"/>
              <w:ind w:left="0" w:right="0"/>
              <w:jc w:val="center"/>
              <w:rPr>
                <w:rFonts w:hint="eastAsia" w:ascii="仿宋" w:hAnsi="仿宋" w:eastAsia="仿宋" w:cs="宋体"/>
                <w:color w:val="auto"/>
                <w:szCs w:val="21"/>
                <w:highlight w:val="none"/>
              </w:rPr>
            </w:pPr>
          </w:p>
        </w:tc>
        <w:tc>
          <w:tcPr>
            <w:tcW w:w="1160" w:type="dxa"/>
            <w:noWrap w:val="0"/>
            <w:vAlign w:val="center"/>
          </w:tcPr>
          <w:p w14:paraId="106093ED">
            <w:pPr>
              <w:keepNext w:val="0"/>
              <w:keepLines w:val="0"/>
              <w:pageBreakBefore w:val="0"/>
              <w:suppressLineNumbers w:val="0"/>
              <w:kinsoku/>
              <w:overflowPunct/>
              <w:bidi w:val="0"/>
              <w:spacing w:before="0" w:beforeAutospacing="0" w:after="0" w:afterAutospacing="0" w:line="600" w:lineRule="exact"/>
              <w:ind w:left="0" w:right="0"/>
              <w:jc w:val="center"/>
              <w:rPr>
                <w:rFonts w:hint="eastAsia" w:ascii="仿宋" w:hAnsi="仿宋" w:eastAsia="仿宋" w:cs="宋体"/>
                <w:color w:val="auto"/>
                <w:szCs w:val="21"/>
                <w:highlight w:val="none"/>
              </w:rPr>
            </w:pPr>
          </w:p>
        </w:tc>
        <w:tc>
          <w:tcPr>
            <w:tcW w:w="1275" w:type="dxa"/>
            <w:noWrap w:val="0"/>
            <w:vAlign w:val="center"/>
          </w:tcPr>
          <w:p w14:paraId="72100C8D">
            <w:pPr>
              <w:keepNext w:val="0"/>
              <w:keepLines w:val="0"/>
              <w:pageBreakBefore w:val="0"/>
              <w:suppressLineNumbers w:val="0"/>
              <w:kinsoku/>
              <w:overflowPunct/>
              <w:bidi w:val="0"/>
              <w:spacing w:before="0" w:beforeAutospacing="0" w:after="0" w:afterAutospacing="0" w:line="600" w:lineRule="exact"/>
              <w:ind w:left="0" w:right="0"/>
              <w:jc w:val="center"/>
              <w:rPr>
                <w:rFonts w:hint="eastAsia" w:ascii="仿宋" w:hAnsi="仿宋" w:eastAsia="仿宋" w:cs="宋体"/>
                <w:color w:val="auto"/>
                <w:szCs w:val="21"/>
                <w:highlight w:val="none"/>
              </w:rPr>
            </w:pPr>
          </w:p>
        </w:tc>
        <w:tc>
          <w:tcPr>
            <w:tcW w:w="1134" w:type="dxa"/>
            <w:noWrap w:val="0"/>
            <w:vAlign w:val="center"/>
          </w:tcPr>
          <w:p w14:paraId="15FA55F0">
            <w:pPr>
              <w:keepNext w:val="0"/>
              <w:keepLines w:val="0"/>
              <w:pageBreakBefore w:val="0"/>
              <w:suppressLineNumbers w:val="0"/>
              <w:kinsoku/>
              <w:overflowPunct/>
              <w:bidi w:val="0"/>
              <w:spacing w:before="0" w:beforeAutospacing="0" w:after="0" w:afterAutospacing="0" w:line="600" w:lineRule="exact"/>
              <w:ind w:left="0" w:right="0"/>
              <w:jc w:val="center"/>
              <w:rPr>
                <w:rFonts w:hint="eastAsia" w:ascii="仿宋" w:hAnsi="仿宋" w:eastAsia="仿宋" w:cs="宋体"/>
                <w:color w:val="auto"/>
                <w:szCs w:val="21"/>
                <w:highlight w:val="none"/>
              </w:rPr>
            </w:pPr>
          </w:p>
        </w:tc>
        <w:tc>
          <w:tcPr>
            <w:tcW w:w="1418" w:type="dxa"/>
            <w:noWrap w:val="0"/>
            <w:vAlign w:val="center"/>
          </w:tcPr>
          <w:p w14:paraId="1D6C43E6">
            <w:pPr>
              <w:keepNext w:val="0"/>
              <w:keepLines w:val="0"/>
              <w:pageBreakBefore w:val="0"/>
              <w:suppressLineNumbers w:val="0"/>
              <w:kinsoku/>
              <w:overflowPunct/>
              <w:bidi w:val="0"/>
              <w:spacing w:before="0" w:beforeAutospacing="0" w:after="0" w:afterAutospacing="0" w:line="600" w:lineRule="exact"/>
              <w:ind w:left="0" w:right="0"/>
              <w:jc w:val="center"/>
              <w:rPr>
                <w:rFonts w:hint="eastAsia" w:ascii="仿宋" w:hAnsi="仿宋" w:eastAsia="仿宋" w:cs="宋体"/>
                <w:color w:val="auto"/>
                <w:szCs w:val="21"/>
                <w:highlight w:val="none"/>
              </w:rPr>
            </w:pPr>
          </w:p>
        </w:tc>
        <w:tc>
          <w:tcPr>
            <w:tcW w:w="954" w:type="dxa"/>
            <w:noWrap w:val="0"/>
            <w:vAlign w:val="center"/>
          </w:tcPr>
          <w:p w14:paraId="3C0ECCAF">
            <w:pPr>
              <w:keepNext w:val="0"/>
              <w:keepLines w:val="0"/>
              <w:pageBreakBefore w:val="0"/>
              <w:suppressLineNumbers w:val="0"/>
              <w:kinsoku/>
              <w:overflowPunct/>
              <w:bidi w:val="0"/>
              <w:spacing w:before="0" w:beforeAutospacing="0" w:after="0" w:afterAutospacing="0" w:line="600" w:lineRule="exact"/>
              <w:ind w:left="0" w:right="0"/>
              <w:jc w:val="center"/>
              <w:rPr>
                <w:rFonts w:hint="eastAsia" w:ascii="仿宋" w:hAnsi="仿宋" w:eastAsia="仿宋" w:cs="宋体"/>
                <w:color w:val="auto"/>
                <w:szCs w:val="21"/>
                <w:highlight w:val="none"/>
              </w:rPr>
            </w:pPr>
          </w:p>
        </w:tc>
      </w:tr>
      <w:tr w14:paraId="05A34C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820" w:type="dxa"/>
            <w:noWrap w:val="0"/>
            <w:vAlign w:val="center"/>
          </w:tcPr>
          <w:p w14:paraId="26B4637E">
            <w:pPr>
              <w:keepNext w:val="0"/>
              <w:keepLines w:val="0"/>
              <w:pageBreakBefore w:val="0"/>
              <w:suppressLineNumbers w:val="0"/>
              <w:kinsoku/>
              <w:overflowPunct/>
              <w:bidi w:val="0"/>
              <w:spacing w:before="0" w:beforeAutospacing="0" w:after="0" w:afterAutospacing="0" w:line="600" w:lineRule="exact"/>
              <w:ind w:left="0" w:right="0"/>
              <w:jc w:val="center"/>
              <w:rPr>
                <w:rFonts w:hint="eastAsia" w:ascii="仿宋" w:hAnsi="仿宋" w:eastAsia="仿宋" w:cs="宋体"/>
                <w:color w:val="auto"/>
                <w:szCs w:val="21"/>
                <w:highlight w:val="none"/>
              </w:rPr>
            </w:pPr>
          </w:p>
        </w:tc>
        <w:tc>
          <w:tcPr>
            <w:tcW w:w="827" w:type="dxa"/>
            <w:noWrap w:val="0"/>
            <w:vAlign w:val="center"/>
          </w:tcPr>
          <w:p w14:paraId="27D1E0DF">
            <w:pPr>
              <w:keepNext w:val="0"/>
              <w:keepLines w:val="0"/>
              <w:pageBreakBefore w:val="0"/>
              <w:suppressLineNumbers w:val="0"/>
              <w:kinsoku/>
              <w:overflowPunct/>
              <w:bidi w:val="0"/>
              <w:spacing w:before="0" w:beforeAutospacing="0" w:after="0" w:afterAutospacing="0" w:line="600" w:lineRule="exact"/>
              <w:ind w:left="0" w:right="0"/>
              <w:jc w:val="center"/>
              <w:rPr>
                <w:rFonts w:hint="eastAsia" w:ascii="仿宋" w:hAnsi="仿宋" w:eastAsia="仿宋" w:cs="宋体"/>
                <w:color w:val="auto"/>
                <w:szCs w:val="21"/>
                <w:highlight w:val="none"/>
              </w:rPr>
            </w:pPr>
          </w:p>
        </w:tc>
        <w:tc>
          <w:tcPr>
            <w:tcW w:w="1068" w:type="dxa"/>
            <w:noWrap w:val="0"/>
            <w:vAlign w:val="center"/>
          </w:tcPr>
          <w:p w14:paraId="3D19A7F0">
            <w:pPr>
              <w:keepNext w:val="0"/>
              <w:keepLines w:val="0"/>
              <w:pageBreakBefore w:val="0"/>
              <w:suppressLineNumbers w:val="0"/>
              <w:kinsoku/>
              <w:overflowPunct/>
              <w:bidi w:val="0"/>
              <w:spacing w:before="0" w:beforeAutospacing="0" w:after="0" w:afterAutospacing="0" w:line="600" w:lineRule="exact"/>
              <w:ind w:left="0" w:right="0"/>
              <w:jc w:val="center"/>
              <w:rPr>
                <w:rFonts w:hint="eastAsia" w:ascii="仿宋" w:hAnsi="仿宋" w:eastAsia="仿宋" w:cs="宋体"/>
                <w:color w:val="auto"/>
                <w:szCs w:val="21"/>
                <w:highlight w:val="none"/>
              </w:rPr>
            </w:pPr>
          </w:p>
        </w:tc>
        <w:tc>
          <w:tcPr>
            <w:tcW w:w="1192" w:type="dxa"/>
            <w:noWrap w:val="0"/>
            <w:vAlign w:val="center"/>
          </w:tcPr>
          <w:p w14:paraId="69ABF4B9">
            <w:pPr>
              <w:keepNext w:val="0"/>
              <w:keepLines w:val="0"/>
              <w:pageBreakBefore w:val="0"/>
              <w:suppressLineNumbers w:val="0"/>
              <w:kinsoku/>
              <w:overflowPunct/>
              <w:bidi w:val="0"/>
              <w:spacing w:before="0" w:beforeAutospacing="0" w:after="0" w:afterAutospacing="0" w:line="600" w:lineRule="exact"/>
              <w:ind w:left="0" w:right="0"/>
              <w:jc w:val="center"/>
              <w:rPr>
                <w:rFonts w:hint="eastAsia" w:ascii="仿宋" w:hAnsi="仿宋" w:eastAsia="仿宋" w:cs="宋体"/>
                <w:color w:val="auto"/>
                <w:szCs w:val="21"/>
                <w:highlight w:val="none"/>
              </w:rPr>
            </w:pPr>
          </w:p>
        </w:tc>
        <w:tc>
          <w:tcPr>
            <w:tcW w:w="1160" w:type="dxa"/>
            <w:noWrap w:val="0"/>
            <w:vAlign w:val="center"/>
          </w:tcPr>
          <w:p w14:paraId="67ADBCCC">
            <w:pPr>
              <w:keepNext w:val="0"/>
              <w:keepLines w:val="0"/>
              <w:pageBreakBefore w:val="0"/>
              <w:suppressLineNumbers w:val="0"/>
              <w:kinsoku/>
              <w:overflowPunct/>
              <w:bidi w:val="0"/>
              <w:spacing w:before="0" w:beforeAutospacing="0" w:after="0" w:afterAutospacing="0" w:line="600" w:lineRule="exact"/>
              <w:ind w:left="0" w:right="0"/>
              <w:jc w:val="center"/>
              <w:rPr>
                <w:rFonts w:hint="eastAsia" w:ascii="仿宋" w:hAnsi="仿宋" w:eastAsia="仿宋" w:cs="宋体"/>
                <w:color w:val="auto"/>
                <w:szCs w:val="21"/>
                <w:highlight w:val="none"/>
              </w:rPr>
            </w:pPr>
          </w:p>
        </w:tc>
        <w:tc>
          <w:tcPr>
            <w:tcW w:w="1275" w:type="dxa"/>
            <w:noWrap w:val="0"/>
            <w:vAlign w:val="center"/>
          </w:tcPr>
          <w:p w14:paraId="316491A2">
            <w:pPr>
              <w:keepNext w:val="0"/>
              <w:keepLines w:val="0"/>
              <w:pageBreakBefore w:val="0"/>
              <w:suppressLineNumbers w:val="0"/>
              <w:kinsoku/>
              <w:overflowPunct/>
              <w:bidi w:val="0"/>
              <w:spacing w:before="0" w:beforeAutospacing="0" w:after="0" w:afterAutospacing="0" w:line="600" w:lineRule="exact"/>
              <w:ind w:left="0" w:right="0"/>
              <w:jc w:val="center"/>
              <w:rPr>
                <w:rFonts w:hint="eastAsia" w:ascii="仿宋" w:hAnsi="仿宋" w:eastAsia="仿宋" w:cs="宋体"/>
                <w:color w:val="auto"/>
                <w:szCs w:val="21"/>
                <w:highlight w:val="none"/>
              </w:rPr>
            </w:pPr>
          </w:p>
        </w:tc>
        <w:tc>
          <w:tcPr>
            <w:tcW w:w="1134" w:type="dxa"/>
            <w:noWrap w:val="0"/>
            <w:vAlign w:val="center"/>
          </w:tcPr>
          <w:p w14:paraId="6FD796C5">
            <w:pPr>
              <w:keepNext w:val="0"/>
              <w:keepLines w:val="0"/>
              <w:pageBreakBefore w:val="0"/>
              <w:suppressLineNumbers w:val="0"/>
              <w:kinsoku/>
              <w:overflowPunct/>
              <w:bidi w:val="0"/>
              <w:spacing w:before="0" w:beforeAutospacing="0" w:after="0" w:afterAutospacing="0" w:line="600" w:lineRule="exact"/>
              <w:ind w:left="0" w:right="0"/>
              <w:jc w:val="center"/>
              <w:rPr>
                <w:rFonts w:hint="eastAsia" w:ascii="仿宋" w:hAnsi="仿宋" w:eastAsia="仿宋" w:cs="宋体"/>
                <w:color w:val="auto"/>
                <w:szCs w:val="21"/>
                <w:highlight w:val="none"/>
              </w:rPr>
            </w:pPr>
          </w:p>
        </w:tc>
        <w:tc>
          <w:tcPr>
            <w:tcW w:w="1418" w:type="dxa"/>
            <w:noWrap w:val="0"/>
            <w:vAlign w:val="center"/>
          </w:tcPr>
          <w:p w14:paraId="48D9CEC9">
            <w:pPr>
              <w:keepNext w:val="0"/>
              <w:keepLines w:val="0"/>
              <w:pageBreakBefore w:val="0"/>
              <w:suppressLineNumbers w:val="0"/>
              <w:kinsoku/>
              <w:overflowPunct/>
              <w:bidi w:val="0"/>
              <w:spacing w:before="0" w:beforeAutospacing="0" w:after="0" w:afterAutospacing="0" w:line="600" w:lineRule="exact"/>
              <w:ind w:left="0" w:right="0"/>
              <w:jc w:val="center"/>
              <w:rPr>
                <w:rFonts w:hint="eastAsia" w:ascii="仿宋" w:hAnsi="仿宋" w:eastAsia="仿宋" w:cs="宋体"/>
                <w:color w:val="auto"/>
                <w:szCs w:val="21"/>
                <w:highlight w:val="none"/>
              </w:rPr>
            </w:pPr>
          </w:p>
        </w:tc>
        <w:tc>
          <w:tcPr>
            <w:tcW w:w="954" w:type="dxa"/>
            <w:noWrap w:val="0"/>
            <w:vAlign w:val="center"/>
          </w:tcPr>
          <w:p w14:paraId="03623304">
            <w:pPr>
              <w:keepNext w:val="0"/>
              <w:keepLines w:val="0"/>
              <w:pageBreakBefore w:val="0"/>
              <w:suppressLineNumbers w:val="0"/>
              <w:kinsoku/>
              <w:overflowPunct/>
              <w:bidi w:val="0"/>
              <w:spacing w:before="0" w:beforeAutospacing="0" w:after="0" w:afterAutospacing="0" w:line="600" w:lineRule="exact"/>
              <w:ind w:left="0" w:right="0"/>
              <w:jc w:val="center"/>
              <w:rPr>
                <w:rFonts w:hint="eastAsia" w:ascii="仿宋" w:hAnsi="仿宋" w:eastAsia="仿宋" w:cs="宋体"/>
                <w:color w:val="auto"/>
                <w:szCs w:val="21"/>
                <w:highlight w:val="none"/>
              </w:rPr>
            </w:pPr>
          </w:p>
        </w:tc>
      </w:tr>
      <w:tr w14:paraId="059642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820" w:type="dxa"/>
            <w:noWrap w:val="0"/>
            <w:vAlign w:val="center"/>
          </w:tcPr>
          <w:p w14:paraId="6FEABE80">
            <w:pPr>
              <w:keepNext w:val="0"/>
              <w:keepLines w:val="0"/>
              <w:pageBreakBefore w:val="0"/>
              <w:suppressLineNumbers w:val="0"/>
              <w:kinsoku/>
              <w:overflowPunct/>
              <w:bidi w:val="0"/>
              <w:spacing w:before="0" w:beforeAutospacing="0" w:after="0" w:afterAutospacing="0" w:line="600" w:lineRule="exact"/>
              <w:ind w:left="0" w:right="0"/>
              <w:jc w:val="center"/>
              <w:rPr>
                <w:rFonts w:hint="eastAsia" w:ascii="仿宋" w:hAnsi="仿宋" w:eastAsia="仿宋" w:cs="宋体"/>
                <w:color w:val="auto"/>
                <w:szCs w:val="21"/>
                <w:highlight w:val="none"/>
              </w:rPr>
            </w:pPr>
          </w:p>
        </w:tc>
        <w:tc>
          <w:tcPr>
            <w:tcW w:w="827" w:type="dxa"/>
            <w:noWrap w:val="0"/>
            <w:vAlign w:val="center"/>
          </w:tcPr>
          <w:p w14:paraId="347E5DDD">
            <w:pPr>
              <w:keepNext w:val="0"/>
              <w:keepLines w:val="0"/>
              <w:pageBreakBefore w:val="0"/>
              <w:suppressLineNumbers w:val="0"/>
              <w:kinsoku/>
              <w:overflowPunct/>
              <w:bidi w:val="0"/>
              <w:spacing w:before="0" w:beforeAutospacing="0" w:after="0" w:afterAutospacing="0" w:line="600" w:lineRule="exact"/>
              <w:ind w:left="0" w:right="0"/>
              <w:jc w:val="center"/>
              <w:rPr>
                <w:rFonts w:hint="eastAsia" w:ascii="仿宋" w:hAnsi="仿宋" w:eastAsia="仿宋" w:cs="宋体"/>
                <w:color w:val="auto"/>
                <w:szCs w:val="21"/>
                <w:highlight w:val="none"/>
              </w:rPr>
            </w:pPr>
          </w:p>
        </w:tc>
        <w:tc>
          <w:tcPr>
            <w:tcW w:w="1068" w:type="dxa"/>
            <w:noWrap w:val="0"/>
            <w:vAlign w:val="center"/>
          </w:tcPr>
          <w:p w14:paraId="3C4A911E">
            <w:pPr>
              <w:keepNext w:val="0"/>
              <w:keepLines w:val="0"/>
              <w:pageBreakBefore w:val="0"/>
              <w:suppressLineNumbers w:val="0"/>
              <w:kinsoku/>
              <w:overflowPunct/>
              <w:bidi w:val="0"/>
              <w:spacing w:before="0" w:beforeAutospacing="0" w:after="0" w:afterAutospacing="0" w:line="600" w:lineRule="exact"/>
              <w:ind w:left="0" w:right="0"/>
              <w:jc w:val="center"/>
              <w:rPr>
                <w:rFonts w:hint="eastAsia" w:ascii="仿宋" w:hAnsi="仿宋" w:eastAsia="仿宋" w:cs="宋体"/>
                <w:color w:val="auto"/>
                <w:szCs w:val="21"/>
                <w:highlight w:val="none"/>
              </w:rPr>
            </w:pPr>
          </w:p>
        </w:tc>
        <w:tc>
          <w:tcPr>
            <w:tcW w:w="1192" w:type="dxa"/>
            <w:noWrap w:val="0"/>
            <w:vAlign w:val="center"/>
          </w:tcPr>
          <w:p w14:paraId="48A5E4F0">
            <w:pPr>
              <w:keepNext w:val="0"/>
              <w:keepLines w:val="0"/>
              <w:pageBreakBefore w:val="0"/>
              <w:suppressLineNumbers w:val="0"/>
              <w:kinsoku/>
              <w:overflowPunct/>
              <w:bidi w:val="0"/>
              <w:spacing w:before="0" w:beforeAutospacing="0" w:after="0" w:afterAutospacing="0" w:line="600" w:lineRule="exact"/>
              <w:ind w:left="0" w:right="0"/>
              <w:jc w:val="center"/>
              <w:rPr>
                <w:rFonts w:hint="eastAsia" w:ascii="仿宋" w:hAnsi="仿宋" w:eastAsia="仿宋" w:cs="宋体"/>
                <w:color w:val="auto"/>
                <w:szCs w:val="21"/>
                <w:highlight w:val="none"/>
              </w:rPr>
            </w:pPr>
          </w:p>
        </w:tc>
        <w:tc>
          <w:tcPr>
            <w:tcW w:w="1160" w:type="dxa"/>
            <w:noWrap w:val="0"/>
            <w:vAlign w:val="center"/>
          </w:tcPr>
          <w:p w14:paraId="68336FAB">
            <w:pPr>
              <w:keepNext w:val="0"/>
              <w:keepLines w:val="0"/>
              <w:pageBreakBefore w:val="0"/>
              <w:suppressLineNumbers w:val="0"/>
              <w:kinsoku/>
              <w:overflowPunct/>
              <w:bidi w:val="0"/>
              <w:spacing w:before="0" w:beforeAutospacing="0" w:after="0" w:afterAutospacing="0" w:line="600" w:lineRule="exact"/>
              <w:ind w:left="0" w:right="0"/>
              <w:jc w:val="center"/>
              <w:rPr>
                <w:rFonts w:hint="eastAsia" w:ascii="仿宋" w:hAnsi="仿宋" w:eastAsia="仿宋" w:cs="宋体"/>
                <w:color w:val="auto"/>
                <w:szCs w:val="21"/>
                <w:highlight w:val="none"/>
              </w:rPr>
            </w:pPr>
          </w:p>
        </w:tc>
        <w:tc>
          <w:tcPr>
            <w:tcW w:w="1275" w:type="dxa"/>
            <w:noWrap w:val="0"/>
            <w:vAlign w:val="center"/>
          </w:tcPr>
          <w:p w14:paraId="26AA9767">
            <w:pPr>
              <w:keepNext w:val="0"/>
              <w:keepLines w:val="0"/>
              <w:pageBreakBefore w:val="0"/>
              <w:suppressLineNumbers w:val="0"/>
              <w:kinsoku/>
              <w:overflowPunct/>
              <w:bidi w:val="0"/>
              <w:spacing w:before="0" w:beforeAutospacing="0" w:after="0" w:afterAutospacing="0" w:line="600" w:lineRule="exact"/>
              <w:ind w:left="0" w:right="0"/>
              <w:jc w:val="center"/>
              <w:rPr>
                <w:rFonts w:hint="eastAsia" w:ascii="仿宋" w:hAnsi="仿宋" w:eastAsia="仿宋" w:cs="宋体"/>
                <w:color w:val="auto"/>
                <w:szCs w:val="21"/>
                <w:highlight w:val="none"/>
              </w:rPr>
            </w:pPr>
          </w:p>
        </w:tc>
        <w:tc>
          <w:tcPr>
            <w:tcW w:w="1134" w:type="dxa"/>
            <w:noWrap w:val="0"/>
            <w:vAlign w:val="center"/>
          </w:tcPr>
          <w:p w14:paraId="5499EBC0">
            <w:pPr>
              <w:keepNext w:val="0"/>
              <w:keepLines w:val="0"/>
              <w:pageBreakBefore w:val="0"/>
              <w:suppressLineNumbers w:val="0"/>
              <w:kinsoku/>
              <w:overflowPunct/>
              <w:bidi w:val="0"/>
              <w:spacing w:before="0" w:beforeAutospacing="0" w:after="0" w:afterAutospacing="0" w:line="600" w:lineRule="exact"/>
              <w:ind w:left="0" w:right="0"/>
              <w:jc w:val="center"/>
              <w:rPr>
                <w:rFonts w:hint="eastAsia" w:ascii="仿宋" w:hAnsi="仿宋" w:eastAsia="仿宋" w:cs="宋体"/>
                <w:color w:val="auto"/>
                <w:szCs w:val="21"/>
                <w:highlight w:val="none"/>
              </w:rPr>
            </w:pPr>
          </w:p>
        </w:tc>
        <w:tc>
          <w:tcPr>
            <w:tcW w:w="1418" w:type="dxa"/>
            <w:noWrap w:val="0"/>
            <w:vAlign w:val="center"/>
          </w:tcPr>
          <w:p w14:paraId="29A7A2C7">
            <w:pPr>
              <w:keepNext w:val="0"/>
              <w:keepLines w:val="0"/>
              <w:pageBreakBefore w:val="0"/>
              <w:suppressLineNumbers w:val="0"/>
              <w:kinsoku/>
              <w:overflowPunct/>
              <w:bidi w:val="0"/>
              <w:spacing w:before="0" w:beforeAutospacing="0" w:after="0" w:afterAutospacing="0" w:line="600" w:lineRule="exact"/>
              <w:ind w:left="0" w:right="0"/>
              <w:jc w:val="center"/>
              <w:rPr>
                <w:rFonts w:hint="eastAsia" w:ascii="仿宋" w:hAnsi="仿宋" w:eastAsia="仿宋" w:cs="宋体"/>
                <w:color w:val="auto"/>
                <w:szCs w:val="21"/>
                <w:highlight w:val="none"/>
              </w:rPr>
            </w:pPr>
          </w:p>
        </w:tc>
        <w:tc>
          <w:tcPr>
            <w:tcW w:w="954" w:type="dxa"/>
            <w:noWrap w:val="0"/>
            <w:vAlign w:val="center"/>
          </w:tcPr>
          <w:p w14:paraId="44DD9C95">
            <w:pPr>
              <w:keepNext w:val="0"/>
              <w:keepLines w:val="0"/>
              <w:pageBreakBefore w:val="0"/>
              <w:suppressLineNumbers w:val="0"/>
              <w:kinsoku/>
              <w:overflowPunct/>
              <w:bidi w:val="0"/>
              <w:spacing w:before="0" w:beforeAutospacing="0" w:after="0" w:afterAutospacing="0" w:line="600" w:lineRule="exact"/>
              <w:ind w:left="0" w:right="0"/>
              <w:jc w:val="center"/>
              <w:rPr>
                <w:rFonts w:hint="eastAsia" w:ascii="仿宋" w:hAnsi="仿宋" w:eastAsia="仿宋" w:cs="宋体"/>
                <w:color w:val="auto"/>
                <w:szCs w:val="21"/>
                <w:highlight w:val="none"/>
              </w:rPr>
            </w:pPr>
          </w:p>
        </w:tc>
      </w:tr>
    </w:tbl>
    <w:p w14:paraId="313E2025">
      <w:pPr>
        <w:pageBreakBefore w:val="0"/>
        <w:kinsoku/>
        <w:overflowPunct/>
        <w:bidi w:val="0"/>
        <w:spacing w:line="600" w:lineRule="exact"/>
        <w:jc w:val="left"/>
        <w:rPr>
          <w:rFonts w:hint="eastAsia" w:ascii="仿宋" w:hAnsi="仿宋" w:eastAsia="仿宋" w:cs="宋体"/>
          <w:b/>
          <w:bCs/>
          <w:color w:val="auto"/>
          <w:sz w:val="24"/>
          <w:szCs w:val="24"/>
          <w:highlight w:val="none"/>
        </w:rPr>
      </w:pPr>
      <w:r>
        <w:rPr>
          <w:rFonts w:hint="eastAsia" w:ascii="仿宋" w:hAnsi="仿宋" w:eastAsia="仿宋" w:cs="宋体"/>
          <w:b/>
          <w:bCs/>
          <w:color w:val="auto"/>
          <w:sz w:val="24"/>
          <w:szCs w:val="24"/>
          <w:highlight w:val="none"/>
        </w:rPr>
        <w:t>备注：</w:t>
      </w:r>
    </w:p>
    <w:p w14:paraId="169BA1D6">
      <w:pPr>
        <w:pageBreakBefore w:val="0"/>
        <w:kinsoku/>
        <w:overflowPunct/>
        <w:bidi w:val="0"/>
        <w:spacing w:line="600" w:lineRule="exact"/>
        <w:textAlignment w:val="baseline"/>
        <w:rPr>
          <w:rFonts w:hint="eastAsia" w:ascii="仿宋" w:hAnsi="仿宋" w:eastAsia="仿宋" w:cs="宋体"/>
          <w:b/>
          <w:color w:val="auto"/>
          <w:sz w:val="24"/>
          <w:szCs w:val="24"/>
          <w:highlight w:val="none"/>
        </w:rPr>
      </w:pPr>
      <w:r>
        <w:rPr>
          <w:rFonts w:hint="eastAsia" w:ascii="仿宋" w:hAnsi="仿宋" w:eastAsia="仿宋" w:cs="宋体"/>
          <w:b/>
          <w:color w:val="auto"/>
          <w:sz w:val="24"/>
          <w:szCs w:val="24"/>
          <w:highlight w:val="none"/>
        </w:rPr>
        <w:t>1）有效的业绩证明材料包括合同关键页、框架协议及订单等。合同关键页包含但不限于合同首页、合同标的页、签署日期页及盖章页等，按照业绩表的项目名称，顺序排放每个项目的证明材料。</w:t>
      </w:r>
    </w:p>
    <w:p w14:paraId="0A142E51">
      <w:pPr>
        <w:pageBreakBefore w:val="0"/>
        <w:kinsoku/>
        <w:overflowPunct/>
        <w:bidi w:val="0"/>
        <w:spacing w:line="600" w:lineRule="exact"/>
        <w:textAlignment w:val="baseline"/>
        <w:rPr>
          <w:rFonts w:hint="eastAsia" w:ascii="仿宋" w:hAnsi="仿宋" w:eastAsia="仿宋" w:cs="宋体"/>
          <w:b/>
          <w:color w:val="auto"/>
          <w:sz w:val="24"/>
          <w:szCs w:val="24"/>
          <w:highlight w:val="none"/>
        </w:rPr>
      </w:pPr>
      <w:r>
        <w:rPr>
          <w:rFonts w:hint="eastAsia" w:ascii="仿宋" w:hAnsi="仿宋" w:eastAsia="仿宋" w:cs="宋体"/>
          <w:b/>
          <w:color w:val="auto"/>
          <w:sz w:val="24"/>
          <w:szCs w:val="24"/>
          <w:highlight w:val="none"/>
        </w:rPr>
        <w:t>2）按照招标公告的资格要求，提供实施案例的有效证明材料，作为资格后审的评审依据。</w:t>
      </w:r>
    </w:p>
    <w:p w14:paraId="00E7B224">
      <w:pPr>
        <w:pageBreakBefore w:val="0"/>
        <w:kinsoku/>
        <w:overflowPunct/>
        <w:bidi w:val="0"/>
        <w:spacing w:line="600" w:lineRule="exact"/>
        <w:textAlignment w:val="baseline"/>
        <w:rPr>
          <w:rFonts w:hint="eastAsia" w:ascii="仿宋" w:hAnsi="仿宋" w:eastAsia="仿宋" w:cs="宋体"/>
          <w:b/>
          <w:color w:val="auto"/>
          <w:sz w:val="24"/>
          <w:szCs w:val="24"/>
          <w:highlight w:val="none"/>
        </w:rPr>
      </w:pPr>
      <w:r>
        <w:rPr>
          <w:rFonts w:hint="eastAsia" w:ascii="仿宋" w:hAnsi="仿宋" w:eastAsia="仿宋" w:cs="宋体"/>
          <w:b/>
          <w:color w:val="auto"/>
          <w:sz w:val="24"/>
          <w:szCs w:val="24"/>
          <w:highlight w:val="none"/>
        </w:rPr>
        <w:t>3）本业绩表及证明材料也作为详细评审中对同类项目实施经验的评审及打分依据，投标人需根据详细评审要求，提供符合要求的业绩证明材料。</w:t>
      </w:r>
    </w:p>
    <w:p w14:paraId="55227236">
      <w:pPr>
        <w:pageBreakBefore w:val="0"/>
        <w:kinsoku/>
        <w:overflowPunct/>
        <w:bidi w:val="0"/>
        <w:spacing w:line="600" w:lineRule="exact"/>
        <w:jc w:val="right"/>
        <w:textAlignment w:val="baseline"/>
        <w:rPr>
          <w:rFonts w:hint="eastAsia" w:ascii="仿宋" w:hAnsi="仿宋" w:eastAsia="仿宋" w:cs="Cambria Math"/>
          <w:color w:val="auto"/>
          <w:sz w:val="24"/>
          <w:highlight w:val="none"/>
        </w:rPr>
      </w:pPr>
      <w:r>
        <w:rPr>
          <w:rFonts w:hint="eastAsia" w:ascii="仿宋" w:hAnsi="仿宋" w:eastAsia="仿宋" w:cs="Cambria Math"/>
          <w:color w:val="auto"/>
          <w:sz w:val="24"/>
          <w:highlight w:val="none"/>
        </w:rPr>
        <w:t>投标人名称：</w:t>
      </w:r>
      <w:r>
        <w:rPr>
          <w:rFonts w:hint="eastAsia" w:ascii="仿宋" w:hAnsi="仿宋" w:eastAsia="仿宋" w:cs="Cambria Math"/>
          <w:color w:val="auto"/>
          <w:sz w:val="24"/>
          <w:highlight w:val="none"/>
          <w:u w:val="single"/>
        </w:rPr>
        <w:t xml:space="preserve">     </w:t>
      </w:r>
      <w:r>
        <w:rPr>
          <w:rFonts w:hint="eastAsia" w:ascii="仿宋" w:hAnsi="仿宋" w:eastAsia="仿宋" w:cs="Cambria Math"/>
          <w:color w:val="auto"/>
          <w:sz w:val="24"/>
          <w:highlight w:val="none"/>
        </w:rPr>
        <w:t>（盖章）</w:t>
      </w:r>
    </w:p>
    <w:p w14:paraId="5B34E481">
      <w:pPr>
        <w:pageBreakBefore w:val="0"/>
        <w:kinsoku/>
        <w:overflowPunct/>
        <w:bidi w:val="0"/>
        <w:spacing w:line="600" w:lineRule="exact"/>
        <w:jc w:val="right"/>
        <w:rPr>
          <w:rFonts w:hint="eastAsia" w:ascii="仿宋" w:hAnsi="仿宋" w:cs="宋体"/>
          <w:color w:val="auto"/>
          <w:szCs w:val="24"/>
          <w:highlight w:val="none"/>
          <w:lang w:val="en-US" w:eastAsia="zh-CN"/>
        </w:rPr>
      </w:pPr>
      <w:r>
        <w:rPr>
          <w:rFonts w:hint="eastAsia" w:ascii="仿宋" w:hAnsi="仿宋" w:eastAsia="仿宋" w:cs="Cambria Math"/>
          <w:color w:val="auto"/>
          <w:sz w:val="24"/>
          <w:highlight w:val="none"/>
        </w:rPr>
        <w:t>日期：</w:t>
      </w:r>
      <w:r>
        <w:rPr>
          <w:rFonts w:hint="eastAsia" w:ascii="仿宋" w:hAnsi="仿宋" w:eastAsia="仿宋" w:cs="Cambria Math"/>
          <w:color w:val="auto"/>
          <w:sz w:val="24"/>
          <w:highlight w:val="none"/>
          <w:u w:val="single"/>
        </w:rPr>
        <w:t xml:space="preserve">   </w:t>
      </w:r>
      <w:r>
        <w:rPr>
          <w:rFonts w:hint="eastAsia" w:ascii="仿宋" w:hAnsi="仿宋" w:eastAsia="仿宋" w:cs="Cambria Math"/>
          <w:color w:val="auto"/>
          <w:sz w:val="24"/>
          <w:highlight w:val="none"/>
        </w:rPr>
        <w:t>年</w:t>
      </w:r>
      <w:r>
        <w:rPr>
          <w:rFonts w:hint="eastAsia" w:ascii="仿宋" w:hAnsi="仿宋" w:eastAsia="仿宋" w:cs="Cambria Math"/>
          <w:color w:val="auto"/>
          <w:sz w:val="24"/>
          <w:highlight w:val="none"/>
          <w:u w:val="single"/>
        </w:rPr>
        <w:t xml:space="preserve">   </w:t>
      </w:r>
      <w:r>
        <w:rPr>
          <w:rFonts w:hint="eastAsia" w:ascii="仿宋" w:hAnsi="仿宋" w:eastAsia="仿宋" w:cs="Cambria Math"/>
          <w:color w:val="auto"/>
          <w:sz w:val="24"/>
          <w:highlight w:val="none"/>
        </w:rPr>
        <w:t>月</w:t>
      </w:r>
      <w:r>
        <w:rPr>
          <w:rFonts w:hint="eastAsia" w:ascii="仿宋" w:hAnsi="仿宋" w:eastAsia="仿宋" w:cs="Cambria Math"/>
          <w:color w:val="auto"/>
          <w:sz w:val="24"/>
          <w:highlight w:val="none"/>
          <w:u w:val="single"/>
        </w:rPr>
        <w:t xml:space="preserve">   </w:t>
      </w:r>
      <w:r>
        <w:rPr>
          <w:rFonts w:hint="eastAsia" w:ascii="仿宋" w:hAnsi="仿宋" w:eastAsia="仿宋" w:cs="Cambria Math"/>
          <w:color w:val="auto"/>
          <w:sz w:val="24"/>
          <w:highlight w:val="none"/>
        </w:rPr>
        <w:t>日</w:t>
      </w:r>
    </w:p>
    <w:p w14:paraId="6D620C8D">
      <w:pPr>
        <w:pStyle w:val="6"/>
        <w:pageBreakBefore w:val="0"/>
        <w:numPr>
          <w:ilvl w:val="0"/>
          <w:numId w:val="0"/>
        </w:numPr>
        <w:kinsoku/>
        <w:overflowPunct/>
        <w:bidi w:val="0"/>
        <w:spacing w:line="600" w:lineRule="exact"/>
        <w:rPr>
          <w:rFonts w:hint="eastAsia" w:ascii="仿宋" w:hAnsi="仿宋" w:cs="宋体"/>
          <w:color w:val="auto"/>
          <w:szCs w:val="24"/>
          <w:highlight w:val="none"/>
        </w:rPr>
      </w:pPr>
      <w:r>
        <w:rPr>
          <w:rFonts w:hint="eastAsia" w:ascii="仿宋" w:hAnsi="仿宋" w:cs="宋体"/>
          <w:color w:val="auto"/>
          <w:szCs w:val="24"/>
          <w:highlight w:val="none"/>
          <w:lang w:val="en-US" w:eastAsia="zh-CN"/>
        </w:rPr>
        <w:t>4、</w:t>
      </w:r>
      <w:r>
        <w:rPr>
          <w:rFonts w:hint="eastAsia" w:ascii="仿宋" w:hAnsi="仿宋" w:cs="宋体"/>
          <w:color w:val="auto"/>
          <w:szCs w:val="24"/>
          <w:highlight w:val="none"/>
        </w:rPr>
        <w:t>企业税收和社会保障资金缴纳凭证</w:t>
      </w:r>
    </w:p>
    <w:p w14:paraId="4E3C7F18">
      <w:pPr>
        <w:pageBreakBefore w:val="0"/>
        <w:kinsoku/>
        <w:overflowPunct/>
        <w:bidi w:val="0"/>
        <w:spacing w:line="600" w:lineRule="exact"/>
        <w:textAlignment w:val="baseline"/>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提供近6个月任意一个月的企业税收和社会保障资金缴纳凭证。</w:t>
      </w:r>
    </w:p>
    <w:p w14:paraId="7090B865">
      <w:pPr>
        <w:pageBreakBefore w:val="0"/>
        <w:kinsoku/>
        <w:overflowPunct/>
        <w:bidi w:val="0"/>
        <w:spacing w:line="600" w:lineRule="exact"/>
        <w:rPr>
          <w:rFonts w:hint="eastAsia" w:ascii="仿宋" w:hAnsi="仿宋" w:cs="宋体"/>
          <w:color w:val="auto"/>
          <w:szCs w:val="24"/>
          <w:highlight w:val="none"/>
          <w:lang w:val="en-US" w:eastAsia="zh-CN"/>
        </w:rPr>
      </w:pPr>
      <w:r>
        <w:rPr>
          <w:rFonts w:hint="eastAsia" w:ascii="仿宋" w:hAnsi="仿宋" w:cs="宋体"/>
          <w:color w:val="auto"/>
          <w:szCs w:val="24"/>
          <w:highlight w:val="none"/>
          <w:lang w:val="en-US" w:eastAsia="zh-CN"/>
        </w:rPr>
        <w:br w:type="page"/>
      </w:r>
    </w:p>
    <w:p w14:paraId="3D0CC37C">
      <w:pPr>
        <w:pStyle w:val="6"/>
        <w:pageBreakBefore w:val="0"/>
        <w:kinsoku/>
        <w:overflowPunct/>
        <w:bidi w:val="0"/>
        <w:spacing w:line="600" w:lineRule="exact"/>
        <w:rPr>
          <w:rFonts w:hint="eastAsia" w:ascii="仿宋" w:hAnsi="仿宋" w:cs="宋体"/>
          <w:color w:val="auto"/>
          <w:szCs w:val="24"/>
          <w:highlight w:val="none"/>
        </w:rPr>
      </w:pPr>
      <w:r>
        <w:rPr>
          <w:rFonts w:hint="eastAsia" w:ascii="仿宋" w:hAnsi="仿宋" w:cs="宋体"/>
          <w:color w:val="auto"/>
          <w:szCs w:val="24"/>
          <w:highlight w:val="none"/>
          <w:lang w:val="en-US" w:eastAsia="zh-CN"/>
        </w:rPr>
        <w:t>5</w:t>
      </w:r>
      <w:r>
        <w:rPr>
          <w:rFonts w:hint="eastAsia" w:ascii="仿宋" w:hAnsi="仿宋" w:cs="宋体"/>
          <w:color w:val="auto"/>
          <w:szCs w:val="24"/>
          <w:highlight w:val="none"/>
        </w:rPr>
        <w:t>、</w:t>
      </w:r>
      <w:r>
        <w:rPr>
          <w:rFonts w:hint="eastAsia" w:ascii="仿宋" w:hAnsi="仿宋" w:cs="仿宋"/>
          <w:color w:val="auto"/>
          <w:szCs w:val="24"/>
          <w:highlight w:val="none"/>
        </w:rPr>
        <w:t>无违法违规记录查询截图</w:t>
      </w:r>
    </w:p>
    <w:p w14:paraId="08BC9724">
      <w:pPr>
        <w:pageBreakBefore w:val="0"/>
        <w:kinsoku/>
        <w:overflowPunct/>
        <w:bidi w:val="0"/>
        <w:spacing w:line="600" w:lineRule="exact"/>
        <w:rPr>
          <w:rFonts w:ascii="仿宋" w:hAnsi="仿宋" w:eastAsia="仿宋" w:cs="微软雅黑"/>
          <w:color w:val="auto"/>
          <w:sz w:val="24"/>
          <w:highlight w:val="none"/>
        </w:rPr>
      </w:pPr>
      <w:r>
        <w:rPr>
          <w:rFonts w:hint="eastAsia" w:ascii="仿宋" w:hAnsi="仿宋" w:eastAsia="仿宋" w:cs="微软雅黑"/>
          <w:color w:val="auto"/>
          <w:sz w:val="24"/>
          <w:highlight w:val="none"/>
        </w:rPr>
        <w:t>（1）失信被执行人查询截图范例：</w:t>
      </w:r>
    </w:p>
    <w:p w14:paraId="569CDB17">
      <w:pPr>
        <w:pageBreakBefore w:val="0"/>
        <w:kinsoku/>
        <w:overflowPunct/>
        <w:bidi w:val="0"/>
        <w:spacing w:line="600" w:lineRule="exact"/>
        <w:rPr>
          <w:rFonts w:hint="eastAsia" w:ascii="仿宋" w:hAnsi="仿宋" w:eastAsia="仿宋"/>
          <w:color w:val="auto"/>
          <w:szCs w:val="21"/>
          <w:highlight w:val="none"/>
        </w:rPr>
      </w:pPr>
      <w:r>
        <w:rPr>
          <w:color w:val="auto"/>
          <w:highlight w:val="none"/>
        </w:rPr>
        <w:drawing>
          <wp:anchor distT="0" distB="0" distL="114300" distR="114300" simplePos="0" relativeHeight="251659264" behindDoc="0" locked="0" layoutInCell="1" allowOverlap="1">
            <wp:simplePos x="0" y="0"/>
            <wp:positionH relativeFrom="column">
              <wp:posOffset>-66675</wp:posOffset>
            </wp:positionH>
            <wp:positionV relativeFrom="paragraph">
              <wp:posOffset>90805</wp:posOffset>
            </wp:positionV>
            <wp:extent cx="6120765" cy="3044825"/>
            <wp:effectExtent l="0" t="0" r="13335" b="3175"/>
            <wp:wrapSquare wrapText="bothSides"/>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16"/>
                    <a:stretch>
                      <a:fillRect/>
                    </a:stretch>
                  </pic:blipFill>
                  <pic:spPr>
                    <a:xfrm>
                      <a:off x="0" y="0"/>
                      <a:ext cx="6120765" cy="3044825"/>
                    </a:xfrm>
                    <a:prstGeom prst="rect">
                      <a:avLst/>
                    </a:prstGeom>
                    <a:noFill/>
                    <a:ln>
                      <a:noFill/>
                    </a:ln>
                  </pic:spPr>
                </pic:pic>
              </a:graphicData>
            </a:graphic>
          </wp:anchor>
        </w:drawing>
      </w:r>
      <w:r>
        <w:rPr>
          <w:rFonts w:hint="eastAsia" w:ascii="仿宋" w:hAnsi="仿宋" w:eastAsia="仿宋" w:cs="微软雅黑"/>
          <w:color w:val="auto"/>
          <w:sz w:val="24"/>
          <w:highlight w:val="none"/>
        </w:rPr>
        <w:t>（2）</w:t>
      </w:r>
      <w:bookmarkStart w:id="675" w:name="_Hlk112078474"/>
      <w:r>
        <w:rPr>
          <w:rFonts w:hint="eastAsia" w:ascii="仿宋" w:hAnsi="仿宋" w:eastAsia="仿宋" w:cs="微软雅黑"/>
          <w:color w:val="auto"/>
          <w:sz w:val="24"/>
          <w:highlight w:val="none"/>
        </w:rPr>
        <w:t>重大</w:t>
      </w:r>
      <w:r>
        <w:rPr>
          <w:rFonts w:hint="eastAsia" w:ascii="仿宋" w:hAnsi="仿宋" w:eastAsia="仿宋" w:cs="仿宋"/>
          <w:color w:val="auto"/>
          <w:sz w:val="24"/>
          <w:szCs w:val="24"/>
          <w:highlight w:val="none"/>
        </w:rPr>
        <w:t>税收违法失信主体</w:t>
      </w:r>
      <w:r>
        <w:rPr>
          <w:rFonts w:hint="eastAsia" w:ascii="仿宋" w:hAnsi="仿宋" w:eastAsia="仿宋" w:cs="微软雅黑"/>
          <w:color w:val="auto"/>
          <w:sz w:val="24"/>
          <w:highlight w:val="none"/>
        </w:rPr>
        <w:t>查询截图范例：</w:t>
      </w:r>
    </w:p>
    <w:bookmarkEnd w:id="675"/>
    <w:p w14:paraId="51354C86">
      <w:pPr>
        <w:pageBreakBefore w:val="0"/>
        <w:kinsoku/>
        <w:overflowPunct/>
        <w:bidi w:val="0"/>
        <w:spacing w:line="600" w:lineRule="exact"/>
        <w:rPr>
          <w:rFonts w:ascii="仿宋" w:hAnsi="仿宋" w:eastAsia="仿宋"/>
          <w:color w:val="auto"/>
          <w:szCs w:val="21"/>
          <w:highlight w:val="none"/>
        </w:rPr>
      </w:pPr>
      <w:bookmarkStart w:id="676" w:name="_Hlk112078519"/>
      <w:r>
        <w:rPr>
          <w:rFonts w:ascii="仿宋" w:hAnsi="仿宋" w:eastAsia="仿宋"/>
          <w:color w:val="auto"/>
          <w:szCs w:val="21"/>
          <w:highlight w:val="none"/>
        </w:rPr>
        <w:drawing>
          <wp:anchor distT="0" distB="0" distL="114300" distR="114300" simplePos="0" relativeHeight="251660288" behindDoc="0" locked="0" layoutInCell="1" allowOverlap="1">
            <wp:simplePos x="0" y="0"/>
            <wp:positionH relativeFrom="column">
              <wp:posOffset>-95250</wp:posOffset>
            </wp:positionH>
            <wp:positionV relativeFrom="paragraph">
              <wp:posOffset>95250</wp:posOffset>
            </wp:positionV>
            <wp:extent cx="6119495" cy="3493770"/>
            <wp:effectExtent l="0" t="0" r="14605" b="11430"/>
            <wp:wrapSquare wrapText="bothSides"/>
            <wp:docPr id="3" name="图片 2" descr="微信图片_20220713154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descr="微信图片_20220713154746"/>
                    <pic:cNvPicPr>
                      <a:picLocks noChangeAspect="1"/>
                    </pic:cNvPicPr>
                  </pic:nvPicPr>
                  <pic:blipFill>
                    <a:blip r:embed="rId17"/>
                    <a:stretch>
                      <a:fillRect/>
                    </a:stretch>
                  </pic:blipFill>
                  <pic:spPr>
                    <a:xfrm>
                      <a:off x="0" y="0"/>
                      <a:ext cx="6119495" cy="3493770"/>
                    </a:xfrm>
                    <a:prstGeom prst="rect">
                      <a:avLst/>
                    </a:prstGeom>
                    <a:noFill/>
                    <a:ln>
                      <a:noFill/>
                    </a:ln>
                  </pic:spPr>
                </pic:pic>
              </a:graphicData>
            </a:graphic>
          </wp:anchor>
        </w:drawing>
      </w:r>
      <w:bookmarkEnd w:id="676"/>
    </w:p>
    <w:p w14:paraId="2CCF31BE">
      <w:pPr>
        <w:pageBreakBefore w:val="0"/>
        <w:kinsoku/>
        <w:overflowPunct/>
        <w:bidi w:val="0"/>
        <w:spacing w:line="600" w:lineRule="exact"/>
        <w:rPr>
          <w:rFonts w:ascii="仿宋" w:hAnsi="仿宋" w:eastAsia="仿宋"/>
          <w:color w:val="auto"/>
          <w:szCs w:val="21"/>
          <w:highlight w:val="none"/>
        </w:rPr>
      </w:pPr>
    </w:p>
    <w:p w14:paraId="31E2ECBD">
      <w:pPr>
        <w:pageBreakBefore w:val="0"/>
        <w:kinsoku/>
        <w:overflowPunct/>
        <w:bidi w:val="0"/>
        <w:spacing w:line="600" w:lineRule="exact"/>
        <w:rPr>
          <w:rFonts w:ascii="仿宋" w:hAnsi="仿宋" w:eastAsia="仿宋"/>
          <w:color w:val="auto"/>
          <w:szCs w:val="21"/>
          <w:highlight w:val="none"/>
        </w:rPr>
      </w:pPr>
    </w:p>
    <w:p w14:paraId="16D018A0">
      <w:pPr>
        <w:pageBreakBefore w:val="0"/>
        <w:kinsoku/>
        <w:overflowPunct/>
        <w:bidi w:val="0"/>
        <w:spacing w:line="600" w:lineRule="exact"/>
        <w:rPr>
          <w:rFonts w:ascii="仿宋" w:hAnsi="仿宋" w:eastAsia="仿宋" w:cs="微软雅黑"/>
          <w:color w:val="auto"/>
          <w:sz w:val="24"/>
          <w:highlight w:val="none"/>
        </w:rPr>
      </w:pPr>
      <w:r>
        <w:rPr>
          <w:rFonts w:hint="eastAsia" w:ascii="仿宋" w:hAnsi="仿宋" w:eastAsia="仿宋" w:cs="微软雅黑"/>
          <w:color w:val="auto"/>
          <w:sz w:val="24"/>
          <w:highlight w:val="none"/>
        </w:rPr>
        <w:t>（3）政府采购严重违法失信行为记录名单查询截图范例：</w:t>
      </w:r>
    </w:p>
    <w:p w14:paraId="70193C0A">
      <w:pPr>
        <w:pageBreakBefore w:val="0"/>
        <w:kinsoku/>
        <w:overflowPunct/>
        <w:bidi w:val="0"/>
        <w:spacing w:line="600" w:lineRule="exact"/>
        <w:rPr>
          <w:rFonts w:hint="eastAsia"/>
          <w:color w:val="auto"/>
          <w:highlight w:val="none"/>
        </w:rPr>
      </w:pPr>
      <w:r>
        <w:rPr>
          <w:rFonts w:ascii="仿宋" w:hAnsi="仿宋" w:eastAsia="仿宋"/>
          <w:color w:val="auto"/>
          <w:highlight w:val="none"/>
        </w:rPr>
        <w:drawing>
          <wp:anchor distT="0" distB="0" distL="114300" distR="114300" simplePos="0" relativeHeight="251661312" behindDoc="0" locked="0" layoutInCell="1" allowOverlap="1">
            <wp:simplePos x="0" y="0"/>
            <wp:positionH relativeFrom="column">
              <wp:posOffset>-47625</wp:posOffset>
            </wp:positionH>
            <wp:positionV relativeFrom="paragraph">
              <wp:posOffset>71755</wp:posOffset>
            </wp:positionV>
            <wp:extent cx="6109335" cy="3307715"/>
            <wp:effectExtent l="0" t="0" r="12065" b="6985"/>
            <wp:wrapSquare wrapText="bothSides"/>
            <wp:docPr id="4" name="图片 4"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1"/>
                    <pic:cNvPicPr>
                      <a:picLocks noChangeAspect="1"/>
                    </pic:cNvPicPr>
                  </pic:nvPicPr>
                  <pic:blipFill>
                    <a:blip r:embed="rId18"/>
                    <a:stretch>
                      <a:fillRect/>
                    </a:stretch>
                  </pic:blipFill>
                  <pic:spPr>
                    <a:xfrm>
                      <a:off x="0" y="0"/>
                      <a:ext cx="6109335" cy="3307715"/>
                    </a:xfrm>
                    <a:prstGeom prst="rect">
                      <a:avLst/>
                    </a:prstGeom>
                    <a:noFill/>
                    <a:ln>
                      <a:noFill/>
                    </a:ln>
                  </pic:spPr>
                </pic:pic>
              </a:graphicData>
            </a:graphic>
          </wp:anchor>
        </w:drawing>
      </w:r>
    </w:p>
    <w:p w14:paraId="518447CC">
      <w:pPr>
        <w:pageBreakBefore w:val="0"/>
        <w:kinsoku/>
        <w:overflowPunct/>
        <w:bidi w:val="0"/>
        <w:spacing w:line="600" w:lineRule="exact"/>
        <w:rPr>
          <w:rFonts w:ascii="仿宋" w:hAnsi="仿宋" w:eastAsia="仿宋"/>
          <w:color w:val="auto"/>
          <w:highlight w:val="none"/>
        </w:rPr>
      </w:pPr>
    </w:p>
    <w:p w14:paraId="5050FDEC">
      <w:pPr>
        <w:pStyle w:val="6"/>
        <w:pageBreakBefore w:val="0"/>
        <w:kinsoku/>
        <w:overflowPunct/>
        <w:bidi w:val="0"/>
        <w:spacing w:line="600" w:lineRule="exact"/>
        <w:rPr>
          <w:rFonts w:hint="eastAsia" w:ascii="仿宋" w:hAnsi="仿宋" w:cs="微软雅黑"/>
          <w:color w:val="auto"/>
          <w:szCs w:val="24"/>
          <w:highlight w:val="none"/>
        </w:rPr>
      </w:pPr>
      <w:r>
        <w:rPr>
          <w:color w:val="auto"/>
          <w:highlight w:val="none"/>
        </w:rPr>
        <w:br w:type="page"/>
      </w:r>
      <w:r>
        <w:rPr>
          <w:rFonts w:hint="eastAsia" w:ascii="仿宋" w:hAnsi="仿宋" w:cs="仿宋"/>
          <w:color w:val="auto"/>
          <w:highlight w:val="none"/>
          <w:lang w:val="en-US" w:eastAsia="zh-CN"/>
        </w:rPr>
        <w:t>6</w:t>
      </w:r>
      <w:r>
        <w:rPr>
          <w:rFonts w:hint="eastAsia"/>
          <w:color w:val="auto"/>
          <w:highlight w:val="none"/>
        </w:rPr>
        <w:t>、</w:t>
      </w:r>
      <w:r>
        <w:rPr>
          <w:rFonts w:hint="eastAsia" w:ascii="仿宋" w:hAnsi="仿宋" w:cs="微软雅黑"/>
          <w:color w:val="auto"/>
          <w:szCs w:val="24"/>
          <w:highlight w:val="none"/>
        </w:rPr>
        <w:t>未列入供应商黑名单且未在禁入期承诺函</w:t>
      </w:r>
    </w:p>
    <w:p w14:paraId="10EE1105">
      <w:pPr>
        <w:pageBreakBefore w:val="0"/>
        <w:kinsoku/>
        <w:overflowPunct/>
        <w:bidi w:val="0"/>
        <w:adjustRightInd w:val="0"/>
        <w:snapToGrid w:val="0"/>
        <w:spacing w:before="240" w:line="600" w:lineRule="exact"/>
        <w:rPr>
          <w:rFonts w:hint="eastAsia" w:ascii="仿宋" w:hAnsi="仿宋" w:eastAsia="仿宋" w:cs="Cambria Math"/>
          <w:color w:val="auto"/>
          <w:sz w:val="24"/>
          <w:highlight w:val="none"/>
        </w:rPr>
      </w:pPr>
      <w:r>
        <w:rPr>
          <w:rFonts w:hint="eastAsia" w:ascii="仿宋" w:hAnsi="仿宋" w:eastAsia="仿宋" w:cs="Cambria Math"/>
          <w:color w:val="auto"/>
          <w:sz w:val="24"/>
          <w:highlight w:val="none"/>
        </w:rPr>
        <w:t>致：</w:t>
      </w:r>
      <w:r>
        <w:rPr>
          <w:rFonts w:hint="eastAsia" w:ascii="仿宋" w:hAnsi="仿宋" w:eastAsia="仿宋" w:cs="Cambria Math"/>
          <w:color w:val="auto"/>
          <w:sz w:val="24"/>
          <w:highlight w:val="none"/>
          <w:u w:val="single"/>
          <w:lang w:eastAsia="zh-CN"/>
        </w:rPr>
        <w:t>（</w:t>
      </w:r>
      <w:r>
        <w:rPr>
          <w:rFonts w:hint="eastAsia" w:ascii="仿宋" w:hAnsi="仿宋" w:eastAsia="仿宋" w:cs="Cambria Math"/>
          <w:color w:val="auto"/>
          <w:sz w:val="24"/>
          <w:highlight w:val="none"/>
          <w:u w:val="single"/>
          <w:lang w:val="en-US" w:eastAsia="zh-CN"/>
        </w:rPr>
        <w:t>招标人名称</w:t>
      </w:r>
      <w:r>
        <w:rPr>
          <w:rFonts w:hint="eastAsia" w:ascii="仿宋" w:hAnsi="仿宋" w:eastAsia="仿宋" w:cs="Cambria Math"/>
          <w:color w:val="auto"/>
          <w:sz w:val="24"/>
          <w:highlight w:val="none"/>
          <w:u w:val="single"/>
          <w:lang w:eastAsia="zh-CN"/>
        </w:rPr>
        <w:t>）</w:t>
      </w:r>
      <w:r>
        <w:rPr>
          <w:rFonts w:hint="eastAsia" w:ascii="仿宋" w:hAnsi="仿宋" w:eastAsia="仿宋" w:cs="Cambria Math"/>
          <w:color w:val="auto"/>
          <w:sz w:val="24"/>
          <w:highlight w:val="none"/>
          <w:u w:val="single"/>
        </w:rPr>
        <w:t>：</w:t>
      </w:r>
    </w:p>
    <w:p w14:paraId="35CE09F7">
      <w:pPr>
        <w:pageBreakBefore w:val="0"/>
        <w:kinsoku/>
        <w:overflowPunct/>
        <w:bidi w:val="0"/>
        <w:adjustRightInd w:val="0"/>
        <w:snapToGrid w:val="0"/>
        <w:spacing w:before="240" w:line="600" w:lineRule="exact"/>
        <w:ind w:firstLine="480" w:firstLineChars="200"/>
        <w:rPr>
          <w:rFonts w:hint="eastAsia" w:ascii="仿宋" w:hAnsi="仿宋" w:eastAsia="仿宋" w:cs="Cambria Math"/>
          <w:color w:val="auto"/>
          <w:sz w:val="24"/>
          <w:highlight w:val="none"/>
        </w:rPr>
      </w:pPr>
      <w:r>
        <w:rPr>
          <w:rFonts w:hint="eastAsia" w:ascii="仿宋" w:hAnsi="仿宋" w:eastAsia="仿宋" w:cs="Cambria Math"/>
          <w:color w:val="auto"/>
          <w:sz w:val="24"/>
          <w:highlight w:val="none"/>
        </w:rPr>
        <w:t>我方</w:t>
      </w:r>
      <w:r>
        <w:rPr>
          <w:rFonts w:hint="eastAsia" w:ascii="仿宋" w:hAnsi="仿宋" w:eastAsia="仿宋" w:cs="Cambria Math"/>
          <w:color w:val="auto"/>
          <w:sz w:val="24"/>
          <w:highlight w:val="none"/>
          <w:u w:val="single"/>
        </w:rPr>
        <w:t xml:space="preserve"> （投标人名称）</w:t>
      </w:r>
      <w:r>
        <w:rPr>
          <w:rFonts w:ascii="仿宋" w:hAnsi="仿宋" w:eastAsia="仿宋" w:cs="Cambria Math"/>
          <w:color w:val="auto"/>
          <w:sz w:val="24"/>
          <w:highlight w:val="none"/>
          <w:u w:val="single"/>
        </w:rPr>
        <w:t xml:space="preserve">  </w:t>
      </w:r>
      <w:r>
        <w:rPr>
          <w:rFonts w:hint="eastAsia" w:ascii="仿宋" w:hAnsi="仿宋" w:eastAsia="仿宋" w:cs="Cambria Math"/>
          <w:color w:val="auto"/>
          <w:sz w:val="24"/>
          <w:highlight w:val="none"/>
        </w:rPr>
        <w:t>承诺截至本项目投标文件递交截止时间，我方未被列入招标人及其所隶属的中国人民保险各级机构的供应商黑名单且未在禁入期内。</w:t>
      </w:r>
    </w:p>
    <w:p w14:paraId="1FA9F86A">
      <w:pPr>
        <w:pStyle w:val="13"/>
        <w:pageBreakBefore w:val="0"/>
        <w:kinsoku/>
        <w:overflowPunct/>
        <w:bidi w:val="0"/>
        <w:spacing w:line="600" w:lineRule="exact"/>
        <w:ind w:firstLine="480" w:firstLineChars="200"/>
        <w:rPr>
          <w:rFonts w:ascii="仿宋" w:hAnsi="仿宋" w:eastAsia="仿宋" w:cs="Cambria Math"/>
          <w:color w:val="auto"/>
          <w:sz w:val="24"/>
          <w:highlight w:val="none"/>
        </w:rPr>
      </w:pPr>
    </w:p>
    <w:p w14:paraId="3B21C42C">
      <w:pPr>
        <w:pStyle w:val="13"/>
        <w:pageBreakBefore w:val="0"/>
        <w:kinsoku/>
        <w:overflowPunct/>
        <w:bidi w:val="0"/>
        <w:spacing w:line="600" w:lineRule="exact"/>
        <w:ind w:firstLine="480" w:firstLineChars="200"/>
        <w:rPr>
          <w:rFonts w:hint="eastAsia" w:ascii="仿宋" w:hAnsi="仿宋" w:eastAsia="仿宋" w:cs="Cambria Math"/>
          <w:color w:val="auto"/>
          <w:sz w:val="24"/>
          <w:highlight w:val="none"/>
        </w:rPr>
      </w:pPr>
      <w:r>
        <w:rPr>
          <w:rFonts w:hint="eastAsia" w:ascii="仿宋" w:hAnsi="仿宋" w:eastAsia="仿宋" w:cs="Cambria Math"/>
          <w:color w:val="auto"/>
          <w:sz w:val="24"/>
          <w:highlight w:val="none"/>
        </w:rPr>
        <w:t>特此承诺。</w:t>
      </w:r>
    </w:p>
    <w:p w14:paraId="16F7E506">
      <w:pPr>
        <w:pStyle w:val="125"/>
        <w:pageBreakBefore w:val="0"/>
        <w:kinsoku/>
        <w:overflowPunct/>
        <w:bidi w:val="0"/>
        <w:spacing w:line="600" w:lineRule="exact"/>
        <w:ind w:firstLine="640"/>
        <w:rPr>
          <w:rFonts w:ascii="仿宋" w:hAnsi="仿宋" w:eastAsia="仿宋"/>
          <w:color w:val="auto"/>
          <w:highlight w:val="none"/>
        </w:rPr>
      </w:pPr>
    </w:p>
    <w:p w14:paraId="72AE7E6B">
      <w:pPr>
        <w:pageBreakBefore w:val="0"/>
        <w:kinsoku/>
        <w:overflowPunct/>
        <w:bidi w:val="0"/>
        <w:spacing w:line="600" w:lineRule="exact"/>
        <w:ind w:firstLine="4080" w:firstLineChars="1700"/>
        <w:jc w:val="right"/>
        <w:rPr>
          <w:rFonts w:ascii="仿宋" w:hAnsi="仿宋" w:eastAsia="仿宋" w:cs="Cambria Math"/>
          <w:color w:val="auto"/>
          <w:sz w:val="24"/>
          <w:highlight w:val="none"/>
        </w:rPr>
      </w:pPr>
    </w:p>
    <w:p w14:paraId="1C654D32">
      <w:pPr>
        <w:pageBreakBefore w:val="0"/>
        <w:kinsoku/>
        <w:overflowPunct/>
        <w:bidi w:val="0"/>
        <w:spacing w:line="600" w:lineRule="exact"/>
        <w:ind w:firstLine="4080" w:firstLineChars="1700"/>
        <w:jc w:val="right"/>
        <w:rPr>
          <w:rFonts w:hint="eastAsia" w:ascii="仿宋" w:hAnsi="仿宋" w:eastAsia="仿宋" w:cs="Cambria Math"/>
          <w:color w:val="auto"/>
          <w:sz w:val="24"/>
          <w:highlight w:val="none"/>
        </w:rPr>
      </w:pPr>
      <w:r>
        <w:rPr>
          <w:rFonts w:hint="eastAsia" w:ascii="仿宋" w:hAnsi="仿宋" w:eastAsia="仿宋" w:cs="Cambria Math"/>
          <w:color w:val="auto"/>
          <w:sz w:val="24"/>
          <w:highlight w:val="none"/>
        </w:rPr>
        <w:t>投标人名称：</w:t>
      </w:r>
      <w:r>
        <w:rPr>
          <w:rFonts w:hint="eastAsia" w:ascii="仿宋" w:hAnsi="仿宋" w:eastAsia="仿宋" w:cs="Cambria Math"/>
          <w:color w:val="auto"/>
          <w:sz w:val="24"/>
          <w:highlight w:val="none"/>
          <w:u w:val="single"/>
        </w:rPr>
        <w:t xml:space="preserve">     </w:t>
      </w:r>
      <w:r>
        <w:rPr>
          <w:rFonts w:hint="eastAsia" w:ascii="仿宋" w:hAnsi="仿宋" w:eastAsia="仿宋" w:cs="Cambria Math"/>
          <w:color w:val="auto"/>
          <w:sz w:val="24"/>
          <w:highlight w:val="none"/>
        </w:rPr>
        <w:t>（盖章）</w:t>
      </w:r>
    </w:p>
    <w:p w14:paraId="62BAD0C1">
      <w:pPr>
        <w:pageBreakBefore w:val="0"/>
        <w:kinsoku/>
        <w:overflowPunct/>
        <w:bidi w:val="0"/>
        <w:spacing w:line="600" w:lineRule="exact"/>
        <w:jc w:val="right"/>
        <w:rPr>
          <w:rFonts w:hint="eastAsia" w:ascii="仿宋" w:hAnsi="仿宋" w:eastAsia="仿宋" w:cs="Cambria Math"/>
          <w:b/>
          <w:bCs/>
          <w:color w:val="auto"/>
          <w:sz w:val="24"/>
          <w:highlight w:val="none"/>
        </w:rPr>
      </w:pPr>
      <w:r>
        <w:rPr>
          <w:rFonts w:hint="eastAsia" w:ascii="仿宋" w:hAnsi="仿宋" w:eastAsia="仿宋" w:cs="Cambria Math"/>
          <w:color w:val="auto"/>
          <w:sz w:val="24"/>
          <w:highlight w:val="none"/>
        </w:rPr>
        <w:t>日期：</w:t>
      </w:r>
      <w:r>
        <w:rPr>
          <w:rFonts w:hint="eastAsia" w:ascii="仿宋" w:hAnsi="仿宋" w:eastAsia="仿宋" w:cs="Cambria Math"/>
          <w:color w:val="auto"/>
          <w:sz w:val="24"/>
          <w:highlight w:val="none"/>
          <w:u w:val="single"/>
        </w:rPr>
        <w:t xml:space="preserve">   </w:t>
      </w:r>
      <w:r>
        <w:rPr>
          <w:rFonts w:hint="eastAsia" w:ascii="仿宋" w:hAnsi="仿宋" w:eastAsia="仿宋" w:cs="Cambria Math"/>
          <w:color w:val="auto"/>
          <w:sz w:val="24"/>
          <w:highlight w:val="none"/>
        </w:rPr>
        <w:t>年</w:t>
      </w:r>
      <w:r>
        <w:rPr>
          <w:rFonts w:hint="eastAsia" w:ascii="仿宋" w:hAnsi="仿宋" w:eastAsia="仿宋" w:cs="Cambria Math"/>
          <w:color w:val="auto"/>
          <w:sz w:val="24"/>
          <w:highlight w:val="none"/>
          <w:u w:val="single"/>
        </w:rPr>
        <w:t xml:space="preserve">   </w:t>
      </w:r>
      <w:r>
        <w:rPr>
          <w:rFonts w:hint="eastAsia" w:ascii="仿宋" w:hAnsi="仿宋" w:eastAsia="仿宋" w:cs="Cambria Math"/>
          <w:color w:val="auto"/>
          <w:sz w:val="24"/>
          <w:highlight w:val="none"/>
        </w:rPr>
        <w:t>月</w:t>
      </w:r>
      <w:r>
        <w:rPr>
          <w:rFonts w:hint="eastAsia" w:ascii="仿宋" w:hAnsi="仿宋" w:eastAsia="仿宋" w:cs="Cambria Math"/>
          <w:color w:val="auto"/>
          <w:sz w:val="24"/>
          <w:highlight w:val="none"/>
          <w:u w:val="single"/>
        </w:rPr>
        <w:t xml:space="preserve">   </w:t>
      </w:r>
      <w:r>
        <w:rPr>
          <w:rFonts w:hint="eastAsia" w:ascii="仿宋" w:hAnsi="仿宋" w:eastAsia="仿宋" w:cs="Cambria Math"/>
          <w:color w:val="auto"/>
          <w:sz w:val="24"/>
          <w:highlight w:val="none"/>
        </w:rPr>
        <w:t>日</w:t>
      </w:r>
    </w:p>
    <w:p w14:paraId="1B098A8E">
      <w:pPr>
        <w:pStyle w:val="6"/>
        <w:pageBreakBefore w:val="0"/>
        <w:kinsoku/>
        <w:overflowPunct/>
        <w:bidi w:val="0"/>
        <w:spacing w:line="600" w:lineRule="exact"/>
        <w:rPr>
          <w:rFonts w:hint="eastAsia" w:ascii="仿宋" w:hAnsi="仿宋" w:cs="宋体"/>
          <w:color w:val="auto"/>
          <w:highlight w:val="none"/>
        </w:rPr>
      </w:pPr>
      <w:r>
        <w:rPr>
          <w:rFonts w:ascii="仿宋" w:hAnsi="仿宋" w:cs="宋体"/>
          <w:color w:val="auto"/>
          <w:szCs w:val="24"/>
          <w:highlight w:val="none"/>
        </w:rPr>
        <w:br w:type="page"/>
      </w:r>
      <w:r>
        <w:rPr>
          <w:rFonts w:hint="eastAsia" w:ascii="仿宋" w:hAnsi="仿宋" w:cs="宋体"/>
          <w:color w:val="auto"/>
          <w:highlight w:val="none"/>
          <w:lang w:val="en-US" w:eastAsia="zh-CN"/>
        </w:rPr>
        <w:t>7</w:t>
      </w:r>
      <w:r>
        <w:rPr>
          <w:rFonts w:hint="eastAsia" w:ascii="仿宋" w:hAnsi="仿宋" w:cs="宋体"/>
          <w:color w:val="auto"/>
          <w:highlight w:val="none"/>
        </w:rPr>
        <w:t>、投标人控股及管理关系情况申报表</w:t>
      </w:r>
    </w:p>
    <w:p w14:paraId="13B89887">
      <w:pPr>
        <w:pStyle w:val="88"/>
        <w:pageBreakBefore w:val="0"/>
        <w:kinsoku/>
        <w:overflowPunct/>
        <w:bidi w:val="0"/>
        <w:spacing w:line="600" w:lineRule="exact"/>
        <w:ind w:firstLine="0" w:firstLineChars="0"/>
        <w:jc w:val="center"/>
        <w:rPr>
          <w:rFonts w:hint="eastAsia" w:ascii="仿宋" w:hAnsi="仿宋" w:eastAsia="仿宋" w:cs="宋体"/>
          <w:b/>
          <w:color w:val="auto"/>
          <w:sz w:val="24"/>
          <w:highlight w:val="none"/>
        </w:rPr>
      </w:pPr>
      <w:r>
        <w:rPr>
          <w:rFonts w:hint="eastAsia" w:ascii="仿宋" w:hAnsi="仿宋" w:eastAsia="仿宋" w:cs="宋体"/>
          <w:b/>
          <w:color w:val="auto"/>
          <w:sz w:val="24"/>
          <w:highlight w:val="none"/>
        </w:rPr>
        <w:t>投标人控股及管理关系情况申报表</w:t>
      </w:r>
    </w:p>
    <w:p w14:paraId="58C84058">
      <w:pPr>
        <w:pageBreakBefore w:val="0"/>
        <w:kinsoku/>
        <w:overflowPunct/>
        <w:bidi w:val="0"/>
        <w:adjustRightInd w:val="0"/>
        <w:snapToGrid w:val="0"/>
        <w:spacing w:line="600" w:lineRule="exact"/>
        <w:ind w:left="0" w:leftChars="-295" w:hanging="619" w:hangingChars="258"/>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致：</w:t>
      </w:r>
      <w:r>
        <w:rPr>
          <w:rFonts w:hint="eastAsia" w:ascii="仿宋" w:hAnsi="仿宋" w:eastAsia="仿宋" w:cs="宋体"/>
          <w:color w:val="auto"/>
          <w:sz w:val="24"/>
          <w:szCs w:val="24"/>
          <w:highlight w:val="none"/>
          <w:u w:val="single"/>
        </w:rPr>
        <w:t xml:space="preserve">  （招标人名称）  </w:t>
      </w:r>
      <w:r>
        <w:rPr>
          <w:rFonts w:hint="eastAsia" w:ascii="仿宋" w:hAnsi="仿宋" w:eastAsia="仿宋" w:cs="宋体"/>
          <w:color w:val="auto"/>
          <w:sz w:val="24"/>
          <w:szCs w:val="24"/>
          <w:highlight w:val="none"/>
        </w:rPr>
        <w:t>：</w:t>
      </w:r>
    </w:p>
    <w:p w14:paraId="59F91383">
      <w:pPr>
        <w:pageBreakBefore w:val="0"/>
        <w:kinsoku/>
        <w:overflowPunct/>
        <w:bidi w:val="0"/>
        <w:adjustRightInd w:val="0"/>
        <w:snapToGrid w:val="0"/>
        <w:spacing w:line="600" w:lineRule="exact"/>
        <w:ind w:left="-617" w:leftChars="-294" w:right="-512" w:rightChars="-244" w:firstLine="616" w:firstLineChars="257"/>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我方参加</w:t>
      </w:r>
      <w:r>
        <w:rPr>
          <w:rFonts w:hint="eastAsia" w:ascii="仿宋" w:hAnsi="仿宋" w:eastAsia="仿宋" w:cs="宋体"/>
          <w:color w:val="auto"/>
          <w:sz w:val="24"/>
          <w:szCs w:val="24"/>
          <w:highlight w:val="none"/>
          <w:u w:val="single"/>
        </w:rPr>
        <w:t xml:space="preserve">           </w:t>
      </w:r>
      <w:r>
        <w:rPr>
          <w:rFonts w:hint="eastAsia" w:ascii="仿宋" w:hAnsi="仿宋" w:eastAsia="仿宋" w:cs="宋体"/>
          <w:color w:val="auto"/>
          <w:sz w:val="24"/>
          <w:szCs w:val="24"/>
          <w:highlight w:val="none"/>
        </w:rPr>
        <w:t>（项目名称）的投标，根据法律法规维护投标公正性的相关规定，</w:t>
      </w:r>
      <w:r>
        <w:rPr>
          <w:rFonts w:hint="eastAsia" w:ascii="仿宋" w:hAnsi="仿宋" w:eastAsia="仿宋" w:cs="宋体"/>
          <w:color w:val="auto"/>
          <w:sz w:val="24"/>
          <w:szCs w:val="24"/>
          <w:highlight w:val="none"/>
          <w:lang w:val="en-US" w:eastAsia="zh-CN"/>
        </w:rPr>
        <w:t>我方与招标人之间不存在利害关系可能影响招标公正性的法人、其他组织或者个人，</w:t>
      </w:r>
      <w:r>
        <w:rPr>
          <w:rFonts w:hint="eastAsia" w:ascii="仿宋" w:hAnsi="仿宋" w:eastAsia="仿宋" w:cs="宋体"/>
          <w:color w:val="auto"/>
          <w:sz w:val="24"/>
          <w:szCs w:val="24"/>
          <w:highlight w:val="none"/>
        </w:rPr>
        <w:t>特就本单位控股及管理关系情况申报如下</w:t>
      </w:r>
      <w:r>
        <w:rPr>
          <w:rFonts w:hint="eastAsia" w:ascii="仿宋" w:hAnsi="仿宋" w:eastAsia="仿宋" w:cs="宋体"/>
          <w:color w:val="auto"/>
          <w:sz w:val="24"/>
          <w:szCs w:val="24"/>
          <w:highlight w:val="none"/>
          <w:lang w:eastAsia="zh-CN"/>
        </w:rPr>
        <w:t>，</w:t>
      </w:r>
      <w:r>
        <w:rPr>
          <w:rFonts w:hint="eastAsia" w:ascii="仿宋" w:hAnsi="仿宋" w:eastAsia="仿宋" w:cs="宋体"/>
          <w:color w:val="auto"/>
          <w:sz w:val="24"/>
          <w:szCs w:val="24"/>
          <w:highlight w:val="none"/>
        </w:rPr>
        <w:t>并承担申报不实的责任</w:t>
      </w:r>
      <w:r>
        <w:rPr>
          <w:rFonts w:hint="eastAsia" w:ascii="仿宋" w:hAnsi="仿宋" w:eastAsia="仿宋" w:cs="宋体"/>
          <w:color w:val="auto"/>
          <w:sz w:val="24"/>
          <w:szCs w:val="24"/>
          <w:highlight w:val="none"/>
          <w:lang w:eastAsia="zh-CN"/>
        </w:rPr>
        <w:t>。</w:t>
      </w:r>
      <w:r>
        <w:rPr>
          <w:rFonts w:hint="eastAsia" w:ascii="仿宋" w:hAnsi="仿宋" w:eastAsia="仿宋" w:cs="宋体"/>
          <w:color w:val="auto"/>
          <w:sz w:val="24"/>
          <w:szCs w:val="24"/>
          <w:highlight w:val="none"/>
          <w:lang w:val="en-US" w:eastAsia="zh-CN"/>
        </w:rPr>
        <w:t>如我方中标该项目并签署合同后，一旦发现我方申报不实，招标人可无条件终止合同</w:t>
      </w:r>
      <w:r>
        <w:rPr>
          <w:rFonts w:hint="eastAsia" w:ascii="仿宋" w:hAnsi="仿宋" w:eastAsia="仿宋" w:cs="宋体"/>
          <w:color w:val="auto"/>
          <w:sz w:val="24"/>
          <w:szCs w:val="24"/>
          <w:highlight w:val="none"/>
        </w:rPr>
        <w:t>。</w:t>
      </w:r>
    </w:p>
    <w:tbl>
      <w:tblPr>
        <w:tblStyle w:val="33"/>
        <w:tblW w:w="98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132"/>
        <w:gridCol w:w="3485"/>
        <w:gridCol w:w="3235"/>
      </w:tblGrid>
      <w:tr w14:paraId="089957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3132" w:type="dxa"/>
            <w:noWrap w:val="0"/>
            <w:vAlign w:val="center"/>
          </w:tcPr>
          <w:p w14:paraId="5FB1BEA8">
            <w:pPr>
              <w:keepNext w:val="0"/>
              <w:keepLines w:val="0"/>
              <w:pageBreakBefore w:val="0"/>
              <w:suppressLineNumbers w:val="0"/>
              <w:kinsoku/>
              <w:overflowPunct/>
              <w:bidi w:val="0"/>
              <w:adjustRightInd w:val="0"/>
              <w:snapToGrid w:val="0"/>
              <w:spacing w:before="0" w:beforeAutospacing="0" w:after="0" w:afterAutospacing="0" w:line="600" w:lineRule="exact"/>
              <w:ind w:left="0" w:right="0"/>
              <w:rPr>
                <w:rFonts w:hint="eastAsia" w:ascii="仿宋" w:hAnsi="仿宋" w:eastAsia="仿宋" w:cs="宋体"/>
                <w:color w:val="auto"/>
                <w:szCs w:val="20"/>
                <w:highlight w:val="none"/>
              </w:rPr>
            </w:pPr>
            <w:r>
              <w:rPr>
                <w:rFonts w:hint="eastAsia" w:ascii="仿宋" w:hAnsi="仿宋" w:eastAsia="仿宋" w:cs="宋体"/>
                <w:color w:val="auto"/>
                <w:szCs w:val="20"/>
                <w:highlight w:val="none"/>
              </w:rPr>
              <w:t>申报人名称</w:t>
            </w:r>
          </w:p>
        </w:tc>
        <w:tc>
          <w:tcPr>
            <w:tcW w:w="6720" w:type="dxa"/>
            <w:gridSpan w:val="2"/>
            <w:noWrap w:val="0"/>
            <w:vAlign w:val="center"/>
          </w:tcPr>
          <w:p w14:paraId="344363C8">
            <w:pPr>
              <w:keepNext w:val="0"/>
              <w:keepLines w:val="0"/>
              <w:pageBreakBefore w:val="0"/>
              <w:suppressLineNumbers w:val="0"/>
              <w:kinsoku/>
              <w:overflowPunct/>
              <w:bidi w:val="0"/>
              <w:adjustRightInd w:val="0"/>
              <w:snapToGrid w:val="0"/>
              <w:spacing w:before="0" w:beforeAutospacing="0" w:after="0" w:afterAutospacing="0" w:line="600" w:lineRule="exact"/>
              <w:ind w:left="0" w:right="0"/>
              <w:rPr>
                <w:rFonts w:hint="eastAsia" w:ascii="仿宋" w:hAnsi="仿宋" w:eastAsia="仿宋" w:cs="宋体"/>
                <w:color w:val="auto"/>
                <w:szCs w:val="20"/>
                <w:highlight w:val="none"/>
              </w:rPr>
            </w:pPr>
          </w:p>
        </w:tc>
      </w:tr>
      <w:tr w14:paraId="041BB7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jc w:val="center"/>
        </w:trPr>
        <w:tc>
          <w:tcPr>
            <w:tcW w:w="3132" w:type="dxa"/>
            <w:vMerge w:val="restart"/>
            <w:noWrap w:val="0"/>
            <w:vAlign w:val="center"/>
          </w:tcPr>
          <w:p w14:paraId="15C4D225">
            <w:pPr>
              <w:keepNext w:val="0"/>
              <w:keepLines w:val="0"/>
              <w:pageBreakBefore w:val="0"/>
              <w:suppressLineNumbers w:val="0"/>
              <w:kinsoku/>
              <w:overflowPunct/>
              <w:bidi w:val="0"/>
              <w:adjustRightInd w:val="0"/>
              <w:snapToGrid w:val="0"/>
              <w:spacing w:before="0" w:beforeAutospacing="0" w:after="0" w:afterAutospacing="0" w:line="600" w:lineRule="exact"/>
              <w:ind w:left="0" w:right="0"/>
              <w:rPr>
                <w:rFonts w:hint="eastAsia" w:ascii="仿宋" w:hAnsi="仿宋" w:eastAsia="仿宋" w:cs="宋体"/>
                <w:color w:val="auto"/>
                <w:szCs w:val="20"/>
                <w:highlight w:val="none"/>
              </w:rPr>
            </w:pPr>
            <w:r>
              <w:rPr>
                <w:rFonts w:hint="eastAsia" w:ascii="仿宋" w:hAnsi="仿宋" w:eastAsia="仿宋" w:cs="宋体"/>
                <w:color w:val="auto"/>
                <w:szCs w:val="20"/>
                <w:highlight w:val="none"/>
              </w:rPr>
              <w:t>法定代表人/单位负责人</w:t>
            </w:r>
          </w:p>
        </w:tc>
        <w:tc>
          <w:tcPr>
            <w:tcW w:w="3485" w:type="dxa"/>
            <w:noWrap w:val="0"/>
            <w:vAlign w:val="center"/>
          </w:tcPr>
          <w:p w14:paraId="0872FA58">
            <w:pPr>
              <w:keepNext w:val="0"/>
              <w:keepLines w:val="0"/>
              <w:pageBreakBefore w:val="0"/>
              <w:suppressLineNumbers w:val="0"/>
              <w:kinsoku/>
              <w:overflowPunct/>
              <w:bidi w:val="0"/>
              <w:adjustRightInd w:val="0"/>
              <w:snapToGrid w:val="0"/>
              <w:spacing w:before="0" w:beforeAutospacing="0" w:after="0" w:afterAutospacing="0" w:line="600" w:lineRule="exact"/>
              <w:ind w:left="0" w:right="0"/>
              <w:rPr>
                <w:rFonts w:hint="eastAsia" w:ascii="仿宋" w:hAnsi="仿宋" w:eastAsia="仿宋" w:cs="宋体"/>
                <w:color w:val="auto"/>
                <w:szCs w:val="20"/>
                <w:highlight w:val="none"/>
              </w:rPr>
            </w:pPr>
            <w:r>
              <w:rPr>
                <w:rFonts w:hint="eastAsia" w:ascii="仿宋" w:hAnsi="仿宋" w:eastAsia="仿宋" w:cs="宋体"/>
                <w:color w:val="auto"/>
                <w:szCs w:val="20"/>
                <w:highlight w:val="none"/>
              </w:rPr>
              <w:t>姓    名</w:t>
            </w:r>
          </w:p>
        </w:tc>
        <w:tc>
          <w:tcPr>
            <w:tcW w:w="3235" w:type="dxa"/>
            <w:noWrap w:val="0"/>
            <w:vAlign w:val="center"/>
          </w:tcPr>
          <w:p w14:paraId="0676DD80">
            <w:pPr>
              <w:keepNext w:val="0"/>
              <w:keepLines w:val="0"/>
              <w:pageBreakBefore w:val="0"/>
              <w:suppressLineNumbers w:val="0"/>
              <w:kinsoku/>
              <w:overflowPunct/>
              <w:bidi w:val="0"/>
              <w:adjustRightInd w:val="0"/>
              <w:snapToGrid w:val="0"/>
              <w:spacing w:before="0" w:beforeAutospacing="0" w:after="0" w:afterAutospacing="0" w:line="600" w:lineRule="exact"/>
              <w:ind w:left="0" w:right="0"/>
              <w:rPr>
                <w:rFonts w:hint="eastAsia" w:ascii="仿宋" w:hAnsi="仿宋" w:eastAsia="仿宋" w:cs="宋体"/>
                <w:color w:val="auto"/>
                <w:szCs w:val="20"/>
                <w:highlight w:val="none"/>
              </w:rPr>
            </w:pPr>
          </w:p>
        </w:tc>
      </w:tr>
      <w:tr w14:paraId="128B12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4" w:hRule="atLeast"/>
          <w:jc w:val="center"/>
        </w:trPr>
        <w:tc>
          <w:tcPr>
            <w:tcW w:w="3132" w:type="dxa"/>
            <w:vMerge w:val="continue"/>
            <w:noWrap w:val="0"/>
            <w:vAlign w:val="center"/>
          </w:tcPr>
          <w:p w14:paraId="5A89F778">
            <w:pPr>
              <w:keepNext w:val="0"/>
              <w:keepLines w:val="0"/>
              <w:pageBreakBefore w:val="0"/>
              <w:suppressLineNumbers w:val="0"/>
              <w:kinsoku/>
              <w:overflowPunct/>
              <w:bidi w:val="0"/>
              <w:adjustRightInd w:val="0"/>
              <w:snapToGrid w:val="0"/>
              <w:spacing w:before="0" w:beforeAutospacing="0" w:after="0" w:afterAutospacing="0" w:line="600" w:lineRule="exact"/>
              <w:ind w:left="0" w:right="0"/>
              <w:rPr>
                <w:rFonts w:hint="eastAsia" w:ascii="仿宋" w:hAnsi="仿宋" w:eastAsia="仿宋" w:cs="宋体"/>
                <w:color w:val="auto"/>
                <w:szCs w:val="20"/>
                <w:highlight w:val="none"/>
              </w:rPr>
            </w:pPr>
          </w:p>
        </w:tc>
        <w:tc>
          <w:tcPr>
            <w:tcW w:w="3485" w:type="dxa"/>
            <w:noWrap w:val="0"/>
            <w:vAlign w:val="center"/>
          </w:tcPr>
          <w:p w14:paraId="5AE47D2C">
            <w:pPr>
              <w:keepNext w:val="0"/>
              <w:keepLines w:val="0"/>
              <w:pageBreakBefore w:val="0"/>
              <w:suppressLineNumbers w:val="0"/>
              <w:kinsoku/>
              <w:overflowPunct/>
              <w:bidi w:val="0"/>
              <w:adjustRightInd w:val="0"/>
              <w:snapToGrid w:val="0"/>
              <w:spacing w:before="0" w:beforeAutospacing="0" w:after="0" w:afterAutospacing="0" w:line="600" w:lineRule="exact"/>
              <w:ind w:left="0" w:right="0"/>
              <w:rPr>
                <w:rFonts w:hint="eastAsia" w:ascii="仿宋" w:hAnsi="仿宋" w:eastAsia="仿宋" w:cs="宋体"/>
                <w:color w:val="auto"/>
                <w:szCs w:val="20"/>
                <w:highlight w:val="none"/>
              </w:rPr>
            </w:pPr>
            <w:r>
              <w:rPr>
                <w:rFonts w:hint="eastAsia" w:ascii="仿宋" w:hAnsi="仿宋" w:eastAsia="仿宋" w:cs="宋体"/>
                <w:color w:val="auto"/>
                <w:szCs w:val="20"/>
                <w:highlight w:val="none"/>
              </w:rPr>
              <w:t>身份证号</w:t>
            </w:r>
          </w:p>
        </w:tc>
        <w:tc>
          <w:tcPr>
            <w:tcW w:w="3235" w:type="dxa"/>
            <w:noWrap w:val="0"/>
            <w:vAlign w:val="center"/>
          </w:tcPr>
          <w:p w14:paraId="42659A5D">
            <w:pPr>
              <w:keepNext w:val="0"/>
              <w:keepLines w:val="0"/>
              <w:pageBreakBefore w:val="0"/>
              <w:suppressLineNumbers w:val="0"/>
              <w:kinsoku/>
              <w:overflowPunct/>
              <w:bidi w:val="0"/>
              <w:adjustRightInd w:val="0"/>
              <w:snapToGrid w:val="0"/>
              <w:spacing w:before="0" w:beforeAutospacing="0" w:after="0" w:afterAutospacing="0" w:line="600" w:lineRule="exact"/>
              <w:ind w:left="0" w:right="0"/>
              <w:rPr>
                <w:rFonts w:hint="eastAsia" w:ascii="仿宋" w:hAnsi="仿宋" w:eastAsia="仿宋" w:cs="宋体"/>
                <w:color w:val="auto"/>
                <w:szCs w:val="20"/>
                <w:highlight w:val="none"/>
              </w:rPr>
            </w:pPr>
          </w:p>
        </w:tc>
      </w:tr>
      <w:tr w14:paraId="55213B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3132" w:type="dxa"/>
            <w:noWrap w:val="0"/>
            <w:vAlign w:val="center"/>
          </w:tcPr>
          <w:p w14:paraId="397D6166">
            <w:pPr>
              <w:keepNext w:val="0"/>
              <w:keepLines w:val="0"/>
              <w:pageBreakBefore w:val="0"/>
              <w:suppressLineNumbers w:val="0"/>
              <w:kinsoku/>
              <w:overflowPunct/>
              <w:bidi w:val="0"/>
              <w:adjustRightInd w:val="0"/>
              <w:snapToGrid w:val="0"/>
              <w:spacing w:before="0" w:beforeAutospacing="0" w:after="0" w:afterAutospacing="0" w:line="600" w:lineRule="exact"/>
              <w:ind w:left="0" w:right="0"/>
              <w:rPr>
                <w:rFonts w:hint="default" w:ascii="仿宋" w:hAnsi="仿宋" w:eastAsia="仿宋" w:cs="宋体"/>
                <w:color w:val="auto"/>
                <w:szCs w:val="20"/>
                <w:highlight w:val="none"/>
                <w:lang w:val="en-US" w:eastAsia="zh-CN"/>
              </w:rPr>
            </w:pPr>
            <w:r>
              <w:rPr>
                <w:rFonts w:hint="eastAsia" w:ascii="仿宋" w:hAnsi="仿宋" w:eastAsia="仿宋" w:cs="宋体"/>
                <w:color w:val="auto"/>
                <w:szCs w:val="20"/>
                <w:highlight w:val="none"/>
                <w:lang w:val="en-US" w:eastAsia="zh-CN"/>
              </w:rPr>
              <w:t>单位负责人为同一人单位名称</w:t>
            </w:r>
          </w:p>
        </w:tc>
        <w:tc>
          <w:tcPr>
            <w:tcW w:w="6720" w:type="dxa"/>
            <w:gridSpan w:val="2"/>
            <w:noWrap w:val="0"/>
            <w:vAlign w:val="center"/>
          </w:tcPr>
          <w:p w14:paraId="08DC302E">
            <w:pPr>
              <w:keepNext w:val="0"/>
              <w:keepLines w:val="0"/>
              <w:pageBreakBefore w:val="0"/>
              <w:suppressLineNumbers w:val="0"/>
              <w:kinsoku/>
              <w:overflowPunct/>
              <w:bidi w:val="0"/>
              <w:adjustRightInd w:val="0"/>
              <w:snapToGrid w:val="0"/>
              <w:spacing w:before="0" w:beforeAutospacing="0" w:after="0" w:afterAutospacing="0" w:line="600" w:lineRule="exact"/>
              <w:ind w:left="0" w:right="0"/>
              <w:rPr>
                <w:rFonts w:hint="eastAsia" w:ascii="仿宋" w:hAnsi="仿宋" w:eastAsia="仿宋" w:cs="宋体"/>
                <w:color w:val="auto"/>
                <w:szCs w:val="20"/>
                <w:highlight w:val="none"/>
              </w:rPr>
            </w:pPr>
          </w:p>
        </w:tc>
      </w:tr>
      <w:tr w14:paraId="413363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jc w:val="center"/>
        </w:trPr>
        <w:tc>
          <w:tcPr>
            <w:tcW w:w="3132" w:type="dxa"/>
            <w:vMerge w:val="restart"/>
            <w:noWrap w:val="0"/>
            <w:vAlign w:val="center"/>
          </w:tcPr>
          <w:p w14:paraId="0498C577">
            <w:pPr>
              <w:keepNext w:val="0"/>
              <w:keepLines w:val="0"/>
              <w:pageBreakBefore w:val="0"/>
              <w:suppressLineNumbers w:val="0"/>
              <w:kinsoku/>
              <w:overflowPunct/>
              <w:bidi w:val="0"/>
              <w:adjustRightInd w:val="0"/>
              <w:snapToGrid w:val="0"/>
              <w:spacing w:before="0" w:beforeAutospacing="0" w:after="0" w:afterAutospacing="0" w:line="600" w:lineRule="exact"/>
              <w:ind w:left="0" w:right="0"/>
              <w:rPr>
                <w:rFonts w:hint="eastAsia" w:ascii="仿宋" w:hAnsi="仿宋" w:eastAsia="仿宋" w:cs="宋体"/>
                <w:color w:val="auto"/>
                <w:szCs w:val="20"/>
                <w:highlight w:val="none"/>
                <w:lang w:eastAsia="zh-CN"/>
              </w:rPr>
            </w:pPr>
            <w:r>
              <w:rPr>
                <w:rFonts w:hint="eastAsia" w:ascii="仿宋" w:hAnsi="仿宋" w:eastAsia="仿宋" w:cs="宋体"/>
                <w:color w:val="auto"/>
                <w:szCs w:val="20"/>
                <w:highlight w:val="none"/>
              </w:rPr>
              <w:t>控股</w:t>
            </w:r>
            <w:r>
              <w:rPr>
                <w:rFonts w:hint="eastAsia" w:ascii="仿宋" w:hAnsi="仿宋" w:eastAsia="仿宋" w:cs="宋体"/>
                <w:color w:val="auto"/>
                <w:szCs w:val="20"/>
                <w:highlight w:val="none"/>
                <w:lang w:val="en-US" w:eastAsia="zh-CN"/>
              </w:rPr>
              <w:t>关系</w:t>
            </w:r>
          </w:p>
        </w:tc>
        <w:tc>
          <w:tcPr>
            <w:tcW w:w="3485" w:type="dxa"/>
            <w:noWrap w:val="0"/>
            <w:vAlign w:val="center"/>
          </w:tcPr>
          <w:p w14:paraId="6BF2F2E8">
            <w:pPr>
              <w:keepNext w:val="0"/>
              <w:keepLines w:val="0"/>
              <w:pageBreakBefore w:val="0"/>
              <w:suppressLineNumbers w:val="0"/>
              <w:kinsoku/>
              <w:overflowPunct/>
              <w:bidi w:val="0"/>
              <w:adjustRightInd w:val="0"/>
              <w:snapToGrid w:val="0"/>
              <w:spacing w:before="0" w:beforeAutospacing="0" w:after="0" w:afterAutospacing="0" w:line="600" w:lineRule="exact"/>
              <w:ind w:left="0" w:right="0"/>
              <w:rPr>
                <w:rFonts w:hint="eastAsia" w:ascii="仿宋" w:hAnsi="仿宋" w:eastAsia="仿宋" w:cs="宋体"/>
                <w:color w:val="auto"/>
                <w:szCs w:val="20"/>
                <w:highlight w:val="none"/>
              </w:rPr>
            </w:pPr>
            <w:r>
              <w:rPr>
                <w:rFonts w:hint="eastAsia" w:ascii="仿宋" w:hAnsi="仿宋" w:eastAsia="仿宋" w:cs="宋体"/>
                <w:color w:val="auto"/>
                <w:szCs w:val="20"/>
                <w:highlight w:val="none"/>
              </w:rPr>
              <w:t>控股股东/投资人名称及出资比例</w:t>
            </w:r>
          </w:p>
        </w:tc>
        <w:tc>
          <w:tcPr>
            <w:tcW w:w="3235" w:type="dxa"/>
            <w:noWrap w:val="0"/>
            <w:vAlign w:val="center"/>
          </w:tcPr>
          <w:p w14:paraId="3122A88E">
            <w:pPr>
              <w:keepNext w:val="0"/>
              <w:keepLines w:val="0"/>
              <w:pageBreakBefore w:val="0"/>
              <w:suppressLineNumbers w:val="0"/>
              <w:kinsoku/>
              <w:overflowPunct/>
              <w:bidi w:val="0"/>
              <w:adjustRightInd w:val="0"/>
              <w:snapToGrid w:val="0"/>
              <w:spacing w:before="0" w:beforeAutospacing="0" w:after="0" w:afterAutospacing="0" w:line="600" w:lineRule="exact"/>
              <w:ind w:left="0" w:right="0"/>
              <w:rPr>
                <w:rFonts w:hint="eastAsia" w:ascii="仿宋" w:hAnsi="仿宋" w:eastAsia="仿宋" w:cs="宋体"/>
                <w:color w:val="auto"/>
                <w:szCs w:val="20"/>
                <w:highlight w:val="none"/>
              </w:rPr>
            </w:pPr>
          </w:p>
        </w:tc>
      </w:tr>
      <w:tr w14:paraId="259326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jc w:val="center"/>
        </w:trPr>
        <w:tc>
          <w:tcPr>
            <w:tcW w:w="3132" w:type="dxa"/>
            <w:vMerge w:val="continue"/>
            <w:noWrap w:val="0"/>
            <w:vAlign w:val="center"/>
          </w:tcPr>
          <w:p w14:paraId="75CFFDF2">
            <w:pPr>
              <w:keepNext w:val="0"/>
              <w:keepLines w:val="0"/>
              <w:pageBreakBefore w:val="0"/>
              <w:suppressLineNumbers w:val="0"/>
              <w:kinsoku/>
              <w:overflowPunct/>
              <w:bidi w:val="0"/>
              <w:adjustRightInd w:val="0"/>
              <w:snapToGrid w:val="0"/>
              <w:spacing w:before="0" w:beforeAutospacing="0" w:after="0" w:afterAutospacing="0" w:line="600" w:lineRule="exact"/>
              <w:ind w:left="0" w:right="0"/>
              <w:rPr>
                <w:rFonts w:hint="eastAsia" w:ascii="仿宋" w:hAnsi="仿宋" w:eastAsia="仿宋" w:cs="宋体"/>
                <w:color w:val="auto"/>
                <w:szCs w:val="20"/>
                <w:highlight w:val="none"/>
              </w:rPr>
            </w:pPr>
          </w:p>
        </w:tc>
        <w:tc>
          <w:tcPr>
            <w:tcW w:w="3485" w:type="dxa"/>
            <w:noWrap w:val="0"/>
            <w:vAlign w:val="center"/>
          </w:tcPr>
          <w:p w14:paraId="4FBA8DC8">
            <w:pPr>
              <w:keepNext w:val="0"/>
              <w:keepLines w:val="0"/>
              <w:pageBreakBefore w:val="0"/>
              <w:suppressLineNumbers w:val="0"/>
              <w:kinsoku/>
              <w:overflowPunct/>
              <w:bidi w:val="0"/>
              <w:adjustRightInd w:val="0"/>
              <w:snapToGrid w:val="0"/>
              <w:spacing w:before="0" w:beforeAutospacing="0" w:after="0" w:afterAutospacing="0" w:line="600" w:lineRule="exact"/>
              <w:ind w:left="0" w:right="0"/>
              <w:rPr>
                <w:rFonts w:hint="eastAsia" w:ascii="仿宋" w:hAnsi="仿宋" w:eastAsia="仿宋" w:cs="宋体"/>
                <w:color w:val="auto"/>
                <w:szCs w:val="20"/>
                <w:highlight w:val="none"/>
              </w:rPr>
            </w:pPr>
            <w:r>
              <w:rPr>
                <w:rFonts w:hint="eastAsia" w:ascii="仿宋" w:hAnsi="仿宋" w:eastAsia="仿宋" w:cs="宋体"/>
                <w:color w:val="auto"/>
                <w:szCs w:val="20"/>
                <w:highlight w:val="none"/>
                <w:lang w:val="en-US" w:eastAsia="zh-CN"/>
              </w:rPr>
              <w:t>被</w:t>
            </w:r>
            <w:r>
              <w:rPr>
                <w:rFonts w:hint="eastAsia" w:ascii="仿宋" w:hAnsi="仿宋" w:eastAsia="仿宋" w:cs="宋体"/>
                <w:color w:val="auto"/>
                <w:szCs w:val="20"/>
                <w:highlight w:val="none"/>
              </w:rPr>
              <w:t>控股/</w:t>
            </w:r>
            <w:r>
              <w:rPr>
                <w:rFonts w:hint="eastAsia" w:ascii="仿宋" w:hAnsi="仿宋" w:eastAsia="仿宋" w:cs="宋体"/>
                <w:color w:val="auto"/>
                <w:szCs w:val="20"/>
                <w:highlight w:val="none"/>
                <w:lang w:val="en-US" w:eastAsia="zh-CN"/>
              </w:rPr>
              <w:t>被</w:t>
            </w:r>
            <w:r>
              <w:rPr>
                <w:rFonts w:hint="eastAsia" w:ascii="仿宋" w:hAnsi="仿宋" w:eastAsia="仿宋" w:cs="宋体"/>
                <w:color w:val="auto"/>
                <w:szCs w:val="20"/>
                <w:highlight w:val="none"/>
              </w:rPr>
              <w:t>投资</w:t>
            </w:r>
            <w:r>
              <w:rPr>
                <w:rFonts w:hint="eastAsia" w:ascii="仿宋" w:hAnsi="仿宋" w:eastAsia="仿宋" w:cs="宋体"/>
                <w:color w:val="auto"/>
                <w:szCs w:val="20"/>
                <w:highlight w:val="none"/>
                <w:lang w:val="en-US" w:eastAsia="zh-CN"/>
              </w:rPr>
              <w:t>单位</w:t>
            </w:r>
            <w:r>
              <w:rPr>
                <w:rFonts w:hint="eastAsia" w:ascii="仿宋" w:hAnsi="仿宋" w:eastAsia="仿宋" w:cs="宋体"/>
                <w:color w:val="auto"/>
                <w:szCs w:val="20"/>
                <w:highlight w:val="none"/>
              </w:rPr>
              <w:t>名称及出资比例</w:t>
            </w:r>
          </w:p>
        </w:tc>
        <w:tc>
          <w:tcPr>
            <w:tcW w:w="3235" w:type="dxa"/>
            <w:noWrap w:val="0"/>
            <w:vAlign w:val="center"/>
          </w:tcPr>
          <w:p w14:paraId="2C0905E6">
            <w:pPr>
              <w:keepNext w:val="0"/>
              <w:keepLines w:val="0"/>
              <w:pageBreakBefore w:val="0"/>
              <w:suppressLineNumbers w:val="0"/>
              <w:kinsoku/>
              <w:overflowPunct/>
              <w:bidi w:val="0"/>
              <w:adjustRightInd w:val="0"/>
              <w:snapToGrid w:val="0"/>
              <w:spacing w:before="0" w:beforeAutospacing="0" w:after="0" w:afterAutospacing="0" w:line="600" w:lineRule="exact"/>
              <w:ind w:left="0" w:right="0"/>
              <w:rPr>
                <w:rFonts w:hint="eastAsia" w:ascii="仿宋" w:hAnsi="仿宋" w:eastAsia="仿宋" w:cs="宋体"/>
                <w:color w:val="auto"/>
                <w:szCs w:val="20"/>
                <w:highlight w:val="none"/>
              </w:rPr>
            </w:pPr>
          </w:p>
        </w:tc>
      </w:tr>
      <w:tr w14:paraId="3A375A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jc w:val="center"/>
        </w:trPr>
        <w:tc>
          <w:tcPr>
            <w:tcW w:w="3132" w:type="dxa"/>
            <w:vMerge w:val="restart"/>
            <w:noWrap w:val="0"/>
            <w:vAlign w:val="center"/>
          </w:tcPr>
          <w:p w14:paraId="59016DC1">
            <w:pPr>
              <w:keepNext w:val="0"/>
              <w:keepLines w:val="0"/>
              <w:pageBreakBefore w:val="0"/>
              <w:suppressLineNumbers w:val="0"/>
              <w:kinsoku/>
              <w:overflowPunct/>
              <w:bidi w:val="0"/>
              <w:adjustRightInd w:val="0"/>
              <w:snapToGrid w:val="0"/>
              <w:spacing w:before="0" w:beforeAutospacing="0" w:after="0" w:afterAutospacing="0" w:line="600" w:lineRule="exact"/>
              <w:ind w:left="0" w:right="0"/>
              <w:rPr>
                <w:rFonts w:hint="eastAsia" w:ascii="仿宋" w:hAnsi="仿宋" w:eastAsia="仿宋" w:cs="宋体"/>
                <w:color w:val="auto"/>
                <w:szCs w:val="20"/>
                <w:highlight w:val="none"/>
              </w:rPr>
            </w:pPr>
            <w:r>
              <w:rPr>
                <w:rFonts w:hint="eastAsia" w:ascii="仿宋" w:hAnsi="仿宋" w:eastAsia="仿宋" w:cs="宋体"/>
                <w:color w:val="auto"/>
                <w:szCs w:val="20"/>
                <w:highlight w:val="none"/>
              </w:rPr>
              <w:t>管理关系</w:t>
            </w:r>
          </w:p>
        </w:tc>
        <w:tc>
          <w:tcPr>
            <w:tcW w:w="3485" w:type="dxa"/>
            <w:noWrap w:val="0"/>
            <w:vAlign w:val="center"/>
          </w:tcPr>
          <w:p w14:paraId="4C35CB7E">
            <w:pPr>
              <w:keepNext w:val="0"/>
              <w:keepLines w:val="0"/>
              <w:pageBreakBefore w:val="0"/>
              <w:suppressLineNumbers w:val="0"/>
              <w:kinsoku/>
              <w:overflowPunct/>
              <w:bidi w:val="0"/>
              <w:adjustRightInd w:val="0"/>
              <w:snapToGrid w:val="0"/>
              <w:spacing w:before="0" w:beforeAutospacing="0" w:after="0" w:afterAutospacing="0" w:line="600" w:lineRule="exact"/>
              <w:ind w:left="0" w:right="0"/>
              <w:rPr>
                <w:rFonts w:hint="eastAsia" w:ascii="仿宋" w:hAnsi="仿宋" w:eastAsia="仿宋" w:cs="宋体"/>
                <w:color w:val="auto"/>
                <w:szCs w:val="20"/>
                <w:highlight w:val="none"/>
              </w:rPr>
            </w:pPr>
            <w:r>
              <w:rPr>
                <w:rFonts w:hint="eastAsia" w:ascii="仿宋" w:hAnsi="仿宋" w:eastAsia="仿宋" w:cs="宋体"/>
                <w:color w:val="auto"/>
                <w:szCs w:val="20"/>
                <w:highlight w:val="none"/>
              </w:rPr>
              <w:t>管理关系单位名称</w:t>
            </w:r>
          </w:p>
        </w:tc>
        <w:tc>
          <w:tcPr>
            <w:tcW w:w="3235" w:type="dxa"/>
            <w:noWrap w:val="0"/>
            <w:vAlign w:val="center"/>
          </w:tcPr>
          <w:p w14:paraId="7669EA01">
            <w:pPr>
              <w:keepNext w:val="0"/>
              <w:keepLines w:val="0"/>
              <w:pageBreakBefore w:val="0"/>
              <w:suppressLineNumbers w:val="0"/>
              <w:kinsoku/>
              <w:overflowPunct/>
              <w:bidi w:val="0"/>
              <w:adjustRightInd w:val="0"/>
              <w:snapToGrid w:val="0"/>
              <w:spacing w:before="0" w:beforeAutospacing="0" w:after="0" w:afterAutospacing="0" w:line="600" w:lineRule="exact"/>
              <w:ind w:left="0" w:right="0"/>
              <w:rPr>
                <w:rFonts w:hint="eastAsia" w:ascii="仿宋" w:hAnsi="仿宋" w:eastAsia="仿宋" w:cs="宋体"/>
                <w:color w:val="auto"/>
                <w:szCs w:val="20"/>
                <w:highlight w:val="none"/>
              </w:rPr>
            </w:pPr>
          </w:p>
        </w:tc>
      </w:tr>
      <w:tr w14:paraId="0EE770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3132" w:type="dxa"/>
            <w:vMerge w:val="continue"/>
            <w:noWrap w:val="0"/>
            <w:vAlign w:val="center"/>
          </w:tcPr>
          <w:p w14:paraId="6CBC628A">
            <w:pPr>
              <w:keepNext w:val="0"/>
              <w:keepLines w:val="0"/>
              <w:pageBreakBefore w:val="0"/>
              <w:suppressLineNumbers w:val="0"/>
              <w:kinsoku/>
              <w:overflowPunct/>
              <w:bidi w:val="0"/>
              <w:adjustRightInd w:val="0"/>
              <w:snapToGrid w:val="0"/>
              <w:spacing w:before="0" w:beforeAutospacing="0" w:after="0" w:afterAutospacing="0" w:line="600" w:lineRule="exact"/>
              <w:ind w:left="0" w:right="0"/>
              <w:rPr>
                <w:rFonts w:hint="eastAsia" w:ascii="仿宋" w:hAnsi="仿宋" w:eastAsia="仿宋" w:cs="宋体"/>
                <w:color w:val="auto"/>
                <w:szCs w:val="20"/>
                <w:highlight w:val="none"/>
              </w:rPr>
            </w:pPr>
          </w:p>
        </w:tc>
        <w:tc>
          <w:tcPr>
            <w:tcW w:w="3485" w:type="dxa"/>
            <w:noWrap w:val="0"/>
            <w:vAlign w:val="center"/>
          </w:tcPr>
          <w:p w14:paraId="16B3041B">
            <w:pPr>
              <w:keepNext w:val="0"/>
              <w:keepLines w:val="0"/>
              <w:pageBreakBefore w:val="0"/>
              <w:suppressLineNumbers w:val="0"/>
              <w:kinsoku/>
              <w:overflowPunct/>
              <w:bidi w:val="0"/>
              <w:adjustRightInd w:val="0"/>
              <w:snapToGrid w:val="0"/>
              <w:spacing w:before="0" w:beforeAutospacing="0" w:after="0" w:afterAutospacing="0" w:line="600" w:lineRule="exact"/>
              <w:ind w:left="0" w:right="0"/>
              <w:rPr>
                <w:rFonts w:hint="eastAsia" w:ascii="仿宋" w:hAnsi="仿宋" w:eastAsia="仿宋" w:cs="宋体"/>
                <w:color w:val="auto"/>
                <w:szCs w:val="20"/>
                <w:highlight w:val="none"/>
              </w:rPr>
            </w:pPr>
            <w:r>
              <w:rPr>
                <w:rFonts w:hint="eastAsia" w:ascii="仿宋" w:hAnsi="仿宋" w:eastAsia="仿宋" w:cs="宋体"/>
                <w:color w:val="auto"/>
                <w:szCs w:val="20"/>
                <w:highlight w:val="none"/>
              </w:rPr>
              <w:t>被管理关系单位名称</w:t>
            </w:r>
          </w:p>
        </w:tc>
        <w:tc>
          <w:tcPr>
            <w:tcW w:w="3235" w:type="dxa"/>
            <w:noWrap w:val="0"/>
            <w:vAlign w:val="center"/>
          </w:tcPr>
          <w:p w14:paraId="09BADAD6">
            <w:pPr>
              <w:keepNext w:val="0"/>
              <w:keepLines w:val="0"/>
              <w:pageBreakBefore w:val="0"/>
              <w:suppressLineNumbers w:val="0"/>
              <w:kinsoku/>
              <w:overflowPunct/>
              <w:bidi w:val="0"/>
              <w:adjustRightInd w:val="0"/>
              <w:snapToGrid w:val="0"/>
              <w:spacing w:before="0" w:beforeAutospacing="0" w:after="0" w:afterAutospacing="0" w:line="600" w:lineRule="exact"/>
              <w:ind w:left="0" w:right="0"/>
              <w:rPr>
                <w:rFonts w:hint="eastAsia" w:ascii="仿宋" w:hAnsi="仿宋" w:eastAsia="仿宋" w:cs="宋体"/>
                <w:color w:val="auto"/>
                <w:szCs w:val="20"/>
                <w:highlight w:val="none"/>
              </w:rPr>
            </w:pPr>
          </w:p>
        </w:tc>
      </w:tr>
      <w:tr w14:paraId="5AAEF6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9852" w:type="dxa"/>
            <w:gridSpan w:val="3"/>
            <w:noWrap w:val="0"/>
            <w:vAlign w:val="center"/>
          </w:tcPr>
          <w:p w14:paraId="34546BB3">
            <w:pPr>
              <w:keepNext w:val="0"/>
              <w:keepLines w:val="0"/>
              <w:pageBreakBefore w:val="0"/>
              <w:suppressLineNumbers w:val="0"/>
              <w:kinsoku/>
              <w:overflowPunct/>
              <w:bidi w:val="0"/>
              <w:adjustRightInd w:val="0"/>
              <w:snapToGrid w:val="0"/>
              <w:spacing w:before="0" w:beforeAutospacing="0" w:after="0" w:afterAutospacing="0" w:line="600" w:lineRule="exact"/>
              <w:ind w:left="0" w:right="0"/>
              <w:rPr>
                <w:rFonts w:hint="eastAsia" w:ascii="仿宋" w:hAnsi="仿宋" w:eastAsia="仿宋" w:cs="宋体"/>
                <w:color w:val="auto"/>
                <w:szCs w:val="20"/>
                <w:highlight w:val="none"/>
              </w:rPr>
            </w:pPr>
            <w:r>
              <w:rPr>
                <w:rFonts w:hint="eastAsia" w:ascii="仿宋" w:hAnsi="仿宋" w:eastAsia="仿宋" w:cs="宋体"/>
                <w:color w:val="auto"/>
                <w:szCs w:val="20"/>
                <w:highlight w:val="none"/>
              </w:rPr>
              <w:t>备注：</w:t>
            </w:r>
          </w:p>
        </w:tc>
      </w:tr>
    </w:tbl>
    <w:p w14:paraId="76478922">
      <w:pPr>
        <w:pageBreakBefore w:val="0"/>
        <w:kinsoku/>
        <w:overflowPunct/>
        <w:bidi w:val="0"/>
        <w:adjustRightInd w:val="0"/>
        <w:snapToGrid w:val="0"/>
        <w:spacing w:line="600" w:lineRule="exact"/>
        <w:ind w:left="0" w:leftChars="-295" w:hanging="619" w:hangingChars="258"/>
        <w:rPr>
          <w:rFonts w:hint="eastAsia" w:ascii="仿宋" w:hAnsi="仿宋" w:eastAsia="仿宋" w:cs="宋体"/>
          <w:color w:val="auto"/>
          <w:sz w:val="24"/>
          <w:highlight w:val="none"/>
        </w:rPr>
      </w:pPr>
      <w:r>
        <w:rPr>
          <w:rFonts w:hint="eastAsia" w:ascii="仿宋" w:hAnsi="仿宋" w:eastAsia="仿宋" w:cs="宋体"/>
          <w:color w:val="auto"/>
          <w:sz w:val="24"/>
          <w:szCs w:val="24"/>
          <w:highlight w:val="none"/>
        </w:rPr>
        <w:t>注</w:t>
      </w:r>
      <w:r>
        <w:rPr>
          <w:rFonts w:hint="eastAsia" w:ascii="仿宋" w:hAnsi="仿宋" w:eastAsia="仿宋" w:cs="宋体"/>
          <w:color w:val="auto"/>
          <w:sz w:val="24"/>
          <w:szCs w:val="24"/>
          <w:highlight w:val="none"/>
          <w:lang w:val="en-US" w:eastAsia="zh-CN"/>
        </w:rPr>
        <w:t xml:space="preserve"> </w:t>
      </w:r>
      <w:r>
        <w:rPr>
          <w:rFonts w:hint="eastAsia" w:ascii="仿宋" w:hAnsi="仿宋" w:eastAsia="仿宋" w:cs="宋体"/>
          <w:color w:val="auto"/>
          <w:sz w:val="24"/>
          <w:szCs w:val="24"/>
          <w:highlight w:val="none"/>
        </w:rPr>
        <w:t>：</w:t>
      </w:r>
      <w:r>
        <w:rPr>
          <w:rFonts w:hint="eastAsia" w:ascii="仿宋" w:hAnsi="仿宋" w:eastAsia="仿宋" w:cs="宋体"/>
          <w:color w:val="auto"/>
          <w:sz w:val="24"/>
          <w:szCs w:val="24"/>
          <w:highlight w:val="none"/>
          <w:lang w:val="en-US" w:eastAsia="zh-CN"/>
        </w:rPr>
        <w:t>1.</w:t>
      </w:r>
      <w:r>
        <w:rPr>
          <w:rFonts w:hint="eastAsia" w:ascii="仿宋" w:hAnsi="仿宋" w:eastAsia="仿宋" w:cs="宋体"/>
          <w:color w:val="auto"/>
          <w:sz w:val="24"/>
          <w:highlight w:val="none"/>
        </w:rPr>
        <w:t>控股股东/投资人是指出资比例在50%以上，或者出资比例不足50%，但享有公司股东会/董事会控制权的投资方（含单位或者个人）；</w:t>
      </w:r>
    </w:p>
    <w:p w14:paraId="1C254C55">
      <w:pPr>
        <w:pStyle w:val="141"/>
        <w:pageBreakBefore w:val="0"/>
        <w:numPr>
          <w:ilvl w:val="0"/>
          <w:numId w:val="0"/>
        </w:numPr>
        <w:kinsoku/>
        <w:overflowPunct/>
        <w:bidi w:val="0"/>
        <w:adjustRightInd w:val="0"/>
        <w:snapToGrid w:val="0"/>
        <w:spacing w:line="600" w:lineRule="exact"/>
        <w:ind w:leftChars="0"/>
        <w:rPr>
          <w:rFonts w:hint="eastAsia" w:ascii="仿宋" w:hAnsi="仿宋" w:eastAsia="仿宋" w:cs="宋体"/>
          <w:color w:val="auto"/>
          <w:sz w:val="24"/>
          <w:highlight w:val="none"/>
        </w:rPr>
      </w:pPr>
      <w:r>
        <w:rPr>
          <w:rFonts w:hint="eastAsia" w:ascii="仿宋" w:hAnsi="仿宋" w:eastAsia="仿宋" w:cs="宋体"/>
          <w:color w:val="auto"/>
          <w:sz w:val="24"/>
          <w:highlight w:val="none"/>
          <w:lang w:val="en-US" w:eastAsia="zh-CN"/>
        </w:rPr>
        <w:t>2.</w:t>
      </w:r>
      <w:r>
        <w:rPr>
          <w:rFonts w:hint="eastAsia" w:ascii="仿宋" w:hAnsi="仿宋" w:eastAsia="仿宋" w:cs="宋体"/>
          <w:color w:val="auto"/>
          <w:sz w:val="24"/>
          <w:highlight w:val="none"/>
        </w:rPr>
        <w:t xml:space="preserve">管理关系单位是指与不具有出资持股关系的其他单位之间存在管理与被管理关系的单位； </w:t>
      </w:r>
    </w:p>
    <w:p w14:paraId="32C3ADA9">
      <w:pPr>
        <w:pStyle w:val="141"/>
        <w:pageBreakBefore w:val="0"/>
        <w:numPr>
          <w:ilvl w:val="0"/>
          <w:numId w:val="0"/>
        </w:numPr>
        <w:kinsoku/>
        <w:overflowPunct/>
        <w:bidi w:val="0"/>
        <w:adjustRightInd w:val="0"/>
        <w:snapToGrid w:val="0"/>
        <w:spacing w:line="600" w:lineRule="exact"/>
        <w:ind w:leftChars="0"/>
        <w:rPr>
          <w:rFonts w:hint="eastAsia" w:ascii="仿宋" w:hAnsi="仿宋" w:eastAsia="仿宋" w:cs="宋体"/>
          <w:color w:val="auto"/>
          <w:sz w:val="24"/>
          <w:szCs w:val="24"/>
          <w:highlight w:val="none"/>
        </w:rPr>
      </w:pPr>
      <w:r>
        <w:rPr>
          <w:rFonts w:hint="eastAsia" w:ascii="仿宋" w:hAnsi="仿宋" w:eastAsia="仿宋" w:cs="宋体"/>
          <w:color w:val="auto"/>
          <w:sz w:val="24"/>
          <w:highlight w:val="none"/>
          <w:lang w:val="en-US" w:eastAsia="zh-CN"/>
        </w:rPr>
        <w:t>3.</w:t>
      </w:r>
      <w:r>
        <w:rPr>
          <w:rFonts w:hint="eastAsia" w:ascii="仿宋" w:hAnsi="仿宋" w:eastAsia="仿宋" w:cs="宋体"/>
          <w:color w:val="auto"/>
          <w:sz w:val="24"/>
          <w:highlight w:val="none"/>
        </w:rPr>
        <w:t>如未有相关情况，请在相应栏填写“无”。</w:t>
      </w:r>
    </w:p>
    <w:p w14:paraId="39CA77F6">
      <w:pPr>
        <w:pageBreakBefore w:val="0"/>
        <w:kinsoku/>
        <w:overflowPunct/>
        <w:bidi w:val="0"/>
        <w:spacing w:line="600" w:lineRule="exact"/>
        <w:ind w:firstLine="4080" w:firstLineChars="1700"/>
        <w:jc w:val="right"/>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投标人名称：</w:t>
      </w:r>
      <w:r>
        <w:rPr>
          <w:rFonts w:hint="eastAsia" w:ascii="仿宋" w:hAnsi="仿宋" w:eastAsia="仿宋" w:cs="宋体"/>
          <w:color w:val="auto"/>
          <w:sz w:val="24"/>
          <w:szCs w:val="24"/>
          <w:highlight w:val="none"/>
          <w:u w:val="single"/>
        </w:rPr>
        <w:t xml:space="preserve">     </w:t>
      </w:r>
      <w:r>
        <w:rPr>
          <w:rFonts w:hint="eastAsia" w:ascii="仿宋" w:hAnsi="仿宋" w:eastAsia="仿宋" w:cs="宋体"/>
          <w:color w:val="auto"/>
          <w:sz w:val="24"/>
          <w:szCs w:val="24"/>
          <w:highlight w:val="none"/>
        </w:rPr>
        <w:t>（盖章）</w:t>
      </w:r>
    </w:p>
    <w:p w14:paraId="541C680F">
      <w:pPr>
        <w:pageBreakBefore w:val="0"/>
        <w:kinsoku/>
        <w:overflowPunct/>
        <w:bidi w:val="0"/>
        <w:spacing w:line="600" w:lineRule="exact"/>
        <w:jc w:val="right"/>
        <w:rPr>
          <w:color w:val="auto"/>
          <w:highlight w:val="none"/>
        </w:rPr>
      </w:pPr>
      <w:r>
        <w:rPr>
          <w:rFonts w:hint="eastAsia" w:ascii="仿宋" w:hAnsi="仿宋" w:eastAsia="仿宋" w:cs="宋体"/>
          <w:color w:val="auto"/>
          <w:sz w:val="24"/>
          <w:szCs w:val="24"/>
          <w:highlight w:val="none"/>
        </w:rPr>
        <w:t>日期：</w:t>
      </w:r>
      <w:r>
        <w:rPr>
          <w:rFonts w:hint="eastAsia" w:ascii="仿宋" w:hAnsi="仿宋" w:eastAsia="仿宋" w:cs="宋体"/>
          <w:color w:val="auto"/>
          <w:sz w:val="24"/>
          <w:szCs w:val="24"/>
          <w:highlight w:val="none"/>
          <w:u w:val="single"/>
        </w:rPr>
        <w:t xml:space="preserve">   </w:t>
      </w:r>
      <w:r>
        <w:rPr>
          <w:rFonts w:hint="eastAsia" w:ascii="仿宋" w:hAnsi="仿宋" w:eastAsia="仿宋" w:cs="宋体"/>
          <w:color w:val="auto"/>
          <w:sz w:val="24"/>
          <w:szCs w:val="24"/>
          <w:highlight w:val="none"/>
        </w:rPr>
        <w:t>年</w:t>
      </w:r>
      <w:r>
        <w:rPr>
          <w:rFonts w:hint="eastAsia" w:ascii="仿宋" w:hAnsi="仿宋" w:eastAsia="仿宋" w:cs="宋体"/>
          <w:color w:val="auto"/>
          <w:sz w:val="24"/>
          <w:szCs w:val="24"/>
          <w:highlight w:val="none"/>
          <w:u w:val="single"/>
        </w:rPr>
        <w:t xml:space="preserve">   </w:t>
      </w:r>
      <w:r>
        <w:rPr>
          <w:rFonts w:hint="eastAsia" w:ascii="仿宋" w:hAnsi="仿宋" w:eastAsia="仿宋" w:cs="宋体"/>
          <w:color w:val="auto"/>
          <w:sz w:val="24"/>
          <w:szCs w:val="24"/>
          <w:highlight w:val="none"/>
        </w:rPr>
        <w:t>月</w:t>
      </w:r>
      <w:r>
        <w:rPr>
          <w:rFonts w:hint="eastAsia" w:ascii="仿宋" w:hAnsi="仿宋" w:eastAsia="仿宋" w:cs="宋体"/>
          <w:color w:val="auto"/>
          <w:sz w:val="24"/>
          <w:szCs w:val="24"/>
          <w:highlight w:val="none"/>
          <w:u w:val="single"/>
        </w:rPr>
        <w:t xml:space="preserve">   </w:t>
      </w:r>
      <w:r>
        <w:rPr>
          <w:rFonts w:hint="eastAsia" w:ascii="仿宋" w:hAnsi="仿宋" w:eastAsia="仿宋" w:cs="宋体"/>
          <w:color w:val="auto"/>
          <w:sz w:val="24"/>
          <w:szCs w:val="24"/>
          <w:highlight w:val="none"/>
        </w:rPr>
        <w:t>日</w:t>
      </w:r>
    </w:p>
    <w:p w14:paraId="0CC6358B">
      <w:pPr>
        <w:pStyle w:val="6"/>
        <w:pageBreakBefore w:val="0"/>
        <w:numPr>
          <w:ilvl w:val="0"/>
          <w:numId w:val="0"/>
        </w:numPr>
        <w:kinsoku/>
        <w:overflowPunct/>
        <w:bidi w:val="0"/>
        <w:spacing w:line="600" w:lineRule="exact"/>
        <w:rPr>
          <w:rFonts w:hint="eastAsia" w:ascii="仿宋" w:hAnsi="仿宋" w:eastAsia="仿宋" w:cs="仿宋"/>
          <w:b/>
          <w:bCs/>
          <w:color w:val="auto"/>
          <w:szCs w:val="24"/>
          <w:highlight w:val="none"/>
        </w:rPr>
      </w:pPr>
      <w:r>
        <w:rPr>
          <w:rFonts w:hint="eastAsia" w:ascii="仿宋" w:hAnsi="仿宋" w:cs="宋体"/>
          <w:color w:val="auto"/>
          <w:szCs w:val="24"/>
          <w:highlight w:val="none"/>
        </w:rPr>
        <w:br w:type="page"/>
      </w:r>
      <w:r>
        <w:rPr>
          <w:rFonts w:hint="eastAsia" w:ascii="仿宋" w:hAnsi="仿宋" w:cs="宋体"/>
          <w:color w:val="auto"/>
          <w:szCs w:val="24"/>
          <w:highlight w:val="none"/>
          <w:lang w:val="en-US" w:eastAsia="zh-CN"/>
        </w:rPr>
        <w:t>8-</w:t>
      </w:r>
      <w:r>
        <w:rPr>
          <w:rFonts w:hint="eastAsia" w:ascii="仿宋" w:hAnsi="仿宋" w:eastAsia="仿宋" w:cs="仿宋"/>
          <w:b/>
          <w:bCs/>
          <w:color w:val="auto"/>
          <w:szCs w:val="24"/>
          <w:highlight w:val="none"/>
        </w:rPr>
        <w:t>非联合体投标声明</w:t>
      </w:r>
    </w:p>
    <w:p w14:paraId="01FE82F8">
      <w:pPr>
        <w:pStyle w:val="13"/>
        <w:pageBreakBefore w:val="0"/>
        <w:kinsoku/>
        <w:overflowPunct/>
        <w:bidi w:val="0"/>
        <w:spacing w:before="240" w:line="600" w:lineRule="exact"/>
        <w:jc w:val="center"/>
        <w:rPr>
          <w:rFonts w:hint="eastAsia" w:ascii="仿宋" w:hAnsi="仿宋" w:eastAsia="仿宋" w:cs="Cambria Math"/>
          <w:b/>
          <w:bCs/>
          <w:color w:val="auto"/>
          <w:sz w:val="24"/>
          <w:highlight w:val="none"/>
        </w:rPr>
      </w:pPr>
      <w:r>
        <w:rPr>
          <w:rFonts w:hint="eastAsia" w:ascii="仿宋" w:hAnsi="仿宋" w:eastAsia="仿宋" w:cs="Cambria Math"/>
          <w:b/>
          <w:bCs/>
          <w:color w:val="auto"/>
          <w:sz w:val="24"/>
          <w:highlight w:val="none"/>
        </w:rPr>
        <w:t>非联合体投标声明</w:t>
      </w:r>
    </w:p>
    <w:p w14:paraId="6169F583">
      <w:pPr>
        <w:pageBreakBefore w:val="0"/>
        <w:kinsoku/>
        <w:overflowPunct/>
        <w:bidi w:val="0"/>
        <w:adjustRightInd w:val="0"/>
        <w:snapToGrid w:val="0"/>
        <w:spacing w:before="240" w:line="600" w:lineRule="exact"/>
        <w:rPr>
          <w:rFonts w:hint="eastAsia" w:ascii="仿宋" w:hAnsi="仿宋" w:eastAsia="仿宋" w:cs="Cambria Math"/>
          <w:color w:val="auto"/>
          <w:sz w:val="24"/>
          <w:highlight w:val="none"/>
        </w:rPr>
      </w:pPr>
      <w:r>
        <w:rPr>
          <w:rFonts w:hint="eastAsia" w:ascii="仿宋" w:hAnsi="仿宋" w:eastAsia="仿宋" w:cs="Cambria Math"/>
          <w:color w:val="auto"/>
          <w:sz w:val="24"/>
          <w:highlight w:val="none"/>
        </w:rPr>
        <w:t>致：</w:t>
      </w:r>
      <w:r>
        <w:rPr>
          <w:rFonts w:hint="eastAsia" w:ascii="仿宋" w:hAnsi="仿宋" w:eastAsia="仿宋" w:cs="Cambria Math"/>
          <w:color w:val="auto"/>
          <w:sz w:val="24"/>
          <w:highlight w:val="none"/>
          <w:u w:val="single"/>
          <w:lang w:eastAsia="zh-CN"/>
        </w:rPr>
        <w:t>（</w:t>
      </w:r>
      <w:r>
        <w:rPr>
          <w:rFonts w:hint="eastAsia" w:ascii="仿宋" w:hAnsi="仿宋" w:eastAsia="仿宋" w:cs="Cambria Math"/>
          <w:color w:val="auto"/>
          <w:sz w:val="24"/>
          <w:highlight w:val="none"/>
          <w:u w:val="single"/>
          <w:lang w:val="en-US" w:eastAsia="zh-CN"/>
        </w:rPr>
        <w:t>招标人</w:t>
      </w:r>
      <w:r>
        <w:rPr>
          <w:rFonts w:hint="eastAsia" w:ascii="仿宋" w:hAnsi="仿宋" w:eastAsia="仿宋" w:cs="Cambria Math"/>
          <w:color w:val="auto"/>
          <w:sz w:val="24"/>
          <w:highlight w:val="none"/>
          <w:u w:val="single"/>
          <w:lang w:eastAsia="zh-CN"/>
        </w:rPr>
        <w:t>）</w:t>
      </w:r>
      <w:r>
        <w:rPr>
          <w:rFonts w:hint="eastAsia" w:ascii="仿宋" w:hAnsi="仿宋" w:eastAsia="仿宋" w:cs="Cambria Math"/>
          <w:color w:val="auto"/>
          <w:sz w:val="24"/>
          <w:highlight w:val="none"/>
          <w:u w:val="single"/>
        </w:rPr>
        <w:t>：</w:t>
      </w:r>
    </w:p>
    <w:p w14:paraId="06E6991B">
      <w:pPr>
        <w:pageBreakBefore w:val="0"/>
        <w:kinsoku/>
        <w:overflowPunct/>
        <w:bidi w:val="0"/>
        <w:adjustRightInd w:val="0"/>
        <w:snapToGrid w:val="0"/>
        <w:spacing w:before="240" w:line="600" w:lineRule="exact"/>
        <w:ind w:firstLine="480" w:firstLineChars="200"/>
        <w:rPr>
          <w:rFonts w:ascii="仿宋" w:hAnsi="仿宋" w:eastAsia="仿宋" w:cs="Cambria Math"/>
          <w:color w:val="auto"/>
          <w:sz w:val="24"/>
          <w:highlight w:val="none"/>
        </w:rPr>
      </w:pPr>
      <w:r>
        <w:rPr>
          <w:rFonts w:hint="eastAsia" w:ascii="仿宋" w:hAnsi="仿宋" w:eastAsia="仿宋" w:cs="Cambria Math"/>
          <w:color w:val="auto"/>
          <w:sz w:val="24"/>
          <w:highlight w:val="none"/>
        </w:rPr>
        <w:t>我方</w:t>
      </w:r>
      <w:r>
        <w:rPr>
          <w:rFonts w:hint="eastAsia" w:ascii="仿宋" w:hAnsi="仿宋" w:eastAsia="仿宋" w:cs="Cambria Math"/>
          <w:color w:val="auto"/>
          <w:sz w:val="24"/>
          <w:highlight w:val="none"/>
          <w:u w:val="single"/>
        </w:rPr>
        <w:t xml:space="preserve">     </w:t>
      </w:r>
      <w:r>
        <w:rPr>
          <w:rFonts w:ascii="仿宋" w:hAnsi="仿宋" w:eastAsia="仿宋" w:cs="Cambria Math"/>
          <w:color w:val="auto"/>
          <w:sz w:val="24"/>
          <w:highlight w:val="none"/>
          <w:u w:val="single"/>
        </w:rPr>
        <w:t xml:space="preserve"> </w:t>
      </w:r>
      <w:r>
        <w:rPr>
          <w:rFonts w:hint="eastAsia" w:ascii="仿宋" w:hAnsi="仿宋" w:eastAsia="仿宋" w:cs="Cambria Math"/>
          <w:color w:val="auto"/>
          <w:sz w:val="24"/>
          <w:highlight w:val="none"/>
          <w:u w:val="single"/>
        </w:rPr>
        <w:t>（投标人名称）</w:t>
      </w:r>
      <w:r>
        <w:rPr>
          <w:rFonts w:ascii="仿宋" w:hAnsi="仿宋" w:eastAsia="仿宋" w:cs="Cambria Math"/>
          <w:color w:val="auto"/>
          <w:sz w:val="24"/>
          <w:highlight w:val="none"/>
          <w:u w:val="single"/>
        </w:rPr>
        <w:t xml:space="preserve">   </w:t>
      </w:r>
      <w:r>
        <w:rPr>
          <w:rFonts w:hint="eastAsia" w:ascii="仿宋" w:hAnsi="仿宋" w:eastAsia="仿宋" w:cs="Cambria Math"/>
          <w:color w:val="auto"/>
          <w:sz w:val="24"/>
          <w:highlight w:val="none"/>
        </w:rPr>
        <w:t>独立参与</w:t>
      </w:r>
      <w:r>
        <w:rPr>
          <w:rFonts w:hint="eastAsia" w:ascii="仿宋" w:hAnsi="仿宋" w:eastAsia="仿宋" w:cs="Cambria Math"/>
          <w:color w:val="auto"/>
          <w:sz w:val="24"/>
          <w:highlight w:val="none"/>
          <w:u w:val="single"/>
        </w:rPr>
        <w:t xml:space="preserve">    （项目名称）</w:t>
      </w:r>
      <w:r>
        <w:rPr>
          <w:rFonts w:ascii="仿宋" w:hAnsi="仿宋" w:eastAsia="仿宋" w:cs="Cambria Math"/>
          <w:color w:val="auto"/>
          <w:sz w:val="24"/>
          <w:highlight w:val="none"/>
          <w:u w:val="single"/>
        </w:rPr>
        <w:t xml:space="preserve">  </w:t>
      </w:r>
      <w:r>
        <w:rPr>
          <w:rFonts w:hint="eastAsia" w:ascii="仿宋" w:hAnsi="仿宋" w:eastAsia="仿宋" w:cs="Cambria Math"/>
          <w:color w:val="auto"/>
          <w:sz w:val="24"/>
          <w:highlight w:val="none"/>
          <w:u w:val="single"/>
        </w:rPr>
        <w:t>的</w:t>
      </w:r>
      <w:r>
        <w:rPr>
          <w:rFonts w:hint="eastAsia" w:ascii="仿宋" w:hAnsi="仿宋" w:eastAsia="仿宋" w:cs="Cambria Math"/>
          <w:color w:val="auto"/>
          <w:sz w:val="24"/>
          <w:highlight w:val="none"/>
        </w:rPr>
        <w:t>投标，非联合体参与投标。</w:t>
      </w:r>
      <w:r>
        <w:rPr>
          <w:rFonts w:ascii="仿宋" w:hAnsi="仿宋" w:eastAsia="仿宋" w:cs="Cambria Math"/>
          <w:color w:val="auto"/>
          <w:sz w:val="24"/>
          <w:highlight w:val="none"/>
        </w:rPr>
        <w:t xml:space="preserve"> </w:t>
      </w:r>
    </w:p>
    <w:p w14:paraId="7278A396">
      <w:pPr>
        <w:pStyle w:val="13"/>
        <w:pageBreakBefore w:val="0"/>
        <w:kinsoku/>
        <w:overflowPunct/>
        <w:bidi w:val="0"/>
        <w:spacing w:line="600" w:lineRule="exact"/>
        <w:ind w:firstLine="480" w:firstLineChars="200"/>
        <w:rPr>
          <w:rFonts w:hint="eastAsia" w:ascii="仿宋" w:hAnsi="仿宋" w:eastAsia="仿宋" w:cs="Cambria Math"/>
          <w:color w:val="auto"/>
          <w:sz w:val="24"/>
          <w:highlight w:val="none"/>
        </w:rPr>
      </w:pPr>
      <w:r>
        <w:rPr>
          <w:rFonts w:hint="eastAsia" w:ascii="仿宋" w:hAnsi="仿宋" w:eastAsia="仿宋" w:cs="Cambria Math"/>
          <w:color w:val="auto"/>
          <w:sz w:val="24"/>
          <w:highlight w:val="none"/>
        </w:rPr>
        <w:t>特此声明。</w:t>
      </w:r>
    </w:p>
    <w:p w14:paraId="01E53210">
      <w:pPr>
        <w:pStyle w:val="125"/>
        <w:pageBreakBefore w:val="0"/>
        <w:kinsoku/>
        <w:overflowPunct/>
        <w:bidi w:val="0"/>
        <w:spacing w:line="600" w:lineRule="exact"/>
        <w:ind w:firstLine="640"/>
        <w:rPr>
          <w:rFonts w:ascii="仿宋" w:hAnsi="仿宋" w:eastAsia="仿宋"/>
          <w:color w:val="auto"/>
          <w:highlight w:val="none"/>
        </w:rPr>
      </w:pPr>
    </w:p>
    <w:p w14:paraId="64C909D6">
      <w:pPr>
        <w:pStyle w:val="125"/>
        <w:pageBreakBefore w:val="0"/>
        <w:kinsoku/>
        <w:overflowPunct/>
        <w:bidi w:val="0"/>
        <w:spacing w:line="600" w:lineRule="exact"/>
        <w:ind w:left="0" w:leftChars="0" w:firstLine="0" w:firstLineChars="0"/>
        <w:rPr>
          <w:rFonts w:hint="eastAsia" w:ascii="仿宋" w:hAnsi="仿宋" w:eastAsia="仿宋"/>
          <w:color w:val="auto"/>
          <w:highlight w:val="none"/>
        </w:rPr>
      </w:pPr>
    </w:p>
    <w:p w14:paraId="14D55166">
      <w:pPr>
        <w:pageBreakBefore w:val="0"/>
        <w:kinsoku/>
        <w:overflowPunct/>
        <w:bidi w:val="0"/>
        <w:spacing w:line="600" w:lineRule="exact"/>
        <w:ind w:firstLine="4080" w:firstLineChars="1700"/>
        <w:jc w:val="right"/>
        <w:rPr>
          <w:rFonts w:hint="eastAsia" w:ascii="仿宋" w:hAnsi="仿宋" w:eastAsia="仿宋" w:cs="Cambria Math"/>
          <w:color w:val="auto"/>
          <w:sz w:val="24"/>
          <w:highlight w:val="none"/>
        </w:rPr>
      </w:pPr>
      <w:r>
        <w:rPr>
          <w:rFonts w:hint="eastAsia" w:ascii="仿宋" w:hAnsi="仿宋" w:eastAsia="仿宋" w:cs="Cambria Math"/>
          <w:color w:val="auto"/>
          <w:sz w:val="24"/>
          <w:highlight w:val="none"/>
        </w:rPr>
        <w:t>投标人名称：</w:t>
      </w:r>
      <w:r>
        <w:rPr>
          <w:rFonts w:hint="eastAsia" w:ascii="仿宋" w:hAnsi="仿宋" w:eastAsia="仿宋" w:cs="Cambria Math"/>
          <w:color w:val="auto"/>
          <w:sz w:val="24"/>
          <w:highlight w:val="none"/>
          <w:u w:val="single"/>
        </w:rPr>
        <w:t xml:space="preserve">     </w:t>
      </w:r>
      <w:r>
        <w:rPr>
          <w:rFonts w:hint="eastAsia" w:ascii="仿宋" w:hAnsi="仿宋" w:eastAsia="仿宋" w:cs="Cambria Math"/>
          <w:color w:val="auto"/>
          <w:sz w:val="24"/>
          <w:highlight w:val="none"/>
        </w:rPr>
        <w:t>（盖章）</w:t>
      </w:r>
    </w:p>
    <w:p w14:paraId="7A7DF2D5">
      <w:pPr>
        <w:pStyle w:val="119"/>
        <w:pageBreakBefore w:val="0"/>
        <w:kinsoku/>
        <w:overflowPunct/>
        <w:bidi w:val="0"/>
        <w:spacing w:line="600" w:lineRule="exact"/>
        <w:jc w:val="right"/>
        <w:rPr>
          <w:rFonts w:hint="eastAsia" w:ascii="仿宋" w:hAnsi="仿宋" w:eastAsia="仿宋" w:cs="宋体"/>
          <w:color w:val="auto"/>
          <w:szCs w:val="21"/>
          <w:highlight w:val="none"/>
        </w:rPr>
      </w:pPr>
      <w:r>
        <w:rPr>
          <w:rFonts w:hint="eastAsia" w:ascii="仿宋" w:hAnsi="仿宋" w:eastAsia="仿宋" w:cs="Cambria Math"/>
          <w:color w:val="auto"/>
          <w:highlight w:val="none"/>
        </w:rPr>
        <w:t>日期：</w:t>
      </w:r>
      <w:r>
        <w:rPr>
          <w:rFonts w:hint="eastAsia" w:ascii="仿宋" w:hAnsi="仿宋" w:eastAsia="仿宋" w:cs="Cambria Math"/>
          <w:color w:val="auto"/>
          <w:highlight w:val="none"/>
          <w:u w:val="single"/>
        </w:rPr>
        <w:t xml:space="preserve">   </w:t>
      </w:r>
      <w:r>
        <w:rPr>
          <w:rFonts w:hint="eastAsia" w:ascii="仿宋" w:hAnsi="仿宋" w:eastAsia="仿宋" w:cs="Cambria Math"/>
          <w:color w:val="auto"/>
          <w:highlight w:val="none"/>
        </w:rPr>
        <w:t>年</w:t>
      </w:r>
      <w:r>
        <w:rPr>
          <w:rFonts w:hint="eastAsia" w:ascii="仿宋" w:hAnsi="仿宋" w:eastAsia="仿宋" w:cs="Cambria Math"/>
          <w:color w:val="auto"/>
          <w:highlight w:val="none"/>
          <w:u w:val="single"/>
        </w:rPr>
        <w:t xml:space="preserve">   </w:t>
      </w:r>
      <w:r>
        <w:rPr>
          <w:rFonts w:hint="eastAsia" w:ascii="仿宋" w:hAnsi="仿宋" w:eastAsia="仿宋" w:cs="Cambria Math"/>
          <w:color w:val="auto"/>
          <w:highlight w:val="none"/>
        </w:rPr>
        <w:t>月</w:t>
      </w:r>
      <w:r>
        <w:rPr>
          <w:rFonts w:hint="eastAsia" w:ascii="仿宋" w:hAnsi="仿宋" w:eastAsia="仿宋" w:cs="Cambria Math"/>
          <w:color w:val="auto"/>
          <w:highlight w:val="none"/>
          <w:u w:val="single"/>
        </w:rPr>
        <w:t xml:space="preserve">   </w:t>
      </w:r>
      <w:r>
        <w:rPr>
          <w:rFonts w:hint="eastAsia" w:ascii="仿宋" w:hAnsi="仿宋" w:eastAsia="仿宋" w:cs="Cambria Math"/>
          <w:color w:val="auto"/>
          <w:highlight w:val="none"/>
        </w:rPr>
        <w:t>日</w:t>
      </w:r>
    </w:p>
    <w:p w14:paraId="372E6EA3">
      <w:pPr>
        <w:pStyle w:val="119"/>
        <w:pageBreakBefore w:val="0"/>
        <w:kinsoku/>
        <w:overflowPunct/>
        <w:bidi w:val="0"/>
        <w:spacing w:line="600" w:lineRule="exact"/>
        <w:rPr>
          <w:rFonts w:ascii="仿宋" w:hAnsi="仿宋" w:eastAsia="仿宋" w:cs="宋体"/>
          <w:color w:val="auto"/>
          <w:szCs w:val="24"/>
          <w:highlight w:val="none"/>
        </w:rPr>
      </w:pPr>
    </w:p>
    <w:p w14:paraId="1754C693">
      <w:pPr>
        <w:pStyle w:val="119"/>
        <w:pageBreakBefore w:val="0"/>
        <w:kinsoku/>
        <w:overflowPunct/>
        <w:bidi w:val="0"/>
        <w:spacing w:line="600" w:lineRule="exact"/>
        <w:rPr>
          <w:rFonts w:ascii="仿宋" w:hAnsi="仿宋" w:eastAsia="仿宋" w:cs="宋体"/>
          <w:color w:val="auto"/>
          <w:szCs w:val="24"/>
          <w:highlight w:val="none"/>
        </w:rPr>
      </w:pPr>
    </w:p>
    <w:p w14:paraId="7C82F013">
      <w:pPr>
        <w:pStyle w:val="119"/>
        <w:pageBreakBefore w:val="0"/>
        <w:kinsoku/>
        <w:overflowPunct/>
        <w:bidi w:val="0"/>
        <w:spacing w:line="600" w:lineRule="exact"/>
        <w:rPr>
          <w:rFonts w:ascii="仿宋" w:hAnsi="仿宋" w:eastAsia="仿宋" w:cs="宋体"/>
          <w:color w:val="auto"/>
          <w:szCs w:val="24"/>
          <w:highlight w:val="none"/>
        </w:rPr>
      </w:pPr>
    </w:p>
    <w:p w14:paraId="6429B86B">
      <w:pPr>
        <w:pStyle w:val="119"/>
        <w:pageBreakBefore w:val="0"/>
        <w:kinsoku/>
        <w:overflowPunct/>
        <w:bidi w:val="0"/>
        <w:spacing w:line="600" w:lineRule="exact"/>
        <w:rPr>
          <w:rFonts w:hint="eastAsia" w:ascii="仿宋" w:hAnsi="仿宋" w:eastAsia="仿宋" w:cs="宋体"/>
          <w:color w:val="auto"/>
          <w:highlight w:val="none"/>
        </w:rPr>
      </w:pPr>
    </w:p>
    <w:p w14:paraId="0D932359">
      <w:pPr>
        <w:pStyle w:val="5"/>
        <w:pageBreakBefore w:val="0"/>
        <w:kinsoku/>
        <w:overflowPunct/>
        <w:bidi w:val="0"/>
        <w:spacing w:line="600" w:lineRule="exact"/>
        <w:ind w:firstLine="0" w:firstLineChars="0"/>
        <w:rPr>
          <w:rFonts w:ascii="仿宋" w:hAnsi="仿宋" w:cs="宋体"/>
          <w:color w:val="auto"/>
          <w:szCs w:val="24"/>
          <w:highlight w:val="none"/>
        </w:rPr>
      </w:pPr>
      <w:r>
        <w:rPr>
          <w:rFonts w:ascii="仿宋" w:hAnsi="仿宋" w:cs="宋体"/>
          <w:color w:val="auto"/>
          <w:szCs w:val="24"/>
          <w:highlight w:val="none"/>
        </w:rPr>
        <w:br w:type="page"/>
      </w:r>
      <w:bookmarkStart w:id="677" w:name="_Toc109124321"/>
      <w:bookmarkStart w:id="678" w:name="_Toc18208"/>
      <w:bookmarkStart w:id="679" w:name="_Toc65683009"/>
      <w:bookmarkStart w:id="680" w:name="_Toc21072"/>
      <w:r>
        <w:rPr>
          <w:rFonts w:ascii="仿宋" w:hAnsi="仿宋" w:cs="宋体"/>
          <w:color w:val="auto"/>
          <w:szCs w:val="24"/>
          <w:highlight w:val="none"/>
        </w:rPr>
        <w:t>（五）投标人须知应答偏离表</w:t>
      </w:r>
      <w:bookmarkEnd w:id="677"/>
      <w:bookmarkEnd w:id="678"/>
      <w:bookmarkEnd w:id="679"/>
      <w:bookmarkEnd w:id="680"/>
    </w:p>
    <w:p w14:paraId="6488EBED">
      <w:pPr>
        <w:pageBreakBefore w:val="0"/>
        <w:kinsoku/>
        <w:overflowPunct/>
        <w:bidi w:val="0"/>
        <w:spacing w:after="240" w:line="600" w:lineRule="exact"/>
        <w:jc w:val="center"/>
        <w:rPr>
          <w:rFonts w:hint="eastAsia" w:ascii="仿宋" w:hAnsi="仿宋" w:eastAsia="仿宋" w:cs="宋体"/>
          <w:b/>
          <w:bCs/>
          <w:color w:val="auto"/>
          <w:sz w:val="24"/>
          <w:szCs w:val="24"/>
          <w:highlight w:val="none"/>
        </w:rPr>
      </w:pPr>
      <w:r>
        <w:rPr>
          <w:rFonts w:hint="eastAsia" w:ascii="仿宋" w:hAnsi="仿宋" w:eastAsia="仿宋" w:cs="宋体"/>
          <w:b/>
          <w:bCs/>
          <w:color w:val="auto"/>
          <w:sz w:val="24"/>
          <w:szCs w:val="24"/>
          <w:highlight w:val="none"/>
        </w:rPr>
        <w:t>投标人须知应答偏离表</w:t>
      </w:r>
    </w:p>
    <w:p w14:paraId="216AC593">
      <w:pPr>
        <w:pageBreakBefore w:val="0"/>
        <w:kinsoku/>
        <w:overflowPunct/>
        <w:bidi w:val="0"/>
        <w:spacing w:line="600" w:lineRule="exact"/>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投标人名称：</w:t>
      </w:r>
      <w:r>
        <w:rPr>
          <w:rFonts w:hint="eastAsia" w:ascii="仿宋" w:hAnsi="仿宋" w:eastAsia="仿宋" w:cs="宋体"/>
          <w:color w:val="auto"/>
          <w:sz w:val="24"/>
          <w:szCs w:val="24"/>
          <w:highlight w:val="none"/>
          <w:u w:val="single"/>
        </w:rPr>
        <w:t xml:space="preserve">              </w:t>
      </w:r>
      <w:r>
        <w:rPr>
          <w:rFonts w:hint="eastAsia" w:ascii="仿宋" w:hAnsi="仿宋" w:eastAsia="仿宋" w:cs="宋体"/>
          <w:color w:val="auto"/>
          <w:sz w:val="24"/>
          <w:szCs w:val="24"/>
          <w:highlight w:val="none"/>
        </w:rPr>
        <w:t xml:space="preserve">     </w:t>
      </w:r>
    </w:p>
    <w:tbl>
      <w:tblPr>
        <w:tblStyle w:val="33"/>
        <w:tblW w:w="0" w:type="auto"/>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6"/>
        <w:gridCol w:w="2285"/>
        <w:gridCol w:w="2495"/>
        <w:gridCol w:w="2704"/>
        <w:gridCol w:w="1408"/>
      </w:tblGrid>
      <w:tr w14:paraId="56308C13">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center"/>
          </w:tcPr>
          <w:p w14:paraId="2ED5E863">
            <w:pPr>
              <w:keepNext w:val="0"/>
              <w:keepLines w:val="0"/>
              <w:pageBreakBefore w:val="0"/>
              <w:suppressLineNumbers w:val="0"/>
              <w:kinsoku/>
              <w:overflowPunct/>
              <w:bidi w:val="0"/>
              <w:spacing w:before="0" w:beforeAutospacing="0" w:after="0" w:afterAutospacing="0" w:line="600" w:lineRule="exact"/>
              <w:ind w:left="0" w:right="0"/>
              <w:jc w:val="center"/>
              <w:rPr>
                <w:rFonts w:hint="eastAsia" w:ascii="仿宋" w:hAnsi="仿宋" w:eastAsia="仿宋" w:cs="宋体"/>
                <w:color w:val="auto"/>
                <w:szCs w:val="21"/>
                <w:highlight w:val="none"/>
              </w:rPr>
            </w:pPr>
            <w:r>
              <w:rPr>
                <w:rFonts w:hint="eastAsia" w:ascii="仿宋" w:hAnsi="仿宋" w:eastAsia="仿宋" w:cs="宋体"/>
                <w:color w:val="auto"/>
                <w:szCs w:val="21"/>
                <w:highlight w:val="none"/>
              </w:rPr>
              <w:t>序号</w:t>
            </w:r>
          </w:p>
        </w:tc>
        <w:tc>
          <w:tcPr>
            <w:tcW w:w="2285" w:type="dxa"/>
            <w:noWrap w:val="0"/>
            <w:vAlign w:val="center"/>
          </w:tcPr>
          <w:p w14:paraId="405DA8A0">
            <w:pPr>
              <w:keepNext w:val="0"/>
              <w:keepLines w:val="0"/>
              <w:pageBreakBefore w:val="0"/>
              <w:suppressLineNumbers w:val="0"/>
              <w:kinsoku/>
              <w:overflowPunct/>
              <w:bidi w:val="0"/>
              <w:spacing w:before="0" w:beforeAutospacing="0" w:after="0" w:afterAutospacing="0" w:line="600" w:lineRule="exact"/>
              <w:ind w:left="0" w:right="0"/>
              <w:jc w:val="center"/>
              <w:rPr>
                <w:rFonts w:hint="eastAsia" w:ascii="仿宋" w:hAnsi="仿宋" w:eastAsia="仿宋" w:cs="宋体"/>
                <w:color w:val="auto"/>
                <w:szCs w:val="21"/>
                <w:highlight w:val="none"/>
              </w:rPr>
            </w:pPr>
            <w:r>
              <w:rPr>
                <w:rFonts w:hint="eastAsia" w:ascii="仿宋" w:hAnsi="仿宋" w:eastAsia="仿宋" w:cs="宋体"/>
                <w:color w:val="auto"/>
                <w:szCs w:val="21"/>
                <w:highlight w:val="none"/>
              </w:rPr>
              <w:t>条目号</w:t>
            </w:r>
          </w:p>
        </w:tc>
        <w:tc>
          <w:tcPr>
            <w:tcW w:w="2495" w:type="dxa"/>
            <w:noWrap w:val="0"/>
            <w:vAlign w:val="center"/>
          </w:tcPr>
          <w:p w14:paraId="2C5179A3">
            <w:pPr>
              <w:keepNext w:val="0"/>
              <w:keepLines w:val="0"/>
              <w:pageBreakBefore w:val="0"/>
              <w:suppressLineNumbers w:val="0"/>
              <w:kinsoku/>
              <w:overflowPunct/>
              <w:bidi w:val="0"/>
              <w:spacing w:before="0" w:beforeAutospacing="0" w:after="0" w:afterAutospacing="0" w:line="600" w:lineRule="exact"/>
              <w:ind w:left="0" w:right="0"/>
              <w:jc w:val="center"/>
              <w:rPr>
                <w:rFonts w:hint="eastAsia" w:ascii="仿宋" w:hAnsi="仿宋" w:eastAsia="仿宋" w:cs="宋体"/>
                <w:color w:val="auto"/>
                <w:szCs w:val="21"/>
                <w:highlight w:val="none"/>
              </w:rPr>
            </w:pPr>
            <w:r>
              <w:rPr>
                <w:rFonts w:hint="eastAsia" w:ascii="仿宋" w:hAnsi="仿宋" w:eastAsia="仿宋" w:cs="宋体"/>
                <w:color w:val="auto"/>
                <w:szCs w:val="21"/>
                <w:highlight w:val="none"/>
              </w:rPr>
              <w:t>原文内容</w:t>
            </w:r>
          </w:p>
        </w:tc>
        <w:tc>
          <w:tcPr>
            <w:tcW w:w="2704" w:type="dxa"/>
            <w:noWrap w:val="0"/>
            <w:vAlign w:val="center"/>
          </w:tcPr>
          <w:p w14:paraId="0180C175">
            <w:pPr>
              <w:keepNext w:val="0"/>
              <w:keepLines w:val="0"/>
              <w:pageBreakBefore w:val="0"/>
              <w:suppressLineNumbers w:val="0"/>
              <w:kinsoku/>
              <w:overflowPunct/>
              <w:bidi w:val="0"/>
              <w:spacing w:before="0" w:beforeAutospacing="0" w:after="0" w:afterAutospacing="0" w:line="600" w:lineRule="exact"/>
              <w:ind w:left="0" w:right="0"/>
              <w:jc w:val="center"/>
              <w:rPr>
                <w:rFonts w:hint="eastAsia" w:ascii="仿宋" w:hAnsi="仿宋" w:eastAsia="仿宋" w:cs="宋体"/>
                <w:color w:val="auto"/>
                <w:szCs w:val="21"/>
                <w:highlight w:val="none"/>
              </w:rPr>
            </w:pPr>
            <w:r>
              <w:rPr>
                <w:rFonts w:hint="eastAsia" w:ascii="仿宋" w:hAnsi="仿宋" w:eastAsia="仿宋" w:cs="宋体"/>
                <w:color w:val="auto"/>
                <w:szCs w:val="21"/>
                <w:highlight w:val="none"/>
              </w:rPr>
              <w:t>应答</w:t>
            </w:r>
          </w:p>
        </w:tc>
        <w:tc>
          <w:tcPr>
            <w:tcW w:w="1408" w:type="dxa"/>
            <w:noWrap w:val="0"/>
            <w:vAlign w:val="center"/>
          </w:tcPr>
          <w:p w14:paraId="5A9412A1">
            <w:pPr>
              <w:keepNext w:val="0"/>
              <w:keepLines w:val="0"/>
              <w:pageBreakBefore w:val="0"/>
              <w:suppressLineNumbers w:val="0"/>
              <w:kinsoku/>
              <w:overflowPunct/>
              <w:bidi w:val="0"/>
              <w:spacing w:before="0" w:beforeAutospacing="0" w:after="0" w:afterAutospacing="0" w:line="600" w:lineRule="exact"/>
              <w:ind w:left="0" w:right="0"/>
              <w:jc w:val="center"/>
              <w:rPr>
                <w:rFonts w:hint="eastAsia" w:ascii="仿宋" w:hAnsi="仿宋" w:eastAsia="仿宋" w:cs="宋体"/>
                <w:color w:val="auto"/>
                <w:szCs w:val="21"/>
                <w:highlight w:val="none"/>
              </w:rPr>
            </w:pPr>
            <w:r>
              <w:rPr>
                <w:rFonts w:hint="eastAsia" w:ascii="仿宋" w:hAnsi="仿宋" w:eastAsia="仿宋" w:cs="宋体"/>
                <w:color w:val="auto"/>
                <w:szCs w:val="21"/>
                <w:highlight w:val="none"/>
              </w:rPr>
              <w:t>说明</w:t>
            </w:r>
          </w:p>
        </w:tc>
      </w:tr>
      <w:tr w14:paraId="41A16C3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top"/>
          </w:tcPr>
          <w:p w14:paraId="63F87A0B">
            <w:pPr>
              <w:keepNext w:val="0"/>
              <w:keepLines w:val="0"/>
              <w:pageBreakBefore w:val="0"/>
              <w:suppressLineNumbers w:val="0"/>
              <w:kinsoku/>
              <w:overflowPunct/>
              <w:bidi w:val="0"/>
              <w:spacing w:before="0" w:beforeAutospacing="0" w:after="0" w:afterAutospacing="0" w:line="600" w:lineRule="exact"/>
              <w:ind w:left="0" w:right="0"/>
              <w:rPr>
                <w:rFonts w:hint="eastAsia" w:ascii="仿宋" w:hAnsi="仿宋" w:eastAsia="仿宋" w:cs="宋体"/>
                <w:color w:val="auto"/>
                <w:szCs w:val="21"/>
                <w:highlight w:val="none"/>
              </w:rPr>
            </w:pPr>
          </w:p>
        </w:tc>
        <w:tc>
          <w:tcPr>
            <w:tcW w:w="2285" w:type="dxa"/>
            <w:noWrap w:val="0"/>
            <w:vAlign w:val="top"/>
          </w:tcPr>
          <w:p w14:paraId="0C78CAE0">
            <w:pPr>
              <w:keepNext w:val="0"/>
              <w:keepLines w:val="0"/>
              <w:pageBreakBefore w:val="0"/>
              <w:suppressLineNumbers w:val="0"/>
              <w:kinsoku/>
              <w:overflowPunct/>
              <w:bidi w:val="0"/>
              <w:spacing w:before="0" w:beforeAutospacing="0" w:after="0" w:afterAutospacing="0" w:line="600" w:lineRule="exact"/>
              <w:ind w:left="0" w:right="0"/>
              <w:rPr>
                <w:rFonts w:hint="eastAsia" w:ascii="仿宋" w:hAnsi="仿宋" w:eastAsia="仿宋" w:cs="宋体"/>
                <w:color w:val="auto"/>
                <w:szCs w:val="21"/>
                <w:highlight w:val="none"/>
              </w:rPr>
            </w:pPr>
          </w:p>
        </w:tc>
        <w:tc>
          <w:tcPr>
            <w:tcW w:w="2495" w:type="dxa"/>
            <w:noWrap w:val="0"/>
            <w:vAlign w:val="top"/>
          </w:tcPr>
          <w:p w14:paraId="6DE704EF">
            <w:pPr>
              <w:keepNext w:val="0"/>
              <w:keepLines w:val="0"/>
              <w:pageBreakBefore w:val="0"/>
              <w:suppressLineNumbers w:val="0"/>
              <w:kinsoku/>
              <w:overflowPunct/>
              <w:bidi w:val="0"/>
              <w:spacing w:before="0" w:beforeAutospacing="0" w:after="0" w:afterAutospacing="0" w:line="600" w:lineRule="exact"/>
              <w:ind w:left="0" w:right="0"/>
              <w:rPr>
                <w:rFonts w:hint="eastAsia" w:ascii="仿宋" w:hAnsi="仿宋" w:eastAsia="仿宋" w:cs="宋体"/>
                <w:color w:val="auto"/>
                <w:szCs w:val="21"/>
                <w:highlight w:val="none"/>
              </w:rPr>
            </w:pPr>
          </w:p>
        </w:tc>
        <w:tc>
          <w:tcPr>
            <w:tcW w:w="2704" w:type="dxa"/>
            <w:noWrap w:val="0"/>
            <w:vAlign w:val="top"/>
          </w:tcPr>
          <w:p w14:paraId="7C42D7D3">
            <w:pPr>
              <w:keepNext w:val="0"/>
              <w:keepLines w:val="0"/>
              <w:pageBreakBefore w:val="0"/>
              <w:suppressLineNumbers w:val="0"/>
              <w:kinsoku/>
              <w:overflowPunct/>
              <w:bidi w:val="0"/>
              <w:spacing w:before="0" w:beforeAutospacing="0" w:after="0" w:afterAutospacing="0" w:line="600" w:lineRule="exact"/>
              <w:ind w:left="0" w:right="0"/>
              <w:rPr>
                <w:rFonts w:hint="eastAsia" w:ascii="仿宋" w:hAnsi="仿宋" w:eastAsia="仿宋" w:cs="宋体"/>
                <w:color w:val="auto"/>
                <w:szCs w:val="21"/>
                <w:highlight w:val="none"/>
              </w:rPr>
            </w:pPr>
          </w:p>
        </w:tc>
        <w:tc>
          <w:tcPr>
            <w:tcW w:w="1408" w:type="dxa"/>
            <w:noWrap w:val="0"/>
            <w:vAlign w:val="top"/>
          </w:tcPr>
          <w:p w14:paraId="671515D1">
            <w:pPr>
              <w:keepNext w:val="0"/>
              <w:keepLines w:val="0"/>
              <w:pageBreakBefore w:val="0"/>
              <w:suppressLineNumbers w:val="0"/>
              <w:kinsoku/>
              <w:overflowPunct/>
              <w:bidi w:val="0"/>
              <w:spacing w:before="0" w:beforeAutospacing="0" w:after="0" w:afterAutospacing="0" w:line="600" w:lineRule="exact"/>
              <w:ind w:left="0" w:right="0"/>
              <w:rPr>
                <w:rFonts w:hint="eastAsia" w:ascii="仿宋" w:hAnsi="仿宋" w:eastAsia="仿宋" w:cs="宋体"/>
                <w:color w:val="auto"/>
                <w:szCs w:val="21"/>
                <w:highlight w:val="none"/>
              </w:rPr>
            </w:pPr>
          </w:p>
        </w:tc>
      </w:tr>
      <w:tr w14:paraId="4D804DB9">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noWrap w:val="0"/>
            <w:vAlign w:val="top"/>
          </w:tcPr>
          <w:p w14:paraId="28E5F7A3">
            <w:pPr>
              <w:keepNext w:val="0"/>
              <w:keepLines w:val="0"/>
              <w:pageBreakBefore w:val="0"/>
              <w:suppressLineNumbers w:val="0"/>
              <w:kinsoku/>
              <w:overflowPunct/>
              <w:bidi w:val="0"/>
              <w:spacing w:before="0" w:beforeAutospacing="0" w:after="0" w:afterAutospacing="0" w:line="600" w:lineRule="exact"/>
              <w:ind w:left="0" w:right="0"/>
              <w:rPr>
                <w:rFonts w:hint="eastAsia" w:ascii="仿宋" w:hAnsi="仿宋" w:eastAsia="仿宋" w:cs="宋体"/>
                <w:color w:val="auto"/>
                <w:szCs w:val="21"/>
                <w:highlight w:val="none"/>
              </w:rPr>
            </w:pPr>
          </w:p>
        </w:tc>
        <w:tc>
          <w:tcPr>
            <w:tcW w:w="2285" w:type="dxa"/>
            <w:noWrap w:val="0"/>
            <w:vAlign w:val="top"/>
          </w:tcPr>
          <w:p w14:paraId="57D2D5F3">
            <w:pPr>
              <w:keepNext w:val="0"/>
              <w:keepLines w:val="0"/>
              <w:pageBreakBefore w:val="0"/>
              <w:suppressLineNumbers w:val="0"/>
              <w:kinsoku/>
              <w:overflowPunct/>
              <w:bidi w:val="0"/>
              <w:spacing w:before="0" w:beforeAutospacing="0" w:after="0" w:afterAutospacing="0" w:line="600" w:lineRule="exact"/>
              <w:ind w:left="0" w:right="0"/>
              <w:rPr>
                <w:rFonts w:hint="eastAsia" w:ascii="仿宋" w:hAnsi="仿宋" w:eastAsia="仿宋" w:cs="宋体"/>
                <w:color w:val="auto"/>
                <w:szCs w:val="21"/>
                <w:highlight w:val="none"/>
              </w:rPr>
            </w:pPr>
          </w:p>
        </w:tc>
        <w:tc>
          <w:tcPr>
            <w:tcW w:w="2495" w:type="dxa"/>
            <w:noWrap w:val="0"/>
            <w:vAlign w:val="top"/>
          </w:tcPr>
          <w:p w14:paraId="3D517A54">
            <w:pPr>
              <w:keepNext w:val="0"/>
              <w:keepLines w:val="0"/>
              <w:pageBreakBefore w:val="0"/>
              <w:suppressLineNumbers w:val="0"/>
              <w:kinsoku/>
              <w:overflowPunct/>
              <w:bidi w:val="0"/>
              <w:spacing w:before="0" w:beforeAutospacing="0" w:after="0" w:afterAutospacing="0" w:line="600" w:lineRule="exact"/>
              <w:ind w:left="0" w:right="0"/>
              <w:rPr>
                <w:rFonts w:hint="eastAsia" w:ascii="仿宋" w:hAnsi="仿宋" w:eastAsia="仿宋" w:cs="宋体"/>
                <w:color w:val="auto"/>
                <w:szCs w:val="21"/>
                <w:highlight w:val="none"/>
              </w:rPr>
            </w:pPr>
          </w:p>
        </w:tc>
        <w:tc>
          <w:tcPr>
            <w:tcW w:w="2704" w:type="dxa"/>
            <w:noWrap w:val="0"/>
            <w:vAlign w:val="top"/>
          </w:tcPr>
          <w:p w14:paraId="21A95B5F">
            <w:pPr>
              <w:keepNext w:val="0"/>
              <w:keepLines w:val="0"/>
              <w:pageBreakBefore w:val="0"/>
              <w:suppressLineNumbers w:val="0"/>
              <w:kinsoku/>
              <w:overflowPunct/>
              <w:bidi w:val="0"/>
              <w:spacing w:before="0" w:beforeAutospacing="0" w:after="0" w:afterAutospacing="0" w:line="600" w:lineRule="exact"/>
              <w:ind w:left="0" w:right="0"/>
              <w:rPr>
                <w:rFonts w:hint="eastAsia" w:ascii="仿宋" w:hAnsi="仿宋" w:eastAsia="仿宋" w:cs="宋体"/>
                <w:color w:val="auto"/>
                <w:szCs w:val="21"/>
                <w:highlight w:val="none"/>
              </w:rPr>
            </w:pPr>
          </w:p>
        </w:tc>
        <w:tc>
          <w:tcPr>
            <w:tcW w:w="1408" w:type="dxa"/>
            <w:noWrap w:val="0"/>
            <w:vAlign w:val="top"/>
          </w:tcPr>
          <w:p w14:paraId="595E9BCB">
            <w:pPr>
              <w:keepNext w:val="0"/>
              <w:keepLines w:val="0"/>
              <w:pageBreakBefore w:val="0"/>
              <w:suppressLineNumbers w:val="0"/>
              <w:kinsoku/>
              <w:overflowPunct/>
              <w:bidi w:val="0"/>
              <w:spacing w:before="0" w:beforeAutospacing="0" w:after="0" w:afterAutospacing="0" w:line="600" w:lineRule="exact"/>
              <w:ind w:left="0" w:right="0"/>
              <w:rPr>
                <w:rFonts w:hint="eastAsia" w:ascii="仿宋" w:hAnsi="仿宋" w:eastAsia="仿宋" w:cs="宋体"/>
                <w:color w:val="auto"/>
                <w:szCs w:val="21"/>
                <w:highlight w:val="none"/>
              </w:rPr>
            </w:pPr>
          </w:p>
        </w:tc>
      </w:tr>
      <w:tr w14:paraId="73AF6688">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top"/>
          </w:tcPr>
          <w:p w14:paraId="13BC1555">
            <w:pPr>
              <w:keepNext w:val="0"/>
              <w:keepLines w:val="0"/>
              <w:pageBreakBefore w:val="0"/>
              <w:suppressLineNumbers w:val="0"/>
              <w:kinsoku/>
              <w:overflowPunct/>
              <w:bidi w:val="0"/>
              <w:spacing w:before="0" w:beforeAutospacing="0" w:after="0" w:afterAutospacing="0" w:line="600" w:lineRule="exact"/>
              <w:ind w:left="0" w:right="0"/>
              <w:rPr>
                <w:rFonts w:hint="eastAsia" w:ascii="仿宋" w:hAnsi="仿宋" w:eastAsia="仿宋" w:cs="宋体"/>
                <w:color w:val="auto"/>
                <w:szCs w:val="21"/>
                <w:highlight w:val="none"/>
              </w:rPr>
            </w:pPr>
          </w:p>
        </w:tc>
        <w:tc>
          <w:tcPr>
            <w:tcW w:w="2285" w:type="dxa"/>
            <w:noWrap w:val="0"/>
            <w:vAlign w:val="top"/>
          </w:tcPr>
          <w:p w14:paraId="779D9599">
            <w:pPr>
              <w:keepNext w:val="0"/>
              <w:keepLines w:val="0"/>
              <w:pageBreakBefore w:val="0"/>
              <w:suppressLineNumbers w:val="0"/>
              <w:kinsoku/>
              <w:overflowPunct/>
              <w:bidi w:val="0"/>
              <w:spacing w:before="0" w:beforeAutospacing="0" w:after="0" w:afterAutospacing="0" w:line="600" w:lineRule="exact"/>
              <w:ind w:left="0" w:right="0"/>
              <w:rPr>
                <w:rFonts w:hint="eastAsia" w:ascii="仿宋" w:hAnsi="仿宋" w:eastAsia="仿宋" w:cs="宋体"/>
                <w:color w:val="auto"/>
                <w:szCs w:val="21"/>
                <w:highlight w:val="none"/>
              </w:rPr>
            </w:pPr>
          </w:p>
        </w:tc>
        <w:tc>
          <w:tcPr>
            <w:tcW w:w="2495" w:type="dxa"/>
            <w:noWrap w:val="0"/>
            <w:vAlign w:val="top"/>
          </w:tcPr>
          <w:p w14:paraId="4D0B6A90">
            <w:pPr>
              <w:keepNext w:val="0"/>
              <w:keepLines w:val="0"/>
              <w:pageBreakBefore w:val="0"/>
              <w:suppressLineNumbers w:val="0"/>
              <w:kinsoku/>
              <w:overflowPunct/>
              <w:bidi w:val="0"/>
              <w:spacing w:before="0" w:beforeAutospacing="0" w:after="0" w:afterAutospacing="0" w:line="600" w:lineRule="exact"/>
              <w:ind w:left="0" w:right="0"/>
              <w:rPr>
                <w:rFonts w:hint="eastAsia" w:ascii="仿宋" w:hAnsi="仿宋" w:eastAsia="仿宋" w:cs="宋体"/>
                <w:color w:val="auto"/>
                <w:szCs w:val="21"/>
                <w:highlight w:val="none"/>
              </w:rPr>
            </w:pPr>
          </w:p>
        </w:tc>
        <w:tc>
          <w:tcPr>
            <w:tcW w:w="2704" w:type="dxa"/>
            <w:noWrap w:val="0"/>
            <w:vAlign w:val="top"/>
          </w:tcPr>
          <w:p w14:paraId="12AC6337">
            <w:pPr>
              <w:keepNext w:val="0"/>
              <w:keepLines w:val="0"/>
              <w:pageBreakBefore w:val="0"/>
              <w:suppressLineNumbers w:val="0"/>
              <w:kinsoku/>
              <w:overflowPunct/>
              <w:bidi w:val="0"/>
              <w:spacing w:before="0" w:beforeAutospacing="0" w:after="0" w:afterAutospacing="0" w:line="600" w:lineRule="exact"/>
              <w:ind w:left="0" w:right="0"/>
              <w:rPr>
                <w:rFonts w:hint="eastAsia" w:ascii="仿宋" w:hAnsi="仿宋" w:eastAsia="仿宋" w:cs="宋体"/>
                <w:color w:val="auto"/>
                <w:szCs w:val="21"/>
                <w:highlight w:val="none"/>
              </w:rPr>
            </w:pPr>
          </w:p>
        </w:tc>
        <w:tc>
          <w:tcPr>
            <w:tcW w:w="1408" w:type="dxa"/>
            <w:noWrap w:val="0"/>
            <w:vAlign w:val="top"/>
          </w:tcPr>
          <w:p w14:paraId="016F2E39">
            <w:pPr>
              <w:keepNext w:val="0"/>
              <w:keepLines w:val="0"/>
              <w:pageBreakBefore w:val="0"/>
              <w:suppressLineNumbers w:val="0"/>
              <w:kinsoku/>
              <w:overflowPunct/>
              <w:bidi w:val="0"/>
              <w:spacing w:before="0" w:beforeAutospacing="0" w:after="0" w:afterAutospacing="0" w:line="600" w:lineRule="exact"/>
              <w:ind w:left="0" w:right="0"/>
              <w:rPr>
                <w:rFonts w:hint="eastAsia" w:ascii="仿宋" w:hAnsi="仿宋" w:eastAsia="仿宋" w:cs="宋体"/>
                <w:color w:val="auto"/>
                <w:szCs w:val="21"/>
                <w:highlight w:val="none"/>
              </w:rPr>
            </w:pPr>
          </w:p>
        </w:tc>
      </w:tr>
      <w:tr w14:paraId="593727C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top"/>
          </w:tcPr>
          <w:p w14:paraId="41CFAFE4">
            <w:pPr>
              <w:keepNext w:val="0"/>
              <w:keepLines w:val="0"/>
              <w:pageBreakBefore w:val="0"/>
              <w:suppressLineNumbers w:val="0"/>
              <w:kinsoku/>
              <w:overflowPunct/>
              <w:bidi w:val="0"/>
              <w:spacing w:before="0" w:beforeAutospacing="0" w:after="0" w:afterAutospacing="0" w:line="600" w:lineRule="exact"/>
              <w:ind w:left="0" w:right="0"/>
              <w:rPr>
                <w:rFonts w:hint="eastAsia" w:ascii="仿宋" w:hAnsi="仿宋" w:eastAsia="仿宋" w:cs="宋体"/>
                <w:color w:val="auto"/>
                <w:szCs w:val="21"/>
                <w:highlight w:val="none"/>
              </w:rPr>
            </w:pPr>
          </w:p>
        </w:tc>
        <w:tc>
          <w:tcPr>
            <w:tcW w:w="2285" w:type="dxa"/>
            <w:noWrap w:val="0"/>
            <w:vAlign w:val="top"/>
          </w:tcPr>
          <w:p w14:paraId="4AEB82A8">
            <w:pPr>
              <w:keepNext w:val="0"/>
              <w:keepLines w:val="0"/>
              <w:pageBreakBefore w:val="0"/>
              <w:suppressLineNumbers w:val="0"/>
              <w:kinsoku/>
              <w:overflowPunct/>
              <w:bidi w:val="0"/>
              <w:spacing w:before="0" w:beforeAutospacing="0" w:after="0" w:afterAutospacing="0" w:line="600" w:lineRule="exact"/>
              <w:ind w:left="0" w:right="0"/>
              <w:rPr>
                <w:rFonts w:hint="eastAsia" w:ascii="仿宋" w:hAnsi="仿宋" w:eastAsia="仿宋" w:cs="宋体"/>
                <w:color w:val="auto"/>
                <w:szCs w:val="21"/>
                <w:highlight w:val="none"/>
              </w:rPr>
            </w:pPr>
          </w:p>
        </w:tc>
        <w:tc>
          <w:tcPr>
            <w:tcW w:w="2495" w:type="dxa"/>
            <w:noWrap w:val="0"/>
            <w:vAlign w:val="top"/>
          </w:tcPr>
          <w:p w14:paraId="5122AE4A">
            <w:pPr>
              <w:keepNext w:val="0"/>
              <w:keepLines w:val="0"/>
              <w:pageBreakBefore w:val="0"/>
              <w:suppressLineNumbers w:val="0"/>
              <w:kinsoku/>
              <w:overflowPunct/>
              <w:bidi w:val="0"/>
              <w:spacing w:before="0" w:beforeAutospacing="0" w:after="0" w:afterAutospacing="0" w:line="600" w:lineRule="exact"/>
              <w:ind w:left="0" w:right="0"/>
              <w:rPr>
                <w:rFonts w:hint="eastAsia" w:ascii="仿宋" w:hAnsi="仿宋" w:eastAsia="仿宋" w:cs="宋体"/>
                <w:color w:val="auto"/>
                <w:szCs w:val="21"/>
                <w:highlight w:val="none"/>
              </w:rPr>
            </w:pPr>
          </w:p>
        </w:tc>
        <w:tc>
          <w:tcPr>
            <w:tcW w:w="2704" w:type="dxa"/>
            <w:noWrap w:val="0"/>
            <w:vAlign w:val="top"/>
          </w:tcPr>
          <w:p w14:paraId="46EFE749">
            <w:pPr>
              <w:keepNext w:val="0"/>
              <w:keepLines w:val="0"/>
              <w:pageBreakBefore w:val="0"/>
              <w:suppressLineNumbers w:val="0"/>
              <w:kinsoku/>
              <w:overflowPunct/>
              <w:bidi w:val="0"/>
              <w:spacing w:before="0" w:beforeAutospacing="0" w:after="0" w:afterAutospacing="0" w:line="600" w:lineRule="exact"/>
              <w:ind w:left="0" w:right="0"/>
              <w:rPr>
                <w:rFonts w:hint="eastAsia" w:ascii="仿宋" w:hAnsi="仿宋" w:eastAsia="仿宋" w:cs="宋体"/>
                <w:color w:val="auto"/>
                <w:szCs w:val="21"/>
                <w:highlight w:val="none"/>
              </w:rPr>
            </w:pPr>
          </w:p>
        </w:tc>
        <w:tc>
          <w:tcPr>
            <w:tcW w:w="1408" w:type="dxa"/>
            <w:noWrap w:val="0"/>
            <w:vAlign w:val="top"/>
          </w:tcPr>
          <w:p w14:paraId="335509E7">
            <w:pPr>
              <w:keepNext w:val="0"/>
              <w:keepLines w:val="0"/>
              <w:pageBreakBefore w:val="0"/>
              <w:suppressLineNumbers w:val="0"/>
              <w:kinsoku/>
              <w:overflowPunct/>
              <w:bidi w:val="0"/>
              <w:spacing w:before="0" w:beforeAutospacing="0" w:after="0" w:afterAutospacing="0" w:line="600" w:lineRule="exact"/>
              <w:ind w:left="0" w:right="0"/>
              <w:rPr>
                <w:rFonts w:hint="eastAsia" w:ascii="仿宋" w:hAnsi="仿宋" w:eastAsia="仿宋" w:cs="宋体"/>
                <w:color w:val="auto"/>
                <w:szCs w:val="21"/>
                <w:highlight w:val="none"/>
              </w:rPr>
            </w:pPr>
          </w:p>
        </w:tc>
      </w:tr>
      <w:tr w14:paraId="048C2E0A">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noWrap w:val="0"/>
            <w:vAlign w:val="top"/>
          </w:tcPr>
          <w:p w14:paraId="4EAF7883">
            <w:pPr>
              <w:keepNext w:val="0"/>
              <w:keepLines w:val="0"/>
              <w:pageBreakBefore w:val="0"/>
              <w:suppressLineNumbers w:val="0"/>
              <w:kinsoku/>
              <w:overflowPunct/>
              <w:bidi w:val="0"/>
              <w:spacing w:before="0" w:beforeAutospacing="0" w:after="0" w:afterAutospacing="0" w:line="600" w:lineRule="exact"/>
              <w:ind w:left="0" w:right="0"/>
              <w:rPr>
                <w:rFonts w:hint="eastAsia" w:ascii="仿宋" w:hAnsi="仿宋" w:eastAsia="仿宋" w:cs="宋体"/>
                <w:color w:val="auto"/>
                <w:szCs w:val="21"/>
                <w:highlight w:val="none"/>
              </w:rPr>
            </w:pPr>
          </w:p>
        </w:tc>
        <w:tc>
          <w:tcPr>
            <w:tcW w:w="2285" w:type="dxa"/>
            <w:noWrap w:val="0"/>
            <w:vAlign w:val="top"/>
          </w:tcPr>
          <w:p w14:paraId="7226F606">
            <w:pPr>
              <w:keepNext w:val="0"/>
              <w:keepLines w:val="0"/>
              <w:pageBreakBefore w:val="0"/>
              <w:suppressLineNumbers w:val="0"/>
              <w:kinsoku/>
              <w:overflowPunct/>
              <w:bidi w:val="0"/>
              <w:spacing w:before="0" w:beforeAutospacing="0" w:after="0" w:afterAutospacing="0" w:line="600" w:lineRule="exact"/>
              <w:ind w:left="0" w:right="0"/>
              <w:rPr>
                <w:rFonts w:hint="eastAsia" w:ascii="仿宋" w:hAnsi="仿宋" w:eastAsia="仿宋" w:cs="宋体"/>
                <w:color w:val="auto"/>
                <w:szCs w:val="21"/>
                <w:highlight w:val="none"/>
              </w:rPr>
            </w:pPr>
          </w:p>
        </w:tc>
        <w:tc>
          <w:tcPr>
            <w:tcW w:w="2495" w:type="dxa"/>
            <w:noWrap w:val="0"/>
            <w:vAlign w:val="top"/>
          </w:tcPr>
          <w:p w14:paraId="7C0F5EF6">
            <w:pPr>
              <w:keepNext w:val="0"/>
              <w:keepLines w:val="0"/>
              <w:pageBreakBefore w:val="0"/>
              <w:suppressLineNumbers w:val="0"/>
              <w:kinsoku/>
              <w:overflowPunct/>
              <w:bidi w:val="0"/>
              <w:spacing w:before="0" w:beforeAutospacing="0" w:after="0" w:afterAutospacing="0" w:line="600" w:lineRule="exact"/>
              <w:ind w:left="0" w:right="0"/>
              <w:rPr>
                <w:rFonts w:hint="eastAsia" w:ascii="仿宋" w:hAnsi="仿宋" w:eastAsia="仿宋" w:cs="宋体"/>
                <w:color w:val="auto"/>
                <w:szCs w:val="21"/>
                <w:highlight w:val="none"/>
              </w:rPr>
            </w:pPr>
          </w:p>
        </w:tc>
        <w:tc>
          <w:tcPr>
            <w:tcW w:w="2704" w:type="dxa"/>
            <w:noWrap w:val="0"/>
            <w:vAlign w:val="top"/>
          </w:tcPr>
          <w:p w14:paraId="07128D04">
            <w:pPr>
              <w:keepNext w:val="0"/>
              <w:keepLines w:val="0"/>
              <w:pageBreakBefore w:val="0"/>
              <w:suppressLineNumbers w:val="0"/>
              <w:kinsoku/>
              <w:overflowPunct/>
              <w:bidi w:val="0"/>
              <w:spacing w:before="0" w:beforeAutospacing="0" w:after="0" w:afterAutospacing="0" w:line="600" w:lineRule="exact"/>
              <w:ind w:left="0" w:right="0"/>
              <w:rPr>
                <w:rFonts w:hint="eastAsia" w:ascii="仿宋" w:hAnsi="仿宋" w:eastAsia="仿宋" w:cs="宋体"/>
                <w:color w:val="auto"/>
                <w:szCs w:val="21"/>
                <w:highlight w:val="none"/>
              </w:rPr>
            </w:pPr>
          </w:p>
        </w:tc>
        <w:tc>
          <w:tcPr>
            <w:tcW w:w="1408" w:type="dxa"/>
            <w:noWrap w:val="0"/>
            <w:vAlign w:val="top"/>
          </w:tcPr>
          <w:p w14:paraId="387F2938">
            <w:pPr>
              <w:keepNext w:val="0"/>
              <w:keepLines w:val="0"/>
              <w:pageBreakBefore w:val="0"/>
              <w:suppressLineNumbers w:val="0"/>
              <w:kinsoku/>
              <w:overflowPunct/>
              <w:bidi w:val="0"/>
              <w:spacing w:before="0" w:beforeAutospacing="0" w:after="0" w:afterAutospacing="0" w:line="600" w:lineRule="exact"/>
              <w:ind w:left="0" w:right="0"/>
              <w:rPr>
                <w:rFonts w:hint="eastAsia" w:ascii="仿宋" w:hAnsi="仿宋" w:eastAsia="仿宋" w:cs="宋体"/>
                <w:color w:val="auto"/>
                <w:szCs w:val="21"/>
                <w:highlight w:val="none"/>
              </w:rPr>
            </w:pPr>
          </w:p>
        </w:tc>
      </w:tr>
      <w:tr w14:paraId="1B07346A">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top"/>
          </w:tcPr>
          <w:p w14:paraId="695EA11D">
            <w:pPr>
              <w:keepNext w:val="0"/>
              <w:keepLines w:val="0"/>
              <w:pageBreakBefore w:val="0"/>
              <w:suppressLineNumbers w:val="0"/>
              <w:kinsoku/>
              <w:overflowPunct/>
              <w:bidi w:val="0"/>
              <w:spacing w:before="0" w:beforeAutospacing="0" w:after="0" w:afterAutospacing="0" w:line="600" w:lineRule="exact"/>
              <w:ind w:left="0" w:right="0"/>
              <w:rPr>
                <w:rFonts w:hint="eastAsia" w:ascii="仿宋" w:hAnsi="仿宋" w:eastAsia="仿宋" w:cs="宋体"/>
                <w:color w:val="auto"/>
                <w:szCs w:val="21"/>
                <w:highlight w:val="none"/>
              </w:rPr>
            </w:pPr>
          </w:p>
        </w:tc>
        <w:tc>
          <w:tcPr>
            <w:tcW w:w="2285" w:type="dxa"/>
            <w:noWrap w:val="0"/>
            <w:vAlign w:val="top"/>
          </w:tcPr>
          <w:p w14:paraId="12F1E36F">
            <w:pPr>
              <w:keepNext w:val="0"/>
              <w:keepLines w:val="0"/>
              <w:pageBreakBefore w:val="0"/>
              <w:suppressLineNumbers w:val="0"/>
              <w:kinsoku/>
              <w:overflowPunct/>
              <w:bidi w:val="0"/>
              <w:spacing w:before="0" w:beforeAutospacing="0" w:after="0" w:afterAutospacing="0" w:line="600" w:lineRule="exact"/>
              <w:ind w:left="0" w:right="0"/>
              <w:rPr>
                <w:rFonts w:hint="eastAsia" w:ascii="仿宋" w:hAnsi="仿宋" w:eastAsia="仿宋" w:cs="宋体"/>
                <w:color w:val="auto"/>
                <w:szCs w:val="21"/>
                <w:highlight w:val="none"/>
              </w:rPr>
            </w:pPr>
          </w:p>
        </w:tc>
        <w:tc>
          <w:tcPr>
            <w:tcW w:w="2495" w:type="dxa"/>
            <w:noWrap w:val="0"/>
            <w:vAlign w:val="top"/>
          </w:tcPr>
          <w:p w14:paraId="18147514">
            <w:pPr>
              <w:keepNext w:val="0"/>
              <w:keepLines w:val="0"/>
              <w:pageBreakBefore w:val="0"/>
              <w:suppressLineNumbers w:val="0"/>
              <w:kinsoku/>
              <w:overflowPunct/>
              <w:bidi w:val="0"/>
              <w:spacing w:before="0" w:beforeAutospacing="0" w:after="0" w:afterAutospacing="0" w:line="600" w:lineRule="exact"/>
              <w:ind w:left="0" w:right="0"/>
              <w:rPr>
                <w:rFonts w:hint="eastAsia" w:ascii="仿宋" w:hAnsi="仿宋" w:eastAsia="仿宋" w:cs="宋体"/>
                <w:color w:val="auto"/>
                <w:szCs w:val="21"/>
                <w:highlight w:val="none"/>
              </w:rPr>
            </w:pPr>
          </w:p>
        </w:tc>
        <w:tc>
          <w:tcPr>
            <w:tcW w:w="2704" w:type="dxa"/>
            <w:noWrap w:val="0"/>
            <w:vAlign w:val="top"/>
          </w:tcPr>
          <w:p w14:paraId="3BECBC07">
            <w:pPr>
              <w:keepNext w:val="0"/>
              <w:keepLines w:val="0"/>
              <w:pageBreakBefore w:val="0"/>
              <w:suppressLineNumbers w:val="0"/>
              <w:kinsoku/>
              <w:overflowPunct/>
              <w:bidi w:val="0"/>
              <w:spacing w:before="0" w:beforeAutospacing="0" w:after="0" w:afterAutospacing="0" w:line="600" w:lineRule="exact"/>
              <w:ind w:left="0" w:right="0"/>
              <w:rPr>
                <w:rFonts w:hint="eastAsia" w:ascii="仿宋" w:hAnsi="仿宋" w:eastAsia="仿宋" w:cs="宋体"/>
                <w:color w:val="auto"/>
                <w:szCs w:val="21"/>
                <w:highlight w:val="none"/>
              </w:rPr>
            </w:pPr>
          </w:p>
        </w:tc>
        <w:tc>
          <w:tcPr>
            <w:tcW w:w="1408" w:type="dxa"/>
            <w:noWrap w:val="0"/>
            <w:vAlign w:val="top"/>
          </w:tcPr>
          <w:p w14:paraId="446DF6F2">
            <w:pPr>
              <w:keepNext w:val="0"/>
              <w:keepLines w:val="0"/>
              <w:pageBreakBefore w:val="0"/>
              <w:suppressLineNumbers w:val="0"/>
              <w:kinsoku/>
              <w:overflowPunct/>
              <w:bidi w:val="0"/>
              <w:spacing w:before="0" w:beforeAutospacing="0" w:after="0" w:afterAutospacing="0" w:line="600" w:lineRule="exact"/>
              <w:ind w:left="0" w:right="0"/>
              <w:rPr>
                <w:rFonts w:hint="eastAsia" w:ascii="仿宋" w:hAnsi="仿宋" w:eastAsia="仿宋" w:cs="宋体"/>
                <w:color w:val="auto"/>
                <w:szCs w:val="21"/>
                <w:highlight w:val="none"/>
              </w:rPr>
            </w:pPr>
          </w:p>
        </w:tc>
      </w:tr>
      <w:tr w14:paraId="49580A63">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top"/>
          </w:tcPr>
          <w:p w14:paraId="2A2D2DFD">
            <w:pPr>
              <w:keepNext w:val="0"/>
              <w:keepLines w:val="0"/>
              <w:pageBreakBefore w:val="0"/>
              <w:suppressLineNumbers w:val="0"/>
              <w:kinsoku/>
              <w:overflowPunct/>
              <w:bidi w:val="0"/>
              <w:spacing w:before="0" w:beforeAutospacing="0" w:after="0" w:afterAutospacing="0" w:line="600" w:lineRule="exact"/>
              <w:ind w:left="0" w:right="0"/>
              <w:rPr>
                <w:rFonts w:hint="eastAsia" w:ascii="仿宋" w:hAnsi="仿宋" w:eastAsia="仿宋" w:cs="宋体"/>
                <w:color w:val="auto"/>
                <w:szCs w:val="21"/>
                <w:highlight w:val="none"/>
              </w:rPr>
            </w:pPr>
          </w:p>
        </w:tc>
        <w:tc>
          <w:tcPr>
            <w:tcW w:w="2285" w:type="dxa"/>
            <w:noWrap w:val="0"/>
            <w:vAlign w:val="top"/>
          </w:tcPr>
          <w:p w14:paraId="00B71327">
            <w:pPr>
              <w:keepNext w:val="0"/>
              <w:keepLines w:val="0"/>
              <w:pageBreakBefore w:val="0"/>
              <w:suppressLineNumbers w:val="0"/>
              <w:kinsoku/>
              <w:overflowPunct/>
              <w:bidi w:val="0"/>
              <w:spacing w:before="0" w:beforeAutospacing="0" w:after="0" w:afterAutospacing="0" w:line="600" w:lineRule="exact"/>
              <w:ind w:left="0" w:right="0"/>
              <w:rPr>
                <w:rFonts w:hint="eastAsia" w:ascii="仿宋" w:hAnsi="仿宋" w:eastAsia="仿宋" w:cs="宋体"/>
                <w:color w:val="auto"/>
                <w:szCs w:val="21"/>
                <w:highlight w:val="none"/>
              </w:rPr>
            </w:pPr>
          </w:p>
        </w:tc>
        <w:tc>
          <w:tcPr>
            <w:tcW w:w="2495" w:type="dxa"/>
            <w:noWrap w:val="0"/>
            <w:vAlign w:val="top"/>
          </w:tcPr>
          <w:p w14:paraId="062B61D5">
            <w:pPr>
              <w:keepNext w:val="0"/>
              <w:keepLines w:val="0"/>
              <w:pageBreakBefore w:val="0"/>
              <w:suppressLineNumbers w:val="0"/>
              <w:kinsoku/>
              <w:overflowPunct/>
              <w:bidi w:val="0"/>
              <w:spacing w:before="0" w:beforeAutospacing="0" w:after="0" w:afterAutospacing="0" w:line="600" w:lineRule="exact"/>
              <w:ind w:left="0" w:right="0"/>
              <w:rPr>
                <w:rFonts w:hint="eastAsia" w:ascii="仿宋" w:hAnsi="仿宋" w:eastAsia="仿宋" w:cs="宋体"/>
                <w:color w:val="auto"/>
                <w:szCs w:val="21"/>
                <w:highlight w:val="none"/>
              </w:rPr>
            </w:pPr>
          </w:p>
        </w:tc>
        <w:tc>
          <w:tcPr>
            <w:tcW w:w="2704" w:type="dxa"/>
            <w:noWrap w:val="0"/>
            <w:vAlign w:val="top"/>
          </w:tcPr>
          <w:p w14:paraId="3BC3540C">
            <w:pPr>
              <w:keepNext w:val="0"/>
              <w:keepLines w:val="0"/>
              <w:pageBreakBefore w:val="0"/>
              <w:suppressLineNumbers w:val="0"/>
              <w:kinsoku/>
              <w:overflowPunct/>
              <w:bidi w:val="0"/>
              <w:spacing w:before="0" w:beforeAutospacing="0" w:after="0" w:afterAutospacing="0" w:line="600" w:lineRule="exact"/>
              <w:ind w:left="0" w:right="0"/>
              <w:rPr>
                <w:rFonts w:hint="eastAsia" w:ascii="仿宋" w:hAnsi="仿宋" w:eastAsia="仿宋" w:cs="宋体"/>
                <w:color w:val="auto"/>
                <w:szCs w:val="21"/>
                <w:highlight w:val="none"/>
              </w:rPr>
            </w:pPr>
          </w:p>
        </w:tc>
        <w:tc>
          <w:tcPr>
            <w:tcW w:w="1408" w:type="dxa"/>
            <w:noWrap w:val="0"/>
            <w:vAlign w:val="top"/>
          </w:tcPr>
          <w:p w14:paraId="0FB25E3C">
            <w:pPr>
              <w:keepNext w:val="0"/>
              <w:keepLines w:val="0"/>
              <w:pageBreakBefore w:val="0"/>
              <w:suppressLineNumbers w:val="0"/>
              <w:kinsoku/>
              <w:overflowPunct/>
              <w:bidi w:val="0"/>
              <w:spacing w:before="0" w:beforeAutospacing="0" w:after="0" w:afterAutospacing="0" w:line="600" w:lineRule="exact"/>
              <w:ind w:left="0" w:right="0"/>
              <w:rPr>
                <w:rFonts w:hint="eastAsia" w:ascii="仿宋" w:hAnsi="仿宋" w:eastAsia="仿宋" w:cs="宋体"/>
                <w:color w:val="auto"/>
                <w:szCs w:val="21"/>
                <w:highlight w:val="none"/>
              </w:rPr>
            </w:pPr>
          </w:p>
        </w:tc>
      </w:tr>
      <w:tr w14:paraId="21D574D3">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noWrap w:val="0"/>
            <w:vAlign w:val="top"/>
          </w:tcPr>
          <w:p w14:paraId="598DA82C">
            <w:pPr>
              <w:keepNext w:val="0"/>
              <w:keepLines w:val="0"/>
              <w:pageBreakBefore w:val="0"/>
              <w:suppressLineNumbers w:val="0"/>
              <w:kinsoku/>
              <w:overflowPunct/>
              <w:bidi w:val="0"/>
              <w:spacing w:before="0" w:beforeAutospacing="0" w:after="0" w:afterAutospacing="0" w:line="600" w:lineRule="exact"/>
              <w:ind w:left="0" w:right="0"/>
              <w:rPr>
                <w:rFonts w:hint="eastAsia" w:ascii="仿宋" w:hAnsi="仿宋" w:eastAsia="仿宋" w:cs="宋体"/>
                <w:color w:val="auto"/>
                <w:szCs w:val="21"/>
                <w:highlight w:val="none"/>
              </w:rPr>
            </w:pPr>
          </w:p>
        </w:tc>
        <w:tc>
          <w:tcPr>
            <w:tcW w:w="2285" w:type="dxa"/>
            <w:noWrap w:val="0"/>
            <w:vAlign w:val="top"/>
          </w:tcPr>
          <w:p w14:paraId="168ED10E">
            <w:pPr>
              <w:keepNext w:val="0"/>
              <w:keepLines w:val="0"/>
              <w:pageBreakBefore w:val="0"/>
              <w:suppressLineNumbers w:val="0"/>
              <w:kinsoku/>
              <w:overflowPunct/>
              <w:bidi w:val="0"/>
              <w:spacing w:before="0" w:beforeAutospacing="0" w:after="0" w:afterAutospacing="0" w:line="600" w:lineRule="exact"/>
              <w:ind w:left="0" w:right="0"/>
              <w:rPr>
                <w:rFonts w:hint="eastAsia" w:ascii="仿宋" w:hAnsi="仿宋" w:eastAsia="仿宋" w:cs="宋体"/>
                <w:color w:val="auto"/>
                <w:szCs w:val="21"/>
                <w:highlight w:val="none"/>
              </w:rPr>
            </w:pPr>
          </w:p>
        </w:tc>
        <w:tc>
          <w:tcPr>
            <w:tcW w:w="2495" w:type="dxa"/>
            <w:noWrap w:val="0"/>
            <w:vAlign w:val="top"/>
          </w:tcPr>
          <w:p w14:paraId="1BDA4A6F">
            <w:pPr>
              <w:keepNext w:val="0"/>
              <w:keepLines w:val="0"/>
              <w:pageBreakBefore w:val="0"/>
              <w:suppressLineNumbers w:val="0"/>
              <w:kinsoku/>
              <w:overflowPunct/>
              <w:bidi w:val="0"/>
              <w:spacing w:before="0" w:beforeAutospacing="0" w:after="0" w:afterAutospacing="0" w:line="600" w:lineRule="exact"/>
              <w:ind w:left="0" w:right="0"/>
              <w:rPr>
                <w:rFonts w:hint="eastAsia" w:ascii="仿宋" w:hAnsi="仿宋" w:eastAsia="仿宋" w:cs="宋体"/>
                <w:color w:val="auto"/>
                <w:szCs w:val="21"/>
                <w:highlight w:val="none"/>
              </w:rPr>
            </w:pPr>
          </w:p>
        </w:tc>
        <w:tc>
          <w:tcPr>
            <w:tcW w:w="2704" w:type="dxa"/>
            <w:noWrap w:val="0"/>
            <w:vAlign w:val="top"/>
          </w:tcPr>
          <w:p w14:paraId="2507E37D">
            <w:pPr>
              <w:keepNext w:val="0"/>
              <w:keepLines w:val="0"/>
              <w:pageBreakBefore w:val="0"/>
              <w:suppressLineNumbers w:val="0"/>
              <w:kinsoku/>
              <w:overflowPunct/>
              <w:bidi w:val="0"/>
              <w:spacing w:before="0" w:beforeAutospacing="0" w:after="0" w:afterAutospacing="0" w:line="600" w:lineRule="exact"/>
              <w:ind w:left="0" w:right="0"/>
              <w:rPr>
                <w:rFonts w:hint="eastAsia" w:ascii="仿宋" w:hAnsi="仿宋" w:eastAsia="仿宋" w:cs="宋体"/>
                <w:color w:val="auto"/>
                <w:szCs w:val="21"/>
                <w:highlight w:val="none"/>
              </w:rPr>
            </w:pPr>
          </w:p>
        </w:tc>
        <w:tc>
          <w:tcPr>
            <w:tcW w:w="1408" w:type="dxa"/>
            <w:noWrap w:val="0"/>
            <w:vAlign w:val="top"/>
          </w:tcPr>
          <w:p w14:paraId="337B695C">
            <w:pPr>
              <w:keepNext w:val="0"/>
              <w:keepLines w:val="0"/>
              <w:pageBreakBefore w:val="0"/>
              <w:suppressLineNumbers w:val="0"/>
              <w:kinsoku/>
              <w:overflowPunct/>
              <w:bidi w:val="0"/>
              <w:spacing w:before="0" w:beforeAutospacing="0" w:after="0" w:afterAutospacing="0" w:line="600" w:lineRule="exact"/>
              <w:ind w:left="0" w:right="0"/>
              <w:rPr>
                <w:rFonts w:hint="eastAsia" w:ascii="仿宋" w:hAnsi="仿宋" w:eastAsia="仿宋" w:cs="宋体"/>
                <w:color w:val="auto"/>
                <w:szCs w:val="21"/>
                <w:highlight w:val="none"/>
              </w:rPr>
            </w:pPr>
          </w:p>
        </w:tc>
      </w:tr>
      <w:tr w14:paraId="70810F93">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top"/>
          </w:tcPr>
          <w:p w14:paraId="69EA4812">
            <w:pPr>
              <w:keepNext w:val="0"/>
              <w:keepLines w:val="0"/>
              <w:pageBreakBefore w:val="0"/>
              <w:suppressLineNumbers w:val="0"/>
              <w:kinsoku/>
              <w:overflowPunct/>
              <w:bidi w:val="0"/>
              <w:spacing w:before="0" w:beforeAutospacing="0" w:after="0" w:afterAutospacing="0" w:line="600" w:lineRule="exact"/>
              <w:ind w:left="0" w:right="0"/>
              <w:rPr>
                <w:rFonts w:hint="eastAsia" w:ascii="仿宋" w:hAnsi="仿宋" w:eastAsia="仿宋" w:cs="宋体"/>
                <w:color w:val="auto"/>
                <w:szCs w:val="21"/>
                <w:highlight w:val="none"/>
              </w:rPr>
            </w:pPr>
          </w:p>
        </w:tc>
        <w:tc>
          <w:tcPr>
            <w:tcW w:w="2285" w:type="dxa"/>
            <w:noWrap w:val="0"/>
            <w:vAlign w:val="top"/>
          </w:tcPr>
          <w:p w14:paraId="294BD6C1">
            <w:pPr>
              <w:keepNext w:val="0"/>
              <w:keepLines w:val="0"/>
              <w:pageBreakBefore w:val="0"/>
              <w:suppressLineNumbers w:val="0"/>
              <w:kinsoku/>
              <w:overflowPunct/>
              <w:bidi w:val="0"/>
              <w:spacing w:before="0" w:beforeAutospacing="0" w:after="0" w:afterAutospacing="0" w:line="600" w:lineRule="exact"/>
              <w:ind w:left="0" w:right="0"/>
              <w:rPr>
                <w:rFonts w:hint="eastAsia" w:ascii="仿宋" w:hAnsi="仿宋" w:eastAsia="仿宋" w:cs="宋体"/>
                <w:color w:val="auto"/>
                <w:szCs w:val="21"/>
                <w:highlight w:val="none"/>
              </w:rPr>
            </w:pPr>
          </w:p>
        </w:tc>
        <w:tc>
          <w:tcPr>
            <w:tcW w:w="2495" w:type="dxa"/>
            <w:noWrap w:val="0"/>
            <w:vAlign w:val="top"/>
          </w:tcPr>
          <w:p w14:paraId="73AABEF9">
            <w:pPr>
              <w:keepNext w:val="0"/>
              <w:keepLines w:val="0"/>
              <w:pageBreakBefore w:val="0"/>
              <w:suppressLineNumbers w:val="0"/>
              <w:kinsoku/>
              <w:overflowPunct/>
              <w:bidi w:val="0"/>
              <w:spacing w:before="0" w:beforeAutospacing="0" w:after="0" w:afterAutospacing="0" w:line="600" w:lineRule="exact"/>
              <w:ind w:left="0" w:right="0"/>
              <w:rPr>
                <w:rFonts w:hint="eastAsia" w:ascii="仿宋" w:hAnsi="仿宋" w:eastAsia="仿宋" w:cs="宋体"/>
                <w:color w:val="auto"/>
                <w:szCs w:val="21"/>
                <w:highlight w:val="none"/>
              </w:rPr>
            </w:pPr>
          </w:p>
        </w:tc>
        <w:tc>
          <w:tcPr>
            <w:tcW w:w="2704" w:type="dxa"/>
            <w:noWrap w:val="0"/>
            <w:vAlign w:val="top"/>
          </w:tcPr>
          <w:p w14:paraId="491210CC">
            <w:pPr>
              <w:keepNext w:val="0"/>
              <w:keepLines w:val="0"/>
              <w:pageBreakBefore w:val="0"/>
              <w:suppressLineNumbers w:val="0"/>
              <w:kinsoku/>
              <w:overflowPunct/>
              <w:bidi w:val="0"/>
              <w:spacing w:before="0" w:beforeAutospacing="0" w:after="0" w:afterAutospacing="0" w:line="600" w:lineRule="exact"/>
              <w:ind w:left="0" w:right="0"/>
              <w:rPr>
                <w:rFonts w:hint="eastAsia" w:ascii="仿宋" w:hAnsi="仿宋" w:eastAsia="仿宋" w:cs="宋体"/>
                <w:color w:val="auto"/>
                <w:szCs w:val="21"/>
                <w:highlight w:val="none"/>
              </w:rPr>
            </w:pPr>
          </w:p>
        </w:tc>
        <w:tc>
          <w:tcPr>
            <w:tcW w:w="1408" w:type="dxa"/>
            <w:noWrap w:val="0"/>
            <w:vAlign w:val="top"/>
          </w:tcPr>
          <w:p w14:paraId="666E90BF">
            <w:pPr>
              <w:keepNext w:val="0"/>
              <w:keepLines w:val="0"/>
              <w:pageBreakBefore w:val="0"/>
              <w:suppressLineNumbers w:val="0"/>
              <w:kinsoku/>
              <w:overflowPunct/>
              <w:bidi w:val="0"/>
              <w:spacing w:before="0" w:beforeAutospacing="0" w:after="0" w:afterAutospacing="0" w:line="600" w:lineRule="exact"/>
              <w:ind w:left="0" w:right="0"/>
              <w:rPr>
                <w:rFonts w:hint="eastAsia" w:ascii="仿宋" w:hAnsi="仿宋" w:eastAsia="仿宋" w:cs="宋体"/>
                <w:color w:val="auto"/>
                <w:szCs w:val="21"/>
                <w:highlight w:val="none"/>
              </w:rPr>
            </w:pPr>
          </w:p>
        </w:tc>
      </w:tr>
      <w:tr w14:paraId="68133A06">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noWrap w:val="0"/>
            <w:vAlign w:val="top"/>
          </w:tcPr>
          <w:p w14:paraId="1B3761EA">
            <w:pPr>
              <w:keepNext w:val="0"/>
              <w:keepLines w:val="0"/>
              <w:pageBreakBefore w:val="0"/>
              <w:suppressLineNumbers w:val="0"/>
              <w:kinsoku/>
              <w:overflowPunct/>
              <w:bidi w:val="0"/>
              <w:spacing w:before="0" w:beforeAutospacing="0" w:after="0" w:afterAutospacing="0" w:line="600" w:lineRule="exact"/>
              <w:ind w:left="0" w:right="0"/>
              <w:rPr>
                <w:rFonts w:hint="eastAsia" w:ascii="仿宋" w:hAnsi="仿宋" w:eastAsia="仿宋" w:cs="宋体"/>
                <w:color w:val="auto"/>
                <w:szCs w:val="21"/>
                <w:highlight w:val="none"/>
              </w:rPr>
            </w:pPr>
          </w:p>
        </w:tc>
        <w:tc>
          <w:tcPr>
            <w:tcW w:w="2285" w:type="dxa"/>
            <w:noWrap w:val="0"/>
            <w:vAlign w:val="top"/>
          </w:tcPr>
          <w:p w14:paraId="1E0FEF5E">
            <w:pPr>
              <w:keepNext w:val="0"/>
              <w:keepLines w:val="0"/>
              <w:pageBreakBefore w:val="0"/>
              <w:suppressLineNumbers w:val="0"/>
              <w:kinsoku/>
              <w:overflowPunct/>
              <w:bidi w:val="0"/>
              <w:spacing w:before="0" w:beforeAutospacing="0" w:after="0" w:afterAutospacing="0" w:line="600" w:lineRule="exact"/>
              <w:ind w:left="0" w:right="0"/>
              <w:rPr>
                <w:rFonts w:hint="eastAsia" w:ascii="仿宋" w:hAnsi="仿宋" w:eastAsia="仿宋" w:cs="宋体"/>
                <w:color w:val="auto"/>
                <w:szCs w:val="21"/>
                <w:highlight w:val="none"/>
              </w:rPr>
            </w:pPr>
          </w:p>
        </w:tc>
        <w:tc>
          <w:tcPr>
            <w:tcW w:w="2495" w:type="dxa"/>
            <w:noWrap w:val="0"/>
            <w:vAlign w:val="top"/>
          </w:tcPr>
          <w:p w14:paraId="73EBD3A5">
            <w:pPr>
              <w:keepNext w:val="0"/>
              <w:keepLines w:val="0"/>
              <w:pageBreakBefore w:val="0"/>
              <w:suppressLineNumbers w:val="0"/>
              <w:kinsoku/>
              <w:overflowPunct/>
              <w:bidi w:val="0"/>
              <w:spacing w:before="0" w:beforeAutospacing="0" w:after="0" w:afterAutospacing="0" w:line="600" w:lineRule="exact"/>
              <w:ind w:left="0" w:right="0"/>
              <w:rPr>
                <w:rFonts w:hint="eastAsia" w:ascii="仿宋" w:hAnsi="仿宋" w:eastAsia="仿宋" w:cs="宋体"/>
                <w:color w:val="auto"/>
                <w:szCs w:val="21"/>
                <w:highlight w:val="none"/>
              </w:rPr>
            </w:pPr>
          </w:p>
        </w:tc>
        <w:tc>
          <w:tcPr>
            <w:tcW w:w="2704" w:type="dxa"/>
            <w:noWrap w:val="0"/>
            <w:vAlign w:val="top"/>
          </w:tcPr>
          <w:p w14:paraId="21E4FC9A">
            <w:pPr>
              <w:keepNext w:val="0"/>
              <w:keepLines w:val="0"/>
              <w:pageBreakBefore w:val="0"/>
              <w:suppressLineNumbers w:val="0"/>
              <w:kinsoku/>
              <w:overflowPunct/>
              <w:bidi w:val="0"/>
              <w:spacing w:before="0" w:beforeAutospacing="0" w:after="0" w:afterAutospacing="0" w:line="600" w:lineRule="exact"/>
              <w:ind w:left="0" w:right="0"/>
              <w:rPr>
                <w:rFonts w:hint="eastAsia" w:ascii="仿宋" w:hAnsi="仿宋" w:eastAsia="仿宋" w:cs="宋体"/>
                <w:color w:val="auto"/>
                <w:szCs w:val="21"/>
                <w:highlight w:val="none"/>
              </w:rPr>
            </w:pPr>
          </w:p>
        </w:tc>
        <w:tc>
          <w:tcPr>
            <w:tcW w:w="1408" w:type="dxa"/>
            <w:noWrap w:val="0"/>
            <w:vAlign w:val="top"/>
          </w:tcPr>
          <w:p w14:paraId="719AD171">
            <w:pPr>
              <w:keepNext w:val="0"/>
              <w:keepLines w:val="0"/>
              <w:pageBreakBefore w:val="0"/>
              <w:suppressLineNumbers w:val="0"/>
              <w:kinsoku/>
              <w:overflowPunct/>
              <w:bidi w:val="0"/>
              <w:spacing w:before="0" w:beforeAutospacing="0" w:after="0" w:afterAutospacing="0" w:line="600" w:lineRule="exact"/>
              <w:ind w:left="0" w:right="0"/>
              <w:rPr>
                <w:rFonts w:hint="eastAsia" w:ascii="仿宋" w:hAnsi="仿宋" w:eastAsia="仿宋" w:cs="宋体"/>
                <w:color w:val="auto"/>
                <w:szCs w:val="21"/>
                <w:highlight w:val="none"/>
              </w:rPr>
            </w:pPr>
          </w:p>
        </w:tc>
      </w:tr>
    </w:tbl>
    <w:p w14:paraId="28A386D5">
      <w:pPr>
        <w:pageBreakBefore w:val="0"/>
        <w:kinsoku/>
        <w:overflowPunct/>
        <w:bidi w:val="0"/>
        <w:spacing w:line="600" w:lineRule="exact"/>
        <w:ind w:left="480" w:hanging="480" w:hangingChars="200"/>
        <w:rPr>
          <w:rFonts w:hint="eastAsia" w:ascii="仿宋" w:hAnsi="仿宋" w:eastAsia="仿宋" w:cs="宋体"/>
          <w:b/>
          <w:bCs/>
          <w:color w:val="auto"/>
          <w:sz w:val="24"/>
          <w:szCs w:val="24"/>
          <w:highlight w:val="none"/>
        </w:rPr>
      </w:pPr>
      <w:r>
        <w:rPr>
          <w:rFonts w:hint="eastAsia" w:ascii="仿宋" w:hAnsi="仿宋" w:eastAsia="仿宋" w:cs="宋体"/>
          <w:color w:val="auto"/>
          <w:sz w:val="24"/>
          <w:szCs w:val="24"/>
          <w:highlight w:val="none"/>
        </w:rPr>
        <w:t>注：所有偏离须在本表中列出，未在本偏离表中列出偏离，将视为投标人已完全接受招标文件要求</w:t>
      </w:r>
      <w:r>
        <w:rPr>
          <w:rFonts w:hint="eastAsia" w:ascii="仿宋" w:hAnsi="仿宋" w:eastAsia="仿宋" w:cs="宋体"/>
          <w:b/>
          <w:bCs/>
          <w:color w:val="auto"/>
          <w:sz w:val="24"/>
          <w:szCs w:val="24"/>
          <w:highlight w:val="none"/>
        </w:rPr>
        <w:t>。如全部满足，在偏离表中应答“全部满足”即可。</w:t>
      </w:r>
    </w:p>
    <w:p w14:paraId="148DE2FC">
      <w:pPr>
        <w:pageBreakBefore w:val="0"/>
        <w:kinsoku/>
        <w:overflowPunct/>
        <w:bidi w:val="0"/>
        <w:spacing w:line="600" w:lineRule="exact"/>
        <w:ind w:firstLine="4080" w:firstLineChars="1700"/>
        <w:jc w:val="right"/>
        <w:rPr>
          <w:rFonts w:ascii="仿宋" w:hAnsi="仿宋" w:eastAsia="仿宋" w:cs="宋体"/>
          <w:color w:val="auto"/>
          <w:sz w:val="24"/>
          <w:szCs w:val="24"/>
          <w:highlight w:val="none"/>
        </w:rPr>
      </w:pPr>
    </w:p>
    <w:p w14:paraId="65CCCE46">
      <w:pPr>
        <w:pageBreakBefore w:val="0"/>
        <w:kinsoku/>
        <w:overflowPunct/>
        <w:bidi w:val="0"/>
        <w:spacing w:line="600" w:lineRule="exact"/>
        <w:ind w:firstLine="4080" w:firstLineChars="1700"/>
        <w:jc w:val="right"/>
        <w:rPr>
          <w:rFonts w:hint="eastAsia" w:ascii="仿宋" w:hAnsi="仿宋" w:eastAsia="仿宋" w:cs="宋体"/>
          <w:color w:val="auto"/>
          <w:sz w:val="24"/>
          <w:szCs w:val="24"/>
          <w:highlight w:val="none"/>
        </w:rPr>
      </w:pPr>
    </w:p>
    <w:p w14:paraId="671067BE">
      <w:pPr>
        <w:pageBreakBefore w:val="0"/>
        <w:kinsoku/>
        <w:overflowPunct/>
        <w:bidi w:val="0"/>
        <w:spacing w:line="600" w:lineRule="exact"/>
        <w:ind w:firstLine="4080" w:firstLineChars="1700"/>
        <w:jc w:val="right"/>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投标人名称：</w:t>
      </w:r>
      <w:r>
        <w:rPr>
          <w:rFonts w:hint="eastAsia" w:ascii="仿宋" w:hAnsi="仿宋" w:eastAsia="仿宋" w:cs="宋体"/>
          <w:color w:val="auto"/>
          <w:sz w:val="24"/>
          <w:szCs w:val="24"/>
          <w:highlight w:val="none"/>
          <w:u w:val="single"/>
        </w:rPr>
        <w:t xml:space="preserve">     </w:t>
      </w:r>
      <w:r>
        <w:rPr>
          <w:rFonts w:hint="eastAsia" w:ascii="仿宋" w:hAnsi="仿宋" w:eastAsia="仿宋" w:cs="宋体"/>
          <w:color w:val="auto"/>
          <w:sz w:val="24"/>
          <w:szCs w:val="24"/>
          <w:highlight w:val="none"/>
        </w:rPr>
        <w:t>（盖章）</w:t>
      </w:r>
    </w:p>
    <w:p w14:paraId="60CCA5BD">
      <w:pPr>
        <w:pageBreakBefore w:val="0"/>
        <w:kinsoku/>
        <w:overflowPunct/>
        <w:bidi w:val="0"/>
        <w:spacing w:line="600" w:lineRule="exact"/>
        <w:jc w:val="right"/>
        <w:rPr>
          <w:rFonts w:hint="eastAsia" w:ascii="仿宋" w:hAnsi="仿宋" w:eastAsia="仿宋" w:cs="宋体"/>
          <w:color w:val="auto"/>
          <w:sz w:val="24"/>
          <w:szCs w:val="24"/>
          <w:highlight w:val="none"/>
        </w:rPr>
        <w:sectPr>
          <w:pgSz w:w="11906" w:h="16838"/>
          <w:pgMar w:top="1417" w:right="1134" w:bottom="1134" w:left="1134" w:header="851" w:footer="992" w:gutter="0"/>
          <w:cols w:space="720" w:num="1"/>
          <w:titlePg/>
          <w:docGrid w:type="lines" w:linePitch="312" w:charSpace="0"/>
        </w:sectPr>
      </w:pPr>
      <w:r>
        <w:rPr>
          <w:rFonts w:hint="eastAsia" w:ascii="仿宋" w:hAnsi="仿宋" w:eastAsia="仿宋" w:cs="宋体"/>
          <w:color w:val="auto"/>
          <w:sz w:val="24"/>
          <w:szCs w:val="24"/>
          <w:highlight w:val="none"/>
        </w:rPr>
        <w:t>日期：</w:t>
      </w:r>
      <w:r>
        <w:rPr>
          <w:rFonts w:hint="eastAsia" w:ascii="仿宋" w:hAnsi="仿宋" w:eastAsia="仿宋" w:cs="宋体"/>
          <w:color w:val="auto"/>
          <w:sz w:val="24"/>
          <w:szCs w:val="24"/>
          <w:highlight w:val="none"/>
          <w:u w:val="single"/>
        </w:rPr>
        <w:t xml:space="preserve">   </w:t>
      </w:r>
      <w:r>
        <w:rPr>
          <w:rFonts w:hint="eastAsia" w:ascii="仿宋" w:hAnsi="仿宋" w:eastAsia="仿宋" w:cs="宋体"/>
          <w:color w:val="auto"/>
          <w:sz w:val="24"/>
          <w:szCs w:val="24"/>
          <w:highlight w:val="none"/>
        </w:rPr>
        <w:t>年</w:t>
      </w:r>
      <w:r>
        <w:rPr>
          <w:rFonts w:hint="eastAsia" w:ascii="仿宋" w:hAnsi="仿宋" w:eastAsia="仿宋" w:cs="宋体"/>
          <w:color w:val="auto"/>
          <w:sz w:val="24"/>
          <w:szCs w:val="24"/>
          <w:highlight w:val="none"/>
          <w:u w:val="single"/>
        </w:rPr>
        <w:t xml:space="preserve">   </w:t>
      </w:r>
      <w:r>
        <w:rPr>
          <w:rFonts w:hint="eastAsia" w:ascii="仿宋" w:hAnsi="仿宋" w:eastAsia="仿宋" w:cs="宋体"/>
          <w:color w:val="auto"/>
          <w:sz w:val="24"/>
          <w:szCs w:val="24"/>
          <w:highlight w:val="none"/>
        </w:rPr>
        <w:t>月</w:t>
      </w:r>
      <w:r>
        <w:rPr>
          <w:rFonts w:hint="eastAsia" w:ascii="仿宋" w:hAnsi="仿宋" w:eastAsia="仿宋" w:cs="宋体"/>
          <w:color w:val="auto"/>
          <w:sz w:val="24"/>
          <w:szCs w:val="24"/>
          <w:highlight w:val="none"/>
          <w:u w:val="single"/>
        </w:rPr>
        <w:t xml:space="preserve">   </w:t>
      </w:r>
      <w:r>
        <w:rPr>
          <w:rFonts w:hint="eastAsia" w:ascii="仿宋" w:hAnsi="仿宋" w:eastAsia="仿宋" w:cs="宋体"/>
          <w:color w:val="auto"/>
          <w:sz w:val="24"/>
          <w:szCs w:val="24"/>
          <w:highlight w:val="none"/>
        </w:rPr>
        <w:t>日</w:t>
      </w:r>
    </w:p>
    <w:p w14:paraId="6E9C25FB">
      <w:pPr>
        <w:pStyle w:val="5"/>
        <w:pageBreakBefore w:val="0"/>
        <w:kinsoku/>
        <w:overflowPunct/>
        <w:bidi w:val="0"/>
        <w:spacing w:line="600" w:lineRule="exact"/>
        <w:ind w:firstLine="0" w:firstLineChars="0"/>
        <w:rPr>
          <w:rFonts w:ascii="仿宋" w:hAnsi="仿宋" w:cs="宋体"/>
          <w:color w:val="auto"/>
          <w:szCs w:val="24"/>
          <w:highlight w:val="none"/>
        </w:rPr>
      </w:pPr>
      <w:bookmarkStart w:id="681" w:name="_Toc8442"/>
      <w:bookmarkStart w:id="682" w:name="_Toc6107"/>
      <w:bookmarkStart w:id="683" w:name="_Toc109124322"/>
      <w:bookmarkStart w:id="684" w:name="_Toc65683010"/>
      <w:r>
        <w:rPr>
          <w:rFonts w:ascii="仿宋" w:hAnsi="仿宋" w:cs="宋体"/>
          <w:color w:val="auto"/>
          <w:szCs w:val="24"/>
          <w:highlight w:val="none"/>
        </w:rPr>
        <w:t>（六）合同条款应答偏离表</w:t>
      </w:r>
      <w:bookmarkEnd w:id="681"/>
      <w:bookmarkEnd w:id="682"/>
      <w:bookmarkEnd w:id="683"/>
      <w:bookmarkEnd w:id="684"/>
    </w:p>
    <w:p w14:paraId="7ECAAC44">
      <w:pPr>
        <w:pageBreakBefore w:val="0"/>
        <w:kinsoku/>
        <w:overflowPunct/>
        <w:bidi w:val="0"/>
        <w:spacing w:line="600" w:lineRule="exact"/>
        <w:jc w:val="center"/>
        <w:rPr>
          <w:rFonts w:hint="eastAsia" w:ascii="仿宋" w:hAnsi="仿宋" w:eastAsia="仿宋" w:cs="宋体"/>
          <w:b/>
          <w:bCs/>
          <w:color w:val="auto"/>
          <w:sz w:val="24"/>
          <w:szCs w:val="24"/>
          <w:highlight w:val="none"/>
        </w:rPr>
      </w:pPr>
      <w:r>
        <w:rPr>
          <w:rFonts w:hint="eastAsia" w:ascii="仿宋" w:hAnsi="仿宋" w:eastAsia="仿宋" w:cs="宋体"/>
          <w:b/>
          <w:bCs/>
          <w:color w:val="auto"/>
          <w:sz w:val="24"/>
          <w:szCs w:val="24"/>
          <w:highlight w:val="none"/>
        </w:rPr>
        <w:t>合同条款应答偏离表</w:t>
      </w:r>
    </w:p>
    <w:p w14:paraId="0918F93D">
      <w:pPr>
        <w:pageBreakBefore w:val="0"/>
        <w:kinsoku/>
        <w:overflowPunct/>
        <w:bidi w:val="0"/>
        <w:spacing w:line="600" w:lineRule="exact"/>
        <w:rPr>
          <w:rFonts w:hint="eastAsia" w:ascii="仿宋" w:hAnsi="仿宋" w:eastAsia="仿宋" w:cs="宋体"/>
          <w:color w:val="auto"/>
          <w:highlight w:val="none"/>
        </w:rPr>
      </w:pPr>
      <w:r>
        <w:rPr>
          <w:rFonts w:hint="eastAsia" w:ascii="仿宋" w:hAnsi="仿宋" w:eastAsia="仿宋" w:cs="宋体"/>
          <w:color w:val="auto"/>
          <w:sz w:val="24"/>
          <w:szCs w:val="24"/>
          <w:highlight w:val="none"/>
        </w:rPr>
        <w:t>投标人名称：</w:t>
      </w:r>
      <w:r>
        <w:rPr>
          <w:rFonts w:hint="eastAsia" w:ascii="仿宋" w:hAnsi="仿宋" w:eastAsia="仿宋" w:cs="宋体"/>
          <w:color w:val="auto"/>
          <w:sz w:val="24"/>
          <w:szCs w:val="24"/>
          <w:highlight w:val="none"/>
          <w:u w:val="single"/>
        </w:rPr>
        <w:t xml:space="preserve">              </w:t>
      </w:r>
      <w:r>
        <w:rPr>
          <w:rFonts w:hint="eastAsia" w:ascii="仿宋" w:hAnsi="仿宋" w:eastAsia="仿宋" w:cs="宋体"/>
          <w:color w:val="auto"/>
          <w:sz w:val="24"/>
          <w:szCs w:val="24"/>
          <w:highlight w:val="none"/>
        </w:rPr>
        <w:t xml:space="preserve">     </w:t>
      </w:r>
    </w:p>
    <w:tbl>
      <w:tblPr>
        <w:tblStyle w:val="33"/>
        <w:tblW w:w="0" w:type="auto"/>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6"/>
        <w:gridCol w:w="2285"/>
        <w:gridCol w:w="2495"/>
        <w:gridCol w:w="2704"/>
        <w:gridCol w:w="1408"/>
      </w:tblGrid>
      <w:tr w14:paraId="5EF812B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center"/>
          </w:tcPr>
          <w:p w14:paraId="426E1BB4">
            <w:pPr>
              <w:keepNext w:val="0"/>
              <w:keepLines w:val="0"/>
              <w:pageBreakBefore w:val="0"/>
              <w:suppressLineNumbers w:val="0"/>
              <w:kinsoku/>
              <w:overflowPunct/>
              <w:bidi w:val="0"/>
              <w:spacing w:before="0" w:beforeAutospacing="0" w:after="0" w:afterAutospacing="0" w:line="600" w:lineRule="exact"/>
              <w:ind w:left="0" w:right="0"/>
              <w:jc w:val="center"/>
              <w:rPr>
                <w:rFonts w:hint="eastAsia" w:ascii="仿宋" w:hAnsi="仿宋" w:eastAsia="仿宋" w:cs="宋体"/>
                <w:color w:val="auto"/>
                <w:szCs w:val="21"/>
                <w:highlight w:val="none"/>
              </w:rPr>
            </w:pPr>
            <w:r>
              <w:rPr>
                <w:rFonts w:hint="eastAsia" w:ascii="仿宋" w:hAnsi="仿宋" w:eastAsia="仿宋" w:cs="宋体"/>
                <w:color w:val="auto"/>
                <w:szCs w:val="21"/>
                <w:highlight w:val="none"/>
              </w:rPr>
              <w:t>序号</w:t>
            </w:r>
          </w:p>
        </w:tc>
        <w:tc>
          <w:tcPr>
            <w:tcW w:w="2285" w:type="dxa"/>
            <w:noWrap w:val="0"/>
            <w:vAlign w:val="center"/>
          </w:tcPr>
          <w:p w14:paraId="3ADCA0CB">
            <w:pPr>
              <w:keepNext w:val="0"/>
              <w:keepLines w:val="0"/>
              <w:pageBreakBefore w:val="0"/>
              <w:suppressLineNumbers w:val="0"/>
              <w:kinsoku/>
              <w:overflowPunct/>
              <w:bidi w:val="0"/>
              <w:spacing w:before="0" w:beforeAutospacing="0" w:after="0" w:afterAutospacing="0" w:line="600" w:lineRule="exact"/>
              <w:ind w:left="0" w:right="0"/>
              <w:jc w:val="center"/>
              <w:rPr>
                <w:rFonts w:hint="eastAsia" w:ascii="仿宋" w:hAnsi="仿宋" w:eastAsia="仿宋" w:cs="宋体"/>
                <w:color w:val="auto"/>
                <w:szCs w:val="21"/>
                <w:highlight w:val="none"/>
              </w:rPr>
            </w:pPr>
            <w:r>
              <w:rPr>
                <w:rFonts w:hint="eastAsia" w:ascii="仿宋" w:hAnsi="仿宋" w:eastAsia="仿宋" w:cs="宋体"/>
                <w:color w:val="auto"/>
                <w:szCs w:val="21"/>
                <w:highlight w:val="none"/>
              </w:rPr>
              <w:t>条目号</w:t>
            </w:r>
          </w:p>
        </w:tc>
        <w:tc>
          <w:tcPr>
            <w:tcW w:w="2495" w:type="dxa"/>
            <w:noWrap w:val="0"/>
            <w:vAlign w:val="center"/>
          </w:tcPr>
          <w:p w14:paraId="38E81A4D">
            <w:pPr>
              <w:keepNext w:val="0"/>
              <w:keepLines w:val="0"/>
              <w:pageBreakBefore w:val="0"/>
              <w:suppressLineNumbers w:val="0"/>
              <w:kinsoku/>
              <w:overflowPunct/>
              <w:bidi w:val="0"/>
              <w:spacing w:before="0" w:beforeAutospacing="0" w:after="0" w:afterAutospacing="0" w:line="600" w:lineRule="exact"/>
              <w:ind w:left="0" w:right="0"/>
              <w:jc w:val="center"/>
              <w:rPr>
                <w:rFonts w:hint="eastAsia" w:ascii="仿宋" w:hAnsi="仿宋" w:eastAsia="仿宋" w:cs="宋体"/>
                <w:color w:val="auto"/>
                <w:szCs w:val="21"/>
                <w:highlight w:val="none"/>
              </w:rPr>
            </w:pPr>
            <w:r>
              <w:rPr>
                <w:rFonts w:hint="eastAsia" w:ascii="仿宋" w:hAnsi="仿宋" w:eastAsia="仿宋" w:cs="宋体"/>
                <w:color w:val="auto"/>
                <w:szCs w:val="21"/>
                <w:highlight w:val="none"/>
              </w:rPr>
              <w:t>原文内容</w:t>
            </w:r>
          </w:p>
        </w:tc>
        <w:tc>
          <w:tcPr>
            <w:tcW w:w="2704" w:type="dxa"/>
            <w:noWrap w:val="0"/>
            <w:vAlign w:val="center"/>
          </w:tcPr>
          <w:p w14:paraId="396E4FEE">
            <w:pPr>
              <w:keepNext w:val="0"/>
              <w:keepLines w:val="0"/>
              <w:pageBreakBefore w:val="0"/>
              <w:suppressLineNumbers w:val="0"/>
              <w:kinsoku/>
              <w:overflowPunct/>
              <w:bidi w:val="0"/>
              <w:spacing w:before="0" w:beforeAutospacing="0" w:after="0" w:afterAutospacing="0" w:line="600" w:lineRule="exact"/>
              <w:ind w:left="0" w:right="0"/>
              <w:jc w:val="center"/>
              <w:rPr>
                <w:rFonts w:hint="eastAsia" w:ascii="仿宋" w:hAnsi="仿宋" w:eastAsia="仿宋" w:cs="宋体"/>
                <w:color w:val="auto"/>
                <w:szCs w:val="21"/>
                <w:highlight w:val="none"/>
              </w:rPr>
            </w:pPr>
            <w:r>
              <w:rPr>
                <w:rFonts w:hint="eastAsia" w:ascii="仿宋" w:hAnsi="仿宋" w:eastAsia="仿宋" w:cs="宋体"/>
                <w:color w:val="auto"/>
                <w:szCs w:val="21"/>
                <w:highlight w:val="none"/>
              </w:rPr>
              <w:t>应答</w:t>
            </w:r>
          </w:p>
        </w:tc>
        <w:tc>
          <w:tcPr>
            <w:tcW w:w="1408" w:type="dxa"/>
            <w:noWrap w:val="0"/>
            <w:vAlign w:val="center"/>
          </w:tcPr>
          <w:p w14:paraId="1F1C148A">
            <w:pPr>
              <w:keepNext w:val="0"/>
              <w:keepLines w:val="0"/>
              <w:pageBreakBefore w:val="0"/>
              <w:suppressLineNumbers w:val="0"/>
              <w:kinsoku/>
              <w:overflowPunct/>
              <w:bidi w:val="0"/>
              <w:spacing w:before="0" w:beforeAutospacing="0" w:after="0" w:afterAutospacing="0" w:line="600" w:lineRule="exact"/>
              <w:ind w:left="0" w:right="0"/>
              <w:jc w:val="center"/>
              <w:rPr>
                <w:rFonts w:hint="eastAsia" w:ascii="仿宋" w:hAnsi="仿宋" w:eastAsia="仿宋" w:cs="宋体"/>
                <w:color w:val="auto"/>
                <w:szCs w:val="21"/>
                <w:highlight w:val="none"/>
              </w:rPr>
            </w:pPr>
            <w:r>
              <w:rPr>
                <w:rFonts w:hint="eastAsia" w:ascii="仿宋" w:hAnsi="仿宋" w:eastAsia="仿宋" w:cs="宋体"/>
                <w:color w:val="auto"/>
                <w:szCs w:val="21"/>
                <w:highlight w:val="none"/>
              </w:rPr>
              <w:t>说明</w:t>
            </w:r>
          </w:p>
        </w:tc>
      </w:tr>
      <w:tr w14:paraId="734BFB23">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top"/>
          </w:tcPr>
          <w:p w14:paraId="0813877F">
            <w:pPr>
              <w:keepNext w:val="0"/>
              <w:keepLines w:val="0"/>
              <w:pageBreakBefore w:val="0"/>
              <w:suppressLineNumbers w:val="0"/>
              <w:kinsoku/>
              <w:overflowPunct/>
              <w:bidi w:val="0"/>
              <w:spacing w:before="0" w:beforeAutospacing="0" w:after="0" w:afterAutospacing="0" w:line="600" w:lineRule="exact"/>
              <w:ind w:left="0" w:right="0"/>
              <w:rPr>
                <w:rFonts w:hint="eastAsia" w:ascii="仿宋" w:hAnsi="仿宋" w:eastAsia="仿宋" w:cs="宋体"/>
                <w:color w:val="auto"/>
                <w:szCs w:val="21"/>
                <w:highlight w:val="none"/>
              </w:rPr>
            </w:pPr>
          </w:p>
        </w:tc>
        <w:tc>
          <w:tcPr>
            <w:tcW w:w="2285" w:type="dxa"/>
            <w:noWrap w:val="0"/>
            <w:vAlign w:val="top"/>
          </w:tcPr>
          <w:p w14:paraId="21F59F59">
            <w:pPr>
              <w:keepNext w:val="0"/>
              <w:keepLines w:val="0"/>
              <w:pageBreakBefore w:val="0"/>
              <w:suppressLineNumbers w:val="0"/>
              <w:kinsoku/>
              <w:overflowPunct/>
              <w:bidi w:val="0"/>
              <w:spacing w:before="0" w:beforeAutospacing="0" w:after="0" w:afterAutospacing="0" w:line="600" w:lineRule="exact"/>
              <w:ind w:left="0" w:right="0"/>
              <w:rPr>
                <w:rFonts w:hint="eastAsia" w:ascii="仿宋" w:hAnsi="仿宋" w:eastAsia="仿宋" w:cs="宋体"/>
                <w:color w:val="auto"/>
                <w:szCs w:val="21"/>
                <w:highlight w:val="none"/>
              </w:rPr>
            </w:pPr>
          </w:p>
        </w:tc>
        <w:tc>
          <w:tcPr>
            <w:tcW w:w="2495" w:type="dxa"/>
            <w:noWrap w:val="0"/>
            <w:vAlign w:val="top"/>
          </w:tcPr>
          <w:p w14:paraId="4614F86A">
            <w:pPr>
              <w:keepNext w:val="0"/>
              <w:keepLines w:val="0"/>
              <w:pageBreakBefore w:val="0"/>
              <w:suppressLineNumbers w:val="0"/>
              <w:kinsoku/>
              <w:overflowPunct/>
              <w:bidi w:val="0"/>
              <w:spacing w:before="0" w:beforeAutospacing="0" w:after="0" w:afterAutospacing="0" w:line="600" w:lineRule="exact"/>
              <w:ind w:left="0" w:right="0"/>
              <w:rPr>
                <w:rFonts w:hint="eastAsia" w:ascii="仿宋" w:hAnsi="仿宋" w:eastAsia="仿宋" w:cs="宋体"/>
                <w:color w:val="auto"/>
                <w:szCs w:val="21"/>
                <w:highlight w:val="none"/>
              </w:rPr>
            </w:pPr>
          </w:p>
        </w:tc>
        <w:tc>
          <w:tcPr>
            <w:tcW w:w="2704" w:type="dxa"/>
            <w:noWrap w:val="0"/>
            <w:vAlign w:val="top"/>
          </w:tcPr>
          <w:p w14:paraId="7B3D727C">
            <w:pPr>
              <w:keepNext w:val="0"/>
              <w:keepLines w:val="0"/>
              <w:pageBreakBefore w:val="0"/>
              <w:suppressLineNumbers w:val="0"/>
              <w:kinsoku/>
              <w:overflowPunct/>
              <w:bidi w:val="0"/>
              <w:spacing w:before="0" w:beforeAutospacing="0" w:after="0" w:afterAutospacing="0" w:line="600" w:lineRule="exact"/>
              <w:ind w:left="0" w:right="0"/>
              <w:rPr>
                <w:rFonts w:hint="eastAsia" w:ascii="仿宋" w:hAnsi="仿宋" w:eastAsia="仿宋" w:cs="宋体"/>
                <w:color w:val="auto"/>
                <w:szCs w:val="21"/>
                <w:highlight w:val="none"/>
              </w:rPr>
            </w:pPr>
          </w:p>
        </w:tc>
        <w:tc>
          <w:tcPr>
            <w:tcW w:w="1408" w:type="dxa"/>
            <w:noWrap w:val="0"/>
            <w:vAlign w:val="top"/>
          </w:tcPr>
          <w:p w14:paraId="420461E5">
            <w:pPr>
              <w:keepNext w:val="0"/>
              <w:keepLines w:val="0"/>
              <w:pageBreakBefore w:val="0"/>
              <w:suppressLineNumbers w:val="0"/>
              <w:kinsoku/>
              <w:overflowPunct/>
              <w:bidi w:val="0"/>
              <w:spacing w:before="0" w:beforeAutospacing="0" w:after="0" w:afterAutospacing="0" w:line="600" w:lineRule="exact"/>
              <w:ind w:left="0" w:right="0"/>
              <w:rPr>
                <w:rFonts w:hint="eastAsia" w:ascii="仿宋" w:hAnsi="仿宋" w:eastAsia="仿宋" w:cs="宋体"/>
                <w:color w:val="auto"/>
                <w:szCs w:val="21"/>
                <w:highlight w:val="none"/>
              </w:rPr>
            </w:pPr>
          </w:p>
        </w:tc>
      </w:tr>
      <w:tr w14:paraId="0D53AC66">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noWrap w:val="0"/>
            <w:vAlign w:val="top"/>
          </w:tcPr>
          <w:p w14:paraId="0EC780FA">
            <w:pPr>
              <w:keepNext w:val="0"/>
              <w:keepLines w:val="0"/>
              <w:pageBreakBefore w:val="0"/>
              <w:suppressLineNumbers w:val="0"/>
              <w:kinsoku/>
              <w:overflowPunct/>
              <w:bidi w:val="0"/>
              <w:spacing w:before="0" w:beforeAutospacing="0" w:after="0" w:afterAutospacing="0" w:line="600" w:lineRule="exact"/>
              <w:ind w:left="0" w:right="0"/>
              <w:rPr>
                <w:rFonts w:hint="eastAsia" w:ascii="仿宋" w:hAnsi="仿宋" w:eastAsia="仿宋" w:cs="宋体"/>
                <w:color w:val="auto"/>
                <w:szCs w:val="21"/>
                <w:highlight w:val="none"/>
              </w:rPr>
            </w:pPr>
          </w:p>
        </w:tc>
        <w:tc>
          <w:tcPr>
            <w:tcW w:w="2285" w:type="dxa"/>
            <w:noWrap w:val="0"/>
            <w:vAlign w:val="top"/>
          </w:tcPr>
          <w:p w14:paraId="79A0A217">
            <w:pPr>
              <w:keepNext w:val="0"/>
              <w:keepLines w:val="0"/>
              <w:pageBreakBefore w:val="0"/>
              <w:suppressLineNumbers w:val="0"/>
              <w:kinsoku/>
              <w:overflowPunct/>
              <w:bidi w:val="0"/>
              <w:spacing w:before="0" w:beforeAutospacing="0" w:after="0" w:afterAutospacing="0" w:line="600" w:lineRule="exact"/>
              <w:ind w:left="0" w:right="0"/>
              <w:rPr>
                <w:rFonts w:hint="eastAsia" w:ascii="仿宋" w:hAnsi="仿宋" w:eastAsia="仿宋" w:cs="宋体"/>
                <w:color w:val="auto"/>
                <w:szCs w:val="21"/>
                <w:highlight w:val="none"/>
              </w:rPr>
            </w:pPr>
          </w:p>
        </w:tc>
        <w:tc>
          <w:tcPr>
            <w:tcW w:w="2495" w:type="dxa"/>
            <w:noWrap w:val="0"/>
            <w:vAlign w:val="top"/>
          </w:tcPr>
          <w:p w14:paraId="64B3CBED">
            <w:pPr>
              <w:keepNext w:val="0"/>
              <w:keepLines w:val="0"/>
              <w:pageBreakBefore w:val="0"/>
              <w:suppressLineNumbers w:val="0"/>
              <w:kinsoku/>
              <w:overflowPunct/>
              <w:bidi w:val="0"/>
              <w:spacing w:before="0" w:beforeAutospacing="0" w:after="0" w:afterAutospacing="0" w:line="600" w:lineRule="exact"/>
              <w:ind w:left="0" w:right="0"/>
              <w:rPr>
                <w:rFonts w:hint="eastAsia" w:ascii="仿宋" w:hAnsi="仿宋" w:eastAsia="仿宋" w:cs="宋体"/>
                <w:color w:val="auto"/>
                <w:szCs w:val="21"/>
                <w:highlight w:val="none"/>
              </w:rPr>
            </w:pPr>
          </w:p>
        </w:tc>
        <w:tc>
          <w:tcPr>
            <w:tcW w:w="2704" w:type="dxa"/>
            <w:noWrap w:val="0"/>
            <w:vAlign w:val="top"/>
          </w:tcPr>
          <w:p w14:paraId="2468B07F">
            <w:pPr>
              <w:keepNext w:val="0"/>
              <w:keepLines w:val="0"/>
              <w:pageBreakBefore w:val="0"/>
              <w:suppressLineNumbers w:val="0"/>
              <w:kinsoku/>
              <w:overflowPunct/>
              <w:bidi w:val="0"/>
              <w:spacing w:before="0" w:beforeAutospacing="0" w:after="0" w:afterAutospacing="0" w:line="600" w:lineRule="exact"/>
              <w:ind w:left="0" w:right="0"/>
              <w:rPr>
                <w:rFonts w:hint="eastAsia" w:ascii="仿宋" w:hAnsi="仿宋" w:eastAsia="仿宋" w:cs="宋体"/>
                <w:color w:val="auto"/>
                <w:szCs w:val="21"/>
                <w:highlight w:val="none"/>
              </w:rPr>
            </w:pPr>
          </w:p>
        </w:tc>
        <w:tc>
          <w:tcPr>
            <w:tcW w:w="1408" w:type="dxa"/>
            <w:noWrap w:val="0"/>
            <w:vAlign w:val="top"/>
          </w:tcPr>
          <w:p w14:paraId="71392953">
            <w:pPr>
              <w:keepNext w:val="0"/>
              <w:keepLines w:val="0"/>
              <w:pageBreakBefore w:val="0"/>
              <w:suppressLineNumbers w:val="0"/>
              <w:kinsoku/>
              <w:overflowPunct/>
              <w:bidi w:val="0"/>
              <w:spacing w:before="0" w:beforeAutospacing="0" w:after="0" w:afterAutospacing="0" w:line="600" w:lineRule="exact"/>
              <w:ind w:left="0" w:right="0"/>
              <w:rPr>
                <w:rFonts w:hint="eastAsia" w:ascii="仿宋" w:hAnsi="仿宋" w:eastAsia="仿宋" w:cs="宋体"/>
                <w:color w:val="auto"/>
                <w:szCs w:val="21"/>
                <w:highlight w:val="none"/>
              </w:rPr>
            </w:pPr>
          </w:p>
        </w:tc>
      </w:tr>
      <w:tr w14:paraId="6E757E1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top"/>
          </w:tcPr>
          <w:p w14:paraId="3BC3F740">
            <w:pPr>
              <w:keepNext w:val="0"/>
              <w:keepLines w:val="0"/>
              <w:pageBreakBefore w:val="0"/>
              <w:suppressLineNumbers w:val="0"/>
              <w:kinsoku/>
              <w:overflowPunct/>
              <w:bidi w:val="0"/>
              <w:spacing w:before="0" w:beforeAutospacing="0" w:after="0" w:afterAutospacing="0" w:line="600" w:lineRule="exact"/>
              <w:ind w:left="0" w:right="0"/>
              <w:rPr>
                <w:rFonts w:hint="eastAsia" w:ascii="仿宋" w:hAnsi="仿宋" w:eastAsia="仿宋" w:cs="宋体"/>
                <w:color w:val="auto"/>
                <w:szCs w:val="21"/>
                <w:highlight w:val="none"/>
              </w:rPr>
            </w:pPr>
          </w:p>
        </w:tc>
        <w:tc>
          <w:tcPr>
            <w:tcW w:w="2285" w:type="dxa"/>
            <w:noWrap w:val="0"/>
            <w:vAlign w:val="top"/>
          </w:tcPr>
          <w:p w14:paraId="29ECD80D">
            <w:pPr>
              <w:keepNext w:val="0"/>
              <w:keepLines w:val="0"/>
              <w:pageBreakBefore w:val="0"/>
              <w:suppressLineNumbers w:val="0"/>
              <w:kinsoku/>
              <w:overflowPunct/>
              <w:bidi w:val="0"/>
              <w:spacing w:before="0" w:beforeAutospacing="0" w:after="0" w:afterAutospacing="0" w:line="600" w:lineRule="exact"/>
              <w:ind w:left="0" w:right="0"/>
              <w:rPr>
                <w:rFonts w:hint="eastAsia" w:ascii="仿宋" w:hAnsi="仿宋" w:eastAsia="仿宋" w:cs="宋体"/>
                <w:color w:val="auto"/>
                <w:szCs w:val="21"/>
                <w:highlight w:val="none"/>
              </w:rPr>
            </w:pPr>
          </w:p>
        </w:tc>
        <w:tc>
          <w:tcPr>
            <w:tcW w:w="2495" w:type="dxa"/>
            <w:noWrap w:val="0"/>
            <w:vAlign w:val="top"/>
          </w:tcPr>
          <w:p w14:paraId="1CD00F92">
            <w:pPr>
              <w:keepNext w:val="0"/>
              <w:keepLines w:val="0"/>
              <w:pageBreakBefore w:val="0"/>
              <w:suppressLineNumbers w:val="0"/>
              <w:kinsoku/>
              <w:overflowPunct/>
              <w:bidi w:val="0"/>
              <w:spacing w:before="0" w:beforeAutospacing="0" w:after="0" w:afterAutospacing="0" w:line="600" w:lineRule="exact"/>
              <w:ind w:left="0" w:right="0"/>
              <w:rPr>
                <w:rFonts w:hint="eastAsia" w:ascii="仿宋" w:hAnsi="仿宋" w:eastAsia="仿宋" w:cs="宋体"/>
                <w:color w:val="auto"/>
                <w:szCs w:val="21"/>
                <w:highlight w:val="none"/>
              </w:rPr>
            </w:pPr>
          </w:p>
        </w:tc>
        <w:tc>
          <w:tcPr>
            <w:tcW w:w="2704" w:type="dxa"/>
            <w:noWrap w:val="0"/>
            <w:vAlign w:val="top"/>
          </w:tcPr>
          <w:p w14:paraId="31F5F64E">
            <w:pPr>
              <w:keepNext w:val="0"/>
              <w:keepLines w:val="0"/>
              <w:pageBreakBefore w:val="0"/>
              <w:suppressLineNumbers w:val="0"/>
              <w:kinsoku/>
              <w:overflowPunct/>
              <w:bidi w:val="0"/>
              <w:spacing w:before="0" w:beforeAutospacing="0" w:after="0" w:afterAutospacing="0" w:line="600" w:lineRule="exact"/>
              <w:ind w:left="0" w:right="0"/>
              <w:rPr>
                <w:rFonts w:hint="eastAsia" w:ascii="仿宋" w:hAnsi="仿宋" w:eastAsia="仿宋" w:cs="宋体"/>
                <w:color w:val="auto"/>
                <w:szCs w:val="21"/>
                <w:highlight w:val="none"/>
              </w:rPr>
            </w:pPr>
          </w:p>
        </w:tc>
        <w:tc>
          <w:tcPr>
            <w:tcW w:w="1408" w:type="dxa"/>
            <w:noWrap w:val="0"/>
            <w:vAlign w:val="top"/>
          </w:tcPr>
          <w:p w14:paraId="78159133">
            <w:pPr>
              <w:keepNext w:val="0"/>
              <w:keepLines w:val="0"/>
              <w:pageBreakBefore w:val="0"/>
              <w:suppressLineNumbers w:val="0"/>
              <w:kinsoku/>
              <w:overflowPunct/>
              <w:bidi w:val="0"/>
              <w:spacing w:before="0" w:beforeAutospacing="0" w:after="0" w:afterAutospacing="0" w:line="600" w:lineRule="exact"/>
              <w:ind w:left="0" w:right="0"/>
              <w:rPr>
                <w:rFonts w:hint="eastAsia" w:ascii="仿宋" w:hAnsi="仿宋" w:eastAsia="仿宋" w:cs="宋体"/>
                <w:color w:val="auto"/>
                <w:szCs w:val="21"/>
                <w:highlight w:val="none"/>
              </w:rPr>
            </w:pPr>
          </w:p>
        </w:tc>
      </w:tr>
      <w:tr w14:paraId="3191C2C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top"/>
          </w:tcPr>
          <w:p w14:paraId="6A8065F0">
            <w:pPr>
              <w:keepNext w:val="0"/>
              <w:keepLines w:val="0"/>
              <w:pageBreakBefore w:val="0"/>
              <w:suppressLineNumbers w:val="0"/>
              <w:kinsoku/>
              <w:overflowPunct/>
              <w:bidi w:val="0"/>
              <w:spacing w:before="0" w:beforeAutospacing="0" w:after="0" w:afterAutospacing="0" w:line="600" w:lineRule="exact"/>
              <w:ind w:left="0" w:right="0"/>
              <w:rPr>
                <w:rFonts w:hint="eastAsia" w:ascii="仿宋" w:hAnsi="仿宋" w:eastAsia="仿宋" w:cs="宋体"/>
                <w:color w:val="auto"/>
                <w:szCs w:val="21"/>
                <w:highlight w:val="none"/>
              </w:rPr>
            </w:pPr>
          </w:p>
        </w:tc>
        <w:tc>
          <w:tcPr>
            <w:tcW w:w="2285" w:type="dxa"/>
            <w:noWrap w:val="0"/>
            <w:vAlign w:val="top"/>
          </w:tcPr>
          <w:p w14:paraId="6E090AFA">
            <w:pPr>
              <w:keepNext w:val="0"/>
              <w:keepLines w:val="0"/>
              <w:pageBreakBefore w:val="0"/>
              <w:suppressLineNumbers w:val="0"/>
              <w:kinsoku/>
              <w:overflowPunct/>
              <w:bidi w:val="0"/>
              <w:spacing w:before="0" w:beforeAutospacing="0" w:after="0" w:afterAutospacing="0" w:line="600" w:lineRule="exact"/>
              <w:ind w:left="0" w:right="0"/>
              <w:rPr>
                <w:rFonts w:hint="eastAsia" w:ascii="仿宋" w:hAnsi="仿宋" w:eastAsia="仿宋" w:cs="宋体"/>
                <w:color w:val="auto"/>
                <w:szCs w:val="21"/>
                <w:highlight w:val="none"/>
              </w:rPr>
            </w:pPr>
          </w:p>
        </w:tc>
        <w:tc>
          <w:tcPr>
            <w:tcW w:w="2495" w:type="dxa"/>
            <w:noWrap w:val="0"/>
            <w:vAlign w:val="top"/>
          </w:tcPr>
          <w:p w14:paraId="7556EB9C">
            <w:pPr>
              <w:keepNext w:val="0"/>
              <w:keepLines w:val="0"/>
              <w:pageBreakBefore w:val="0"/>
              <w:suppressLineNumbers w:val="0"/>
              <w:kinsoku/>
              <w:overflowPunct/>
              <w:bidi w:val="0"/>
              <w:spacing w:before="0" w:beforeAutospacing="0" w:after="0" w:afterAutospacing="0" w:line="600" w:lineRule="exact"/>
              <w:ind w:left="0" w:right="0"/>
              <w:rPr>
                <w:rFonts w:hint="eastAsia" w:ascii="仿宋" w:hAnsi="仿宋" w:eastAsia="仿宋" w:cs="宋体"/>
                <w:color w:val="auto"/>
                <w:szCs w:val="21"/>
                <w:highlight w:val="none"/>
              </w:rPr>
            </w:pPr>
          </w:p>
        </w:tc>
        <w:tc>
          <w:tcPr>
            <w:tcW w:w="2704" w:type="dxa"/>
            <w:noWrap w:val="0"/>
            <w:vAlign w:val="top"/>
          </w:tcPr>
          <w:p w14:paraId="270C48B4">
            <w:pPr>
              <w:keepNext w:val="0"/>
              <w:keepLines w:val="0"/>
              <w:pageBreakBefore w:val="0"/>
              <w:suppressLineNumbers w:val="0"/>
              <w:kinsoku/>
              <w:overflowPunct/>
              <w:bidi w:val="0"/>
              <w:spacing w:before="0" w:beforeAutospacing="0" w:after="0" w:afterAutospacing="0" w:line="600" w:lineRule="exact"/>
              <w:ind w:left="0" w:right="0"/>
              <w:rPr>
                <w:rFonts w:hint="eastAsia" w:ascii="仿宋" w:hAnsi="仿宋" w:eastAsia="仿宋" w:cs="宋体"/>
                <w:color w:val="auto"/>
                <w:szCs w:val="21"/>
                <w:highlight w:val="none"/>
              </w:rPr>
            </w:pPr>
          </w:p>
        </w:tc>
        <w:tc>
          <w:tcPr>
            <w:tcW w:w="1408" w:type="dxa"/>
            <w:noWrap w:val="0"/>
            <w:vAlign w:val="top"/>
          </w:tcPr>
          <w:p w14:paraId="6193AE08">
            <w:pPr>
              <w:keepNext w:val="0"/>
              <w:keepLines w:val="0"/>
              <w:pageBreakBefore w:val="0"/>
              <w:suppressLineNumbers w:val="0"/>
              <w:kinsoku/>
              <w:overflowPunct/>
              <w:bidi w:val="0"/>
              <w:spacing w:before="0" w:beforeAutospacing="0" w:after="0" w:afterAutospacing="0" w:line="600" w:lineRule="exact"/>
              <w:ind w:left="0" w:right="0"/>
              <w:rPr>
                <w:rFonts w:hint="eastAsia" w:ascii="仿宋" w:hAnsi="仿宋" w:eastAsia="仿宋" w:cs="宋体"/>
                <w:color w:val="auto"/>
                <w:szCs w:val="21"/>
                <w:highlight w:val="none"/>
              </w:rPr>
            </w:pPr>
          </w:p>
        </w:tc>
      </w:tr>
      <w:tr w14:paraId="62FC129A">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noWrap w:val="0"/>
            <w:vAlign w:val="top"/>
          </w:tcPr>
          <w:p w14:paraId="273E057E">
            <w:pPr>
              <w:keepNext w:val="0"/>
              <w:keepLines w:val="0"/>
              <w:pageBreakBefore w:val="0"/>
              <w:suppressLineNumbers w:val="0"/>
              <w:kinsoku/>
              <w:overflowPunct/>
              <w:bidi w:val="0"/>
              <w:spacing w:before="0" w:beforeAutospacing="0" w:after="0" w:afterAutospacing="0" w:line="600" w:lineRule="exact"/>
              <w:ind w:left="0" w:right="0"/>
              <w:rPr>
                <w:rFonts w:hint="eastAsia" w:ascii="仿宋" w:hAnsi="仿宋" w:eastAsia="仿宋" w:cs="宋体"/>
                <w:color w:val="auto"/>
                <w:szCs w:val="21"/>
                <w:highlight w:val="none"/>
              </w:rPr>
            </w:pPr>
          </w:p>
        </w:tc>
        <w:tc>
          <w:tcPr>
            <w:tcW w:w="2285" w:type="dxa"/>
            <w:noWrap w:val="0"/>
            <w:vAlign w:val="top"/>
          </w:tcPr>
          <w:p w14:paraId="2067562E">
            <w:pPr>
              <w:keepNext w:val="0"/>
              <w:keepLines w:val="0"/>
              <w:pageBreakBefore w:val="0"/>
              <w:suppressLineNumbers w:val="0"/>
              <w:kinsoku/>
              <w:overflowPunct/>
              <w:bidi w:val="0"/>
              <w:spacing w:before="0" w:beforeAutospacing="0" w:after="0" w:afterAutospacing="0" w:line="600" w:lineRule="exact"/>
              <w:ind w:left="0" w:right="0"/>
              <w:rPr>
                <w:rFonts w:hint="eastAsia" w:ascii="仿宋" w:hAnsi="仿宋" w:eastAsia="仿宋" w:cs="宋体"/>
                <w:color w:val="auto"/>
                <w:szCs w:val="21"/>
                <w:highlight w:val="none"/>
              </w:rPr>
            </w:pPr>
          </w:p>
        </w:tc>
        <w:tc>
          <w:tcPr>
            <w:tcW w:w="2495" w:type="dxa"/>
            <w:noWrap w:val="0"/>
            <w:vAlign w:val="top"/>
          </w:tcPr>
          <w:p w14:paraId="5BF9C2B8">
            <w:pPr>
              <w:keepNext w:val="0"/>
              <w:keepLines w:val="0"/>
              <w:pageBreakBefore w:val="0"/>
              <w:suppressLineNumbers w:val="0"/>
              <w:kinsoku/>
              <w:overflowPunct/>
              <w:bidi w:val="0"/>
              <w:spacing w:before="0" w:beforeAutospacing="0" w:after="0" w:afterAutospacing="0" w:line="600" w:lineRule="exact"/>
              <w:ind w:left="0" w:right="0"/>
              <w:rPr>
                <w:rFonts w:hint="eastAsia" w:ascii="仿宋" w:hAnsi="仿宋" w:eastAsia="仿宋" w:cs="宋体"/>
                <w:color w:val="auto"/>
                <w:szCs w:val="21"/>
                <w:highlight w:val="none"/>
              </w:rPr>
            </w:pPr>
          </w:p>
        </w:tc>
        <w:tc>
          <w:tcPr>
            <w:tcW w:w="2704" w:type="dxa"/>
            <w:noWrap w:val="0"/>
            <w:vAlign w:val="top"/>
          </w:tcPr>
          <w:p w14:paraId="1D617C06">
            <w:pPr>
              <w:keepNext w:val="0"/>
              <w:keepLines w:val="0"/>
              <w:pageBreakBefore w:val="0"/>
              <w:suppressLineNumbers w:val="0"/>
              <w:kinsoku/>
              <w:overflowPunct/>
              <w:bidi w:val="0"/>
              <w:spacing w:before="0" w:beforeAutospacing="0" w:after="0" w:afterAutospacing="0" w:line="600" w:lineRule="exact"/>
              <w:ind w:left="0" w:right="0"/>
              <w:rPr>
                <w:rFonts w:hint="eastAsia" w:ascii="仿宋" w:hAnsi="仿宋" w:eastAsia="仿宋" w:cs="宋体"/>
                <w:color w:val="auto"/>
                <w:szCs w:val="21"/>
                <w:highlight w:val="none"/>
              </w:rPr>
            </w:pPr>
          </w:p>
        </w:tc>
        <w:tc>
          <w:tcPr>
            <w:tcW w:w="1408" w:type="dxa"/>
            <w:noWrap w:val="0"/>
            <w:vAlign w:val="top"/>
          </w:tcPr>
          <w:p w14:paraId="54815B40">
            <w:pPr>
              <w:keepNext w:val="0"/>
              <w:keepLines w:val="0"/>
              <w:pageBreakBefore w:val="0"/>
              <w:suppressLineNumbers w:val="0"/>
              <w:kinsoku/>
              <w:overflowPunct/>
              <w:bidi w:val="0"/>
              <w:spacing w:before="0" w:beforeAutospacing="0" w:after="0" w:afterAutospacing="0" w:line="600" w:lineRule="exact"/>
              <w:ind w:left="0" w:right="0"/>
              <w:rPr>
                <w:rFonts w:hint="eastAsia" w:ascii="仿宋" w:hAnsi="仿宋" w:eastAsia="仿宋" w:cs="宋体"/>
                <w:color w:val="auto"/>
                <w:szCs w:val="21"/>
                <w:highlight w:val="none"/>
              </w:rPr>
            </w:pPr>
          </w:p>
        </w:tc>
      </w:tr>
      <w:tr w14:paraId="697A54A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top"/>
          </w:tcPr>
          <w:p w14:paraId="5AA1F1FF">
            <w:pPr>
              <w:keepNext w:val="0"/>
              <w:keepLines w:val="0"/>
              <w:pageBreakBefore w:val="0"/>
              <w:suppressLineNumbers w:val="0"/>
              <w:kinsoku/>
              <w:overflowPunct/>
              <w:bidi w:val="0"/>
              <w:spacing w:before="0" w:beforeAutospacing="0" w:after="0" w:afterAutospacing="0" w:line="600" w:lineRule="exact"/>
              <w:ind w:left="0" w:right="0"/>
              <w:rPr>
                <w:rFonts w:hint="eastAsia" w:ascii="仿宋" w:hAnsi="仿宋" w:eastAsia="仿宋" w:cs="宋体"/>
                <w:color w:val="auto"/>
                <w:szCs w:val="21"/>
                <w:highlight w:val="none"/>
              </w:rPr>
            </w:pPr>
          </w:p>
        </w:tc>
        <w:tc>
          <w:tcPr>
            <w:tcW w:w="2285" w:type="dxa"/>
            <w:noWrap w:val="0"/>
            <w:vAlign w:val="top"/>
          </w:tcPr>
          <w:p w14:paraId="10E0582F">
            <w:pPr>
              <w:keepNext w:val="0"/>
              <w:keepLines w:val="0"/>
              <w:pageBreakBefore w:val="0"/>
              <w:suppressLineNumbers w:val="0"/>
              <w:kinsoku/>
              <w:overflowPunct/>
              <w:bidi w:val="0"/>
              <w:spacing w:before="0" w:beforeAutospacing="0" w:after="0" w:afterAutospacing="0" w:line="600" w:lineRule="exact"/>
              <w:ind w:left="0" w:right="0"/>
              <w:rPr>
                <w:rFonts w:hint="eastAsia" w:ascii="仿宋" w:hAnsi="仿宋" w:eastAsia="仿宋" w:cs="宋体"/>
                <w:color w:val="auto"/>
                <w:szCs w:val="21"/>
                <w:highlight w:val="none"/>
              </w:rPr>
            </w:pPr>
          </w:p>
        </w:tc>
        <w:tc>
          <w:tcPr>
            <w:tcW w:w="2495" w:type="dxa"/>
            <w:noWrap w:val="0"/>
            <w:vAlign w:val="top"/>
          </w:tcPr>
          <w:p w14:paraId="1140702C">
            <w:pPr>
              <w:keepNext w:val="0"/>
              <w:keepLines w:val="0"/>
              <w:pageBreakBefore w:val="0"/>
              <w:suppressLineNumbers w:val="0"/>
              <w:kinsoku/>
              <w:overflowPunct/>
              <w:bidi w:val="0"/>
              <w:spacing w:before="0" w:beforeAutospacing="0" w:after="0" w:afterAutospacing="0" w:line="600" w:lineRule="exact"/>
              <w:ind w:left="0" w:right="0"/>
              <w:rPr>
                <w:rFonts w:hint="eastAsia" w:ascii="仿宋" w:hAnsi="仿宋" w:eastAsia="仿宋" w:cs="宋体"/>
                <w:color w:val="auto"/>
                <w:szCs w:val="21"/>
                <w:highlight w:val="none"/>
              </w:rPr>
            </w:pPr>
          </w:p>
        </w:tc>
        <w:tc>
          <w:tcPr>
            <w:tcW w:w="2704" w:type="dxa"/>
            <w:noWrap w:val="0"/>
            <w:vAlign w:val="top"/>
          </w:tcPr>
          <w:p w14:paraId="43FDD1CC">
            <w:pPr>
              <w:keepNext w:val="0"/>
              <w:keepLines w:val="0"/>
              <w:pageBreakBefore w:val="0"/>
              <w:suppressLineNumbers w:val="0"/>
              <w:kinsoku/>
              <w:overflowPunct/>
              <w:bidi w:val="0"/>
              <w:spacing w:before="0" w:beforeAutospacing="0" w:after="0" w:afterAutospacing="0" w:line="600" w:lineRule="exact"/>
              <w:ind w:left="0" w:right="0"/>
              <w:rPr>
                <w:rFonts w:hint="eastAsia" w:ascii="仿宋" w:hAnsi="仿宋" w:eastAsia="仿宋" w:cs="宋体"/>
                <w:color w:val="auto"/>
                <w:szCs w:val="21"/>
                <w:highlight w:val="none"/>
              </w:rPr>
            </w:pPr>
          </w:p>
        </w:tc>
        <w:tc>
          <w:tcPr>
            <w:tcW w:w="1408" w:type="dxa"/>
            <w:noWrap w:val="0"/>
            <w:vAlign w:val="top"/>
          </w:tcPr>
          <w:p w14:paraId="08054881">
            <w:pPr>
              <w:keepNext w:val="0"/>
              <w:keepLines w:val="0"/>
              <w:pageBreakBefore w:val="0"/>
              <w:suppressLineNumbers w:val="0"/>
              <w:kinsoku/>
              <w:overflowPunct/>
              <w:bidi w:val="0"/>
              <w:spacing w:before="0" w:beforeAutospacing="0" w:after="0" w:afterAutospacing="0" w:line="600" w:lineRule="exact"/>
              <w:ind w:left="0" w:right="0"/>
              <w:rPr>
                <w:rFonts w:hint="eastAsia" w:ascii="仿宋" w:hAnsi="仿宋" w:eastAsia="仿宋" w:cs="宋体"/>
                <w:color w:val="auto"/>
                <w:szCs w:val="21"/>
                <w:highlight w:val="none"/>
              </w:rPr>
            </w:pPr>
          </w:p>
        </w:tc>
      </w:tr>
      <w:tr w14:paraId="29F0BBB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top"/>
          </w:tcPr>
          <w:p w14:paraId="5C4D9386">
            <w:pPr>
              <w:keepNext w:val="0"/>
              <w:keepLines w:val="0"/>
              <w:pageBreakBefore w:val="0"/>
              <w:suppressLineNumbers w:val="0"/>
              <w:kinsoku/>
              <w:overflowPunct/>
              <w:bidi w:val="0"/>
              <w:spacing w:before="0" w:beforeAutospacing="0" w:after="0" w:afterAutospacing="0" w:line="600" w:lineRule="exact"/>
              <w:ind w:left="0" w:right="0"/>
              <w:rPr>
                <w:rFonts w:hint="eastAsia" w:ascii="仿宋" w:hAnsi="仿宋" w:eastAsia="仿宋" w:cs="宋体"/>
                <w:color w:val="auto"/>
                <w:szCs w:val="21"/>
                <w:highlight w:val="none"/>
              </w:rPr>
            </w:pPr>
          </w:p>
        </w:tc>
        <w:tc>
          <w:tcPr>
            <w:tcW w:w="2285" w:type="dxa"/>
            <w:noWrap w:val="0"/>
            <w:vAlign w:val="top"/>
          </w:tcPr>
          <w:p w14:paraId="4DA423BB">
            <w:pPr>
              <w:keepNext w:val="0"/>
              <w:keepLines w:val="0"/>
              <w:pageBreakBefore w:val="0"/>
              <w:suppressLineNumbers w:val="0"/>
              <w:kinsoku/>
              <w:overflowPunct/>
              <w:bidi w:val="0"/>
              <w:spacing w:before="0" w:beforeAutospacing="0" w:after="0" w:afterAutospacing="0" w:line="600" w:lineRule="exact"/>
              <w:ind w:left="0" w:right="0"/>
              <w:rPr>
                <w:rFonts w:hint="eastAsia" w:ascii="仿宋" w:hAnsi="仿宋" w:eastAsia="仿宋" w:cs="宋体"/>
                <w:color w:val="auto"/>
                <w:szCs w:val="21"/>
                <w:highlight w:val="none"/>
              </w:rPr>
            </w:pPr>
          </w:p>
        </w:tc>
        <w:tc>
          <w:tcPr>
            <w:tcW w:w="2495" w:type="dxa"/>
            <w:noWrap w:val="0"/>
            <w:vAlign w:val="top"/>
          </w:tcPr>
          <w:p w14:paraId="4FD449E6">
            <w:pPr>
              <w:keepNext w:val="0"/>
              <w:keepLines w:val="0"/>
              <w:pageBreakBefore w:val="0"/>
              <w:suppressLineNumbers w:val="0"/>
              <w:kinsoku/>
              <w:overflowPunct/>
              <w:bidi w:val="0"/>
              <w:spacing w:before="0" w:beforeAutospacing="0" w:after="0" w:afterAutospacing="0" w:line="600" w:lineRule="exact"/>
              <w:ind w:left="0" w:right="0"/>
              <w:rPr>
                <w:rFonts w:hint="eastAsia" w:ascii="仿宋" w:hAnsi="仿宋" w:eastAsia="仿宋" w:cs="宋体"/>
                <w:color w:val="auto"/>
                <w:szCs w:val="21"/>
                <w:highlight w:val="none"/>
              </w:rPr>
            </w:pPr>
          </w:p>
        </w:tc>
        <w:tc>
          <w:tcPr>
            <w:tcW w:w="2704" w:type="dxa"/>
            <w:noWrap w:val="0"/>
            <w:vAlign w:val="top"/>
          </w:tcPr>
          <w:p w14:paraId="6F3F6CCE">
            <w:pPr>
              <w:keepNext w:val="0"/>
              <w:keepLines w:val="0"/>
              <w:pageBreakBefore w:val="0"/>
              <w:suppressLineNumbers w:val="0"/>
              <w:kinsoku/>
              <w:overflowPunct/>
              <w:bidi w:val="0"/>
              <w:spacing w:before="0" w:beforeAutospacing="0" w:after="0" w:afterAutospacing="0" w:line="600" w:lineRule="exact"/>
              <w:ind w:left="0" w:right="0"/>
              <w:rPr>
                <w:rFonts w:hint="eastAsia" w:ascii="仿宋" w:hAnsi="仿宋" w:eastAsia="仿宋" w:cs="宋体"/>
                <w:color w:val="auto"/>
                <w:szCs w:val="21"/>
                <w:highlight w:val="none"/>
              </w:rPr>
            </w:pPr>
          </w:p>
        </w:tc>
        <w:tc>
          <w:tcPr>
            <w:tcW w:w="1408" w:type="dxa"/>
            <w:noWrap w:val="0"/>
            <w:vAlign w:val="top"/>
          </w:tcPr>
          <w:p w14:paraId="7013F511">
            <w:pPr>
              <w:keepNext w:val="0"/>
              <w:keepLines w:val="0"/>
              <w:pageBreakBefore w:val="0"/>
              <w:suppressLineNumbers w:val="0"/>
              <w:kinsoku/>
              <w:overflowPunct/>
              <w:bidi w:val="0"/>
              <w:spacing w:before="0" w:beforeAutospacing="0" w:after="0" w:afterAutospacing="0" w:line="600" w:lineRule="exact"/>
              <w:ind w:left="0" w:right="0"/>
              <w:rPr>
                <w:rFonts w:hint="eastAsia" w:ascii="仿宋" w:hAnsi="仿宋" w:eastAsia="仿宋" w:cs="宋体"/>
                <w:color w:val="auto"/>
                <w:szCs w:val="21"/>
                <w:highlight w:val="none"/>
              </w:rPr>
            </w:pPr>
          </w:p>
        </w:tc>
      </w:tr>
      <w:tr w14:paraId="61B9B3D1">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noWrap w:val="0"/>
            <w:vAlign w:val="top"/>
          </w:tcPr>
          <w:p w14:paraId="79F9BC06">
            <w:pPr>
              <w:keepNext w:val="0"/>
              <w:keepLines w:val="0"/>
              <w:pageBreakBefore w:val="0"/>
              <w:suppressLineNumbers w:val="0"/>
              <w:kinsoku/>
              <w:overflowPunct/>
              <w:bidi w:val="0"/>
              <w:spacing w:before="0" w:beforeAutospacing="0" w:after="0" w:afterAutospacing="0" w:line="600" w:lineRule="exact"/>
              <w:ind w:left="0" w:right="0"/>
              <w:rPr>
                <w:rFonts w:hint="eastAsia" w:ascii="仿宋" w:hAnsi="仿宋" w:eastAsia="仿宋" w:cs="宋体"/>
                <w:color w:val="auto"/>
                <w:szCs w:val="21"/>
                <w:highlight w:val="none"/>
              </w:rPr>
            </w:pPr>
          </w:p>
        </w:tc>
        <w:tc>
          <w:tcPr>
            <w:tcW w:w="2285" w:type="dxa"/>
            <w:noWrap w:val="0"/>
            <w:vAlign w:val="top"/>
          </w:tcPr>
          <w:p w14:paraId="64DBC6A9">
            <w:pPr>
              <w:keepNext w:val="0"/>
              <w:keepLines w:val="0"/>
              <w:pageBreakBefore w:val="0"/>
              <w:suppressLineNumbers w:val="0"/>
              <w:kinsoku/>
              <w:overflowPunct/>
              <w:bidi w:val="0"/>
              <w:spacing w:before="0" w:beforeAutospacing="0" w:after="0" w:afterAutospacing="0" w:line="600" w:lineRule="exact"/>
              <w:ind w:left="0" w:right="0"/>
              <w:rPr>
                <w:rFonts w:hint="eastAsia" w:ascii="仿宋" w:hAnsi="仿宋" w:eastAsia="仿宋" w:cs="宋体"/>
                <w:color w:val="auto"/>
                <w:szCs w:val="21"/>
                <w:highlight w:val="none"/>
              </w:rPr>
            </w:pPr>
          </w:p>
        </w:tc>
        <w:tc>
          <w:tcPr>
            <w:tcW w:w="2495" w:type="dxa"/>
            <w:noWrap w:val="0"/>
            <w:vAlign w:val="top"/>
          </w:tcPr>
          <w:p w14:paraId="286B1D77">
            <w:pPr>
              <w:keepNext w:val="0"/>
              <w:keepLines w:val="0"/>
              <w:pageBreakBefore w:val="0"/>
              <w:suppressLineNumbers w:val="0"/>
              <w:kinsoku/>
              <w:overflowPunct/>
              <w:bidi w:val="0"/>
              <w:spacing w:before="0" w:beforeAutospacing="0" w:after="0" w:afterAutospacing="0" w:line="600" w:lineRule="exact"/>
              <w:ind w:left="0" w:right="0"/>
              <w:rPr>
                <w:rFonts w:hint="eastAsia" w:ascii="仿宋" w:hAnsi="仿宋" w:eastAsia="仿宋" w:cs="宋体"/>
                <w:color w:val="auto"/>
                <w:szCs w:val="21"/>
                <w:highlight w:val="none"/>
              </w:rPr>
            </w:pPr>
          </w:p>
        </w:tc>
        <w:tc>
          <w:tcPr>
            <w:tcW w:w="2704" w:type="dxa"/>
            <w:noWrap w:val="0"/>
            <w:vAlign w:val="top"/>
          </w:tcPr>
          <w:p w14:paraId="63877C32">
            <w:pPr>
              <w:keepNext w:val="0"/>
              <w:keepLines w:val="0"/>
              <w:pageBreakBefore w:val="0"/>
              <w:suppressLineNumbers w:val="0"/>
              <w:kinsoku/>
              <w:overflowPunct/>
              <w:bidi w:val="0"/>
              <w:spacing w:before="0" w:beforeAutospacing="0" w:after="0" w:afterAutospacing="0" w:line="600" w:lineRule="exact"/>
              <w:ind w:left="0" w:right="0"/>
              <w:rPr>
                <w:rFonts w:hint="eastAsia" w:ascii="仿宋" w:hAnsi="仿宋" w:eastAsia="仿宋" w:cs="宋体"/>
                <w:color w:val="auto"/>
                <w:szCs w:val="21"/>
                <w:highlight w:val="none"/>
              </w:rPr>
            </w:pPr>
          </w:p>
        </w:tc>
        <w:tc>
          <w:tcPr>
            <w:tcW w:w="1408" w:type="dxa"/>
            <w:noWrap w:val="0"/>
            <w:vAlign w:val="top"/>
          </w:tcPr>
          <w:p w14:paraId="5BBF21B4">
            <w:pPr>
              <w:keepNext w:val="0"/>
              <w:keepLines w:val="0"/>
              <w:pageBreakBefore w:val="0"/>
              <w:suppressLineNumbers w:val="0"/>
              <w:kinsoku/>
              <w:overflowPunct/>
              <w:bidi w:val="0"/>
              <w:spacing w:before="0" w:beforeAutospacing="0" w:after="0" w:afterAutospacing="0" w:line="600" w:lineRule="exact"/>
              <w:ind w:left="0" w:right="0"/>
              <w:rPr>
                <w:rFonts w:hint="eastAsia" w:ascii="仿宋" w:hAnsi="仿宋" w:eastAsia="仿宋" w:cs="宋体"/>
                <w:color w:val="auto"/>
                <w:szCs w:val="21"/>
                <w:highlight w:val="none"/>
              </w:rPr>
            </w:pPr>
          </w:p>
        </w:tc>
      </w:tr>
      <w:tr w14:paraId="793744F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top"/>
          </w:tcPr>
          <w:p w14:paraId="5C979817">
            <w:pPr>
              <w:keepNext w:val="0"/>
              <w:keepLines w:val="0"/>
              <w:pageBreakBefore w:val="0"/>
              <w:suppressLineNumbers w:val="0"/>
              <w:kinsoku/>
              <w:overflowPunct/>
              <w:bidi w:val="0"/>
              <w:spacing w:before="0" w:beforeAutospacing="0" w:after="0" w:afterAutospacing="0" w:line="600" w:lineRule="exact"/>
              <w:ind w:left="0" w:right="0"/>
              <w:rPr>
                <w:rFonts w:hint="eastAsia" w:ascii="仿宋" w:hAnsi="仿宋" w:eastAsia="仿宋" w:cs="宋体"/>
                <w:color w:val="auto"/>
                <w:szCs w:val="21"/>
                <w:highlight w:val="none"/>
              </w:rPr>
            </w:pPr>
          </w:p>
        </w:tc>
        <w:tc>
          <w:tcPr>
            <w:tcW w:w="2285" w:type="dxa"/>
            <w:noWrap w:val="0"/>
            <w:vAlign w:val="top"/>
          </w:tcPr>
          <w:p w14:paraId="3F21C482">
            <w:pPr>
              <w:keepNext w:val="0"/>
              <w:keepLines w:val="0"/>
              <w:pageBreakBefore w:val="0"/>
              <w:suppressLineNumbers w:val="0"/>
              <w:kinsoku/>
              <w:overflowPunct/>
              <w:bidi w:val="0"/>
              <w:spacing w:before="0" w:beforeAutospacing="0" w:after="0" w:afterAutospacing="0" w:line="600" w:lineRule="exact"/>
              <w:ind w:left="0" w:right="0"/>
              <w:rPr>
                <w:rFonts w:hint="eastAsia" w:ascii="仿宋" w:hAnsi="仿宋" w:eastAsia="仿宋" w:cs="宋体"/>
                <w:color w:val="auto"/>
                <w:szCs w:val="21"/>
                <w:highlight w:val="none"/>
              </w:rPr>
            </w:pPr>
          </w:p>
        </w:tc>
        <w:tc>
          <w:tcPr>
            <w:tcW w:w="2495" w:type="dxa"/>
            <w:noWrap w:val="0"/>
            <w:vAlign w:val="top"/>
          </w:tcPr>
          <w:p w14:paraId="64A7D577">
            <w:pPr>
              <w:keepNext w:val="0"/>
              <w:keepLines w:val="0"/>
              <w:pageBreakBefore w:val="0"/>
              <w:suppressLineNumbers w:val="0"/>
              <w:kinsoku/>
              <w:overflowPunct/>
              <w:bidi w:val="0"/>
              <w:spacing w:before="0" w:beforeAutospacing="0" w:after="0" w:afterAutospacing="0" w:line="600" w:lineRule="exact"/>
              <w:ind w:left="0" w:right="0"/>
              <w:rPr>
                <w:rFonts w:hint="eastAsia" w:ascii="仿宋" w:hAnsi="仿宋" w:eastAsia="仿宋" w:cs="宋体"/>
                <w:color w:val="auto"/>
                <w:szCs w:val="21"/>
                <w:highlight w:val="none"/>
              </w:rPr>
            </w:pPr>
          </w:p>
        </w:tc>
        <w:tc>
          <w:tcPr>
            <w:tcW w:w="2704" w:type="dxa"/>
            <w:noWrap w:val="0"/>
            <w:vAlign w:val="top"/>
          </w:tcPr>
          <w:p w14:paraId="2662F6BA">
            <w:pPr>
              <w:keepNext w:val="0"/>
              <w:keepLines w:val="0"/>
              <w:pageBreakBefore w:val="0"/>
              <w:suppressLineNumbers w:val="0"/>
              <w:kinsoku/>
              <w:overflowPunct/>
              <w:bidi w:val="0"/>
              <w:spacing w:before="0" w:beforeAutospacing="0" w:after="0" w:afterAutospacing="0" w:line="600" w:lineRule="exact"/>
              <w:ind w:left="0" w:right="0"/>
              <w:rPr>
                <w:rFonts w:hint="eastAsia" w:ascii="仿宋" w:hAnsi="仿宋" w:eastAsia="仿宋" w:cs="宋体"/>
                <w:color w:val="auto"/>
                <w:szCs w:val="21"/>
                <w:highlight w:val="none"/>
              </w:rPr>
            </w:pPr>
          </w:p>
        </w:tc>
        <w:tc>
          <w:tcPr>
            <w:tcW w:w="1408" w:type="dxa"/>
            <w:noWrap w:val="0"/>
            <w:vAlign w:val="top"/>
          </w:tcPr>
          <w:p w14:paraId="5909E293">
            <w:pPr>
              <w:keepNext w:val="0"/>
              <w:keepLines w:val="0"/>
              <w:pageBreakBefore w:val="0"/>
              <w:suppressLineNumbers w:val="0"/>
              <w:kinsoku/>
              <w:overflowPunct/>
              <w:bidi w:val="0"/>
              <w:spacing w:before="0" w:beforeAutospacing="0" w:after="0" w:afterAutospacing="0" w:line="600" w:lineRule="exact"/>
              <w:ind w:left="0" w:right="0"/>
              <w:rPr>
                <w:rFonts w:hint="eastAsia" w:ascii="仿宋" w:hAnsi="仿宋" w:eastAsia="仿宋" w:cs="宋体"/>
                <w:color w:val="auto"/>
                <w:szCs w:val="21"/>
                <w:highlight w:val="none"/>
              </w:rPr>
            </w:pPr>
          </w:p>
        </w:tc>
      </w:tr>
      <w:tr w14:paraId="0BE2C12A">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noWrap w:val="0"/>
            <w:vAlign w:val="top"/>
          </w:tcPr>
          <w:p w14:paraId="4533C53D">
            <w:pPr>
              <w:keepNext w:val="0"/>
              <w:keepLines w:val="0"/>
              <w:pageBreakBefore w:val="0"/>
              <w:suppressLineNumbers w:val="0"/>
              <w:kinsoku/>
              <w:overflowPunct/>
              <w:bidi w:val="0"/>
              <w:spacing w:before="0" w:beforeAutospacing="0" w:after="0" w:afterAutospacing="0" w:line="600" w:lineRule="exact"/>
              <w:ind w:left="0" w:right="0"/>
              <w:rPr>
                <w:rFonts w:hint="eastAsia" w:ascii="仿宋" w:hAnsi="仿宋" w:eastAsia="仿宋" w:cs="宋体"/>
                <w:color w:val="auto"/>
                <w:szCs w:val="21"/>
                <w:highlight w:val="none"/>
              </w:rPr>
            </w:pPr>
          </w:p>
        </w:tc>
        <w:tc>
          <w:tcPr>
            <w:tcW w:w="2285" w:type="dxa"/>
            <w:noWrap w:val="0"/>
            <w:vAlign w:val="top"/>
          </w:tcPr>
          <w:p w14:paraId="0C1F8EAE">
            <w:pPr>
              <w:keepNext w:val="0"/>
              <w:keepLines w:val="0"/>
              <w:pageBreakBefore w:val="0"/>
              <w:suppressLineNumbers w:val="0"/>
              <w:kinsoku/>
              <w:overflowPunct/>
              <w:bidi w:val="0"/>
              <w:spacing w:before="0" w:beforeAutospacing="0" w:after="0" w:afterAutospacing="0" w:line="600" w:lineRule="exact"/>
              <w:ind w:left="0" w:right="0"/>
              <w:rPr>
                <w:rFonts w:hint="eastAsia" w:ascii="仿宋" w:hAnsi="仿宋" w:eastAsia="仿宋" w:cs="宋体"/>
                <w:color w:val="auto"/>
                <w:szCs w:val="21"/>
                <w:highlight w:val="none"/>
              </w:rPr>
            </w:pPr>
          </w:p>
        </w:tc>
        <w:tc>
          <w:tcPr>
            <w:tcW w:w="2495" w:type="dxa"/>
            <w:noWrap w:val="0"/>
            <w:vAlign w:val="top"/>
          </w:tcPr>
          <w:p w14:paraId="29B46789">
            <w:pPr>
              <w:keepNext w:val="0"/>
              <w:keepLines w:val="0"/>
              <w:pageBreakBefore w:val="0"/>
              <w:suppressLineNumbers w:val="0"/>
              <w:kinsoku/>
              <w:overflowPunct/>
              <w:bidi w:val="0"/>
              <w:spacing w:before="0" w:beforeAutospacing="0" w:after="0" w:afterAutospacing="0" w:line="600" w:lineRule="exact"/>
              <w:ind w:left="0" w:right="0"/>
              <w:rPr>
                <w:rFonts w:hint="eastAsia" w:ascii="仿宋" w:hAnsi="仿宋" w:eastAsia="仿宋" w:cs="宋体"/>
                <w:color w:val="auto"/>
                <w:szCs w:val="21"/>
                <w:highlight w:val="none"/>
              </w:rPr>
            </w:pPr>
          </w:p>
        </w:tc>
        <w:tc>
          <w:tcPr>
            <w:tcW w:w="2704" w:type="dxa"/>
            <w:noWrap w:val="0"/>
            <w:vAlign w:val="top"/>
          </w:tcPr>
          <w:p w14:paraId="4517A91E">
            <w:pPr>
              <w:keepNext w:val="0"/>
              <w:keepLines w:val="0"/>
              <w:pageBreakBefore w:val="0"/>
              <w:suppressLineNumbers w:val="0"/>
              <w:kinsoku/>
              <w:overflowPunct/>
              <w:bidi w:val="0"/>
              <w:spacing w:before="0" w:beforeAutospacing="0" w:after="0" w:afterAutospacing="0" w:line="600" w:lineRule="exact"/>
              <w:ind w:left="0" w:right="0"/>
              <w:rPr>
                <w:rFonts w:hint="eastAsia" w:ascii="仿宋" w:hAnsi="仿宋" w:eastAsia="仿宋" w:cs="宋体"/>
                <w:color w:val="auto"/>
                <w:szCs w:val="21"/>
                <w:highlight w:val="none"/>
              </w:rPr>
            </w:pPr>
          </w:p>
        </w:tc>
        <w:tc>
          <w:tcPr>
            <w:tcW w:w="1408" w:type="dxa"/>
            <w:noWrap w:val="0"/>
            <w:vAlign w:val="top"/>
          </w:tcPr>
          <w:p w14:paraId="396CD6A3">
            <w:pPr>
              <w:keepNext w:val="0"/>
              <w:keepLines w:val="0"/>
              <w:pageBreakBefore w:val="0"/>
              <w:suppressLineNumbers w:val="0"/>
              <w:kinsoku/>
              <w:overflowPunct/>
              <w:bidi w:val="0"/>
              <w:spacing w:before="0" w:beforeAutospacing="0" w:after="0" w:afterAutospacing="0" w:line="600" w:lineRule="exact"/>
              <w:ind w:left="0" w:right="0"/>
              <w:rPr>
                <w:rFonts w:hint="eastAsia" w:ascii="仿宋" w:hAnsi="仿宋" w:eastAsia="仿宋" w:cs="宋体"/>
                <w:color w:val="auto"/>
                <w:szCs w:val="21"/>
                <w:highlight w:val="none"/>
              </w:rPr>
            </w:pPr>
          </w:p>
        </w:tc>
      </w:tr>
    </w:tbl>
    <w:p w14:paraId="01AFD9E6">
      <w:pPr>
        <w:pageBreakBefore w:val="0"/>
        <w:kinsoku/>
        <w:overflowPunct/>
        <w:bidi w:val="0"/>
        <w:spacing w:line="600" w:lineRule="exact"/>
        <w:ind w:left="480" w:hanging="480" w:hangingChars="200"/>
        <w:rPr>
          <w:rFonts w:hint="eastAsia" w:ascii="仿宋" w:hAnsi="仿宋" w:eastAsia="仿宋" w:cs="宋体"/>
          <w:b/>
          <w:bCs/>
          <w:color w:val="auto"/>
          <w:sz w:val="24"/>
          <w:szCs w:val="24"/>
          <w:highlight w:val="none"/>
        </w:rPr>
      </w:pPr>
      <w:r>
        <w:rPr>
          <w:rFonts w:hint="eastAsia" w:ascii="仿宋" w:hAnsi="仿宋" w:eastAsia="仿宋" w:cs="宋体"/>
          <w:color w:val="auto"/>
          <w:sz w:val="24"/>
          <w:szCs w:val="24"/>
          <w:highlight w:val="none"/>
        </w:rPr>
        <w:t>注：所有偏离必须在本表中列出，未在本偏离表中列出偏离，将视为投标人已完全接受招标文件要求。</w:t>
      </w:r>
      <w:r>
        <w:rPr>
          <w:rFonts w:hint="eastAsia" w:ascii="仿宋" w:hAnsi="仿宋" w:eastAsia="仿宋" w:cs="宋体"/>
          <w:b/>
          <w:bCs/>
          <w:color w:val="auto"/>
          <w:sz w:val="24"/>
          <w:szCs w:val="24"/>
          <w:highlight w:val="none"/>
        </w:rPr>
        <w:t>如全部满足，在偏离表中应答“全部满足”即可。</w:t>
      </w:r>
    </w:p>
    <w:p w14:paraId="409C4258">
      <w:pPr>
        <w:pageBreakBefore w:val="0"/>
        <w:kinsoku/>
        <w:overflowPunct/>
        <w:bidi w:val="0"/>
        <w:spacing w:line="600" w:lineRule="exact"/>
        <w:ind w:firstLine="4080" w:firstLineChars="1700"/>
        <w:jc w:val="right"/>
        <w:rPr>
          <w:rFonts w:ascii="仿宋" w:hAnsi="仿宋" w:eastAsia="仿宋" w:cs="宋体"/>
          <w:color w:val="auto"/>
          <w:sz w:val="24"/>
          <w:szCs w:val="24"/>
          <w:highlight w:val="none"/>
        </w:rPr>
      </w:pPr>
    </w:p>
    <w:p w14:paraId="26A9D183">
      <w:pPr>
        <w:pageBreakBefore w:val="0"/>
        <w:kinsoku/>
        <w:overflowPunct/>
        <w:bidi w:val="0"/>
        <w:spacing w:line="600" w:lineRule="exact"/>
        <w:ind w:firstLine="4080" w:firstLineChars="1700"/>
        <w:jc w:val="right"/>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投标人名称：</w:t>
      </w:r>
      <w:r>
        <w:rPr>
          <w:rFonts w:hint="eastAsia" w:ascii="仿宋" w:hAnsi="仿宋" w:eastAsia="仿宋" w:cs="宋体"/>
          <w:color w:val="auto"/>
          <w:sz w:val="24"/>
          <w:szCs w:val="24"/>
          <w:highlight w:val="none"/>
          <w:u w:val="single"/>
        </w:rPr>
        <w:t xml:space="preserve">     </w:t>
      </w:r>
      <w:r>
        <w:rPr>
          <w:rFonts w:hint="eastAsia" w:ascii="仿宋" w:hAnsi="仿宋" w:eastAsia="仿宋" w:cs="宋体"/>
          <w:color w:val="auto"/>
          <w:sz w:val="24"/>
          <w:szCs w:val="24"/>
          <w:highlight w:val="none"/>
        </w:rPr>
        <w:t>（盖章）</w:t>
      </w:r>
    </w:p>
    <w:p w14:paraId="14145FC5">
      <w:pPr>
        <w:pageBreakBefore w:val="0"/>
        <w:kinsoku/>
        <w:overflowPunct/>
        <w:bidi w:val="0"/>
        <w:spacing w:line="600" w:lineRule="exact"/>
        <w:jc w:val="right"/>
        <w:rPr>
          <w:rFonts w:hint="eastAsia"/>
          <w:color w:val="auto"/>
          <w:highlight w:val="none"/>
        </w:rPr>
        <w:sectPr>
          <w:pgSz w:w="11906" w:h="16838"/>
          <w:pgMar w:top="1417" w:right="1134" w:bottom="1134" w:left="1134" w:header="851" w:footer="992" w:gutter="0"/>
          <w:cols w:space="720" w:num="1"/>
          <w:titlePg/>
          <w:docGrid w:type="lines" w:linePitch="312" w:charSpace="0"/>
        </w:sectPr>
      </w:pPr>
      <w:r>
        <w:rPr>
          <w:rFonts w:hint="eastAsia" w:ascii="仿宋" w:hAnsi="仿宋" w:eastAsia="仿宋" w:cs="宋体"/>
          <w:color w:val="auto"/>
          <w:sz w:val="24"/>
          <w:szCs w:val="24"/>
          <w:highlight w:val="none"/>
        </w:rPr>
        <w:t>日期：</w:t>
      </w:r>
      <w:r>
        <w:rPr>
          <w:rFonts w:hint="eastAsia" w:ascii="仿宋" w:hAnsi="仿宋" w:eastAsia="仿宋" w:cs="宋体"/>
          <w:color w:val="auto"/>
          <w:sz w:val="24"/>
          <w:szCs w:val="24"/>
          <w:highlight w:val="none"/>
          <w:u w:val="single"/>
        </w:rPr>
        <w:t xml:space="preserve">   </w:t>
      </w:r>
      <w:r>
        <w:rPr>
          <w:rFonts w:hint="eastAsia" w:ascii="仿宋" w:hAnsi="仿宋" w:eastAsia="仿宋" w:cs="宋体"/>
          <w:color w:val="auto"/>
          <w:sz w:val="24"/>
          <w:szCs w:val="24"/>
          <w:highlight w:val="none"/>
        </w:rPr>
        <w:t>年</w:t>
      </w:r>
      <w:r>
        <w:rPr>
          <w:rFonts w:hint="eastAsia" w:ascii="仿宋" w:hAnsi="仿宋" w:eastAsia="仿宋" w:cs="宋体"/>
          <w:color w:val="auto"/>
          <w:sz w:val="24"/>
          <w:szCs w:val="24"/>
          <w:highlight w:val="none"/>
          <w:u w:val="single"/>
        </w:rPr>
        <w:t xml:space="preserve">   </w:t>
      </w:r>
      <w:r>
        <w:rPr>
          <w:rFonts w:hint="eastAsia" w:ascii="仿宋" w:hAnsi="仿宋" w:eastAsia="仿宋" w:cs="宋体"/>
          <w:color w:val="auto"/>
          <w:sz w:val="24"/>
          <w:szCs w:val="24"/>
          <w:highlight w:val="none"/>
        </w:rPr>
        <w:t>月</w:t>
      </w:r>
      <w:r>
        <w:rPr>
          <w:rFonts w:hint="eastAsia" w:ascii="仿宋" w:hAnsi="仿宋" w:eastAsia="仿宋" w:cs="宋体"/>
          <w:color w:val="auto"/>
          <w:sz w:val="24"/>
          <w:szCs w:val="24"/>
          <w:highlight w:val="none"/>
          <w:u w:val="single"/>
        </w:rPr>
        <w:t xml:space="preserve">   </w:t>
      </w:r>
      <w:r>
        <w:rPr>
          <w:rFonts w:hint="eastAsia" w:ascii="仿宋" w:hAnsi="仿宋" w:eastAsia="仿宋" w:cs="宋体"/>
          <w:color w:val="auto"/>
          <w:sz w:val="24"/>
          <w:szCs w:val="24"/>
          <w:highlight w:val="none"/>
        </w:rPr>
        <w:t>日</w:t>
      </w:r>
    </w:p>
    <w:p w14:paraId="0E26EF5B">
      <w:pPr>
        <w:pStyle w:val="5"/>
        <w:pageBreakBefore w:val="0"/>
        <w:kinsoku/>
        <w:overflowPunct/>
        <w:bidi w:val="0"/>
        <w:spacing w:line="600" w:lineRule="exact"/>
        <w:ind w:firstLine="0" w:firstLineChars="0"/>
        <w:rPr>
          <w:rFonts w:ascii="仿宋" w:hAnsi="仿宋" w:cs="宋体"/>
          <w:color w:val="auto"/>
          <w:szCs w:val="24"/>
          <w:highlight w:val="none"/>
        </w:rPr>
      </w:pPr>
      <w:bookmarkStart w:id="685" w:name="_Toc13858"/>
      <w:bookmarkStart w:id="686" w:name="_Toc76569394"/>
      <w:bookmarkStart w:id="687" w:name="_Toc109124325"/>
      <w:bookmarkStart w:id="688" w:name="_Toc65683012"/>
      <w:bookmarkStart w:id="689" w:name="_Toc17493"/>
      <w:r>
        <w:rPr>
          <w:rFonts w:ascii="仿宋" w:hAnsi="仿宋" w:cs="宋体"/>
          <w:color w:val="auto"/>
          <w:szCs w:val="24"/>
          <w:highlight w:val="none"/>
        </w:rPr>
        <w:t>（七）供应商</w:t>
      </w:r>
      <w:r>
        <w:rPr>
          <w:rFonts w:hint="default" w:ascii="仿宋" w:hAnsi="仿宋" w:cs="宋体"/>
          <w:color w:val="auto"/>
          <w:szCs w:val="24"/>
          <w:highlight w:val="none"/>
        </w:rPr>
        <w:t>行为准则承诺</w:t>
      </w:r>
      <w:r>
        <w:rPr>
          <w:rFonts w:ascii="仿宋" w:hAnsi="仿宋" w:cs="宋体"/>
          <w:color w:val="auto"/>
          <w:szCs w:val="24"/>
          <w:highlight w:val="none"/>
        </w:rPr>
        <w:t>书</w:t>
      </w:r>
      <w:bookmarkEnd w:id="685"/>
      <w:bookmarkEnd w:id="686"/>
      <w:bookmarkEnd w:id="687"/>
    </w:p>
    <w:p w14:paraId="711DCA21">
      <w:pPr>
        <w:pageBreakBefore w:val="0"/>
        <w:kinsoku/>
        <w:overflowPunct/>
        <w:bidi w:val="0"/>
        <w:spacing w:line="600" w:lineRule="exact"/>
        <w:jc w:val="center"/>
        <w:rPr>
          <w:rFonts w:ascii="仿宋" w:hAnsi="仿宋" w:eastAsia="仿宋" w:cs="宋体"/>
          <w:b/>
          <w:bCs/>
          <w:color w:val="auto"/>
          <w:sz w:val="28"/>
          <w:szCs w:val="28"/>
          <w:highlight w:val="none"/>
        </w:rPr>
      </w:pPr>
      <w:r>
        <w:rPr>
          <w:rFonts w:hint="eastAsia" w:ascii="仿宋" w:hAnsi="仿宋" w:eastAsia="仿宋" w:cs="宋体"/>
          <w:b/>
          <w:bCs/>
          <w:color w:val="auto"/>
          <w:sz w:val="28"/>
          <w:szCs w:val="28"/>
          <w:highlight w:val="none"/>
        </w:rPr>
        <w:t>供应商行为准则承诺书</w:t>
      </w:r>
    </w:p>
    <w:p w14:paraId="4A88B543">
      <w:pPr>
        <w:pageBreakBefore w:val="0"/>
        <w:kinsoku/>
        <w:overflowPunct/>
        <w:bidi w:val="0"/>
        <w:spacing w:line="600" w:lineRule="exact"/>
        <w:ind w:firstLine="480" w:firstLineChars="200"/>
        <w:rPr>
          <w:rFonts w:hint="eastAsia" w:ascii="仿宋" w:hAnsi="仿宋" w:eastAsia="仿宋" w:cs="仿宋"/>
          <w:color w:val="auto"/>
          <w:sz w:val="24"/>
          <w:highlight w:val="none"/>
        </w:rPr>
      </w:pPr>
      <w:bookmarkStart w:id="690" w:name="_Toc15599"/>
      <w:bookmarkStart w:id="691" w:name="_Toc109124326"/>
      <w:bookmarkStart w:id="692" w:name="_Toc76569395"/>
    </w:p>
    <w:p w14:paraId="11BA2447">
      <w:pPr>
        <w:pageBreakBefore w:val="0"/>
        <w:kinsoku/>
        <w:overflowPunct/>
        <w:bidi w:val="0"/>
        <w:spacing w:line="60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一、参加中国人民保险集团公司、各子公司以及各级分支机构（以下简称“中国人民保险”）采购项目的供应商，不属于禁止交易的中国人民保险集团干部员工关系企业，必须维护中国人民保险的核心价值，在与中国人民保险合作时必须坚守对道德、社会及环境保护负责任的原则，促进公平和可持续发展。所有供应商（包括供应商及其员工、附属公司、关联企业及供应商分包的任何第三方在内）在与中国人民保险进行业务往来或参与任何与中国人民保险有关的活动时，都应遵守供应商行为准则（以下简称“本准则”）。</w:t>
      </w:r>
    </w:p>
    <w:p w14:paraId="44AC7444">
      <w:pPr>
        <w:pageBreakBefore w:val="0"/>
        <w:kinsoku/>
        <w:overflowPunct/>
        <w:bidi w:val="0"/>
        <w:spacing w:line="60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供应商经营业务时必须遵守所有适用的法律法规及相关政策等规定。如因违反任何适用的法律、法规而可能影响其按照本准则向中国人民保险提供产品及服务的能力时，应立即通知中国人民保险。</w:t>
      </w:r>
    </w:p>
    <w:p w14:paraId="6EB25CAB">
      <w:pPr>
        <w:pageBreakBefore w:val="0"/>
        <w:kinsoku/>
        <w:overflowPunct/>
        <w:bidi w:val="0"/>
        <w:spacing w:line="600" w:lineRule="exact"/>
        <w:ind w:firstLine="470" w:firstLineChars="196"/>
        <w:rPr>
          <w:rFonts w:hint="eastAsia" w:ascii="仿宋" w:hAnsi="仿宋" w:eastAsia="仿宋" w:cs="仿宋"/>
          <w:color w:val="auto"/>
          <w:sz w:val="24"/>
          <w:highlight w:val="none"/>
        </w:rPr>
      </w:pPr>
      <w:r>
        <w:rPr>
          <w:rFonts w:hint="eastAsia" w:ascii="仿宋" w:hAnsi="仿宋" w:eastAsia="仿宋" w:cs="仿宋"/>
          <w:color w:val="auto"/>
          <w:sz w:val="24"/>
          <w:highlight w:val="none"/>
        </w:rPr>
        <w:t>二、供应商应有道德地从事商业活动，坚持公平竞争原则，遵守其经营所在地及国家所有适用的反腐败法律、法规，不得有贿赂、腐败、恶意串通、恶意欺诈或其他损害中国人民保险利益的不良行为。</w:t>
      </w:r>
    </w:p>
    <w:p w14:paraId="551DC534">
      <w:pPr>
        <w:pageBreakBefore w:val="0"/>
        <w:kinsoku/>
        <w:overflowPunct/>
        <w:bidi w:val="0"/>
        <w:spacing w:line="600" w:lineRule="exact"/>
        <w:ind w:firstLine="470" w:firstLineChars="196"/>
        <w:rPr>
          <w:rFonts w:hint="eastAsia" w:ascii="仿宋" w:hAnsi="仿宋" w:eastAsia="仿宋" w:cs="仿宋"/>
          <w:color w:val="auto"/>
          <w:sz w:val="24"/>
          <w:highlight w:val="none"/>
        </w:rPr>
      </w:pPr>
      <w:r>
        <w:rPr>
          <w:rFonts w:hint="eastAsia" w:ascii="仿宋" w:hAnsi="仿宋" w:eastAsia="仿宋" w:cs="仿宋"/>
          <w:color w:val="auto"/>
          <w:sz w:val="24"/>
          <w:highlight w:val="none"/>
        </w:rPr>
        <w:t>三、供应商应遵守当地与环境保护相关的法律及法规，符合国家和地方的节能降耗政策，低碳运营，合规排放。鼓励供应商建立并保持环境管理体系，制定环境政策和方针，确定环境管理目标和管理方法，并在组织内进行沟通，适当时在供应链上传递组织的环境理念。</w:t>
      </w:r>
    </w:p>
    <w:p w14:paraId="300591C8">
      <w:pPr>
        <w:pageBreakBefore w:val="0"/>
        <w:kinsoku/>
        <w:overflowPunct/>
        <w:bidi w:val="0"/>
        <w:spacing w:line="600" w:lineRule="exact"/>
        <w:ind w:firstLine="470" w:firstLineChars="196"/>
        <w:rPr>
          <w:rFonts w:hint="eastAsia" w:ascii="仿宋" w:hAnsi="仿宋" w:eastAsia="仿宋" w:cs="仿宋"/>
          <w:color w:val="auto"/>
          <w:sz w:val="24"/>
          <w:highlight w:val="none"/>
        </w:rPr>
      </w:pPr>
      <w:r>
        <w:rPr>
          <w:rFonts w:hint="eastAsia" w:ascii="仿宋" w:hAnsi="仿宋" w:eastAsia="仿宋" w:cs="仿宋"/>
          <w:color w:val="auto"/>
          <w:sz w:val="24"/>
          <w:highlight w:val="none"/>
        </w:rPr>
        <w:t>四、供应商应遵守所有适用的有关工作时间、工资福利、工作条件、职业健康和安全以及劳资关系的法律、法规。包括但不限于：实施公平、非歧视的雇用政策，不得雇用任何类别的强迫劳工，不得雇佣童工，当发现有童工现象时，应采取补救措施；遵从不低于经营所在地当地及国家适用的法定最低工资水平及自律守则；确保雇员的工作时间合理，并符合经营所在地当地法规和行业惯例及国家适用的法律法规要求；确保雇员获得劳动安全卫生保护、接受职业技能培训等权利；遵守经营所在地所适用的职业健康及安全生产相关法律法规要求，向雇员提供安全及健康的工作环境。</w:t>
      </w:r>
    </w:p>
    <w:p w14:paraId="54597F00">
      <w:pPr>
        <w:pageBreakBefore w:val="0"/>
        <w:kinsoku/>
        <w:overflowPunct/>
        <w:bidi w:val="0"/>
        <w:spacing w:line="600" w:lineRule="exact"/>
        <w:ind w:firstLine="470" w:firstLineChars="196"/>
        <w:rPr>
          <w:rFonts w:hint="eastAsia" w:ascii="仿宋" w:hAnsi="仿宋" w:eastAsia="仿宋" w:cs="仿宋"/>
          <w:color w:val="auto"/>
          <w:sz w:val="24"/>
          <w:highlight w:val="none"/>
        </w:rPr>
      </w:pPr>
      <w:r>
        <w:rPr>
          <w:rFonts w:hint="eastAsia" w:ascii="仿宋" w:hAnsi="仿宋" w:eastAsia="仿宋" w:cs="仿宋"/>
          <w:color w:val="auto"/>
          <w:sz w:val="24"/>
          <w:highlight w:val="none"/>
        </w:rPr>
        <w:t>五、供应商必须遵守信息隐私保护的法律及法规。由中国人民保险提供的所有信息，或与中国人民保险的业务往来期间所获取的所有信息（以下简称“中国人民保险的信息”），应被视为商业秘密、敏感及专有信息。供应商只有经授权或按照法律规定方可披露中国人民保险的信息，且不得向未经授权的第三方或公众披露中国人民保险的信息。未经中国人民保险的事先书面同意，供应商不得聘请或授权任何第三方服务的供应商处理中国人民保险的信息。涉及国家秘密的，严格遵守国家和中国人民保险相关规定。</w:t>
      </w:r>
    </w:p>
    <w:p w14:paraId="49FB1EBC">
      <w:pPr>
        <w:pageBreakBefore w:val="0"/>
        <w:kinsoku/>
        <w:overflowPunct/>
        <w:bidi w:val="0"/>
        <w:spacing w:line="600" w:lineRule="exact"/>
        <w:ind w:firstLine="470" w:firstLineChars="196"/>
        <w:rPr>
          <w:rFonts w:hint="eastAsia" w:ascii="仿宋" w:hAnsi="仿宋" w:eastAsia="仿宋" w:cs="仿宋"/>
          <w:color w:val="auto"/>
          <w:sz w:val="24"/>
          <w:highlight w:val="none"/>
        </w:rPr>
      </w:pPr>
      <w:r>
        <w:rPr>
          <w:rFonts w:hint="eastAsia" w:ascii="仿宋" w:hAnsi="仿宋" w:eastAsia="仿宋" w:cs="仿宋"/>
          <w:color w:val="auto"/>
          <w:sz w:val="24"/>
          <w:highlight w:val="none"/>
        </w:rPr>
        <w:t>六、供应商在运营过程中以及为中国人民保险提供服务的过程中，不得有违反知识产权保护法规的行为。供应商应承认且尊重与中国人民保险相关的商标、版权、设计及专利上的知识产权，不得从事可能会侵犯中国人民保险知识产权或损坏中国人民保险声誉的任何活动。</w:t>
      </w:r>
    </w:p>
    <w:p w14:paraId="3F41DCAE">
      <w:pPr>
        <w:pageBreakBefore w:val="0"/>
        <w:kinsoku/>
        <w:overflowPunct/>
        <w:bidi w:val="0"/>
        <w:spacing w:line="600" w:lineRule="exact"/>
        <w:ind w:firstLine="470" w:firstLineChars="196"/>
        <w:rPr>
          <w:rFonts w:hint="eastAsia" w:ascii="仿宋" w:hAnsi="仿宋" w:eastAsia="仿宋" w:cs="仿宋"/>
          <w:color w:val="auto"/>
          <w:sz w:val="24"/>
          <w:highlight w:val="none"/>
        </w:rPr>
      </w:pPr>
      <w:r>
        <w:rPr>
          <w:rFonts w:hint="eastAsia" w:ascii="仿宋" w:hAnsi="仿宋" w:eastAsia="仿宋" w:cs="仿宋"/>
          <w:color w:val="auto"/>
          <w:sz w:val="24"/>
          <w:highlight w:val="none"/>
        </w:rPr>
        <w:t>七、供应商应采取适当行动以确保其员工了解并遵守本守则的理念，并应用于其供应链（如适用）。在给予供应商合理通知的情况下，中国人民保险保留对供应商实施本守则的合规性进行审计的权利，即要求供应商根据需要提供相关文件及其他信息，以证明如何满足本准则的要求。</w:t>
      </w:r>
    </w:p>
    <w:p w14:paraId="59AA40B9">
      <w:pPr>
        <w:pageBreakBefore w:val="0"/>
        <w:kinsoku/>
        <w:overflowPunct/>
        <w:bidi w:val="0"/>
        <w:spacing w:line="60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八、供应商承诺遵守中国人民保险有关采购管理和供应商管理的相关规定、履行相应义务。</w:t>
      </w:r>
    </w:p>
    <w:p w14:paraId="233DF458">
      <w:pPr>
        <w:pageBreakBefore w:val="0"/>
        <w:kinsoku/>
        <w:overflowPunct/>
        <w:bidi w:val="0"/>
        <w:spacing w:line="60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九、供应商参与中国人民保险采购过程中，将认真阅读并理解邀请文件的内容，并保证严格保密文件内容，不泄露中国人民保险任何信息。</w:t>
      </w:r>
    </w:p>
    <w:p w14:paraId="2EDD2107">
      <w:pPr>
        <w:pageBreakBefore w:val="0"/>
        <w:kinsoku/>
        <w:overflowPunct/>
        <w:bidi w:val="0"/>
        <w:spacing w:line="60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十、供应商保证所递交的投标文件、资格证明、产品资料、合同等文件内容的真实性、有效性；愿意承担虚构信息及伪造资格证明、合同等违背诚实信用原则导致的一切不利后果。</w:t>
      </w:r>
    </w:p>
    <w:p w14:paraId="3FC08597">
      <w:pPr>
        <w:pageBreakBefore w:val="0"/>
        <w:kinsoku/>
        <w:overflowPunct/>
        <w:bidi w:val="0"/>
        <w:spacing w:line="60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十一、供应商承诺根据中国人民保险的要求提供供应产品的市场参考价格，并保证该数据的真实性与时效性；如提供不实或虚假数据的，自愿接受录入中国人民保险供应商诚信档案记录的不利后果。</w:t>
      </w:r>
    </w:p>
    <w:p w14:paraId="616AE447">
      <w:pPr>
        <w:pageBreakBefore w:val="0"/>
        <w:kinsoku/>
        <w:overflowPunct/>
        <w:bidi w:val="0"/>
        <w:spacing w:line="60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十二、如果供应商（包括咨询顾问、董事、雇员、代理人和代表）违反或未履行本承诺下的任何规定、保证及陈述，将自愿对因违反或未履行承诺书的规定而对中国人民保险造成的直接损失进行赔偿。</w:t>
      </w:r>
    </w:p>
    <w:p w14:paraId="264FD7DC">
      <w:pPr>
        <w:pageBreakBefore w:val="0"/>
        <w:kinsoku/>
        <w:overflowPunct/>
        <w:bidi w:val="0"/>
        <w:spacing w:line="60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十三、采购过程中涉及函件往来的，使用供应商以下地址及联系方式：</w:t>
      </w:r>
    </w:p>
    <w:p w14:paraId="0DF1CB06">
      <w:pPr>
        <w:pageBreakBefore w:val="0"/>
        <w:kinsoku/>
        <w:overflowPunct/>
        <w:bidi w:val="0"/>
        <w:spacing w:line="60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公司名称（全称、盖章）：________________</w:t>
      </w:r>
    </w:p>
    <w:p w14:paraId="58B1A37B">
      <w:pPr>
        <w:pageBreakBefore w:val="0"/>
        <w:kinsoku/>
        <w:overflowPunct/>
        <w:bidi w:val="0"/>
        <w:spacing w:line="60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法定代表人（负责人）姓名、职务：__________________</w:t>
      </w:r>
    </w:p>
    <w:p w14:paraId="580D7A21">
      <w:pPr>
        <w:pageBreakBefore w:val="0"/>
        <w:kinsoku/>
        <w:overflowPunct/>
        <w:bidi w:val="0"/>
        <w:spacing w:line="60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邮编：__________地址：__________________</w:t>
      </w:r>
    </w:p>
    <w:p w14:paraId="447AB5CA">
      <w:pPr>
        <w:pageBreakBefore w:val="0"/>
        <w:kinsoku/>
        <w:overflowPunct/>
        <w:bidi w:val="0"/>
        <w:spacing w:line="60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电话：__________传真：__________________</w:t>
      </w:r>
    </w:p>
    <w:p w14:paraId="09DAD014">
      <w:pPr>
        <w:pStyle w:val="120"/>
        <w:pageBreakBefore w:val="0"/>
        <w:tabs>
          <w:tab w:val="left" w:pos="3060"/>
        </w:tabs>
        <w:kinsoku/>
        <w:overflowPunct/>
        <w:bidi w:val="0"/>
        <w:spacing w:line="600" w:lineRule="exact"/>
        <w:ind w:firstLine="480"/>
        <w:jc w:val="both"/>
        <w:rPr>
          <w:rFonts w:hint="eastAsia" w:ascii="仿宋" w:hAnsi="仿宋" w:eastAsia="仿宋" w:cs="仿宋"/>
          <w:b w:val="0"/>
          <w:bCs/>
          <w:color w:val="auto"/>
          <w:sz w:val="24"/>
          <w:highlight w:val="none"/>
        </w:rPr>
      </w:pPr>
      <w:r>
        <w:rPr>
          <w:rFonts w:hint="eastAsia" w:ascii="仿宋" w:hAnsi="仿宋" w:eastAsia="仿宋" w:cs="仿宋"/>
          <w:b w:val="0"/>
          <w:bCs/>
          <w:color w:val="auto"/>
          <w:sz w:val="24"/>
          <w:highlight w:val="none"/>
        </w:rPr>
        <w:t>法定代表人（负责人）或授权代表签字：______________</w:t>
      </w:r>
    </w:p>
    <w:p w14:paraId="07FF3B6A">
      <w:pPr>
        <w:pStyle w:val="5"/>
        <w:pageBreakBefore w:val="0"/>
        <w:kinsoku/>
        <w:overflowPunct/>
        <w:bidi w:val="0"/>
        <w:spacing w:line="600" w:lineRule="exact"/>
        <w:ind w:firstLine="0" w:firstLineChars="0"/>
        <w:rPr>
          <w:rFonts w:hint="default"/>
          <w:color w:val="auto"/>
          <w:highlight w:val="none"/>
        </w:rPr>
      </w:pPr>
      <w:r>
        <w:rPr>
          <w:rFonts w:hint="eastAsia" w:ascii="仿宋" w:hAnsi="仿宋" w:eastAsia="仿宋" w:cs="仿宋"/>
          <w:color w:val="auto"/>
          <w:highlight w:val="none"/>
        </w:rPr>
        <w:br w:type="page"/>
      </w:r>
      <w:bookmarkStart w:id="693" w:name="_Toc3210"/>
      <w:r>
        <w:rPr>
          <w:color w:val="auto"/>
          <w:highlight w:val="none"/>
        </w:rPr>
        <w:t>（八）供应商廉洁诚信承诺书</w:t>
      </w:r>
      <w:bookmarkEnd w:id="690"/>
      <w:bookmarkEnd w:id="693"/>
    </w:p>
    <w:p w14:paraId="57BD5FAC">
      <w:pPr>
        <w:pageBreakBefore w:val="0"/>
        <w:kinsoku/>
        <w:overflowPunct/>
        <w:bidi w:val="0"/>
        <w:spacing w:line="600" w:lineRule="exact"/>
        <w:jc w:val="center"/>
        <w:rPr>
          <w:rFonts w:hint="eastAsia" w:ascii="仿宋" w:hAnsi="仿宋" w:eastAsia="仿宋" w:cs="宋体"/>
          <w:color w:val="auto"/>
          <w:sz w:val="24"/>
          <w:highlight w:val="none"/>
        </w:rPr>
      </w:pPr>
      <w:r>
        <w:rPr>
          <w:rFonts w:hint="eastAsia" w:ascii="仿宋" w:hAnsi="仿宋" w:eastAsia="仿宋" w:cs="宋体"/>
          <w:b/>
          <w:bCs/>
          <w:color w:val="auto"/>
          <w:sz w:val="28"/>
          <w:szCs w:val="28"/>
          <w:highlight w:val="none"/>
        </w:rPr>
        <w:t>供应商廉洁诚信承诺书</w:t>
      </w:r>
    </w:p>
    <w:p w14:paraId="5DCC51D4">
      <w:pPr>
        <w:pageBreakBefore w:val="0"/>
        <w:kinsoku/>
        <w:overflowPunct/>
        <w:bidi w:val="0"/>
        <w:spacing w:line="600" w:lineRule="exact"/>
        <w:ind w:firstLine="480" w:firstLineChars="200"/>
        <w:rPr>
          <w:rFonts w:hint="eastAsia" w:ascii="仿宋" w:hAnsi="仿宋" w:eastAsia="仿宋" w:cs="宋体"/>
          <w:color w:val="auto"/>
          <w:sz w:val="24"/>
          <w:highlight w:val="none"/>
        </w:rPr>
      </w:pPr>
      <w:r>
        <w:rPr>
          <w:rFonts w:hint="eastAsia" w:ascii="仿宋" w:hAnsi="仿宋" w:eastAsia="仿宋" w:cs="宋体"/>
          <w:color w:val="auto"/>
          <w:sz w:val="24"/>
          <w:highlight w:val="none"/>
        </w:rPr>
        <w:t>为维护公平竞争的市场秩序和公正透明的商业环境，保证与</w:t>
      </w:r>
      <w:r>
        <w:rPr>
          <w:rFonts w:hint="eastAsia" w:ascii="仿宋" w:hAnsi="仿宋" w:eastAsia="仿宋" w:cs="仿宋"/>
          <w:color w:val="auto"/>
          <w:sz w:val="24"/>
          <w:highlight w:val="none"/>
        </w:rPr>
        <w:t>中国人民保险集团公司、各子公司以及各级分支机构（以下简称“中国人民保险”）</w:t>
      </w:r>
      <w:r>
        <w:rPr>
          <w:rFonts w:hint="eastAsia" w:ascii="仿宋" w:hAnsi="仿宋" w:eastAsia="仿宋" w:cs="宋体"/>
          <w:color w:val="auto"/>
          <w:sz w:val="24"/>
          <w:highlight w:val="none"/>
        </w:rPr>
        <w:t>合作项目的顺利进行，我方作为参与</w:t>
      </w:r>
      <w:r>
        <w:rPr>
          <w:rFonts w:hint="eastAsia" w:ascii="仿宋" w:hAnsi="仿宋" w:eastAsia="仿宋" w:cs="仿宋"/>
          <w:color w:val="auto"/>
          <w:sz w:val="24"/>
          <w:highlight w:val="none"/>
        </w:rPr>
        <w:t>中国人民保险</w:t>
      </w:r>
      <w:r>
        <w:rPr>
          <w:rFonts w:hint="eastAsia" w:ascii="仿宋" w:hAnsi="仿宋" w:eastAsia="仿宋" w:cs="宋体"/>
          <w:color w:val="auto"/>
          <w:sz w:val="24"/>
          <w:highlight w:val="none"/>
        </w:rPr>
        <w:t>采购活动的供应商，深知采购廉洁诚信的重要性。为防止各类谋取不正当利益的违法违规违纪行为的发生，我方自愿加强有关人员廉洁从业管理，恪守商业道德。在与</w:t>
      </w:r>
      <w:r>
        <w:rPr>
          <w:rFonts w:hint="eastAsia" w:ascii="仿宋" w:hAnsi="仿宋" w:eastAsia="仿宋" w:cs="仿宋"/>
          <w:color w:val="auto"/>
          <w:sz w:val="24"/>
          <w:highlight w:val="none"/>
        </w:rPr>
        <w:t>中国人民保险</w:t>
      </w:r>
      <w:r>
        <w:rPr>
          <w:rFonts w:hint="eastAsia" w:ascii="仿宋" w:hAnsi="仿宋" w:eastAsia="仿宋" w:cs="宋体"/>
          <w:color w:val="auto"/>
          <w:sz w:val="24"/>
          <w:highlight w:val="none"/>
        </w:rPr>
        <w:t>的合作过程中郑重承诺如下：</w:t>
      </w:r>
    </w:p>
    <w:p w14:paraId="103A5288">
      <w:pPr>
        <w:pageBreakBefore w:val="0"/>
        <w:kinsoku/>
        <w:overflowPunct/>
        <w:bidi w:val="0"/>
        <w:spacing w:line="600" w:lineRule="exact"/>
        <w:ind w:firstLine="480" w:firstLineChars="200"/>
        <w:rPr>
          <w:rFonts w:hint="eastAsia" w:ascii="仿宋" w:hAnsi="仿宋" w:eastAsia="仿宋" w:cs="宋体"/>
          <w:color w:val="auto"/>
          <w:sz w:val="24"/>
          <w:highlight w:val="none"/>
        </w:rPr>
      </w:pPr>
      <w:r>
        <w:rPr>
          <w:rFonts w:hint="eastAsia" w:ascii="仿宋" w:hAnsi="仿宋" w:eastAsia="仿宋" w:cs="宋体"/>
          <w:color w:val="auto"/>
          <w:sz w:val="24"/>
          <w:highlight w:val="none"/>
        </w:rPr>
        <w:t>一、遵守法律法规承诺。我们将严格遵守《中华人民共和国反不正当竞争法》《关于禁止商业贿赂行为的暂行规定》等国家法律法规和</w:t>
      </w:r>
      <w:r>
        <w:rPr>
          <w:rFonts w:hint="eastAsia" w:ascii="仿宋" w:hAnsi="仿宋" w:eastAsia="仿宋" w:cs="仿宋"/>
          <w:color w:val="auto"/>
          <w:sz w:val="24"/>
          <w:highlight w:val="none"/>
        </w:rPr>
        <w:t>中国人民保险</w:t>
      </w:r>
      <w:r>
        <w:rPr>
          <w:rFonts w:hint="eastAsia" w:ascii="仿宋" w:hAnsi="仿宋" w:eastAsia="仿宋" w:cs="宋体"/>
          <w:color w:val="auto"/>
          <w:sz w:val="24"/>
          <w:highlight w:val="none"/>
        </w:rPr>
        <w:t>采购管理、供应商管理相关制度要求，坚决不从事任何违法违规违纪行为。</w:t>
      </w:r>
    </w:p>
    <w:p w14:paraId="34D8A151">
      <w:pPr>
        <w:pageBreakBefore w:val="0"/>
        <w:kinsoku/>
        <w:overflowPunct/>
        <w:bidi w:val="0"/>
        <w:spacing w:line="600" w:lineRule="exact"/>
        <w:ind w:firstLine="480" w:firstLineChars="200"/>
        <w:rPr>
          <w:rFonts w:hint="eastAsia" w:ascii="仿宋" w:hAnsi="仿宋" w:eastAsia="仿宋" w:cs="宋体"/>
          <w:color w:val="auto"/>
          <w:sz w:val="24"/>
          <w:highlight w:val="none"/>
        </w:rPr>
      </w:pPr>
      <w:r>
        <w:rPr>
          <w:rFonts w:hint="eastAsia" w:ascii="仿宋" w:hAnsi="仿宋" w:eastAsia="仿宋" w:cs="宋体"/>
          <w:color w:val="auto"/>
          <w:sz w:val="24"/>
          <w:highlight w:val="none"/>
        </w:rPr>
        <w:t>二、避免利害关系承诺。我们将在采购过程中主动申报与</w:t>
      </w:r>
      <w:r>
        <w:rPr>
          <w:rFonts w:hint="eastAsia" w:ascii="仿宋" w:hAnsi="仿宋" w:eastAsia="仿宋" w:cs="仿宋"/>
          <w:color w:val="auto"/>
          <w:sz w:val="24"/>
          <w:highlight w:val="none"/>
        </w:rPr>
        <w:t>中国人民保险</w:t>
      </w:r>
      <w:r>
        <w:rPr>
          <w:rFonts w:hint="eastAsia" w:ascii="仿宋" w:hAnsi="仿宋" w:eastAsia="仿宋" w:cs="宋体"/>
          <w:color w:val="auto"/>
          <w:sz w:val="24"/>
          <w:highlight w:val="none"/>
        </w:rPr>
        <w:t>及相关主体的关联及利害关系，包括我们的相关主体与</w:t>
      </w:r>
      <w:r>
        <w:rPr>
          <w:rFonts w:hint="eastAsia" w:ascii="仿宋" w:hAnsi="仿宋" w:eastAsia="仿宋" w:cs="仿宋"/>
          <w:color w:val="auto"/>
          <w:sz w:val="24"/>
          <w:highlight w:val="none"/>
        </w:rPr>
        <w:t>中国人民保险</w:t>
      </w:r>
      <w:r>
        <w:rPr>
          <w:rFonts w:hint="eastAsia" w:ascii="仿宋" w:hAnsi="仿宋" w:eastAsia="仿宋" w:cs="宋体"/>
          <w:color w:val="auto"/>
          <w:sz w:val="24"/>
          <w:highlight w:val="none"/>
        </w:rPr>
        <w:t>及相关主体的关联及利害关系，避免任何可能影响公平竞争的关系或利益冲突，主动披露任何可能影响采购决策的利益关系，并采取必要的措施确保采购过程的公正性。</w:t>
      </w:r>
    </w:p>
    <w:p w14:paraId="3AD58748">
      <w:pPr>
        <w:pageBreakBefore w:val="0"/>
        <w:kinsoku/>
        <w:overflowPunct/>
        <w:bidi w:val="0"/>
        <w:spacing w:line="600" w:lineRule="exact"/>
        <w:ind w:firstLine="480" w:firstLineChars="200"/>
        <w:rPr>
          <w:rFonts w:hint="eastAsia" w:ascii="仿宋" w:hAnsi="仿宋" w:eastAsia="仿宋" w:cs="宋体"/>
          <w:color w:val="auto"/>
          <w:sz w:val="24"/>
          <w:highlight w:val="none"/>
        </w:rPr>
      </w:pPr>
      <w:r>
        <w:rPr>
          <w:rFonts w:hint="eastAsia" w:ascii="仿宋" w:hAnsi="仿宋" w:eastAsia="仿宋" w:cs="宋体"/>
          <w:color w:val="auto"/>
          <w:sz w:val="24"/>
          <w:highlight w:val="none"/>
        </w:rPr>
        <w:t>本承诺书所称相关主体，对任何一方而言，指：（1）一方或其关联方的工作人员；（2）受一方委托办理相关事务的单位或者个人；（3）利用职权或者影响力影响交易的单位或者个人；（4）前述相关人员的亲属；（5）与前述主体存在利害关系的其他单位或者人员。</w:t>
      </w:r>
    </w:p>
    <w:p w14:paraId="05658BFD">
      <w:pPr>
        <w:pageBreakBefore w:val="0"/>
        <w:kinsoku/>
        <w:overflowPunct/>
        <w:bidi w:val="0"/>
        <w:spacing w:line="600" w:lineRule="exact"/>
        <w:ind w:firstLine="480" w:firstLineChars="200"/>
        <w:rPr>
          <w:rFonts w:hint="eastAsia" w:ascii="仿宋" w:hAnsi="仿宋" w:eastAsia="仿宋" w:cs="宋体"/>
          <w:color w:val="auto"/>
          <w:sz w:val="24"/>
          <w:highlight w:val="none"/>
        </w:rPr>
      </w:pPr>
      <w:r>
        <w:rPr>
          <w:rFonts w:hint="eastAsia" w:ascii="仿宋" w:hAnsi="仿宋" w:eastAsia="仿宋" w:cs="宋体"/>
          <w:color w:val="auto"/>
          <w:sz w:val="24"/>
          <w:highlight w:val="none"/>
        </w:rPr>
        <w:t>三、廉洁自律承诺。我们坚决不以任何形式为获取或意图获取交易机会、竞争优势或谋取不正当利益而向</w:t>
      </w:r>
      <w:r>
        <w:rPr>
          <w:rFonts w:hint="eastAsia" w:ascii="仿宋" w:hAnsi="仿宋" w:eastAsia="仿宋" w:cs="仿宋"/>
          <w:color w:val="auto"/>
          <w:sz w:val="24"/>
          <w:highlight w:val="none"/>
        </w:rPr>
        <w:t>中国人民保险</w:t>
      </w:r>
      <w:r>
        <w:rPr>
          <w:rFonts w:hint="eastAsia" w:ascii="仿宋" w:hAnsi="仿宋" w:eastAsia="仿宋" w:cs="宋体"/>
          <w:color w:val="auto"/>
          <w:sz w:val="24"/>
          <w:highlight w:val="none"/>
        </w:rPr>
        <w:t>或相关主体实施商业贿赂或营私舞弊行为，包括但不限于：</w:t>
      </w:r>
    </w:p>
    <w:p w14:paraId="71E093A3">
      <w:pPr>
        <w:pageBreakBefore w:val="0"/>
        <w:kinsoku/>
        <w:overflowPunct/>
        <w:bidi w:val="0"/>
        <w:spacing w:line="600" w:lineRule="exact"/>
        <w:ind w:firstLine="480" w:firstLineChars="200"/>
        <w:rPr>
          <w:rFonts w:hint="eastAsia" w:ascii="仿宋" w:hAnsi="仿宋" w:eastAsia="仿宋" w:cs="宋体"/>
          <w:color w:val="auto"/>
          <w:sz w:val="24"/>
          <w:highlight w:val="none"/>
        </w:rPr>
      </w:pPr>
      <w:r>
        <w:rPr>
          <w:rFonts w:hint="eastAsia" w:ascii="仿宋" w:hAnsi="仿宋" w:eastAsia="仿宋" w:cs="宋体"/>
          <w:color w:val="auto"/>
          <w:sz w:val="24"/>
          <w:highlight w:val="none"/>
        </w:rPr>
        <w:t>（1）以任何方式实施商业贿赂或违规提供金钱、实物、回扣、折扣、宴请与游玩活动或其他不正当利益；</w:t>
      </w:r>
    </w:p>
    <w:p w14:paraId="6DC98188">
      <w:pPr>
        <w:pageBreakBefore w:val="0"/>
        <w:kinsoku/>
        <w:overflowPunct/>
        <w:bidi w:val="0"/>
        <w:spacing w:line="600" w:lineRule="exact"/>
        <w:ind w:firstLine="480" w:firstLineChars="200"/>
        <w:rPr>
          <w:rFonts w:hint="eastAsia" w:ascii="仿宋" w:hAnsi="仿宋" w:eastAsia="仿宋" w:cs="宋体"/>
          <w:color w:val="auto"/>
          <w:sz w:val="24"/>
          <w:highlight w:val="none"/>
        </w:rPr>
      </w:pPr>
      <w:r>
        <w:rPr>
          <w:rFonts w:hint="eastAsia" w:ascii="仿宋" w:hAnsi="仿宋" w:eastAsia="仿宋" w:cs="宋体"/>
          <w:color w:val="auto"/>
          <w:sz w:val="24"/>
          <w:highlight w:val="none"/>
        </w:rPr>
        <w:t>（2）为其安排有可能影响公平、公正交易的宴请、健身、娱乐等活动；</w:t>
      </w:r>
    </w:p>
    <w:p w14:paraId="4C52FAFB">
      <w:pPr>
        <w:pageBreakBefore w:val="0"/>
        <w:kinsoku/>
        <w:overflowPunct/>
        <w:bidi w:val="0"/>
        <w:spacing w:line="600" w:lineRule="exact"/>
        <w:ind w:firstLine="480" w:firstLineChars="200"/>
        <w:rPr>
          <w:rFonts w:hint="eastAsia" w:ascii="仿宋" w:hAnsi="仿宋" w:eastAsia="仿宋" w:cs="宋体"/>
          <w:color w:val="auto"/>
          <w:sz w:val="24"/>
          <w:highlight w:val="none"/>
        </w:rPr>
      </w:pPr>
      <w:r>
        <w:rPr>
          <w:rFonts w:hint="eastAsia" w:ascii="仿宋" w:hAnsi="仿宋" w:eastAsia="仿宋" w:cs="宋体"/>
          <w:color w:val="auto"/>
          <w:sz w:val="24"/>
          <w:highlight w:val="none"/>
        </w:rPr>
        <w:t>（3）为其投资入股、个人借款或买卖股票、债券等提供方便；</w:t>
      </w:r>
    </w:p>
    <w:p w14:paraId="72655655">
      <w:pPr>
        <w:pageBreakBefore w:val="0"/>
        <w:kinsoku/>
        <w:overflowPunct/>
        <w:bidi w:val="0"/>
        <w:spacing w:line="600" w:lineRule="exact"/>
        <w:ind w:firstLine="480" w:firstLineChars="200"/>
        <w:rPr>
          <w:rFonts w:hint="eastAsia" w:ascii="仿宋" w:hAnsi="仿宋" w:eastAsia="仿宋" w:cs="宋体"/>
          <w:color w:val="auto"/>
          <w:sz w:val="24"/>
          <w:highlight w:val="none"/>
        </w:rPr>
      </w:pPr>
      <w:r>
        <w:rPr>
          <w:rFonts w:hint="eastAsia" w:ascii="仿宋" w:hAnsi="仿宋" w:eastAsia="仿宋" w:cs="宋体"/>
          <w:color w:val="auto"/>
          <w:sz w:val="24"/>
          <w:highlight w:val="none"/>
        </w:rPr>
        <w:t>（4）为其购买或装修住房、婚丧嫁娶、配偶子女上学或工作安排以及出国出境、旅游等提供方便；</w:t>
      </w:r>
    </w:p>
    <w:p w14:paraId="64CB61EC">
      <w:pPr>
        <w:pageBreakBefore w:val="0"/>
        <w:kinsoku/>
        <w:overflowPunct/>
        <w:bidi w:val="0"/>
        <w:spacing w:line="600" w:lineRule="exact"/>
        <w:rPr>
          <w:rFonts w:hint="eastAsia" w:ascii="仿宋" w:hAnsi="仿宋" w:eastAsia="仿宋" w:cs="宋体"/>
          <w:color w:val="auto"/>
          <w:sz w:val="24"/>
          <w:highlight w:val="none"/>
        </w:rPr>
      </w:pPr>
      <w:r>
        <w:rPr>
          <w:rFonts w:hint="eastAsia" w:ascii="仿宋" w:hAnsi="仿宋" w:eastAsia="仿宋" w:cs="宋体"/>
          <w:color w:val="auto"/>
          <w:sz w:val="24"/>
          <w:highlight w:val="none"/>
        </w:rPr>
        <w:t>（5）违反规定为其在我方相关企业工作、挂名兼职、合伙经营、介绍承揽业务等提供方便；</w:t>
      </w:r>
    </w:p>
    <w:p w14:paraId="1F0AE043">
      <w:pPr>
        <w:pageBreakBefore w:val="0"/>
        <w:kinsoku/>
        <w:overflowPunct/>
        <w:bidi w:val="0"/>
        <w:spacing w:line="600" w:lineRule="exact"/>
        <w:ind w:firstLine="480" w:firstLineChars="200"/>
        <w:rPr>
          <w:rFonts w:hint="eastAsia" w:ascii="仿宋" w:hAnsi="仿宋" w:eastAsia="仿宋" w:cs="宋体"/>
          <w:color w:val="auto"/>
          <w:sz w:val="24"/>
          <w:highlight w:val="none"/>
        </w:rPr>
      </w:pPr>
      <w:r>
        <w:rPr>
          <w:rFonts w:hint="eastAsia" w:ascii="仿宋" w:hAnsi="仿宋" w:eastAsia="仿宋" w:cs="宋体"/>
          <w:color w:val="auto"/>
          <w:sz w:val="24"/>
          <w:highlight w:val="none"/>
        </w:rPr>
        <w:t>（6）向其提供借款、融资、担保等；</w:t>
      </w:r>
    </w:p>
    <w:p w14:paraId="7E74B3AA">
      <w:pPr>
        <w:pageBreakBefore w:val="0"/>
        <w:kinsoku/>
        <w:overflowPunct/>
        <w:bidi w:val="0"/>
        <w:spacing w:line="600" w:lineRule="exact"/>
        <w:ind w:firstLine="480" w:firstLineChars="200"/>
        <w:rPr>
          <w:rFonts w:hint="eastAsia" w:ascii="仿宋" w:hAnsi="仿宋" w:eastAsia="仿宋" w:cs="宋体"/>
          <w:color w:val="auto"/>
          <w:sz w:val="24"/>
          <w:highlight w:val="none"/>
        </w:rPr>
      </w:pPr>
      <w:r>
        <w:rPr>
          <w:rFonts w:hint="eastAsia" w:ascii="仿宋" w:hAnsi="仿宋" w:eastAsia="仿宋" w:cs="宋体"/>
          <w:color w:val="auto"/>
          <w:sz w:val="24"/>
          <w:highlight w:val="none"/>
        </w:rPr>
        <w:t>（7）给予或承诺给予其不正当利益的其他行为；</w:t>
      </w:r>
    </w:p>
    <w:p w14:paraId="2EB788F9">
      <w:pPr>
        <w:pageBreakBefore w:val="0"/>
        <w:kinsoku/>
        <w:overflowPunct/>
        <w:bidi w:val="0"/>
        <w:spacing w:line="600" w:lineRule="exact"/>
        <w:ind w:firstLine="480" w:firstLineChars="200"/>
        <w:rPr>
          <w:rFonts w:hint="eastAsia" w:ascii="仿宋" w:hAnsi="仿宋" w:eastAsia="仿宋" w:cs="宋体"/>
          <w:color w:val="auto"/>
          <w:sz w:val="24"/>
          <w:highlight w:val="none"/>
        </w:rPr>
      </w:pPr>
      <w:r>
        <w:rPr>
          <w:rFonts w:hint="eastAsia" w:ascii="仿宋" w:hAnsi="仿宋" w:eastAsia="仿宋" w:cs="宋体"/>
          <w:color w:val="auto"/>
          <w:sz w:val="24"/>
          <w:highlight w:val="none"/>
        </w:rPr>
        <w:t>（8）其他违反国家法律法规或商业道德准则的影响公正交易的行为。</w:t>
      </w:r>
    </w:p>
    <w:p w14:paraId="06FF4BE2">
      <w:pPr>
        <w:pageBreakBefore w:val="0"/>
        <w:kinsoku/>
        <w:overflowPunct/>
        <w:bidi w:val="0"/>
        <w:spacing w:line="600" w:lineRule="exact"/>
        <w:ind w:firstLine="480" w:firstLineChars="200"/>
        <w:rPr>
          <w:rFonts w:hint="eastAsia" w:ascii="仿宋" w:hAnsi="仿宋" w:eastAsia="仿宋" w:cs="宋体"/>
          <w:color w:val="auto"/>
          <w:sz w:val="24"/>
          <w:highlight w:val="none"/>
        </w:rPr>
      </w:pPr>
      <w:r>
        <w:rPr>
          <w:rFonts w:hint="eastAsia" w:ascii="仿宋" w:hAnsi="仿宋" w:eastAsia="仿宋" w:cs="宋体"/>
          <w:color w:val="auto"/>
          <w:sz w:val="24"/>
          <w:highlight w:val="none"/>
        </w:rPr>
        <w:t>我们也不会以任何方式向</w:t>
      </w:r>
      <w:r>
        <w:rPr>
          <w:rFonts w:hint="eastAsia" w:ascii="仿宋" w:hAnsi="仿宋" w:eastAsia="仿宋" w:cs="仿宋"/>
          <w:color w:val="auto"/>
          <w:sz w:val="24"/>
          <w:highlight w:val="none"/>
        </w:rPr>
        <w:t>中国人民保险</w:t>
      </w:r>
      <w:r>
        <w:rPr>
          <w:rFonts w:hint="eastAsia" w:ascii="仿宋" w:hAnsi="仿宋" w:eastAsia="仿宋" w:cs="宋体"/>
          <w:color w:val="auto"/>
          <w:sz w:val="24"/>
          <w:highlight w:val="none"/>
        </w:rPr>
        <w:t>或相关主体索要金钱、实物等不正当利益，或收受中国人保或相关主体给予的金钱、实物等不正当利益。</w:t>
      </w:r>
    </w:p>
    <w:p w14:paraId="5183A17B">
      <w:pPr>
        <w:pageBreakBefore w:val="0"/>
        <w:kinsoku/>
        <w:overflowPunct/>
        <w:bidi w:val="0"/>
        <w:spacing w:line="600" w:lineRule="exact"/>
        <w:ind w:firstLine="480" w:firstLineChars="200"/>
        <w:rPr>
          <w:rFonts w:hint="eastAsia" w:ascii="仿宋" w:hAnsi="仿宋" w:eastAsia="仿宋" w:cs="宋体"/>
          <w:color w:val="auto"/>
          <w:sz w:val="24"/>
          <w:highlight w:val="none"/>
        </w:rPr>
      </w:pPr>
      <w:r>
        <w:rPr>
          <w:rFonts w:hint="eastAsia" w:ascii="仿宋" w:hAnsi="仿宋" w:eastAsia="仿宋" w:cs="宋体"/>
          <w:color w:val="auto"/>
          <w:sz w:val="24"/>
          <w:highlight w:val="none"/>
        </w:rPr>
        <w:t>四、诚实信用承诺。我们坚决不进行任何违背诚实信用原则的行为，包括但不限于：</w:t>
      </w:r>
    </w:p>
    <w:p w14:paraId="4C6C6C0D">
      <w:pPr>
        <w:pageBreakBefore w:val="0"/>
        <w:kinsoku/>
        <w:overflowPunct/>
        <w:bidi w:val="0"/>
        <w:spacing w:line="600" w:lineRule="exact"/>
        <w:ind w:firstLine="480" w:firstLineChars="200"/>
        <w:rPr>
          <w:rFonts w:hint="eastAsia" w:ascii="仿宋" w:hAnsi="仿宋" w:eastAsia="仿宋" w:cs="宋体"/>
          <w:color w:val="auto"/>
          <w:sz w:val="24"/>
          <w:highlight w:val="none"/>
        </w:rPr>
      </w:pPr>
      <w:r>
        <w:rPr>
          <w:rFonts w:hint="eastAsia" w:ascii="仿宋" w:hAnsi="仿宋" w:eastAsia="仿宋" w:cs="宋体"/>
          <w:color w:val="auto"/>
          <w:sz w:val="24"/>
          <w:highlight w:val="none"/>
        </w:rPr>
        <w:t>出借、转让资质证书；</w:t>
      </w:r>
    </w:p>
    <w:p w14:paraId="35D49298">
      <w:pPr>
        <w:pageBreakBefore w:val="0"/>
        <w:kinsoku/>
        <w:overflowPunct/>
        <w:bidi w:val="0"/>
        <w:spacing w:line="600" w:lineRule="exact"/>
        <w:ind w:firstLine="480" w:firstLineChars="200"/>
        <w:rPr>
          <w:rFonts w:hint="eastAsia" w:ascii="仿宋" w:hAnsi="仿宋" w:eastAsia="仿宋" w:cs="宋体"/>
          <w:color w:val="auto"/>
          <w:sz w:val="24"/>
          <w:highlight w:val="none"/>
        </w:rPr>
      </w:pPr>
      <w:r>
        <w:rPr>
          <w:rFonts w:hint="eastAsia" w:ascii="仿宋" w:hAnsi="仿宋" w:eastAsia="仿宋" w:cs="宋体"/>
          <w:color w:val="auto"/>
          <w:sz w:val="24"/>
          <w:highlight w:val="none"/>
        </w:rPr>
        <w:t>伙同他人串标、围标或非法排挤竞争对手；</w:t>
      </w:r>
    </w:p>
    <w:p w14:paraId="10F2AB67">
      <w:pPr>
        <w:pageBreakBefore w:val="0"/>
        <w:kinsoku/>
        <w:overflowPunct/>
        <w:bidi w:val="0"/>
        <w:spacing w:line="600" w:lineRule="exact"/>
        <w:ind w:firstLine="480" w:firstLineChars="200"/>
        <w:rPr>
          <w:rFonts w:hint="eastAsia" w:ascii="仿宋" w:hAnsi="仿宋" w:eastAsia="仿宋" w:cs="宋体"/>
          <w:color w:val="auto"/>
          <w:sz w:val="24"/>
          <w:highlight w:val="none"/>
        </w:rPr>
      </w:pPr>
      <w:r>
        <w:rPr>
          <w:rFonts w:hint="eastAsia" w:ascii="仿宋" w:hAnsi="仿宋" w:eastAsia="仿宋" w:cs="宋体"/>
          <w:color w:val="auto"/>
          <w:sz w:val="24"/>
          <w:highlight w:val="none"/>
        </w:rPr>
        <w:t>在采购活动中提供虚假资料，以他人名义参与或者以其他方式弄虚作假，夸大自身技术和提供服务的能力，损害贵方合法权益；</w:t>
      </w:r>
    </w:p>
    <w:p w14:paraId="552EC76C">
      <w:pPr>
        <w:pageBreakBefore w:val="0"/>
        <w:kinsoku/>
        <w:overflowPunct/>
        <w:bidi w:val="0"/>
        <w:spacing w:line="600" w:lineRule="exact"/>
        <w:ind w:firstLine="480" w:firstLineChars="200"/>
        <w:rPr>
          <w:rFonts w:hint="eastAsia" w:ascii="仿宋" w:hAnsi="仿宋" w:eastAsia="仿宋" w:cs="宋体"/>
          <w:color w:val="auto"/>
          <w:sz w:val="24"/>
          <w:highlight w:val="none"/>
        </w:rPr>
      </w:pPr>
      <w:r>
        <w:rPr>
          <w:rFonts w:hint="eastAsia" w:ascii="仿宋" w:hAnsi="仿宋" w:eastAsia="仿宋" w:cs="宋体"/>
          <w:color w:val="auto"/>
          <w:sz w:val="24"/>
          <w:highlight w:val="none"/>
        </w:rPr>
        <w:t>（4）隐瞒任何可能对贵方利益造成影响的信息，不配合贵方的审计。</w:t>
      </w:r>
    </w:p>
    <w:p w14:paraId="046E93EF">
      <w:pPr>
        <w:pageBreakBefore w:val="0"/>
        <w:kinsoku/>
        <w:overflowPunct/>
        <w:bidi w:val="0"/>
        <w:spacing w:line="600" w:lineRule="exact"/>
        <w:ind w:firstLine="480" w:firstLineChars="200"/>
        <w:rPr>
          <w:rFonts w:hint="eastAsia" w:ascii="仿宋" w:hAnsi="仿宋" w:eastAsia="仿宋" w:cs="宋体"/>
          <w:color w:val="auto"/>
          <w:sz w:val="24"/>
          <w:highlight w:val="none"/>
        </w:rPr>
      </w:pPr>
      <w:r>
        <w:rPr>
          <w:rFonts w:hint="eastAsia" w:ascii="仿宋" w:hAnsi="仿宋" w:eastAsia="仿宋" w:cs="宋体"/>
          <w:color w:val="auto"/>
          <w:sz w:val="24"/>
          <w:highlight w:val="none"/>
        </w:rPr>
        <w:t>五、信息公开透明承诺。我们将主动披露与采购项目相关的信息，包括企业真实情况、产品价格、技术参数、服务团队信息、履约情况等，确保所提供的一切材料和信息真实、合法、有效。同时，不利用非法手段向中国人保或相关主体打探有关涉及贵方的商业秘密、人员信息等。</w:t>
      </w:r>
    </w:p>
    <w:p w14:paraId="31C8A7E4">
      <w:pPr>
        <w:pageBreakBefore w:val="0"/>
        <w:kinsoku/>
        <w:overflowPunct/>
        <w:bidi w:val="0"/>
        <w:spacing w:line="600" w:lineRule="exact"/>
        <w:ind w:firstLine="480" w:firstLineChars="200"/>
        <w:rPr>
          <w:rFonts w:hint="eastAsia" w:ascii="仿宋" w:hAnsi="仿宋" w:eastAsia="仿宋" w:cs="宋体"/>
          <w:color w:val="auto"/>
          <w:sz w:val="24"/>
          <w:highlight w:val="none"/>
        </w:rPr>
      </w:pPr>
      <w:r>
        <w:rPr>
          <w:rFonts w:hint="eastAsia" w:ascii="仿宋" w:hAnsi="仿宋" w:eastAsia="仿宋" w:cs="宋体"/>
          <w:color w:val="auto"/>
          <w:sz w:val="24"/>
          <w:highlight w:val="none"/>
        </w:rPr>
        <w:t>六、加强内部管理承诺。为了实现以上承诺要求，我们将积极配合采取以下措施，不断加强自身内部管理：</w:t>
      </w:r>
    </w:p>
    <w:p w14:paraId="4EAF6013">
      <w:pPr>
        <w:pageBreakBefore w:val="0"/>
        <w:kinsoku/>
        <w:overflowPunct/>
        <w:bidi w:val="0"/>
        <w:spacing w:line="600" w:lineRule="exact"/>
        <w:ind w:firstLine="480" w:firstLineChars="200"/>
        <w:rPr>
          <w:rFonts w:hint="eastAsia" w:ascii="仿宋" w:hAnsi="仿宋" w:eastAsia="仿宋" w:cs="宋体"/>
          <w:color w:val="auto"/>
          <w:sz w:val="24"/>
          <w:highlight w:val="none"/>
        </w:rPr>
      </w:pPr>
      <w:r>
        <w:rPr>
          <w:rFonts w:hint="eastAsia" w:ascii="仿宋" w:hAnsi="仿宋" w:eastAsia="仿宋" w:cs="宋体"/>
          <w:color w:val="auto"/>
          <w:sz w:val="24"/>
          <w:highlight w:val="none"/>
        </w:rPr>
        <w:t>（1）廉洁教育培训：加强对员工的廉洁教育和培训，提高员工的道德素质和法律意识，建立健全内部管理制度，确保员工行为的合规性和廉洁性；</w:t>
      </w:r>
    </w:p>
    <w:p w14:paraId="112ED1EA">
      <w:pPr>
        <w:pageBreakBefore w:val="0"/>
        <w:kinsoku/>
        <w:overflowPunct/>
        <w:bidi w:val="0"/>
        <w:spacing w:line="600" w:lineRule="exact"/>
        <w:ind w:firstLine="480" w:firstLineChars="200"/>
        <w:rPr>
          <w:rFonts w:hint="eastAsia" w:ascii="仿宋" w:hAnsi="仿宋" w:eastAsia="仿宋" w:cs="宋体"/>
          <w:color w:val="auto"/>
          <w:sz w:val="24"/>
          <w:highlight w:val="none"/>
        </w:rPr>
      </w:pPr>
      <w:r>
        <w:rPr>
          <w:rFonts w:hint="eastAsia" w:ascii="仿宋" w:hAnsi="仿宋" w:eastAsia="仿宋" w:cs="宋体"/>
          <w:color w:val="auto"/>
          <w:sz w:val="24"/>
          <w:highlight w:val="none"/>
        </w:rPr>
        <w:t>（2）设立监督机制：通过专门的监督机构或人员，对我方的业务活动进行实时监督，确保员工行为的合规性；</w:t>
      </w:r>
    </w:p>
    <w:p w14:paraId="2F7F8691">
      <w:pPr>
        <w:pageBreakBefore w:val="0"/>
        <w:kinsoku/>
        <w:overflowPunct/>
        <w:bidi w:val="0"/>
        <w:spacing w:line="600" w:lineRule="exact"/>
        <w:ind w:firstLine="480" w:firstLineChars="200"/>
        <w:rPr>
          <w:rFonts w:hint="eastAsia" w:ascii="仿宋" w:hAnsi="仿宋" w:eastAsia="仿宋" w:cs="宋体"/>
          <w:color w:val="auto"/>
          <w:sz w:val="24"/>
          <w:highlight w:val="none"/>
        </w:rPr>
      </w:pPr>
      <w:r>
        <w:rPr>
          <w:rFonts w:hint="eastAsia" w:ascii="仿宋" w:hAnsi="仿宋" w:eastAsia="仿宋" w:cs="宋体"/>
          <w:color w:val="auto"/>
          <w:sz w:val="24"/>
          <w:highlight w:val="none"/>
        </w:rPr>
        <w:t>（3）建立举报制度：鼓励员工积极举报违规行为，对举报人予以保护并给予奖励。</w:t>
      </w:r>
    </w:p>
    <w:p w14:paraId="6731D648">
      <w:pPr>
        <w:pageBreakBefore w:val="0"/>
        <w:kinsoku/>
        <w:overflowPunct/>
        <w:bidi w:val="0"/>
        <w:spacing w:line="600" w:lineRule="exact"/>
        <w:ind w:firstLine="480" w:firstLineChars="200"/>
        <w:rPr>
          <w:rFonts w:hint="eastAsia" w:ascii="仿宋" w:hAnsi="仿宋" w:eastAsia="仿宋" w:cs="宋体"/>
          <w:color w:val="auto"/>
          <w:sz w:val="24"/>
          <w:highlight w:val="none"/>
        </w:rPr>
      </w:pPr>
      <w:r>
        <w:rPr>
          <w:rFonts w:hint="eastAsia" w:ascii="仿宋" w:hAnsi="仿宋" w:eastAsia="仿宋" w:cs="宋体"/>
          <w:color w:val="auto"/>
          <w:sz w:val="24"/>
          <w:highlight w:val="none"/>
        </w:rPr>
        <w:t>七、配合监督承诺。我们将积极配合</w:t>
      </w:r>
      <w:r>
        <w:rPr>
          <w:rFonts w:hint="eastAsia" w:ascii="仿宋" w:hAnsi="仿宋" w:eastAsia="仿宋" w:cs="仿宋"/>
          <w:color w:val="auto"/>
          <w:sz w:val="24"/>
          <w:highlight w:val="none"/>
        </w:rPr>
        <w:t>中国人民保险</w:t>
      </w:r>
      <w:r>
        <w:rPr>
          <w:rFonts w:hint="eastAsia" w:ascii="仿宋" w:hAnsi="仿宋" w:eastAsia="仿宋" w:cs="宋体"/>
          <w:color w:val="auto"/>
          <w:sz w:val="24"/>
          <w:highlight w:val="none"/>
        </w:rPr>
        <w:t>及第三方机构的监督和检查，对发现的违规行为及时纠正，并严肃处理涉嫌违规的工作人员，确保采购过程和项目合作的公正性和透明度。贵方对涉嫌违法违规违纪的商业行为进行调查时，我方有配合提供证据、作证的义务。</w:t>
      </w:r>
    </w:p>
    <w:p w14:paraId="687E853C">
      <w:pPr>
        <w:pageBreakBefore w:val="0"/>
        <w:kinsoku/>
        <w:overflowPunct/>
        <w:bidi w:val="0"/>
        <w:spacing w:line="600" w:lineRule="exact"/>
        <w:ind w:firstLine="480" w:firstLineChars="200"/>
        <w:rPr>
          <w:rFonts w:hint="eastAsia" w:ascii="仿宋" w:hAnsi="仿宋" w:eastAsia="仿宋" w:cs="宋体"/>
          <w:color w:val="auto"/>
          <w:sz w:val="24"/>
          <w:highlight w:val="none"/>
        </w:rPr>
      </w:pPr>
      <w:r>
        <w:rPr>
          <w:rFonts w:hint="eastAsia" w:ascii="仿宋" w:hAnsi="仿宋" w:eastAsia="仿宋" w:cs="宋体"/>
          <w:color w:val="auto"/>
          <w:sz w:val="24"/>
          <w:highlight w:val="none"/>
        </w:rPr>
        <w:t>八、如违反上述承诺，我方自愿承担以下法律责任：</w:t>
      </w:r>
    </w:p>
    <w:p w14:paraId="149D8790">
      <w:pPr>
        <w:pageBreakBefore w:val="0"/>
        <w:kinsoku/>
        <w:overflowPunct/>
        <w:bidi w:val="0"/>
        <w:spacing w:line="600" w:lineRule="exact"/>
        <w:ind w:firstLine="480" w:firstLineChars="200"/>
        <w:rPr>
          <w:rFonts w:hint="eastAsia" w:ascii="仿宋" w:hAnsi="仿宋" w:eastAsia="仿宋" w:cs="宋体"/>
          <w:color w:val="auto"/>
          <w:sz w:val="24"/>
          <w:highlight w:val="none"/>
        </w:rPr>
      </w:pPr>
      <w:r>
        <w:rPr>
          <w:rFonts w:hint="eastAsia" w:ascii="仿宋" w:hAnsi="仿宋" w:eastAsia="仿宋" w:cs="宋体"/>
          <w:color w:val="auto"/>
          <w:sz w:val="24"/>
          <w:highlight w:val="none"/>
        </w:rPr>
        <w:t>（1）如我方及我方工作人员违反本承诺书承诺，</w:t>
      </w:r>
      <w:r>
        <w:rPr>
          <w:rFonts w:hint="eastAsia" w:ascii="仿宋" w:hAnsi="仿宋" w:eastAsia="仿宋" w:cs="仿宋"/>
          <w:color w:val="auto"/>
          <w:sz w:val="24"/>
          <w:highlight w:val="none"/>
        </w:rPr>
        <w:t>中国人民保险</w:t>
      </w:r>
      <w:r>
        <w:rPr>
          <w:rFonts w:hint="eastAsia" w:ascii="仿宋" w:hAnsi="仿宋" w:eastAsia="仿宋" w:cs="宋体"/>
          <w:color w:val="auto"/>
          <w:sz w:val="24"/>
          <w:highlight w:val="none"/>
        </w:rPr>
        <w:t>有权依据其采购管理、供应商管理和采购文件相关要求，对我方进行严肃处理，相关处罚结果记入供应商诚信档案；</w:t>
      </w:r>
    </w:p>
    <w:p w14:paraId="4B6488C1">
      <w:pPr>
        <w:pageBreakBefore w:val="0"/>
        <w:kinsoku/>
        <w:overflowPunct/>
        <w:bidi w:val="0"/>
        <w:spacing w:line="600" w:lineRule="exact"/>
        <w:ind w:firstLine="480" w:firstLineChars="200"/>
        <w:rPr>
          <w:rFonts w:hint="eastAsia" w:ascii="仿宋" w:hAnsi="仿宋" w:eastAsia="仿宋" w:cs="宋体"/>
          <w:color w:val="auto"/>
          <w:sz w:val="24"/>
          <w:highlight w:val="none"/>
        </w:rPr>
      </w:pPr>
      <w:r>
        <w:rPr>
          <w:rFonts w:hint="eastAsia" w:ascii="仿宋" w:hAnsi="仿宋" w:eastAsia="仿宋" w:cs="宋体"/>
          <w:color w:val="auto"/>
          <w:sz w:val="24"/>
          <w:highlight w:val="none"/>
        </w:rPr>
        <w:t>（2）如我方及我方工作人员违反本承诺书承诺，</w:t>
      </w:r>
      <w:r>
        <w:rPr>
          <w:rFonts w:hint="eastAsia" w:ascii="仿宋" w:hAnsi="仿宋" w:eastAsia="仿宋" w:cs="仿宋"/>
          <w:color w:val="auto"/>
          <w:sz w:val="24"/>
          <w:highlight w:val="none"/>
        </w:rPr>
        <w:t>中国人民保险</w:t>
      </w:r>
      <w:r>
        <w:rPr>
          <w:rFonts w:hint="eastAsia" w:ascii="仿宋" w:hAnsi="仿宋" w:eastAsia="仿宋" w:cs="宋体"/>
          <w:color w:val="auto"/>
          <w:sz w:val="24"/>
          <w:highlight w:val="none"/>
        </w:rPr>
        <w:t>及其子公司等所有关联主体有权限制或取消我方在</w:t>
      </w:r>
      <w:r>
        <w:rPr>
          <w:rFonts w:hint="eastAsia" w:ascii="仿宋" w:hAnsi="仿宋" w:eastAsia="仿宋" w:cs="仿宋"/>
          <w:color w:val="auto"/>
          <w:sz w:val="24"/>
          <w:highlight w:val="none"/>
        </w:rPr>
        <w:t>中国人民保险</w:t>
      </w:r>
      <w:r>
        <w:rPr>
          <w:rFonts w:hint="eastAsia" w:ascii="仿宋" w:hAnsi="仿宋" w:eastAsia="仿宋" w:cs="宋体"/>
          <w:color w:val="auto"/>
          <w:sz w:val="24"/>
          <w:highlight w:val="none"/>
        </w:rPr>
        <w:t>参与</w:t>
      </w:r>
      <w:r>
        <w:rPr>
          <w:rFonts w:hint="eastAsia" w:ascii="仿宋" w:hAnsi="仿宋" w:eastAsia="仿宋" w:cs="宋体"/>
          <w:color w:val="auto"/>
          <w:sz w:val="24"/>
          <w:highlight w:val="none"/>
          <w:lang w:val="en-US" w:eastAsia="zh-CN"/>
        </w:rPr>
        <w:t>采购</w:t>
      </w:r>
      <w:r>
        <w:rPr>
          <w:rFonts w:hint="eastAsia" w:ascii="仿宋" w:hAnsi="仿宋" w:eastAsia="仿宋" w:cs="宋体"/>
          <w:color w:val="auto"/>
          <w:sz w:val="24"/>
          <w:highlight w:val="none"/>
        </w:rPr>
        <w:t>项目的资格；</w:t>
      </w:r>
    </w:p>
    <w:p w14:paraId="2D7370E3">
      <w:pPr>
        <w:pageBreakBefore w:val="0"/>
        <w:kinsoku/>
        <w:overflowPunct/>
        <w:bidi w:val="0"/>
        <w:spacing w:line="600" w:lineRule="exact"/>
        <w:ind w:firstLine="480" w:firstLineChars="200"/>
        <w:rPr>
          <w:rFonts w:hint="eastAsia" w:ascii="仿宋" w:hAnsi="仿宋" w:eastAsia="仿宋" w:cs="宋体"/>
          <w:color w:val="auto"/>
          <w:sz w:val="24"/>
          <w:highlight w:val="none"/>
        </w:rPr>
      </w:pPr>
      <w:r>
        <w:rPr>
          <w:rFonts w:hint="eastAsia" w:ascii="仿宋" w:hAnsi="仿宋" w:eastAsia="仿宋" w:cs="宋体"/>
          <w:color w:val="auto"/>
          <w:sz w:val="24"/>
          <w:highlight w:val="none"/>
        </w:rPr>
        <w:t>（3）如我方及我方工作人员违反本承诺书承诺，</w:t>
      </w:r>
      <w:r>
        <w:rPr>
          <w:rFonts w:hint="eastAsia" w:ascii="仿宋" w:hAnsi="仿宋" w:eastAsia="仿宋" w:cs="仿宋"/>
          <w:color w:val="auto"/>
          <w:sz w:val="24"/>
          <w:highlight w:val="none"/>
        </w:rPr>
        <w:t>中国人民保险</w:t>
      </w:r>
      <w:r>
        <w:rPr>
          <w:rFonts w:hint="eastAsia" w:ascii="仿宋" w:hAnsi="仿宋" w:eastAsia="仿宋" w:cs="宋体"/>
          <w:color w:val="auto"/>
          <w:sz w:val="24"/>
          <w:highlight w:val="none"/>
        </w:rPr>
        <w:t>及其子公司等所有关联主体有权选择单方全面终止与我方的合同及合作而无需承担任何责任；</w:t>
      </w:r>
    </w:p>
    <w:p w14:paraId="1DBAD39D">
      <w:pPr>
        <w:pageBreakBefore w:val="0"/>
        <w:kinsoku/>
        <w:overflowPunct/>
        <w:bidi w:val="0"/>
        <w:spacing w:line="600" w:lineRule="exact"/>
        <w:ind w:firstLine="480" w:firstLineChars="200"/>
        <w:rPr>
          <w:rFonts w:hint="eastAsia" w:ascii="仿宋" w:hAnsi="仿宋" w:eastAsia="仿宋" w:cs="宋体"/>
          <w:color w:val="auto"/>
          <w:sz w:val="24"/>
          <w:highlight w:val="none"/>
        </w:rPr>
      </w:pPr>
      <w:r>
        <w:rPr>
          <w:rFonts w:hint="eastAsia" w:ascii="仿宋" w:hAnsi="仿宋" w:eastAsia="仿宋" w:cs="宋体"/>
          <w:color w:val="auto"/>
          <w:sz w:val="24"/>
          <w:highlight w:val="none"/>
        </w:rPr>
        <w:t>（4）如我方及我方工作人员违反本承诺书承诺，除承担前述（1）（2）（3）项责任外，</w:t>
      </w:r>
      <w:r>
        <w:rPr>
          <w:rFonts w:hint="eastAsia" w:ascii="仿宋" w:hAnsi="仿宋" w:eastAsia="仿宋" w:cs="仿宋"/>
          <w:color w:val="auto"/>
          <w:sz w:val="24"/>
          <w:highlight w:val="none"/>
        </w:rPr>
        <w:t>中国人民保险</w:t>
      </w:r>
      <w:r>
        <w:rPr>
          <w:rFonts w:hint="eastAsia" w:ascii="仿宋" w:hAnsi="仿宋" w:eastAsia="仿宋" w:cs="宋体"/>
          <w:color w:val="auto"/>
          <w:sz w:val="24"/>
          <w:highlight w:val="none"/>
        </w:rPr>
        <w:t>及其子公司等所有关联主体有权扣除我方缴纳的投标保证金，投标保证金不足以弥补损失的，还有权要求我方承担相应的赔偿责任。</w:t>
      </w:r>
    </w:p>
    <w:p w14:paraId="5157843C">
      <w:pPr>
        <w:pageBreakBefore w:val="0"/>
        <w:kinsoku/>
        <w:overflowPunct/>
        <w:bidi w:val="0"/>
        <w:spacing w:line="600" w:lineRule="exact"/>
        <w:ind w:firstLine="480" w:firstLineChars="200"/>
        <w:rPr>
          <w:rFonts w:hint="eastAsia" w:ascii="仿宋" w:hAnsi="仿宋" w:eastAsia="仿宋" w:cs="宋体"/>
          <w:color w:val="auto"/>
          <w:sz w:val="24"/>
          <w:highlight w:val="none"/>
        </w:rPr>
      </w:pPr>
      <w:r>
        <w:rPr>
          <w:rFonts w:hint="eastAsia" w:ascii="仿宋" w:hAnsi="仿宋" w:eastAsia="仿宋" w:cs="宋体"/>
          <w:color w:val="auto"/>
          <w:sz w:val="24"/>
          <w:highlight w:val="none"/>
        </w:rPr>
        <w:t>本承诺书自承诺方签字和盖章之日起生效。如我方成功中选</w:t>
      </w:r>
      <w:r>
        <w:rPr>
          <w:rFonts w:hint="eastAsia" w:ascii="仿宋" w:hAnsi="仿宋" w:eastAsia="仿宋" w:cs="仿宋"/>
          <w:color w:val="auto"/>
          <w:sz w:val="24"/>
          <w:highlight w:val="none"/>
        </w:rPr>
        <w:t>中国人民保险</w:t>
      </w:r>
      <w:r>
        <w:rPr>
          <w:rFonts w:hint="eastAsia" w:ascii="仿宋" w:hAnsi="仿宋" w:eastAsia="仿宋" w:cs="宋体"/>
          <w:color w:val="auto"/>
          <w:sz w:val="24"/>
          <w:highlight w:val="none"/>
        </w:rPr>
        <w:t>采购项目，将按中国人民保险管理要求签署廉洁诚信协议作为采购合同附件，并严格遵守协议相关条款。</w:t>
      </w:r>
    </w:p>
    <w:p w14:paraId="23EC5A46">
      <w:pPr>
        <w:pageBreakBefore w:val="0"/>
        <w:tabs>
          <w:tab w:val="left" w:pos="458"/>
        </w:tabs>
        <w:kinsoku/>
        <w:overflowPunct/>
        <w:bidi w:val="0"/>
        <w:spacing w:line="600" w:lineRule="exact"/>
        <w:ind w:firstLine="3600" w:firstLineChars="1500"/>
        <w:rPr>
          <w:rFonts w:hint="eastAsia" w:ascii="仿宋" w:hAnsi="仿宋" w:eastAsia="仿宋" w:cs="仿宋"/>
          <w:color w:val="auto"/>
          <w:sz w:val="24"/>
          <w:highlight w:val="none"/>
        </w:rPr>
      </w:pPr>
      <w:r>
        <w:rPr>
          <w:rFonts w:hint="eastAsia" w:ascii="仿宋" w:hAnsi="仿宋" w:eastAsia="仿宋" w:cs="仿宋"/>
          <w:color w:val="auto"/>
          <w:sz w:val="24"/>
          <w:highlight w:val="none"/>
        </w:rPr>
        <w:t>公司名称（全称、盖章）：________________</w:t>
      </w:r>
    </w:p>
    <w:p w14:paraId="150D4BB7">
      <w:pPr>
        <w:pageBreakBefore w:val="0"/>
        <w:kinsoku/>
        <w:overflowPunct/>
        <w:bidi w:val="0"/>
        <w:spacing w:line="600" w:lineRule="exact"/>
        <w:ind w:firstLine="3578" w:firstLineChars="1491"/>
        <w:rPr>
          <w:rFonts w:hint="eastAsia" w:ascii="仿宋" w:hAnsi="仿宋" w:eastAsia="仿宋" w:cs="仿宋"/>
          <w:color w:val="auto"/>
          <w:sz w:val="24"/>
          <w:highlight w:val="none"/>
        </w:rPr>
      </w:pPr>
      <w:r>
        <w:rPr>
          <w:rFonts w:hint="eastAsia" w:ascii="仿宋" w:hAnsi="仿宋" w:eastAsia="仿宋" w:cs="仿宋"/>
          <w:color w:val="auto"/>
          <w:sz w:val="24"/>
          <w:highlight w:val="none"/>
        </w:rPr>
        <w:t>法定代表人姓名、职务：__________________</w:t>
      </w:r>
    </w:p>
    <w:p w14:paraId="51F7B606">
      <w:pPr>
        <w:pageBreakBefore w:val="0"/>
        <w:kinsoku/>
        <w:overflowPunct/>
        <w:bidi w:val="0"/>
        <w:spacing w:line="600" w:lineRule="exact"/>
        <w:ind w:firstLine="3578" w:firstLineChars="1491"/>
        <w:rPr>
          <w:rFonts w:hint="eastAsia" w:ascii="仿宋" w:hAnsi="仿宋" w:eastAsia="仿宋" w:cs="仿宋"/>
          <w:color w:val="auto"/>
          <w:sz w:val="24"/>
          <w:highlight w:val="none"/>
        </w:rPr>
      </w:pPr>
      <w:r>
        <w:rPr>
          <w:rFonts w:hint="eastAsia" w:ascii="仿宋" w:hAnsi="仿宋" w:eastAsia="仿宋" w:cs="仿宋"/>
          <w:color w:val="auto"/>
          <w:sz w:val="24"/>
          <w:highlight w:val="none"/>
        </w:rPr>
        <w:t>法定代表人或授权代表签字：______________</w:t>
      </w:r>
    </w:p>
    <w:p w14:paraId="1655C5BD">
      <w:pPr>
        <w:pageBreakBefore w:val="0"/>
        <w:kinsoku/>
        <w:overflowPunct/>
        <w:bidi w:val="0"/>
        <w:spacing w:line="600" w:lineRule="exact"/>
        <w:ind w:firstLine="3578" w:firstLineChars="1491"/>
        <w:rPr>
          <w:rFonts w:hint="eastAsia" w:ascii="仿宋" w:hAnsi="仿宋" w:eastAsia="仿宋" w:cs="仿宋"/>
          <w:color w:val="auto"/>
          <w:sz w:val="24"/>
          <w:highlight w:val="none"/>
        </w:rPr>
      </w:pPr>
      <w:r>
        <w:rPr>
          <w:rFonts w:hint="eastAsia" w:ascii="仿宋" w:hAnsi="仿宋" w:eastAsia="仿宋" w:cs="宋体"/>
          <w:color w:val="auto"/>
          <w:sz w:val="24"/>
          <w:highlight w:val="none"/>
        </w:rPr>
        <w:t>日期：</w:t>
      </w:r>
      <w:r>
        <w:rPr>
          <w:rFonts w:hint="eastAsia" w:ascii="仿宋" w:hAnsi="仿宋" w:eastAsia="仿宋" w:cs="仿宋"/>
          <w:color w:val="auto"/>
          <w:sz w:val="24"/>
          <w:highlight w:val="none"/>
        </w:rPr>
        <w:t>__________________________________</w:t>
      </w:r>
      <w:bookmarkStart w:id="725" w:name="_GoBack"/>
      <w:bookmarkEnd w:id="725"/>
    </w:p>
    <w:p w14:paraId="5411B708">
      <w:pPr>
        <w:pStyle w:val="5"/>
        <w:pageBreakBefore w:val="0"/>
        <w:kinsoku/>
        <w:overflowPunct/>
        <w:bidi w:val="0"/>
        <w:spacing w:line="600" w:lineRule="exact"/>
        <w:ind w:firstLine="0" w:firstLineChars="0"/>
        <w:rPr>
          <w:color w:val="auto"/>
          <w:highlight w:val="none"/>
        </w:rPr>
      </w:pPr>
      <w:r>
        <w:rPr>
          <w:rFonts w:hint="default" w:ascii="仿宋" w:hAnsi="仿宋"/>
          <w:color w:val="auto"/>
          <w:highlight w:val="none"/>
        </w:rPr>
        <w:br w:type="page"/>
      </w:r>
      <w:bookmarkStart w:id="694" w:name="_Toc15311"/>
      <w:r>
        <w:rPr>
          <w:rFonts w:ascii="仿宋" w:hAnsi="仿宋" w:cs="仿宋"/>
          <w:color w:val="auto"/>
          <w:szCs w:val="24"/>
          <w:highlight w:val="none"/>
        </w:rPr>
        <w:t>（九）其他材料</w:t>
      </w:r>
      <w:bookmarkEnd w:id="688"/>
      <w:bookmarkEnd w:id="689"/>
      <w:bookmarkEnd w:id="691"/>
      <w:bookmarkEnd w:id="692"/>
      <w:bookmarkEnd w:id="694"/>
    </w:p>
    <w:p w14:paraId="73922323">
      <w:pPr>
        <w:pageBreakBefore w:val="0"/>
        <w:kinsoku/>
        <w:overflowPunct/>
        <w:bidi w:val="0"/>
        <w:spacing w:line="600" w:lineRule="exact"/>
        <w:rPr>
          <w:rFonts w:hint="eastAsia" w:ascii="宋体" w:hAnsi="宋体"/>
          <w:color w:val="auto"/>
          <w:szCs w:val="21"/>
          <w:highlight w:val="none"/>
        </w:rPr>
      </w:pPr>
      <w:r>
        <w:rPr>
          <w:rFonts w:hint="eastAsia" w:ascii="仿宋" w:hAnsi="仿宋" w:eastAsia="仿宋" w:cs="Cambria Math"/>
          <w:color w:val="auto"/>
          <w:sz w:val="24"/>
          <w:highlight w:val="none"/>
        </w:rPr>
        <w:t>详细评审中商务部分涉及的文件及证明材料、</w:t>
      </w:r>
      <w:r>
        <w:rPr>
          <w:rFonts w:ascii="仿宋" w:hAnsi="仿宋" w:eastAsia="仿宋" w:cs="宋体"/>
          <w:color w:val="auto"/>
          <w:sz w:val="24"/>
          <w:szCs w:val="24"/>
          <w:highlight w:val="none"/>
        </w:rPr>
        <w:t>投标人认为需提供的其他材料</w:t>
      </w:r>
      <w:r>
        <w:rPr>
          <w:rFonts w:hint="eastAsia" w:ascii="仿宋" w:hAnsi="仿宋" w:eastAsia="仿宋" w:cs="宋体"/>
          <w:color w:val="auto"/>
          <w:sz w:val="24"/>
          <w:szCs w:val="24"/>
          <w:highlight w:val="none"/>
        </w:rPr>
        <w:t>。</w:t>
      </w:r>
    </w:p>
    <w:p w14:paraId="4FD71177">
      <w:pPr>
        <w:pStyle w:val="2"/>
        <w:rPr>
          <w:rFonts w:hint="eastAsia" w:ascii="仿宋" w:hAnsi="仿宋" w:cs="宋体"/>
          <w:color w:val="auto"/>
          <w:szCs w:val="24"/>
          <w:highlight w:val="none"/>
        </w:rPr>
      </w:pPr>
      <w:r>
        <w:rPr>
          <w:rFonts w:hint="eastAsia" w:ascii="仿宋" w:hAnsi="仿宋" w:cs="宋体"/>
          <w:color w:val="auto"/>
          <w:highlight w:val="none"/>
        </w:rPr>
        <w:br w:type="page"/>
      </w:r>
      <w:bookmarkStart w:id="695" w:name="_Toc20302"/>
      <w:bookmarkStart w:id="696" w:name="_Toc1018"/>
      <w:bookmarkStart w:id="697" w:name="_Toc65683013"/>
      <w:bookmarkStart w:id="698" w:name="_Toc109124327"/>
      <w:r>
        <w:rPr>
          <w:rFonts w:hint="eastAsia" w:ascii="仿宋" w:hAnsi="仿宋" w:cs="宋体"/>
          <w:color w:val="auto"/>
          <w:szCs w:val="24"/>
          <w:highlight w:val="none"/>
        </w:rPr>
        <w:t>二、技术文件</w:t>
      </w:r>
      <w:bookmarkEnd w:id="695"/>
      <w:bookmarkEnd w:id="696"/>
      <w:bookmarkEnd w:id="697"/>
      <w:bookmarkEnd w:id="698"/>
    </w:p>
    <w:p w14:paraId="394C8D9A">
      <w:pPr>
        <w:pStyle w:val="5"/>
        <w:pageBreakBefore w:val="0"/>
        <w:kinsoku/>
        <w:overflowPunct/>
        <w:bidi w:val="0"/>
        <w:spacing w:line="600" w:lineRule="exact"/>
        <w:ind w:firstLine="482"/>
        <w:rPr>
          <w:rFonts w:ascii="仿宋" w:hAnsi="仿宋" w:cs="宋体"/>
          <w:b w:val="0"/>
          <w:color w:val="auto"/>
          <w:highlight w:val="none"/>
        </w:rPr>
      </w:pPr>
      <w:bookmarkStart w:id="699" w:name="_Toc112068406"/>
      <w:bookmarkStart w:id="700" w:name="_Toc8506"/>
      <w:bookmarkStart w:id="701" w:name="_Toc65683014"/>
      <w:bookmarkStart w:id="702" w:name="_Toc109124328"/>
      <w:bookmarkStart w:id="703" w:name="_Toc29153"/>
      <w:r>
        <w:rPr>
          <w:rFonts w:ascii="仿宋" w:hAnsi="仿宋" w:cs="宋体"/>
          <w:color w:val="auto"/>
          <w:highlight w:val="none"/>
        </w:rPr>
        <w:t>详细评审索引表</w:t>
      </w:r>
      <w:bookmarkEnd w:id="699"/>
      <w:bookmarkEnd w:id="700"/>
    </w:p>
    <w:tbl>
      <w:tblPr>
        <w:tblStyle w:val="33"/>
        <w:tblW w:w="951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29"/>
        <w:gridCol w:w="1696"/>
        <w:gridCol w:w="2268"/>
        <w:gridCol w:w="4820"/>
      </w:tblGrid>
      <w:tr w14:paraId="28C99E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5" w:hRule="atLeast"/>
          <w:jc w:val="center"/>
        </w:trPr>
        <w:tc>
          <w:tcPr>
            <w:tcW w:w="729" w:type="dxa"/>
            <w:noWrap w:val="0"/>
            <w:tcMar>
              <w:top w:w="15" w:type="dxa"/>
              <w:left w:w="15" w:type="dxa"/>
              <w:right w:w="15" w:type="dxa"/>
            </w:tcMar>
            <w:vAlign w:val="center"/>
          </w:tcPr>
          <w:p w14:paraId="2D8583EE">
            <w:pPr>
              <w:keepNext w:val="0"/>
              <w:keepLines w:val="0"/>
              <w:pageBreakBefore w:val="0"/>
              <w:widowControl/>
              <w:suppressLineNumbers w:val="0"/>
              <w:kinsoku/>
              <w:overflowPunct/>
              <w:bidi w:val="0"/>
              <w:spacing w:before="0" w:beforeAutospacing="0" w:after="0" w:afterAutospacing="0" w:line="600" w:lineRule="exact"/>
              <w:ind w:left="0" w:right="0"/>
              <w:jc w:val="center"/>
              <w:textAlignment w:val="center"/>
              <w:rPr>
                <w:rFonts w:hint="eastAsia" w:ascii="仿宋" w:hAnsi="仿宋" w:eastAsia="仿宋" w:cs="宋体"/>
                <w:b/>
                <w:color w:val="auto"/>
                <w:szCs w:val="21"/>
                <w:highlight w:val="none"/>
              </w:rPr>
            </w:pPr>
            <w:r>
              <w:rPr>
                <w:rFonts w:hint="eastAsia" w:ascii="仿宋" w:hAnsi="仿宋" w:eastAsia="仿宋" w:cs="宋体"/>
                <w:b/>
                <w:color w:val="auto"/>
                <w:kern w:val="0"/>
                <w:szCs w:val="21"/>
                <w:highlight w:val="none"/>
                <w:lang w:bidi="ar"/>
              </w:rPr>
              <w:t>序号</w:t>
            </w:r>
          </w:p>
        </w:tc>
        <w:tc>
          <w:tcPr>
            <w:tcW w:w="1696" w:type="dxa"/>
            <w:noWrap w:val="0"/>
            <w:tcMar>
              <w:top w:w="15" w:type="dxa"/>
              <w:left w:w="15" w:type="dxa"/>
              <w:right w:w="15" w:type="dxa"/>
            </w:tcMar>
            <w:vAlign w:val="center"/>
          </w:tcPr>
          <w:p w14:paraId="5B841D37">
            <w:pPr>
              <w:keepNext w:val="0"/>
              <w:keepLines w:val="0"/>
              <w:pageBreakBefore w:val="0"/>
              <w:suppressLineNumbers w:val="0"/>
              <w:kinsoku/>
              <w:overflowPunct/>
              <w:bidi w:val="0"/>
              <w:spacing w:before="0" w:beforeAutospacing="0" w:after="0" w:afterAutospacing="0" w:line="600" w:lineRule="exact"/>
              <w:ind w:left="0" w:right="0"/>
              <w:jc w:val="center"/>
              <w:rPr>
                <w:rFonts w:hint="eastAsia" w:ascii="仿宋" w:hAnsi="仿宋" w:eastAsia="仿宋" w:cs="宋体"/>
                <w:b/>
                <w:color w:val="auto"/>
                <w:kern w:val="0"/>
                <w:szCs w:val="21"/>
                <w:highlight w:val="none"/>
                <w:lang w:bidi="ar"/>
              </w:rPr>
            </w:pPr>
            <w:r>
              <w:rPr>
                <w:rFonts w:hint="eastAsia" w:ascii="仿宋" w:hAnsi="仿宋" w:eastAsia="仿宋" w:cs="宋体"/>
                <w:b/>
                <w:bCs/>
                <w:color w:val="auto"/>
                <w:szCs w:val="21"/>
                <w:highlight w:val="none"/>
              </w:rPr>
              <w:t>评审项</w:t>
            </w:r>
          </w:p>
        </w:tc>
        <w:tc>
          <w:tcPr>
            <w:tcW w:w="2268" w:type="dxa"/>
            <w:noWrap w:val="0"/>
            <w:vAlign w:val="top"/>
          </w:tcPr>
          <w:p w14:paraId="760C55F3">
            <w:pPr>
              <w:keepNext w:val="0"/>
              <w:keepLines w:val="0"/>
              <w:pageBreakBefore w:val="0"/>
              <w:widowControl/>
              <w:suppressLineNumbers w:val="0"/>
              <w:kinsoku/>
              <w:overflowPunct/>
              <w:bidi w:val="0"/>
              <w:spacing w:before="0" w:beforeAutospacing="0" w:after="0" w:afterAutospacing="0" w:line="600" w:lineRule="exact"/>
              <w:ind w:left="0" w:right="0"/>
              <w:jc w:val="center"/>
              <w:rPr>
                <w:rFonts w:hint="eastAsia" w:ascii="仿宋" w:hAnsi="仿宋" w:eastAsia="仿宋" w:cs="宋体"/>
                <w:b/>
                <w:color w:val="auto"/>
                <w:kern w:val="0"/>
                <w:szCs w:val="21"/>
                <w:highlight w:val="none"/>
              </w:rPr>
            </w:pPr>
            <w:r>
              <w:rPr>
                <w:rFonts w:hint="eastAsia" w:ascii="仿宋" w:hAnsi="仿宋" w:eastAsia="仿宋" w:cs="宋体"/>
                <w:b/>
                <w:color w:val="auto"/>
                <w:kern w:val="0"/>
                <w:szCs w:val="21"/>
                <w:highlight w:val="none"/>
                <w:lang w:bidi="ar"/>
              </w:rPr>
              <w:t>评审因素</w:t>
            </w:r>
          </w:p>
        </w:tc>
        <w:tc>
          <w:tcPr>
            <w:tcW w:w="4820" w:type="dxa"/>
            <w:noWrap w:val="0"/>
            <w:tcMar>
              <w:top w:w="15" w:type="dxa"/>
              <w:left w:w="15" w:type="dxa"/>
              <w:right w:w="15" w:type="dxa"/>
            </w:tcMar>
            <w:vAlign w:val="center"/>
          </w:tcPr>
          <w:p w14:paraId="21EC8D6B">
            <w:pPr>
              <w:keepNext w:val="0"/>
              <w:keepLines w:val="0"/>
              <w:pageBreakBefore w:val="0"/>
              <w:widowControl/>
              <w:suppressLineNumbers w:val="0"/>
              <w:kinsoku/>
              <w:overflowPunct/>
              <w:bidi w:val="0"/>
              <w:spacing w:before="0" w:beforeAutospacing="0" w:after="0" w:afterAutospacing="0" w:line="600" w:lineRule="exact"/>
              <w:ind w:left="0" w:right="0"/>
              <w:jc w:val="center"/>
              <w:rPr>
                <w:rFonts w:hint="eastAsia" w:ascii="仿宋" w:hAnsi="仿宋" w:eastAsia="仿宋" w:cs="宋体"/>
                <w:b/>
                <w:color w:val="auto"/>
                <w:kern w:val="0"/>
                <w:szCs w:val="21"/>
                <w:highlight w:val="none"/>
              </w:rPr>
            </w:pPr>
            <w:r>
              <w:rPr>
                <w:rFonts w:hint="eastAsia" w:ascii="仿宋" w:hAnsi="仿宋" w:eastAsia="仿宋" w:cs="宋体"/>
                <w:b/>
                <w:color w:val="auto"/>
                <w:kern w:val="0"/>
                <w:szCs w:val="21"/>
                <w:highlight w:val="none"/>
              </w:rPr>
              <w:t>页码范围及说明</w:t>
            </w:r>
          </w:p>
        </w:tc>
      </w:tr>
      <w:tr w14:paraId="7E33A5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69" w:hRule="atLeast"/>
          <w:jc w:val="center"/>
        </w:trPr>
        <w:tc>
          <w:tcPr>
            <w:tcW w:w="729" w:type="dxa"/>
            <w:noWrap w:val="0"/>
            <w:tcMar>
              <w:top w:w="15" w:type="dxa"/>
              <w:left w:w="15" w:type="dxa"/>
              <w:right w:w="15" w:type="dxa"/>
            </w:tcMar>
            <w:vAlign w:val="center"/>
          </w:tcPr>
          <w:p w14:paraId="32BD6C3B">
            <w:pPr>
              <w:keepNext w:val="0"/>
              <w:keepLines w:val="0"/>
              <w:pageBreakBefore w:val="0"/>
              <w:widowControl/>
              <w:suppressLineNumbers w:val="0"/>
              <w:kinsoku/>
              <w:overflowPunct/>
              <w:bidi w:val="0"/>
              <w:spacing w:before="0" w:beforeAutospacing="0" w:after="0" w:afterAutospacing="0" w:line="600" w:lineRule="exact"/>
              <w:ind w:left="0" w:right="0"/>
              <w:jc w:val="center"/>
              <w:textAlignment w:val="center"/>
              <w:rPr>
                <w:rFonts w:hint="eastAsia" w:ascii="仿宋" w:hAnsi="仿宋" w:eastAsia="仿宋" w:cs="宋体"/>
                <w:color w:val="auto"/>
                <w:kern w:val="0"/>
                <w:szCs w:val="21"/>
                <w:highlight w:val="none"/>
                <w:lang w:bidi="ar"/>
              </w:rPr>
            </w:pPr>
            <w:r>
              <w:rPr>
                <w:rFonts w:hint="eastAsia" w:ascii="仿宋" w:hAnsi="仿宋" w:eastAsia="仿宋" w:cs="宋体"/>
                <w:color w:val="auto"/>
                <w:kern w:val="0"/>
                <w:szCs w:val="21"/>
                <w:highlight w:val="none"/>
                <w:lang w:bidi="ar"/>
              </w:rPr>
              <w:t>3</w:t>
            </w:r>
          </w:p>
        </w:tc>
        <w:tc>
          <w:tcPr>
            <w:tcW w:w="1696" w:type="dxa"/>
            <w:vMerge w:val="restart"/>
            <w:noWrap w:val="0"/>
            <w:tcMar>
              <w:top w:w="15" w:type="dxa"/>
              <w:left w:w="15" w:type="dxa"/>
              <w:right w:w="15" w:type="dxa"/>
            </w:tcMar>
            <w:vAlign w:val="center"/>
          </w:tcPr>
          <w:p w14:paraId="60103B1F">
            <w:pPr>
              <w:keepNext w:val="0"/>
              <w:keepLines w:val="0"/>
              <w:pageBreakBefore w:val="0"/>
              <w:widowControl/>
              <w:suppressLineNumbers w:val="0"/>
              <w:kinsoku/>
              <w:overflowPunct/>
              <w:bidi w:val="0"/>
              <w:spacing w:before="0" w:beforeAutospacing="0" w:after="0" w:afterAutospacing="0" w:line="600" w:lineRule="exact"/>
              <w:ind w:left="0" w:right="0"/>
              <w:jc w:val="center"/>
              <w:textAlignment w:val="center"/>
              <w:rPr>
                <w:rFonts w:hint="eastAsia" w:ascii="仿宋" w:hAnsi="仿宋" w:eastAsia="仿宋" w:cs="宋体"/>
                <w:color w:val="auto"/>
                <w:szCs w:val="21"/>
                <w:highlight w:val="none"/>
              </w:rPr>
            </w:pPr>
            <w:r>
              <w:rPr>
                <w:rFonts w:hint="eastAsia" w:ascii="仿宋" w:hAnsi="仿宋" w:eastAsia="仿宋" w:cs="宋体"/>
                <w:color w:val="auto"/>
                <w:szCs w:val="21"/>
                <w:highlight w:val="none"/>
              </w:rPr>
              <w:t>技术得分</w:t>
            </w:r>
          </w:p>
          <w:p w14:paraId="28058ADB">
            <w:pPr>
              <w:keepNext w:val="0"/>
              <w:keepLines w:val="0"/>
              <w:pageBreakBefore w:val="0"/>
              <w:widowControl/>
              <w:suppressLineNumbers w:val="0"/>
              <w:kinsoku/>
              <w:overflowPunct/>
              <w:bidi w:val="0"/>
              <w:spacing w:before="0" w:beforeAutospacing="0" w:after="0" w:afterAutospacing="0" w:line="600" w:lineRule="exact"/>
              <w:ind w:left="0" w:right="0"/>
              <w:jc w:val="center"/>
              <w:textAlignment w:val="center"/>
              <w:rPr>
                <w:rFonts w:hint="eastAsia" w:ascii="仿宋" w:hAnsi="仿宋" w:eastAsia="仿宋" w:cs="宋体"/>
                <w:color w:val="auto"/>
                <w:kern w:val="0"/>
                <w:szCs w:val="21"/>
                <w:highlight w:val="none"/>
                <w:lang w:bidi="ar"/>
              </w:rPr>
            </w:pPr>
            <w:r>
              <w:rPr>
                <w:rFonts w:hint="eastAsia" w:ascii="仿宋" w:hAnsi="仿宋" w:eastAsia="仿宋" w:cs="宋体"/>
                <w:color w:val="auto"/>
                <w:szCs w:val="21"/>
                <w:highlight w:val="none"/>
              </w:rPr>
              <w:t>（XX分）</w:t>
            </w:r>
          </w:p>
        </w:tc>
        <w:tc>
          <w:tcPr>
            <w:tcW w:w="2268" w:type="dxa"/>
            <w:noWrap w:val="0"/>
            <w:vAlign w:val="center"/>
          </w:tcPr>
          <w:p w14:paraId="510D521A">
            <w:pPr>
              <w:keepNext w:val="0"/>
              <w:keepLines w:val="0"/>
              <w:pageBreakBefore w:val="0"/>
              <w:suppressLineNumbers w:val="0"/>
              <w:kinsoku/>
              <w:overflowPunct/>
              <w:bidi w:val="0"/>
              <w:spacing w:before="0" w:beforeAutospacing="0" w:after="0" w:afterAutospacing="0" w:line="600" w:lineRule="exact"/>
              <w:ind w:left="0" w:right="0"/>
              <w:jc w:val="center"/>
              <w:rPr>
                <w:rFonts w:hint="eastAsia" w:ascii="仿宋" w:hAnsi="仿宋" w:eastAsia="仿宋" w:cs="宋体"/>
                <w:color w:val="auto"/>
                <w:szCs w:val="21"/>
                <w:highlight w:val="none"/>
              </w:rPr>
            </w:pPr>
          </w:p>
        </w:tc>
        <w:tc>
          <w:tcPr>
            <w:tcW w:w="4820" w:type="dxa"/>
            <w:noWrap w:val="0"/>
            <w:tcMar>
              <w:top w:w="15" w:type="dxa"/>
              <w:left w:w="15" w:type="dxa"/>
              <w:right w:w="15" w:type="dxa"/>
            </w:tcMar>
            <w:vAlign w:val="center"/>
          </w:tcPr>
          <w:p w14:paraId="30751F67">
            <w:pPr>
              <w:keepNext w:val="0"/>
              <w:keepLines w:val="0"/>
              <w:pageBreakBefore w:val="0"/>
              <w:suppressLineNumbers w:val="0"/>
              <w:kinsoku/>
              <w:overflowPunct/>
              <w:bidi w:val="0"/>
              <w:spacing w:before="0" w:beforeAutospacing="0" w:after="0" w:afterAutospacing="0" w:line="600" w:lineRule="exact"/>
              <w:ind w:left="0" w:right="0"/>
              <w:rPr>
                <w:rStyle w:val="102"/>
                <w:rFonts w:hint="default" w:cs="宋体"/>
                <w:color w:val="auto"/>
                <w:highlight w:val="none"/>
                <w:lang w:bidi="ar"/>
              </w:rPr>
            </w:pPr>
          </w:p>
        </w:tc>
      </w:tr>
      <w:tr w14:paraId="268CAD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69" w:hRule="atLeast"/>
          <w:jc w:val="center"/>
        </w:trPr>
        <w:tc>
          <w:tcPr>
            <w:tcW w:w="729" w:type="dxa"/>
            <w:noWrap w:val="0"/>
            <w:tcMar>
              <w:top w:w="15" w:type="dxa"/>
              <w:left w:w="15" w:type="dxa"/>
              <w:right w:w="15" w:type="dxa"/>
            </w:tcMar>
            <w:vAlign w:val="center"/>
          </w:tcPr>
          <w:p w14:paraId="7A4A4D99">
            <w:pPr>
              <w:keepNext w:val="0"/>
              <w:keepLines w:val="0"/>
              <w:pageBreakBefore w:val="0"/>
              <w:widowControl/>
              <w:suppressLineNumbers w:val="0"/>
              <w:kinsoku/>
              <w:overflowPunct/>
              <w:bidi w:val="0"/>
              <w:spacing w:before="0" w:beforeAutospacing="0" w:after="0" w:afterAutospacing="0" w:line="600" w:lineRule="exact"/>
              <w:ind w:left="0" w:right="0"/>
              <w:jc w:val="center"/>
              <w:textAlignment w:val="center"/>
              <w:rPr>
                <w:rFonts w:hint="eastAsia" w:ascii="仿宋" w:hAnsi="仿宋" w:eastAsia="仿宋" w:cs="宋体"/>
                <w:color w:val="auto"/>
                <w:kern w:val="0"/>
                <w:szCs w:val="21"/>
                <w:highlight w:val="none"/>
                <w:lang w:bidi="ar"/>
              </w:rPr>
            </w:pPr>
            <w:r>
              <w:rPr>
                <w:rFonts w:hint="eastAsia" w:ascii="仿宋" w:hAnsi="仿宋" w:eastAsia="仿宋" w:cs="宋体"/>
                <w:color w:val="auto"/>
                <w:kern w:val="0"/>
                <w:szCs w:val="21"/>
                <w:highlight w:val="none"/>
                <w:lang w:bidi="ar"/>
              </w:rPr>
              <w:t>4</w:t>
            </w:r>
          </w:p>
        </w:tc>
        <w:tc>
          <w:tcPr>
            <w:tcW w:w="1696" w:type="dxa"/>
            <w:vMerge w:val="continue"/>
            <w:noWrap w:val="0"/>
            <w:tcMar>
              <w:top w:w="15" w:type="dxa"/>
              <w:left w:w="15" w:type="dxa"/>
              <w:right w:w="15" w:type="dxa"/>
            </w:tcMar>
            <w:vAlign w:val="center"/>
          </w:tcPr>
          <w:p w14:paraId="0FCDE004">
            <w:pPr>
              <w:keepNext w:val="0"/>
              <w:keepLines w:val="0"/>
              <w:pageBreakBefore w:val="0"/>
              <w:widowControl/>
              <w:suppressLineNumbers w:val="0"/>
              <w:kinsoku/>
              <w:overflowPunct/>
              <w:bidi w:val="0"/>
              <w:spacing w:before="0" w:beforeAutospacing="0" w:after="0" w:afterAutospacing="0" w:line="600" w:lineRule="exact"/>
              <w:ind w:left="0" w:right="0"/>
              <w:jc w:val="center"/>
              <w:textAlignment w:val="center"/>
              <w:rPr>
                <w:rFonts w:hint="eastAsia" w:ascii="仿宋" w:hAnsi="仿宋" w:eastAsia="仿宋" w:cs="宋体"/>
                <w:color w:val="auto"/>
                <w:szCs w:val="21"/>
                <w:highlight w:val="none"/>
              </w:rPr>
            </w:pPr>
          </w:p>
        </w:tc>
        <w:tc>
          <w:tcPr>
            <w:tcW w:w="2268" w:type="dxa"/>
            <w:noWrap w:val="0"/>
            <w:vAlign w:val="center"/>
          </w:tcPr>
          <w:p w14:paraId="34CE0525">
            <w:pPr>
              <w:keepNext w:val="0"/>
              <w:keepLines w:val="0"/>
              <w:pageBreakBefore w:val="0"/>
              <w:widowControl/>
              <w:suppressLineNumbers w:val="0"/>
              <w:kinsoku/>
              <w:overflowPunct/>
              <w:bidi w:val="0"/>
              <w:spacing w:before="0" w:beforeAutospacing="0" w:after="0" w:afterAutospacing="0" w:line="600" w:lineRule="exact"/>
              <w:ind w:left="0" w:right="0"/>
              <w:jc w:val="center"/>
              <w:textAlignment w:val="center"/>
              <w:rPr>
                <w:rFonts w:hint="eastAsia" w:ascii="仿宋" w:hAnsi="仿宋" w:eastAsia="仿宋" w:cs="宋体"/>
                <w:color w:val="auto"/>
                <w:szCs w:val="21"/>
                <w:highlight w:val="none"/>
              </w:rPr>
            </w:pPr>
          </w:p>
        </w:tc>
        <w:tc>
          <w:tcPr>
            <w:tcW w:w="4820" w:type="dxa"/>
            <w:noWrap w:val="0"/>
            <w:tcMar>
              <w:top w:w="15" w:type="dxa"/>
              <w:left w:w="15" w:type="dxa"/>
              <w:right w:w="15" w:type="dxa"/>
            </w:tcMar>
            <w:vAlign w:val="center"/>
          </w:tcPr>
          <w:p w14:paraId="56776BB8">
            <w:pPr>
              <w:keepNext w:val="0"/>
              <w:keepLines w:val="0"/>
              <w:pageBreakBefore w:val="0"/>
              <w:suppressLineNumbers w:val="0"/>
              <w:kinsoku/>
              <w:overflowPunct/>
              <w:bidi w:val="0"/>
              <w:spacing w:before="0" w:beforeAutospacing="0" w:after="0" w:afterAutospacing="0" w:line="600" w:lineRule="exact"/>
              <w:ind w:left="0" w:right="0"/>
              <w:rPr>
                <w:rStyle w:val="102"/>
                <w:rFonts w:hint="default" w:cs="宋体"/>
                <w:color w:val="auto"/>
                <w:highlight w:val="none"/>
                <w:lang w:bidi="ar"/>
              </w:rPr>
            </w:pPr>
          </w:p>
        </w:tc>
      </w:tr>
      <w:tr w14:paraId="4FC273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69" w:hRule="atLeast"/>
          <w:jc w:val="center"/>
        </w:trPr>
        <w:tc>
          <w:tcPr>
            <w:tcW w:w="729" w:type="dxa"/>
            <w:noWrap w:val="0"/>
            <w:tcMar>
              <w:top w:w="15" w:type="dxa"/>
              <w:left w:w="15" w:type="dxa"/>
              <w:right w:w="15" w:type="dxa"/>
            </w:tcMar>
            <w:vAlign w:val="center"/>
          </w:tcPr>
          <w:p w14:paraId="08670D8D">
            <w:pPr>
              <w:keepNext w:val="0"/>
              <w:keepLines w:val="0"/>
              <w:pageBreakBefore w:val="0"/>
              <w:widowControl/>
              <w:suppressLineNumbers w:val="0"/>
              <w:kinsoku/>
              <w:overflowPunct/>
              <w:bidi w:val="0"/>
              <w:spacing w:before="0" w:beforeAutospacing="0" w:after="0" w:afterAutospacing="0" w:line="600" w:lineRule="exact"/>
              <w:ind w:left="0" w:right="0"/>
              <w:jc w:val="center"/>
              <w:textAlignment w:val="center"/>
              <w:rPr>
                <w:rFonts w:hint="eastAsia" w:ascii="仿宋" w:hAnsi="仿宋" w:eastAsia="仿宋" w:cs="宋体"/>
                <w:color w:val="auto"/>
                <w:kern w:val="0"/>
                <w:szCs w:val="21"/>
                <w:highlight w:val="none"/>
                <w:lang w:bidi="ar"/>
              </w:rPr>
            </w:pPr>
            <w:r>
              <w:rPr>
                <w:rFonts w:hint="eastAsia" w:ascii="仿宋" w:hAnsi="仿宋" w:eastAsia="仿宋" w:cs="宋体"/>
                <w:color w:val="auto"/>
                <w:kern w:val="0"/>
                <w:szCs w:val="21"/>
                <w:highlight w:val="none"/>
                <w:lang w:bidi="ar"/>
              </w:rPr>
              <w:t>5</w:t>
            </w:r>
          </w:p>
        </w:tc>
        <w:tc>
          <w:tcPr>
            <w:tcW w:w="1696" w:type="dxa"/>
            <w:vMerge w:val="continue"/>
            <w:noWrap w:val="0"/>
            <w:tcMar>
              <w:top w:w="15" w:type="dxa"/>
              <w:left w:w="15" w:type="dxa"/>
              <w:right w:w="15" w:type="dxa"/>
            </w:tcMar>
            <w:vAlign w:val="center"/>
          </w:tcPr>
          <w:p w14:paraId="424EF559">
            <w:pPr>
              <w:keepNext w:val="0"/>
              <w:keepLines w:val="0"/>
              <w:pageBreakBefore w:val="0"/>
              <w:widowControl/>
              <w:suppressLineNumbers w:val="0"/>
              <w:kinsoku/>
              <w:overflowPunct/>
              <w:bidi w:val="0"/>
              <w:spacing w:before="0" w:beforeAutospacing="0" w:after="0" w:afterAutospacing="0" w:line="600" w:lineRule="exact"/>
              <w:ind w:left="0" w:right="0"/>
              <w:jc w:val="center"/>
              <w:textAlignment w:val="center"/>
              <w:rPr>
                <w:rFonts w:hint="eastAsia" w:ascii="仿宋" w:hAnsi="仿宋" w:eastAsia="仿宋" w:cs="宋体"/>
                <w:color w:val="auto"/>
                <w:szCs w:val="21"/>
                <w:highlight w:val="none"/>
              </w:rPr>
            </w:pPr>
          </w:p>
        </w:tc>
        <w:tc>
          <w:tcPr>
            <w:tcW w:w="2268" w:type="dxa"/>
            <w:noWrap w:val="0"/>
            <w:vAlign w:val="center"/>
          </w:tcPr>
          <w:p w14:paraId="2D587545">
            <w:pPr>
              <w:keepNext w:val="0"/>
              <w:keepLines w:val="0"/>
              <w:pageBreakBefore w:val="0"/>
              <w:widowControl/>
              <w:suppressLineNumbers w:val="0"/>
              <w:kinsoku/>
              <w:overflowPunct/>
              <w:bidi w:val="0"/>
              <w:spacing w:before="0" w:beforeAutospacing="0" w:after="0" w:afterAutospacing="0" w:line="600" w:lineRule="exact"/>
              <w:ind w:left="0" w:right="0"/>
              <w:jc w:val="center"/>
              <w:textAlignment w:val="center"/>
              <w:rPr>
                <w:rFonts w:hint="eastAsia" w:ascii="仿宋" w:hAnsi="仿宋" w:eastAsia="仿宋" w:cs="宋体"/>
                <w:color w:val="auto"/>
                <w:szCs w:val="21"/>
                <w:highlight w:val="none"/>
              </w:rPr>
            </w:pPr>
          </w:p>
        </w:tc>
        <w:tc>
          <w:tcPr>
            <w:tcW w:w="4820" w:type="dxa"/>
            <w:noWrap w:val="0"/>
            <w:tcMar>
              <w:top w:w="15" w:type="dxa"/>
              <w:left w:w="15" w:type="dxa"/>
              <w:right w:w="15" w:type="dxa"/>
            </w:tcMar>
            <w:vAlign w:val="center"/>
          </w:tcPr>
          <w:p w14:paraId="7051CAF8">
            <w:pPr>
              <w:keepNext w:val="0"/>
              <w:keepLines w:val="0"/>
              <w:pageBreakBefore w:val="0"/>
              <w:suppressLineNumbers w:val="0"/>
              <w:kinsoku/>
              <w:overflowPunct/>
              <w:bidi w:val="0"/>
              <w:spacing w:before="0" w:beforeAutospacing="0" w:after="0" w:afterAutospacing="0" w:line="600" w:lineRule="exact"/>
              <w:ind w:left="0" w:right="0"/>
              <w:rPr>
                <w:rStyle w:val="102"/>
                <w:rFonts w:hint="default" w:cs="宋体"/>
                <w:color w:val="auto"/>
                <w:highlight w:val="none"/>
                <w:lang w:bidi="ar"/>
              </w:rPr>
            </w:pPr>
          </w:p>
        </w:tc>
      </w:tr>
      <w:tr w14:paraId="5EC34A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69" w:hRule="atLeast"/>
          <w:jc w:val="center"/>
        </w:trPr>
        <w:tc>
          <w:tcPr>
            <w:tcW w:w="729" w:type="dxa"/>
            <w:noWrap w:val="0"/>
            <w:tcMar>
              <w:top w:w="15" w:type="dxa"/>
              <w:left w:w="15" w:type="dxa"/>
              <w:right w:w="15" w:type="dxa"/>
            </w:tcMar>
            <w:vAlign w:val="center"/>
          </w:tcPr>
          <w:p w14:paraId="0436F957">
            <w:pPr>
              <w:keepNext w:val="0"/>
              <w:keepLines w:val="0"/>
              <w:pageBreakBefore w:val="0"/>
              <w:widowControl/>
              <w:suppressLineNumbers w:val="0"/>
              <w:kinsoku/>
              <w:overflowPunct/>
              <w:bidi w:val="0"/>
              <w:spacing w:before="0" w:beforeAutospacing="0" w:after="0" w:afterAutospacing="0" w:line="600" w:lineRule="exact"/>
              <w:ind w:left="0" w:right="0"/>
              <w:jc w:val="center"/>
              <w:textAlignment w:val="center"/>
              <w:rPr>
                <w:rFonts w:hint="eastAsia" w:ascii="仿宋" w:hAnsi="仿宋" w:eastAsia="仿宋" w:cs="宋体"/>
                <w:color w:val="auto"/>
                <w:kern w:val="0"/>
                <w:szCs w:val="21"/>
                <w:highlight w:val="none"/>
                <w:lang w:bidi="ar"/>
              </w:rPr>
            </w:pPr>
            <w:r>
              <w:rPr>
                <w:rFonts w:hint="eastAsia" w:ascii="仿宋" w:hAnsi="仿宋" w:eastAsia="仿宋" w:cs="宋体"/>
                <w:color w:val="auto"/>
                <w:kern w:val="0"/>
                <w:szCs w:val="21"/>
                <w:highlight w:val="none"/>
                <w:lang w:bidi="ar"/>
              </w:rPr>
              <w:t>6</w:t>
            </w:r>
          </w:p>
        </w:tc>
        <w:tc>
          <w:tcPr>
            <w:tcW w:w="1696" w:type="dxa"/>
            <w:vMerge w:val="continue"/>
            <w:noWrap w:val="0"/>
            <w:tcMar>
              <w:top w:w="15" w:type="dxa"/>
              <w:left w:w="15" w:type="dxa"/>
              <w:right w:w="15" w:type="dxa"/>
            </w:tcMar>
            <w:vAlign w:val="center"/>
          </w:tcPr>
          <w:p w14:paraId="3B72B010">
            <w:pPr>
              <w:keepNext w:val="0"/>
              <w:keepLines w:val="0"/>
              <w:pageBreakBefore w:val="0"/>
              <w:widowControl/>
              <w:suppressLineNumbers w:val="0"/>
              <w:kinsoku/>
              <w:overflowPunct/>
              <w:bidi w:val="0"/>
              <w:spacing w:before="0" w:beforeAutospacing="0" w:after="0" w:afterAutospacing="0" w:line="600" w:lineRule="exact"/>
              <w:ind w:left="0" w:right="0"/>
              <w:jc w:val="center"/>
              <w:textAlignment w:val="center"/>
              <w:rPr>
                <w:rFonts w:hint="eastAsia" w:ascii="仿宋" w:hAnsi="仿宋" w:eastAsia="仿宋" w:cs="宋体"/>
                <w:color w:val="auto"/>
                <w:szCs w:val="21"/>
                <w:highlight w:val="none"/>
              </w:rPr>
            </w:pPr>
          </w:p>
        </w:tc>
        <w:tc>
          <w:tcPr>
            <w:tcW w:w="2268" w:type="dxa"/>
            <w:noWrap w:val="0"/>
            <w:vAlign w:val="center"/>
          </w:tcPr>
          <w:p w14:paraId="41EBB26B">
            <w:pPr>
              <w:keepNext w:val="0"/>
              <w:keepLines w:val="0"/>
              <w:pageBreakBefore w:val="0"/>
              <w:widowControl/>
              <w:suppressLineNumbers w:val="0"/>
              <w:kinsoku/>
              <w:overflowPunct/>
              <w:bidi w:val="0"/>
              <w:spacing w:before="0" w:beforeAutospacing="0" w:after="0" w:afterAutospacing="0" w:line="600" w:lineRule="exact"/>
              <w:ind w:left="0" w:right="0"/>
              <w:jc w:val="center"/>
              <w:textAlignment w:val="center"/>
              <w:rPr>
                <w:rFonts w:hint="eastAsia" w:ascii="仿宋" w:hAnsi="仿宋" w:eastAsia="仿宋" w:cs="宋体"/>
                <w:color w:val="auto"/>
                <w:szCs w:val="21"/>
                <w:highlight w:val="none"/>
              </w:rPr>
            </w:pPr>
          </w:p>
        </w:tc>
        <w:tc>
          <w:tcPr>
            <w:tcW w:w="4820" w:type="dxa"/>
            <w:noWrap w:val="0"/>
            <w:tcMar>
              <w:top w:w="15" w:type="dxa"/>
              <w:left w:w="15" w:type="dxa"/>
              <w:right w:w="15" w:type="dxa"/>
            </w:tcMar>
            <w:vAlign w:val="center"/>
          </w:tcPr>
          <w:p w14:paraId="0D1D24AB">
            <w:pPr>
              <w:keepNext w:val="0"/>
              <w:keepLines w:val="0"/>
              <w:pageBreakBefore w:val="0"/>
              <w:suppressLineNumbers w:val="0"/>
              <w:kinsoku/>
              <w:overflowPunct/>
              <w:bidi w:val="0"/>
              <w:spacing w:before="0" w:beforeAutospacing="0" w:after="0" w:afterAutospacing="0" w:line="600" w:lineRule="exact"/>
              <w:ind w:left="0" w:right="0"/>
              <w:rPr>
                <w:rStyle w:val="102"/>
                <w:rFonts w:hint="default" w:cs="宋体"/>
                <w:color w:val="auto"/>
                <w:highlight w:val="none"/>
                <w:lang w:bidi="ar"/>
              </w:rPr>
            </w:pPr>
          </w:p>
        </w:tc>
      </w:tr>
    </w:tbl>
    <w:p w14:paraId="164F2425">
      <w:pPr>
        <w:pageBreakBefore w:val="0"/>
        <w:kinsoku/>
        <w:overflowPunct/>
        <w:bidi w:val="0"/>
        <w:spacing w:line="600" w:lineRule="exact"/>
        <w:rPr>
          <w:rFonts w:ascii="仿宋" w:hAnsi="仿宋" w:cs="宋体"/>
          <w:color w:val="auto"/>
          <w:szCs w:val="24"/>
          <w:highlight w:val="none"/>
        </w:rPr>
      </w:pPr>
      <w:r>
        <w:rPr>
          <w:rFonts w:ascii="仿宋" w:hAnsi="仿宋" w:cs="宋体"/>
          <w:color w:val="auto"/>
          <w:szCs w:val="24"/>
          <w:highlight w:val="none"/>
        </w:rPr>
        <w:br w:type="page"/>
      </w:r>
    </w:p>
    <w:p w14:paraId="21486D42">
      <w:pPr>
        <w:pStyle w:val="5"/>
        <w:pageBreakBefore w:val="0"/>
        <w:kinsoku/>
        <w:overflowPunct/>
        <w:bidi w:val="0"/>
        <w:spacing w:line="600" w:lineRule="exact"/>
        <w:rPr>
          <w:rFonts w:ascii="仿宋" w:hAnsi="仿宋" w:cs="宋体"/>
          <w:color w:val="auto"/>
          <w:szCs w:val="24"/>
          <w:highlight w:val="none"/>
        </w:rPr>
      </w:pPr>
      <w:bookmarkStart w:id="704" w:name="_Toc16677"/>
      <w:r>
        <w:rPr>
          <w:rFonts w:ascii="仿宋" w:hAnsi="仿宋" w:cs="宋体"/>
          <w:color w:val="auto"/>
          <w:szCs w:val="24"/>
          <w:highlight w:val="none"/>
        </w:rPr>
        <w:t>（一）技术规范书应答偏离表</w:t>
      </w:r>
      <w:bookmarkEnd w:id="701"/>
      <w:bookmarkEnd w:id="702"/>
      <w:bookmarkEnd w:id="703"/>
      <w:bookmarkEnd w:id="704"/>
    </w:p>
    <w:p w14:paraId="0B2AC63E">
      <w:pPr>
        <w:pageBreakBefore w:val="0"/>
        <w:kinsoku/>
        <w:overflowPunct/>
        <w:bidi w:val="0"/>
        <w:spacing w:line="600" w:lineRule="exact"/>
        <w:jc w:val="center"/>
        <w:rPr>
          <w:rFonts w:hint="eastAsia" w:ascii="仿宋" w:hAnsi="仿宋" w:eastAsia="仿宋" w:cs="宋体"/>
          <w:b/>
          <w:bCs/>
          <w:color w:val="auto"/>
          <w:sz w:val="24"/>
          <w:szCs w:val="24"/>
          <w:highlight w:val="none"/>
        </w:rPr>
      </w:pPr>
      <w:bookmarkStart w:id="705" w:name="_Toc125771198"/>
      <w:bookmarkStart w:id="706" w:name="_Toc125561188"/>
      <w:bookmarkStart w:id="707" w:name="_Toc293297544"/>
      <w:r>
        <w:rPr>
          <w:rFonts w:hint="eastAsia" w:ascii="仿宋" w:hAnsi="仿宋" w:eastAsia="仿宋" w:cs="宋体"/>
          <w:b/>
          <w:bCs/>
          <w:color w:val="auto"/>
          <w:sz w:val="24"/>
          <w:szCs w:val="24"/>
          <w:highlight w:val="none"/>
        </w:rPr>
        <w:t>技术规范书应答偏离表</w:t>
      </w:r>
      <w:bookmarkEnd w:id="705"/>
      <w:bookmarkEnd w:id="706"/>
      <w:bookmarkEnd w:id="707"/>
    </w:p>
    <w:p w14:paraId="4996EC26">
      <w:pPr>
        <w:pageBreakBefore w:val="0"/>
        <w:kinsoku/>
        <w:overflowPunct/>
        <w:bidi w:val="0"/>
        <w:spacing w:line="600" w:lineRule="exact"/>
        <w:rPr>
          <w:rFonts w:hint="eastAsia" w:ascii="仿宋" w:hAnsi="仿宋" w:eastAsia="仿宋" w:cs="宋体"/>
          <w:color w:val="auto"/>
          <w:highlight w:val="none"/>
        </w:rPr>
      </w:pPr>
      <w:r>
        <w:rPr>
          <w:rFonts w:hint="eastAsia" w:ascii="仿宋" w:hAnsi="仿宋" w:eastAsia="仿宋" w:cs="宋体"/>
          <w:color w:val="auto"/>
          <w:sz w:val="24"/>
          <w:szCs w:val="24"/>
          <w:highlight w:val="none"/>
        </w:rPr>
        <w:t>投标人名称：</w:t>
      </w:r>
      <w:r>
        <w:rPr>
          <w:rFonts w:hint="eastAsia" w:ascii="仿宋" w:hAnsi="仿宋" w:eastAsia="仿宋" w:cs="宋体"/>
          <w:color w:val="auto"/>
          <w:sz w:val="24"/>
          <w:szCs w:val="24"/>
          <w:highlight w:val="none"/>
          <w:u w:val="single"/>
        </w:rPr>
        <w:t xml:space="preserve">            </w:t>
      </w:r>
      <w:r>
        <w:rPr>
          <w:rFonts w:hint="eastAsia" w:ascii="仿宋" w:hAnsi="仿宋" w:eastAsia="仿宋" w:cs="宋体"/>
          <w:color w:val="auto"/>
          <w:sz w:val="24"/>
          <w:szCs w:val="24"/>
          <w:highlight w:val="none"/>
        </w:rPr>
        <w:t xml:space="preserve">       </w:t>
      </w:r>
    </w:p>
    <w:tbl>
      <w:tblPr>
        <w:tblStyle w:val="33"/>
        <w:tblW w:w="0" w:type="auto"/>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2835"/>
        <w:gridCol w:w="2268"/>
        <w:gridCol w:w="2640"/>
        <w:gridCol w:w="1434"/>
      </w:tblGrid>
      <w:tr w14:paraId="583607C0">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675" w:type="dxa"/>
            <w:tcBorders>
              <w:top w:val="double" w:color="auto" w:sz="4" w:space="0"/>
              <w:left w:val="double" w:color="auto" w:sz="4" w:space="0"/>
              <w:bottom w:val="single" w:color="auto" w:sz="4" w:space="0"/>
              <w:right w:val="single" w:color="auto" w:sz="4" w:space="0"/>
            </w:tcBorders>
            <w:noWrap w:val="0"/>
            <w:vAlign w:val="center"/>
          </w:tcPr>
          <w:p w14:paraId="76008DCF">
            <w:pPr>
              <w:keepNext w:val="0"/>
              <w:keepLines w:val="0"/>
              <w:pageBreakBefore w:val="0"/>
              <w:suppressLineNumbers w:val="0"/>
              <w:kinsoku/>
              <w:overflowPunct/>
              <w:bidi w:val="0"/>
              <w:spacing w:before="0" w:beforeAutospacing="0" w:after="0" w:afterAutospacing="0" w:line="600" w:lineRule="exact"/>
              <w:ind w:left="0" w:right="0"/>
              <w:jc w:val="center"/>
              <w:rPr>
                <w:rFonts w:hint="eastAsia" w:ascii="仿宋" w:hAnsi="仿宋" w:eastAsia="仿宋" w:cs="宋体"/>
                <w:b/>
                <w:color w:val="auto"/>
                <w:szCs w:val="21"/>
                <w:highlight w:val="none"/>
              </w:rPr>
            </w:pPr>
            <w:r>
              <w:rPr>
                <w:rFonts w:hint="eastAsia" w:ascii="仿宋" w:hAnsi="仿宋" w:eastAsia="仿宋" w:cs="宋体"/>
                <w:b/>
                <w:color w:val="auto"/>
                <w:szCs w:val="21"/>
                <w:highlight w:val="none"/>
              </w:rPr>
              <w:t>序号</w:t>
            </w:r>
          </w:p>
        </w:tc>
        <w:tc>
          <w:tcPr>
            <w:tcW w:w="2835" w:type="dxa"/>
            <w:tcBorders>
              <w:top w:val="double" w:color="auto" w:sz="4" w:space="0"/>
              <w:left w:val="single" w:color="auto" w:sz="4" w:space="0"/>
              <w:bottom w:val="single" w:color="auto" w:sz="4" w:space="0"/>
              <w:right w:val="single" w:color="auto" w:sz="4" w:space="0"/>
            </w:tcBorders>
            <w:noWrap w:val="0"/>
            <w:vAlign w:val="center"/>
          </w:tcPr>
          <w:p w14:paraId="71098C67">
            <w:pPr>
              <w:keepNext w:val="0"/>
              <w:keepLines w:val="0"/>
              <w:pageBreakBefore w:val="0"/>
              <w:suppressLineNumbers w:val="0"/>
              <w:kinsoku/>
              <w:overflowPunct/>
              <w:bidi w:val="0"/>
              <w:spacing w:before="0" w:beforeAutospacing="0" w:after="0" w:afterAutospacing="0" w:line="600" w:lineRule="exact"/>
              <w:ind w:left="0" w:right="0"/>
              <w:jc w:val="center"/>
              <w:rPr>
                <w:rFonts w:hint="eastAsia" w:ascii="仿宋" w:hAnsi="仿宋" w:eastAsia="仿宋" w:cs="宋体"/>
                <w:b/>
                <w:bCs/>
                <w:color w:val="auto"/>
                <w:sz w:val="24"/>
                <w:szCs w:val="24"/>
                <w:highlight w:val="none"/>
              </w:rPr>
            </w:pPr>
            <w:r>
              <w:rPr>
                <w:rFonts w:hint="eastAsia" w:ascii="仿宋" w:hAnsi="仿宋" w:eastAsia="仿宋" w:cs="宋体"/>
                <w:b/>
                <w:bCs/>
                <w:color w:val="auto"/>
                <w:szCs w:val="20"/>
                <w:highlight w:val="none"/>
              </w:rPr>
              <w:t>技术偏离类型(正负偏离)</w:t>
            </w:r>
          </w:p>
        </w:tc>
        <w:tc>
          <w:tcPr>
            <w:tcW w:w="2268" w:type="dxa"/>
            <w:tcBorders>
              <w:top w:val="double" w:color="auto" w:sz="4" w:space="0"/>
              <w:left w:val="single" w:color="auto" w:sz="4" w:space="0"/>
              <w:bottom w:val="single" w:color="auto" w:sz="4" w:space="0"/>
              <w:right w:val="single" w:color="auto" w:sz="4" w:space="0"/>
            </w:tcBorders>
            <w:noWrap w:val="0"/>
            <w:vAlign w:val="center"/>
          </w:tcPr>
          <w:p w14:paraId="6B7BDA5D">
            <w:pPr>
              <w:keepNext w:val="0"/>
              <w:keepLines w:val="0"/>
              <w:pageBreakBefore w:val="0"/>
              <w:suppressLineNumbers w:val="0"/>
              <w:kinsoku/>
              <w:overflowPunct/>
              <w:bidi w:val="0"/>
              <w:spacing w:before="0" w:beforeAutospacing="0" w:after="0" w:afterAutospacing="0" w:line="600" w:lineRule="exact"/>
              <w:ind w:left="0" w:right="0"/>
              <w:jc w:val="center"/>
              <w:rPr>
                <w:rFonts w:hint="eastAsia" w:ascii="仿宋" w:hAnsi="仿宋" w:eastAsia="仿宋" w:cs="宋体"/>
                <w:b/>
                <w:bCs/>
                <w:color w:val="auto"/>
                <w:sz w:val="24"/>
                <w:szCs w:val="24"/>
                <w:highlight w:val="none"/>
              </w:rPr>
            </w:pPr>
            <w:r>
              <w:rPr>
                <w:rFonts w:hint="eastAsia" w:ascii="仿宋" w:hAnsi="仿宋" w:eastAsia="仿宋" w:cs="宋体"/>
                <w:b/>
                <w:bCs/>
                <w:color w:val="auto"/>
                <w:szCs w:val="20"/>
                <w:highlight w:val="none"/>
              </w:rPr>
              <w:t>技术偏离的文档章节号及页号</w:t>
            </w:r>
          </w:p>
        </w:tc>
        <w:tc>
          <w:tcPr>
            <w:tcW w:w="2640" w:type="dxa"/>
            <w:tcBorders>
              <w:top w:val="double" w:color="auto" w:sz="4" w:space="0"/>
              <w:left w:val="single" w:color="auto" w:sz="4" w:space="0"/>
              <w:bottom w:val="single" w:color="auto" w:sz="4" w:space="0"/>
              <w:right w:val="single" w:color="auto" w:sz="4" w:space="0"/>
            </w:tcBorders>
            <w:noWrap w:val="0"/>
            <w:vAlign w:val="center"/>
          </w:tcPr>
          <w:p w14:paraId="0951CFD6">
            <w:pPr>
              <w:keepNext w:val="0"/>
              <w:keepLines w:val="0"/>
              <w:pageBreakBefore w:val="0"/>
              <w:suppressLineNumbers w:val="0"/>
              <w:kinsoku/>
              <w:overflowPunct/>
              <w:bidi w:val="0"/>
              <w:spacing w:before="0" w:beforeAutospacing="0" w:after="0" w:afterAutospacing="0" w:line="600" w:lineRule="exact"/>
              <w:ind w:left="0" w:right="0"/>
              <w:jc w:val="center"/>
              <w:rPr>
                <w:rFonts w:hint="eastAsia" w:ascii="仿宋" w:hAnsi="仿宋" w:eastAsia="仿宋" w:cs="宋体"/>
                <w:b/>
                <w:bCs/>
                <w:color w:val="auto"/>
                <w:sz w:val="24"/>
                <w:szCs w:val="24"/>
                <w:highlight w:val="none"/>
              </w:rPr>
            </w:pPr>
            <w:r>
              <w:rPr>
                <w:rFonts w:hint="eastAsia" w:ascii="仿宋" w:hAnsi="仿宋" w:eastAsia="仿宋" w:cs="宋体"/>
                <w:b/>
                <w:bCs/>
                <w:color w:val="auto"/>
                <w:szCs w:val="20"/>
                <w:highlight w:val="none"/>
              </w:rPr>
              <w:t>技术偏离的主要内容说明</w:t>
            </w:r>
          </w:p>
        </w:tc>
        <w:tc>
          <w:tcPr>
            <w:tcW w:w="1434" w:type="dxa"/>
            <w:tcBorders>
              <w:top w:val="double" w:color="auto" w:sz="4" w:space="0"/>
              <w:left w:val="single" w:color="auto" w:sz="4" w:space="0"/>
              <w:bottom w:val="single" w:color="auto" w:sz="4" w:space="0"/>
              <w:right w:val="double" w:color="auto" w:sz="4" w:space="0"/>
            </w:tcBorders>
            <w:noWrap w:val="0"/>
            <w:vAlign w:val="center"/>
          </w:tcPr>
          <w:p w14:paraId="027B6A73">
            <w:pPr>
              <w:keepNext w:val="0"/>
              <w:keepLines w:val="0"/>
              <w:pageBreakBefore w:val="0"/>
              <w:suppressLineNumbers w:val="0"/>
              <w:kinsoku/>
              <w:overflowPunct/>
              <w:bidi w:val="0"/>
              <w:spacing w:before="0" w:beforeAutospacing="0" w:after="0" w:afterAutospacing="0" w:line="600" w:lineRule="exact"/>
              <w:ind w:left="0" w:right="0"/>
              <w:jc w:val="center"/>
              <w:rPr>
                <w:rFonts w:hint="eastAsia" w:ascii="仿宋" w:hAnsi="仿宋" w:eastAsia="仿宋" w:cs="宋体"/>
                <w:b/>
                <w:color w:val="auto"/>
                <w:szCs w:val="21"/>
                <w:highlight w:val="none"/>
              </w:rPr>
            </w:pPr>
            <w:r>
              <w:rPr>
                <w:rFonts w:hint="eastAsia" w:ascii="仿宋" w:hAnsi="仿宋" w:eastAsia="仿宋" w:cs="宋体"/>
                <w:b/>
                <w:color w:val="auto"/>
                <w:szCs w:val="21"/>
                <w:highlight w:val="none"/>
              </w:rPr>
              <w:t>备注</w:t>
            </w:r>
          </w:p>
        </w:tc>
      </w:tr>
      <w:tr w14:paraId="4180D2F6">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675" w:type="dxa"/>
            <w:tcBorders>
              <w:top w:val="single" w:color="auto" w:sz="4" w:space="0"/>
              <w:left w:val="double" w:color="auto" w:sz="4" w:space="0"/>
              <w:bottom w:val="single" w:color="auto" w:sz="4" w:space="0"/>
              <w:right w:val="single" w:color="auto" w:sz="4" w:space="0"/>
            </w:tcBorders>
            <w:noWrap w:val="0"/>
            <w:vAlign w:val="top"/>
          </w:tcPr>
          <w:p w14:paraId="1DCAC211">
            <w:pPr>
              <w:keepNext w:val="0"/>
              <w:keepLines w:val="0"/>
              <w:pageBreakBefore w:val="0"/>
              <w:suppressLineNumbers w:val="0"/>
              <w:kinsoku/>
              <w:overflowPunct/>
              <w:bidi w:val="0"/>
              <w:spacing w:before="0" w:beforeAutospacing="0" w:after="0" w:afterAutospacing="0" w:line="600" w:lineRule="exact"/>
              <w:ind w:left="0" w:right="0"/>
              <w:rPr>
                <w:rFonts w:hint="eastAsia" w:ascii="仿宋" w:hAnsi="仿宋" w:eastAsia="仿宋" w:cs="宋体"/>
                <w:color w:val="auto"/>
                <w:szCs w:val="21"/>
                <w:highlight w:val="none"/>
              </w:rPr>
            </w:pPr>
          </w:p>
        </w:tc>
        <w:tc>
          <w:tcPr>
            <w:tcW w:w="2835" w:type="dxa"/>
            <w:tcBorders>
              <w:top w:val="single" w:color="auto" w:sz="4" w:space="0"/>
              <w:left w:val="single" w:color="auto" w:sz="4" w:space="0"/>
              <w:bottom w:val="single" w:color="auto" w:sz="4" w:space="0"/>
              <w:right w:val="single" w:color="auto" w:sz="4" w:space="0"/>
            </w:tcBorders>
            <w:noWrap w:val="0"/>
            <w:vAlign w:val="top"/>
          </w:tcPr>
          <w:p w14:paraId="22183DCC">
            <w:pPr>
              <w:keepNext w:val="0"/>
              <w:keepLines w:val="0"/>
              <w:pageBreakBefore w:val="0"/>
              <w:suppressLineNumbers w:val="0"/>
              <w:kinsoku/>
              <w:overflowPunct/>
              <w:bidi w:val="0"/>
              <w:spacing w:before="0" w:beforeAutospacing="0" w:after="0" w:afterAutospacing="0" w:line="600" w:lineRule="exact"/>
              <w:ind w:left="0" w:right="0"/>
              <w:rPr>
                <w:rFonts w:hint="eastAsia" w:ascii="仿宋" w:hAnsi="仿宋" w:eastAsia="仿宋" w:cs="宋体"/>
                <w:color w:val="auto"/>
                <w:szCs w:val="21"/>
                <w:highlight w:val="none"/>
              </w:rPr>
            </w:pPr>
            <w:r>
              <w:rPr>
                <w:rFonts w:hint="eastAsia" w:ascii="仿宋" w:hAnsi="仿宋" w:eastAsia="仿宋" w:cs="宋体"/>
                <w:color w:val="auto"/>
                <w:szCs w:val="21"/>
                <w:highlight w:val="none"/>
              </w:rPr>
              <w:t>负偏离(不满足)</w:t>
            </w:r>
          </w:p>
        </w:tc>
        <w:tc>
          <w:tcPr>
            <w:tcW w:w="2268" w:type="dxa"/>
            <w:tcBorders>
              <w:top w:val="single" w:color="auto" w:sz="4" w:space="0"/>
              <w:left w:val="single" w:color="auto" w:sz="4" w:space="0"/>
              <w:bottom w:val="single" w:color="auto" w:sz="4" w:space="0"/>
              <w:right w:val="single" w:color="auto" w:sz="4" w:space="0"/>
            </w:tcBorders>
            <w:noWrap w:val="0"/>
            <w:vAlign w:val="top"/>
          </w:tcPr>
          <w:p w14:paraId="79F2E75F">
            <w:pPr>
              <w:keepNext w:val="0"/>
              <w:keepLines w:val="0"/>
              <w:pageBreakBefore w:val="0"/>
              <w:suppressLineNumbers w:val="0"/>
              <w:kinsoku/>
              <w:overflowPunct/>
              <w:bidi w:val="0"/>
              <w:spacing w:before="0" w:beforeAutospacing="0" w:after="0" w:afterAutospacing="0" w:line="600" w:lineRule="exact"/>
              <w:ind w:left="0" w:right="0"/>
              <w:rPr>
                <w:rFonts w:hint="eastAsia" w:ascii="仿宋" w:hAnsi="仿宋" w:eastAsia="仿宋" w:cs="宋体"/>
                <w:color w:val="auto"/>
                <w:szCs w:val="21"/>
                <w:highlight w:val="none"/>
              </w:rPr>
            </w:pPr>
          </w:p>
        </w:tc>
        <w:tc>
          <w:tcPr>
            <w:tcW w:w="2640" w:type="dxa"/>
            <w:tcBorders>
              <w:top w:val="single" w:color="auto" w:sz="4" w:space="0"/>
              <w:left w:val="single" w:color="auto" w:sz="4" w:space="0"/>
              <w:bottom w:val="single" w:color="auto" w:sz="4" w:space="0"/>
              <w:right w:val="single" w:color="auto" w:sz="4" w:space="0"/>
            </w:tcBorders>
            <w:noWrap w:val="0"/>
            <w:vAlign w:val="top"/>
          </w:tcPr>
          <w:p w14:paraId="52B38769">
            <w:pPr>
              <w:keepNext w:val="0"/>
              <w:keepLines w:val="0"/>
              <w:pageBreakBefore w:val="0"/>
              <w:suppressLineNumbers w:val="0"/>
              <w:kinsoku/>
              <w:overflowPunct/>
              <w:bidi w:val="0"/>
              <w:spacing w:before="0" w:beforeAutospacing="0" w:after="0" w:afterAutospacing="0" w:line="600" w:lineRule="exact"/>
              <w:ind w:left="0" w:right="0"/>
              <w:rPr>
                <w:rFonts w:hint="eastAsia" w:ascii="仿宋" w:hAnsi="仿宋" w:eastAsia="仿宋" w:cs="宋体"/>
                <w:color w:val="auto"/>
                <w:szCs w:val="21"/>
                <w:highlight w:val="none"/>
              </w:rPr>
            </w:pPr>
          </w:p>
        </w:tc>
        <w:tc>
          <w:tcPr>
            <w:tcW w:w="1434" w:type="dxa"/>
            <w:tcBorders>
              <w:top w:val="single" w:color="auto" w:sz="4" w:space="0"/>
              <w:left w:val="single" w:color="auto" w:sz="4" w:space="0"/>
              <w:bottom w:val="single" w:color="auto" w:sz="4" w:space="0"/>
              <w:right w:val="double" w:color="auto" w:sz="4" w:space="0"/>
            </w:tcBorders>
            <w:noWrap w:val="0"/>
            <w:vAlign w:val="top"/>
          </w:tcPr>
          <w:p w14:paraId="39051068">
            <w:pPr>
              <w:keepNext w:val="0"/>
              <w:keepLines w:val="0"/>
              <w:pageBreakBefore w:val="0"/>
              <w:suppressLineNumbers w:val="0"/>
              <w:kinsoku/>
              <w:overflowPunct/>
              <w:bidi w:val="0"/>
              <w:spacing w:before="0" w:beforeAutospacing="0" w:after="0" w:afterAutospacing="0" w:line="600" w:lineRule="exact"/>
              <w:ind w:left="0" w:right="0"/>
              <w:rPr>
                <w:rFonts w:hint="eastAsia" w:ascii="仿宋" w:hAnsi="仿宋" w:eastAsia="仿宋" w:cs="宋体"/>
                <w:color w:val="auto"/>
                <w:szCs w:val="21"/>
                <w:highlight w:val="none"/>
              </w:rPr>
            </w:pPr>
          </w:p>
        </w:tc>
      </w:tr>
      <w:tr w14:paraId="543140F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675" w:type="dxa"/>
            <w:tcBorders>
              <w:top w:val="single" w:color="auto" w:sz="4" w:space="0"/>
              <w:left w:val="double" w:color="auto" w:sz="4" w:space="0"/>
              <w:bottom w:val="single" w:color="auto" w:sz="4" w:space="0"/>
              <w:right w:val="single" w:color="auto" w:sz="4" w:space="0"/>
            </w:tcBorders>
            <w:noWrap w:val="0"/>
            <w:vAlign w:val="top"/>
          </w:tcPr>
          <w:p w14:paraId="13A12142">
            <w:pPr>
              <w:keepNext w:val="0"/>
              <w:keepLines w:val="0"/>
              <w:pageBreakBefore w:val="0"/>
              <w:suppressLineNumbers w:val="0"/>
              <w:kinsoku/>
              <w:overflowPunct/>
              <w:bidi w:val="0"/>
              <w:spacing w:before="0" w:beforeAutospacing="0" w:after="0" w:afterAutospacing="0" w:line="600" w:lineRule="exact"/>
              <w:ind w:left="0" w:right="0"/>
              <w:rPr>
                <w:rFonts w:hint="eastAsia" w:ascii="仿宋" w:hAnsi="仿宋" w:eastAsia="仿宋" w:cs="宋体"/>
                <w:color w:val="auto"/>
                <w:szCs w:val="21"/>
                <w:highlight w:val="none"/>
              </w:rPr>
            </w:pPr>
          </w:p>
        </w:tc>
        <w:tc>
          <w:tcPr>
            <w:tcW w:w="2835" w:type="dxa"/>
            <w:tcBorders>
              <w:top w:val="single" w:color="auto" w:sz="4" w:space="0"/>
              <w:left w:val="single" w:color="auto" w:sz="4" w:space="0"/>
              <w:bottom w:val="single" w:color="auto" w:sz="4" w:space="0"/>
              <w:right w:val="single" w:color="auto" w:sz="4" w:space="0"/>
            </w:tcBorders>
            <w:noWrap w:val="0"/>
            <w:vAlign w:val="top"/>
          </w:tcPr>
          <w:p w14:paraId="78AA9198">
            <w:pPr>
              <w:keepNext w:val="0"/>
              <w:keepLines w:val="0"/>
              <w:pageBreakBefore w:val="0"/>
              <w:suppressLineNumbers w:val="0"/>
              <w:kinsoku/>
              <w:overflowPunct/>
              <w:bidi w:val="0"/>
              <w:spacing w:before="0" w:beforeAutospacing="0" w:after="0" w:afterAutospacing="0" w:line="600" w:lineRule="exact"/>
              <w:ind w:left="0" w:right="0"/>
              <w:rPr>
                <w:rFonts w:hint="eastAsia" w:ascii="仿宋" w:hAnsi="仿宋" w:eastAsia="仿宋" w:cs="宋体"/>
                <w:color w:val="auto"/>
                <w:szCs w:val="21"/>
                <w:highlight w:val="none"/>
              </w:rPr>
            </w:pPr>
          </w:p>
        </w:tc>
        <w:tc>
          <w:tcPr>
            <w:tcW w:w="2268" w:type="dxa"/>
            <w:tcBorders>
              <w:top w:val="single" w:color="auto" w:sz="4" w:space="0"/>
              <w:left w:val="single" w:color="auto" w:sz="4" w:space="0"/>
              <w:bottom w:val="single" w:color="auto" w:sz="4" w:space="0"/>
              <w:right w:val="single" w:color="auto" w:sz="4" w:space="0"/>
            </w:tcBorders>
            <w:noWrap w:val="0"/>
            <w:vAlign w:val="top"/>
          </w:tcPr>
          <w:p w14:paraId="2BAD9BCF">
            <w:pPr>
              <w:keepNext w:val="0"/>
              <w:keepLines w:val="0"/>
              <w:pageBreakBefore w:val="0"/>
              <w:suppressLineNumbers w:val="0"/>
              <w:kinsoku/>
              <w:overflowPunct/>
              <w:bidi w:val="0"/>
              <w:spacing w:before="0" w:beforeAutospacing="0" w:after="0" w:afterAutospacing="0" w:line="600" w:lineRule="exact"/>
              <w:ind w:left="0" w:right="0"/>
              <w:rPr>
                <w:rFonts w:hint="eastAsia" w:ascii="仿宋" w:hAnsi="仿宋" w:eastAsia="仿宋" w:cs="宋体"/>
                <w:color w:val="auto"/>
                <w:szCs w:val="21"/>
                <w:highlight w:val="none"/>
              </w:rPr>
            </w:pPr>
          </w:p>
        </w:tc>
        <w:tc>
          <w:tcPr>
            <w:tcW w:w="2640" w:type="dxa"/>
            <w:tcBorders>
              <w:top w:val="single" w:color="auto" w:sz="4" w:space="0"/>
              <w:left w:val="single" w:color="auto" w:sz="4" w:space="0"/>
              <w:bottom w:val="single" w:color="auto" w:sz="4" w:space="0"/>
              <w:right w:val="single" w:color="auto" w:sz="4" w:space="0"/>
            </w:tcBorders>
            <w:noWrap w:val="0"/>
            <w:vAlign w:val="top"/>
          </w:tcPr>
          <w:p w14:paraId="6E205655">
            <w:pPr>
              <w:keepNext w:val="0"/>
              <w:keepLines w:val="0"/>
              <w:pageBreakBefore w:val="0"/>
              <w:suppressLineNumbers w:val="0"/>
              <w:kinsoku/>
              <w:overflowPunct/>
              <w:bidi w:val="0"/>
              <w:spacing w:before="0" w:beforeAutospacing="0" w:after="0" w:afterAutospacing="0" w:line="600" w:lineRule="exact"/>
              <w:ind w:left="0" w:right="0"/>
              <w:rPr>
                <w:rFonts w:hint="eastAsia" w:ascii="仿宋" w:hAnsi="仿宋" w:eastAsia="仿宋" w:cs="宋体"/>
                <w:color w:val="auto"/>
                <w:szCs w:val="21"/>
                <w:highlight w:val="none"/>
              </w:rPr>
            </w:pPr>
          </w:p>
        </w:tc>
        <w:tc>
          <w:tcPr>
            <w:tcW w:w="1434" w:type="dxa"/>
            <w:tcBorders>
              <w:top w:val="single" w:color="auto" w:sz="4" w:space="0"/>
              <w:left w:val="single" w:color="auto" w:sz="4" w:space="0"/>
              <w:bottom w:val="single" w:color="auto" w:sz="4" w:space="0"/>
              <w:right w:val="double" w:color="auto" w:sz="4" w:space="0"/>
            </w:tcBorders>
            <w:noWrap w:val="0"/>
            <w:vAlign w:val="top"/>
          </w:tcPr>
          <w:p w14:paraId="1CBB2D5B">
            <w:pPr>
              <w:keepNext w:val="0"/>
              <w:keepLines w:val="0"/>
              <w:pageBreakBefore w:val="0"/>
              <w:suppressLineNumbers w:val="0"/>
              <w:kinsoku/>
              <w:overflowPunct/>
              <w:bidi w:val="0"/>
              <w:spacing w:before="0" w:beforeAutospacing="0" w:after="0" w:afterAutospacing="0" w:line="600" w:lineRule="exact"/>
              <w:ind w:left="0" w:right="0"/>
              <w:rPr>
                <w:rFonts w:hint="eastAsia" w:ascii="仿宋" w:hAnsi="仿宋" w:eastAsia="仿宋" w:cs="宋体"/>
                <w:color w:val="auto"/>
                <w:szCs w:val="21"/>
                <w:highlight w:val="none"/>
              </w:rPr>
            </w:pPr>
          </w:p>
        </w:tc>
      </w:tr>
      <w:tr w14:paraId="122ACDBA">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675" w:type="dxa"/>
            <w:tcBorders>
              <w:top w:val="single" w:color="auto" w:sz="4" w:space="0"/>
              <w:left w:val="double" w:color="auto" w:sz="4" w:space="0"/>
              <w:bottom w:val="single" w:color="auto" w:sz="4" w:space="0"/>
              <w:right w:val="single" w:color="auto" w:sz="4" w:space="0"/>
            </w:tcBorders>
            <w:noWrap w:val="0"/>
            <w:vAlign w:val="top"/>
          </w:tcPr>
          <w:p w14:paraId="198AB22B">
            <w:pPr>
              <w:keepNext w:val="0"/>
              <w:keepLines w:val="0"/>
              <w:pageBreakBefore w:val="0"/>
              <w:suppressLineNumbers w:val="0"/>
              <w:kinsoku/>
              <w:overflowPunct/>
              <w:bidi w:val="0"/>
              <w:spacing w:before="0" w:beforeAutospacing="0" w:after="0" w:afterAutospacing="0" w:line="600" w:lineRule="exact"/>
              <w:ind w:left="0" w:right="0"/>
              <w:rPr>
                <w:rFonts w:hint="eastAsia" w:ascii="仿宋" w:hAnsi="仿宋" w:eastAsia="仿宋" w:cs="宋体"/>
                <w:color w:val="auto"/>
                <w:szCs w:val="21"/>
                <w:highlight w:val="none"/>
              </w:rPr>
            </w:pPr>
          </w:p>
        </w:tc>
        <w:tc>
          <w:tcPr>
            <w:tcW w:w="2835" w:type="dxa"/>
            <w:tcBorders>
              <w:top w:val="single" w:color="auto" w:sz="4" w:space="0"/>
              <w:left w:val="single" w:color="auto" w:sz="4" w:space="0"/>
              <w:bottom w:val="single" w:color="auto" w:sz="4" w:space="0"/>
              <w:right w:val="single" w:color="auto" w:sz="4" w:space="0"/>
            </w:tcBorders>
            <w:noWrap w:val="0"/>
            <w:vAlign w:val="top"/>
          </w:tcPr>
          <w:p w14:paraId="450E19C3">
            <w:pPr>
              <w:keepNext w:val="0"/>
              <w:keepLines w:val="0"/>
              <w:pageBreakBefore w:val="0"/>
              <w:suppressLineNumbers w:val="0"/>
              <w:kinsoku/>
              <w:overflowPunct/>
              <w:bidi w:val="0"/>
              <w:spacing w:before="0" w:beforeAutospacing="0" w:after="0" w:afterAutospacing="0" w:line="600" w:lineRule="exact"/>
              <w:ind w:left="0" w:right="0"/>
              <w:rPr>
                <w:rFonts w:hint="eastAsia" w:ascii="仿宋" w:hAnsi="仿宋" w:eastAsia="仿宋" w:cs="宋体"/>
                <w:color w:val="auto"/>
                <w:szCs w:val="21"/>
                <w:highlight w:val="none"/>
              </w:rPr>
            </w:pPr>
          </w:p>
        </w:tc>
        <w:tc>
          <w:tcPr>
            <w:tcW w:w="2268" w:type="dxa"/>
            <w:tcBorders>
              <w:top w:val="single" w:color="auto" w:sz="4" w:space="0"/>
              <w:left w:val="single" w:color="auto" w:sz="4" w:space="0"/>
              <w:bottom w:val="single" w:color="auto" w:sz="4" w:space="0"/>
              <w:right w:val="single" w:color="auto" w:sz="4" w:space="0"/>
            </w:tcBorders>
            <w:noWrap w:val="0"/>
            <w:vAlign w:val="top"/>
          </w:tcPr>
          <w:p w14:paraId="0ECACB69">
            <w:pPr>
              <w:keepNext w:val="0"/>
              <w:keepLines w:val="0"/>
              <w:pageBreakBefore w:val="0"/>
              <w:suppressLineNumbers w:val="0"/>
              <w:kinsoku/>
              <w:overflowPunct/>
              <w:bidi w:val="0"/>
              <w:spacing w:before="0" w:beforeAutospacing="0" w:after="0" w:afterAutospacing="0" w:line="600" w:lineRule="exact"/>
              <w:ind w:left="0" w:right="0"/>
              <w:rPr>
                <w:rFonts w:hint="eastAsia" w:ascii="仿宋" w:hAnsi="仿宋" w:eastAsia="仿宋" w:cs="宋体"/>
                <w:color w:val="auto"/>
                <w:szCs w:val="21"/>
                <w:highlight w:val="none"/>
              </w:rPr>
            </w:pPr>
          </w:p>
        </w:tc>
        <w:tc>
          <w:tcPr>
            <w:tcW w:w="2640" w:type="dxa"/>
            <w:tcBorders>
              <w:top w:val="single" w:color="auto" w:sz="4" w:space="0"/>
              <w:left w:val="single" w:color="auto" w:sz="4" w:space="0"/>
              <w:bottom w:val="single" w:color="auto" w:sz="4" w:space="0"/>
              <w:right w:val="single" w:color="auto" w:sz="4" w:space="0"/>
            </w:tcBorders>
            <w:noWrap w:val="0"/>
            <w:vAlign w:val="top"/>
          </w:tcPr>
          <w:p w14:paraId="1FB1E48C">
            <w:pPr>
              <w:keepNext w:val="0"/>
              <w:keepLines w:val="0"/>
              <w:pageBreakBefore w:val="0"/>
              <w:suppressLineNumbers w:val="0"/>
              <w:kinsoku/>
              <w:overflowPunct/>
              <w:bidi w:val="0"/>
              <w:spacing w:before="0" w:beforeAutospacing="0" w:after="0" w:afterAutospacing="0" w:line="600" w:lineRule="exact"/>
              <w:ind w:left="0" w:right="0"/>
              <w:rPr>
                <w:rFonts w:hint="eastAsia" w:ascii="仿宋" w:hAnsi="仿宋" w:eastAsia="仿宋" w:cs="宋体"/>
                <w:color w:val="auto"/>
                <w:szCs w:val="21"/>
                <w:highlight w:val="none"/>
              </w:rPr>
            </w:pPr>
          </w:p>
        </w:tc>
        <w:tc>
          <w:tcPr>
            <w:tcW w:w="1434" w:type="dxa"/>
            <w:tcBorders>
              <w:top w:val="single" w:color="auto" w:sz="4" w:space="0"/>
              <w:left w:val="single" w:color="auto" w:sz="4" w:space="0"/>
              <w:bottom w:val="single" w:color="auto" w:sz="4" w:space="0"/>
              <w:right w:val="double" w:color="auto" w:sz="4" w:space="0"/>
            </w:tcBorders>
            <w:noWrap w:val="0"/>
            <w:vAlign w:val="top"/>
          </w:tcPr>
          <w:p w14:paraId="366EEFE1">
            <w:pPr>
              <w:keepNext w:val="0"/>
              <w:keepLines w:val="0"/>
              <w:pageBreakBefore w:val="0"/>
              <w:suppressLineNumbers w:val="0"/>
              <w:kinsoku/>
              <w:overflowPunct/>
              <w:bidi w:val="0"/>
              <w:spacing w:before="0" w:beforeAutospacing="0" w:after="0" w:afterAutospacing="0" w:line="600" w:lineRule="exact"/>
              <w:ind w:left="0" w:right="0"/>
              <w:rPr>
                <w:rFonts w:hint="eastAsia" w:ascii="仿宋" w:hAnsi="仿宋" w:eastAsia="仿宋" w:cs="宋体"/>
                <w:color w:val="auto"/>
                <w:szCs w:val="21"/>
                <w:highlight w:val="none"/>
              </w:rPr>
            </w:pPr>
          </w:p>
        </w:tc>
      </w:tr>
      <w:tr w14:paraId="1C927649">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675" w:type="dxa"/>
            <w:tcBorders>
              <w:top w:val="single" w:color="auto" w:sz="4" w:space="0"/>
              <w:left w:val="double" w:color="auto" w:sz="4" w:space="0"/>
              <w:bottom w:val="single" w:color="auto" w:sz="4" w:space="0"/>
              <w:right w:val="single" w:color="auto" w:sz="4" w:space="0"/>
            </w:tcBorders>
            <w:noWrap w:val="0"/>
            <w:vAlign w:val="top"/>
          </w:tcPr>
          <w:p w14:paraId="488FA1B5">
            <w:pPr>
              <w:keepNext w:val="0"/>
              <w:keepLines w:val="0"/>
              <w:pageBreakBefore w:val="0"/>
              <w:suppressLineNumbers w:val="0"/>
              <w:kinsoku/>
              <w:overflowPunct/>
              <w:bidi w:val="0"/>
              <w:spacing w:before="0" w:beforeAutospacing="0" w:after="0" w:afterAutospacing="0" w:line="600" w:lineRule="exact"/>
              <w:ind w:left="0" w:right="0"/>
              <w:rPr>
                <w:rFonts w:hint="eastAsia" w:ascii="仿宋" w:hAnsi="仿宋" w:eastAsia="仿宋" w:cs="宋体"/>
                <w:color w:val="auto"/>
                <w:szCs w:val="21"/>
                <w:highlight w:val="none"/>
              </w:rPr>
            </w:pPr>
          </w:p>
        </w:tc>
        <w:tc>
          <w:tcPr>
            <w:tcW w:w="2835" w:type="dxa"/>
            <w:tcBorders>
              <w:top w:val="single" w:color="auto" w:sz="4" w:space="0"/>
              <w:left w:val="single" w:color="auto" w:sz="4" w:space="0"/>
              <w:bottom w:val="single" w:color="auto" w:sz="4" w:space="0"/>
              <w:right w:val="single" w:color="auto" w:sz="4" w:space="0"/>
            </w:tcBorders>
            <w:noWrap w:val="0"/>
            <w:vAlign w:val="top"/>
          </w:tcPr>
          <w:p w14:paraId="57DF951C">
            <w:pPr>
              <w:keepNext w:val="0"/>
              <w:keepLines w:val="0"/>
              <w:pageBreakBefore w:val="0"/>
              <w:suppressLineNumbers w:val="0"/>
              <w:kinsoku/>
              <w:overflowPunct/>
              <w:bidi w:val="0"/>
              <w:spacing w:before="0" w:beforeAutospacing="0" w:after="0" w:afterAutospacing="0" w:line="600" w:lineRule="exact"/>
              <w:ind w:left="0" w:right="0"/>
              <w:rPr>
                <w:rFonts w:hint="eastAsia" w:ascii="仿宋" w:hAnsi="仿宋" w:eastAsia="仿宋" w:cs="宋体"/>
                <w:color w:val="auto"/>
                <w:szCs w:val="21"/>
                <w:highlight w:val="none"/>
              </w:rPr>
            </w:pPr>
          </w:p>
        </w:tc>
        <w:tc>
          <w:tcPr>
            <w:tcW w:w="2268" w:type="dxa"/>
            <w:tcBorders>
              <w:top w:val="single" w:color="auto" w:sz="4" w:space="0"/>
              <w:left w:val="single" w:color="auto" w:sz="4" w:space="0"/>
              <w:bottom w:val="single" w:color="auto" w:sz="4" w:space="0"/>
              <w:right w:val="single" w:color="auto" w:sz="4" w:space="0"/>
            </w:tcBorders>
            <w:noWrap w:val="0"/>
            <w:vAlign w:val="top"/>
          </w:tcPr>
          <w:p w14:paraId="03304423">
            <w:pPr>
              <w:keepNext w:val="0"/>
              <w:keepLines w:val="0"/>
              <w:pageBreakBefore w:val="0"/>
              <w:suppressLineNumbers w:val="0"/>
              <w:kinsoku/>
              <w:overflowPunct/>
              <w:bidi w:val="0"/>
              <w:spacing w:before="0" w:beforeAutospacing="0" w:after="0" w:afterAutospacing="0" w:line="600" w:lineRule="exact"/>
              <w:ind w:left="0" w:right="0"/>
              <w:rPr>
                <w:rFonts w:hint="eastAsia" w:ascii="仿宋" w:hAnsi="仿宋" w:eastAsia="仿宋" w:cs="宋体"/>
                <w:color w:val="auto"/>
                <w:szCs w:val="21"/>
                <w:highlight w:val="none"/>
              </w:rPr>
            </w:pPr>
          </w:p>
        </w:tc>
        <w:tc>
          <w:tcPr>
            <w:tcW w:w="2640" w:type="dxa"/>
            <w:tcBorders>
              <w:top w:val="single" w:color="auto" w:sz="4" w:space="0"/>
              <w:left w:val="single" w:color="auto" w:sz="4" w:space="0"/>
              <w:bottom w:val="single" w:color="auto" w:sz="4" w:space="0"/>
              <w:right w:val="single" w:color="auto" w:sz="4" w:space="0"/>
            </w:tcBorders>
            <w:noWrap w:val="0"/>
            <w:vAlign w:val="top"/>
          </w:tcPr>
          <w:p w14:paraId="4DF13009">
            <w:pPr>
              <w:keepNext w:val="0"/>
              <w:keepLines w:val="0"/>
              <w:pageBreakBefore w:val="0"/>
              <w:suppressLineNumbers w:val="0"/>
              <w:kinsoku/>
              <w:overflowPunct/>
              <w:bidi w:val="0"/>
              <w:spacing w:before="0" w:beforeAutospacing="0" w:after="0" w:afterAutospacing="0" w:line="600" w:lineRule="exact"/>
              <w:ind w:left="0" w:right="0"/>
              <w:rPr>
                <w:rFonts w:hint="eastAsia" w:ascii="仿宋" w:hAnsi="仿宋" w:eastAsia="仿宋" w:cs="宋体"/>
                <w:color w:val="auto"/>
                <w:szCs w:val="21"/>
                <w:highlight w:val="none"/>
              </w:rPr>
            </w:pPr>
          </w:p>
        </w:tc>
        <w:tc>
          <w:tcPr>
            <w:tcW w:w="1434" w:type="dxa"/>
            <w:tcBorders>
              <w:top w:val="single" w:color="auto" w:sz="4" w:space="0"/>
              <w:left w:val="single" w:color="auto" w:sz="4" w:space="0"/>
              <w:bottom w:val="single" w:color="auto" w:sz="4" w:space="0"/>
              <w:right w:val="double" w:color="auto" w:sz="4" w:space="0"/>
            </w:tcBorders>
            <w:noWrap w:val="0"/>
            <w:vAlign w:val="top"/>
          </w:tcPr>
          <w:p w14:paraId="1CB40E23">
            <w:pPr>
              <w:keepNext w:val="0"/>
              <w:keepLines w:val="0"/>
              <w:pageBreakBefore w:val="0"/>
              <w:suppressLineNumbers w:val="0"/>
              <w:kinsoku/>
              <w:overflowPunct/>
              <w:bidi w:val="0"/>
              <w:spacing w:before="0" w:beforeAutospacing="0" w:after="0" w:afterAutospacing="0" w:line="600" w:lineRule="exact"/>
              <w:ind w:left="0" w:right="0"/>
              <w:rPr>
                <w:rFonts w:hint="eastAsia" w:ascii="仿宋" w:hAnsi="仿宋" w:eastAsia="仿宋" w:cs="宋体"/>
                <w:color w:val="auto"/>
                <w:szCs w:val="21"/>
                <w:highlight w:val="none"/>
              </w:rPr>
            </w:pPr>
          </w:p>
        </w:tc>
      </w:tr>
      <w:tr w14:paraId="33045441">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675" w:type="dxa"/>
            <w:tcBorders>
              <w:top w:val="single" w:color="auto" w:sz="4" w:space="0"/>
              <w:left w:val="double" w:color="auto" w:sz="4" w:space="0"/>
              <w:bottom w:val="single" w:color="auto" w:sz="4" w:space="0"/>
              <w:right w:val="single" w:color="auto" w:sz="4" w:space="0"/>
            </w:tcBorders>
            <w:noWrap w:val="0"/>
            <w:vAlign w:val="top"/>
          </w:tcPr>
          <w:p w14:paraId="229B4600">
            <w:pPr>
              <w:keepNext w:val="0"/>
              <w:keepLines w:val="0"/>
              <w:pageBreakBefore w:val="0"/>
              <w:suppressLineNumbers w:val="0"/>
              <w:kinsoku/>
              <w:overflowPunct/>
              <w:bidi w:val="0"/>
              <w:spacing w:before="0" w:beforeAutospacing="0" w:after="0" w:afterAutospacing="0" w:line="600" w:lineRule="exact"/>
              <w:ind w:left="0" w:right="0"/>
              <w:rPr>
                <w:rFonts w:hint="eastAsia" w:ascii="仿宋" w:hAnsi="仿宋" w:eastAsia="仿宋" w:cs="宋体"/>
                <w:color w:val="auto"/>
                <w:szCs w:val="21"/>
                <w:highlight w:val="none"/>
              </w:rPr>
            </w:pPr>
            <w:r>
              <w:rPr>
                <w:rFonts w:hint="eastAsia" w:ascii="仿宋" w:hAnsi="仿宋" w:eastAsia="仿宋" w:cs="宋体"/>
                <w:color w:val="auto"/>
                <w:szCs w:val="21"/>
                <w:highlight w:val="none"/>
              </w:rPr>
              <w:t>……</w:t>
            </w:r>
          </w:p>
        </w:tc>
        <w:tc>
          <w:tcPr>
            <w:tcW w:w="2835" w:type="dxa"/>
            <w:tcBorders>
              <w:top w:val="single" w:color="auto" w:sz="4" w:space="0"/>
              <w:left w:val="single" w:color="auto" w:sz="4" w:space="0"/>
              <w:bottom w:val="single" w:color="auto" w:sz="4" w:space="0"/>
              <w:right w:val="single" w:color="auto" w:sz="4" w:space="0"/>
            </w:tcBorders>
            <w:noWrap w:val="0"/>
            <w:vAlign w:val="top"/>
          </w:tcPr>
          <w:p w14:paraId="4D6166AE">
            <w:pPr>
              <w:keepNext w:val="0"/>
              <w:keepLines w:val="0"/>
              <w:pageBreakBefore w:val="0"/>
              <w:suppressLineNumbers w:val="0"/>
              <w:kinsoku/>
              <w:overflowPunct/>
              <w:bidi w:val="0"/>
              <w:spacing w:before="0" w:beforeAutospacing="0" w:after="0" w:afterAutospacing="0" w:line="600" w:lineRule="exact"/>
              <w:ind w:left="0" w:right="0"/>
              <w:rPr>
                <w:rFonts w:hint="eastAsia" w:ascii="仿宋" w:hAnsi="仿宋" w:eastAsia="仿宋" w:cs="宋体"/>
                <w:color w:val="auto"/>
                <w:szCs w:val="21"/>
                <w:highlight w:val="none"/>
              </w:rPr>
            </w:pPr>
            <w:r>
              <w:rPr>
                <w:rFonts w:hint="eastAsia" w:ascii="仿宋" w:hAnsi="仿宋" w:eastAsia="仿宋" w:cs="宋体"/>
                <w:color w:val="auto"/>
                <w:szCs w:val="21"/>
                <w:highlight w:val="none"/>
              </w:rPr>
              <w:t>……</w:t>
            </w:r>
          </w:p>
        </w:tc>
        <w:tc>
          <w:tcPr>
            <w:tcW w:w="2268" w:type="dxa"/>
            <w:tcBorders>
              <w:top w:val="single" w:color="auto" w:sz="4" w:space="0"/>
              <w:left w:val="single" w:color="auto" w:sz="4" w:space="0"/>
              <w:bottom w:val="single" w:color="auto" w:sz="4" w:space="0"/>
              <w:right w:val="single" w:color="auto" w:sz="4" w:space="0"/>
            </w:tcBorders>
            <w:noWrap w:val="0"/>
            <w:vAlign w:val="top"/>
          </w:tcPr>
          <w:p w14:paraId="4CD20634">
            <w:pPr>
              <w:keepNext w:val="0"/>
              <w:keepLines w:val="0"/>
              <w:pageBreakBefore w:val="0"/>
              <w:suppressLineNumbers w:val="0"/>
              <w:kinsoku/>
              <w:overflowPunct/>
              <w:bidi w:val="0"/>
              <w:spacing w:before="0" w:beforeAutospacing="0" w:after="0" w:afterAutospacing="0" w:line="600" w:lineRule="exact"/>
              <w:ind w:left="0" w:right="0"/>
              <w:rPr>
                <w:rFonts w:hint="eastAsia" w:ascii="仿宋" w:hAnsi="仿宋" w:eastAsia="仿宋" w:cs="宋体"/>
                <w:color w:val="auto"/>
                <w:szCs w:val="21"/>
                <w:highlight w:val="none"/>
              </w:rPr>
            </w:pPr>
          </w:p>
        </w:tc>
        <w:tc>
          <w:tcPr>
            <w:tcW w:w="2640" w:type="dxa"/>
            <w:tcBorders>
              <w:top w:val="single" w:color="auto" w:sz="4" w:space="0"/>
              <w:left w:val="single" w:color="auto" w:sz="4" w:space="0"/>
              <w:bottom w:val="single" w:color="auto" w:sz="4" w:space="0"/>
              <w:right w:val="single" w:color="auto" w:sz="4" w:space="0"/>
            </w:tcBorders>
            <w:noWrap w:val="0"/>
            <w:vAlign w:val="top"/>
          </w:tcPr>
          <w:p w14:paraId="20C118A7">
            <w:pPr>
              <w:keepNext w:val="0"/>
              <w:keepLines w:val="0"/>
              <w:pageBreakBefore w:val="0"/>
              <w:suppressLineNumbers w:val="0"/>
              <w:kinsoku/>
              <w:overflowPunct/>
              <w:bidi w:val="0"/>
              <w:spacing w:before="0" w:beforeAutospacing="0" w:after="0" w:afterAutospacing="0" w:line="600" w:lineRule="exact"/>
              <w:ind w:left="0" w:right="0"/>
              <w:rPr>
                <w:rFonts w:hint="eastAsia" w:ascii="仿宋" w:hAnsi="仿宋" w:eastAsia="仿宋" w:cs="宋体"/>
                <w:color w:val="auto"/>
                <w:szCs w:val="21"/>
                <w:highlight w:val="none"/>
              </w:rPr>
            </w:pPr>
          </w:p>
        </w:tc>
        <w:tc>
          <w:tcPr>
            <w:tcW w:w="1434" w:type="dxa"/>
            <w:tcBorders>
              <w:top w:val="single" w:color="auto" w:sz="4" w:space="0"/>
              <w:left w:val="single" w:color="auto" w:sz="4" w:space="0"/>
              <w:bottom w:val="single" w:color="auto" w:sz="4" w:space="0"/>
              <w:right w:val="double" w:color="auto" w:sz="4" w:space="0"/>
            </w:tcBorders>
            <w:noWrap w:val="0"/>
            <w:vAlign w:val="top"/>
          </w:tcPr>
          <w:p w14:paraId="578C8868">
            <w:pPr>
              <w:keepNext w:val="0"/>
              <w:keepLines w:val="0"/>
              <w:pageBreakBefore w:val="0"/>
              <w:suppressLineNumbers w:val="0"/>
              <w:kinsoku/>
              <w:overflowPunct/>
              <w:bidi w:val="0"/>
              <w:spacing w:before="0" w:beforeAutospacing="0" w:after="0" w:afterAutospacing="0" w:line="600" w:lineRule="exact"/>
              <w:ind w:left="0" w:right="0"/>
              <w:rPr>
                <w:rFonts w:hint="eastAsia" w:ascii="仿宋" w:hAnsi="仿宋" w:eastAsia="仿宋" w:cs="宋体"/>
                <w:color w:val="auto"/>
                <w:szCs w:val="21"/>
                <w:highlight w:val="none"/>
              </w:rPr>
            </w:pPr>
          </w:p>
        </w:tc>
      </w:tr>
      <w:tr w14:paraId="71AF89FA">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675" w:type="dxa"/>
            <w:tcBorders>
              <w:top w:val="single" w:color="auto" w:sz="4" w:space="0"/>
              <w:left w:val="double" w:color="auto" w:sz="4" w:space="0"/>
              <w:bottom w:val="single" w:color="auto" w:sz="4" w:space="0"/>
              <w:right w:val="single" w:color="auto" w:sz="4" w:space="0"/>
            </w:tcBorders>
            <w:noWrap w:val="0"/>
            <w:vAlign w:val="top"/>
          </w:tcPr>
          <w:p w14:paraId="45E23AAF">
            <w:pPr>
              <w:keepNext w:val="0"/>
              <w:keepLines w:val="0"/>
              <w:pageBreakBefore w:val="0"/>
              <w:suppressLineNumbers w:val="0"/>
              <w:kinsoku/>
              <w:overflowPunct/>
              <w:bidi w:val="0"/>
              <w:spacing w:before="0" w:beforeAutospacing="0" w:after="0" w:afterAutospacing="0" w:line="600" w:lineRule="exact"/>
              <w:ind w:left="0" w:right="0"/>
              <w:rPr>
                <w:rFonts w:hint="eastAsia" w:ascii="仿宋" w:hAnsi="仿宋" w:eastAsia="仿宋" w:cs="宋体"/>
                <w:color w:val="auto"/>
                <w:szCs w:val="21"/>
                <w:highlight w:val="none"/>
              </w:rPr>
            </w:pPr>
          </w:p>
        </w:tc>
        <w:tc>
          <w:tcPr>
            <w:tcW w:w="2835" w:type="dxa"/>
            <w:tcBorders>
              <w:top w:val="single" w:color="auto" w:sz="4" w:space="0"/>
              <w:left w:val="single" w:color="auto" w:sz="4" w:space="0"/>
              <w:bottom w:val="single" w:color="auto" w:sz="4" w:space="0"/>
              <w:right w:val="single" w:color="auto" w:sz="4" w:space="0"/>
            </w:tcBorders>
            <w:noWrap w:val="0"/>
            <w:vAlign w:val="top"/>
          </w:tcPr>
          <w:p w14:paraId="49210EC4">
            <w:pPr>
              <w:keepNext w:val="0"/>
              <w:keepLines w:val="0"/>
              <w:pageBreakBefore w:val="0"/>
              <w:suppressLineNumbers w:val="0"/>
              <w:kinsoku/>
              <w:overflowPunct/>
              <w:bidi w:val="0"/>
              <w:spacing w:before="0" w:beforeAutospacing="0" w:after="0" w:afterAutospacing="0" w:line="600" w:lineRule="exact"/>
              <w:ind w:left="0" w:right="0"/>
              <w:rPr>
                <w:rFonts w:hint="eastAsia" w:ascii="仿宋" w:hAnsi="仿宋" w:eastAsia="仿宋" w:cs="宋体"/>
                <w:color w:val="auto"/>
                <w:szCs w:val="21"/>
                <w:highlight w:val="none"/>
              </w:rPr>
            </w:pPr>
            <w:r>
              <w:rPr>
                <w:rFonts w:hint="eastAsia" w:ascii="仿宋" w:hAnsi="仿宋" w:eastAsia="仿宋" w:cs="宋体"/>
                <w:color w:val="auto"/>
                <w:szCs w:val="21"/>
                <w:highlight w:val="none"/>
              </w:rPr>
              <w:t>正偏离(优于)</w:t>
            </w:r>
          </w:p>
        </w:tc>
        <w:tc>
          <w:tcPr>
            <w:tcW w:w="2268" w:type="dxa"/>
            <w:tcBorders>
              <w:top w:val="single" w:color="auto" w:sz="4" w:space="0"/>
              <w:left w:val="single" w:color="auto" w:sz="4" w:space="0"/>
              <w:bottom w:val="single" w:color="auto" w:sz="4" w:space="0"/>
              <w:right w:val="single" w:color="auto" w:sz="4" w:space="0"/>
            </w:tcBorders>
            <w:noWrap w:val="0"/>
            <w:vAlign w:val="top"/>
          </w:tcPr>
          <w:p w14:paraId="65BE19AD">
            <w:pPr>
              <w:keepNext w:val="0"/>
              <w:keepLines w:val="0"/>
              <w:pageBreakBefore w:val="0"/>
              <w:suppressLineNumbers w:val="0"/>
              <w:kinsoku/>
              <w:overflowPunct/>
              <w:bidi w:val="0"/>
              <w:spacing w:before="0" w:beforeAutospacing="0" w:after="0" w:afterAutospacing="0" w:line="600" w:lineRule="exact"/>
              <w:ind w:left="0" w:right="0"/>
              <w:rPr>
                <w:rFonts w:hint="eastAsia" w:ascii="仿宋" w:hAnsi="仿宋" w:eastAsia="仿宋" w:cs="宋体"/>
                <w:color w:val="auto"/>
                <w:szCs w:val="21"/>
                <w:highlight w:val="none"/>
              </w:rPr>
            </w:pPr>
          </w:p>
        </w:tc>
        <w:tc>
          <w:tcPr>
            <w:tcW w:w="2640" w:type="dxa"/>
            <w:tcBorders>
              <w:top w:val="single" w:color="auto" w:sz="4" w:space="0"/>
              <w:left w:val="single" w:color="auto" w:sz="4" w:space="0"/>
              <w:bottom w:val="single" w:color="auto" w:sz="4" w:space="0"/>
              <w:right w:val="single" w:color="auto" w:sz="4" w:space="0"/>
            </w:tcBorders>
            <w:noWrap w:val="0"/>
            <w:vAlign w:val="top"/>
          </w:tcPr>
          <w:p w14:paraId="0F0F4325">
            <w:pPr>
              <w:keepNext w:val="0"/>
              <w:keepLines w:val="0"/>
              <w:pageBreakBefore w:val="0"/>
              <w:suppressLineNumbers w:val="0"/>
              <w:kinsoku/>
              <w:overflowPunct/>
              <w:bidi w:val="0"/>
              <w:spacing w:before="0" w:beforeAutospacing="0" w:after="0" w:afterAutospacing="0" w:line="600" w:lineRule="exact"/>
              <w:ind w:left="0" w:right="0"/>
              <w:rPr>
                <w:rFonts w:hint="eastAsia" w:ascii="仿宋" w:hAnsi="仿宋" w:eastAsia="仿宋" w:cs="宋体"/>
                <w:color w:val="auto"/>
                <w:szCs w:val="21"/>
                <w:highlight w:val="none"/>
              </w:rPr>
            </w:pPr>
          </w:p>
        </w:tc>
        <w:tc>
          <w:tcPr>
            <w:tcW w:w="1434" w:type="dxa"/>
            <w:tcBorders>
              <w:top w:val="single" w:color="auto" w:sz="4" w:space="0"/>
              <w:left w:val="single" w:color="auto" w:sz="4" w:space="0"/>
              <w:bottom w:val="single" w:color="auto" w:sz="4" w:space="0"/>
              <w:right w:val="double" w:color="auto" w:sz="4" w:space="0"/>
            </w:tcBorders>
            <w:noWrap w:val="0"/>
            <w:vAlign w:val="top"/>
          </w:tcPr>
          <w:p w14:paraId="2AD360D6">
            <w:pPr>
              <w:keepNext w:val="0"/>
              <w:keepLines w:val="0"/>
              <w:pageBreakBefore w:val="0"/>
              <w:suppressLineNumbers w:val="0"/>
              <w:kinsoku/>
              <w:overflowPunct/>
              <w:bidi w:val="0"/>
              <w:spacing w:before="0" w:beforeAutospacing="0" w:after="0" w:afterAutospacing="0" w:line="600" w:lineRule="exact"/>
              <w:ind w:left="0" w:right="0"/>
              <w:rPr>
                <w:rFonts w:hint="eastAsia" w:ascii="仿宋" w:hAnsi="仿宋" w:eastAsia="仿宋" w:cs="宋体"/>
                <w:color w:val="auto"/>
                <w:szCs w:val="21"/>
                <w:highlight w:val="none"/>
              </w:rPr>
            </w:pPr>
          </w:p>
        </w:tc>
      </w:tr>
      <w:tr w14:paraId="55F717C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675" w:type="dxa"/>
            <w:tcBorders>
              <w:top w:val="single" w:color="auto" w:sz="4" w:space="0"/>
              <w:left w:val="double" w:color="auto" w:sz="4" w:space="0"/>
              <w:bottom w:val="single" w:color="auto" w:sz="4" w:space="0"/>
              <w:right w:val="single" w:color="auto" w:sz="4" w:space="0"/>
            </w:tcBorders>
            <w:noWrap w:val="0"/>
            <w:vAlign w:val="top"/>
          </w:tcPr>
          <w:p w14:paraId="5ACB09FC">
            <w:pPr>
              <w:keepNext w:val="0"/>
              <w:keepLines w:val="0"/>
              <w:pageBreakBefore w:val="0"/>
              <w:suppressLineNumbers w:val="0"/>
              <w:kinsoku/>
              <w:overflowPunct/>
              <w:bidi w:val="0"/>
              <w:spacing w:before="0" w:beforeAutospacing="0" w:after="0" w:afterAutospacing="0" w:line="600" w:lineRule="exact"/>
              <w:ind w:left="0" w:right="0"/>
              <w:rPr>
                <w:rFonts w:hint="eastAsia" w:ascii="仿宋" w:hAnsi="仿宋" w:eastAsia="仿宋" w:cs="宋体"/>
                <w:color w:val="auto"/>
                <w:szCs w:val="21"/>
                <w:highlight w:val="none"/>
              </w:rPr>
            </w:pPr>
          </w:p>
        </w:tc>
        <w:tc>
          <w:tcPr>
            <w:tcW w:w="2835" w:type="dxa"/>
            <w:tcBorders>
              <w:top w:val="single" w:color="auto" w:sz="4" w:space="0"/>
              <w:left w:val="single" w:color="auto" w:sz="4" w:space="0"/>
              <w:bottom w:val="single" w:color="auto" w:sz="4" w:space="0"/>
              <w:right w:val="single" w:color="auto" w:sz="4" w:space="0"/>
            </w:tcBorders>
            <w:noWrap w:val="0"/>
            <w:vAlign w:val="top"/>
          </w:tcPr>
          <w:p w14:paraId="4DFAAF3D">
            <w:pPr>
              <w:keepNext w:val="0"/>
              <w:keepLines w:val="0"/>
              <w:pageBreakBefore w:val="0"/>
              <w:suppressLineNumbers w:val="0"/>
              <w:kinsoku/>
              <w:overflowPunct/>
              <w:bidi w:val="0"/>
              <w:spacing w:before="0" w:beforeAutospacing="0" w:after="0" w:afterAutospacing="0" w:line="600" w:lineRule="exact"/>
              <w:ind w:left="0" w:right="0"/>
              <w:rPr>
                <w:rFonts w:hint="eastAsia" w:ascii="仿宋" w:hAnsi="仿宋" w:eastAsia="仿宋" w:cs="宋体"/>
                <w:color w:val="auto"/>
                <w:szCs w:val="21"/>
                <w:highlight w:val="none"/>
              </w:rPr>
            </w:pPr>
          </w:p>
        </w:tc>
        <w:tc>
          <w:tcPr>
            <w:tcW w:w="2268" w:type="dxa"/>
            <w:tcBorders>
              <w:top w:val="single" w:color="auto" w:sz="4" w:space="0"/>
              <w:left w:val="single" w:color="auto" w:sz="4" w:space="0"/>
              <w:bottom w:val="single" w:color="auto" w:sz="4" w:space="0"/>
              <w:right w:val="single" w:color="auto" w:sz="4" w:space="0"/>
            </w:tcBorders>
            <w:noWrap w:val="0"/>
            <w:vAlign w:val="top"/>
          </w:tcPr>
          <w:p w14:paraId="3659C4ED">
            <w:pPr>
              <w:keepNext w:val="0"/>
              <w:keepLines w:val="0"/>
              <w:pageBreakBefore w:val="0"/>
              <w:suppressLineNumbers w:val="0"/>
              <w:kinsoku/>
              <w:overflowPunct/>
              <w:bidi w:val="0"/>
              <w:spacing w:before="0" w:beforeAutospacing="0" w:after="0" w:afterAutospacing="0" w:line="600" w:lineRule="exact"/>
              <w:ind w:left="0" w:right="0"/>
              <w:rPr>
                <w:rFonts w:hint="eastAsia" w:ascii="仿宋" w:hAnsi="仿宋" w:eastAsia="仿宋" w:cs="宋体"/>
                <w:color w:val="auto"/>
                <w:szCs w:val="21"/>
                <w:highlight w:val="none"/>
              </w:rPr>
            </w:pPr>
          </w:p>
        </w:tc>
        <w:tc>
          <w:tcPr>
            <w:tcW w:w="2640" w:type="dxa"/>
            <w:tcBorders>
              <w:top w:val="single" w:color="auto" w:sz="4" w:space="0"/>
              <w:left w:val="single" w:color="auto" w:sz="4" w:space="0"/>
              <w:bottom w:val="single" w:color="auto" w:sz="4" w:space="0"/>
              <w:right w:val="single" w:color="auto" w:sz="4" w:space="0"/>
            </w:tcBorders>
            <w:noWrap w:val="0"/>
            <w:vAlign w:val="top"/>
          </w:tcPr>
          <w:p w14:paraId="5B998C19">
            <w:pPr>
              <w:keepNext w:val="0"/>
              <w:keepLines w:val="0"/>
              <w:pageBreakBefore w:val="0"/>
              <w:suppressLineNumbers w:val="0"/>
              <w:kinsoku/>
              <w:overflowPunct/>
              <w:bidi w:val="0"/>
              <w:spacing w:before="0" w:beforeAutospacing="0" w:after="0" w:afterAutospacing="0" w:line="600" w:lineRule="exact"/>
              <w:ind w:left="0" w:right="0"/>
              <w:rPr>
                <w:rFonts w:hint="eastAsia" w:ascii="仿宋" w:hAnsi="仿宋" w:eastAsia="仿宋" w:cs="宋体"/>
                <w:color w:val="auto"/>
                <w:szCs w:val="21"/>
                <w:highlight w:val="none"/>
              </w:rPr>
            </w:pPr>
          </w:p>
        </w:tc>
        <w:tc>
          <w:tcPr>
            <w:tcW w:w="1434" w:type="dxa"/>
            <w:tcBorders>
              <w:top w:val="single" w:color="auto" w:sz="4" w:space="0"/>
              <w:left w:val="single" w:color="auto" w:sz="4" w:space="0"/>
              <w:bottom w:val="single" w:color="auto" w:sz="4" w:space="0"/>
              <w:right w:val="double" w:color="auto" w:sz="4" w:space="0"/>
            </w:tcBorders>
            <w:noWrap w:val="0"/>
            <w:vAlign w:val="top"/>
          </w:tcPr>
          <w:p w14:paraId="28E72CEE">
            <w:pPr>
              <w:keepNext w:val="0"/>
              <w:keepLines w:val="0"/>
              <w:pageBreakBefore w:val="0"/>
              <w:suppressLineNumbers w:val="0"/>
              <w:kinsoku/>
              <w:overflowPunct/>
              <w:bidi w:val="0"/>
              <w:spacing w:before="0" w:beforeAutospacing="0" w:after="0" w:afterAutospacing="0" w:line="600" w:lineRule="exact"/>
              <w:ind w:left="0" w:right="0"/>
              <w:rPr>
                <w:rFonts w:hint="eastAsia" w:ascii="仿宋" w:hAnsi="仿宋" w:eastAsia="仿宋" w:cs="宋体"/>
                <w:color w:val="auto"/>
                <w:szCs w:val="21"/>
                <w:highlight w:val="none"/>
              </w:rPr>
            </w:pPr>
          </w:p>
        </w:tc>
      </w:tr>
      <w:tr w14:paraId="75CFF499">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675" w:type="dxa"/>
            <w:tcBorders>
              <w:top w:val="single" w:color="auto" w:sz="4" w:space="0"/>
              <w:left w:val="double" w:color="auto" w:sz="4" w:space="0"/>
              <w:bottom w:val="single" w:color="auto" w:sz="4" w:space="0"/>
              <w:right w:val="single" w:color="auto" w:sz="4" w:space="0"/>
            </w:tcBorders>
            <w:noWrap w:val="0"/>
            <w:vAlign w:val="top"/>
          </w:tcPr>
          <w:p w14:paraId="48061908">
            <w:pPr>
              <w:keepNext w:val="0"/>
              <w:keepLines w:val="0"/>
              <w:pageBreakBefore w:val="0"/>
              <w:suppressLineNumbers w:val="0"/>
              <w:kinsoku/>
              <w:overflowPunct/>
              <w:bidi w:val="0"/>
              <w:spacing w:before="0" w:beforeAutospacing="0" w:after="0" w:afterAutospacing="0" w:line="600" w:lineRule="exact"/>
              <w:ind w:left="0" w:right="0"/>
              <w:rPr>
                <w:rFonts w:hint="eastAsia" w:ascii="仿宋" w:hAnsi="仿宋" w:eastAsia="仿宋" w:cs="宋体"/>
                <w:color w:val="auto"/>
                <w:szCs w:val="21"/>
                <w:highlight w:val="none"/>
              </w:rPr>
            </w:pPr>
          </w:p>
        </w:tc>
        <w:tc>
          <w:tcPr>
            <w:tcW w:w="2835" w:type="dxa"/>
            <w:tcBorders>
              <w:top w:val="single" w:color="auto" w:sz="4" w:space="0"/>
              <w:left w:val="single" w:color="auto" w:sz="4" w:space="0"/>
              <w:bottom w:val="single" w:color="auto" w:sz="4" w:space="0"/>
              <w:right w:val="single" w:color="auto" w:sz="4" w:space="0"/>
            </w:tcBorders>
            <w:noWrap w:val="0"/>
            <w:vAlign w:val="top"/>
          </w:tcPr>
          <w:p w14:paraId="23A4D0C1">
            <w:pPr>
              <w:keepNext w:val="0"/>
              <w:keepLines w:val="0"/>
              <w:pageBreakBefore w:val="0"/>
              <w:suppressLineNumbers w:val="0"/>
              <w:kinsoku/>
              <w:overflowPunct/>
              <w:bidi w:val="0"/>
              <w:spacing w:before="0" w:beforeAutospacing="0" w:after="0" w:afterAutospacing="0" w:line="600" w:lineRule="exact"/>
              <w:ind w:left="0" w:right="0"/>
              <w:rPr>
                <w:rFonts w:hint="eastAsia" w:ascii="仿宋" w:hAnsi="仿宋" w:eastAsia="仿宋" w:cs="宋体"/>
                <w:color w:val="auto"/>
                <w:szCs w:val="21"/>
                <w:highlight w:val="none"/>
              </w:rPr>
            </w:pPr>
          </w:p>
        </w:tc>
        <w:tc>
          <w:tcPr>
            <w:tcW w:w="2268" w:type="dxa"/>
            <w:tcBorders>
              <w:top w:val="single" w:color="auto" w:sz="4" w:space="0"/>
              <w:left w:val="single" w:color="auto" w:sz="4" w:space="0"/>
              <w:bottom w:val="single" w:color="auto" w:sz="4" w:space="0"/>
              <w:right w:val="single" w:color="auto" w:sz="4" w:space="0"/>
            </w:tcBorders>
            <w:noWrap w:val="0"/>
            <w:vAlign w:val="top"/>
          </w:tcPr>
          <w:p w14:paraId="10B82D4E">
            <w:pPr>
              <w:keepNext w:val="0"/>
              <w:keepLines w:val="0"/>
              <w:pageBreakBefore w:val="0"/>
              <w:suppressLineNumbers w:val="0"/>
              <w:kinsoku/>
              <w:overflowPunct/>
              <w:bidi w:val="0"/>
              <w:spacing w:before="0" w:beforeAutospacing="0" w:after="0" w:afterAutospacing="0" w:line="600" w:lineRule="exact"/>
              <w:ind w:left="0" w:right="0"/>
              <w:rPr>
                <w:rFonts w:hint="eastAsia" w:ascii="仿宋" w:hAnsi="仿宋" w:eastAsia="仿宋" w:cs="宋体"/>
                <w:color w:val="auto"/>
                <w:szCs w:val="21"/>
                <w:highlight w:val="none"/>
              </w:rPr>
            </w:pPr>
          </w:p>
        </w:tc>
        <w:tc>
          <w:tcPr>
            <w:tcW w:w="2640" w:type="dxa"/>
            <w:tcBorders>
              <w:top w:val="single" w:color="auto" w:sz="4" w:space="0"/>
              <w:left w:val="single" w:color="auto" w:sz="4" w:space="0"/>
              <w:bottom w:val="single" w:color="auto" w:sz="4" w:space="0"/>
              <w:right w:val="single" w:color="auto" w:sz="4" w:space="0"/>
            </w:tcBorders>
            <w:noWrap w:val="0"/>
            <w:vAlign w:val="top"/>
          </w:tcPr>
          <w:p w14:paraId="4723E78D">
            <w:pPr>
              <w:keepNext w:val="0"/>
              <w:keepLines w:val="0"/>
              <w:pageBreakBefore w:val="0"/>
              <w:suppressLineNumbers w:val="0"/>
              <w:kinsoku/>
              <w:overflowPunct/>
              <w:bidi w:val="0"/>
              <w:spacing w:before="0" w:beforeAutospacing="0" w:after="0" w:afterAutospacing="0" w:line="600" w:lineRule="exact"/>
              <w:ind w:left="0" w:right="0"/>
              <w:rPr>
                <w:rFonts w:hint="eastAsia" w:ascii="仿宋" w:hAnsi="仿宋" w:eastAsia="仿宋" w:cs="宋体"/>
                <w:color w:val="auto"/>
                <w:szCs w:val="21"/>
                <w:highlight w:val="none"/>
              </w:rPr>
            </w:pPr>
          </w:p>
        </w:tc>
        <w:tc>
          <w:tcPr>
            <w:tcW w:w="1434" w:type="dxa"/>
            <w:tcBorders>
              <w:top w:val="single" w:color="auto" w:sz="4" w:space="0"/>
              <w:left w:val="single" w:color="auto" w:sz="4" w:space="0"/>
              <w:bottom w:val="single" w:color="auto" w:sz="4" w:space="0"/>
              <w:right w:val="double" w:color="auto" w:sz="4" w:space="0"/>
            </w:tcBorders>
            <w:noWrap w:val="0"/>
            <w:vAlign w:val="top"/>
          </w:tcPr>
          <w:p w14:paraId="2CD8D0E2">
            <w:pPr>
              <w:keepNext w:val="0"/>
              <w:keepLines w:val="0"/>
              <w:pageBreakBefore w:val="0"/>
              <w:suppressLineNumbers w:val="0"/>
              <w:kinsoku/>
              <w:overflowPunct/>
              <w:bidi w:val="0"/>
              <w:spacing w:before="0" w:beforeAutospacing="0" w:after="0" w:afterAutospacing="0" w:line="600" w:lineRule="exact"/>
              <w:ind w:left="0" w:right="0"/>
              <w:rPr>
                <w:rFonts w:hint="eastAsia" w:ascii="仿宋" w:hAnsi="仿宋" w:eastAsia="仿宋" w:cs="宋体"/>
                <w:color w:val="auto"/>
                <w:szCs w:val="21"/>
                <w:highlight w:val="none"/>
              </w:rPr>
            </w:pPr>
          </w:p>
        </w:tc>
      </w:tr>
      <w:tr w14:paraId="5CE4A06F">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675" w:type="dxa"/>
            <w:tcBorders>
              <w:top w:val="single" w:color="auto" w:sz="4" w:space="0"/>
              <w:left w:val="double" w:color="auto" w:sz="4" w:space="0"/>
              <w:bottom w:val="single" w:color="auto" w:sz="4" w:space="0"/>
              <w:right w:val="single" w:color="auto" w:sz="4" w:space="0"/>
            </w:tcBorders>
            <w:noWrap w:val="0"/>
            <w:vAlign w:val="top"/>
          </w:tcPr>
          <w:p w14:paraId="7E581113">
            <w:pPr>
              <w:keepNext w:val="0"/>
              <w:keepLines w:val="0"/>
              <w:pageBreakBefore w:val="0"/>
              <w:suppressLineNumbers w:val="0"/>
              <w:kinsoku/>
              <w:overflowPunct/>
              <w:bidi w:val="0"/>
              <w:spacing w:before="0" w:beforeAutospacing="0" w:after="0" w:afterAutospacing="0" w:line="600" w:lineRule="exact"/>
              <w:ind w:left="0" w:right="0"/>
              <w:rPr>
                <w:rFonts w:hint="eastAsia" w:ascii="仿宋" w:hAnsi="仿宋" w:eastAsia="仿宋" w:cs="宋体"/>
                <w:color w:val="auto"/>
                <w:szCs w:val="21"/>
                <w:highlight w:val="none"/>
              </w:rPr>
            </w:pPr>
            <w:r>
              <w:rPr>
                <w:rFonts w:hint="eastAsia" w:ascii="仿宋" w:hAnsi="仿宋" w:eastAsia="仿宋" w:cs="宋体"/>
                <w:color w:val="auto"/>
                <w:szCs w:val="21"/>
                <w:highlight w:val="none"/>
              </w:rPr>
              <w:t>……</w:t>
            </w:r>
          </w:p>
        </w:tc>
        <w:tc>
          <w:tcPr>
            <w:tcW w:w="2835" w:type="dxa"/>
            <w:tcBorders>
              <w:top w:val="single" w:color="auto" w:sz="4" w:space="0"/>
              <w:left w:val="single" w:color="auto" w:sz="4" w:space="0"/>
              <w:bottom w:val="single" w:color="auto" w:sz="4" w:space="0"/>
              <w:right w:val="single" w:color="auto" w:sz="4" w:space="0"/>
            </w:tcBorders>
            <w:noWrap w:val="0"/>
            <w:vAlign w:val="top"/>
          </w:tcPr>
          <w:p w14:paraId="5E52FD27">
            <w:pPr>
              <w:keepNext w:val="0"/>
              <w:keepLines w:val="0"/>
              <w:pageBreakBefore w:val="0"/>
              <w:suppressLineNumbers w:val="0"/>
              <w:kinsoku/>
              <w:overflowPunct/>
              <w:bidi w:val="0"/>
              <w:spacing w:before="0" w:beforeAutospacing="0" w:after="0" w:afterAutospacing="0" w:line="600" w:lineRule="exact"/>
              <w:ind w:left="0" w:right="0"/>
              <w:rPr>
                <w:rFonts w:hint="eastAsia" w:ascii="仿宋" w:hAnsi="仿宋" w:eastAsia="仿宋" w:cs="宋体"/>
                <w:color w:val="auto"/>
                <w:szCs w:val="21"/>
                <w:highlight w:val="none"/>
              </w:rPr>
            </w:pPr>
            <w:r>
              <w:rPr>
                <w:rFonts w:hint="eastAsia" w:ascii="仿宋" w:hAnsi="仿宋" w:eastAsia="仿宋" w:cs="宋体"/>
                <w:color w:val="auto"/>
                <w:szCs w:val="21"/>
                <w:highlight w:val="none"/>
              </w:rPr>
              <w:t>……</w:t>
            </w:r>
          </w:p>
        </w:tc>
        <w:tc>
          <w:tcPr>
            <w:tcW w:w="2268" w:type="dxa"/>
            <w:tcBorders>
              <w:top w:val="single" w:color="auto" w:sz="4" w:space="0"/>
              <w:left w:val="single" w:color="auto" w:sz="4" w:space="0"/>
              <w:bottom w:val="single" w:color="auto" w:sz="4" w:space="0"/>
              <w:right w:val="single" w:color="auto" w:sz="4" w:space="0"/>
            </w:tcBorders>
            <w:noWrap w:val="0"/>
            <w:vAlign w:val="top"/>
          </w:tcPr>
          <w:p w14:paraId="19C49296">
            <w:pPr>
              <w:keepNext w:val="0"/>
              <w:keepLines w:val="0"/>
              <w:pageBreakBefore w:val="0"/>
              <w:suppressLineNumbers w:val="0"/>
              <w:kinsoku/>
              <w:overflowPunct/>
              <w:bidi w:val="0"/>
              <w:spacing w:before="0" w:beforeAutospacing="0" w:after="0" w:afterAutospacing="0" w:line="600" w:lineRule="exact"/>
              <w:ind w:left="0" w:right="0"/>
              <w:rPr>
                <w:rFonts w:hint="eastAsia" w:ascii="仿宋" w:hAnsi="仿宋" w:eastAsia="仿宋" w:cs="宋体"/>
                <w:color w:val="auto"/>
                <w:szCs w:val="21"/>
                <w:highlight w:val="none"/>
              </w:rPr>
            </w:pPr>
          </w:p>
        </w:tc>
        <w:tc>
          <w:tcPr>
            <w:tcW w:w="2640" w:type="dxa"/>
            <w:tcBorders>
              <w:top w:val="single" w:color="auto" w:sz="4" w:space="0"/>
              <w:left w:val="single" w:color="auto" w:sz="4" w:space="0"/>
              <w:bottom w:val="single" w:color="auto" w:sz="4" w:space="0"/>
              <w:right w:val="single" w:color="auto" w:sz="4" w:space="0"/>
            </w:tcBorders>
            <w:noWrap w:val="0"/>
            <w:vAlign w:val="top"/>
          </w:tcPr>
          <w:p w14:paraId="2F9DDFD7">
            <w:pPr>
              <w:keepNext w:val="0"/>
              <w:keepLines w:val="0"/>
              <w:pageBreakBefore w:val="0"/>
              <w:suppressLineNumbers w:val="0"/>
              <w:kinsoku/>
              <w:overflowPunct/>
              <w:bidi w:val="0"/>
              <w:spacing w:before="0" w:beforeAutospacing="0" w:after="0" w:afterAutospacing="0" w:line="600" w:lineRule="exact"/>
              <w:ind w:left="0" w:right="0"/>
              <w:rPr>
                <w:rFonts w:hint="eastAsia" w:ascii="仿宋" w:hAnsi="仿宋" w:eastAsia="仿宋" w:cs="宋体"/>
                <w:color w:val="auto"/>
                <w:szCs w:val="21"/>
                <w:highlight w:val="none"/>
              </w:rPr>
            </w:pPr>
          </w:p>
        </w:tc>
        <w:tc>
          <w:tcPr>
            <w:tcW w:w="1434" w:type="dxa"/>
            <w:tcBorders>
              <w:top w:val="single" w:color="auto" w:sz="4" w:space="0"/>
              <w:left w:val="single" w:color="auto" w:sz="4" w:space="0"/>
              <w:bottom w:val="single" w:color="auto" w:sz="4" w:space="0"/>
              <w:right w:val="double" w:color="auto" w:sz="4" w:space="0"/>
            </w:tcBorders>
            <w:noWrap w:val="0"/>
            <w:vAlign w:val="top"/>
          </w:tcPr>
          <w:p w14:paraId="35B83BA5">
            <w:pPr>
              <w:keepNext w:val="0"/>
              <w:keepLines w:val="0"/>
              <w:pageBreakBefore w:val="0"/>
              <w:suppressLineNumbers w:val="0"/>
              <w:kinsoku/>
              <w:overflowPunct/>
              <w:bidi w:val="0"/>
              <w:spacing w:before="0" w:beforeAutospacing="0" w:after="0" w:afterAutospacing="0" w:line="600" w:lineRule="exact"/>
              <w:ind w:left="0" w:right="0"/>
              <w:rPr>
                <w:rFonts w:hint="eastAsia" w:ascii="仿宋" w:hAnsi="仿宋" w:eastAsia="仿宋" w:cs="宋体"/>
                <w:color w:val="auto"/>
                <w:szCs w:val="21"/>
                <w:highlight w:val="none"/>
              </w:rPr>
            </w:pPr>
          </w:p>
        </w:tc>
      </w:tr>
      <w:tr w14:paraId="1F240B4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675" w:type="dxa"/>
            <w:tcBorders>
              <w:top w:val="single" w:color="auto" w:sz="4" w:space="0"/>
              <w:left w:val="double" w:color="auto" w:sz="4" w:space="0"/>
              <w:bottom w:val="single" w:color="auto" w:sz="4" w:space="0"/>
              <w:right w:val="single" w:color="auto" w:sz="4" w:space="0"/>
            </w:tcBorders>
            <w:noWrap w:val="0"/>
            <w:vAlign w:val="top"/>
          </w:tcPr>
          <w:p w14:paraId="08085FA4">
            <w:pPr>
              <w:keepNext w:val="0"/>
              <w:keepLines w:val="0"/>
              <w:pageBreakBefore w:val="0"/>
              <w:suppressLineNumbers w:val="0"/>
              <w:kinsoku/>
              <w:overflowPunct/>
              <w:bidi w:val="0"/>
              <w:spacing w:before="0" w:beforeAutospacing="0" w:after="0" w:afterAutospacing="0" w:line="600" w:lineRule="exact"/>
              <w:ind w:left="0" w:right="0"/>
              <w:rPr>
                <w:rFonts w:hint="eastAsia" w:ascii="仿宋" w:hAnsi="仿宋" w:eastAsia="仿宋" w:cs="宋体"/>
                <w:color w:val="auto"/>
                <w:szCs w:val="21"/>
                <w:highlight w:val="none"/>
              </w:rPr>
            </w:pPr>
          </w:p>
        </w:tc>
        <w:tc>
          <w:tcPr>
            <w:tcW w:w="2835" w:type="dxa"/>
            <w:tcBorders>
              <w:top w:val="single" w:color="auto" w:sz="4" w:space="0"/>
              <w:left w:val="single" w:color="auto" w:sz="4" w:space="0"/>
              <w:bottom w:val="single" w:color="auto" w:sz="4" w:space="0"/>
              <w:right w:val="single" w:color="auto" w:sz="4" w:space="0"/>
            </w:tcBorders>
            <w:noWrap w:val="0"/>
            <w:vAlign w:val="top"/>
          </w:tcPr>
          <w:p w14:paraId="23E2C1FA">
            <w:pPr>
              <w:keepNext w:val="0"/>
              <w:keepLines w:val="0"/>
              <w:pageBreakBefore w:val="0"/>
              <w:suppressLineNumbers w:val="0"/>
              <w:kinsoku/>
              <w:overflowPunct/>
              <w:bidi w:val="0"/>
              <w:spacing w:before="0" w:beforeAutospacing="0" w:after="0" w:afterAutospacing="0" w:line="600" w:lineRule="exact"/>
              <w:ind w:left="0" w:right="0"/>
              <w:rPr>
                <w:rFonts w:hint="eastAsia" w:ascii="仿宋" w:hAnsi="仿宋" w:eastAsia="仿宋" w:cs="宋体"/>
                <w:color w:val="auto"/>
                <w:szCs w:val="21"/>
                <w:highlight w:val="none"/>
              </w:rPr>
            </w:pPr>
          </w:p>
        </w:tc>
        <w:tc>
          <w:tcPr>
            <w:tcW w:w="2268" w:type="dxa"/>
            <w:tcBorders>
              <w:top w:val="single" w:color="auto" w:sz="4" w:space="0"/>
              <w:left w:val="single" w:color="auto" w:sz="4" w:space="0"/>
              <w:bottom w:val="single" w:color="auto" w:sz="4" w:space="0"/>
              <w:right w:val="single" w:color="auto" w:sz="4" w:space="0"/>
            </w:tcBorders>
            <w:noWrap w:val="0"/>
            <w:vAlign w:val="top"/>
          </w:tcPr>
          <w:p w14:paraId="7DDB3349">
            <w:pPr>
              <w:keepNext w:val="0"/>
              <w:keepLines w:val="0"/>
              <w:pageBreakBefore w:val="0"/>
              <w:suppressLineNumbers w:val="0"/>
              <w:kinsoku/>
              <w:overflowPunct/>
              <w:bidi w:val="0"/>
              <w:spacing w:before="0" w:beforeAutospacing="0" w:after="0" w:afterAutospacing="0" w:line="600" w:lineRule="exact"/>
              <w:ind w:left="0" w:right="0"/>
              <w:rPr>
                <w:rFonts w:hint="eastAsia" w:ascii="仿宋" w:hAnsi="仿宋" w:eastAsia="仿宋" w:cs="宋体"/>
                <w:color w:val="auto"/>
                <w:szCs w:val="21"/>
                <w:highlight w:val="none"/>
              </w:rPr>
            </w:pPr>
          </w:p>
        </w:tc>
        <w:tc>
          <w:tcPr>
            <w:tcW w:w="2640" w:type="dxa"/>
            <w:tcBorders>
              <w:top w:val="single" w:color="auto" w:sz="4" w:space="0"/>
              <w:left w:val="single" w:color="auto" w:sz="4" w:space="0"/>
              <w:bottom w:val="single" w:color="auto" w:sz="4" w:space="0"/>
              <w:right w:val="single" w:color="auto" w:sz="4" w:space="0"/>
            </w:tcBorders>
            <w:noWrap w:val="0"/>
            <w:vAlign w:val="top"/>
          </w:tcPr>
          <w:p w14:paraId="7B551161">
            <w:pPr>
              <w:keepNext w:val="0"/>
              <w:keepLines w:val="0"/>
              <w:pageBreakBefore w:val="0"/>
              <w:suppressLineNumbers w:val="0"/>
              <w:kinsoku/>
              <w:overflowPunct/>
              <w:bidi w:val="0"/>
              <w:spacing w:before="0" w:beforeAutospacing="0" w:after="0" w:afterAutospacing="0" w:line="600" w:lineRule="exact"/>
              <w:ind w:left="0" w:right="0"/>
              <w:rPr>
                <w:rFonts w:hint="eastAsia" w:ascii="仿宋" w:hAnsi="仿宋" w:eastAsia="仿宋" w:cs="宋体"/>
                <w:color w:val="auto"/>
                <w:szCs w:val="21"/>
                <w:highlight w:val="none"/>
              </w:rPr>
            </w:pPr>
          </w:p>
        </w:tc>
        <w:tc>
          <w:tcPr>
            <w:tcW w:w="1434" w:type="dxa"/>
            <w:tcBorders>
              <w:top w:val="single" w:color="auto" w:sz="4" w:space="0"/>
              <w:left w:val="single" w:color="auto" w:sz="4" w:space="0"/>
              <w:bottom w:val="single" w:color="auto" w:sz="4" w:space="0"/>
              <w:right w:val="double" w:color="auto" w:sz="4" w:space="0"/>
            </w:tcBorders>
            <w:noWrap w:val="0"/>
            <w:vAlign w:val="top"/>
          </w:tcPr>
          <w:p w14:paraId="36C2FA66">
            <w:pPr>
              <w:keepNext w:val="0"/>
              <w:keepLines w:val="0"/>
              <w:pageBreakBefore w:val="0"/>
              <w:suppressLineNumbers w:val="0"/>
              <w:kinsoku/>
              <w:overflowPunct/>
              <w:bidi w:val="0"/>
              <w:spacing w:before="0" w:beforeAutospacing="0" w:after="0" w:afterAutospacing="0" w:line="600" w:lineRule="exact"/>
              <w:ind w:left="0" w:right="0"/>
              <w:rPr>
                <w:rFonts w:hint="eastAsia" w:ascii="仿宋" w:hAnsi="仿宋" w:eastAsia="仿宋" w:cs="宋体"/>
                <w:color w:val="auto"/>
                <w:szCs w:val="21"/>
                <w:highlight w:val="none"/>
              </w:rPr>
            </w:pPr>
          </w:p>
        </w:tc>
      </w:tr>
      <w:tr w14:paraId="67576C4F">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675" w:type="dxa"/>
            <w:tcBorders>
              <w:top w:val="single" w:color="auto" w:sz="4" w:space="0"/>
              <w:left w:val="double" w:color="auto" w:sz="4" w:space="0"/>
              <w:bottom w:val="single" w:color="auto" w:sz="4" w:space="0"/>
              <w:right w:val="single" w:color="auto" w:sz="4" w:space="0"/>
            </w:tcBorders>
            <w:noWrap w:val="0"/>
            <w:vAlign w:val="top"/>
          </w:tcPr>
          <w:p w14:paraId="0D809B61">
            <w:pPr>
              <w:keepNext w:val="0"/>
              <w:keepLines w:val="0"/>
              <w:pageBreakBefore w:val="0"/>
              <w:suppressLineNumbers w:val="0"/>
              <w:kinsoku/>
              <w:overflowPunct/>
              <w:bidi w:val="0"/>
              <w:spacing w:before="0" w:beforeAutospacing="0" w:after="0" w:afterAutospacing="0" w:line="600" w:lineRule="exact"/>
              <w:ind w:left="0" w:right="0"/>
              <w:rPr>
                <w:rFonts w:hint="eastAsia" w:ascii="仿宋" w:hAnsi="仿宋" w:eastAsia="仿宋" w:cs="宋体"/>
                <w:color w:val="auto"/>
                <w:szCs w:val="21"/>
                <w:highlight w:val="none"/>
              </w:rPr>
            </w:pPr>
          </w:p>
        </w:tc>
        <w:tc>
          <w:tcPr>
            <w:tcW w:w="2835" w:type="dxa"/>
            <w:tcBorders>
              <w:top w:val="single" w:color="auto" w:sz="4" w:space="0"/>
              <w:left w:val="single" w:color="auto" w:sz="4" w:space="0"/>
              <w:bottom w:val="single" w:color="auto" w:sz="4" w:space="0"/>
              <w:right w:val="single" w:color="auto" w:sz="4" w:space="0"/>
            </w:tcBorders>
            <w:noWrap w:val="0"/>
            <w:vAlign w:val="top"/>
          </w:tcPr>
          <w:p w14:paraId="0111B6EB">
            <w:pPr>
              <w:keepNext w:val="0"/>
              <w:keepLines w:val="0"/>
              <w:pageBreakBefore w:val="0"/>
              <w:suppressLineNumbers w:val="0"/>
              <w:kinsoku/>
              <w:overflowPunct/>
              <w:bidi w:val="0"/>
              <w:spacing w:before="0" w:beforeAutospacing="0" w:after="0" w:afterAutospacing="0" w:line="600" w:lineRule="exact"/>
              <w:ind w:left="0" w:right="0"/>
              <w:rPr>
                <w:rFonts w:hint="eastAsia" w:ascii="仿宋" w:hAnsi="仿宋" w:eastAsia="仿宋" w:cs="宋体"/>
                <w:color w:val="auto"/>
                <w:szCs w:val="21"/>
                <w:highlight w:val="none"/>
              </w:rPr>
            </w:pPr>
          </w:p>
        </w:tc>
        <w:tc>
          <w:tcPr>
            <w:tcW w:w="2268" w:type="dxa"/>
            <w:tcBorders>
              <w:top w:val="single" w:color="auto" w:sz="4" w:space="0"/>
              <w:left w:val="single" w:color="auto" w:sz="4" w:space="0"/>
              <w:bottom w:val="single" w:color="auto" w:sz="4" w:space="0"/>
              <w:right w:val="single" w:color="auto" w:sz="4" w:space="0"/>
            </w:tcBorders>
            <w:noWrap w:val="0"/>
            <w:vAlign w:val="top"/>
          </w:tcPr>
          <w:p w14:paraId="793AD3D4">
            <w:pPr>
              <w:keepNext w:val="0"/>
              <w:keepLines w:val="0"/>
              <w:pageBreakBefore w:val="0"/>
              <w:suppressLineNumbers w:val="0"/>
              <w:kinsoku/>
              <w:overflowPunct/>
              <w:bidi w:val="0"/>
              <w:spacing w:before="0" w:beforeAutospacing="0" w:after="0" w:afterAutospacing="0" w:line="600" w:lineRule="exact"/>
              <w:ind w:left="0" w:right="0"/>
              <w:rPr>
                <w:rFonts w:hint="eastAsia" w:ascii="仿宋" w:hAnsi="仿宋" w:eastAsia="仿宋" w:cs="宋体"/>
                <w:color w:val="auto"/>
                <w:szCs w:val="21"/>
                <w:highlight w:val="none"/>
              </w:rPr>
            </w:pPr>
          </w:p>
        </w:tc>
        <w:tc>
          <w:tcPr>
            <w:tcW w:w="2640" w:type="dxa"/>
            <w:tcBorders>
              <w:top w:val="single" w:color="auto" w:sz="4" w:space="0"/>
              <w:left w:val="single" w:color="auto" w:sz="4" w:space="0"/>
              <w:bottom w:val="single" w:color="auto" w:sz="4" w:space="0"/>
              <w:right w:val="single" w:color="auto" w:sz="4" w:space="0"/>
            </w:tcBorders>
            <w:noWrap w:val="0"/>
            <w:vAlign w:val="top"/>
          </w:tcPr>
          <w:p w14:paraId="2B0DF0C4">
            <w:pPr>
              <w:keepNext w:val="0"/>
              <w:keepLines w:val="0"/>
              <w:pageBreakBefore w:val="0"/>
              <w:suppressLineNumbers w:val="0"/>
              <w:kinsoku/>
              <w:overflowPunct/>
              <w:bidi w:val="0"/>
              <w:spacing w:before="0" w:beforeAutospacing="0" w:after="0" w:afterAutospacing="0" w:line="600" w:lineRule="exact"/>
              <w:ind w:left="0" w:right="0"/>
              <w:rPr>
                <w:rFonts w:hint="eastAsia" w:ascii="仿宋" w:hAnsi="仿宋" w:eastAsia="仿宋" w:cs="宋体"/>
                <w:color w:val="auto"/>
                <w:szCs w:val="21"/>
                <w:highlight w:val="none"/>
              </w:rPr>
            </w:pPr>
          </w:p>
        </w:tc>
        <w:tc>
          <w:tcPr>
            <w:tcW w:w="1434" w:type="dxa"/>
            <w:tcBorders>
              <w:top w:val="single" w:color="auto" w:sz="4" w:space="0"/>
              <w:left w:val="single" w:color="auto" w:sz="4" w:space="0"/>
              <w:bottom w:val="single" w:color="auto" w:sz="4" w:space="0"/>
              <w:right w:val="double" w:color="auto" w:sz="4" w:space="0"/>
            </w:tcBorders>
            <w:noWrap w:val="0"/>
            <w:vAlign w:val="top"/>
          </w:tcPr>
          <w:p w14:paraId="0B374749">
            <w:pPr>
              <w:keepNext w:val="0"/>
              <w:keepLines w:val="0"/>
              <w:pageBreakBefore w:val="0"/>
              <w:suppressLineNumbers w:val="0"/>
              <w:kinsoku/>
              <w:overflowPunct/>
              <w:bidi w:val="0"/>
              <w:spacing w:before="0" w:beforeAutospacing="0" w:after="0" w:afterAutospacing="0" w:line="600" w:lineRule="exact"/>
              <w:ind w:left="0" w:right="0"/>
              <w:rPr>
                <w:rFonts w:hint="eastAsia" w:ascii="仿宋" w:hAnsi="仿宋" w:eastAsia="仿宋" w:cs="宋体"/>
                <w:color w:val="auto"/>
                <w:szCs w:val="21"/>
                <w:highlight w:val="none"/>
              </w:rPr>
            </w:pPr>
          </w:p>
        </w:tc>
      </w:tr>
      <w:tr w14:paraId="7EFFD85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675" w:type="dxa"/>
            <w:tcBorders>
              <w:top w:val="single" w:color="auto" w:sz="4" w:space="0"/>
              <w:left w:val="double" w:color="auto" w:sz="4" w:space="0"/>
              <w:bottom w:val="double" w:color="auto" w:sz="4" w:space="0"/>
              <w:right w:val="single" w:color="auto" w:sz="4" w:space="0"/>
            </w:tcBorders>
            <w:noWrap w:val="0"/>
            <w:vAlign w:val="top"/>
          </w:tcPr>
          <w:p w14:paraId="6AB30ED4">
            <w:pPr>
              <w:keepNext w:val="0"/>
              <w:keepLines w:val="0"/>
              <w:pageBreakBefore w:val="0"/>
              <w:suppressLineNumbers w:val="0"/>
              <w:kinsoku/>
              <w:overflowPunct/>
              <w:bidi w:val="0"/>
              <w:spacing w:before="0" w:beforeAutospacing="0" w:after="0" w:afterAutospacing="0" w:line="600" w:lineRule="exact"/>
              <w:ind w:left="0" w:right="0"/>
              <w:rPr>
                <w:rFonts w:hint="eastAsia" w:ascii="仿宋" w:hAnsi="仿宋" w:eastAsia="仿宋" w:cs="宋体"/>
                <w:color w:val="auto"/>
                <w:szCs w:val="21"/>
                <w:highlight w:val="none"/>
              </w:rPr>
            </w:pPr>
          </w:p>
        </w:tc>
        <w:tc>
          <w:tcPr>
            <w:tcW w:w="2835" w:type="dxa"/>
            <w:tcBorders>
              <w:top w:val="single" w:color="auto" w:sz="4" w:space="0"/>
              <w:left w:val="single" w:color="auto" w:sz="4" w:space="0"/>
              <w:bottom w:val="double" w:color="auto" w:sz="4" w:space="0"/>
              <w:right w:val="single" w:color="auto" w:sz="4" w:space="0"/>
            </w:tcBorders>
            <w:noWrap w:val="0"/>
            <w:vAlign w:val="top"/>
          </w:tcPr>
          <w:p w14:paraId="1C0557ED">
            <w:pPr>
              <w:keepNext w:val="0"/>
              <w:keepLines w:val="0"/>
              <w:pageBreakBefore w:val="0"/>
              <w:suppressLineNumbers w:val="0"/>
              <w:kinsoku/>
              <w:overflowPunct/>
              <w:bidi w:val="0"/>
              <w:spacing w:before="0" w:beforeAutospacing="0" w:after="0" w:afterAutospacing="0" w:line="600" w:lineRule="exact"/>
              <w:ind w:left="0" w:right="0"/>
              <w:rPr>
                <w:rFonts w:hint="eastAsia" w:ascii="仿宋" w:hAnsi="仿宋" w:eastAsia="仿宋" w:cs="宋体"/>
                <w:color w:val="auto"/>
                <w:szCs w:val="21"/>
                <w:highlight w:val="none"/>
              </w:rPr>
            </w:pPr>
          </w:p>
        </w:tc>
        <w:tc>
          <w:tcPr>
            <w:tcW w:w="2268" w:type="dxa"/>
            <w:tcBorders>
              <w:top w:val="single" w:color="auto" w:sz="4" w:space="0"/>
              <w:left w:val="single" w:color="auto" w:sz="4" w:space="0"/>
              <w:bottom w:val="double" w:color="auto" w:sz="4" w:space="0"/>
              <w:right w:val="single" w:color="auto" w:sz="4" w:space="0"/>
            </w:tcBorders>
            <w:noWrap w:val="0"/>
            <w:vAlign w:val="top"/>
          </w:tcPr>
          <w:p w14:paraId="17B862E1">
            <w:pPr>
              <w:keepNext w:val="0"/>
              <w:keepLines w:val="0"/>
              <w:pageBreakBefore w:val="0"/>
              <w:suppressLineNumbers w:val="0"/>
              <w:kinsoku/>
              <w:overflowPunct/>
              <w:bidi w:val="0"/>
              <w:spacing w:before="0" w:beforeAutospacing="0" w:after="0" w:afterAutospacing="0" w:line="600" w:lineRule="exact"/>
              <w:ind w:left="0" w:right="0"/>
              <w:rPr>
                <w:rFonts w:hint="eastAsia" w:ascii="仿宋" w:hAnsi="仿宋" w:eastAsia="仿宋" w:cs="宋体"/>
                <w:color w:val="auto"/>
                <w:szCs w:val="21"/>
                <w:highlight w:val="none"/>
              </w:rPr>
            </w:pPr>
          </w:p>
        </w:tc>
        <w:tc>
          <w:tcPr>
            <w:tcW w:w="2640" w:type="dxa"/>
            <w:tcBorders>
              <w:top w:val="single" w:color="auto" w:sz="4" w:space="0"/>
              <w:left w:val="single" w:color="auto" w:sz="4" w:space="0"/>
              <w:bottom w:val="double" w:color="auto" w:sz="4" w:space="0"/>
              <w:right w:val="single" w:color="auto" w:sz="4" w:space="0"/>
            </w:tcBorders>
            <w:noWrap w:val="0"/>
            <w:vAlign w:val="top"/>
          </w:tcPr>
          <w:p w14:paraId="1D775CA2">
            <w:pPr>
              <w:keepNext w:val="0"/>
              <w:keepLines w:val="0"/>
              <w:pageBreakBefore w:val="0"/>
              <w:suppressLineNumbers w:val="0"/>
              <w:kinsoku/>
              <w:overflowPunct/>
              <w:bidi w:val="0"/>
              <w:spacing w:before="0" w:beforeAutospacing="0" w:after="0" w:afterAutospacing="0" w:line="600" w:lineRule="exact"/>
              <w:ind w:left="0" w:right="0"/>
              <w:rPr>
                <w:rFonts w:hint="eastAsia" w:ascii="仿宋" w:hAnsi="仿宋" w:eastAsia="仿宋" w:cs="宋体"/>
                <w:color w:val="auto"/>
                <w:szCs w:val="21"/>
                <w:highlight w:val="none"/>
              </w:rPr>
            </w:pPr>
          </w:p>
        </w:tc>
        <w:tc>
          <w:tcPr>
            <w:tcW w:w="1434" w:type="dxa"/>
            <w:tcBorders>
              <w:top w:val="single" w:color="auto" w:sz="4" w:space="0"/>
              <w:left w:val="single" w:color="auto" w:sz="4" w:space="0"/>
              <w:bottom w:val="double" w:color="auto" w:sz="4" w:space="0"/>
              <w:right w:val="double" w:color="auto" w:sz="4" w:space="0"/>
            </w:tcBorders>
            <w:noWrap w:val="0"/>
            <w:vAlign w:val="top"/>
          </w:tcPr>
          <w:p w14:paraId="49936693">
            <w:pPr>
              <w:keepNext w:val="0"/>
              <w:keepLines w:val="0"/>
              <w:pageBreakBefore w:val="0"/>
              <w:suppressLineNumbers w:val="0"/>
              <w:kinsoku/>
              <w:overflowPunct/>
              <w:bidi w:val="0"/>
              <w:spacing w:before="0" w:beforeAutospacing="0" w:after="0" w:afterAutospacing="0" w:line="600" w:lineRule="exact"/>
              <w:ind w:left="0" w:right="0"/>
              <w:rPr>
                <w:rFonts w:hint="eastAsia" w:ascii="仿宋" w:hAnsi="仿宋" w:eastAsia="仿宋" w:cs="宋体"/>
                <w:color w:val="auto"/>
                <w:szCs w:val="21"/>
                <w:highlight w:val="none"/>
              </w:rPr>
            </w:pPr>
          </w:p>
        </w:tc>
      </w:tr>
    </w:tbl>
    <w:p w14:paraId="783CFC0A">
      <w:pPr>
        <w:pageBreakBefore w:val="0"/>
        <w:kinsoku/>
        <w:overflowPunct/>
        <w:bidi w:val="0"/>
        <w:spacing w:before="240" w:line="600" w:lineRule="exact"/>
        <w:rPr>
          <w:rFonts w:hint="eastAsia" w:ascii="仿宋" w:hAnsi="仿宋" w:eastAsia="仿宋" w:cs="Cambria Math"/>
          <w:color w:val="auto"/>
          <w:sz w:val="24"/>
          <w:highlight w:val="none"/>
        </w:rPr>
      </w:pPr>
      <w:r>
        <w:rPr>
          <w:rFonts w:hint="eastAsia" w:ascii="仿宋" w:hAnsi="仿宋" w:eastAsia="仿宋" w:cs="宋体"/>
          <w:color w:val="auto"/>
          <w:sz w:val="24"/>
          <w:szCs w:val="24"/>
          <w:highlight w:val="none"/>
        </w:rPr>
        <w:t>注：对于未列出的偏离内容视同投标人已完全接受招标文件的要求。</w:t>
      </w:r>
      <w:r>
        <w:rPr>
          <w:rFonts w:hint="eastAsia" w:ascii="仿宋" w:hAnsi="仿宋" w:eastAsia="仿宋" w:cs="Cambria Math"/>
          <w:b/>
          <w:bCs/>
          <w:color w:val="auto"/>
          <w:sz w:val="24"/>
          <w:highlight w:val="none"/>
        </w:rPr>
        <w:t>如全部满足，在偏离表中应答“全部满足”即可</w:t>
      </w:r>
      <w:r>
        <w:rPr>
          <w:rFonts w:hint="eastAsia" w:ascii="仿宋" w:hAnsi="仿宋" w:eastAsia="仿宋" w:cs="Cambria Math"/>
          <w:color w:val="auto"/>
          <w:sz w:val="24"/>
          <w:highlight w:val="none"/>
        </w:rPr>
        <w:t>。</w:t>
      </w:r>
    </w:p>
    <w:p w14:paraId="22851C81">
      <w:pPr>
        <w:pageBreakBefore w:val="0"/>
        <w:kinsoku/>
        <w:overflowPunct/>
        <w:bidi w:val="0"/>
        <w:spacing w:line="600" w:lineRule="exact"/>
        <w:ind w:firstLine="4080" w:firstLineChars="1700"/>
        <w:jc w:val="right"/>
        <w:rPr>
          <w:rFonts w:hint="eastAsia" w:ascii="仿宋" w:hAnsi="仿宋" w:eastAsia="仿宋" w:cs="宋体"/>
          <w:color w:val="auto"/>
          <w:sz w:val="24"/>
          <w:szCs w:val="24"/>
          <w:highlight w:val="none"/>
        </w:rPr>
      </w:pPr>
    </w:p>
    <w:p w14:paraId="00BBB4C5">
      <w:pPr>
        <w:pageBreakBefore w:val="0"/>
        <w:kinsoku/>
        <w:overflowPunct/>
        <w:bidi w:val="0"/>
        <w:spacing w:line="600" w:lineRule="exact"/>
        <w:ind w:firstLine="4080" w:firstLineChars="1700"/>
        <w:jc w:val="right"/>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投标人名称：</w:t>
      </w:r>
      <w:r>
        <w:rPr>
          <w:rFonts w:hint="eastAsia" w:ascii="仿宋" w:hAnsi="仿宋" w:eastAsia="仿宋" w:cs="宋体"/>
          <w:color w:val="auto"/>
          <w:sz w:val="24"/>
          <w:szCs w:val="24"/>
          <w:highlight w:val="none"/>
          <w:u w:val="single"/>
        </w:rPr>
        <w:t xml:space="preserve">     </w:t>
      </w:r>
      <w:r>
        <w:rPr>
          <w:rFonts w:hint="eastAsia" w:ascii="仿宋" w:hAnsi="仿宋" w:eastAsia="仿宋" w:cs="宋体"/>
          <w:color w:val="auto"/>
          <w:sz w:val="24"/>
          <w:szCs w:val="24"/>
          <w:highlight w:val="none"/>
        </w:rPr>
        <w:t>（盖章）</w:t>
      </w:r>
    </w:p>
    <w:p w14:paraId="5C434407">
      <w:pPr>
        <w:pageBreakBefore w:val="0"/>
        <w:kinsoku/>
        <w:overflowPunct/>
        <w:bidi w:val="0"/>
        <w:spacing w:line="600" w:lineRule="exact"/>
        <w:jc w:val="right"/>
        <w:rPr>
          <w:rFonts w:ascii="仿宋" w:hAnsi="仿宋" w:cs="宋体"/>
          <w:color w:val="auto"/>
          <w:szCs w:val="24"/>
          <w:highlight w:val="none"/>
        </w:rPr>
      </w:pPr>
      <w:r>
        <w:rPr>
          <w:rFonts w:hint="eastAsia" w:ascii="仿宋" w:hAnsi="仿宋" w:eastAsia="仿宋" w:cs="宋体"/>
          <w:color w:val="auto"/>
          <w:sz w:val="24"/>
          <w:szCs w:val="24"/>
          <w:highlight w:val="none"/>
        </w:rPr>
        <w:t>日期：</w:t>
      </w:r>
      <w:r>
        <w:rPr>
          <w:rFonts w:hint="eastAsia" w:ascii="仿宋" w:hAnsi="仿宋" w:eastAsia="仿宋" w:cs="宋体"/>
          <w:color w:val="auto"/>
          <w:sz w:val="24"/>
          <w:szCs w:val="24"/>
          <w:highlight w:val="none"/>
          <w:u w:val="single"/>
        </w:rPr>
        <w:t xml:space="preserve">   </w:t>
      </w:r>
      <w:r>
        <w:rPr>
          <w:rFonts w:hint="eastAsia" w:ascii="仿宋" w:hAnsi="仿宋" w:eastAsia="仿宋" w:cs="宋体"/>
          <w:color w:val="auto"/>
          <w:sz w:val="24"/>
          <w:szCs w:val="24"/>
          <w:highlight w:val="none"/>
        </w:rPr>
        <w:t>年</w:t>
      </w:r>
      <w:r>
        <w:rPr>
          <w:rFonts w:hint="eastAsia" w:ascii="仿宋" w:hAnsi="仿宋" w:eastAsia="仿宋" w:cs="宋体"/>
          <w:color w:val="auto"/>
          <w:sz w:val="24"/>
          <w:szCs w:val="24"/>
          <w:highlight w:val="none"/>
          <w:u w:val="single"/>
        </w:rPr>
        <w:t xml:space="preserve">   </w:t>
      </w:r>
      <w:r>
        <w:rPr>
          <w:rFonts w:hint="eastAsia" w:ascii="仿宋" w:hAnsi="仿宋" w:eastAsia="仿宋" w:cs="宋体"/>
          <w:color w:val="auto"/>
          <w:sz w:val="24"/>
          <w:szCs w:val="24"/>
          <w:highlight w:val="none"/>
        </w:rPr>
        <w:t>月</w:t>
      </w:r>
      <w:r>
        <w:rPr>
          <w:rFonts w:hint="eastAsia" w:ascii="仿宋" w:hAnsi="仿宋" w:eastAsia="仿宋" w:cs="宋体"/>
          <w:color w:val="auto"/>
          <w:sz w:val="24"/>
          <w:szCs w:val="24"/>
          <w:highlight w:val="none"/>
          <w:u w:val="single"/>
        </w:rPr>
        <w:t xml:space="preserve">   </w:t>
      </w:r>
      <w:r>
        <w:rPr>
          <w:rFonts w:hint="eastAsia" w:ascii="仿宋" w:hAnsi="仿宋" w:eastAsia="仿宋" w:cs="宋体"/>
          <w:color w:val="auto"/>
          <w:sz w:val="24"/>
          <w:szCs w:val="24"/>
          <w:highlight w:val="none"/>
        </w:rPr>
        <w:t>日</w:t>
      </w:r>
      <w:bookmarkStart w:id="708" w:name="_Toc109124329"/>
      <w:bookmarkStart w:id="709" w:name="_Toc58177623"/>
      <w:bookmarkStart w:id="710" w:name="_Toc65683015"/>
      <w:bookmarkStart w:id="711" w:name="_Toc4895"/>
    </w:p>
    <w:p w14:paraId="57D83D46">
      <w:pPr>
        <w:pStyle w:val="5"/>
        <w:pageBreakBefore w:val="0"/>
        <w:kinsoku/>
        <w:overflowPunct/>
        <w:bidi w:val="0"/>
        <w:spacing w:line="600" w:lineRule="exact"/>
        <w:ind w:firstLine="0" w:firstLineChars="0"/>
        <w:rPr>
          <w:rFonts w:ascii="仿宋" w:hAnsi="仿宋" w:cs="宋体"/>
          <w:color w:val="auto"/>
          <w:szCs w:val="24"/>
          <w:highlight w:val="none"/>
        </w:rPr>
      </w:pPr>
      <w:bookmarkStart w:id="712" w:name="_Toc12176"/>
      <w:r>
        <w:rPr>
          <w:rFonts w:ascii="仿宋" w:hAnsi="仿宋" w:cs="宋体"/>
          <w:color w:val="auto"/>
          <w:szCs w:val="24"/>
          <w:highlight w:val="none"/>
        </w:rPr>
        <w:t>（二）技术方案</w:t>
      </w:r>
      <w:bookmarkEnd w:id="708"/>
      <w:bookmarkEnd w:id="709"/>
      <w:bookmarkEnd w:id="710"/>
      <w:bookmarkEnd w:id="711"/>
      <w:bookmarkEnd w:id="712"/>
    </w:p>
    <w:p w14:paraId="351086D6">
      <w:pPr>
        <w:pageBreakBefore w:val="0"/>
        <w:kinsoku/>
        <w:overflowPunct/>
        <w:bidi w:val="0"/>
        <w:spacing w:line="600" w:lineRule="exact"/>
        <w:ind w:firstLine="480" w:firstLineChars="200"/>
        <w:rPr>
          <w:rFonts w:hint="eastAsia" w:ascii="仿宋" w:hAnsi="仿宋" w:eastAsia="仿宋" w:cs="宋体"/>
          <w:color w:val="auto"/>
          <w:sz w:val="24"/>
          <w:szCs w:val="24"/>
          <w:highlight w:val="none"/>
          <w:lang w:bidi="ar"/>
        </w:rPr>
      </w:pPr>
      <w:r>
        <w:rPr>
          <w:rFonts w:hint="eastAsia" w:ascii="仿宋" w:hAnsi="仿宋" w:eastAsia="仿宋" w:cs="宋体"/>
          <w:color w:val="auto"/>
          <w:sz w:val="24"/>
          <w:szCs w:val="24"/>
          <w:highlight w:val="none"/>
          <w:lang w:bidi="ar"/>
        </w:rPr>
        <w:t>在充分响应技术规范书各项要求的基础上，编制技术方案，并提供技术规范书要求的证书、资质、承诺等材料。</w:t>
      </w:r>
    </w:p>
    <w:p w14:paraId="1E0CDCA4">
      <w:pPr>
        <w:pageBreakBefore w:val="0"/>
        <w:kinsoku/>
        <w:overflowPunct/>
        <w:bidi w:val="0"/>
        <w:spacing w:line="600" w:lineRule="exact"/>
        <w:ind w:firstLine="480" w:firstLineChars="200"/>
        <w:rPr>
          <w:rFonts w:hint="eastAsia" w:ascii="仿宋" w:hAnsi="仿宋" w:eastAsia="仿宋" w:cs="宋体"/>
          <w:color w:val="auto"/>
          <w:sz w:val="24"/>
          <w:szCs w:val="24"/>
          <w:highlight w:val="none"/>
          <w:lang w:bidi="ar"/>
        </w:rPr>
      </w:pPr>
      <w:r>
        <w:rPr>
          <w:rFonts w:hint="eastAsia" w:ascii="仿宋" w:hAnsi="仿宋" w:eastAsia="仿宋" w:cs="宋体"/>
          <w:color w:val="auto"/>
          <w:sz w:val="24"/>
          <w:szCs w:val="24"/>
          <w:highlight w:val="none"/>
          <w:lang w:bidi="ar"/>
        </w:rPr>
        <w:t>技术方案包括但不限于：产品性能、进度管控方案、开发方案、集成实施方案、运维方案、培训方案、应急响应方案、拟派团队方案、服务承诺等内容。</w:t>
      </w:r>
    </w:p>
    <w:p w14:paraId="0BBEF6EC">
      <w:pPr>
        <w:pStyle w:val="6"/>
        <w:pageBreakBefore w:val="0"/>
        <w:kinsoku/>
        <w:overflowPunct/>
        <w:bidi w:val="0"/>
        <w:spacing w:line="600" w:lineRule="exact"/>
        <w:rPr>
          <w:rFonts w:hint="eastAsia" w:ascii="仿宋" w:hAnsi="仿宋" w:cs="宋体"/>
          <w:color w:val="auto"/>
          <w:highlight w:val="none"/>
        </w:rPr>
      </w:pPr>
      <w:r>
        <w:rPr>
          <w:rFonts w:hint="eastAsia" w:ascii="仿宋" w:hAnsi="仿宋" w:cs="宋体"/>
          <w:color w:val="auto"/>
          <w:highlight w:val="none"/>
          <w:lang w:bidi="ar"/>
        </w:rPr>
        <w:br w:type="page"/>
      </w:r>
      <w:r>
        <w:rPr>
          <w:rFonts w:hint="eastAsia" w:ascii="仿宋" w:hAnsi="仿宋" w:cs="宋体"/>
          <w:color w:val="auto"/>
          <w:highlight w:val="none"/>
        </w:rPr>
        <w:t>1、拟派服务团队成员汇总表</w:t>
      </w:r>
    </w:p>
    <w:tbl>
      <w:tblPr>
        <w:tblStyle w:val="33"/>
        <w:tblW w:w="89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0"/>
        <w:gridCol w:w="1260"/>
        <w:gridCol w:w="851"/>
        <w:gridCol w:w="980"/>
        <w:gridCol w:w="992"/>
        <w:gridCol w:w="1276"/>
        <w:gridCol w:w="1134"/>
        <w:gridCol w:w="1695"/>
      </w:tblGrid>
      <w:tr w14:paraId="7D5A0E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83" w:hRule="atLeast"/>
          <w:tblHeader/>
          <w:jc w:val="center"/>
        </w:trPr>
        <w:tc>
          <w:tcPr>
            <w:tcW w:w="750" w:type="dxa"/>
            <w:noWrap w:val="0"/>
            <w:vAlign w:val="center"/>
          </w:tcPr>
          <w:p w14:paraId="5C981C44">
            <w:pPr>
              <w:keepNext w:val="0"/>
              <w:keepLines w:val="0"/>
              <w:pageBreakBefore w:val="0"/>
              <w:suppressLineNumbers w:val="0"/>
              <w:kinsoku/>
              <w:overflowPunct/>
              <w:bidi w:val="0"/>
              <w:snapToGrid w:val="0"/>
              <w:spacing w:before="0" w:beforeAutospacing="0" w:after="0" w:afterAutospacing="0" w:line="600" w:lineRule="exact"/>
              <w:ind w:left="0" w:right="0"/>
              <w:jc w:val="center"/>
              <w:rPr>
                <w:rFonts w:hint="eastAsia" w:ascii="仿宋" w:hAnsi="仿宋" w:eastAsia="仿宋" w:cs="宋体"/>
                <w:b/>
                <w:color w:val="auto"/>
                <w:szCs w:val="21"/>
                <w:highlight w:val="none"/>
              </w:rPr>
            </w:pPr>
            <w:r>
              <w:rPr>
                <w:rFonts w:hint="eastAsia" w:ascii="仿宋" w:hAnsi="仿宋" w:eastAsia="仿宋" w:cs="宋体"/>
                <w:b/>
                <w:color w:val="auto"/>
                <w:szCs w:val="21"/>
                <w:highlight w:val="none"/>
              </w:rPr>
              <w:t>序号</w:t>
            </w:r>
          </w:p>
        </w:tc>
        <w:tc>
          <w:tcPr>
            <w:tcW w:w="1260" w:type="dxa"/>
            <w:noWrap w:val="0"/>
            <w:vAlign w:val="center"/>
          </w:tcPr>
          <w:p w14:paraId="798C0792">
            <w:pPr>
              <w:keepNext w:val="0"/>
              <w:keepLines w:val="0"/>
              <w:pageBreakBefore w:val="0"/>
              <w:suppressLineNumbers w:val="0"/>
              <w:kinsoku/>
              <w:overflowPunct/>
              <w:bidi w:val="0"/>
              <w:snapToGrid w:val="0"/>
              <w:spacing w:before="0" w:beforeAutospacing="0" w:after="0" w:afterAutospacing="0" w:line="600" w:lineRule="exact"/>
              <w:ind w:left="0" w:right="0"/>
              <w:jc w:val="center"/>
              <w:rPr>
                <w:rFonts w:hint="eastAsia" w:ascii="仿宋" w:hAnsi="仿宋" w:eastAsia="仿宋" w:cs="宋体"/>
                <w:b/>
                <w:color w:val="auto"/>
                <w:szCs w:val="21"/>
                <w:highlight w:val="none"/>
              </w:rPr>
            </w:pPr>
            <w:r>
              <w:rPr>
                <w:rFonts w:hint="eastAsia" w:ascii="仿宋" w:hAnsi="仿宋" w:eastAsia="仿宋" w:cs="宋体"/>
                <w:b/>
                <w:color w:val="auto"/>
                <w:szCs w:val="21"/>
                <w:highlight w:val="none"/>
              </w:rPr>
              <w:t>姓名</w:t>
            </w:r>
          </w:p>
        </w:tc>
        <w:tc>
          <w:tcPr>
            <w:tcW w:w="851" w:type="dxa"/>
            <w:noWrap w:val="0"/>
            <w:vAlign w:val="center"/>
          </w:tcPr>
          <w:p w14:paraId="3968DE3F">
            <w:pPr>
              <w:keepNext w:val="0"/>
              <w:keepLines w:val="0"/>
              <w:pageBreakBefore w:val="0"/>
              <w:suppressLineNumbers w:val="0"/>
              <w:kinsoku/>
              <w:overflowPunct/>
              <w:bidi w:val="0"/>
              <w:snapToGrid w:val="0"/>
              <w:spacing w:before="0" w:beforeAutospacing="0" w:after="0" w:afterAutospacing="0" w:line="600" w:lineRule="exact"/>
              <w:ind w:left="0" w:right="0"/>
              <w:jc w:val="center"/>
              <w:rPr>
                <w:rFonts w:hint="eastAsia" w:ascii="仿宋" w:hAnsi="仿宋" w:eastAsia="仿宋" w:cs="宋体"/>
                <w:b/>
                <w:color w:val="auto"/>
                <w:szCs w:val="21"/>
                <w:highlight w:val="none"/>
              </w:rPr>
            </w:pPr>
            <w:r>
              <w:rPr>
                <w:rFonts w:hint="eastAsia" w:ascii="仿宋" w:hAnsi="仿宋" w:eastAsia="仿宋" w:cs="宋体"/>
                <w:b/>
                <w:color w:val="auto"/>
                <w:szCs w:val="21"/>
                <w:highlight w:val="none"/>
              </w:rPr>
              <w:t>学历</w:t>
            </w:r>
          </w:p>
        </w:tc>
        <w:tc>
          <w:tcPr>
            <w:tcW w:w="980" w:type="dxa"/>
            <w:noWrap w:val="0"/>
            <w:vAlign w:val="center"/>
          </w:tcPr>
          <w:p w14:paraId="03E71AD9">
            <w:pPr>
              <w:keepNext w:val="0"/>
              <w:keepLines w:val="0"/>
              <w:pageBreakBefore w:val="0"/>
              <w:suppressLineNumbers w:val="0"/>
              <w:kinsoku/>
              <w:overflowPunct/>
              <w:bidi w:val="0"/>
              <w:snapToGrid w:val="0"/>
              <w:spacing w:before="0" w:beforeAutospacing="0" w:after="0" w:afterAutospacing="0" w:line="600" w:lineRule="exact"/>
              <w:ind w:left="0" w:right="0"/>
              <w:jc w:val="center"/>
              <w:rPr>
                <w:rFonts w:hint="eastAsia" w:ascii="仿宋" w:hAnsi="仿宋" w:eastAsia="仿宋" w:cs="宋体"/>
                <w:b/>
                <w:color w:val="auto"/>
                <w:szCs w:val="21"/>
                <w:highlight w:val="none"/>
              </w:rPr>
            </w:pPr>
            <w:r>
              <w:rPr>
                <w:rFonts w:hint="eastAsia" w:ascii="仿宋" w:hAnsi="仿宋" w:eastAsia="仿宋" w:cs="宋体"/>
                <w:b/>
                <w:color w:val="auto"/>
                <w:szCs w:val="21"/>
                <w:highlight w:val="none"/>
              </w:rPr>
              <w:t>专业资质</w:t>
            </w:r>
          </w:p>
        </w:tc>
        <w:tc>
          <w:tcPr>
            <w:tcW w:w="992" w:type="dxa"/>
            <w:noWrap w:val="0"/>
            <w:vAlign w:val="center"/>
          </w:tcPr>
          <w:p w14:paraId="0EC2C9C8">
            <w:pPr>
              <w:keepNext w:val="0"/>
              <w:keepLines w:val="0"/>
              <w:pageBreakBefore w:val="0"/>
              <w:suppressLineNumbers w:val="0"/>
              <w:kinsoku/>
              <w:overflowPunct/>
              <w:bidi w:val="0"/>
              <w:snapToGrid w:val="0"/>
              <w:spacing w:before="0" w:beforeAutospacing="0" w:after="0" w:afterAutospacing="0" w:line="600" w:lineRule="exact"/>
              <w:ind w:left="0" w:right="0"/>
              <w:jc w:val="center"/>
              <w:rPr>
                <w:rFonts w:hint="eastAsia" w:ascii="仿宋" w:hAnsi="仿宋" w:eastAsia="仿宋" w:cs="宋体"/>
                <w:b/>
                <w:color w:val="auto"/>
                <w:szCs w:val="21"/>
                <w:highlight w:val="none"/>
              </w:rPr>
            </w:pPr>
            <w:r>
              <w:rPr>
                <w:rFonts w:hint="eastAsia" w:ascii="仿宋" w:hAnsi="仿宋" w:eastAsia="仿宋" w:cs="宋体"/>
                <w:b/>
                <w:color w:val="auto"/>
                <w:szCs w:val="21"/>
                <w:highlight w:val="none"/>
              </w:rPr>
              <w:t>工作年限</w:t>
            </w:r>
          </w:p>
        </w:tc>
        <w:tc>
          <w:tcPr>
            <w:tcW w:w="1276" w:type="dxa"/>
            <w:noWrap w:val="0"/>
            <w:vAlign w:val="center"/>
          </w:tcPr>
          <w:p w14:paraId="58062A80">
            <w:pPr>
              <w:keepNext w:val="0"/>
              <w:keepLines w:val="0"/>
              <w:pageBreakBefore w:val="0"/>
              <w:suppressLineNumbers w:val="0"/>
              <w:kinsoku/>
              <w:overflowPunct/>
              <w:bidi w:val="0"/>
              <w:snapToGrid w:val="0"/>
              <w:spacing w:before="0" w:beforeAutospacing="0" w:after="0" w:afterAutospacing="0" w:line="600" w:lineRule="exact"/>
              <w:ind w:left="0" w:right="0"/>
              <w:jc w:val="center"/>
              <w:rPr>
                <w:rFonts w:hint="eastAsia" w:ascii="仿宋" w:hAnsi="仿宋" w:eastAsia="仿宋" w:cs="宋体"/>
                <w:b/>
                <w:color w:val="auto"/>
                <w:szCs w:val="21"/>
                <w:highlight w:val="none"/>
              </w:rPr>
            </w:pPr>
            <w:r>
              <w:rPr>
                <w:rFonts w:hint="eastAsia" w:ascii="仿宋" w:hAnsi="仿宋" w:eastAsia="仿宋" w:cs="宋体"/>
                <w:b/>
                <w:color w:val="auto"/>
                <w:szCs w:val="21"/>
                <w:highlight w:val="none"/>
              </w:rPr>
              <w:t>本项目职务</w:t>
            </w:r>
          </w:p>
        </w:tc>
        <w:tc>
          <w:tcPr>
            <w:tcW w:w="1134" w:type="dxa"/>
            <w:noWrap w:val="0"/>
            <w:vAlign w:val="center"/>
          </w:tcPr>
          <w:p w14:paraId="7848E802">
            <w:pPr>
              <w:keepNext w:val="0"/>
              <w:keepLines w:val="0"/>
              <w:pageBreakBefore w:val="0"/>
              <w:suppressLineNumbers w:val="0"/>
              <w:kinsoku/>
              <w:overflowPunct/>
              <w:bidi w:val="0"/>
              <w:snapToGrid w:val="0"/>
              <w:spacing w:before="0" w:beforeAutospacing="0" w:after="0" w:afterAutospacing="0" w:line="600" w:lineRule="exact"/>
              <w:ind w:left="0" w:right="0"/>
              <w:jc w:val="center"/>
              <w:rPr>
                <w:rFonts w:hint="eastAsia" w:ascii="仿宋" w:hAnsi="仿宋" w:eastAsia="仿宋" w:cs="宋体"/>
                <w:b/>
                <w:color w:val="auto"/>
                <w:szCs w:val="21"/>
                <w:highlight w:val="none"/>
              </w:rPr>
            </w:pPr>
            <w:r>
              <w:rPr>
                <w:rFonts w:hint="eastAsia" w:ascii="仿宋" w:hAnsi="仿宋" w:eastAsia="仿宋" w:cs="宋体"/>
                <w:b/>
                <w:color w:val="auto"/>
                <w:szCs w:val="21"/>
                <w:highlight w:val="none"/>
              </w:rPr>
              <w:t>服务内容</w:t>
            </w:r>
          </w:p>
        </w:tc>
        <w:tc>
          <w:tcPr>
            <w:tcW w:w="1695" w:type="dxa"/>
            <w:noWrap w:val="0"/>
            <w:vAlign w:val="center"/>
          </w:tcPr>
          <w:p w14:paraId="1C3175EF">
            <w:pPr>
              <w:keepNext w:val="0"/>
              <w:keepLines w:val="0"/>
              <w:pageBreakBefore w:val="0"/>
              <w:suppressLineNumbers w:val="0"/>
              <w:kinsoku/>
              <w:overflowPunct/>
              <w:bidi w:val="0"/>
              <w:snapToGrid w:val="0"/>
              <w:spacing w:before="0" w:beforeAutospacing="0" w:after="0" w:afterAutospacing="0" w:line="600" w:lineRule="exact"/>
              <w:ind w:left="0" w:right="0"/>
              <w:jc w:val="center"/>
              <w:rPr>
                <w:rFonts w:hint="eastAsia" w:ascii="仿宋" w:hAnsi="仿宋" w:eastAsia="仿宋" w:cs="宋体"/>
                <w:b/>
                <w:color w:val="auto"/>
                <w:szCs w:val="21"/>
                <w:highlight w:val="none"/>
              </w:rPr>
            </w:pPr>
            <w:r>
              <w:rPr>
                <w:rFonts w:hint="eastAsia" w:ascii="仿宋" w:hAnsi="仿宋" w:eastAsia="仿宋" w:cs="宋体"/>
                <w:b/>
                <w:color w:val="auto"/>
                <w:szCs w:val="21"/>
                <w:highlight w:val="none"/>
              </w:rPr>
              <w:t>同类项目实施案例</w:t>
            </w:r>
          </w:p>
        </w:tc>
      </w:tr>
      <w:tr w14:paraId="53B825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750" w:type="dxa"/>
            <w:noWrap w:val="0"/>
            <w:vAlign w:val="center"/>
          </w:tcPr>
          <w:p w14:paraId="2D4E52AC">
            <w:pPr>
              <w:keepNext w:val="0"/>
              <w:keepLines w:val="0"/>
              <w:pageBreakBefore w:val="0"/>
              <w:suppressLineNumbers w:val="0"/>
              <w:kinsoku/>
              <w:overflowPunct/>
              <w:bidi w:val="0"/>
              <w:snapToGrid w:val="0"/>
              <w:spacing w:before="0" w:beforeAutospacing="0" w:after="0" w:afterAutospacing="0" w:line="600" w:lineRule="exact"/>
              <w:ind w:left="0" w:right="0"/>
              <w:jc w:val="center"/>
              <w:rPr>
                <w:rFonts w:hint="eastAsia" w:ascii="仿宋" w:hAnsi="仿宋" w:eastAsia="仿宋" w:cs="宋体"/>
                <w:color w:val="auto"/>
                <w:szCs w:val="21"/>
                <w:highlight w:val="none"/>
              </w:rPr>
            </w:pPr>
            <w:r>
              <w:rPr>
                <w:rFonts w:hint="eastAsia" w:ascii="仿宋" w:hAnsi="仿宋" w:eastAsia="仿宋" w:cs="宋体"/>
                <w:color w:val="auto"/>
                <w:szCs w:val="21"/>
                <w:highlight w:val="none"/>
              </w:rPr>
              <w:t>1</w:t>
            </w:r>
          </w:p>
        </w:tc>
        <w:tc>
          <w:tcPr>
            <w:tcW w:w="1260" w:type="dxa"/>
            <w:noWrap w:val="0"/>
            <w:vAlign w:val="center"/>
          </w:tcPr>
          <w:p w14:paraId="2F5F3588">
            <w:pPr>
              <w:keepNext w:val="0"/>
              <w:keepLines w:val="0"/>
              <w:pageBreakBefore w:val="0"/>
              <w:suppressLineNumbers w:val="0"/>
              <w:kinsoku/>
              <w:overflowPunct/>
              <w:bidi w:val="0"/>
              <w:snapToGrid w:val="0"/>
              <w:spacing w:before="0" w:beforeAutospacing="0" w:after="0" w:afterAutospacing="0" w:line="600" w:lineRule="exact"/>
              <w:ind w:left="0" w:right="0"/>
              <w:jc w:val="center"/>
              <w:rPr>
                <w:rFonts w:hint="eastAsia" w:ascii="仿宋" w:hAnsi="仿宋" w:eastAsia="仿宋" w:cs="宋体"/>
                <w:color w:val="auto"/>
                <w:szCs w:val="21"/>
                <w:highlight w:val="none"/>
              </w:rPr>
            </w:pPr>
          </w:p>
        </w:tc>
        <w:tc>
          <w:tcPr>
            <w:tcW w:w="851" w:type="dxa"/>
            <w:noWrap w:val="0"/>
            <w:vAlign w:val="top"/>
          </w:tcPr>
          <w:p w14:paraId="0F39E70E">
            <w:pPr>
              <w:keepNext w:val="0"/>
              <w:keepLines w:val="0"/>
              <w:pageBreakBefore w:val="0"/>
              <w:suppressLineNumbers w:val="0"/>
              <w:kinsoku/>
              <w:overflowPunct/>
              <w:bidi w:val="0"/>
              <w:snapToGrid w:val="0"/>
              <w:spacing w:before="0" w:beforeAutospacing="0" w:after="0" w:afterAutospacing="0" w:line="600" w:lineRule="exact"/>
              <w:ind w:left="0" w:right="0"/>
              <w:jc w:val="center"/>
              <w:rPr>
                <w:rFonts w:hint="eastAsia" w:ascii="仿宋" w:hAnsi="仿宋" w:eastAsia="仿宋" w:cs="宋体"/>
                <w:color w:val="auto"/>
                <w:szCs w:val="21"/>
                <w:highlight w:val="none"/>
              </w:rPr>
            </w:pPr>
          </w:p>
        </w:tc>
        <w:tc>
          <w:tcPr>
            <w:tcW w:w="980" w:type="dxa"/>
            <w:noWrap w:val="0"/>
            <w:vAlign w:val="center"/>
          </w:tcPr>
          <w:p w14:paraId="63E18955">
            <w:pPr>
              <w:keepNext w:val="0"/>
              <w:keepLines w:val="0"/>
              <w:pageBreakBefore w:val="0"/>
              <w:suppressLineNumbers w:val="0"/>
              <w:kinsoku/>
              <w:overflowPunct/>
              <w:bidi w:val="0"/>
              <w:snapToGrid w:val="0"/>
              <w:spacing w:before="0" w:beforeAutospacing="0" w:after="0" w:afterAutospacing="0" w:line="600" w:lineRule="exact"/>
              <w:ind w:left="0" w:right="0"/>
              <w:jc w:val="center"/>
              <w:rPr>
                <w:rFonts w:hint="eastAsia" w:ascii="仿宋" w:hAnsi="仿宋" w:eastAsia="仿宋" w:cs="宋体"/>
                <w:color w:val="auto"/>
                <w:szCs w:val="21"/>
                <w:highlight w:val="none"/>
              </w:rPr>
            </w:pPr>
          </w:p>
        </w:tc>
        <w:tc>
          <w:tcPr>
            <w:tcW w:w="992" w:type="dxa"/>
            <w:noWrap w:val="0"/>
            <w:vAlign w:val="center"/>
          </w:tcPr>
          <w:p w14:paraId="1B3AD953">
            <w:pPr>
              <w:keepNext w:val="0"/>
              <w:keepLines w:val="0"/>
              <w:pageBreakBefore w:val="0"/>
              <w:suppressLineNumbers w:val="0"/>
              <w:kinsoku/>
              <w:overflowPunct/>
              <w:bidi w:val="0"/>
              <w:snapToGrid w:val="0"/>
              <w:spacing w:before="0" w:beforeAutospacing="0" w:after="0" w:afterAutospacing="0" w:line="600" w:lineRule="exact"/>
              <w:ind w:left="0" w:right="0"/>
              <w:jc w:val="center"/>
              <w:rPr>
                <w:rFonts w:hint="eastAsia" w:ascii="仿宋" w:hAnsi="仿宋" w:eastAsia="仿宋" w:cs="宋体"/>
                <w:color w:val="auto"/>
                <w:szCs w:val="21"/>
                <w:highlight w:val="none"/>
              </w:rPr>
            </w:pPr>
          </w:p>
        </w:tc>
        <w:tc>
          <w:tcPr>
            <w:tcW w:w="1276" w:type="dxa"/>
            <w:noWrap w:val="0"/>
            <w:vAlign w:val="center"/>
          </w:tcPr>
          <w:p w14:paraId="07897837">
            <w:pPr>
              <w:keepNext w:val="0"/>
              <w:keepLines w:val="0"/>
              <w:pageBreakBefore w:val="0"/>
              <w:suppressLineNumbers w:val="0"/>
              <w:kinsoku/>
              <w:overflowPunct/>
              <w:bidi w:val="0"/>
              <w:snapToGrid w:val="0"/>
              <w:spacing w:before="0" w:beforeAutospacing="0" w:after="0" w:afterAutospacing="0" w:line="600" w:lineRule="exact"/>
              <w:ind w:left="0" w:right="0"/>
              <w:jc w:val="center"/>
              <w:rPr>
                <w:rFonts w:hint="eastAsia" w:ascii="仿宋" w:hAnsi="仿宋" w:eastAsia="仿宋" w:cs="宋体"/>
                <w:color w:val="auto"/>
                <w:szCs w:val="21"/>
                <w:highlight w:val="none"/>
              </w:rPr>
            </w:pPr>
          </w:p>
        </w:tc>
        <w:tc>
          <w:tcPr>
            <w:tcW w:w="1134" w:type="dxa"/>
            <w:noWrap w:val="0"/>
            <w:vAlign w:val="center"/>
          </w:tcPr>
          <w:p w14:paraId="6C1BE6AF">
            <w:pPr>
              <w:keepNext w:val="0"/>
              <w:keepLines w:val="0"/>
              <w:pageBreakBefore w:val="0"/>
              <w:suppressLineNumbers w:val="0"/>
              <w:kinsoku/>
              <w:overflowPunct/>
              <w:bidi w:val="0"/>
              <w:snapToGrid w:val="0"/>
              <w:spacing w:before="0" w:beforeAutospacing="0" w:after="0" w:afterAutospacing="0" w:line="600" w:lineRule="exact"/>
              <w:ind w:left="0" w:right="0"/>
              <w:jc w:val="center"/>
              <w:rPr>
                <w:rFonts w:hint="eastAsia" w:ascii="仿宋" w:hAnsi="仿宋" w:eastAsia="仿宋" w:cs="宋体"/>
                <w:color w:val="auto"/>
                <w:szCs w:val="21"/>
                <w:highlight w:val="none"/>
              </w:rPr>
            </w:pPr>
          </w:p>
        </w:tc>
        <w:tc>
          <w:tcPr>
            <w:tcW w:w="1695" w:type="dxa"/>
            <w:noWrap w:val="0"/>
            <w:vAlign w:val="center"/>
          </w:tcPr>
          <w:p w14:paraId="5262052B">
            <w:pPr>
              <w:keepNext w:val="0"/>
              <w:keepLines w:val="0"/>
              <w:pageBreakBefore w:val="0"/>
              <w:suppressLineNumbers w:val="0"/>
              <w:kinsoku/>
              <w:overflowPunct/>
              <w:bidi w:val="0"/>
              <w:snapToGrid w:val="0"/>
              <w:spacing w:before="0" w:beforeAutospacing="0" w:after="0" w:afterAutospacing="0" w:line="600" w:lineRule="exact"/>
              <w:ind w:left="0" w:right="0"/>
              <w:jc w:val="center"/>
              <w:rPr>
                <w:rFonts w:hint="eastAsia" w:ascii="仿宋" w:hAnsi="仿宋" w:eastAsia="仿宋" w:cs="宋体"/>
                <w:color w:val="auto"/>
                <w:szCs w:val="21"/>
                <w:highlight w:val="none"/>
              </w:rPr>
            </w:pPr>
          </w:p>
        </w:tc>
      </w:tr>
      <w:tr w14:paraId="2CBD0C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noWrap w:val="0"/>
            <w:vAlign w:val="center"/>
          </w:tcPr>
          <w:p w14:paraId="0B773B77">
            <w:pPr>
              <w:keepNext w:val="0"/>
              <w:keepLines w:val="0"/>
              <w:pageBreakBefore w:val="0"/>
              <w:suppressLineNumbers w:val="0"/>
              <w:kinsoku/>
              <w:overflowPunct/>
              <w:bidi w:val="0"/>
              <w:snapToGrid w:val="0"/>
              <w:spacing w:before="0" w:beforeAutospacing="0" w:after="0" w:afterAutospacing="0" w:line="600" w:lineRule="exact"/>
              <w:ind w:left="0" w:right="0"/>
              <w:jc w:val="center"/>
              <w:rPr>
                <w:rFonts w:hint="eastAsia" w:ascii="仿宋" w:hAnsi="仿宋" w:eastAsia="仿宋" w:cs="宋体"/>
                <w:color w:val="auto"/>
                <w:szCs w:val="21"/>
                <w:highlight w:val="none"/>
              </w:rPr>
            </w:pPr>
            <w:r>
              <w:rPr>
                <w:rFonts w:hint="eastAsia" w:ascii="仿宋" w:hAnsi="仿宋" w:eastAsia="仿宋" w:cs="宋体"/>
                <w:color w:val="auto"/>
                <w:szCs w:val="21"/>
                <w:highlight w:val="none"/>
              </w:rPr>
              <w:t>2</w:t>
            </w:r>
          </w:p>
        </w:tc>
        <w:tc>
          <w:tcPr>
            <w:tcW w:w="1260" w:type="dxa"/>
            <w:noWrap w:val="0"/>
            <w:vAlign w:val="center"/>
          </w:tcPr>
          <w:p w14:paraId="57B11F32">
            <w:pPr>
              <w:keepNext w:val="0"/>
              <w:keepLines w:val="0"/>
              <w:pageBreakBefore w:val="0"/>
              <w:suppressLineNumbers w:val="0"/>
              <w:kinsoku/>
              <w:overflowPunct/>
              <w:bidi w:val="0"/>
              <w:snapToGrid w:val="0"/>
              <w:spacing w:before="0" w:beforeAutospacing="0" w:after="0" w:afterAutospacing="0" w:line="600" w:lineRule="exact"/>
              <w:ind w:left="0" w:right="0"/>
              <w:jc w:val="center"/>
              <w:rPr>
                <w:rFonts w:hint="eastAsia" w:ascii="仿宋" w:hAnsi="仿宋" w:eastAsia="仿宋" w:cs="宋体"/>
                <w:color w:val="auto"/>
                <w:szCs w:val="21"/>
                <w:highlight w:val="none"/>
              </w:rPr>
            </w:pPr>
          </w:p>
        </w:tc>
        <w:tc>
          <w:tcPr>
            <w:tcW w:w="851" w:type="dxa"/>
            <w:noWrap w:val="0"/>
            <w:vAlign w:val="top"/>
          </w:tcPr>
          <w:p w14:paraId="212FB927">
            <w:pPr>
              <w:keepNext w:val="0"/>
              <w:keepLines w:val="0"/>
              <w:pageBreakBefore w:val="0"/>
              <w:suppressLineNumbers w:val="0"/>
              <w:kinsoku/>
              <w:overflowPunct/>
              <w:bidi w:val="0"/>
              <w:snapToGrid w:val="0"/>
              <w:spacing w:before="0" w:beforeAutospacing="0" w:after="0" w:afterAutospacing="0" w:line="600" w:lineRule="exact"/>
              <w:ind w:left="0" w:right="0"/>
              <w:jc w:val="center"/>
              <w:rPr>
                <w:rFonts w:hint="eastAsia" w:ascii="仿宋" w:hAnsi="仿宋" w:eastAsia="仿宋" w:cs="宋体"/>
                <w:color w:val="auto"/>
                <w:szCs w:val="21"/>
                <w:highlight w:val="none"/>
              </w:rPr>
            </w:pPr>
          </w:p>
        </w:tc>
        <w:tc>
          <w:tcPr>
            <w:tcW w:w="980" w:type="dxa"/>
            <w:noWrap w:val="0"/>
            <w:vAlign w:val="center"/>
          </w:tcPr>
          <w:p w14:paraId="0C394499">
            <w:pPr>
              <w:keepNext w:val="0"/>
              <w:keepLines w:val="0"/>
              <w:pageBreakBefore w:val="0"/>
              <w:suppressLineNumbers w:val="0"/>
              <w:kinsoku/>
              <w:overflowPunct/>
              <w:bidi w:val="0"/>
              <w:snapToGrid w:val="0"/>
              <w:spacing w:before="0" w:beforeAutospacing="0" w:after="0" w:afterAutospacing="0" w:line="600" w:lineRule="exact"/>
              <w:ind w:left="0" w:right="0"/>
              <w:jc w:val="center"/>
              <w:rPr>
                <w:rFonts w:hint="eastAsia" w:ascii="仿宋" w:hAnsi="仿宋" w:eastAsia="仿宋" w:cs="宋体"/>
                <w:color w:val="auto"/>
                <w:szCs w:val="21"/>
                <w:highlight w:val="none"/>
              </w:rPr>
            </w:pPr>
          </w:p>
        </w:tc>
        <w:tc>
          <w:tcPr>
            <w:tcW w:w="992" w:type="dxa"/>
            <w:noWrap w:val="0"/>
            <w:vAlign w:val="center"/>
          </w:tcPr>
          <w:p w14:paraId="7D6E9DB9">
            <w:pPr>
              <w:keepNext w:val="0"/>
              <w:keepLines w:val="0"/>
              <w:pageBreakBefore w:val="0"/>
              <w:suppressLineNumbers w:val="0"/>
              <w:kinsoku/>
              <w:overflowPunct/>
              <w:bidi w:val="0"/>
              <w:snapToGrid w:val="0"/>
              <w:spacing w:before="0" w:beforeAutospacing="0" w:after="0" w:afterAutospacing="0" w:line="600" w:lineRule="exact"/>
              <w:ind w:left="0" w:right="0"/>
              <w:jc w:val="center"/>
              <w:rPr>
                <w:rFonts w:hint="eastAsia" w:ascii="仿宋" w:hAnsi="仿宋" w:eastAsia="仿宋" w:cs="宋体"/>
                <w:color w:val="auto"/>
                <w:szCs w:val="21"/>
                <w:highlight w:val="none"/>
              </w:rPr>
            </w:pPr>
          </w:p>
        </w:tc>
        <w:tc>
          <w:tcPr>
            <w:tcW w:w="1276" w:type="dxa"/>
            <w:noWrap w:val="0"/>
            <w:vAlign w:val="center"/>
          </w:tcPr>
          <w:p w14:paraId="12552545">
            <w:pPr>
              <w:keepNext w:val="0"/>
              <w:keepLines w:val="0"/>
              <w:pageBreakBefore w:val="0"/>
              <w:suppressLineNumbers w:val="0"/>
              <w:kinsoku/>
              <w:overflowPunct/>
              <w:bidi w:val="0"/>
              <w:snapToGrid w:val="0"/>
              <w:spacing w:before="0" w:beforeAutospacing="0" w:after="0" w:afterAutospacing="0" w:line="600" w:lineRule="exact"/>
              <w:ind w:left="0" w:right="0"/>
              <w:jc w:val="center"/>
              <w:rPr>
                <w:rFonts w:hint="eastAsia" w:ascii="仿宋" w:hAnsi="仿宋" w:eastAsia="仿宋" w:cs="宋体"/>
                <w:color w:val="auto"/>
                <w:szCs w:val="21"/>
                <w:highlight w:val="none"/>
              </w:rPr>
            </w:pPr>
          </w:p>
        </w:tc>
        <w:tc>
          <w:tcPr>
            <w:tcW w:w="1134" w:type="dxa"/>
            <w:noWrap w:val="0"/>
            <w:vAlign w:val="center"/>
          </w:tcPr>
          <w:p w14:paraId="7531C6EE">
            <w:pPr>
              <w:keepNext w:val="0"/>
              <w:keepLines w:val="0"/>
              <w:pageBreakBefore w:val="0"/>
              <w:suppressLineNumbers w:val="0"/>
              <w:kinsoku/>
              <w:overflowPunct/>
              <w:bidi w:val="0"/>
              <w:snapToGrid w:val="0"/>
              <w:spacing w:before="0" w:beforeAutospacing="0" w:after="0" w:afterAutospacing="0" w:line="600" w:lineRule="exact"/>
              <w:ind w:left="0" w:right="0"/>
              <w:jc w:val="center"/>
              <w:rPr>
                <w:rFonts w:hint="eastAsia" w:ascii="仿宋" w:hAnsi="仿宋" w:eastAsia="仿宋" w:cs="宋体"/>
                <w:color w:val="auto"/>
                <w:szCs w:val="21"/>
                <w:highlight w:val="none"/>
              </w:rPr>
            </w:pPr>
          </w:p>
        </w:tc>
        <w:tc>
          <w:tcPr>
            <w:tcW w:w="1695" w:type="dxa"/>
            <w:noWrap w:val="0"/>
            <w:vAlign w:val="center"/>
          </w:tcPr>
          <w:p w14:paraId="39DB811A">
            <w:pPr>
              <w:keepNext w:val="0"/>
              <w:keepLines w:val="0"/>
              <w:pageBreakBefore w:val="0"/>
              <w:suppressLineNumbers w:val="0"/>
              <w:kinsoku/>
              <w:overflowPunct/>
              <w:bidi w:val="0"/>
              <w:snapToGrid w:val="0"/>
              <w:spacing w:before="0" w:beforeAutospacing="0" w:after="0" w:afterAutospacing="0" w:line="600" w:lineRule="exact"/>
              <w:ind w:left="0" w:right="0"/>
              <w:jc w:val="center"/>
              <w:rPr>
                <w:rFonts w:hint="eastAsia" w:ascii="仿宋" w:hAnsi="仿宋" w:eastAsia="仿宋" w:cs="宋体"/>
                <w:color w:val="auto"/>
                <w:szCs w:val="21"/>
                <w:highlight w:val="none"/>
              </w:rPr>
            </w:pPr>
          </w:p>
        </w:tc>
      </w:tr>
      <w:tr w14:paraId="0992B7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noWrap w:val="0"/>
            <w:vAlign w:val="center"/>
          </w:tcPr>
          <w:p w14:paraId="7933949B">
            <w:pPr>
              <w:keepNext w:val="0"/>
              <w:keepLines w:val="0"/>
              <w:pageBreakBefore w:val="0"/>
              <w:suppressLineNumbers w:val="0"/>
              <w:kinsoku/>
              <w:overflowPunct/>
              <w:bidi w:val="0"/>
              <w:snapToGrid w:val="0"/>
              <w:spacing w:before="0" w:beforeAutospacing="0" w:after="0" w:afterAutospacing="0" w:line="600" w:lineRule="exact"/>
              <w:ind w:left="0" w:right="0"/>
              <w:jc w:val="center"/>
              <w:rPr>
                <w:rFonts w:hint="eastAsia" w:ascii="仿宋" w:hAnsi="仿宋" w:eastAsia="仿宋" w:cs="宋体"/>
                <w:color w:val="auto"/>
                <w:szCs w:val="21"/>
                <w:highlight w:val="none"/>
              </w:rPr>
            </w:pPr>
            <w:r>
              <w:rPr>
                <w:rFonts w:hint="eastAsia" w:ascii="仿宋" w:hAnsi="仿宋" w:eastAsia="仿宋" w:cs="宋体"/>
                <w:color w:val="auto"/>
                <w:szCs w:val="21"/>
                <w:highlight w:val="none"/>
              </w:rPr>
              <w:t>3</w:t>
            </w:r>
          </w:p>
        </w:tc>
        <w:tc>
          <w:tcPr>
            <w:tcW w:w="1260" w:type="dxa"/>
            <w:noWrap w:val="0"/>
            <w:vAlign w:val="center"/>
          </w:tcPr>
          <w:p w14:paraId="15DBA488">
            <w:pPr>
              <w:keepNext w:val="0"/>
              <w:keepLines w:val="0"/>
              <w:pageBreakBefore w:val="0"/>
              <w:suppressLineNumbers w:val="0"/>
              <w:kinsoku/>
              <w:overflowPunct/>
              <w:bidi w:val="0"/>
              <w:snapToGrid w:val="0"/>
              <w:spacing w:before="0" w:beforeAutospacing="0" w:after="0" w:afterAutospacing="0" w:line="600" w:lineRule="exact"/>
              <w:ind w:left="0" w:right="0"/>
              <w:jc w:val="center"/>
              <w:rPr>
                <w:rFonts w:hint="eastAsia" w:ascii="仿宋" w:hAnsi="仿宋" w:eastAsia="仿宋" w:cs="宋体"/>
                <w:color w:val="auto"/>
                <w:szCs w:val="21"/>
                <w:highlight w:val="none"/>
              </w:rPr>
            </w:pPr>
          </w:p>
        </w:tc>
        <w:tc>
          <w:tcPr>
            <w:tcW w:w="851" w:type="dxa"/>
            <w:noWrap w:val="0"/>
            <w:vAlign w:val="top"/>
          </w:tcPr>
          <w:p w14:paraId="1603F30E">
            <w:pPr>
              <w:keepNext w:val="0"/>
              <w:keepLines w:val="0"/>
              <w:pageBreakBefore w:val="0"/>
              <w:suppressLineNumbers w:val="0"/>
              <w:kinsoku/>
              <w:overflowPunct/>
              <w:bidi w:val="0"/>
              <w:snapToGrid w:val="0"/>
              <w:spacing w:before="0" w:beforeAutospacing="0" w:after="0" w:afterAutospacing="0" w:line="600" w:lineRule="exact"/>
              <w:ind w:left="0" w:right="0"/>
              <w:jc w:val="center"/>
              <w:rPr>
                <w:rFonts w:hint="eastAsia" w:ascii="仿宋" w:hAnsi="仿宋" w:eastAsia="仿宋" w:cs="宋体"/>
                <w:color w:val="auto"/>
                <w:szCs w:val="21"/>
                <w:highlight w:val="none"/>
              </w:rPr>
            </w:pPr>
          </w:p>
        </w:tc>
        <w:tc>
          <w:tcPr>
            <w:tcW w:w="980" w:type="dxa"/>
            <w:noWrap w:val="0"/>
            <w:vAlign w:val="center"/>
          </w:tcPr>
          <w:p w14:paraId="39D6DDE6">
            <w:pPr>
              <w:keepNext w:val="0"/>
              <w:keepLines w:val="0"/>
              <w:pageBreakBefore w:val="0"/>
              <w:suppressLineNumbers w:val="0"/>
              <w:kinsoku/>
              <w:overflowPunct/>
              <w:bidi w:val="0"/>
              <w:snapToGrid w:val="0"/>
              <w:spacing w:before="0" w:beforeAutospacing="0" w:after="0" w:afterAutospacing="0" w:line="600" w:lineRule="exact"/>
              <w:ind w:left="0" w:right="0"/>
              <w:jc w:val="center"/>
              <w:rPr>
                <w:rFonts w:hint="eastAsia" w:ascii="仿宋" w:hAnsi="仿宋" w:eastAsia="仿宋" w:cs="宋体"/>
                <w:color w:val="auto"/>
                <w:szCs w:val="21"/>
                <w:highlight w:val="none"/>
              </w:rPr>
            </w:pPr>
          </w:p>
        </w:tc>
        <w:tc>
          <w:tcPr>
            <w:tcW w:w="992" w:type="dxa"/>
            <w:noWrap w:val="0"/>
            <w:vAlign w:val="center"/>
          </w:tcPr>
          <w:p w14:paraId="7E755E79">
            <w:pPr>
              <w:keepNext w:val="0"/>
              <w:keepLines w:val="0"/>
              <w:pageBreakBefore w:val="0"/>
              <w:suppressLineNumbers w:val="0"/>
              <w:kinsoku/>
              <w:overflowPunct/>
              <w:bidi w:val="0"/>
              <w:snapToGrid w:val="0"/>
              <w:spacing w:before="0" w:beforeAutospacing="0" w:after="0" w:afterAutospacing="0" w:line="600" w:lineRule="exact"/>
              <w:ind w:left="0" w:right="0"/>
              <w:jc w:val="center"/>
              <w:rPr>
                <w:rFonts w:hint="eastAsia" w:ascii="仿宋" w:hAnsi="仿宋" w:eastAsia="仿宋" w:cs="宋体"/>
                <w:color w:val="auto"/>
                <w:szCs w:val="21"/>
                <w:highlight w:val="none"/>
              </w:rPr>
            </w:pPr>
          </w:p>
        </w:tc>
        <w:tc>
          <w:tcPr>
            <w:tcW w:w="1276" w:type="dxa"/>
            <w:noWrap w:val="0"/>
            <w:vAlign w:val="center"/>
          </w:tcPr>
          <w:p w14:paraId="4B03B754">
            <w:pPr>
              <w:keepNext w:val="0"/>
              <w:keepLines w:val="0"/>
              <w:pageBreakBefore w:val="0"/>
              <w:suppressLineNumbers w:val="0"/>
              <w:kinsoku/>
              <w:overflowPunct/>
              <w:bidi w:val="0"/>
              <w:snapToGrid w:val="0"/>
              <w:spacing w:before="0" w:beforeAutospacing="0" w:after="0" w:afterAutospacing="0" w:line="600" w:lineRule="exact"/>
              <w:ind w:left="0" w:right="0"/>
              <w:jc w:val="center"/>
              <w:rPr>
                <w:rFonts w:hint="eastAsia" w:ascii="仿宋" w:hAnsi="仿宋" w:eastAsia="仿宋" w:cs="宋体"/>
                <w:color w:val="auto"/>
                <w:szCs w:val="21"/>
                <w:highlight w:val="none"/>
              </w:rPr>
            </w:pPr>
          </w:p>
        </w:tc>
        <w:tc>
          <w:tcPr>
            <w:tcW w:w="1134" w:type="dxa"/>
            <w:noWrap w:val="0"/>
            <w:vAlign w:val="center"/>
          </w:tcPr>
          <w:p w14:paraId="5BD41F80">
            <w:pPr>
              <w:keepNext w:val="0"/>
              <w:keepLines w:val="0"/>
              <w:pageBreakBefore w:val="0"/>
              <w:suppressLineNumbers w:val="0"/>
              <w:kinsoku/>
              <w:overflowPunct/>
              <w:bidi w:val="0"/>
              <w:snapToGrid w:val="0"/>
              <w:spacing w:before="0" w:beforeAutospacing="0" w:after="0" w:afterAutospacing="0" w:line="600" w:lineRule="exact"/>
              <w:ind w:left="0" w:right="0"/>
              <w:jc w:val="center"/>
              <w:rPr>
                <w:rFonts w:hint="eastAsia" w:ascii="仿宋" w:hAnsi="仿宋" w:eastAsia="仿宋" w:cs="宋体"/>
                <w:color w:val="auto"/>
                <w:szCs w:val="21"/>
                <w:highlight w:val="none"/>
              </w:rPr>
            </w:pPr>
          </w:p>
        </w:tc>
        <w:tc>
          <w:tcPr>
            <w:tcW w:w="1695" w:type="dxa"/>
            <w:noWrap w:val="0"/>
            <w:vAlign w:val="center"/>
          </w:tcPr>
          <w:p w14:paraId="4277804B">
            <w:pPr>
              <w:keepNext w:val="0"/>
              <w:keepLines w:val="0"/>
              <w:pageBreakBefore w:val="0"/>
              <w:suppressLineNumbers w:val="0"/>
              <w:kinsoku/>
              <w:overflowPunct/>
              <w:bidi w:val="0"/>
              <w:snapToGrid w:val="0"/>
              <w:spacing w:before="0" w:beforeAutospacing="0" w:after="0" w:afterAutospacing="0" w:line="600" w:lineRule="exact"/>
              <w:ind w:left="0" w:right="0"/>
              <w:jc w:val="center"/>
              <w:rPr>
                <w:rFonts w:hint="eastAsia" w:ascii="仿宋" w:hAnsi="仿宋" w:eastAsia="仿宋" w:cs="宋体"/>
                <w:color w:val="auto"/>
                <w:szCs w:val="21"/>
                <w:highlight w:val="none"/>
              </w:rPr>
            </w:pPr>
          </w:p>
        </w:tc>
      </w:tr>
      <w:tr w14:paraId="70179C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noWrap w:val="0"/>
            <w:vAlign w:val="center"/>
          </w:tcPr>
          <w:p w14:paraId="2347BF94">
            <w:pPr>
              <w:keepNext w:val="0"/>
              <w:keepLines w:val="0"/>
              <w:pageBreakBefore w:val="0"/>
              <w:suppressLineNumbers w:val="0"/>
              <w:kinsoku/>
              <w:overflowPunct/>
              <w:bidi w:val="0"/>
              <w:snapToGrid w:val="0"/>
              <w:spacing w:before="0" w:beforeAutospacing="0" w:after="0" w:afterAutospacing="0" w:line="600" w:lineRule="exact"/>
              <w:ind w:left="0" w:right="0"/>
              <w:jc w:val="center"/>
              <w:rPr>
                <w:rFonts w:hint="eastAsia" w:ascii="仿宋" w:hAnsi="仿宋" w:eastAsia="仿宋" w:cs="宋体"/>
                <w:color w:val="auto"/>
                <w:szCs w:val="21"/>
                <w:highlight w:val="none"/>
              </w:rPr>
            </w:pPr>
            <w:r>
              <w:rPr>
                <w:rFonts w:hint="eastAsia" w:ascii="仿宋" w:hAnsi="仿宋" w:eastAsia="仿宋" w:cs="宋体"/>
                <w:color w:val="auto"/>
                <w:szCs w:val="21"/>
                <w:highlight w:val="none"/>
              </w:rPr>
              <w:t>4</w:t>
            </w:r>
          </w:p>
        </w:tc>
        <w:tc>
          <w:tcPr>
            <w:tcW w:w="1260" w:type="dxa"/>
            <w:noWrap w:val="0"/>
            <w:vAlign w:val="center"/>
          </w:tcPr>
          <w:p w14:paraId="54CF7B1B">
            <w:pPr>
              <w:keepNext w:val="0"/>
              <w:keepLines w:val="0"/>
              <w:pageBreakBefore w:val="0"/>
              <w:suppressLineNumbers w:val="0"/>
              <w:kinsoku/>
              <w:overflowPunct/>
              <w:bidi w:val="0"/>
              <w:snapToGrid w:val="0"/>
              <w:spacing w:before="0" w:beforeAutospacing="0" w:after="0" w:afterAutospacing="0" w:line="600" w:lineRule="exact"/>
              <w:ind w:left="0" w:right="0"/>
              <w:jc w:val="center"/>
              <w:rPr>
                <w:rFonts w:hint="eastAsia" w:ascii="仿宋" w:hAnsi="仿宋" w:eastAsia="仿宋" w:cs="宋体"/>
                <w:color w:val="auto"/>
                <w:szCs w:val="21"/>
                <w:highlight w:val="none"/>
              </w:rPr>
            </w:pPr>
          </w:p>
        </w:tc>
        <w:tc>
          <w:tcPr>
            <w:tcW w:w="851" w:type="dxa"/>
            <w:noWrap w:val="0"/>
            <w:vAlign w:val="top"/>
          </w:tcPr>
          <w:p w14:paraId="5EBDE247">
            <w:pPr>
              <w:keepNext w:val="0"/>
              <w:keepLines w:val="0"/>
              <w:pageBreakBefore w:val="0"/>
              <w:suppressLineNumbers w:val="0"/>
              <w:kinsoku/>
              <w:overflowPunct/>
              <w:bidi w:val="0"/>
              <w:snapToGrid w:val="0"/>
              <w:spacing w:before="0" w:beforeAutospacing="0" w:after="0" w:afterAutospacing="0" w:line="600" w:lineRule="exact"/>
              <w:ind w:left="0" w:right="0"/>
              <w:jc w:val="center"/>
              <w:rPr>
                <w:rFonts w:hint="eastAsia" w:ascii="仿宋" w:hAnsi="仿宋" w:eastAsia="仿宋" w:cs="宋体"/>
                <w:color w:val="auto"/>
                <w:szCs w:val="21"/>
                <w:highlight w:val="none"/>
              </w:rPr>
            </w:pPr>
          </w:p>
        </w:tc>
        <w:tc>
          <w:tcPr>
            <w:tcW w:w="980" w:type="dxa"/>
            <w:noWrap w:val="0"/>
            <w:vAlign w:val="center"/>
          </w:tcPr>
          <w:p w14:paraId="1998D43D">
            <w:pPr>
              <w:keepNext w:val="0"/>
              <w:keepLines w:val="0"/>
              <w:pageBreakBefore w:val="0"/>
              <w:suppressLineNumbers w:val="0"/>
              <w:kinsoku/>
              <w:overflowPunct/>
              <w:bidi w:val="0"/>
              <w:snapToGrid w:val="0"/>
              <w:spacing w:before="0" w:beforeAutospacing="0" w:after="0" w:afterAutospacing="0" w:line="600" w:lineRule="exact"/>
              <w:ind w:left="0" w:right="0"/>
              <w:jc w:val="center"/>
              <w:rPr>
                <w:rFonts w:hint="eastAsia" w:ascii="仿宋" w:hAnsi="仿宋" w:eastAsia="仿宋" w:cs="宋体"/>
                <w:color w:val="auto"/>
                <w:szCs w:val="21"/>
                <w:highlight w:val="none"/>
              </w:rPr>
            </w:pPr>
          </w:p>
        </w:tc>
        <w:tc>
          <w:tcPr>
            <w:tcW w:w="992" w:type="dxa"/>
            <w:noWrap w:val="0"/>
            <w:vAlign w:val="center"/>
          </w:tcPr>
          <w:p w14:paraId="6D8005BB">
            <w:pPr>
              <w:keepNext w:val="0"/>
              <w:keepLines w:val="0"/>
              <w:pageBreakBefore w:val="0"/>
              <w:suppressLineNumbers w:val="0"/>
              <w:kinsoku/>
              <w:overflowPunct/>
              <w:bidi w:val="0"/>
              <w:snapToGrid w:val="0"/>
              <w:spacing w:before="0" w:beforeAutospacing="0" w:after="0" w:afterAutospacing="0" w:line="600" w:lineRule="exact"/>
              <w:ind w:left="0" w:right="0"/>
              <w:jc w:val="center"/>
              <w:rPr>
                <w:rFonts w:hint="eastAsia" w:ascii="仿宋" w:hAnsi="仿宋" w:eastAsia="仿宋" w:cs="宋体"/>
                <w:color w:val="auto"/>
                <w:szCs w:val="21"/>
                <w:highlight w:val="none"/>
              </w:rPr>
            </w:pPr>
          </w:p>
        </w:tc>
        <w:tc>
          <w:tcPr>
            <w:tcW w:w="1276" w:type="dxa"/>
            <w:noWrap w:val="0"/>
            <w:vAlign w:val="center"/>
          </w:tcPr>
          <w:p w14:paraId="32F44E63">
            <w:pPr>
              <w:keepNext w:val="0"/>
              <w:keepLines w:val="0"/>
              <w:pageBreakBefore w:val="0"/>
              <w:suppressLineNumbers w:val="0"/>
              <w:kinsoku/>
              <w:overflowPunct/>
              <w:bidi w:val="0"/>
              <w:snapToGrid w:val="0"/>
              <w:spacing w:before="0" w:beforeAutospacing="0" w:after="0" w:afterAutospacing="0" w:line="600" w:lineRule="exact"/>
              <w:ind w:left="0" w:right="0"/>
              <w:jc w:val="center"/>
              <w:rPr>
                <w:rFonts w:hint="eastAsia" w:ascii="仿宋" w:hAnsi="仿宋" w:eastAsia="仿宋" w:cs="宋体"/>
                <w:color w:val="auto"/>
                <w:szCs w:val="21"/>
                <w:highlight w:val="none"/>
              </w:rPr>
            </w:pPr>
          </w:p>
        </w:tc>
        <w:tc>
          <w:tcPr>
            <w:tcW w:w="1134" w:type="dxa"/>
            <w:noWrap w:val="0"/>
            <w:vAlign w:val="center"/>
          </w:tcPr>
          <w:p w14:paraId="759EB9A2">
            <w:pPr>
              <w:keepNext w:val="0"/>
              <w:keepLines w:val="0"/>
              <w:pageBreakBefore w:val="0"/>
              <w:suppressLineNumbers w:val="0"/>
              <w:kinsoku/>
              <w:overflowPunct/>
              <w:bidi w:val="0"/>
              <w:snapToGrid w:val="0"/>
              <w:spacing w:before="0" w:beforeAutospacing="0" w:after="0" w:afterAutospacing="0" w:line="600" w:lineRule="exact"/>
              <w:ind w:left="0" w:right="0"/>
              <w:jc w:val="center"/>
              <w:rPr>
                <w:rFonts w:hint="eastAsia" w:ascii="仿宋" w:hAnsi="仿宋" w:eastAsia="仿宋" w:cs="宋体"/>
                <w:color w:val="auto"/>
                <w:szCs w:val="21"/>
                <w:highlight w:val="none"/>
              </w:rPr>
            </w:pPr>
          </w:p>
        </w:tc>
        <w:tc>
          <w:tcPr>
            <w:tcW w:w="1695" w:type="dxa"/>
            <w:noWrap w:val="0"/>
            <w:vAlign w:val="center"/>
          </w:tcPr>
          <w:p w14:paraId="528C009B">
            <w:pPr>
              <w:keepNext w:val="0"/>
              <w:keepLines w:val="0"/>
              <w:pageBreakBefore w:val="0"/>
              <w:suppressLineNumbers w:val="0"/>
              <w:kinsoku/>
              <w:overflowPunct/>
              <w:bidi w:val="0"/>
              <w:snapToGrid w:val="0"/>
              <w:spacing w:before="0" w:beforeAutospacing="0" w:after="0" w:afterAutospacing="0" w:line="600" w:lineRule="exact"/>
              <w:ind w:left="0" w:right="0"/>
              <w:jc w:val="center"/>
              <w:rPr>
                <w:rFonts w:hint="eastAsia" w:ascii="仿宋" w:hAnsi="仿宋" w:eastAsia="仿宋" w:cs="宋体"/>
                <w:color w:val="auto"/>
                <w:szCs w:val="21"/>
                <w:highlight w:val="none"/>
              </w:rPr>
            </w:pPr>
          </w:p>
        </w:tc>
      </w:tr>
      <w:tr w14:paraId="39BFC6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noWrap w:val="0"/>
            <w:vAlign w:val="center"/>
          </w:tcPr>
          <w:p w14:paraId="78025695">
            <w:pPr>
              <w:keepNext w:val="0"/>
              <w:keepLines w:val="0"/>
              <w:pageBreakBefore w:val="0"/>
              <w:suppressLineNumbers w:val="0"/>
              <w:kinsoku/>
              <w:overflowPunct/>
              <w:bidi w:val="0"/>
              <w:snapToGrid w:val="0"/>
              <w:spacing w:before="0" w:beforeAutospacing="0" w:after="0" w:afterAutospacing="0" w:line="600" w:lineRule="exact"/>
              <w:ind w:left="0" w:right="0"/>
              <w:jc w:val="center"/>
              <w:rPr>
                <w:rFonts w:hint="eastAsia" w:ascii="仿宋" w:hAnsi="仿宋" w:eastAsia="仿宋" w:cs="宋体"/>
                <w:color w:val="auto"/>
                <w:szCs w:val="21"/>
                <w:highlight w:val="none"/>
              </w:rPr>
            </w:pPr>
            <w:r>
              <w:rPr>
                <w:rFonts w:hint="eastAsia" w:ascii="仿宋" w:hAnsi="仿宋" w:eastAsia="仿宋" w:cs="宋体"/>
                <w:color w:val="auto"/>
                <w:szCs w:val="21"/>
                <w:highlight w:val="none"/>
              </w:rPr>
              <w:t>...</w:t>
            </w:r>
          </w:p>
        </w:tc>
        <w:tc>
          <w:tcPr>
            <w:tcW w:w="1260" w:type="dxa"/>
            <w:noWrap w:val="0"/>
            <w:vAlign w:val="center"/>
          </w:tcPr>
          <w:p w14:paraId="6999A0D9">
            <w:pPr>
              <w:keepNext w:val="0"/>
              <w:keepLines w:val="0"/>
              <w:pageBreakBefore w:val="0"/>
              <w:suppressLineNumbers w:val="0"/>
              <w:kinsoku/>
              <w:overflowPunct/>
              <w:bidi w:val="0"/>
              <w:snapToGrid w:val="0"/>
              <w:spacing w:before="0" w:beforeAutospacing="0" w:after="0" w:afterAutospacing="0" w:line="600" w:lineRule="exact"/>
              <w:ind w:left="0" w:right="0"/>
              <w:jc w:val="center"/>
              <w:rPr>
                <w:rFonts w:hint="eastAsia" w:ascii="仿宋" w:hAnsi="仿宋" w:eastAsia="仿宋" w:cs="宋体"/>
                <w:color w:val="auto"/>
                <w:szCs w:val="21"/>
                <w:highlight w:val="none"/>
              </w:rPr>
            </w:pPr>
          </w:p>
        </w:tc>
        <w:tc>
          <w:tcPr>
            <w:tcW w:w="851" w:type="dxa"/>
            <w:noWrap w:val="0"/>
            <w:vAlign w:val="top"/>
          </w:tcPr>
          <w:p w14:paraId="291A0F4A">
            <w:pPr>
              <w:keepNext w:val="0"/>
              <w:keepLines w:val="0"/>
              <w:pageBreakBefore w:val="0"/>
              <w:suppressLineNumbers w:val="0"/>
              <w:kinsoku/>
              <w:overflowPunct/>
              <w:bidi w:val="0"/>
              <w:snapToGrid w:val="0"/>
              <w:spacing w:before="0" w:beforeAutospacing="0" w:after="0" w:afterAutospacing="0" w:line="600" w:lineRule="exact"/>
              <w:ind w:left="0" w:right="0"/>
              <w:jc w:val="center"/>
              <w:rPr>
                <w:rFonts w:hint="eastAsia" w:ascii="仿宋" w:hAnsi="仿宋" w:eastAsia="仿宋" w:cs="宋体"/>
                <w:color w:val="auto"/>
                <w:szCs w:val="21"/>
                <w:highlight w:val="none"/>
              </w:rPr>
            </w:pPr>
          </w:p>
        </w:tc>
        <w:tc>
          <w:tcPr>
            <w:tcW w:w="980" w:type="dxa"/>
            <w:noWrap w:val="0"/>
            <w:vAlign w:val="center"/>
          </w:tcPr>
          <w:p w14:paraId="32F39339">
            <w:pPr>
              <w:keepNext w:val="0"/>
              <w:keepLines w:val="0"/>
              <w:pageBreakBefore w:val="0"/>
              <w:suppressLineNumbers w:val="0"/>
              <w:kinsoku/>
              <w:overflowPunct/>
              <w:bidi w:val="0"/>
              <w:snapToGrid w:val="0"/>
              <w:spacing w:before="0" w:beforeAutospacing="0" w:after="0" w:afterAutospacing="0" w:line="600" w:lineRule="exact"/>
              <w:ind w:left="0" w:right="0"/>
              <w:jc w:val="center"/>
              <w:rPr>
                <w:rFonts w:hint="eastAsia" w:ascii="仿宋" w:hAnsi="仿宋" w:eastAsia="仿宋" w:cs="宋体"/>
                <w:color w:val="auto"/>
                <w:szCs w:val="21"/>
                <w:highlight w:val="none"/>
              </w:rPr>
            </w:pPr>
          </w:p>
        </w:tc>
        <w:tc>
          <w:tcPr>
            <w:tcW w:w="992" w:type="dxa"/>
            <w:noWrap w:val="0"/>
            <w:vAlign w:val="center"/>
          </w:tcPr>
          <w:p w14:paraId="2940B2C4">
            <w:pPr>
              <w:keepNext w:val="0"/>
              <w:keepLines w:val="0"/>
              <w:pageBreakBefore w:val="0"/>
              <w:suppressLineNumbers w:val="0"/>
              <w:kinsoku/>
              <w:overflowPunct/>
              <w:bidi w:val="0"/>
              <w:snapToGrid w:val="0"/>
              <w:spacing w:before="0" w:beforeAutospacing="0" w:after="0" w:afterAutospacing="0" w:line="600" w:lineRule="exact"/>
              <w:ind w:left="0" w:right="0"/>
              <w:jc w:val="center"/>
              <w:rPr>
                <w:rFonts w:hint="eastAsia" w:ascii="仿宋" w:hAnsi="仿宋" w:eastAsia="仿宋" w:cs="宋体"/>
                <w:color w:val="auto"/>
                <w:szCs w:val="21"/>
                <w:highlight w:val="none"/>
              </w:rPr>
            </w:pPr>
          </w:p>
        </w:tc>
        <w:tc>
          <w:tcPr>
            <w:tcW w:w="1276" w:type="dxa"/>
            <w:noWrap w:val="0"/>
            <w:vAlign w:val="center"/>
          </w:tcPr>
          <w:p w14:paraId="3E7AFDBC">
            <w:pPr>
              <w:keepNext w:val="0"/>
              <w:keepLines w:val="0"/>
              <w:pageBreakBefore w:val="0"/>
              <w:suppressLineNumbers w:val="0"/>
              <w:kinsoku/>
              <w:overflowPunct/>
              <w:bidi w:val="0"/>
              <w:snapToGrid w:val="0"/>
              <w:spacing w:before="0" w:beforeAutospacing="0" w:after="0" w:afterAutospacing="0" w:line="600" w:lineRule="exact"/>
              <w:ind w:left="0" w:right="0"/>
              <w:jc w:val="center"/>
              <w:rPr>
                <w:rFonts w:hint="eastAsia" w:ascii="仿宋" w:hAnsi="仿宋" w:eastAsia="仿宋" w:cs="宋体"/>
                <w:color w:val="auto"/>
                <w:szCs w:val="21"/>
                <w:highlight w:val="none"/>
              </w:rPr>
            </w:pPr>
          </w:p>
        </w:tc>
        <w:tc>
          <w:tcPr>
            <w:tcW w:w="1134" w:type="dxa"/>
            <w:noWrap w:val="0"/>
            <w:vAlign w:val="center"/>
          </w:tcPr>
          <w:p w14:paraId="36D1C1A4">
            <w:pPr>
              <w:keepNext w:val="0"/>
              <w:keepLines w:val="0"/>
              <w:pageBreakBefore w:val="0"/>
              <w:suppressLineNumbers w:val="0"/>
              <w:kinsoku/>
              <w:overflowPunct/>
              <w:bidi w:val="0"/>
              <w:snapToGrid w:val="0"/>
              <w:spacing w:before="0" w:beforeAutospacing="0" w:after="0" w:afterAutospacing="0" w:line="600" w:lineRule="exact"/>
              <w:ind w:left="0" w:right="0"/>
              <w:jc w:val="center"/>
              <w:rPr>
                <w:rFonts w:hint="eastAsia" w:ascii="仿宋" w:hAnsi="仿宋" w:eastAsia="仿宋" w:cs="宋体"/>
                <w:color w:val="auto"/>
                <w:szCs w:val="21"/>
                <w:highlight w:val="none"/>
              </w:rPr>
            </w:pPr>
          </w:p>
        </w:tc>
        <w:tc>
          <w:tcPr>
            <w:tcW w:w="1695" w:type="dxa"/>
            <w:noWrap w:val="0"/>
            <w:vAlign w:val="center"/>
          </w:tcPr>
          <w:p w14:paraId="0BEC4069">
            <w:pPr>
              <w:keepNext w:val="0"/>
              <w:keepLines w:val="0"/>
              <w:pageBreakBefore w:val="0"/>
              <w:suppressLineNumbers w:val="0"/>
              <w:kinsoku/>
              <w:overflowPunct/>
              <w:bidi w:val="0"/>
              <w:snapToGrid w:val="0"/>
              <w:spacing w:before="0" w:beforeAutospacing="0" w:after="0" w:afterAutospacing="0" w:line="600" w:lineRule="exact"/>
              <w:ind w:left="0" w:right="0"/>
              <w:jc w:val="center"/>
              <w:rPr>
                <w:rFonts w:hint="eastAsia" w:ascii="仿宋" w:hAnsi="仿宋" w:eastAsia="仿宋" w:cs="宋体"/>
                <w:color w:val="auto"/>
                <w:szCs w:val="21"/>
                <w:highlight w:val="none"/>
              </w:rPr>
            </w:pPr>
          </w:p>
        </w:tc>
      </w:tr>
      <w:tr w14:paraId="38F0F7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noWrap w:val="0"/>
            <w:vAlign w:val="center"/>
          </w:tcPr>
          <w:p w14:paraId="638A15B5">
            <w:pPr>
              <w:keepNext w:val="0"/>
              <w:keepLines w:val="0"/>
              <w:pageBreakBefore w:val="0"/>
              <w:suppressLineNumbers w:val="0"/>
              <w:kinsoku/>
              <w:overflowPunct/>
              <w:bidi w:val="0"/>
              <w:snapToGrid w:val="0"/>
              <w:spacing w:before="0" w:beforeAutospacing="0" w:after="0" w:afterAutospacing="0" w:line="600" w:lineRule="exact"/>
              <w:ind w:left="0" w:right="0"/>
              <w:jc w:val="center"/>
              <w:rPr>
                <w:rFonts w:hint="eastAsia" w:ascii="仿宋" w:hAnsi="仿宋" w:eastAsia="仿宋" w:cs="宋体"/>
                <w:color w:val="auto"/>
                <w:szCs w:val="21"/>
                <w:highlight w:val="none"/>
              </w:rPr>
            </w:pPr>
            <w:r>
              <w:rPr>
                <w:rFonts w:hint="eastAsia" w:ascii="仿宋" w:hAnsi="仿宋" w:eastAsia="仿宋" w:cs="宋体"/>
                <w:color w:val="auto"/>
                <w:szCs w:val="21"/>
                <w:highlight w:val="none"/>
              </w:rPr>
              <w:t>...</w:t>
            </w:r>
          </w:p>
        </w:tc>
        <w:tc>
          <w:tcPr>
            <w:tcW w:w="1260" w:type="dxa"/>
            <w:noWrap w:val="0"/>
            <w:vAlign w:val="center"/>
          </w:tcPr>
          <w:p w14:paraId="6F4AF124">
            <w:pPr>
              <w:keepNext w:val="0"/>
              <w:keepLines w:val="0"/>
              <w:pageBreakBefore w:val="0"/>
              <w:suppressLineNumbers w:val="0"/>
              <w:kinsoku/>
              <w:overflowPunct/>
              <w:bidi w:val="0"/>
              <w:snapToGrid w:val="0"/>
              <w:spacing w:before="0" w:beforeAutospacing="0" w:after="0" w:afterAutospacing="0" w:line="600" w:lineRule="exact"/>
              <w:ind w:left="0" w:right="0"/>
              <w:jc w:val="center"/>
              <w:rPr>
                <w:rFonts w:hint="eastAsia" w:ascii="仿宋" w:hAnsi="仿宋" w:eastAsia="仿宋" w:cs="宋体"/>
                <w:color w:val="auto"/>
                <w:szCs w:val="21"/>
                <w:highlight w:val="none"/>
              </w:rPr>
            </w:pPr>
          </w:p>
        </w:tc>
        <w:tc>
          <w:tcPr>
            <w:tcW w:w="851" w:type="dxa"/>
            <w:noWrap w:val="0"/>
            <w:vAlign w:val="top"/>
          </w:tcPr>
          <w:p w14:paraId="789AF23C">
            <w:pPr>
              <w:keepNext w:val="0"/>
              <w:keepLines w:val="0"/>
              <w:pageBreakBefore w:val="0"/>
              <w:suppressLineNumbers w:val="0"/>
              <w:kinsoku/>
              <w:overflowPunct/>
              <w:bidi w:val="0"/>
              <w:snapToGrid w:val="0"/>
              <w:spacing w:before="0" w:beforeAutospacing="0" w:after="0" w:afterAutospacing="0" w:line="600" w:lineRule="exact"/>
              <w:ind w:left="0" w:right="0"/>
              <w:jc w:val="center"/>
              <w:rPr>
                <w:rFonts w:hint="eastAsia" w:ascii="仿宋" w:hAnsi="仿宋" w:eastAsia="仿宋" w:cs="宋体"/>
                <w:color w:val="auto"/>
                <w:szCs w:val="21"/>
                <w:highlight w:val="none"/>
              </w:rPr>
            </w:pPr>
          </w:p>
        </w:tc>
        <w:tc>
          <w:tcPr>
            <w:tcW w:w="980" w:type="dxa"/>
            <w:noWrap w:val="0"/>
            <w:vAlign w:val="center"/>
          </w:tcPr>
          <w:p w14:paraId="53FE1524">
            <w:pPr>
              <w:keepNext w:val="0"/>
              <w:keepLines w:val="0"/>
              <w:pageBreakBefore w:val="0"/>
              <w:suppressLineNumbers w:val="0"/>
              <w:kinsoku/>
              <w:overflowPunct/>
              <w:bidi w:val="0"/>
              <w:snapToGrid w:val="0"/>
              <w:spacing w:before="0" w:beforeAutospacing="0" w:after="0" w:afterAutospacing="0" w:line="600" w:lineRule="exact"/>
              <w:ind w:left="0" w:right="0"/>
              <w:jc w:val="center"/>
              <w:rPr>
                <w:rFonts w:hint="eastAsia" w:ascii="仿宋" w:hAnsi="仿宋" w:eastAsia="仿宋" w:cs="宋体"/>
                <w:color w:val="auto"/>
                <w:szCs w:val="21"/>
                <w:highlight w:val="none"/>
              </w:rPr>
            </w:pPr>
          </w:p>
        </w:tc>
        <w:tc>
          <w:tcPr>
            <w:tcW w:w="992" w:type="dxa"/>
            <w:noWrap w:val="0"/>
            <w:vAlign w:val="center"/>
          </w:tcPr>
          <w:p w14:paraId="4A73E0FE">
            <w:pPr>
              <w:keepNext w:val="0"/>
              <w:keepLines w:val="0"/>
              <w:pageBreakBefore w:val="0"/>
              <w:suppressLineNumbers w:val="0"/>
              <w:kinsoku/>
              <w:overflowPunct/>
              <w:bidi w:val="0"/>
              <w:snapToGrid w:val="0"/>
              <w:spacing w:before="0" w:beforeAutospacing="0" w:after="0" w:afterAutospacing="0" w:line="600" w:lineRule="exact"/>
              <w:ind w:left="0" w:right="0"/>
              <w:jc w:val="center"/>
              <w:rPr>
                <w:rFonts w:hint="eastAsia" w:ascii="仿宋" w:hAnsi="仿宋" w:eastAsia="仿宋" w:cs="宋体"/>
                <w:color w:val="auto"/>
                <w:szCs w:val="21"/>
                <w:highlight w:val="none"/>
              </w:rPr>
            </w:pPr>
          </w:p>
        </w:tc>
        <w:tc>
          <w:tcPr>
            <w:tcW w:w="1276" w:type="dxa"/>
            <w:noWrap w:val="0"/>
            <w:vAlign w:val="center"/>
          </w:tcPr>
          <w:p w14:paraId="4E32567C">
            <w:pPr>
              <w:keepNext w:val="0"/>
              <w:keepLines w:val="0"/>
              <w:pageBreakBefore w:val="0"/>
              <w:suppressLineNumbers w:val="0"/>
              <w:kinsoku/>
              <w:overflowPunct/>
              <w:bidi w:val="0"/>
              <w:snapToGrid w:val="0"/>
              <w:spacing w:before="0" w:beforeAutospacing="0" w:after="0" w:afterAutospacing="0" w:line="600" w:lineRule="exact"/>
              <w:ind w:left="0" w:right="0"/>
              <w:jc w:val="center"/>
              <w:rPr>
                <w:rFonts w:hint="eastAsia" w:ascii="仿宋" w:hAnsi="仿宋" w:eastAsia="仿宋" w:cs="宋体"/>
                <w:color w:val="auto"/>
                <w:szCs w:val="21"/>
                <w:highlight w:val="none"/>
              </w:rPr>
            </w:pPr>
          </w:p>
        </w:tc>
        <w:tc>
          <w:tcPr>
            <w:tcW w:w="1134" w:type="dxa"/>
            <w:noWrap w:val="0"/>
            <w:vAlign w:val="center"/>
          </w:tcPr>
          <w:p w14:paraId="02DBBDDA">
            <w:pPr>
              <w:keepNext w:val="0"/>
              <w:keepLines w:val="0"/>
              <w:pageBreakBefore w:val="0"/>
              <w:suppressLineNumbers w:val="0"/>
              <w:kinsoku/>
              <w:overflowPunct/>
              <w:bidi w:val="0"/>
              <w:snapToGrid w:val="0"/>
              <w:spacing w:before="0" w:beforeAutospacing="0" w:after="0" w:afterAutospacing="0" w:line="600" w:lineRule="exact"/>
              <w:ind w:left="0" w:right="0"/>
              <w:jc w:val="center"/>
              <w:rPr>
                <w:rFonts w:hint="eastAsia" w:ascii="仿宋" w:hAnsi="仿宋" w:eastAsia="仿宋" w:cs="宋体"/>
                <w:color w:val="auto"/>
                <w:szCs w:val="21"/>
                <w:highlight w:val="none"/>
              </w:rPr>
            </w:pPr>
          </w:p>
        </w:tc>
        <w:tc>
          <w:tcPr>
            <w:tcW w:w="1695" w:type="dxa"/>
            <w:noWrap w:val="0"/>
            <w:vAlign w:val="center"/>
          </w:tcPr>
          <w:p w14:paraId="1CCCADB3">
            <w:pPr>
              <w:keepNext w:val="0"/>
              <w:keepLines w:val="0"/>
              <w:pageBreakBefore w:val="0"/>
              <w:suppressLineNumbers w:val="0"/>
              <w:kinsoku/>
              <w:overflowPunct/>
              <w:bidi w:val="0"/>
              <w:snapToGrid w:val="0"/>
              <w:spacing w:before="0" w:beforeAutospacing="0" w:after="0" w:afterAutospacing="0" w:line="600" w:lineRule="exact"/>
              <w:ind w:left="0" w:right="0"/>
              <w:jc w:val="center"/>
              <w:rPr>
                <w:rFonts w:hint="eastAsia" w:ascii="仿宋" w:hAnsi="仿宋" w:eastAsia="仿宋" w:cs="宋体"/>
                <w:color w:val="auto"/>
                <w:szCs w:val="21"/>
                <w:highlight w:val="none"/>
              </w:rPr>
            </w:pPr>
          </w:p>
        </w:tc>
      </w:tr>
    </w:tbl>
    <w:p w14:paraId="31625A27">
      <w:pPr>
        <w:pageBreakBefore w:val="0"/>
        <w:kinsoku/>
        <w:overflowPunct/>
        <w:bidi w:val="0"/>
        <w:spacing w:line="600" w:lineRule="exact"/>
        <w:ind w:firstLine="480" w:firstLineChars="200"/>
        <w:rPr>
          <w:rFonts w:hint="eastAsia" w:ascii="仿宋" w:hAnsi="仿宋" w:eastAsia="仿宋" w:cs="宋体"/>
          <w:color w:val="auto"/>
          <w:sz w:val="24"/>
          <w:szCs w:val="24"/>
          <w:highlight w:val="none"/>
          <w:lang w:bidi="ar"/>
        </w:rPr>
      </w:pPr>
    </w:p>
    <w:p w14:paraId="54F62682">
      <w:pPr>
        <w:pageBreakBefore w:val="0"/>
        <w:kinsoku/>
        <w:overflowPunct/>
        <w:bidi w:val="0"/>
        <w:spacing w:line="600" w:lineRule="exact"/>
        <w:rPr>
          <w:rFonts w:hint="eastAsia" w:ascii="仿宋" w:hAnsi="仿宋" w:eastAsia="仿宋" w:cs="宋体"/>
          <w:b/>
          <w:color w:val="auto"/>
          <w:sz w:val="24"/>
          <w:szCs w:val="24"/>
          <w:highlight w:val="none"/>
          <w:lang w:bidi="ar"/>
        </w:rPr>
      </w:pPr>
      <w:r>
        <w:rPr>
          <w:rFonts w:hint="eastAsia" w:ascii="仿宋" w:hAnsi="仿宋" w:eastAsia="仿宋" w:cs="宋体"/>
          <w:b/>
          <w:color w:val="auto"/>
          <w:sz w:val="24"/>
          <w:szCs w:val="24"/>
          <w:highlight w:val="none"/>
          <w:lang w:bidi="ar"/>
        </w:rPr>
        <w:t>备注：</w:t>
      </w:r>
    </w:p>
    <w:p w14:paraId="797C1332">
      <w:pPr>
        <w:pageBreakBefore w:val="0"/>
        <w:kinsoku/>
        <w:overflowPunct/>
        <w:bidi w:val="0"/>
        <w:spacing w:line="600" w:lineRule="exact"/>
        <w:rPr>
          <w:rFonts w:hint="eastAsia" w:ascii="仿宋" w:hAnsi="仿宋" w:eastAsia="仿宋" w:cs="宋体"/>
          <w:b/>
          <w:color w:val="auto"/>
          <w:sz w:val="24"/>
          <w:szCs w:val="24"/>
          <w:highlight w:val="none"/>
          <w:lang w:bidi="ar"/>
        </w:rPr>
      </w:pPr>
      <w:r>
        <w:rPr>
          <w:rFonts w:hint="eastAsia" w:ascii="仿宋" w:hAnsi="仿宋" w:eastAsia="仿宋" w:cs="宋体"/>
          <w:b/>
          <w:color w:val="auto"/>
          <w:sz w:val="24"/>
          <w:szCs w:val="24"/>
          <w:highlight w:val="none"/>
          <w:lang w:bidi="ar"/>
        </w:rPr>
        <w:t>需按照技术规范书中的相关要求，列明本项目服务团队所有人员信息及职责分工。</w:t>
      </w:r>
    </w:p>
    <w:p w14:paraId="7DDF0B59">
      <w:pPr>
        <w:pageBreakBefore w:val="0"/>
        <w:kinsoku/>
        <w:overflowPunct/>
        <w:bidi w:val="0"/>
        <w:spacing w:line="600" w:lineRule="exact"/>
        <w:ind w:firstLine="4080" w:firstLineChars="1700"/>
        <w:jc w:val="right"/>
        <w:rPr>
          <w:rFonts w:hint="eastAsia" w:ascii="仿宋" w:hAnsi="仿宋" w:eastAsia="仿宋" w:cs="宋体"/>
          <w:color w:val="auto"/>
          <w:sz w:val="24"/>
          <w:szCs w:val="24"/>
          <w:highlight w:val="none"/>
        </w:rPr>
      </w:pPr>
    </w:p>
    <w:p w14:paraId="3A07FABD">
      <w:pPr>
        <w:pageBreakBefore w:val="0"/>
        <w:kinsoku/>
        <w:overflowPunct/>
        <w:bidi w:val="0"/>
        <w:spacing w:line="600" w:lineRule="exact"/>
        <w:ind w:firstLine="4080" w:firstLineChars="1700"/>
        <w:jc w:val="right"/>
        <w:rPr>
          <w:rFonts w:hint="eastAsia" w:ascii="仿宋" w:hAnsi="仿宋" w:eastAsia="仿宋" w:cs="宋体"/>
          <w:color w:val="auto"/>
          <w:sz w:val="24"/>
          <w:szCs w:val="24"/>
          <w:highlight w:val="none"/>
        </w:rPr>
      </w:pPr>
    </w:p>
    <w:p w14:paraId="72C11911">
      <w:pPr>
        <w:pageBreakBefore w:val="0"/>
        <w:kinsoku/>
        <w:overflowPunct/>
        <w:bidi w:val="0"/>
        <w:spacing w:line="600" w:lineRule="exact"/>
        <w:ind w:firstLine="482" w:firstLineChars="200"/>
        <w:rPr>
          <w:rFonts w:hint="eastAsia" w:ascii="仿宋" w:hAnsi="仿宋" w:eastAsia="仿宋" w:cs="宋体"/>
          <w:b/>
          <w:bCs/>
          <w:color w:val="auto"/>
          <w:sz w:val="24"/>
          <w:highlight w:val="none"/>
        </w:rPr>
      </w:pPr>
    </w:p>
    <w:p w14:paraId="2480D653">
      <w:pPr>
        <w:pageBreakBefore w:val="0"/>
        <w:kinsoku/>
        <w:overflowPunct/>
        <w:bidi w:val="0"/>
        <w:spacing w:line="600" w:lineRule="exact"/>
        <w:ind w:firstLine="482" w:firstLineChars="200"/>
        <w:rPr>
          <w:rFonts w:hint="eastAsia" w:ascii="仿宋" w:hAnsi="仿宋" w:eastAsia="仿宋" w:cs="宋体"/>
          <w:b/>
          <w:bCs/>
          <w:color w:val="auto"/>
          <w:sz w:val="24"/>
          <w:highlight w:val="none"/>
        </w:rPr>
        <w:sectPr>
          <w:pgSz w:w="11906" w:h="16838"/>
          <w:pgMar w:top="1417" w:right="1134" w:bottom="1134" w:left="1134" w:header="851" w:footer="992" w:gutter="0"/>
          <w:cols w:space="720" w:num="1"/>
          <w:titlePg/>
          <w:docGrid w:type="lines" w:linePitch="312" w:charSpace="0"/>
        </w:sectPr>
      </w:pPr>
    </w:p>
    <w:p w14:paraId="5124C666">
      <w:pPr>
        <w:pStyle w:val="6"/>
        <w:pageBreakBefore w:val="0"/>
        <w:kinsoku/>
        <w:overflowPunct/>
        <w:bidi w:val="0"/>
        <w:spacing w:line="600" w:lineRule="exact"/>
        <w:rPr>
          <w:rFonts w:hint="eastAsia" w:ascii="仿宋" w:hAnsi="仿宋" w:cs="宋体"/>
          <w:color w:val="auto"/>
          <w:highlight w:val="none"/>
        </w:rPr>
      </w:pPr>
      <w:r>
        <w:rPr>
          <w:rFonts w:hint="eastAsia" w:ascii="仿宋" w:hAnsi="仿宋" w:cs="宋体"/>
          <w:color w:val="auto"/>
          <w:highlight w:val="none"/>
        </w:rPr>
        <w:t>2、拟派团队成员简历表</w:t>
      </w:r>
    </w:p>
    <w:tbl>
      <w:tblPr>
        <w:tblStyle w:val="33"/>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0"/>
        <w:gridCol w:w="321"/>
        <w:gridCol w:w="294"/>
        <w:gridCol w:w="1065"/>
        <w:gridCol w:w="909"/>
        <w:gridCol w:w="36"/>
        <w:gridCol w:w="945"/>
        <w:gridCol w:w="1287"/>
        <w:gridCol w:w="567"/>
        <w:gridCol w:w="2694"/>
      </w:tblGrid>
      <w:tr w14:paraId="25BB85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8" w:hRule="atLeast"/>
        </w:trPr>
        <w:tc>
          <w:tcPr>
            <w:tcW w:w="1380" w:type="dxa"/>
            <w:noWrap w:val="0"/>
            <w:vAlign w:val="center"/>
          </w:tcPr>
          <w:p w14:paraId="737565B7">
            <w:pPr>
              <w:keepNext w:val="0"/>
              <w:keepLines w:val="0"/>
              <w:pageBreakBefore w:val="0"/>
              <w:suppressLineNumbers w:val="0"/>
              <w:kinsoku/>
              <w:overflowPunct/>
              <w:bidi w:val="0"/>
              <w:spacing w:before="0" w:beforeAutospacing="0" w:after="0" w:afterAutospacing="0" w:line="600" w:lineRule="exact"/>
              <w:ind w:left="0" w:right="0"/>
              <w:jc w:val="center"/>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姓  名</w:t>
            </w:r>
          </w:p>
        </w:tc>
        <w:tc>
          <w:tcPr>
            <w:tcW w:w="1680" w:type="dxa"/>
            <w:gridSpan w:val="3"/>
            <w:noWrap w:val="0"/>
            <w:vAlign w:val="center"/>
          </w:tcPr>
          <w:p w14:paraId="51244BDC">
            <w:pPr>
              <w:keepNext w:val="0"/>
              <w:keepLines w:val="0"/>
              <w:pageBreakBefore w:val="0"/>
              <w:suppressLineNumbers w:val="0"/>
              <w:kinsoku/>
              <w:overflowPunct/>
              <w:bidi w:val="0"/>
              <w:spacing w:before="0" w:beforeAutospacing="0" w:after="0" w:afterAutospacing="0" w:line="600" w:lineRule="exact"/>
              <w:ind w:left="0" w:right="0"/>
              <w:jc w:val="center"/>
              <w:rPr>
                <w:rFonts w:hint="eastAsia" w:ascii="仿宋" w:hAnsi="仿宋" w:eastAsia="仿宋" w:cs="宋体"/>
                <w:color w:val="auto"/>
                <w:sz w:val="24"/>
                <w:szCs w:val="24"/>
                <w:highlight w:val="none"/>
              </w:rPr>
            </w:pPr>
          </w:p>
        </w:tc>
        <w:tc>
          <w:tcPr>
            <w:tcW w:w="945" w:type="dxa"/>
            <w:gridSpan w:val="2"/>
            <w:noWrap w:val="0"/>
            <w:vAlign w:val="center"/>
          </w:tcPr>
          <w:p w14:paraId="4785B670">
            <w:pPr>
              <w:keepNext w:val="0"/>
              <w:keepLines w:val="0"/>
              <w:pageBreakBefore w:val="0"/>
              <w:suppressLineNumbers w:val="0"/>
              <w:kinsoku/>
              <w:overflowPunct/>
              <w:bidi w:val="0"/>
              <w:spacing w:before="0" w:beforeAutospacing="0" w:after="0" w:afterAutospacing="0" w:line="600" w:lineRule="exact"/>
              <w:ind w:left="0" w:right="0"/>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性 别</w:t>
            </w:r>
          </w:p>
        </w:tc>
        <w:tc>
          <w:tcPr>
            <w:tcW w:w="945" w:type="dxa"/>
            <w:noWrap w:val="0"/>
            <w:vAlign w:val="center"/>
          </w:tcPr>
          <w:p w14:paraId="3E1BCB79">
            <w:pPr>
              <w:keepNext w:val="0"/>
              <w:keepLines w:val="0"/>
              <w:pageBreakBefore w:val="0"/>
              <w:suppressLineNumbers w:val="0"/>
              <w:kinsoku/>
              <w:overflowPunct/>
              <w:bidi w:val="0"/>
              <w:spacing w:before="0" w:beforeAutospacing="0" w:after="0" w:afterAutospacing="0" w:line="600" w:lineRule="exact"/>
              <w:ind w:left="0" w:right="0"/>
              <w:rPr>
                <w:rFonts w:hint="eastAsia" w:ascii="仿宋" w:hAnsi="仿宋" w:eastAsia="仿宋" w:cs="宋体"/>
                <w:color w:val="auto"/>
                <w:sz w:val="24"/>
                <w:szCs w:val="24"/>
                <w:highlight w:val="none"/>
              </w:rPr>
            </w:pPr>
          </w:p>
        </w:tc>
        <w:tc>
          <w:tcPr>
            <w:tcW w:w="1854" w:type="dxa"/>
            <w:gridSpan w:val="2"/>
            <w:noWrap w:val="0"/>
            <w:vAlign w:val="center"/>
          </w:tcPr>
          <w:p w14:paraId="6E374DD4">
            <w:pPr>
              <w:keepNext w:val="0"/>
              <w:keepLines w:val="0"/>
              <w:pageBreakBefore w:val="0"/>
              <w:suppressLineNumbers w:val="0"/>
              <w:kinsoku/>
              <w:overflowPunct/>
              <w:bidi w:val="0"/>
              <w:spacing w:before="0" w:beforeAutospacing="0" w:after="0" w:afterAutospacing="0" w:line="600" w:lineRule="exact"/>
              <w:ind w:left="0" w:right="0"/>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出 生 日 期</w:t>
            </w:r>
          </w:p>
        </w:tc>
        <w:tc>
          <w:tcPr>
            <w:tcW w:w="2694" w:type="dxa"/>
            <w:noWrap w:val="0"/>
            <w:vAlign w:val="center"/>
          </w:tcPr>
          <w:p w14:paraId="01CCBEFD">
            <w:pPr>
              <w:keepNext w:val="0"/>
              <w:keepLines w:val="0"/>
              <w:pageBreakBefore w:val="0"/>
              <w:suppressLineNumbers w:val="0"/>
              <w:kinsoku/>
              <w:overflowPunct/>
              <w:bidi w:val="0"/>
              <w:spacing w:before="0" w:beforeAutospacing="0" w:after="0" w:afterAutospacing="0" w:line="600" w:lineRule="exact"/>
              <w:ind w:left="0" w:right="0"/>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      年    月   日</w:t>
            </w:r>
          </w:p>
        </w:tc>
      </w:tr>
      <w:tr w14:paraId="17EB07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0" w:hRule="atLeast"/>
        </w:trPr>
        <w:tc>
          <w:tcPr>
            <w:tcW w:w="1380" w:type="dxa"/>
            <w:noWrap w:val="0"/>
            <w:vAlign w:val="center"/>
          </w:tcPr>
          <w:p w14:paraId="6B069DF8">
            <w:pPr>
              <w:keepNext w:val="0"/>
              <w:keepLines w:val="0"/>
              <w:pageBreakBefore w:val="0"/>
              <w:suppressLineNumbers w:val="0"/>
              <w:kinsoku/>
              <w:overflowPunct/>
              <w:bidi w:val="0"/>
              <w:spacing w:before="0" w:beforeAutospacing="0" w:after="0" w:afterAutospacing="0" w:line="600" w:lineRule="exact"/>
              <w:ind w:left="0" w:right="0"/>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毕业院校及专业</w:t>
            </w:r>
          </w:p>
        </w:tc>
        <w:tc>
          <w:tcPr>
            <w:tcW w:w="3570" w:type="dxa"/>
            <w:gridSpan w:val="6"/>
            <w:noWrap w:val="0"/>
            <w:vAlign w:val="center"/>
          </w:tcPr>
          <w:p w14:paraId="6E0B63D4">
            <w:pPr>
              <w:keepNext w:val="0"/>
              <w:keepLines w:val="0"/>
              <w:pageBreakBefore w:val="0"/>
              <w:suppressLineNumbers w:val="0"/>
              <w:kinsoku/>
              <w:overflowPunct/>
              <w:bidi w:val="0"/>
              <w:spacing w:before="0" w:beforeAutospacing="0" w:after="0" w:afterAutospacing="0" w:line="600" w:lineRule="exact"/>
              <w:ind w:left="0" w:right="0"/>
              <w:rPr>
                <w:rFonts w:hint="eastAsia" w:ascii="仿宋" w:hAnsi="仿宋" w:eastAsia="仿宋" w:cs="宋体"/>
                <w:color w:val="auto"/>
                <w:sz w:val="24"/>
                <w:szCs w:val="24"/>
                <w:highlight w:val="none"/>
              </w:rPr>
            </w:pPr>
          </w:p>
        </w:tc>
        <w:tc>
          <w:tcPr>
            <w:tcW w:w="1854" w:type="dxa"/>
            <w:gridSpan w:val="2"/>
            <w:noWrap w:val="0"/>
            <w:vAlign w:val="center"/>
          </w:tcPr>
          <w:p w14:paraId="288A6DBE">
            <w:pPr>
              <w:keepNext w:val="0"/>
              <w:keepLines w:val="0"/>
              <w:pageBreakBefore w:val="0"/>
              <w:suppressLineNumbers w:val="0"/>
              <w:kinsoku/>
              <w:overflowPunct/>
              <w:bidi w:val="0"/>
              <w:spacing w:before="0" w:beforeAutospacing="0" w:after="0" w:afterAutospacing="0" w:line="600" w:lineRule="exact"/>
              <w:ind w:left="-18" w:right="0"/>
              <w:jc w:val="center"/>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学历</w:t>
            </w:r>
          </w:p>
        </w:tc>
        <w:tc>
          <w:tcPr>
            <w:tcW w:w="2694" w:type="dxa"/>
            <w:noWrap w:val="0"/>
            <w:vAlign w:val="center"/>
          </w:tcPr>
          <w:p w14:paraId="6F0BED82">
            <w:pPr>
              <w:keepNext w:val="0"/>
              <w:keepLines w:val="0"/>
              <w:pageBreakBefore w:val="0"/>
              <w:suppressLineNumbers w:val="0"/>
              <w:kinsoku/>
              <w:overflowPunct/>
              <w:bidi w:val="0"/>
              <w:spacing w:before="0" w:beforeAutospacing="0" w:after="0" w:afterAutospacing="0" w:line="600" w:lineRule="exact"/>
              <w:ind w:left="45" w:right="0"/>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    </w:t>
            </w:r>
          </w:p>
        </w:tc>
      </w:tr>
      <w:tr w14:paraId="1A39E6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1995" w:type="dxa"/>
            <w:gridSpan w:val="3"/>
            <w:noWrap w:val="0"/>
            <w:vAlign w:val="center"/>
          </w:tcPr>
          <w:p w14:paraId="0065CDC2">
            <w:pPr>
              <w:keepNext w:val="0"/>
              <w:keepLines w:val="0"/>
              <w:pageBreakBefore w:val="0"/>
              <w:suppressLineNumbers w:val="0"/>
              <w:kinsoku/>
              <w:overflowPunct/>
              <w:bidi w:val="0"/>
              <w:spacing w:before="0" w:beforeAutospacing="0" w:after="0" w:afterAutospacing="0" w:line="600" w:lineRule="exact"/>
              <w:ind w:left="0" w:right="0"/>
              <w:jc w:val="center"/>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工作年限</w:t>
            </w:r>
          </w:p>
        </w:tc>
        <w:tc>
          <w:tcPr>
            <w:tcW w:w="1974" w:type="dxa"/>
            <w:gridSpan w:val="2"/>
            <w:noWrap w:val="0"/>
            <w:vAlign w:val="center"/>
          </w:tcPr>
          <w:p w14:paraId="0EEBB32D">
            <w:pPr>
              <w:keepNext w:val="0"/>
              <w:keepLines w:val="0"/>
              <w:pageBreakBefore w:val="0"/>
              <w:suppressLineNumbers w:val="0"/>
              <w:kinsoku/>
              <w:overflowPunct/>
              <w:bidi w:val="0"/>
              <w:spacing w:before="0" w:beforeAutospacing="0" w:after="0" w:afterAutospacing="0" w:line="600" w:lineRule="exact"/>
              <w:ind w:left="0" w:right="0"/>
              <w:rPr>
                <w:rFonts w:hint="eastAsia" w:ascii="仿宋" w:hAnsi="仿宋" w:eastAsia="仿宋" w:cs="宋体"/>
                <w:color w:val="auto"/>
                <w:sz w:val="24"/>
                <w:szCs w:val="24"/>
                <w:highlight w:val="none"/>
              </w:rPr>
            </w:pPr>
          </w:p>
        </w:tc>
        <w:tc>
          <w:tcPr>
            <w:tcW w:w="2835" w:type="dxa"/>
            <w:gridSpan w:val="4"/>
            <w:noWrap w:val="0"/>
            <w:vAlign w:val="center"/>
          </w:tcPr>
          <w:p w14:paraId="2DC6DD76">
            <w:pPr>
              <w:keepNext w:val="0"/>
              <w:keepLines w:val="0"/>
              <w:pageBreakBefore w:val="0"/>
              <w:suppressLineNumbers w:val="0"/>
              <w:kinsoku/>
              <w:overflowPunct/>
              <w:bidi w:val="0"/>
              <w:spacing w:before="0" w:beforeAutospacing="0" w:after="0" w:afterAutospacing="0" w:line="600" w:lineRule="exact"/>
              <w:ind w:left="0" w:right="0"/>
              <w:jc w:val="center"/>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为投标人服务时间</w:t>
            </w:r>
          </w:p>
        </w:tc>
        <w:tc>
          <w:tcPr>
            <w:tcW w:w="2694" w:type="dxa"/>
            <w:noWrap w:val="0"/>
            <w:vAlign w:val="center"/>
          </w:tcPr>
          <w:p w14:paraId="3BB82AC3">
            <w:pPr>
              <w:keepNext w:val="0"/>
              <w:keepLines w:val="0"/>
              <w:pageBreakBefore w:val="0"/>
              <w:suppressLineNumbers w:val="0"/>
              <w:kinsoku/>
              <w:overflowPunct/>
              <w:bidi w:val="0"/>
              <w:spacing w:before="0" w:beforeAutospacing="0" w:after="0" w:afterAutospacing="0" w:line="600" w:lineRule="exact"/>
              <w:ind w:left="0" w:right="0"/>
              <w:rPr>
                <w:rFonts w:hint="eastAsia" w:ascii="仿宋" w:hAnsi="仿宋" w:eastAsia="仿宋" w:cs="宋体"/>
                <w:color w:val="auto"/>
                <w:sz w:val="24"/>
                <w:szCs w:val="24"/>
                <w:highlight w:val="none"/>
              </w:rPr>
            </w:pPr>
          </w:p>
        </w:tc>
      </w:tr>
      <w:tr w14:paraId="100A82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995" w:type="dxa"/>
            <w:gridSpan w:val="3"/>
            <w:noWrap w:val="0"/>
            <w:vAlign w:val="center"/>
          </w:tcPr>
          <w:p w14:paraId="3645175E">
            <w:pPr>
              <w:keepNext w:val="0"/>
              <w:keepLines w:val="0"/>
              <w:pageBreakBefore w:val="0"/>
              <w:suppressLineNumbers w:val="0"/>
              <w:kinsoku/>
              <w:overflowPunct/>
              <w:bidi w:val="0"/>
              <w:spacing w:before="0" w:beforeAutospacing="0" w:after="0" w:afterAutospacing="0" w:line="600" w:lineRule="exact"/>
              <w:ind w:left="0" w:right="0"/>
              <w:jc w:val="center"/>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专业资质</w:t>
            </w:r>
          </w:p>
        </w:tc>
        <w:tc>
          <w:tcPr>
            <w:tcW w:w="1974" w:type="dxa"/>
            <w:gridSpan w:val="2"/>
            <w:noWrap w:val="0"/>
            <w:vAlign w:val="center"/>
          </w:tcPr>
          <w:p w14:paraId="3F25AF4F">
            <w:pPr>
              <w:keepNext w:val="0"/>
              <w:keepLines w:val="0"/>
              <w:pageBreakBefore w:val="0"/>
              <w:suppressLineNumbers w:val="0"/>
              <w:kinsoku/>
              <w:overflowPunct/>
              <w:bidi w:val="0"/>
              <w:spacing w:before="0" w:beforeAutospacing="0" w:after="0" w:afterAutospacing="0" w:line="600" w:lineRule="exact"/>
              <w:ind w:left="0" w:right="0"/>
              <w:rPr>
                <w:rFonts w:hint="eastAsia" w:ascii="仿宋" w:hAnsi="仿宋" w:eastAsia="仿宋" w:cs="宋体"/>
                <w:color w:val="auto"/>
                <w:sz w:val="24"/>
                <w:szCs w:val="24"/>
                <w:highlight w:val="none"/>
              </w:rPr>
            </w:pPr>
          </w:p>
        </w:tc>
        <w:tc>
          <w:tcPr>
            <w:tcW w:w="2835" w:type="dxa"/>
            <w:gridSpan w:val="4"/>
            <w:noWrap w:val="0"/>
            <w:vAlign w:val="center"/>
          </w:tcPr>
          <w:p w14:paraId="481C1384">
            <w:pPr>
              <w:keepNext w:val="0"/>
              <w:keepLines w:val="0"/>
              <w:pageBreakBefore w:val="0"/>
              <w:suppressLineNumbers w:val="0"/>
              <w:kinsoku/>
              <w:overflowPunct/>
              <w:bidi w:val="0"/>
              <w:spacing w:before="0" w:beforeAutospacing="0" w:after="0" w:afterAutospacing="0" w:line="600" w:lineRule="exact"/>
              <w:ind w:left="0" w:right="0"/>
              <w:jc w:val="center"/>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在本项目中的职务</w:t>
            </w:r>
          </w:p>
        </w:tc>
        <w:tc>
          <w:tcPr>
            <w:tcW w:w="2694" w:type="dxa"/>
            <w:noWrap w:val="0"/>
            <w:vAlign w:val="center"/>
          </w:tcPr>
          <w:p w14:paraId="257D0786">
            <w:pPr>
              <w:keepNext w:val="0"/>
              <w:keepLines w:val="0"/>
              <w:pageBreakBefore w:val="0"/>
              <w:suppressLineNumbers w:val="0"/>
              <w:kinsoku/>
              <w:overflowPunct/>
              <w:bidi w:val="0"/>
              <w:spacing w:before="0" w:beforeAutospacing="0" w:after="0" w:afterAutospacing="0" w:line="600" w:lineRule="exact"/>
              <w:ind w:left="0" w:right="0"/>
              <w:rPr>
                <w:rFonts w:hint="eastAsia" w:ascii="仿宋" w:hAnsi="仿宋" w:eastAsia="仿宋" w:cs="宋体"/>
                <w:color w:val="auto"/>
                <w:sz w:val="24"/>
                <w:szCs w:val="24"/>
                <w:highlight w:val="none"/>
              </w:rPr>
            </w:pPr>
          </w:p>
        </w:tc>
      </w:tr>
      <w:tr w14:paraId="32D855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6" w:hRule="atLeast"/>
        </w:trPr>
        <w:tc>
          <w:tcPr>
            <w:tcW w:w="9498" w:type="dxa"/>
            <w:gridSpan w:val="10"/>
            <w:noWrap w:val="0"/>
            <w:vAlign w:val="center"/>
          </w:tcPr>
          <w:p w14:paraId="76AF8548">
            <w:pPr>
              <w:keepNext w:val="0"/>
              <w:keepLines w:val="0"/>
              <w:pageBreakBefore w:val="0"/>
              <w:suppressLineNumbers w:val="0"/>
              <w:kinsoku/>
              <w:overflowPunct/>
              <w:bidi w:val="0"/>
              <w:spacing w:before="0" w:beforeAutospacing="0" w:after="0" w:afterAutospacing="0" w:line="600" w:lineRule="exact"/>
              <w:ind w:left="0" w:right="0" w:firstLine="3360" w:firstLineChars="1400"/>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服    务    内    容</w:t>
            </w:r>
          </w:p>
        </w:tc>
      </w:tr>
      <w:tr w14:paraId="5CDC9B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28" w:hRule="atLeast"/>
        </w:trPr>
        <w:tc>
          <w:tcPr>
            <w:tcW w:w="9498" w:type="dxa"/>
            <w:gridSpan w:val="10"/>
            <w:noWrap w:val="0"/>
            <w:vAlign w:val="center"/>
          </w:tcPr>
          <w:p w14:paraId="328F0229">
            <w:pPr>
              <w:keepNext w:val="0"/>
              <w:keepLines w:val="0"/>
              <w:pageBreakBefore w:val="0"/>
              <w:suppressLineNumbers w:val="0"/>
              <w:kinsoku/>
              <w:overflowPunct/>
              <w:bidi w:val="0"/>
              <w:spacing w:before="0" w:beforeAutospacing="0" w:after="0" w:afterAutospacing="0" w:line="600" w:lineRule="exact"/>
              <w:ind w:left="0" w:right="0"/>
              <w:rPr>
                <w:rFonts w:hint="eastAsia" w:ascii="仿宋" w:hAnsi="仿宋" w:eastAsia="仿宋" w:cs="宋体"/>
                <w:color w:val="auto"/>
                <w:sz w:val="24"/>
                <w:szCs w:val="24"/>
                <w:highlight w:val="none"/>
              </w:rPr>
            </w:pPr>
          </w:p>
        </w:tc>
      </w:tr>
      <w:tr w14:paraId="7EF152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0" w:hRule="atLeast"/>
        </w:trPr>
        <w:tc>
          <w:tcPr>
            <w:tcW w:w="9498" w:type="dxa"/>
            <w:gridSpan w:val="10"/>
            <w:noWrap w:val="0"/>
            <w:vAlign w:val="center"/>
          </w:tcPr>
          <w:p w14:paraId="2625EB8D">
            <w:pPr>
              <w:keepNext w:val="0"/>
              <w:keepLines w:val="0"/>
              <w:pageBreakBefore w:val="0"/>
              <w:suppressLineNumbers w:val="0"/>
              <w:kinsoku/>
              <w:overflowPunct/>
              <w:bidi w:val="0"/>
              <w:spacing w:before="0" w:beforeAutospacing="0" w:after="0" w:afterAutospacing="0" w:line="600" w:lineRule="exact"/>
              <w:ind w:left="0" w:right="0"/>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                          主  要  经  历</w:t>
            </w:r>
          </w:p>
        </w:tc>
      </w:tr>
      <w:tr w14:paraId="1C9B15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trPr>
        <w:tc>
          <w:tcPr>
            <w:tcW w:w="1701" w:type="dxa"/>
            <w:gridSpan w:val="2"/>
            <w:noWrap w:val="0"/>
            <w:vAlign w:val="center"/>
          </w:tcPr>
          <w:p w14:paraId="60BA07C5">
            <w:pPr>
              <w:keepNext w:val="0"/>
              <w:keepLines w:val="0"/>
              <w:pageBreakBefore w:val="0"/>
              <w:suppressLineNumbers w:val="0"/>
              <w:kinsoku/>
              <w:overflowPunct/>
              <w:bidi w:val="0"/>
              <w:spacing w:before="0" w:beforeAutospacing="0" w:after="0" w:afterAutospacing="0" w:line="600" w:lineRule="exact"/>
              <w:ind w:left="0" w:right="0"/>
              <w:jc w:val="center"/>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时   间</w:t>
            </w:r>
          </w:p>
        </w:tc>
        <w:tc>
          <w:tcPr>
            <w:tcW w:w="4536" w:type="dxa"/>
            <w:gridSpan w:val="6"/>
            <w:noWrap w:val="0"/>
            <w:vAlign w:val="center"/>
          </w:tcPr>
          <w:p w14:paraId="22022CE5">
            <w:pPr>
              <w:keepNext w:val="0"/>
              <w:keepLines w:val="0"/>
              <w:pageBreakBefore w:val="0"/>
              <w:suppressLineNumbers w:val="0"/>
              <w:kinsoku/>
              <w:overflowPunct/>
              <w:bidi w:val="0"/>
              <w:spacing w:before="0" w:beforeAutospacing="0" w:after="0" w:afterAutospacing="0" w:line="600" w:lineRule="exact"/>
              <w:ind w:left="0" w:right="0"/>
              <w:jc w:val="center"/>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同类项目名称及简要描述</w:t>
            </w:r>
          </w:p>
        </w:tc>
        <w:tc>
          <w:tcPr>
            <w:tcW w:w="3261" w:type="dxa"/>
            <w:gridSpan w:val="2"/>
            <w:noWrap w:val="0"/>
            <w:vAlign w:val="center"/>
          </w:tcPr>
          <w:p w14:paraId="75047CC2">
            <w:pPr>
              <w:keepNext w:val="0"/>
              <w:keepLines w:val="0"/>
              <w:pageBreakBefore w:val="0"/>
              <w:suppressLineNumbers w:val="0"/>
              <w:kinsoku/>
              <w:overflowPunct/>
              <w:bidi w:val="0"/>
              <w:spacing w:before="0" w:beforeAutospacing="0" w:after="0" w:afterAutospacing="0" w:line="600" w:lineRule="exact"/>
              <w:ind w:left="0" w:right="0"/>
              <w:jc w:val="center"/>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该项目中职务及工作职责</w:t>
            </w:r>
          </w:p>
        </w:tc>
      </w:tr>
      <w:tr w14:paraId="3F5A62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1" w:hRule="atLeast"/>
        </w:trPr>
        <w:tc>
          <w:tcPr>
            <w:tcW w:w="1701" w:type="dxa"/>
            <w:gridSpan w:val="2"/>
            <w:noWrap w:val="0"/>
            <w:vAlign w:val="top"/>
          </w:tcPr>
          <w:p w14:paraId="12DE5D19">
            <w:pPr>
              <w:keepNext w:val="0"/>
              <w:keepLines w:val="0"/>
              <w:pageBreakBefore w:val="0"/>
              <w:suppressLineNumbers w:val="0"/>
              <w:kinsoku/>
              <w:overflowPunct/>
              <w:bidi w:val="0"/>
              <w:spacing w:before="0" w:beforeAutospacing="0" w:after="0" w:afterAutospacing="0" w:line="600" w:lineRule="exact"/>
              <w:ind w:left="0" w:right="0"/>
              <w:rPr>
                <w:rFonts w:hint="eastAsia" w:ascii="仿宋" w:hAnsi="仿宋" w:eastAsia="仿宋" w:cs="宋体"/>
                <w:color w:val="auto"/>
                <w:sz w:val="24"/>
                <w:szCs w:val="24"/>
                <w:highlight w:val="none"/>
              </w:rPr>
            </w:pPr>
          </w:p>
        </w:tc>
        <w:tc>
          <w:tcPr>
            <w:tcW w:w="4536" w:type="dxa"/>
            <w:gridSpan w:val="6"/>
            <w:noWrap w:val="0"/>
            <w:vAlign w:val="top"/>
          </w:tcPr>
          <w:p w14:paraId="14A15428">
            <w:pPr>
              <w:keepNext w:val="0"/>
              <w:keepLines w:val="0"/>
              <w:pageBreakBefore w:val="0"/>
              <w:suppressLineNumbers w:val="0"/>
              <w:kinsoku/>
              <w:overflowPunct/>
              <w:bidi w:val="0"/>
              <w:spacing w:before="0" w:beforeAutospacing="0" w:after="0" w:afterAutospacing="0" w:line="600" w:lineRule="exact"/>
              <w:ind w:left="0" w:right="0"/>
              <w:rPr>
                <w:rFonts w:hint="eastAsia" w:ascii="仿宋" w:hAnsi="仿宋" w:eastAsia="仿宋" w:cs="宋体"/>
                <w:color w:val="auto"/>
                <w:sz w:val="24"/>
                <w:szCs w:val="24"/>
                <w:highlight w:val="none"/>
              </w:rPr>
            </w:pPr>
          </w:p>
        </w:tc>
        <w:tc>
          <w:tcPr>
            <w:tcW w:w="3261" w:type="dxa"/>
            <w:gridSpan w:val="2"/>
            <w:noWrap w:val="0"/>
            <w:vAlign w:val="top"/>
          </w:tcPr>
          <w:p w14:paraId="12F00BAB">
            <w:pPr>
              <w:keepNext w:val="0"/>
              <w:keepLines w:val="0"/>
              <w:pageBreakBefore w:val="0"/>
              <w:suppressLineNumbers w:val="0"/>
              <w:kinsoku/>
              <w:overflowPunct/>
              <w:bidi w:val="0"/>
              <w:spacing w:before="0" w:beforeAutospacing="0" w:after="0" w:afterAutospacing="0" w:line="600" w:lineRule="exact"/>
              <w:ind w:left="0" w:right="0"/>
              <w:rPr>
                <w:rFonts w:hint="eastAsia" w:ascii="仿宋" w:hAnsi="仿宋" w:eastAsia="仿宋" w:cs="宋体"/>
                <w:color w:val="auto"/>
                <w:sz w:val="24"/>
                <w:szCs w:val="24"/>
                <w:highlight w:val="none"/>
              </w:rPr>
            </w:pPr>
          </w:p>
        </w:tc>
      </w:tr>
      <w:tr w14:paraId="1CACA7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1701" w:type="dxa"/>
            <w:gridSpan w:val="2"/>
            <w:noWrap w:val="0"/>
            <w:vAlign w:val="top"/>
          </w:tcPr>
          <w:p w14:paraId="6E2075C0">
            <w:pPr>
              <w:keepNext w:val="0"/>
              <w:keepLines w:val="0"/>
              <w:pageBreakBefore w:val="0"/>
              <w:suppressLineNumbers w:val="0"/>
              <w:kinsoku/>
              <w:overflowPunct/>
              <w:bidi w:val="0"/>
              <w:spacing w:before="0" w:beforeAutospacing="0" w:after="0" w:afterAutospacing="0" w:line="600" w:lineRule="exact"/>
              <w:ind w:left="0" w:right="0"/>
              <w:rPr>
                <w:rFonts w:hint="eastAsia" w:ascii="仿宋" w:hAnsi="仿宋" w:eastAsia="仿宋" w:cs="宋体"/>
                <w:color w:val="auto"/>
                <w:sz w:val="24"/>
                <w:szCs w:val="24"/>
                <w:highlight w:val="none"/>
              </w:rPr>
            </w:pPr>
          </w:p>
        </w:tc>
        <w:tc>
          <w:tcPr>
            <w:tcW w:w="4536" w:type="dxa"/>
            <w:gridSpan w:val="6"/>
            <w:noWrap w:val="0"/>
            <w:vAlign w:val="top"/>
          </w:tcPr>
          <w:p w14:paraId="6C3BCD1B">
            <w:pPr>
              <w:keepNext w:val="0"/>
              <w:keepLines w:val="0"/>
              <w:pageBreakBefore w:val="0"/>
              <w:suppressLineNumbers w:val="0"/>
              <w:kinsoku/>
              <w:overflowPunct/>
              <w:bidi w:val="0"/>
              <w:spacing w:before="0" w:beforeAutospacing="0" w:after="0" w:afterAutospacing="0" w:line="600" w:lineRule="exact"/>
              <w:ind w:left="0" w:right="0"/>
              <w:rPr>
                <w:rFonts w:hint="eastAsia" w:ascii="仿宋" w:hAnsi="仿宋" w:eastAsia="仿宋" w:cs="宋体"/>
                <w:color w:val="auto"/>
                <w:sz w:val="24"/>
                <w:szCs w:val="24"/>
                <w:highlight w:val="none"/>
              </w:rPr>
            </w:pPr>
          </w:p>
        </w:tc>
        <w:tc>
          <w:tcPr>
            <w:tcW w:w="3261" w:type="dxa"/>
            <w:gridSpan w:val="2"/>
            <w:noWrap w:val="0"/>
            <w:vAlign w:val="top"/>
          </w:tcPr>
          <w:p w14:paraId="1C7C4517">
            <w:pPr>
              <w:keepNext w:val="0"/>
              <w:keepLines w:val="0"/>
              <w:pageBreakBefore w:val="0"/>
              <w:suppressLineNumbers w:val="0"/>
              <w:kinsoku/>
              <w:overflowPunct/>
              <w:bidi w:val="0"/>
              <w:spacing w:before="0" w:beforeAutospacing="0" w:after="0" w:afterAutospacing="0" w:line="600" w:lineRule="exact"/>
              <w:ind w:left="0" w:right="0"/>
              <w:rPr>
                <w:rFonts w:hint="eastAsia" w:ascii="仿宋" w:hAnsi="仿宋" w:eastAsia="仿宋" w:cs="宋体"/>
                <w:color w:val="auto"/>
                <w:sz w:val="24"/>
                <w:szCs w:val="24"/>
                <w:highlight w:val="none"/>
              </w:rPr>
            </w:pPr>
          </w:p>
        </w:tc>
      </w:tr>
      <w:tr w14:paraId="69D651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1701" w:type="dxa"/>
            <w:gridSpan w:val="2"/>
            <w:noWrap w:val="0"/>
            <w:vAlign w:val="top"/>
          </w:tcPr>
          <w:p w14:paraId="08F7DCA8">
            <w:pPr>
              <w:keepNext w:val="0"/>
              <w:keepLines w:val="0"/>
              <w:pageBreakBefore w:val="0"/>
              <w:suppressLineNumbers w:val="0"/>
              <w:kinsoku/>
              <w:overflowPunct/>
              <w:bidi w:val="0"/>
              <w:spacing w:before="0" w:beforeAutospacing="0" w:after="0" w:afterAutospacing="0" w:line="600" w:lineRule="exact"/>
              <w:ind w:left="0" w:right="0"/>
              <w:rPr>
                <w:rFonts w:hint="eastAsia" w:ascii="仿宋" w:hAnsi="仿宋" w:eastAsia="仿宋" w:cs="宋体"/>
                <w:color w:val="auto"/>
                <w:sz w:val="24"/>
                <w:szCs w:val="24"/>
                <w:highlight w:val="none"/>
              </w:rPr>
            </w:pPr>
          </w:p>
        </w:tc>
        <w:tc>
          <w:tcPr>
            <w:tcW w:w="4536" w:type="dxa"/>
            <w:gridSpan w:val="6"/>
            <w:noWrap w:val="0"/>
            <w:vAlign w:val="top"/>
          </w:tcPr>
          <w:p w14:paraId="720FC513">
            <w:pPr>
              <w:keepNext w:val="0"/>
              <w:keepLines w:val="0"/>
              <w:pageBreakBefore w:val="0"/>
              <w:suppressLineNumbers w:val="0"/>
              <w:kinsoku/>
              <w:overflowPunct/>
              <w:bidi w:val="0"/>
              <w:spacing w:before="0" w:beforeAutospacing="0" w:after="0" w:afterAutospacing="0" w:line="600" w:lineRule="exact"/>
              <w:ind w:left="0" w:right="0"/>
              <w:rPr>
                <w:rFonts w:hint="eastAsia" w:ascii="仿宋" w:hAnsi="仿宋" w:eastAsia="仿宋" w:cs="宋体"/>
                <w:color w:val="auto"/>
                <w:sz w:val="24"/>
                <w:szCs w:val="24"/>
                <w:highlight w:val="none"/>
              </w:rPr>
            </w:pPr>
          </w:p>
        </w:tc>
        <w:tc>
          <w:tcPr>
            <w:tcW w:w="3261" w:type="dxa"/>
            <w:gridSpan w:val="2"/>
            <w:noWrap w:val="0"/>
            <w:vAlign w:val="top"/>
          </w:tcPr>
          <w:p w14:paraId="433707D8">
            <w:pPr>
              <w:keepNext w:val="0"/>
              <w:keepLines w:val="0"/>
              <w:pageBreakBefore w:val="0"/>
              <w:suppressLineNumbers w:val="0"/>
              <w:kinsoku/>
              <w:overflowPunct/>
              <w:bidi w:val="0"/>
              <w:spacing w:before="0" w:beforeAutospacing="0" w:after="0" w:afterAutospacing="0" w:line="600" w:lineRule="exact"/>
              <w:ind w:left="0" w:right="0"/>
              <w:rPr>
                <w:rFonts w:hint="eastAsia" w:ascii="仿宋" w:hAnsi="仿宋" w:eastAsia="仿宋" w:cs="宋体"/>
                <w:color w:val="auto"/>
                <w:sz w:val="24"/>
                <w:szCs w:val="24"/>
                <w:highlight w:val="none"/>
              </w:rPr>
            </w:pPr>
          </w:p>
        </w:tc>
      </w:tr>
      <w:tr w14:paraId="223E66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trPr>
        <w:tc>
          <w:tcPr>
            <w:tcW w:w="1701" w:type="dxa"/>
            <w:gridSpan w:val="2"/>
            <w:noWrap w:val="0"/>
            <w:vAlign w:val="top"/>
          </w:tcPr>
          <w:p w14:paraId="70C7A9C2">
            <w:pPr>
              <w:keepNext w:val="0"/>
              <w:keepLines w:val="0"/>
              <w:pageBreakBefore w:val="0"/>
              <w:suppressLineNumbers w:val="0"/>
              <w:kinsoku/>
              <w:overflowPunct/>
              <w:bidi w:val="0"/>
              <w:spacing w:before="0" w:beforeAutospacing="0" w:after="0" w:afterAutospacing="0" w:line="600" w:lineRule="exact"/>
              <w:ind w:left="0" w:right="0"/>
              <w:rPr>
                <w:rFonts w:hint="eastAsia" w:ascii="仿宋" w:hAnsi="仿宋" w:eastAsia="仿宋" w:cs="宋体"/>
                <w:color w:val="auto"/>
                <w:sz w:val="24"/>
                <w:szCs w:val="24"/>
                <w:highlight w:val="none"/>
              </w:rPr>
            </w:pPr>
          </w:p>
        </w:tc>
        <w:tc>
          <w:tcPr>
            <w:tcW w:w="4536" w:type="dxa"/>
            <w:gridSpan w:val="6"/>
            <w:noWrap w:val="0"/>
            <w:vAlign w:val="top"/>
          </w:tcPr>
          <w:p w14:paraId="7C8D342E">
            <w:pPr>
              <w:keepNext w:val="0"/>
              <w:keepLines w:val="0"/>
              <w:pageBreakBefore w:val="0"/>
              <w:suppressLineNumbers w:val="0"/>
              <w:kinsoku/>
              <w:overflowPunct/>
              <w:bidi w:val="0"/>
              <w:spacing w:before="0" w:beforeAutospacing="0" w:after="0" w:afterAutospacing="0" w:line="600" w:lineRule="exact"/>
              <w:ind w:left="0" w:right="0"/>
              <w:rPr>
                <w:rFonts w:hint="eastAsia" w:ascii="仿宋" w:hAnsi="仿宋" w:eastAsia="仿宋" w:cs="宋体"/>
                <w:color w:val="auto"/>
                <w:sz w:val="24"/>
                <w:szCs w:val="24"/>
                <w:highlight w:val="none"/>
              </w:rPr>
            </w:pPr>
          </w:p>
        </w:tc>
        <w:tc>
          <w:tcPr>
            <w:tcW w:w="3261" w:type="dxa"/>
            <w:gridSpan w:val="2"/>
            <w:noWrap w:val="0"/>
            <w:vAlign w:val="top"/>
          </w:tcPr>
          <w:p w14:paraId="3FD1AD55">
            <w:pPr>
              <w:keepNext w:val="0"/>
              <w:keepLines w:val="0"/>
              <w:pageBreakBefore w:val="0"/>
              <w:suppressLineNumbers w:val="0"/>
              <w:kinsoku/>
              <w:overflowPunct/>
              <w:bidi w:val="0"/>
              <w:spacing w:before="0" w:beforeAutospacing="0" w:after="0" w:afterAutospacing="0" w:line="600" w:lineRule="exact"/>
              <w:ind w:left="0" w:right="0"/>
              <w:rPr>
                <w:rFonts w:hint="eastAsia" w:ascii="仿宋" w:hAnsi="仿宋" w:eastAsia="仿宋" w:cs="宋体"/>
                <w:color w:val="auto"/>
                <w:sz w:val="24"/>
                <w:szCs w:val="24"/>
                <w:highlight w:val="none"/>
              </w:rPr>
            </w:pPr>
          </w:p>
        </w:tc>
      </w:tr>
    </w:tbl>
    <w:p w14:paraId="1DB71B05">
      <w:pPr>
        <w:pageBreakBefore w:val="0"/>
        <w:kinsoku/>
        <w:overflowPunct/>
        <w:bidi w:val="0"/>
        <w:spacing w:line="600" w:lineRule="exact"/>
        <w:rPr>
          <w:rFonts w:hint="eastAsia" w:ascii="仿宋" w:hAnsi="仿宋" w:eastAsia="仿宋" w:cs="宋体"/>
          <w:b/>
          <w:color w:val="auto"/>
          <w:sz w:val="24"/>
          <w:szCs w:val="24"/>
          <w:highlight w:val="none"/>
        </w:rPr>
      </w:pPr>
      <w:r>
        <w:rPr>
          <w:rFonts w:hint="eastAsia" w:ascii="仿宋" w:hAnsi="仿宋" w:eastAsia="仿宋" w:cs="宋体"/>
          <w:b/>
          <w:color w:val="auto"/>
          <w:sz w:val="24"/>
          <w:szCs w:val="24"/>
          <w:highlight w:val="none"/>
        </w:rPr>
        <w:t>备注：</w:t>
      </w:r>
    </w:p>
    <w:p w14:paraId="67135B33">
      <w:pPr>
        <w:pageBreakBefore w:val="0"/>
        <w:kinsoku/>
        <w:overflowPunct/>
        <w:bidi w:val="0"/>
        <w:spacing w:line="600" w:lineRule="exact"/>
        <w:rPr>
          <w:rFonts w:hint="eastAsia" w:ascii="仿宋" w:hAnsi="仿宋" w:eastAsia="仿宋" w:cs="宋体"/>
          <w:b/>
          <w:color w:val="auto"/>
          <w:sz w:val="24"/>
          <w:szCs w:val="24"/>
          <w:highlight w:val="none"/>
        </w:rPr>
      </w:pPr>
      <w:r>
        <w:rPr>
          <w:rFonts w:hint="eastAsia" w:ascii="仿宋" w:hAnsi="仿宋" w:eastAsia="仿宋" w:cs="宋体"/>
          <w:b/>
          <w:color w:val="auto"/>
          <w:sz w:val="24"/>
          <w:szCs w:val="24"/>
          <w:highlight w:val="none"/>
        </w:rPr>
        <w:t>1、</w:t>
      </w:r>
      <w:r>
        <w:rPr>
          <w:rFonts w:hint="eastAsia" w:ascii="仿宋" w:hAnsi="仿宋" w:eastAsia="仿宋" w:cs="宋体"/>
          <w:b/>
          <w:color w:val="auto"/>
          <w:sz w:val="24"/>
          <w:szCs w:val="24"/>
          <w:highlight w:val="none"/>
          <w:lang w:bidi="ar"/>
        </w:rPr>
        <w:t>根据技术规范书中的团队要求，</w:t>
      </w:r>
      <w:r>
        <w:rPr>
          <w:rFonts w:hint="eastAsia" w:ascii="仿宋" w:hAnsi="仿宋" w:eastAsia="仿宋" w:cs="宋体"/>
          <w:b/>
          <w:color w:val="auto"/>
          <w:sz w:val="24"/>
          <w:szCs w:val="24"/>
          <w:highlight w:val="none"/>
        </w:rPr>
        <w:t>投标人需随此表附上团队成员的身份证、毕业证、专业资质证书、同类项目实施经验证明等材料。</w:t>
      </w:r>
    </w:p>
    <w:p w14:paraId="1BCAF02C">
      <w:pPr>
        <w:pageBreakBefore w:val="0"/>
        <w:kinsoku/>
        <w:overflowPunct/>
        <w:bidi w:val="0"/>
        <w:spacing w:line="600" w:lineRule="exact"/>
        <w:jc w:val="left"/>
        <w:rPr>
          <w:rFonts w:ascii="仿宋" w:hAnsi="仿宋" w:cs="宋体"/>
          <w:color w:val="auto"/>
          <w:szCs w:val="24"/>
          <w:highlight w:val="none"/>
        </w:rPr>
      </w:pPr>
      <w:r>
        <w:rPr>
          <w:rFonts w:hint="eastAsia" w:ascii="仿宋" w:hAnsi="仿宋" w:eastAsia="仿宋" w:cs="宋体"/>
          <w:b/>
          <w:color w:val="auto"/>
          <w:sz w:val="24"/>
          <w:szCs w:val="24"/>
          <w:highlight w:val="none"/>
        </w:rPr>
        <w:t>2、</w:t>
      </w:r>
      <w:r>
        <w:rPr>
          <w:rFonts w:hint="eastAsia" w:ascii="仿宋" w:hAnsi="仿宋" w:eastAsia="仿宋" w:cs="宋体"/>
          <w:b/>
          <w:color w:val="auto"/>
          <w:kern w:val="0"/>
          <w:sz w:val="24"/>
          <w:szCs w:val="24"/>
          <w:highlight w:val="none"/>
          <w:lang w:val="en-US" w:eastAsia="zh-CN" w:bidi="ar-SA"/>
        </w:rPr>
        <w:t>“先附简历、再附材料”为一个人员的完整材料，人员简历排放顺序需与人员汇总表一致。</w:t>
      </w:r>
      <w:bookmarkStart w:id="713" w:name="_Toc65683016"/>
      <w:bookmarkStart w:id="714" w:name="_Toc109124330"/>
      <w:bookmarkStart w:id="715" w:name="_Toc23092"/>
      <w:bookmarkStart w:id="716" w:name="_Toc6712"/>
      <w:r>
        <w:rPr>
          <w:rFonts w:hint="eastAsia" w:ascii="仿宋" w:hAnsi="仿宋" w:eastAsia="仿宋" w:cs="宋体"/>
          <w:b/>
          <w:color w:val="auto"/>
          <w:kern w:val="0"/>
          <w:sz w:val="24"/>
          <w:szCs w:val="24"/>
          <w:highlight w:val="none"/>
          <w:lang w:val="en-US" w:eastAsia="zh-CN" w:bidi="ar-SA"/>
        </w:rPr>
        <w:t>（三）其他材料</w:t>
      </w:r>
      <w:bookmarkEnd w:id="713"/>
      <w:bookmarkEnd w:id="714"/>
      <w:bookmarkEnd w:id="715"/>
      <w:bookmarkEnd w:id="716"/>
      <w:r>
        <w:rPr>
          <w:rFonts w:hint="eastAsia" w:ascii="仿宋" w:hAnsi="仿宋" w:eastAsia="仿宋" w:cs="宋体"/>
          <w:b/>
          <w:color w:val="auto"/>
          <w:kern w:val="0"/>
          <w:sz w:val="24"/>
          <w:szCs w:val="24"/>
          <w:highlight w:val="none"/>
          <w:lang w:val="en-US" w:eastAsia="zh-CN" w:bidi="ar-SA"/>
        </w:rPr>
        <w:tab/>
      </w:r>
    </w:p>
    <w:p w14:paraId="67328D65">
      <w:pPr>
        <w:pageBreakBefore w:val="0"/>
        <w:kinsoku/>
        <w:overflowPunct/>
        <w:bidi w:val="0"/>
        <w:spacing w:line="600" w:lineRule="exact"/>
        <w:rPr>
          <w:rFonts w:hint="eastAsia" w:ascii="仿宋" w:hAnsi="仿宋" w:eastAsia="仿宋" w:cs="宋体"/>
          <w:color w:val="auto"/>
          <w:sz w:val="24"/>
          <w:szCs w:val="24"/>
          <w:highlight w:val="none"/>
        </w:rPr>
      </w:pPr>
      <w:r>
        <w:rPr>
          <w:rFonts w:hint="eastAsia" w:ascii="仿宋" w:hAnsi="仿宋" w:eastAsia="仿宋" w:cs="Cambria Math"/>
          <w:color w:val="auto"/>
          <w:sz w:val="24"/>
          <w:highlight w:val="none"/>
        </w:rPr>
        <w:t>详细评审中技术部分涉及的文件及证明材料、</w:t>
      </w:r>
      <w:r>
        <w:rPr>
          <w:rFonts w:hint="eastAsia" w:ascii="仿宋" w:hAnsi="仿宋" w:eastAsia="仿宋" w:cs="宋体"/>
          <w:color w:val="auto"/>
          <w:sz w:val="24"/>
          <w:szCs w:val="24"/>
          <w:highlight w:val="none"/>
        </w:rPr>
        <w:t>投标人认为需提供的其他材料。</w:t>
      </w:r>
    </w:p>
    <w:p w14:paraId="2EF4ED81">
      <w:pPr>
        <w:pageBreakBefore w:val="0"/>
        <w:kinsoku/>
        <w:overflowPunct/>
        <w:bidi w:val="0"/>
        <w:spacing w:line="600" w:lineRule="exact"/>
        <w:rPr>
          <w:rFonts w:hint="eastAsia" w:ascii="仿宋" w:hAnsi="仿宋" w:eastAsia="仿宋" w:cs="宋体"/>
          <w:color w:val="auto"/>
          <w:sz w:val="24"/>
          <w:szCs w:val="24"/>
          <w:highlight w:val="none"/>
        </w:rPr>
        <w:sectPr>
          <w:pgSz w:w="11906" w:h="16838"/>
          <w:pgMar w:top="1417" w:right="1134" w:bottom="1134" w:left="1134" w:header="851" w:footer="992" w:gutter="0"/>
          <w:cols w:space="720" w:num="1"/>
          <w:titlePg/>
          <w:docGrid w:type="lines" w:linePitch="312" w:charSpace="0"/>
        </w:sectPr>
      </w:pPr>
    </w:p>
    <w:p w14:paraId="1239F8E2">
      <w:pPr>
        <w:pStyle w:val="4"/>
        <w:pageBreakBefore w:val="0"/>
        <w:kinsoku/>
        <w:overflowPunct/>
        <w:bidi w:val="0"/>
        <w:spacing w:line="600" w:lineRule="exact"/>
        <w:jc w:val="center"/>
        <w:rPr>
          <w:rFonts w:hint="eastAsia" w:ascii="仿宋" w:hAnsi="仿宋" w:cs="宋体"/>
          <w:color w:val="auto"/>
          <w:szCs w:val="24"/>
          <w:highlight w:val="none"/>
        </w:rPr>
      </w:pPr>
      <w:bookmarkStart w:id="717" w:name="_Toc5944"/>
      <w:bookmarkStart w:id="718" w:name="_Toc29561"/>
      <w:bookmarkStart w:id="719" w:name="_Toc65683017"/>
      <w:bookmarkStart w:id="720" w:name="_Toc109124331"/>
      <w:r>
        <w:rPr>
          <w:rFonts w:hint="eastAsia" w:ascii="仿宋" w:hAnsi="仿宋" w:cs="宋体"/>
          <w:color w:val="auto"/>
          <w:szCs w:val="24"/>
          <w:highlight w:val="none"/>
        </w:rPr>
        <w:t>三、报价文件</w:t>
      </w:r>
      <w:bookmarkEnd w:id="717"/>
      <w:bookmarkEnd w:id="718"/>
      <w:bookmarkEnd w:id="719"/>
      <w:bookmarkEnd w:id="720"/>
    </w:p>
    <w:p w14:paraId="438C6930">
      <w:pPr>
        <w:jc w:val="center"/>
        <w:rPr>
          <w:rFonts w:hint="eastAsia" w:ascii="黑体" w:eastAsia="黑体"/>
          <w:color w:val="000000"/>
          <w:sz w:val="32"/>
          <w:szCs w:val="32"/>
        </w:rPr>
      </w:pPr>
      <w:bookmarkStart w:id="721" w:name="_Toc109124334"/>
      <w:bookmarkStart w:id="722" w:name="_Toc11074"/>
      <w:bookmarkStart w:id="723" w:name="_Toc65683019"/>
      <w:bookmarkStart w:id="724" w:name="_Toc14404"/>
      <w:r>
        <w:rPr>
          <w:rFonts w:hint="eastAsia" w:ascii="黑体" w:eastAsia="黑体"/>
          <w:color w:val="000000"/>
          <w:sz w:val="32"/>
          <w:szCs w:val="32"/>
        </w:rPr>
        <w:t>投标报价表</w:t>
      </w:r>
    </w:p>
    <w:p w14:paraId="32017F7C">
      <w:pPr>
        <w:spacing w:line="440" w:lineRule="exact"/>
        <w:jc w:val="center"/>
        <w:rPr>
          <w:rFonts w:hint="eastAsia" w:ascii="宋体" w:hAnsi="宋体"/>
          <w:b/>
          <w:color w:val="000000"/>
          <w:sz w:val="28"/>
          <w:szCs w:val="28"/>
        </w:rPr>
      </w:pPr>
    </w:p>
    <w:tbl>
      <w:tblPr>
        <w:tblStyle w:val="3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3"/>
        <w:gridCol w:w="2424"/>
        <w:gridCol w:w="1565"/>
        <w:gridCol w:w="1681"/>
        <w:gridCol w:w="840"/>
        <w:gridCol w:w="840"/>
        <w:gridCol w:w="928"/>
      </w:tblGrid>
      <w:tr w14:paraId="0146D1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4" w:hRule="atLeast"/>
          <w:jc w:val="center"/>
        </w:trPr>
        <w:tc>
          <w:tcPr>
            <w:tcW w:w="853" w:type="dxa"/>
            <w:noWrap w:val="0"/>
            <w:vAlign w:val="center"/>
          </w:tcPr>
          <w:p w14:paraId="215E3EBF">
            <w:pPr>
              <w:keepNext w:val="0"/>
              <w:keepLines w:val="0"/>
              <w:suppressLineNumbers w:val="0"/>
              <w:spacing w:before="0" w:beforeAutospacing="0" w:after="0" w:afterAutospacing="0" w:line="440" w:lineRule="exact"/>
              <w:ind w:left="0" w:right="0"/>
              <w:rPr>
                <w:rFonts w:hint="eastAsia" w:ascii="宋体" w:hAnsi="宋体"/>
                <w:b/>
                <w:color w:val="000000"/>
                <w:szCs w:val="21"/>
              </w:rPr>
            </w:pPr>
            <w:r>
              <w:rPr>
                <w:rFonts w:hint="eastAsia" w:ascii="宋体" w:hAnsi="宋体"/>
                <w:b/>
                <w:color w:val="000000"/>
                <w:szCs w:val="21"/>
              </w:rPr>
              <w:t>序号</w:t>
            </w:r>
          </w:p>
        </w:tc>
        <w:tc>
          <w:tcPr>
            <w:tcW w:w="2424" w:type="dxa"/>
            <w:noWrap w:val="0"/>
            <w:vAlign w:val="center"/>
          </w:tcPr>
          <w:p w14:paraId="2EBBD2AB">
            <w:pPr>
              <w:keepNext w:val="0"/>
              <w:keepLines w:val="0"/>
              <w:suppressLineNumbers w:val="0"/>
              <w:spacing w:before="0" w:beforeAutospacing="0" w:after="0" w:afterAutospacing="0" w:line="440" w:lineRule="exact"/>
              <w:ind w:left="0" w:right="0"/>
              <w:rPr>
                <w:rFonts w:hint="eastAsia" w:ascii="宋体" w:hAnsi="宋体"/>
                <w:b/>
                <w:color w:val="000000"/>
                <w:szCs w:val="21"/>
              </w:rPr>
            </w:pPr>
            <w:r>
              <w:rPr>
                <w:rFonts w:hint="eastAsia" w:ascii="宋体" w:hAnsi="宋体"/>
                <w:b/>
                <w:color w:val="000000"/>
                <w:szCs w:val="21"/>
              </w:rPr>
              <w:t xml:space="preserve">项目名称 </w:t>
            </w:r>
          </w:p>
        </w:tc>
        <w:tc>
          <w:tcPr>
            <w:tcW w:w="1565" w:type="dxa"/>
            <w:noWrap w:val="0"/>
            <w:vAlign w:val="center"/>
          </w:tcPr>
          <w:p w14:paraId="51F24029">
            <w:pPr>
              <w:keepNext w:val="0"/>
              <w:keepLines w:val="0"/>
              <w:suppressLineNumbers w:val="0"/>
              <w:spacing w:before="0" w:beforeAutospacing="0" w:after="0" w:afterAutospacing="0" w:line="440" w:lineRule="exact"/>
              <w:ind w:left="0" w:right="0"/>
              <w:jc w:val="center"/>
              <w:rPr>
                <w:rFonts w:hint="eastAsia" w:ascii="宋体" w:hAnsi="宋体"/>
                <w:b/>
                <w:color w:val="000000"/>
                <w:szCs w:val="21"/>
              </w:rPr>
            </w:pPr>
            <w:r>
              <w:rPr>
                <w:rFonts w:hint="eastAsia" w:ascii="宋体" w:hAnsi="宋体"/>
                <w:b/>
                <w:color w:val="000000"/>
                <w:szCs w:val="21"/>
              </w:rPr>
              <w:t>建筑面积（㎡）</w:t>
            </w:r>
          </w:p>
        </w:tc>
        <w:tc>
          <w:tcPr>
            <w:tcW w:w="1681" w:type="dxa"/>
            <w:noWrap w:val="0"/>
            <w:vAlign w:val="center"/>
          </w:tcPr>
          <w:p w14:paraId="162A5AC7">
            <w:pPr>
              <w:keepNext w:val="0"/>
              <w:keepLines w:val="0"/>
              <w:suppressLineNumbers w:val="0"/>
              <w:spacing w:before="0" w:beforeAutospacing="0" w:after="0" w:afterAutospacing="0" w:line="440" w:lineRule="exact"/>
              <w:ind w:left="0" w:right="0"/>
              <w:jc w:val="center"/>
              <w:rPr>
                <w:rFonts w:hint="eastAsia" w:ascii="宋体" w:hAnsi="宋体"/>
                <w:b/>
                <w:color w:val="000000"/>
                <w:szCs w:val="21"/>
              </w:rPr>
            </w:pPr>
            <w:r>
              <w:rPr>
                <w:rFonts w:hint="eastAsia" w:ascii="宋体" w:hAnsi="宋体"/>
                <w:b/>
                <w:color w:val="000000"/>
                <w:szCs w:val="21"/>
              </w:rPr>
              <w:t>投标总价（元）</w:t>
            </w:r>
          </w:p>
        </w:tc>
        <w:tc>
          <w:tcPr>
            <w:tcW w:w="840" w:type="dxa"/>
            <w:noWrap w:val="0"/>
            <w:vAlign w:val="center"/>
          </w:tcPr>
          <w:p w14:paraId="0A07732F">
            <w:pPr>
              <w:keepNext w:val="0"/>
              <w:keepLines w:val="0"/>
              <w:suppressLineNumbers w:val="0"/>
              <w:spacing w:before="0" w:beforeAutospacing="0" w:after="0" w:afterAutospacing="0" w:line="440" w:lineRule="exact"/>
              <w:ind w:left="0" w:right="0"/>
              <w:jc w:val="center"/>
              <w:rPr>
                <w:rFonts w:hint="eastAsia" w:ascii="宋体" w:hAnsi="宋体"/>
                <w:b/>
                <w:color w:val="000000"/>
                <w:szCs w:val="21"/>
              </w:rPr>
            </w:pPr>
            <w:r>
              <w:rPr>
                <w:rFonts w:hint="eastAsia" w:ascii="宋体" w:hAnsi="宋体"/>
                <w:b/>
                <w:color w:val="000000"/>
                <w:szCs w:val="21"/>
              </w:rPr>
              <w:t>工程质量</w:t>
            </w:r>
          </w:p>
        </w:tc>
        <w:tc>
          <w:tcPr>
            <w:tcW w:w="840" w:type="dxa"/>
            <w:noWrap w:val="0"/>
            <w:vAlign w:val="center"/>
          </w:tcPr>
          <w:p w14:paraId="59CFF932">
            <w:pPr>
              <w:keepNext w:val="0"/>
              <w:keepLines w:val="0"/>
              <w:suppressLineNumbers w:val="0"/>
              <w:spacing w:before="0" w:beforeAutospacing="0" w:after="0" w:afterAutospacing="0" w:line="440" w:lineRule="exact"/>
              <w:ind w:left="0" w:right="0"/>
              <w:jc w:val="center"/>
              <w:rPr>
                <w:rFonts w:hint="eastAsia" w:ascii="宋体" w:hAnsi="宋体"/>
                <w:b/>
                <w:color w:val="000000"/>
                <w:szCs w:val="21"/>
              </w:rPr>
            </w:pPr>
            <w:r>
              <w:rPr>
                <w:rFonts w:hint="eastAsia" w:ascii="宋体" w:hAnsi="宋体"/>
                <w:b/>
                <w:color w:val="000000"/>
                <w:szCs w:val="21"/>
              </w:rPr>
              <w:t>开工日期</w:t>
            </w:r>
          </w:p>
        </w:tc>
        <w:tc>
          <w:tcPr>
            <w:tcW w:w="928" w:type="dxa"/>
            <w:noWrap w:val="0"/>
            <w:vAlign w:val="center"/>
          </w:tcPr>
          <w:p w14:paraId="0AF064D3">
            <w:pPr>
              <w:keepNext w:val="0"/>
              <w:keepLines w:val="0"/>
              <w:suppressLineNumbers w:val="0"/>
              <w:spacing w:before="0" w:beforeAutospacing="0" w:after="0" w:afterAutospacing="0" w:line="440" w:lineRule="exact"/>
              <w:ind w:left="0" w:right="0"/>
              <w:jc w:val="center"/>
              <w:rPr>
                <w:rFonts w:hint="eastAsia" w:ascii="宋体" w:hAnsi="宋体"/>
                <w:b/>
                <w:color w:val="000000"/>
                <w:szCs w:val="21"/>
              </w:rPr>
            </w:pPr>
            <w:r>
              <w:rPr>
                <w:rFonts w:hint="eastAsia" w:ascii="宋体" w:hAnsi="宋体"/>
                <w:b/>
                <w:color w:val="000000"/>
                <w:szCs w:val="21"/>
              </w:rPr>
              <w:t>竣工</w:t>
            </w:r>
          </w:p>
          <w:p w14:paraId="0F488965">
            <w:pPr>
              <w:keepNext w:val="0"/>
              <w:keepLines w:val="0"/>
              <w:suppressLineNumbers w:val="0"/>
              <w:spacing w:before="0" w:beforeAutospacing="0" w:after="0" w:afterAutospacing="0" w:line="440" w:lineRule="exact"/>
              <w:ind w:left="0" w:right="0"/>
              <w:jc w:val="center"/>
              <w:rPr>
                <w:rFonts w:hint="eastAsia" w:ascii="宋体" w:hAnsi="宋体"/>
                <w:b/>
                <w:color w:val="000000"/>
                <w:szCs w:val="21"/>
              </w:rPr>
            </w:pPr>
            <w:r>
              <w:rPr>
                <w:rFonts w:hint="eastAsia" w:ascii="宋体" w:hAnsi="宋体"/>
                <w:b/>
                <w:color w:val="000000"/>
                <w:szCs w:val="21"/>
              </w:rPr>
              <w:t>日期</w:t>
            </w:r>
          </w:p>
        </w:tc>
      </w:tr>
      <w:tr w14:paraId="5D06FB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jc w:val="center"/>
        </w:trPr>
        <w:tc>
          <w:tcPr>
            <w:tcW w:w="853" w:type="dxa"/>
            <w:noWrap w:val="0"/>
            <w:vAlign w:val="top"/>
          </w:tcPr>
          <w:p w14:paraId="5FEA4533">
            <w:pPr>
              <w:keepNext w:val="0"/>
              <w:keepLines w:val="0"/>
              <w:suppressLineNumbers w:val="0"/>
              <w:spacing w:before="0" w:beforeAutospacing="0" w:after="0" w:afterAutospacing="0" w:line="440" w:lineRule="exact"/>
              <w:ind w:left="0" w:right="0"/>
              <w:jc w:val="center"/>
              <w:rPr>
                <w:rFonts w:hint="eastAsia" w:ascii="宋体" w:hAnsi="宋体"/>
                <w:color w:val="000000"/>
                <w:szCs w:val="21"/>
              </w:rPr>
            </w:pPr>
            <w:r>
              <w:rPr>
                <w:rFonts w:hint="eastAsia" w:ascii="宋体" w:hAnsi="宋体"/>
                <w:color w:val="000000"/>
                <w:szCs w:val="21"/>
              </w:rPr>
              <w:t>1</w:t>
            </w:r>
          </w:p>
        </w:tc>
        <w:tc>
          <w:tcPr>
            <w:tcW w:w="2424" w:type="dxa"/>
            <w:noWrap w:val="0"/>
            <w:vAlign w:val="top"/>
          </w:tcPr>
          <w:p w14:paraId="1AFFBA6A">
            <w:pPr>
              <w:keepNext w:val="0"/>
              <w:keepLines w:val="0"/>
              <w:suppressLineNumbers w:val="0"/>
              <w:spacing w:before="0" w:beforeAutospacing="0" w:after="0" w:afterAutospacing="0" w:line="440" w:lineRule="exact"/>
              <w:ind w:left="0" w:right="0"/>
              <w:rPr>
                <w:rFonts w:hint="eastAsia" w:ascii="宋体" w:hAnsi="宋体"/>
                <w:color w:val="000000"/>
                <w:szCs w:val="21"/>
              </w:rPr>
            </w:pPr>
          </w:p>
        </w:tc>
        <w:tc>
          <w:tcPr>
            <w:tcW w:w="1565" w:type="dxa"/>
            <w:noWrap w:val="0"/>
            <w:vAlign w:val="top"/>
          </w:tcPr>
          <w:p w14:paraId="75265F02">
            <w:pPr>
              <w:keepNext w:val="0"/>
              <w:keepLines w:val="0"/>
              <w:suppressLineNumbers w:val="0"/>
              <w:spacing w:before="0" w:beforeAutospacing="0" w:after="0" w:afterAutospacing="0" w:line="440" w:lineRule="exact"/>
              <w:ind w:left="0" w:right="0"/>
              <w:rPr>
                <w:rFonts w:hint="eastAsia" w:ascii="宋体" w:hAnsi="宋体"/>
                <w:color w:val="000000"/>
                <w:szCs w:val="21"/>
              </w:rPr>
            </w:pPr>
          </w:p>
        </w:tc>
        <w:tc>
          <w:tcPr>
            <w:tcW w:w="1681" w:type="dxa"/>
            <w:noWrap w:val="0"/>
            <w:vAlign w:val="top"/>
          </w:tcPr>
          <w:p w14:paraId="6A806A81">
            <w:pPr>
              <w:keepNext w:val="0"/>
              <w:keepLines w:val="0"/>
              <w:suppressLineNumbers w:val="0"/>
              <w:spacing w:before="0" w:beforeAutospacing="0" w:after="0" w:afterAutospacing="0" w:line="440" w:lineRule="exact"/>
              <w:ind w:left="0" w:right="0"/>
              <w:rPr>
                <w:rFonts w:hint="eastAsia" w:ascii="宋体" w:hAnsi="宋体"/>
                <w:color w:val="000000"/>
                <w:szCs w:val="21"/>
              </w:rPr>
            </w:pPr>
          </w:p>
        </w:tc>
        <w:tc>
          <w:tcPr>
            <w:tcW w:w="840" w:type="dxa"/>
            <w:vMerge w:val="restart"/>
            <w:noWrap w:val="0"/>
            <w:vAlign w:val="top"/>
          </w:tcPr>
          <w:p w14:paraId="70D9760B">
            <w:pPr>
              <w:keepNext w:val="0"/>
              <w:keepLines w:val="0"/>
              <w:suppressLineNumbers w:val="0"/>
              <w:spacing w:before="0" w:beforeAutospacing="0" w:after="0" w:afterAutospacing="0" w:line="440" w:lineRule="exact"/>
              <w:ind w:left="0" w:right="0"/>
              <w:rPr>
                <w:rFonts w:hint="eastAsia" w:ascii="宋体" w:hAnsi="宋体"/>
                <w:color w:val="000000"/>
                <w:szCs w:val="21"/>
              </w:rPr>
            </w:pPr>
          </w:p>
        </w:tc>
        <w:tc>
          <w:tcPr>
            <w:tcW w:w="840" w:type="dxa"/>
            <w:vMerge w:val="restart"/>
            <w:noWrap w:val="0"/>
            <w:vAlign w:val="top"/>
          </w:tcPr>
          <w:p w14:paraId="7B4C8AE6">
            <w:pPr>
              <w:keepNext w:val="0"/>
              <w:keepLines w:val="0"/>
              <w:suppressLineNumbers w:val="0"/>
              <w:spacing w:before="0" w:beforeAutospacing="0" w:after="0" w:afterAutospacing="0" w:line="440" w:lineRule="exact"/>
              <w:ind w:left="0" w:right="0"/>
              <w:rPr>
                <w:rFonts w:hint="eastAsia" w:ascii="宋体" w:hAnsi="宋体"/>
                <w:color w:val="000000"/>
                <w:szCs w:val="21"/>
              </w:rPr>
            </w:pPr>
          </w:p>
        </w:tc>
        <w:tc>
          <w:tcPr>
            <w:tcW w:w="928" w:type="dxa"/>
            <w:vMerge w:val="restart"/>
            <w:noWrap w:val="0"/>
            <w:vAlign w:val="top"/>
          </w:tcPr>
          <w:p w14:paraId="4E918DAE">
            <w:pPr>
              <w:keepNext w:val="0"/>
              <w:keepLines w:val="0"/>
              <w:suppressLineNumbers w:val="0"/>
              <w:spacing w:before="0" w:beforeAutospacing="0" w:after="0" w:afterAutospacing="0" w:line="440" w:lineRule="exact"/>
              <w:ind w:left="0" w:right="0"/>
              <w:rPr>
                <w:rFonts w:hint="eastAsia" w:ascii="宋体" w:hAnsi="宋体"/>
                <w:color w:val="000000"/>
                <w:szCs w:val="21"/>
              </w:rPr>
            </w:pPr>
          </w:p>
        </w:tc>
      </w:tr>
      <w:tr w14:paraId="36F91A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jc w:val="center"/>
        </w:trPr>
        <w:tc>
          <w:tcPr>
            <w:tcW w:w="853" w:type="dxa"/>
            <w:noWrap w:val="0"/>
            <w:vAlign w:val="top"/>
          </w:tcPr>
          <w:p w14:paraId="6761C6A0">
            <w:pPr>
              <w:keepNext w:val="0"/>
              <w:keepLines w:val="0"/>
              <w:suppressLineNumbers w:val="0"/>
              <w:spacing w:before="0" w:beforeAutospacing="0" w:after="0" w:afterAutospacing="0" w:line="440" w:lineRule="exact"/>
              <w:ind w:left="0" w:right="0"/>
              <w:jc w:val="center"/>
              <w:rPr>
                <w:rFonts w:hint="eastAsia" w:ascii="宋体" w:hAnsi="宋体"/>
                <w:color w:val="000000"/>
                <w:szCs w:val="21"/>
              </w:rPr>
            </w:pPr>
            <w:r>
              <w:rPr>
                <w:rFonts w:hint="eastAsia" w:ascii="宋体" w:hAnsi="宋体"/>
                <w:color w:val="000000"/>
                <w:szCs w:val="21"/>
              </w:rPr>
              <w:t>2</w:t>
            </w:r>
          </w:p>
        </w:tc>
        <w:tc>
          <w:tcPr>
            <w:tcW w:w="2424" w:type="dxa"/>
            <w:noWrap w:val="0"/>
            <w:vAlign w:val="top"/>
          </w:tcPr>
          <w:p w14:paraId="1EAD6FA3">
            <w:pPr>
              <w:keepNext w:val="0"/>
              <w:keepLines w:val="0"/>
              <w:suppressLineNumbers w:val="0"/>
              <w:spacing w:before="0" w:beforeAutospacing="0" w:after="0" w:afterAutospacing="0" w:line="440" w:lineRule="exact"/>
              <w:ind w:left="0" w:right="0"/>
              <w:rPr>
                <w:rFonts w:hint="eastAsia" w:ascii="宋体" w:hAnsi="宋体"/>
                <w:color w:val="000000"/>
                <w:szCs w:val="21"/>
              </w:rPr>
            </w:pPr>
          </w:p>
        </w:tc>
        <w:tc>
          <w:tcPr>
            <w:tcW w:w="1565" w:type="dxa"/>
            <w:noWrap w:val="0"/>
            <w:vAlign w:val="top"/>
          </w:tcPr>
          <w:p w14:paraId="36E6DDB5">
            <w:pPr>
              <w:keepNext w:val="0"/>
              <w:keepLines w:val="0"/>
              <w:suppressLineNumbers w:val="0"/>
              <w:spacing w:before="0" w:beforeAutospacing="0" w:after="0" w:afterAutospacing="0" w:line="440" w:lineRule="exact"/>
              <w:ind w:left="0" w:right="0"/>
              <w:rPr>
                <w:rFonts w:hint="eastAsia" w:ascii="宋体" w:hAnsi="宋体"/>
                <w:color w:val="000000"/>
                <w:szCs w:val="21"/>
              </w:rPr>
            </w:pPr>
          </w:p>
        </w:tc>
        <w:tc>
          <w:tcPr>
            <w:tcW w:w="1681" w:type="dxa"/>
            <w:noWrap w:val="0"/>
            <w:vAlign w:val="top"/>
          </w:tcPr>
          <w:p w14:paraId="2D5BB84D">
            <w:pPr>
              <w:keepNext w:val="0"/>
              <w:keepLines w:val="0"/>
              <w:suppressLineNumbers w:val="0"/>
              <w:spacing w:before="0" w:beforeAutospacing="0" w:after="0" w:afterAutospacing="0" w:line="440" w:lineRule="exact"/>
              <w:ind w:left="0" w:right="0"/>
              <w:rPr>
                <w:rFonts w:hint="eastAsia" w:ascii="宋体" w:hAnsi="宋体"/>
                <w:color w:val="000000"/>
                <w:szCs w:val="21"/>
              </w:rPr>
            </w:pPr>
          </w:p>
        </w:tc>
        <w:tc>
          <w:tcPr>
            <w:tcW w:w="840" w:type="dxa"/>
            <w:vMerge w:val="continue"/>
            <w:noWrap w:val="0"/>
            <w:vAlign w:val="top"/>
          </w:tcPr>
          <w:p w14:paraId="5F2A1E44">
            <w:pPr>
              <w:keepNext w:val="0"/>
              <w:keepLines w:val="0"/>
              <w:suppressLineNumbers w:val="0"/>
              <w:spacing w:before="0" w:beforeAutospacing="0" w:after="0" w:afterAutospacing="0" w:line="440" w:lineRule="exact"/>
              <w:ind w:left="0" w:right="0"/>
              <w:rPr>
                <w:rFonts w:hint="eastAsia" w:ascii="宋体" w:hAnsi="宋体"/>
                <w:color w:val="000000"/>
                <w:szCs w:val="21"/>
              </w:rPr>
            </w:pPr>
          </w:p>
        </w:tc>
        <w:tc>
          <w:tcPr>
            <w:tcW w:w="840" w:type="dxa"/>
            <w:vMerge w:val="continue"/>
            <w:noWrap w:val="0"/>
            <w:vAlign w:val="top"/>
          </w:tcPr>
          <w:p w14:paraId="76110438">
            <w:pPr>
              <w:keepNext w:val="0"/>
              <w:keepLines w:val="0"/>
              <w:suppressLineNumbers w:val="0"/>
              <w:spacing w:before="0" w:beforeAutospacing="0" w:after="0" w:afterAutospacing="0" w:line="440" w:lineRule="exact"/>
              <w:ind w:left="0" w:right="0"/>
              <w:rPr>
                <w:rFonts w:hint="eastAsia" w:ascii="宋体" w:hAnsi="宋体"/>
                <w:color w:val="000000"/>
                <w:szCs w:val="21"/>
              </w:rPr>
            </w:pPr>
          </w:p>
        </w:tc>
        <w:tc>
          <w:tcPr>
            <w:tcW w:w="928" w:type="dxa"/>
            <w:vMerge w:val="continue"/>
            <w:noWrap w:val="0"/>
            <w:vAlign w:val="top"/>
          </w:tcPr>
          <w:p w14:paraId="277ACFAC">
            <w:pPr>
              <w:keepNext w:val="0"/>
              <w:keepLines w:val="0"/>
              <w:suppressLineNumbers w:val="0"/>
              <w:spacing w:before="0" w:beforeAutospacing="0" w:after="0" w:afterAutospacing="0" w:line="440" w:lineRule="exact"/>
              <w:ind w:left="0" w:right="0"/>
              <w:rPr>
                <w:rFonts w:hint="eastAsia" w:ascii="宋体" w:hAnsi="宋体"/>
                <w:color w:val="000000"/>
                <w:szCs w:val="21"/>
              </w:rPr>
            </w:pPr>
          </w:p>
        </w:tc>
      </w:tr>
      <w:tr w14:paraId="327758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jc w:val="center"/>
        </w:trPr>
        <w:tc>
          <w:tcPr>
            <w:tcW w:w="853" w:type="dxa"/>
            <w:noWrap w:val="0"/>
            <w:vAlign w:val="top"/>
          </w:tcPr>
          <w:p w14:paraId="1345157B">
            <w:pPr>
              <w:keepNext w:val="0"/>
              <w:keepLines w:val="0"/>
              <w:suppressLineNumbers w:val="0"/>
              <w:spacing w:before="0" w:beforeAutospacing="0" w:after="0" w:afterAutospacing="0" w:line="440" w:lineRule="exact"/>
              <w:ind w:left="0" w:right="0"/>
              <w:jc w:val="center"/>
              <w:rPr>
                <w:rFonts w:hint="eastAsia" w:ascii="宋体" w:hAnsi="宋体"/>
                <w:color w:val="000000"/>
                <w:szCs w:val="21"/>
              </w:rPr>
            </w:pPr>
            <w:r>
              <w:rPr>
                <w:rFonts w:hint="eastAsia" w:ascii="宋体" w:hAnsi="宋体"/>
                <w:color w:val="000000"/>
                <w:szCs w:val="21"/>
              </w:rPr>
              <w:t>3</w:t>
            </w:r>
          </w:p>
        </w:tc>
        <w:tc>
          <w:tcPr>
            <w:tcW w:w="2424" w:type="dxa"/>
            <w:noWrap w:val="0"/>
            <w:vAlign w:val="top"/>
          </w:tcPr>
          <w:p w14:paraId="19FBFAB5">
            <w:pPr>
              <w:keepNext w:val="0"/>
              <w:keepLines w:val="0"/>
              <w:suppressLineNumbers w:val="0"/>
              <w:spacing w:before="0" w:beforeAutospacing="0" w:after="0" w:afterAutospacing="0" w:line="440" w:lineRule="exact"/>
              <w:ind w:left="0" w:right="0"/>
              <w:rPr>
                <w:rFonts w:hint="eastAsia" w:ascii="宋体" w:hAnsi="宋体"/>
                <w:color w:val="000000"/>
                <w:szCs w:val="21"/>
              </w:rPr>
            </w:pPr>
          </w:p>
        </w:tc>
        <w:tc>
          <w:tcPr>
            <w:tcW w:w="1565" w:type="dxa"/>
            <w:noWrap w:val="0"/>
            <w:vAlign w:val="top"/>
          </w:tcPr>
          <w:p w14:paraId="755DBBA3">
            <w:pPr>
              <w:keepNext w:val="0"/>
              <w:keepLines w:val="0"/>
              <w:suppressLineNumbers w:val="0"/>
              <w:spacing w:before="0" w:beforeAutospacing="0" w:after="0" w:afterAutospacing="0" w:line="440" w:lineRule="exact"/>
              <w:ind w:left="0" w:right="0"/>
              <w:rPr>
                <w:rFonts w:hint="eastAsia" w:ascii="宋体" w:hAnsi="宋体"/>
                <w:color w:val="000000"/>
                <w:szCs w:val="21"/>
              </w:rPr>
            </w:pPr>
          </w:p>
        </w:tc>
        <w:tc>
          <w:tcPr>
            <w:tcW w:w="1681" w:type="dxa"/>
            <w:noWrap w:val="0"/>
            <w:vAlign w:val="top"/>
          </w:tcPr>
          <w:p w14:paraId="7C8B8894">
            <w:pPr>
              <w:keepNext w:val="0"/>
              <w:keepLines w:val="0"/>
              <w:suppressLineNumbers w:val="0"/>
              <w:spacing w:before="0" w:beforeAutospacing="0" w:after="0" w:afterAutospacing="0" w:line="440" w:lineRule="exact"/>
              <w:ind w:left="0" w:right="0"/>
              <w:rPr>
                <w:rFonts w:hint="eastAsia" w:ascii="宋体" w:hAnsi="宋体"/>
                <w:color w:val="000000"/>
                <w:szCs w:val="21"/>
              </w:rPr>
            </w:pPr>
          </w:p>
        </w:tc>
        <w:tc>
          <w:tcPr>
            <w:tcW w:w="840" w:type="dxa"/>
            <w:vMerge w:val="continue"/>
            <w:noWrap w:val="0"/>
            <w:vAlign w:val="top"/>
          </w:tcPr>
          <w:p w14:paraId="2D4B9976">
            <w:pPr>
              <w:keepNext w:val="0"/>
              <w:keepLines w:val="0"/>
              <w:suppressLineNumbers w:val="0"/>
              <w:spacing w:before="0" w:beforeAutospacing="0" w:after="0" w:afterAutospacing="0" w:line="440" w:lineRule="exact"/>
              <w:ind w:left="0" w:right="0"/>
              <w:rPr>
                <w:rFonts w:hint="eastAsia" w:ascii="宋体" w:hAnsi="宋体"/>
                <w:color w:val="000000"/>
                <w:szCs w:val="21"/>
              </w:rPr>
            </w:pPr>
          </w:p>
        </w:tc>
        <w:tc>
          <w:tcPr>
            <w:tcW w:w="840" w:type="dxa"/>
            <w:vMerge w:val="continue"/>
            <w:noWrap w:val="0"/>
            <w:vAlign w:val="top"/>
          </w:tcPr>
          <w:p w14:paraId="42522F04">
            <w:pPr>
              <w:keepNext w:val="0"/>
              <w:keepLines w:val="0"/>
              <w:suppressLineNumbers w:val="0"/>
              <w:spacing w:before="0" w:beforeAutospacing="0" w:after="0" w:afterAutospacing="0" w:line="440" w:lineRule="exact"/>
              <w:ind w:left="0" w:right="0"/>
              <w:rPr>
                <w:rFonts w:hint="eastAsia" w:ascii="宋体" w:hAnsi="宋体"/>
                <w:color w:val="000000"/>
                <w:szCs w:val="21"/>
              </w:rPr>
            </w:pPr>
          </w:p>
        </w:tc>
        <w:tc>
          <w:tcPr>
            <w:tcW w:w="928" w:type="dxa"/>
            <w:vMerge w:val="continue"/>
            <w:noWrap w:val="0"/>
            <w:vAlign w:val="top"/>
          </w:tcPr>
          <w:p w14:paraId="58F36651">
            <w:pPr>
              <w:keepNext w:val="0"/>
              <w:keepLines w:val="0"/>
              <w:suppressLineNumbers w:val="0"/>
              <w:spacing w:before="0" w:beforeAutospacing="0" w:after="0" w:afterAutospacing="0" w:line="440" w:lineRule="exact"/>
              <w:ind w:left="0" w:right="0"/>
              <w:rPr>
                <w:rFonts w:hint="eastAsia" w:ascii="宋体" w:hAnsi="宋体"/>
                <w:color w:val="000000"/>
                <w:szCs w:val="21"/>
              </w:rPr>
            </w:pPr>
          </w:p>
        </w:tc>
      </w:tr>
      <w:tr w14:paraId="737A46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jc w:val="center"/>
        </w:trPr>
        <w:tc>
          <w:tcPr>
            <w:tcW w:w="853" w:type="dxa"/>
            <w:noWrap w:val="0"/>
            <w:vAlign w:val="top"/>
          </w:tcPr>
          <w:p w14:paraId="5E2B3BE7">
            <w:pPr>
              <w:keepNext w:val="0"/>
              <w:keepLines w:val="0"/>
              <w:suppressLineNumbers w:val="0"/>
              <w:spacing w:before="0" w:beforeAutospacing="0" w:after="0" w:afterAutospacing="0" w:line="440" w:lineRule="exact"/>
              <w:ind w:left="0" w:right="0"/>
              <w:jc w:val="center"/>
              <w:rPr>
                <w:rFonts w:hint="eastAsia" w:ascii="宋体" w:hAnsi="宋体"/>
                <w:color w:val="000000"/>
                <w:szCs w:val="21"/>
              </w:rPr>
            </w:pPr>
            <w:r>
              <w:rPr>
                <w:rFonts w:hint="eastAsia" w:ascii="宋体" w:hAnsi="宋体"/>
                <w:color w:val="000000"/>
                <w:szCs w:val="21"/>
              </w:rPr>
              <w:t>4</w:t>
            </w:r>
          </w:p>
        </w:tc>
        <w:tc>
          <w:tcPr>
            <w:tcW w:w="2424" w:type="dxa"/>
            <w:noWrap w:val="0"/>
            <w:vAlign w:val="top"/>
          </w:tcPr>
          <w:p w14:paraId="13A94CC2">
            <w:pPr>
              <w:keepNext w:val="0"/>
              <w:keepLines w:val="0"/>
              <w:suppressLineNumbers w:val="0"/>
              <w:spacing w:before="0" w:beforeAutospacing="0" w:after="0" w:afterAutospacing="0" w:line="440" w:lineRule="exact"/>
              <w:ind w:left="0" w:right="0"/>
              <w:rPr>
                <w:rFonts w:hint="eastAsia" w:ascii="宋体" w:hAnsi="宋体"/>
                <w:color w:val="000000"/>
                <w:szCs w:val="21"/>
              </w:rPr>
            </w:pPr>
          </w:p>
        </w:tc>
        <w:tc>
          <w:tcPr>
            <w:tcW w:w="1565" w:type="dxa"/>
            <w:noWrap w:val="0"/>
            <w:vAlign w:val="top"/>
          </w:tcPr>
          <w:p w14:paraId="6FCA447B">
            <w:pPr>
              <w:keepNext w:val="0"/>
              <w:keepLines w:val="0"/>
              <w:suppressLineNumbers w:val="0"/>
              <w:spacing w:before="0" w:beforeAutospacing="0" w:after="0" w:afterAutospacing="0" w:line="440" w:lineRule="exact"/>
              <w:ind w:left="0" w:right="0"/>
              <w:rPr>
                <w:rFonts w:hint="eastAsia" w:ascii="宋体" w:hAnsi="宋体"/>
                <w:color w:val="000000"/>
                <w:szCs w:val="21"/>
              </w:rPr>
            </w:pPr>
          </w:p>
        </w:tc>
        <w:tc>
          <w:tcPr>
            <w:tcW w:w="1681" w:type="dxa"/>
            <w:noWrap w:val="0"/>
            <w:vAlign w:val="top"/>
          </w:tcPr>
          <w:p w14:paraId="40CB6307">
            <w:pPr>
              <w:keepNext w:val="0"/>
              <w:keepLines w:val="0"/>
              <w:suppressLineNumbers w:val="0"/>
              <w:spacing w:before="0" w:beforeAutospacing="0" w:after="0" w:afterAutospacing="0" w:line="440" w:lineRule="exact"/>
              <w:ind w:left="0" w:right="0"/>
              <w:rPr>
                <w:rFonts w:hint="eastAsia" w:ascii="宋体" w:hAnsi="宋体"/>
                <w:color w:val="000000"/>
                <w:szCs w:val="21"/>
              </w:rPr>
            </w:pPr>
          </w:p>
        </w:tc>
        <w:tc>
          <w:tcPr>
            <w:tcW w:w="840" w:type="dxa"/>
            <w:vMerge w:val="continue"/>
            <w:noWrap w:val="0"/>
            <w:vAlign w:val="top"/>
          </w:tcPr>
          <w:p w14:paraId="3A6EE02B">
            <w:pPr>
              <w:keepNext w:val="0"/>
              <w:keepLines w:val="0"/>
              <w:suppressLineNumbers w:val="0"/>
              <w:spacing w:before="0" w:beforeAutospacing="0" w:after="0" w:afterAutospacing="0" w:line="440" w:lineRule="exact"/>
              <w:ind w:left="0" w:right="0"/>
              <w:rPr>
                <w:rFonts w:hint="eastAsia" w:ascii="宋体" w:hAnsi="宋体"/>
                <w:color w:val="000000"/>
                <w:szCs w:val="21"/>
              </w:rPr>
            </w:pPr>
          </w:p>
        </w:tc>
        <w:tc>
          <w:tcPr>
            <w:tcW w:w="840" w:type="dxa"/>
            <w:vMerge w:val="continue"/>
            <w:noWrap w:val="0"/>
            <w:vAlign w:val="top"/>
          </w:tcPr>
          <w:p w14:paraId="3AE3DB72">
            <w:pPr>
              <w:keepNext w:val="0"/>
              <w:keepLines w:val="0"/>
              <w:suppressLineNumbers w:val="0"/>
              <w:spacing w:before="0" w:beforeAutospacing="0" w:after="0" w:afterAutospacing="0" w:line="440" w:lineRule="exact"/>
              <w:ind w:left="0" w:right="0"/>
              <w:rPr>
                <w:rFonts w:hint="eastAsia" w:ascii="宋体" w:hAnsi="宋体"/>
                <w:color w:val="000000"/>
                <w:szCs w:val="21"/>
              </w:rPr>
            </w:pPr>
          </w:p>
        </w:tc>
        <w:tc>
          <w:tcPr>
            <w:tcW w:w="928" w:type="dxa"/>
            <w:vMerge w:val="continue"/>
            <w:noWrap w:val="0"/>
            <w:vAlign w:val="top"/>
          </w:tcPr>
          <w:p w14:paraId="46AABD78">
            <w:pPr>
              <w:keepNext w:val="0"/>
              <w:keepLines w:val="0"/>
              <w:suppressLineNumbers w:val="0"/>
              <w:spacing w:before="0" w:beforeAutospacing="0" w:after="0" w:afterAutospacing="0" w:line="440" w:lineRule="exact"/>
              <w:ind w:left="0" w:right="0"/>
              <w:rPr>
                <w:rFonts w:hint="eastAsia" w:ascii="宋体" w:hAnsi="宋体"/>
                <w:color w:val="000000"/>
                <w:szCs w:val="21"/>
              </w:rPr>
            </w:pPr>
          </w:p>
        </w:tc>
      </w:tr>
      <w:tr w14:paraId="0E8AB8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jc w:val="center"/>
        </w:trPr>
        <w:tc>
          <w:tcPr>
            <w:tcW w:w="3277" w:type="dxa"/>
            <w:gridSpan w:val="2"/>
            <w:noWrap w:val="0"/>
            <w:vAlign w:val="top"/>
          </w:tcPr>
          <w:p w14:paraId="7A261D28">
            <w:pPr>
              <w:keepNext w:val="0"/>
              <w:keepLines w:val="0"/>
              <w:suppressLineNumbers w:val="0"/>
              <w:spacing w:before="0" w:beforeAutospacing="0" w:after="0" w:afterAutospacing="0" w:line="440" w:lineRule="exact"/>
              <w:ind w:left="0" w:right="0"/>
              <w:rPr>
                <w:rFonts w:hint="eastAsia" w:ascii="宋体" w:hAnsi="宋体"/>
                <w:color w:val="000000"/>
                <w:szCs w:val="21"/>
              </w:rPr>
            </w:pPr>
            <w:r>
              <w:rPr>
                <w:rFonts w:hint="eastAsia" w:ascii="宋体" w:hAnsi="宋体"/>
                <w:color w:val="000000"/>
                <w:szCs w:val="21"/>
              </w:rPr>
              <w:t>合计</w:t>
            </w:r>
          </w:p>
        </w:tc>
        <w:tc>
          <w:tcPr>
            <w:tcW w:w="1565" w:type="dxa"/>
            <w:noWrap w:val="0"/>
            <w:vAlign w:val="top"/>
          </w:tcPr>
          <w:p w14:paraId="734B5302">
            <w:pPr>
              <w:keepNext w:val="0"/>
              <w:keepLines w:val="0"/>
              <w:suppressLineNumbers w:val="0"/>
              <w:spacing w:before="0" w:beforeAutospacing="0" w:after="0" w:afterAutospacing="0" w:line="440" w:lineRule="exact"/>
              <w:ind w:left="0" w:right="0"/>
              <w:rPr>
                <w:rFonts w:hint="eastAsia" w:ascii="宋体" w:hAnsi="宋体"/>
                <w:color w:val="000000"/>
                <w:szCs w:val="21"/>
              </w:rPr>
            </w:pPr>
          </w:p>
        </w:tc>
        <w:tc>
          <w:tcPr>
            <w:tcW w:w="1681" w:type="dxa"/>
            <w:noWrap w:val="0"/>
            <w:vAlign w:val="top"/>
          </w:tcPr>
          <w:p w14:paraId="504E1C43">
            <w:pPr>
              <w:keepNext w:val="0"/>
              <w:keepLines w:val="0"/>
              <w:suppressLineNumbers w:val="0"/>
              <w:spacing w:before="0" w:beforeAutospacing="0" w:after="0" w:afterAutospacing="0" w:line="440" w:lineRule="exact"/>
              <w:ind w:left="0" w:right="0"/>
              <w:rPr>
                <w:rFonts w:hint="eastAsia" w:ascii="宋体" w:hAnsi="宋体"/>
                <w:color w:val="000000"/>
                <w:szCs w:val="21"/>
              </w:rPr>
            </w:pPr>
          </w:p>
        </w:tc>
        <w:tc>
          <w:tcPr>
            <w:tcW w:w="840" w:type="dxa"/>
            <w:vMerge w:val="continue"/>
            <w:noWrap w:val="0"/>
            <w:vAlign w:val="top"/>
          </w:tcPr>
          <w:p w14:paraId="67616840">
            <w:pPr>
              <w:keepNext w:val="0"/>
              <w:keepLines w:val="0"/>
              <w:suppressLineNumbers w:val="0"/>
              <w:spacing w:before="0" w:beforeAutospacing="0" w:after="0" w:afterAutospacing="0" w:line="440" w:lineRule="exact"/>
              <w:ind w:left="0" w:right="0"/>
              <w:rPr>
                <w:rFonts w:hint="eastAsia" w:ascii="宋体" w:hAnsi="宋体"/>
                <w:color w:val="000000"/>
                <w:szCs w:val="21"/>
              </w:rPr>
            </w:pPr>
          </w:p>
        </w:tc>
        <w:tc>
          <w:tcPr>
            <w:tcW w:w="840" w:type="dxa"/>
            <w:vMerge w:val="continue"/>
            <w:noWrap w:val="0"/>
            <w:vAlign w:val="top"/>
          </w:tcPr>
          <w:p w14:paraId="170F7F49">
            <w:pPr>
              <w:keepNext w:val="0"/>
              <w:keepLines w:val="0"/>
              <w:suppressLineNumbers w:val="0"/>
              <w:spacing w:before="0" w:beforeAutospacing="0" w:after="0" w:afterAutospacing="0" w:line="440" w:lineRule="exact"/>
              <w:ind w:left="0" w:right="0"/>
              <w:rPr>
                <w:rFonts w:hint="eastAsia" w:ascii="宋体" w:hAnsi="宋体"/>
                <w:color w:val="000000"/>
                <w:szCs w:val="21"/>
              </w:rPr>
            </w:pPr>
          </w:p>
        </w:tc>
        <w:tc>
          <w:tcPr>
            <w:tcW w:w="928" w:type="dxa"/>
            <w:vMerge w:val="continue"/>
            <w:noWrap w:val="0"/>
            <w:vAlign w:val="top"/>
          </w:tcPr>
          <w:p w14:paraId="6A9E5495">
            <w:pPr>
              <w:keepNext w:val="0"/>
              <w:keepLines w:val="0"/>
              <w:suppressLineNumbers w:val="0"/>
              <w:spacing w:before="0" w:beforeAutospacing="0" w:after="0" w:afterAutospacing="0" w:line="440" w:lineRule="exact"/>
              <w:ind w:left="0" w:right="0"/>
              <w:rPr>
                <w:rFonts w:hint="eastAsia" w:ascii="宋体" w:hAnsi="宋体"/>
                <w:color w:val="000000"/>
                <w:szCs w:val="21"/>
              </w:rPr>
            </w:pPr>
          </w:p>
        </w:tc>
      </w:tr>
      <w:tr w14:paraId="5B258B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8" w:hRule="atLeast"/>
          <w:jc w:val="center"/>
        </w:trPr>
        <w:tc>
          <w:tcPr>
            <w:tcW w:w="9131" w:type="dxa"/>
            <w:gridSpan w:val="7"/>
            <w:noWrap w:val="0"/>
            <w:vAlign w:val="top"/>
          </w:tcPr>
          <w:p w14:paraId="54F3B145">
            <w:pPr>
              <w:keepNext w:val="0"/>
              <w:keepLines w:val="0"/>
              <w:suppressLineNumbers w:val="0"/>
              <w:spacing w:before="0" w:beforeAutospacing="0" w:after="0" w:afterAutospacing="0" w:line="440" w:lineRule="exact"/>
              <w:ind w:left="0" w:right="0"/>
              <w:rPr>
                <w:rFonts w:hint="eastAsia" w:ascii="宋体" w:hAnsi="宋体"/>
                <w:color w:val="000000"/>
                <w:szCs w:val="21"/>
              </w:rPr>
            </w:pPr>
            <w:r>
              <w:rPr>
                <w:rFonts w:hint="eastAsia" w:ascii="宋体" w:hAnsi="宋体"/>
                <w:color w:val="000000"/>
                <w:szCs w:val="21"/>
              </w:rPr>
              <w:t>投标总价大写（人民币）：</w:t>
            </w:r>
          </w:p>
        </w:tc>
      </w:tr>
    </w:tbl>
    <w:p w14:paraId="7D767C18">
      <w:pPr>
        <w:spacing w:line="440" w:lineRule="exact"/>
        <w:rPr>
          <w:rFonts w:hint="eastAsia" w:ascii="宋体" w:hAnsi="宋体"/>
          <w:color w:val="000000"/>
          <w:sz w:val="24"/>
        </w:rPr>
      </w:pPr>
      <w:r>
        <w:rPr>
          <w:rFonts w:hint="eastAsia" w:ascii="宋体" w:hAnsi="宋体"/>
          <w:color w:val="000000"/>
          <w:sz w:val="24"/>
        </w:rPr>
        <w:t>注：投标总价应与已标价工程清单中“投标总报价”的金额一致。</w:t>
      </w:r>
    </w:p>
    <w:p w14:paraId="4D961950">
      <w:pPr>
        <w:spacing w:line="440" w:lineRule="exact"/>
        <w:rPr>
          <w:rFonts w:hint="eastAsia" w:ascii="宋体" w:hAnsi="宋体"/>
          <w:color w:val="000000"/>
          <w:szCs w:val="21"/>
        </w:rPr>
      </w:pPr>
    </w:p>
    <w:p w14:paraId="47B3F5DE">
      <w:pPr>
        <w:spacing w:line="440" w:lineRule="exact"/>
        <w:rPr>
          <w:rFonts w:hint="eastAsia" w:ascii="宋体" w:hAnsi="宋体"/>
          <w:color w:val="000000"/>
          <w:szCs w:val="21"/>
        </w:rPr>
      </w:pPr>
    </w:p>
    <w:p w14:paraId="63B749C3">
      <w:pPr>
        <w:spacing w:line="440" w:lineRule="exact"/>
        <w:rPr>
          <w:rFonts w:hint="eastAsia" w:ascii="宋体" w:hAnsi="宋体"/>
          <w:color w:val="000000"/>
          <w:szCs w:val="21"/>
        </w:rPr>
      </w:pPr>
    </w:p>
    <w:p w14:paraId="421CABE3">
      <w:pPr>
        <w:spacing w:line="440" w:lineRule="exact"/>
        <w:jc w:val="center"/>
        <w:rPr>
          <w:rFonts w:hint="eastAsia" w:ascii="宋体" w:hAnsi="宋体"/>
          <w:b/>
          <w:color w:val="000000"/>
          <w:sz w:val="24"/>
          <w:szCs w:val="28"/>
        </w:rPr>
      </w:pPr>
    </w:p>
    <w:p w14:paraId="2EA4D271">
      <w:pPr>
        <w:spacing w:line="440" w:lineRule="exact"/>
        <w:rPr>
          <w:rFonts w:hint="eastAsia" w:ascii="宋体" w:hAnsi="宋体"/>
          <w:color w:val="000000"/>
          <w:sz w:val="24"/>
          <w:szCs w:val="21"/>
        </w:rPr>
      </w:pPr>
      <w:r>
        <w:rPr>
          <w:rFonts w:hint="eastAsia" w:ascii="宋体" w:hAnsi="宋体"/>
          <w:color w:val="000000"/>
          <w:sz w:val="24"/>
          <w:szCs w:val="21"/>
        </w:rPr>
        <w:t>　　　　　　   　　　　　　　</w:t>
      </w:r>
      <w:r>
        <w:rPr>
          <w:rFonts w:ascii="宋体" w:hAnsi="宋体"/>
          <w:color w:val="000000"/>
          <w:sz w:val="24"/>
          <w:szCs w:val="21"/>
        </w:rPr>
        <w:t>投 标 人：</w:t>
      </w:r>
      <w:r>
        <w:rPr>
          <w:rFonts w:ascii="宋体" w:hAnsi="宋体"/>
          <w:color w:val="000000"/>
          <w:sz w:val="24"/>
          <w:szCs w:val="21"/>
          <w:u w:val="single"/>
        </w:rPr>
        <w:t xml:space="preserve">                     </w:t>
      </w:r>
      <w:r>
        <w:rPr>
          <w:rFonts w:ascii="宋体" w:hAnsi="宋体"/>
          <w:color w:val="000000"/>
          <w:sz w:val="24"/>
          <w:szCs w:val="21"/>
        </w:rPr>
        <w:t>（盖单位章）</w:t>
      </w:r>
      <w:r>
        <w:rPr>
          <w:rFonts w:hint="eastAsia" w:ascii="宋体" w:hAnsi="宋体"/>
          <w:color w:val="000000"/>
          <w:sz w:val="24"/>
          <w:szCs w:val="21"/>
        </w:rPr>
        <w:t xml:space="preserve">   </w:t>
      </w:r>
    </w:p>
    <w:p w14:paraId="4A860B24">
      <w:pPr>
        <w:spacing w:line="440" w:lineRule="exact"/>
        <w:rPr>
          <w:rFonts w:ascii="宋体" w:hAnsi="宋体"/>
          <w:color w:val="000000"/>
          <w:sz w:val="24"/>
          <w:szCs w:val="21"/>
        </w:rPr>
      </w:pPr>
      <w:r>
        <w:rPr>
          <w:rFonts w:hint="eastAsia" w:ascii="宋体" w:hAnsi="宋体"/>
          <w:color w:val="000000"/>
          <w:sz w:val="24"/>
          <w:szCs w:val="21"/>
        </w:rPr>
        <w:t xml:space="preserve">                             </w:t>
      </w:r>
      <w:r>
        <w:rPr>
          <w:rFonts w:ascii="宋体" w:hAnsi="宋体"/>
          <w:color w:val="000000"/>
          <w:sz w:val="24"/>
          <w:szCs w:val="21"/>
        </w:rPr>
        <w:t>法定代表人或其委托代理人：</w:t>
      </w:r>
      <w:r>
        <w:rPr>
          <w:rFonts w:ascii="宋体" w:hAnsi="宋体"/>
          <w:color w:val="000000"/>
          <w:sz w:val="24"/>
          <w:szCs w:val="21"/>
          <w:u w:val="single"/>
        </w:rPr>
        <w:t xml:space="preserve">     </w:t>
      </w:r>
      <w:r>
        <w:rPr>
          <w:rFonts w:hint="eastAsia" w:ascii="宋体" w:hAnsi="宋体"/>
          <w:color w:val="000000"/>
          <w:sz w:val="24"/>
          <w:szCs w:val="21"/>
          <w:u w:val="single"/>
        </w:rPr>
        <w:t xml:space="preserve">   </w:t>
      </w:r>
      <w:r>
        <w:rPr>
          <w:rFonts w:ascii="宋体" w:hAnsi="宋体"/>
          <w:color w:val="000000"/>
          <w:sz w:val="24"/>
          <w:szCs w:val="21"/>
          <w:u w:val="single"/>
        </w:rPr>
        <w:t xml:space="preserve"> </w:t>
      </w:r>
      <w:r>
        <w:rPr>
          <w:rFonts w:ascii="宋体" w:hAnsi="宋体"/>
          <w:color w:val="000000"/>
          <w:sz w:val="24"/>
          <w:szCs w:val="21"/>
        </w:rPr>
        <w:t>（签字）</w:t>
      </w:r>
    </w:p>
    <w:p w14:paraId="692DEFA8">
      <w:pPr>
        <w:spacing w:line="440" w:lineRule="exact"/>
        <w:rPr>
          <w:rFonts w:hint="eastAsia" w:ascii="宋体" w:hAnsi="宋体"/>
          <w:color w:val="000000"/>
          <w:sz w:val="24"/>
          <w:szCs w:val="21"/>
        </w:rPr>
      </w:pPr>
      <w:r>
        <w:rPr>
          <w:rFonts w:hint="eastAsia" w:ascii="宋体" w:hAnsi="宋体"/>
          <w:color w:val="000000"/>
          <w:sz w:val="24"/>
          <w:szCs w:val="21"/>
        </w:rPr>
        <w:t xml:space="preserve">                             </w:t>
      </w:r>
      <w:r>
        <w:rPr>
          <w:rFonts w:ascii="宋体" w:hAnsi="宋体"/>
          <w:color w:val="000000"/>
          <w:sz w:val="24"/>
          <w:szCs w:val="21"/>
        </w:rPr>
        <w:t>地址：</w:t>
      </w:r>
      <w:r>
        <w:rPr>
          <w:rFonts w:ascii="宋体" w:hAnsi="宋体"/>
          <w:color w:val="000000"/>
          <w:sz w:val="24"/>
          <w:szCs w:val="21"/>
          <w:u w:val="single"/>
        </w:rPr>
        <w:t xml:space="preserve">                                   </w:t>
      </w:r>
    </w:p>
    <w:p w14:paraId="058D7DB9">
      <w:pPr>
        <w:spacing w:line="440" w:lineRule="exact"/>
        <w:rPr>
          <w:rFonts w:ascii="宋体" w:hAnsi="宋体"/>
          <w:color w:val="000000"/>
          <w:sz w:val="24"/>
          <w:szCs w:val="21"/>
        </w:rPr>
      </w:pPr>
      <w:r>
        <w:rPr>
          <w:rFonts w:hint="eastAsia" w:ascii="宋体" w:hAnsi="宋体"/>
          <w:color w:val="000000"/>
          <w:sz w:val="24"/>
          <w:szCs w:val="21"/>
        </w:rPr>
        <w:t xml:space="preserve">                             </w:t>
      </w:r>
      <w:r>
        <w:rPr>
          <w:rFonts w:ascii="宋体" w:hAnsi="宋体"/>
          <w:color w:val="000000"/>
          <w:sz w:val="24"/>
          <w:szCs w:val="21"/>
        </w:rPr>
        <w:t>网址：</w:t>
      </w:r>
      <w:r>
        <w:rPr>
          <w:rFonts w:ascii="宋体" w:hAnsi="宋体"/>
          <w:color w:val="000000"/>
          <w:sz w:val="24"/>
          <w:szCs w:val="21"/>
          <w:u w:val="single"/>
        </w:rPr>
        <w:t xml:space="preserve">                                   </w:t>
      </w:r>
    </w:p>
    <w:p w14:paraId="6ADB83E8">
      <w:pPr>
        <w:spacing w:line="440" w:lineRule="exact"/>
        <w:rPr>
          <w:rFonts w:hint="eastAsia" w:ascii="宋体" w:hAnsi="宋体"/>
          <w:color w:val="000000"/>
          <w:sz w:val="24"/>
          <w:szCs w:val="21"/>
        </w:rPr>
      </w:pPr>
      <w:r>
        <w:rPr>
          <w:rFonts w:hint="eastAsia" w:ascii="宋体" w:hAnsi="宋体"/>
          <w:color w:val="000000"/>
          <w:sz w:val="24"/>
          <w:szCs w:val="21"/>
        </w:rPr>
        <w:t xml:space="preserve">                             </w:t>
      </w:r>
      <w:r>
        <w:rPr>
          <w:rFonts w:ascii="宋体" w:hAnsi="宋体"/>
          <w:color w:val="000000"/>
          <w:sz w:val="24"/>
          <w:szCs w:val="21"/>
        </w:rPr>
        <w:t>电话：</w:t>
      </w:r>
      <w:r>
        <w:rPr>
          <w:rFonts w:ascii="宋体" w:hAnsi="宋体"/>
          <w:color w:val="000000"/>
          <w:sz w:val="24"/>
          <w:szCs w:val="21"/>
          <w:u w:val="single"/>
        </w:rPr>
        <w:t xml:space="preserve">                                   </w:t>
      </w:r>
    </w:p>
    <w:p w14:paraId="37EE1FE1">
      <w:pPr>
        <w:spacing w:line="440" w:lineRule="exact"/>
        <w:rPr>
          <w:rFonts w:hint="eastAsia" w:ascii="宋体" w:hAnsi="宋体"/>
          <w:color w:val="000000"/>
          <w:sz w:val="24"/>
          <w:szCs w:val="21"/>
        </w:rPr>
      </w:pPr>
      <w:r>
        <w:rPr>
          <w:rFonts w:hint="eastAsia" w:ascii="宋体" w:hAnsi="宋体"/>
          <w:color w:val="000000"/>
          <w:sz w:val="24"/>
          <w:szCs w:val="21"/>
        </w:rPr>
        <w:t xml:space="preserve">                             </w:t>
      </w:r>
      <w:r>
        <w:rPr>
          <w:rFonts w:ascii="宋体" w:hAnsi="宋体"/>
          <w:color w:val="000000"/>
          <w:sz w:val="24"/>
          <w:szCs w:val="21"/>
        </w:rPr>
        <w:t>传真：</w:t>
      </w:r>
      <w:r>
        <w:rPr>
          <w:rFonts w:ascii="宋体" w:hAnsi="宋体"/>
          <w:color w:val="000000"/>
          <w:sz w:val="24"/>
          <w:szCs w:val="21"/>
          <w:u w:val="single"/>
        </w:rPr>
        <w:t xml:space="preserve">                                   </w:t>
      </w:r>
    </w:p>
    <w:p w14:paraId="2B764A3F">
      <w:pPr>
        <w:spacing w:line="440" w:lineRule="exact"/>
        <w:rPr>
          <w:rFonts w:hint="eastAsia" w:ascii="宋体" w:hAnsi="宋体"/>
          <w:color w:val="000000"/>
          <w:sz w:val="24"/>
          <w:szCs w:val="21"/>
        </w:rPr>
      </w:pPr>
      <w:r>
        <w:rPr>
          <w:rFonts w:hint="eastAsia" w:ascii="宋体" w:hAnsi="宋体"/>
          <w:color w:val="000000"/>
          <w:sz w:val="24"/>
          <w:szCs w:val="21"/>
        </w:rPr>
        <w:t xml:space="preserve">                             </w:t>
      </w:r>
      <w:r>
        <w:rPr>
          <w:rFonts w:ascii="宋体" w:hAnsi="宋体"/>
          <w:color w:val="000000"/>
          <w:sz w:val="24"/>
          <w:szCs w:val="21"/>
        </w:rPr>
        <w:t>邮政编码：</w:t>
      </w:r>
      <w:r>
        <w:rPr>
          <w:rFonts w:ascii="宋体" w:hAnsi="宋体"/>
          <w:color w:val="000000"/>
          <w:sz w:val="24"/>
          <w:szCs w:val="21"/>
          <w:u w:val="single"/>
        </w:rPr>
        <w:t xml:space="preserve">                               </w:t>
      </w:r>
    </w:p>
    <w:p w14:paraId="62E08321">
      <w:pPr>
        <w:spacing w:line="440" w:lineRule="exact"/>
        <w:ind w:firstLine="4200" w:firstLineChars="1750"/>
        <w:rPr>
          <w:rFonts w:ascii="宋体" w:hAnsi="宋体"/>
          <w:color w:val="000000"/>
          <w:sz w:val="24"/>
          <w:szCs w:val="21"/>
        </w:rPr>
      </w:pPr>
    </w:p>
    <w:p w14:paraId="44527442">
      <w:pPr>
        <w:spacing w:line="440" w:lineRule="exact"/>
        <w:rPr>
          <w:rFonts w:hint="eastAsia" w:ascii="宋体" w:hAnsi="宋体"/>
          <w:color w:val="000000"/>
          <w:sz w:val="24"/>
          <w:szCs w:val="21"/>
        </w:rPr>
      </w:pPr>
      <w:r>
        <w:rPr>
          <w:rFonts w:hint="eastAsia" w:ascii="宋体" w:hAnsi="宋体"/>
          <w:color w:val="000000"/>
          <w:sz w:val="24"/>
          <w:szCs w:val="21"/>
        </w:rPr>
        <w:t xml:space="preserve">                                      </w:t>
      </w:r>
      <w:r>
        <w:rPr>
          <w:rFonts w:hint="eastAsia" w:ascii="宋体" w:hAnsi="宋体"/>
          <w:color w:val="000000"/>
          <w:sz w:val="24"/>
          <w:szCs w:val="21"/>
          <w:u w:val="single"/>
        </w:rPr>
        <w:t xml:space="preserve">         </w:t>
      </w:r>
      <w:r>
        <w:rPr>
          <w:rFonts w:ascii="宋体" w:hAnsi="宋体"/>
          <w:color w:val="000000"/>
          <w:sz w:val="24"/>
          <w:szCs w:val="21"/>
        </w:rPr>
        <w:t>年</w:t>
      </w:r>
      <w:r>
        <w:rPr>
          <w:rFonts w:hint="eastAsia" w:ascii="宋体" w:hAnsi="宋体"/>
          <w:color w:val="000000"/>
          <w:sz w:val="24"/>
          <w:szCs w:val="21"/>
          <w:u w:val="single"/>
        </w:rPr>
        <w:t xml:space="preserve">        </w:t>
      </w:r>
      <w:r>
        <w:rPr>
          <w:rFonts w:ascii="宋体" w:hAnsi="宋体"/>
          <w:color w:val="000000"/>
          <w:sz w:val="24"/>
          <w:szCs w:val="21"/>
        </w:rPr>
        <w:t>月</w:t>
      </w:r>
      <w:r>
        <w:rPr>
          <w:rFonts w:hint="eastAsia" w:ascii="宋体" w:hAnsi="宋体"/>
          <w:color w:val="000000"/>
          <w:sz w:val="24"/>
          <w:szCs w:val="21"/>
          <w:u w:val="single"/>
        </w:rPr>
        <w:t xml:space="preserve">        </w:t>
      </w:r>
      <w:r>
        <w:rPr>
          <w:rFonts w:ascii="宋体" w:hAnsi="宋体"/>
          <w:color w:val="000000"/>
          <w:sz w:val="24"/>
          <w:szCs w:val="21"/>
        </w:rPr>
        <w:t>日</w:t>
      </w:r>
    </w:p>
    <w:p w14:paraId="300B8914">
      <w:pPr>
        <w:jc w:val="center"/>
        <w:rPr>
          <w:color w:val="000000"/>
          <w:sz w:val="24"/>
        </w:rPr>
      </w:pPr>
      <w:r>
        <w:rPr>
          <w:rFonts w:ascii="宋体" w:hAnsi="宋体"/>
          <w:color w:val="000000"/>
          <w:sz w:val="24"/>
          <w:szCs w:val="20"/>
        </w:rPr>
        <w:br w:type="page"/>
      </w:r>
      <w:r>
        <w:rPr>
          <w:rFonts w:hint="eastAsia" w:ascii="仿宋" w:hAnsi="仿宋" w:cs="宋体"/>
          <w:color w:val="auto"/>
          <w:szCs w:val="24"/>
          <w:highlight w:val="none"/>
          <w:lang w:eastAsia="zh-CN"/>
        </w:rPr>
        <w:t>（</w:t>
      </w:r>
      <w:r>
        <w:rPr>
          <w:rFonts w:hint="eastAsia" w:ascii="仿宋" w:hAnsi="仿宋" w:cs="宋体"/>
          <w:color w:val="auto"/>
          <w:szCs w:val="24"/>
          <w:highlight w:val="none"/>
          <w:lang w:val="en-US" w:eastAsia="zh-CN"/>
        </w:rPr>
        <w:t>二</w:t>
      </w:r>
      <w:r>
        <w:rPr>
          <w:rFonts w:hint="eastAsia" w:ascii="仿宋" w:hAnsi="仿宋" w:cs="宋体"/>
          <w:color w:val="auto"/>
          <w:szCs w:val="24"/>
          <w:highlight w:val="none"/>
          <w:lang w:eastAsia="zh-CN"/>
        </w:rPr>
        <w:t>）</w:t>
      </w:r>
      <w:bookmarkEnd w:id="721"/>
      <w:bookmarkEnd w:id="722"/>
      <w:bookmarkEnd w:id="723"/>
      <w:bookmarkEnd w:id="724"/>
      <w:r>
        <w:rPr>
          <w:rFonts w:hint="eastAsia" w:ascii="黑体" w:eastAsia="黑体"/>
          <w:color w:val="000000"/>
          <w:sz w:val="32"/>
          <w:szCs w:val="32"/>
        </w:rPr>
        <w:t>投标函附录</w:t>
      </w:r>
    </w:p>
    <w:tbl>
      <w:tblPr>
        <w:tblStyle w:val="33"/>
        <w:tblpPr w:leftFromText="180" w:rightFromText="180" w:vertAnchor="text" w:horzAnchor="margin" w:tblpXSpec="center" w:tblpY="9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27"/>
        <w:gridCol w:w="2649"/>
        <w:gridCol w:w="2228"/>
        <w:gridCol w:w="2302"/>
        <w:gridCol w:w="1468"/>
      </w:tblGrid>
      <w:tr w14:paraId="768C97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8" w:hRule="atLeast"/>
          <w:jc w:val="center"/>
        </w:trPr>
        <w:tc>
          <w:tcPr>
            <w:tcW w:w="1027" w:type="dxa"/>
            <w:noWrap w:val="0"/>
            <w:vAlign w:val="center"/>
          </w:tcPr>
          <w:p w14:paraId="4B78B96F">
            <w:pPr>
              <w:keepNext w:val="0"/>
              <w:keepLines w:val="0"/>
              <w:suppressLineNumbers w:val="0"/>
              <w:spacing w:before="0" w:beforeAutospacing="0" w:after="0" w:afterAutospacing="0" w:line="300" w:lineRule="atLeast"/>
              <w:ind w:left="0" w:right="0"/>
              <w:jc w:val="center"/>
              <w:rPr>
                <w:rFonts w:hint="eastAsia" w:ascii="宋体" w:hAnsi="宋体"/>
                <w:b/>
                <w:iCs/>
                <w:color w:val="000000"/>
                <w:sz w:val="24"/>
                <w:szCs w:val="20"/>
              </w:rPr>
            </w:pPr>
            <w:r>
              <w:rPr>
                <w:rFonts w:hint="eastAsia" w:ascii="宋体" w:hAnsi="宋体"/>
                <w:b/>
                <w:iCs/>
                <w:color w:val="000000"/>
                <w:sz w:val="24"/>
                <w:szCs w:val="20"/>
              </w:rPr>
              <w:t>序号</w:t>
            </w:r>
          </w:p>
        </w:tc>
        <w:tc>
          <w:tcPr>
            <w:tcW w:w="2649" w:type="dxa"/>
            <w:noWrap w:val="0"/>
            <w:vAlign w:val="center"/>
          </w:tcPr>
          <w:p w14:paraId="40AFB7FB">
            <w:pPr>
              <w:keepNext w:val="0"/>
              <w:keepLines w:val="0"/>
              <w:suppressLineNumbers w:val="0"/>
              <w:spacing w:before="0" w:beforeAutospacing="0" w:after="0" w:afterAutospacing="0" w:line="300" w:lineRule="atLeast"/>
              <w:ind w:left="0" w:right="0"/>
              <w:jc w:val="center"/>
              <w:rPr>
                <w:rFonts w:hint="eastAsia" w:ascii="宋体" w:hAnsi="宋体"/>
                <w:b/>
                <w:iCs/>
                <w:color w:val="000000"/>
                <w:sz w:val="24"/>
                <w:szCs w:val="20"/>
              </w:rPr>
            </w:pPr>
            <w:r>
              <w:rPr>
                <w:rFonts w:hint="eastAsia" w:ascii="宋体" w:hAnsi="宋体"/>
                <w:b/>
                <w:iCs/>
                <w:color w:val="000000"/>
                <w:sz w:val="24"/>
                <w:szCs w:val="20"/>
              </w:rPr>
              <w:t>条款内容</w:t>
            </w:r>
          </w:p>
        </w:tc>
        <w:tc>
          <w:tcPr>
            <w:tcW w:w="2228" w:type="dxa"/>
            <w:noWrap w:val="0"/>
            <w:vAlign w:val="center"/>
          </w:tcPr>
          <w:p w14:paraId="2078B752">
            <w:pPr>
              <w:keepNext w:val="0"/>
              <w:keepLines w:val="0"/>
              <w:suppressLineNumbers w:val="0"/>
              <w:spacing w:before="0" w:beforeAutospacing="0" w:after="0" w:afterAutospacing="0" w:line="300" w:lineRule="atLeast"/>
              <w:ind w:left="0" w:right="0"/>
              <w:jc w:val="center"/>
              <w:rPr>
                <w:rFonts w:hint="eastAsia" w:ascii="宋体" w:hAnsi="宋体"/>
                <w:b/>
                <w:iCs/>
                <w:color w:val="000000"/>
                <w:sz w:val="24"/>
                <w:szCs w:val="20"/>
              </w:rPr>
            </w:pPr>
            <w:r>
              <w:rPr>
                <w:rFonts w:hint="eastAsia" w:ascii="宋体" w:hAnsi="宋体"/>
                <w:b/>
                <w:iCs/>
                <w:color w:val="000000"/>
                <w:sz w:val="24"/>
                <w:szCs w:val="20"/>
              </w:rPr>
              <w:t>招标人要求</w:t>
            </w:r>
          </w:p>
        </w:tc>
        <w:tc>
          <w:tcPr>
            <w:tcW w:w="2302" w:type="dxa"/>
            <w:noWrap w:val="0"/>
            <w:vAlign w:val="center"/>
          </w:tcPr>
          <w:p w14:paraId="6D25B3AC">
            <w:pPr>
              <w:keepNext w:val="0"/>
              <w:keepLines w:val="0"/>
              <w:suppressLineNumbers w:val="0"/>
              <w:spacing w:before="0" w:beforeAutospacing="0" w:after="0" w:afterAutospacing="0" w:line="300" w:lineRule="atLeast"/>
              <w:ind w:left="0" w:right="0"/>
              <w:jc w:val="center"/>
              <w:rPr>
                <w:rFonts w:hint="eastAsia" w:ascii="宋体" w:hAnsi="宋体"/>
                <w:b/>
                <w:iCs/>
                <w:color w:val="000000"/>
                <w:sz w:val="24"/>
                <w:szCs w:val="20"/>
              </w:rPr>
            </w:pPr>
            <w:r>
              <w:rPr>
                <w:rFonts w:hint="eastAsia" w:ascii="宋体" w:hAnsi="宋体"/>
                <w:b/>
                <w:iCs/>
                <w:color w:val="000000"/>
                <w:sz w:val="24"/>
                <w:szCs w:val="20"/>
              </w:rPr>
              <w:t xml:space="preserve">投标人承诺 </w:t>
            </w:r>
          </w:p>
        </w:tc>
        <w:tc>
          <w:tcPr>
            <w:tcW w:w="1468" w:type="dxa"/>
            <w:noWrap w:val="0"/>
            <w:vAlign w:val="center"/>
          </w:tcPr>
          <w:p w14:paraId="267ED665">
            <w:pPr>
              <w:keepNext w:val="0"/>
              <w:keepLines w:val="0"/>
              <w:suppressLineNumbers w:val="0"/>
              <w:spacing w:before="0" w:beforeAutospacing="0" w:after="0" w:afterAutospacing="0" w:line="300" w:lineRule="atLeast"/>
              <w:ind w:left="0" w:right="0"/>
              <w:jc w:val="center"/>
              <w:rPr>
                <w:rFonts w:hint="eastAsia" w:ascii="宋体" w:hAnsi="宋体"/>
                <w:b/>
                <w:iCs/>
                <w:color w:val="000000"/>
                <w:sz w:val="24"/>
                <w:szCs w:val="20"/>
              </w:rPr>
            </w:pPr>
            <w:r>
              <w:rPr>
                <w:rFonts w:hint="eastAsia" w:ascii="宋体" w:hAnsi="宋体"/>
                <w:b/>
                <w:iCs/>
                <w:color w:val="000000"/>
                <w:sz w:val="24"/>
                <w:szCs w:val="20"/>
              </w:rPr>
              <w:t>备注</w:t>
            </w:r>
          </w:p>
        </w:tc>
      </w:tr>
      <w:tr w14:paraId="71A781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8" w:hRule="atLeast"/>
          <w:jc w:val="center"/>
        </w:trPr>
        <w:tc>
          <w:tcPr>
            <w:tcW w:w="1027" w:type="dxa"/>
            <w:noWrap w:val="0"/>
            <w:vAlign w:val="center"/>
          </w:tcPr>
          <w:p w14:paraId="2ED6F31D">
            <w:pPr>
              <w:keepNext w:val="0"/>
              <w:keepLines w:val="0"/>
              <w:suppressLineNumbers w:val="0"/>
              <w:spacing w:before="0" w:beforeAutospacing="0" w:after="0" w:afterAutospacing="0" w:line="300" w:lineRule="atLeast"/>
              <w:ind w:left="0" w:right="0"/>
              <w:jc w:val="center"/>
              <w:rPr>
                <w:rFonts w:hint="default" w:ascii="宋体" w:hAnsi="宋体"/>
                <w:iCs/>
                <w:color w:val="000000"/>
                <w:szCs w:val="21"/>
              </w:rPr>
            </w:pPr>
            <w:r>
              <w:rPr>
                <w:rFonts w:hint="default" w:ascii="宋体" w:hAnsi="宋体"/>
                <w:iCs/>
                <w:color w:val="000000"/>
                <w:szCs w:val="21"/>
              </w:rPr>
              <w:t>1</w:t>
            </w:r>
          </w:p>
        </w:tc>
        <w:tc>
          <w:tcPr>
            <w:tcW w:w="2649" w:type="dxa"/>
            <w:noWrap w:val="0"/>
            <w:vAlign w:val="center"/>
          </w:tcPr>
          <w:p w14:paraId="6299A974">
            <w:pPr>
              <w:keepNext w:val="0"/>
              <w:keepLines w:val="0"/>
              <w:suppressLineNumbers w:val="0"/>
              <w:spacing w:before="0" w:beforeAutospacing="0" w:after="0" w:afterAutospacing="0" w:line="300" w:lineRule="atLeast"/>
              <w:ind w:left="0" w:right="0"/>
              <w:rPr>
                <w:rFonts w:hint="default" w:ascii="宋体" w:hAnsi="宋体"/>
                <w:iCs/>
                <w:color w:val="000000"/>
                <w:szCs w:val="21"/>
              </w:rPr>
            </w:pPr>
            <w:r>
              <w:rPr>
                <w:rFonts w:hint="default" w:ascii="宋体" w:hAnsi="宋体"/>
                <w:iCs/>
                <w:color w:val="000000"/>
                <w:szCs w:val="21"/>
              </w:rPr>
              <w:t>项目负责人</w:t>
            </w:r>
          </w:p>
        </w:tc>
        <w:tc>
          <w:tcPr>
            <w:tcW w:w="2228" w:type="dxa"/>
            <w:noWrap w:val="0"/>
            <w:vAlign w:val="center"/>
          </w:tcPr>
          <w:p w14:paraId="44931005">
            <w:pPr>
              <w:keepNext w:val="0"/>
              <w:keepLines w:val="0"/>
              <w:suppressLineNumbers w:val="0"/>
              <w:spacing w:before="0" w:beforeAutospacing="0" w:after="0" w:afterAutospacing="0" w:line="300" w:lineRule="atLeast"/>
              <w:ind w:left="0" w:right="0"/>
              <w:rPr>
                <w:rFonts w:hint="eastAsia" w:ascii="宋体" w:hAnsi="宋体"/>
                <w:iCs/>
                <w:color w:val="000000"/>
                <w:szCs w:val="21"/>
              </w:rPr>
            </w:pPr>
            <w:r>
              <w:rPr>
                <w:rFonts w:hint="eastAsia" w:ascii="宋体" w:hAnsi="宋体"/>
                <w:color w:val="000000"/>
                <w:szCs w:val="21"/>
              </w:rPr>
              <w:t>投标人须知</w:t>
            </w:r>
            <w:r>
              <w:rPr>
                <w:rFonts w:hint="default" w:ascii="宋体" w:hAnsi="宋体"/>
                <w:color w:val="000000"/>
                <w:szCs w:val="21"/>
              </w:rPr>
              <w:t>1.4</w:t>
            </w:r>
          </w:p>
        </w:tc>
        <w:tc>
          <w:tcPr>
            <w:tcW w:w="2302" w:type="dxa"/>
            <w:noWrap w:val="0"/>
            <w:vAlign w:val="center"/>
          </w:tcPr>
          <w:p w14:paraId="05DD761B">
            <w:pPr>
              <w:keepNext w:val="0"/>
              <w:keepLines w:val="0"/>
              <w:suppressLineNumbers w:val="0"/>
              <w:spacing w:before="0" w:beforeAutospacing="0" w:after="0" w:afterAutospacing="0" w:line="300" w:lineRule="atLeast"/>
              <w:ind w:left="0" w:right="0"/>
              <w:rPr>
                <w:rFonts w:hint="default" w:ascii="宋体" w:hAnsi="宋体"/>
                <w:iCs/>
                <w:color w:val="000000"/>
                <w:szCs w:val="21"/>
                <w:u w:val="single"/>
              </w:rPr>
            </w:pPr>
            <w:r>
              <w:rPr>
                <w:rFonts w:hint="default" w:ascii="宋体" w:hAnsi="宋体"/>
                <w:iCs/>
                <w:color w:val="000000"/>
                <w:szCs w:val="21"/>
              </w:rPr>
              <w:t>姓名：</w:t>
            </w:r>
            <w:r>
              <w:rPr>
                <w:rFonts w:hint="default" w:ascii="宋体" w:hAnsi="宋体"/>
                <w:iCs/>
                <w:color w:val="000000"/>
                <w:szCs w:val="21"/>
                <w:u w:val="single"/>
              </w:rPr>
              <w:t xml:space="preserve">           </w:t>
            </w:r>
          </w:p>
        </w:tc>
        <w:tc>
          <w:tcPr>
            <w:tcW w:w="1468" w:type="dxa"/>
            <w:noWrap w:val="0"/>
            <w:vAlign w:val="center"/>
          </w:tcPr>
          <w:p w14:paraId="5B1F4421">
            <w:pPr>
              <w:keepNext w:val="0"/>
              <w:keepLines w:val="0"/>
              <w:suppressLineNumbers w:val="0"/>
              <w:spacing w:before="0" w:beforeAutospacing="0" w:after="0" w:afterAutospacing="0" w:line="300" w:lineRule="atLeast"/>
              <w:ind w:left="0" w:right="0"/>
              <w:jc w:val="center"/>
              <w:rPr>
                <w:rFonts w:hint="default" w:ascii="宋体" w:hAnsi="宋体"/>
                <w:iCs/>
                <w:color w:val="000000"/>
                <w:szCs w:val="21"/>
              </w:rPr>
            </w:pPr>
          </w:p>
        </w:tc>
      </w:tr>
      <w:tr w14:paraId="163C1A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2" w:hRule="atLeast"/>
          <w:jc w:val="center"/>
        </w:trPr>
        <w:tc>
          <w:tcPr>
            <w:tcW w:w="1027" w:type="dxa"/>
            <w:noWrap w:val="0"/>
            <w:vAlign w:val="center"/>
          </w:tcPr>
          <w:p w14:paraId="35684138">
            <w:pPr>
              <w:keepNext w:val="0"/>
              <w:keepLines w:val="0"/>
              <w:suppressLineNumbers w:val="0"/>
              <w:spacing w:before="0" w:beforeAutospacing="0" w:after="0" w:afterAutospacing="0" w:line="300" w:lineRule="atLeast"/>
              <w:ind w:left="0" w:right="0"/>
              <w:jc w:val="center"/>
              <w:rPr>
                <w:rFonts w:hint="default" w:ascii="宋体" w:hAnsi="宋体"/>
                <w:iCs/>
                <w:color w:val="000000"/>
                <w:szCs w:val="21"/>
              </w:rPr>
            </w:pPr>
            <w:r>
              <w:rPr>
                <w:rFonts w:hint="default" w:ascii="宋体" w:hAnsi="宋体"/>
                <w:iCs/>
                <w:color w:val="000000"/>
                <w:szCs w:val="21"/>
              </w:rPr>
              <w:t>2</w:t>
            </w:r>
          </w:p>
        </w:tc>
        <w:tc>
          <w:tcPr>
            <w:tcW w:w="2649" w:type="dxa"/>
            <w:noWrap w:val="0"/>
            <w:vAlign w:val="center"/>
          </w:tcPr>
          <w:p w14:paraId="39DEF2CB">
            <w:pPr>
              <w:keepNext w:val="0"/>
              <w:keepLines w:val="0"/>
              <w:suppressLineNumbers w:val="0"/>
              <w:spacing w:before="0" w:beforeAutospacing="0" w:after="0" w:afterAutospacing="0" w:line="300" w:lineRule="atLeast"/>
              <w:ind w:left="0" w:right="0"/>
              <w:rPr>
                <w:rFonts w:hint="default" w:ascii="宋体" w:hAnsi="宋体"/>
                <w:iCs/>
                <w:color w:val="000000"/>
                <w:szCs w:val="21"/>
              </w:rPr>
            </w:pPr>
            <w:r>
              <w:rPr>
                <w:rFonts w:hint="default" w:ascii="宋体" w:hAnsi="宋体"/>
                <w:iCs/>
                <w:color w:val="000000"/>
                <w:szCs w:val="21"/>
              </w:rPr>
              <w:t>工期</w:t>
            </w:r>
          </w:p>
        </w:tc>
        <w:tc>
          <w:tcPr>
            <w:tcW w:w="2228" w:type="dxa"/>
            <w:noWrap w:val="0"/>
            <w:vAlign w:val="center"/>
          </w:tcPr>
          <w:p w14:paraId="6042E607">
            <w:pPr>
              <w:keepNext w:val="0"/>
              <w:keepLines w:val="0"/>
              <w:suppressLineNumbers w:val="0"/>
              <w:spacing w:before="0" w:beforeAutospacing="0" w:after="0" w:afterAutospacing="0" w:line="300" w:lineRule="atLeast"/>
              <w:ind w:left="0" w:right="0"/>
              <w:rPr>
                <w:rFonts w:hint="eastAsia" w:ascii="宋体" w:hAnsi="宋体"/>
                <w:iCs/>
                <w:color w:val="000000"/>
                <w:szCs w:val="21"/>
              </w:rPr>
            </w:pPr>
            <w:r>
              <w:rPr>
                <w:rFonts w:hint="default" w:ascii="宋体" w:hAnsi="宋体"/>
                <w:iCs/>
                <w:color w:val="auto"/>
                <w:szCs w:val="21"/>
                <w:highlight w:val="none"/>
              </w:rPr>
              <w:t>天数：</w:t>
            </w:r>
            <w:r>
              <w:rPr>
                <w:rFonts w:hint="eastAsia" w:ascii="宋体" w:hAnsi="宋体"/>
                <w:iCs/>
                <w:color w:val="C00000"/>
                <w:szCs w:val="21"/>
                <w:highlight w:val="none"/>
                <w:u w:val="single"/>
                <w:lang w:val="en-US" w:eastAsia="zh-CN"/>
              </w:rPr>
              <w:t xml:space="preserve">    </w:t>
            </w:r>
            <w:r>
              <w:rPr>
                <w:rFonts w:hint="default" w:ascii="宋体" w:hAnsi="宋体"/>
                <w:iCs/>
                <w:color w:val="auto"/>
                <w:szCs w:val="21"/>
                <w:highlight w:val="none"/>
              </w:rPr>
              <w:t>日历天</w:t>
            </w:r>
          </w:p>
        </w:tc>
        <w:tc>
          <w:tcPr>
            <w:tcW w:w="2302" w:type="dxa"/>
            <w:noWrap w:val="0"/>
            <w:vAlign w:val="center"/>
          </w:tcPr>
          <w:p w14:paraId="3A5899BC">
            <w:pPr>
              <w:keepNext w:val="0"/>
              <w:keepLines w:val="0"/>
              <w:suppressLineNumbers w:val="0"/>
              <w:spacing w:before="0" w:beforeAutospacing="0" w:after="0" w:afterAutospacing="0" w:line="300" w:lineRule="atLeast"/>
              <w:ind w:left="0" w:right="0"/>
              <w:rPr>
                <w:rFonts w:hint="default" w:ascii="宋体" w:hAnsi="宋体"/>
                <w:iCs/>
                <w:color w:val="000000"/>
                <w:szCs w:val="21"/>
                <w:u w:val="single"/>
              </w:rPr>
            </w:pPr>
          </w:p>
        </w:tc>
        <w:tc>
          <w:tcPr>
            <w:tcW w:w="1468" w:type="dxa"/>
            <w:noWrap w:val="0"/>
            <w:vAlign w:val="center"/>
          </w:tcPr>
          <w:p w14:paraId="696D3104">
            <w:pPr>
              <w:keepNext w:val="0"/>
              <w:keepLines w:val="0"/>
              <w:suppressLineNumbers w:val="0"/>
              <w:spacing w:before="0" w:beforeAutospacing="0" w:after="0" w:afterAutospacing="0" w:line="300" w:lineRule="atLeast"/>
              <w:ind w:left="0" w:right="0"/>
              <w:jc w:val="center"/>
              <w:rPr>
                <w:rFonts w:hint="default" w:ascii="宋体" w:hAnsi="宋体"/>
                <w:iCs/>
                <w:color w:val="000000"/>
                <w:szCs w:val="21"/>
              </w:rPr>
            </w:pPr>
          </w:p>
        </w:tc>
      </w:tr>
      <w:tr w14:paraId="621577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jc w:val="center"/>
        </w:trPr>
        <w:tc>
          <w:tcPr>
            <w:tcW w:w="1027" w:type="dxa"/>
            <w:noWrap w:val="0"/>
            <w:vAlign w:val="center"/>
          </w:tcPr>
          <w:p w14:paraId="3DC34640">
            <w:pPr>
              <w:keepNext w:val="0"/>
              <w:keepLines w:val="0"/>
              <w:suppressLineNumbers w:val="0"/>
              <w:spacing w:before="0" w:beforeAutospacing="0" w:after="0" w:afterAutospacing="0" w:line="300" w:lineRule="atLeast"/>
              <w:ind w:left="0" w:right="0"/>
              <w:jc w:val="center"/>
              <w:rPr>
                <w:rFonts w:hint="eastAsia" w:ascii="宋体" w:hAnsi="宋体"/>
                <w:iCs/>
                <w:color w:val="000000"/>
                <w:szCs w:val="21"/>
              </w:rPr>
            </w:pPr>
            <w:r>
              <w:rPr>
                <w:rFonts w:hint="eastAsia" w:ascii="宋体" w:hAnsi="宋体"/>
                <w:iCs/>
                <w:color w:val="000000"/>
                <w:szCs w:val="21"/>
              </w:rPr>
              <w:t>3</w:t>
            </w:r>
          </w:p>
        </w:tc>
        <w:tc>
          <w:tcPr>
            <w:tcW w:w="2649" w:type="dxa"/>
            <w:noWrap w:val="0"/>
            <w:vAlign w:val="center"/>
          </w:tcPr>
          <w:p w14:paraId="12A280FC">
            <w:pPr>
              <w:keepNext w:val="0"/>
              <w:keepLines w:val="0"/>
              <w:suppressLineNumbers w:val="0"/>
              <w:spacing w:before="0" w:beforeAutospacing="0" w:after="0" w:afterAutospacing="0" w:line="300" w:lineRule="atLeast"/>
              <w:ind w:left="0" w:right="0"/>
              <w:rPr>
                <w:rFonts w:hint="default" w:ascii="宋体" w:hAnsi="宋体"/>
                <w:iCs/>
                <w:color w:val="000000"/>
                <w:szCs w:val="21"/>
              </w:rPr>
            </w:pPr>
            <w:r>
              <w:rPr>
                <w:rFonts w:hint="eastAsia" w:ascii="宋体" w:hAnsi="宋体"/>
                <w:iCs/>
                <w:color w:val="000000"/>
                <w:szCs w:val="21"/>
              </w:rPr>
              <w:t>承包人履约担保金额</w:t>
            </w:r>
          </w:p>
        </w:tc>
        <w:tc>
          <w:tcPr>
            <w:tcW w:w="2228" w:type="dxa"/>
            <w:noWrap w:val="0"/>
            <w:vAlign w:val="center"/>
          </w:tcPr>
          <w:p w14:paraId="6B605170">
            <w:pPr>
              <w:keepNext w:val="0"/>
              <w:keepLines w:val="0"/>
              <w:suppressLineNumbers w:val="0"/>
              <w:spacing w:before="0" w:beforeAutospacing="0" w:after="0" w:afterAutospacing="0" w:line="300" w:lineRule="atLeast"/>
              <w:ind w:left="0" w:right="0"/>
              <w:rPr>
                <w:rFonts w:hint="default" w:ascii="宋体" w:hAnsi="宋体"/>
                <w:iCs/>
                <w:color w:val="000000"/>
                <w:szCs w:val="21"/>
              </w:rPr>
            </w:pPr>
            <w:r>
              <w:rPr>
                <w:rFonts w:hint="eastAsia" w:ascii="宋体" w:hAnsi="宋体"/>
                <w:iCs/>
                <w:color w:val="000000"/>
                <w:szCs w:val="21"/>
              </w:rPr>
              <w:t>专用合同</w:t>
            </w:r>
          </w:p>
        </w:tc>
        <w:tc>
          <w:tcPr>
            <w:tcW w:w="2302" w:type="dxa"/>
            <w:noWrap w:val="0"/>
            <w:vAlign w:val="center"/>
          </w:tcPr>
          <w:p w14:paraId="1E32ED1A">
            <w:pPr>
              <w:keepNext w:val="0"/>
              <w:keepLines w:val="0"/>
              <w:suppressLineNumbers w:val="0"/>
              <w:spacing w:before="0" w:beforeAutospacing="0" w:after="0" w:afterAutospacing="0" w:line="300" w:lineRule="atLeast"/>
              <w:ind w:left="0" w:right="0"/>
              <w:rPr>
                <w:rFonts w:hint="default" w:ascii="宋体" w:hAnsi="宋体"/>
                <w:iCs/>
                <w:color w:val="000000"/>
                <w:szCs w:val="21"/>
                <w:u w:val="single"/>
              </w:rPr>
            </w:pPr>
          </w:p>
        </w:tc>
        <w:tc>
          <w:tcPr>
            <w:tcW w:w="1468" w:type="dxa"/>
            <w:noWrap w:val="0"/>
            <w:vAlign w:val="center"/>
          </w:tcPr>
          <w:p w14:paraId="6FC86C5F">
            <w:pPr>
              <w:keepNext w:val="0"/>
              <w:keepLines w:val="0"/>
              <w:suppressLineNumbers w:val="0"/>
              <w:spacing w:before="0" w:beforeAutospacing="0" w:after="0" w:afterAutospacing="0" w:line="300" w:lineRule="atLeast"/>
              <w:ind w:left="0" w:right="0"/>
              <w:jc w:val="center"/>
              <w:rPr>
                <w:rFonts w:hint="default" w:ascii="宋体" w:hAnsi="宋体"/>
                <w:iCs/>
                <w:color w:val="000000"/>
                <w:szCs w:val="21"/>
              </w:rPr>
            </w:pPr>
          </w:p>
        </w:tc>
      </w:tr>
      <w:tr w14:paraId="40C1FA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8" w:hRule="atLeast"/>
          <w:jc w:val="center"/>
        </w:trPr>
        <w:tc>
          <w:tcPr>
            <w:tcW w:w="1027" w:type="dxa"/>
            <w:noWrap w:val="0"/>
            <w:vAlign w:val="center"/>
          </w:tcPr>
          <w:p w14:paraId="37F108E8">
            <w:pPr>
              <w:keepNext w:val="0"/>
              <w:keepLines w:val="0"/>
              <w:suppressLineNumbers w:val="0"/>
              <w:spacing w:before="0" w:beforeAutospacing="0" w:after="0" w:afterAutospacing="0" w:line="300" w:lineRule="atLeast"/>
              <w:ind w:left="0" w:right="0"/>
              <w:jc w:val="center"/>
              <w:rPr>
                <w:rFonts w:hint="eastAsia" w:ascii="宋体" w:hAnsi="宋体"/>
                <w:iCs/>
                <w:color w:val="000000"/>
                <w:szCs w:val="21"/>
              </w:rPr>
            </w:pPr>
            <w:r>
              <w:rPr>
                <w:rFonts w:hint="eastAsia" w:ascii="宋体" w:hAnsi="宋体"/>
                <w:iCs/>
                <w:color w:val="000000"/>
                <w:szCs w:val="21"/>
              </w:rPr>
              <w:t>5</w:t>
            </w:r>
          </w:p>
        </w:tc>
        <w:tc>
          <w:tcPr>
            <w:tcW w:w="2649" w:type="dxa"/>
            <w:noWrap w:val="0"/>
            <w:vAlign w:val="center"/>
          </w:tcPr>
          <w:p w14:paraId="609FAD7F">
            <w:pPr>
              <w:keepNext w:val="0"/>
              <w:keepLines w:val="0"/>
              <w:suppressLineNumbers w:val="0"/>
              <w:spacing w:before="0" w:beforeAutospacing="0" w:after="0" w:afterAutospacing="0" w:line="300" w:lineRule="atLeast"/>
              <w:ind w:left="0" w:right="0"/>
              <w:rPr>
                <w:rFonts w:hint="eastAsia" w:ascii="宋体" w:hAnsi="宋体"/>
                <w:iCs/>
                <w:color w:val="000000"/>
                <w:szCs w:val="21"/>
              </w:rPr>
            </w:pPr>
            <w:r>
              <w:rPr>
                <w:rFonts w:hint="eastAsia" w:ascii="宋体" w:hAnsi="宋体"/>
                <w:iCs/>
                <w:color w:val="000000"/>
                <w:szCs w:val="21"/>
              </w:rPr>
              <w:t>逾期竣工违约金</w:t>
            </w:r>
          </w:p>
        </w:tc>
        <w:tc>
          <w:tcPr>
            <w:tcW w:w="2228" w:type="dxa"/>
            <w:noWrap w:val="0"/>
            <w:vAlign w:val="center"/>
          </w:tcPr>
          <w:p w14:paraId="39B56AD4">
            <w:pPr>
              <w:keepNext w:val="0"/>
              <w:keepLines w:val="0"/>
              <w:suppressLineNumbers w:val="0"/>
              <w:spacing w:before="0" w:beforeAutospacing="0" w:after="0" w:afterAutospacing="0" w:line="300" w:lineRule="atLeast"/>
              <w:ind w:left="0" w:right="0"/>
              <w:rPr>
                <w:rFonts w:hint="eastAsia" w:ascii="宋体" w:hAnsi="宋体"/>
                <w:iCs/>
                <w:color w:val="auto"/>
                <w:szCs w:val="21"/>
              </w:rPr>
            </w:pPr>
            <w:r>
              <w:rPr>
                <w:rFonts w:hint="eastAsia" w:ascii="宋体" w:hAnsi="宋体"/>
                <w:iCs/>
                <w:color w:val="auto"/>
                <w:szCs w:val="21"/>
                <w:u w:val="single"/>
              </w:rPr>
              <w:t xml:space="preserve">  500 </w:t>
            </w:r>
            <w:r>
              <w:rPr>
                <w:rFonts w:hint="eastAsia" w:ascii="宋体" w:hAnsi="宋体"/>
                <w:iCs/>
                <w:color w:val="auto"/>
                <w:szCs w:val="21"/>
              </w:rPr>
              <w:t>元/天</w:t>
            </w:r>
          </w:p>
        </w:tc>
        <w:tc>
          <w:tcPr>
            <w:tcW w:w="2302" w:type="dxa"/>
            <w:noWrap w:val="0"/>
            <w:vAlign w:val="center"/>
          </w:tcPr>
          <w:p w14:paraId="1CCE0B96">
            <w:pPr>
              <w:keepNext w:val="0"/>
              <w:keepLines w:val="0"/>
              <w:suppressLineNumbers w:val="0"/>
              <w:spacing w:before="0" w:beforeAutospacing="0" w:after="0" w:afterAutospacing="0" w:line="300" w:lineRule="atLeast"/>
              <w:ind w:left="0" w:right="0"/>
              <w:rPr>
                <w:rFonts w:hint="eastAsia" w:ascii="宋体" w:hAnsi="宋体"/>
                <w:iCs/>
                <w:color w:val="000000"/>
                <w:szCs w:val="21"/>
              </w:rPr>
            </w:pPr>
          </w:p>
        </w:tc>
        <w:tc>
          <w:tcPr>
            <w:tcW w:w="1468" w:type="dxa"/>
            <w:noWrap w:val="0"/>
            <w:vAlign w:val="center"/>
          </w:tcPr>
          <w:p w14:paraId="29E9BAAD">
            <w:pPr>
              <w:keepNext w:val="0"/>
              <w:keepLines w:val="0"/>
              <w:suppressLineNumbers w:val="0"/>
              <w:spacing w:before="0" w:beforeAutospacing="0" w:after="0" w:afterAutospacing="0" w:line="300" w:lineRule="atLeast"/>
              <w:ind w:left="0" w:right="0"/>
              <w:jc w:val="center"/>
              <w:rPr>
                <w:rFonts w:hint="default" w:ascii="宋体" w:hAnsi="宋体"/>
                <w:iCs/>
                <w:color w:val="000000"/>
                <w:szCs w:val="21"/>
              </w:rPr>
            </w:pPr>
          </w:p>
        </w:tc>
      </w:tr>
      <w:tr w14:paraId="32559E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 w:hRule="atLeast"/>
          <w:jc w:val="center"/>
        </w:trPr>
        <w:tc>
          <w:tcPr>
            <w:tcW w:w="1027" w:type="dxa"/>
            <w:noWrap w:val="0"/>
            <w:vAlign w:val="center"/>
          </w:tcPr>
          <w:p w14:paraId="040F5A74">
            <w:pPr>
              <w:keepNext w:val="0"/>
              <w:keepLines w:val="0"/>
              <w:suppressLineNumbers w:val="0"/>
              <w:spacing w:before="0" w:beforeAutospacing="0" w:after="0" w:afterAutospacing="0" w:line="300" w:lineRule="atLeast"/>
              <w:ind w:left="0" w:right="0"/>
              <w:jc w:val="center"/>
              <w:rPr>
                <w:rFonts w:hint="eastAsia" w:ascii="宋体" w:hAnsi="宋体"/>
                <w:iCs/>
                <w:color w:val="000000"/>
                <w:sz w:val="18"/>
                <w:szCs w:val="18"/>
              </w:rPr>
            </w:pPr>
            <w:r>
              <w:rPr>
                <w:rFonts w:hint="default" w:ascii="宋体" w:hAnsi="宋体"/>
                <w:iCs/>
                <w:color w:val="000000"/>
                <w:szCs w:val="21"/>
              </w:rPr>
              <w:t>6</w:t>
            </w:r>
          </w:p>
        </w:tc>
        <w:tc>
          <w:tcPr>
            <w:tcW w:w="2649" w:type="dxa"/>
            <w:noWrap w:val="0"/>
            <w:vAlign w:val="center"/>
          </w:tcPr>
          <w:p w14:paraId="43DD0A4E">
            <w:pPr>
              <w:keepNext w:val="0"/>
              <w:keepLines w:val="0"/>
              <w:suppressLineNumbers w:val="0"/>
              <w:spacing w:before="0" w:beforeAutospacing="0" w:after="0" w:afterAutospacing="0" w:line="300" w:lineRule="atLeast"/>
              <w:ind w:left="0" w:right="0"/>
              <w:rPr>
                <w:rFonts w:hint="eastAsia" w:ascii="宋体" w:hAnsi="宋体"/>
                <w:iCs/>
                <w:color w:val="000000"/>
                <w:szCs w:val="21"/>
              </w:rPr>
            </w:pPr>
            <w:r>
              <w:rPr>
                <w:rFonts w:hint="eastAsia" w:ascii="宋体" w:hAnsi="宋体"/>
                <w:iCs/>
                <w:color w:val="000000"/>
                <w:szCs w:val="21"/>
              </w:rPr>
              <w:t>逾期竣工违约金最高限额</w:t>
            </w:r>
          </w:p>
        </w:tc>
        <w:tc>
          <w:tcPr>
            <w:tcW w:w="2228" w:type="dxa"/>
            <w:noWrap w:val="0"/>
            <w:vAlign w:val="center"/>
          </w:tcPr>
          <w:p w14:paraId="42795A94">
            <w:pPr>
              <w:keepNext w:val="0"/>
              <w:keepLines w:val="0"/>
              <w:suppressLineNumbers w:val="0"/>
              <w:spacing w:before="0" w:beforeAutospacing="0" w:after="0" w:afterAutospacing="0" w:line="300" w:lineRule="atLeast"/>
              <w:ind w:left="0" w:right="0"/>
              <w:rPr>
                <w:rFonts w:hint="eastAsia" w:ascii="宋体" w:hAnsi="宋体"/>
                <w:iCs/>
                <w:color w:val="auto"/>
                <w:szCs w:val="21"/>
                <w:u w:val="single"/>
              </w:rPr>
            </w:pPr>
            <w:r>
              <w:rPr>
                <w:rFonts w:hint="eastAsia" w:ascii="宋体" w:hAnsi="宋体"/>
                <w:iCs/>
                <w:color w:val="auto"/>
                <w:szCs w:val="21"/>
                <w:u w:val="single"/>
              </w:rPr>
              <w:t xml:space="preserve">   </w:t>
            </w:r>
            <w:r>
              <w:rPr>
                <w:rFonts w:hint="eastAsia" w:ascii="宋体" w:hAnsi="宋体"/>
                <w:color w:val="auto"/>
                <w:kern w:val="0"/>
                <w:szCs w:val="21"/>
                <w:u w:val="single"/>
              </w:rPr>
              <w:t>合同价款的</w:t>
            </w:r>
            <w:r>
              <w:rPr>
                <w:rFonts w:hint="eastAsia" w:ascii="宋体" w:hAnsi="宋体"/>
                <w:color w:val="auto"/>
                <w:kern w:val="0"/>
                <w:szCs w:val="21"/>
                <w:u w:val="single"/>
                <w:lang w:val="en-US" w:eastAsia="zh-CN"/>
              </w:rPr>
              <w:t>3</w:t>
            </w:r>
            <w:r>
              <w:rPr>
                <w:rFonts w:hint="eastAsia" w:ascii="宋体" w:hAnsi="宋体"/>
                <w:color w:val="auto"/>
                <w:kern w:val="0"/>
                <w:szCs w:val="21"/>
                <w:u w:val="single"/>
              </w:rPr>
              <w:t>%</w:t>
            </w:r>
            <w:r>
              <w:rPr>
                <w:rFonts w:hint="eastAsia" w:ascii="宋体" w:hAnsi="宋体"/>
                <w:iCs/>
                <w:color w:val="auto"/>
                <w:szCs w:val="21"/>
                <w:u w:val="single"/>
              </w:rPr>
              <w:t xml:space="preserve">  </w:t>
            </w:r>
          </w:p>
        </w:tc>
        <w:tc>
          <w:tcPr>
            <w:tcW w:w="2302" w:type="dxa"/>
            <w:noWrap w:val="0"/>
            <w:vAlign w:val="center"/>
          </w:tcPr>
          <w:p w14:paraId="4CE0BB58">
            <w:pPr>
              <w:keepNext w:val="0"/>
              <w:keepLines w:val="0"/>
              <w:suppressLineNumbers w:val="0"/>
              <w:spacing w:before="0" w:beforeAutospacing="0" w:after="0" w:afterAutospacing="0" w:line="300" w:lineRule="atLeast"/>
              <w:ind w:left="0" w:right="0"/>
              <w:rPr>
                <w:rFonts w:hint="eastAsia" w:ascii="宋体" w:hAnsi="宋体"/>
                <w:iCs/>
                <w:color w:val="000000"/>
                <w:szCs w:val="21"/>
                <w:u w:val="single"/>
              </w:rPr>
            </w:pPr>
          </w:p>
        </w:tc>
        <w:tc>
          <w:tcPr>
            <w:tcW w:w="1468" w:type="dxa"/>
            <w:noWrap w:val="0"/>
            <w:vAlign w:val="center"/>
          </w:tcPr>
          <w:p w14:paraId="4B7DB934">
            <w:pPr>
              <w:keepNext w:val="0"/>
              <w:keepLines w:val="0"/>
              <w:suppressLineNumbers w:val="0"/>
              <w:spacing w:before="0" w:beforeAutospacing="0" w:after="0" w:afterAutospacing="0" w:line="300" w:lineRule="atLeast"/>
              <w:ind w:left="0" w:right="0"/>
              <w:jc w:val="center"/>
              <w:rPr>
                <w:rFonts w:hint="default" w:ascii="宋体" w:hAnsi="宋体"/>
                <w:iCs/>
                <w:color w:val="000000"/>
                <w:sz w:val="18"/>
                <w:szCs w:val="18"/>
              </w:rPr>
            </w:pPr>
          </w:p>
        </w:tc>
      </w:tr>
      <w:tr w14:paraId="405184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 w:hRule="atLeast"/>
          <w:jc w:val="center"/>
        </w:trPr>
        <w:tc>
          <w:tcPr>
            <w:tcW w:w="1027" w:type="dxa"/>
            <w:noWrap w:val="0"/>
            <w:vAlign w:val="center"/>
          </w:tcPr>
          <w:p w14:paraId="3ECF81D7">
            <w:pPr>
              <w:keepNext w:val="0"/>
              <w:keepLines w:val="0"/>
              <w:suppressLineNumbers w:val="0"/>
              <w:spacing w:before="0" w:beforeAutospacing="0" w:after="0" w:afterAutospacing="0" w:line="300" w:lineRule="atLeast"/>
              <w:ind w:left="0" w:right="0"/>
              <w:jc w:val="center"/>
              <w:rPr>
                <w:rFonts w:hint="eastAsia" w:ascii="宋体" w:hAnsi="宋体"/>
                <w:iCs/>
                <w:color w:val="000000"/>
                <w:szCs w:val="21"/>
              </w:rPr>
            </w:pPr>
            <w:r>
              <w:rPr>
                <w:rFonts w:hint="eastAsia" w:ascii="宋体" w:hAnsi="宋体"/>
                <w:iCs/>
                <w:color w:val="000000"/>
                <w:szCs w:val="21"/>
              </w:rPr>
              <w:t>7</w:t>
            </w:r>
          </w:p>
        </w:tc>
        <w:tc>
          <w:tcPr>
            <w:tcW w:w="2649" w:type="dxa"/>
            <w:noWrap w:val="0"/>
            <w:vAlign w:val="center"/>
          </w:tcPr>
          <w:p w14:paraId="7DCCF59E">
            <w:pPr>
              <w:keepNext w:val="0"/>
              <w:keepLines w:val="0"/>
              <w:suppressLineNumbers w:val="0"/>
              <w:spacing w:before="0" w:beforeAutospacing="0" w:after="0" w:afterAutospacing="0" w:line="300" w:lineRule="atLeast"/>
              <w:ind w:left="0" w:right="0"/>
              <w:rPr>
                <w:rFonts w:hint="eastAsia" w:ascii="宋体" w:hAnsi="宋体"/>
                <w:iCs/>
                <w:color w:val="000000"/>
                <w:szCs w:val="21"/>
              </w:rPr>
            </w:pPr>
            <w:r>
              <w:rPr>
                <w:rFonts w:hint="eastAsia" w:ascii="宋体" w:hAnsi="宋体"/>
                <w:iCs/>
                <w:color w:val="000000"/>
                <w:szCs w:val="21"/>
              </w:rPr>
              <w:t>质量标准</w:t>
            </w:r>
          </w:p>
        </w:tc>
        <w:tc>
          <w:tcPr>
            <w:tcW w:w="2228" w:type="dxa"/>
            <w:noWrap w:val="0"/>
            <w:vAlign w:val="center"/>
          </w:tcPr>
          <w:p w14:paraId="1DEA7379">
            <w:pPr>
              <w:keepNext w:val="0"/>
              <w:keepLines w:val="0"/>
              <w:suppressLineNumbers w:val="0"/>
              <w:spacing w:before="0" w:beforeAutospacing="0" w:after="0" w:afterAutospacing="0" w:line="300" w:lineRule="atLeast"/>
              <w:ind w:left="0" w:right="0"/>
              <w:rPr>
                <w:rFonts w:hint="eastAsia" w:ascii="宋体" w:hAnsi="宋体"/>
                <w:iCs/>
                <w:color w:val="auto"/>
                <w:szCs w:val="21"/>
              </w:rPr>
            </w:pPr>
            <w:r>
              <w:rPr>
                <w:rFonts w:hint="eastAsia" w:ascii="宋体" w:hAnsi="宋体"/>
                <w:color w:val="auto"/>
                <w:szCs w:val="21"/>
              </w:rPr>
              <w:t>合格</w:t>
            </w:r>
          </w:p>
        </w:tc>
        <w:tc>
          <w:tcPr>
            <w:tcW w:w="2302" w:type="dxa"/>
            <w:noWrap w:val="0"/>
            <w:vAlign w:val="center"/>
          </w:tcPr>
          <w:p w14:paraId="61E828A1">
            <w:pPr>
              <w:keepNext w:val="0"/>
              <w:keepLines w:val="0"/>
              <w:suppressLineNumbers w:val="0"/>
              <w:spacing w:before="0" w:beforeAutospacing="0" w:after="0" w:afterAutospacing="0" w:line="300" w:lineRule="atLeast"/>
              <w:ind w:left="0" w:right="0"/>
              <w:jc w:val="center"/>
              <w:rPr>
                <w:rFonts w:hint="eastAsia" w:ascii="宋体" w:hAnsi="宋体"/>
                <w:iCs/>
                <w:color w:val="000000"/>
                <w:szCs w:val="21"/>
              </w:rPr>
            </w:pPr>
          </w:p>
        </w:tc>
        <w:tc>
          <w:tcPr>
            <w:tcW w:w="1468" w:type="dxa"/>
            <w:noWrap w:val="0"/>
            <w:vAlign w:val="center"/>
          </w:tcPr>
          <w:p w14:paraId="1E3FA03B">
            <w:pPr>
              <w:keepNext w:val="0"/>
              <w:keepLines w:val="0"/>
              <w:suppressLineNumbers w:val="0"/>
              <w:spacing w:before="0" w:beforeAutospacing="0" w:after="0" w:afterAutospacing="0" w:line="300" w:lineRule="atLeast"/>
              <w:ind w:left="0" w:right="0"/>
              <w:jc w:val="center"/>
              <w:rPr>
                <w:rFonts w:hint="default" w:ascii="宋体" w:hAnsi="宋体"/>
                <w:iCs/>
                <w:color w:val="000000"/>
                <w:szCs w:val="21"/>
              </w:rPr>
            </w:pPr>
          </w:p>
        </w:tc>
      </w:tr>
      <w:tr w14:paraId="158F54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1027" w:type="dxa"/>
            <w:noWrap w:val="0"/>
            <w:vAlign w:val="center"/>
          </w:tcPr>
          <w:p w14:paraId="1CBF8A56">
            <w:pPr>
              <w:keepNext w:val="0"/>
              <w:keepLines w:val="0"/>
              <w:suppressLineNumbers w:val="0"/>
              <w:spacing w:before="0" w:beforeAutospacing="0" w:after="0" w:afterAutospacing="0" w:line="300" w:lineRule="atLeast"/>
              <w:ind w:left="0" w:right="0"/>
              <w:jc w:val="center"/>
              <w:rPr>
                <w:rFonts w:hint="eastAsia" w:ascii="宋体" w:hAnsi="宋体"/>
                <w:iCs/>
                <w:color w:val="000000"/>
                <w:szCs w:val="21"/>
              </w:rPr>
            </w:pPr>
            <w:r>
              <w:rPr>
                <w:rFonts w:hint="eastAsia" w:ascii="宋体" w:hAnsi="宋体"/>
                <w:iCs/>
                <w:color w:val="000000"/>
                <w:szCs w:val="21"/>
              </w:rPr>
              <w:t>8</w:t>
            </w:r>
          </w:p>
        </w:tc>
        <w:tc>
          <w:tcPr>
            <w:tcW w:w="2649" w:type="dxa"/>
            <w:noWrap w:val="0"/>
            <w:vAlign w:val="center"/>
          </w:tcPr>
          <w:p w14:paraId="22AEE08E">
            <w:pPr>
              <w:keepNext w:val="0"/>
              <w:keepLines w:val="0"/>
              <w:suppressLineNumbers w:val="0"/>
              <w:spacing w:before="0" w:beforeAutospacing="0" w:after="0" w:afterAutospacing="0" w:line="300" w:lineRule="atLeast"/>
              <w:ind w:left="0" w:right="0"/>
              <w:rPr>
                <w:rFonts w:hint="eastAsia" w:ascii="宋体" w:hAnsi="宋体"/>
                <w:iCs/>
                <w:color w:val="000000"/>
                <w:szCs w:val="21"/>
              </w:rPr>
            </w:pPr>
            <w:r>
              <w:rPr>
                <w:rFonts w:hint="eastAsia" w:ascii="宋体" w:hAnsi="宋体"/>
                <w:iCs/>
                <w:color w:val="000000"/>
                <w:szCs w:val="21"/>
              </w:rPr>
              <w:t>价格调整的差额计算</w:t>
            </w:r>
          </w:p>
        </w:tc>
        <w:tc>
          <w:tcPr>
            <w:tcW w:w="2228" w:type="dxa"/>
            <w:noWrap w:val="0"/>
            <w:vAlign w:val="center"/>
          </w:tcPr>
          <w:p w14:paraId="2839E6D4">
            <w:pPr>
              <w:keepNext w:val="0"/>
              <w:keepLines w:val="0"/>
              <w:suppressLineNumbers w:val="0"/>
              <w:spacing w:before="0" w:beforeAutospacing="0" w:after="0" w:afterAutospacing="0" w:line="300" w:lineRule="atLeast"/>
              <w:ind w:left="0" w:right="0"/>
              <w:rPr>
                <w:rFonts w:hint="eastAsia" w:ascii="宋体" w:hAnsi="宋体"/>
                <w:iCs/>
                <w:color w:val="000000"/>
                <w:szCs w:val="21"/>
              </w:rPr>
            </w:pPr>
            <w:r>
              <w:rPr>
                <w:rFonts w:hint="eastAsia" w:ascii="宋体" w:hAnsi="宋体"/>
                <w:iCs/>
                <w:color w:val="000000"/>
                <w:szCs w:val="21"/>
              </w:rPr>
              <w:t>/</w:t>
            </w:r>
          </w:p>
        </w:tc>
        <w:tc>
          <w:tcPr>
            <w:tcW w:w="2302" w:type="dxa"/>
            <w:noWrap w:val="0"/>
            <w:vAlign w:val="center"/>
          </w:tcPr>
          <w:p w14:paraId="39F46D70">
            <w:pPr>
              <w:keepNext w:val="0"/>
              <w:keepLines w:val="0"/>
              <w:suppressLineNumbers w:val="0"/>
              <w:spacing w:before="0" w:beforeAutospacing="0" w:after="0" w:afterAutospacing="0" w:line="300" w:lineRule="atLeast"/>
              <w:ind w:left="0" w:right="0"/>
              <w:rPr>
                <w:rFonts w:hint="eastAsia" w:ascii="宋体" w:hAnsi="宋体"/>
                <w:iCs/>
                <w:color w:val="000000"/>
                <w:szCs w:val="21"/>
              </w:rPr>
            </w:pPr>
          </w:p>
        </w:tc>
        <w:tc>
          <w:tcPr>
            <w:tcW w:w="1468" w:type="dxa"/>
            <w:noWrap w:val="0"/>
            <w:vAlign w:val="center"/>
          </w:tcPr>
          <w:p w14:paraId="1E3972E9">
            <w:pPr>
              <w:keepNext w:val="0"/>
              <w:keepLines w:val="0"/>
              <w:suppressLineNumbers w:val="0"/>
              <w:spacing w:before="0" w:beforeAutospacing="0" w:after="0" w:afterAutospacing="0" w:line="300" w:lineRule="atLeast"/>
              <w:ind w:left="0" w:right="0"/>
              <w:jc w:val="center"/>
              <w:rPr>
                <w:rFonts w:hint="default" w:ascii="宋体" w:hAnsi="宋体"/>
                <w:iCs/>
                <w:color w:val="000000"/>
                <w:szCs w:val="21"/>
              </w:rPr>
            </w:pPr>
          </w:p>
        </w:tc>
      </w:tr>
      <w:tr w14:paraId="598C88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 w:hRule="atLeast"/>
          <w:jc w:val="center"/>
        </w:trPr>
        <w:tc>
          <w:tcPr>
            <w:tcW w:w="1027" w:type="dxa"/>
            <w:noWrap w:val="0"/>
            <w:vAlign w:val="center"/>
          </w:tcPr>
          <w:p w14:paraId="448AFC24">
            <w:pPr>
              <w:keepNext w:val="0"/>
              <w:keepLines w:val="0"/>
              <w:suppressLineNumbers w:val="0"/>
              <w:spacing w:before="0" w:beforeAutospacing="0" w:after="0" w:afterAutospacing="0" w:line="300" w:lineRule="atLeast"/>
              <w:ind w:left="0" w:right="0"/>
              <w:jc w:val="center"/>
              <w:rPr>
                <w:rFonts w:hint="eastAsia" w:ascii="宋体" w:hAnsi="宋体"/>
                <w:iCs/>
                <w:color w:val="000000"/>
                <w:szCs w:val="21"/>
              </w:rPr>
            </w:pPr>
            <w:r>
              <w:rPr>
                <w:rFonts w:hint="eastAsia" w:ascii="宋体" w:hAnsi="宋体"/>
                <w:iCs/>
                <w:color w:val="000000"/>
                <w:szCs w:val="21"/>
              </w:rPr>
              <w:t>9</w:t>
            </w:r>
          </w:p>
        </w:tc>
        <w:tc>
          <w:tcPr>
            <w:tcW w:w="2649" w:type="dxa"/>
            <w:noWrap w:val="0"/>
            <w:vAlign w:val="center"/>
          </w:tcPr>
          <w:p w14:paraId="1DA87702">
            <w:pPr>
              <w:keepNext w:val="0"/>
              <w:keepLines w:val="0"/>
              <w:suppressLineNumbers w:val="0"/>
              <w:spacing w:before="0" w:beforeAutospacing="0" w:after="0" w:afterAutospacing="0" w:line="300" w:lineRule="atLeast"/>
              <w:ind w:left="0" w:right="0"/>
              <w:rPr>
                <w:rFonts w:hint="default" w:ascii="宋体" w:hAnsi="宋体"/>
                <w:iCs/>
                <w:color w:val="000000"/>
                <w:szCs w:val="21"/>
              </w:rPr>
            </w:pPr>
            <w:r>
              <w:rPr>
                <w:rFonts w:hint="eastAsia" w:ascii="宋体" w:hAnsi="宋体"/>
                <w:iCs/>
                <w:color w:val="000000"/>
                <w:szCs w:val="21"/>
              </w:rPr>
              <w:t>预付款额度</w:t>
            </w:r>
          </w:p>
        </w:tc>
        <w:tc>
          <w:tcPr>
            <w:tcW w:w="2228" w:type="dxa"/>
            <w:noWrap w:val="0"/>
            <w:vAlign w:val="center"/>
          </w:tcPr>
          <w:p w14:paraId="21DF0B36">
            <w:pPr>
              <w:keepNext w:val="0"/>
              <w:keepLines w:val="0"/>
              <w:suppressLineNumbers w:val="0"/>
              <w:spacing w:before="0" w:beforeAutospacing="0" w:after="0" w:afterAutospacing="0" w:line="300" w:lineRule="atLeast"/>
              <w:ind w:left="0" w:right="0"/>
              <w:rPr>
                <w:rFonts w:hint="eastAsia" w:ascii="宋体" w:hAnsi="宋体"/>
                <w:iCs/>
                <w:color w:val="000000"/>
                <w:szCs w:val="21"/>
              </w:rPr>
            </w:pPr>
            <w:r>
              <w:rPr>
                <w:rFonts w:hint="eastAsia" w:ascii="宋体" w:hAnsi="宋体"/>
                <w:iCs/>
                <w:color w:val="000000"/>
                <w:szCs w:val="21"/>
              </w:rPr>
              <w:t>专用合同</w:t>
            </w:r>
          </w:p>
        </w:tc>
        <w:tc>
          <w:tcPr>
            <w:tcW w:w="2302" w:type="dxa"/>
            <w:noWrap w:val="0"/>
            <w:vAlign w:val="center"/>
          </w:tcPr>
          <w:p w14:paraId="0FED0D86">
            <w:pPr>
              <w:keepNext w:val="0"/>
              <w:keepLines w:val="0"/>
              <w:suppressLineNumbers w:val="0"/>
              <w:spacing w:before="0" w:beforeAutospacing="0" w:after="0" w:afterAutospacing="0" w:line="300" w:lineRule="atLeast"/>
              <w:ind w:left="0" w:right="0"/>
              <w:rPr>
                <w:rFonts w:hint="default" w:ascii="宋体" w:hAnsi="宋体"/>
                <w:iCs/>
                <w:color w:val="000000"/>
                <w:szCs w:val="21"/>
              </w:rPr>
            </w:pPr>
          </w:p>
        </w:tc>
        <w:tc>
          <w:tcPr>
            <w:tcW w:w="1468" w:type="dxa"/>
            <w:noWrap w:val="0"/>
            <w:vAlign w:val="center"/>
          </w:tcPr>
          <w:p w14:paraId="77CA3F61">
            <w:pPr>
              <w:keepNext w:val="0"/>
              <w:keepLines w:val="0"/>
              <w:suppressLineNumbers w:val="0"/>
              <w:spacing w:before="0" w:beforeAutospacing="0" w:after="0" w:afterAutospacing="0" w:line="300" w:lineRule="atLeast"/>
              <w:ind w:left="0" w:right="0"/>
              <w:jc w:val="center"/>
              <w:rPr>
                <w:rFonts w:hint="default" w:ascii="宋体" w:hAnsi="宋体"/>
                <w:iCs/>
                <w:color w:val="000000"/>
                <w:szCs w:val="21"/>
              </w:rPr>
            </w:pPr>
          </w:p>
        </w:tc>
      </w:tr>
      <w:tr w14:paraId="4B04CC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 w:hRule="atLeast"/>
          <w:jc w:val="center"/>
        </w:trPr>
        <w:tc>
          <w:tcPr>
            <w:tcW w:w="1027" w:type="dxa"/>
            <w:noWrap w:val="0"/>
            <w:vAlign w:val="center"/>
          </w:tcPr>
          <w:p w14:paraId="3352DE4E">
            <w:pPr>
              <w:keepNext w:val="0"/>
              <w:keepLines w:val="0"/>
              <w:suppressLineNumbers w:val="0"/>
              <w:spacing w:before="0" w:beforeAutospacing="0" w:after="0" w:afterAutospacing="0" w:line="300" w:lineRule="atLeast"/>
              <w:ind w:left="0" w:right="0"/>
              <w:jc w:val="center"/>
              <w:rPr>
                <w:rFonts w:hint="eastAsia" w:ascii="宋体" w:hAnsi="宋体"/>
                <w:iCs/>
                <w:color w:val="000000"/>
                <w:szCs w:val="21"/>
              </w:rPr>
            </w:pPr>
            <w:r>
              <w:rPr>
                <w:rFonts w:hint="eastAsia" w:ascii="宋体" w:hAnsi="宋体"/>
                <w:iCs/>
                <w:color w:val="000000"/>
                <w:szCs w:val="21"/>
              </w:rPr>
              <w:t>10</w:t>
            </w:r>
          </w:p>
        </w:tc>
        <w:tc>
          <w:tcPr>
            <w:tcW w:w="2649" w:type="dxa"/>
            <w:noWrap w:val="0"/>
            <w:vAlign w:val="center"/>
          </w:tcPr>
          <w:p w14:paraId="63ECB62E">
            <w:pPr>
              <w:keepNext w:val="0"/>
              <w:keepLines w:val="0"/>
              <w:suppressLineNumbers w:val="0"/>
              <w:spacing w:before="0" w:beforeAutospacing="0" w:after="0" w:afterAutospacing="0" w:line="300" w:lineRule="atLeast"/>
              <w:ind w:left="0" w:right="0"/>
              <w:rPr>
                <w:rFonts w:hint="eastAsia" w:ascii="宋体" w:hAnsi="宋体"/>
                <w:iCs/>
                <w:color w:val="000000"/>
                <w:szCs w:val="21"/>
              </w:rPr>
            </w:pPr>
            <w:r>
              <w:rPr>
                <w:rFonts w:hint="eastAsia" w:ascii="宋体" w:hAnsi="宋体"/>
                <w:iCs/>
                <w:color w:val="000000"/>
                <w:szCs w:val="21"/>
              </w:rPr>
              <w:t>预付款保函金额</w:t>
            </w:r>
          </w:p>
        </w:tc>
        <w:tc>
          <w:tcPr>
            <w:tcW w:w="2228" w:type="dxa"/>
            <w:noWrap w:val="0"/>
            <w:vAlign w:val="center"/>
          </w:tcPr>
          <w:p w14:paraId="129449D0">
            <w:pPr>
              <w:keepNext w:val="0"/>
              <w:keepLines w:val="0"/>
              <w:suppressLineNumbers w:val="0"/>
              <w:spacing w:before="0" w:beforeAutospacing="0" w:after="0" w:afterAutospacing="0" w:line="300" w:lineRule="atLeast"/>
              <w:ind w:left="0" w:right="0"/>
              <w:rPr>
                <w:rFonts w:hint="eastAsia" w:ascii="宋体" w:hAnsi="宋体"/>
                <w:iCs/>
                <w:color w:val="000000"/>
                <w:szCs w:val="21"/>
              </w:rPr>
            </w:pPr>
            <w:r>
              <w:rPr>
                <w:rFonts w:hint="eastAsia" w:ascii="宋体" w:hAnsi="宋体"/>
                <w:iCs/>
                <w:color w:val="000000"/>
                <w:szCs w:val="21"/>
              </w:rPr>
              <w:t>/</w:t>
            </w:r>
          </w:p>
        </w:tc>
        <w:tc>
          <w:tcPr>
            <w:tcW w:w="2302" w:type="dxa"/>
            <w:noWrap w:val="0"/>
            <w:vAlign w:val="center"/>
          </w:tcPr>
          <w:p w14:paraId="5EF5B43C">
            <w:pPr>
              <w:keepNext w:val="0"/>
              <w:keepLines w:val="0"/>
              <w:suppressLineNumbers w:val="0"/>
              <w:spacing w:before="0" w:beforeAutospacing="0" w:after="0" w:afterAutospacing="0" w:line="300" w:lineRule="atLeast"/>
              <w:ind w:left="0" w:right="0"/>
              <w:rPr>
                <w:rFonts w:hint="default" w:ascii="宋体" w:hAnsi="宋体"/>
                <w:iCs/>
                <w:color w:val="000000"/>
                <w:szCs w:val="21"/>
              </w:rPr>
            </w:pPr>
          </w:p>
        </w:tc>
        <w:tc>
          <w:tcPr>
            <w:tcW w:w="1468" w:type="dxa"/>
            <w:noWrap w:val="0"/>
            <w:vAlign w:val="center"/>
          </w:tcPr>
          <w:p w14:paraId="1990706F">
            <w:pPr>
              <w:keepNext w:val="0"/>
              <w:keepLines w:val="0"/>
              <w:suppressLineNumbers w:val="0"/>
              <w:spacing w:before="0" w:beforeAutospacing="0" w:after="0" w:afterAutospacing="0" w:line="300" w:lineRule="atLeast"/>
              <w:ind w:left="0" w:right="0"/>
              <w:jc w:val="center"/>
              <w:rPr>
                <w:rFonts w:hint="default" w:ascii="宋体" w:hAnsi="宋体"/>
                <w:iCs/>
                <w:color w:val="000000"/>
                <w:szCs w:val="21"/>
              </w:rPr>
            </w:pPr>
          </w:p>
        </w:tc>
      </w:tr>
      <w:tr w14:paraId="4280BA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jc w:val="center"/>
        </w:trPr>
        <w:tc>
          <w:tcPr>
            <w:tcW w:w="1027" w:type="dxa"/>
            <w:noWrap w:val="0"/>
            <w:vAlign w:val="center"/>
          </w:tcPr>
          <w:p w14:paraId="30B36307">
            <w:pPr>
              <w:keepNext w:val="0"/>
              <w:keepLines w:val="0"/>
              <w:suppressLineNumbers w:val="0"/>
              <w:spacing w:before="0" w:beforeAutospacing="0" w:after="0" w:afterAutospacing="0" w:line="300" w:lineRule="atLeast"/>
              <w:ind w:left="0" w:right="0"/>
              <w:jc w:val="center"/>
              <w:rPr>
                <w:rFonts w:hint="eastAsia" w:ascii="宋体" w:hAnsi="宋体"/>
                <w:iCs/>
                <w:color w:val="000000"/>
                <w:szCs w:val="21"/>
              </w:rPr>
            </w:pPr>
            <w:r>
              <w:rPr>
                <w:rFonts w:hint="eastAsia" w:ascii="宋体" w:hAnsi="宋体"/>
                <w:iCs/>
                <w:color w:val="000000"/>
                <w:szCs w:val="21"/>
              </w:rPr>
              <w:t>11</w:t>
            </w:r>
          </w:p>
        </w:tc>
        <w:tc>
          <w:tcPr>
            <w:tcW w:w="2649" w:type="dxa"/>
            <w:noWrap w:val="0"/>
            <w:vAlign w:val="center"/>
          </w:tcPr>
          <w:p w14:paraId="0E5CC084">
            <w:pPr>
              <w:keepNext w:val="0"/>
              <w:keepLines w:val="0"/>
              <w:suppressLineNumbers w:val="0"/>
              <w:spacing w:before="0" w:beforeAutospacing="0" w:after="0" w:afterAutospacing="0" w:line="300" w:lineRule="atLeast"/>
              <w:ind w:left="0" w:right="0"/>
              <w:rPr>
                <w:rFonts w:hint="default" w:ascii="宋体" w:hAnsi="宋体"/>
                <w:iCs/>
                <w:color w:val="000000"/>
                <w:szCs w:val="21"/>
              </w:rPr>
            </w:pPr>
            <w:r>
              <w:rPr>
                <w:rFonts w:hint="eastAsia" w:ascii="宋体" w:hAnsi="宋体"/>
                <w:iCs/>
                <w:color w:val="000000"/>
                <w:szCs w:val="21"/>
              </w:rPr>
              <w:t>质量保证金扣留百分比</w:t>
            </w:r>
          </w:p>
        </w:tc>
        <w:tc>
          <w:tcPr>
            <w:tcW w:w="2228" w:type="dxa"/>
            <w:noWrap w:val="0"/>
            <w:vAlign w:val="center"/>
          </w:tcPr>
          <w:p w14:paraId="715B87AE">
            <w:pPr>
              <w:keepNext w:val="0"/>
              <w:keepLines w:val="0"/>
              <w:suppressLineNumbers w:val="0"/>
              <w:spacing w:before="0" w:beforeAutospacing="0" w:after="0" w:afterAutospacing="0" w:line="300" w:lineRule="atLeast"/>
              <w:ind w:left="0" w:right="0"/>
              <w:rPr>
                <w:rFonts w:hint="eastAsia" w:ascii="宋体" w:hAnsi="宋体"/>
                <w:iCs/>
                <w:color w:val="000000"/>
                <w:szCs w:val="21"/>
              </w:rPr>
            </w:pPr>
            <w:r>
              <w:rPr>
                <w:rFonts w:hint="eastAsia" w:ascii="宋体" w:hAnsi="宋体"/>
                <w:iCs/>
                <w:color w:val="000000"/>
                <w:szCs w:val="21"/>
              </w:rPr>
              <w:t>竣工结算造价的 3 ％</w:t>
            </w:r>
          </w:p>
        </w:tc>
        <w:tc>
          <w:tcPr>
            <w:tcW w:w="2302" w:type="dxa"/>
            <w:noWrap w:val="0"/>
            <w:vAlign w:val="center"/>
          </w:tcPr>
          <w:p w14:paraId="2324CE56">
            <w:pPr>
              <w:keepNext w:val="0"/>
              <w:keepLines w:val="0"/>
              <w:suppressLineNumbers w:val="0"/>
              <w:spacing w:before="0" w:beforeAutospacing="0" w:after="0" w:afterAutospacing="0" w:line="300" w:lineRule="atLeast"/>
              <w:ind w:left="0" w:right="0"/>
              <w:rPr>
                <w:rFonts w:hint="default" w:ascii="宋体" w:hAnsi="宋体"/>
                <w:iCs/>
                <w:color w:val="000000"/>
                <w:szCs w:val="21"/>
              </w:rPr>
            </w:pPr>
          </w:p>
        </w:tc>
        <w:tc>
          <w:tcPr>
            <w:tcW w:w="1468" w:type="dxa"/>
            <w:noWrap w:val="0"/>
            <w:vAlign w:val="center"/>
          </w:tcPr>
          <w:p w14:paraId="4B086C58">
            <w:pPr>
              <w:keepNext w:val="0"/>
              <w:keepLines w:val="0"/>
              <w:suppressLineNumbers w:val="0"/>
              <w:spacing w:before="0" w:beforeAutospacing="0" w:after="0" w:afterAutospacing="0" w:line="300" w:lineRule="atLeast"/>
              <w:ind w:left="0" w:right="0"/>
              <w:jc w:val="center"/>
              <w:rPr>
                <w:rFonts w:hint="default" w:ascii="宋体" w:hAnsi="宋体"/>
                <w:iCs/>
                <w:color w:val="000000"/>
                <w:szCs w:val="21"/>
              </w:rPr>
            </w:pPr>
          </w:p>
        </w:tc>
      </w:tr>
      <w:tr w14:paraId="6DBD99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8" w:hRule="atLeast"/>
          <w:jc w:val="center"/>
        </w:trPr>
        <w:tc>
          <w:tcPr>
            <w:tcW w:w="1027" w:type="dxa"/>
            <w:noWrap w:val="0"/>
            <w:vAlign w:val="center"/>
          </w:tcPr>
          <w:p w14:paraId="3ECD4403">
            <w:pPr>
              <w:keepNext w:val="0"/>
              <w:keepLines w:val="0"/>
              <w:suppressLineNumbers w:val="0"/>
              <w:spacing w:before="0" w:beforeAutospacing="0" w:after="0" w:afterAutospacing="0" w:line="300" w:lineRule="atLeast"/>
              <w:ind w:left="0" w:right="0"/>
              <w:jc w:val="center"/>
              <w:rPr>
                <w:rFonts w:hint="eastAsia" w:ascii="宋体" w:hAnsi="宋体"/>
                <w:iCs/>
                <w:color w:val="000000"/>
                <w:szCs w:val="21"/>
              </w:rPr>
            </w:pPr>
            <w:r>
              <w:rPr>
                <w:rFonts w:hint="eastAsia" w:ascii="宋体" w:hAnsi="宋体"/>
                <w:iCs/>
                <w:color w:val="000000"/>
                <w:szCs w:val="21"/>
              </w:rPr>
              <w:t>12</w:t>
            </w:r>
          </w:p>
        </w:tc>
        <w:tc>
          <w:tcPr>
            <w:tcW w:w="2649" w:type="dxa"/>
            <w:noWrap w:val="0"/>
            <w:vAlign w:val="center"/>
          </w:tcPr>
          <w:p w14:paraId="27AE50D3">
            <w:pPr>
              <w:keepNext w:val="0"/>
              <w:keepLines w:val="0"/>
              <w:suppressLineNumbers w:val="0"/>
              <w:spacing w:before="0" w:beforeAutospacing="0" w:after="0" w:afterAutospacing="0" w:line="300" w:lineRule="atLeast"/>
              <w:ind w:left="0" w:right="0"/>
              <w:rPr>
                <w:rFonts w:hint="eastAsia" w:ascii="宋体" w:hAnsi="宋体"/>
                <w:iCs/>
                <w:color w:val="000000"/>
                <w:szCs w:val="21"/>
              </w:rPr>
            </w:pPr>
            <w:r>
              <w:rPr>
                <w:rFonts w:hint="eastAsia" w:ascii="宋体" w:hAnsi="宋体"/>
                <w:iCs/>
                <w:color w:val="000000"/>
                <w:szCs w:val="21"/>
              </w:rPr>
              <w:t>质量保证金额度</w:t>
            </w:r>
          </w:p>
        </w:tc>
        <w:tc>
          <w:tcPr>
            <w:tcW w:w="2228" w:type="dxa"/>
            <w:noWrap w:val="0"/>
            <w:vAlign w:val="center"/>
          </w:tcPr>
          <w:p w14:paraId="11D00D92">
            <w:pPr>
              <w:keepNext w:val="0"/>
              <w:keepLines w:val="0"/>
              <w:suppressLineNumbers w:val="0"/>
              <w:spacing w:before="0" w:beforeAutospacing="0" w:after="0" w:afterAutospacing="0" w:line="300" w:lineRule="atLeast"/>
              <w:ind w:left="0" w:right="0"/>
              <w:rPr>
                <w:rFonts w:hint="eastAsia" w:ascii="宋体" w:hAnsi="宋体"/>
                <w:iCs/>
                <w:color w:val="000000"/>
                <w:szCs w:val="21"/>
              </w:rPr>
            </w:pPr>
            <w:r>
              <w:rPr>
                <w:rFonts w:hint="eastAsia" w:ascii="宋体" w:hAnsi="宋体"/>
                <w:iCs/>
                <w:color w:val="000000"/>
                <w:szCs w:val="21"/>
              </w:rPr>
              <w:t>专用合同</w:t>
            </w:r>
          </w:p>
        </w:tc>
        <w:tc>
          <w:tcPr>
            <w:tcW w:w="2302" w:type="dxa"/>
            <w:noWrap w:val="0"/>
            <w:vAlign w:val="center"/>
          </w:tcPr>
          <w:p w14:paraId="28442AA7">
            <w:pPr>
              <w:keepNext w:val="0"/>
              <w:keepLines w:val="0"/>
              <w:suppressLineNumbers w:val="0"/>
              <w:spacing w:before="0" w:beforeAutospacing="0" w:after="0" w:afterAutospacing="0" w:line="300" w:lineRule="atLeast"/>
              <w:ind w:left="0" w:right="0"/>
              <w:rPr>
                <w:rFonts w:hint="default" w:ascii="宋体" w:hAnsi="宋体"/>
                <w:iCs/>
                <w:color w:val="000000"/>
                <w:szCs w:val="21"/>
              </w:rPr>
            </w:pPr>
          </w:p>
        </w:tc>
        <w:tc>
          <w:tcPr>
            <w:tcW w:w="1468" w:type="dxa"/>
            <w:noWrap w:val="0"/>
            <w:vAlign w:val="center"/>
          </w:tcPr>
          <w:p w14:paraId="00F4CF87">
            <w:pPr>
              <w:keepNext w:val="0"/>
              <w:keepLines w:val="0"/>
              <w:suppressLineNumbers w:val="0"/>
              <w:spacing w:before="0" w:beforeAutospacing="0" w:after="0" w:afterAutospacing="0" w:line="300" w:lineRule="atLeast"/>
              <w:ind w:left="0" w:right="0"/>
              <w:jc w:val="center"/>
              <w:rPr>
                <w:rFonts w:hint="default" w:ascii="宋体" w:hAnsi="宋体"/>
                <w:iCs/>
                <w:color w:val="000000"/>
                <w:szCs w:val="21"/>
              </w:rPr>
            </w:pPr>
          </w:p>
        </w:tc>
      </w:tr>
      <w:tr w14:paraId="63C008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 w:hRule="atLeast"/>
          <w:jc w:val="center"/>
        </w:trPr>
        <w:tc>
          <w:tcPr>
            <w:tcW w:w="1027" w:type="dxa"/>
            <w:noWrap w:val="0"/>
            <w:vAlign w:val="center"/>
          </w:tcPr>
          <w:p w14:paraId="3C77372C">
            <w:pPr>
              <w:keepNext w:val="0"/>
              <w:keepLines w:val="0"/>
              <w:suppressLineNumbers w:val="0"/>
              <w:spacing w:before="0" w:beforeAutospacing="0" w:after="0" w:afterAutospacing="0" w:line="300" w:lineRule="atLeast"/>
              <w:ind w:left="0" w:right="0"/>
              <w:jc w:val="center"/>
              <w:rPr>
                <w:rFonts w:hint="eastAsia" w:ascii="宋体" w:hAnsi="宋体"/>
                <w:color w:val="000000"/>
                <w:szCs w:val="21"/>
              </w:rPr>
            </w:pPr>
            <w:r>
              <w:rPr>
                <w:rFonts w:hint="eastAsia" w:ascii="宋体" w:hAnsi="宋体"/>
                <w:color w:val="000000"/>
                <w:szCs w:val="21"/>
              </w:rPr>
              <w:t>13</w:t>
            </w:r>
          </w:p>
        </w:tc>
        <w:tc>
          <w:tcPr>
            <w:tcW w:w="2649" w:type="dxa"/>
            <w:noWrap w:val="0"/>
            <w:vAlign w:val="center"/>
          </w:tcPr>
          <w:p w14:paraId="773F1E93">
            <w:pPr>
              <w:keepNext w:val="0"/>
              <w:keepLines w:val="0"/>
              <w:suppressLineNumbers w:val="0"/>
              <w:spacing w:before="0" w:beforeAutospacing="0" w:after="0" w:afterAutospacing="0" w:line="300" w:lineRule="atLeast"/>
              <w:ind w:left="0" w:right="0"/>
              <w:rPr>
                <w:rFonts w:hint="eastAsia" w:ascii="宋体" w:hAnsi="宋体"/>
                <w:color w:val="000000"/>
                <w:szCs w:val="21"/>
              </w:rPr>
            </w:pPr>
            <w:r>
              <w:rPr>
                <w:rFonts w:hint="eastAsia" w:ascii="宋体" w:hAnsi="宋体"/>
                <w:color w:val="000000"/>
                <w:szCs w:val="21"/>
              </w:rPr>
              <w:t>工程质量保修期限</w:t>
            </w:r>
          </w:p>
        </w:tc>
        <w:tc>
          <w:tcPr>
            <w:tcW w:w="2228" w:type="dxa"/>
            <w:noWrap w:val="0"/>
            <w:vAlign w:val="center"/>
          </w:tcPr>
          <w:p w14:paraId="0E49AC21">
            <w:pPr>
              <w:keepNext w:val="0"/>
              <w:keepLines w:val="0"/>
              <w:suppressLineNumbers w:val="0"/>
              <w:spacing w:before="0" w:beforeAutospacing="0" w:after="0" w:afterAutospacing="0" w:line="300" w:lineRule="atLeast"/>
              <w:ind w:left="0" w:right="0"/>
              <w:jc w:val="center"/>
              <w:rPr>
                <w:rFonts w:hint="eastAsia" w:ascii="宋体" w:hAnsi="宋体"/>
                <w:color w:val="000000"/>
                <w:szCs w:val="21"/>
              </w:rPr>
            </w:pPr>
          </w:p>
        </w:tc>
        <w:tc>
          <w:tcPr>
            <w:tcW w:w="2302" w:type="dxa"/>
            <w:noWrap w:val="0"/>
            <w:vAlign w:val="center"/>
          </w:tcPr>
          <w:p w14:paraId="74747A10">
            <w:pPr>
              <w:keepNext w:val="0"/>
              <w:keepLines w:val="0"/>
              <w:suppressLineNumbers w:val="0"/>
              <w:spacing w:before="0" w:beforeAutospacing="0" w:after="0" w:afterAutospacing="0" w:line="300" w:lineRule="atLeast"/>
              <w:ind w:left="0" w:right="0"/>
              <w:rPr>
                <w:rFonts w:hint="default" w:ascii="宋体" w:hAnsi="宋体"/>
                <w:iCs/>
                <w:color w:val="000000"/>
                <w:szCs w:val="21"/>
              </w:rPr>
            </w:pPr>
          </w:p>
        </w:tc>
        <w:tc>
          <w:tcPr>
            <w:tcW w:w="1468" w:type="dxa"/>
            <w:noWrap w:val="0"/>
            <w:vAlign w:val="center"/>
          </w:tcPr>
          <w:p w14:paraId="2CB5FDAB">
            <w:pPr>
              <w:keepNext w:val="0"/>
              <w:keepLines w:val="0"/>
              <w:suppressLineNumbers w:val="0"/>
              <w:spacing w:before="0" w:beforeAutospacing="0" w:after="0" w:afterAutospacing="0" w:line="300" w:lineRule="atLeast"/>
              <w:ind w:left="0" w:right="0"/>
              <w:jc w:val="center"/>
              <w:rPr>
                <w:rFonts w:hint="default" w:ascii="宋体" w:hAnsi="宋体"/>
                <w:iCs/>
                <w:color w:val="000000"/>
                <w:szCs w:val="21"/>
              </w:rPr>
            </w:pPr>
          </w:p>
        </w:tc>
      </w:tr>
      <w:tr w14:paraId="43C431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 w:hRule="atLeast"/>
          <w:jc w:val="center"/>
        </w:trPr>
        <w:tc>
          <w:tcPr>
            <w:tcW w:w="1027" w:type="dxa"/>
            <w:noWrap w:val="0"/>
            <w:vAlign w:val="center"/>
          </w:tcPr>
          <w:p w14:paraId="36C83A10">
            <w:pPr>
              <w:keepNext w:val="0"/>
              <w:keepLines w:val="0"/>
              <w:suppressLineNumbers w:val="0"/>
              <w:spacing w:before="0" w:beforeAutospacing="0" w:after="0" w:afterAutospacing="0" w:line="300" w:lineRule="atLeast"/>
              <w:ind w:left="0" w:right="0"/>
              <w:jc w:val="center"/>
              <w:rPr>
                <w:rFonts w:hint="eastAsia" w:ascii="宋体" w:hAnsi="宋体"/>
                <w:color w:val="000000"/>
                <w:szCs w:val="21"/>
              </w:rPr>
            </w:pPr>
            <w:r>
              <w:rPr>
                <w:rFonts w:hint="eastAsia" w:ascii="宋体" w:hAnsi="宋体"/>
                <w:color w:val="000000"/>
                <w:szCs w:val="21"/>
              </w:rPr>
              <w:t>13.1</w:t>
            </w:r>
          </w:p>
        </w:tc>
        <w:tc>
          <w:tcPr>
            <w:tcW w:w="2649" w:type="dxa"/>
            <w:noWrap w:val="0"/>
            <w:vAlign w:val="center"/>
          </w:tcPr>
          <w:p w14:paraId="15FA40CC">
            <w:pPr>
              <w:keepNext w:val="0"/>
              <w:keepLines w:val="0"/>
              <w:suppressLineNumbers w:val="0"/>
              <w:spacing w:before="0" w:beforeAutospacing="0" w:after="0" w:afterAutospacing="0" w:line="300" w:lineRule="atLeast"/>
              <w:ind w:left="0" w:right="0"/>
              <w:rPr>
                <w:rFonts w:hint="eastAsia" w:ascii="宋体" w:hAnsi="宋体"/>
                <w:color w:val="000000"/>
                <w:szCs w:val="21"/>
              </w:rPr>
            </w:pPr>
            <w:r>
              <w:rPr>
                <w:rFonts w:hint="eastAsia" w:ascii="宋体" w:hAnsi="宋体"/>
                <w:color w:val="000000"/>
                <w:szCs w:val="21"/>
              </w:rPr>
              <w:t>地基基础工程和主体结构工程</w:t>
            </w:r>
          </w:p>
        </w:tc>
        <w:tc>
          <w:tcPr>
            <w:tcW w:w="2228" w:type="dxa"/>
            <w:noWrap w:val="0"/>
            <w:vAlign w:val="center"/>
          </w:tcPr>
          <w:p w14:paraId="618B12AE">
            <w:pPr>
              <w:keepNext w:val="0"/>
              <w:keepLines w:val="0"/>
              <w:suppressLineNumbers w:val="0"/>
              <w:spacing w:before="0" w:beforeAutospacing="0" w:after="0" w:afterAutospacing="0" w:line="300" w:lineRule="atLeast"/>
              <w:ind w:left="0" w:right="0"/>
              <w:jc w:val="center"/>
              <w:rPr>
                <w:rFonts w:hint="eastAsia" w:ascii="宋体" w:hAnsi="宋体"/>
                <w:color w:val="000000"/>
                <w:szCs w:val="21"/>
              </w:rPr>
            </w:pPr>
            <w:r>
              <w:rPr>
                <w:rFonts w:hint="eastAsia" w:ascii="宋体" w:hAnsi="宋体"/>
                <w:color w:val="000000"/>
                <w:szCs w:val="21"/>
              </w:rPr>
              <w:t>为设计文件规定的该工程合理使用年限；</w:t>
            </w:r>
          </w:p>
        </w:tc>
        <w:tc>
          <w:tcPr>
            <w:tcW w:w="2302" w:type="dxa"/>
            <w:noWrap w:val="0"/>
            <w:vAlign w:val="center"/>
          </w:tcPr>
          <w:p w14:paraId="298282B7">
            <w:pPr>
              <w:keepNext w:val="0"/>
              <w:keepLines w:val="0"/>
              <w:suppressLineNumbers w:val="0"/>
              <w:spacing w:before="0" w:beforeAutospacing="0" w:after="0" w:afterAutospacing="0" w:line="300" w:lineRule="atLeast"/>
              <w:ind w:left="0" w:right="0"/>
              <w:rPr>
                <w:rFonts w:hint="default" w:ascii="宋体" w:hAnsi="宋体"/>
                <w:iCs/>
                <w:color w:val="000000"/>
                <w:szCs w:val="21"/>
              </w:rPr>
            </w:pPr>
          </w:p>
        </w:tc>
        <w:tc>
          <w:tcPr>
            <w:tcW w:w="1468" w:type="dxa"/>
            <w:noWrap w:val="0"/>
            <w:vAlign w:val="center"/>
          </w:tcPr>
          <w:p w14:paraId="49795B2A">
            <w:pPr>
              <w:keepNext w:val="0"/>
              <w:keepLines w:val="0"/>
              <w:suppressLineNumbers w:val="0"/>
              <w:spacing w:before="0" w:beforeAutospacing="0" w:after="0" w:afterAutospacing="0" w:line="300" w:lineRule="atLeast"/>
              <w:ind w:left="0" w:right="0"/>
              <w:jc w:val="center"/>
              <w:rPr>
                <w:rFonts w:hint="default" w:ascii="宋体" w:hAnsi="宋体"/>
                <w:iCs/>
                <w:color w:val="000000"/>
                <w:szCs w:val="21"/>
              </w:rPr>
            </w:pPr>
          </w:p>
        </w:tc>
      </w:tr>
      <w:tr w14:paraId="56483A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 w:hRule="atLeast"/>
          <w:jc w:val="center"/>
        </w:trPr>
        <w:tc>
          <w:tcPr>
            <w:tcW w:w="1027" w:type="dxa"/>
            <w:noWrap w:val="0"/>
            <w:vAlign w:val="center"/>
          </w:tcPr>
          <w:p w14:paraId="2038482A">
            <w:pPr>
              <w:keepNext w:val="0"/>
              <w:keepLines w:val="0"/>
              <w:suppressLineNumbers w:val="0"/>
              <w:spacing w:before="0" w:beforeAutospacing="0" w:after="0" w:afterAutospacing="0" w:line="300" w:lineRule="atLeast"/>
              <w:ind w:left="0" w:right="0"/>
              <w:jc w:val="center"/>
              <w:rPr>
                <w:rFonts w:hint="eastAsia" w:ascii="宋体" w:hAnsi="宋体"/>
                <w:color w:val="000000"/>
                <w:szCs w:val="21"/>
              </w:rPr>
            </w:pPr>
            <w:r>
              <w:rPr>
                <w:rFonts w:hint="eastAsia" w:ascii="宋体" w:hAnsi="宋体"/>
                <w:color w:val="000000"/>
                <w:szCs w:val="21"/>
              </w:rPr>
              <w:t>13.2</w:t>
            </w:r>
          </w:p>
        </w:tc>
        <w:tc>
          <w:tcPr>
            <w:tcW w:w="2649" w:type="dxa"/>
            <w:noWrap w:val="0"/>
            <w:vAlign w:val="center"/>
          </w:tcPr>
          <w:p w14:paraId="454E4969">
            <w:pPr>
              <w:keepNext w:val="0"/>
              <w:keepLines w:val="0"/>
              <w:suppressLineNumbers w:val="0"/>
              <w:spacing w:before="0" w:beforeAutospacing="0" w:after="0" w:afterAutospacing="0" w:line="300" w:lineRule="atLeast"/>
              <w:ind w:left="0" w:right="0"/>
              <w:rPr>
                <w:rFonts w:hint="eastAsia" w:ascii="宋体" w:hAnsi="宋体"/>
                <w:color w:val="000000"/>
                <w:szCs w:val="21"/>
              </w:rPr>
            </w:pPr>
            <w:r>
              <w:rPr>
                <w:rFonts w:hint="eastAsia" w:ascii="宋体" w:hAnsi="宋体"/>
                <w:color w:val="000000"/>
                <w:szCs w:val="21"/>
              </w:rPr>
              <w:t>电气管线、给排水管道、设备安装工程</w:t>
            </w:r>
          </w:p>
        </w:tc>
        <w:tc>
          <w:tcPr>
            <w:tcW w:w="2228" w:type="dxa"/>
            <w:noWrap w:val="0"/>
            <w:vAlign w:val="center"/>
          </w:tcPr>
          <w:p w14:paraId="6A0DA131">
            <w:pPr>
              <w:keepNext w:val="0"/>
              <w:keepLines w:val="0"/>
              <w:suppressLineNumbers w:val="0"/>
              <w:spacing w:before="0" w:beforeAutospacing="0" w:after="0" w:afterAutospacing="0" w:line="300" w:lineRule="atLeast"/>
              <w:ind w:left="0" w:right="0"/>
              <w:jc w:val="center"/>
              <w:rPr>
                <w:rFonts w:hint="eastAsia" w:ascii="宋体" w:hAnsi="宋体"/>
                <w:color w:val="000000"/>
                <w:szCs w:val="21"/>
              </w:rPr>
            </w:pPr>
            <w:r>
              <w:rPr>
                <w:rFonts w:hint="eastAsia" w:ascii="宋体" w:hAnsi="宋体"/>
                <w:color w:val="000000"/>
                <w:szCs w:val="21"/>
              </w:rPr>
              <w:t>保修期 2 年</w:t>
            </w:r>
          </w:p>
        </w:tc>
        <w:tc>
          <w:tcPr>
            <w:tcW w:w="2302" w:type="dxa"/>
            <w:noWrap w:val="0"/>
            <w:vAlign w:val="center"/>
          </w:tcPr>
          <w:p w14:paraId="30F8C28E">
            <w:pPr>
              <w:keepNext w:val="0"/>
              <w:keepLines w:val="0"/>
              <w:suppressLineNumbers w:val="0"/>
              <w:spacing w:before="0" w:beforeAutospacing="0" w:after="0" w:afterAutospacing="0" w:line="300" w:lineRule="atLeast"/>
              <w:ind w:left="0" w:right="0"/>
              <w:jc w:val="center"/>
              <w:rPr>
                <w:rFonts w:hint="eastAsia" w:ascii="宋体" w:hAnsi="宋体"/>
                <w:color w:val="000000"/>
                <w:szCs w:val="21"/>
              </w:rPr>
            </w:pPr>
            <w:r>
              <w:rPr>
                <w:rFonts w:hint="eastAsia" w:ascii="宋体" w:hAnsi="宋体"/>
                <w:color w:val="000000"/>
                <w:szCs w:val="21"/>
              </w:rPr>
              <w:t>保修期   年</w:t>
            </w:r>
          </w:p>
        </w:tc>
        <w:tc>
          <w:tcPr>
            <w:tcW w:w="1468" w:type="dxa"/>
            <w:noWrap w:val="0"/>
            <w:vAlign w:val="center"/>
          </w:tcPr>
          <w:p w14:paraId="4915BEED">
            <w:pPr>
              <w:keepNext w:val="0"/>
              <w:keepLines w:val="0"/>
              <w:suppressLineNumbers w:val="0"/>
              <w:spacing w:before="0" w:beforeAutospacing="0" w:after="0" w:afterAutospacing="0" w:line="300" w:lineRule="atLeast"/>
              <w:ind w:left="0" w:right="0"/>
              <w:jc w:val="center"/>
              <w:rPr>
                <w:rFonts w:hint="default" w:ascii="宋体" w:hAnsi="宋体"/>
                <w:iCs/>
                <w:color w:val="000000"/>
                <w:szCs w:val="21"/>
              </w:rPr>
            </w:pPr>
          </w:p>
        </w:tc>
      </w:tr>
      <w:tr w14:paraId="633A09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 w:hRule="atLeast"/>
          <w:jc w:val="center"/>
        </w:trPr>
        <w:tc>
          <w:tcPr>
            <w:tcW w:w="1027" w:type="dxa"/>
            <w:noWrap w:val="0"/>
            <w:vAlign w:val="center"/>
          </w:tcPr>
          <w:p w14:paraId="34D80F43">
            <w:pPr>
              <w:keepNext w:val="0"/>
              <w:keepLines w:val="0"/>
              <w:suppressLineNumbers w:val="0"/>
              <w:spacing w:before="0" w:beforeAutospacing="0" w:after="0" w:afterAutospacing="0" w:line="300" w:lineRule="atLeast"/>
              <w:ind w:left="0" w:right="0"/>
              <w:jc w:val="center"/>
              <w:rPr>
                <w:rFonts w:hint="eastAsia" w:ascii="宋体" w:hAnsi="宋体"/>
                <w:color w:val="000000"/>
                <w:szCs w:val="21"/>
              </w:rPr>
            </w:pPr>
            <w:r>
              <w:rPr>
                <w:rFonts w:hint="eastAsia" w:ascii="宋体" w:hAnsi="宋体"/>
                <w:color w:val="000000"/>
                <w:szCs w:val="21"/>
              </w:rPr>
              <w:t>13.3</w:t>
            </w:r>
          </w:p>
        </w:tc>
        <w:tc>
          <w:tcPr>
            <w:tcW w:w="2649" w:type="dxa"/>
            <w:noWrap w:val="0"/>
            <w:vAlign w:val="center"/>
          </w:tcPr>
          <w:p w14:paraId="1944D610">
            <w:pPr>
              <w:keepNext w:val="0"/>
              <w:keepLines w:val="0"/>
              <w:suppressLineNumbers w:val="0"/>
              <w:spacing w:before="0" w:beforeAutospacing="0" w:after="0" w:afterAutospacing="0" w:line="300" w:lineRule="atLeast"/>
              <w:ind w:left="0" w:right="0"/>
              <w:rPr>
                <w:rFonts w:hint="eastAsia" w:ascii="宋体" w:hAnsi="宋体"/>
                <w:color w:val="000000"/>
                <w:szCs w:val="21"/>
              </w:rPr>
            </w:pPr>
            <w:r>
              <w:rPr>
                <w:rFonts w:hint="eastAsia" w:ascii="宋体" w:hAnsi="宋体"/>
                <w:color w:val="000000"/>
                <w:szCs w:val="21"/>
              </w:rPr>
              <w:t>主体、室外等其他工程</w:t>
            </w:r>
          </w:p>
        </w:tc>
        <w:tc>
          <w:tcPr>
            <w:tcW w:w="2228" w:type="dxa"/>
            <w:noWrap w:val="0"/>
            <w:vAlign w:val="center"/>
          </w:tcPr>
          <w:p w14:paraId="0807EC13">
            <w:pPr>
              <w:keepNext w:val="0"/>
              <w:keepLines w:val="0"/>
              <w:suppressLineNumbers w:val="0"/>
              <w:spacing w:before="0" w:beforeAutospacing="0" w:after="0" w:afterAutospacing="0" w:line="300" w:lineRule="atLeast"/>
              <w:ind w:left="0" w:right="0"/>
              <w:jc w:val="center"/>
              <w:rPr>
                <w:rFonts w:hint="eastAsia" w:ascii="宋体" w:hAnsi="宋体"/>
                <w:color w:val="000000"/>
                <w:szCs w:val="21"/>
              </w:rPr>
            </w:pPr>
            <w:r>
              <w:rPr>
                <w:rFonts w:hint="eastAsia" w:ascii="宋体" w:hAnsi="宋体"/>
                <w:color w:val="000000"/>
                <w:szCs w:val="21"/>
              </w:rPr>
              <w:t>保修期 2 年</w:t>
            </w:r>
          </w:p>
        </w:tc>
        <w:tc>
          <w:tcPr>
            <w:tcW w:w="2302" w:type="dxa"/>
            <w:noWrap w:val="0"/>
            <w:vAlign w:val="center"/>
          </w:tcPr>
          <w:p w14:paraId="6A9D85C0">
            <w:pPr>
              <w:keepNext w:val="0"/>
              <w:keepLines w:val="0"/>
              <w:suppressLineNumbers w:val="0"/>
              <w:spacing w:before="0" w:beforeAutospacing="0" w:after="0" w:afterAutospacing="0" w:line="300" w:lineRule="atLeast"/>
              <w:ind w:left="0" w:right="0"/>
              <w:jc w:val="center"/>
              <w:rPr>
                <w:rFonts w:hint="eastAsia" w:ascii="宋体" w:hAnsi="宋体"/>
                <w:color w:val="000000"/>
                <w:szCs w:val="21"/>
              </w:rPr>
            </w:pPr>
            <w:r>
              <w:rPr>
                <w:rFonts w:hint="eastAsia" w:ascii="宋体" w:hAnsi="宋体"/>
                <w:color w:val="000000"/>
                <w:szCs w:val="21"/>
              </w:rPr>
              <w:t>保修期   年</w:t>
            </w:r>
          </w:p>
        </w:tc>
        <w:tc>
          <w:tcPr>
            <w:tcW w:w="1468" w:type="dxa"/>
            <w:noWrap w:val="0"/>
            <w:vAlign w:val="center"/>
          </w:tcPr>
          <w:p w14:paraId="5D6CB4DF">
            <w:pPr>
              <w:keepNext w:val="0"/>
              <w:keepLines w:val="0"/>
              <w:suppressLineNumbers w:val="0"/>
              <w:spacing w:before="0" w:beforeAutospacing="0" w:after="0" w:afterAutospacing="0" w:line="300" w:lineRule="atLeast"/>
              <w:ind w:left="0" w:right="0"/>
              <w:jc w:val="center"/>
              <w:rPr>
                <w:rFonts w:hint="default" w:ascii="宋体" w:hAnsi="宋体"/>
                <w:iCs/>
                <w:color w:val="000000"/>
                <w:szCs w:val="21"/>
              </w:rPr>
            </w:pPr>
          </w:p>
        </w:tc>
      </w:tr>
      <w:tr w14:paraId="25FDFE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jc w:val="center"/>
        </w:trPr>
        <w:tc>
          <w:tcPr>
            <w:tcW w:w="9674" w:type="dxa"/>
            <w:gridSpan w:val="5"/>
            <w:noWrap w:val="0"/>
            <w:vAlign w:val="center"/>
          </w:tcPr>
          <w:p w14:paraId="4FCD3CA3">
            <w:pPr>
              <w:keepNext w:val="0"/>
              <w:keepLines w:val="0"/>
              <w:suppressLineNumbers w:val="0"/>
              <w:spacing w:before="0" w:beforeAutospacing="0" w:after="0" w:afterAutospacing="0" w:line="300" w:lineRule="atLeast"/>
              <w:ind w:left="0" w:right="0"/>
              <w:rPr>
                <w:rFonts w:hint="default" w:ascii="宋体" w:hAnsi="宋体"/>
                <w:iCs/>
                <w:color w:val="000000"/>
                <w:szCs w:val="21"/>
              </w:rPr>
            </w:pPr>
            <w:r>
              <w:rPr>
                <w:rFonts w:hint="eastAsia" w:ascii="宋体" w:hAnsi="宋体"/>
                <w:iCs/>
                <w:color w:val="000000"/>
                <w:szCs w:val="21"/>
              </w:rPr>
              <w:t>备注：投标人在响应招标文件中规定的实质性要求和条件的基础上，可做出其他有利于招标人的承诺。此类承诺可在本表中予以补充填写。</w:t>
            </w:r>
          </w:p>
        </w:tc>
      </w:tr>
    </w:tbl>
    <w:p w14:paraId="7F663693">
      <w:pPr>
        <w:spacing w:line="440" w:lineRule="exact"/>
        <w:rPr>
          <w:rFonts w:hint="eastAsia" w:ascii="宋体" w:hAnsi="宋体"/>
          <w:color w:val="000000"/>
          <w:szCs w:val="21"/>
        </w:rPr>
      </w:pPr>
      <w:r>
        <w:rPr>
          <w:rFonts w:hint="eastAsia" w:ascii="宋体" w:hAnsi="宋体"/>
          <w:color w:val="000000"/>
          <w:szCs w:val="21"/>
        </w:rPr>
        <w:t xml:space="preserve">　　　　　　　　　　　 </w:t>
      </w:r>
    </w:p>
    <w:p w14:paraId="69023D5F">
      <w:pPr>
        <w:spacing w:line="440" w:lineRule="exact"/>
        <w:rPr>
          <w:rFonts w:ascii="宋体" w:hAnsi="宋体"/>
          <w:color w:val="000000"/>
          <w:sz w:val="24"/>
          <w:szCs w:val="21"/>
        </w:rPr>
      </w:pPr>
      <w:r>
        <w:rPr>
          <w:rFonts w:hint="eastAsia" w:ascii="宋体" w:hAnsi="宋体"/>
          <w:color w:val="000000"/>
          <w:sz w:val="24"/>
          <w:szCs w:val="21"/>
        </w:rPr>
        <w:t xml:space="preserve">                    </w:t>
      </w:r>
      <w:r>
        <w:rPr>
          <w:rFonts w:ascii="宋体" w:hAnsi="宋体"/>
          <w:color w:val="000000"/>
          <w:sz w:val="24"/>
          <w:szCs w:val="21"/>
        </w:rPr>
        <w:t>投 标 人：</w:t>
      </w:r>
      <w:r>
        <w:rPr>
          <w:rFonts w:ascii="宋体" w:hAnsi="宋体"/>
          <w:color w:val="000000"/>
          <w:sz w:val="24"/>
          <w:szCs w:val="21"/>
          <w:u w:val="single"/>
        </w:rPr>
        <w:t xml:space="preserve">                      </w:t>
      </w:r>
      <w:r>
        <w:rPr>
          <w:rFonts w:ascii="宋体" w:hAnsi="宋体"/>
          <w:color w:val="000000"/>
          <w:sz w:val="24"/>
          <w:szCs w:val="21"/>
        </w:rPr>
        <w:t>（盖单位章）</w:t>
      </w:r>
    </w:p>
    <w:p w14:paraId="65560DB1">
      <w:pPr>
        <w:spacing w:line="440" w:lineRule="exact"/>
        <w:rPr>
          <w:rFonts w:ascii="宋体" w:hAnsi="宋体"/>
          <w:color w:val="000000"/>
          <w:sz w:val="24"/>
          <w:szCs w:val="21"/>
        </w:rPr>
      </w:pPr>
      <w:r>
        <w:rPr>
          <w:rFonts w:hint="eastAsia" w:ascii="宋体" w:hAnsi="宋体"/>
          <w:color w:val="000000"/>
          <w:sz w:val="24"/>
          <w:szCs w:val="21"/>
        </w:rPr>
        <w:t xml:space="preserve">                    </w:t>
      </w:r>
      <w:r>
        <w:rPr>
          <w:rFonts w:ascii="宋体" w:hAnsi="宋体"/>
          <w:color w:val="000000"/>
          <w:sz w:val="24"/>
          <w:szCs w:val="21"/>
        </w:rPr>
        <w:t>法定代表人或其委托代理人：</w:t>
      </w:r>
      <w:r>
        <w:rPr>
          <w:rFonts w:ascii="宋体" w:hAnsi="宋体"/>
          <w:color w:val="000000"/>
          <w:sz w:val="24"/>
          <w:szCs w:val="21"/>
          <w:u w:val="single"/>
        </w:rPr>
        <w:t xml:space="preserve">      </w:t>
      </w:r>
      <w:r>
        <w:rPr>
          <w:rFonts w:hint="eastAsia" w:ascii="宋体" w:hAnsi="宋体"/>
          <w:color w:val="000000"/>
          <w:sz w:val="24"/>
          <w:szCs w:val="21"/>
          <w:u w:val="single"/>
        </w:rPr>
        <w:t xml:space="preserve">   </w:t>
      </w:r>
      <w:r>
        <w:rPr>
          <w:rFonts w:ascii="宋体" w:hAnsi="宋体"/>
          <w:color w:val="000000"/>
          <w:sz w:val="24"/>
          <w:szCs w:val="21"/>
          <w:u w:val="single"/>
        </w:rPr>
        <w:t xml:space="preserve"> </w:t>
      </w:r>
      <w:r>
        <w:rPr>
          <w:rFonts w:ascii="宋体" w:hAnsi="宋体"/>
          <w:color w:val="000000"/>
          <w:sz w:val="24"/>
          <w:szCs w:val="21"/>
        </w:rPr>
        <w:t>（签字）</w:t>
      </w:r>
    </w:p>
    <w:p w14:paraId="1EC3C1E7">
      <w:pPr>
        <w:spacing w:line="440" w:lineRule="exact"/>
        <w:rPr>
          <w:rFonts w:hint="eastAsia" w:ascii="宋体" w:hAnsi="宋体"/>
          <w:color w:val="000000"/>
          <w:sz w:val="24"/>
          <w:szCs w:val="21"/>
        </w:rPr>
      </w:pPr>
      <w:r>
        <w:rPr>
          <w:rFonts w:hint="eastAsia" w:ascii="宋体" w:hAnsi="宋体"/>
          <w:color w:val="000000"/>
          <w:sz w:val="24"/>
          <w:szCs w:val="21"/>
        </w:rPr>
        <w:t xml:space="preserve">                    </w:t>
      </w:r>
      <w:r>
        <w:rPr>
          <w:rFonts w:ascii="宋体" w:hAnsi="宋体"/>
          <w:color w:val="000000"/>
          <w:sz w:val="24"/>
          <w:szCs w:val="21"/>
        </w:rPr>
        <w:t>地址：</w:t>
      </w:r>
      <w:r>
        <w:rPr>
          <w:rFonts w:ascii="宋体" w:hAnsi="宋体"/>
          <w:color w:val="000000"/>
          <w:sz w:val="24"/>
          <w:szCs w:val="21"/>
          <w:u w:val="single"/>
        </w:rPr>
        <w:t xml:space="preserve">                                     </w:t>
      </w:r>
    </w:p>
    <w:p w14:paraId="331390DE">
      <w:pPr>
        <w:spacing w:line="440" w:lineRule="exact"/>
        <w:rPr>
          <w:rFonts w:ascii="宋体" w:hAnsi="宋体"/>
          <w:color w:val="000000"/>
          <w:sz w:val="24"/>
          <w:szCs w:val="21"/>
        </w:rPr>
      </w:pPr>
      <w:r>
        <w:rPr>
          <w:rFonts w:hint="eastAsia" w:ascii="宋体" w:hAnsi="宋体"/>
          <w:color w:val="000000"/>
          <w:sz w:val="24"/>
          <w:szCs w:val="21"/>
        </w:rPr>
        <w:t xml:space="preserve">                    </w:t>
      </w:r>
      <w:r>
        <w:rPr>
          <w:rFonts w:ascii="宋体" w:hAnsi="宋体"/>
          <w:color w:val="000000"/>
          <w:sz w:val="24"/>
          <w:szCs w:val="21"/>
        </w:rPr>
        <w:t>网址：</w:t>
      </w:r>
      <w:r>
        <w:rPr>
          <w:rFonts w:ascii="宋体" w:hAnsi="宋体"/>
          <w:color w:val="000000"/>
          <w:sz w:val="24"/>
          <w:szCs w:val="21"/>
          <w:u w:val="single"/>
        </w:rPr>
        <w:t xml:space="preserve">                                     </w:t>
      </w:r>
    </w:p>
    <w:p w14:paraId="44713B8E">
      <w:pPr>
        <w:spacing w:line="440" w:lineRule="exact"/>
        <w:rPr>
          <w:rFonts w:hint="eastAsia" w:ascii="宋体" w:hAnsi="宋体"/>
          <w:color w:val="000000"/>
          <w:sz w:val="24"/>
          <w:szCs w:val="21"/>
        </w:rPr>
      </w:pPr>
      <w:r>
        <w:rPr>
          <w:rFonts w:hint="eastAsia" w:ascii="宋体" w:hAnsi="宋体"/>
          <w:color w:val="000000"/>
          <w:sz w:val="24"/>
          <w:szCs w:val="21"/>
        </w:rPr>
        <w:t xml:space="preserve">                    </w:t>
      </w:r>
      <w:r>
        <w:rPr>
          <w:rFonts w:ascii="宋体" w:hAnsi="宋体"/>
          <w:color w:val="000000"/>
          <w:sz w:val="24"/>
          <w:szCs w:val="21"/>
        </w:rPr>
        <w:t>电话：</w:t>
      </w:r>
      <w:r>
        <w:rPr>
          <w:rFonts w:ascii="宋体" w:hAnsi="宋体"/>
          <w:color w:val="000000"/>
          <w:sz w:val="24"/>
          <w:szCs w:val="21"/>
          <w:u w:val="single"/>
        </w:rPr>
        <w:t xml:space="preserve">                                     </w:t>
      </w:r>
    </w:p>
    <w:p w14:paraId="70D7FA84">
      <w:pPr>
        <w:spacing w:line="440" w:lineRule="exact"/>
        <w:rPr>
          <w:rFonts w:hint="eastAsia" w:ascii="宋体" w:hAnsi="宋体"/>
          <w:color w:val="000000"/>
          <w:sz w:val="24"/>
          <w:szCs w:val="21"/>
        </w:rPr>
      </w:pPr>
      <w:r>
        <w:rPr>
          <w:rFonts w:hint="eastAsia" w:ascii="宋体" w:hAnsi="宋体"/>
          <w:color w:val="000000"/>
          <w:sz w:val="24"/>
          <w:szCs w:val="21"/>
        </w:rPr>
        <w:t xml:space="preserve">                    </w:t>
      </w:r>
      <w:r>
        <w:rPr>
          <w:rFonts w:ascii="宋体" w:hAnsi="宋体"/>
          <w:color w:val="000000"/>
          <w:sz w:val="24"/>
          <w:szCs w:val="21"/>
        </w:rPr>
        <w:t>传真：</w:t>
      </w:r>
      <w:r>
        <w:rPr>
          <w:rFonts w:ascii="宋体" w:hAnsi="宋体"/>
          <w:color w:val="000000"/>
          <w:sz w:val="24"/>
          <w:szCs w:val="21"/>
          <w:u w:val="single"/>
        </w:rPr>
        <w:t xml:space="preserve">                                     </w:t>
      </w:r>
    </w:p>
    <w:p w14:paraId="78880589">
      <w:pPr>
        <w:spacing w:line="440" w:lineRule="exact"/>
        <w:rPr>
          <w:rFonts w:ascii="宋体" w:hAnsi="宋体"/>
          <w:color w:val="000000"/>
          <w:sz w:val="24"/>
          <w:szCs w:val="21"/>
          <w:u w:val="single"/>
        </w:rPr>
      </w:pPr>
      <w:r>
        <w:rPr>
          <w:rFonts w:hint="eastAsia" w:ascii="宋体" w:hAnsi="宋体"/>
          <w:color w:val="000000"/>
          <w:sz w:val="24"/>
          <w:szCs w:val="21"/>
        </w:rPr>
        <w:t xml:space="preserve">                    </w:t>
      </w:r>
      <w:r>
        <w:rPr>
          <w:rFonts w:ascii="宋体" w:hAnsi="宋体"/>
          <w:color w:val="000000"/>
          <w:sz w:val="24"/>
          <w:szCs w:val="21"/>
        </w:rPr>
        <w:t>邮政编码：</w:t>
      </w:r>
      <w:r>
        <w:rPr>
          <w:rFonts w:ascii="宋体" w:hAnsi="宋体"/>
          <w:color w:val="000000"/>
          <w:sz w:val="24"/>
          <w:szCs w:val="21"/>
          <w:u w:val="single"/>
        </w:rPr>
        <w:t xml:space="preserve">                                 </w:t>
      </w:r>
    </w:p>
    <w:p w14:paraId="41AC3F39">
      <w:pPr>
        <w:spacing w:line="440" w:lineRule="exact"/>
        <w:rPr>
          <w:rFonts w:hint="eastAsia" w:ascii="宋体" w:hAnsi="宋体"/>
          <w:color w:val="000000"/>
          <w:sz w:val="24"/>
          <w:szCs w:val="21"/>
          <w:u w:val="single"/>
        </w:rPr>
      </w:pPr>
    </w:p>
    <w:p w14:paraId="777ADCF7">
      <w:pPr>
        <w:pStyle w:val="88"/>
        <w:pageBreakBefore w:val="0"/>
        <w:kinsoku/>
        <w:overflowPunct/>
        <w:bidi w:val="0"/>
        <w:spacing w:line="600" w:lineRule="exact"/>
        <w:ind w:left="216" w:leftChars="103" w:firstLine="0" w:firstLineChars="0"/>
        <w:rPr>
          <w:rFonts w:hint="eastAsia" w:ascii="仿宋" w:hAnsi="仿宋" w:eastAsia="仿宋" w:cs="宋体"/>
          <w:b/>
          <w:bCs/>
          <w:color w:val="auto"/>
          <w:sz w:val="24"/>
          <w:highlight w:val="none"/>
        </w:rPr>
      </w:pPr>
      <w:r>
        <w:rPr>
          <w:rFonts w:hint="eastAsia" w:ascii="宋体" w:hAnsi="宋体"/>
          <w:color w:val="000000"/>
          <w:sz w:val="24"/>
          <w:szCs w:val="21"/>
        </w:rPr>
        <w:t xml:space="preserve">                                      </w:t>
      </w:r>
      <w:r>
        <w:rPr>
          <w:rFonts w:hint="eastAsia" w:ascii="宋体" w:hAnsi="宋体"/>
          <w:color w:val="000000"/>
          <w:sz w:val="24"/>
          <w:szCs w:val="21"/>
          <w:u w:val="single"/>
        </w:rPr>
        <w:t xml:space="preserve">       </w:t>
      </w:r>
      <w:r>
        <w:rPr>
          <w:rFonts w:ascii="宋体" w:hAnsi="宋体"/>
          <w:color w:val="000000"/>
          <w:sz w:val="24"/>
          <w:szCs w:val="21"/>
        </w:rPr>
        <w:t>年</w:t>
      </w:r>
      <w:r>
        <w:rPr>
          <w:rFonts w:hint="eastAsia" w:ascii="宋体" w:hAnsi="宋体"/>
          <w:color w:val="000000"/>
          <w:sz w:val="24"/>
          <w:szCs w:val="21"/>
          <w:u w:val="single"/>
        </w:rPr>
        <w:t xml:space="preserve">        </w:t>
      </w:r>
      <w:r>
        <w:rPr>
          <w:rFonts w:ascii="宋体" w:hAnsi="宋体"/>
          <w:color w:val="000000"/>
          <w:sz w:val="24"/>
          <w:szCs w:val="21"/>
        </w:rPr>
        <w:t>月</w:t>
      </w:r>
      <w:r>
        <w:rPr>
          <w:rFonts w:hint="eastAsia" w:ascii="宋体" w:hAnsi="宋体"/>
          <w:color w:val="000000"/>
          <w:sz w:val="24"/>
          <w:szCs w:val="21"/>
          <w:u w:val="single"/>
        </w:rPr>
        <w:t xml:space="preserve">        </w:t>
      </w:r>
      <w:r>
        <w:rPr>
          <w:rFonts w:ascii="宋体" w:hAnsi="宋体"/>
          <w:color w:val="000000"/>
          <w:sz w:val="24"/>
          <w:szCs w:val="21"/>
        </w:rPr>
        <w:t>日</w:t>
      </w:r>
      <w:r>
        <w:rPr>
          <w:rFonts w:ascii="宋体" w:hAnsi="宋体"/>
          <w:color w:val="000000"/>
          <w:sz w:val="24"/>
          <w:szCs w:val="20"/>
        </w:rPr>
        <w:br w:type="page"/>
      </w:r>
    </w:p>
    <w:p w14:paraId="5D97B9EB">
      <w:pPr>
        <w:pageBreakBefore w:val="0"/>
        <w:tabs>
          <w:tab w:val="left" w:pos="6090"/>
        </w:tabs>
        <w:kinsoku/>
        <w:overflowPunct/>
        <w:bidi w:val="0"/>
        <w:spacing w:line="600" w:lineRule="exact"/>
        <w:ind w:firstLine="3600" w:firstLineChars="1000"/>
        <w:jc w:val="both"/>
        <w:rPr>
          <w:rFonts w:hint="eastAsia" w:ascii="仿宋" w:hAnsi="仿宋" w:eastAsia="仿宋" w:cs="宋体"/>
          <w:color w:val="auto"/>
          <w:sz w:val="24"/>
          <w:szCs w:val="24"/>
          <w:highlight w:val="none"/>
          <w:u w:val="none"/>
          <w:lang w:val="en-US" w:eastAsia="zh-CN"/>
        </w:rPr>
        <w:sectPr>
          <w:headerReference r:id="rId12" w:type="first"/>
          <w:headerReference r:id="rId11" w:type="default"/>
          <w:pgSz w:w="11906" w:h="16838"/>
          <w:pgMar w:top="1417" w:right="1134" w:bottom="1134" w:left="1134" w:header="851" w:footer="992" w:gutter="0"/>
          <w:cols w:space="720" w:num="1"/>
          <w:titlePg/>
          <w:docGrid w:type="lines" w:linePitch="312" w:charSpace="0"/>
        </w:sectPr>
      </w:pPr>
      <w:r>
        <w:rPr>
          <w:rFonts w:hint="eastAsia" w:ascii="黑体" w:eastAsia="黑体"/>
          <w:color w:val="000000"/>
          <w:sz w:val="36"/>
          <w:szCs w:val="36"/>
        </w:rPr>
        <w:t>已标价工程量清单</w:t>
      </w:r>
      <w:r>
        <w:rPr>
          <w:rFonts w:hint="eastAsia" w:ascii="仿宋" w:hAnsi="仿宋" w:eastAsia="仿宋" w:cs="宋体"/>
          <w:color w:val="auto"/>
          <w:sz w:val="24"/>
          <w:szCs w:val="24"/>
          <w:highlight w:val="none"/>
          <w:lang w:val="en-US" w:eastAsia="zh-CN"/>
        </w:rPr>
        <w:t xml:space="preserve">    </w:t>
      </w:r>
    </w:p>
    <w:p w14:paraId="678EC4A9">
      <w:pPr>
        <w:pageBreakBefore w:val="0"/>
        <w:kinsoku/>
        <w:overflowPunct/>
        <w:bidi w:val="0"/>
        <w:spacing w:line="600" w:lineRule="exact"/>
        <w:rPr>
          <w:rFonts w:hint="eastAsia" w:hAnsi="宋体"/>
          <w:color w:val="auto"/>
          <w:szCs w:val="21"/>
          <w:highlight w:val="none"/>
        </w:rPr>
      </w:pPr>
    </w:p>
    <w:sectPr>
      <w:headerReference r:id="rId14" w:type="first"/>
      <w:headerReference r:id="rId13" w:type="default"/>
      <w:type w:val="continuous"/>
      <w:pgSz w:w="11906" w:h="16838"/>
      <w:pgMar w:top="1418" w:right="1134" w:bottom="1134" w:left="1134" w:header="851" w:footer="992" w:gutter="0"/>
      <w:cols w:space="720" w:num="2"/>
      <w:titlePg/>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Monaco">
    <w:altName w:val="Courier New"/>
    <w:panose1 w:val="00000000000000000000"/>
    <w:charset w:val="00"/>
    <w:family w:val="modern"/>
    <w:pitch w:val="default"/>
    <w:sig w:usb0="00000000" w:usb1="00000000" w:usb2="00000000" w:usb3="00000000" w:csb0="00040001" w:csb1="00000000"/>
  </w:font>
  <w:font w:name="Calibri Light">
    <w:panose1 w:val="020F03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Cambria Math">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Wingdings 2">
    <w:panose1 w:val="05020102010507070707"/>
    <w:charset w:val="02"/>
    <w:family w:val="roman"/>
    <w:pitch w:val="default"/>
    <w:sig w:usb0="00000000" w:usb1="00000000" w:usb2="00000000" w:usb3="00000000" w:csb0="80000000" w:csb1="00000000"/>
  </w:font>
  <w:font w:name="楷体">
    <w:panose1 w:val="02010609060101010101"/>
    <w:charset w:val="86"/>
    <w:family w:val="modern"/>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00" w:usb3="00000000" w:csb0="00040000" w:csb1="00000000"/>
  </w:font>
  <w:font w:name="KSOFF9CBECC6">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 w:name="KSOFF9CC6125">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3F3048">
    <w:pPr>
      <w:pStyle w:val="22"/>
      <w:jc w:val="center"/>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16C37C">
    <w:pPr>
      <w:pStyle w:val="22"/>
      <w:jc w:val="center"/>
      <w:rPr>
        <w:rFonts w:ascii="黑体" w:hAnsi="黑体" w:eastAsia="黑体"/>
        <w:szCs w:val="18"/>
      </w:rPr>
    </w:pPr>
  </w:p>
  <w:p w14:paraId="4B07B216">
    <w:pPr>
      <w:pStyle w:val="22"/>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71A0F1">
    <w:pPr>
      <w:pStyle w:val="22"/>
      <w:rPr>
        <w:rFonts w:hint="eastAsia"/>
      </w:rP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38100</wp:posOffset>
              </wp:positionV>
              <wp:extent cx="210185" cy="132715"/>
              <wp:effectExtent l="0" t="0" r="0" b="0"/>
              <wp:wrapNone/>
              <wp:docPr id="5" name="文本框 5"/>
              <wp:cNvGraphicFramePr/>
              <a:graphic xmlns:a="http://schemas.openxmlformats.org/drawingml/2006/main">
                <a:graphicData uri="http://schemas.microsoft.com/office/word/2010/wordprocessingShape">
                  <wps:wsp>
                    <wps:cNvSpPr txBox="1"/>
                    <wps:spPr>
                      <a:xfrm>
                        <a:off x="0" y="0"/>
                        <a:ext cx="210185" cy="132715"/>
                      </a:xfrm>
                      <a:prstGeom prst="rect">
                        <a:avLst/>
                      </a:prstGeom>
                      <a:noFill/>
                      <a:ln>
                        <a:noFill/>
                      </a:ln>
                    </wps:spPr>
                    <wps:txbx>
                      <w:txbxContent>
                        <w:p w14:paraId="3C861F60">
                          <w:pPr>
                            <w:pStyle w:val="22"/>
                            <w:rPr>
                              <w:rFonts w:hint="eastAsia"/>
                            </w:rPr>
                          </w:pPr>
                          <w:r>
                            <w:rPr>
                              <w:rFonts w:hint="eastAsia"/>
                            </w:rPr>
                            <w:fldChar w:fldCharType="begin"/>
                          </w:r>
                          <w:r>
                            <w:rPr>
                              <w:rFonts w:hint="eastAsia"/>
                            </w:rPr>
                            <w:instrText xml:space="preserve"> PAGE  \* MERGEFORMAT </w:instrText>
                          </w:r>
                          <w:r>
                            <w:rPr>
                              <w:rFonts w:hint="eastAsia"/>
                            </w:rPr>
                            <w:fldChar w:fldCharType="separate"/>
                          </w:r>
                          <w:r>
                            <w:t>20</w:t>
                          </w:r>
                          <w:r>
                            <w:rPr>
                              <w:rFonts w:hint="eastAsia"/>
                            </w:rPr>
                            <w:fldChar w:fldCharType="end"/>
                          </w:r>
                        </w:p>
                      </w:txbxContent>
                    </wps:txbx>
                    <wps:bodyPr wrap="square" lIns="0" tIns="0" rIns="0" bIns="0" upright="0"/>
                  </wps:wsp>
                </a:graphicData>
              </a:graphic>
            </wp:anchor>
          </w:drawing>
        </mc:Choice>
        <mc:Fallback>
          <w:pict>
            <v:shape id="_x0000_s1026" o:spid="_x0000_s1026" o:spt="202" type="#_x0000_t202" style="position:absolute;left:0pt;margin-top:3pt;height:10.45pt;width:16.55pt;mso-position-horizontal:center;mso-position-horizontal-relative:margin;z-index:251660288;mso-width-relative:page;mso-height-relative:page;" filled="f" stroked="f" coordsize="21600,21600" o:gfxdata="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J6zRGTUAAAABAEAAA8AAAAAAAAAAQAgAAAAIgAAAGRycy9kb3ducmV2Lnht&#10;bFBLAQIUABQAAAAIAIdO4kAw7za9xAEAAH8DAAAOAAAAAAAAAAEAIAAAACMBAABkcnMvZTJvRG9j&#10;LnhtbFBLBQYAAAAABgAGAFkBAABZBQAAAAA=&#10;">
              <v:fill on="f" focussize="0,0"/>
              <v:stroke on="f"/>
              <v:imagedata o:title=""/>
              <o:lock v:ext="edit" aspectratio="f"/>
              <v:textbox inset="0mm,0mm,0mm,0mm">
                <w:txbxContent>
                  <w:p w14:paraId="3C861F60">
                    <w:pPr>
                      <w:pStyle w:val="22"/>
                      <w:rPr>
                        <w:rFonts w:hint="eastAsia"/>
                      </w:rPr>
                    </w:pPr>
                    <w:r>
                      <w:rPr>
                        <w:rFonts w:hint="eastAsia"/>
                      </w:rPr>
                      <w:fldChar w:fldCharType="begin"/>
                    </w:r>
                    <w:r>
                      <w:rPr>
                        <w:rFonts w:hint="eastAsia"/>
                      </w:rPr>
                      <w:instrText xml:space="preserve"> PAGE  \* MERGEFORMAT </w:instrText>
                    </w:r>
                    <w:r>
                      <w:rPr>
                        <w:rFonts w:hint="eastAsia"/>
                      </w:rPr>
                      <w:fldChar w:fldCharType="separate"/>
                    </w:r>
                    <w:r>
                      <w:t>20</w:t>
                    </w:r>
                    <w:r>
                      <w:rPr>
                        <w:rFonts w:hint="eastAsia"/>
                      </w:rPr>
                      <w:fldChar w:fldCharType="end"/>
                    </w:r>
                  </w:p>
                </w:txbxContent>
              </v:textbox>
            </v:shape>
          </w:pict>
        </mc:Fallback>
      </mc:AlternateContent>
    </w:r>
  </w:p>
  <w:p w14:paraId="325372B1"/>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620B82">
    <w:pPr>
      <w:pStyle w:val="22"/>
      <w:jc w:val="center"/>
      <w:rPr>
        <w:rFonts w:ascii="黑体" w:hAnsi="黑体" w:eastAsia="黑体"/>
        <w:szCs w:val="18"/>
      </w:rP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94310" cy="159385"/>
              <wp:effectExtent l="0" t="0" r="0" b="0"/>
              <wp:wrapNone/>
              <wp:docPr id="6" name="文本框 6"/>
              <wp:cNvGraphicFramePr/>
              <a:graphic xmlns:a="http://schemas.openxmlformats.org/drawingml/2006/main">
                <a:graphicData uri="http://schemas.microsoft.com/office/word/2010/wordprocessingShape">
                  <wps:wsp>
                    <wps:cNvSpPr txBox="1"/>
                    <wps:spPr>
                      <a:xfrm>
                        <a:off x="0" y="0"/>
                        <a:ext cx="194310" cy="159385"/>
                      </a:xfrm>
                      <a:prstGeom prst="rect">
                        <a:avLst/>
                      </a:prstGeom>
                      <a:noFill/>
                      <a:ln>
                        <a:noFill/>
                      </a:ln>
                    </wps:spPr>
                    <wps:txbx>
                      <w:txbxContent>
                        <w:p w14:paraId="34B3E2A8">
                          <w:pPr>
                            <w:pStyle w:val="22"/>
                            <w:rPr>
                              <w:rFonts w:hint="eastAsia" w:ascii="仿宋" w:hAnsi="仿宋" w:eastAsia="仿宋" w:cs="仿宋"/>
                            </w:rPr>
                          </w:pPr>
                          <w:r>
                            <w:rPr>
                              <w:rFonts w:hint="eastAsia" w:ascii="仿宋" w:hAnsi="仿宋" w:eastAsia="仿宋" w:cs="仿宋"/>
                            </w:rPr>
                            <w:fldChar w:fldCharType="begin"/>
                          </w:r>
                          <w:r>
                            <w:rPr>
                              <w:rFonts w:hint="eastAsia" w:ascii="仿宋" w:hAnsi="仿宋" w:eastAsia="仿宋" w:cs="仿宋"/>
                            </w:rPr>
                            <w:instrText xml:space="preserve"> PAGE  \* MERGEFORMAT </w:instrText>
                          </w:r>
                          <w:r>
                            <w:rPr>
                              <w:rFonts w:hint="eastAsia" w:ascii="仿宋" w:hAnsi="仿宋" w:eastAsia="仿宋" w:cs="仿宋"/>
                            </w:rPr>
                            <w:fldChar w:fldCharType="separate"/>
                          </w:r>
                          <w:r>
                            <w:rPr>
                              <w:rFonts w:ascii="仿宋" w:hAnsi="仿宋" w:eastAsia="仿宋" w:cs="仿宋"/>
                            </w:rPr>
                            <w:t>1</w:t>
                          </w:r>
                          <w:r>
                            <w:rPr>
                              <w:rFonts w:hint="eastAsia" w:ascii="仿宋" w:hAnsi="仿宋" w:eastAsia="仿宋" w:cs="仿宋"/>
                            </w:rPr>
                            <w:fldChar w:fldCharType="end"/>
                          </w:r>
                        </w:p>
                      </w:txbxContent>
                    </wps:txbx>
                    <wps:bodyPr wrap="square" lIns="0" tIns="0" rIns="0" bIns="0" upright="0"/>
                  </wps:wsp>
                </a:graphicData>
              </a:graphic>
            </wp:anchor>
          </w:drawing>
        </mc:Choice>
        <mc:Fallback>
          <w:pict>
            <v:shape id="_x0000_s1026" o:spid="_x0000_s1026" o:spt="202" type="#_x0000_t202" style="position:absolute;left:0pt;margin-top:0pt;height:12.55pt;width:15.3pt;mso-position-horizontal:center;mso-position-horizontal-relative:margin;z-index:251661312;mso-width-relative:page;mso-height-relative:page;" filled="f" stroked="f" coordsize="21600,21600" o:gfxdata="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w0jvN9MAAAADAQAADwAAAAAAAAABACAAAAAiAAAAZHJzL2Rvd25yZXYueG1s&#10;UEsBAhQAFAAAAAgAh07iQCIcqCfEAQAAfwMAAA4AAAAAAAAAAQAgAAAAIgEAAGRycy9lMm9Eb2Mu&#10;eG1sUEsFBgAAAAAGAAYAWQEAAFgFAAAAAA==&#10;">
              <v:fill on="f" focussize="0,0"/>
              <v:stroke on="f"/>
              <v:imagedata o:title=""/>
              <o:lock v:ext="edit" aspectratio="f"/>
              <v:textbox inset="0mm,0mm,0mm,0mm">
                <w:txbxContent>
                  <w:p w14:paraId="34B3E2A8">
                    <w:pPr>
                      <w:pStyle w:val="22"/>
                      <w:rPr>
                        <w:rFonts w:hint="eastAsia" w:ascii="仿宋" w:hAnsi="仿宋" w:eastAsia="仿宋" w:cs="仿宋"/>
                      </w:rPr>
                    </w:pPr>
                    <w:r>
                      <w:rPr>
                        <w:rFonts w:hint="eastAsia" w:ascii="仿宋" w:hAnsi="仿宋" w:eastAsia="仿宋" w:cs="仿宋"/>
                      </w:rPr>
                      <w:fldChar w:fldCharType="begin"/>
                    </w:r>
                    <w:r>
                      <w:rPr>
                        <w:rFonts w:hint="eastAsia" w:ascii="仿宋" w:hAnsi="仿宋" w:eastAsia="仿宋" w:cs="仿宋"/>
                      </w:rPr>
                      <w:instrText xml:space="preserve"> PAGE  \* MERGEFORMAT </w:instrText>
                    </w:r>
                    <w:r>
                      <w:rPr>
                        <w:rFonts w:hint="eastAsia" w:ascii="仿宋" w:hAnsi="仿宋" w:eastAsia="仿宋" w:cs="仿宋"/>
                      </w:rPr>
                      <w:fldChar w:fldCharType="separate"/>
                    </w:r>
                    <w:r>
                      <w:rPr>
                        <w:rFonts w:ascii="仿宋" w:hAnsi="仿宋" w:eastAsia="仿宋" w:cs="仿宋"/>
                      </w:rPr>
                      <w:t>1</w:t>
                    </w:r>
                    <w:r>
                      <w:rPr>
                        <w:rFonts w:hint="eastAsia" w:ascii="仿宋" w:hAnsi="仿宋" w:eastAsia="仿宋" w:cs="仿宋"/>
                      </w:rPr>
                      <w:fldChar w:fldCharType="end"/>
                    </w:r>
                  </w:p>
                </w:txbxContent>
              </v:textbox>
            </v:shape>
          </w:pict>
        </mc:Fallback>
      </mc:AlternateContent>
    </w:r>
  </w:p>
  <w:p w14:paraId="15B387D5">
    <w:pPr>
      <w:pStyle w:val="2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12" w:lineRule="auto"/>
      </w:pPr>
      <w:r>
        <w:separator/>
      </w:r>
    </w:p>
  </w:footnote>
  <w:footnote w:type="continuationSeparator" w:id="1">
    <w:p>
      <w:pPr>
        <w:spacing w:line="312"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1E8CFA">
    <w:pPr>
      <w:pStyle w:val="23"/>
      <w:pBdr>
        <w:top w:val="none" w:color="auto" w:sz="0" w:space="0"/>
        <w:left w:val="none" w:color="auto" w:sz="0" w:space="0"/>
        <w:bottom w:val="single" w:color="auto" w:sz="4" w:space="1"/>
        <w:right w:val="none" w:color="auto" w:sz="0" w:space="0"/>
      </w:pBdr>
      <w:jc w:val="center"/>
      <w:rPr>
        <w:rFonts w:hint="eastAsia" w:ascii="仿宋" w:hAnsi="仿宋" w:eastAsia="仿宋" w:cs="仿宋"/>
      </w:rPr>
    </w:pPr>
    <w:r>
      <w:rPr>
        <w:rFonts w:hint="eastAsia" w:ascii="仿宋" w:hAnsi="仿宋" w:eastAsia="仿宋" w:cs="仿宋"/>
      </w:rPr>
      <w:t>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B2CE6F">
    <w:pPr>
      <w:pStyle w:val="23"/>
      <w:pBdr>
        <w:top w:val="none" w:color="auto" w:sz="0" w:space="0"/>
        <w:left w:val="none" w:color="auto" w:sz="0" w:space="0"/>
        <w:bottom w:val="single" w:color="auto" w:sz="4" w:space="1"/>
        <w:right w:val="none" w:color="auto" w:sz="0" w:space="0"/>
      </w:pBdr>
      <w:jc w:val="center"/>
      <w:rPr>
        <w:rFonts w:hint="eastAsia" w:ascii="仿宋" w:hAnsi="仿宋" w:eastAsia="仿宋" w:cs="仿宋"/>
      </w:rPr>
    </w:pPr>
    <w:r>
      <w:rPr>
        <w:rFonts w:hint="eastAsia" w:ascii="仿宋" w:hAnsi="仿宋" w:eastAsia="仿宋" w:cs="仿宋"/>
      </w:rPr>
      <w:t>招标文件</w:t>
    </w:r>
  </w:p>
  <w:p w14:paraId="15A3D708">
    <w:pPr>
      <w:pStyle w:val="23"/>
      <w:rPr>
        <w:rFonts w:hint="eastAsia" w:ascii="仿宋" w:hAnsi="仿宋" w:eastAsia="仿宋" w:cs="仿宋"/>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952308">
    <w:pPr>
      <w:pStyle w:val="23"/>
      <w:pBdr>
        <w:top w:val="none" w:color="auto" w:sz="0" w:space="0"/>
        <w:left w:val="none" w:color="auto" w:sz="0" w:space="0"/>
        <w:bottom w:val="single" w:color="auto" w:sz="4" w:space="1"/>
        <w:right w:val="none" w:color="auto" w:sz="0" w:space="0"/>
      </w:pBdr>
      <w:jc w:val="center"/>
      <w:rPr>
        <w:rFonts w:hint="eastAsia" w:ascii="仿宋" w:hAnsi="仿宋" w:eastAsia="仿宋" w:cs="仿宋"/>
      </w:rPr>
    </w:pPr>
    <w:r>
      <w:rPr>
        <w:rFonts w:hint="eastAsia" w:ascii="仿宋" w:hAnsi="仿宋" w:eastAsia="仿宋" w:cs="仿宋"/>
      </w:rPr>
      <w:t>招标文件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884D57">
    <w:pPr>
      <w:pStyle w:val="23"/>
      <w:pBdr>
        <w:top w:val="none" w:color="auto" w:sz="0" w:space="0"/>
        <w:left w:val="none" w:color="auto" w:sz="0" w:space="0"/>
        <w:bottom w:val="single" w:color="auto" w:sz="4" w:space="1"/>
        <w:right w:val="none" w:color="auto" w:sz="0" w:space="0"/>
      </w:pBdr>
      <w:jc w:val="center"/>
      <w:rPr>
        <w:rFonts w:hint="eastAsia" w:ascii="仿宋" w:hAnsi="仿宋" w:eastAsia="仿宋" w:cs="仿宋"/>
      </w:rPr>
    </w:pPr>
    <w:r>
      <w:rPr>
        <w:rFonts w:hint="eastAsia" w:ascii="仿宋" w:hAnsi="仿宋" w:eastAsia="仿宋" w:cs="仿宋"/>
      </w:rPr>
      <w:t>招标文件</w:t>
    </w:r>
  </w:p>
  <w:p w14:paraId="4990E36C">
    <w:pPr>
      <w:pStyle w:val="23"/>
      <w:rPr>
        <w:rFonts w:hint="eastAsia" w:ascii="仿宋" w:hAnsi="仿宋" w:eastAsia="仿宋" w:cs="仿宋"/>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76A017">
    <w:pPr>
      <w:pStyle w:val="23"/>
      <w:pBdr>
        <w:top w:val="none" w:color="auto" w:sz="0" w:space="0"/>
        <w:left w:val="none" w:color="auto" w:sz="0" w:space="0"/>
        <w:bottom w:val="single" w:color="auto" w:sz="4" w:space="1"/>
        <w:right w:val="none" w:color="auto" w:sz="0" w:space="0"/>
      </w:pBdr>
      <w:jc w:val="center"/>
      <w:rPr>
        <w:rFonts w:hint="eastAsia" w:ascii="仿宋" w:hAnsi="仿宋" w:eastAsia="仿宋" w:cs="仿宋"/>
      </w:rPr>
    </w:pPr>
    <w:r>
      <w:rPr>
        <w:rFonts w:hint="eastAsia" w:ascii="仿宋" w:hAnsi="仿宋" w:eastAsia="仿宋" w:cs="仿宋"/>
      </w:rPr>
      <w:t>招标文件</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18C8A4">
    <w:pPr>
      <w:pStyle w:val="23"/>
      <w:pBdr>
        <w:top w:val="none" w:color="auto" w:sz="0" w:space="0"/>
        <w:left w:val="none" w:color="auto" w:sz="0" w:space="0"/>
        <w:bottom w:val="single" w:color="auto" w:sz="4" w:space="1"/>
        <w:right w:val="none" w:color="auto" w:sz="0" w:space="0"/>
      </w:pBdr>
      <w:jc w:val="center"/>
      <w:rPr>
        <w:rFonts w:hint="eastAsia" w:ascii="仿宋" w:hAnsi="仿宋" w:eastAsia="仿宋" w:cs="仿宋"/>
      </w:rPr>
    </w:pPr>
    <w:r>
      <w:rPr>
        <w:rFonts w:hint="eastAsia" w:ascii="仿宋" w:hAnsi="仿宋" w:eastAsia="仿宋" w:cs="仿宋"/>
      </w:rPr>
      <w:t>招标文件</w:t>
    </w:r>
  </w:p>
  <w:p w14:paraId="158B10F6">
    <w:pPr>
      <w:pStyle w:val="23"/>
      <w:rPr>
        <w:rFonts w:hint="eastAsia" w:ascii="仿宋" w:hAnsi="仿宋" w:eastAsia="仿宋" w:cs="仿宋"/>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81C3CB0"/>
    <w:multiLevelType w:val="singleLevel"/>
    <w:tmpl w:val="A81C3CB0"/>
    <w:lvl w:ilvl="0" w:tentative="0">
      <w:start w:val="11"/>
      <w:numFmt w:val="decimal"/>
      <w:suff w:val="space"/>
      <w:lvlText w:val="%1."/>
      <w:lvlJc w:val="left"/>
    </w:lvl>
  </w:abstractNum>
  <w:abstractNum w:abstractNumId="1">
    <w:nsid w:val="D6CD50BC"/>
    <w:multiLevelType w:val="singleLevel"/>
    <w:tmpl w:val="D6CD50BC"/>
    <w:lvl w:ilvl="0" w:tentative="0">
      <w:start w:val="4"/>
      <w:numFmt w:val="chineseCounting"/>
      <w:suff w:val="space"/>
      <w:lvlText w:val="第%1章"/>
      <w:lvlJc w:val="left"/>
      <w:rPr>
        <w:rFonts w:hint="eastAsia"/>
      </w:rPr>
    </w:lvl>
  </w:abstractNum>
  <w:abstractNum w:abstractNumId="2">
    <w:nsid w:val="0C2091A2"/>
    <w:multiLevelType w:val="singleLevel"/>
    <w:tmpl w:val="0C2091A2"/>
    <w:lvl w:ilvl="0" w:tentative="0">
      <w:start w:val="1"/>
      <w:numFmt w:val="chineseCounting"/>
      <w:suff w:val="nothing"/>
      <w:lvlText w:val="（%1）"/>
      <w:lvlJc w:val="left"/>
      <w:rPr>
        <w:rFonts w:hint="eastAsia"/>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attachedTemplate r:id="rId1"/>
  <w:documentProtection w:enforcement="0"/>
  <w:defaultTabStop w:val="420"/>
  <w:hyphenationZone w:val="36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hdrShapeDefaults>
    <o:shapelayout v:ext="edit">
      <o:idmap v:ext="edit" data="1"/>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E3NDhhZTMxN2IwZjg1OGE5ZGE4Yzc5MzJkZTg3MmUifQ=="/>
  </w:docVars>
  <w:rsids>
    <w:rsidRoot w:val="005F55AF"/>
    <w:rsid w:val="000001C4"/>
    <w:rsid w:val="00000C81"/>
    <w:rsid w:val="00000EAA"/>
    <w:rsid w:val="0000139C"/>
    <w:rsid w:val="000016E8"/>
    <w:rsid w:val="00003FC1"/>
    <w:rsid w:val="00004A95"/>
    <w:rsid w:val="00004F37"/>
    <w:rsid w:val="000050AE"/>
    <w:rsid w:val="00006707"/>
    <w:rsid w:val="000068F2"/>
    <w:rsid w:val="0000699B"/>
    <w:rsid w:val="00006B2B"/>
    <w:rsid w:val="00006F75"/>
    <w:rsid w:val="00010234"/>
    <w:rsid w:val="00011607"/>
    <w:rsid w:val="00012105"/>
    <w:rsid w:val="00013761"/>
    <w:rsid w:val="000151FB"/>
    <w:rsid w:val="0001709E"/>
    <w:rsid w:val="00021824"/>
    <w:rsid w:val="00022109"/>
    <w:rsid w:val="00024256"/>
    <w:rsid w:val="00024350"/>
    <w:rsid w:val="000243B2"/>
    <w:rsid w:val="000252D2"/>
    <w:rsid w:val="0002645E"/>
    <w:rsid w:val="00026C1C"/>
    <w:rsid w:val="00026C66"/>
    <w:rsid w:val="00027DA6"/>
    <w:rsid w:val="000312AD"/>
    <w:rsid w:val="00032A4D"/>
    <w:rsid w:val="000335FC"/>
    <w:rsid w:val="00033C35"/>
    <w:rsid w:val="00034D22"/>
    <w:rsid w:val="000352ED"/>
    <w:rsid w:val="00035B05"/>
    <w:rsid w:val="00037ECD"/>
    <w:rsid w:val="0004355F"/>
    <w:rsid w:val="00044E20"/>
    <w:rsid w:val="00044F68"/>
    <w:rsid w:val="00045339"/>
    <w:rsid w:val="00045927"/>
    <w:rsid w:val="00045B07"/>
    <w:rsid w:val="000479A4"/>
    <w:rsid w:val="00047FE6"/>
    <w:rsid w:val="000515DB"/>
    <w:rsid w:val="00051BFE"/>
    <w:rsid w:val="000523F6"/>
    <w:rsid w:val="00052EBC"/>
    <w:rsid w:val="0005366F"/>
    <w:rsid w:val="00054842"/>
    <w:rsid w:val="00054BC2"/>
    <w:rsid w:val="00055A7F"/>
    <w:rsid w:val="0005610E"/>
    <w:rsid w:val="00060DE9"/>
    <w:rsid w:val="00061265"/>
    <w:rsid w:val="0006160A"/>
    <w:rsid w:val="00062034"/>
    <w:rsid w:val="000629FD"/>
    <w:rsid w:val="00063375"/>
    <w:rsid w:val="0006458B"/>
    <w:rsid w:val="0006524F"/>
    <w:rsid w:val="0006708E"/>
    <w:rsid w:val="000676F4"/>
    <w:rsid w:val="00067701"/>
    <w:rsid w:val="00067C40"/>
    <w:rsid w:val="000739F8"/>
    <w:rsid w:val="0007443C"/>
    <w:rsid w:val="00074AB1"/>
    <w:rsid w:val="00074F22"/>
    <w:rsid w:val="000767AC"/>
    <w:rsid w:val="000767DF"/>
    <w:rsid w:val="00077111"/>
    <w:rsid w:val="00081825"/>
    <w:rsid w:val="00082F19"/>
    <w:rsid w:val="00084FF4"/>
    <w:rsid w:val="00086193"/>
    <w:rsid w:val="00087142"/>
    <w:rsid w:val="00087E33"/>
    <w:rsid w:val="000903F5"/>
    <w:rsid w:val="00090AE3"/>
    <w:rsid w:val="00090D3B"/>
    <w:rsid w:val="00091DCE"/>
    <w:rsid w:val="000925AF"/>
    <w:rsid w:val="0009613B"/>
    <w:rsid w:val="000963DE"/>
    <w:rsid w:val="00097B9F"/>
    <w:rsid w:val="000A073A"/>
    <w:rsid w:val="000A3063"/>
    <w:rsid w:val="000A38E9"/>
    <w:rsid w:val="000A499E"/>
    <w:rsid w:val="000A4ADD"/>
    <w:rsid w:val="000A616D"/>
    <w:rsid w:val="000A6A7C"/>
    <w:rsid w:val="000A73A9"/>
    <w:rsid w:val="000A7841"/>
    <w:rsid w:val="000A7896"/>
    <w:rsid w:val="000B36D6"/>
    <w:rsid w:val="000B5486"/>
    <w:rsid w:val="000B700F"/>
    <w:rsid w:val="000C0CFB"/>
    <w:rsid w:val="000C0FC6"/>
    <w:rsid w:val="000C2AD8"/>
    <w:rsid w:val="000C3CC6"/>
    <w:rsid w:val="000C4137"/>
    <w:rsid w:val="000C75E9"/>
    <w:rsid w:val="000C7872"/>
    <w:rsid w:val="000D079E"/>
    <w:rsid w:val="000D2C19"/>
    <w:rsid w:val="000D3528"/>
    <w:rsid w:val="000D3953"/>
    <w:rsid w:val="000D4B03"/>
    <w:rsid w:val="000D4D9F"/>
    <w:rsid w:val="000D5661"/>
    <w:rsid w:val="000D628B"/>
    <w:rsid w:val="000D644C"/>
    <w:rsid w:val="000D7E11"/>
    <w:rsid w:val="000E0407"/>
    <w:rsid w:val="000E18A1"/>
    <w:rsid w:val="000E259E"/>
    <w:rsid w:val="000E369E"/>
    <w:rsid w:val="000E3CF6"/>
    <w:rsid w:val="000E5233"/>
    <w:rsid w:val="000E586E"/>
    <w:rsid w:val="000E61DA"/>
    <w:rsid w:val="000F3605"/>
    <w:rsid w:val="000F3B51"/>
    <w:rsid w:val="000F3BBD"/>
    <w:rsid w:val="000F3C06"/>
    <w:rsid w:val="000F3F3E"/>
    <w:rsid w:val="000F45C4"/>
    <w:rsid w:val="000F46D5"/>
    <w:rsid w:val="000F61EE"/>
    <w:rsid w:val="000F7110"/>
    <w:rsid w:val="000F790F"/>
    <w:rsid w:val="000F7E6D"/>
    <w:rsid w:val="0010147B"/>
    <w:rsid w:val="001015DB"/>
    <w:rsid w:val="001026CD"/>
    <w:rsid w:val="001049FD"/>
    <w:rsid w:val="001061DB"/>
    <w:rsid w:val="00110277"/>
    <w:rsid w:val="00110EDE"/>
    <w:rsid w:val="00111D8D"/>
    <w:rsid w:val="00112169"/>
    <w:rsid w:val="001125F7"/>
    <w:rsid w:val="00113131"/>
    <w:rsid w:val="00114EC3"/>
    <w:rsid w:val="00116821"/>
    <w:rsid w:val="00116E5C"/>
    <w:rsid w:val="0011762E"/>
    <w:rsid w:val="0011797C"/>
    <w:rsid w:val="00117B54"/>
    <w:rsid w:val="00120076"/>
    <w:rsid w:val="00120253"/>
    <w:rsid w:val="00121851"/>
    <w:rsid w:val="00122A54"/>
    <w:rsid w:val="00124F11"/>
    <w:rsid w:val="00125019"/>
    <w:rsid w:val="00126C7E"/>
    <w:rsid w:val="00126CE7"/>
    <w:rsid w:val="00130D12"/>
    <w:rsid w:val="001310E5"/>
    <w:rsid w:val="00131208"/>
    <w:rsid w:val="001315B3"/>
    <w:rsid w:val="001315FE"/>
    <w:rsid w:val="00131681"/>
    <w:rsid w:val="001335CE"/>
    <w:rsid w:val="00134630"/>
    <w:rsid w:val="00135174"/>
    <w:rsid w:val="00135531"/>
    <w:rsid w:val="0014075B"/>
    <w:rsid w:val="00142288"/>
    <w:rsid w:val="001425CB"/>
    <w:rsid w:val="0014286F"/>
    <w:rsid w:val="001442A6"/>
    <w:rsid w:val="00146BDC"/>
    <w:rsid w:val="001471AD"/>
    <w:rsid w:val="001512A0"/>
    <w:rsid w:val="0015276A"/>
    <w:rsid w:val="001541A3"/>
    <w:rsid w:val="001574F6"/>
    <w:rsid w:val="00164FA4"/>
    <w:rsid w:val="00165099"/>
    <w:rsid w:val="0016661C"/>
    <w:rsid w:val="00167F84"/>
    <w:rsid w:val="00177E38"/>
    <w:rsid w:val="00181527"/>
    <w:rsid w:val="00181732"/>
    <w:rsid w:val="00184CCD"/>
    <w:rsid w:val="00185C2F"/>
    <w:rsid w:val="00187293"/>
    <w:rsid w:val="001877DD"/>
    <w:rsid w:val="00190A02"/>
    <w:rsid w:val="00190C5A"/>
    <w:rsid w:val="0019442B"/>
    <w:rsid w:val="001A0890"/>
    <w:rsid w:val="001A19D2"/>
    <w:rsid w:val="001A1C87"/>
    <w:rsid w:val="001A1F38"/>
    <w:rsid w:val="001A3857"/>
    <w:rsid w:val="001A4F0D"/>
    <w:rsid w:val="001A5E58"/>
    <w:rsid w:val="001A6377"/>
    <w:rsid w:val="001A6A87"/>
    <w:rsid w:val="001A7699"/>
    <w:rsid w:val="001A77C6"/>
    <w:rsid w:val="001B29DD"/>
    <w:rsid w:val="001B32F5"/>
    <w:rsid w:val="001B4523"/>
    <w:rsid w:val="001B5337"/>
    <w:rsid w:val="001C0D18"/>
    <w:rsid w:val="001C28D2"/>
    <w:rsid w:val="001C4F00"/>
    <w:rsid w:val="001C543F"/>
    <w:rsid w:val="001C569A"/>
    <w:rsid w:val="001C65C1"/>
    <w:rsid w:val="001C6D9E"/>
    <w:rsid w:val="001C7899"/>
    <w:rsid w:val="001D076F"/>
    <w:rsid w:val="001D23AF"/>
    <w:rsid w:val="001D23B6"/>
    <w:rsid w:val="001D3757"/>
    <w:rsid w:val="001D3A3C"/>
    <w:rsid w:val="001D5E2F"/>
    <w:rsid w:val="001D6FE1"/>
    <w:rsid w:val="001D7261"/>
    <w:rsid w:val="001D7701"/>
    <w:rsid w:val="001D7AA1"/>
    <w:rsid w:val="001E2456"/>
    <w:rsid w:val="001E3189"/>
    <w:rsid w:val="001E3D4C"/>
    <w:rsid w:val="001E3E86"/>
    <w:rsid w:val="001F2953"/>
    <w:rsid w:val="001F3F80"/>
    <w:rsid w:val="001F4609"/>
    <w:rsid w:val="001F7B1B"/>
    <w:rsid w:val="0020115E"/>
    <w:rsid w:val="00201575"/>
    <w:rsid w:val="00203CDC"/>
    <w:rsid w:val="00203FC1"/>
    <w:rsid w:val="00204A32"/>
    <w:rsid w:val="00206322"/>
    <w:rsid w:val="0020688B"/>
    <w:rsid w:val="00206ACA"/>
    <w:rsid w:val="00207D3B"/>
    <w:rsid w:val="002124EF"/>
    <w:rsid w:val="00212967"/>
    <w:rsid w:val="00212A52"/>
    <w:rsid w:val="00212AEE"/>
    <w:rsid w:val="00213736"/>
    <w:rsid w:val="0021403B"/>
    <w:rsid w:val="00214FDB"/>
    <w:rsid w:val="00215FF1"/>
    <w:rsid w:val="00216402"/>
    <w:rsid w:val="00217033"/>
    <w:rsid w:val="0021729F"/>
    <w:rsid w:val="00217F9A"/>
    <w:rsid w:val="002207FA"/>
    <w:rsid w:val="00221931"/>
    <w:rsid w:val="0022202B"/>
    <w:rsid w:val="00222CCB"/>
    <w:rsid w:val="00225E48"/>
    <w:rsid w:val="00226E29"/>
    <w:rsid w:val="0022792D"/>
    <w:rsid w:val="00230C7F"/>
    <w:rsid w:val="00231390"/>
    <w:rsid w:val="00232123"/>
    <w:rsid w:val="002329BA"/>
    <w:rsid w:val="00232AA2"/>
    <w:rsid w:val="00232AAB"/>
    <w:rsid w:val="002346E9"/>
    <w:rsid w:val="00236429"/>
    <w:rsid w:val="00236DA6"/>
    <w:rsid w:val="00237699"/>
    <w:rsid w:val="00237869"/>
    <w:rsid w:val="00237EED"/>
    <w:rsid w:val="002406AC"/>
    <w:rsid w:val="00242173"/>
    <w:rsid w:val="002439E8"/>
    <w:rsid w:val="00243A60"/>
    <w:rsid w:val="00245799"/>
    <w:rsid w:val="00250A52"/>
    <w:rsid w:val="00250DB4"/>
    <w:rsid w:val="002512C9"/>
    <w:rsid w:val="00251EF0"/>
    <w:rsid w:val="00252704"/>
    <w:rsid w:val="00252B10"/>
    <w:rsid w:val="00253CB6"/>
    <w:rsid w:val="00254037"/>
    <w:rsid w:val="00254EA1"/>
    <w:rsid w:val="00255444"/>
    <w:rsid w:val="002575A1"/>
    <w:rsid w:val="00257B18"/>
    <w:rsid w:val="0026035F"/>
    <w:rsid w:val="00261D4D"/>
    <w:rsid w:val="00262C07"/>
    <w:rsid w:val="00262D23"/>
    <w:rsid w:val="0026340E"/>
    <w:rsid w:val="00264B7B"/>
    <w:rsid w:val="002675F1"/>
    <w:rsid w:val="00270522"/>
    <w:rsid w:val="00273999"/>
    <w:rsid w:val="002753BD"/>
    <w:rsid w:val="00277663"/>
    <w:rsid w:val="0028413A"/>
    <w:rsid w:val="00284617"/>
    <w:rsid w:val="00286A3E"/>
    <w:rsid w:val="00287A9F"/>
    <w:rsid w:val="002900A1"/>
    <w:rsid w:val="00291F2A"/>
    <w:rsid w:val="00293253"/>
    <w:rsid w:val="00293FFB"/>
    <w:rsid w:val="00296B57"/>
    <w:rsid w:val="00297182"/>
    <w:rsid w:val="0029781A"/>
    <w:rsid w:val="00297FA6"/>
    <w:rsid w:val="002A0528"/>
    <w:rsid w:val="002A0871"/>
    <w:rsid w:val="002A08A9"/>
    <w:rsid w:val="002A29D5"/>
    <w:rsid w:val="002A3645"/>
    <w:rsid w:val="002A5816"/>
    <w:rsid w:val="002A59D8"/>
    <w:rsid w:val="002A6404"/>
    <w:rsid w:val="002A6CA1"/>
    <w:rsid w:val="002A6F20"/>
    <w:rsid w:val="002A6F8B"/>
    <w:rsid w:val="002A7397"/>
    <w:rsid w:val="002A74AC"/>
    <w:rsid w:val="002B284D"/>
    <w:rsid w:val="002B2F7A"/>
    <w:rsid w:val="002B3116"/>
    <w:rsid w:val="002B3356"/>
    <w:rsid w:val="002B3722"/>
    <w:rsid w:val="002B4923"/>
    <w:rsid w:val="002B604E"/>
    <w:rsid w:val="002B7C9A"/>
    <w:rsid w:val="002C0D19"/>
    <w:rsid w:val="002C15D2"/>
    <w:rsid w:val="002C243E"/>
    <w:rsid w:val="002C2771"/>
    <w:rsid w:val="002C2E36"/>
    <w:rsid w:val="002C3120"/>
    <w:rsid w:val="002C3D1E"/>
    <w:rsid w:val="002C4B6A"/>
    <w:rsid w:val="002C4DC4"/>
    <w:rsid w:val="002C6826"/>
    <w:rsid w:val="002D00D8"/>
    <w:rsid w:val="002D17D7"/>
    <w:rsid w:val="002D672A"/>
    <w:rsid w:val="002D6B06"/>
    <w:rsid w:val="002D764A"/>
    <w:rsid w:val="002D76A9"/>
    <w:rsid w:val="002E07B7"/>
    <w:rsid w:val="002E1286"/>
    <w:rsid w:val="002E153E"/>
    <w:rsid w:val="002E1C7B"/>
    <w:rsid w:val="002E2D72"/>
    <w:rsid w:val="002E4C41"/>
    <w:rsid w:val="002E56F8"/>
    <w:rsid w:val="002E5D16"/>
    <w:rsid w:val="002F0299"/>
    <w:rsid w:val="002F29C3"/>
    <w:rsid w:val="002F3452"/>
    <w:rsid w:val="002F6CC1"/>
    <w:rsid w:val="003008A4"/>
    <w:rsid w:val="00301A76"/>
    <w:rsid w:val="00304544"/>
    <w:rsid w:val="00306024"/>
    <w:rsid w:val="00306366"/>
    <w:rsid w:val="003074D7"/>
    <w:rsid w:val="0030768D"/>
    <w:rsid w:val="0031082E"/>
    <w:rsid w:val="003110A2"/>
    <w:rsid w:val="003129B0"/>
    <w:rsid w:val="00312A4D"/>
    <w:rsid w:val="00313685"/>
    <w:rsid w:val="00313E5A"/>
    <w:rsid w:val="00313F53"/>
    <w:rsid w:val="00314FEF"/>
    <w:rsid w:val="00315070"/>
    <w:rsid w:val="003154D6"/>
    <w:rsid w:val="00320097"/>
    <w:rsid w:val="00320423"/>
    <w:rsid w:val="0032047C"/>
    <w:rsid w:val="0032264D"/>
    <w:rsid w:val="00323E67"/>
    <w:rsid w:val="003254D7"/>
    <w:rsid w:val="003264ED"/>
    <w:rsid w:val="003270C6"/>
    <w:rsid w:val="00327AB4"/>
    <w:rsid w:val="00332AEA"/>
    <w:rsid w:val="00332E12"/>
    <w:rsid w:val="00333B4D"/>
    <w:rsid w:val="00333C26"/>
    <w:rsid w:val="00335187"/>
    <w:rsid w:val="00340A6B"/>
    <w:rsid w:val="00341088"/>
    <w:rsid w:val="0034186F"/>
    <w:rsid w:val="00341D12"/>
    <w:rsid w:val="00341E25"/>
    <w:rsid w:val="00342CD4"/>
    <w:rsid w:val="00343528"/>
    <w:rsid w:val="0034554B"/>
    <w:rsid w:val="00346017"/>
    <w:rsid w:val="00347120"/>
    <w:rsid w:val="00350901"/>
    <w:rsid w:val="0035152A"/>
    <w:rsid w:val="00351579"/>
    <w:rsid w:val="003610E4"/>
    <w:rsid w:val="003618A1"/>
    <w:rsid w:val="00362263"/>
    <w:rsid w:val="00362507"/>
    <w:rsid w:val="00363A11"/>
    <w:rsid w:val="00363E37"/>
    <w:rsid w:val="00365FB4"/>
    <w:rsid w:val="00366DED"/>
    <w:rsid w:val="00367063"/>
    <w:rsid w:val="003676AE"/>
    <w:rsid w:val="003721DF"/>
    <w:rsid w:val="0037437C"/>
    <w:rsid w:val="003743C4"/>
    <w:rsid w:val="00375F12"/>
    <w:rsid w:val="003767A0"/>
    <w:rsid w:val="00377423"/>
    <w:rsid w:val="00377636"/>
    <w:rsid w:val="00377970"/>
    <w:rsid w:val="00380A93"/>
    <w:rsid w:val="00381978"/>
    <w:rsid w:val="003822CD"/>
    <w:rsid w:val="00383C4B"/>
    <w:rsid w:val="003854B0"/>
    <w:rsid w:val="003859FD"/>
    <w:rsid w:val="00386D20"/>
    <w:rsid w:val="00387A30"/>
    <w:rsid w:val="00391172"/>
    <w:rsid w:val="00392E3A"/>
    <w:rsid w:val="00393F5A"/>
    <w:rsid w:val="003944F6"/>
    <w:rsid w:val="00396011"/>
    <w:rsid w:val="003973C4"/>
    <w:rsid w:val="00397EC0"/>
    <w:rsid w:val="003A078F"/>
    <w:rsid w:val="003A1256"/>
    <w:rsid w:val="003A2726"/>
    <w:rsid w:val="003A3056"/>
    <w:rsid w:val="003A353C"/>
    <w:rsid w:val="003A35AE"/>
    <w:rsid w:val="003A3AD6"/>
    <w:rsid w:val="003A7214"/>
    <w:rsid w:val="003A7C2B"/>
    <w:rsid w:val="003B09D9"/>
    <w:rsid w:val="003B244B"/>
    <w:rsid w:val="003B3BB4"/>
    <w:rsid w:val="003B406D"/>
    <w:rsid w:val="003B4CB2"/>
    <w:rsid w:val="003B5B88"/>
    <w:rsid w:val="003B5C8D"/>
    <w:rsid w:val="003B7BF1"/>
    <w:rsid w:val="003C0809"/>
    <w:rsid w:val="003C1A69"/>
    <w:rsid w:val="003C1EED"/>
    <w:rsid w:val="003C24F3"/>
    <w:rsid w:val="003C2CC6"/>
    <w:rsid w:val="003C3683"/>
    <w:rsid w:val="003C3F26"/>
    <w:rsid w:val="003C486E"/>
    <w:rsid w:val="003C4B52"/>
    <w:rsid w:val="003C4F36"/>
    <w:rsid w:val="003C6380"/>
    <w:rsid w:val="003C7512"/>
    <w:rsid w:val="003C7A1C"/>
    <w:rsid w:val="003D0AC8"/>
    <w:rsid w:val="003D24C5"/>
    <w:rsid w:val="003D30DD"/>
    <w:rsid w:val="003D3CC3"/>
    <w:rsid w:val="003D41FB"/>
    <w:rsid w:val="003D59DD"/>
    <w:rsid w:val="003D5CA2"/>
    <w:rsid w:val="003D6103"/>
    <w:rsid w:val="003E1E87"/>
    <w:rsid w:val="003E31A1"/>
    <w:rsid w:val="003E332E"/>
    <w:rsid w:val="003E3691"/>
    <w:rsid w:val="003E520B"/>
    <w:rsid w:val="003E52BB"/>
    <w:rsid w:val="003F0758"/>
    <w:rsid w:val="003F07D0"/>
    <w:rsid w:val="003F108A"/>
    <w:rsid w:val="003F2A3D"/>
    <w:rsid w:val="003F2F9E"/>
    <w:rsid w:val="003F38AD"/>
    <w:rsid w:val="003F3CB4"/>
    <w:rsid w:val="003F41E1"/>
    <w:rsid w:val="003F4C05"/>
    <w:rsid w:val="003F4DBE"/>
    <w:rsid w:val="00400EA9"/>
    <w:rsid w:val="0040189E"/>
    <w:rsid w:val="00401BE0"/>
    <w:rsid w:val="00401EFD"/>
    <w:rsid w:val="00402334"/>
    <w:rsid w:val="00402F29"/>
    <w:rsid w:val="00403FC1"/>
    <w:rsid w:val="004043FD"/>
    <w:rsid w:val="0040553E"/>
    <w:rsid w:val="004057DD"/>
    <w:rsid w:val="00405CD6"/>
    <w:rsid w:val="00410763"/>
    <w:rsid w:val="00411048"/>
    <w:rsid w:val="00412281"/>
    <w:rsid w:val="00412DBA"/>
    <w:rsid w:val="0041352C"/>
    <w:rsid w:val="004137E6"/>
    <w:rsid w:val="004141BE"/>
    <w:rsid w:val="00415995"/>
    <w:rsid w:val="00421CE4"/>
    <w:rsid w:val="00422CF1"/>
    <w:rsid w:val="00424391"/>
    <w:rsid w:val="004246AA"/>
    <w:rsid w:val="00425AC4"/>
    <w:rsid w:val="00426E30"/>
    <w:rsid w:val="004275DC"/>
    <w:rsid w:val="00427660"/>
    <w:rsid w:val="00430CD5"/>
    <w:rsid w:val="00430E84"/>
    <w:rsid w:val="00431F4B"/>
    <w:rsid w:val="004347E5"/>
    <w:rsid w:val="00435287"/>
    <w:rsid w:val="00440AC7"/>
    <w:rsid w:val="00440F2E"/>
    <w:rsid w:val="00441326"/>
    <w:rsid w:val="004416AA"/>
    <w:rsid w:val="004416D2"/>
    <w:rsid w:val="00442DB7"/>
    <w:rsid w:val="00443CDC"/>
    <w:rsid w:val="004442DD"/>
    <w:rsid w:val="00445F86"/>
    <w:rsid w:val="004460F1"/>
    <w:rsid w:val="004469DB"/>
    <w:rsid w:val="00446C8E"/>
    <w:rsid w:val="00450005"/>
    <w:rsid w:val="004501FD"/>
    <w:rsid w:val="004515B3"/>
    <w:rsid w:val="004537B2"/>
    <w:rsid w:val="00453BE3"/>
    <w:rsid w:val="00454FF0"/>
    <w:rsid w:val="0046260D"/>
    <w:rsid w:val="00462CE5"/>
    <w:rsid w:val="0046466C"/>
    <w:rsid w:val="00465093"/>
    <w:rsid w:val="0046549F"/>
    <w:rsid w:val="00467E6C"/>
    <w:rsid w:val="004707EC"/>
    <w:rsid w:val="00470D2E"/>
    <w:rsid w:val="00471C9E"/>
    <w:rsid w:val="00471E49"/>
    <w:rsid w:val="00472DA4"/>
    <w:rsid w:val="00473191"/>
    <w:rsid w:val="0047331B"/>
    <w:rsid w:val="00473B30"/>
    <w:rsid w:val="004742AE"/>
    <w:rsid w:val="0047460A"/>
    <w:rsid w:val="004753B4"/>
    <w:rsid w:val="00477783"/>
    <w:rsid w:val="00477AB0"/>
    <w:rsid w:val="004812DE"/>
    <w:rsid w:val="00481624"/>
    <w:rsid w:val="00484786"/>
    <w:rsid w:val="00485755"/>
    <w:rsid w:val="00485FF4"/>
    <w:rsid w:val="0048796B"/>
    <w:rsid w:val="00487C7A"/>
    <w:rsid w:val="0049302E"/>
    <w:rsid w:val="004944F7"/>
    <w:rsid w:val="00494679"/>
    <w:rsid w:val="004947F1"/>
    <w:rsid w:val="0049487A"/>
    <w:rsid w:val="00495419"/>
    <w:rsid w:val="004960AA"/>
    <w:rsid w:val="004960EA"/>
    <w:rsid w:val="0049628A"/>
    <w:rsid w:val="004976AB"/>
    <w:rsid w:val="00497E7C"/>
    <w:rsid w:val="004A5C7D"/>
    <w:rsid w:val="004A7F15"/>
    <w:rsid w:val="004B00D9"/>
    <w:rsid w:val="004B1287"/>
    <w:rsid w:val="004B1357"/>
    <w:rsid w:val="004B162F"/>
    <w:rsid w:val="004B186D"/>
    <w:rsid w:val="004B7CEF"/>
    <w:rsid w:val="004C1099"/>
    <w:rsid w:val="004C2A70"/>
    <w:rsid w:val="004C2DDC"/>
    <w:rsid w:val="004C356A"/>
    <w:rsid w:val="004C4046"/>
    <w:rsid w:val="004C42E3"/>
    <w:rsid w:val="004C676F"/>
    <w:rsid w:val="004C7026"/>
    <w:rsid w:val="004D0721"/>
    <w:rsid w:val="004D0F69"/>
    <w:rsid w:val="004D1AFE"/>
    <w:rsid w:val="004D1BA7"/>
    <w:rsid w:val="004D2FB7"/>
    <w:rsid w:val="004D35F3"/>
    <w:rsid w:val="004D3D72"/>
    <w:rsid w:val="004D3F41"/>
    <w:rsid w:val="004D5703"/>
    <w:rsid w:val="004E0470"/>
    <w:rsid w:val="004E2C4F"/>
    <w:rsid w:val="004E3876"/>
    <w:rsid w:val="004E3BBF"/>
    <w:rsid w:val="004E585E"/>
    <w:rsid w:val="004E646C"/>
    <w:rsid w:val="004E64DE"/>
    <w:rsid w:val="004F0580"/>
    <w:rsid w:val="004F1032"/>
    <w:rsid w:val="004F18DA"/>
    <w:rsid w:val="004F1E5E"/>
    <w:rsid w:val="004F3A50"/>
    <w:rsid w:val="004F4BE6"/>
    <w:rsid w:val="004F5E89"/>
    <w:rsid w:val="004F60C5"/>
    <w:rsid w:val="004F6784"/>
    <w:rsid w:val="005014A6"/>
    <w:rsid w:val="00501AF0"/>
    <w:rsid w:val="005036C3"/>
    <w:rsid w:val="00503AE7"/>
    <w:rsid w:val="00503B5E"/>
    <w:rsid w:val="00505E27"/>
    <w:rsid w:val="0050690F"/>
    <w:rsid w:val="0051272C"/>
    <w:rsid w:val="00514D95"/>
    <w:rsid w:val="005156F6"/>
    <w:rsid w:val="00516180"/>
    <w:rsid w:val="0051663E"/>
    <w:rsid w:val="0051716D"/>
    <w:rsid w:val="00517241"/>
    <w:rsid w:val="00517E5C"/>
    <w:rsid w:val="00520135"/>
    <w:rsid w:val="005204D0"/>
    <w:rsid w:val="005207A5"/>
    <w:rsid w:val="00520D65"/>
    <w:rsid w:val="00521412"/>
    <w:rsid w:val="0052195D"/>
    <w:rsid w:val="00522848"/>
    <w:rsid w:val="005260F6"/>
    <w:rsid w:val="005267F9"/>
    <w:rsid w:val="00526F10"/>
    <w:rsid w:val="005273CD"/>
    <w:rsid w:val="005312CC"/>
    <w:rsid w:val="00531809"/>
    <w:rsid w:val="00533DEF"/>
    <w:rsid w:val="00534BE8"/>
    <w:rsid w:val="005355AA"/>
    <w:rsid w:val="00535A6B"/>
    <w:rsid w:val="00536E63"/>
    <w:rsid w:val="0053757F"/>
    <w:rsid w:val="005375FD"/>
    <w:rsid w:val="0054076C"/>
    <w:rsid w:val="005411A1"/>
    <w:rsid w:val="005426FD"/>
    <w:rsid w:val="00543768"/>
    <w:rsid w:val="005444F6"/>
    <w:rsid w:val="00544D80"/>
    <w:rsid w:val="00546B54"/>
    <w:rsid w:val="00550BB6"/>
    <w:rsid w:val="0055160B"/>
    <w:rsid w:val="005525B7"/>
    <w:rsid w:val="005577F4"/>
    <w:rsid w:val="00557AAB"/>
    <w:rsid w:val="00562694"/>
    <w:rsid w:val="00563850"/>
    <w:rsid w:val="00565FE7"/>
    <w:rsid w:val="005709A2"/>
    <w:rsid w:val="00570AC5"/>
    <w:rsid w:val="00573B57"/>
    <w:rsid w:val="00574F13"/>
    <w:rsid w:val="005811DF"/>
    <w:rsid w:val="00581787"/>
    <w:rsid w:val="00581A29"/>
    <w:rsid w:val="00581BFB"/>
    <w:rsid w:val="00581EB8"/>
    <w:rsid w:val="00583D61"/>
    <w:rsid w:val="00583D82"/>
    <w:rsid w:val="00584436"/>
    <w:rsid w:val="0058482D"/>
    <w:rsid w:val="00584A9B"/>
    <w:rsid w:val="00585881"/>
    <w:rsid w:val="00585C2E"/>
    <w:rsid w:val="00586650"/>
    <w:rsid w:val="00586F6A"/>
    <w:rsid w:val="00590674"/>
    <w:rsid w:val="00590D38"/>
    <w:rsid w:val="00591D0B"/>
    <w:rsid w:val="0059358C"/>
    <w:rsid w:val="00593C7A"/>
    <w:rsid w:val="00593D0E"/>
    <w:rsid w:val="00594695"/>
    <w:rsid w:val="00594E24"/>
    <w:rsid w:val="00595A0A"/>
    <w:rsid w:val="005967D1"/>
    <w:rsid w:val="00596AA4"/>
    <w:rsid w:val="00596E1D"/>
    <w:rsid w:val="005972B1"/>
    <w:rsid w:val="005A3129"/>
    <w:rsid w:val="005A579D"/>
    <w:rsid w:val="005A62FB"/>
    <w:rsid w:val="005A6510"/>
    <w:rsid w:val="005A6AE3"/>
    <w:rsid w:val="005A7121"/>
    <w:rsid w:val="005B0E95"/>
    <w:rsid w:val="005B175D"/>
    <w:rsid w:val="005B2C65"/>
    <w:rsid w:val="005B3FBF"/>
    <w:rsid w:val="005B405D"/>
    <w:rsid w:val="005B447B"/>
    <w:rsid w:val="005B5599"/>
    <w:rsid w:val="005B796E"/>
    <w:rsid w:val="005B7FF6"/>
    <w:rsid w:val="005C0E17"/>
    <w:rsid w:val="005C1784"/>
    <w:rsid w:val="005C2492"/>
    <w:rsid w:val="005C2791"/>
    <w:rsid w:val="005C340A"/>
    <w:rsid w:val="005C3F2E"/>
    <w:rsid w:val="005C6082"/>
    <w:rsid w:val="005C7BEF"/>
    <w:rsid w:val="005D11E5"/>
    <w:rsid w:val="005D4977"/>
    <w:rsid w:val="005D5C1C"/>
    <w:rsid w:val="005D6144"/>
    <w:rsid w:val="005D753A"/>
    <w:rsid w:val="005D7D43"/>
    <w:rsid w:val="005D7E4E"/>
    <w:rsid w:val="005E0A0F"/>
    <w:rsid w:val="005E113E"/>
    <w:rsid w:val="005E1E83"/>
    <w:rsid w:val="005E2F78"/>
    <w:rsid w:val="005E3B9B"/>
    <w:rsid w:val="005E4B3D"/>
    <w:rsid w:val="005E4E01"/>
    <w:rsid w:val="005E58AB"/>
    <w:rsid w:val="005E7467"/>
    <w:rsid w:val="005F0532"/>
    <w:rsid w:val="005F06A9"/>
    <w:rsid w:val="005F23CA"/>
    <w:rsid w:val="005F28B5"/>
    <w:rsid w:val="005F4867"/>
    <w:rsid w:val="005F55AF"/>
    <w:rsid w:val="005F5A8C"/>
    <w:rsid w:val="005F5F5A"/>
    <w:rsid w:val="005F6D8A"/>
    <w:rsid w:val="005F7031"/>
    <w:rsid w:val="005F7451"/>
    <w:rsid w:val="00602570"/>
    <w:rsid w:val="006041D9"/>
    <w:rsid w:val="00604516"/>
    <w:rsid w:val="00604A91"/>
    <w:rsid w:val="0060688E"/>
    <w:rsid w:val="00607974"/>
    <w:rsid w:val="00611618"/>
    <w:rsid w:val="006133CE"/>
    <w:rsid w:val="006141BE"/>
    <w:rsid w:val="0061641E"/>
    <w:rsid w:val="00617819"/>
    <w:rsid w:val="006238B9"/>
    <w:rsid w:val="00623924"/>
    <w:rsid w:val="00623944"/>
    <w:rsid w:val="00623D88"/>
    <w:rsid w:val="00624A69"/>
    <w:rsid w:val="00624FFC"/>
    <w:rsid w:val="0062553A"/>
    <w:rsid w:val="00626B07"/>
    <w:rsid w:val="00627546"/>
    <w:rsid w:val="00630F55"/>
    <w:rsid w:val="00634610"/>
    <w:rsid w:val="00634AE6"/>
    <w:rsid w:val="00635383"/>
    <w:rsid w:val="00635D44"/>
    <w:rsid w:val="00637EA6"/>
    <w:rsid w:val="006404AB"/>
    <w:rsid w:val="00641500"/>
    <w:rsid w:val="00642E68"/>
    <w:rsid w:val="00643DE7"/>
    <w:rsid w:val="006459A9"/>
    <w:rsid w:val="00647497"/>
    <w:rsid w:val="00647AF8"/>
    <w:rsid w:val="0065029B"/>
    <w:rsid w:val="0065052C"/>
    <w:rsid w:val="00651949"/>
    <w:rsid w:val="006529FC"/>
    <w:rsid w:val="00653FB4"/>
    <w:rsid w:val="00654DA8"/>
    <w:rsid w:val="006557E7"/>
    <w:rsid w:val="00657CE4"/>
    <w:rsid w:val="00660FDD"/>
    <w:rsid w:val="00662B03"/>
    <w:rsid w:val="006642D5"/>
    <w:rsid w:val="00667144"/>
    <w:rsid w:val="006679AB"/>
    <w:rsid w:val="00670912"/>
    <w:rsid w:val="00671842"/>
    <w:rsid w:val="006718A7"/>
    <w:rsid w:val="00674CC4"/>
    <w:rsid w:val="00677615"/>
    <w:rsid w:val="00677B3E"/>
    <w:rsid w:val="0068003B"/>
    <w:rsid w:val="00680896"/>
    <w:rsid w:val="00683BFF"/>
    <w:rsid w:val="0068542A"/>
    <w:rsid w:val="00685671"/>
    <w:rsid w:val="00685906"/>
    <w:rsid w:val="00686A31"/>
    <w:rsid w:val="00686D0D"/>
    <w:rsid w:val="006902F4"/>
    <w:rsid w:val="00690ED3"/>
    <w:rsid w:val="00692025"/>
    <w:rsid w:val="00694021"/>
    <w:rsid w:val="00694F47"/>
    <w:rsid w:val="006950E9"/>
    <w:rsid w:val="00696F3E"/>
    <w:rsid w:val="00696FEC"/>
    <w:rsid w:val="006A01DF"/>
    <w:rsid w:val="006A0453"/>
    <w:rsid w:val="006A2362"/>
    <w:rsid w:val="006A2E13"/>
    <w:rsid w:val="006A314A"/>
    <w:rsid w:val="006A3A09"/>
    <w:rsid w:val="006A3B0B"/>
    <w:rsid w:val="006A7573"/>
    <w:rsid w:val="006A7E7A"/>
    <w:rsid w:val="006B036F"/>
    <w:rsid w:val="006B1D23"/>
    <w:rsid w:val="006B2994"/>
    <w:rsid w:val="006B2DFA"/>
    <w:rsid w:val="006B4BCF"/>
    <w:rsid w:val="006B5AD9"/>
    <w:rsid w:val="006B6460"/>
    <w:rsid w:val="006B6CA7"/>
    <w:rsid w:val="006B6D6B"/>
    <w:rsid w:val="006B7ADD"/>
    <w:rsid w:val="006C0167"/>
    <w:rsid w:val="006C02AB"/>
    <w:rsid w:val="006C0981"/>
    <w:rsid w:val="006C1F0B"/>
    <w:rsid w:val="006C27BA"/>
    <w:rsid w:val="006C311C"/>
    <w:rsid w:val="006C3FCD"/>
    <w:rsid w:val="006C5AA2"/>
    <w:rsid w:val="006C5CA0"/>
    <w:rsid w:val="006C5DBC"/>
    <w:rsid w:val="006C6688"/>
    <w:rsid w:val="006D0CD0"/>
    <w:rsid w:val="006D115D"/>
    <w:rsid w:val="006D1303"/>
    <w:rsid w:val="006D472C"/>
    <w:rsid w:val="006D7121"/>
    <w:rsid w:val="006E28DC"/>
    <w:rsid w:val="006E54C5"/>
    <w:rsid w:val="006E6833"/>
    <w:rsid w:val="006E6BFE"/>
    <w:rsid w:val="006F091D"/>
    <w:rsid w:val="006F1572"/>
    <w:rsid w:val="006F1809"/>
    <w:rsid w:val="006F1930"/>
    <w:rsid w:val="006F1FF1"/>
    <w:rsid w:val="006F32BA"/>
    <w:rsid w:val="006F6C4A"/>
    <w:rsid w:val="006F7EC3"/>
    <w:rsid w:val="00700795"/>
    <w:rsid w:val="00700C05"/>
    <w:rsid w:val="00700F7E"/>
    <w:rsid w:val="00701A53"/>
    <w:rsid w:val="00703422"/>
    <w:rsid w:val="00704521"/>
    <w:rsid w:val="007062DA"/>
    <w:rsid w:val="00706DFA"/>
    <w:rsid w:val="00707C84"/>
    <w:rsid w:val="00707E8B"/>
    <w:rsid w:val="00710017"/>
    <w:rsid w:val="00712D3B"/>
    <w:rsid w:val="00713718"/>
    <w:rsid w:val="00714FFB"/>
    <w:rsid w:val="0071631D"/>
    <w:rsid w:val="0071647F"/>
    <w:rsid w:val="007164C8"/>
    <w:rsid w:val="00716C41"/>
    <w:rsid w:val="00716DB7"/>
    <w:rsid w:val="007205DE"/>
    <w:rsid w:val="00720ACC"/>
    <w:rsid w:val="00721480"/>
    <w:rsid w:val="00721776"/>
    <w:rsid w:val="00721C70"/>
    <w:rsid w:val="0072257C"/>
    <w:rsid w:val="00723EB5"/>
    <w:rsid w:val="00731FC7"/>
    <w:rsid w:val="00732320"/>
    <w:rsid w:val="00734005"/>
    <w:rsid w:val="00736553"/>
    <w:rsid w:val="0073670E"/>
    <w:rsid w:val="00737E72"/>
    <w:rsid w:val="00740B4C"/>
    <w:rsid w:val="00740D20"/>
    <w:rsid w:val="00740E0A"/>
    <w:rsid w:val="0074113C"/>
    <w:rsid w:val="00741D7B"/>
    <w:rsid w:val="007421F5"/>
    <w:rsid w:val="00744791"/>
    <w:rsid w:val="00745331"/>
    <w:rsid w:val="007454FD"/>
    <w:rsid w:val="00746A54"/>
    <w:rsid w:val="00746B09"/>
    <w:rsid w:val="007478DE"/>
    <w:rsid w:val="00747A63"/>
    <w:rsid w:val="00750055"/>
    <w:rsid w:val="007517A0"/>
    <w:rsid w:val="00751AD1"/>
    <w:rsid w:val="00751B1D"/>
    <w:rsid w:val="00752B3A"/>
    <w:rsid w:val="00752E78"/>
    <w:rsid w:val="007540A5"/>
    <w:rsid w:val="00755CC2"/>
    <w:rsid w:val="007566E4"/>
    <w:rsid w:val="007578FD"/>
    <w:rsid w:val="00760F13"/>
    <w:rsid w:val="00761FDE"/>
    <w:rsid w:val="00762ECA"/>
    <w:rsid w:val="007649BB"/>
    <w:rsid w:val="00766415"/>
    <w:rsid w:val="0077091D"/>
    <w:rsid w:val="0077145C"/>
    <w:rsid w:val="00771541"/>
    <w:rsid w:val="007720C9"/>
    <w:rsid w:val="00774CF8"/>
    <w:rsid w:val="00775211"/>
    <w:rsid w:val="007758AE"/>
    <w:rsid w:val="007758D7"/>
    <w:rsid w:val="00776AD9"/>
    <w:rsid w:val="0077718D"/>
    <w:rsid w:val="00777CC8"/>
    <w:rsid w:val="00781C5D"/>
    <w:rsid w:val="00782236"/>
    <w:rsid w:val="00783D45"/>
    <w:rsid w:val="00787801"/>
    <w:rsid w:val="00790013"/>
    <w:rsid w:val="00791FF6"/>
    <w:rsid w:val="007927D5"/>
    <w:rsid w:val="00792D30"/>
    <w:rsid w:val="00793AC2"/>
    <w:rsid w:val="00793D6E"/>
    <w:rsid w:val="00794BEB"/>
    <w:rsid w:val="007950B2"/>
    <w:rsid w:val="007975D4"/>
    <w:rsid w:val="00797882"/>
    <w:rsid w:val="007A384D"/>
    <w:rsid w:val="007A3BCC"/>
    <w:rsid w:val="007B00A6"/>
    <w:rsid w:val="007B67C9"/>
    <w:rsid w:val="007C0533"/>
    <w:rsid w:val="007C0A64"/>
    <w:rsid w:val="007C1725"/>
    <w:rsid w:val="007C4CB6"/>
    <w:rsid w:val="007C76F8"/>
    <w:rsid w:val="007D001C"/>
    <w:rsid w:val="007D14C2"/>
    <w:rsid w:val="007D19AC"/>
    <w:rsid w:val="007D1A06"/>
    <w:rsid w:val="007D2112"/>
    <w:rsid w:val="007D266B"/>
    <w:rsid w:val="007D316E"/>
    <w:rsid w:val="007D375E"/>
    <w:rsid w:val="007D3ADC"/>
    <w:rsid w:val="007D3C92"/>
    <w:rsid w:val="007D44B9"/>
    <w:rsid w:val="007D5338"/>
    <w:rsid w:val="007D5875"/>
    <w:rsid w:val="007D58B1"/>
    <w:rsid w:val="007D71D9"/>
    <w:rsid w:val="007E0C2D"/>
    <w:rsid w:val="007E1714"/>
    <w:rsid w:val="007E2B90"/>
    <w:rsid w:val="007E34F9"/>
    <w:rsid w:val="007E4EFD"/>
    <w:rsid w:val="007E56D9"/>
    <w:rsid w:val="007E7D1C"/>
    <w:rsid w:val="007F3263"/>
    <w:rsid w:val="007F35DB"/>
    <w:rsid w:val="007F48EB"/>
    <w:rsid w:val="007F4F3A"/>
    <w:rsid w:val="007F5A25"/>
    <w:rsid w:val="007F6174"/>
    <w:rsid w:val="007F6C60"/>
    <w:rsid w:val="007F76F9"/>
    <w:rsid w:val="007F7B86"/>
    <w:rsid w:val="008016BE"/>
    <w:rsid w:val="00802869"/>
    <w:rsid w:val="008031B2"/>
    <w:rsid w:val="008037A3"/>
    <w:rsid w:val="0080579D"/>
    <w:rsid w:val="00806631"/>
    <w:rsid w:val="00807824"/>
    <w:rsid w:val="00811FC5"/>
    <w:rsid w:val="0081309B"/>
    <w:rsid w:val="00813511"/>
    <w:rsid w:val="00813C46"/>
    <w:rsid w:val="00814662"/>
    <w:rsid w:val="008175A2"/>
    <w:rsid w:val="008176A7"/>
    <w:rsid w:val="00821978"/>
    <w:rsid w:val="0082538C"/>
    <w:rsid w:val="00825958"/>
    <w:rsid w:val="00830843"/>
    <w:rsid w:val="00831A1D"/>
    <w:rsid w:val="008326F0"/>
    <w:rsid w:val="00833647"/>
    <w:rsid w:val="00834BE0"/>
    <w:rsid w:val="00834C8A"/>
    <w:rsid w:val="00835BB8"/>
    <w:rsid w:val="008362BF"/>
    <w:rsid w:val="008363C1"/>
    <w:rsid w:val="00836C5A"/>
    <w:rsid w:val="008402B9"/>
    <w:rsid w:val="00841E24"/>
    <w:rsid w:val="00843EE5"/>
    <w:rsid w:val="008446C2"/>
    <w:rsid w:val="008449ED"/>
    <w:rsid w:val="00844C19"/>
    <w:rsid w:val="00845173"/>
    <w:rsid w:val="00845ABD"/>
    <w:rsid w:val="00845E60"/>
    <w:rsid w:val="008472E2"/>
    <w:rsid w:val="0085067C"/>
    <w:rsid w:val="00850E25"/>
    <w:rsid w:val="00851458"/>
    <w:rsid w:val="00852D75"/>
    <w:rsid w:val="00854D8F"/>
    <w:rsid w:val="008557FE"/>
    <w:rsid w:val="008559BB"/>
    <w:rsid w:val="00855ECD"/>
    <w:rsid w:val="00855F5A"/>
    <w:rsid w:val="00856330"/>
    <w:rsid w:val="00860909"/>
    <w:rsid w:val="008618C2"/>
    <w:rsid w:val="00861E7C"/>
    <w:rsid w:val="00865373"/>
    <w:rsid w:val="00866A08"/>
    <w:rsid w:val="00867360"/>
    <w:rsid w:val="00870052"/>
    <w:rsid w:val="0087079D"/>
    <w:rsid w:val="00871086"/>
    <w:rsid w:val="00871AC9"/>
    <w:rsid w:val="00872D0B"/>
    <w:rsid w:val="00874568"/>
    <w:rsid w:val="00874A14"/>
    <w:rsid w:val="008754C4"/>
    <w:rsid w:val="00877905"/>
    <w:rsid w:val="00880029"/>
    <w:rsid w:val="00880752"/>
    <w:rsid w:val="008814F8"/>
    <w:rsid w:val="008816DB"/>
    <w:rsid w:val="008821ED"/>
    <w:rsid w:val="00883698"/>
    <w:rsid w:val="008838C4"/>
    <w:rsid w:val="00883F6C"/>
    <w:rsid w:val="00884273"/>
    <w:rsid w:val="008844A3"/>
    <w:rsid w:val="00884957"/>
    <w:rsid w:val="00884A85"/>
    <w:rsid w:val="008851D9"/>
    <w:rsid w:val="0088613B"/>
    <w:rsid w:val="00887515"/>
    <w:rsid w:val="0089000B"/>
    <w:rsid w:val="008913EE"/>
    <w:rsid w:val="0089161B"/>
    <w:rsid w:val="008931CE"/>
    <w:rsid w:val="008941AF"/>
    <w:rsid w:val="00894E74"/>
    <w:rsid w:val="00895333"/>
    <w:rsid w:val="008959DF"/>
    <w:rsid w:val="00895C76"/>
    <w:rsid w:val="00895E49"/>
    <w:rsid w:val="008A097C"/>
    <w:rsid w:val="008A3CE7"/>
    <w:rsid w:val="008A569B"/>
    <w:rsid w:val="008A5818"/>
    <w:rsid w:val="008A68F6"/>
    <w:rsid w:val="008A70C0"/>
    <w:rsid w:val="008A7D63"/>
    <w:rsid w:val="008A7DF3"/>
    <w:rsid w:val="008B041C"/>
    <w:rsid w:val="008B13F5"/>
    <w:rsid w:val="008B1E9A"/>
    <w:rsid w:val="008B28F9"/>
    <w:rsid w:val="008B33F1"/>
    <w:rsid w:val="008B43F9"/>
    <w:rsid w:val="008B5AE1"/>
    <w:rsid w:val="008B5C25"/>
    <w:rsid w:val="008B72D7"/>
    <w:rsid w:val="008C169B"/>
    <w:rsid w:val="008C41AA"/>
    <w:rsid w:val="008C4EA0"/>
    <w:rsid w:val="008C509F"/>
    <w:rsid w:val="008C5C32"/>
    <w:rsid w:val="008C6AF0"/>
    <w:rsid w:val="008D10A7"/>
    <w:rsid w:val="008D3A0F"/>
    <w:rsid w:val="008D3AEF"/>
    <w:rsid w:val="008D5DD7"/>
    <w:rsid w:val="008D77C0"/>
    <w:rsid w:val="008D7927"/>
    <w:rsid w:val="008D7B7E"/>
    <w:rsid w:val="008E1FE4"/>
    <w:rsid w:val="008E231B"/>
    <w:rsid w:val="008E36E7"/>
    <w:rsid w:val="008E468A"/>
    <w:rsid w:val="008F0032"/>
    <w:rsid w:val="008F0265"/>
    <w:rsid w:val="008F1850"/>
    <w:rsid w:val="008F2FDA"/>
    <w:rsid w:val="008F3B0E"/>
    <w:rsid w:val="008F5577"/>
    <w:rsid w:val="008F5B71"/>
    <w:rsid w:val="008F5FA0"/>
    <w:rsid w:val="008F6F94"/>
    <w:rsid w:val="008F6F98"/>
    <w:rsid w:val="008F768C"/>
    <w:rsid w:val="008F7693"/>
    <w:rsid w:val="0090379D"/>
    <w:rsid w:val="00903890"/>
    <w:rsid w:val="00904F94"/>
    <w:rsid w:val="009068A6"/>
    <w:rsid w:val="00907173"/>
    <w:rsid w:val="009149C5"/>
    <w:rsid w:val="009154DF"/>
    <w:rsid w:val="00920DC3"/>
    <w:rsid w:val="00922185"/>
    <w:rsid w:val="009238F8"/>
    <w:rsid w:val="009260EB"/>
    <w:rsid w:val="00930CD4"/>
    <w:rsid w:val="00931E72"/>
    <w:rsid w:val="00932427"/>
    <w:rsid w:val="0093296D"/>
    <w:rsid w:val="00933CC4"/>
    <w:rsid w:val="00933F31"/>
    <w:rsid w:val="00934057"/>
    <w:rsid w:val="0093468B"/>
    <w:rsid w:val="009354BD"/>
    <w:rsid w:val="009355A0"/>
    <w:rsid w:val="009362F8"/>
    <w:rsid w:val="009405DE"/>
    <w:rsid w:val="009416BC"/>
    <w:rsid w:val="00942279"/>
    <w:rsid w:val="0094256D"/>
    <w:rsid w:val="009425A5"/>
    <w:rsid w:val="00942F7F"/>
    <w:rsid w:val="009431D4"/>
    <w:rsid w:val="009434A2"/>
    <w:rsid w:val="009463CF"/>
    <w:rsid w:val="009464BA"/>
    <w:rsid w:val="00950822"/>
    <w:rsid w:val="00951262"/>
    <w:rsid w:val="00951D54"/>
    <w:rsid w:val="00956488"/>
    <w:rsid w:val="00956E20"/>
    <w:rsid w:val="0096137B"/>
    <w:rsid w:val="0096311B"/>
    <w:rsid w:val="00964B7F"/>
    <w:rsid w:val="0096504B"/>
    <w:rsid w:val="00965078"/>
    <w:rsid w:val="009667C7"/>
    <w:rsid w:val="0096692C"/>
    <w:rsid w:val="00973D31"/>
    <w:rsid w:val="00974E3B"/>
    <w:rsid w:val="00977C3E"/>
    <w:rsid w:val="00977E7D"/>
    <w:rsid w:val="00980FC3"/>
    <w:rsid w:val="0098158A"/>
    <w:rsid w:val="0098353C"/>
    <w:rsid w:val="00983FE2"/>
    <w:rsid w:val="0098473C"/>
    <w:rsid w:val="0098708E"/>
    <w:rsid w:val="00987374"/>
    <w:rsid w:val="00992312"/>
    <w:rsid w:val="00992F9B"/>
    <w:rsid w:val="00993264"/>
    <w:rsid w:val="00993BDA"/>
    <w:rsid w:val="00993DEA"/>
    <w:rsid w:val="00994B3F"/>
    <w:rsid w:val="00994C1A"/>
    <w:rsid w:val="00996467"/>
    <w:rsid w:val="00997859"/>
    <w:rsid w:val="009A0D30"/>
    <w:rsid w:val="009A3DB5"/>
    <w:rsid w:val="009A4809"/>
    <w:rsid w:val="009A7AEF"/>
    <w:rsid w:val="009B06F5"/>
    <w:rsid w:val="009B1061"/>
    <w:rsid w:val="009B2DA2"/>
    <w:rsid w:val="009B2E51"/>
    <w:rsid w:val="009B2F5F"/>
    <w:rsid w:val="009B4AB0"/>
    <w:rsid w:val="009B6753"/>
    <w:rsid w:val="009C0C90"/>
    <w:rsid w:val="009C16A8"/>
    <w:rsid w:val="009C1F2E"/>
    <w:rsid w:val="009C4317"/>
    <w:rsid w:val="009C5169"/>
    <w:rsid w:val="009C553B"/>
    <w:rsid w:val="009C5E99"/>
    <w:rsid w:val="009C5F27"/>
    <w:rsid w:val="009C636F"/>
    <w:rsid w:val="009C7A62"/>
    <w:rsid w:val="009C7BBD"/>
    <w:rsid w:val="009D0196"/>
    <w:rsid w:val="009D0557"/>
    <w:rsid w:val="009D0A1B"/>
    <w:rsid w:val="009D255A"/>
    <w:rsid w:val="009D3FF6"/>
    <w:rsid w:val="009D45AF"/>
    <w:rsid w:val="009D6B14"/>
    <w:rsid w:val="009D7C04"/>
    <w:rsid w:val="009E0597"/>
    <w:rsid w:val="009E0D55"/>
    <w:rsid w:val="009E20FD"/>
    <w:rsid w:val="009E286C"/>
    <w:rsid w:val="009E31AD"/>
    <w:rsid w:val="009E4C27"/>
    <w:rsid w:val="009E4D29"/>
    <w:rsid w:val="009E5519"/>
    <w:rsid w:val="009E5EBF"/>
    <w:rsid w:val="009E61FE"/>
    <w:rsid w:val="009E75D8"/>
    <w:rsid w:val="009F0833"/>
    <w:rsid w:val="009F14E9"/>
    <w:rsid w:val="009F17EE"/>
    <w:rsid w:val="009F28DC"/>
    <w:rsid w:val="009F300D"/>
    <w:rsid w:val="009F3026"/>
    <w:rsid w:val="009F3EE5"/>
    <w:rsid w:val="009F41E2"/>
    <w:rsid w:val="009F4537"/>
    <w:rsid w:val="009F6429"/>
    <w:rsid w:val="009F69C9"/>
    <w:rsid w:val="009F751C"/>
    <w:rsid w:val="00A02CA1"/>
    <w:rsid w:val="00A04538"/>
    <w:rsid w:val="00A0573A"/>
    <w:rsid w:val="00A05AA4"/>
    <w:rsid w:val="00A12B2E"/>
    <w:rsid w:val="00A13CD1"/>
    <w:rsid w:val="00A1427A"/>
    <w:rsid w:val="00A14889"/>
    <w:rsid w:val="00A15346"/>
    <w:rsid w:val="00A15BC7"/>
    <w:rsid w:val="00A179A5"/>
    <w:rsid w:val="00A17B51"/>
    <w:rsid w:val="00A201DD"/>
    <w:rsid w:val="00A21E8C"/>
    <w:rsid w:val="00A2287D"/>
    <w:rsid w:val="00A22FB1"/>
    <w:rsid w:val="00A23DD9"/>
    <w:rsid w:val="00A24E1D"/>
    <w:rsid w:val="00A25802"/>
    <w:rsid w:val="00A25947"/>
    <w:rsid w:val="00A260E7"/>
    <w:rsid w:val="00A26B08"/>
    <w:rsid w:val="00A273C8"/>
    <w:rsid w:val="00A27521"/>
    <w:rsid w:val="00A30619"/>
    <w:rsid w:val="00A31BCE"/>
    <w:rsid w:val="00A32849"/>
    <w:rsid w:val="00A33A4C"/>
    <w:rsid w:val="00A36137"/>
    <w:rsid w:val="00A36334"/>
    <w:rsid w:val="00A36D93"/>
    <w:rsid w:val="00A37C1C"/>
    <w:rsid w:val="00A400F9"/>
    <w:rsid w:val="00A41C83"/>
    <w:rsid w:val="00A442BF"/>
    <w:rsid w:val="00A4634C"/>
    <w:rsid w:val="00A4642B"/>
    <w:rsid w:val="00A47681"/>
    <w:rsid w:val="00A47E10"/>
    <w:rsid w:val="00A51ECD"/>
    <w:rsid w:val="00A53588"/>
    <w:rsid w:val="00A54391"/>
    <w:rsid w:val="00A574BB"/>
    <w:rsid w:val="00A57A4D"/>
    <w:rsid w:val="00A62FCD"/>
    <w:rsid w:val="00A631F1"/>
    <w:rsid w:val="00A636A2"/>
    <w:rsid w:val="00A6386E"/>
    <w:rsid w:val="00A64675"/>
    <w:rsid w:val="00A64745"/>
    <w:rsid w:val="00A64D41"/>
    <w:rsid w:val="00A64FC4"/>
    <w:rsid w:val="00A653FB"/>
    <w:rsid w:val="00A65DCE"/>
    <w:rsid w:val="00A66F8F"/>
    <w:rsid w:val="00A67B27"/>
    <w:rsid w:val="00A7011B"/>
    <w:rsid w:val="00A7029C"/>
    <w:rsid w:val="00A71337"/>
    <w:rsid w:val="00A71E0F"/>
    <w:rsid w:val="00A7332E"/>
    <w:rsid w:val="00A7560C"/>
    <w:rsid w:val="00A757BF"/>
    <w:rsid w:val="00A75E95"/>
    <w:rsid w:val="00A75F12"/>
    <w:rsid w:val="00A76F13"/>
    <w:rsid w:val="00A7790D"/>
    <w:rsid w:val="00A80C81"/>
    <w:rsid w:val="00A80E37"/>
    <w:rsid w:val="00A81A7A"/>
    <w:rsid w:val="00A81CFB"/>
    <w:rsid w:val="00A82965"/>
    <w:rsid w:val="00A849B4"/>
    <w:rsid w:val="00A85247"/>
    <w:rsid w:val="00A8529D"/>
    <w:rsid w:val="00A86D3C"/>
    <w:rsid w:val="00A9228A"/>
    <w:rsid w:val="00A9430F"/>
    <w:rsid w:val="00A95514"/>
    <w:rsid w:val="00A95711"/>
    <w:rsid w:val="00A97C78"/>
    <w:rsid w:val="00AA0C8A"/>
    <w:rsid w:val="00AA268C"/>
    <w:rsid w:val="00AA2D72"/>
    <w:rsid w:val="00AA2F8D"/>
    <w:rsid w:val="00AA500C"/>
    <w:rsid w:val="00AA59D0"/>
    <w:rsid w:val="00AA5E46"/>
    <w:rsid w:val="00AA6307"/>
    <w:rsid w:val="00AA6340"/>
    <w:rsid w:val="00AA7982"/>
    <w:rsid w:val="00AB4965"/>
    <w:rsid w:val="00AB4CB6"/>
    <w:rsid w:val="00AB5641"/>
    <w:rsid w:val="00AB69B1"/>
    <w:rsid w:val="00AC1940"/>
    <w:rsid w:val="00AC227F"/>
    <w:rsid w:val="00AD0193"/>
    <w:rsid w:val="00AD0288"/>
    <w:rsid w:val="00AD1653"/>
    <w:rsid w:val="00AD1693"/>
    <w:rsid w:val="00AD55D3"/>
    <w:rsid w:val="00AD5A3D"/>
    <w:rsid w:val="00AD7ED1"/>
    <w:rsid w:val="00AE3663"/>
    <w:rsid w:val="00AE392A"/>
    <w:rsid w:val="00AE4990"/>
    <w:rsid w:val="00AE5A06"/>
    <w:rsid w:val="00AE60C5"/>
    <w:rsid w:val="00AF0B49"/>
    <w:rsid w:val="00AF250B"/>
    <w:rsid w:val="00AF2B40"/>
    <w:rsid w:val="00AF3199"/>
    <w:rsid w:val="00AF5447"/>
    <w:rsid w:val="00AF55D6"/>
    <w:rsid w:val="00AF5AB9"/>
    <w:rsid w:val="00AF6991"/>
    <w:rsid w:val="00AF6A53"/>
    <w:rsid w:val="00B02B7E"/>
    <w:rsid w:val="00B02C7C"/>
    <w:rsid w:val="00B03EE6"/>
    <w:rsid w:val="00B04B08"/>
    <w:rsid w:val="00B06BC0"/>
    <w:rsid w:val="00B10AC0"/>
    <w:rsid w:val="00B113DB"/>
    <w:rsid w:val="00B12C76"/>
    <w:rsid w:val="00B131FC"/>
    <w:rsid w:val="00B15E4E"/>
    <w:rsid w:val="00B164C3"/>
    <w:rsid w:val="00B17B63"/>
    <w:rsid w:val="00B17ED5"/>
    <w:rsid w:val="00B20FDD"/>
    <w:rsid w:val="00B21881"/>
    <w:rsid w:val="00B21CDA"/>
    <w:rsid w:val="00B22AAF"/>
    <w:rsid w:val="00B24DF1"/>
    <w:rsid w:val="00B260EE"/>
    <w:rsid w:val="00B26DF9"/>
    <w:rsid w:val="00B2728F"/>
    <w:rsid w:val="00B32A19"/>
    <w:rsid w:val="00B32C77"/>
    <w:rsid w:val="00B3335C"/>
    <w:rsid w:val="00B33DBC"/>
    <w:rsid w:val="00B341A8"/>
    <w:rsid w:val="00B34C17"/>
    <w:rsid w:val="00B367D0"/>
    <w:rsid w:val="00B40827"/>
    <w:rsid w:val="00B414B7"/>
    <w:rsid w:val="00B41EB2"/>
    <w:rsid w:val="00B42995"/>
    <w:rsid w:val="00B42E7E"/>
    <w:rsid w:val="00B44136"/>
    <w:rsid w:val="00B46391"/>
    <w:rsid w:val="00B46737"/>
    <w:rsid w:val="00B47BC4"/>
    <w:rsid w:val="00B504DD"/>
    <w:rsid w:val="00B532F6"/>
    <w:rsid w:val="00B53F3C"/>
    <w:rsid w:val="00B54385"/>
    <w:rsid w:val="00B54AF2"/>
    <w:rsid w:val="00B568A7"/>
    <w:rsid w:val="00B57621"/>
    <w:rsid w:val="00B6063F"/>
    <w:rsid w:val="00B60934"/>
    <w:rsid w:val="00B61B81"/>
    <w:rsid w:val="00B646D6"/>
    <w:rsid w:val="00B64F95"/>
    <w:rsid w:val="00B65C02"/>
    <w:rsid w:val="00B65D3D"/>
    <w:rsid w:val="00B67216"/>
    <w:rsid w:val="00B67622"/>
    <w:rsid w:val="00B711AE"/>
    <w:rsid w:val="00B719BF"/>
    <w:rsid w:val="00B71BBD"/>
    <w:rsid w:val="00B735E1"/>
    <w:rsid w:val="00B73822"/>
    <w:rsid w:val="00B752F4"/>
    <w:rsid w:val="00B763E7"/>
    <w:rsid w:val="00B778A1"/>
    <w:rsid w:val="00B80715"/>
    <w:rsid w:val="00B81B39"/>
    <w:rsid w:val="00B81C0B"/>
    <w:rsid w:val="00B81CAB"/>
    <w:rsid w:val="00B82352"/>
    <w:rsid w:val="00B82E2A"/>
    <w:rsid w:val="00B860E2"/>
    <w:rsid w:val="00B8646E"/>
    <w:rsid w:val="00B866E0"/>
    <w:rsid w:val="00B87D06"/>
    <w:rsid w:val="00B92C0D"/>
    <w:rsid w:val="00B93598"/>
    <w:rsid w:val="00B94800"/>
    <w:rsid w:val="00B953C4"/>
    <w:rsid w:val="00B95793"/>
    <w:rsid w:val="00B96615"/>
    <w:rsid w:val="00B96E16"/>
    <w:rsid w:val="00B9777B"/>
    <w:rsid w:val="00BA098A"/>
    <w:rsid w:val="00BA4704"/>
    <w:rsid w:val="00BA4CD9"/>
    <w:rsid w:val="00BA5B09"/>
    <w:rsid w:val="00BA605C"/>
    <w:rsid w:val="00BA6E6D"/>
    <w:rsid w:val="00BA7F64"/>
    <w:rsid w:val="00BB04F2"/>
    <w:rsid w:val="00BB2D83"/>
    <w:rsid w:val="00BB462C"/>
    <w:rsid w:val="00BB4DBC"/>
    <w:rsid w:val="00BB5BBA"/>
    <w:rsid w:val="00BB5D2C"/>
    <w:rsid w:val="00BB6833"/>
    <w:rsid w:val="00BC074D"/>
    <w:rsid w:val="00BC14E8"/>
    <w:rsid w:val="00BC2CDA"/>
    <w:rsid w:val="00BC2E56"/>
    <w:rsid w:val="00BC3449"/>
    <w:rsid w:val="00BC4A81"/>
    <w:rsid w:val="00BC5ACE"/>
    <w:rsid w:val="00BC6024"/>
    <w:rsid w:val="00BC6B38"/>
    <w:rsid w:val="00BC7AC3"/>
    <w:rsid w:val="00BD1702"/>
    <w:rsid w:val="00BD18EA"/>
    <w:rsid w:val="00BD2932"/>
    <w:rsid w:val="00BD297C"/>
    <w:rsid w:val="00BD2A7B"/>
    <w:rsid w:val="00BD35F5"/>
    <w:rsid w:val="00BD38CF"/>
    <w:rsid w:val="00BD4D3F"/>
    <w:rsid w:val="00BD6CAE"/>
    <w:rsid w:val="00BE0695"/>
    <w:rsid w:val="00BE1E51"/>
    <w:rsid w:val="00BE4723"/>
    <w:rsid w:val="00BE4840"/>
    <w:rsid w:val="00BE5365"/>
    <w:rsid w:val="00BE62AD"/>
    <w:rsid w:val="00BE7E67"/>
    <w:rsid w:val="00BF24C7"/>
    <w:rsid w:val="00BF41D5"/>
    <w:rsid w:val="00BF42B8"/>
    <w:rsid w:val="00BF5706"/>
    <w:rsid w:val="00BF5F14"/>
    <w:rsid w:val="00BF641F"/>
    <w:rsid w:val="00BF762E"/>
    <w:rsid w:val="00BF78FD"/>
    <w:rsid w:val="00BF7CB5"/>
    <w:rsid w:val="00C01423"/>
    <w:rsid w:val="00C02205"/>
    <w:rsid w:val="00C0258F"/>
    <w:rsid w:val="00C02766"/>
    <w:rsid w:val="00C03DF7"/>
    <w:rsid w:val="00C06F17"/>
    <w:rsid w:val="00C07049"/>
    <w:rsid w:val="00C10189"/>
    <w:rsid w:val="00C106FF"/>
    <w:rsid w:val="00C1077A"/>
    <w:rsid w:val="00C122DF"/>
    <w:rsid w:val="00C12325"/>
    <w:rsid w:val="00C13607"/>
    <w:rsid w:val="00C137C4"/>
    <w:rsid w:val="00C13801"/>
    <w:rsid w:val="00C14BAC"/>
    <w:rsid w:val="00C14F25"/>
    <w:rsid w:val="00C153B3"/>
    <w:rsid w:val="00C15C7E"/>
    <w:rsid w:val="00C1621A"/>
    <w:rsid w:val="00C1739B"/>
    <w:rsid w:val="00C2280D"/>
    <w:rsid w:val="00C229B8"/>
    <w:rsid w:val="00C22BC4"/>
    <w:rsid w:val="00C23845"/>
    <w:rsid w:val="00C23BCD"/>
    <w:rsid w:val="00C2442B"/>
    <w:rsid w:val="00C25E26"/>
    <w:rsid w:val="00C26EC6"/>
    <w:rsid w:val="00C32ACF"/>
    <w:rsid w:val="00C33B3D"/>
    <w:rsid w:val="00C33B49"/>
    <w:rsid w:val="00C35136"/>
    <w:rsid w:val="00C3717A"/>
    <w:rsid w:val="00C37AD5"/>
    <w:rsid w:val="00C37F64"/>
    <w:rsid w:val="00C406E2"/>
    <w:rsid w:val="00C41193"/>
    <w:rsid w:val="00C44039"/>
    <w:rsid w:val="00C44417"/>
    <w:rsid w:val="00C45B6E"/>
    <w:rsid w:val="00C4732E"/>
    <w:rsid w:val="00C47743"/>
    <w:rsid w:val="00C50711"/>
    <w:rsid w:val="00C50D0C"/>
    <w:rsid w:val="00C51266"/>
    <w:rsid w:val="00C520B2"/>
    <w:rsid w:val="00C54A44"/>
    <w:rsid w:val="00C54C8E"/>
    <w:rsid w:val="00C54CB1"/>
    <w:rsid w:val="00C5546E"/>
    <w:rsid w:val="00C554DA"/>
    <w:rsid w:val="00C55CEA"/>
    <w:rsid w:val="00C56D4E"/>
    <w:rsid w:val="00C57E81"/>
    <w:rsid w:val="00C60C55"/>
    <w:rsid w:val="00C60E2D"/>
    <w:rsid w:val="00C61467"/>
    <w:rsid w:val="00C6158E"/>
    <w:rsid w:val="00C617B9"/>
    <w:rsid w:val="00C62651"/>
    <w:rsid w:val="00C6320E"/>
    <w:rsid w:val="00C70959"/>
    <w:rsid w:val="00C71A7D"/>
    <w:rsid w:val="00C7235A"/>
    <w:rsid w:val="00C723D8"/>
    <w:rsid w:val="00C728AF"/>
    <w:rsid w:val="00C72BBF"/>
    <w:rsid w:val="00C72FBE"/>
    <w:rsid w:val="00C738F8"/>
    <w:rsid w:val="00C745CE"/>
    <w:rsid w:val="00C746FA"/>
    <w:rsid w:val="00C762FD"/>
    <w:rsid w:val="00C770C9"/>
    <w:rsid w:val="00C81B54"/>
    <w:rsid w:val="00C83183"/>
    <w:rsid w:val="00C8399B"/>
    <w:rsid w:val="00C83B4B"/>
    <w:rsid w:val="00C83D1A"/>
    <w:rsid w:val="00C84D62"/>
    <w:rsid w:val="00C85BBD"/>
    <w:rsid w:val="00C85D68"/>
    <w:rsid w:val="00C864A2"/>
    <w:rsid w:val="00C86AA7"/>
    <w:rsid w:val="00C870F8"/>
    <w:rsid w:val="00C871C5"/>
    <w:rsid w:val="00C87B13"/>
    <w:rsid w:val="00C90630"/>
    <w:rsid w:val="00C90AD5"/>
    <w:rsid w:val="00C96667"/>
    <w:rsid w:val="00C973F2"/>
    <w:rsid w:val="00C975D9"/>
    <w:rsid w:val="00CA067D"/>
    <w:rsid w:val="00CA0845"/>
    <w:rsid w:val="00CA0A07"/>
    <w:rsid w:val="00CA1214"/>
    <w:rsid w:val="00CA13BE"/>
    <w:rsid w:val="00CA1CAF"/>
    <w:rsid w:val="00CA4238"/>
    <w:rsid w:val="00CA51A6"/>
    <w:rsid w:val="00CA596B"/>
    <w:rsid w:val="00CA5E22"/>
    <w:rsid w:val="00CA6B7F"/>
    <w:rsid w:val="00CA6BB6"/>
    <w:rsid w:val="00CA6E3D"/>
    <w:rsid w:val="00CA734D"/>
    <w:rsid w:val="00CA7B89"/>
    <w:rsid w:val="00CA7D59"/>
    <w:rsid w:val="00CB0897"/>
    <w:rsid w:val="00CB0E56"/>
    <w:rsid w:val="00CB109E"/>
    <w:rsid w:val="00CB299C"/>
    <w:rsid w:val="00CB3CC7"/>
    <w:rsid w:val="00CB4361"/>
    <w:rsid w:val="00CB4A74"/>
    <w:rsid w:val="00CB51C7"/>
    <w:rsid w:val="00CB5902"/>
    <w:rsid w:val="00CB636C"/>
    <w:rsid w:val="00CB6CDC"/>
    <w:rsid w:val="00CC157B"/>
    <w:rsid w:val="00CC232F"/>
    <w:rsid w:val="00CC2C85"/>
    <w:rsid w:val="00CC4203"/>
    <w:rsid w:val="00CC522E"/>
    <w:rsid w:val="00CC5687"/>
    <w:rsid w:val="00CC5A18"/>
    <w:rsid w:val="00CC6648"/>
    <w:rsid w:val="00CC67DC"/>
    <w:rsid w:val="00CD0F90"/>
    <w:rsid w:val="00CD142C"/>
    <w:rsid w:val="00CD1561"/>
    <w:rsid w:val="00CD233F"/>
    <w:rsid w:val="00CD3484"/>
    <w:rsid w:val="00CD4DBE"/>
    <w:rsid w:val="00CD4E76"/>
    <w:rsid w:val="00CD5A5F"/>
    <w:rsid w:val="00CD5ADB"/>
    <w:rsid w:val="00CD5E34"/>
    <w:rsid w:val="00CD6632"/>
    <w:rsid w:val="00CE17FC"/>
    <w:rsid w:val="00CE1809"/>
    <w:rsid w:val="00CE251B"/>
    <w:rsid w:val="00CE2BD4"/>
    <w:rsid w:val="00CE4A45"/>
    <w:rsid w:val="00CE5721"/>
    <w:rsid w:val="00CF243F"/>
    <w:rsid w:val="00CF3142"/>
    <w:rsid w:val="00CF341D"/>
    <w:rsid w:val="00CF5D10"/>
    <w:rsid w:val="00CF7128"/>
    <w:rsid w:val="00CF741F"/>
    <w:rsid w:val="00CF79FD"/>
    <w:rsid w:val="00D00119"/>
    <w:rsid w:val="00D036E3"/>
    <w:rsid w:val="00D03930"/>
    <w:rsid w:val="00D04198"/>
    <w:rsid w:val="00D04B95"/>
    <w:rsid w:val="00D05B09"/>
    <w:rsid w:val="00D068D9"/>
    <w:rsid w:val="00D068F6"/>
    <w:rsid w:val="00D13C18"/>
    <w:rsid w:val="00D16BBA"/>
    <w:rsid w:val="00D16D7F"/>
    <w:rsid w:val="00D16F0B"/>
    <w:rsid w:val="00D2045C"/>
    <w:rsid w:val="00D209C6"/>
    <w:rsid w:val="00D211A4"/>
    <w:rsid w:val="00D2262F"/>
    <w:rsid w:val="00D23067"/>
    <w:rsid w:val="00D24CDA"/>
    <w:rsid w:val="00D2685B"/>
    <w:rsid w:val="00D27C18"/>
    <w:rsid w:val="00D310E4"/>
    <w:rsid w:val="00D3284C"/>
    <w:rsid w:val="00D35022"/>
    <w:rsid w:val="00D35FF1"/>
    <w:rsid w:val="00D36993"/>
    <w:rsid w:val="00D4050E"/>
    <w:rsid w:val="00D418A8"/>
    <w:rsid w:val="00D419C4"/>
    <w:rsid w:val="00D4287F"/>
    <w:rsid w:val="00D431B5"/>
    <w:rsid w:val="00D435F3"/>
    <w:rsid w:val="00D45D5A"/>
    <w:rsid w:val="00D45D5F"/>
    <w:rsid w:val="00D478A6"/>
    <w:rsid w:val="00D47C10"/>
    <w:rsid w:val="00D50F8E"/>
    <w:rsid w:val="00D5124E"/>
    <w:rsid w:val="00D51454"/>
    <w:rsid w:val="00D5160D"/>
    <w:rsid w:val="00D51612"/>
    <w:rsid w:val="00D516B4"/>
    <w:rsid w:val="00D538D9"/>
    <w:rsid w:val="00D5490F"/>
    <w:rsid w:val="00D5496D"/>
    <w:rsid w:val="00D55968"/>
    <w:rsid w:val="00D55B20"/>
    <w:rsid w:val="00D55EA0"/>
    <w:rsid w:val="00D614C8"/>
    <w:rsid w:val="00D6198E"/>
    <w:rsid w:val="00D61D70"/>
    <w:rsid w:val="00D6217B"/>
    <w:rsid w:val="00D623AD"/>
    <w:rsid w:val="00D6421E"/>
    <w:rsid w:val="00D645ED"/>
    <w:rsid w:val="00D64DB8"/>
    <w:rsid w:val="00D66675"/>
    <w:rsid w:val="00D66811"/>
    <w:rsid w:val="00D67E3C"/>
    <w:rsid w:val="00D72307"/>
    <w:rsid w:val="00D745DC"/>
    <w:rsid w:val="00D770E0"/>
    <w:rsid w:val="00D77B9B"/>
    <w:rsid w:val="00D812FF"/>
    <w:rsid w:val="00D814EA"/>
    <w:rsid w:val="00D826F1"/>
    <w:rsid w:val="00D82732"/>
    <w:rsid w:val="00D82E83"/>
    <w:rsid w:val="00D83281"/>
    <w:rsid w:val="00D832CD"/>
    <w:rsid w:val="00D849A1"/>
    <w:rsid w:val="00D8612B"/>
    <w:rsid w:val="00D872BF"/>
    <w:rsid w:val="00D87BD1"/>
    <w:rsid w:val="00D903D9"/>
    <w:rsid w:val="00D9088E"/>
    <w:rsid w:val="00D93BDE"/>
    <w:rsid w:val="00D94037"/>
    <w:rsid w:val="00D94071"/>
    <w:rsid w:val="00D95D41"/>
    <w:rsid w:val="00D95FD5"/>
    <w:rsid w:val="00D96F03"/>
    <w:rsid w:val="00DA216A"/>
    <w:rsid w:val="00DA3201"/>
    <w:rsid w:val="00DA4654"/>
    <w:rsid w:val="00DA4D91"/>
    <w:rsid w:val="00DB059E"/>
    <w:rsid w:val="00DB0E1B"/>
    <w:rsid w:val="00DB2598"/>
    <w:rsid w:val="00DB507A"/>
    <w:rsid w:val="00DB58CD"/>
    <w:rsid w:val="00DB5989"/>
    <w:rsid w:val="00DB5C32"/>
    <w:rsid w:val="00DC0461"/>
    <w:rsid w:val="00DC0A67"/>
    <w:rsid w:val="00DC0E3A"/>
    <w:rsid w:val="00DC17C6"/>
    <w:rsid w:val="00DC4415"/>
    <w:rsid w:val="00DC45CC"/>
    <w:rsid w:val="00DC4E85"/>
    <w:rsid w:val="00DC5051"/>
    <w:rsid w:val="00DC53A8"/>
    <w:rsid w:val="00DC6795"/>
    <w:rsid w:val="00DC6A6B"/>
    <w:rsid w:val="00DD1C75"/>
    <w:rsid w:val="00DD25E3"/>
    <w:rsid w:val="00DD2A23"/>
    <w:rsid w:val="00DD320D"/>
    <w:rsid w:val="00DD4130"/>
    <w:rsid w:val="00DD5534"/>
    <w:rsid w:val="00DD5A0B"/>
    <w:rsid w:val="00DD5C72"/>
    <w:rsid w:val="00DD7CDF"/>
    <w:rsid w:val="00DE05DC"/>
    <w:rsid w:val="00DE25D4"/>
    <w:rsid w:val="00DE31C5"/>
    <w:rsid w:val="00DE3A35"/>
    <w:rsid w:val="00DE4F41"/>
    <w:rsid w:val="00DE4F8E"/>
    <w:rsid w:val="00DE584F"/>
    <w:rsid w:val="00DF0733"/>
    <w:rsid w:val="00DF07CC"/>
    <w:rsid w:val="00DF13EA"/>
    <w:rsid w:val="00DF4226"/>
    <w:rsid w:val="00DF443C"/>
    <w:rsid w:val="00DF46EB"/>
    <w:rsid w:val="00DF5354"/>
    <w:rsid w:val="00DF642E"/>
    <w:rsid w:val="00DF6581"/>
    <w:rsid w:val="00DF7577"/>
    <w:rsid w:val="00E00A78"/>
    <w:rsid w:val="00E00D18"/>
    <w:rsid w:val="00E01163"/>
    <w:rsid w:val="00E0534B"/>
    <w:rsid w:val="00E1048C"/>
    <w:rsid w:val="00E10CB1"/>
    <w:rsid w:val="00E11289"/>
    <w:rsid w:val="00E11496"/>
    <w:rsid w:val="00E11B3A"/>
    <w:rsid w:val="00E120C5"/>
    <w:rsid w:val="00E142B5"/>
    <w:rsid w:val="00E1451A"/>
    <w:rsid w:val="00E147C9"/>
    <w:rsid w:val="00E14AC5"/>
    <w:rsid w:val="00E14E13"/>
    <w:rsid w:val="00E14FB4"/>
    <w:rsid w:val="00E201D0"/>
    <w:rsid w:val="00E20A48"/>
    <w:rsid w:val="00E25416"/>
    <w:rsid w:val="00E26235"/>
    <w:rsid w:val="00E278AF"/>
    <w:rsid w:val="00E27FD2"/>
    <w:rsid w:val="00E30E9B"/>
    <w:rsid w:val="00E32843"/>
    <w:rsid w:val="00E32BBC"/>
    <w:rsid w:val="00E35858"/>
    <w:rsid w:val="00E368D3"/>
    <w:rsid w:val="00E37015"/>
    <w:rsid w:val="00E40642"/>
    <w:rsid w:val="00E40DDA"/>
    <w:rsid w:val="00E41D5A"/>
    <w:rsid w:val="00E440C6"/>
    <w:rsid w:val="00E4421C"/>
    <w:rsid w:val="00E45E08"/>
    <w:rsid w:val="00E45E64"/>
    <w:rsid w:val="00E47930"/>
    <w:rsid w:val="00E5122C"/>
    <w:rsid w:val="00E52050"/>
    <w:rsid w:val="00E54AFE"/>
    <w:rsid w:val="00E5765F"/>
    <w:rsid w:val="00E579EF"/>
    <w:rsid w:val="00E6053C"/>
    <w:rsid w:val="00E60CCD"/>
    <w:rsid w:val="00E61828"/>
    <w:rsid w:val="00E627F8"/>
    <w:rsid w:val="00E62ACA"/>
    <w:rsid w:val="00E62CC8"/>
    <w:rsid w:val="00E63632"/>
    <w:rsid w:val="00E64EAC"/>
    <w:rsid w:val="00E65C4A"/>
    <w:rsid w:val="00E65D0F"/>
    <w:rsid w:val="00E660E6"/>
    <w:rsid w:val="00E66481"/>
    <w:rsid w:val="00E668C6"/>
    <w:rsid w:val="00E71473"/>
    <w:rsid w:val="00E750E5"/>
    <w:rsid w:val="00E7569C"/>
    <w:rsid w:val="00E76AD0"/>
    <w:rsid w:val="00E80760"/>
    <w:rsid w:val="00E80E86"/>
    <w:rsid w:val="00E80F1C"/>
    <w:rsid w:val="00E81520"/>
    <w:rsid w:val="00E81BAF"/>
    <w:rsid w:val="00E83DA2"/>
    <w:rsid w:val="00E8425D"/>
    <w:rsid w:val="00E848F5"/>
    <w:rsid w:val="00E8542D"/>
    <w:rsid w:val="00E8686E"/>
    <w:rsid w:val="00E86C74"/>
    <w:rsid w:val="00E86EF6"/>
    <w:rsid w:val="00E87C15"/>
    <w:rsid w:val="00E93570"/>
    <w:rsid w:val="00E9363F"/>
    <w:rsid w:val="00E93F17"/>
    <w:rsid w:val="00E944A0"/>
    <w:rsid w:val="00E94B1A"/>
    <w:rsid w:val="00EA35DE"/>
    <w:rsid w:val="00EA4C05"/>
    <w:rsid w:val="00EA75E5"/>
    <w:rsid w:val="00EA774A"/>
    <w:rsid w:val="00EB1504"/>
    <w:rsid w:val="00EB169D"/>
    <w:rsid w:val="00EB1F03"/>
    <w:rsid w:val="00EB1F95"/>
    <w:rsid w:val="00EB4A68"/>
    <w:rsid w:val="00EB56D3"/>
    <w:rsid w:val="00EB594D"/>
    <w:rsid w:val="00EB5E38"/>
    <w:rsid w:val="00EB737B"/>
    <w:rsid w:val="00EC1525"/>
    <w:rsid w:val="00EC2BFE"/>
    <w:rsid w:val="00EC303D"/>
    <w:rsid w:val="00EC3590"/>
    <w:rsid w:val="00EC6C0E"/>
    <w:rsid w:val="00EC7BD8"/>
    <w:rsid w:val="00ED025E"/>
    <w:rsid w:val="00ED02EA"/>
    <w:rsid w:val="00ED04ED"/>
    <w:rsid w:val="00ED0CC3"/>
    <w:rsid w:val="00ED1958"/>
    <w:rsid w:val="00ED2480"/>
    <w:rsid w:val="00ED2E53"/>
    <w:rsid w:val="00ED40E9"/>
    <w:rsid w:val="00ED4824"/>
    <w:rsid w:val="00ED5CE6"/>
    <w:rsid w:val="00ED669E"/>
    <w:rsid w:val="00ED6EC1"/>
    <w:rsid w:val="00ED783F"/>
    <w:rsid w:val="00EE0971"/>
    <w:rsid w:val="00EE0B96"/>
    <w:rsid w:val="00EE0CB8"/>
    <w:rsid w:val="00EE122F"/>
    <w:rsid w:val="00EE2192"/>
    <w:rsid w:val="00EE2838"/>
    <w:rsid w:val="00EE5A97"/>
    <w:rsid w:val="00EE616B"/>
    <w:rsid w:val="00EE66BB"/>
    <w:rsid w:val="00EF1DB1"/>
    <w:rsid w:val="00EF32B3"/>
    <w:rsid w:val="00EF4542"/>
    <w:rsid w:val="00EF4818"/>
    <w:rsid w:val="00EF50E8"/>
    <w:rsid w:val="00EF5229"/>
    <w:rsid w:val="00EF5945"/>
    <w:rsid w:val="00EF5976"/>
    <w:rsid w:val="00EF5AA7"/>
    <w:rsid w:val="00EF7857"/>
    <w:rsid w:val="00F01B30"/>
    <w:rsid w:val="00F01DBB"/>
    <w:rsid w:val="00F02AE7"/>
    <w:rsid w:val="00F02EDD"/>
    <w:rsid w:val="00F04F3E"/>
    <w:rsid w:val="00F05DF2"/>
    <w:rsid w:val="00F0730D"/>
    <w:rsid w:val="00F1124C"/>
    <w:rsid w:val="00F13DE9"/>
    <w:rsid w:val="00F14964"/>
    <w:rsid w:val="00F160FF"/>
    <w:rsid w:val="00F1673C"/>
    <w:rsid w:val="00F167AC"/>
    <w:rsid w:val="00F1712E"/>
    <w:rsid w:val="00F20F53"/>
    <w:rsid w:val="00F20F60"/>
    <w:rsid w:val="00F22B2D"/>
    <w:rsid w:val="00F22F14"/>
    <w:rsid w:val="00F2505B"/>
    <w:rsid w:val="00F253EE"/>
    <w:rsid w:val="00F31DD8"/>
    <w:rsid w:val="00F33401"/>
    <w:rsid w:val="00F340AD"/>
    <w:rsid w:val="00F34511"/>
    <w:rsid w:val="00F34ABE"/>
    <w:rsid w:val="00F34C2B"/>
    <w:rsid w:val="00F3569E"/>
    <w:rsid w:val="00F3595C"/>
    <w:rsid w:val="00F3630D"/>
    <w:rsid w:val="00F37D3A"/>
    <w:rsid w:val="00F40743"/>
    <w:rsid w:val="00F41833"/>
    <w:rsid w:val="00F41D8E"/>
    <w:rsid w:val="00F42021"/>
    <w:rsid w:val="00F4240C"/>
    <w:rsid w:val="00F4291E"/>
    <w:rsid w:val="00F42A56"/>
    <w:rsid w:val="00F43512"/>
    <w:rsid w:val="00F4622C"/>
    <w:rsid w:val="00F46B81"/>
    <w:rsid w:val="00F5046C"/>
    <w:rsid w:val="00F50902"/>
    <w:rsid w:val="00F50F22"/>
    <w:rsid w:val="00F51168"/>
    <w:rsid w:val="00F5119C"/>
    <w:rsid w:val="00F5431E"/>
    <w:rsid w:val="00F544C8"/>
    <w:rsid w:val="00F55432"/>
    <w:rsid w:val="00F558C4"/>
    <w:rsid w:val="00F5607E"/>
    <w:rsid w:val="00F57973"/>
    <w:rsid w:val="00F608BA"/>
    <w:rsid w:val="00F60F6C"/>
    <w:rsid w:val="00F6293F"/>
    <w:rsid w:val="00F62E47"/>
    <w:rsid w:val="00F64E36"/>
    <w:rsid w:val="00F6544D"/>
    <w:rsid w:val="00F65873"/>
    <w:rsid w:val="00F67883"/>
    <w:rsid w:val="00F7078F"/>
    <w:rsid w:val="00F72EE6"/>
    <w:rsid w:val="00F72EFC"/>
    <w:rsid w:val="00F74231"/>
    <w:rsid w:val="00F742FB"/>
    <w:rsid w:val="00F75D78"/>
    <w:rsid w:val="00F75DA8"/>
    <w:rsid w:val="00F76383"/>
    <w:rsid w:val="00F777D4"/>
    <w:rsid w:val="00F77CA9"/>
    <w:rsid w:val="00F82AFB"/>
    <w:rsid w:val="00F82E66"/>
    <w:rsid w:val="00F832A6"/>
    <w:rsid w:val="00F84FD4"/>
    <w:rsid w:val="00F92749"/>
    <w:rsid w:val="00F93957"/>
    <w:rsid w:val="00F94386"/>
    <w:rsid w:val="00F95B57"/>
    <w:rsid w:val="00F96D57"/>
    <w:rsid w:val="00FA03C1"/>
    <w:rsid w:val="00FA137C"/>
    <w:rsid w:val="00FA16F4"/>
    <w:rsid w:val="00FA1FEA"/>
    <w:rsid w:val="00FA2461"/>
    <w:rsid w:val="00FA67C9"/>
    <w:rsid w:val="00FA6B40"/>
    <w:rsid w:val="00FB2453"/>
    <w:rsid w:val="00FB2829"/>
    <w:rsid w:val="00FB28AA"/>
    <w:rsid w:val="00FB3986"/>
    <w:rsid w:val="00FB491D"/>
    <w:rsid w:val="00FB49C0"/>
    <w:rsid w:val="00FB5ACA"/>
    <w:rsid w:val="00FB602B"/>
    <w:rsid w:val="00FB620E"/>
    <w:rsid w:val="00FC10F7"/>
    <w:rsid w:val="00FC1312"/>
    <w:rsid w:val="00FC227B"/>
    <w:rsid w:val="00FC5454"/>
    <w:rsid w:val="00FC5991"/>
    <w:rsid w:val="00FC77B5"/>
    <w:rsid w:val="00FC793D"/>
    <w:rsid w:val="00FC7C63"/>
    <w:rsid w:val="00FD016B"/>
    <w:rsid w:val="00FD0A80"/>
    <w:rsid w:val="00FD0BEF"/>
    <w:rsid w:val="00FD1CC1"/>
    <w:rsid w:val="00FD27B0"/>
    <w:rsid w:val="00FD2C3C"/>
    <w:rsid w:val="00FD2EF3"/>
    <w:rsid w:val="00FD32A1"/>
    <w:rsid w:val="00FD3BAB"/>
    <w:rsid w:val="00FD4495"/>
    <w:rsid w:val="00FD4866"/>
    <w:rsid w:val="00FD6C6B"/>
    <w:rsid w:val="00FE17C8"/>
    <w:rsid w:val="00FE23E7"/>
    <w:rsid w:val="00FE296E"/>
    <w:rsid w:val="00FE3329"/>
    <w:rsid w:val="00FE4234"/>
    <w:rsid w:val="00FE602F"/>
    <w:rsid w:val="00FE6C56"/>
    <w:rsid w:val="00FE6E34"/>
    <w:rsid w:val="00FE7199"/>
    <w:rsid w:val="00FE79CF"/>
    <w:rsid w:val="00FF0118"/>
    <w:rsid w:val="00FF0594"/>
    <w:rsid w:val="00FF1B03"/>
    <w:rsid w:val="00FF1DF2"/>
    <w:rsid w:val="00FF214C"/>
    <w:rsid w:val="00FF36DE"/>
    <w:rsid w:val="00FF4A28"/>
    <w:rsid w:val="00FF4D71"/>
    <w:rsid w:val="00FF4E71"/>
    <w:rsid w:val="00FF5608"/>
    <w:rsid w:val="00FF66B5"/>
    <w:rsid w:val="010334B8"/>
    <w:rsid w:val="012F3F26"/>
    <w:rsid w:val="0131333F"/>
    <w:rsid w:val="013B7EF0"/>
    <w:rsid w:val="013D282B"/>
    <w:rsid w:val="01877E8E"/>
    <w:rsid w:val="01C70C78"/>
    <w:rsid w:val="0202104C"/>
    <w:rsid w:val="02021952"/>
    <w:rsid w:val="020434B6"/>
    <w:rsid w:val="023127B7"/>
    <w:rsid w:val="02456EC8"/>
    <w:rsid w:val="024F56D9"/>
    <w:rsid w:val="02E83CCB"/>
    <w:rsid w:val="02F82ED5"/>
    <w:rsid w:val="03327ECA"/>
    <w:rsid w:val="03502647"/>
    <w:rsid w:val="03652CA2"/>
    <w:rsid w:val="036E6EA7"/>
    <w:rsid w:val="038C12F2"/>
    <w:rsid w:val="039008D9"/>
    <w:rsid w:val="03CB4CAD"/>
    <w:rsid w:val="040530EF"/>
    <w:rsid w:val="04324791"/>
    <w:rsid w:val="043E553B"/>
    <w:rsid w:val="04625319"/>
    <w:rsid w:val="04AD0A3B"/>
    <w:rsid w:val="04F433AE"/>
    <w:rsid w:val="0547151B"/>
    <w:rsid w:val="05902396"/>
    <w:rsid w:val="06420D31"/>
    <w:rsid w:val="06451DC1"/>
    <w:rsid w:val="06486493"/>
    <w:rsid w:val="06A72FF5"/>
    <w:rsid w:val="06A833D6"/>
    <w:rsid w:val="06B2082D"/>
    <w:rsid w:val="07082B86"/>
    <w:rsid w:val="07207806"/>
    <w:rsid w:val="073F39AE"/>
    <w:rsid w:val="077B78D4"/>
    <w:rsid w:val="07914B3D"/>
    <w:rsid w:val="07C32F0C"/>
    <w:rsid w:val="07FA7E23"/>
    <w:rsid w:val="082442EE"/>
    <w:rsid w:val="08643CB0"/>
    <w:rsid w:val="08971DAE"/>
    <w:rsid w:val="08B11B50"/>
    <w:rsid w:val="09110C6F"/>
    <w:rsid w:val="091D19C7"/>
    <w:rsid w:val="093211A4"/>
    <w:rsid w:val="0977182B"/>
    <w:rsid w:val="09926C3F"/>
    <w:rsid w:val="0A1C2427"/>
    <w:rsid w:val="0A3245DB"/>
    <w:rsid w:val="0A6B63A0"/>
    <w:rsid w:val="0A940DEC"/>
    <w:rsid w:val="0AB530F7"/>
    <w:rsid w:val="0ABB3F83"/>
    <w:rsid w:val="0AE0202E"/>
    <w:rsid w:val="0AF04A48"/>
    <w:rsid w:val="0B410F04"/>
    <w:rsid w:val="0B6D4B9E"/>
    <w:rsid w:val="0B7A2363"/>
    <w:rsid w:val="0B7D6BB3"/>
    <w:rsid w:val="0BC74660"/>
    <w:rsid w:val="0BD9237C"/>
    <w:rsid w:val="0C0F7455"/>
    <w:rsid w:val="0C927091"/>
    <w:rsid w:val="0CC10761"/>
    <w:rsid w:val="0CE74614"/>
    <w:rsid w:val="0CE9383E"/>
    <w:rsid w:val="0CFD1664"/>
    <w:rsid w:val="0D4C0A39"/>
    <w:rsid w:val="0D4D2ED2"/>
    <w:rsid w:val="0D8536BD"/>
    <w:rsid w:val="0DC66082"/>
    <w:rsid w:val="0DC86327"/>
    <w:rsid w:val="0DCF42FB"/>
    <w:rsid w:val="0E2E2597"/>
    <w:rsid w:val="0E572473"/>
    <w:rsid w:val="0E6B707E"/>
    <w:rsid w:val="0E7E5FC5"/>
    <w:rsid w:val="0EA26E0B"/>
    <w:rsid w:val="0EF752E4"/>
    <w:rsid w:val="0EFB0DC2"/>
    <w:rsid w:val="0F380290"/>
    <w:rsid w:val="0F4D3916"/>
    <w:rsid w:val="0F6E32CF"/>
    <w:rsid w:val="0FE8258B"/>
    <w:rsid w:val="101507B9"/>
    <w:rsid w:val="107D1AA2"/>
    <w:rsid w:val="10BB439B"/>
    <w:rsid w:val="10FE239E"/>
    <w:rsid w:val="11103220"/>
    <w:rsid w:val="111A671C"/>
    <w:rsid w:val="112626DD"/>
    <w:rsid w:val="11277FB0"/>
    <w:rsid w:val="11520EE3"/>
    <w:rsid w:val="11550756"/>
    <w:rsid w:val="11632FCB"/>
    <w:rsid w:val="11977C51"/>
    <w:rsid w:val="119B239A"/>
    <w:rsid w:val="11D54078"/>
    <w:rsid w:val="122B75B6"/>
    <w:rsid w:val="1243022B"/>
    <w:rsid w:val="12E65F6D"/>
    <w:rsid w:val="131555DD"/>
    <w:rsid w:val="13393B4C"/>
    <w:rsid w:val="135C1124"/>
    <w:rsid w:val="136A01E4"/>
    <w:rsid w:val="13A44930"/>
    <w:rsid w:val="13D51308"/>
    <w:rsid w:val="13F14830"/>
    <w:rsid w:val="147A1696"/>
    <w:rsid w:val="14856738"/>
    <w:rsid w:val="148F29C6"/>
    <w:rsid w:val="14981823"/>
    <w:rsid w:val="14BA370F"/>
    <w:rsid w:val="14D659A8"/>
    <w:rsid w:val="150F3E5F"/>
    <w:rsid w:val="154F0574"/>
    <w:rsid w:val="15687DA2"/>
    <w:rsid w:val="15730ED9"/>
    <w:rsid w:val="158108CE"/>
    <w:rsid w:val="15816CBF"/>
    <w:rsid w:val="15844E19"/>
    <w:rsid w:val="15A80C9F"/>
    <w:rsid w:val="15AA3BF6"/>
    <w:rsid w:val="15B46403"/>
    <w:rsid w:val="16394E85"/>
    <w:rsid w:val="167B36D8"/>
    <w:rsid w:val="16882D6F"/>
    <w:rsid w:val="16966BA2"/>
    <w:rsid w:val="16AE7042"/>
    <w:rsid w:val="16B1711F"/>
    <w:rsid w:val="16BF056C"/>
    <w:rsid w:val="16C67F1D"/>
    <w:rsid w:val="17550AD5"/>
    <w:rsid w:val="176104DD"/>
    <w:rsid w:val="17B71779"/>
    <w:rsid w:val="17D07906"/>
    <w:rsid w:val="17FA31CA"/>
    <w:rsid w:val="17FD2ADD"/>
    <w:rsid w:val="180F54BF"/>
    <w:rsid w:val="182F4774"/>
    <w:rsid w:val="189C0FC8"/>
    <w:rsid w:val="18BD132A"/>
    <w:rsid w:val="194F4112"/>
    <w:rsid w:val="196A334B"/>
    <w:rsid w:val="19743821"/>
    <w:rsid w:val="19A04370"/>
    <w:rsid w:val="19B7283D"/>
    <w:rsid w:val="19D1627E"/>
    <w:rsid w:val="19E54205"/>
    <w:rsid w:val="1A0C35CC"/>
    <w:rsid w:val="1A2E0B73"/>
    <w:rsid w:val="1A3A03E9"/>
    <w:rsid w:val="1A5328A6"/>
    <w:rsid w:val="1A614149"/>
    <w:rsid w:val="1A8C6E4F"/>
    <w:rsid w:val="1AA16AAD"/>
    <w:rsid w:val="1AB908CE"/>
    <w:rsid w:val="1B232DD2"/>
    <w:rsid w:val="1B6D2D79"/>
    <w:rsid w:val="1B7C5480"/>
    <w:rsid w:val="1B83C617"/>
    <w:rsid w:val="1B8F09E8"/>
    <w:rsid w:val="1B9A2B6F"/>
    <w:rsid w:val="1BCCDB89"/>
    <w:rsid w:val="1BEB0EA0"/>
    <w:rsid w:val="1BEFAF36"/>
    <w:rsid w:val="1BFF5757"/>
    <w:rsid w:val="1C053387"/>
    <w:rsid w:val="1C0A1EEA"/>
    <w:rsid w:val="1C167AAF"/>
    <w:rsid w:val="1C46068E"/>
    <w:rsid w:val="1C567B70"/>
    <w:rsid w:val="1C7C20CC"/>
    <w:rsid w:val="1C8B7AE5"/>
    <w:rsid w:val="1C990B07"/>
    <w:rsid w:val="1CCF4FB5"/>
    <w:rsid w:val="1CD929D4"/>
    <w:rsid w:val="1CDC7DE0"/>
    <w:rsid w:val="1D172BD3"/>
    <w:rsid w:val="1D7468DE"/>
    <w:rsid w:val="1D764A7B"/>
    <w:rsid w:val="1D8368C1"/>
    <w:rsid w:val="1D851279"/>
    <w:rsid w:val="1DA77C4B"/>
    <w:rsid w:val="1DFA4CD0"/>
    <w:rsid w:val="1E1504DD"/>
    <w:rsid w:val="1E167A51"/>
    <w:rsid w:val="1E5913F5"/>
    <w:rsid w:val="1E64416A"/>
    <w:rsid w:val="1E6E15DA"/>
    <w:rsid w:val="1E7159FF"/>
    <w:rsid w:val="1E7344F9"/>
    <w:rsid w:val="1E9B2DB3"/>
    <w:rsid w:val="1E9D3448"/>
    <w:rsid w:val="1EE71BE2"/>
    <w:rsid w:val="1F4B7FF0"/>
    <w:rsid w:val="1F567358"/>
    <w:rsid w:val="1F661DE6"/>
    <w:rsid w:val="1F761A29"/>
    <w:rsid w:val="1FC97281"/>
    <w:rsid w:val="1FD7CA57"/>
    <w:rsid w:val="1FF4E560"/>
    <w:rsid w:val="1FF6C78D"/>
    <w:rsid w:val="1FFCF853"/>
    <w:rsid w:val="201A79C2"/>
    <w:rsid w:val="202D6FD9"/>
    <w:rsid w:val="203E70ED"/>
    <w:rsid w:val="20474300"/>
    <w:rsid w:val="20653ACF"/>
    <w:rsid w:val="2066046D"/>
    <w:rsid w:val="20910690"/>
    <w:rsid w:val="209460BE"/>
    <w:rsid w:val="209928D1"/>
    <w:rsid w:val="20E31D07"/>
    <w:rsid w:val="20E932C7"/>
    <w:rsid w:val="212E298C"/>
    <w:rsid w:val="212F0B22"/>
    <w:rsid w:val="21505E37"/>
    <w:rsid w:val="2155373C"/>
    <w:rsid w:val="21712C8B"/>
    <w:rsid w:val="217B0E7A"/>
    <w:rsid w:val="218D0BA4"/>
    <w:rsid w:val="21A6731D"/>
    <w:rsid w:val="21B83D27"/>
    <w:rsid w:val="21C115EE"/>
    <w:rsid w:val="22356DAF"/>
    <w:rsid w:val="223728B2"/>
    <w:rsid w:val="22556A28"/>
    <w:rsid w:val="22955FEA"/>
    <w:rsid w:val="22B53180"/>
    <w:rsid w:val="23A8781B"/>
    <w:rsid w:val="23D63116"/>
    <w:rsid w:val="23E462A2"/>
    <w:rsid w:val="240A022E"/>
    <w:rsid w:val="24271D5D"/>
    <w:rsid w:val="248014F2"/>
    <w:rsid w:val="24B07D05"/>
    <w:rsid w:val="24B707BF"/>
    <w:rsid w:val="24E45993"/>
    <w:rsid w:val="255E47A3"/>
    <w:rsid w:val="25926C2E"/>
    <w:rsid w:val="25C951D7"/>
    <w:rsid w:val="25EE7D3A"/>
    <w:rsid w:val="25F1363F"/>
    <w:rsid w:val="25FC1810"/>
    <w:rsid w:val="26163C4F"/>
    <w:rsid w:val="26446854"/>
    <w:rsid w:val="26EB0ADE"/>
    <w:rsid w:val="27327946"/>
    <w:rsid w:val="277B1D73"/>
    <w:rsid w:val="27987506"/>
    <w:rsid w:val="27B94C74"/>
    <w:rsid w:val="27BD6D7E"/>
    <w:rsid w:val="281A7CD7"/>
    <w:rsid w:val="28200BC3"/>
    <w:rsid w:val="28285B9C"/>
    <w:rsid w:val="29148838"/>
    <w:rsid w:val="297D0908"/>
    <w:rsid w:val="29944767"/>
    <w:rsid w:val="29A504DF"/>
    <w:rsid w:val="29BE331C"/>
    <w:rsid w:val="29DF1B62"/>
    <w:rsid w:val="2A983B65"/>
    <w:rsid w:val="2AC923B3"/>
    <w:rsid w:val="2B675381"/>
    <w:rsid w:val="2B7C3D4A"/>
    <w:rsid w:val="2B963063"/>
    <w:rsid w:val="2BB0561E"/>
    <w:rsid w:val="2BBF7C01"/>
    <w:rsid w:val="2BD40FC2"/>
    <w:rsid w:val="2BF734FA"/>
    <w:rsid w:val="2CDD2F47"/>
    <w:rsid w:val="2CDE7399"/>
    <w:rsid w:val="2CDF5740"/>
    <w:rsid w:val="2CEF679C"/>
    <w:rsid w:val="2CFA4760"/>
    <w:rsid w:val="2D1A587D"/>
    <w:rsid w:val="2D7723FE"/>
    <w:rsid w:val="2D7838E8"/>
    <w:rsid w:val="2DA43948"/>
    <w:rsid w:val="2DC028EA"/>
    <w:rsid w:val="2DF223B9"/>
    <w:rsid w:val="2E2425C2"/>
    <w:rsid w:val="2E454CF5"/>
    <w:rsid w:val="2E7110F5"/>
    <w:rsid w:val="2EA7FCA6"/>
    <w:rsid w:val="2F022843"/>
    <w:rsid w:val="2F305F78"/>
    <w:rsid w:val="2F3350DA"/>
    <w:rsid w:val="2F8957A0"/>
    <w:rsid w:val="2FBF99C0"/>
    <w:rsid w:val="2FC25681"/>
    <w:rsid w:val="2FC43A36"/>
    <w:rsid w:val="2FCF7B1D"/>
    <w:rsid w:val="2FD86909"/>
    <w:rsid w:val="2FDFB2A7"/>
    <w:rsid w:val="2FEE19FC"/>
    <w:rsid w:val="300F7D73"/>
    <w:rsid w:val="301B2E73"/>
    <w:rsid w:val="30844326"/>
    <w:rsid w:val="3088272F"/>
    <w:rsid w:val="312E383F"/>
    <w:rsid w:val="313E0256"/>
    <w:rsid w:val="31470B66"/>
    <w:rsid w:val="31561180"/>
    <w:rsid w:val="31665236"/>
    <w:rsid w:val="317FFE95"/>
    <w:rsid w:val="318C5DD7"/>
    <w:rsid w:val="31A43407"/>
    <w:rsid w:val="31B373F4"/>
    <w:rsid w:val="31D15E2F"/>
    <w:rsid w:val="31DA2D13"/>
    <w:rsid w:val="32316565"/>
    <w:rsid w:val="325176EF"/>
    <w:rsid w:val="3262046B"/>
    <w:rsid w:val="32743B56"/>
    <w:rsid w:val="32DA733F"/>
    <w:rsid w:val="330B3CCA"/>
    <w:rsid w:val="339F73A0"/>
    <w:rsid w:val="33A72ED9"/>
    <w:rsid w:val="33B51F64"/>
    <w:rsid w:val="33B605E0"/>
    <w:rsid w:val="33B75F17"/>
    <w:rsid w:val="33B80537"/>
    <w:rsid w:val="33BC38CE"/>
    <w:rsid w:val="33DF0A33"/>
    <w:rsid w:val="33E74B70"/>
    <w:rsid w:val="33EB6BBB"/>
    <w:rsid w:val="340A7C17"/>
    <w:rsid w:val="34732FA5"/>
    <w:rsid w:val="347C35F2"/>
    <w:rsid w:val="3486483B"/>
    <w:rsid w:val="348D2EC8"/>
    <w:rsid w:val="34FA58D6"/>
    <w:rsid w:val="353942DE"/>
    <w:rsid w:val="35792B4A"/>
    <w:rsid w:val="35A16C14"/>
    <w:rsid w:val="35A2048B"/>
    <w:rsid w:val="3601311E"/>
    <w:rsid w:val="365D49E4"/>
    <w:rsid w:val="36B10201"/>
    <w:rsid w:val="37976AC4"/>
    <w:rsid w:val="379F4B4D"/>
    <w:rsid w:val="37AA17C2"/>
    <w:rsid w:val="37EA3B69"/>
    <w:rsid w:val="37FD6DAF"/>
    <w:rsid w:val="38143DCD"/>
    <w:rsid w:val="3831783F"/>
    <w:rsid w:val="3860343D"/>
    <w:rsid w:val="3890049B"/>
    <w:rsid w:val="38925CB0"/>
    <w:rsid w:val="390513B5"/>
    <w:rsid w:val="39442D14"/>
    <w:rsid w:val="396A637E"/>
    <w:rsid w:val="396B184F"/>
    <w:rsid w:val="39862DDB"/>
    <w:rsid w:val="399C6A91"/>
    <w:rsid w:val="39A81DCF"/>
    <w:rsid w:val="39BC24D5"/>
    <w:rsid w:val="39BD52B4"/>
    <w:rsid w:val="39E65C0C"/>
    <w:rsid w:val="3A25472B"/>
    <w:rsid w:val="3A436859"/>
    <w:rsid w:val="3A627756"/>
    <w:rsid w:val="3A8B11B8"/>
    <w:rsid w:val="3AB90945"/>
    <w:rsid w:val="3AC53FE9"/>
    <w:rsid w:val="3AE77312"/>
    <w:rsid w:val="3AF70D19"/>
    <w:rsid w:val="3B075CE3"/>
    <w:rsid w:val="3B266598"/>
    <w:rsid w:val="3B4D3EA5"/>
    <w:rsid w:val="3B7C7E71"/>
    <w:rsid w:val="3B857597"/>
    <w:rsid w:val="3BAF391F"/>
    <w:rsid w:val="3BB03082"/>
    <w:rsid w:val="3BC91625"/>
    <w:rsid w:val="3BE556D1"/>
    <w:rsid w:val="3C0813D9"/>
    <w:rsid w:val="3C14073A"/>
    <w:rsid w:val="3C196E25"/>
    <w:rsid w:val="3C290978"/>
    <w:rsid w:val="3C3A6064"/>
    <w:rsid w:val="3C756E43"/>
    <w:rsid w:val="3C7C4964"/>
    <w:rsid w:val="3C900B1D"/>
    <w:rsid w:val="3CA116E0"/>
    <w:rsid w:val="3CB5E8A7"/>
    <w:rsid w:val="3CBF37BC"/>
    <w:rsid w:val="3CC80D88"/>
    <w:rsid w:val="3CE04670"/>
    <w:rsid w:val="3CF20A77"/>
    <w:rsid w:val="3CFDCA63"/>
    <w:rsid w:val="3CFEA4A8"/>
    <w:rsid w:val="3D026DA3"/>
    <w:rsid w:val="3D2B5047"/>
    <w:rsid w:val="3D5A48FB"/>
    <w:rsid w:val="3D5D3C39"/>
    <w:rsid w:val="3D653D41"/>
    <w:rsid w:val="3D69E6AC"/>
    <w:rsid w:val="3D6DE757"/>
    <w:rsid w:val="3D8B6303"/>
    <w:rsid w:val="3DAD4CBD"/>
    <w:rsid w:val="3DAEC812"/>
    <w:rsid w:val="3DB87FDB"/>
    <w:rsid w:val="3E0943BD"/>
    <w:rsid w:val="3E14209A"/>
    <w:rsid w:val="3E244DD4"/>
    <w:rsid w:val="3E3671A0"/>
    <w:rsid w:val="3E432768"/>
    <w:rsid w:val="3E6F2FA9"/>
    <w:rsid w:val="3EE10AA9"/>
    <w:rsid w:val="3EFF237A"/>
    <w:rsid w:val="3F0F98C3"/>
    <w:rsid w:val="3F290464"/>
    <w:rsid w:val="3F2F0A6C"/>
    <w:rsid w:val="3F4179B2"/>
    <w:rsid w:val="3F5ECFBF"/>
    <w:rsid w:val="3F7B4780"/>
    <w:rsid w:val="3F7E85CC"/>
    <w:rsid w:val="3FB35063"/>
    <w:rsid w:val="3FC612EB"/>
    <w:rsid w:val="3FF0B015"/>
    <w:rsid w:val="3FF7826E"/>
    <w:rsid w:val="3FFCEEDE"/>
    <w:rsid w:val="3FFF80BA"/>
    <w:rsid w:val="40030A15"/>
    <w:rsid w:val="4039319A"/>
    <w:rsid w:val="406B7F41"/>
    <w:rsid w:val="40A959C8"/>
    <w:rsid w:val="40B52A37"/>
    <w:rsid w:val="4143359F"/>
    <w:rsid w:val="414E51B4"/>
    <w:rsid w:val="415E5D0C"/>
    <w:rsid w:val="417D62FA"/>
    <w:rsid w:val="41A13939"/>
    <w:rsid w:val="41AD1CDA"/>
    <w:rsid w:val="41AE628C"/>
    <w:rsid w:val="41BC53EC"/>
    <w:rsid w:val="41CC21FF"/>
    <w:rsid w:val="422B001A"/>
    <w:rsid w:val="42524C1A"/>
    <w:rsid w:val="426D00FA"/>
    <w:rsid w:val="4288086F"/>
    <w:rsid w:val="42E30F10"/>
    <w:rsid w:val="43094082"/>
    <w:rsid w:val="431D5CC6"/>
    <w:rsid w:val="431D66A9"/>
    <w:rsid w:val="43494C8F"/>
    <w:rsid w:val="435B6CCA"/>
    <w:rsid w:val="437CB373"/>
    <w:rsid w:val="438B3949"/>
    <w:rsid w:val="439E597D"/>
    <w:rsid w:val="43BC29BB"/>
    <w:rsid w:val="440F5CF9"/>
    <w:rsid w:val="44146C41"/>
    <w:rsid w:val="44167FBB"/>
    <w:rsid w:val="44204C51"/>
    <w:rsid w:val="44247F49"/>
    <w:rsid w:val="44520388"/>
    <w:rsid w:val="447137A5"/>
    <w:rsid w:val="447174D3"/>
    <w:rsid w:val="44A17B34"/>
    <w:rsid w:val="44C34AB0"/>
    <w:rsid w:val="44EC2702"/>
    <w:rsid w:val="45066BBD"/>
    <w:rsid w:val="45465B73"/>
    <w:rsid w:val="45813BAC"/>
    <w:rsid w:val="4586587B"/>
    <w:rsid w:val="45A977B7"/>
    <w:rsid w:val="45BA50C5"/>
    <w:rsid w:val="45EE3F48"/>
    <w:rsid w:val="45FB1277"/>
    <w:rsid w:val="465A0E41"/>
    <w:rsid w:val="4660447C"/>
    <w:rsid w:val="4697524D"/>
    <w:rsid w:val="46E95BE0"/>
    <w:rsid w:val="472B1978"/>
    <w:rsid w:val="4730365B"/>
    <w:rsid w:val="477D0CB9"/>
    <w:rsid w:val="47BF62BB"/>
    <w:rsid w:val="47D4536A"/>
    <w:rsid w:val="47E38F4A"/>
    <w:rsid w:val="47F079DF"/>
    <w:rsid w:val="47F5B470"/>
    <w:rsid w:val="4810456E"/>
    <w:rsid w:val="486E5261"/>
    <w:rsid w:val="48786E75"/>
    <w:rsid w:val="48987F0A"/>
    <w:rsid w:val="48B56ACE"/>
    <w:rsid w:val="48D214CB"/>
    <w:rsid w:val="48FB40DF"/>
    <w:rsid w:val="495E25EB"/>
    <w:rsid w:val="49605AEE"/>
    <w:rsid w:val="49A61CC7"/>
    <w:rsid w:val="49DC6357"/>
    <w:rsid w:val="4A5F1294"/>
    <w:rsid w:val="4AD0649A"/>
    <w:rsid w:val="4ADFB618"/>
    <w:rsid w:val="4B0A4A82"/>
    <w:rsid w:val="4B0A68BA"/>
    <w:rsid w:val="4B7BE624"/>
    <w:rsid w:val="4BBA024C"/>
    <w:rsid w:val="4BC63C55"/>
    <w:rsid w:val="4BD444F6"/>
    <w:rsid w:val="4BD8527D"/>
    <w:rsid w:val="4BDE0179"/>
    <w:rsid w:val="4BDE2D2A"/>
    <w:rsid w:val="4BDF6F7B"/>
    <w:rsid w:val="4BEC3A7E"/>
    <w:rsid w:val="4C473333"/>
    <w:rsid w:val="4C816990"/>
    <w:rsid w:val="4CA7016C"/>
    <w:rsid w:val="4CB12AEA"/>
    <w:rsid w:val="4CB23482"/>
    <w:rsid w:val="4CDFDCED"/>
    <w:rsid w:val="4CF03D27"/>
    <w:rsid w:val="4D4354F8"/>
    <w:rsid w:val="4D5D5079"/>
    <w:rsid w:val="4D705EB3"/>
    <w:rsid w:val="4D7C49BF"/>
    <w:rsid w:val="4DEA1C16"/>
    <w:rsid w:val="4E07961D"/>
    <w:rsid w:val="4E2552CD"/>
    <w:rsid w:val="4E263D32"/>
    <w:rsid w:val="4E286CB3"/>
    <w:rsid w:val="4E5C081F"/>
    <w:rsid w:val="4E6362B4"/>
    <w:rsid w:val="4EAD12F4"/>
    <w:rsid w:val="4EC8055E"/>
    <w:rsid w:val="4ED13B11"/>
    <w:rsid w:val="4EFF7B26"/>
    <w:rsid w:val="4EFFC0D9"/>
    <w:rsid w:val="4F1E3EDA"/>
    <w:rsid w:val="4F1F5413"/>
    <w:rsid w:val="4F3504E4"/>
    <w:rsid w:val="4F373BA2"/>
    <w:rsid w:val="4F637BD2"/>
    <w:rsid w:val="4F667EBB"/>
    <w:rsid w:val="4F963F07"/>
    <w:rsid w:val="4F9D33AA"/>
    <w:rsid w:val="4FB2281C"/>
    <w:rsid w:val="4FDA6B31"/>
    <w:rsid w:val="4FDB6AC3"/>
    <w:rsid w:val="4FDFB145"/>
    <w:rsid w:val="4FFB47F8"/>
    <w:rsid w:val="4FFF8B31"/>
    <w:rsid w:val="503B0253"/>
    <w:rsid w:val="5096587E"/>
    <w:rsid w:val="50A21B31"/>
    <w:rsid w:val="50CE6F9F"/>
    <w:rsid w:val="50E23A41"/>
    <w:rsid w:val="50E24577"/>
    <w:rsid w:val="50E90E4D"/>
    <w:rsid w:val="51085492"/>
    <w:rsid w:val="511F4786"/>
    <w:rsid w:val="51293414"/>
    <w:rsid w:val="51477AF7"/>
    <w:rsid w:val="514F07F2"/>
    <w:rsid w:val="51632631"/>
    <w:rsid w:val="516C4861"/>
    <w:rsid w:val="519D33E8"/>
    <w:rsid w:val="51AD665B"/>
    <w:rsid w:val="51B726A1"/>
    <w:rsid w:val="51E31065"/>
    <w:rsid w:val="51F4603A"/>
    <w:rsid w:val="522D1C14"/>
    <w:rsid w:val="52391A74"/>
    <w:rsid w:val="52395732"/>
    <w:rsid w:val="52966D1E"/>
    <w:rsid w:val="52AF4F12"/>
    <w:rsid w:val="52DD2582"/>
    <w:rsid w:val="52E03507"/>
    <w:rsid w:val="52E5CFE7"/>
    <w:rsid w:val="52F42F00"/>
    <w:rsid w:val="531F0DC4"/>
    <w:rsid w:val="5327679F"/>
    <w:rsid w:val="532F3286"/>
    <w:rsid w:val="535E63FC"/>
    <w:rsid w:val="535F6276"/>
    <w:rsid w:val="537A0DDF"/>
    <w:rsid w:val="5382108B"/>
    <w:rsid w:val="539239D5"/>
    <w:rsid w:val="53AA7564"/>
    <w:rsid w:val="53AF708C"/>
    <w:rsid w:val="53BD4EA8"/>
    <w:rsid w:val="53FD503B"/>
    <w:rsid w:val="541D2076"/>
    <w:rsid w:val="541F57C4"/>
    <w:rsid w:val="546A1731"/>
    <w:rsid w:val="546E1A14"/>
    <w:rsid w:val="5476101E"/>
    <w:rsid w:val="54823ACB"/>
    <w:rsid w:val="54A37834"/>
    <w:rsid w:val="54AC462D"/>
    <w:rsid w:val="54BC71D4"/>
    <w:rsid w:val="54BE6593"/>
    <w:rsid w:val="54C9619E"/>
    <w:rsid w:val="54CC5B08"/>
    <w:rsid w:val="54E1752E"/>
    <w:rsid w:val="55086644"/>
    <w:rsid w:val="55306FE0"/>
    <w:rsid w:val="55456DCF"/>
    <w:rsid w:val="5580671C"/>
    <w:rsid w:val="55B2437F"/>
    <w:rsid w:val="55D9149E"/>
    <w:rsid w:val="55DC3A47"/>
    <w:rsid w:val="55DD2EEF"/>
    <w:rsid w:val="55FAA0EC"/>
    <w:rsid w:val="5646212F"/>
    <w:rsid w:val="56643532"/>
    <w:rsid w:val="566A2753"/>
    <w:rsid w:val="56A94582"/>
    <w:rsid w:val="56FB3887"/>
    <w:rsid w:val="56FF5D39"/>
    <w:rsid w:val="5706158F"/>
    <w:rsid w:val="57596BC3"/>
    <w:rsid w:val="576D6CEE"/>
    <w:rsid w:val="57907415"/>
    <w:rsid w:val="57F31DEF"/>
    <w:rsid w:val="57F4E729"/>
    <w:rsid w:val="5807127B"/>
    <w:rsid w:val="582137F9"/>
    <w:rsid w:val="58411DD6"/>
    <w:rsid w:val="5844565B"/>
    <w:rsid w:val="587800F2"/>
    <w:rsid w:val="587C0B99"/>
    <w:rsid w:val="589037A1"/>
    <w:rsid w:val="58B765E7"/>
    <w:rsid w:val="58E541D3"/>
    <w:rsid w:val="591F42B9"/>
    <w:rsid w:val="59660712"/>
    <w:rsid w:val="59A35698"/>
    <w:rsid w:val="59D33B74"/>
    <w:rsid w:val="59EFDFB2"/>
    <w:rsid w:val="5A030EFA"/>
    <w:rsid w:val="5A201D86"/>
    <w:rsid w:val="5AE90E31"/>
    <w:rsid w:val="5B0453E0"/>
    <w:rsid w:val="5B362056"/>
    <w:rsid w:val="5B402681"/>
    <w:rsid w:val="5B4B35D6"/>
    <w:rsid w:val="5B545C61"/>
    <w:rsid w:val="5B5E790E"/>
    <w:rsid w:val="5B5FB9AE"/>
    <w:rsid w:val="5B7FBC1C"/>
    <w:rsid w:val="5B8C403F"/>
    <w:rsid w:val="5BA96C40"/>
    <w:rsid w:val="5BE36FFD"/>
    <w:rsid w:val="5BEF2741"/>
    <w:rsid w:val="5BFEBFF7"/>
    <w:rsid w:val="5BFF8BB8"/>
    <w:rsid w:val="5C072027"/>
    <w:rsid w:val="5C272676"/>
    <w:rsid w:val="5C412946"/>
    <w:rsid w:val="5C5F08E6"/>
    <w:rsid w:val="5C851ABC"/>
    <w:rsid w:val="5C926447"/>
    <w:rsid w:val="5CB47325"/>
    <w:rsid w:val="5CF52B7F"/>
    <w:rsid w:val="5D1443D6"/>
    <w:rsid w:val="5D165457"/>
    <w:rsid w:val="5D1F2257"/>
    <w:rsid w:val="5D456C14"/>
    <w:rsid w:val="5D4705D0"/>
    <w:rsid w:val="5D8F55DF"/>
    <w:rsid w:val="5DAFD236"/>
    <w:rsid w:val="5DCDF051"/>
    <w:rsid w:val="5DDEA683"/>
    <w:rsid w:val="5DEBAC04"/>
    <w:rsid w:val="5DEBCBAF"/>
    <w:rsid w:val="5DFBDDD7"/>
    <w:rsid w:val="5DFF5B7B"/>
    <w:rsid w:val="5DFF7B56"/>
    <w:rsid w:val="5DFFB025"/>
    <w:rsid w:val="5E122AE4"/>
    <w:rsid w:val="5E1501E6"/>
    <w:rsid w:val="5E1E671C"/>
    <w:rsid w:val="5E230800"/>
    <w:rsid w:val="5E4040FC"/>
    <w:rsid w:val="5E6FBB37"/>
    <w:rsid w:val="5E801C8C"/>
    <w:rsid w:val="5E840981"/>
    <w:rsid w:val="5EB22AF1"/>
    <w:rsid w:val="5EC368E3"/>
    <w:rsid w:val="5EDD0429"/>
    <w:rsid w:val="5EEE8772"/>
    <w:rsid w:val="5EF99371"/>
    <w:rsid w:val="5F176F53"/>
    <w:rsid w:val="5F1B6809"/>
    <w:rsid w:val="5F3E404E"/>
    <w:rsid w:val="5F3FDDED"/>
    <w:rsid w:val="5F5F0216"/>
    <w:rsid w:val="5F653D10"/>
    <w:rsid w:val="5F702A21"/>
    <w:rsid w:val="5F7104A2"/>
    <w:rsid w:val="5F9955BE"/>
    <w:rsid w:val="5F9B531E"/>
    <w:rsid w:val="5FCD8A84"/>
    <w:rsid w:val="5FD5EBF1"/>
    <w:rsid w:val="5FEA7D81"/>
    <w:rsid w:val="5FFB8D2C"/>
    <w:rsid w:val="6017688D"/>
    <w:rsid w:val="60661CB4"/>
    <w:rsid w:val="6072051B"/>
    <w:rsid w:val="609E0F14"/>
    <w:rsid w:val="60F87024"/>
    <w:rsid w:val="613622D6"/>
    <w:rsid w:val="6141140F"/>
    <w:rsid w:val="6169605F"/>
    <w:rsid w:val="61753344"/>
    <w:rsid w:val="618518AD"/>
    <w:rsid w:val="61970FC4"/>
    <w:rsid w:val="61F0503E"/>
    <w:rsid w:val="6201784E"/>
    <w:rsid w:val="62663996"/>
    <w:rsid w:val="62776E6D"/>
    <w:rsid w:val="629E48DB"/>
    <w:rsid w:val="62E6447A"/>
    <w:rsid w:val="62F277E6"/>
    <w:rsid w:val="6355235E"/>
    <w:rsid w:val="637815D0"/>
    <w:rsid w:val="637F327F"/>
    <w:rsid w:val="63DE0FE6"/>
    <w:rsid w:val="63E853BE"/>
    <w:rsid w:val="63FA13A3"/>
    <w:rsid w:val="64440FCE"/>
    <w:rsid w:val="644C4E9D"/>
    <w:rsid w:val="6460554D"/>
    <w:rsid w:val="646733D7"/>
    <w:rsid w:val="647D1DE9"/>
    <w:rsid w:val="64F962AD"/>
    <w:rsid w:val="651A759E"/>
    <w:rsid w:val="651C2B51"/>
    <w:rsid w:val="65557753"/>
    <w:rsid w:val="65B20905"/>
    <w:rsid w:val="65B456E9"/>
    <w:rsid w:val="65C435EA"/>
    <w:rsid w:val="65FFAEAF"/>
    <w:rsid w:val="66360241"/>
    <w:rsid w:val="664D7A74"/>
    <w:rsid w:val="66525C9F"/>
    <w:rsid w:val="66893500"/>
    <w:rsid w:val="66BF9386"/>
    <w:rsid w:val="66CC2B8D"/>
    <w:rsid w:val="66FDBC74"/>
    <w:rsid w:val="67090D47"/>
    <w:rsid w:val="672023DA"/>
    <w:rsid w:val="672C74D4"/>
    <w:rsid w:val="673E274D"/>
    <w:rsid w:val="6775142A"/>
    <w:rsid w:val="67796A91"/>
    <w:rsid w:val="678377BA"/>
    <w:rsid w:val="67A4264C"/>
    <w:rsid w:val="67E07486"/>
    <w:rsid w:val="67E31201"/>
    <w:rsid w:val="67E501F3"/>
    <w:rsid w:val="67ED3000"/>
    <w:rsid w:val="67F75E6D"/>
    <w:rsid w:val="67F78D05"/>
    <w:rsid w:val="68045C9E"/>
    <w:rsid w:val="68E3340F"/>
    <w:rsid w:val="68E82DDB"/>
    <w:rsid w:val="68F17B2F"/>
    <w:rsid w:val="69491767"/>
    <w:rsid w:val="69887333"/>
    <w:rsid w:val="69A16E5D"/>
    <w:rsid w:val="69DFC411"/>
    <w:rsid w:val="69E34D6C"/>
    <w:rsid w:val="69E61B07"/>
    <w:rsid w:val="69E87526"/>
    <w:rsid w:val="69F8F1BB"/>
    <w:rsid w:val="6A0311FB"/>
    <w:rsid w:val="6A4B46B5"/>
    <w:rsid w:val="6A6D4AF2"/>
    <w:rsid w:val="6AB25B1C"/>
    <w:rsid w:val="6AB82BB0"/>
    <w:rsid w:val="6AC12A02"/>
    <w:rsid w:val="6AC975E8"/>
    <w:rsid w:val="6AD202EA"/>
    <w:rsid w:val="6AD20C96"/>
    <w:rsid w:val="6AE3353E"/>
    <w:rsid w:val="6AF7EA9B"/>
    <w:rsid w:val="6B3044F6"/>
    <w:rsid w:val="6B362FBA"/>
    <w:rsid w:val="6B462871"/>
    <w:rsid w:val="6B76AEF9"/>
    <w:rsid w:val="6B985110"/>
    <w:rsid w:val="6BA352CE"/>
    <w:rsid w:val="6BA66561"/>
    <w:rsid w:val="6BD05458"/>
    <w:rsid w:val="6BD21A70"/>
    <w:rsid w:val="6BED2021"/>
    <w:rsid w:val="6BF3EAB1"/>
    <w:rsid w:val="6BF52C3B"/>
    <w:rsid w:val="6BFF3D72"/>
    <w:rsid w:val="6BFF7343"/>
    <w:rsid w:val="6C2077F5"/>
    <w:rsid w:val="6C3C5623"/>
    <w:rsid w:val="6C3D7519"/>
    <w:rsid w:val="6C691554"/>
    <w:rsid w:val="6C8B6DBB"/>
    <w:rsid w:val="6CEB09C0"/>
    <w:rsid w:val="6D061455"/>
    <w:rsid w:val="6D215542"/>
    <w:rsid w:val="6D370D3E"/>
    <w:rsid w:val="6D571C1E"/>
    <w:rsid w:val="6D5FF211"/>
    <w:rsid w:val="6D6C2BD7"/>
    <w:rsid w:val="6D710A84"/>
    <w:rsid w:val="6D7F6B76"/>
    <w:rsid w:val="6D883FC0"/>
    <w:rsid w:val="6D9A5389"/>
    <w:rsid w:val="6DBF7B2E"/>
    <w:rsid w:val="6DC26230"/>
    <w:rsid w:val="6DCD80E4"/>
    <w:rsid w:val="6E2C660A"/>
    <w:rsid w:val="6E50356B"/>
    <w:rsid w:val="6EB39598"/>
    <w:rsid w:val="6EC61449"/>
    <w:rsid w:val="6EC63F2A"/>
    <w:rsid w:val="6EDD753D"/>
    <w:rsid w:val="6EE739AB"/>
    <w:rsid w:val="6F3F5BAB"/>
    <w:rsid w:val="6F6B6019"/>
    <w:rsid w:val="6F7B3BF5"/>
    <w:rsid w:val="6F7F9E18"/>
    <w:rsid w:val="6FBDF22D"/>
    <w:rsid w:val="6FBF0126"/>
    <w:rsid w:val="6FDF2C0C"/>
    <w:rsid w:val="6FE351E0"/>
    <w:rsid w:val="6FE7DF74"/>
    <w:rsid w:val="6FF83C47"/>
    <w:rsid w:val="6FF9D30E"/>
    <w:rsid w:val="6FFB311D"/>
    <w:rsid w:val="6FFCF3E1"/>
    <w:rsid w:val="6FFE7A12"/>
    <w:rsid w:val="6FFF69A6"/>
    <w:rsid w:val="6FFFB32B"/>
    <w:rsid w:val="705231B5"/>
    <w:rsid w:val="706A7F50"/>
    <w:rsid w:val="70BA63CA"/>
    <w:rsid w:val="70D06252"/>
    <w:rsid w:val="70E07055"/>
    <w:rsid w:val="70EF5D31"/>
    <w:rsid w:val="71021E3C"/>
    <w:rsid w:val="710651EE"/>
    <w:rsid w:val="71301831"/>
    <w:rsid w:val="71E26A6B"/>
    <w:rsid w:val="71E76C8F"/>
    <w:rsid w:val="71FE11D9"/>
    <w:rsid w:val="721365E8"/>
    <w:rsid w:val="7214563D"/>
    <w:rsid w:val="72A3715A"/>
    <w:rsid w:val="72B4738A"/>
    <w:rsid w:val="72DF5675"/>
    <w:rsid w:val="73011B3E"/>
    <w:rsid w:val="737B3E9F"/>
    <w:rsid w:val="73933B8C"/>
    <w:rsid w:val="73935A63"/>
    <w:rsid w:val="73CF7C0D"/>
    <w:rsid w:val="73D74B32"/>
    <w:rsid w:val="73DD1B54"/>
    <w:rsid w:val="73F64AAB"/>
    <w:rsid w:val="73FFD3B5"/>
    <w:rsid w:val="740500E7"/>
    <w:rsid w:val="74346C5B"/>
    <w:rsid w:val="744028AD"/>
    <w:rsid w:val="745774B6"/>
    <w:rsid w:val="747131CA"/>
    <w:rsid w:val="74776FD1"/>
    <w:rsid w:val="74792B65"/>
    <w:rsid w:val="74B64D90"/>
    <w:rsid w:val="74B85EAD"/>
    <w:rsid w:val="74C26852"/>
    <w:rsid w:val="74E90801"/>
    <w:rsid w:val="753F00FB"/>
    <w:rsid w:val="75481BD4"/>
    <w:rsid w:val="75956274"/>
    <w:rsid w:val="75B774E3"/>
    <w:rsid w:val="75BF8449"/>
    <w:rsid w:val="75DA47EA"/>
    <w:rsid w:val="75EB142F"/>
    <w:rsid w:val="75ED433D"/>
    <w:rsid w:val="75FAB938"/>
    <w:rsid w:val="75FACCD0"/>
    <w:rsid w:val="75FF6DB8"/>
    <w:rsid w:val="761F24FC"/>
    <w:rsid w:val="765353AD"/>
    <w:rsid w:val="765F06C0"/>
    <w:rsid w:val="765F2314"/>
    <w:rsid w:val="7669406C"/>
    <w:rsid w:val="76AD3E5B"/>
    <w:rsid w:val="76C431F7"/>
    <w:rsid w:val="76CB0598"/>
    <w:rsid w:val="770045CD"/>
    <w:rsid w:val="77396925"/>
    <w:rsid w:val="774570AB"/>
    <w:rsid w:val="77472876"/>
    <w:rsid w:val="774E2CAE"/>
    <w:rsid w:val="775128CA"/>
    <w:rsid w:val="775C236A"/>
    <w:rsid w:val="777F07DD"/>
    <w:rsid w:val="778FEA3B"/>
    <w:rsid w:val="77994FE1"/>
    <w:rsid w:val="77BA62C2"/>
    <w:rsid w:val="77BBDACE"/>
    <w:rsid w:val="77BD08BC"/>
    <w:rsid w:val="77D5725F"/>
    <w:rsid w:val="77EC4C1C"/>
    <w:rsid w:val="77F78C32"/>
    <w:rsid w:val="77FDFC13"/>
    <w:rsid w:val="78497407"/>
    <w:rsid w:val="78754E4A"/>
    <w:rsid w:val="788B0DD6"/>
    <w:rsid w:val="788B41A6"/>
    <w:rsid w:val="78C851AE"/>
    <w:rsid w:val="78E7AE36"/>
    <w:rsid w:val="791A6212"/>
    <w:rsid w:val="7957B951"/>
    <w:rsid w:val="79C74F0B"/>
    <w:rsid w:val="79FB8050"/>
    <w:rsid w:val="79FD3ED0"/>
    <w:rsid w:val="7A337657"/>
    <w:rsid w:val="7A3B2CA7"/>
    <w:rsid w:val="7A7FE278"/>
    <w:rsid w:val="7A924401"/>
    <w:rsid w:val="7AAB52DE"/>
    <w:rsid w:val="7ACA2120"/>
    <w:rsid w:val="7ACF95DB"/>
    <w:rsid w:val="7AF3AD0A"/>
    <w:rsid w:val="7AFD66D2"/>
    <w:rsid w:val="7AFF4121"/>
    <w:rsid w:val="7B1E6340"/>
    <w:rsid w:val="7B251B25"/>
    <w:rsid w:val="7B2D257D"/>
    <w:rsid w:val="7B59BF53"/>
    <w:rsid w:val="7B664481"/>
    <w:rsid w:val="7B756C9A"/>
    <w:rsid w:val="7B785252"/>
    <w:rsid w:val="7B7D78FD"/>
    <w:rsid w:val="7B7DBD4A"/>
    <w:rsid w:val="7B7F8410"/>
    <w:rsid w:val="7B90588E"/>
    <w:rsid w:val="7BA02990"/>
    <w:rsid w:val="7BB73828"/>
    <w:rsid w:val="7BCFDFCD"/>
    <w:rsid w:val="7BCFFB6F"/>
    <w:rsid w:val="7BD08A76"/>
    <w:rsid w:val="7BDD9921"/>
    <w:rsid w:val="7BEF0FCD"/>
    <w:rsid w:val="7BF00B62"/>
    <w:rsid w:val="7BF6F451"/>
    <w:rsid w:val="7BFE83C2"/>
    <w:rsid w:val="7C474DF4"/>
    <w:rsid w:val="7C67278A"/>
    <w:rsid w:val="7C715D3A"/>
    <w:rsid w:val="7C773AC9"/>
    <w:rsid w:val="7C940F41"/>
    <w:rsid w:val="7CBBB0B9"/>
    <w:rsid w:val="7CBF6743"/>
    <w:rsid w:val="7CE73CFF"/>
    <w:rsid w:val="7CF0780B"/>
    <w:rsid w:val="7CF72891"/>
    <w:rsid w:val="7CFF4BCB"/>
    <w:rsid w:val="7D0A03B5"/>
    <w:rsid w:val="7D7A61CF"/>
    <w:rsid w:val="7D7B08AD"/>
    <w:rsid w:val="7D7FD221"/>
    <w:rsid w:val="7DA86E57"/>
    <w:rsid w:val="7DAF0C19"/>
    <w:rsid w:val="7DB9BAFC"/>
    <w:rsid w:val="7DBC4B71"/>
    <w:rsid w:val="7DBDA68D"/>
    <w:rsid w:val="7DD94C28"/>
    <w:rsid w:val="7DDFBCD9"/>
    <w:rsid w:val="7DF9051F"/>
    <w:rsid w:val="7DFD87C3"/>
    <w:rsid w:val="7DFE5366"/>
    <w:rsid w:val="7DFF2909"/>
    <w:rsid w:val="7DFF3EB7"/>
    <w:rsid w:val="7DFFEA5C"/>
    <w:rsid w:val="7E3A2CA5"/>
    <w:rsid w:val="7E3FAC03"/>
    <w:rsid w:val="7E4222BA"/>
    <w:rsid w:val="7E466939"/>
    <w:rsid w:val="7E597CD7"/>
    <w:rsid w:val="7E67B6D4"/>
    <w:rsid w:val="7E8DC893"/>
    <w:rsid w:val="7EAD658C"/>
    <w:rsid w:val="7EAF7B26"/>
    <w:rsid w:val="7EBFCB41"/>
    <w:rsid w:val="7ED2626D"/>
    <w:rsid w:val="7EDD7213"/>
    <w:rsid w:val="7EDDD10A"/>
    <w:rsid w:val="7EFB5E8F"/>
    <w:rsid w:val="7EFBA54F"/>
    <w:rsid w:val="7EFEC3CB"/>
    <w:rsid w:val="7EFF9B55"/>
    <w:rsid w:val="7EFFD3FE"/>
    <w:rsid w:val="7EFFD69D"/>
    <w:rsid w:val="7EFFFE40"/>
    <w:rsid w:val="7F1E1436"/>
    <w:rsid w:val="7F2F6C75"/>
    <w:rsid w:val="7F4606E0"/>
    <w:rsid w:val="7F492E62"/>
    <w:rsid w:val="7F587BFA"/>
    <w:rsid w:val="7F5D4DB4"/>
    <w:rsid w:val="7F5F3E3D"/>
    <w:rsid w:val="7F5F64D7"/>
    <w:rsid w:val="7F6B0FEB"/>
    <w:rsid w:val="7F733D91"/>
    <w:rsid w:val="7F7BF2F6"/>
    <w:rsid w:val="7F7E56A0"/>
    <w:rsid w:val="7F7EE898"/>
    <w:rsid w:val="7F7FF1C7"/>
    <w:rsid w:val="7F8A3E0E"/>
    <w:rsid w:val="7F9B456B"/>
    <w:rsid w:val="7FA90C3E"/>
    <w:rsid w:val="7FAADB19"/>
    <w:rsid w:val="7FB7EE4A"/>
    <w:rsid w:val="7FBB1F64"/>
    <w:rsid w:val="7FD37057"/>
    <w:rsid w:val="7FD508D3"/>
    <w:rsid w:val="7FD76031"/>
    <w:rsid w:val="7FD82720"/>
    <w:rsid w:val="7FD9A7F6"/>
    <w:rsid w:val="7FDB8B0A"/>
    <w:rsid w:val="7FDE1157"/>
    <w:rsid w:val="7FDF3FB8"/>
    <w:rsid w:val="7FDF84C8"/>
    <w:rsid w:val="7FDF8EB6"/>
    <w:rsid w:val="7FE5F30E"/>
    <w:rsid w:val="7FE702A7"/>
    <w:rsid w:val="7FE7578D"/>
    <w:rsid w:val="7FED8ACC"/>
    <w:rsid w:val="7FEF303B"/>
    <w:rsid w:val="7FEF4955"/>
    <w:rsid w:val="7FEFB90A"/>
    <w:rsid w:val="7FF38258"/>
    <w:rsid w:val="7FF3A5D5"/>
    <w:rsid w:val="7FF5598C"/>
    <w:rsid w:val="7FF66044"/>
    <w:rsid w:val="7FF7CB70"/>
    <w:rsid w:val="7FFB03C8"/>
    <w:rsid w:val="7FFB2508"/>
    <w:rsid w:val="7FFB4AD3"/>
    <w:rsid w:val="7FFB6169"/>
    <w:rsid w:val="7FFBDB0E"/>
    <w:rsid w:val="7FFBFF23"/>
    <w:rsid w:val="7FFC8FB0"/>
    <w:rsid w:val="7FFEA47E"/>
    <w:rsid w:val="7FFF08F1"/>
    <w:rsid w:val="7FFF346B"/>
    <w:rsid w:val="7FFF97EC"/>
    <w:rsid w:val="7FFFA6DE"/>
    <w:rsid w:val="7FFFD9DC"/>
    <w:rsid w:val="89FFD0A3"/>
    <w:rsid w:val="8CF9790A"/>
    <w:rsid w:val="8FFDED42"/>
    <w:rsid w:val="94FFED46"/>
    <w:rsid w:val="9ADF3E33"/>
    <w:rsid w:val="9BFD8884"/>
    <w:rsid w:val="9D1F19EB"/>
    <w:rsid w:val="9FFD6CCF"/>
    <w:rsid w:val="9FFFC2A0"/>
    <w:rsid w:val="A37E8E75"/>
    <w:rsid w:val="A6F0C1A2"/>
    <w:rsid w:val="A7F0C0B8"/>
    <w:rsid w:val="ABCB3C34"/>
    <w:rsid w:val="ABCF87D1"/>
    <w:rsid w:val="ACF2F2E5"/>
    <w:rsid w:val="ADE1E39E"/>
    <w:rsid w:val="AF3FC1F4"/>
    <w:rsid w:val="AFFF5A59"/>
    <w:rsid w:val="B2F238A4"/>
    <w:rsid w:val="B3BDA764"/>
    <w:rsid w:val="B5F5EBFA"/>
    <w:rsid w:val="B6EFEBE3"/>
    <w:rsid w:val="B7D70765"/>
    <w:rsid w:val="B7DBA881"/>
    <w:rsid w:val="B7F69B3C"/>
    <w:rsid w:val="B8D739CC"/>
    <w:rsid w:val="B9E57D8C"/>
    <w:rsid w:val="B9F75AE5"/>
    <w:rsid w:val="BA36523E"/>
    <w:rsid w:val="BB77A637"/>
    <w:rsid w:val="BB9DC487"/>
    <w:rsid w:val="BBCD3280"/>
    <w:rsid w:val="BBD7E073"/>
    <w:rsid w:val="BBE2AA31"/>
    <w:rsid w:val="BC665DAB"/>
    <w:rsid w:val="BD7E3D9B"/>
    <w:rsid w:val="BDD3A48E"/>
    <w:rsid w:val="BDF785E5"/>
    <w:rsid w:val="BE5EDA05"/>
    <w:rsid w:val="BE676398"/>
    <w:rsid w:val="BE779A69"/>
    <w:rsid w:val="BE9BFF11"/>
    <w:rsid w:val="BEE3EFD1"/>
    <w:rsid w:val="BEFFAD93"/>
    <w:rsid w:val="BF9B1FFB"/>
    <w:rsid w:val="BFAD70B9"/>
    <w:rsid w:val="BFBD3820"/>
    <w:rsid w:val="BFD55FBD"/>
    <w:rsid w:val="BFF73E85"/>
    <w:rsid w:val="BFF9E441"/>
    <w:rsid w:val="BFFA7494"/>
    <w:rsid w:val="BFFBDFCB"/>
    <w:rsid w:val="C2FCC403"/>
    <w:rsid w:val="C6220233"/>
    <w:rsid w:val="C70B91ED"/>
    <w:rsid w:val="CAF7F7D9"/>
    <w:rsid w:val="CBAAB46A"/>
    <w:rsid w:val="CBF2F63F"/>
    <w:rsid w:val="CDB19D00"/>
    <w:rsid w:val="CDFFE294"/>
    <w:rsid w:val="CE4636B8"/>
    <w:rsid w:val="CE9D4FEB"/>
    <w:rsid w:val="CF764F6A"/>
    <w:rsid w:val="CFBFC87E"/>
    <w:rsid w:val="CFDE7BFE"/>
    <w:rsid w:val="CFFC44F3"/>
    <w:rsid w:val="CFFD2026"/>
    <w:rsid w:val="D3DFAF1D"/>
    <w:rsid w:val="D3E31AE1"/>
    <w:rsid w:val="D563F1D8"/>
    <w:rsid w:val="D75700DC"/>
    <w:rsid w:val="D7E7E5F7"/>
    <w:rsid w:val="D7EC3280"/>
    <w:rsid w:val="D7FD828B"/>
    <w:rsid w:val="D85E106A"/>
    <w:rsid w:val="D9B9FDD5"/>
    <w:rsid w:val="D9CDD73B"/>
    <w:rsid w:val="DBB94371"/>
    <w:rsid w:val="DBFF4F90"/>
    <w:rsid w:val="DD3E4826"/>
    <w:rsid w:val="DDDB6E0A"/>
    <w:rsid w:val="DDF708AD"/>
    <w:rsid w:val="DDFFEE29"/>
    <w:rsid w:val="DE3B2F56"/>
    <w:rsid w:val="DE6E5E00"/>
    <w:rsid w:val="DEDF6332"/>
    <w:rsid w:val="DEFC9BAD"/>
    <w:rsid w:val="DEFEF671"/>
    <w:rsid w:val="DEFF24A9"/>
    <w:rsid w:val="DF378C10"/>
    <w:rsid w:val="DF53F1E8"/>
    <w:rsid w:val="DF64AE34"/>
    <w:rsid w:val="DF6FCC97"/>
    <w:rsid w:val="DF77944F"/>
    <w:rsid w:val="DF79D786"/>
    <w:rsid w:val="DFCF79C6"/>
    <w:rsid w:val="DFD7CDA4"/>
    <w:rsid w:val="DFDBA1A3"/>
    <w:rsid w:val="DFE9BE3E"/>
    <w:rsid w:val="DFEB8FE4"/>
    <w:rsid w:val="DFEF9B0D"/>
    <w:rsid w:val="DFEFC483"/>
    <w:rsid w:val="DFFDC6FC"/>
    <w:rsid w:val="DFFF3EB8"/>
    <w:rsid w:val="DFFFB74C"/>
    <w:rsid w:val="E1DF732E"/>
    <w:rsid w:val="E23BC2FE"/>
    <w:rsid w:val="E3FF1731"/>
    <w:rsid w:val="E3FF373A"/>
    <w:rsid w:val="E5EF6884"/>
    <w:rsid w:val="E7D9CCAE"/>
    <w:rsid w:val="E9AD4FD6"/>
    <w:rsid w:val="EA758FF0"/>
    <w:rsid w:val="EAEAA41E"/>
    <w:rsid w:val="EB77A327"/>
    <w:rsid w:val="EB7B0D6A"/>
    <w:rsid w:val="EB7ECFA1"/>
    <w:rsid w:val="EBD7E1C2"/>
    <w:rsid w:val="EBDCCF2D"/>
    <w:rsid w:val="EBFD1F58"/>
    <w:rsid w:val="EBFF6A18"/>
    <w:rsid w:val="EBFF715A"/>
    <w:rsid w:val="EDAFD7A5"/>
    <w:rsid w:val="EDF70E8E"/>
    <w:rsid w:val="EDFFBBBE"/>
    <w:rsid w:val="EE5FF822"/>
    <w:rsid w:val="EE7F3F76"/>
    <w:rsid w:val="EEA71FC0"/>
    <w:rsid w:val="EEBFF998"/>
    <w:rsid w:val="EF399E3D"/>
    <w:rsid w:val="EF4DE1BB"/>
    <w:rsid w:val="EF5D11C6"/>
    <w:rsid w:val="EF7F6DDF"/>
    <w:rsid w:val="EF87DE3E"/>
    <w:rsid w:val="EFBFAFEB"/>
    <w:rsid w:val="EFC10E7F"/>
    <w:rsid w:val="EFD63B24"/>
    <w:rsid w:val="EFE209DD"/>
    <w:rsid w:val="EFEE64B5"/>
    <w:rsid w:val="EFEFF585"/>
    <w:rsid w:val="EFF629E6"/>
    <w:rsid w:val="EFF7FE83"/>
    <w:rsid w:val="EFFDF711"/>
    <w:rsid w:val="EFFE719C"/>
    <w:rsid w:val="EFFEBCD3"/>
    <w:rsid w:val="EFFF174C"/>
    <w:rsid w:val="EFFF2E0F"/>
    <w:rsid w:val="EFFF85F6"/>
    <w:rsid w:val="F1E6B424"/>
    <w:rsid w:val="F3EB7345"/>
    <w:rsid w:val="F3EBD6A4"/>
    <w:rsid w:val="F54FC710"/>
    <w:rsid w:val="F57B1A8A"/>
    <w:rsid w:val="F5BE6E60"/>
    <w:rsid w:val="F5FF1077"/>
    <w:rsid w:val="F67FC504"/>
    <w:rsid w:val="F6A7FF89"/>
    <w:rsid w:val="F73D5848"/>
    <w:rsid w:val="F77BCFAF"/>
    <w:rsid w:val="F7BFA9C1"/>
    <w:rsid w:val="F7BFF6F2"/>
    <w:rsid w:val="F7DF1FA5"/>
    <w:rsid w:val="F7F976B6"/>
    <w:rsid w:val="F7FD50AD"/>
    <w:rsid w:val="F7FE39D8"/>
    <w:rsid w:val="F7FF05EB"/>
    <w:rsid w:val="F7FF6C7A"/>
    <w:rsid w:val="F7FF8FEB"/>
    <w:rsid w:val="F85B52E7"/>
    <w:rsid w:val="F8DF59DD"/>
    <w:rsid w:val="F979A706"/>
    <w:rsid w:val="F9FA6D0A"/>
    <w:rsid w:val="FA2FD95A"/>
    <w:rsid w:val="FA686CCC"/>
    <w:rsid w:val="FAB61478"/>
    <w:rsid w:val="FB3F94E2"/>
    <w:rsid w:val="FBBB1CC1"/>
    <w:rsid w:val="FBDF0BD5"/>
    <w:rsid w:val="FBE68691"/>
    <w:rsid w:val="FBE7BCB8"/>
    <w:rsid w:val="FBEF89D8"/>
    <w:rsid w:val="FBF38638"/>
    <w:rsid w:val="FBF889FB"/>
    <w:rsid w:val="FBFD743B"/>
    <w:rsid w:val="FC161E5A"/>
    <w:rsid w:val="FC77D9B4"/>
    <w:rsid w:val="FD7EA595"/>
    <w:rsid w:val="FDA89D5B"/>
    <w:rsid w:val="FDBEBB0F"/>
    <w:rsid w:val="FDDFBA30"/>
    <w:rsid w:val="FDED4966"/>
    <w:rsid w:val="FDF7AD13"/>
    <w:rsid w:val="FDFB78B1"/>
    <w:rsid w:val="FDFB8FF4"/>
    <w:rsid w:val="FDFD13FF"/>
    <w:rsid w:val="FDFD4FE7"/>
    <w:rsid w:val="FDFE90FC"/>
    <w:rsid w:val="FDFF035D"/>
    <w:rsid w:val="FE959A4A"/>
    <w:rsid w:val="FEAE54C9"/>
    <w:rsid w:val="FEBD3995"/>
    <w:rsid w:val="FECB9968"/>
    <w:rsid w:val="FECBEBDF"/>
    <w:rsid w:val="FED4FECA"/>
    <w:rsid w:val="FEDDE377"/>
    <w:rsid w:val="FEDFA97A"/>
    <w:rsid w:val="FEEF7227"/>
    <w:rsid w:val="FEF81B79"/>
    <w:rsid w:val="FEFD1DD9"/>
    <w:rsid w:val="FEFD47DD"/>
    <w:rsid w:val="FEFF3683"/>
    <w:rsid w:val="FF2DCDEA"/>
    <w:rsid w:val="FF4C2390"/>
    <w:rsid w:val="FF4D7913"/>
    <w:rsid w:val="FF5D0ACF"/>
    <w:rsid w:val="FF6E1794"/>
    <w:rsid w:val="FF8D8EB4"/>
    <w:rsid w:val="FF9B0916"/>
    <w:rsid w:val="FFAB9B7B"/>
    <w:rsid w:val="FFACB3AA"/>
    <w:rsid w:val="FFB5F5C6"/>
    <w:rsid w:val="FFB64D38"/>
    <w:rsid w:val="FFBB43A3"/>
    <w:rsid w:val="FFBC311D"/>
    <w:rsid w:val="FFBE4E78"/>
    <w:rsid w:val="FFBFFBA3"/>
    <w:rsid w:val="FFCD5D22"/>
    <w:rsid w:val="FFDCFEBB"/>
    <w:rsid w:val="FFDF1367"/>
    <w:rsid w:val="FFDFFB83"/>
    <w:rsid w:val="FFE2D492"/>
    <w:rsid w:val="FFED588D"/>
    <w:rsid w:val="FFEEDE62"/>
    <w:rsid w:val="FFF58605"/>
    <w:rsid w:val="FFF74E23"/>
    <w:rsid w:val="FFF79F3D"/>
    <w:rsid w:val="FFF7FF06"/>
    <w:rsid w:val="FFFB553C"/>
    <w:rsid w:val="FFFC7036"/>
    <w:rsid w:val="FFFD0548"/>
    <w:rsid w:val="FFFD83FB"/>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9" w:semiHidden="0" w:name="heading 3"/>
    <w:lsdException w:qFormat="1" w:unhideWhenUsed="0" w:uiPriority="0" w:semiHidden="0" w:name="heading 4"/>
    <w:lsdException w:qFormat="1" w:unhideWhenUsed="0" w:uiPriority="9" w:semiHidden="0" w:name="heading 5"/>
    <w:lsdException w:qFormat="1" w:unhideWhenUsed="0" w:uiPriority="0" w:semiHidden="0"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uiPriority="99" w:name="footnote text"/>
    <w:lsdException w:qFormat="1" w:unhideWhenUsed="0" w:uiPriority="99"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qFormat="1" w:unhideWhenUsed="0" w:uiPriority="0" w:semiHidden="0"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nhideWhenUsed="0" w:uiPriority="0" w:semiHidden="0" w:name="Default Paragraph Font"/>
    <w:lsdException w:qFormat="1"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nhideWhenUsed="0" w:uiPriority="0" w:semiHidden="0" w:name="Body Text Indent 2"/>
    <w:lsdException w:qFormat="1" w:uiPriority="99" w:semiHidden="0" w:name="Body Text Indent 3"/>
    <w:lsdException w:uiPriority="99" w:name="Block Text"/>
    <w:lsdException w:qFormat="1" w:unhideWhenUsed="0"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qFormat="1" w:uiPriority="0" w:semiHidden="0"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qFormat="1" w:uiPriority="99" w:semiHidden="0" w:name="HTML Code"/>
    <w:lsdException w:qFormat="1" w:uiPriority="99" w:semiHidden="0" w:name="HTML Definition"/>
    <w:lsdException w:qFormat="1" w:uiPriority="99" w:semiHidden="0" w:name="HTML Keyboard"/>
    <w:lsdException w:uiPriority="99" w:name="HTML Preformatted"/>
    <w:lsdException w:qFormat="1" w:uiPriority="99" w:semiHidden="0" w:name="HTML Sample"/>
    <w:lsdException w:uiPriority="99" w:name="HTML Typewriter"/>
    <w:lsdException w:uiPriority="99" w:name="HTML Variable"/>
    <w:lsdException w:qFormat="1" w:uiPriority="99" w:semiHidden="0"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12" w:lineRule="auto"/>
      <w:jc w:val="both"/>
    </w:pPr>
    <w:rPr>
      <w:rFonts w:ascii="Calibri" w:hAnsi="Calibri" w:eastAsia="宋体" w:cs="Calibri"/>
      <w:kern w:val="2"/>
      <w:sz w:val="21"/>
      <w:lang w:val="en-US" w:eastAsia="zh-CN" w:bidi="ar-SA"/>
    </w:rPr>
  </w:style>
  <w:style w:type="paragraph" w:styleId="3">
    <w:name w:val="heading 1"/>
    <w:basedOn w:val="1"/>
    <w:next w:val="1"/>
    <w:link w:val="47"/>
    <w:qFormat/>
    <w:uiPriority w:val="0"/>
    <w:pPr>
      <w:keepNext/>
      <w:keepLines/>
      <w:spacing w:before="340" w:after="330" w:line="576" w:lineRule="auto"/>
      <w:jc w:val="center"/>
      <w:outlineLvl w:val="0"/>
    </w:pPr>
    <w:rPr>
      <w:rFonts w:eastAsia="仿宋"/>
      <w:b/>
      <w:kern w:val="44"/>
      <w:sz w:val="28"/>
    </w:rPr>
  </w:style>
  <w:style w:type="paragraph" w:styleId="4">
    <w:name w:val="heading 2"/>
    <w:basedOn w:val="1"/>
    <w:next w:val="1"/>
    <w:link w:val="48"/>
    <w:qFormat/>
    <w:uiPriority w:val="0"/>
    <w:pPr>
      <w:keepNext/>
      <w:keepLines/>
      <w:adjustRightInd w:val="0"/>
      <w:snapToGrid w:val="0"/>
      <w:spacing w:before="120" w:after="120" w:line="360" w:lineRule="auto"/>
      <w:jc w:val="left"/>
      <w:outlineLvl w:val="1"/>
    </w:pPr>
    <w:rPr>
      <w:rFonts w:ascii="宋体" w:hAnsi="Arial" w:eastAsia="仿宋"/>
      <w:b/>
      <w:sz w:val="24"/>
    </w:rPr>
  </w:style>
  <w:style w:type="paragraph" w:styleId="5">
    <w:name w:val="heading 3"/>
    <w:basedOn w:val="1"/>
    <w:next w:val="1"/>
    <w:link w:val="50"/>
    <w:qFormat/>
    <w:uiPriority w:val="9"/>
    <w:pPr>
      <w:spacing w:before="120" w:after="120" w:line="17" w:lineRule="atLeast"/>
      <w:jc w:val="left"/>
      <w:outlineLvl w:val="2"/>
    </w:pPr>
    <w:rPr>
      <w:rFonts w:hint="eastAsia" w:ascii="宋体" w:hAnsi="宋体" w:eastAsia="仿宋"/>
      <w:b/>
      <w:kern w:val="0"/>
      <w:sz w:val="24"/>
      <w:szCs w:val="36"/>
    </w:rPr>
  </w:style>
  <w:style w:type="paragraph" w:styleId="6">
    <w:name w:val="heading 4"/>
    <w:basedOn w:val="1"/>
    <w:next w:val="1"/>
    <w:link w:val="52"/>
    <w:qFormat/>
    <w:uiPriority w:val="0"/>
    <w:pPr>
      <w:keepNext/>
      <w:keepLines/>
      <w:spacing w:line="376" w:lineRule="auto"/>
      <w:outlineLvl w:val="3"/>
    </w:pPr>
    <w:rPr>
      <w:rFonts w:ascii="Cambria" w:hAnsi="Cambria" w:eastAsia="仿宋"/>
      <w:b/>
      <w:bCs/>
      <w:sz w:val="24"/>
      <w:szCs w:val="28"/>
    </w:rPr>
  </w:style>
  <w:style w:type="paragraph" w:styleId="7">
    <w:name w:val="heading 5"/>
    <w:basedOn w:val="1"/>
    <w:next w:val="1"/>
    <w:link w:val="53"/>
    <w:qFormat/>
    <w:uiPriority w:val="9"/>
    <w:pPr>
      <w:keepNext/>
      <w:keepLines/>
      <w:spacing w:before="280" w:after="290" w:line="376" w:lineRule="auto"/>
      <w:outlineLvl w:val="4"/>
    </w:pPr>
    <w:rPr>
      <w:b/>
      <w:bCs/>
      <w:sz w:val="28"/>
      <w:szCs w:val="28"/>
    </w:rPr>
  </w:style>
  <w:style w:type="paragraph" w:styleId="8">
    <w:name w:val="heading 6"/>
    <w:basedOn w:val="1"/>
    <w:next w:val="1"/>
    <w:qFormat/>
    <w:uiPriority w:val="0"/>
    <w:pPr>
      <w:keepNext/>
      <w:keepLines/>
      <w:spacing w:before="240" w:after="64" w:line="320" w:lineRule="auto"/>
      <w:outlineLvl w:val="5"/>
    </w:pPr>
    <w:rPr>
      <w:rFonts w:ascii="Arial" w:hAnsi="Arial" w:eastAsia="黑体"/>
      <w:b/>
      <w:bCs/>
      <w:sz w:val="24"/>
    </w:rPr>
  </w:style>
  <w:style w:type="character" w:default="1" w:styleId="35">
    <w:name w:val="Default Paragraph Font"/>
    <w:qFormat/>
    <w:uiPriority w:val="0"/>
    <w:rPr>
      <w:rFonts w:ascii="宋体" w:hAnsi="宋体" w:eastAsia="宋体"/>
      <w:sz w:val="21"/>
      <w:szCs w:val="21"/>
      <w:lang w:val="en-US" w:eastAsia="zh-CN" w:bidi="ar-SA"/>
    </w:rPr>
  </w:style>
  <w:style w:type="table" w:default="1" w:styleId="33">
    <w:name w:val="Normal Table"/>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2">
    <w:name w:val="toa heading"/>
    <w:basedOn w:val="1"/>
    <w:next w:val="1"/>
    <w:qFormat/>
    <w:uiPriority w:val="0"/>
    <w:pPr>
      <w:spacing w:before="120"/>
    </w:pPr>
    <w:rPr>
      <w:rFonts w:ascii="Arial" w:hAnsi="Arial" w:eastAsia="仿宋" w:cs="Times New Roman"/>
      <w:sz w:val="24"/>
      <w:szCs w:val="20"/>
    </w:rPr>
  </w:style>
  <w:style w:type="paragraph" w:styleId="9">
    <w:name w:val="toc 7"/>
    <w:basedOn w:val="1"/>
    <w:next w:val="1"/>
    <w:qFormat/>
    <w:uiPriority w:val="39"/>
    <w:pPr>
      <w:spacing w:line="240" w:lineRule="auto"/>
      <w:ind w:left="2520" w:leftChars="1200"/>
    </w:pPr>
    <w:rPr>
      <w:rFonts w:ascii="Calibri" w:hAnsi="Calibri" w:eastAsia="宋体"/>
    </w:rPr>
  </w:style>
  <w:style w:type="paragraph" w:styleId="10">
    <w:name w:val="Normal Indent"/>
    <w:basedOn w:val="1"/>
    <w:link w:val="51"/>
    <w:qFormat/>
    <w:uiPriority w:val="0"/>
    <w:pPr>
      <w:ind w:firstLine="420"/>
    </w:pPr>
    <w:rPr>
      <w:rFonts w:eastAsia="宋体"/>
      <w:sz w:val="21"/>
      <w:lang w:val="en-US" w:eastAsia="zh-CN"/>
    </w:rPr>
  </w:style>
  <w:style w:type="paragraph" w:styleId="11">
    <w:name w:val="Document Map"/>
    <w:basedOn w:val="1"/>
    <w:link w:val="54"/>
    <w:unhideWhenUsed/>
    <w:qFormat/>
    <w:uiPriority w:val="0"/>
    <w:rPr>
      <w:rFonts w:ascii="宋体"/>
      <w:sz w:val="18"/>
      <w:szCs w:val="18"/>
    </w:rPr>
  </w:style>
  <w:style w:type="paragraph" w:styleId="12">
    <w:name w:val="annotation text"/>
    <w:basedOn w:val="1"/>
    <w:link w:val="55"/>
    <w:qFormat/>
    <w:uiPriority w:val="99"/>
    <w:pPr>
      <w:jc w:val="left"/>
    </w:pPr>
  </w:style>
  <w:style w:type="paragraph" w:styleId="13">
    <w:name w:val="Body Text"/>
    <w:basedOn w:val="1"/>
    <w:next w:val="1"/>
    <w:link w:val="46"/>
    <w:unhideWhenUsed/>
    <w:qFormat/>
    <w:uiPriority w:val="99"/>
    <w:pPr>
      <w:spacing w:after="120"/>
    </w:pPr>
  </w:style>
  <w:style w:type="paragraph" w:styleId="14">
    <w:name w:val="Body Text Indent"/>
    <w:basedOn w:val="1"/>
    <w:link w:val="56"/>
    <w:qFormat/>
    <w:uiPriority w:val="0"/>
    <w:pPr>
      <w:spacing w:after="120" w:afterLines="0" w:afterAutospacing="0"/>
      <w:ind w:left="420" w:leftChars="200"/>
    </w:pPr>
  </w:style>
  <w:style w:type="paragraph" w:styleId="15">
    <w:name w:val="toc 5"/>
    <w:basedOn w:val="1"/>
    <w:next w:val="1"/>
    <w:qFormat/>
    <w:uiPriority w:val="39"/>
    <w:pPr>
      <w:spacing w:line="240" w:lineRule="auto"/>
      <w:ind w:left="1680" w:leftChars="800"/>
    </w:pPr>
    <w:rPr>
      <w:rFonts w:ascii="Calibri" w:hAnsi="Calibri" w:eastAsia="宋体"/>
    </w:rPr>
  </w:style>
  <w:style w:type="paragraph" w:styleId="16">
    <w:name w:val="toc 3"/>
    <w:basedOn w:val="1"/>
    <w:next w:val="1"/>
    <w:qFormat/>
    <w:uiPriority w:val="39"/>
    <w:pPr>
      <w:ind w:left="840" w:leftChars="400"/>
    </w:pPr>
  </w:style>
  <w:style w:type="paragraph" w:styleId="17">
    <w:name w:val="Plain Text"/>
    <w:basedOn w:val="1"/>
    <w:link w:val="57"/>
    <w:qFormat/>
    <w:uiPriority w:val="0"/>
    <w:pPr>
      <w:spacing w:line="240" w:lineRule="auto"/>
    </w:pPr>
    <w:rPr>
      <w:rFonts w:ascii="宋体" w:hAnsi="Courier New"/>
    </w:rPr>
  </w:style>
  <w:style w:type="paragraph" w:styleId="18">
    <w:name w:val="toc 8"/>
    <w:basedOn w:val="1"/>
    <w:next w:val="1"/>
    <w:qFormat/>
    <w:uiPriority w:val="39"/>
    <w:pPr>
      <w:spacing w:line="240" w:lineRule="auto"/>
      <w:ind w:left="2940" w:leftChars="1400"/>
    </w:pPr>
    <w:rPr>
      <w:rFonts w:ascii="Calibri" w:hAnsi="Calibri" w:eastAsia="宋体"/>
    </w:rPr>
  </w:style>
  <w:style w:type="paragraph" w:styleId="19">
    <w:name w:val="Date"/>
    <w:basedOn w:val="1"/>
    <w:next w:val="1"/>
    <w:link w:val="58"/>
    <w:qFormat/>
    <w:uiPriority w:val="0"/>
    <w:pPr>
      <w:spacing w:line="240" w:lineRule="auto"/>
    </w:pPr>
    <w:rPr>
      <w:rFonts w:ascii="Times New Roman" w:hAnsi="Times New Roman"/>
      <w:sz w:val="24"/>
    </w:rPr>
  </w:style>
  <w:style w:type="paragraph" w:styleId="20">
    <w:name w:val="Body Text Indent 2"/>
    <w:basedOn w:val="1"/>
    <w:link w:val="59"/>
    <w:qFormat/>
    <w:uiPriority w:val="0"/>
    <w:pPr>
      <w:widowControl/>
      <w:spacing w:line="360" w:lineRule="auto"/>
      <w:ind w:left="525" w:leftChars="250" w:firstLine="420" w:firstLineChars="200"/>
      <w:jc w:val="left"/>
    </w:pPr>
    <w:rPr>
      <w:rFonts w:ascii="Arial" w:hAnsi="Arial"/>
      <w:kern w:val="28"/>
      <w:sz w:val="24"/>
      <w:lang w:eastAsia="en-US"/>
    </w:rPr>
  </w:style>
  <w:style w:type="paragraph" w:styleId="21">
    <w:name w:val="Balloon Text"/>
    <w:basedOn w:val="1"/>
    <w:link w:val="60"/>
    <w:qFormat/>
    <w:uiPriority w:val="0"/>
    <w:rPr>
      <w:sz w:val="18"/>
    </w:rPr>
  </w:style>
  <w:style w:type="paragraph" w:styleId="22">
    <w:name w:val="footer"/>
    <w:basedOn w:val="1"/>
    <w:link w:val="61"/>
    <w:qFormat/>
    <w:uiPriority w:val="0"/>
    <w:pPr>
      <w:tabs>
        <w:tab w:val="center" w:pos="4153"/>
        <w:tab w:val="right" w:pos="8306"/>
      </w:tabs>
      <w:snapToGrid w:val="0"/>
      <w:jc w:val="left"/>
    </w:pPr>
    <w:rPr>
      <w:sz w:val="18"/>
    </w:rPr>
  </w:style>
  <w:style w:type="paragraph" w:styleId="23">
    <w:name w:val="header"/>
    <w:basedOn w:val="1"/>
    <w:link w:val="62"/>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24">
    <w:name w:val="toc 1"/>
    <w:basedOn w:val="1"/>
    <w:next w:val="1"/>
    <w:qFormat/>
    <w:uiPriority w:val="39"/>
  </w:style>
  <w:style w:type="paragraph" w:styleId="25">
    <w:name w:val="toc 4"/>
    <w:basedOn w:val="1"/>
    <w:next w:val="1"/>
    <w:qFormat/>
    <w:uiPriority w:val="39"/>
    <w:pPr>
      <w:spacing w:line="240" w:lineRule="auto"/>
      <w:ind w:left="1260" w:leftChars="600"/>
    </w:pPr>
    <w:rPr>
      <w:rFonts w:ascii="Calibri" w:hAnsi="Calibri" w:eastAsia="宋体"/>
    </w:rPr>
  </w:style>
  <w:style w:type="paragraph" w:styleId="26">
    <w:name w:val="List"/>
    <w:basedOn w:val="1"/>
    <w:qFormat/>
    <w:uiPriority w:val="0"/>
    <w:pPr>
      <w:tabs>
        <w:tab w:val="left" w:pos="960"/>
      </w:tabs>
      <w:adjustRightInd w:val="0"/>
      <w:snapToGrid w:val="0"/>
      <w:spacing w:line="360" w:lineRule="auto"/>
      <w:ind w:left="960" w:hanging="420" w:firstLineChars="200"/>
    </w:pPr>
    <w:rPr>
      <w:bCs/>
      <w:kern w:val="0"/>
      <w:sz w:val="24"/>
    </w:rPr>
  </w:style>
  <w:style w:type="paragraph" w:styleId="27">
    <w:name w:val="toc 6"/>
    <w:basedOn w:val="1"/>
    <w:next w:val="1"/>
    <w:qFormat/>
    <w:uiPriority w:val="39"/>
    <w:pPr>
      <w:spacing w:line="240" w:lineRule="auto"/>
      <w:ind w:left="2100" w:leftChars="1000"/>
    </w:pPr>
    <w:rPr>
      <w:rFonts w:ascii="Calibri" w:hAnsi="Calibri" w:eastAsia="宋体"/>
    </w:rPr>
  </w:style>
  <w:style w:type="paragraph" w:styleId="28">
    <w:name w:val="Body Text Indent 3"/>
    <w:basedOn w:val="1"/>
    <w:link w:val="63"/>
    <w:unhideWhenUsed/>
    <w:qFormat/>
    <w:uiPriority w:val="99"/>
    <w:pPr>
      <w:spacing w:after="120"/>
      <w:ind w:left="420" w:leftChars="200"/>
    </w:pPr>
    <w:rPr>
      <w:sz w:val="16"/>
      <w:szCs w:val="16"/>
    </w:rPr>
  </w:style>
  <w:style w:type="paragraph" w:styleId="29">
    <w:name w:val="toc 2"/>
    <w:basedOn w:val="1"/>
    <w:next w:val="1"/>
    <w:qFormat/>
    <w:uiPriority w:val="39"/>
    <w:pPr>
      <w:ind w:left="420" w:leftChars="200"/>
    </w:pPr>
  </w:style>
  <w:style w:type="paragraph" w:styleId="30">
    <w:name w:val="toc 9"/>
    <w:basedOn w:val="1"/>
    <w:next w:val="1"/>
    <w:qFormat/>
    <w:uiPriority w:val="39"/>
    <w:pPr>
      <w:spacing w:line="240" w:lineRule="auto"/>
      <w:ind w:left="3360" w:leftChars="1600"/>
    </w:pPr>
    <w:rPr>
      <w:rFonts w:ascii="Calibri" w:hAnsi="Calibri" w:eastAsia="宋体"/>
    </w:rPr>
  </w:style>
  <w:style w:type="paragraph" w:styleId="31">
    <w:name w:val="Normal (Web)"/>
    <w:basedOn w:val="1"/>
    <w:unhideWhenUsed/>
    <w:qFormat/>
    <w:uiPriority w:val="99"/>
    <w:pPr>
      <w:pBdr>
        <w:top w:val="none" w:color="auto" w:sz="0" w:space="0"/>
        <w:left w:val="none" w:color="auto" w:sz="0" w:space="0"/>
        <w:bottom w:val="none" w:color="auto" w:sz="0" w:space="0"/>
        <w:right w:val="none" w:color="auto" w:sz="0" w:space="0"/>
      </w:pBdr>
      <w:spacing w:before="0" w:beforeAutospacing="0" w:after="0" w:afterAutospacing="0"/>
      <w:ind w:left="0" w:right="0"/>
      <w:jc w:val="left"/>
    </w:pPr>
    <w:rPr>
      <w:kern w:val="0"/>
      <w:sz w:val="24"/>
      <w:lang w:val="en-US" w:eastAsia="zh-CN" w:bidi="ar"/>
    </w:rPr>
  </w:style>
  <w:style w:type="paragraph" w:styleId="32">
    <w:name w:val="annotation subject"/>
    <w:basedOn w:val="12"/>
    <w:next w:val="12"/>
    <w:link w:val="64"/>
    <w:qFormat/>
    <w:uiPriority w:val="0"/>
    <w:rPr>
      <w:b/>
    </w:rPr>
  </w:style>
  <w:style w:type="table" w:styleId="34">
    <w:name w:val="Table Grid"/>
    <w:basedOn w:val="33"/>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6">
    <w:name w:val="Strong"/>
    <w:qFormat/>
    <w:uiPriority w:val="22"/>
    <w:rPr>
      <w:rFonts w:ascii="宋体" w:hAnsi="宋体" w:eastAsia="宋体"/>
      <w:b/>
      <w:sz w:val="21"/>
      <w:szCs w:val="21"/>
      <w:lang w:val="en-US" w:eastAsia="zh-CN" w:bidi="ar-SA"/>
    </w:rPr>
  </w:style>
  <w:style w:type="character" w:styleId="37">
    <w:name w:val="page number"/>
    <w:qFormat/>
    <w:uiPriority w:val="0"/>
    <w:rPr>
      <w:lang w:val="en-US" w:eastAsia="zh-CN" w:bidi="ar-SA"/>
    </w:rPr>
  </w:style>
  <w:style w:type="character" w:styleId="38">
    <w:name w:val="FollowedHyperlink"/>
    <w:unhideWhenUsed/>
    <w:qFormat/>
    <w:uiPriority w:val="99"/>
    <w:rPr>
      <w:rFonts w:ascii="宋体" w:hAnsi="宋体" w:eastAsia="宋体"/>
      <w:color w:val="333333"/>
      <w:sz w:val="21"/>
      <w:szCs w:val="21"/>
      <w:u w:val="none"/>
      <w:lang w:val="en-US" w:eastAsia="zh-CN" w:bidi="ar-SA"/>
    </w:rPr>
  </w:style>
  <w:style w:type="character" w:styleId="39">
    <w:name w:val="Emphasis"/>
    <w:qFormat/>
    <w:uiPriority w:val="20"/>
    <w:rPr>
      <w:rFonts w:ascii="宋体" w:hAnsi="宋体" w:eastAsia="宋体"/>
      <w:sz w:val="21"/>
      <w:szCs w:val="21"/>
      <w:shd w:val="clear" w:color="auto" w:fill="5BC0DE"/>
      <w:lang w:val="en-US" w:eastAsia="zh-CN" w:bidi="ar-SA"/>
    </w:rPr>
  </w:style>
  <w:style w:type="character" w:styleId="40">
    <w:name w:val="HTML Definition"/>
    <w:unhideWhenUsed/>
    <w:qFormat/>
    <w:uiPriority w:val="99"/>
    <w:rPr>
      <w:rFonts w:ascii="宋体" w:hAnsi="宋体" w:eastAsia="宋体"/>
      <w:i/>
      <w:sz w:val="21"/>
      <w:szCs w:val="21"/>
      <w:lang w:val="en-US" w:eastAsia="zh-CN" w:bidi="ar-SA"/>
    </w:rPr>
  </w:style>
  <w:style w:type="character" w:styleId="41">
    <w:name w:val="Hyperlink"/>
    <w:qFormat/>
    <w:uiPriority w:val="99"/>
    <w:rPr>
      <w:color w:val="0563C1"/>
      <w:u w:val="single"/>
    </w:rPr>
  </w:style>
  <w:style w:type="character" w:styleId="42">
    <w:name w:val="HTML Code"/>
    <w:unhideWhenUsed/>
    <w:qFormat/>
    <w:uiPriority w:val="99"/>
    <w:rPr>
      <w:rFonts w:ascii="Monaco" w:hAnsi="Monaco" w:eastAsia="Monaco" w:cs="Monaco"/>
      <w:color w:val="C7254E"/>
      <w:sz w:val="21"/>
      <w:szCs w:val="21"/>
      <w:shd w:val="clear" w:color="auto" w:fill="F9F2F4"/>
      <w:lang w:val="en-US" w:eastAsia="zh-CN" w:bidi="ar-SA"/>
    </w:rPr>
  </w:style>
  <w:style w:type="character" w:styleId="43">
    <w:name w:val="annotation reference"/>
    <w:qFormat/>
    <w:uiPriority w:val="0"/>
    <w:rPr>
      <w:sz w:val="21"/>
    </w:rPr>
  </w:style>
  <w:style w:type="character" w:styleId="44">
    <w:name w:val="HTML Keyboard"/>
    <w:unhideWhenUsed/>
    <w:qFormat/>
    <w:uiPriority w:val="99"/>
    <w:rPr>
      <w:rFonts w:hint="default" w:ascii="Monaco" w:hAnsi="Monaco" w:eastAsia="Monaco" w:cs="Monaco"/>
      <w:color w:val="FFFFFF"/>
      <w:sz w:val="21"/>
      <w:szCs w:val="21"/>
      <w:shd w:val="clear" w:color="auto" w:fill="333333"/>
      <w:lang w:val="en-US" w:eastAsia="zh-CN" w:bidi="ar-SA"/>
    </w:rPr>
  </w:style>
  <w:style w:type="character" w:styleId="45">
    <w:name w:val="HTML Sample"/>
    <w:unhideWhenUsed/>
    <w:qFormat/>
    <w:uiPriority w:val="99"/>
    <w:rPr>
      <w:rFonts w:hint="default" w:ascii="Monaco" w:hAnsi="Monaco" w:eastAsia="Monaco" w:cs="Monaco"/>
      <w:sz w:val="21"/>
      <w:szCs w:val="21"/>
      <w:lang w:val="en-US" w:eastAsia="zh-CN" w:bidi="ar-SA"/>
    </w:rPr>
  </w:style>
  <w:style w:type="character" w:customStyle="1" w:styleId="46">
    <w:name w:val="正文文本 字符"/>
    <w:link w:val="13"/>
    <w:semiHidden/>
    <w:qFormat/>
    <w:uiPriority w:val="99"/>
    <w:rPr>
      <w:kern w:val="2"/>
      <w:sz w:val="21"/>
    </w:rPr>
  </w:style>
  <w:style w:type="character" w:customStyle="1" w:styleId="47">
    <w:name w:val="标题 1 字符"/>
    <w:link w:val="3"/>
    <w:qFormat/>
    <w:uiPriority w:val="0"/>
    <w:rPr>
      <w:rFonts w:eastAsia="仿宋"/>
      <w:b/>
      <w:kern w:val="44"/>
      <w:sz w:val="28"/>
    </w:rPr>
  </w:style>
  <w:style w:type="character" w:customStyle="1" w:styleId="48">
    <w:name w:val="标题 2 字符"/>
    <w:link w:val="4"/>
    <w:qFormat/>
    <w:uiPriority w:val="9"/>
    <w:rPr>
      <w:rFonts w:ascii="宋体" w:hAnsi="Arial" w:eastAsia="仿宋"/>
      <w:b/>
      <w:kern w:val="2"/>
      <w:sz w:val="24"/>
    </w:rPr>
  </w:style>
  <w:style w:type="paragraph" w:customStyle="1" w:styleId="49">
    <w:name w:val="标题 60"/>
    <w:basedOn w:val="8"/>
    <w:qFormat/>
    <w:uiPriority w:val="0"/>
    <w:pPr>
      <w:spacing w:line="319" w:lineRule="auto"/>
      <w:ind w:firstLine="200" w:firstLineChars="200"/>
    </w:pPr>
    <w:rPr>
      <w:b w:val="0"/>
      <w:bCs w:val="0"/>
    </w:rPr>
  </w:style>
  <w:style w:type="character" w:customStyle="1" w:styleId="50">
    <w:name w:val="标题 3 字符"/>
    <w:link w:val="5"/>
    <w:qFormat/>
    <w:uiPriority w:val="9"/>
    <w:rPr>
      <w:rFonts w:ascii="宋体" w:hAnsi="宋体" w:eastAsia="仿宋"/>
      <w:b/>
      <w:sz w:val="24"/>
      <w:szCs w:val="36"/>
    </w:rPr>
  </w:style>
  <w:style w:type="character" w:customStyle="1" w:styleId="51">
    <w:name w:val="正文缩进 字符"/>
    <w:link w:val="10"/>
    <w:qFormat/>
    <w:uiPriority w:val="0"/>
    <w:rPr>
      <w:kern w:val="2"/>
      <w:sz w:val="21"/>
    </w:rPr>
  </w:style>
  <w:style w:type="character" w:customStyle="1" w:styleId="52">
    <w:name w:val="标题 4 字符"/>
    <w:link w:val="6"/>
    <w:qFormat/>
    <w:uiPriority w:val="0"/>
    <w:rPr>
      <w:rFonts w:ascii="Cambria" w:hAnsi="Cambria" w:eastAsia="仿宋"/>
      <w:b/>
      <w:bCs/>
      <w:kern w:val="2"/>
      <w:sz w:val="24"/>
      <w:szCs w:val="28"/>
    </w:rPr>
  </w:style>
  <w:style w:type="character" w:customStyle="1" w:styleId="53">
    <w:name w:val="标题 5 字符"/>
    <w:link w:val="7"/>
    <w:semiHidden/>
    <w:qFormat/>
    <w:uiPriority w:val="9"/>
    <w:rPr>
      <w:b/>
      <w:bCs/>
      <w:kern w:val="2"/>
      <w:sz w:val="28"/>
      <w:szCs w:val="28"/>
    </w:rPr>
  </w:style>
  <w:style w:type="character" w:customStyle="1" w:styleId="54">
    <w:name w:val="文档结构图 字符"/>
    <w:link w:val="11"/>
    <w:semiHidden/>
    <w:qFormat/>
    <w:uiPriority w:val="0"/>
    <w:rPr>
      <w:rFonts w:ascii="宋体"/>
      <w:kern w:val="2"/>
      <w:sz w:val="18"/>
      <w:szCs w:val="18"/>
    </w:rPr>
  </w:style>
  <w:style w:type="character" w:customStyle="1" w:styleId="55">
    <w:name w:val="批注文字 字符1"/>
    <w:link w:val="12"/>
    <w:qFormat/>
    <w:uiPriority w:val="99"/>
    <w:rPr>
      <w:kern w:val="2"/>
      <w:sz w:val="21"/>
    </w:rPr>
  </w:style>
  <w:style w:type="character" w:customStyle="1" w:styleId="56">
    <w:name w:val="正文文本缩进 字符"/>
    <w:link w:val="14"/>
    <w:qFormat/>
    <w:uiPriority w:val="0"/>
    <w:rPr>
      <w:kern w:val="2"/>
      <w:sz w:val="21"/>
    </w:rPr>
  </w:style>
  <w:style w:type="character" w:customStyle="1" w:styleId="57">
    <w:name w:val="纯文本 字符"/>
    <w:link w:val="17"/>
    <w:qFormat/>
    <w:uiPriority w:val="0"/>
    <w:rPr>
      <w:rFonts w:ascii="宋体" w:hAnsi="Courier New"/>
      <w:kern w:val="2"/>
      <w:sz w:val="21"/>
    </w:rPr>
  </w:style>
  <w:style w:type="character" w:customStyle="1" w:styleId="58">
    <w:name w:val="日期 字符"/>
    <w:link w:val="19"/>
    <w:qFormat/>
    <w:uiPriority w:val="0"/>
    <w:rPr>
      <w:rFonts w:ascii="Times New Roman" w:hAnsi="Times New Roman" w:eastAsia="宋体"/>
      <w:kern w:val="2"/>
      <w:sz w:val="24"/>
      <w:szCs w:val="21"/>
      <w:lang w:val="en-US" w:eastAsia="zh-CN" w:bidi="ar-SA"/>
    </w:rPr>
  </w:style>
  <w:style w:type="character" w:customStyle="1" w:styleId="59">
    <w:name w:val="正文文本缩进 2 字符"/>
    <w:link w:val="20"/>
    <w:qFormat/>
    <w:uiPriority w:val="0"/>
    <w:rPr>
      <w:rFonts w:ascii="Arial" w:hAnsi="Arial"/>
      <w:kern w:val="28"/>
      <w:sz w:val="24"/>
      <w:lang w:eastAsia="en-US"/>
    </w:rPr>
  </w:style>
  <w:style w:type="character" w:customStyle="1" w:styleId="60">
    <w:name w:val="批注框文本 字符"/>
    <w:link w:val="21"/>
    <w:qFormat/>
    <w:uiPriority w:val="0"/>
    <w:rPr>
      <w:kern w:val="2"/>
      <w:sz w:val="18"/>
    </w:rPr>
  </w:style>
  <w:style w:type="character" w:customStyle="1" w:styleId="61">
    <w:name w:val="页脚 字符"/>
    <w:link w:val="22"/>
    <w:qFormat/>
    <w:uiPriority w:val="99"/>
    <w:rPr>
      <w:rFonts w:eastAsia="宋体"/>
      <w:kern w:val="2"/>
      <w:sz w:val="18"/>
      <w:lang w:val="en-US" w:eastAsia="zh-CN"/>
    </w:rPr>
  </w:style>
  <w:style w:type="character" w:customStyle="1" w:styleId="62">
    <w:name w:val="页眉 字符"/>
    <w:link w:val="23"/>
    <w:qFormat/>
    <w:uiPriority w:val="0"/>
    <w:rPr>
      <w:rFonts w:eastAsia="宋体"/>
      <w:kern w:val="2"/>
      <w:sz w:val="18"/>
      <w:lang w:val="en-US" w:eastAsia="zh-CN"/>
    </w:rPr>
  </w:style>
  <w:style w:type="character" w:customStyle="1" w:styleId="63">
    <w:name w:val="正文文本缩进 3 字符"/>
    <w:link w:val="28"/>
    <w:semiHidden/>
    <w:qFormat/>
    <w:uiPriority w:val="99"/>
    <w:rPr>
      <w:rFonts w:ascii="宋体" w:hAnsi="宋体" w:eastAsia="宋体"/>
      <w:kern w:val="2"/>
      <w:sz w:val="16"/>
      <w:szCs w:val="16"/>
      <w:lang w:val="en-US" w:eastAsia="zh-CN" w:bidi="ar-SA"/>
    </w:rPr>
  </w:style>
  <w:style w:type="character" w:customStyle="1" w:styleId="64">
    <w:name w:val="批注主题 字符"/>
    <w:link w:val="32"/>
    <w:qFormat/>
    <w:uiPriority w:val="0"/>
    <w:rPr>
      <w:b/>
      <w:kern w:val="2"/>
      <w:sz w:val="21"/>
    </w:rPr>
  </w:style>
  <w:style w:type="character" w:customStyle="1" w:styleId="65">
    <w:name w:val="next"/>
    <w:qFormat/>
    <w:uiPriority w:val="0"/>
    <w:rPr>
      <w:rFonts w:ascii="宋体" w:hAnsi="宋体" w:eastAsia="宋体"/>
      <w:color w:val="888888"/>
      <w:sz w:val="21"/>
      <w:szCs w:val="21"/>
      <w:lang w:val="en-US" w:eastAsia="zh-CN" w:bidi="ar-SA"/>
    </w:rPr>
  </w:style>
  <w:style w:type="character" w:customStyle="1" w:styleId="66">
    <w:name w:val="bd-open"/>
    <w:qFormat/>
    <w:uiPriority w:val="0"/>
    <w:rPr>
      <w:lang w:val="en-US" w:eastAsia="zh-CN" w:bidi="ar-SA"/>
    </w:rPr>
  </w:style>
  <w:style w:type="character" w:customStyle="1" w:styleId="67">
    <w:name w:val="样式1 字符"/>
    <w:link w:val="68"/>
    <w:qFormat/>
    <w:uiPriority w:val="0"/>
    <w:rPr>
      <w:rFonts w:ascii="宋体" w:hAnsi="宋体" w:eastAsia="宋体"/>
      <w:b/>
      <w:kern w:val="2"/>
      <w:sz w:val="21"/>
      <w:szCs w:val="21"/>
      <w:lang w:val="en-US" w:eastAsia="zh-CN" w:bidi="ar-SA"/>
    </w:rPr>
  </w:style>
  <w:style w:type="paragraph" w:customStyle="1" w:styleId="68">
    <w:name w:val="样式1"/>
    <w:basedOn w:val="1"/>
    <w:link w:val="67"/>
    <w:qFormat/>
    <w:uiPriority w:val="0"/>
    <w:pPr>
      <w:spacing w:before="19" w:beforeLines="19" w:after="19" w:afterLines="19" w:line="360" w:lineRule="auto"/>
      <w:ind w:firstLine="200" w:firstLineChars="200"/>
      <w:textAlignment w:val="baseline"/>
      <w:outlineLvl w:val="2"/>
    </w:pPr>
    <w:rPr>
      <w:b/>
    </w:rPr>
  </w:style>
  <w:style w:type="character" w:customStyle="1" w:styleId="69">
    <w:name w:val="15"/>
    <w:qFormat/>
    <w:uiPriority w:val="0"/>
    <w:rPr>
      <w:rFonts w:hint="default" w:ascii="Times New Roman" w:hAnsi="Times New Roman"/>
      <w:b/>
      <w:sz w:val="20"/>
    </w:rPr>
  </w:style>
  <w:style w:type="character" w:customStyle="1" w:styleId="70">
    <w:name w:val="文档结构图 Char"/>
    <w:qFormat/>
    <w:uiPriority w:val="0"/>
    <w:rPr>
      <w:rFonts w:ascii="宋体"/>
      <w:kern w:val="2"/>
      <w:sz w:val="18"/>
      <w:szCs w:val="18"/>
    </w:rPr>
  </w:style>
  <w:style w:type="character" w:customStyle="1" w:styleId="71">
    <w:name w:val="hover34"/>
    <w:qFormat/>
    <w:uiPriority w:val="0"/>
    <w:rPr>
      <w:rFonts w:ascii="宋体" w:hAnsi="宋体" w:eastAsia="宋体"/>
      <w:sz w:val="21"/>
      <w:szCs w:val="21"/>
      <w:shd w:val="clear" w:color="auto" w:fill="F3F3F3"/>
      <w:lang w:val="en-US" w:eastAsia="zh-CN" w:bidi="ar-SA"/>
    </w:rPr>
  </w:style>
  <w:style w:type="character" w:customStyle="1" w:styleId="72">
    <w:name w:val="tmpztreemove_arrow"/>
    <w:qFormat/>
    <w:uiPriority w:val="0"/>
    <w:rPr>
      <w:rFonts w:ascii="宋体" w:hAnsi="宋体" w:eastAsia="宋体"/>
      <w:sz w:val="21"/>
      <w:szCs w:val="21"/>
      <w:lang w:val="en-US" w:eastAsia="zh-CN" w:bidi="ar-SA"/>
    </w:rPr>
  </w:style>
  <w:style w:type="character" w:customStyle="1" w:styleId="73">
    <w:name w:val="_Style 71"/>
    <w:qFormat/>
    <w:uiPriority w:val="21"/>
    <w:rPr>
      <w:rFonts w:ascii="宋体" w:hAnsi="宋体" w:eastAsia="宋体"/>
      <w:b/>
      <w:bCs/>
      <w:i/>
      <w:iCs/>
      <w:color w:val="4F81BD"/>
      <w:sz w:val="21"/>
      <w:szCs w:val="21"/>
      <w:lang w:val="en-US" w:eastAsia="zh-CN" w:bidi="ar-SA"/>
    </w:rPr>
  </w:style>
  <w:style w:type="character" w:customStyle="1" w:styleId="74">
    <w:name w:val="标题 4 Char"/>
    <w:semiHidden/>
    <w:qFormat/>
    <w:uiPriority w:val="0"/>
    <w:rPr>
      <w:rFonts w:ascii="Calibri Light" w:hAnsi="Calibri Light" w:eastAsia="宋体" w:cs="Times New Roman"/>
      <w:b/>
      <w:bCs/>
      <w:kern w:val="2"/>
      <w:sz w:val="28"/>
      <w:szCs w:val="28"/>
    </w:rPr>
  </w:style>
  <w:style w:type="character" w:customStyle="1" w:styleId="75">
    <w:name w:val="right"/>
    <w:qFormat/>
    <w:uiPriority w:val="0"/>
    <w:rPr>
      <w:lang w:val="en-US" w:eastAsia="zh-CN" w:bidi="ar-SA"/>
    </w:rPr>
  </w:style>
  <w:style w:type="character" w:customStyle="1" w:styleId="76">
    <w:name w:val="font31"/>
    <w:qFormat/>
    <w:uiPriority w:val="0"/>
    <w:rPr>
      <w:rFonts w:hint="eastAsia" w:ascii="仿宋" w:hAnsi="仿宋" w:eastAsia="仿宋" w:cs="仿宋"/>
      <w:color w:val="000000"/>
      <w:sz w:val="20"/>
      <w:szCs w:val="20"/>
      <w:u w:val="none"/>
      <w:lang w:val="en-US" w:eastAsia="zh-CN" w:bidi="ar-SA"/>
    </w:rPr>
  </w:style>
  <w:style w:type="character" w:customStyle="1" w:styleId="77">
    <w:name w:val="Plain Text Char1"/>
    <w:link w:val="78"/>
    <w:qFormat/>
    <w:uiPriority w:val="0"/>
    <w:rPr>
      <w:rFonts w:ascii="宋体" w:hAnsi="Courier New" w:cs="宋体"/>
      <w:szCs w:val="21"/>
    </w:rPr>
  </w:style>
  <w:style w:type="paragraph" w:customStyle="1" w:styleId="78">
    <w:name w:val="纯文本1"/>
    <w:basedOn w:val="1"/>
    <w:link w:val="77"/>
    <w:qFormat/>
    <w:uiPriority w:val="0"/>
    <w:pPr>
      <w:spacing w:line="240" w:lineRule="auto"/>
    </w:pPr>
    <w:rPr>
      <w:rFonts w:ascii="宋体" w:hAnsi="Courier New"/>
      <w:kern w:val="0"/>
      <w:sz w:val="20"/>
      <w:szCs w:val="21"/>
    </w:rPr>
  </w:style>
  <w:style w:type="character" w:customStyle="1" w:styleId="79">
    <w:name w:val="bd-close"/>
    <w:qFormat/>
    <w:uiPriority w:val="0"/>
    <w:rPr>
      <w:rFonts w:ascii="宋体" w:hAnsi="宋体" w:eastAsia="宋体"/>
      <w:vanish/>
      <w:sz w:val="21"/>
      <w:szCs w:val="21"/>
      <w:lang w:val="en-US" w:eastAsia="zh-CN" w:bidi="ar-SA"/>
    </w:rPr>
  </w:style>
  <w:style w:type="character" w:customStyle="1" w:styleId="80">
    <w:name w:val="ISMS-封面-内容"/>
    <w:qFormat/>
    <w:uiPriority w:val="0"/>
    <w:rPr>
      <w:rFonts w:ascii="宋体" w:hAnsi="宋体"/>
      <w:sz w:val="21"/>
    </w:rPr>
  </w:style>
  <w:style w:type="character" w:customStyle="1" w:styleId="81">
    <w:name w:val="批注框文本 Char"/>
    <w:qFormat/>
    <w:uiPriority w:val="0"/>
    <w:rPr>
      <w:kern w:val="2"/>
      <w:sz w:val="18"/>
      <w:szCs w:val="18"/>
    </w:rPr>
  </w:style>
  <w:style w:type="character" w:customStyle="1" w:styleId="82">
    <w:name w:val="hover35"/>
    <w:qFormat/>
    <w:uiPriority w:val="0"/>
    <w:rPr>
      <w:rFonts w:ascii="宋体" w:hAnsi="宋体" w:eastAsia="宋体"/>
      <w:sz w:val="21"/>
      <w:szCs w:val="21"/>
      <w:shd w:val="clear" w:color="auto" w:fill="F3F3F3"/>
      <w:lang w:val="en-US" w:eastAsia="zh-CN" w:bidi="ar-SA"/>
    </w:rPr>
  </w:style>
  <w:style w:type="character" w:customStyle="1" w:styleId="83">
    <w:name w:val="button"/>
    <w:qFormat/>
    <w:uiPriority w:val="0"/>
    <w:rPr>
      <w:rFonts w:ascii="宋体" w:hAnsi="宋体" w:eastAsia="宋体"/>
      <w:sz w:val="21"/>
      <w:szCs w:val="21"/>
      <w:lang w:val="en-US" w:eastAsia="zh-CN" w:bidi="ar-SA"/>
    </w:rPr>
  </w:style>
  <w:style w:type="character" w:customStyle="1" w:styleId="84">
    <w:name w:val="gpa"/>
    <w:qFormat/>
    <w:uiPriority w:val="0"/>
    <w:rPr>
      <w:rFonts w:ascii="Arial" w:hAnsi="Arial" w:eastAsia="宋体" w:cs="Arial"/>
      <w:sz w:val="15"/>
      <w:szCs w:val="15"/>
      <w:lang w:val="en-US" w:eastAsia="zh-CN" w:bidi="ar-SA"/>
    </w:rPr>
  </w:style>
  <w:style w:type="character" w:customStyle="1" w:styleId="85">
    <w:name w:val="标题 2 Char"/>
    <w:qFormat/>
    <w:uiPriority w:val="0"/>
    <w:rPr>
      <w:rFonts w:ascii="Arial" w:hAnsi="Arial" w:eastAsia="黑体"/>
      <w:b/>
      <w:bCs/>
      <w:sz w:val="32"/>
      <w:szCs w:val="32"/>
    </w:rPr>
  </w:style>
  <w:style w:type="character" w:customStyle="1" w:styleId="86">
    <w:name w:val="列出段落 Char"/>
    <w:link w:val="87"/>
    <w:qFormat/>
    <w:uiPriority w:val="34"/>
    <w:rPr>
      <w:rFonts w:ascii="Times New Roman" w:hAnsi="Times New Roman" w:eastAsia="宋体" w:cs="Times New Roman"/>
      <w:szCs w:val="24"/>
    </w:rPr>
  </w:style>
  <w:style w:type="paragraph" w:customStyle="1" w:styleId="87">
    <w:name w:val="_Style 128"/>
    <w:basedOn w:val="1"/>
    <w:next w:val="88"/>
    <w:link w:val="86"/>
    <w:qFormat/>
    <w:uiPriority w:val="34"/>
    <w:pPr>
      <w:widowControl/>
      <w:spacing w:line="240" w:lineRule="auto"/>
      <w:ind w:firstLine="420"/>
    </w:pPr>
    <w:rPr>
      <w:kern w:val="0"/>
      <w:sz w:val="20"/>
      <w:szCs w:val="24"/>
    </w:rPr>
  </w:style>
  <w:style w:type="paragraph" w:styleId="88">
    <w:name w:val="List Paragraph"/>
    <w:basedOn w:val="1"/>
    <w:link w:val="89"/>
    <w:qFormat/>
    <w:uiPriority w:val="34"/>
    <w:pPr>
      <w:spacing w:line="240" w:lineRule="auto"/>
      <w:ind w:firstLine="420" w:firstLineChars="200"/>
    </w:pPr>
    <w:rPr>
      <w:szCs w:val="24"/>
    </w:rPr>
  </w:style>
  <w:style w:type="character" w:customStyle="1" w:styleId="89">
    <w:name w:val="列表段落 字符"/>
    <w:link w:val="88"/>
    <w:qFormat/>
    <w:uiPriority w:val="34"/>
    <w:rPr>
      <w:kern w:val="2"/>
      <w:sz w:val="21"/>
      <w:szCs w:val="24"/>
    </w:rPr>
  </w:style>
  <w:style w:type="character" w:customStyle="1" w:styleId="90">
    <w:name w:val="批注主题 Char"/>
    <w:qFormat/>
    <w:uiPriority w:val="0"/>
    <w:rPr>
      <w:b/>
      <w:bCs/>
      <w:kern w:val="2"/>
      <w:sz w:val="21"/>
      <w:szCs w:val="24"/>
    </w:rPr>
  </w:style>
  <w:style w:type="character" w:customStyle="1" w:styleId="91">
    <w:name w:val="标题3 Char"/>
    <w:link w:val="92"/>
    <w:qFormat/>
    <w:uiPriority w:val="0"/>
    <w:rPr>
      <w:rFonts w:ascii="黑体" w:hAnsi="Arial" w:eastAsia="黑体"/>
      <w:b/>
      <w:kern w:val="2"/>
      <w:sz w:val="24"/>
    </w:rPr>
  </w:style>
  <w:style w:type="paragraph" w:customStyle="1" w:styleId="92">
    <w:name w:val="标题3"/>
    <w:basedOn w:val="4"/>
    <w:next w:val="10"/>
    <w:link w:val="91"/>
    <w:qFormat/>
    <w:uiPriority w:val="0"/>
    <w:pPr>
      <w:spacing w:before="156" w:beforeLines="50" w:beforeAutospacing="0" w:after="156" w:afterLines="50" w:afterAutospacing="0" w:line="440" w:lineRule="exact"/>
      <w:jc w:val="left"/>
      <w:outlineLvl w:val="2"/>
    </w:pPr>
    <w:rPr>
      <w:rFonts w:ascii="黑体" w:eastAsia="黑体"/>
      <w:b w:val="0"/>
      <w:sz w:val="24"/>
    </w:rPr>
  </w:style>
  <w:style w:type="character" w:customStyle="1" w:styleId="93">
    <w:name w:val="left2"/>
    <w:qFormat/>
    <w:uiPriority w:val="0"/>
    <w:rPr>
      <w:rFonts w:ascii="宋体" w:hAnsi="宋体" w:eastAsia="宋体"/>
      <w:color w:val="FF4700"/>
      <w:sz w:val="21"/>
      <w:szCs w:val="21"/>
      <w:lang w:val="en-US" w:eastAsia="zh-CN" w:bidi="ar-SA"/>
    </w:rPr>
  </w:style>
  <w:style w:type="character" w:customStyle="1" w:styleId="94">
    <w:name w:val="prev2"/>
    <w:qFormat/>
    <w:uiPriority w:val="0"/>
    <w:rPr>
      <w:rFonts w:ascii="宋体" w:hAnsi="宋体" w:eastAsia="宋体"/>
      <w:color w:val="888888"/>
      <w:sz w:val="21"/>
      <w:szCs w:val="21"/>
      <w:lang w:val="en-US" w:eastAsia="zh-CN" w:bidi="ar-SA"/>
    </w:rPr>
  </w:style>
  <w:style w:type="character" w:customStyle="1" w:styleId="95">
    <w:name w:val="批注文字 Char"/>
    <w:qFormat/>
    <w:uiPriority w:val="99"/>
    <w:rPr>
      <w:kern w:val="2"/>
      <w:sz w:val="21"/>
    </w:rPr>
  </w:style>
  <w:style w:type="character" w:customStyle="1" w:styleId="96">
    <w:name w:val="ISMS-封面-标题 Char"/>
    <w:link w:val="97"/>
    <w:qFormat/>
    <w:uiPriority w:val="0"/>
    <w:rPr>
      <w:b/>
      <w:bCs/>
      <w:kern w:val="2"/>
      <w:sz w:val="52"/>
      <w:szCs w:val="52"/>
    </w:rPr>
  </w:style>
  <w:style w:type="paragraph" w:customStyle="1" w:styleId="97">
    <w:name w:val="ISMS-封面-标题"/>
    <w:basedOn w:val="1"/>
    <w:link w:val="96"/>
    <w:qFormat/>
    <w:uiPriority w:val="0"/>
    <w:pPr>
      <w:spacing w:line="240" w:lineRule="auto"/>
      <w:jc w:val="center"/>
    </w:pPr>
    <w:rPr>
      <w:b/>
      <w:bCs/>
      <w:sz w:val="52"/>
      <w:szCs w:val="52"/>
    </w:rPr>
  </w:style>
  <w:style w:type="character" w:customStyle="1" w:styleId="98">
    <w:name w:val="layui-layer-tabnow"/>
    <w:qFormat/>
    <w:uiPriority w:val="0"/>
    <w:rPr>
      <w:rFonts w:ascii="宋体" w:hAnsi="宋体" w:eastAsia="宋体"/>
      <w:sz w:val="21"/>
      <w:szCs w:val="21"/>
      <w:bdr w:val="single" w:color="CCCCCC" w:sz="6" w:space="0"/>
      <w:shd w:val="clear" w:color="auto" w:fill="FFFFFF"/>
      <w:lang w:val="en-US" w:eastAsia="zh-CN" w:bidi="ar-SA"/>
    </w:rPr>
  </w:style>
  <w:style w:type="character" w:customStyle="1" w:styleId="99">
    <w:name w:val="inf"/>
    <w:qFormat/>
    <w:uiPriority w:val="0"/>
    <w:rPr>
      <w:rFonts w:ascii="宋体" w:hAnsi="宋体" w:eastAsia="宋体"/>
      <w:color w:val="333333"/>
      <w:sz w:val="18"/>
      <w:szCs w:val="18"/>
      <w:shd w:val="clear" w:color="auto" w:fill="EEEEEE"/>
      <w:lang w:val="en-US" w:eastAsia="zh-CN" w:bidi="ar-SA"/>
    </w:rPr>
  </w:style>
  <w:style w:type="character" w:customStyle="1" w:styleId="100">
    <w:name w:val="first-child"/>
    <w:qFormat/>
    <w:uiPriority w:val="0"/>
    <w:rPr>
      <w:rFonts w:ascii="宋体" w:hAnsi="宋体" w:eastAsia="宋体"/>
      <w:sz w:val="21"/>
      <w:szCs w:val="21"/>
      <w:lang w:val="en-US" w:eastAsia="zh-CN" w:bidi="ar-SA"/>
    </w:rPr>
  </w:style>
  <w:style w:type="character" w:customStyle="1" w:styleId="101">
    <w:name w:val="left"/>
    <w:qFormat/>
    <w:uiPriority w:val="0"/>
    <w:rPr>
      <w:rFonts w:ascii="宋体" w:hAnsi="宋体" w:eastAsia="宋体"/>
      <w:color w:val="FF4700"/>
      <w:sz w:val="21"/>
      <w:szCs w:val="21"/>
      <w:lang w:val="en-US" w:eastAsia="zh-CN" w:bidi="ar-SA"/>
    </w:rPr>
  </w:style>
  <w:style w:type="character" w:customStyle="1" w:styleId="102">
    <w:name w:val="font11"/>
    <w:qFormat/>
    <w:uiPriority w:val="0"/>
    <w:rPr>
      <w:rFonts w:hint="eastAsia" w:ascii="仿宋" w:hAnsi="仿宋" w:eastAsia="仿宋" w:cs="仿宋"/>
      <w:color w:val="FF0000"/>
      <w:sz w:val="20"/>
      <w:szCs w:val="20"/>
      <w:u w:val="none"/>
      <w:lang w:val="en-US" w:eastAsia="zh-CN" w:bidi="ar-SA"/>
    </w:rPr>
  </w:style>
  <w:style w:type="character" w:customStyle="1" w:styleId="103">
    <w:name w:val="列出段落 Char1"/>
    <w:link w:val="104"/>
    <w:qFormat/>
    <w:uiPriority w:val="34"/>
    <w:rPr>
      <w:kern w:val="2"/>
      <w:sz w:val="21"/>
      <w:szCs w:val="24"/>
    </w:rPr>
  </w:style>
  <w:style w:type="paragraph" w:customStyle="1" w:styleId="104">
    <w:name w:val="_Style 126"/>
    <w:basedOn w:val="1"/>
    <w:next w:val="88"/>
    <w:link w:val="103"/>
    <w:qFormat/>
    <w:uiPriority w:val="34"/>
    <w:pPr>
      <w:spacing w:line="240" w:lineRule="auto"/>
      <w:ind w:firstLine="420" w:firstLineChars="200"/>
    </w:pPr>
    <w:rPr>
      <w:szCs w:val="24"/>
    </w:rPr>
  </w:style>
  <w:style w:type="character" w:customStyle="1" w:styleId="105">
    <w:name w:val="正文文本 2 Char1"/>
    <w:qFormat/>
    <w:uiPriority w:val="99"/>
    <w:rPr>
      <w:rFonts w:ascii="Times New Roman" w:hAnsi="Times New Roman" w:eastAsia="宋体" w:cs="Times New Roman"/>
      <w:sz w:val="21"/>
      <w:szCs w:val="24"/>
      <w:lang w:val="en-US" w:eastAsia="zh-CN" w:bidi="ar-SA"/>
    </w:rPr>
  </w:style>
  <w:style w:type="character" w:customStyle="1" w:styleId="106">
    <w:name w:val="selected"/>
    <w:qFormat/>
    <w:uiPriority w:val="0"/>
    <w:rPr>
      <w:rFonts w:ascii="宋体" w:hAnsi="宋体" w:eastAsia="宋体"/>
      <w:sz w:val="21"/>
      <w:szCs w:val="21"/>
      <w:shd w:val="clear" w:color="auto" w:fill="B00006"/>
      <w:lang w:val="en-US" w:eastAsia="zh-CN" w:bidi="ar-SA"/>
    </w:rPr>
  </w:style>
  <w:style w:type="character" w:customStyle="1" w:styleId="107">
    <w:name w:val="_Style 105"/>
    <w:unhideWhenUsed/>
    <w:qFormat/>
    <w:uiPriority w:val="99"/>
    <w:rPr>
      <w:rFonts w:ascii="宋体" w:hAnsi="宋体" w:eastAsia="宋体"/>
      <w:color w:val="605E5C"/>
      <w:sz w:val="21"/>
      <w:szCs w:val="21"/>
      <w:shd w:val="clear" w:color="auto" w:fill="E1DFDD"/>
      <w:lang w:val="en-US" w:eastAsia="zh-CN" w:bidi="ar-SA"/>
    </w:rPr>
  </w:style>
  <w:style w:type="character" w:customStyle="1" w:styleId="108">
    <w:name w:val="font01"/>
    <w:qFormat/>
    <w:uiPriority w:val="0"/>
    <w:rPr>
      <w:rFonts w:hint="eastAsia" w:ascii="仿宋" w:hAnsi="仿宋" w:eastAsia="仿宋" w:cs="仿宋"/>
      <w:color w:val="000000"/>
      <w:sz w:val="20"/>
      <w:szCs w:val="20"/>
      <w:u w:val="none"/>
      <w:lang w:val="en-US" w:eastAsia="zh-CN" w:bidi="ar-SA"/>
    </w:rPr>
  </w:style>
  <w:style w:type="character" w:customStyle="1" w:styleId="109">
    <w:name w:val="info7"/>
    <w:qFormat/>
    <w:uiPriority w:val="0"/>
    <w:rPr>
      <w:lang w:val="en-US" w:eastAsia="zh-CN" w:bidi="ar-SA"/>
    </w:rPr>
  </w:style>
  <w:style w:type="character" w:customStyle="1" w:styleId="110">
    <w:name w:val="hover36"/>
    <w:qFormat/>
    <w:uiPriority w:val="0"/>
    <w:rPr>
      <w:rFonts w:ascii="宋体" w:hAnsi="宋体" w:eastAsia="宋体"/>
      <w:sz w:val="21"/>
      <w:szCs w:val="21"/>
      <w:lang w:val="en-US" w:eastAsia="zh-CN" w:bidi="ar-SA"/>
    </w:rPr>
  </w:style>
  <w:style w:type="character" w:customStyle="1" w:styleId="111">
    <w:name w:val="批注文字 字符"/>
    <w:qFormat/>
    <w:uiPriority w:val="99"/>
    <w:rPr>
      <w:kern w:val="2"/>
      <w:sz w:val="21"/>
    </w:rPr>
  </w:style>
  <w:style w:type="paragraph" w:customStyle="1" w:styleId="112">
    <w:name w:val="p18"/>
    <w:basedOn w:val="1"/>
    <w:qFormat/>
    <w:uiPriority w:val="0"/>
    <w:pPr>
      <w:widowControl/>
      <w:spacing w:after="120" w:afterLines="0" w:afterAutospacing="0" w:line="240" w:lineRule="auto"/>
    </w:pPr>
    <w:rPr>
      <w:kern w:val="0"/>
    </w:rPr>
  </w:style>
  <w:style w:type="paragraph" w:customStyle="1" w:styleId="113">
    <w:name w:val="_Style 111"/>
    <w:basedOn w:val="1"/>
    <w:next w:val="1"/>
    <w:qFormat/>
    <w:uiPriority w:val="0"/>
    <w:pPr>
      <w:pBdr>
        <w:top w:val="single" w:color="auto" w:sz="6" w:space="1"/>
      </w:pBdr>
      <w:jc w:val="center"/>
    </w:pPr>
    <w:rPr>
      <w:rFonts w:ascii="Arial" w:eastAsia="宋体"/>
      <w:vanish/>
      <w:sz w:val="16"/>
    </w:rPr>
  </w:style>
  <w:style w:type="paragraph" w:customStyle="1" w:styleId="114">
    <w:name w:val="p0"/>
    <w:basedOn w:val="1"/>
    <w:qFormat/>
    <w:uiPriority w:val="0"/>
    <w:pPr>
      <w:widowControl/>
    </w:pPr>
    <w:rPr>
      <w:kern w:val="0"/>
    </w:rPr>
  </w:style>
  <w:style w:type="paragraph" w:customStyle="1" w:styleId="115">
    <w:name w:val="p15"/>
    <w:basedOn w:val="1"/>
    <w:qFormat/>
    <w:uiPriority w:val="0"/>
    <w:pPr>
      <w:widowControl/>
      <w:spacing w:line="240" w:lineRule="auto"/>
    </w:pPr>
    <w:rPr>
      <w:rFonts w:ascii="宋体" w:hAnsi="宋体"/>
      <w:kern w:val="0"/>
      <w:sz w:val="24"/>
    </w:rPr>
  </w:style>
  <w:style w:type="paragraph" w:customStyle="1" w:styleId="116">
    <w:name w:val="p19"/>
    <w:basedOn w:val="1"/>
    <w:qFormat/>
    <w:uiPriority w:val="0"/>
    <w:pPr>
      <w:widowControl/>
      <w:spacing w:line="240" w:lineRule="auto"/>
      <w:ind w:firstLine="420"/>
    </w:pPr>
    <w:rPr>
      <w:kern w:val="0"/>
      <w:sz w:val="24"/>
    </w:rPr>
  </w:style>
  <w:style w:type="paragraph" w:customStyle="1" w:styleId="117">
    <w:name w:val="正文缩进(ALT+Z)"/>
    <w:basedOn w:val="1"/>
    <w:qFormat/>
    <w:uiPriority w:val="0"/>
    <w:pPr>
      <w:spacing w:line="360" w:lineRule="auto"/>
      <w:ind w:firstLine="200" w:firstLineChars="200"/>
    </w:pPr>
    <w:rPr>
      <w:rFonts w:ascii="宋体" w:eastAsia="仿宋_GB2312"/>
      <w:sz w:val="24"/>
      <w:szCs w:val="24"/>
    </w:rPr>
  </w:style>
  <w:style w:type="paragraph" w:customStyle="1" w:styleId="118">
    <w:name w:val="Body Text 3"/>
    <w:basedOn w:val="1"/>
    <w:qFormat/>
    <w:uiPriority w:val="0"/>
    <w:rPr>
      <w:rFonts w:ascii="宋体"/>
      <w:sz w:val="24"/>
    </w:rPr>
  </w:style>
  <w:style w:type="paragraph" w:customStyle="1" w:styleId="119">
    <w:name w:val="p16"/>
    <w:basedOn w:val="1"/>
    <w:qFormat/>
    <w:uiPriority w:val="0"/>
    <w:pPr>
      <w:widowControl/>
      <w:spacing w:line="240" w:lineRule="auto"/>
    </w:pPr>
    <w:rPr>
      <w:rFonts w:ascii="宋体" w:hAnsi="宋体"/>
      <w:kern w:val="0"/>
      <w:sz w:val="24"/>
    </w:rPr>
  </w:style>
  <w:style w:type="paragraph" w:customStyle="1" w:styleId="120">
    <w:name w:val="1"/>
    <w:basedOn w:val="1"/>
    <w:next w:val="20"/>
    <w:qFormat/>
    <w:uiPriority w:val="0"/>
    <w:pPr>
      <w:spacing w:afterLines="50" w:line="360" w:lineRule="auto"/>
      <w:jc w:val="center"/>
    </w:pPr>
    <w:rPr>
      <w:rFonts w:ascii="宋体" w:hAnsi="宋体"/>
      <w:b/>
      <w:sz w:val="30"/>
    </w:rPr>
  </w:style>
  <w:style w:type="paragraph" w:customStyle="1" w:styleId="121">
    <w:name w:val="段"/>
    <w:qFormat/>
    <w:uiPriority w:val="0"/>
    <w:pPr>
      <w:autoSpaceDE w:val="0"/>
      <w:autoSpaceDN w:val="0"/>
      <w:ind w:firstLine="200" w:firstLineChars="200"/>
      <w:jc w:val="both"/>
    </w:pPr>
    <w:rPr>
      <w:rFonts w:ascii="宋体" w:hAnsi="Calibri" w:eastAsia="宋体" w:cs="Calibri"/>
      <w:sz w:val="21"/>
      <w:lang w:val="en-US" w:eastAsia="zh-CN" w:bidi="ar-SA"/>
    </w:rPr>
  </w:style>
  <w:style w:type="paragraph" w:customStyle="1" w:styleId="122">
    <w:name w:val="header"/>
    <w:basedOn w:val="1"/>
    <w:qFormat/>
    <w:uiPriority w:val="0"/>
    <w:pPr>
      <w:pBdr>
        <w:bottom w:val="single" w:color="auto" w:sz="6" w:space="1"/>
      </w:pBdr>
      <w:tabs>
        <w:tab w:val="center" w:pos="4153"/>
        <w:tab w:val="right" w:pos="8306"/>
      </w:tabs>
      <w:snapToGrid w:val="0"/>
      <w:jc w:val="center"/>
    </w:pPr>
    <w:rPr>
      <w:sz w:val="18"/>
    </w:rPr>
  </w:style>
  <w:style w:type="paragraph" w:customStyle="1" w:styleId="123">
    <w:name w:val="_Style 52"/>
    <w:basedOn w:val="1"/>
    <w:next w:val="88"/>
    <w:qFormat/>
    <w:uiPriority w:val="34"/>
    <w:pPr>
      <w:spacing w:line="240" w:lineRule="auto"/>
      <w:ind w:firstLine="420" w:firstLineChars="200"/>
    </w:pPr>
    <w:rPr>
      <w:szCs w:val="24"/>
    </w:rPr>
  </w:style>
  <w:style w:type="paragraph" w:styleId="124">
    <w:name w:val="No Spacing"/>
    <w:qFormat/>
    <w:uiPriority w:val="1"/>
    <w:pPr>
      <w:widowControl w:val="0"/>
      <w:jc w:val="both"/>
    </w:pPr>
    <w:rPr>
      <w:rFonts w:ascii="Calibri" w:hAnsi="Calibri" w:eastAsia="宋体" w:cs="Calibri"/>
      <w:kern w:val="2"/>
      <w:sz w:val="24"/>
      <w:lang w:val="en-US" w:eastAsia="zh-CN" w:bidi="ar-SA"/>
    </w:rPr>
  </w:style>
  <w:style w:type="paragraph" w:customStyle="1" w:styleId="125">
    <w:name w:val="1正文"/>
    <w:basedOn w:val="1"/>
    <w:qFormat/>
    <w:uiPriority w:val="0"/>
    <w:pPr>
      <w:spacing w:line="560" w:lineRule="exact"/>
      <w:ind w:firstLine="200" w:firstLineChars="200"/>
    </w:pPr>
    <w:rPr>
      <w:rFonts w:ascii="Times New Roman" w:hAnsi="Times New Roman" w:eastAsia="Cambria Math" w:cs="Times New Roman"/>
      <w:sz w:val="32"/>
      <w:szCs w:val="24"/>
    </w:rPr>
  </w:style>
  <w:style w:type="paragraph" w:customStyle="1" w:styleId="126">
    <w:name w:val="p17"/>
    <w:basedOn w:val="1"/>
    <w:qFormat/>
    <w:uiPriority w:val="0"/>
    <w:pPr>
      <w:widowControl/>
      <w:spacing w:line="240" w:lineRule="auto"/>
      <w:ind w:firstLine="420"/>
    </w:pPr>
    <w:rPr>
      <w:kern w:val="0"/>
    </w:rPr>
  </w:style>
  <w:style w:type="paragraph" w:customStyle="1" w:styleId="127">
    <w:name w:val="footer"/>
    <w:basedOn w:val="1"/>
    <w:qFormat/>
    <w:uiPriority w:val="0"/>
    <w:pPr>
      <w:tabs>
        <w:tab w:val="center" w:pos="4153"/>
        <w:tab w:val="right" w:pos="8306"/>
      </w:tabs>
      <w:snapToGrid w:val="0"/>
      <w:jc w:val="left"/>
    </w:pPr>
    <w:rPr>
      <w:sz w:val="18"/>
    </w:rPr>
  </w:style>
  <w:style w:type="paragraph" w:customStyle="1" w:styleId="128">
    <w:name w:val="正文1"/>
    <w:basedOn w:val="1"/>
    <w:qFormat/>
    <w:uiPriority w:val="0"/>
    <w:pPr>
      <w:spacing w:line="360" w:lineRule="auto"/>
      <w:ind w:firstLine="200" w:firstLineChars="200"/>
    </w:pPr>
    <w:rPr>
      <w:rFonts w:ascii="宋体" w:hAnsi="宋体" w:cs="微软雅黑"/>
      <w:szCs w:val="24"/>
    </w:rPr>
  </w:style>
  <w:style w:type="paragraph" w:customStyle="1" w:styleId="129">
    <w:name w:val="Char2 Char Char Char1 Char Char Char Char Char Char Char Char1 Char1 Char Char1 Char"/>
    <w:basedOn w:val="1"/>
    <w:qFormat/>
    <w:uiPriority w:val="0"/>
    <w:pPr>
      <w:spacing w:line="240" w:lineRule="auto"/>
    </w:pPr>
    <w:rPr>
      <w:rFonts w:ascii="宋体" w:hAnsi="宋体"/>
      <w:kern w:val="0"/>
      <w:szCs w:val="21"/>
    </w:rPr>
  </w:style>
  <w:style w:type="paragraph" w:customStyle="1" w:styleId="130">
    <w:name w:val="正文格式"/>
    <w:basedOn w:val="1"/>
    <w:qFormat/>
    <w:uiPriority w:val="0"/>
    <w:pPr>
      <w:spacing w:line="300" w:lineRule="auto"/>
      <w:ind w:firstLine="480" w:firstLineChars="200"/>
    </w:pPr>
    <w:rPr>
      <w:rFonts w:ascii="Calibri" w:hAnsi="Calibri" w:eastAsia="宋体" w:cs="宋体"/>
      <w:sz w:val="24"/>
      <w:szCs w:val="22"/>
    </w:rPr>
  </w:style>
  <w:style w:type="paragraph" w:customStyle="1" w:styleId="131">
    <w:name w:val="_Style 129"/>
    <w:semiHidden/>
    <w:qFormat/>
    <w:uiPriority w:val="99"/>
    <w:rPr>
      <w:rFonts w:ascii="Calibri" w:hAnsi="Calibri" w:eastAsia="宋体" w:cs="Calibri"/>
      <w:kern w:val="2"/>
      <w:sz w:val="21"/>
      <w:lang w:val="en-US" w:eastAsia="zh-CN" w:bidi="ar-SA"/>
    </w:rPr>
  </w:style>
  <w:style w:type="paragraph" w:customStyle="1" w:styleId="132">
    <w:name w:val="Preformatted"/>
    <w:basedOn w:val="1"/>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spacing w:line="240" w:lineRule="auto"/>
      <w:jc w:val="left"/>
    </w:pPr>
    <w:rPr>
      <w:rFonts w:ascii="Courier New" w:hAnsi="Courier New"/>
      <w:kern w:val="0"/>
      <w:sz w:val="20"/>
    </w:rPr>
  </w:style>
  <w:style w:type="paragraph" w:customStyle="1" w:styleId="133">
    <w:name w:val="图中文字"/>
    <w:basedOn w:val="1"/>
    <w:qFormat/>
    <w:uiPriority w:val="0"/>
    <w:pPr>
      <w:adjustRightInd w:val="0"/>
      <w:snapToGrid w:val="0"/>
      <w:spacing w:line="0" w:lineRule="atLeast"/>
      <w:jc w:val="center"/>
    </w:pPr>
  </w:style>
  <w:style w:type="paragraph" w:customStyle="1" w:styleId="134">
    <w:name w:val="_Style 132"/>
    <w:basedOn w:val="1"/>
    <w:next w:val="1"/>
    <w:qFormat/>
    <w:uiPriority w:val="0"/>
    <w:pPr>
      <w:pBdr>
        <w:bottom w:val="single" w:color="auto" w:sz="6" w:space="1"/>
      </w:pBdr>
      <w:jc w:val="center"/>
    </w:pPr>
    <w:rPr>
      <w:rFonts w:ascii="Arial" w:eastAsia="宋体"/>
      <w:vanish/>
      <w:sz w:val="16"/>
    </w:rPr>
  </w:style>
  <w:style w:type="paragraph" w:customStyle="1" w:styleId="135">
    <w:name w:val="正文00"/>
    <w:basedOn w:val="1"/>
    <w:qFormat/>
    <w:uiPriority w:val="0"/>
    <w:pPr>
      <w:topLinePunct/>
      <w:spacing w:line="360" w:lineRule="auto"/>
      <w:ind w:firstLine="200" w:firstLineChars="200"/>
    </w:pPr>
    <w:rPr>
      <w:sz w:val="24"/>
      <w:szCs w:val="21"/>
    </w:rPr>
  </w:style>
  <w:style w:type="character" w:customStyle="1" w:styleId="136">
    <w:name w:val="批注文字 Char1"/>
    <w:qFormat/>
    <w:uiPriority w:val="99"/>
    <w:rPr>
      <w:kern w:val="2"/>
      <w:sz w:val="21"/>
    </w:rPr>
  </w:style>
  <w:style w:type="character" w:customStyle="1" w:styleId="137">
    <w:name w:val="标题 3 Char"/>
    <w:qFormat/>
    <w:uiPriority w:val="9"/>
    <w:rPr>
      <w:rFonts w:ascii="宋体" w:hAnsi="宋体" w:eastAsia="仿宋"/>
      <w:b/>
      <w:sz w:val="24"/>
      <w:szCs w:val="36"/>
    </w:rPr>
  </w:style>
  <w:style w:type="paragraph" w:customStyle="1" w:styleId="138">
    <w:name w:val="正文文本 33"/>
    <w:basedOn w:val="1"/>
    <w:qFormat/>
    <w:uiPriority w:val="0"/>
    <w:rPr>
      <w:rFonts w:ascii="宋体" w:hAnsi="Times New Roman" w:cs="Times New Roman"/>
      <w:sz w:val="24"/>
    </w:rPr>
  </w:style>
  <w:style w:type="character" w:customStyle="1" w:styleId="139">
    <w:name w:val="批注文字 字符2"/>
    <w:qFormat/>
    <w:uiPriority w:val="99"/>
    <w:rPr>
      <w:kern w:val="2"/>
      <w:sz w:val="21"/>
    </w:rPr>
  </w:style>
  <w:style w:type="paragraph" w:customStyle="1" w:styleId="140">
    <w:name w:val="彩色列表 - 强调文字颜色 11"/>
    <w:basedOn w:val="1"/>
    <w:qFormat/>
    <w:uiPriority w:val="34"/>
    <w:pPr>
      <w:ind w:firstLine="420" w:firstLineChars="200"/>
    </w:pPr>
    <w:rPr>
      <w:rFonts w:ascii="Calibri" w:hAnsi="Calibri"/>
      <w:szCs w:val="22"/>
    </w:rPr>
  </w:style>
  <w:style w:type="paragraph" w:customStyle="1" w:styleId="141">
    <w:name w:val="_Style 160"/>
    <w:basedOn w:val="1"/>
    <w:next w:val="88"/>
    <w:qFormat/>
    <w:uiPriority w:val="34"/>
    <w:pPr>
      <w:spacing w:line="240" w:lineRule="auto"/>
      <w:ind w:firstLine="420" w:firstLineChars="200"/>
    </w:pPr>
    <w:rPr>
      <w:szCs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2.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1" Type="http://schemas.openxmlformats.org/officeDocument/2006/relationships/fontTable" Target="fontTable.xml"/><Relationship Id="rId20" Type="http://schemas.openxmlformats.org/officeDocument/2006/relationships/numbering" Target="numbering.xml"/><Relationship Id="rId2" Type="http://schemas.openxmlformats.org/officeDocument/2006/relationships/settings" Target="settings.xml"/><Relationship Id="rId19" Type="http://schemas.openxmlformats.org/officeDocument/2006/relationships/customXml" Target="../customXml/item1.xml"/><Relationship Id="rId18" Type="http://schemas.openxmlformats.org/officeDocument/2006/relationships/image" Target="media/image3.png"/><Relationship Id="rId17" Type="http://schemas.openxmlformats.org/officeDocument/2006/relationships/image" Target="media/image2.png"/><Relationship Id="rId16" Type="http://schemas.openxmlformats.org/officeDocument/2006/relationships/image" Target="media/image1.png"/><Relationship Id="rId15" Type="http://schemas.openxmlformats.org/officeDocument/2006/relationships/theme" Target="theme/theme1.xml"/><Relationship Id="rId14" Type="http://schemas.openxmlformats.org/officeDocument/2006/relationships/header" Target="header6.xml"/><Relationship Id="rId13" Type="http://schemas.openxmlformats.org/officeDocument/2006/relationships/header" Target="header5.xml"/><Relationship Id="rId12" Type="http://schemas.openxmlformats.org/officeDocument/2006/relationships/header" Target="header4.xml"/><Relationship Id="rId11" Type="http://schemas.openxmlformats.org/officeDocument/2006/relationships/header" Target="header3.xml"/><Relationship Id="rId10" Type="http://schemas.openxmlformats.org/officeDocument/2006/relationships/footer" Target="footer4.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D:\&#36130;&#21153;&#20250;&#35745;&#37096;\&#37319;&#36141;&#21046;&#24230;\Normal.wpt"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Normal.wpt</Template>
  <Company>GCMC</Company>
  <Pages>94</Pages>
  <Words>1003</Words>
  <Characters>1225</Characters>
  <Lines>282</Lines>
  <Paragraphs>79</Paragraphs>
  <TotalTime>11</TotalTime>
  <ScaleCrop>false</ScaleCrop>
  <LinksUpToDate>false</LinksUpToDate>
  <CharactersWithSpaces>1373</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2024-08-22T06:50:00Z</dcterms:created>
  <dc:creator>GCMC-YD-Hzy</dc:creator>
  <cp:lastModifiedBy>NTKO</cp:lastModifiedBy>
  <cp:lastPrinted>2022-03-05T05:57:00Z</cp:lastPrinted>
  <dcterms:modified xsi:type="dcterms:W3CDTF">2026-08-05T10:19:40Z</dcterms:modified>
  <dc:title>交通银行股份有限公司北京市分行阜外支行消防改造工程项目</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97AFB12C805646F98F23248999E03B5B</vt:lpwstr>
  </property>
  <property fmtid="{D5CDD505-2E9C-101B-9397-08002B2CF9AE}" pid="4" name="KSOTemplateDocerSaveRecord">
    <vt:lpwstr>eyJoZGlkIjoiNWJkMDZkZGYwOTVhY2JjYjRjMjkxODcyMTVkNmYyYzUiLCJ1c2VySWQiOiIzMzQ2MTU4OTgifQ==</vt:lpwstr>
  </property>
</Properties>
</file>