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rPr>
      </w:pPr>
    </w:p>
    <w:p>
      <w:pPr>
        <w:jc w:val="center"/>
        <w:rPr>
          <w:rFonts w:hint="eastAsia" w:ascii="仿宋_GB2312" w:eastAsia="仿宋_GB2312"/>
          <w:b/>
          <w:bCs/>
          <w:color w:val="auto"/>
          <w:sz w:val="44"/>
          <w:szCs w:val="44"/>
        </w:rPr>
      </w:pPr>
      <w:r>
        <w:rPr>
          <w:rFonts w:hint="eastAsia" w:ascii="仿宋_GB2312" w:eastAsia="仿宋_GB2312"/>
          <w:b/>
          <w:bCs/>
          <w:color w:val="auto"/>
          <w:sz w:val="44"/>
          <w:szCs w:val="44"/>
        </w:rPr>
        <w:t>人保财险四川巴中市分公司巴州支公司</w:t>
      </w:r>
      <w:r>
        <w:rPr>
          <w:rFonts w:hint="eastAsia" w:ascii="仿宋_GB2312" w:eastAsia="仿宋_GB2312"/>
          <w:b/>
          <w:bCs/>
          <w:color w:val="auto"/>
          <w:sz w:val="44"/>
          <w:szCs w:val="44"/>
          <w:lang w:val="en-US" w:eastAsia="zh-CN"/>
        </w:rPr>
        <w:t>1</w:t>
      </w:r>
      <w:r>
        <w:rPr>
          <w:rFonts w:hint="eastAsia" w:ascii="仿宋_GB2312" w:eastAsia="仿宋_GB2312"/>
          <w:b/>
          <w:bCs/>
          <w:color w:val="auto"/>
          <w:sz w:val="44"/>
          <w:szCs w:val="44"/>
        </w:rPr>
        <w:t>年期食堂服务采购项目</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1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1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1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1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6"/>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8</w:t>
      </w:r>
      <w:bookmarkStart w:id="209" w:name="_GoBack"/>
      <w:bookmarkEnd w:id="209"/>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1"/>
        <w:tabs>
          <w:tab w:val="right" w:leader="dot" w:pos="9628"/>
        </w:tabs>
        <w:rPr>
          <w:b w:val="0"/>
          <w:bCs w:val="0"/>
          <w:caps w:val="0"/>
          <w:color w:val="auto"/>
          <w:kern w:val="2"/>
          <w:sz w:val="21"/>
          <w:szCs w:val="22"/>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color w:val="auto"/>
        </w:rPr>
        <w:fldChar w:fldCharType="begin"/>
      </w:r>
      <w:r>
        <w:rPr>
          <w:color w:val="auto"/>
        </w:rPr>
        <w:instrText xml:space="preserve"> HYPERLINK \l "_Toc186737790" </w:instrText>
      </w:r>
      <w:r>
        <w:rPr>
          <w:color w:val="auto"/>
        </w:rPr>
        <w:fldChar w:fldCharType="separate"/>
      </w:r>
      <w:r>
        <w:rPr>
          <w:rStyle w:val="33"/>
          <w:rFonts w:hint="eastAsia" w:ascii="仿宋_GB2312" w:hAnsi="宋体" w:eastAsia="仿宋_GB2312"/>
          <w:color w:val="auto"/>
        </w:rPr>
        <w:t>第一章</w:t>
      </w:r>
      <w:r>
        <w:rPr>
          <w:rStyle w:val="33"/>
          <w:rFonts w:ascii="仿宋_GB2312" w:hAnsi="宋体" w:eastAsia="仿宋_GB2312"/>
          <w:color w:val="auto"/>
        </w:rPr>
        <w:t xml:space="preserve"> </w:t>
      </w:r>
      <w:r>
        <w:rPr>
          <w:rStyle w:val="33"/>
          <w:rFonts w:hint="eastAsia" w:ascii="仿宋_GB2312" w:hAnsi="宋体" w:eastAsia="仿宋_GB2312"/>
          <w:color w:val="auto"/>
        </w:rPr>
        <w:t>比选邀请</w:t>
      </w:r>
      <w:r>
        <w:rPr>
          <w:color w:val="auto"/>
        </w:rPr>
        <w:tab/>
      </w:r>
      <w:r>
        <w:rPr>
          <w:color w:val="auto"/>
        </w:rPr>
        <w:fldChar w:fldCharType="begin"/>
      </w:r>
      <w:r>
        <w:rPr>
          <w:color w:val="auto"/>
        </w:rPr>
        <w:instrText xml:space="preserve"> PAGEREF _Toc186737790 \h </w:instrText>
      </w:r>
      <w:r>
        <w:rPr>
          <w:color w:val="auto"/>
        </w:rPr>
        <w:fldChar w:fldCharType="separate"/>
      </w:r>
      <w:r>
        <w:rPr>
          <w:color w:val="auto"/>
        </w:rPr>
        <w:t>3</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"_Toc186737791" </w:instrText>
      </w:r>
      <w:r>
        <w:rPr>
          <w:color w:val="auto"/>
        </w:rPr>
        <w:fldChar w:fldCharType="separate"/>
      </w:r>
      <w:r>
        <w:rPr>
          <w:rStyle w:val="33"/>
          <w:rFonts w:hint="eastAsia" w:ascii="仿宋" w:hAnsi="仿宋" w:eastAsia="仿宋" w:cs="仿宋"/>
          <w:color w:val="auto"/>
        </w:rPr>
        <w:t>一、项目概况与采购范围</w:t>
      </w:r>
      <w:r>
        <w:rPr>
          <w:color w:val="auto"/>
        </w:rPr>
        <w:tab/>
      </w:r>
      <w:r>
        <w:rPr>
          <w:color w:val="auto"/>
        </w:rPr>
        <w:fldChar w:fldCharType="begin"/>
      </w:r>
      <w:r>
        <w:rPr>
          <w:color w:val="auto"/>
        </w:rPr>
        <w:instrText xml:space="preserve"> PAGEREF _Toc186737791 \h </w:instrText>
      </w:r>
      <w:r>
        <w:rPr>
          <w:color w:val="auto"/>
        </w:rPr>
        <w:fldChar w:fldCharType="separate"/>
      </w:r>
      <w:r>
        <w:rPr>
          <w:color w:val="auto"/>
        </w:rPr>
        <w:t>3</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"_Toc186737792" </w:instrText>
      </w:r>
      <w:r>
        <w:rPr>
          <w:color w:val="auto"/>
        </w:rPr>
        <w:fldChar w:fldCharType="separate"/>
      </w:r>
      <w:r>
        <w:rPr>
          <w:rStyle w:val="33"/>
          <w:rFonts w:hint="eastAsia" w:ascii="仿宋" w:hAnsi="仿宋" w:eastAsia="仿宋" w:cs="仿宋"/>
          <w:color w:val="auto"/>
        </w:rPr>
        <w:t>二、供应商资格要求</w:t>
      </w:r>
      <w:r>
        <w:rPr>
          <w:color w:val="auto"/>
        </w:rPr>
        <w:tab/>
      </w:r>
      <w:r>
        <w:rPr>
          <w:color w:val="auto"/>
        </w:rPr>
        <w:fldChar w:fldCharType="begin"/>
      </w:r>
      <w:r>
        <w:rPr>
          <w:color w:val="auto"/>
        </w:rPr>
        <w:instrText xml:space="preserve"> PAGEREF _Toc186737792 \h </w:instrText>
      </w:r>
      <w:r>
        <w:rPr>
          <w:color w:val="auto"/>
        </w:rPr>
        <w:fldChar w:fldCharType="separate"/>
      </w:r>
      <w:r>
        <w:rPr>
          <w:color w:val="auto"/>
        </w:rPr>
        <w:t>3</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"_Toc186737793" </w:instrText>
      </w:r>
      <w:r>
        <w:rPr>
          <w:color w:val="auto"/>
        </w:rPr>
        <w:fldChar w:fldCharType="separate"/>
      </w:r>
      <w:r>
        <w:rPr>
          <w:rStyle w:val="33"/>
          <w:rFonts w:hint="eastAsia" w:ascii="仿宋" w:hAnsi="仿宋" w:eastAsia="仿宋" w:cs="仿宋"/>
          <w:color w:val="auto"/>
        </w:rPr>
        <w:t>三、比选文件的获取</w:t>
      </w:r>
      <w:r>
        <w:rPr>
          <w:color w:val="auto"/>
        </w:rPr>
        <w:tab/>
      </w:r>
      <w:r>
        <w:rPr>
          <w:color w:val="auto"/>
        </w:rPr>
        <w:fldChar w:fldCharType="begin"/>
      </w:r>
      <w:r>
        <w:rPr>
          <w:color w:val="auto"/>
        </w:rPr>
        <w:instrText xml:space="preserve"> PAGEREF _Toc186737793 \h </w:instrText>
      </w:r>
      <w:r>
        <w:rPr>
          <w:color w:val="auto"/>
        </w:rPr>
        <w:fldChar w:fldCharType="separate"/>
      </w:r>
      <w:r>
        <w:rPr>
          <w:color w:val="auto"/>
        </w:rPr>
        <w:t>4</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"_Toc186737794" </w:instrText>
      </w:r>
      <w:r>
        <w:rPr>
          <w:color w:val="auto"/>
        </w:rPr>
        <w:fldChar w:fldCharType="separate"/>
      </w:r>
      <w:r>
        <w:rPr>
          <w:rStyle w:val="33"/>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_Toc186737794 \h </w:instrText>
      </w:r>
      <w:r>
        <w:rPr>
          <w:color w:val="auto"/>
        </w:rPr>
        <w:fldChar w:fldCharType="separate"/>
      </w:r>
      <w:r>
        <w:rPr>
          <w:color w:val="auto"/>
        </w:rPr>
        <w:t>4</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"_Toc186737795" </w:instrText>
      </w:r>
      <w:r>
        <w:rPr>
          <w:color w:val="auto"/>
        </w:rPr>
        <w:fldChar w:fldCharType="separate"/>
      </w:r>
      <w:r>
        <w:rPr>
          <w:rStyle w:val="33"/>
          <w:rFonts w:hint="eastAsia" w:ascii="仿宋" w:hAnsi="仿宋" w:eastAsia="仿宋" w:cs="仿宋"/>
          <w:color w:val="auto"/>
        </w:rPr>
        <w:t>五、发布公告的媒介</w:t>
      </w:r>
      <w:r>
        <w:rPr>
          <w:color w:val="auto"/>
        </w:rPr>
        <w:tab/>
      </w:r>
      <w:r>
        <w:rPr>
          <w:color w:val="auto"/>
        </w:rPr>
        <w:fldChar w:fldCharType="begin"/>
      </w:r>
      <w:r>
        <w:rPr>
          <w:color w:val="auto"/>
        </w:rPr>
        <w:instrText xml:space="preserve"> PAGEREF _Toc186737795 \h </w:instrText>
      </w:r>
      <w:r>
        <w:rPr>
          <w:color w:val="auto"/>
        </w:rPr>
        <w:fldChar w:fldCharType="separate"/>
      </w:r>
      <w:r>
        <w:rPr>
          <w:color w:val="auto"/>
        </w:rPr>
        <w:t>5</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"_Toc186737796" </w:instrText>
      </w:r>
      <w:r>
        <w:rPr>
          <w:color w:val="auto"/>
        </w:rPr>
        <w:fldChar w:fldCharType="separate"/>
      </w:r>
      <w:r>
        <w:rPr>
          <w:rStyle w:val="33"/>
          <w:rFonts w:hint="eastAsia" w:ascii="仿宋" w:hAnsi="仿宋" w:eastAsia="仿宋" w:cs="仿宋"/>
          <w:color w:val="auto"/>
        </w:rPr>
        <w:t>六、联系方式</w:t>
      </w:r>
      <w:r>
        <w:rPr>
          <w:color w:val="auto"/>
        </w:rPr>
        <w:tab/>
      </w:r>
      <w:r>
        <w:rPr>
          <w:color w:val="auto"/>
        </w:rPr>
        <w:fldChar w:fldCharType="begin"/>
      </w:r>
      <w:r>
        <w:rPr>
          <w:color w:val="auto"/>
        </w:rPr>
        <w:instrText xml:space="preserve"> PAGEREF _Toc186737796 \h </w:instrText>
      </w:r>
      <w:r>
        <w:rPr>
          <w:color w:val="auto"/>
        </w:rPr>
        <w:fldChar w:fldCharType="separate"/>
      </w:r>
      <w:r>
        <w:rPr>
          <w:color w:val="auto"/>
        </w:rPr>
        <w:t>5</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"_Toc186737797" </w:instrText>
      </w:r>
      <w:r>
        <w:rPr>
          <w:color w:val="auto"/>
        </w:rPr>
        <w:fldChar w:fldCharType="separate"/>
      </w:r>
      <w:r>
        <w:rPr>
          <w:rStyle w:val="33"/>
          <w:rFonts w:hint="eastAsia" w:ascii="仿宋_GB2312" w:hAnsi="宋体" w:eastAsia="仿宋_GB2312"/>
          <w:color w:val="auto"/>
        </w:rPr>
        <w:t>第二章</w:t>
      </w:r>
      <w:r>
        <w:rPr>
          <w:rStyle w:val="33"/>
          <w:rFonts w:ascii="仿宋_GB2312" w:hAnsi="宋体" w:eastAsia="仿宋_GB2312"/>
          <w:color w:val="auto"/>
        </w:rPr>
        <w:t xml:space="preserve"> </w:t>
      </w:r>
      <w:r>
        <w:rPr>
          <w:rStyle w:val="33"/>
          <w:rFonts w:hint="eastAsia" w:ascii="仿宋_GB2312" w:hAnsi="宋体" w:eastAsia="仿宋_GB2312"/>
          <w:color w:val="auto"/>
        </w:rPr>
        <w:t>供应商须知</w:t>
      </w:r>
      <w:r>
        <w:rPr>
          <w:color w:val="auto"/>
        </w:rPr>
        <w:tab/>
      </w:r>
      <w:r>
        <w:rPr>
          <w:color w:val="auto"/>
        </w:rPr>
        <w:fldChar w:fldCharType="begin"/>
      </w:r>
      <w:r>
        <w:rPr>
          <w:color w:val="auto"/>
        </w:rPr>
        <w:instrText xml:space="preserve"> PAGEREF _Toc186737797 \h </w:instrText>
      </w:r>
      <w:r>
        <w:rPr>
          <w:color w:val="auto"/>
        </w:rPr>
        <w:fldChar w:fldCharType="separate"/>
      </w:r>
      <w:r>
        <w:rPr>
          <w:color w:val="auto"/>
        </w:rPr>
        <w:t>7</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"_Toc186737798" </w:instrText>
      </w:r>
      <w:r>
        <w:rPr>
          <w:color w:val="auto"/>
        </w:rPr>
        <w:fldChar w:fldCharType="separate"/>
      </w:r>
      <w:r>
        <w:rPr>
          <w:rStyle w:val="33"/>
          <w:rFonts w:hint="eastAsia" w:ascii="仿宋" w:hAnsi="仿宋" w:eastAsia="仿宋" w:cs="仿宋"/>
          <w:color w:val="auto"/>
        </w:rPr>
        <w:t>一、供应商须知前附表</w:t>
      </w:r>
      <w:r>
        <w:rPr>
          <w:color w:val="auto"/>
        </w:rPr>
        <w:tab/>
      </w:r>
      <w:r>
        <w:rPr>
          <w:color w:val="auto"/>
        </w:rPr>
        <w:fldChar w:fldCharType="begin"/>
      </w:r>
      <w:r>
        <w:rPr>
          <w:color w:val="auto"/>
        </w:rPr>
        <w:instrText xml:space="preserve"> PAGEREF _Toc186737798 \h </w:instrText>
      </w:r>
      <w:r>
        <w:rPr>
          <w:color w:val="auto"/>
        </w:rPr>
        <w:fldChar w:fldCharType="separate"/>
      </w:r>
      <w:r>
        <w:rPr>
          <w:color w:val="auto"/>
        </w:rPr>
        <w:t>7</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"_Toc186737799" </w:instrText>
      </w:r>
      <w:r>
        <w:rPr>
          <w:color w:val="auto"/>
        </w:rPr>
        <w:fldChar w:fldCharType="separate"/>
      </w:r>
      <w:r>
        <w:rPr>
          <w:rStyle w:val="33"/>
          <w:rFonts w:hint="eastAsia" w:ascii="仿宋" w:hAnsi="仿宋" w:eastAsia="仿宋" w:cs="仿宋"/>
          <w:color w:val="auto"/>
        </w:rPr>
        <w:t>二、供应商须知正文</w:t>
      </w:r>
      <w:r>
        <w:rPr>
          <w:color w:val="auto"/>
        </w:rPr>
        <w:tab/>
      </w:r>
      <w:r>
        <w:rPr>
          <w:color w:val="auto"/>
        </w:rPr>
        <w:fldChar w:fldCharType="begin"/>
      </w:r>
      <w:r>
        <w:rPr>
          <w:color w:val="auto"/>
        </w:rPr>
        <w:instrText xml:space="preserve"> PAGEREF _Toc186737799 \h </w:instrText>
      </w:r>
      <w:r>
        <w:rPr>
          <w:color w:val="auto"/>
        </w:rPr>
        <w:fldChar w:fldCharType="separate"/>
      </w:r>
      <w:r>
        <w:rPr>
          <w:color w:val="auto"/>
        </w:rPr>
        <w:t>10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"_Toc186737800" </w:instrText>
      </w:r>
      <w:r>
        <w:rPr>
          <w:color w:val="auto"/>
        </w:rPr>
        <w:fldChar w:fldCharType="separate"/>
      </w:r>
      <w:r>
        <w:rPr>
          <w:rStyle w:val="33"/>
          <w:rFonts w:hint="eastAsia" w:ascii="仿宋" w:hAnsi="仿宋" w:eastAsia="仿宋" w:cs="仿宋"/>
          <w:color w:val="auto"/>
        </w:rPr>
        <w:t>（一）总</w:t>
      </w:r>
      <w:r>
        <w:rPr>
          <w:rStyle w:val="33"/>
          <w:rFonts w:ascii="仿宋" w:hAnsi="仿宋" w:eastAsia="仿宋" w:cs="仿宋"/>
          <w:color w:val="auto"/>
        </w:rPr>
        <w:t xml:space="preserve"> </w:t>
      </w:r>
      <w:r>
        <w:rPr>
          <w:rStyle w:val="33"/>
          <w:rFonts w:hint="eastAsia" w:ascii="仿宋" w:hAnsi="仿宋" w:eastAsia="仿宋" w:cs="仿宋"/>
          <w:color w:val="auto"/>
        </w:rPr>
        <w:t>则</w:t>
      </w:r>
      <w:r>
        <w:rPr>
          <w:color w:val="auto"/>
        </w:rPr>
        <w:tab/>
      </w:r>
      <w:r>
        <w:rPr>
          <w:color w:val="auto"/>
        </w:rPr>
        <w:fldChar w:fldCharType="begin"/>
      </w:r>
      <w:r>
        <w:rPr>
          <w:color w:val="auto"/>
        </w:rPr>
        <w:instrText xml:space="preserve"> PAGEREF _Toc186737800 \h </w:instrText>
      </w:r>
      <w:r>
        <w:rPr>
          <w:color w:val="auto"/>
        </w:rPr>
        <w:fldChar w:fldCharType="separate"/>
      </w:r>
      <w:r>
        <w:rPr>
          <w:color w:val="auto"/>
        </w:rPr>
        <w:t>10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"_Toc186737801" </w:instrText>
      </w:r>
      <w:r>
        <w:rPr>
          <w:color w:val="auto"/>
        </w:rPr>
        <w:fldChar w:fldCharType="separate"/>
      </w:r>
      <w:r>
        <w:rPr>
          <w:rStyle w:val="33"/>
          <w:rFonts w:hint="eastAsia" w:ascii="仿宋" w:hAnsi="仿宋" w:eastAsia="仿宋" w:cs="仿宋"/>
          <w:color w:val="auto"/>
        </w:rPr>
        <w:t>（二）比选文件</w:t>
      </w:r>
      <w:r>
        <w:rPr>
          <w:color w:val="auto"/>
        </w:rPr>
        <w:tab/>
      </w:r>
      <w:r>
        <w:rPr>
          <w:color w:val="auto"/>
        </w:rPr>
        <w:fldChar w:fldCharType="begin"/>
      </w:r>
      <w:r>
        <w:rPr>
          <w:color w:val="auto"/>
        </w:rPr>
        <w:instrText xml:space="preserve"> PAGEREF _Toc186737801 \h </w:instrText>
      </w:r>
      <w:r>
        <w:rPr>
          <w:color w:val="auto"/>
        </w:rPr>
        <w:fldChar w:fldCharType="separate"/>
      </w:r>
      <w:r>
        <w:rPr>
          <w:color w:val="auto"/>
        </w:rPr>
        <w:t>10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"_Toc186737802" </w:instrText>
      </w:r>
      <w:r>
        <w:rPr>
          <w:color w:val="auto"/>
        </w:rPr>
        <w:fldChar w:fldCharType="separate"/>
      </w:r>
      <w:r>
        <w:rPr>
          <w:rStyle w:val="33"/>
          <w:rFonts w:hint="eastAsia" w:ascii="仿宋" w:hAnsi="仿宋" w:eastAsia="仿宋" w:cs="仿宋"/>
          <w:color w:val="auto"/>
        </w:rPr>
        <w:t>（三）响应文件</w:t>
      </w:r>
      <w:r>
        <w:rPr>
          <w:color w:val="auto"/>
        </w:rPr>
        <w:tab/>
      </w:r>
      <w:r>
        <w:rPr>
          <w:color w:val="auto"/>
        </w:rPr>
        <w:fldChar w:fldCharType="begin"/>
      </w:r>
      <w:r>
        <w:rPr>
          <w:color w:val="auto"/>
        </w:rPr>
        <w:instrText xml:space="preserve"> PAGEREF _Toc186737802 \h </w:instrText>
      </w:r>
      <w:r>
        <w:rPr>
          <w:color w:val="auto"/>
        </w:rPr>
        <w:fldChar w:fldCharType="separate"/>
      </w:r>
      <w:r>
        <w:rPr>
          <w:color w:val="auto"/>
        </w:rPr>
        <w:t>11</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"_Toc186737803" </w:instrText>
      </w:r>
      <w:r>
        <w:rPr>
          <w:color w:val="auto"/>
        </w:rPr>
        <w:fldChar w:fldCharType="separate"/>
      </w:r>
      <w:r>
        <w:rPr>
          <w:rStyle w:val="33"/>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_Toc186737803 \h </w:instrText>
      </w:r>
      <w:r>
        <w:rPr>
          <w:color w:val="auto"/>
        </w:rPr>
        <w:fldChar w:fldCharType="separate"/>
      </w:r>
      <w:r>
        <w:rPr>
          <w:color w:val="auto"/>
        </w:rPr>
        <w:t>13</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"_Toc186737804" </w:instrText>
      </w:r>
      <w:r>
        <w:rPr>
          <w:color w:val="auto"/>
        </w:rPr>
        <w:fldChar w:fldCharType="separate"/>
      </w:r>
      <w:r>
        <w:rPr>
          <w:rStyle w:val="33"/>
          <w:rFonts w:hint="eastAsia" w:ascii="仿宋" w:hAnsi="仿宋" w:eastAsia="仿宋" w:cs="仿宋"/>
          <w:color w:val="auto"/>
        </w:rPr>
        <w:t>（五）比选和评审</w:t>
      </w:r>
      <w:r>
        <w:rPr>
          <w:color w:val="auto"/>
        </w:rPr>
        <w:tab/>
      </w:r>
      <w:r>
        <w:rPr>
          <w:color w:val="auto"/>
        </w:rPr>
        <w:fldChar w:fldCharType="begin"/>
      </w:r>
      <w:r>
        <w:rPr>
          <w:color w:val="auto"/>
        </w:rPr>
        <w:instrText xml:space="preserve"> PAGEREF _Toc186737804 \h </w:instrText>
      </w:r>
      <w:r>
        <w:rPr>
          <w:color w:val="auto"/>
        </w:rPr>
        <w:fldChar w:fldCharType="separate"/>
      </w:r>
      <w:r>
        <w:rPr>
          <w:color w:val="auto"/>
        </w:rPr>
        <w:t>14</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"_Toc186737805" </w:instrText>
      </w:r>
      <w:r>
        <w:rPr>
          <w:color w:val="auto"/>
        </w:rPr>
        <w:fldChar w:fldCharType="separate"/>
      </w:r>
      <w:r>
        <w:rPr>
          <w:rStyle w:val="33"/>
          <w:rFonts w:hint="eastAsia" w:ascii="仿宋" w:hAnsi="仿宋" w:eastAsia="仿宋" w:cs="仿宋"/>
          <w:color w:val="auto"/>
        </w:rPr>
        <w:t>（六）授予合同</w:t>
      </w:r>
      <w:r>
        <w:rPr>
          <w:color w:val="auto"/>
        </w:rPr>
        <w:tab/>
      </w:r>
      <w:r>
        <w:rPr>
          <w:color w:val="auto"/>
        </w:rPr>
        <w:fldChar w:fldCharType="begin"/>
      </w:r>
      <w:r>
        <w:rPr>
          <w:color w:val="auto"/>
        </w:rPr>
        <w:instrText xml:space="preserve"> PAGEREF _Toc186737805 \h </w:instrText>
      </w:r>
      <w:r>
        <w:rPr>
          <w:color w:val="auto"/>
        </w:rPr>
        <w:fldChar w:fldCharType="separate"/>
      </w:r>
      <w:r>
        <w:rPr>
          <w:color w:val="auto"/>
        </w:rPr>
        <w:t>16</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"_Toc186737806" </w:instrText>
      </w:r>
      <w:r>
        <w:rPr>
          <w:color w:val="auto"/>
        </w:rPr>
        <w:fldChar w:fldCharType="separate"/>
      </w:r>
      <w:r>
        <w:rPr>
          <w:rStyle w:val="33"/>
          <w:rFonts w:hint="eastAsia" w:ascii="仿宋" w:hAnsi="仿宋" w:eastAsia="仿宋" w:cs="仿宋"/>
          <w:color w:val="auto"/>
        </w:rPr>
        <w:t>第三章</w:t>
      </w:r>
      <w:r>
        <w:rPr>
          <w:rStyle w:val="33"/>
          <w:rFonts w:ascii="仿宋" w:hAnsi="仿宋" w:eastAsia="仿宋" w:cs="仿宋"/>
          <w:color w:val="auto"/>
        </w:rPr>
        <w:t xml:space="preserve"> </w:t>
      </w:r>
      <w:r>
        <w:rPr>
          <w:rStyle w:val="33"/>
          <w:rFonts w:hint="eastAsia" w:ascii="仿宋" w:hAnsi="仿宋" w:eastAsia="仿宋" w:cs="仿宋"/>
          <w:color w:val="auto"/>
        </w:rPr>
        <w:t>评审办法</w:t>
      </w:r>
      <w:r>
        <w:rPr>
          <w:color w:val="auto"/>
        </w:rPr>
        <w:tab/>
      </w:r>
      <w:r>
        <w:rPr>
          <w:color w:val="auto"/>
        </w:rPr>
        <w:fldChar w:fldCharType="begin"/>
      </w:r>
      <w:r>
        <w:rPr>
          <w:color w:val="auto"/>
        </w:rPr>
        <w:instrText xml:space="preserve"> PAGEREF _Toc186737806 \h </w:instrText>
      </w:r>
      <w:r>
        <w:rPr>
          <w:color w:val="auto"/>
        </w:rPr>
        <w:fldChar w:fldCharType="separate"/>
      </w:r>
      <w:r>
        <w:rPr>
          <w:color w:val="auto"/>
        </w:rPr>
        <w:t>17</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"_Toc186737807" </w:instrText>
      </w:r>
      <w:r>
        <w:rPr>
          <w:color w:val="auto"/>
        </w:rPr>
        <w:fldChar w:fldCharType="separate"/>
      </w:r>
      <w:r>
        <w:rPr>
          <w:rStyle w:val="33"/>
          <w:rFonts w:hint="eastAsia" w:ascii="仿宋" w:hAnsi="仿宋" w:eastAsia="仿宋" w:cs="仿宋"/>
          <w:color w:val="auto"/>
        </w:rPr>
        <w:t>一、评审程序</w:t>
      </w:r>
      <w:r>
        <w:rPr>
          <w:color w:val="auto"/>
        </w:rPr>
        <w:tab/>
      </w:r>
      <w:r>
        <w:rPr>
          <w:color w:val="auto"/>
        </w:rPr>
        <w:fldChar w:fldCharType="begin"/>
      </w:r>
      <w:r>
        <w:rPr>
          <w:color w:val="auto"/>
        </w:rPr>
        <w:instrText xml:space="preserve"> PAGEREF _Toc186737807 \h </w:instrText>
      </w:r>
      <w:r>
        <w:rPr>
          <w:color w:val="auto"/>
        </w:rPr>
        <w:fldChar w:fldCharType="separate"/>
      </w:r>
      <w:r>
        <w:rPr>
          <w:color w:val="auto"/>
        </w:rPr>
        <w:t>17</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"_Toc186737808" </w:instrText>
      </w:r>
      <w:r>
        <w:rPr>
          <w:color w:val="auto"/>
        </w:rPr>
        <w:fldChar w:fldCharType="separate"/>
      </w:r>
      <w:r>
        <w:rPr>
          <w:rStyle w:val="33"/>
          <w:rFonts w:hint="eastAsia" w:ascii="仿宋" w:hAnsi="仿宋" w:eastAsia="仿宋" w:cs="仿宋"/>
          <w:color w:val="auto"/>
        </w:rPr>
        <w:t>二、初步评审</w:t>
      </w:r>
      <w:r>
        <w:rPr>
          <w:color w:val="auto"/>
        </w:rPr>
        <w:tab/>
      </w:r>
      <w:r>
        <w:rPr>
          <w:color w:val="auto"/>
        </w:rPr>
        <w:fldChar w:fldCharType="begin"/>
      </w:r>
      <w:r>
        <w:rPr>
          <w:color w:val="auto"/>
        </w:rPr>
        <w:instrText xml:space="preserve"> PAGEREF _Toc186737808 \h </w:instrText>
      </w:r>
      <w:r>
        <w:rPr>
          <w:color w:val="auto"/>
        </w:rPr>
        <w:fldChar w:fldCharType="separate"/>
      </w:r>
      <w:r>
        <w:rPr>
          <w:color w:val="auto"/>
        </w:rPr>
        <w:t>19</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"_Toc186737809" </w:instrText>
      </w:r>
      <w:r>
        <w:rPr>
          <w:color w:val="auto"/>
        </w:rPr>
        <w:fldChar w:fldCharType="separate"/>
      </w:r>
      <w:r>
        <w:rPr>
          <w:rStyle w:val="33"/>
          <w:rFonts w:hint="eastAsia" w:ascii="仿宋" w:hAnsi="仿宋" w:eastAsia="仿宋" w:cs="仿宋"/>
          <w:color w:val="auto"/>
        </w:rPr>
        <w:t>三、详细评审</w:t>
      </w:r>
      <w:r>
        <w:rPr>
          <w:color w:val="auto"/>
        </w:rPr>
        <w:tab/>
      </w:r>
      <w:r>
        <w:rPr>
          <w:color w:val="auto"/>
        </w:rPr>
        <w:fldChar w:fldCharType="begin"/>
      </w:r>
      <w:r>
        <w:rPr>
          <w:color w:val="auto"/>
        </w:rPr>
        <w:instrText xml:space="preserve"> PAGEREF _Toc186737809 \h </w:instrText>
      </w:r>
      <w:r>
        <w:rPr>
          <w:color w:val="auto"/>
        </w:rPr>
        <w:fldChar w:fldCharType="separate"/>
      </w:r>
      <w:r>
        <w:rPr>
          <w:color w:val="auto"/>
        </w:rPr>
        <w:t>20</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"_Toc186737810" </w:instrText>
      </w:r>
      <w:r>
        <w:rPr>
          <w:color w:val="auto"/>
        </w:rPr>
        <w:fldChar w:fldCharType="separate"/>
      </w:r>
      <w:r>
        <w:rPr>
          <w:rStyle w:val="33"/>
          <w:rFonts w:hint="eastAsia" w:ascii="仿宋" w:hAnsi="仿宋" w:eastAsia="仿宋" w:cs="仿宋"/>
          <w:color w:val="auto"/>
        </w:rPr>
        <w:t>第四章</w:t>
      </w:r>
      <w:r>
        <w:rPr>
          <w:rStyle w:val="33"/>
          <w:rFonts w:ascii="仿宋" w:hAnsi="仿宋" w:eastAsia="仿宋" w:cs="仿宋"/>
          <w:color w:val="auto"/>
        </w:rPr>
        <w:t xml:space="preserve"> </w:t>
      </w:r>
      <w:r>
        <w:rPr>
          <w:rStyle w:val="33"/>
          <w:rFonts w:hint="eastAsia" w:ascii="仿宋" w:hAnsi="仿宋" w:eastAsia="仿宋" w:cs="仿宋"/>
          <w:color w:val="auto"/>
        </w:rPr>
        <w:t>合同条款</w:t>
      </w:r>
      <w:r>
        <w:rPr>
          <w:color w:val="auto"/>
        </w:rPr>
        <w:tab/>
      </w:r>
      <w:r>
        <w:rPr>
          <w:color w:val="auto"/>
        </w:rPr>
        <w:fldChar w:fldCharType="begin"/>
      </w:r>
      <w:r>
        <w:rPr>
          <w:color w:val="auto"/>
        </w:rPr>
        <w:instrText xml:space="preserve"> PAGEREF _Toc186737810 \h </w:instrText>
      </w:r>
      <w:r>
        <w:rPr>
          <w:color w:val="auto"/>
        </w:rPr>
        <w:fldChar w:fldCharType="separate"/>
      </w:r>
      <w:r>
        <w:rPr>
          <w:color w:val="auto"/>
        </w:rPr>
        <w:t>22</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"_Toc186737811" </w:instrText>
      </w:r>
      <w:r>
        <w:rPr>
          <w:color w:val="auto"/>
        </w:rPr>
        <w:fldChar w:fldCharType="separate"/>
      </w:r>
      <w:r>
        <w:rPr>
          <w:rStyle w:val="33"/>
          <w:rFonts w:hint="eastAsia" w:ascii="仿宋_GB2312" w:hAnsi="宋体" w:eastAsia="仿宋_GB2312"/>
          <w:color w:val="auto"/>
        </w:rPr>
        <w:t>第五章</w:t>
      </w:r>
      <w:r>
        <w:rPr>
          <w:rStyle w:val="33"/>
          <w:rFonts w:ascii="仿宋_GB2312" w:hAnsi="宋体" w:eastAsia="仿宋_GB2312"/>
          <w:color w:val="auto"/>
        </w:rPr>
        <w:t xml:space="preserve"> </w:t>
      </w:r>
      <w:r>
        <w:rPr>
          <w:rStyle w:val="33"/>
          <w:rFonts w:hint="eastAsia" w:ascii="仿宋_GB2312" w:hAnsi="宋体" w:eastAsia="仿宋_GB2312"/>
          <w:color w:val="auto"/>
        </w:rPr>
        <w:t>采购需求</w:t>
      </w:r>
      <w:r>
        <w:rPr>
          <w:color w:val="auto"/>
        </w:rPr>
        <w:tab/>
      </w:r>
      <w:r>
        <w:rPr>
          <w:color w:val="auto"/>
        </w:rPr>
        <w:fldChar w:fldCharType="begin"/>
      </w:r>
      <w:r>
        <w:rPr>
          <w:color w:val="auto"/>
        </w:rPr>
        <w:instrText xml:space="preserve"> PAGEREF _Toc186737811 \h </w:instrText>
      </w:r>
      <w:r>
        <w:rPr>
          <w:color w:val="auto"/>
        </w:rPr>
        <w:fldChar w:fldCharType="separate"/>
      </w:r>
      <w:r>
        <w:rPr>
          <w:color w:val="auto"/>
        </w:rPr>
        <w:t>23</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"_Toc186737812" </w:instrText>
      </w:r>
      <w:r>
        <w:rPr>
          <w:color w:val="auto"/>
        </w:rPr>
        <w:fldChar w:fldCharType="separate"/>
      </w:r>
      <w:r>
        <w:rPr>
          <w:rStyle w:val="33"/>
          <w:rFonts w:hint="eastAsia" w:ascii="仿宋" w:hAnsi="仿宋" w:eastAsia="仿宋" w:cs="仿宋"/>
          <w:color w:val="auto"/>
        </w:rPr>
        <w:t>第六章</w:t>
      </w:r>
      <w:r>
        <w:rPr>
          <w:rStyle w:val="33"/>
          <w:rFonts w:ascii="仿宋" w:hAnsi="仿宋" w:eastAsia="仿宋" w:cs="仿宋"/>
          <w:color w:val="auto"/>
        </w:rPr>
        <w:t xml:space="preserve"> </w:t>
      </w:r>
      <w:r>
        <w:rPr>
          <w:rStyle w:val="33"/>
          <w:rFonts w:hint="eastAsia" w:ascii="仿宋" w:hAnsi="仿宋" w:eastAsia="仿宋" w:cs="仿宋"/>
          <w:color w:val="auto"/>
        </w:rPr>
        <w:t>响应文件格式</w:t>
      </w:r>
      <w:r>
        <w:rPr>
          <w:color w:val="auto"/>
        </w:rPr>
        <w:tab/>
      </w:r>
      <w:r>
        <w:rPr>
          <w:color w:val="auto"/>
        </w:rPr>
        <w:fldChar w:fldCharType="begin"/>
      </w:r>
      <w:r>
        <w:rPr>
          <w:color w:val="auto"/>
        </w:rPr>
        <w:instrText xml:space="preserve"> PAGEREF _Toc186737812 \h </w:instrText>
      </w:r>
      <w:r>
        <w:rPr>
          <w:color w:val="auto"/>
        </w:rPr>
        <w:fldChar w:fldCharType="separate"/>
      </w:r>
      <w:r>
        <w:rPr>
          <w:color w:val="auto"/>
        </w:rPr>
        <w:t>24</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"_Toc186737813" </w:instrText>
      </w:r>
      <w:r>
        <w:rPr>
          <w:color w:val="auto"/>
        </w:rPr>
        <w:fldChar w:fldCharType="separate"/>
      </w:r>
      <w:r>
        <w:rPr>
          <w:rStyle w:val="33"/>
          <w:rFonts w:hint="eastAsia" w:ascii="仿宋" w:hAnsi="仿宋" w:eastAsia="仿宋" w:cs="仿宋"/>
          <w:color w:val="auto"/>
        </w:rPr>
        <w:t>一、商务文件</w:t>
      </w:r>
      <w:r>
        <w:rPr>
          <w:color w:val="auto"/>
        </w:rPr>
        <w:tab/>
      </w:r>
      <w:r>
        <w:rPr>
          <w:color w:val="auto"/>
        </w:rPr>
        <w:fldChar w:fldCharType="begin"/>
      </w:r>
      <w:r>
        <w:rPr>
          <w:color w:val="auto"/>
        </w:rPr>
        <w:instrText xml:space="preserve"> PAGEREF _Toc186737813 \h </w:instrText>
      </w:r>
      <w:r>
        <w:rPr>
          <w:color w:val="auto"/>
        </w:rPr>
        <w:fldChar w:fldCharType="separate"/>
      </w:r>
      <w:r>
        <w:rPr>
          <w:color w:val="auto"/>
        </w:rPr>
        <w:t>25</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"_Toc186737814" </w:instrText>
      </w:r>
      <w:r>
        <w:rPr>
          <w:color w:val="auto"/>
        </w:rPr>
        <w:fldChar w:fldCharType="separate"/>
      </w:r>
      <w:r>
        <w:rPr>
          <w:rStyle w:val="33"/>
          <w:rFonts w:hint="eastAsia" w:ascii="仿宋" w:hAnsi="仿宋" w:eastAsia="仿宋" w:cs="仿宋"/>
          <w:color w:val="auto"/>
        </w:rPr>
        <w:t>（一）响应函</w:t>
      </w:r>
      <w:r>
        <w:rPr>
          <w:color w:val="auto"/>
        </w:rPr>
        <w:tab/>
      </w:r>
      <w:r>
        <w:rPr>
          <w:color w:val="auto"/>
        </w:rPr>
        <w:fldChar w:fldCharType="begin"/>
      </w:r>
      <w:r>
        <w:rPr>
          <w:color w:val="auto"/>
        </w:rPr>
        <w:instrText xml:space="preserve"> PAGEREF _Toc186737814 \h </w:instrText>
      </w:r>
      <w:r>
        <w:rPr>
          <w:color w:val="auto"/>
        </w:rPr>
        <w:fldChar w:fldCharType="separate"/>
      </w:r>
      <w:r>
        <w:rPr>
          <w:color w:val="auto"/>
        </w:rPr>
        <w:t>27</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"_Toc186737815" </w:instrText>
      </w:r>
      <w:r>
        <w:rPr>
          <w:color w:val="auto"/>
        </w:rPr>
        <w:fldChar w:fldCharType="separate"/>
      </w:r>
      <w:r>
        <w:rPr>
          <w:rStyle w:val="33"/>
          <w:rFonts w:hint="eastAsia" w:ascii="仿宋" w:hAnsi="仿宋" w:eastAsia="仿宋" w:cs="仿宋"/>
          <w:color w:val="auto"/>
        </w:rPr>
        <w:t>（二）法定代表人（负责人）身份证明书</w:t>
      </w:r>
      <w:r>
        <w:rPr>
          <w:color w:val="auto"/>
        </w:rPr>
        <w:tab/>
      </w:r>
      <w:r>
        <w:rPr>
          <w:color w:val="auto"/>
        </w:rPr>
        <w:fldChar w:fldCharType="begin"/>
      </w:r>
      <w:r>
        <w:rPr>
          <w:color w:val="auto"/>
        </w:rPr>
        <w:instrText xml:space="preserve"> PAGEREF _Toc186737815 \h </w:instrText>
      </w:r>
      <w:r>
        <w:rPr>
          <w:color w:val="auto"/>
        </w:rPr>
        <w:fldChar w:fldCharType="separate"/>
      </w:r>
      <w:r>
        <w:rPr>
          <w:color w:val="auto"/>
        </w:rPr>
        <w:t>28</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"_Toc186737816" </w:instrText>
      </w:r>
      <w:r>
        <w:rPr>
          <w:color w:val="auto"/>
        </w:rPr>
        <w:fldChar w:fldCharType="separate"/>
      </w:r>
      <w:r>
        <w:rPr>
          <w:rStyle w:val="33"/>
          <w:rFonts w:hint="eastAsia" w:ascii="仿宋" w:hAnsi="仿宋" w:eastAsia="仿宋" w:cs="仿宋"/>
          <w:color w:val="auto"/>
        </w:rPr>
        <w:t>（三）法定代表人（负责人）授权委托书</w:t>
      </w:r>
      <w:r>
        <w:rPr>
          <w:color w:val="auto"/>
        </w:rPr>
        <w:tab/>
      </w:r>
      <w:r>
        <w:rPr>
          <w:color w:val="auto"/>
        </w:rPr>
        <w:fldChar w:fldCharType="begin"/>
      </w:r>
      <w:r>
        <w:rPr>
          <w:color w:val="auto"/>
        </w:rPr>
        <w:instrText xml:space="preserve"> PAGEREF _Toc186737816 \h </w:instrText>
      </w:r>
      <w:r>
        <w:rPr>
          <w:color w:val="auto"/>
        </w:rPr>
        <w:fldChar w:fldCharType="separate"/>
      </w:r>
      <w:r>
        <w:rPr>
          <w:color w:val="auto"/>
        </w:rPr>
        <w:t>29</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"_Toc186737817" </w:instrText>
      </w:r>
      <w:r>
        <w:rPr>
          <w:color w:val="auto"/>
        </w:rPr>
        <w:fldChar w:fldCharType="separate"/>
      </w:r>
      <w:r>
        <w:rPr>
          <w:rStyle w:val="33"/>
          <w:rFonts w:hint="eastAsia" w:ascii="仿宋" w:hAnsi="仿宋" w:eastAsia="仿宋" w:cs="仿宋"/>
          <w:color w:val="auto"/>
        </w:rPr>
        <w:t>（四）资格证明文件</w:t>
      </w:r>
      <w:r>
        <w:rPr>
          <w:color w:val="auto"/>
        </w:rPr>
        <w:tab/>
      </w:r>
      <w:r>
        <w:rPr>
          <w:color w:val="auto"/>
        </w:rPr>
        <w:fldChar w:fldCharType="begin"/>
      </w:r>
      <w:r>
        <w:rPr>
          <w:color w:val="auto"/>
        </w:rPr>
        <w:instrText xml:space="preserve"> PAGEREF _Toc186737817 \h </w:instrText>
      </w:r>
      <w:r>
        <w:rPr>
          <w:color w:val="auto"/>
        </w:rPr>
        <w:fldChar w:fldCharType="separate"/>
      </w:r>
      <w:r>
        <w:rPr>
          <w:color w:val="auto"/>
        </w:rPr>
        <w:t>30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"_Toc186737818" </w:instrText>
      </w:r>
      <w:r>
        <w:rPr>
          <w:color w:val="auto"/>
        </w:rPr>
        <w:fldChar w:fldCharType="separate"/>
      </w:r>
      <w:r>
        <w:rPr>
          <w:rStyle w:val="33"/>
          <w:rFonts w:hint="eastAsia" w:ascii="仿宋" w:hAnsi="仿宋" w:eastAsia="仿宋" w:cs="仿宋"/>
          <w:color w:val="auto"/>
        </w:rPr>
        <w:t>（五）供应商须知应答偏离表</w:t>
      </w:r>
      <w:r>
        <w:rPr>
          <w:color w:val="auto"/>
        </w:rPr>
        <w:tab/>
      </w:r>
      <w:r>
        <w:rPr>
          <w:color w:val="auto"/>
        </w:rPr>
        <w:fldChar w:fldCharType="begin"/>
      </w:r>
      <w:r>
        <w:rPr>
          <w:color w:val="auto"/>
        </w:rPr>
        <w:instrText xml:space="preserve"> PAGEREF _Toc186737818 \h </w:instrText>
      </w:r>
      <w:r>
        <w:rPr>
          <w:color w:val="auto"/>
        </w:rPr>
        <w:fldChar w:fldCharType="separate"/>
      </w:r>
      <w:r>
        <w:rPr>
          <w:color w:val="auto"/>
        </w:rPr>
        <w:t>40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"_Toc186737819" </w:instrText>
      </w:r>
      <w:r>
        <w:rPr>
          <w:color w:val="auto"/>
        </w:rPr>
        <w:fldChar w:fldCharType="separate"/>
      </w:r>
      <w:r>
        <w:rPr>
          <w:rStyle w:val="33"/>
          <w:rFonts w:hint="eastAsia" w:ascii="仿宋" w:hAnsi="仿宋" w:eastAsia="仿宋" w:cs="仿宋"/>
          <w:color w:val="auto"/>
        </w:rPr>
        <w:t>（七）供应商行为准则承诺书</w:t>
      </w:r>
      <w:r>
        <w:rPr>
          <w:color w:val="auto"/>
        </w:rPr>
        <w:tab/>
      </w:r>
      <w:r>
        <w:rPr>
          <w:color w:val="auto"/>
        </w:rPr>
        <w:fldChar w:fldCharType="begin"/>
      </w:r>
      <w:r>
        <w:rPr>
          <w:color w:val="auto"/>
        </w:rPr>
        <w:instrText xml:space="preserve"> PAGEREF _Toc186737819 \h </w:instrText>
      </w:r>
      <w:r>
        <w:rPr>
          <w:color w:val="auto"/>
        </w:rPr>
        <w:fldChar w:fldCharType="separate"/>
      </w:r>
      <w:r>
        <w:rPr>
          <w:color w:val="auto"/>
        </w:rPr>
        <w:t>42</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"_Toc186737820" </w:instrText>
      </w:r>
      <w:r>
        <w:rPr>
          <w:color w:val="auto"/>
        </w:rPr>
        <w:fldChar w:fldCharType="separate"/>
      </w:r>
      <w:r>
        <w:rPr>
          <w:rStyle w:val="33"/>
          <w:rFonts w:hint="eastAsia" w:ascii="仿宋" w:hAnsi="仿宋" w:eastAsia="仿宋" w:cs="宋体"/>
          <w:color w:val="auto"/>
        </w:rPr>
        <w:t>（八）供应商廉洁诚信承诺书</w:t>
      </w:r>
      <w:r>
        <w:rPr>
          <w:color w:val="auto"/>
        </w:rPr>
        <w:tab/>
      </w:r>
      <w:r>
        <w:rPr>
          <w:color w:val="auto"/>
        </w:rPr>
        <w:fldChar w:fldCharType="begin"/>
      </w:r>
      <w:r>
        <w:rPr>
          <w:color w:val="auto"/>
        </w:rPr>
        <w:instrText xml:space="preserve"> PAGEREF _Toc186737820 \h </w:instrText>
      </w:r>
      <w:r>
        <w:rPr>
          <w:color w:val="auto"/>
        </w:rPr>
        <w:fldChar w:fldCharType="separate"/>
      </w:r>
      <w:r>
        <w:rPr>
          <w:color w:val="auto"/>
        </w:rPr>
        <w:t>44</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"_Toc186737821" </w:instrText>
      </w:r>
      <w:r>
        <w:rPr>
          <w:color w:val="auto"/>
        </w:rPr>
        <w:fldChar w:fldCharType="separate"/>
      </w:r>
      <w:r>
        <w:rPr>
          <w:rStyle w:val="33"/>
          <w:rFonts w:hint="eastAsia" w:ascii="仿宋" w:hAnsi="仿宋" w:eastAsia="仿宋" w:cs="宋体"/>
          <w:color w:val="auto"/>
        </w:rPr>
        <w:t>（九）信息安全采购要求承诺函</w:t>
      </w:r>
      <w:r>
        <w:rPr>
          <w:color w:val="auto"/>
        </w:rPr>
        <w:tab/>
      </w:r>
      <w:r>
        <w:rPr>
          <w:color w:val="auto"/>
        </w:rPr>
        <w:fldChar w:fldCharType="begin"/>
      </w:r>
      <w:r>
        <w:rPr>
          <w:color w:val="auto"/>
        </w:rPr>
        <w:instrText xml:space="preserve"> PAGEREF _Toc186737821 \h </w:instrText>
      </w:r>
      <w:r>
        <w:rPr>
          <w:color w:val="auto"/>
        </w:rPr>
        <w:fldChar w:fldCharType="separate"/>
      </w:r>
      <w:r>
        <w:rPr>
          <w:color w:val="auto"/>
        </w:rPr>
        <w:t>47</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"_Toc186737822" </w:instrText>
      </w:r>
      <w:r>
        <w:rPr>
          <w:color w:val="auto"/>
        </w:rPr>
        <w:fldChar w:fldCharType="separate"/>
      </w:r>
      <w:r>
        <w:rPr>
          <w:rStyle w:val="33"/>
          <w:rFonts w:hint="eastAsia" w:ascii="仿宋" w:hAnsi="仿宋" w:eastAsia="仿宋" w:cs="宋体"/>
          <w:color w:val="auto"/>
        </w:rPr>
        <w:t>（九）其他材料</w:t>
      </w:r>
      <w:r>
        <w:rPr>
          <w:color w:val="auto"/>
        </w:rPr>
        <w:tab/>
      </w:r>
      <w:r>
        <w:rPr>
          <w:color w:val="auto"/>
        </w:rPr>
        <w:fldChar w:fldCharType="begin"/>
      </w:r>
      <w:r>
        <w:rPr>
          <w:color w:val="auto"/>
        </w:rPr>
        <w:instrText xml:space="preserve"> PAGEREF _Toc186737822 \h </w:instrText>
      </w:r>
      <w:r>
        <w:rPr>
          <w:color w:val="auto"/>
        </w:rPr>
        <w:fldChar w:fldCharType="separate"/>
      </w:r>
      <w:r>
        <w:rPr>
          <w:color w:val="auto"/>
        </w:rPr>
        <w:t>49</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"_Toc186737823" </w:instrText>
      </w:r>
      <w:r>
        <w:rPr>
          <w:color w:val="auto"/>
        </w:rPr>
        <w:fldChar w:fldCharType="separate"/>
      </w:r>
      <w:r>
        <w:rPr>
          <w:rStyle w:val="33"/>
          <w:rFonts w:hint="eastAsia" w:ascii="仿宋" w:hAnsi="仿宋" w:eastAsia="仿宋" w:cs="仿宋"/>
          <w:color w:val="auto"/>
        </w:rPr>
        <w:t>二、技术文件</w:t>
      </w:r>
      <w:r>
        <w:rPr>
          <w:color w:val="auto"/>
        </w:rPr>
        <w:tab/>
      </w:r>
      <w:r>
        <w:rPr>
          <w:color w:val="auto"/>
        </w:rPr>
        <w:fldChar w:fldCharType="begin"/>
      </w:r>
      <w:r>
        <w:rPr>
          <w:color w:val="auto"/>
        </w:rPr>
        <w:instrText xml:space="preserve"> PAGEREF _Toc186737823 \h </w:instrText>
      </w:r>
      <w:r>
        <w:rPr>
          <w:color w:val="auto"/>
        </w:rPr>
        <w:fldChar w:fldCharType="separate"/>
      </w:r>
      <w:r>
        <w:rPr>
          <w:color w:val="auto"/>
        </w:rPr>
        <w:t>50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"_Toc186737824" </w:instrText>
      </w:r>
      <w:r>
        <w:rPr>
          <w:color w:val="auto"/>
        </w:rPr>
        <w:fldChar w:fldCharType="separate"/>
      </w:r>
      <w:r>
        <w:rPr>
          <w:rStyle w:val="33"/>
          <w:rFonts w:hint="eastAsia" w:ascii="仿宋" w:hAnsi="仿宋" w:eastAsia="仿宋" w:cs="仿宋"/>
          <w:color w:val="auto"/>
        </w:rPr>
        <w:t>（一）采购需求应答偏离表</w:t>
      </w:r>
      <w:r>
        <w:rPr>
          <w:color w:val="auto"/>
        </w:rPr>
        <w:tab/>
      </w:r>
      <w:r>
        <w:rPr>
          <w:color w:val="auto"/>
        </w:rPr>
        <w:fldChar w:fldCharType="begin"/>
      </w:r>
      <w:r>
        <w:rPr>
          <w:color w:val="auto"/>
        </w:rPr>
        <w:instrText xml:space="preserve"> PAGEREF _Toc186737824 \h </w:instrText>
      </w:r>
      <w:r>
        <w:rPr>
          <w:color w:val="auto"/>
        </w:rPr>
        <w:fldChar w:fldCharType="separate"/>
      </w:r>
      <w:r>
        <w:rPr>
          <w:color w:val="auto"/>
        </w:rPr>
        <w:t>51</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"_Toc186737825" </w:instrText>
      </w:r>
      <w:r>
        <w:rPr>
          <w:color w:val="auto"/>
        </w:rPr>
        <w:fldChar w:fldCharType="separate"/>
      </w:r>
      <w:r>
        <w:rPr>
          <w:rStyle w:val="33"/>
          <w:rFonts w:hint="eastAsia" w:ascii="仿宋" w:hAnsi="仿宋" w:eastAsia="仿宋" w:cs="仿宋"/>
          <w:color w:val="auto"/>
        </w:rPr>
        <w:t>（二）技术方案</w:t>
      </w:r>
      <w:r>
        <w:rPr>
          <w:color w:val="auto"/>
        </w:rPr>
        <w:tab/>
      </w:r>
      <w:r>
        <w:rPr>
          <w:color w:val="auto"/>
        </w:rPr>
        <w:fldChar w:fldCharType="begin"/>
      </w:r>
      <w:r>
        <w:rPr>
          <w:color w:val="auto"/>
        </w:rPr>
        <w:instrText xml:space="preserve"> PAGEREF _Toc186737825 \h </w:instrText>
      </w:r>
      <w:r>
        <w:rPr>
          <w:color w:val="auto"/>
        </w:rPr>
        <w:fldChar w:fldCharType="separate"/>
      </w:r>
      <w:r>
        <w:rPr>
          <w:color w:val="auto"/>
        </w:rPr>
        <w:t>52</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"_Toc186737826" </w:instrText>
      </w:r>
      <w:r>
        <w:rPr>
          <w:color w:val="auto"/>
        </w:rPr>
        <w:fldChar w:fldCharType="separate"/>
      </w:r>
      <w:r>
        <w:rPr>
          <w:rStyle w:val="33"/>
          <w:rFonts w:hint="eastAsia" w:ascii="仿宋" w:hAnsi="仿宋" w:eastAsia="仿宋" w:cs="仿宋"/>
          <w:color w:val="auto"/>
        </w:rPr>
        <w:t>（三）其他材料</w:t>
      </w:r>
      <w:r>
        <w:rPr>
          <w:color w:val="auto"/>
        </w:rPr>
        <w:tab/>
      </w:r>
      <w:r>
        <w:rPr>
          <w:color w:val="auto"/>
        </w:rPr>
        <w:fldChar w:fldCharType="begin"/>
      </w:r>
      <w:r>
        <w:rPr>
          <w:color w:val="auto"/>
        </w:rPr>
        <w:instrText xml:space="preserve"> PAGEREF _Toc186737826 \h </w:instrText>
      </w:r>
      <w:r>
        <w:rPr>
          <w:color w:val="auto"/>
        </w:rPr>
        <w:fldChar w:fldCharType="separate"/>
      </w:r>
      <w:r>
        <w:rPr>
          <w:color w:val="auto"/>
        </w:rPr>
        <w:t>55</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"_Toc186737827" </w:instrText>
      </w:r>
      <w:r>
        <w:rPr>
          <w:color w:val="auto"/>
        </w:rPr>
        <w:fldChar w:fldCharType="separate"/>
      </w:r>
      <w:r>
        <w:rPr>
          <w:rStyle w:val="33"/>
          <w:rFonts w:hint="eastAsia" w:ascii="仿宋" w:hAnsi="仿宋" w:eastAsia="仿宋" w:cs="仿宋"/>
          <w:color w:val="auto"/>
        </w:rPr>
        <w:t>三、报价文件</w:t>
      </w:r>
      <w:r>
        <w:rPr>
          <w:color w:val="auto"/>
        </w:rPr>
        <w:tab/>
      </w:r>
      <w:r>
        <w:rPr>
          <w:color w:val="auto"/>
        </w:rPr>
        <w:fldChar w:fldCharType="begin"/>
      </w:r>
      <w:r>
        <w:rPr>
          <w:color w:val="auto"/>
        </w:rPr>
        <w:instrText xml:space="preserve"> PAGEREF _Toc186737827 \h </w:instrText>
      </w:r>
      <w:r>
        <w:rPr>
          <w:color w:val="auto"/>
        </w:rPr>
        <w:fldChar w:fldCharType="separate"/>
      </w:r>
      <w:r>
        <w:rPr>
          <w:color w:val="auto"/>
        </w:rPr>
        <w:t>2</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"_Toc186737828" </w:instrText>
      </w:r>
      <w:r>
        <w:rPr>
          <w:color w:val="auto"/>
        </w:rPr>
        <w:fldChar w:fldCharType="separate"/>
      </w:r>
      <w:r>
        <w:rPr>
          <w:rStyle w:val="33"/>
          <w:rFonts w:hint="eastAsia" w:ascii="仿宋" w:hAnsi="仿宋" w:eastAsia="仿宋" w:cs="仿宋"/>
          <w:color w:val="auto"/>
        </w:rPr>
        <w:t>（一）报价一览表</w:t>
      </w:r>
      <w:r>
        <w:rPr>
          <w:color w:val="auto"/>
        </w:rPr>
        <w:tab/>
      </w:r>
      <w:r>
        <w:rPr>
          <w:color w:val="auto"/>
        </w:rPr>
        <w:fldChar w:fldCharType="begin"/>
      </w:r>
      <w:r>
        <w:rPr>
          <w:color w:val="auto"/>
        </w:rPr>
        <w:instrText xml:space="preserve"> PAGEREF _Toc186737828 \h </w:instrText>
      </w:r>
      <w:r>
        <w:rPr>
          <w:color w:val="auto"/>
        </w:rPr>
        <w:fldChar w:fldCharType="separate"/>
      </w:r>
      <w:r>
        <w:rPr>
          <w:color w:val="auto"/>
        </w:rPr>
        <w:t>2</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"_Toc186737829" </w:instrText>
      </w:r>
      <w:r>
        <w:rPr>
          <w:color w:val="auto"/>
        </w:rPr>
        <w:fldChar w:fldCharType="separate"/>
      </w:r>
      <w:r>
        <w:rPr>
          <w:rStyle w:val="33"/>
          <w:rFonts w:hint="eastAsia" w:ascii="仿宋" w:hAnsi="仿宋" w:eastAsia="仿宋" w:cs="仿宋"/>
          <w:color w:val="auto"/>
        </w:rPr>
        <w:t>（二）分项报价表</w:t>
      </w:r>
      <w:r>
        <w:rPr>
          <w:color w:val="auto"/>
        </w:rPr>
        <w:tab/>
      </w:r>
      <w:r>
        <w:rPr>
          <w:color w:val="auto"/>
        </w:rPr>
        <w:fldChar w:fldCharType="begin"/>
      </w:r>
      <w:r>
        <w:rPr>
          <w:color w:val="auto"/>
        </w:rPr>
        <w:instrText xml:space="preserve"> PAGEREF _Toc186737829 \h </w:instrText>
      </w:r>
      <w:r>
        <w:rPr>
          <w:color w:val="auto"/>
        </w:rPr>
        <w:fldChar w:fldCharType="separate"/>
      </w:r>
      <w:r>
        <w:rPr>
          <w:color w:val="auto"/>
        </w:rPr>
        <w:t>3</w:t>
      </w:r>
      <w:r>
        <w:rPr>
          <w:color w:val="auto"/>
        </w:rPr>
        <w:fldChar w:fldCharType="end"/>
      </w:r>
      <w:r>
        <w:rPr>
          <w:color w:val="auto"/>
        </w:rPr>
        <w:fldChar w:fldCharType="end"/>
      </w:r>
    </w:p>
    <w:p>
      <w:pPr>
        <w:pStyle w:val="2"/>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2"/>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2"/>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rPr>
        <w:t>人保财险四川巴中市分公司巴州支公司</w:t>
      </w:r>
      <w:r>
        <w:rPr>
          <w:rFonts w:hint="eastAsia" w:ascii="仿宋" w:hAnsi="仿宋" w:eastAsia="仿宋" w:cs="仿宋"/>
          <w:color w:val="auto"/>
          <w:u w:val="single"/>
          <w:lang w:val="en-US" w:eastAsia="zh-CN"/>
        </w:rPr>
        <w:t>1</w:t>
      </w:r>
      <w:r>
        <w:rPr>
          <w:rFonts w:hint="eastAsia" w:ascii="仿宋" w:hAnsi="仿宋" w:eastAsia="仿宋" w:cs="仿宋"/>
          <w:color w:val="auto"/>
          <w:u w:val="single"/>
        </w:rPr>
        <w:t>年</w:t>
      </w:r>
      <w:r>
        <w:rPr>
          <w:rFonts w:hint="eastAsia" w:ascii="仿宋" w:hAnsi="仿宋" w:eastAsia="仿宋" w:cs="仿宋"/>
          <w:color w:val="auto"/>
          <w:u w:val="single"/>
          <w:lang w:val="en-US" w:eastAsia="zh-CN"/>
        </w:rPr>
        <w:t>期</w:t>
      </w:r>
      <w:r>
        <w:rPr>
          <w:rFonts w:hint="eastAsia" w:ascii="仿宋" w:hAnsi="仿宋" w:eastAsia="仿宋" w:cs="仿宋"/>
          <w:color w:val="auto"/>
          <w:u w:val="single"/>
        </w:rPr>
        <w:t>食堂服务采购项目</w:t>
      </w:r>
      <w:r>
        <w:rPr>
          <w:rFonts w:hint="eastAsia" w:ascii="仿宋" w:hAnsi="仿宋" w:eastAsia="仿宋" w:cs="仿宋"/>
          <w:color w:val="auto"/>
        </w:rPr>
        <w:t>（采购项目编号：</w:t>
      </w:r>
      <w:r>
        <w:rPr>
          <w:rFonts w:hint="eastAsia" w:ascii="仿宋" w:hAnsi="仿宋" w:eastAsia="仿宋" w:cs="仿宋"/>
          <w:color w:val="auto"/>
          <w:lang w:val="en-US" w:eastAsia="zh-CN"/>
        </w:rPr>
        <w:t xml:space="preserve">XM26FSPC002500 </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巴中市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巴中市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巴中市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3"/>
        <w:jc w:val="left"/>
        <w:rPr>
          <w:rFonts w:ascii="仿宋" w:hAnsi="仿宋" w:eastAsia="仿宋" w:cs="仿宋"/>
          <w:color w:val="auto"/>
          <w:sz w:val="24"/>
          <w:szCs w:val="24"/>
        </w:rPr>
      </w:pPr>
      <w:bookmarkStart w:id="2" w:name="_Toc186737791"/>
      <w:bookmarkStart w:id="3" w:name="_Toc21237"/>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rPr>
        <w:t>人保财险四川巴中市分公司巴州支公司</w:t>
      </w:r>
      <w:r>
        <w:rPr>
          <w:rFonts w:hint="eastAsia" w:ascii="仿宋" w:hAnsi="仿宋" w:eastAsia="仿宋" w:cs="仿宋"/>
          <w:color w:val="auto"/>
          <w:u w:val="single"/>
          <w:lang w:val="en-US" w:eastAsia="zh-CN"/>
        </w:rPr>
        <w:t>1年期</w:t>
      </w:r>
      <w:r>
        <w:rPr>
          <w:rFonts w:hint="eastAsia" w:ascii="仿宋" w:hAnsi="仿宋" w:eastAsia="仿宋" w:cs="仿宋"/>
          <w:color w:val="auto"/>
          <w:u w:val="single"/>
        </w:rPr>
        <w:t>食堂服务采购项目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采购范围：本项目拟采购巴州支公司</w:t>
      </w:r>
      <w:r>
        <w:rPr>
          <w:rFonts w:hint="eastAsia" w:ascii="仿宋" w:hAnsi="仿宋" w:eastAsia="仿宋" w:cs="仿宋"/>
          <w:color w:val="auto"/>
          <w:lang w:val="en-US" w:eastAsia="zh-CN"/>
        </w:rPr>
        <w:t>1</w:t>
      </w:r>
      <w:r>
        <w:rPr>
          <w:rFonts w:hint="eastAsia" w:ascii="仿宋" w:hAnsi="仿宋" w:eastAsia="仿宋" w:cs="仿宋"/>
          <w:color w:val="auto"/>
        </w:rPr>
        <w:t>年</w:t>
      </w:r>
      <w:r>
        <w:rPr>
          <w:rFonts w:hint="eastAsia" w:ascii="仿宋" w:hAnsi="仿宋" w:eastAsia="仿宋" w:cs="仿宋"/>
          <w:color w:val="auto"/>
          <w:lang w:val="en-US" w:eastAsia="zh-CN"/>
        </w:rPr>
        <w:t>期</w:t>
      </w:r>
      <w:r>
        <w:rPr>
          <w:rFonts w:hint="eastAsia" w:ascii="仿宋" w:hAnsi="仿宋" w:eastAsia="仿宋" w:cs="仿宋"/>
          <w:color w:val="auto"/>
        </w:rPr>
        <w:t>食堂服务，具体技术要求详见第五章采购需求。</w:t>
      </w:r>
    </w:p>
    <w:p>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1</w:t>
      </w:r>
      <w:r>
        <w:rPr>
          <w:rFonts w:hint="eastAsia" w:ascii="仿宋" w:hAnsi="仿宋" w:eastAsia="仿宋" w:cs="宋体"/>
          <w:color w:val="auto"/>
        </w:rPr>
        <w:t>年</w:t>
      </w:r>
      <w:r>
        <w:rPr>
          <w:rFonts w:hint="eastAsia" w:ascii="仿宋" w:hAnsi="仿宋" w:eastAsia="仿宋" w:cs="宋体"/>
          <w:color w:val="auto"/>
          <w:lang w:eastAsia="zh-CN"/>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w:t>
      </w:r>
      <w:r>
        <w:rPr>
          <w:rFonts w:hint="eastAsia" w:ascii="仿宋" w:hAnsi="仿宋" w:eastAsia="仿宋" w:cs="宋体"/>
          <w:color w:val="auto"/>
          <w:lang w:val="en-US" w:eastAsia="zh-CN"/>
        </w:rPr>
        <w:t>巴中市巴州区</w:t>
      </w:r>
      <w:r>
        <w:rPr>
          <w:rFonts w:hint="eastAsia" w:ascii="仿宋" w:hAnsi="仿宋" w:eastAsia="仿宋" w:cs="宋体"/>
          <w:color w:val="auto"/>
        </w:rPr>
        <w:t>。</w:t>
      </w:r>
    </w:p>
    <w:p>
      <w:pPr>
        <w:pStyle w:val="1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w:t>
      </w:r>
      <w:r>
        <w:rPr>
          <w:rFonts w:hint="eastAsia" w:ascii="仿宋" w:hAnsi="仿宋" w:eastAsia="仿宋" w:cs="仿宋"/>
          <w:color w:val="auto"/>
          <w:sz w:val="24"/>
          <w:szCs w:val="24"/>
          <w:lang w:val="en-US" w:eastAsia="zh-CN" w:bidi="ar-SA"/>
        </w:rPr>
        <w:t>单价不超过22元/人，年度</w:t>
      </w:r>
      <w:r>
        <w:rPr>
          <w:rFonts w:ascii="仿宋" w:hAnsi="仿宋" w:eastAsia="仿宋" w:cs="仿宋"/>
          <w:color w:val="auto"/>
        </w:rPr>
        <w:t>不得高于</w:t>
      </w:r>
      <w:r>
        <w:rPr>
          <w:rFonts w:hint="eastAsia" w:ascii="仿宋" w:hAnsi="仿宋" w:eastAsia="仿宋" w:cs="仿宋"/>
          <w:color w:val="auto"/>
          <w:lang w:val="en-US" w:eastAsia="zh-CN"/>
        </w:rPr>
        <w:t>7.5504万元。</w:t>
      </w:r>
    </w:p>
    <w:p>
      <w:pPr>
        <w:pStyle w:val="3"/>
        <w:jc w:val="left"/>
        <w:rPr>
          <w:rFonts w:ascii="仿宋" w:hAnsi="仿宋" w:eastAsia="仿宋" w:cs="仿宋"/>
          <w:color w:val="auto"/>
          <w:sz w:val="24"/>
          <w:szCs w:val="24"/>
        </w:rPr>
      </w:pPr>
      <w:bookmarkStart w:id="4" w:name="_Toc186737792"/>
      <w:bookmarkStart w:id="5" w:name="_Toc17569"/>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23</w:t>
      </w:r>
      <w:r>
        <w:rPr>
          <w:rFonts w:hint="eastAsia" w:ascii="仿宋" w:hAnsi="仿宋" w:eastAsia="仿宋" w:cs="宋体"/>
          <w:color w:val="auto"/>
        </w:rPr>
        <w:t>年</w:t>
      </w:r>
      <w:r>
        <w:rPr>
          <w:rFonts w:hint="eastAsia" w:ascii="仿宋" w:hAnsi="仿宋" w:eastAsia="仿宋" w:cs="宋体"/>
          <w:color w:val="auto"/>
          <w:lang w:val="en-US" w:eastAsia="zh-CN"/>
        </w:rPr>
        <w:t>以来任意一年度</w:t>
      </w:r>
      <w:r>
        <w:rPr>
          <w:rFonts w:hint="eastAsia" w:ascii="仿宋" w:hAnsi="仿宋" w:eastAsia="仿宋" w:cs="宋体"/>
          <w:color w:val="auto"/>
        </w:rPr>
        <w:t>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5</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2.7</w:t>
      </w:r>
      <w:r>
        <w:rPr>
          <w:rFonts w:hint="eastAsia" w:ascii="仿宋" w:hAnsi="仿宋" w:eastAsia="仿宋" w:cs="宋体"/>
          <w:b/>
          <w:bCs/>
          <w:color w:val="auto"/>
        </w:rPr>
        <w:t>单位负责人为同一人或存在控股、管理关系的不同单位，不得参加同一标段/标包比选响应或未划分标段/标包的同一采购项目的比选响应</w:t>
      </w:r>
      <w:r>
        <w:rPr>
          <w:rFonts w:hint="eastAsia" w:ascii="仿宋" w:hAnsi="仿宋" w:eastAsia="仿宋" w:cs="宋体"/>
          <w:color w:val="auto"/>
        </w:rPr>
        <w:t>，需填写《供应商控股及管理关系情况申报表》。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2.8</w:t>
      </w:r>
      <w:r>
        <w:rPr>
          <w:rFonts w:hint="eastAsia" w:ascii="仿宋" w:hAnsi="仿宋" w:eastAsia="仿宋" w:cs="宋体"/>
          <w:b/>
          <w:bCs/>
          <w:color w:val="auto"/>
        </w:rPr>
        <w:t>本项目不接受联合体比选响应。</w:t>
      </w:r>
      <w:r>
        <w:rPr>
          <w:rFonts w:hint="eastAsia" w:ascii="仿宋" w:hAnsi="仿宋" w:eastAsia="仿宋" w:cs="宋体"/>
          <w:color w:val="auto"/>
        </w:rPr>
        <w:t>提供承诺函，格式详见第六章响应文件格式。</w:t>
      </w:r>
    </w:p>
    <w:p>
      <w:pPr>
        <w:pStyle w:val="12"/>
        <w:ind w:firstLine="480" w:firstLineChars="200"/>
        <w:rPr>
          <w:rFonts w:hint="eastAsia" w:ascii="仿宋_GB2312" w:hAnsi="宋体" w:eastAsia="仿宋_GB2312"/>
          <w:b/>
          <w:bCs/>
          <w:color w:val="auto"/>
        </w:rPr>
      </w:pPr>
      <w:r>
        <w:rPr>
          <w:rFonts w:hint="eastAsia" w:ascii="仿宋" w:hAnsi="仿宋" w:eastAsia="仿宋" w:cs="宋体"/>
          <w:color w:val="auto"/>
        </w:rPr>
        <w:t>2.</w:t>
      </w:r>
      <w:r>
        <w:rPr>
          <w:rFonts w:hint="eastAsia" w:ascii="仿宋_GB2312" w:hAnsi="宋体" w:eastAsia="仿宋_GB2312"/>
          <w:color w:val="auto"/>
        </w:rPr>
        <w:t>9</w:t>
      </w:r>
      <w:r>
        <w:rPr>
          <w:rFonts w:hint="eastAsia" w:ascii="仿宋_GB2312" w:hAnsi="宋体" w:eastAsia="仿宋_GB2312"/>
          <w:b/>
          <w:bCs/>
          <w:color w:val="auto"/>
          <w:lang w:val="en-US" w:eastAsia="zh-CN"/>
        </w:rPr>
        <w:t xml:space="preserve"> </w:t>
      </w:r>
      <w:r>
        <w:rPr>
          <w:rFonts w:hint="eastAsia" w:ascii="仿宋_GB2312" w:hAnsi="宋体" w:eastAsia="仿宋_GB2312"/>
          <w:b/>
          <w:bCs/>
          <w:color w:val="auto"/>
        </w:rPr>
        <w:t>特殊资质条件</w:t>
      </w:r>
    </w:p>
    <w:p>
      <w:pPr>
        <w:pStyle w:val="12"/>
        <w:ind w:firstLine="480" w:firstLineChars="200"/>
        <w:rPr>
          <w:rFonts w:hint="eastAsia" w:ascii="仿宋" w:hAnsi="仿宋" w:eastAsia="仿宋" w:cs="宋体"/>
          <w:color w:val="auto"/>
        </w:rPr>
      </w:pPr>
      <w:r>
        <w:rPr>
          <w:rFonts w:hint="eastAsia" w:ascii="仿宋" w:hAnsi="仿宋" w:eastAsia="仿宋" w:cs="宋体"/>
          <w:color w:val="auto"/>
        </w:rPr>
        <w:t>具备国家规定的必须具备的相关资质、证书，如食品经营资质、卫生许可证等；</w:t>
      </w:r>
    </w:p>
    <w:p>
      <w:pPr>
        <w:pStyle w:val="3"/>
        <w:spacing w:after="240"/>
        <w:jc w:val="left"/>
        <w:rPr>
          <w:rFonts w:ascii="仿宋" w:hAnsi="仿宋" w:eastAsia="仿宋" w:cs="仿宋"/>
          <w:color w:val="auto"/>
          <w:sz w:val="24"/>
          <w:szCs w:val="24"/>
        </w:rPr>
      </w:pPr>
      <w:bookmarkStart w:id="6" w:name="_Toc2019"/>
      <w:bookmarkStart w:id="7" w:name="_Toc186737793"/>
      <w:r>
        <w:rPr>
          <w:rFonts w:hint="eastAsia" w:ascii="仿宋" w:hAnsi="仿宋" w:eastAsia="仿宋" w:cs="仿宋"/>
          <w:color w:val="auto"/>
          <w:sz w:val="24"/>
          <w:szCs w:val="24"/>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12</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17</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8:30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12:00</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14:00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18:00</w:t>
      </w:r>
      <w:r>
        <w:rPr>
          <w:rFonts w:hint="eastAsia" w:ascii="仿宋" w:hAnsi="仿宋" w:eastAsia="仿宋" w:cs="宋体"/>
          <w:color w:val="auto"/>
          <w:sz w:val="24"/>
          <w:szCs w:val="24"/>
        </w:rPr>
        <w:t>时（北京时间，下同）。</w:t>
      </w:r>
    </w:p>
    <w:p>
      <w:pPr>
        <w:pStyle w:val="10"/>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.2拟报名参加本项目的供应商，请通过“人保e采”外网门户获取比选文件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pPr>
        <w:pStyle w:val="3"/>
        <w:jc w:val="left"/>
        <w:rPr>
          <w:rFonts w:ascii="仿宋" w:hAnsi="仿宋" w:eastAsia="仿宋" w:cs="仿宋"/>
          <w:color w:val="auto"/>
          <w:sz w:val="24"/>
          <w:szCs w:val="24"/>
        </w:rPr>
      </w:pPr>
      <w:bookmarkStart w:id="8" w:name="_Toc186737794"/>
      <w:bookmarkStart w:id="9" w:name="_Toc32115"/>
      <w:r>
        <w:rPr>
          <w:rFonts w:hint="eastAsia" w:ascii="仿宋" w:hAnsi="仿宋" w:eastAsia="仿宋" w:cs="仿宋"/>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21</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w:t>
      </w:r>
      <w:r>
        <w:rPr>
          <w:rFonts w:hint="eastAsia" w:ascii="仿宋" w:hAnsi="仿宋" w:eastAsia="仿宋" w:cs="宋体"/>
          <w:color w:val="auto"/>
          <w:lang w:val="en-US" w:eastAsia="zh-CN"/>
        </w:rPr>
        <w:t>四川省巴中市巴州区张思训街90号）</w:t>
      </w:r>
      <w:r>
        <w:rPr>
          <w:rFonts w:hint="eastAsia" w:ascii="仿宋" w:hAnsi="仿宋" w:eastAsia="仿宋" w:cs="宋体"/>
          <w:color w:val="auto"/>
        </w:rPr>
        <w:t>，</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3"/>
        <w:jc w:val="left"/>
        <w:rPr>
          <w:rFonts w:ascii="仿宋" w:hAnsi="仿宋" w:eastAsia="仿宋" w:cs="仿宋"/>
          <w:color w:val="auto"/>
          <w:sz w:val="24"/>
          <w:szCs w:val="24"/>
        </w:rPr>
      </w:pPr>
      <w:bookmarkStart w:id="10" w:name="_Toc874"/>
      <w:bookmarkStart w:id="11" w:name="_Toc186737795"/>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3"/>
        <w:jc w:val="left"/>
        <w:rPr>
          <w:rFonts w:ascii="仿宋" w:hAnsi="仿宋" w:eastAsia="仿宋" w:cs="仿宋"/>
          <w:color w:val="auto"/>
          <w:sz w:val="24"/>
          <w:szCs w:val="24"/>
        </w:rPr>
      </w:pPr>
      <w:bookmarkStart w:id="12" w:name="_Toc186737796"/>
      <w:bookmarkStart w:id="13" w:name="_Toc30596"/>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巴中市</w:t>
      </w:r>
      <w:r>
        <w:rPr>
          <w:rFonts w:hint="eastAsia" w:ascii="仿宋" w:hAnsi="仿宋" w:eastAsia="仿宋" w:cs="仿宋"/>
          <w:b/>
          <w:bCs/>
          <w:color w:val="auto"/>
        </w:rPr>
        <w:t>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地址：四川省巴中市巴州区张思训街90号</w:t>
      </w:r>
      <w:r>
        <w:rPr>
          <w:rFonts w:ascii="仿宋" w:hAnsi="仿宋" w:eastAsia="仿宋" w:cs="宋体"/>
          <w:color w:val="auto"/>
        </w:rPr>
        <w:t xml:space="preserve"> </w:t>
      </w:r>
    </w:p>
    <w:p>
      <w:pPr>
        <w:spacing w:line="360" w:lineRule="auto"/>
        <w:ind w:firstLine="420" w:firstLineChars="175"/>
        <w:rPr>
          <w:rFonts w:hint="eastAsia" w:ascii="仿宋" w:hAnsi="仿宋" w:eastAsia="仿宋" w:cs="仿宋"/>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何丹</w:t>
      </w:r>
    </w:p>
    <w:p>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0727-5262677</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w:t>
      </w:r>
      <w:r>
        <w:rPr>
          <w:rFonts w:hint="eastAsia" w:ascii="仿宋" w:hAnsi="仿宋" w:eastAsia="仿宋" w:cs="宋体"/>
          <w:color w:val="auto"/>
          <w:lang w:val="en-US" w:eastAsia="zh-CN"/>
        </w:rPr>
        <w:t>hedan03@sic.picc.com.cn</w:t>
      </w:r>
    </w:p>
    <w:p>
      <w:pPr>
        <w:spacing w:line="360" w:lineRule="auto"/>
        <w:ind w:firstLine="480" w:firstLineChars="200"/>
        <w:jc w:val="right"/>
        <w:textAlignment w:val="baseline"/>
        <w:rPr>
          <w:rFonts w:ascii="仿宋" w:hAnsi="仿宋" w:eastAsia="仿宋" w:cs="宋体"/>
          <w:color w:val="auto"/>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巴中市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7</w:t>
      </w:r>
      <w:r>
        <w:rPr>
          <w:rFonts w:hint="eastAsia" w:ascii="仿宋" w:hAnsi="仿宋" w:eastAsia="仿宋" w:cs="宋体"/>
          <w:color w:val="auto"/>
        </w:rPr>
        <w:t>月</w:t>
      </w:r>
      <w:r>
        <w:rPr>
          <w:rFonts w:hint="eastAsia" w:ascii="仿宋" w:hAnsi="仿宋" w:eastAsia="仿宋" w:cs="宋体"/>
          <w:color w:val="auto"/>
          <w:lang w:val="en-US" w:eastAsia="zh-CN"/>
        </w:rPr>
        <w:t>28</w:t>
      </w:r>
      <w:r>
        <w:rPr>
          <w:rFonts w:hint="eastAsia" w:ascii="仿宋" w:hAnsi="仿宋" w:eastAsia="仿宋" w:cs="宋体"/>
          <w:color w:val="auto"/>
        </w:rPr>
        <w:t>日</w:t>
      </w:r>
    </w:p>
    <w:p>
      <w:pPr>
        <w:pStyle w:val="2"/>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6737797"/>
      <w:r>
        <w:rPr>
          <w:rFonts w:hint="eastAsia" w:ascii="仿宋_GB2312" w:hAnsi="宋体" w:eastAsia="仿宋_GB2312"/>
          <w:color w:val="auto"/>
          <w:sz w:val="28"/>
          <w:szCs w:val="28"/>
        </w:rPr>
        <w:t>第二章 供应商须知</w:t>
      </w:r>
      <w:bookmarkEnd w:id="14"/>
      <w:bookmarkEnd w:id="15"/>
    </w:p>
    <w:p>
      <w:pPr>
        <w:pStyle w:val="3"/>
        <w:adjustRightInd w:val="0"/>
        <w:snapToGrid w:val="0"/>
        <w:spacing w:before="0" w:after="0"/>
        <w:rPr>
          <w:color w:val="auto"/>
          <w:sz w:val="24"/>
          <w:szCs w:val="24"/>
        </w:rPr>
      </w:pPr>
      <w:bookmarkStart w:id="16" w:name="_Toc186737798"/>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（一）报价一览表</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份（为签字盖章后的PDF扫描件，</w:t>
            </w:r>
            <w:r>
              <w:rPr>
                <w:rFonts w:hint="eastAsia" w:ascii="仿宋" w:hAnsi="仿宋" w:eastAsia="仿宋"/>
                <w:color w:val="auto"/>
                <w:sz w:val="21"/>
                <w:szCs w:val="21"/>
                <w:lang w:val="en-US" w:eastAsia="zh-CN"/>
              </w:rPr>
              <w:t>用U盘作为存储</w:t>
            </w:r>
            <w:r>
              <w:rPr>
                <w:rFonts w:hint="eastAsia" w:ascii="仿宋" w:hAnsi="仿宋" w:eastAsia="仿宋"/>
                <w:color w:val="auto"/>
                <w:sz w:val="21"/>
                <w:szCs w:val="21"/>
                <w:lang w:eastAsia="zh-CN"/>
              </w:rPr>
              <w:t>）；纸质文件正本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3</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vAlign w:val="center"/>
          </w:tcPr>
          <w:p>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供应商至少应派法定代表人或其授权委托人准时参会。第一轮谈判结束</w:t>
            </w:r>
          </w:p>
          <w:p>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后，供应商提交第一轮报价及谈判小组要求提供的其他文件，谈判小组</w:t>
            </w:r>
          </w:p>
          <w:p>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将视具体情况决定是否进行多轮谈判及报价。最后一轮谈判结束后，供</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应商提交最后报价并签署相关承诺性文件。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商务</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巴中市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巴中市</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12"/>
        <w:rPr>
          <w:rFonts w:ascii="仿宋_GB2312" w:eastAsia="仿宋_GB2312"/>
          <w:color w:val="auto"/>
        </w:rPr>
      </w:pPr>
    </w:p>
    <w:p>
      <w:pPr>
        <w:pStyle w:val="12"/>
        <w:rPr>
          <w:rFonts w:ascii="仿宋_GB2312" w:eastAsia="仿宋_GB2312"/>
          <w:color w:val="auto"/>
        </w:rPr>
      </w:pPr>
    </w:p>
    <w:p>
      <w:pPr>
        <w:pStyle w:val="12"/>
        <w:rPr>
          <w:rFonts w:ascii="仿宋_GB2312" w:eastAsia="仿宋_GB2312"/>
          <w:color w:val="auto"/>
        </w:rPr>
      </w:pPr>
    </w:p>
    <w:p>
      <w:pPr>
        <w:pStyle w:val="12"/>
        <w:rPr>
          <w:rFonts w:ascii="仿宋_GB2312" w:eastAsia="仿宋_GB2312"/>
          <w:color w:val="auto"/>
        </w:rPr>
      </w:pPr>
    </w:p>
    <w:p>
      <w:pPr>
        <w:pStyle w:val="12"/>
        <w:rPr>
          <w:rFonts w:ascii="仿宋_GB2312" w:eastAsia="仿宋_GB2312"/>
          <w:color w:val="auto"/>
        </w:rPr>
      </w:pPr>
    </w:p>
    <w:p>
      <w:pPr>
        <w:pStyle w:val="12"/>
        <w:rPr>
          <w:rFonts w:ascii="仿宋_GB2312" w:eastAsia="仿宋_GB2312"/>
          <w:color w:val="auto"/>
        </w:rPr>
      </w:pPr>
    </w:p>
    <w:p>
      <w:pPr>
        <w:pStyle w:val="3"/>
        <w:jc w:val="left"/>
        <w:rPr>
          <w:rFonts w:ascii="仿宋" w:hAnsi="仿宋" w:eastAsia="仿宋" w:cs="仿宋"/>
          <w:color w:val="auto"/>
          <w:sz w:val="24"/>
          <w:szCs w:val="24"/>
        </w:rPr>
      </w:pPr>
      <w:bookmarkStart w:id="17" w:name="_Toc517281816"/>
      <w:bookmarkStart w:id="18" w:name="_Toc287600118"/>
      <w:bookmarkStart w:id="19" w:name="_Toc6047"/>
      <w:bookmarkStart w:id="20" w:name="_Toc20514"/>
      <w:bookmarkStart w:id="21" w:name="_Toc27232"/>
      <w:bookmarkStart w:id="22" w:name="_Toc11071"/>
      <w:bookmarkStart w:id="23" w:name="_Toc444891336"/>
      <w:bookmarkStart w:id="24" w:name="_Toc19783313"/>
      <w:bookmarkStart w:id="25" w:name="_Toc186737799"/>
      <w:bookmarkStart w:id="26" w:name="_Toc27220"/>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4"/>
        <w:spacing w:before="0" w:after="0" w:line="360" w:lineRule="auto"/>
        <w:ind w:firstLine="482"/>
        <w:rPr>
          <w:rFonts w:ascii="仿宋" w:hAnsi="仿宋" w:eastAsia="仿宋" w:cs="仿宋"/>
          <w:color w:val="auto"/>
          <w:sz w:val="24"/>
          <w:szCs w:val="24"/>
        </w:rPr>
      </w:pPr>
      <w:bookmarkStart w:id="27" w:name="_Toc444891337"/>
      <w:bookmarkStart w:id="28" w:name="_Toc3678"/>
      <w:bookmarkStart w:id="29" w:name="_Toc19783314"/>
      <w:bookmarkStart w:id="30" w:name="_Toc22969"/>
      <w:bookmarkStart w:id="31" w:name="_Toc16441"/>
      <w:bookmarkStart w:id="32" w:name="_Toc186737800"/>
      <w:bookmarkStart w:id="33" w:name="_Toc431"/>
      <w:bookmarkStart w:id="34" w:name="_Toc11851"/>
      <w:bookmarkStart w:id="35" w:name="_Toc287600119"/>
      <w:bookmarkStart w:id="36" w:name="_Toc6681"/>
      <w:bookmarkStart w:id="37" w:name="_Toc517281817"/>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4"/>
        <w:spacing w:after="0" w:line="360" w:lineRule="auto"/>
        <w:ind w:firstLine="482"/>
        <w:rPr>
          <w:rFonts w:ascii="仿宋" w:hAnsi="仿宋" w:eastAsia="仿宋" w:cs="仿宋"/>
          <w:color w:val="auto"/>
          <w:sz w:val="24"/>
          <w:szCs w:val="24"/>
        </w:rPr>
      </w:pPr>
      <w:bookmarkStart w:id="38" w:name="_Toc14164"/>
      <w:bookmarkStart w:id="39" w:name="_Toc444891338"/>
      <w:bookmarkStart w:id="40" w:name="_Toc25513"/>
      <w:bookmarkStart w:id="41" w:name="_Toc287600120"/>
      <w:bookmarkStart w:id="42" w:name="_Toc517281818"/>
      <w:bookmarkStart w:id="43" w:name="_Toc5255"/>
      <w:bookmarkStart w:id="44" w:name="_Toc186737801"/>
      <w:bookmarkStart w:id="45" w:name="_Toc24246"/>
      <w:bookmarkStart w:id="46" w:name="_Toc10975"/>
      <w:bookmarkStart w:id="47" w:name="_Toc19783315"/>
      <w:bookmarkStart w:id="48" w:name="_Toc3016"/>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第一章 竞争性谈判邀请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4"/>
        <w:spacing w:after="0" w:line="360" w:lineRule="auto"/>
        <w:jc w:val="center"/>
        <w:rPr>
          <w:rFonts w:ascii="仿宋" w:hAnsi="仿宋" w:eastAsia="仿宋" w:cs="仿宋"/>
          <w:color w:val="auto"/>
          <w:sz w:val="24"/>
          <w:szCs w:val="24"/>
        </w:rPr>
      </w:pPr>
      <w:bookmarkStart w:id="49" w:name="_Toc31141"/>
      <w:bookmarkStart w:id="50" w:name="_Toc16985"/>
      <w:bookmarkStart w:id="51" w:name="_Toc287600121"/>
      <w:bookmarkStart w:id="52" w:name="_Toc517281819"/>
      <w:bookmarkStart w:id="53" w:name="_Toc14308"/>
      <w:bookmarkStart w:id="54" w:name="_Toc19783316"/>
      <w:bookmarkStart w:id="55" w:name="_Toc27642"/>
      <w:bookmarkStart w:id="56" w:name="_Toc444891339"/>
      <w:bookmarkStart w:id="57" w:name="_Toc13691"/>
      <w:bookmarkStart w:id="58" w:name="_Toc27563"/>
      <w:bookmarkStart w:id="59" w:name="_Toc186737802"/>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4"/>
        <w:spacing w:after="0" w:line="360" w:lineRule="auto"/>
        <w:ind w:firstLine="482"/>
        <w:rPr>
          <w:rFonts w:ascii="仿宋" w:hAnsi="仿宋" w:eastAsia="仿宋" w:cs="仿宋"/>
          <w:color w:val="auto"/>
          <w:sz w:val="24"/>
          <w:szCs w:val="24"/>
        </w:rPr>
      </w:pPr>
      <w:bookmarkStart w:id="61" w:name="_Toc18673"/>
      <w:bookmarkStart w:id="62" w:name="_Toc14726"/>
      <w:bookmarkStart w:id="63" w:name="_Toc19783317"/>
      <w:bookmarkStart w:id="64" w:name="_Toc444891340"/>
      <w:bookmarkStart w:id="65" w:name="_Toc517281820"/>
      <w:bookmarkStart w:id="66" w:name="_Toc21600"/>
      <w:bookmarkStart w:id="67" w:name="_Toc287600122"/>
      <w:bookmarkStart w:id="68" w:name="_Toc4155"/>
      <w:bookmarkStart w:id="69" w:name="_Toc7129"/>
      <w:bookmarkStart w:id="70" w:name="_Toc186737803"/>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12"/>
        <w:spacing w:line="360" w:lineRule="auto"/>
        <w:rPr>
          <w:color w:val="auto"/>
        </w:rPr>
      </w:pPr>
      <w:bookmarkStart w:id="72" w:name="_Toc152042334"/>
      <w:bookmarkStart w:id="73" w:name="_Toc152045558"/>
      <w:bookmarkStart w:id="74" w:name="_Toc247085716"/>
      <w:bookmarkStart w:id="75" w:name="_Toc334766948"/>
      <w:bookmarkStart w:id="76" w:name="_Toc179632576"/>
      <w:bookmarkStart w:id="77" w:name="_Toc332188194"/>
      <w:bookmarkStart w:id="78" w:name="_Toc144974526"/>
      <w:bookmarkStart w:id="79" w:name="_Toc326223561"/>
      <w:bookmarkStart w:id="80" w:name="_Toc246996945"/>
      <w:bookmarkStart w:id="81" w:name="_Toc246996202"/>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4"/>
        <w:spacing w:before="0" w:after="0" w:line="360" w:lineRule="auto"/>
        <w:ind w:firstLine="482"/>
        <w:rPr>
          <w:rFonts w:ascii="仿宋" w:hAnsi="仿宋" w:eastAsia="仿宋" w:cs="仿宋"/>
          <w:color w:val="auto"/>
          <w:sz w:val="24"/>
          <w:szCs w:val="24"/>
        </w:rPr>
      </w:pPr>
      <w:bookmarkStart w:id="82" w:name="_Toc2636"/>
      <w:bookmarkStart w:id="83" w:name="_Toc186737804"/>
      <w:bookmarkStart w:id="84" w:name="_Toc20741"/>
      <w:bookmarkStart w:id="85" w:name="_Toc30466"/>
      <w:bookmarkStart w:id="86" w:name="_Toc2055"/>
      <w:bookmarkStart w:id="87" w:name="_Toc12797"/>
      <w:bookmarkStart w:id="88" w:name="_Toc444891341"/>
      <w:bookmarkStart w:id="89" w:name="_Toc11361"/>
      <w:bookmarkStart w:id="90" w:name="_Toc287600123"/>
      <w:bookmarkStart w:id="91" w:name="_Toc517281821"/>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pPr>
        <w:pStyle w:val="5"/>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5"/>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1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1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1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4"/>
        <w:spacing w:before="0" w:after="0" w:line="360" w:lineRule="auto"/>
        <w:ind w:firstLine="482"/>
        <w:rPr>
          <w:rFonts w:ascii="仿宋" w:hAnsi="仿宋" w:eastAsia="仿宋" w:cs="仿宋"/>
          <w:color w:val="auto"/>
          <w:sz w:val="24"/>
          <w:szCs w:val="24"/>
        </w:rPr>
      </w:pPr>
      <w:bookmarkStart w:id="95" w:name="_Toc16781"/>
      <w:bookmarkStart w:id="96" w:name="_Toc28031"/>
      <w:bookmarkStart w:id="97" w:name="_Toc287600124"/>
      <w:bookmarkStart w:id="98" w:name="_Toc186737805"/>
      <w:bookmarkStart w:id="99" w:name="_Toc13936"/>
      <w:bookmarkStart w:id="100" w:name="_Toc2322"/>
      <w:bookmarkStart w:id="101" w:name="_Toc234223231"/>
      <w:bookmarkStart w:id="102" w:name="_Toc19451"/>
      <w:bookmarkStart w:id="103" w:name="_Toc9911"/>
      <w:bookmarkStart w:id="104" w:name="_Toc517281822"/>
      <w:bookmarkStart w:id="105" w:name="_Toc444891342"/>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5"/>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2"/>
        <w:spacing w:before="0" w:after="0"/>
        <w:jc w:val="left"/>
        <w:rPr>
          <w:rFonts w:ascii="仿宋" w:hAnsi="仿宋" w:eastAsia="仿宋" w:cs="仿宋"/>
          <w:color w:val="auto"/>
          <w:sz w:val="28"/>
          <w:szCs w:val="28"/>
        </w:rPr>
      </w:pPr>
      <w:bookmarkStart w:id="107" w:name="_Toc186737806"/>
      <w:bookmarkStart w:id="108" w:name="_Toc10670"/>
      <w:bookmarkStart w:id="109" w:name="_Toc8109"/>
      <w:r>
        <w:rPr>
          <w:rFonts w:hint="eastAsia" w:ascii="仿宋" w:hAnsi="仿宋" w:eastAsia="仿宋" w:cs="仿宋"/>
          <w:color w:val="auto"/>
          <w:sz w:val="28"/>
          <w:szCs w:val="28"/>
        </w:rPr>
        <w:t>第三章 评审办法</w:t>
      </w:r>
      <w:bookmarkEnd w:id="107"/>
      <w:bookmarkEnd w:id="108"/>
    </w:p>
    <w:p>
      <w:pPr>
        <w:pStyle w:val="3"/>
        <w:jc w:val="left"/>
        <w:rPr>
          <w:rFonts w:ascii="仿宋" w:hAnsi="仿宋" w:eastAsia="仿宋" w:cs="仿宋"/>
          <w:color w:val="auto"/>
          <w:sz w:val="24"/>
          <w:szCs w:val="24"/>
        </w:rPr>
      </w:pPr>
      <w:bookmarkStart w:id="110" w:name="_Toc7201"/>
      <w:bookmarkStart w:id="111" w:name="_Toc517281825"/>
      <w:bookmarkStart w:id="112" w:name="_Toc444891344"/>
      <w:bookmarkStart w:id="113" w:name="_Toc186737807"/>
      <w:bookmarkStart w:id="114" w:name="_Toc227057964"/>
      <w:bookmarkStart w:id="115" w:name="_Toc226969358"/>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3"/>
        <w:jc w:val="left"/>
        <w:rPr>
          <w:rFonts w:ascii="仿宋" w:hAnsi="仿宋" w:eastAsia="仿宋" w:cs="仿宋"/>
          <w:color w:val="auto"/>
          <w:sz w:val="24"/>
          <w:szCs w:val="24"/>
        </w:rPr>
      </w:pPr>
      <w:bookmarkStart w:id="116" w:name="_Toc444891345"/>
      <w:bookmarkStart w:id="117" w:name="_Toc517281826"/>
      <w:r>
        <w:rPr>
          <w:rFonts w:hint="eastAsia" w:ascii="仿宋" w:hAnsi="仿宋" w:eastAsia="仿宋" w:cs="仿宋"/>
          <w:color w:val="auto"/>
          <w:sz w:val="24"/>
          <w:szCs w:val="24"/>
        </w:rPr>
        <w:br w:type="page"/>
      </w:r>
      <w:bookmarkStart w:id="118" w:name="_Toc186737808"/>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4"/>
        <w:gridCol w:w="1338"/>
        <w:gridCol w:w="2405"/>
        <w:gridCol w:w="677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2"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2"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2"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2"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vAlign w:val="center"/>
          </w:tcPr>
          <w:p>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资格评审标准</w:t>
            </w:r>
          </w:p>
        </w:tc>
        <w:tc>
          <w:tcPr>
            <w:tcW w:w="1066" w:type="pct"/>
            <w:vAlign w:val="center"/>
          </w:tcPr>
          <w:p>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具有独立承担民事责任的能力</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jc w:val="center"/>
              <w:rPr>
                <w:rFonts w:hint="eastAsia" w:ascii="仿宋" w:hAnsi="仿宋" w:eastAsia="仿宋" w:cs="Monaco"/>
                <w:color w:val="auto"/>
                <w:sz w:val="22"/>
                <w:szCs w:val="21"/>
              </w:rPr>
            </w:pPr>
          </w:p>
        </w:tc>
        <w:tc>
          <w:tcPr>
            <w:tcW w:w="1066" w:type="pct"/>
            <w:vAlign w:val="center"/>
          </w:tcPr>
          <w:p>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具有良好的商业信誉和健全的财务会计制度</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jc w:val="center"/>
              <w:rPr>
                <w:rFonts w:hint="eastAsia" w:ascii="仿宋" w:hAnsi="仿宋" w:eastAsia="仿宋" w:cs="Monaco"/>
                <w:color w:val="auto"/>
                <w:sz w:val="22"/>
                <w:szCs w:val="21"/>
              </w:rPr>
            </w:pPr>
          </w:p>
        </w:tc>
        <w:tc>
          <w:tcPr>
            <w:tcW w:w="1066" w:type="pct"/>
            <w:vAlign w:val="center"/>
          </w:tcPr>
          <w:p>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供应商应具有履行合同所必需的设备和专业技术能力</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jc w:val="center"/>
              <w:rPr>
                <w:rFonts w:hint="eastAsia" w:ascii="仿宋" w:hAnsi="仿宋" w:eastAsia="仿宋" w:cs="Monaco"/>
                <w:color w:val="auto"/>
                <w:sz w:val="22"/>
                <w:szCs w:val="21"/>
              </w:rPr>
            </w:pPr>
          </w:p>
        </w:tc>
        <w:tc>
          <w:tcPr>
            <w:tcW w:w="1066" w:type="pct"/>
            <w:vAlign w:val="center"/>
          </w:tcPr>
          <w:p>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具有依法缴纳税收和社会保障资金的良好记录</w:t>
            </w:r>
          </w:p>
        </w:tc>
        <w:tc>
          <w:tcPr>
            <w:tcW w:w="3002" w:type="pct"/>
            <w:vAlign w:val="center"/>
          </w:tcPr>
          <w:p>
            <w:pPr>
              <w:spacing w:before="24" w:after="24" w:line="276" w:lineRule="auto"/>
              <w:rPr>
                <w:rFonts w:hint="eastAsia"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近三年内无违法违规记录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 w:val="22"/>
                <w:szCs w:val="21"/>
              </w:rPr>
            </w:pPr>
            <w:r>
              <w:rPr>
                <w:rFonts w:hint="eastAsia" w:ascii="仿宋_GB2312" w:hAnsi="宋体" w:eastAsia="仿宋_GB2312" w:cs="宋体"/>
                <w:color w:val="auto"/>
                <w:lang w:val="en-US" w:eastAsia="zh-CN"/>
              </w:rPr>
              <w:t>特殊资质条件证明材料</w:t>
            </w:r>
          </w:p>
        </w:tc>
        <w:tc>
          <w:tcPr>
            <w:tcW w:w="3002" w:type="pct"/>
            <w:vAlign w:val="center"/>
          </w:tcPr>
          <w:p>
            <w:pPr>
              <w:pStyle w:val="12"/>
              <w:snapToGrid w:val="0"/>
              <w:spacing w:after="0" w:line="360" w:lineRule="auto"/>
              <w:ind w:right="498"/>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2"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2"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3"/>
        <w:ind w:firstLine="482" w:firstLineChars="200"/>
        <w:jc w:val="left"/>
        <w:rPr>
          <w:rFonts w:ascii="仿宋" w:hAnsi="仿宋" w:eastAsia="仿宋" w:cs="仿宋"/>
          <w:color w:val="auto"/>
          <w:sz w:val="24"/>
          <w:szCs w:val="24"/>
        </w:rPr>
      </w:pPr>
      <w:bookmarkStart w:id="120" w:name="_Toc186737809"/>
      <w:bookmarkStart w:id="121" w:name="_Toc25550"/>
      <w:r>
        <w:rPr>
          <w:rFonts w:hint="eastAsia" w:ascii="仿宋" w:hAnsi="仿宋" w:eastAsia="仿宋" w:cs="仿宋"/>
          <w:color w:val="auto"/>
          <w:sz w:val="24"/>
          <w:szCs w:val="24"/>
        </w:rPr>
        <w:t>三、详细评审</w:t>
      </w:r>
      <w:bookmarkEnd w:id="120"/>
      <w:bookmarkEnd w:id="121"/>
    </w:p>
    <w:p>
      <w:pPr>
        <w:pStyle w:val="1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1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12"/>
        <w:snapToGrid w:val="0"/>
        <w:spacing w:after="0" w:line="360" w:lineRule="auto"/>
        <w:ind w:left="138" w:right="228" w:firstLine="480"/>
        <w:jc w:val="both"/>
        <w:rPr>
          <w:rFonts w:ascii="仿宋_GB2312" w:eastAsia="仿宋_GB2312"/>
          <w:b w:val="0"/>
          <w:bCs w:val="0"/>
          <w:i w:val="0"/>
          <w:iCs w:val="0"/>
          <w:color w:val="auto"/>
        </w:rPr>
      </w:pPr>
      <w:r>
        <w:rPr>
          <w:rFonts w:hint="eastAsia" w:ascii="仿宋_GB2312" w:eastAsia="仿宋_GB2312"/>
          <w:b w:val="0"/>
          <w:bCs w:val="0"/>
          <w:i w:val="0"/>
          <w:iCs w:val="0"/>
          <w:color w:val="auto"/>
        </w:rPr>
        <w:t>采购评审标准由项目</w:t>
      </w:r>
      <w:r>
        <w:rPr>
          <w:rFonts w:hint="eastAsia" w:ascii="楷体" w:hAnsi="楷体" w:eastAsia="楷体" w:cs="仿宋_GB2312"/>
          <w:b w:val="0"/>
          <w:bCs w:val="0"/>
          <w:i w:val="0"/>
          <w:iCs w:val="0"/>
          <w:color w:val="auto"/>
          <w:szCs w:val="32"/>
        </w:rPr>
        <w:t>最终报价、食品质量</w:t>
      </w:r>
      <w:r>
        <w:rPr>
          <w:rFonts w:hint="eastAsia" w:ascii="楷体" w:hAnsi="楷体" w:eastAsia="楷体" w:cs="仿宋_GB2312"/>
          <w:b w:val="0"/>
          <w:bCs w:val="0"/>
          <w:i w:val="0"/>
          <w:iCs w:val="0"/>
          <w:color w:val="auto"/>
          <w:szCs w:val="32"/>
          <w:lang w:eastAsia="zh-CN"/>
        </w:rPr>
        <w:t>、</w:t>
      </w:r>
      <w:r>
        <w:rPr>
          <w:rFonts w:hint="eastAsia" w:ascii="楷体" w:hAnsi="楷体" w:eastAsia="楷体" w:cs="仿宋_GB2312"/>
          <w:b w:val="0"/>
          <w:bCs w:val="0"/>
          <w:i w:val="0"/>
          <w:iCs w:val="0"/>
          <w:color w:val="auto"/>
          <w:szCs w:val="32"/>
          <w:lang w:val="en-US" w:eastAsia="zh-CN"/>
        </w:rPr>
        <w:t>商务</w:t>
      </w:r>
      <w:r>
        <w:rPr>
          <w:rFonts w:hint="eastAsia" w:ascii="楷体" w:hAnsi="楷体" w:eastAsia="楷体" w:cs="仿宋_GB2312"/>
          <w:b w:val="0"/>
          <w:bCs w:val="0"/>
          <w:i w:val="0"/>
          <w:iCs w:val="0"/>
          <w:color w:val="auto"/>
          <w:szCs w:val="32"/>
        </w:rPr>
        <w:t>和服务</w:t>
      </w:r>
      <w:r>
        <w:rPr>
          <w:rFonts w:hint="eastAsia" w:ascii="楷体" w:hAnsi="楷体" w:eastAsia="楷体" w:cs="仿宋_GB2312"/>
          <w:b w:val="0"/>
          <w:bCs w:val="0"/>
          <w:i w:val="0"/>
          <w:iCs w:val="0"/>
          <w:color w:val="auto"/>
          <w:szCs w:val="32"/>
          <w:lang w:val="en-US" w:eastAsia="zh-CN"/>
        </w:rPr>
        <w:t>部分四</w:t>
      </w:r>
      <w:r>
        <w:rPr>
          <w:rFonts w:hint="eastAsia" w:ascii="仿宋_GB2312" w:eastAsia="仿宋_GB2312"/>
          <w:b w:val="0"/>
          <w:bCs w:val="0"/>
          <w:i w:val="0"/>
          <w:iCs w:val="0"/>
          <w:color w:val="auto"/>
        </w:rPr>
        <w:t>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12"/>
        <w:snapToGrid w:val="0"/>
        <w:spacing w:after="0" w:line="360" w:lineRule="auto"/>
        <w:ind w:left="141" w:right="223" w:firstLine="480"/>
        <w:jc w:val="both"/>
        <w:rPr>
          <w:rFonts w:ascii="仿宋_GB2312" w:eastAsia="仿宋_GB2312"/>
          <w:b w:val="0"/>
          <w:bCs w:val="0"/>
          <w:i w:val="0"/>
          <w:iCs w:val="0"/>
          <w:color w:val="auto"/>
        </w:rPr>
      </w:pPr>
      <w:r>
        <w:rPr>
          <w:rFonts w:hint="eastAsia" w:ascii="仿宋_GB2312" w:eastAsia="仿宋_GB2312"/>
          <w:b w:val="0"/>
          <w:bCs w:val="0"/>
          <w:i w:val="0"/>
          <w:iCs w:val="0"/>
          <w:color w:val="auto"/>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项 目</w:t>
            </w:r>
          </w:p>
        </w:tc>
        <w:tc>
          <w:tcPr>
            <w:tcW w:w="6537" w:type="dxa"/>
            <w:vAlign w:val="center"/>
          </w:tcPr>
          <w:p>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评分内容</w:t>
            </w:r>
          </w:p>
        </w:tc>
        <w:tc>
          <w:tcPr>
            <w:tcW w:w="1004" w:type="dxa"/>
            <w:vAlign w:val="center"/>
          </w:tcPr>
          <w:p>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价格</w:t>
            </w:r>
            <w:r>
              <w:rPr>
                <w:rFonts w:hint="eastAsia" w:ascii="仿宋_GB2312" w:eastAsia="仿宋_GB2312" w:hAnsiTheme="minorHAnsi" w:cstheme="minorBidi"/>
                <w:b w:val="0"/>
                <w:bCs w:val="0"/>
                <w:i w:val="0"/>
                <w:iCs w:val="0"/>
                <w:color w:val="auto"/>
                <w:sz w:val="24"/>
                <w:szCs w:val="24"/>
                <w:lang w:val="en-US" w:eastAsia="zh-CN" w:bidi="ar-SA"/>
              </w:rPr>
              <w:t>部分</w:t>
            </w:r>
            <w:r>
              <w:rPr>
                <w:rFonts w:hint="eastAsia" w:ascii="楷体" w:hAnsi="楷体" w:eastAsia="楷体" w:cs="仿宋_GB2312"/>
                <w:b w:val="0"/>
                <w:bCs w:val="0"/>
                <w:i w:val="0"/>
                <w:iCs w:val="0"/>
                <w:color w:val="auto"/>
                <w:szCs w:val="32"/>
              </w:rPr>
              <w:t>（50</w:t>
            </w:r>
            <w:r>
              <w:rPr>
                <w:rFonts w:ascii="楷体" w:hAnsi="楷体" w:eastAsia="楷体" w:cs="仿宋_GB2312"/>
                <w:b w:val="0"/>
                <w:bCs w:val="0"/>
                <w:i w:val="0"/>
                <w:iCs w:val="0"/>
                <w:color w:val="auto"/>
                <w:szCs w:val="32"/>
              </w:rPr>
              <w:t>）</w:t>
            </w:r>
          </w:p>
        </w:tc>
        <w:tc>
          <w:tcPr>
            <w:tcW w:w="6537" w:type="dxa"/>
            <w:vAlign w:val="center"/>
          </w:tcPr>
          <w:p>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评分法中的价格分采用低价优先法计算，即满足招标文件要求且最低的评审价格为评标基准价，等于评标基准价得</w:t>
            </w:r>
            <w:r>
              <w:rPr>
                <w:rFonts w:ascii="楷体" w:hAnsi="楷体" w:eastAsia="楷体" w:cs="仿宋_GB2312"/>
                <w:b w:val="0"/>
                <w:bCs w:val="0"/>
                <w:i w:val="0"/>
                <w:iCs w:val="0"/>
                <w:color w:val="auto"/>
                <w:szCs w:val="32"/>
              </w:rPr>
              <w:t>50</w:t>
            </w:r>
            <w:r>
              <w:rPr>
                <w:rFonts w:hint="eastAsia" w:ascii="楷体" w:hAnsi="楷体" w:eastAsia="楷体" w:cs="仿宋_GB2312"/>
                <w:b w:val="0"/>
                <w:bCs w:val="0"/>
                <w:i w:val="0"/>
                <w:iCs w:val="0"/>
                <w:color w:val="auto"/>
                <w:szCs w:val="32"/>
              </w:rPr>
              <w:t>分。其他供应商的价格分统一按照下列公式计算，精确到小数点后两位：</w:t>
            </w:r>
          </w:p>
          <w:p>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供应商报价得分＝（评标基准价/评审价格）×</w:t>
            </w:r>
            <w:r>
              <w:rPr>
                <w:rFonts w:ascii="楷体" w:hAnsi="楷体" w:eastAsia="楷体" w:cs="仿宋_GB2312"/>
                <w:b w:val="0"/>
                <w:bCs w:val="0"/>
                <w:i w:val="0"/>
                <w:iCs w:val="0"/>
                <w:color w:val="auto"/>
                <w:szCs w:val="32"/>
              </w:rPr>
              <w:t>50</w:t>
            </w:r>
            <w:r>
              <w:rPr>
                <w:rFonts w:hint="eastAsia" w:ascii="楷体" w:hAnsi="楷体" w:eastAsia="楷体" w:cs="仿宋_GB2312"/>
                <w:b w:val="0"/>
                <w:bCs w:val="0"/>
                <w:i w:val="0"/>
                <w:iCs w:val="0"/>
                <w:color w:val="auto"/>
                <w:szCs w:val="32"/>
              </w:rPr>
              <w:t>；</w:t>
            </w:r>
          </w:p>
          <w:p>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评审价格按照如下方式定义：</w:t>
            </w:r>
          </w:p>
          <w:p>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对于承诺提供增值税专用发票的供应商，评审价格即不含税的投标总价净价；</w:t>
            </w:r>
          </w:p>
          <w:p>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对于不能提供增值税专用发票的供应商，评审价格是含税的投标总价。</w:t>
            </w:r>
          </w:p>
        </w:tc>
        <w:tc>
          <w:tcPr>
            <w:tcW w:w="1004" w:type="dxa"/>
            <w:vAlign w:val="center"/>
          </w:tcPr>
          <w:p>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二、</w:t>
            </w:r>
            <w:r>
              <w:rPr>
                <w:rFonts w:hint="eastAsia" w:ascii="楷体" w:hAnsi="楷体" w:eastAsia="楷体" w:cs="仿宋_GB2312"/>
                <w:b w:val="0"/>
                <w:bCs w:val="0"/>
                <w:i w:val="0"/>
                <w:iCs w:val="0"/>
                <w:color w:val="auto"/>
                <w:szCs w:val="32"/>
                <w:lang w:val="en-US" w:eastAsia="zh-CN"/>
              </w:rPr>
              <w:t>食品质量</w:t>
            </w:r>
            <w:r>
              <w:rPr>
                <w:rFonts w:hint="eastAsia" w:ascii="楷体" w:hAnsi="楷体" w:eastAsia="楷体" w:cs="仿宋_GB2312"/>
                <w:b w:val="0"/>
                <w:bCs w:val="0"/>
                <w:i w:val="0"/>
                <w:iCs w:val="0"/>
                <w:color w:val="auto"/>
                <w:szCs w:val="32"/>
              </w:rPr>
              <w:t>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vAlign w:val="center"/>
          </w:tcPr>
          <w:p>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食品质量部分</w:t>
            </w:r>
          </w:p>
          <w:p>
            <w:pPr>
              <w:snapToGrid w:val="0"/>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w:t>
            </w:r>
            <w:r>
              <w:rPr>
                <w:rFonts w:hint="eastAsia" w:ascii="楷体" w:hAnsi="楷体" w:eastAsia="楷体" w:cs="仿宋_GB2312"/>
                <w:b w:val="0"/>
                <w:bCs w:val="0"/>
                <w:i w:val="0"/>
                <w:iCs w:val="0"/>
                <w:color w:val="auto"/>
                <w:szCs w:val="32"/>
                <w:lang w:val="en-US" w:eastAsia="zh-CN"/>
              </w:rPr>
              <w:t>40</w:t>
            </w:r>
            <w:r>
              <w:rPr>
                <w:rFonts w:ascii="楷体" w:hAnsi="楷体" w:eastAsia="楷体" w:cs="仿宋_GB2312"/>
                <w:b w:val="0"/>
                <w:bCs w:val="0"/>
                <w:i w:val="0"/>
                <w:iCs w:val="0"/>
                <w:color w:val="auto"/>
                <w:szCs w:val="32"/>
              </w:rPr>
              <w:t>）</w:t>
            </w:r>
          </w:p>
        </w:tc>
        <w:tc>
          <w:tcPr>
            <w:tcW w:w="6537" w:type="dxa"/>
            <w:vAlign w:val="center"/>
          </w:tcPr>
          <w:p>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供应商所提供食品符合国家及地方食品安全法规要求。食品在保质期内，储存条件符合食品安全标准。对于易腐食品提供适当的冷藏或冷冻措施。相关要求评价良得18-25分；</w:t>
            </w:r>
          </w:p>
          <w:p>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供应商所提供食品符合国家及地方食品安全法规要求。食品在保质期内，储存条件较符合食品安全标准。对于易腐食品提供较适当的冷藏或冷冻措施。相关要求评价一般得9-17分；</w:t>
            </w:r>
          </w:p>
          <w:p>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供应商所提供食品不符合国家及地方食品安全法规要求。食品在保质期内，储存条件不符合食品安全标准。对于易腐食品未提供适当的冷藏或冷冻措施。得0-8分。</w:t>
            </w:r>
          </w:p>
        </w:tc>
        <w:tc>
          <w:tcPr>
            <w:tcW w:w="1004" w:type="dxa"/>
            <w:vAlign w:val="center"/>
          </w:tcPr>
          <w:p>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pPr>
              <w:snapToGrid w:val="0"/>
              <w:spacing w:line="320" w:lineRule="exact"/>
              <w:jc w:val="center"/>
              <w:rPr>
                <w:rFonts w:ascii="楷体" w:hAnsi="楷体" w:eastAsia="楷体" w:cs="仿宋_GB2312"/>
                <w:b w:val="0"/>
                <w:bCs w:val="0"/>
                <w:i w:val="0"/>
                <w:iCs w:val="0"/>
                <w:color w:val="auto"/>
                <w:szCs w:val="32"/>
              </w:rPr>
            </w:pPr>
          </w:p>
        </w:tc>
        <w:tc>
          <w:tcPr>
            <w:tcW w:w="6537" w:type="dxa"/>
            <w:vAlign w:val="center"/>
          </w:tcPr>
          <w:p>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食材搭配应合理，符合营养搭配原则。提供多样化的食品选择，品种多样化，得10-15分；</w:t>
            </w:r>
          </w:p>
          <w:p>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食材搭配较合理，较符合营养搭配原则。提供多样化的食品选择，品种较多样化，得5-9分；</w:t>
            </w:r>
          </w:p>
          <w:p>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食材搭配不合理，不符合营养搭配原则。无法提供多样化的食品选择，品种不多样化，得0-4分；</w:t>
            </w:r>
          </w:p>
        </w:tc>
        <w:tc>
          <w:tcPr>
            <w:tcW w:w="1004" w:type="dxa"/>
            <w:vAlign w:val="center"/>
          </w:tcPr>
          <w:p>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商务部分（5）</w:t>
            </w:r>
          </w:p>
        </w:tc>
        <w:tc>
          <w:tcPr>
            <w:tcW w:w="6537" w:type="dxa"/>
            <w:vAlign w:val="center"/>
          </w:tcPr>
          <w:p>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供应商近三年（2023年1月1日至开标日）有成功实施案例，案例须提供合同复印件（包括合同首页、体现项目内容页、签署日期页及盖章页）或中标通知书复印件作为有效证明文件。在满足第一章供应商资格要求2.</w:t>
            </w:r>
            <w:r>
              <w:rPr>
                <w:rFonts w:hint="eastAsia" w:ascii="仿宋_GB2312" w:eastAsia="仿宋_GB2312" w:cstheme="minorBidi"/>
                <w:b w:val="0"/>
                <w:bCs w:val="0"/>
                <w:i w:val="0"/>
                <w:iCs w:val="0"/>
                <w:color w:val="auto"/>
                <w:sz w:val="24"/>
                <w:szCs w:val="24"/>
                <w:lang w:val="en-US" w:eastAsia="zh-CN" w:bidi="ar-SA"/>
              </w:rPr>
              <w:t>3</w:t>
            </w:r>
            <w:r>
              <w:rPr>
                <w:rFonts w:hint="eastAsia" w:ascii="仿宋_GB2312" w:eastAsia="仿宋_GB2312" w:hAnsiTheme="minorHAnsi" w:cstheme="minorBidi"/>
                <w:b w:val="0"/>
                <w:bCs w:val="0"/>
                <w:i w:val="0"/>
                <w:iCs w:val="0"/>
                <w:color w:val="auto"/>
                <w:sz w:val="24"/>
                <w:szCs w:val="24"/>
                <w:lang w:val="en-US" w:eastAsia="zh-CN" w:bidi="ar-SA"/>
              </w:rPr>
              <w:t>条款的基础上，每增加提供1个有效案例得1分，最多得5分</w:t>
            </w:r>
          </w:p>
        </w:tc>
        <w:tc>
          <w:tcPr>
            <w:tcW w:w="1004" w:type="dxa"/>
            <w:vAlign w:val="center"/>
          </w:tcPr>
          <w:p>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cstheme="minorBidi"/>
                <w:b w:val="0"/>
                <w:bCs w:val="0"/>
                <w:i w:val="0"/>
                <w:iCs w:val="0"/>
                <w:color w:val="auto"/>
                <w:sz w:val="24"/>
                <w:szCs w:val="24"/>
                <w:lang w:val="en-US" w:eastAsia="zh-CN" w:bidi="ar-SA"/>
              </w:rPr>
              <w:t>服务部分</w:t>
            </w:r>
            <w:r>
              <w:rPr>
                <w:rFonts w:hint="eastAsia" w:ascii="仿宋_GB2312" w:eastAsia="仿宋_GB2312" w:hAnsiTheme="minorHAnsi" w:cstheme="minorBidi"/>
                <w:b w:val="0"/>
                <w:bCs w:val="0"/>
                <w:i w:val="0"/>
                <w:iCs w:val="0"/>
                <w:color w:val="auto"/>
                <w:sz w:val="24"/>
                <w:szCs w:val="24"/>
                <w:lang w:val="en-US" w:eastAsia="zh-CN" w:bidi="ar-SA"/>
              </w:rPr>
              <w:t>（5）</w:t>
            </w:r>
          </w:p>
        </w:tc>
        <w:tc>
          <w:tcPr>
            <w:tcW w:w="6537"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根据供应商针对本项目食材抽检配合与台账管理 </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可配合我方日常随机抽检、定期提供批次质检/检疫合格证</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主动建立供货明细台账、溯源资料归档，对账流程完善 </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结合供应商方案的横向比较情况进行综合赋分，优得</w:t>
            </w:r>
            <w:r>
              <w:rPr>
                <w:rFonts w:hint="eastAsia" w:ascii="仿宋_GB2312" w:eastAsia="仿宋_GB2312" w:cstheme="minorBidi"/>
                <w:color w:val="auto"/>
                <w:sz w:val="24"/>
                <w:szCs w:val="24"/>
                <w:lang w:val="en-US" w:eastAsia="zh-CN" w:bidi="ar-SA"/>
              </w:rPr>
              <w:t>4-5</w:t>
            </w:r>
            <w:r>
              <w:rPr>
                <w:rFonts w:hint="eastAsia" w:ascii="仿宋_GB2312" w:eastAsia="仿宋_GB2312" w:hAnsiTheme="minorHAnsi" w:cstheme="minorBidi"/>
                <w:color w:val="auto"/>
                <w:sz w:val="24"/>
                <w:szCs w:val="24"/>
                <w:lang w:val="en-US" w:eastAsia="zh-CN" w:bidi="ar-SA"/>
              </w:rPr>
              <w:t>分，良得</w:t>
            </w:r>
            <w:r>
              <w:rPr>
                <w:rFonts w:hint="eastAsia" w:ascii="仿宋_GB2312" w:eastAsia="仿宋_GB2312" w:cstheme="minorBidi"/>
                <w:color w:val="auto"/>
                <w:sz w:val="24"/>
                <w:szCs w:val="24"/>
                <w:lang w:val="en-US" w:eastAsia="zh-CN" w:bidi="ar-SA"/>
              </w:rPr>
              <w:t>2-3</w:t>
            </w:r>
            <w:r>
              <w:rPr>
                <w:rFonts w:hint="eastAsia" w:ascii="仿宋_GB2312" w:eastAsia="仿宋_GB2312" w:hAnsiTheme="minorHAnsi" w:cstheme="minorBidi"/>
                <w:color w:val="auto"/>
                <w:sz w:val="24"/>
                <w:szCs w:val="24"/>
                <w:lang w:val="en-US" w:eastAsia="zh-CN" w:bidi="ar-SA"/>
              </w:rPr>
              <w:t>分，差得</w:t>
            </w:r>
            <w:r>
              <w:rPr>
                <w:rFonts w:hint="eastAsia" w:ascii="仿宋_GB2312" w:eastAsia="仿宋_GB2312" w:cstheme="minorBidi"/>
                <w:color w:val="auto"/>
                <w:sz w:val="24"/>
                <w:szCs w:val="24"/>
                <w:lang w:val="en-US" w:eastAsia="zh-CN" w:bidi="ar-SA"/>
              </w:rPr>
              <w:t>0-1</w:t>
            </w:r>
            <w:r>
              <w:rPr>
                <w:rFonts w:hint="eastAsia" w:ascii="仿宋_GB2312" w:eastAsia="仿宋_GB2312" w:hAnsiTheme="minorHAnsi" w:cstheme="minorBidi"/>
                <w:color w:val="auto"/>
                <w:sz w:val="24"/>
                <w:szCs w:val="24"/>
                <w:lang w:val="en-US" w:eastAsia="zh-CN" w:bidi="ar-SA"/>
              </w:rPr>
              <w:t>分</w:t>
            </w:r>
            <w:r>
              <w:rPr>
                <w:rFonts w:hint="eastAsia" w:ascii="仿宋_GB2312" w:eastAsia="仿宋_GB2312" w:cstheme="minorBidi"/>
                <w:color w:val="auto"/>
                <w:sz w:val="24"/>
                <w:szCs w:val="24"/>
                <w:lang w:val="en-US" w:eastAsia="zh-CN" w:bidi="ar-SA"/>
              </w:rPr>
              <w:t>。</w:t>
            </w:r>
          </w:p>
          <w:p>
            <w:pPr>
              <w:spacing w:line="320" w:lineRule="exact"/>
              <w:rPr>
                <w:rFonts w:ascii="楷体" w:hAnsi="楷体" w:eastAsia="楷体" w:cs="仿宋_GB2312"/>
                <w:b w:val="0"/>
                <w:bCs w:val="0"/>
                <w:i w:val="0"/>
                <w:iCs w:val="0"/>
                <w:color w:val="auto"/>
                <w:szCs w:val="32"/>
              </w:rPr>
            </w:pPr>
          </w:p>
        </w:tc>
        <w:tc>
          <w:tcPr>
            <w:tcW w:w="1004" w:type="dxa"/>
            <w:vAlign w:val="center"/>
          </w:tcPr>
          <w:p>
            <w:pPr>
              <w:snapToGrid w:val="0"/>
              <w:spacing w:line="320" w:lineRule="exact"/>
              <w:jc w:val="center"/>
              <w:rPr>
                <w:rFonts w:hint="eastAsia" w:ascii="楷体" w:hAnsi="楷体" w:eastAsia="楷体" w:cs="仿宋_GB2312"/>
                <w:b w:val="0"/>
                <w:bCs w:val="0"/>
                <w:i w:val="0"/>
                <w:iCs w:val="0"/>
                <w:color w:val="auto"/>
                <w:szCs w:val="32"/>
                <w:lang w:eastAsia="zh-CN"/>
              </w:rPr>
            </w:pPr>
            <w:r>
              <w:rPr>
                <w:rFonts w:hint="eastAsia" w:ascii="楷体" w:hAnsi="楷体" w:eastAsia="楷体" w:cs="仿宋_GB2312"/>
                <w:b w:val="0"/>
                <w:bCs w:val="0"/>
                <w:i w:val="0"/>
                <w:iCs w:val="0"/>
                <w:color w:val="auto"/>
                <w:szCs w:val="32"/>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pPr>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合计</w:t>
            </w:r>
          </w:p>
        </w:tc>
        <w:tc>
          <w:tcPr>
            <w:tcW w:w="1004" w:type="dxa"/>
            <w:vAlign w:val="center"/>
          </w:tcPr>
          <w:p>
            <w:pPr>
              <w:snapToGrid w:val="0"/>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100</w:t>
            </w:r>
          </w:p>
        </w:tc>
      </w:tr>
    </w:tbl>
    <w:p>
      <w:pPr>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p>
      <w:pPr>
        <w:pStyle w:val="12"/>
        <w:rPr>
          <w:color w:val="auto"/>
        </w:rPr>
      </w:pPr>
    </w:p>
    <w:bookmarkEnd w:id="109"/>
    <w:p>
      <w:pPr>
        <w:pStyle w:val="2"/>
        <w:spacing w:before="0" w:after="0"/>
        <w:jc w:val="left"/>
        <w:rPr>
          <w:rFonts w:hint="eastAsia" w:ascii="仿宋" w:hAnsi="仿宋" w:eastAsia="仿宋" w:cs="仿宋"/>
          <w:color w:val="auto"/>
          <w:sz w:val="28"/>
          <w:szCs w:val="28"/>
        </w:rPr>
      </w:pPr>
      <w:bookmarkStart w:id="122" w:name="_Toc15254"/>
      <w:bookmarkStart w:id="123" w:name="_Toc186737810"/>
    </w:p>
    <w:p>
      <w:pPr>
        <w:rPr>
          <w:rFonts w:hint="eastAsia" w:ascii="仿宋" w:hAnsi="仿宋" w:eastAsia="仿宋" w:cs="仿宋"/>
          <w:color w:val="auto"/>
          <w:sz w:val="28"/>
          <w:szCs w:val="28"/>
        </w:rPr>
      </w:pPr>
    </w:p>
    <w:p>
      <w:pPr>
        <w:pStyle w:val="2"/>
        <w:spacing w:before="0" w:after="0"/>
        <w:jc w:val="left"/>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color w:val="auto"/>
        </w:rPr>
      </w:pPr>
    </w:p>
    <w:p>
      <w:pPr>
        <w:pStyle w:val="2"/>
        <w:spacing w:before="0" w:after="0"/>
        <w:jc w:val="left"/>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20"/>
        <w:rPr>
          <w:rFonts w:hint="eastAsia"/>
          <w:color w:val="auto"/>
        </w:rPr>
      </w:pPr>
    </w:p>
    <w:p>
      <w:pPr>
        <w:pStyle w:val="2"/>
        <w:spacing w:before="0" w:after="0"/>
        <w:jc w:val="left"/>
        <w:rPr>
          <w:rStyle w:val="34"/>
          <w:rFonts w:asciiTheme="minorHAnsi" w:hAnsiTheme="minorHAnsi" w:eastAsiaTheme="minorEastAsia"/>
          <w:b w:val="0"/>
          <w:bCs w:val="0"/>
          <w:color w:val="auto"/>
          <w:kern w:val="0"/>
          <w:szCs w:val="24"/>
        </w:rPr>
      </w:pPr>
      <w:r>
        <w:rPr>
          <w:rFonts w:hint="eastAsia" w:ascii="仿宋" w:hAnsi="仿宋" w:eastAsia="仿宋" w:cs="仿宋"/>
          <w:color w:val="auto"/>
          <w:sz w:val="28"/>
          <w:szCs w:val="28"/>
        </w:rPr>
        <w:t>第四章 合同条</w:t>
      </w:r>
      <w:bookmarkEnd w:id="122"/>
      <w:r>
        <w:rPr>
          <w:rFonts w:hint="eastAsia" w:ascii="仿宋" w:hAnsi="仿宋" w:eastAsia="仿宋" w:cs="仿宋"/>
          <w:color w:val="auto"/>
          <w:sz w:val="28"/>
          <w:szCs w:val="28"/>
        </w:rPr>
        <w:t>款</w:t>
      </w:r>
      <w:bookmarkEnd w:id="123"/>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甲方:中国人民财产保险股份有限公司巴中市分公司</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地址:四川省巴中市江北大道中段80号</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乙方:</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地址:</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鉴于:</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本合同双方当事人(1)均为依照中华人民共和国法律成立并有效存续的民事主体，(2)并且已经获得签署本合同的相应授权，(3)具备履行本合同所必须的资质和条件。</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为保障双方的合法权益，根据《中华人民共和国民法典》及相关法律法规的规定，甲、乙双方在平等互利、协商一致的基础上，就人保财险四川巴中市分公司巴州支公司1年期食堂服务采购项目实施细则及有关事项协商一致，共同达成如下协议，以资共同遵照执行。</w:t>
      </w:r>
    </w:p>
    <w:p>
      <w:pPr>
        <w:widowControl w:val="0"/>
        <w:spacing w:line="560" w:lineRule="exact"/>
        <w:ind w:firstLine="643" w:firstLineChars="200"/>
        <w:jc w:val="center"/>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商务部分</w:t>
      </w:r>
    </w:p>
    <w:p>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第一条 项目内容及要求</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本合同项下甲乙双方约定的项目内容及要求见本合同【附件】。</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第二条 合同价格</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本合同付款安排见【附件】。</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由于乙方未提供或未及时提供足额有效的增值税专用发票，或乙方变更账户信息但未提前通知甲方而导致的付款迟延，甲方不承担任何责任。</w:t>
      </w:r>
    </w:p>
    <w:p>
      <w:pPr>
        <w:widowControl w:val="0"/>
        <w:spacing w:line="560" w:lineRule="exact"/>
        <w:ind w:left="638" w:leftChars="266" w:firstLine="0" w:firstLineChars="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第三条 双方的权利和义务</w:t>
      </w:r>
    </w:p>
    <w:p>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(一)除本合同约定的双方的权利义务外，甲乙双方在本合同项下</w:t>
      </w:r>
    </w:p>
    <w:p>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的其他权利和义务见【附件】的约定。</w:t>
      </w:r>
    </w:p>
    <w:p>
      <w:pPr>
        <w:widowControl w:val="0"/>
        <w:numPr>
          <w:ilvl w:val="0"/>
          <w:numId w:val="3"/>
        </w:numPr>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违约责任</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（一）甲、乙任一方或双方违约的，违约一方应当向相对方承担</w:t>
      </w:r>
    </w:p>
    <w:p>
      <w:pPr>
        <w:widowControl w:val="0"/>
        <w:numPr>
          <w:ilvl w:val="0"/>
          <w:numId w:val="0"/>
        </w:numPr>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相应的违约责任。违约责任的具体约定见【附件】。</w:t>
      </w:r>
    </w:p>
    <w:p>
      <w:pPr>
        <w:widowControl w:val="0"/>
        <w:spacing w:line="560" w:lineRule="exact"/>
        <w:ind w:firstLine="643" w:firstLineChars="200"/>
        <w:jc w:val="center"/>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通用部分</w:t>
      </w:r>
    </w:p>
    <w:p>
      <w:pPr>
        <w:widowControl w:val="0"/>
        <w:spacing w:line="560" w:lineRule="exact"/>
        <w:ind w:left="638" w:leftChars="266" w:firstLine="0" w:firstLineChars="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第五条 双方的权利和义务</w:t>
      </w:r>
    </w:p>
    <w:p>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甲方的权利和义务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（1）甲方有权获得本合同项下乙方应提供的全部合格的服务；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（2）甲方有权在合同期内对乙方的产品及服务进行监督；</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（3）乙方未按照合同约定履行义务的，甲方有权采取相应的措施；</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（4）甲方应按照合同约定向乙方支付合同价款；</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（5）甲方享有其它双方约定的权利、承担其它双方约定的义务。</w:t>
      </w:r>
    </w:p>
    <w:p>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乙方的权利和义务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（1）乙方有权获得甲方支付的合同价款；</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（2）乙方应按照合同约定向甲方提供全部合格的服务；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（3）乙方应当按照合同约定的期限及要求完成项目内容；</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（4）乙方应保证项目中主要人员的稳定性，如因乙方人员流失导</w:t>
      </w:r>
    </w:p>
    <w:p>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 xml:space="preserve">   （5）乙方享有其它双方约定的权利、承担其它双方约定的义务。</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第六条  禁止转让</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（一）未经甲方事先书面同意，乙方不得将其本合同项下之全部义务或其中一部分义务转让给第三方执行。</w:t>
      </w:r>
    </w:p>
    <w:p>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第七条  权利保证</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（一）乙方确保甲方不因签署本合同、接受或使用本合同中约定</w:t>
      </w:r>
    </w:p>
    <w:p>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第八条 违约责任</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（一）由于甲方原因不能按合同约定时间付款的，每延迟10个工作日，甲方按合同应付金额的_______%向乙方支付违约金。</w:t>
      </w:r>
    </w:p>
    <w:p>
      <w:pPr>
        <w:widowControl w:val="0"/>
        <w:spacing w:line="560" w:lineRule="exact"/>
        <w:ind w:left="319" w:leftChars="133" w:firstLine="320" w:firstLineChars="1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（二）乙方延迟交付的违约责任</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（1）由于乙方原因造成项目延迟的，每延迟10个工作日，乙方向</w:t>
      </w:r>
    </w:p>
    <w:p>
      <w:pPr>
        <w:widowControl w:val="0"/>
        <w:spacing w:line="560" w:lineRule="exact"/>
        <w:ind w:left="320" w:hanging="320" w:hangingChars="1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甲方支付违约金为合同服务费用总额的_______%。</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（2）由于乙方原因造成项目迟延，经甲方催促后乙方继续延误的，</w:t>
      </w:r>
    </w:p>
    <w:p>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甲方有权单方面解除合同，乙方应按照合同服务费用总额的_______%向甲方支付违约金，并赔偿由此引起的甲方全部损失。</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验收不合格并且乙方在甲方指定期限内无法完成整改、提交合格的工作成果的，乙方应向甲方支付合同服务费用总额_______%的违约金，并赔偿由此引起的甲方全部损失。</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如果乙方违反本合同约定的保密义务，乙方应向甲方支付相当于合同服务费用总额_______%的违约金，甲方受到的损失超出违约金的部分，由乙方继续承担赔偿责任。</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除本合同的约定外，因乙方的违约行为给甲方造成损失的，乙方应向甲方支付相当于合同服务费用总额_______%的违约金，如甲方受到的损失超过违约金的，超出部分由乙方继续承担赔偿责任。</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第九条 保密义务</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乙方在本合同中所受领的保密信息应及时返还甲方或在甲方监督下予以销毁。乙方擅自留存备份信息，视为违反保密约定。</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无论本合同因何种原因终止，本保密条款依然有效。</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第十条 不可抗力</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合同一方迟延履行后发生不可抗力的，不能免除其责任。</w:t>
      </w:r>
    </w:p>
    <w:p>
      <w:pPr>
        <w:widowControl w:val="0"/>
        <w:spacing w:line="560" w:lineRule="exact"/>
        <w:ind w:firstLine="643"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第十一条 合同变更</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（一）对本合同的任何变更或补充，须经甲乙双方协商一致，并另行签订书面补充协议。</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第十二条 合同特别终止</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甲乙双方同意在乙方出现下列情形时，甲方可以书面形式通知乙方（或者乙方的破产清算组或相关管理人）提出终止合同而不向其提供任何补偿：</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（1）乙方破产、解散（包括但不限于乙方股东会决议解散、乙方被吊销营业执照、被责令关闭、被撤销、被司法机关裁决解散等情形）；</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（2）乙方发生未经甲方书面同意的重大产权变更（包括但不限于合并、分立、注销等情形)；（如系上市公司）被勒令停止上市；以及任何原因背负重大债务导致无履行能力。</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如果因上述原因导致本合同终止，甲方已经采取或者将要采取任何补救措施的权利不受任何影响。</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第十三条 法律适用与争议解决</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本合同的订立、效力、解释、履行和争议的解决均适用中华人民共和国法律（不包括港澳台地区法律）。</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 xml:space="preserve">（二） 凡因本合同引起的或与本合同有关的任何争议，双方首先应友好协商解决。协商不成的，任何一方均可向甲方所在地有管辖权的法院提起诉讼。 </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第十四条 合同生效及其他</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本合同经甲乙双方法定代表人或授权代表签字并加盖公章或合同专用章后生效。</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合同期限自_______年_______月_______日始，至_______年_______月_______日止。</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本合同一式_______份，其中正本_______份，副本_______份。甲方执_______份正本，_______份副本；乙方执_______份正本，_______份副本。</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无论本合同是否有相反约定，本合同附件（如有）作为本合同的组成部分，与本合同具有同等法律效力，当附件条款与本合同条款发生冲突时，以本合同条款为准。</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（六） 由于法律和法规、政策而导致本合同任何条款无效或无法执行，则该条款无效，但不影响剩余其他条款的效力。</w:t>
      </w:r>
    </w:p>
    <w:p>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第十五条 附件的组成</w:t>
      </w:r>
      <w:bookmarkStart w:id="124" w:name="_Toc4181"/>
      <w:bookmarkStart w:id="125" w:name="_Toc186737811"/>
    </w:p>
    <w:p>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附件一、服务内容及要求</w:t>
      </w:r>
    </w:p>
    <w:p>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附件二、付款</w:t>
      </w:r>
    </w:p>
    <w:p>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附件三、双方的权利和义务</w:t>
      </w:r>
    </w:p>
    <w:p>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附件四、违约责任</w:t>
      </w:r>
    </w:p>
    <w:p>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附件五、廉洁诚信协议</w:t>
      </w:r>
    </w:p>
    <w:p>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附件一</w:t>
      </w:r>
      <w:r>
        <w:rPr>
          <w:rFonts w:hint="eastAsia" w:ascii="仿宋_GB2312" w:hAnsi="Times New Roman" w:eastAsia="仿宋_GB2312" w:cs="Times New Roman"/>
          <w:b/>
          <w:bCs/>
          <w:color w:val="auto"/>
          <w:kern w:val="2"/>
          <w:sz w:val="32"/>
          <w:szCs w:val="32"/>
          <w:lang w:val="en-US" w:eastAsia="zh-CN" w:bidi="ar-SA"/>
        </w:rPr>
        <w:tab/>
      </w:r>
    </w:p>
    <w:p>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服务内容及要求</w:t>
      </w:r>
    </w:p>
    <w:p>
      <w:pPr>
        <w:tabs>
          <w:tab w:val="left" w:pos="165"/>
          <w:tab w:val="left" w:pos="315"/>
        </w:tabs>
        <w:autoSpaceDE w:val="0"/>
        <w:autoSpaceDN w:val="0"/>
        <w:adjustRightInd/>
        <w:spacing w:line="360" w:lineRule="auto"/>
        <w:ind w:firstLine="470"/>
        <w:jc w:val="both"/>
        <w:textAlignment w:val="auto"/>
        <w:rPr>
          <w:rFonts w:hint="eastAsia" w:ascii="仿宋_GB2312" w:hAnsi="Times New Roman" w:eastAsia="仿宋_GB2312" w:cs="Times New Roman"/>
          <w:b w:val="0"/>
          <w:bCs w:val="0"/>
          <w:color w:val="auto"/>
          <w:kern w:val="2"/>
          <w:sz w:val="32"/>
          <w:szCs w:val="32"/>
          <w:lang w:val="en-US" w:eastAsia="zh-CN" w:bidi="ar-SA"/>
        </w:rPr>
      </w:pPr>
    </w:p>
    <w:p>
      <w:pPr>
        <w:tabs>
          <w:tab w:val="left" w:pos="165"/>
          <w:tab w:val="left" w:pos="315"/>
        </w:tabs>
        <w:autoSpaceDE w:val="0"/>
        <w:autoSpaceDN w:val="0"/>
        <w:adjustRightInd/>
        <w:spacing w:line="360" w:lineRule="auto"/>
        <w:ind w:firstLine="643" w:firstLineChars="200"/>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1.项目名称</w:t>
      </w: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人保财险四川巴中市分公司巴州支公司1年期食堂服务采购项目</w:t>
      </w:r>
    </w:p>
    <w:p>
      <w:pPr>
        <w:numPr>
          <w:ilvl w:val="0"/>
          <w:numId w:val="0"/>
        </w:numPr>
        <w:spacing w:line="360" w:lineRule="auto"/>
        <w:ind w:firstLine="643" w:firstLineChars="20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2.项目内容</w:t>
      </w:r>
    </w:p>
    <w:p>
      <w:pPr>
        <w:numPr>
          <w:ilvl w:val="0"/>
          <w:numId w:val="4"/>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乙方向甲方提供的服务的内容：</w:t>
      </w:r>
      <w:r>
        <w:rPr>
          <w:rFonts w:hint="eastAsia" w:ascii="仿宋_GB2312" w:hAnsi="Times New Roman" w:eastAsia="仿宋_GB2312" w:cs="Times New Roman"/>
          <w:color w:val="auto"/>
          <w:sz w:val="32"/>
          <w:szCs w:val="32"/>
          <w:lang w:val="en-US" w:eastAsia="zh-CN"/>
        </w:rPr>
        <w:t>1</w:t>
      </w:r>
      <w:r>
        <w:rPr>
          <w:rFonts w:hint="eastAsia" w:ascii="仿宋_GB2312" w:hAnsi="Times New Roman" w:eastAsia="仿宋_GB2312" w:cs="Times New Roman"/>
          <w:color w:val="auto"/>
          <w:sz w:val="32"/>
          <w:szCs w:val="32"/>
        </w:rPr>
        <w:t>年期食堂供餐服务</w:t>
      </w:r>
      <w:r>
        <w:rPr>
          <w:rFonts w:hint="eastAsia" w:ascii="仿宋_GB2312" w:hAnsi="Times New Roman" w:eastAsia="仿宋_GB2312" w:cs="Times New Roman"/>
          <w:color w:val="auto"/>
          <w:sz w:val="32"/>
          <w:szCs w:val="32"/>
          <w:lang w:eastAsia="zh-CN"/>
        </w:rPr>
        <w:t>。</w:t>
      </w:r>
      <w:r>
        <w:rPr>
          <w:rFonts w:hint="eastAsia" w:ascii="仿宋_GB2312" w:hAnsi="Times New Roman" w:eastAsia="仿宋_GB2312" w:cs="Times New Roman"/>
          <w:b w:val="0"/>
          <w:bCs w:val="0"/>
          <w:color w:val="auto"/>
          <w:kern w:val="2"/>
          <w:sz w:val="32"/>
          <w:szCs w:val="32"/>
          <w:lang w:val="en-US" w:eastAsia="zh-CN" w:bidi="ar-SA"/>
        </w:rPr>
        <w:t xml:space="preserve">                                 </w:t>
      </w:r>
    </w:p>
    <w:p>
      <w:pPr>
        <w:numPr>
          <w:ilvl w:val="0"/>
          <w:numId w:val="4"/>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服务期限：2026年*月*日到2027年*月*日，合计一年。</w:t>
      </w:r>
    </w:p>
    <w:p>
      <w:pPr>
        <w:numPr>
          <w:ilvl w:val="0"/>
          <w:numId w:val="0"/>
        </w:numPr>
        <w:spacing w:line="360" w:lineRule="auto"/>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     若因甲方办公场所迁址导致本合同无法继续履行的，甲方可提前15日书面告知乙方后解除本合同，双方按实际已发生供餐服务据实结算费用，互不承担其他违约责任。</w:t>
      </w:r>
    </w:p>
    <w:p>
      <w:pPr>
        <w:numPr>
          <w:ilvl w:val="0"/>
          <w:numId w:val="0"/>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（3）午餐结算单价为：*元/人/餐。                                       </w:t>
      </w:r>
    </w:p>
    <w:p>
      <w:pPr>
        <w:tabs>
          <w:tab w:val="left" w:pos="165"/>
          <w:tab w:val="left" w:pos="315"/>
        </w:tabs>
        <w:autoSpaceDE w:val="0"/>
        <w:autoSpaceDN w:val="0"/>
        <w:adjustRightInd/>
        <w:spacing w:line="360" w:lineRule="auto"/>
        <w:ind w:firstLine="626" w:firstLineChars="195"/>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3.告知</w:t>
      </w:r>
    </w:p>
    <w:p>
      <w:pPr>
        <w:tabs>
          <w:tab w:val="left" w:pos="165"/>
          <w:tab w:val="left" w:pos="315"/>
        </w:tabs>
        <w:autoSpaceDE w:val="0"/>
        <w:autoSpaceDN w:val="0"/>
        <w:adjustRightInd/>
        <w:spacing w:line="360" w:lineRule="auto"/>
        <w:ind w:firstLine="624" w:firstLineChars="195"/>
        <w:jc w:val="both"/>
        <w:textAlignment w:val="auto"/>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甲乙双方同意涉及本合同的一切事宜均以书面形式提交，双方应及时响应。</w:t>
      </w:r>
    </w:p>
    <w:p>
      <w:pPr>
        <w:tabs>
          <w:tab w:val="left" w:pos="315"/>
        </w:tabs>
        <w:autoSpaceDE w:val="0"/>
        <w:autoSpaceDN w:val="0"/>
        <w:adjustRightInd/>
        <w:spacing w:line="360" w:lineRule="auto"/>
        <w:ind w:firstLine="626" w:firstLineChars="195"/>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4.问题项目处理</w:t>
      </w: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pPr>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0"/>
        <w:rPr>
          <w:rFonts w:hint="eastAsia" w:ascii="仿宋_GB2312" w:hAnsi="Times New Roman" w:eastAsia="仿宋_GB2312" w:cs="Times New Roman"/>
          <w:b w:val="0"/>
          <w:bCs w:val="0"/>
          <w:color w:val="auto"/>
          <w:kern w:val="2"/>
          <w:sz w:val="32"/>
          <w:szCs w:val="32"/>
          <w:lang w:val="en-US" w:eastAsia="zh-CN" w:bidi="ar-SA"/>
        </w:rPr>
      </w:pPr>
    </w:p>
    <w:p>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附件二</w:t>
      </w:r>
    </w:p>
    <w:p>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付款</w:t>
      </w:r>
    </w:p>
    <w:p>
      <w:pPr>
        <w:autoSpaceDE w:val="0"/>
        <w:autoSpaceDN w:val="0"/>
        <w:spacing w:line="360" w:lineRule="auto"/>
        <w:ind w:left="482"/>
        <w:rPr>
          <w:rFonts w:hint="eastAsia" w:ascii="仿宋_GB2312" w:hAnsi="Times New Roman" w:eastAsia="仿宋_GB2312" w:cs="Times New Roman"/>
          <w:b w:val="0"/>
          <w:bCs w:val="0"/>
          <w:color w:val="auto"/>
          <w:kern w:val="2"/>
          <w:sz w:val="32"/>
          <w:szCs w:val="32"/>
          <w:lang w:val="en-US" w:eastAsia="zh-CN" w:bidi="ar-SA"/>
        </w:rPr>
      </w:pPr>
    </w:p>
    <w:p>
      <w:pPr>
        <w:autoSpaceDE w:val="0"/>
        <w:autoSpaceDN w:val="0"/>
        <w:spacing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1.本合同使用货币种类为人民币。</w:t>
      </w:r>
    </w:p>
    <w:p>
      <w:pPr>
        <w:spacing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2.付款方式：转账[现金/支票]双方采用转账方式付款的，甲方应向乙方以下账户进行支付：</w:t>
      </w:r>
    </w:p>
    <w:p>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乙方：</w:t>
      </w:r>
    </w:p>
    <w:p>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开户行：</w:t>
      </w:r>
    </w:p>
    <w:p>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账户名称：</w:t>
      </w:r>
    </w:p>
    <w:p>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账号：</w:t>
      </w:r>
    </w:p>
    <w:p>
      <w:pPr>
        <w:spacing w:afterLines="50"/>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乙方如需改变上述账户，应提前10日以书面通知甲方。</w:t>
      </w: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3.付款安排</w:t>
      </w: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甲方应于</w:t>
      </w:r>
      <w:r>
        <w:rPr>
          <w:rFonts w:hint="eastAsia" w:ascii="仿宋_GB2312" w:hAnsi="Times New Roman" w:eastAsia="仿宋_GB2312" w:cs="Times New Roman"/>
          <w:b w:val="0"/>
          <w:bCs w:val="0"/>
          <w:color w:val="auto"/>
          <w:kern w:val="2"/>
          <w:sz w:val="32"/>
          <w:szCs w:val="32"/>
          <w:u w:val="none"/>
          <w:lang w:val="en-US" w:eastAsia="zh-CN" w:bidi="ar-SA"/>
        </w:rPr>
        <w:t>月度餐饮服务结束且收到乙方开具的对应公司承担部分、足额有效的增值税普通发票后15个工作日内，</w:t>
      </w:r>
      <w:r>
        <w:rPr>
          <w:rFonts w:hint="eastAsia" w:ascii="仿宋_GB2312" w:hAnsi="Times New Roman" w:eastAsia="仿宋_GB2312" w:cs="Times New Roman"/>
          <w:b w:val="0"/>
          <w:bCs w:val="0"/>
          <w:color w:val="auto"/>
          <w:kern w:val="2"/>
          <w:sz w:val="32"/>
          <w:szCs w:val="32"/>
          <w:lang w:val="en-US" w:eastAsia="zh-CN" w:bidi="ar-SA"/>
        </w:rPr>
        <w:t>向乙方支付合同服务费用（每次付款前，甲方应当核实乙方提交加盖公章的月度就餐明细清单，清单应列明就餐人员、就餐日期、就餐人次、员工个人承担总金额、甲方应付结算金额）。本项目餐费实行共同承担模式，其中员工个人按2元/人/餐标准，由就餐员工直接以现金或扫码方式向乙方结算，该部分资金不经过甲方账户；甲方仅对扣除员工个人承担部分后的剩余餐费据实办理按月结算支付。</w:t>
      </w: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4.增值税专用发票的相关约定</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（1）乙方应向甲方开具增值税发票，甲方开票信息如下： </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公司名称：</w:t>
      </w:r>
      <w:r>
        <w:rPr>
          <w:rFonts w:hint="eastAsia" w:ascii="仿宋_GB2312" w:hAnsi="Times New Roman" w:eastAsia="仿宋_GB2312" w:cs="Times New Roman"/>
          <w:b w:val="0"/>
          <w:bCs w:val="0"/>
          <w:color w:val="auto"/>
          <w:kern w:val="2"/>
          <w:sz w:val="32"/>
          <w:szCs w:val="32"/>
          <w:u w:val="single"/>
          <w:lang w:val="en-US" w:eastAsia="zh-CN" w:bidi="ar-SA"/>
        </w:rPr>
        <w:t>中国人民财产保险股份有限公司巴中市分公司</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纳税人识别号：</w:t>
      </w:r>
      <w:r>
        <w:rPr>
          <w:rFonts w:hint="eastAsia" w:ascii="仿宋_GB2312" w:hAnsi="Times New Roman" w:eastAsia="仿宋_GB2312" w:cs="Times New Roman"/>
          <w:b w:val="0"/>
          <w:bCs w:val="0"/>
          <w:color w:val="auto"/>
          <w:kern w:val="2"/>
          <w:sz w:val="32"/>
          <w:szCs w:val="32"/>
          <w:u w:val="single"/>
          <w:lang w:val="en-US" w:eastAsia="zh-CN" w:bidi="ar-SA"/>
        </w:rPr>
        <w:t>9151190062956513X6</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地址：</w:t>
      </w:r>
      <w:r>
        <w:rPr>
          <w:rFonts w:hint="eastAsia" w:ascii="仿宋_GB2312" w:hAnsi="Times New Roman" w:eastAsia="仿宋_GB2312" w:cs="Times New Roman"/>
          <w:b w:val="0"/>
          <w:bCs w:val="0"/>
          <w:color w:val="auto"/>
          <w:kern w:val="2"/>
          <w:sz w:val="32"/>
          <w:szCs w:val="32"/>
          <w:u w:val="single"/>
          <w:lang w:val="en-US" w:eastAsia="zh-CN" w:bidi="ar-SA"/>
        </w:rPr>
        <w:t>四川省巴中市江北大道中段80号</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电话：</w:t>
      </w:r>
      <w:r>
        <w:rPr>
          <w:rFonts w:hint="eastAsia" w:ascii="仿宋_GB2312" w:hAnsi="Times New Roman" w:eastAsia="仿宋_GB2312" w:cs="Times New Roman"/>
          <w:b w:val="0"/>
          <w:bCs w:val="0"/>
          <w:color w:val="auto"/>
          <w:kern w:val="2"/>
          <w:sz w:val="32"/>
          <w:szCs w:val="32"/>
          <w:u w:val="single"/>
          <w:lang w:val="en-US" w:eastAsia="zh-CN" w:bidi="ar-SA"/>
        </w:rPr>
        <w:t>0827-5262862</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开户银行名称：</w:t>
      </w:r>
      <w:r>
        <w:rPr>
          <w:rFonts w:hint="eastAsia" w:ascii="仿宋_GB2312" w:hAnsi="Times New Roman" w:eastAsia="仿宋_GB2312" w:cs="Times New Roman"/>
          <w:b w:val="0"/>
          <w:bCs w:val="0"/>
          <w:color w:val="auto"/>
          <w:kern w:val="2"/>
          <w:sz w:val="32"/>
          <w:szCs w:val="32"/>
          <w:u w:val="single"/>
          <w:lang w:val="en-US" w:eastAsia="zh-CN" w:bidi="ar-SA"/>
        </w:rPr>
        <w:t>中国农业银行巴中市分行营业部</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开户银行账号：22700101040002726</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（2）乙方同时向甲方公司及其分支机构提供产品及服务的，双方应在合同中约定甲方的分支机构和对应的价款。乙方应分别对清单中的费用承担方开具相应金额的增值税发票；</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（3）乙方必须严格遵照相关税收法规和文件，开具合法的增值税发票。因乙方开具的增值税发票不符合税收法规与税务机关相关规定而给甲方造成经济损失的，乙方负责赔偿。</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（5）为保证取得的发票可以及时并成功获得抵扣，乙方开具的增值税发票送达并经甲方签收后，若发生丢失，乙方应积极协助甲方，按照相关税收法规和文件的规定提供相应资料，并确保甲方顺利获得抵扣；</w:t>
      </w:r>
    </w:p>
    <w:p>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color w:val="auto"/>
        </w:rPr>
      </w:pPr>
    </w:p>
    <w:p>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附件三</w:t>
      </w:r>
    </w:p>
    <w:p>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双方的权利和义务</w:t>
      </w: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1.甲方的权利和义务</w:t>
      </w:r>
    </w:p>
    <w:p>
      <w:pPr>
        <w:spacing w:line="360" w:lineRule="auto"/>
        <w:ind w:firstLine="320" w:firstLineChars="1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 xml:space="preserve">（1）甲方有权获得本合同项下乙方应提供的全部合格的服务；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（2）甲方有权在合同期内对乙方的产品及服务进行监督；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（3）乙方未按照合同约定履行义务的，甲方有权采取相应的措施；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（4）甲方应按照合同约定向乙方支付合同价款；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（5）甲方享有其它双方约定的权利、承担其它双方约定的义务。</w:t>
      </w:r>
    </w:p>
    <w:p>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w:t>
      </w:r>
      <w:r>
        <w:rPr>
          <w:rFonts w:hint="default" w:ascii="仿宋_GB2312" w:hAnsi="Times New Roman" w:eastAsia="仿宋_GB2312" w:cs="Times New Roman"/>
          <w:b w:val="0"/>
          <w:bCs w:val="0"/>
          <w:color w:val="auto"/>
          <w:kern w:val="2"/>
          <w:sz w:val="32"/>
          <w:szCs w:val="32"/>
          <w:lang w:val="en-US" w:eastAsia="zh-CN" w:bidi="ar-SA"/>
        </w:rPr>
        <w:t xml:space="preserve"> 乙方的权利和义务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（1）乙方有权获得甲方支付的合同价款；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（2）乙方应按照合同约定向甲方提供全部合格的服务；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（3）乙方应当按照合同约定的期限及要求完成项目内容；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（5）乙方享有其它双方约定的权利、承担其它双方约定的义务。</w:t>
      </w:r>
    </w:p>
    <w:p>
      <w:pPr>
        <w:rPr>
          <w:rFonts w:hint="eastAsia" w:ascii="仿宋_GB2312" w:hAnsi="Times New Roman" w:eastAsia="仿宋_GB2312" w:cs="Times New Roman"/>
          <w:b w:val="0"/>
          <w:bCs w:val="0"/>
          <w:color w:val="auto"/>
          <w:kern w:val="2"/>
          <w:sz w:val="32"/>
          <w:szCs w:val="32"/>
          <w:lang w:val="en-US" w:eastAsia="zh-CN" w:bidi="ar-SA"/>
        </w:rPr>
      </w:pPr>
    </w:p>
    <w:p>
      <w:pPr>
        <w:rPr>
          <w:rFonts w:hint="eastAsia" w:ascii="仿宋_GB2312" w:hAnsi="Times New Roman" w:eastAsia="仿宋_GB2312" w:cs="Times New Roman"/>
          <w:b w:val="0"/>
          <w:bCs w:val="0"/>
          <w:color w:val="auto"/>
          <w:kern w:val="2"/>
          <w:sz w:val="32"/>
          <w:szCs w:val="32"/>
          <w:lang w:val="en-US" w:eastAsia="zh-CN" w:bidi="ar-SA"/>
        </w:rPr>
      </w:pPr>
    </w:p>
    <w:p>
      <w:pPr>
        <w:pStyle w:val="12"/>
        <w:rPr>
          <w:rFonts w:hint="eastAsia" w:ascii="仿宋_GB2312" w:hAnsi="Times New Roman" w:eastAsia="仿宋_GB2312" w:cs="Times New Roman"/>
          <w:b w:val="0"/>
          <w:bCs w:val="0"/>
          <w:color w:val="auto"/>
          <w:kern w:val="2"/>
          <w:sz w:val="32"/>
          <w:szCs w:val="32"/>
          <w:lang w:val="en-US" w:eastAsia="zh-CN" w:bidi="ar-SA"/>
        </w:rPr>
      </w:pPr>
    </w:p>
    <w:p>
      <w:pPr>
        <w:rPr>
          <w:rFonts w:hint="eastAsia"/>
          <w:lang w:val="en-US" w:eastAsia="zh-CN"/>
        </w:rPr>
      </w:pPr>
    </w:p>
    <w:p>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附件四</w:t>
      </w:r>
    </w:p>
    <w:p>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违约责任</w:t>
      </w:r>
    </w:p>
    <w:p>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1.甲方违约责任</w:t>
      </w: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由于甲方原因无正当理由不能按合同约定时间付款的，每延迟10个工作日，甲方按合同应付金额的0.1%向乙方支付违约金。</w:t>
      </w:r>
    </w:p>
    <w:p>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w:t>
      </w:r>
      <w:r>
        <w:rPr>
          <w:rFonts w:hint="default" w:ascii="仿宋_GB2312" w:hAnsi="Times New Roman" w:eastAsia="仿宋_GB2312" w:cs="Times New Roman"/>
          <w:b w:val="0"/>
          <w:bCs w:val="0"/>
          <w:color w:val="auto"/>
          <w:kern w:val="2"/>
          <w:sz w:val="32"/>
          <w:szCs w:val="32"/>
          <w:lang w:val="en-US" w:eastAsia="zh-CN" w:bidi="ar-SA"/>
        </w:rPr>
        <w:t> 乙方延迟交付的违约责任</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w:t>
      </w:r>
      <w:r>
        <w:rPr>
          <w:rFonts w:hint="eastAsia" w:ascii="仿宋_GB2312" w:hAnsi="Times New Roman" w:eastAsia="仿宋_GB2312" w:cs="Times New Roman"/>
          <w:b w:val="0"/>
          <w:bCs w:val="0"/>
          <w:color w:val="auto"/>
          <w:kern w:val="2"/>
          <w:sz w:val="32"/>
          <w:szCs w:val="32"/>
          <w:lang w:val="en-US" w:eastAsia="zh-CN" w:bidi="ar-SA"/>
        </w:rPr>
        <w:t xml:space="preserve"> </w:t>
      </w:r>
      <w:r>
        <w:rPr>
          <w:rFonts w:hint="default" w:ascii="仿宋_GB2312" w:hAnsi="Times New Roman" w:eastAsia="仿宋_GB2312" w:cs="Times New Roman"/>
          <w:b w:val="0"/>
          <w:bCs w:val="0"/>
          <w:color w:val="auto"/>
          <w:kern w:val="2"/>
          <w:sz w:val="32"/>
          <w:szCs w:val="32"/>
          <w:lang w:val="en-US" w:eastAsia="zh-CN" w:bidi="ar-SA"/>
        </w:rPr>
        <w:t>（1）</w:t>
      </w:r>
      <w:r>
        <w:rPr>
          <w:rFonts w:hint="eastAsia" w:ascii="仿宋_GB2312" w:hAnsi="Times New Roman" w:eastAsia="仿宋_GB2312" w:cs="Times New Roman"/>
          <w:b w:val="0"/>
          <w:bCs w:val="0"/>
          <w:color w:val="auto"/>
          <w:kern w:val="2"/>
          <w:sz w:val="32"/>
          <w:szCs w:val="32"/>
          <w:lang w:val="en-US" w:eastAsia="zh-CN" w:bidi="ar-SA"/>
        </w:rPr>
        <w:t>由于乙方原因造成项目延迟的，每延迟10个工作日，乙方向甲方支付违约金为合同服务费用总额的0.1%。</w:t>
      </w:r>
    </w:p>
    <w:p>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（2）</w:t>
      </w:r>
      <w:r>
        <w:rPr>
          <w:rFonts w:hint="eastAsia" w:ascii="仿宋_GB2312" w:hAnsi="Times New Roman" w:eastAsia="仿宋_GB2312" w:cs="Times New Roman"/>
          <w:b w:val="0"/>
          <w:bCs w:val="0"/>
          <w:color w:val="auto"/>
          <w:kern w:val="2"/>
          <w:sz w:val="32"/>
          <w:szCs w:val="32"/>
          <w:lang w:val="en-US" w:eastAsia="zh-CN" w:bidi="ar-SA"/>
        </w:rPr>
        <w:t>由于乙方原因造成项目迟延，经甲方催促后乙方继续延误的，甲方有权单方面解除合同，乙方应按照合同服务费用总额的0.1%向甲方支付违约金，并赔偿由此引起的甲方全部损失。</w:t>
      </w:r>
    </w:p>
    <w:p>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w:t>
      </w:r>
      <w:r>
        <w:rPr>
          <w:rFonts w:hint="eastAsia" w:ascii="仿宋_GB2312" w:hAnsi="Times New Roman" w:eastAsia="仿宋_GB2312" w:cs="Times New Roman"/>
          <w:b w:val="0"/>
          <w:bCs w:val="0"/>
          <w:color w:val="auto"/>
          <w:kern w:val="2"/>
          <w:sz w:val="32"/>
          <w:szCs w:val="32"/>
          <w:lang w:val="en-US" w:eastAsia="zh-CN" w:bidi="ar-SA"/>
        </w:rPr>
        <w:t>3</w:t>
      </w:r>
      <w:r>
        <w:rPr>
          <w:rFonts w:hint="default" w:ascii="仿宋_GB2312" w:hAnsi="Times New Roman" w:eastAsia="仿宋_GB2312" w:cs="Times New Roman"/>
          <w:b w:val="0"/>
          <w:bCs w:val="0"/>
          <w:color w:val="auto"/>
          <w:kern w:val="2"/>
          <w:sz w:val="32"/>
          <w:szCs w:val="32"/>
          <w:lang w:val="en-US" w:eastAsia="zh-CN" w:bidi="ar-SA"/>
        </w:rPr>
        <w:t>）</w:t>
      </w:r>
      <w:r>
        <w:rPr>
          <w:rFonts w:hint="eastAsia" w:ascii="仿宋_GB2312" w:hAnsi="Times New Roman" w:eastAsia="仿宋_GB2312" w:cs="Times New Roman"/>
          <w:b w:val="0"/>
          <w:bCs w:val="0"/>
          <w:color w:val="auto"/>
          <w:kern w:val="2"/>
          <w:sz w:val="32"/>
          <w:szCs w:val="32"/>
          <w:lang w:val="en-US" w:eastAsia="zh-CN" w:bidi="ar-SA"/>
        </w:rPr>
        <w:t> 验收不合格并且乙方在甲方指定期限内无法完成整改、提交合格的工作成果的，乙方应向甲方支付合同服务费用总额0.1%的违约金，并赔偿由此引起的甲方全部损失。</w:t>
      </w:r>
    </w:p>
    <w:p>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 如果乙方违反本合同约定的保密义务，乙方应向甲方支付相当于合同服务费用总额0.1%的违约金，甲方受到的损失超出违约金的部分，由乙方继续承担赔偿责任。</w:t>
      </w:r>
    </w:p>
    <w:p>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 除本合同的约定外，因乙方的违约行为给甲方造成损失的，乙方应向甲方支付相当于合同服务费用总额0.1%的违约金，如甲方受到的损失超过违约金的，超出部分由乙方继续承担赔偿责任。</w:t>
      </w:r>
    </w:p>
    <w:p>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br w:type="page"/>
      </w:r>
    </w:p>
    <w:p>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附件五</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廉洁诚信协议</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第一条  总则</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（1）一方或其关联方之工作人员；</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（2）受一方委托办理相关事务的单位或者个人；</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（3）利用职权或者影响力影响交易的单位或者个人；</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（4）前述相关人员的亲属；</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2.3本条第1款所称其他形式，包括但不限于：</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（6）向甲方或甲方相关主体提供借款、融资、担保等；</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（7）给予或承诺给予其不正当利益的其他行为；</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第三条  回扣</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第四条  折扣</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（1）报销甲方相关主体的私人费用；</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（2）提供超过宴请标准的宴请或娱乐活动；</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（3）介绍甲方相关主体亲友到乙方处工作；</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（6）向甲方相关主体提供借款、融资、担保等；</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7.1 避免利害关系</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8.4甲方及甲方子公司按照前述条款要求乙方承担赔偿责任的，乙方应于甲方发出赔偿通知之日起【10】个工作日内支付，如未及时支付，甲方及甲方子公司有权从主合同款项中直接扣除。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第九条  附则</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9.5本协议长期有效。</w:t>
      </w:r>
    </w:p>
    <w:p>
      <w:pPr>
        <w:pStyle w:val="2"/>
        <w:pageBreakBefore/>
        <w:ind w:left="0" w:firstLine="3064" w:firstLineChars="1090"/>
        <w:jc w:val="left"/>
        <w:rPr>
          <w:rFonts w:ascii="仿宋_GB2312" w:hAnsi="宋体" w:eastAsia="仿宋_GB2312"/>
          <w:color w:val="auto"/>
          <w:sz w:val="28"/>
          <w:szCs w:val="28"/>
        </w:rPr>
      </w:pPr>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spacing w:line="360" w:lineRule="auto"/>
        <w:ind w:firstLine="482" w:firstLineChars="200"/>
        <w:rPr>
          <w:rFonts w:ascii="楷体" w:hAnsi="楷体" w:eastAsia="楷体" w:cs="仿宋_GB2312"/>
          <w:b/>
          <w:bCs/>
          <w:i w:val="0"/>
          <w:iCs/>
          <w:color w:val="auto"/>
          <w:szCs w:val="32"/>
        </w:rPr>
      </w:pPr>
      <w:r>
        <w:rPr>
          <w:rFonts w:ascii="楷体" w:hAnsi="楷体" w:eastAsia="楷体" w:cs="仿宋_GB2312"/>
          <w:b/>
          <w:bCs/>
          <w:i w:val="0"/>
          <w:iCs/>
          <w:color w:val="auto"/>
          <w:szCs w:val="32"/>
        </w:rPr>
        <w:t>一</w:t>
      </w:r>
      <w:r>
        <w:rPr>
          <w:rFonts w:hint="eastAsia" w:ascii="楷体" w:hAnsi="楷体" w:eastAsia="楷体" w:cs="仿宋_GB2312"/>
          <w:b/>
          <w:bCs/>
          <w:i w:val="0"/>
          <w:iCs/>
          <w:color w:val="auto"/>
          <w:szCs w:val="32"/>
        </w:rPr>
        <w:t>、</w:t>
      </w:r>
      <w:r>
        <w:rPr>
          <w:rFonts w:ascii="楷体" w:hAnsi="楷体" w:eastAsia="楷体" w:cs="仿宋_GB2312"/>
          <w:b/>
          <w:bCs/>
          <w:i w:val="0"/>
          <w:iCs/>
          <w:color w:val="auto"/>
          <w:szCs w:val="32"/>
        </w:rPr>
        <w:t>采购项目背景</w:t>
      </w:r>
    </w:p>
    <w:p>
      <w:pPr>
        <w:keepNext w:val="0"/>
        <w:keepLines w:val="0"/>
        <w:pageBreakBefore w:val="0"/>
        <w:widowControl/>
        <w:kinsoku/>
        <w:overflowPunct/>
        <w:topLinePunct w:val="0"/>
        <w:autoSpaceDE/>
        <w:autoSpaceDN/>
        <w:bidi w:val="0"/>
        <w:adjustRightInd/>
        <w:snapToGrid/>
        <w:spacing w:line="600" w:lineRule="exact"/>
        <w:ind w:firstLine="640"/>
        <w:jc w:val="left"/>
        <w:textAlignment w:val="auto"/>
        <w:rPr>
          <w:rFonts w:hint="eastAsia" w:ascii="仿宋" w:hAnsi="仿宋" w:eastAsia="仿宋" w:cs="仿宋"/>
          <w:i w:val="0"/>
          <w:iCs/>
          <w:color w:val="auto"/>
          <w:szCs w:val="32"/>
        </w:rPr>
      </w:pPr>
      <w:r>
        <w:rPr>
          <w:rFonts w:hint="eastAsia" w:ascii="仿宋" w:hAnsi="仿宋" w:eastAsia="仿宋" w:cs="仿宋"/>
          <w:i w:val="0"/>
          <w:iCs/>
          <w:color w:val="auto"/>
          <w:sz w:val="24"/>
          <w:szCs w:val="24"/>
          <w:lang w:val="en-US" w:eastAsia="zh-CN" w:bidi="ar-SA"/>
        </w:rPr>
        <w:t>巴州支公司因办公场所限制，为持续落实员工后勤保障、保障员工就餐工作平稳有序开展，根据公司采购管理相关制度规范，拟通过分散采购方式择优选取1家服务商，持续为巴州支公司员工提供标准化午餐供餐服务。目前大部分员工离家较远，为解决员工用餐问题，提高员工幸福感，本着节约成本、降本增效的原则，拟通过分散采购方式采购1家供应商为巴州支公司提供午餐供餐服务。</w:t>
      </w:r>
    </w:p>
    <w:p>
      <w:pPr>
        <w:numPr>
          <w:ilvl w:val="0"/>
          <w:numId w:val="5"/>
        </w:numPr>
        <w:spacing w:line="360" w:lineRule="auto"/>
        <w:ind w:firstLine="482" w:firstLineChars="200"/>
        <w:rPr>
          <w:rFonts w:ascii="楷体" w:hAnsi="楷体" w:eastAsia="楷体" w:cs="仿宋_GB2312"/>
          <w:b/>
          <w:bCs/>
          <w:i w:val="0"/>
          <w:iCs/>
          <w:color w:val="auto"/>
          <w:szCs w:val="32"/>
        </w:rPr>
      </w:pPr>
      <w:r>
        <w:rPr>
          <w:rFonts w:ascii="楷体" w:hAnsi="楷体" w:eastAsia="楷体" w:cs="仿宋_GB2312"/>
          <w:b/>
          <w:bCs/>
          <w:i w:val="0"/>
          <w:iCs/>
          <w:color w:val="auto"/>
          <w:szCs w:val="32"/>
        </w:rPr>
        <w:t>采购内容</w:t>
      </w:r>
    </w:p>
    <w:p>
      <w:p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采购内容为提供午餐供餐服务，供餐标准为两荤一素一汤（荤菜为鸡鸭鱼肉蛋类，素菜为时令蔬菜）。</w:t>
      </w:r>
    </w:p>
    <w:p>
      <w:pPr>
        <w:numPr>
          <w:ilvl w:val="0"/>
          <w:numId w:val="5"/>
        </w:numPr>
        <w:spacing w:line="360" w:lineRule="auto"/>
        <w:ind w:left="0" w:leftChars="0" w:firstLine="482" w:firstLineChars="200"/>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采购数量</w:t>
      </w:r>
    </w:p>
    <w:p>
      <w:pPr>
        <w:pStyle w:val="12"/>
        <w:snapToGrid w:val="0"/>
        <w:spacing w:after="0" w:line="360" w:lineRule="auto"/>
        <w:ind w:left="138" w:right="148" w:firstLine="480"/>
        <w:jc w:val="both"/>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提供午餐餐标为两荤一素一汤（荤菜为鸡鸭鱼肉蛋类，素菜为时令蔬菜）。预估日均就餐人数为13人，按照22元/人/餐、22个工作日/月核算，综合考虑加班及节假日情况调整后，年度预估就餐次数为3432人次。</w:t>
      </w:r>
    </w:p>
    <w:p>
      <w:pPr>
        <w:numPr>
          <w:ilvl w:val="0"/>
          <w:numId w:val="5"/>
        </w:numPr>
        <w:spacing w:line="360" w:lineRule="auto"/>
        <w:ind w:left="0" w:leftChars="0" w:firstLine="482" w:firstLineChars="200"/>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付款方式</w:t>
      </w:r>
    </w:p>
    <w:p>
      <w:pPr>
        <w:numPr>
          <w:ilvl w:val="0"/>
          <w:numId w:val="0"/>
        </w:num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每月餐饮服务结束后，服务商提交加盖公章的月度就餐明细清单，经我方核对确认无误并收到服务商开具的足额、合规有效的增值税发票后，于次月15日前据实结算上月服务费用。</w:t>
      </w:r>
    </w:p>
    <w:p>
      <w:pPr>
        <w:spacing w:line="360" w:lineRule="auto"/>
        <w:ind w:firstLine="482" w:firstLineChars="200"/>
        <w:rPr>
          <w:rFonts w:hint="eastAsia" w:ascii="楷体" w:hAnsi="楷体" w:eastAsia="楷体" w:cs="仿宋_GB2312"/>
          <w:b/>
          <w:bCs/>
          <w:i w:val="0"/>
          <w:iCs/>
          <w:color w:val="auto"/>
          <w:szCs w:val="32"/>
        </w:rPr>
      </w:pPr>
      <w:r>
        <w:rPr>
          <w:rFonts w:ascii="楷体" w:hAnsi="楷体" w:eastAsia="楷体" w:cs="仿宋_GB2312"/>
          <w:b/>
          <w:bCs/>
          <w:i w:val="0"/>
          <w:iCs/>
          <w:color w:val="auto"/>
          <w:szCs w:val="32"/>
        </w:rPr>
        <w:t>五</w:t>
      </w:r>
      <w:r>
        <w:rPr>
          <w:rFonts w:hint="eastAsia" w:ascii="楷体" w:hAnsi="楷体" w:eastAsia="楷体" w:cs="仿宋_GB2312"/>
          <w:b/>
          <w:bCs/>
          <w:i w:val="0"/>
          <w:iCs/>
          <w:color w:val="auto"/>
          <w:szCs w:val="32"/>
        </w:rPr>
        <w:t>、服务要求</w:t>
      </w:r>
    </w:p>
    <w:p>
      <w:p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一）菜品管理要求。严格执行供餐标准两荤一素一汤，做到荤素均衡，结合季节变化、员工用餐反馈动态调整食谱；荤菜保障鸡、鸭、鱼、肉、蛋类定期轮换，素菜优先选用新鲜时令食材，杜绝变质、过期原材料。</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二）食品安全管理要求。服务商须严格遵守《食品安全法》相关规定，落实食材采购索证索票、食品留样、餐具清洗消毒制度；做好食品运输、存放全过程管控，严防食品安全隐患，若发生食品安全问题，由服务商承担全部责任。</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（三）供餐时效要求。严格按照约定就餐时段（12:00-13:00）准时配送到位，保证餐品温度；如遇极端天气、临时加班等特殊情况，提前做好沟通协调，保障供餐稳定。</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（四）环境卫生与餐品质量要求。餐食干净卫生、口味适中，做好餐盒、餐具消杀。</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五）沟通与考核机制。建立常态化沟通反馈渠道，及时响应员工合理用餐意见；我方将定期开展服务质量评价，服务商须根据反馈及时优化调整服务；若多次出现菜品质量不达标、供餐延误、卫生不合规等问题，我方有权按约定进行处置。</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w:t>
      </w:r>
    </w:p>
    <w:p>
      <w:pPr>
        <w:pStyle w:val="2"/>
        <w:spacing w:before="0" w:after="0"/>
        <w:jc w:val="left"/>
        <w:rPr>
          <w:rFonts w:hint="eastAsia" w:ascii="仿宋" w:hAnsi="仿宋" w:eastAsia="仿宋" w:cs="仿宋"/>
          <w:color w:val="auto"/>
          <w:sz w:val="28"/>
          <w:szCs w:val="28"/>
        </w:rPr>
      </w:pPr>
      <w:bookmarkStart w:id="126" w:name="_Toc186737812"/>
      <w:bookmarkStart w:id="127" w:name="_Toc3675"/>
      <w:bookmarkStart w:id="128" w:name="_Toc9891"/>
    </w:p>
    <w:p>
      <w:pPr>
        <w:rPr>
          <w:rFonts w:hint="eastAsia" w:ascii="仿宋" w:hAnsi="仿宋" w:eastAsia="仿宋" w:cs="仿宋"/>
          <w:color w:val="auto"/>
          <w:sz w:val="28"/>
          <w:szCs w:val="28"/>
        </w:rPr>
      </w:pPr>
    </w:p>
    <w:p>
      <w:pPr>
        <w:pStyle w:val="12"/>
        <w:rPr>
          <w:rFonts w:hint="eastAsia"/>
        </w:rPr>
      </w:pPr>
    </w:p>
    <w:p>
      <w:pPr>
        <w:pStyle w:val="2"/>
        <w:spacing w:before="0" w:after="0"/>
        <w:jc w:val="left"/>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rPr>
      </w:pPr>
    </w:p>
    <w:p>
      <w:pPr>
        <w:pStyle w:val="2"/>
        <w:spacing w:before="0" w:after="0"/>
        <w:jc w:val="left"/>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2"/>
        <w:rPr>
          <w:rFonts w:hint="eastAsia"/>
        </w:rPr>
      </w:pPr>
    </w:p>
    <w:p>
      <w:pPr>
        <w:pStyle w:val="2"/>
        <w:spacing w:before="0" w:after="0"/>
        <w:jc w:val="left"/>
        <w:rPr>
          <w:rFonts w:ascii="仿宋" w:hAnsi="仿宋" w:eastAsia="仿宋" w:cs="仿宋"/>
          <w:color w:val="auto"/>
          <w:sz w:val="28"/>
          <w:szCs w:val="28"/>
        </w:rPr>
      </w:pPr>
      <w:r>
        <w:rPr>
          <w:rFonts w:hint="eastAsia" w:ascii="仿宋" w:hAnsi="仿宋" w:eastAsia="仿宋" w:cs="仿宋"/>
          <w:color w:val="auto"/>
          <w:sz w:val="28"/>
          <w:szCs w:val="28"/>
        </w:rPr>
        <w:t>第六章 响应文件格式</w:t>
      </w:r>
      <w:bookmarkEnd w:id="126"/>
      <w:bookmarkEnd w:id="127"/>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rPr>
              <w:t>（项目名称）项目</w:t>
            </w:r>
          </w:p>
          <w:p>
            <w:pPr>
              <w:pStyle w:val="61"/>
              <w:ind w:right="-284" w:firstLine="2240"/>
              <w:rPr>
                <w:rFonts w:ascii="仿宋" w:hAnsi="仿宋" w:eastAsia="仿宋" w:cs="仿宋"/>
                <w:color w:val="auto"/>
                <w:sz w:val="28"/>
                <w:u w:val="single"/>
              </w:rPr>
            </w:pP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pStyle w:val="3"/>
        <w:jc w:val="both"/>
        <w:rPr>
          <w:rFonts w:ascii="仿宋" w:hAnsi="仿宋" w:eastAsia="仿宋" w:cs="仿宋"/>
          <w:color w:val="auto"/>
          <w:sz w:val="24"/>
          <w:szCs w:val="24"/>
        </w:rPr>
      </w:pPr>
      <w:bookmarkStart w:id="129" w:name="_Toc17191"/>
      <w:bookmarkStart w:id="130" w:name="_Toc186737813"/>
      <w:bookmarkStart w:id="131" w:name="_Toc3936"/>
      <w:bookmarkStart w:id="132" w:name="_Toc287600131"/>
      <w:bookmarkStart w:id="133" w:name="_Toc19783362"/>
      <w:bookmarkStart w:id="134" w:name="_Toc21280"/>
      <w:bookmarkStart w:id="135" w:name="_Toc444891353"/>
      <w:bookmarkStart w:id="136" w:name="_Toc11783"/>
      <w:bookmarkStart w:id="137" w:name="_Toc517281836"/>
      <w:bookmarkStart w:id="138" w:name="_Toc19910"/>
      <w:bookmarkStart w:id="139" w:name="_Toc25957"/>
      <w:bookmarkStart w:id="140" w:name="_Toc287600129"/>
      <w:bookmarkStart w:id="141" w:name="_Toc19783360"/>
      <w:r>
        <w:rPr>
          <w:rFonts w:hint="eastAsia" w:ascii="仿宋" w:hAnsi="仿宋" w:eastAsia="仿宋" w:cs="仿宋"/>
          <w:color w:val="auto"/>
          <w:sz w:val="24"/>
          <w:szCs w:val="24"/>
        </w:rPr>
        <w:t>一、商务文件</w:t>
      </w:r>
      <w:bookmarkEnd w:id="129"/>
      <w:bookmarkEnd w:id="130"/>
      <w:bookmarkEnd w:id="131"/>
    </w:p>
    <w:p>
      <w:pPr>
        <w:jc w:val="center"/>
        <w:rPr>
          <w:color w:val="auto"/>
        </w:rPr>
      </w:pPr>
      <w:bookmarkStart w:id="142" w:name="_Toc26744"/>
      <w:r>
        <w:rPr>
          <w:rFonts w:hint="eastAsia" w:ascii="仿宋" w:hAnsi="仿宋" w:eastAsia="仿宋" w:cs="仿宋"/>
          <w:b/>
          <w:bCs/>
          <w:color w:val="auto"/>
        </w:rPr>
        <w:t>初步评审索引表</w:t>
      </w:r>
      <w:bookmarkEnd w:id="142"/>
    </w:p>
    <w:tbl>
      <w:tblPr>
        <w:tblStyle w:val="29"/>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301"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18"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1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18"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18"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18" w:type="dxa"/>
            <w:vAlign w:val="center"/>
          </w:tcPr>
          <w:p>
            <w:pPr>
              <w:pStyle w:val="61"/>
              <w:spacing w:before="48" w:beforeLines="20" w:after="48" w:afterLines="20"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具有独立承担民事责任的能力</w:t>
            </w:r>
          </w:p>
        </w:tc>
        <w:tc>
          <w:tcPr>
            <w:tcW w:w="4218" w:type="dxa"/>
            <w:vAlign w:val="center"/>
          </w:tcPr>
          <w:p>
            <w:pPr>
              <w:spacing w:before="24" w:after="24"/>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具有良好的商业信誉和健全的财务会计制度</w:t>
            </w:r>
          </w:p>
        </w:tc>
        <w:tc>
          <w:tcPr>
            <w:tcW w:w="4218" w:type="dxa"/>
            <w:vAlign w:val="center"/>
          </w:tcPr>
          <w:p>
            <w:pPr>
              <w:spacing w:before="24" w:after="24"/>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4218" w:type="dxa"/>
            <w:vAlign w:val="center"/>
          </w:tcPr>
          <w:p>
            <w:pPr>
              <w:spacing w:before="24" w:after="24"/>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具有依法缴纳税收和社会保障资金的良好记录</w:t>
            </w:r>
          </w:p>
        </w:tc>
        <w:tc>
          <w:tcPr>
            <w:tcW w:w="4218" w:type="dxa"/>
            <w:vAlign w:val="center"/>
          </w:tcPr>
          <w:p>
            <w:pPr>
              <w:spacing w:before="24" w:after="24"/>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近三年内无违法违规记录</w:t>
            </w:r>
          </w:p>
        </w:tc>
        <w:tc>
          <w:tcPr>
            <w:tcW w:w="4218" w:type="dxa"/>
            <w:vAlign w:val="center"/>
          </w:tcPr>
          <w:p>
            <w:pPr>
              <w:spacing w:before="24" w:after="24"/>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4218" w:type="dxa"/>
            <w:vAlign w:val="center"/>
          </w:tcPr>
          <w:p>
            <w:pPr>
              <w:spacing w:before="24" w:after="24"/>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4218" w:type="dxa"/>
            <w:vAlign w:val="center"/>
          </w:tcPr>
          <w:p>
            <w:pPr>
              <w:spacing w:before="24" w:after="24" w:line="276" w:lineRule="auto"/>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4218" w:type="dxa"/>
            <w:vAlign w:val="center"/>
          </w:tcPr>
          <w:p>
            <w:pPr>
              <w:spacing w:before="24" w:after="24" w:line="276" w:lineRule="auto"/>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_GB2312" w:hAnsi="宋体" w:eastAsia="仿宋_GB2312" w:cs="宋体"/>
                <w:color w:val="auto"/>
                <w:lang w:val="en-US" w:eastAsia="zh-CN"/>
              </w:rPr>
              <w:t>特殊资质条件证明材料</w:t>
            </w:r>
          </w:p>
        </w:tc>
        <w:tc>
          <w:tcPr>
            <w:tcW w:w="4218" w:type="dxa"/>
            <w:vAlign w:val="center"/>
          </w:tcPr>
          <w:p>
            <w:pPr>
              <w:spacing w:before="24" w:after="24" w:line="276" w:lineRule="auto"/>
              <w:jc w:val="center"/>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18" w:type="dxa"/>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7" w:type="default"/>
          <w:pgSz w:w="11906" w:h="16838"/>
          <w:pgMar w:top="1417" w:right="1134" w:bottom="1134" w:left="1134" w:header="964" w:footer="964" w:gutter="0"/>
          <w:cols w:space="720" w:num="1"/>
          <w:docGrid w:linePitch="312" w:charSpace="0"/>
        </w:sectPr>
      </w:pPr>
    </w:p>
    <w:bookmarkEnd w:id="132"/>
    <w:bookmarkEnd w:id="133"/>
    <w:bookmarkEnd w:id="134"/>
    <w:bookmarkEnd w:id="135"/>
    <w:bookmarkEnd w:id="136"/>
    <w:bookmarkEnd w:id="137"/>
    <w:bookmarkEnd w:id="138"/>
    <w:bookmarkEnd w:id="139"/>
    <w:p>
      <w:pPr>
        <w:jc w:val="center"/>
        <w:rPr>
          <w:rFonts w:ascii="仿宋" w:hAnsi="仿宋" w:eastAsia="仿宋" w:cs="仿宋"/>
          <w:b/>
          <w:bCs/>
          <w:color w:val="auto"/>
        </w:rPr>
      </w:pPr>
      <w:bookmarkStart w:id="143" w:name="_Toc27799"/>
      <w:bookmarkStart w:id="144" w:name="_Toc12140"/>
      <w:bookmarkStart w:id="145" w:name="_Toc517281837"/>
      <w:bookmarkStart w:id="146" w:name="_Toc25121"/>
      <w:bookmarkStart w:id="147" w:name="_Toc444891354"/>
      <w:bookmarkStart w:id="148" w:name="_Toc7202"/>
      <w:r>
        <w:rPr>
          <w:rFonts w:hint="eastAsia" w:ascii="仿宋" w:hAnsi="仿宋" w:eastAsia="仿宋" w:cs="仿宋"/>
          <w:b/>
          <w:bCs/>
          <w:color w:val="auto"/>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268" w:type="dxa"/>
          </w:tcPr>
          <w:p>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商务得分</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2268" w:type="dxa"/>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综合实力</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4820"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lang w:bidi="ar"/>
              </w:rPr>
            </w:pPr>
          </w:p>
        </w:tc>
        <w:tc>
          <w:tcPr>
            <w:tcW w:w="2268" w:type="dxa"/>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同类业绩</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4820" w:type="dxa"/>
            <w:tcMar>
              <w:top w:w="15" w:type="dxa"/>
              <w:left w:w="15" w:type="dxa"/>
              <w:right w:w="15" w:type="dxa"/>
            </w:tcMar>
            <w:vAlign w:val="center"/>
          </w:tcPr>
          <w:p>
            <w:pPr>
              <w:rPr>
                <w:rStyle w:val="75"/>
                <w:rFonts w:hint="default" w:cs="宋体"/>
                <w:color w:val="auto"/>
                <w:lang w:bidi="ar"/>
              </w:rPr>
            </w:pPr>
          </w:p>
        </w:tc>
      </w:tr>
    </w:tbl>
    <w:p>
      <w:pPr>
        <w:rPr>
          <w:rFonts w:ascii="仿宋" w:hAnsi="仿宋" w:eastAsia="仿宋" w:cs="仿宋"/>
          <w:color w:val="auto"/>
          <w:sz w:val="28"/>
          <w:szCs w:val="28"/>
        </w:rPr>
      </w:pPr>
      <w:r>
        <w:rPr>
          <w:rFonts w:hint="eastAsia" w:ascii="仿宋" w:hAnsi="仿宋" w:eastAsia="仿宋" w:cs="仿宋"/>
          <w:color w:val="auto"/>
          <w:sz w:val="28"/>
          <w:szCs w:val="28"/>
        </w:rPr>
        <w:br w:type="page"/>
      </w:r>
    </w:p>
    <w:p>
      <w:pPr>
        <w:pStyle w:val="4"/>
        <w:spacing w:before="0" w:line="440" w:lineRule="exact"/>
        <w:rPr>
          <w:rFonts w:ascii="仿宋" w:hAnsi="仿宋" w:eastAsia="仿宋" w:cs="仿宋"/>
          <w:color w:val="auto"/>
          <w:sz w:val="24"/>
          <w:szCs w:val="24"/>
        </w:rPr>
      </w:pPr>
      <w:bookmarkStart w:id="149" w:name="_Toc27958"/>
      <w:bookmarkStart w:id="150" w:name="_Toc186737814"/>
      <w:r>
        <w:rPr>
          <w:rFonts w:hint="eastAsia" w:ascii="仿宋" w:hAnsi="仿宋" w:eastAsia="仿宋" w:cs="仿宋"/>
          <w:color w:val="auto"/>
          <w:sz w:val="24"/>
          <w:szCs w:val="24"/>
        </w:rPr>
        <w:t>（一）响应函</w:t>
      </w:r>
      <w:bookmarkEnd w:id="149"/>
      <w:bookmarkEnd w:id="150"/>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致：（采购人名称）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（项目名称）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4"/>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40"/>
      <w:bookmarkEnd w:id="141"/>
      <w:bookmarkEnd w:id="143"/>
      <w:bookmarkEnd w:id="144"/>
      <w:bookmarkEnd w:id="145"/>
      <w:bookmarkEnd w:id="146"/>
      <w:bookmarkEnd w:id="147"/>
      <w:bookmarkEnd w:id="148"/>
      <w:bookmarkStart w:id="151" w:name="_Toc13983"/>
      <w:bookmarkStart w:id="152" w:name="_Toc186737815"/>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4"/>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517281838"/>
      <w:bookmarkStart w:id="154" w:name="_Toc444891355"/>
      <w:bookmarkStart w:id="155" w:name="_Toc19783361"/>
      <w:bookmarkStart w:id="156" w:name="_Toc5582"/>
      <w:bookmarkStart w:id="157" w:name="_Toc4426"/>
      <w:bookmarkStart w:id="158" w:name="_Toc186737816"/>
      <w:bookmarkStart w:id="159" w:name="_Toc26267"/>
      <w:bookmarkStart w:id="160" w:name="_Toc287600130"/>
      <w:bookmarkStart w:id="161" w:name="_Toc24788"/>
      <w:bookmarkStart w:id="162" w:name="_Toc20707"/>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12"/>
        <w:rPr>
          <w:rFonts w:ascii="宋体" w:hAnsi="宋体"/>
          <w:color w:val="auto"/>
          <w:szCs w:val="21"/>
        </w:rPr>
      </w:pPr>
    </w:p>
    <w:p>
      <w:pPr>
        <w:pStyle w:val="12"/>
        <w:rPr>
          <w:rFonts w:ascii="宋体" w:hAnsi="宋体"/>
          <w:color w:val="auto"/>
          <w:szCs w:val="21"/>
        </w:rPr>
      </w:pPr>
    </w:p>
    <w:p>
      <w:pPr>
        <w:pStyle w:val="12"/>
        <w:rPr>
          <w:rFonts w:ascii="宋体" w:hAnsi="宋体"/>
          <w:color w:val="auto"/>
          <w:szCs w:val="21"/>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cols w:space="720" w:num="1"/>
          <w:titlePg/>
          <w:docGrid w:type="lines" w:linePitch="312" w:charSpace="0"/>
        </w:sectPr>
      </w:pPr>
    </w:p>
    <w:p>
      <w:pPr>
        <w:pStyle w:val="4"/>
        <w:spacing w:before="0" w:after="0" w:line="360" w:lineRule="auto"/>
        <w:rPr>
          <w:rFonts w:ascii="仿宋" w:hAnsi="仿宋" w:eastAsia="仿宋" w:cs="仿宋"/>
          <w:color w:val="auto"/>
          <w:sz w:val="24"/>
          <w:szCs w:val="24"/>
        </w:rPr>
      </w:pPr>
      <w:bookmarkStart w:id="163" w:name="_Toc186737817"/>
      <w:bookmarkStart w:id="164" w:name="_Toc30551"/>
      <w:bookmarkStart w:id="165" w:name="_Toc517281841"/>
      <w:r>
        <w:rPr>
          <w:rFonts w:hint="eastAsia" w:ascii="仿宋" w:hAnsi="仿宋" w:eastAsia="仿宋" w:cs="仿宋"/>
          <w:color w:val="auto"/>
          <w:sz w:val="24"/>
          <w:szCs w:val="24"/>
        </w:rPr>
        <w:t>（四）资格证明文件</w:t>
      </w:r>
      <w:bookmarkEnd w:id="163"/>
      <w:bookmarkEnd w:id="164"/>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5"/>
        <w:spacing w:before="0" w:after="0" w:line="360" w:lineRule="auto"/>
        <w:rPr>
          <w:rFonts w:ascii="仿宋" w:hAnsi="仿宋" w:eastAsia="仿宋" w:cs="仿宋"/>
          <w:color w:val="auto"/>
          <w:sz w:val="24"/>
          <w:szCs w:val="24"/>
        </w:rPr>
      </w:pPr>
      <w:r>
        <w:rPr>
          <w:rFonts w:hint="eastAsia" w:ascii="仿宋" w:hAnsi="仿宋" w:cs="仿宋"/>
          <w:color w:val="auto"/>
        </w:rPr>
        <w:br w:type="page"/>
      </w:r>
      <w:r>
        <w:rPr>
          <w:rFonts w:hint="eastAsia" w:ascii="仿宋" w:hAnsi="仿宋" w:eastAsia="仿宋" w:cs="仿宋"/>
          <w:color w:val="auto"/>
          <w:sz w:val="24"/>
          <w:szCs w:val="24"/>
        </w:rPr>
        <w:t>2、财务审计报告或银行资信证明</w:t>
      </w:r>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提供2023年以来任意一年年度经会计师事务所或审计机构审计的财务审计报告及财务报表（至少包含会计师事务所或审计机构签章页、资产负债表、现金流量表、损益表/利润表）或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pPr>
        <w:pStyle w:val="12"/>
        <w:spacing w:before="240"/>
        <w:rPr>
          <w:rFonts w:ascii="仿宋" w:hAnsi="仿宋" w:eastAsia="仿宋" w:cs="Cambria Math"/>
          <w:b/>
          <w:bCs/>
          <w:color w:val="auto"/>
        </w:rPr>
      </w:pPr>
      <w:r>
        <w:rPr>
          <w:rFonts w:ascii="仿宋" w:hAnsi="仿宋" w:eastAsia="仿宋" w:cs="Cambria Math"/>
          <w:b/>
          <w:bCs/>
          <w:color w:val="auto"/>
        </w:rPr>
        <w:t>或提供</w:t>
      </w:r>
    </w:p>
    <w:p>
      <w:pPr>
        <w:pStyle w:val="12"/>
        <w:spacing w:before="240"/>
        <w:rPr>
          <w:rFonts w:ascii="仿宋" w:hAnsi="仿宋" w:eastAsia="仿宋" w:cs="Cambria Math"/>
          <w:b/>
          <w:bCs/>
          <w:color w:val="auto"/>
        </w:rPr>
      </w:pPr>
      <w:r>
        <w:rPr>
          <w:rFonts w:hint="eastAsia" w:ascii="仿宋" w:hAnsi="仿宋" w:eastAsia="仿宋" w:cs="Cambria Math"/>
          <w:b/>
          <w:bCs/>
          <w:color w:val="auto"/>
        </w:rPr>
        <w:t>《具有良好的商业信誉和健全的财务会计制度承诺书》</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承诺符合</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资格条件中要求的具有良好的商业信誉和健全的财务会计制度比选响应资格，并对上述承诺真实性负责。</w:t>
      </w:r>
      <w:r>
        <w:rPr>
          <w:rFonts w:ascii="仿宋" w:hAnsi="仿宋" w:eastAsia="仿宋" w:cs="Cambria Math"/>
          <w:color w:val="auto"/>
        </w:rPr>
        <w:t xml:space="preserve"> </w:t>
      </w:r>
    </w:p>
    <w:p>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12"/>
        <w:rPr>
          <w:color w:val="auto"/>
        </w:rPr>
      </w:pPr>
    </w:p>
    <w:p>
      <w:pPr>
        <w:spacing w:line="360" w:lineRule="auto"/>
        <w:ind w:firstLine="480" w:firstLineChars="200"/>
        <w:textAlignment w:val="baseline"/>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p>
      <w:pPr>
        <w:rPr>
          <w:color w:val="auto"/>
        </w:rPr>
      </w:pPr>
      <w:r>
        <w:rPr>
          <w:rFonts w:hint="eastAsia" w:ascii="仿宋" w:hAnsi="仿宋" w:eastAsia="仿宋" w:cs="仿宋"/>
          <w:color w:val="auto"/>
        </w:rPr>
        <w:t>（可以根据项目实际情况选择是否设置）</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5"/>
        <w:spacing w:before="0" w:after="0" w:line="360" w:lineRule="auto"/>
        <w:rPr>
          <w:rFonts w:ascii="仿宋" w:hAnsi="仿宋" w:eastAsia="仿宋" w:cs="仿宋"/>
          <w:color w:val="auto"/>
          <w:sz w:val="24"/>
          <w:szCs w:val="24"/>
        </w:rPr>
      </w:pPr>
      <w:r>
        <w:rPr>
          <w:color w:val="auto"/>
        </w:rPr>
        <w:br w:type="page"/>
      </w:r>
      <w:r>
        <w:rPr>
          <w:rFonts w:hint="eastAsia" w:ascii="仿宋" w:hAnsi="仿宋" w:eastAsia="仿宋" w:cs="仿宋"/>
          <w:color w:val="auto"/>
          <w:sz w:val="24"/>
          <w:szCs w:val="24"/>
        </w:rPr>
        <w:t>4、税收和社保证明材料</w:t>
      </w:r>
    </w:p>
    <w:p>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pPr>
        <w:pStyle w:val="12"/>
        <w:rPr>
          <w:color w:val="auto"/>
        </w:rPr>
      </w:pPr>
    </w:p>
    <w:p>
      <w:pPr>
        <w:rPr>
          <w:rFonts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1"/>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2"/>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ascii="仿宋" w:hAnsi="仿宋" w:eastAsia="仿宋" w:cs="仿宋"/>
          <w:color w:val="auto"/>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3"/>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ascii="仿宋" w:hAnsi="仿宋" w:eastAsia="仿宋" w:cs="仿宋"/>
          <w:color w:val="auto"/>
        </w:rPr>
        <w:t>6</w:t>
      </w:r>
      <w:r>
        <w:rPr>
          <w:rFonts w:hint="eastAsia" w:ascii="仿宋" w:hAnsi="仿宋" w:eastAsia="仿宋" w:cs="仿宋"/>
          <w:color w:val="auto"/>
        </w:rPr>
        <w:t>、未列入供应商黑名单且未在禁入期承诺函</w:t>
      </w:r>
    </w:p>
    <w:p>
      <w:pPr>
        <w:pStyle w:val="1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（采购人名称）</w:t>
      </w:r>
      <w:r>
        <w:rPr>
          <w:rFonts w:hint="eastAsia" w:ascii="仿宋" w:hAnsi="仿宋" w:eastAsia="仿宋" w:cs="Cambria Math"/>
          <w:color w:val="auto"/>
        </w:rPr>
        <w:t>：</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12"/>
        <w:ind w:firstLine="480" w:firstLineChars="200"/>
        <w:jc w:val="both"/>
        <w:rPr>
          <w:rFonts w:ascii="仿宋" w:hAnsi="仿宋" w:eastAsia="仿宋" w:cs="Cambria Math"/>
          <w:color w:val="auto"/>
        </w:rPr>
      </w:pPr>
    </w:p>
    <w:p>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5"/>
        <w:spacing w:before="0" w:after="0" w:line="360" w:lineRule="auto"/>
        <w:rPr>
          <w:rFonts w:ascii="仿宋" w:hAnsi="仿宋" w:eastAsia="仿宋" w:cs="仿宋"/>
          <w:color w:val="auto"/>
          <w:sz w:val="24"/>
          <w:szCs w:val="24"/>
        </w:rPr>
      </w:pPr>
      <w:bookmarkStart w:id="166"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（采购人名称）  </w:t>
      </w:r>
      <w:r>
        <w:rPr>
          <w:rFonts w:hint="eastAsia" w:ascii="仿宋" w:hAnsi="仿宋" w:eastAsia="仿宋" w:cs="宋体"/>
          <w:color w:val="auto"/>
        </w:rPr>
        <w:t>：</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rPr>
          <w:rFonts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r>
        <w:rPr>
          <w:rFonts w:hint="eastAsia" w:ascii="仿宋" w:hAnsi="仿宋" w:eastAsia="仿宋" w:cs="仿宋"/>
          <w:color w:val="auto"/>
        </w:rPr>
        <w:t>8、非联合体比选响应声明</w:t>
      </w:r>
    </w:p>
    <w:bookmarkEnd w:id="165"/>
    <w:bookmarkEnd w:id="166"/>
    <w:p>
      <w:pPr>
        <w:pStyle w:val="12"/>
        <w:spacing w:before="240"/>
        <w:rPr>
          <w:rFonts w:ascii="仿宋" w:hAnsi="仿宋" w:eastAsia="仿宋" w:cs="Cambria Math"/>
          <w:b/>
          <w:bCs/>
          <w:color w:val="auto"/>
        </w:rPr>
      </w:pPr>
      <w:bookmarkStart w:id="167"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4"/>
        <w:spacing w:before="0" w:after="0" w:line="360" w:lineRule="auto"/>
        <w:rPr>
          <w:rFonts w:ascii="仿宋" w:hAnsi="仿宋" w:cs="宋体"/>
          <w:color w:val="auto"/>
          <w:szCs w:val="24"/>
        </w:rPr>
      </w:pPr>
      <w:bookmarkStart w:id="168" w:name="_Toc65683009"/>
      <w:bookmarkStart w:id="169" w:name="_Toc186737818"/>
      <w:bookmarkStart w:id="170" w:name="_Toc144139212"/>
      <w:bookmarkStart w:id="171" w:name="_Toc18208"/>
      <w:bookmarkStart w:id="172" w:name="_Toc15130"/>
      <w:bookmarkStart w:id="173" w:name="_Toc112068411"/>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4"/>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rPr>
        <w:br w:type="page"/>
      </w:r>
    </w:p>
    <w:p>
      <w:pPr>
        <w:pStyle w:val="4"/>
        <w:spacing w:before="0" w:after="0" w:line="360" w:lineRule="auto"/>
        <w:rPr>
          <w:rFonts w:ascii="仿宋" w:hAnsi="仿宋" w:eastAsia="仿宋" w:cs="仿宋"/>
          <w:color w:val="auto"/>
          <w:sz w:val="24"/>
          <w:szCs w:val="24"/>
        </w:rPr>
      </w:pPr>
      <w:bookmarkStart w:id="174" w:name="_Toc17890"/>
      <w:bookmarkStart w:id="175" w:name="_Toc186737819"/>
      <w:r>
        <w:rPr>
          <w:rFonts w:hint="eastAsia" w:ascii="仿宋" w:hAnsi="仿宋" w:eastAsia="仿宋" w:cs="仿宋"/>
          <w:color w:val="auto"/>
          <w:sz w:val="24"/>
          <w:szCs w:val="24"/>
        </w:rPr>
        <w:t>（七）供应商行为准则承诺书</w:t>
      </w:r>
      <w:bookmarkEnd w:id="174"/>
      <w:bookmarkEnd w:id="175"/>
    </w:p>
    <w:p>
      <w:pPr>
        <w:jc w:val="center"/>
        <w:rPr>
          <w:rFonts w:ascii="仿宋" w:hAnsi="仿宋" w:eastAsia="仿宋" w:cs="宋体"/>
          <w:b/>
          <w:bCs/>
          <w:color w:val="auto"/>
          <w:sz w:val="28"/>
          <w:szCs w:val="28"/>
        </w:rPr>
      </w:pPr>
      <w:bookmarkStart w:id="176"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4"/>
        <w:spacing w:before="0" w:after="0" w:line="360" w:lineRule="auto"/>
        <w:rPr>
          <w:rFonts w:ascii="仿宋" w:hAnsi="仿宋" w:cs="宋体"/>
          <w:color w:val="auto"/>
          <w:szCs w:val="24"/>
        </w:rPr>
      </w:pPr>
      <w:r>
        <w:rPr>
          <w:rFonts w:hint="eastAsia" w:ascii="仿宋" w:hAnsi="仿宋" w:eastAsia="仿宋" w:cs="仿宋"/>
          <w:color w:val="auto"/>
        </w:rPr>
        <w:br w:type="page"/>
      </w:r>
      <w:bookmarkStart w:id="177" w:name="_Toc8068"/>
      <w:bookmarkStart w:id="178" w:name="_Toc186737820"/>
      <w:r>
        <w:rPr>
          <w:rFonts w:hint="eastAsia" w:ascii="仿宋" w:hAnsi="仿宋" w:eastAsia="仿宋" w:cs="宋体"/>
          <w:bCs w:val="0"/>
          <w:color w:val="auto"/>
          <w:sz w:val="24"/>
          <w:szCs w:val="24"/>
        </w:rPr>
        <w:t>（八）供应商廉洁诚信承诺书</w:t>
      </w:r>
      <w:bookmarkEnd w:id="176"/>
      <w:bookmarkEnd w:id="177"/>
      <w:bookmarkEnd w:id="178"/>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spacing w:line="360" w:lineRule="auto"/>
        <w:rPr>
          <w:rFonts w:ascii="仿宋" w:hAnsi="仿宋" w:eastAsia="仿宋" w:cs="宋体"/>
          <w:bCs w:val="0"/>
          <w:color w:val="auto"/>
          <w:sz w:val="21"/>
          <w:szCs w:val="24"/>
        </w:rPr>
      </w:pPr>
      <w:bookmarkStart w:id="179" w:name="_Toc186737821"/>
      <w:r>
        <w:rPr>
          <w:rFonts w:hint="eastAsia" w:ascii="仿宋" w:hAnsi="仿宋" w:eastAsia="仿宋" w:cs="宋体"/>
          <w:b/>
          <w:bCs/>
          <w:color w:val="auto"/>
          <w:sz w:val="24"/>
          <w:szCs w:val="32"/>
          <w:lang w:val="en-US" w:eastAsia="zh-CN" w:bidi="ar-SA"/>
        </w:rPr>
        <w:t>（九）</w:t>
      </w:r>
      <w:bookmarkEnd w:id="179"/>
      <w:bookmarkStart w:id="180" w:name="_Toc186737822"/>
      <w:r>
        <w:rPr>
          <w:rFonts w:hint="eastAsia" w:ascii="仿宋" w:hAnsi="仿宋" w:eastAsia="仿宋" w:cs="宋体"/>
          <w:color w:val="auto"/>
          <w:sz w:val="24"/>
        </w:rPr>
        <w:t>其他材料</w:t>
      </w:r>
      <w:bookmarkEnd w:id="180"/>
    </w:p>
    <w:p>
      <w:pPr>
        <w:spacing w:line="360" w:lineRule="auto"/>
        <w:rPr>
          <w:rFonts w:ascii="宋体" w:hAnsi="宋体"/>
          <w:color w:val="auto"/>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7"/>
    <w:p>
      <w:pPr>
        <w:pStyle w:val="3"/>
        <w:jc w:val="both"/>
        <w:rPr>
          <w:rFonts w:ascii="仿宋" w:hAnsi="仿宋" w:eastAsia="仿宋" w:cs="仿宋"/>
          <w:color w:val="auto"/>
          <w:sz w:val="24"/>
          <w:szCs w:val="24"/>
        </w:rPr>
      </w:pPr>
      <w:bookmarkStart w:id="181" w:name="_Toc186737823"/>
      <w:bookmarkStart w:id="182" w:name="_Toc28698"/>
      <w:r>
        <w:rPr>
          <w:rFonts w:hint="eastAsia" w:ascii="仿宋" w:hAnsi="仿宋" w:eastAsia="仿宋" w:cs="仿宋"/>
          <w:color w:val="auto"/>
          <w:sz w:val="24"/>
          <w:szCs w:val="24"/>
        </w:rPr>
        <w:t>二、技术文件</w:t>
      </w:r>
      <w:bookmarkEnd w:id="181"/>
      <w:bookmarkEnd w:id="182"/>
    </w:p>
    <w:p>
      <w:pPr>
        <w:pStyle w:val="4"/>
        <w:spacing w:before="0" w:after="0" w:line="360" w:lineRule="auto"/>
        <w:rPr>
          <w:rFonts w:ascii="仿宋" w:hAnsi="仿宋" w:eastAsia="仿宋" w:cs="仿宋"/>
          <w:color w:val="auto"/>
          <w:sz w:val="24"/>
          <w:szCs w:val="24"/>
        </w:rPr>
      </w:pPr>
      <w:bookmarkStart w:id="183" w:name="_Toc17302"/>
      <w:bookmarkStart w:id="184" w:name="_Toc23108"/>
      <w:bookmarkStart w:id="185" w:name="_Toc186737824"/>
      <w:r>
        <w:rPr>
          <w:rFonts w:hint="eastAsia" w:ascii="仿宋" w:hAnsi="仿宋" w:eastAsia="仿宋" w:cs="仿宋"/>
          <w:color w:val="auto"/>
          <w:sz w:val="24"/>
          <w:szCs w:val="24"/>
        </w:rPr>
        <w:t>（一）采购需求应答偏离表</w:t>
      </w:r>
      <w:bookmarkEnd w:id="183"/>
      <w:bookmarkEnd w:id="184"/>
      <w:bookmarkEnd w:id="185"/>
    </w:p>
    <w:p>
      <w:pPr>
        <w:spacing w:line="360" w:lineRule="auto"/>
        <w:jc w:val="center"/>
        <w:rPr>
          <w:rFonts w:ascii="仿宋" w:hAnsi="仿宋" w:eastAsia="仿宋" w:cs="仿宋"/>
          <w:b/>
          <w:bCs/>
          <w:color w:val="auto"/>
        </w:rPr>
      </w:pPr>
      <w:bookmarkStart w:id="186" w:name="_Toc125561188"/>
      <w:bookmarkStart w:id="187" w:name="_Toc293297544"/>
      <w:bookmarkStart w:id="188" w:name="_Toc125771198"/>
      <w:r>
        <w:rPr>
          <w:rFonts w:hint="eastAsia" w:ascii="仿宋" w:hAnsi="仿宋" w:eastAsia="仿宋" w:cs="仿宋"/>
          <w:b/>
          <w:bCs/>
          <w:color w:val="auto"/>
        </w:rPr>
        <w:t>采购需求应答偏离表</w:t>
      </w:r>
      <w:bookmarkEnd w:id="186"/>
      <w:bookmarkEnd w:id="187"/>
      <w:bookmarkEnd w:id="188"/>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4"/>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89" w:name="_Toc8284"/>
      <w:bookmarkStart w:id="190" w:name="_Toc186737825"/>
      <w:r>
        <w:rPr>
          <w:rFonts w:hint="eastAsia" w:ascii="仿宋" w:hAnsi="仿宋" w:eastAsia="仿宋" w:cs="仿宋"/>
          <w:color w:val="auto"/>
          <w:sz w:val="24"/>
          <w:szCs w:val="24"/>
        </w:rPr>
        <w:t>（二）技术方案</w:t>
      </w:r>
      <w:bookmarkEnd w:id="189"/>
      <w:bookmarkEnd w:id="190"/>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1" w:name="_Toc517281860"/>
      <w:bookmarkStart w:id="192" w:name="_Toc444891358"/>
      <w:r>
        <w:rPr>
          <w:rFonts w:hint="eastAsia" w:ascii="仿宋" w:hAnsi="仿宋" w:eastAsia="仿宋" w:cs="仿宋"/>
          <w:color w:val="auto"/>
        </w:rPr>
        <w:br w:type="page"/>
      </w:r>
    </w:p>
    <w:p>
      <w:pPr>
        <w:pStyle w:val="5"/>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6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51"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8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92"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76"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34"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95"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bl>
    <w:p>
      <w:pPr>
        <w:adjustRightInd w:val="0"/>
        <w:snapToGrid w:val="0"/>
        <w:spacing w:before="240" w:line="360" w:lineRule="auto"/>
        <w:ind w:firstLine="482" w:firstLineChars="200"/>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pPr>
        <w:rPr>
          <w:rFonts w:ascii="仿宋" w:hAnsi="仿宋" w:eastAsia="仿宋" w:cs="仿宋"/>
          <w:color w:val="auto"/>
        </w:rPr>
      </w:pPr>
      <w:r>
        <w:rPr>
          <w:rFonts w:hint="eastAsia" w:ascii="仿宋" w:hAnsi="仿宋" w:eastAsia="仿宋" w:cs="仿宋"/>
          <w:color w:val="auto"/>
        </w:rPr>
        <w:br w:type="page"/>
      </w:r>
    </w:p>
    <w:p>
      <w:pPr>
        <w:pStyle w:val="5"/>
        <w:spacing w:before="0" w:after="0"/>
        <w:rPr>
          <w:rFonts w:ascii="仿宋" w:hAnsi="仿宋" w:eastAsia="仿宋" w:cs="Cambria Math"/>
          <w:color w:val="auto"/>
          <w:sz w:val="24"/>
          <w:szCs w:val="24"/>
        </w:rPr>
      </w:pPr>
      <w:r>
        <w:rPr>
          <w:rFonts w:hint="eastAsia" w:ascii="仿宋" w:hAnsi="仿宋" w:eastAsia="仿宋" w:cs="Cambria Math"/>
          <w:color w:val="auto"/>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auto"/>
              </w:rPr>
            </w:pPr>
            <w:r>
              <w:rPr>
                <w:rFonts w:hint="eastAsia" w:ascii="仿宋" w:hAnsi="仿宋" w:eastAsia="仿宋" w:cs="仿宋"/>
                <w:color w:val="auto"/>
              </w:rPr>
              <w:t>姓  名</w:t>
            </w:r>
          </w:p>
        </w:tc>
        <w:tc>
          <w:tcPr>
            <w:tcW w:w="1680" w:type="dxa"/>
            <w:gridSpan w:val="3"/>
            <w:vAlign w:val="center"/>
          </w:tcPr>
          <w:p>
            <w:pPr>
              <w:jc w:val="center"/>
              <w:rPr>
                <w:rFonts w:ascii="仿宋" w:hAnsi="仿宋" w:eastAsia="仿宋" w:cs="仿宋"/>
                <w:color w:val="auto"/>
              </w:rPr>
            </w:pPr>
          </w:p>
        </w:tc>
        <w:tc>
          <w:tcPr>
            <w:tcW w:w="945" w:type="dxa"/>
            <w:gridSpan w:val="2"/>
            <w:vAlign w:val="center"/>
          </w:tcPr>
          <w:p>
            <w:pPr>
              <w:rPr>
                <w:rFonts w:ascii="仿宋" w:hAnsi="仿宋" w:eastAsia="仿宋" w:cs="仿宋"/>
                <w:color w:val="auto"/>
              </w:rPr>
            </w:pPr>
            <w:r>
              <w:rPr>
                <w:rFonts w:hint="eastAsia" w:ascii="仿宋" w:hAnsi="仿宋" w:eastAsia="仿宋" w:cs="仿宋"/>
                <w:color w:val="auto"/>
              </w:rPr>
              <w:t>性 别</w:t>
            </w:r>
          </w:p>
        </w:tc>
        <w:tc>
          <w:tcPr>
            <w:tcW w:w="945" w:type="dxa"/>
            <w:vAlign w:val="center"/>
          </w:tcPr>
          <w:p>
            <w:pPr>
              <w:rPr>
                <w:rFonts w:ascii="仿宋" w:hAnsi="仿宋" w:eastAsia="仿宋" w:cs="仿宋"/>
                <w:color w:val="auto"/>
              </w:rPr>
            </w:pPr>
          </w:p>
        </w:tc>
        <w:tc>
          <w:tcPr>
            <w:tcW w:w="1854" w:type="dxa"/>
            <w:gridSpan w:val="2"/>
            <w:vAlign w:val="center"/>
          </w:tcPr>
          <w:p>
            <w:pPr>
              <w:rPr>
                <w:rFonts w:ascii="仿宋" w:hAnsi="仿宋" w:eastAsia="仿宋" w:cs="仿宋"/>
                <w:color w:val="auto"/>
              </w:rPr>
            </w:pPr>
            <w:r>
              <w:rPr>
                <w:rFonts w:hint="eastAsia" w:ascii="仿宋" w:hAnsi="仿宋" w:eastAsia="仿宋" w:cs="仿宋"/>
                <w:color w:val="auto"/>
              </w:rPr>
              <w:t>出 生 日 期</w:t>
            </w:r>
          </w:p>
        </w:tc>
        <w:tc>
          <w:tcPr>
            <w:tcW w:w="2694" w:type="dxa"/>
            <w:vAlign w:val="center"/>
          </w:tcPr>
          <w:p>
            <w:pPr>
              <w:rPr>
                <w:rFonts w:ascii="仿宋" w:hAnsi="仿宋" w:eastAsia="仿宋" w:cs="仿宋"/>
                <w:color w:val="auto"/>
              </w:rPr>
            </w:pPr>
            <w:r>
              <w:rPr>
                <w:rFonts w:hint="eastAsia" w:ascii="仿宋" w:hAnsi="仿宋" w:eastAsia="仿宋" w:cs="仿宋"/>
                <w:color w:val="auto"/>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auto"/>
              </w:rPr>
            </w:pPr>
            <w:r>
              <w:rPr>
                <w:rFonts w:hint="eastAsia" w:ascii="仿宋" w:hAnsi="仿宋" w:eastAsia="仿宋" w:cs="仿宋"/>
                <w:color w:val="auto"/>
              </w:rPr>
              <w:t>毕业院校及专业</w:t>
            </w:r>
          </w:p>
        </w:tc>
        <w:tc>
          <w:tcPr>
            <w:tcW w:w="3570" w:type="dxa"/>
            <w:gridSpan w:val="6"/>
            <w:vAlign w:val="center"/>
          </w:tcPr>
          <w:p>
            <w:pPr>
              <w:rPr>
                <w:rFonts w:ascii="仿宋" w:hAnsi="仿宋" w:eastAsia="仿宋" w:cs="仿宋"/>
                <w:color w:val="auto"/>
              </w:rPr>
            </w:pPr>
          </w:p>
        </w:tc>
        <w:tc>
          <w:tcPr>
            <w:tcW w:w="1854" w:type="dxa"/>
            <w:gridSpan w:val="2"/>
            <w:vAlign w:val="center"/>
          </w:tcPr>
          <w:p>
            <w:pPr>
              <w:ind w:left="-18"/>
              <w:jc w:val="center"/>
              <w:rPr>
                <w:rFonts w:ascii="仿宋" w:hAnsi="仿宋" w:eastAsia="仿宋" w:cs="仿宋"/>
                <w:color w:val="auto"/>
              </w:rPr>
            </w:pPr>
            <w:r>
              <w:rPr>
                <w:rFonts w:hint="eastAsia" w:ascii="仿宋" w:hAnsi="仿宋" w:eastAsia="仿宋" w:cs="仿宋"/>
                <w:color w:val="auto"/>
              </w:rPr>
              <w:t>学历</w:t>
            </w:r>
          </w:p>
        </w:tc>
        <w:tc>
          <w:tcPr>
            <w:tcW w:w="2694" w:type="dxa"/>
            <w:vAlign w:val="center"/>
          </w:tcPr>
          <w:p>
            <w:pPr>
              <w:ind w:left="45"/>
              <w:rPr>
                <w:rFonts w:ascii="仿宋" w:hAnsi="仿宋" w:eastAsia="仿宋" w:cs="仿宋"/>
                <w:color w:val="auto"/>
              </w:rPr>
            </w:pPr>
            <w:r>
              <w:rPr>
                <w:rFonts w:hint="eastAsia" w:ascii="仿宋" w:hAnsi="仿宋" w:eastAsia="仿宋" w:cs="仿宋"/>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auto"/>
              </w:rPr>
            </w:pPr>
            <w:r>
              <w:rPr>
                <w:rFonts w:hint="eastAsia" w:ascii="仿宋" w:hAnsi="仿宋" w:eastAsia="仿宋" w:cs="仿宋"/>
                <w:color w:val="auto"/>
              </w:rPr>
              <w:t>工作年限</w:t>
            </w:r>
          </w:p>
        </w:tc>
        <w:tc>
          <w:tcPr>
            <w:tcW w:w="1974" w:type="dxa"/>
            <w:gridSpan w:val="2"/>
            <w:vAlign w:val="center"/>
          </w:tcPr>
          <w:p>
            <w:pPr>
              <w:rPr>
                <w:rFonts w:ascii="仿宋" w:hAnsi="仿宋" w:eastAsia="仿宋" w:cs="仿宋"/>
                <w:color w:val="auto"/>
              </w:rPr>
            </w:pPr>
          </w:p>
        </w:tc>
        <w:tc>
          <w:tcPr>
            <w:tcW w:w="2835" w:type="dxa"/>
            <w:gridSpan w:val="4"/>
            <w:vAlign w:val="center"/>
          </w:tcPr>
          <w:p>
            <w:pPr>
              <w:jc w:val="center"/>
              <w:rPr>
                <w:rFonts w:ascii="仿宋" w:hAnsi="仿宋" w:eastAsia="仿宋" w:cs="仿宋"/>
                <w:color w:val="auto"/>
              </w:rPr>
            </w:pPr>
            <w:r>
              <w:rPr>
                <w:rFonts w:hint="eastAsia" w:ascii="仿宋" w:hAnsi="仿宋" w:eastAsia="仿宋" w:cs="仿宋"/>
                <w:color w:val="auto"/>
              </w:rPr>
              <w:t>为供应商服务时间</w:t>
            </w:r>
          </w:p>
        </w:tc>
        <w:tc>
          <w:tcPr>
            <w:tcW w:w="2694" w:type="dxa"/>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auto"/>
              </w:rPr>
            </w:pPr>
            <w:r>
              <w:rPr>
                <w:rFonts w:hint="eastAsia" w:ascii="仿宋" w:hAnsi="仿宋" w:eastAsia="仿宋" w:cs="仿宋"/>
                <w:color w:val="auto"/>
              </w:rPr>
              <w:t>专业资质</w:t>
            </w:r>
          </w:p>
        </w:tc>
        <w:tc>
          <w:tcPr>
            <w:tcW w:w="1974" w:type="dxa"/>
            <w:gridSpan w:val="2"/>
            <w:vAlign w:val="center"/>
          </w:tcPr>
          <w:p>
            <w:pPr>
              <w:rPr>
                <w:rFonts w:ascii="仿宋" w:hAnsi="仿宋" w:eastAsia="仿宋" w:cs="仿宋"/>
                <w:color w:val="auto"/>
              </w:rPr>
            </w:pPr>
          </w:p>
        </w:tc>
        <w:tc>
          <w:tcPr>
            <w:tcW w:w="2835" w:type="dxa"/>
            <w:gridSpan w:val="4"/>
            <w:vAlign w:val="center"/>
          </w:tcPr>
          <w:p>
            <w:pPr>
              <w:jc w:val="center"/>
              <w:rPr>
                <w:rFonts w:ascii="仿宋" w:hAnsi="仿宋" w:eastAsia="仿宋" w:cs="仿宋"/>
                <w:color w:val="auto"/>
              </w:rPr>
            </w:pPr>
            <w:r>
              <w:rPr>
                <w:rFonts w:hint="eastAsia" w:ascii="仿宋" w:hAnsi="仿宋" w:eastAsia="仿宋" w:cs="仿宋"/>
                <w:color w:val="auto"/>
              </w:rPr>
              <w:t>在本项目中的职务</w:t>
            </w:r>
          </w:p>
        </w:tc>
        <w:tc>
          <w:tcPr>
            <w:tcW w:w="2694" w:type="dxa"/>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auto"/>
              </w:rPr>
            </w:pPr>
            <w:r>
              <w:rPr>
                <w:rFonts w:hint="eastAsia" w:ascii="仿宋" w:hAnsi="仿宋" w:eastAsia="仿宋" w:cs="仿宋"/>
                <w:color w:val="auto"/>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auto"/>
              </w:rPr>
            </w:pPr>
            <w:r>
              <w:rPr>
                <w:rFonts w:hint="eastAsia" w:ascii="仿宋" w:hAnsi="仿宋" w:eastAsia="仿宋" w:cs="仿宋"/>
                <w:color w:val="auto"/>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auto"/>
              </w:rPr>
            </w:pPr>
            <w:r>
              <w:rPr>
                <w:rFonts w:hint="eastAsia" w:ascii="仿宋" w:hAnsi="仿宋" w:eastAsia="仿宋" w:cs="仿宋"/>
                <w:color w:val="auto"/>
              </w:rPr>
              <w:t>时   间</w:t>
            </w:r>
          </w:p>
        </w:tc>
        <w:tc>
          <w:tcPr>
            <w:tcW w:w="4536" w:type="dxa"/>
            <w:gridSpan w:val="6"/>
            <w:vAlign w:val="center"/>
          </w:tcPr>
          <w:p>
            <w:pPr>
              <w:jc w:val="center"/>
              <w:rPr>
                <w:rFonts w:ascii="仿宋" w:hAnsi="仿宋" w:eastAsia="仿宋" w:cs="仿宋"/>
                <w:color w:val="auto"/>
              </w:rPr>
            </w:pPr>
            <w:r>
              <w:rPr>
                <w:rFonts w:hint="eastAsia" w:ascii="仿宋" w:hAnsi="仿宋" w:eastAsia="仿宋" w:cs="仿宋"/>
                <w:color w:val="auto"/>
              </w:rPr>
              <w:t>同类项目名称及简要描述</w:t>
            </w:r>
          </w:p>
        </w:tc>
        <w:tc>
          <w:tcPr>
            <w:tcW w:w="3261" w:type="dxa"/>
            <w:gridSpan w:val="2"/>
            <w:vAlign w:val="center"/>
          </w:tcPr>
          <w:p>
            <w:pPr>
              <w:jc w:val="center"/>
              <w:rPr>
                <w:rFonts w:ascii="仿宋" w:hAnsi="仿宋" w:eastAsia="仿宋" w:cs="仿宋"/>
                <w:color w:val="auto"/>
              </w:rPr>
            </w:pPr>
            <w:r>
              <w:rPr>
                <w:rFonts w:hint="eastAsia" w:ascii="仿宋" w:hAnsi="仿宋" w:eastAsia="仿宋" w:cs="仿宋"/>
                <w:color w:val="auto"/>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bl>
    <w:p>
      <w:pPr>
        <w:spacing w:before="240" w:line="360" w:lineRule="auto"/>
        <w:rPr>
          <w:rFonts w:ascii="仿宋" w:hAnsi="仿宋" w:eastAsia="仿宋" w:cs="仿宋"/>
          <w:b/>
          <w:color w:val="auto"/>
        </w:rPr>
      </w:pPr>
      <w:r>
        <w:rPr>
          <w:rFonts w:hint="eastAsia" w:ascii="仿宋" w:hAnsi="仿宋" w:eastAsia="仿宋" w:cs="仿宋"/>
          <w:b/>
          <w:color w:val="auto"/>
        </w:rPr>
        <w:t>注：</w:t>
      </w:r>
    </w:p>
    <w:p>
      <w:pPr>
        <w:spacing w:line="360" w:lineRule="auto"/>
        <w:rPr>
          <w:rFonts w:ascii="仿宋" w:hAnsi="仿宋" w:eastAsia="仿宋" w:cs="仿宋"/>
          <w:b/>
          <w:color w:val="auto"/>
        </w:rPr>
      </w:pPr>
      <w:r>
        <w:rPr>
          <w:rFonts w:hint="eastAsia" w:ascii="仿宋" w:hAnsi="仿宋" w:eastAsia="仿宋" w:cs="仿宋"/>
          <w:b/>
          <w:color w:val="auto"/>
        </w:rPr>
        <w:t>1、需随此表附上团队成员的身份证、毕业证、专业资质证书、同类项目实施经验证明等材料。</w:t>
      </w:r>
    </w:p>
    <w:p>
      <w:pPr>
        <w:spacing w:line="360" w:lineRule="auto"/>
        <w:rPr>
          <w:rFonts w:ascii="仿宋" w:hAnsi="仿宋" w:eastAsia="仿宋" w:cs="仿宋"/>
          <w:b/>
          <w:color w:val="auto"/>
        </w:rPr>
      </w:pPr>
      <w:r>
        <w:rPr>
          <w:rFonts w:hint="eastAsia" w:ascii="仿宋" w:hAnsi="仿宋" w:eastAsia="仿宋" w:cs="仿宋"/>
          <w:b/>
          <w:color w:val="auto"/>
        </w:rPr>
        <w:t>2、“先附简历、再附材料”为一个人员的完整材料，人员简历排放顺序需与人员汇总表一致。</w:t>
      </w:r>
    </w:p>
    <w:p>
      <w:pPr>
        <w:spacing w:line="360" w:lineRule="auto"/>
        <w:rPr>
          <w:rFonts w:ascii="仿宋" w:hAnsi="仿宋" w:eastAsia="仿宋" w:cs="仿宋"/>
          <w:color w:val="auto"/>
        </w:rPr>
      </w:pPr>
    </w:p>
    <w:p>
      <w:pPr>
        <w:rPr>
          <w:rFonts w:ascii="仿宋" w:hAnsi="仿宋" w:eastAsia="仿宋" w:cs="仿宋"/>
          <w:color w:val="auto"/>
        </w:rPr>
      </w:pPr>
    </w:p>
    <w:p>
      <w:pPr>
        <w:rPr>
          <w:rFonts w:ascii="仿宋" w:hAnsi="仿宋" w:eastAsia="仿宋" w:cs="仿宋"/>
          <w:color w:val="auto"/>
        </w:rPr>
      </w:pPr>
      <w:r>
        <w:rPr>
          <w:rFonts w:hint="eastAsia" w:ascii="仿宋" w:hAnsi="仿宋" w:eastAsia="仿宋" w:cs="仿宋"/>
          <w:color w:val="auto"/>
        </w:rPr>
        <w:br w:type="page"/>
      </w:r>
    </w:p>
    <w:p>
      <w:pPr>
        <w:pStyle w:val="4"/>
        <w:spacing w:before="0" w:after="0" w:line="360" w:lineRule="auto"/>
        <w:rPr>
          <w:rFonts w:ascii="仿宋" w:hAnsi="仿宋" w:eastAsia="仿宋" w:cs="仿宋"/>
          <w:color w:val="auto"/>
          <w:sz w:val="24"/>
          <w:szCs w:val="24"/>
        </w:rPr>
      </w:pPr>
      <w:bookmarkStart w:id="193" w:name="_Toc20365"/>
      <w:bookmarkStart w:id="194" w:name="_Toc186737826"/>
      <w:r>
        <w:rPr>
          <w:rFonts w:hint="eastAsia" w:ascii="仿宋" w:hAnsi="仿宋" w:eastAsia="仿宋" w:cs="仿宋"/>
          <w:color w:val="auto"/>
          <w:sz w:val="24"/>
          <w:szCs w:val="24"/>
        </w:rPr>
        <w:t>（三）</w:t>
      </w:r>
      <w:bookmarkEnd w:id="191"/>
      <w:bookmarkEnd w:id="192"/>
      <w:r>
        <w:rPr>
          <w:rFonts w:hint="eastAsia" w:ascii="仿宋" w:hAnsi="仿宋" w:eastAsia="仿宋" w:cs="仿宋"/>
          <w:color w:val="auto"/>
          <w:sz w:val="24"/>
          <w:szCs w:val="24"/>
        </w:rPr>
        <w:t>其他材料</w:t>
      </w:r>
      <w:bookmarkEnd w:id="193"/>
      <w:bookmarkEnd w:id="194"/>
    </w:p>
    <w:p>
      <w:pPr>
        <w:spacing w:line="360" w:lineRule="auto"/>
        <w:rPr>
          <w:rFonts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r>
        <w:rPr>
          <w:rFonts w:hint="eastAsia" w:ascii="仿宋" w:hAnsi="仿宋" w:eastAsia="仿宋" w:cs="仿宋"/>
          <w:color w:val="auto"/>
        </w:rPr>
        <w:br w:type="page"/>
      </w:r>
      <w:bookmarkStart w:id="195" w:name="_Toc186737827"/>
      <w:bookmarkStart w:id="196" w:name="_Toc20443"/>
      <w:r>
        <w:rPr>
          <w:rFonts w:hint="eastAsia" w:ascii="仿宋" w:hAnsi="仿宋" w:eastAsia="仿宋" w:cs="仿宋"/>
          <w:color w:val="auto"/>
        </w:rPr>
        <w:t>三、报价文件</w:t>
      </w:r>
      <w:bookmarkEnd w:id="195"/>
      <w:bookmarkEnd w:id="196"/>
    </w:p>
    <w:p>
      <w:pPr>
        <w:pStyle w:val="4"/>
        <w:spacing w:before="0" w:after="0" w:line="360" w:lineRule="auto"/>
        <w:ind w:firstLine="482"/>
        <w:rPr>
          <w:rFonts w:ascii="仿宋" w:hAnsi="仿宋" w:eastAsia="仿宋" w:cs="仿宋"/>
          <w:color w:val="auto"/>
          <w:sz w:val="24"/>
          <w:szCs w:val="24"/>
        </w:rPr>
      </w:pPr>
      <w:bookmarkStart w:id="197" w:name="_Toc511726864"/>
      <w:bookmarkStart w:id="198" w:name="_Toc18942"/>
      <w:bookmarkStart w:id="199" w:name="_Toc186737828"/>
      <w:r>
        <w:rPr>
          <w:rFonts w:hint="eastAsia" w:ascii="仿宋" w:hAnsi="仿宋" w:eastAsia="仿宋" w:cs="仿宋"/>
          <w:color w:val="auto"/>
          <w:sz w:val="24"/>
          <w:szCs w:val="24"/>
        </w:rPr>
        <w:t>（一）报价</w:t>
      </w:r>
      <w:bookmarkEnd w:id="197"/>
      <w:r>
        <w:rPr>
          <w:rFonts w:hint="eastAsia" w:ascii="仿宋" w:hAnsi="仿宋" w:eastAsia="仿宋" w:cs="仿宋"/>
          <w:color w:val="auto"/>
          <w:sz w:val="24"/>
          <w:szCs w:val="24"/>
        </w:rPr>
        <w:t>一览表</w:t>
      </w:r>
      <w:bookmarkEnd w:id="198"/>
      <w:bookmarkEnd w:id="199"/>
    </w:p>
    <w:p>
      <w:pPr>
        <w:pStyle w:val="10"/>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rPr>
        <w:t>增值发票类型：</w:t>
      </w:r>
      <w:r>
        <w:rPr>
          <w:rFonts w:hint="eastAsia" w:ascii="仿宋" w:hAnsi="仿宋" w:eastAsia="仿宋" w:cs="仿宋"/>
          <w:color w:val="auto"/>
          <w:sz w:val="24"/>
          <w:szCs w:val="24"/>
          <w:u w:val="single"/>
        </w:rPr>
        <w:t xml:space="preserve"> 专票/普票  </w:t>
      </w:r>
    </w:p>
    <w:p>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u w:val="none"/>
          <w:lang w:val="en-US" w:eastAsia="zh-CN"/>
        </w:rPr>
        <w:t>税率：</w:t>
      </w:r>
      <w:r>
        <w:rPr>
          <w:rFonts w:hint="eastAsia" w:ascii="仿宋" w:hAnsi="仿宋" w:eastAsia="仿宋" w:cs="仿宋"/>
          <w:color w:val="auto"/>
          <w:sz w:val="24"/>
          <w:szCs w:val="24"/>
          <w:u w:val="single"/>
          <w:lang w:val="en-US" w:eastAsia="zh-CN"/>
        </w:rPr>
        <w:t xml:space="preserve">     </w:t>
      </w:r>
    </w:p>
    <w:p>
      <w:pPr>
        <w:jc w:val="center"/>
        <w:textAlignment w:val="center"/>
        <w:rPr>
          <w:rFonts w:ascii="仿宋" w:hAnsi="仿宋" w:eastAsia="仿宋" w:cs="仿宋"/>
          <w:color w:val="auto"/>
          <w:szCs w:val="21"/>
          <w:lang w:bidi="ar"/>
        </w:rPr>
      </w:pPr>
    </w:p>
    <w:tbl>
      <w:tblPr>
        <w:tblStyle w:val="29"/>
        <w:tblW w:w="4811" w:type="pct"/>
        <w:tblInd w:w="2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62"/>
        <w:gridCol w:w="1032"/>
        <w:gridCol w:w="1248"/>
        <w:gridCol w:w="1324"/>
        <w:gridCol w:w="1738"/>
        <w:gridCol w:w="16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5" w:hRule="atLeast"/>
        </w:trPr>
        <w:tc>
          <w:tcPr>
            <w:tcW w:w="95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宋体"/>
                <w:b/>
                <w:bCs/>
                <w:kern w:val="0"/>
                <w:sz w:val="24"/>
                <w:szCs w:val="24"/>
              </w:rPr>
            </w:pPr>
            <w:r>
              <w:rPr>
                <w:rFonts w:hint="default" w:ascii="仿宋_GB2312" w:hAnsi="宋体" w:eastAsia="仿宋_GB2312" w:cs="仿宋_GB2312"/>
                <w:b/>
                <w:bCs/>
                <w:i w:val="0"/>
                <w:iCs w:val="0"/>
                <w:color w:val="000000"/>
                <w:kern w:val="0"/>
                <w:sz w:val="24"/>
                <w:szCs w:val="24"/>
                <w:u w:val="none"/>
                <w:lang w:val="en-US" w:eastAsia="zh-CN" w:bidi="ar"/>
              </w:rPr>
              <w:t>项</w:t>
            </w:r>
            <w:r>
              <w:rPr>
                <w:rFonts w:hint="eastAsia" w:ascii="仿宋_GB2312" w:hAnsi="宋体" w:eastAsia="仿宋_GB2312" w:cs="仿宋_GB2312"/>
                <w:b/>
                <w:bCs/>
                <w:i w:val="0"/>
                <w:iCs w:val="0"/>
                <w:color w:val="000000"/>
                <w:kern w:val="0"/>
                <w:sz w:val="24"/>
                <w:szCs w:val="24"/>
                <w:u w:val="none"/>
                <w:lang w:val="en-US" w:eastAsia="zh-CN" w:bidi="ar"/>
              </w:rPr>
              <w:t xml:space="preserve"> </w:t>
            </w:r>
            <w:r>
              <w:rPr>
                <w:rFonts w:hint="default" w:ascii="仿宋_GB2312" w:hAnsi="宋体" w:eastAsia="仿宋_GB2312" w:cs="仿宋_GB2312"/>
                <w:b/>
                <w:bCs/>
                <w:i w:val="0"/>
                <w:iCs w:val="0"/>
                <w:color w:val="000000"/>
                <w:kern w:val="0"/>
                <w:sz w:val="24"/>
                <w:szCs w:val="24"/>
                <w:u w:val="none"/>
                <w:lang w:val="en-US" w:eastAsia="zh-CN" w:bidi="ar"/>
              </w:rPr>
              <w:t>目</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预算人数</w:t>
            </w:r>
          </w:p>
        </w:tc>
        <w:tc>
          <w:tcPr>
            <w:tcW w:w="717"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月度标准工作日</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年度预估就餐人次</w:t>
            </w:r>
          </w:p>
        </w:tc>
        <w:tc>
          <w:tcPr>
            <w:tcW w:w="99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600" w:lineRule="exact"/>
              <w:jc w:val="center"/>
              <w:rPr>
                <w:rFonts w:hint="eastAsia" w:ascii="仿宋_GB2312" w:hAnsi="宋体" w:eastAsia="仿宋_GB2312" w:cs="宋体"/>
                <w:b/>
                <w:bCs/>
                <w:kern w:val="0"/>
                <w:sz w:val="24"/>
                <w:szCs w:val="24"/>
                <w:lang w:val="en-US" w:eastAsia="zh-CN"/>
              </w:rPr>
            </w:pPr>
            <w:r>
              <w:rPr>
                <w:rFonts w:hint="eastAsia" w:ascii="仿宋_GB2312" w:hAnsi="宋体" w:eastAsia="仿宋_GB2312" w:cs="宋体"/>
                <w:b/>
                <w:bCs/>
                <w:kern w:val="0"/>
                <w:sz w:val="24"/>
                <w:szCs w:val="24"/>
                <w:lang w:val="en-US" w:eastAsia="zh-CN"/>
              </w:rPr>
              <w:t>含税人均单价</w:t>
            </w:r>
            <w:r>
              <w:rPr>
                <w:rFonts w:hint="eastAsia" w:ascii="仿宋" w:hAnsi="仿宋" w:eastAsia="仿宋" w:cs="宋体"/>
                <w:b/>
                <w:color w:val="auto"/>
                <w:szCs w:val="21"/>
              </w:rPr>
              <w:t>（元）</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600" w:lineRule="exact"/>
              <w:jc w:val="center"/>
              <w:rPr>
                <w:rFonts w:hint="eastAsia" w:ascii="仿宋_GB2312" w:hAnsi="宋体" w:eastAsia="仿宋_GB2312" w:cs="宋体"/>
                <w:b/>
                <w:bCs/>
                <w:kern w:val="0"/>
                <w:sz w:val="24"/>
                <w:szCs w:val="24"/>
                <w:lang w:val="en-US" w:eastAsia="zh-CN"/>
              </w:rPr>
            </w:pPr>
            <w:r>
              <w:rPr>
                <w:rFonts w:hint="eastAsia" w:ascii="仿宋_GB2312" w:hAnsi="宋体" w:eastAsia="仿宋_GB2312" w:cs="宋体"/>
                <w:b/>
                <w:bCs/>
                <w:kern w:val="0"/>
                <w:sz w:val="24"/>
                <w:szCs w:val="24"/>
                <w:lang w:val="en-US" w:eastAsia="zh-CN"/>
              </w:rPr>
              <w:t>含税总价（元）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7" w:hRule="atLeast"/>
        </w:trPr>
        <w:tc>
          <w:tcPr>
            <w:tcW w:w="95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宋体"/>
                <w:b/>
                <w:bCs/>
                <w:kern w:val="0"/>
                <w:sz w:val="24"/>
                <w:szCs w:val="24"/>
              </w:rPr>
            </w:pPr>
            <w:r>
              <w:rPr>
                <w:rFonts w:hint="default" w:ascii="仿宋_GB2312" w:hAnsi="宋体" w:eastAsia="仿宋_GB2312" w:cs="仿宋_GB2312"/>
                <w:b/>
                <w:bCs/>
                <w:i w:val="0"/>
                <w:iCs w:val="0"/>
                <w:color w:val="000000"/>
                <w:kern w:val="0"/>
                <w:sz w:val="24"/>
                <w:szCs w:val="24"/>
                <w:u w:val="none"/>
                <w:lang w:val="en-US" w:eastAsia="zh-CN" w:bidi="ar"/>
              </w:rPr>
              <w:t>两荤一素一汤</w:t>
            </w:r>
          </w:p>
        </w:tc>
        <w:tc>
          <w:tcPr>
            <w:tcW w:w="593" w:type="pct"/>
            <w:tcBorders>
              <w:top w:val="single" w:color="000000" w:sz="4" w:space="0"/>
              <w:left w:val="single" w:color="000000" w:sz="4" w:space="0"/>
              <w:bottom w:val="single" w:color="000000" w:sz="4" w:space="0"/>
              <w:right w:val="single" w:color="000000" w:sz="4" w:space="0"/>
            </w:tcBorders>
            <w:noWrap/>
            <w:vAlign w:val="center"/>
          </w:tcPr>
          <w:p>
            <w:pPr>
              <w:widowControl/>
              <w:spacing w:line="600" w:lineRule="exact"/>
              <w:ind w:firstLine="241" w:firstLineChars="100"/>
              <w:jc w:val="both"/>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13</w:t>
            </w:r>
          </w:p>
        </w:tc>
        <w:tc>
          <w:tcPr>
            <w:tcW w:w="717" w:type="pct"/>
            <w:tcBorders>
              <w:top w:val="single" w:color="000000" w:sz="4" w:space="0"/>
              <w:left w:val="single" w:color="000000" w:sz="4" w:space="0"/>
              <w:bottom w:val="single" w:color="000000" w:sz="4" w:space="0"/>
              <w:right w:val="single" w:color="000000" w:sz="4" w:space="0"/>
            </w:tcBorders>
            <w:noWrap/>
            <w:vAlign w:val="center"/>
          </w:tcPr>
          <w:p>
            <w:pPr>
              <w:widowControl/>
              <w:spacing w:line="600" w:lineRule="exact"/>
              <w:ind w:firstLine="241" w:firstLineChars="100"/>
              <w:jc w:val="both"/>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22</w:t>
            </w:r>
          </w:p>
        </w:tc>
        <w:tc>
          <w:tcPr>
            <w:tcW w:w="761" w:type="pct"/>
            <w:tcBorders>
              <w:top w:val="single" w:color="000000" w:sz="4" w:space="0"/>
              <w:left w:val="single" w:color="000000" w:sz="4" w:space="0"/>
              <w:bottom w:val="single" w:color="000000" w:sz="4" w:space="0"/>
              <w:right w:val="single" w:color="000000" w:sz="4" w:space="0"/>
            </w:tcBorders>
            <w:noWrap/>
            <w:vAlign w:val="center"/>
          </w:tcPr>
          <w:p>
            <w:pPr>
              <w:widowControl/>
              <w:spacing w:line="600" w:lineRule="exact"/>
              <w:ind w:firstLine="241" w:firstLineChars="100"/>
              <w:jc w:val="both"/>
              <w:rPr>
                <w:rFonts w:hint="default" w:ascii="仿宋_GB2312" w:hAnsi="宋体" w:eastAsia="仿宋_GB2312" w:cs="宋体"/>
                <w:b/>
                <w:bCs/>
                <w:kern w:val="0"/>
                <w:sz w:val="24"/>
                <w:szCs w:val="24"/>
                <w:lang w:val="en-US"/>
              </w:rPr>
            </w:pPr>
            <w:r>
              <w:rPr>
                <w:rFonts w:hint="eastAsia" w:ascii="仿宋_GB2312" w:hAnsi="宋体" w:eastAsia="仿宋_GB2312" w:cs="宋体"/>
                <w:b/>
                <w:bCs/>
                <w:kern w:val="0"/>
                <w:sz w:val="24"/>
                <w:szCs w:val="24"/>
                <w:lang w:val="en-US" w:eastAsia="zh-CN"/>
              </w:rPr>
              <w:t>3432</w:t>
            </w:r>
          </w:p>
        </w:tc>
        <w:tc>
          <w:tcPr>
            <w:tcW w:w="999" w:type="pct"/>
            <w:tcBorders>
              <w:top w:val="single" w:color="000000" w:sz="4" w:space="0"/>
              <w:left w:val="single" w:color="000000" w:sz="4" w:space="0"/>
              <w:bottom w:val="single" w:color="000000" w:sz="4" w:space="0"/>
              <w:right w:val="single" w:color="000000" w:sz="4" w:space="0"/>
            </w:tcBorders>
            <w:noWrap/>
            <w:vAlign w:val="center"/>
          </w:tcPr>
          <w:p>
            <w:pPr>
              <w:widowControl/>
              <w:spacing w:line="600" w:lineRule="exact"/>
              <w:jc w:val="center"/>
              <w:rPr>
                <w:rFonts w:hint="default" w:ascii="仿宋_GB2312" w:hAnsi="宋体" w:eastAsia="仿宋_GB2312" w:cs="宋体"/>
                <w:b/>
                <w:bCs/>
                <w:kern w:val="0"/>
                <w:sz w:val="24"/>
                <w:szCs w:val="24"/>
                <w:lang w:val="en-US"/>
              </w:rPr>
            </w:pPr>
          </w:p>
        </w:tc>
        <w:tc>
          <w:tcPr>
            <w:tcW w:w="971" w:type="pct"/>
            <w:tcBorders>
              <w:top w:val="single" w:color="000000" w:sz="4" w:space="0"/>
              <w:left w:val="single" w:color="000000" w:sz="4" w:space="0"/>
              <w:bottom w:val="single" w:color="000000" w:sz="4" w:space="0"/>
              <w:right w:val="single" w:color="000000" w:sz="4" w:space="0"/>
            </w:tcBorders>
            <w:noWrap/>
            <w:vAlign w:val="center"/>
          </w:tcPr>
          <w:p>
            <w:pPr>
              <w:widowControl/>
              <w:spacing w:line="600" w:lineRule="exact"/>
              <w:jc w:val="center"/>
              <w:rPr>
                <w:rFonts w:hint="eastAsia" w:ascii="仿宋_GB2312" w:hAnsi="宋体" w:eastAsia="仿宋_GB2312" w:cs="宋体"/>
                <w:b/>
                <w:bCs/>
                <w:kern w:val="0"/>
                <w:sz w:val="24"/>
                <w:szCs w:val="24"/>
                <w:lang w:val="en-US" w:eastAsia="zh-CN"/>
              </w:rPr>
            </w:pPr>
          </w:p>
        </w:tc>
      </w:tr>
    </w:tbl>
    <w:p>
      <w:pPr>
        <w:spacing w:line="360" w:lineRule="auto"/>
        <w:rPr>
          <w:rFonts w:hint="eastAsia" w:ascii="仿宋" w:hAnsi="仿宋" w:eastAsia="仿宋" w:cs="仿宋"/>
          <w:bCs/>
          <w:color w:val="auto"/>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hint="eastAsia" w:ascii="仿宋" w:hAnsi="仿宋" w:eastAsia="仿宋" w:cs="宋体"/>
          <w:bCs/>
          <w:color w:val="auto"/>
        </w:rPr>
      </w:pPr>
      <w:r>
        <w:rPr>
          <w:rFonts w:hint="eastAsia" w:ascii="仿宋" w:hAnsi="仿宋" w:eastAsia="仿宋" w:cs="宋体"/>
          <w:bCs/>
          <w:color w:val="auto"/>
        </w:rPr>
        <w:t>调整。</w:t>
      </w:r>
    </w:p>
    <w:p>
      <w:pPr>
        <w:pStyle w:val="51"/>
        <w:spacing w:line="360" w:lineRule="auto"/>
        <w:ind w:firstLine="0" w:firstLineChars="0"/>
        <w:rPr>
          <w:rFonts w:hint="default" w:ascii="仿宋" w:hAnsi="仿宋" w:eastAsia="仿宋" w:cs="宋体"/>
          <w:bCs/>
          <w:color w:val="auto"/>
          <w:lang w:val="en-US" w:eastAsia="zh-CN"/>
        </w:rPr>
      </w:pPr>
      <w:r>
        <w:rPr>
          <w:rFonts w:hint="eastAsia" w:ascii="仿宋" w:hAnsi="仿宋" w:eastAsia="仿宋" w:cs="宋体"/>
          <w:bCs/>
          <w:color w:val="auto"/>
          <w:lang w:val="en-US" w:eastAsia="zh-CN"/>
        </w:rPr>
        <w:t>4.上述就餐人数为预估，仅作为供应商报价依据，不作为采购方承诺，最终据实结算。</w:t>
      </w:r>
    </w:p>
    <w:p>
      <w:pPr>
        <w:widowControl w:val="0"/>
        <w:numPr>
          <w:ilvl w:val="0"/>
          <w:numId w:val="1"/>
        </w:numPr>
        <w:spacing w:line="440" w:lineRule="exact"/>
        <w:jc w:val="right"/>
        <w:rPr>
          <w:rFonts w:ascii="仿宋" w:hAnsi="仿宋" w:eastAsia="仿宋" w:cs="宋体"/>
          <w:color w:val="auto"/>
        </w:rPr>
      </w:pPr>
      <w:bookmarkStart w:id="200" w:name="_Toc2267055"/>
      <w:bookmarkStart w:id="201" w:name="_Toc530319762"/>
      <w:bookmarkStart w:id="202" w:name="_Toc517281864"/>
      <w:bookmarkStart w:id="203" w:name="_Toc518302646"/>
      <w:bookmarkStart w:id="204" w:name="_Toc16591840"/>
      <w:bookmarkStart w:id="205" w:name="_Toc482180015"/>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28"/>
    <w:bookmarkEnd w:id="200"/>
    <w:bookmarkEnd w:id="201"/>
    <w:bookmarkEnd w:id="202"/>
    <w:bookmarkEnd w:id="203"/>
    <w:bookmarkEnd w:id="204"/>
    <w:bookmarkEnd w:id="205"/>
    <w:p>
      <w:pPr>
        <w:adjustRightInd w:val="0"/>
        <w:snapToGrid w:val="0"/>
        <w:spacing w:line="360" w:lineRule="auto"/>
        <w:rPr>
          <w:rFonts w:ascii="仿宋_GB2312" w:hAnsi="宋体" w:eastAsia="仿宋_GB2312" w:cs="宋体"/>
          <w:color w:val="auto"/>
          <w:sz w:val="28"/>
          <w:szCs w:val="28"/>
        </w:rPr>
      </w:pPr>
      <w:bookmarkStart w:id="206" w:name="_Toc125183170"/>
      <w:bookmarkEnd w:id="206"/>
      <w:bookmarkStart w:id="207" w:name="_Toc104714659"/>
      <w:bookmarkEnd w:id="207"/>
      <w:bookmarkStart w:id="208" w:name="_Toc127761806"/>
      <w:bookmarkEnd w:id="208"/>
    </w:p>
    <w:sectPr>
      <w:headerReference r:id="rId8" w:type="default"/>
      <w:footerReference r:id="rId9"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C770E"/>
    <w:multiLevelType w:val="singleLevel"/>
    <w:tmpl w:val="A80C770E"/>
    <w:lvl w:ilvl="0" w:tentative="0">
      <w:start w:val="2"/>
      <w:numFmt w:val="chineseCounting"/>
      <w:suff w:val="nothing"/>
      <w:lvlText w:val="%1、"/>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pStyle w:val="7"/>
      <w:lvlText w:val="%1.%2.%3.%4.%5.%6.%7"/>
      <w:lvlJc w:val="left"/>
      <w:pPr>
        <w:tabs>
          <w:tab w:val="left" w:pos="2520"/>
        </w:tabs>
        <w:ind w:left="1296" w:hanging="1296"/>
      </w:pPr>
      <w:rPr>
        <w:rFonts w:hint="eastAsia"/>
      </w:rPr>
    </w:lvl>
    <w:lvl w:ilvl="7" w:tentative="0">
      <w:start w:val="1"/>
      <w:numFmt w:val="decimal"/>
      <w:pStyle w:val="8"/>
      <w:lvlText w:val="%1.%2.%3.%4.%5.%6.%7.%8"/>
      <w:lvlJc w:val="left"/>
      <w:pPr>
        <w:tabs>
          <w:tab w:val="left" w:pos="1440"/>
        </w:tabs>
        <w:ind w:left="1440" w:hanging="1440"/>
      </w:pPr>
      <w:rPr>
        <w:rFonts w:hint="eastAsia"/>
      </w:rPr>
    </w:lvl>
    <w:lvl w:ilvl="8" w:tentative="0">
      <w:start w:val="1"/>
      <w:numFmt w:val="decimal"/>
      <w:pStyle w:val="9"/>
      <w:lvlText w:val="%1.%2.%3.%4.%5.%6.%7.%8.%9"/>
      <w:lvlJc w:val="left"/>
      <w:pPr>
        <w:tabs>
          <w:tab w:val="left" w:pos="1584"/>
        </w:tabs>
        <w:ind w:left="1584" w:hanging="1584"/>
      </w:pPr>
      <w:rPr>
        <w:rFonts w:hint="eastAsia"/>
      </w:rPr>
    </w:lvl>
  </w:abstractNum>
  <w:abstractNum w:abstractNumId="2">
    <w:nsid w:val="2F0E01FE"/>
    <w:multiLevelType w:val="singleLevel"/>
    <w:tmpl w:val="2F0E01FE"/>
    <w:lvl w:ilvl="0" w:tentative="0">
      <w:start w:val="1"/>
      <w:numFmt w:val="decimal"/>
      <w:suff w:val="nothing"/>
      <w:lvlText w:val="（%1）"/>
      <w:lvlJc w:val="left"/>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4">
    <w:nsid w:val="78BF0702"/>
    <w:multiLevelType w:val="singleLevel"/>
    <w:tmpl w:val="78BF0702"/>
    <w:lvl w:ilvl="0" w:tentative="0">
      <w:start w:val="4"/>
      <w:numFmt w:val="chineseCounting"/>
      <w:suff w:val="space"/>
      <w:lvlText w:val="第%1条"/>
      <w:lvlJc w:val="left"/>
      <w:rPr>
        <w:rFonts w:hint="eastAsia"/>
        <w:b/>
        <w:bC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695"/>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020"/>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16A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954B8"/>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575"/>
    <w:rsid w:val="008B2918"/>
    <w:rsid w:val="008C29A4"/>
    <w:rsid w:val="008C3081"/>
    <w:rsid w:val="008D3621"/>
    <w:rsid w:val="008D61AE"/>
    <w:rsid w:val="008E0767"/>
    <w:rsid w:val="008E08BE"/>
    <w:rsid w:val="008E248F"/>
    <w:rsid w:val="008E34FA"/>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C775B"/>
    <w:rsid w:val="00CD04A4"/>
    <w:rsid w:val="00CD28F6"/>
    <w:rsid w:val="00CD6873"/>
    <w:rsid w:val="00CE4358"/>
    <w:rsid w:val="00CE69B5"/>
    <w:rsid w:val="00CF6A36"/>
    <w:rsid w:val="00CF7333"/>
    <w:rsid w:val="00D019E4"/>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40AC"/>
    <w:rsid w:val="00FF6580"/>
    <w:rsid w:val="0107458A"/>
    <w:rsid w:val="010A08C5"/>
    <w:rsid w:val="01135302"/>
    <w:rsid w:val="011A30DE"/>
    <w:rsid w:val="013E2018"/>
    <w:rsid w:val="01661ED8"/>
    <w:rsid w:val="017C78FF"/>
    <w:rsid w:val="019208AD"/>
    <w:rsid w:val="01D61292"/>
    <w:rsid w:val="020C396B"/>
    <w:rsid w:val="02132C1E"/>
    <w:rsid w:val="02543D5F"/>
    <w:rsid w:val="025B572A"/>
    <w:rsid w:val="026F5949"/>
    <w:rsid w:val="028B144B"/>
    <w:rsid w:val="02AD34F4"/>
    <w:rsid w:val="02C00E90"/>
    <w:rsid w:val="02D37EB0"/>
    <w:rsid w:val="02FE6776"/>
    <w:rsid w:val="031713E0"/>
    <w:rsid w:val="033D1820"/>
    <w:rsid w:val="036B1328"/>
    <w:rsid w:val="036F0AE2"/>
    <w:rsid w:val="03CA6EF6"/>
    <w:rsid w:val="03D21FD2"/>
    <w:rsid w:val="03E43571"/>
    <w:rsid w:val="03F16141"/>
    <w:rsid w:val="03FD757E"/>
    <w:rsid w:val="040E27E3"/>
    <w:rsid w:val="041069B0"/>
    <w:rsid w:val="043E7935"/>
    <w:rsid w:val="046E6B0D"/>
    <w:rsid w:val="04822175"/>
    <w:rsid w:val="048E542B"/>
    <w:rsid w:val="049C2D1F"/>
    <w:rsid w:val="04A51F66"/>
    <w:rsid w:val="04C141AF"/>
    <w:rsid w:val="0504144A"/>
    <w:rsid w:val="05087E50"/>
    <w:rsid w:val="050A5551"/>
    <w:rsid w:val="050E77DB"/>
    <w:rsid w:val="0523406D"/>
    <w:rsid w:val="0555214E"/>
    <w:rsid w:val="055659D1"/>
    <w:rsid w:val="0569312B"/>
    <w:rsid w:val="057B0FFA"/>
    <w:rsid w:val="05DB36AB"/>
    <w:rsid w:val="05DE0DAD"/>
    <w:rsid w:val="05FF12E2"/>
    <w:rsid w:val="0620091D"/>
    <w:rsid w:val="064033D0"/>
    <w:rsid w:val="06474F59"/>
    <w:rsid w:val="06B81D95"/>
    <w:rsid w:val="07C025C7"/>
    <w:rsid w:val="07C9722F"/>
    <w:rsid w:val="082C7F52"/>
    <w:rsid w:val="08816E02"/>
    <w:rsid w:val="08832305"/>
    <w:rsid w:val="08835591"/>
    <w:rsid w:val="08984829"/>
    <w:rsid w:val="08986A27"/>
    <w:rsid w:val="08BE6C67"/>
    <w:rsid w:val="08C73147"/>
    <w:rsid w:val="08D04983"/>
    <w:rsid w:val="092E642F"/>
    <w:rsid w:val="09317E9F"/>
    <w:rsid w:val="094B42CC"/>
    <w:rsid w:val="0A044046"/>
    <w:rsid w:val="0A141145"/>
    <w:rsid w:val="0A3934BF"/>
    <w:rsid w:val="0A641D68"/>
    <w:rsid w:val="0A721B30"/>
    <w:rsid w:val="0A8E365F"/>
    <w:rsid w:val="0ACB4877"/>
    <w:rsid w:val="0AEE277F"/>
    <w:rsid w:val="0B344AB5"/>
    <w:rsid w:val="0B45790A"/>
    <w:rsid w:val="0B5346A2"/>
    <w:rsid w:val="0BAF1538"/>
    <w:rsid w:val="0BB64746"/>
    <w:rsid w:val="0BC551E0"/>
    <w:rsid w:val="0BD571F9"/>
    <w:rsid w:val="0BEB139D"/>
    <w:rsid w:val="0BEF4520"/>
    <w:rsid w:val="0BF873AE"/>
    <w:rsid w:val="0C020FC2"/>
    <w:rsid w:val="0C2D568A"/>
    <w:rsid w:val="0C3B6B9E"/>
    <w:rsid w:val="0C9A023C"/>
    <w:rsid w:val="0CA30B4B"/>
    <w:rsid w:val="0CCA2F89"/>
    <w:rsid w:val="0CD87D21"/>
    <w:rsid w:val="0CE12BAF"/>
    <w:rsid w:val="0CFA1A3F"/>
    <w:rsid w:val="0D076022"/>
    <w:rsid w:val="0D0E41FB"/>
    <w:rsid w:val="0D352639"/>
    <w:rsid w:val="0D8F1A4E"/>
    <w:rsid w:val="0DCA2A4D"/>
    <w:rsid w:val="0DF04F6A"/>
    <w:rsid w:val="0E66622E"/>
    <w:rsid w:val="0F1210E4"/>
    <w:rsid w:val="0F1F7BDB"/>
    <w:rsid w:val="0F476BA1"/>
    <w:rsid w:val="0F545EB6"/>
    <w:rsid w:val="0F6F44E2"/>
    <w:rsid w:val="0F77431E"/>
    <w:rsid w:val="0F787370"/>
    <w:rsid w:val="0F9A23CE"/>
    <w:rsid w:val="0FC803F4"/>
    <w:rsid w:val="0FD92ACB"/>
    <w:rsid w:val="101F0E02"/>
    <w:rsid w:val="10441F3B"/>
    <w:rsid w:val="10A75C36"/>
    <w:rsid w:val="10B35A73"/>
    <w:rsid w:val="10C02B8A"/>
    <w:rsid w:val="10C2608D"/>
    <w:rsid w:val="10CB0F1B"/>
    <w:rsid w:val="10DF5329"/>
    <w:rsid w:val="10EE01D6"/>
    <w:rsid w:val="110E070B"/>
    <w:rsid w:val="11154812"/>
    <w:rsid w:val="112B2239"/>
    <w:rsid w:val="113605CA"/>
    <w:rsid w:val="115E5F0B"/>
    <w:rsid w:val="11CC1DC3"/>
    <w:rsid w:val="120A3E26"/>
    <w:rsid w:val="122B7BDE"/>
    <w:rsid w:val="12497C9D"/>
    <w:rsid w:val="124A2691"/>
    <w:rsid w:val="125A4D08"/>
    <w:rsid w:val="128B0EFC"/>
    <w:rsid w:val="129F4A8F"/>
    <w:rsid w:val="12B75243"/>
    <w:rsid w:val="12C000D1"/>
    <w:rsid w:val="12E44E0E"/>
    <w:rsid w:val="13021E3F"/>
    <w:rsid w:val="130917CA"/>
    <w:rsid w:val="131961E1"/>
    <w:rsid w:val="1346162F"/>
    <w:rsid w:val="136B4AD7"/>
    <w:rsid w:val="136E6F70"/>
    <w:rsid w:val="13B40768"/>
    <w:rsid w:val="13BA15EE"/>
    <w:rsid w:val="13E26419"/>
    <w:rsid w:val="14314AB0"/>
    <w:rsid w:val="14331CB2"/>
    <w:rsid w:val="14337FB3"/>
    <w:rsid w:val="14345A34"/>
    <w:rsid w:val="145539EB"/>
    <w:rsid w:val="14946D53"/>
    <w:rsid w:val="149A0C5C"/>
    <w:rsid w:val="14DC7969"/>
    <w:rsid w:val="14F05DE7"/>
    <w:rsid w:val="14FE0980"/>
    <w:rsid w:val="150E0C1B"/>
    <w:rsid w:val="1538441B"/>
    <w:rsid w:val="154E1A04"/>
    <w:rsid w:val="1552040A"/>
    <w:rsid w:val="15932B49"/>
    <w:rsid w:val="15954377"/>
    <w:rsid w:val="15C0054B"/>
    <w:rsid w:val="16016036"/>
    <w:rsid w:val="1606592F"/>
    <w:rsid w:val="1617364B"/>
    <w:rsid w:val="16287169"/>
    <w:rsid w:val="162E6AF4"/>
    <w:rsid w:val="163D0008"/>
    <w:rsid w:val="16455853"/>
    <w:rsid w:val="16460917"/>
    <w:rsid w:val="16680BED"/>
    <w:rsid w:val="16840938"/>
    <w:rsid w:val="16CE5378"/>
    <w:rsid w:val="16F53649"/>
    <w:rsid w:val="170C2C5F"/>
    <w:rsid w:val="17334565"/>
    <w:rsid w:val="174C3A48"/>
    <w:rsid w:val="174D36C8"/>
    <w:rsid w:val="17510AA9"/>
    <w:rsid w:val="178772D7"/>
    <w:rsid w:val="17B865FB"/>
    <w:rsid w:val="17DC623F"/>
    <w:rsid w:val="18093FD0"/>
    <w:rsid w:val="18146217"/>
    <w:rsid w:val="18215304"/>
    <w:rsid w:val="18220228"/>
    <w:rsid w:val="18522F76"/>
    <w:rsid w:val="18586FAD"/>
    <w:rsid w:val="187334AB"/>
    <w:rsid w:val="189424AD"/>
    <w:rsid w:val="18C67773"/>
    <w:rsid w:val="190C5C28"/>
    <w:rsid w:val="19143034"/>
    <w:rsid w:val="191E5B42"/>
    <w:rsid w:val="192166DB"/>
    <w:rsid w:val="19332BB1"/>
    <w:rsid w:val="19451645"/>
    <w:rsid w:val="19523107"/>
    <w:rsid w:val="19567321"/>
    <w:rsid w:val="196A273E"/>
    <w:rsid w:val="197F4F6C"/>
    <w:rsid w:val="198C6F05"/>
    <w:rsid w:val="199D26FE"/>
    <w:rsid w:val="19B75B26"/>
    <w:rsid w:val="19BE5A4B"/>
    <w:rsid w:val="19C169D0"/>
    <w:rsid w:val="19E32408"/>
    <w:rsid w:val="19FE2F92"/>
    <w:rsid w:val="1A15645A"/>
    <w:rsid w:val="1A4511A7"/>
    <w:rsid w:val="1A5D54D3"/>
    <w:rsid w:val="1A5E7B3A"/>
    <w:rsid w:val="1A913825"/>
    <w:rsid w:val="1AB1536F"/>
    <w:rsid w:val="1AC50A58"/>
    <w:rsid w:val="1AE74234"/>
    <w:rsid w:val="1B026FDC"/>
    <w:rsid w:val="1B04112F"/>
    <w:rsid w:val="1B4667CC"/>
    <w:rsid w:val="1BC5039F"/>
    <w:rsid w:val="1BF765EF"/>
    <w:rsid w:val="1C543106"/>
    <w:rsid w:val="1CD13D54"/>
    <w:rsid w:val="1CDB5968"/>
    <w:rsid w:val="1CE32D75"/>
    <w:rsid w:val="1D07642C"/>
    <w:rsid w:val="1D237383"/>
    <w:rsid w:val="1D5A6237"/>
    <w:rsid w:val="1DA069AB"/>
    <w:rsid w:val="1DB9071D"/>
    <w:rsid w:val="1DD51824"/>
    <w:rsid w:val="1DEB2F77"/>
    <w:rsid w:val="1DF660B5"/>
    <w:rsid w:val="1E0A05D9"/>
    <w:rsid w:val="1E0B605A"/>
    <w:rsid w:val="1E356E9F"/>
    <w:rsid w:val="1E76570A"/>
    <w:rsid w:val="1E880EA7"/>
    <w:rsid w:val="1E9F643B"/>
    <w:rsid w:val="1EDD2B2F"/>
    <w:rsid w:val="1F073974"/>
    <w:rsid w:val="1F180379"/>
    <w:rsid w:val="1F5171F9"/>
    <w:rsid w:val="1F566F76"/>
    <w:rsid w:val="1F594974"/>
    <w:rsid w:val="1F5D6901"/>
    <w:rsid w:val="1F864F29"/>
    <w:rsid w:val="1FA060F1"/>
    <w:rsid w:val="1FBD34A2"/>
    <w:rsid w:val="1FD374CC"/>
    <w:rsid w:val="20346964"/>
    <w:rsid w:val="205729C5"/>
    <w:rsid w:val="2060354F"/>
    <w:rsid w:val="20CF0D61"/>
    <w:rsid w:val="20E144FE"/>
    <w:rsid w:val="212C10FB"/>
    <w:rsid w:val="21321E93"/>
    <w:rsid w:val="21831B09"/>
    <w:rsid w:val="2199150B"/>
    <w:rsid w:val="21A96F44"/>
    <w:rsid w:val="21D8556E"/>
    <w:rsid w:val="2203115E"/>
    <w:rsid w:val="22181FFD"/>
    <w:rsid w:val="221B6805"/>
    <w:rsid w:val="2249604F"/>
    <w:rsid w:val="22694385"/>
    <w:rsid w:val="22D514B6"/>
    <w:rsid w:val="22D8243B"/>
    <w:rsid w:val="22F0425E"/>
    <w:rsid w:val="22F619EB"/>
    <w:rsid w:val="231B2B24"/>
    <w:rsid w:val="232457F5"/>
    <w:rsid w:val="2331054B"/>
    <w:rsid w:val="23462A6F"/>
    <w:rsid w:val="234939F4"/>
    <w:rsid w:val="236906A5"/>
    <w:rsid w:val="23723533"/>
    <w:rsid w:val="23975CF1"/>
    <w:rsid w:val="23DB76DF"/>
    <w:rsid w:val="23E228ED"/>
    <w:rsid w:val="241F2752"/>
    <w:rsid w:val="24453D04"/>
    <w:rsid w:val="24497E69"/>
    <w:rsid w:val="247B356A"/>
    <w:rsid w:val="24AB4534"/>
    <w:rsid w:val="24CF4FC0"/>
    <w:rsid w:val="24DB0907"/>
    <w:rsid w:val="24EF4625"/>
    <w:rsid w:val="254237AE"/>
    <w:rsid w:val="25477C36"/>
    <w:rsid w:val="25755282"/>
    <w:rsid w:val="25783C88"/>
    <w:rsid w:val="25C50504"/>
    <w:rsid w:val="25E45536"/>
    <w:rsid w:val="26085AF6"/>
    <w:rsid w:val="266059D5"/>
    <w:rsid w:val="267970AE"/>
    <w:rsid w:val="269D7FD6"/>
    <w:rsid w:val="26A8437A"/>
    <w:rsid w:val="26B61111"/>
    <w:rsid w:val="26E61C61"/>
    <w:rsid w:val="272571C7"/>
    <w:rsid w:val="27532294"/>
    <w:rsid w:val="277C1DD4"/>
    <w:rsid w:val="278F23BE"/>
    <w:rsid w:val="27AA2CA3"/>
    <w:rsid w:val="27DF65F5"/>
    <w:rsid w:val="281E51E0"/>
    <w:rsid w:val="28592AD9"/>
    <w:rsid w:val="287A7AF8"/>
    <w:rsid w:val="28AA2846"/>
    <w:rsid w:val="28B0474F"/>
    <w:rsid w:val="28C27EED"/>
    <w:rsid w:val="28E229A0"/>
    <w:rsid w:val="28E41726"/>
    <w:rsid w:val="28EF1CB6"/>
    <w:rsid w:val="292532D4"/>
    <w:rsid w:val="2935022C"/>
    <w:rsid w:val="293B7715"/>
    <w:rsid w:val="295419DA"/>
    <w:rsid w:val="296A3B7E"/>
    <w:rsid w:val="29712A5C"/>
    <w:rsid w:val="297229AA"/>
    <w:rsid w:val="2973228F"/>
    <w:rsid w:val="29933317"/>
    <w:rsid w:val="29974A4D"/>
    <w:rsid w:val="29A22DDE"/>
    <w:rsid w:val="29A84271"/>
    <w:rsid w:val="29B23F98"/>
    <w:rsid w:val="29F050DC"/>
    <w:rsid w:val="2A0E468C"/>
    <w:rsid w:val="2A403DF7"/>
    <w:rsid w:val="2A601D6D"/>
    <w:rsid w:val="2AD42623"/>
    <w:rsid w:val="2AD67958"/>
    <w:rsid w:val="2AE87872"/>
    <w:rsid w:val="2B0471A2"/>
    <w:rsid w:val="2B2E2565"/>
    <w:rsid w:val="2B2F6391"/>
    <w:rsid w:val="2B332270"/>
    <w:rsid w:val="2B3A3DF9"/>
    <w:rsid w:val="2B6866B6"/>
    <w:rsid w:val="2B6E0DD0"/>
    <w:rsid w:val="2B9A7696"/>
    <w:rsid w:val="2BAD44D0"/>
    <w:rsid w:val="2BBA66E4"/>
    <w:rsid w:val="2BD27B37"/>
    <w:rsid w:val="2C340951"/>
    <w:rsid w:val="2C4A1A38"/>
    <w:rsid w:val="2C646D6B"/>
    <w:rsid w:val="2C933131"/>
    <w:rsid w:val="2CE555E6"/>
    <w:rsid w:val="2CEE531B"/>
    <w:rsid w:val="2D0C2B17"/>
    <w:rsid w:val="2D0D5F24"/>
    <w:rsid w:val="2D1711A9"/>
    <w:rsid w:val="2D3A1340"/>
    <w:rsid w:val="2D586372"/>
    <w:rsid w:val="2D626C81"/>
    <w:rsid w:val="2D7711A5"/>
    <w:rsid w:val="2D925870"/>
    <w:rsid w:val="2D946557"/>
    <w:rsid w:val="2DB37438"/>
    <w:rsid w:val="2DB5450D"/>
    <w:rsid w:val="2DBE3B18"/>
    <w:rsid w:val="2DF51A73"/>
    <w:rsid w:val="2DF81ACA"/>
    <w:rsid w:val="2E0A1A19"/>
    <w:rsid w:val="2E1135A2"/>
    <w:rsid w:val="2E144526"/>
    <w:rsid w:val="2E3461D7"/>
    <w:rsid w:val="2E50690A"/>
    <w:rsid w:val="2E697834"/>
    <w:rsid w:val="2E933F9F"/>
    <w:rsid w:val="2EB12128"/>
    <w:rsid w:val="2EB402F4"/>
    <w:rsid w:val="2EB53854"/>
    <w:rsid w:val="2EBD3312"/>
    <w:rsid w:val="2ED67E68"/>
    <w:rsid w:val="2EDF7472"/>
    <w:rsid w:val="2F0E1CD7"/>
    <w:rsid w:val="2F191EB9"/>
    <w:rsid w:val="2F1B6680"/>
    <w:rsid w:val="2F5429E8"/>
    <w:rsid w:val="2F5838B9"/>
    <w:rsid w:val="2F813F83"/>
    <w:rsid w:val="2FB51A54"/>
    <w:rsid w:val="2FDB3E92"/>
    <w:rsid w:val="2FF81244"/>
    <w:rsid w:val="300914DE"/>
    <w:rsid w:val="30261F05"/>
    <w:rsid w:val="30264A8E"/>
    <w:rsid w:val="30642AF1"/>
    <w:rsid w:val="307E6F1F"/>
    <w:rsid w:val="30903C4B"/>
    <w:rsid w:val="30BD3526"/>
    <w:rsid w:val="313A23CF"/>
    <w:rsid w:val="314E2925"/>
    <w:rsid w:val="319331E3"/>
    <w:rsid w:val="31990970"/>
    <w:rsid w:val="31A3127F"/>
    <w:rsid w:val="31C72739"/>
    <w:rsid w:val="31FC4E6F"/>
    <w:rsid w:val="321B7C44"/>
    <w:rsid w:val="322814D9"/>
    <w:rsid w:val="322B245D"/>
    <w:rsid w:val="324D5E95"/>
    <w:rsid w:val="325524D0"/>
    <w:rsid w:val="32660FBD"/>
    <w:rsid w:val="32A3559F"/>
    <w:rsid w:val="32B25BB9"/>
    <w:rsid w:val="32C722DC"/>
    <w:rsid w:val="32D21971"/>
    <w:rsid w:val="32F62E2B"/>
    <w:rsid w:val="32FA1831"/>
    <w:rsid w:val="3320303C"/>
    <w:rsid w:val="333D1021"/>
    <w:rsid w:val="33616C57"/>
    <w:rsid w:val="33716EF1"/>
    <w:rsid w:val="33A72C4E"/>
    <w:rsid w:val="33BF02F5"/>
    <w:rsid w:val="33C83183"/>
    <w:rsid w:val="33DC07F8"/>
    <w:rsid w:val="340764EB"/>
    <w:rsid w:val="343C61EC"/>
    <w:rsid w:val="34425E22"/>
    <w:rsid w:val="34727D99"/>
    <w:rsid w:val="349F74FE"/>
    <w:rsid w:val="34CC4FAF"/>
    <w:rsid w:val="34CE04B2"/>
    <w:rsid w:val="34D26EB9"/>
    <w:rsid w:val="34DE074D"/>
    <w:rsid w:val="34F65DF3"/>
    <w:rsid w:val="352E6770"/>
    <w:rsid w:val="35424BEE"/>
    <w:rsid w:val="35653EA9"/>
    <w:rsid w:val="358A2DE4"/>
    <w:rsid w:val="359C1E05"/>
    <w:rsid w:val="35A85C17"/>
    <w:rsid w:val="35C032BE"/>
    <w:rsid w:val="35CD6D50"/>
    <w:rsid w:val="3607142D"/>
    <w:rsid w:val="3621205E"/>
    <w:rsid w:val="362C1207"/>
    <w:rsid w:val="365624DC"/>
    <w:rsid w:val="36607CD1"/>
    <w:rsid w:val="36844301"/>
    <w:rsid w:val="36AA10DA"/>
    <w:rsid w:val="36B260C9"/>
    <w:rsid w:val="36BA5D6D"/>
    <w:rsid w:val="36DA728E"/>
    <w:rsid w:val="36ED04AD"/>
    <w:rsid w:val="36F56F35"/>
    <w:rsid w:val="370E09E1"/>
    <w:rsid w:val="375E0EBB"/>
    <w:rsid w:val="37661070"/>
    <w:rsid w:val="37915A99"/>
    <w:rsid w:val="37AB1B65"/>
    <w:rsid w:val="37D1071F"/>
    <w:rsid w:val="382614AE"/>
    <w:rsid w:val="382A7EB4"/>
    <w:rsid w:val="385E1608"/>
    <w:rsid w:val="38645140"/>
    <w:rsid w:val="387415AD"/>
    <w:rsid w:val="387E793E"/>
    <w:rsid w:val="3888024E"/>
    <w:rsid w:val="389E45F0"/>
    <w:rsid w:val="38C22C79"/>
    <w:rsid w:val="38C74A98"/>
    <w:rsid w:val="38FE3710"/>
    <w:rsid w:val="39377394"/>
    <w:rsid w:val="39594D23"/>
    <w:rsid w:val="397C1C5A"/>
    <w:rsid w:val="397D76E1"/>
    <w:rsid w:val="39887DF1"/>
    <w:rsid w:val="39EE3018"/>
    <w:rsid w:val="3A024B77"/>
    <w:rsid w:val="3A055F2A"/>
    <w:rsid w:val="3A332DBB"/>
    <w:rsid w:val="3A500A56"/>
    <w:rsid w:val="3A844811"/>
    <w:rsid w:val="3A8F731E"/>
    <w:rsid w:val="3A941228"/>
    <w:rsid w:val="3AA677D2"/>
    <w:rsid w:val="3AAB2866"/>
    <w:rsid w:val="3ADC2CA1"/>
    <w:rsid w:val="3AE05E24"/>
    <w:rsid w:val="3AE2759E"/>
    <w:rsid w:val="3AE400AD"/>
    <w:rsid w:val="3AED2FDA"/>
    <w:rsid w:val="3B34332F"/>
    <w:rsid w:val="3B3C653D"/>
    <w:rsid w:val="3B58006C"/>
    <w:rsid w:val="3B62097B"/>
    <w:rsid w:val="3B782B1F"/>
    <w:rsid w:val="3BAB7ADE"/>
    <w:rsid w:val="3BC33E98"/>
    <w:rsid w:val="3C0C3393"/>
    <w:rsid w:val="3C1813A4"/>
    <w:rsid w:val="3C3B524D"/>
    <w:rsid w:val="3C5D4096"/>
    <w:rsid w:val="3C690AF6"/>
    <w:rsid w:val="3C7A1448"/>
    <w:rsid w:val="3C94676F"/>
    <w:rsid w:val="3CC566AD"/>
    <w:rsid w:val="3CE81A7C"/>
    <w:rsid w:val="3CEE4423"/>
    <w:rsid w:val="3CFB2C9B"/>
    <w:rsid w:val="3D205459"/>
    <w:rsid w:val="3D2A5D69"/>
    <w:rsid w:val="3D2C346A"/>
    <w:rsid w:val="3D407032"/>
    <w:rsid w:val="3D423410"/>
    <w:rsid w:val="3D4571D8"/>
    <w:rsid w:val="3D494F99"/>
    <w:rsid w:val="3D5C3FB9"/>
    <w:rsid w:val="3D5E74BC"/>
    <w:rsid w:val="3D600441"/>
    <w:rsid w:val="3D810976"/>
    <w:rsid w:val="3D8F560E"/>
    <w:rsid w:val="3DC90D6A"/>
    <w:rsid w:val="3DD11463"/>
    <w:rsid w:val="3DE5069A"/>
    <w:rsid w:val="3DF83E38"/>
    <w:rsid w:val="3DF876BB"/>
    <w:rsid w:val="3DFB0640"/>
    <w:rsid w:val="3E014747"/>
    <w:rsid w:val="3E484EBC"/>
    <w:rsid w:val="3EAD2662"/>
    <w:rsid w:val="3EC24847"/>
    <w:rsid w:val="3EC80C8D"/>
    <w:rsid w:val="3EDF0565"/>
    <w:rsid w:val="3F075CC4"/>
    <w:rsid w:val="3F0E0601"/>
    <w:rsid w:val="3F16680E"/>
    <w:rsid w:val="3F1A7D67"/>
    <w:rsid w:val="3F237A0B"/>
    <w:rsid w:val="3F5575B0"/>
    <w:rsid w:val="3F8313C0"/>
    <w:rsid w:val="3F923BD9"/>
    <w:rsid w:val="3FE27130"/>
    <w:rsid w:val="4012322E"/>
    <w:rsid w:val="401E37BD"/>
    <w:rsid w:val="402240F1"/>
    <w:rsid w:val="402A3D42"/>
    <w:rsid w:val="40630F8D"/>
    <w:rsid w:val="407C4E5B"/>
    <w:rsid w:val="408B3DF1"/>
    <w:rsid w:val="40946C7F"/>
    <w:rsid w:val="40A61258"/>
    <w:rsid w:val="40E43586"/>
    <w:rsid w:val="40F612A2"/>
    <w:rsid w:val="412E4C7F"/>
    <w:rsid w:val="413805C1"/>
    <w:rsid w:val="413A6513"/>
    <w:rsid w:val="419E6238"/>
    <w:rsid w:val="41A323EC"/>
    <w:rsid w:val="41A67814"/>
    <w:rsid w:val="41C50675"/>
    <w:rsid w:val="41D81894"/>
    <w:rsid w:val="41EC7281"/>
    <w:rsid w:val="41EE3A38"/>
    <w:rsid w:val="420D42ED"/>
    <w:rsid w:val="42577A9B"/>
    <w:rsid w:val="425A43EC"/>
    <w:rsid w:val="427D2022"/>
    <w:rsid w:val="42B92207"/>
    <w:rsid w:val="42BD2E0C"/>
    <w:rsid w:val="42E661CE"/>
    <w:rsid w:val="42FC03CE"/>
    <w:rsid w:val="434C1C7B"/>
    <w:rsid w:val="43C845C3"/>
    <w:rsid w:val="43CE2C49"/>
    <w:rsid w:val="43D8485D"/>
    <w:rsid w:val="43E2516D"/>
    <w:rsid w:val="43F7309A"/>
    <w:rsid w:val="44050BA5"/>
    <w:rsid w:val="442810E1"/>
    <w:rsid w:val="44297ADF"/>
    <w:rsid w:val="447659E0"/>
    <w:rsid w:val="448412B2"/>
    <w:rsid w:val="448B2573"/>
    <w:rsid w:val="44F07EF6"/>
    <w:rsid w:val="450862B9"/>
    <w:rsid w:val="453A31A0"/>
    <w:rsid w:val="458E55CA"/>
    <w:rsid w:val="45941E41"/>
    <w:rsid w:val="45A560D2"/>
    <w:rsid w:val="45B002FD"/>
    <w:rsid w:val="45B63DEE"/>
    <w:rsid w:val="45C4057E"/>
    <w:rsid w:val="45C50B85"/>
    <w:rsid w:val="45D71346"/>
    <w:rsid w:val="45E958C2"/>
    <w:rsid w:val="45EA0DC5"/>
    <w:rsid w:val="45EC42C8"/>
    <w:rsid w:val="460E227E"/>
    <w:rsid w:val="464239D2"/>
    <w:rsid w:val="466E359D"/>
    <w:rsid w:val="46780DEC"/>
    <w:rsid w:val="46936C54"/>
    <w:rsid w:val="46A24103"/>
    <w:rsid w:val="46DC3BD1"/>
    <w:rsid w:val="47241DC7"/>
    <w:rsid w:val="472674C8"/>
    <w:rsid w:val="472B71D3"/>
    <w:rsid w:val="47515D8E"/>
    <w:rsid w:val="47560017"/>
    <w:rsid w:val="47567208"/>
    <w:rsid w:val="4775133B"/>
    <w:rsid w:val="477D7ED7"/>
    <w:rsid w:val="479B2E75"/>
    <w:rsid w:val="47A30116"/>
    <w:rsid w:val="47B45E32"/>
    <w:rsid w:val="47CC34D9"/>
    <w:rsid w:val="47FF2A2E"/>
    <w:rsid w:val="480A2FBE"/>
    <w:rsid w:val="48365107"/>
    <w:rsid w:val="48472E23"/>
    <w:rsid w:val="484C72AA"/>
    <w:rsid w:val="48636ED0"/>
    <w:rsid w:val="4886618B"/>
    <w:rsid w:val="488A14A0"/>
    <w:rsid w:val="48924916"/>
    <w:rsid w:val="48AD296E"/>
    <w:rsid w:val="48B03FD6"/>
    <w:rsid w:val="48B7695A"/>
    <w:rsid w:val="48CD0AFD"/>
    <w:rsid w:val="48EE1954"/>
    <w:rsid w:val="491B667E"/>
    <w:rsid w:val="49611371"/>
    <w:rsid w:val="49757A32"/>
    <w:rsid w:val="4983198C"/>
    <w:rsid w:val="499253C3"/>
    <w:rsid w:val="49A17BDC"/>
    <w:rsid w:val="49BD0406"/>
    <w:rsid w:val="49FB156F"/>
    <w:rsid w:val="49FF7F76"/>
    <w:rsid w:val="4A020EFA"/>
    <w:rsid w:val="4A0C2B74"/>
    <w:rsid w:val="4A586086"/>
    <w:rsid w:val="4A617FE4"/>
    <w:rsid w:val="4A7459B6"/>
    <w:rsid w:val="4A8017C9"/>
    <w:rsid w:val="4A9E4AA5"/>
    <w:rsid w:val="4ABF25B2"/>
    <w:rsid w:val="4AEF3EB2"/>
    <w:rsid w:val="4AF02D81"/>
    <w:rsid w:val="4AF30483"/>
    <w:rsid w:val="4B7E1D99"/>
    <w:rsid w:val="4B863FDA"/>
    <w:rsid w:val="4BA402A6"/>
    <w:rsid w:val="4BFB0BB5"/>
    <w:rsid w:val="4C0C47D3"/>
    <w:rsid w:val="4C2A5F81"/>
    <w:rsid w:val="4C4D3A75"/>
    <w:rsid w:val="4C6D3572"/>
    <w:rsid w:val="4C7B030A"/>
    <w:rsid w:val="4C850C19"/>
    <w:rsid w:val="4CAD0F23"/>
    <w:rsid w:val="4CBA3672"/>
    <w:rsid w:val="4CCB5B0A"/>
    <w:rsid w:val="4D1D6ABD"/>
    <w:rsid w:val="4D3010B2"/>
    <w:rsid w:val="4D34553A"/>
    <w:rsid w:val="4D3E5E49"/>
    <w:rsid w:val="4DB72290"/>
    <w:rsid w:val="4DC16A0A"/>
    <w:rsid w:val="4DD04258"/>
    <w:rsid w:val="4DEB39E3"/>
    <w:rsid w:val="4E20643C"/>
    <w:rsid w:val="4E5F17A4"/>
    <w:rsid w:val="4E6D3574"/>
    <w:rsid w:val="4E78429A"/>
    <w:rsid w:val="4E7F6455"/>
    <w:rsid w:val="4E8A47E6"/>
    <w:rsid w:val="4E8E6A70"/>
    <w:rsid w:val="4EC6441C"/>
    <w:rsid w:val="4ED33CE1"/>
    <w:rsid w:val="4F2711ED"/>
    <w:rsid w:val="4F2E0B78"/>
    <w:rsid w:val="4F334FFF"/>
    <w:rsid w:val="4F43529A"/>
    <w:rsid w:val="4F791EF0"/>
    <w:rsid w:val="4F80187B"/>
    <w:rsid w:val="4F9F2130"/>
    <w:rsid w:val="4FAB400F"/>
    <w:rsid w:val="4FB01626"/>
    <w:rsid w:val="4FE23815"/>
    <w:rsid w:val="500D4702"/>
    <w:rsid w:val="502C5217"/>
    <w:rsid w:val="504D574C"/>
    <w:rsid w:val="5059155E"/>
    <w:rsid w:val="506906D7"/>
    <w:rsid w:val="507E179E"/>
    <w:rsid w:val="50BC3801"/>
    <w:rsid w:val="50CE4AD4"/>
    <w:rsid w:val="50DD4ED7"/>
    <w:rsid w:val="50EB0ACD"/>
    <w:rsid w:val="50F648E0"/>
    <w:rsid w:val="50F93666"/>
    <w:rsid w:val="510D30B3"/>
    <w:rsid w:val="5117649A"/>
    <w:rsid w:val="518A09D7"/>
    <w:rsid w:val="51917E20"/>
    <w:rsid w:val="5199576E"/>
    <w:rsid w:val="519E3DF4"/>
    <w:rsid w:val="51E348E9"/>
    <w:rsid w:val="51FE2F14"/>
    <w:rsid w:val="52122C37"/>
    <w:rsid w:val="52154D37"/>
    <w:rsid w:val="522461ED"/>
    <w:rsid w:val="52607735"/>
    <w:rsid w:val="52F07F1E"/>
    <w:rsid w:val="53065945"/>
    <w:rsid w:val="53101AD7"/>
    <w:rsid w:val="532A2681"/>
    <w:rsid w:val="536662C4"/>
    <w:rsid w:val="53A61FCB"/>
    <w:rsid w:val="53A854CE"/>
    <w:rsid w:val="53AA44F2"/>
    <w:rsid w:val="53F72CCF"/>
    <w:rsid w:val="53FE5EDD"/>
    <w:rsid w:val="54103BF9"/>
    <w:rsid w:val="54163583"/>
    <w:rsid w:val="54624C9B"/>
    <w:rsid w:val="54782323"/>
    <w:rsid w:val="5491544C"/>
    <w:rsid w:val="549363D0"/>
    <w:rsid w:val="54C90E29"/>
    <w:rsid w:val="54DE3429"/>
    <w:rsid w:val="54EF79E3"/>
    <w:rsid w:val="55062E8C"/>
    <w:rsid w:val="550E3B1C"/>
    <w:rsid w:val="553D0DE7"/>
    <w:rsid w:val="55565F24"/>
    <w:rsid w:val="5571253B"/>
    <w:rsid w:val="55746D43"/>
    <w:rsid w:val="55A64F94"/>
    <w:rsid w:val="55B619AB"/>
    <w:rsid w:val="55B84EAE"/>
    <w:rsid w:val="55FE463F"/>
    <w:rsid w:val="560831B8"/>
    <w:rsid w:val="56257777"/>
    <w:rsid w:val="564C0FA5"/>
    <w:rsid w:val="567E71F5"/>
    <w:rsid w:val="56A751EE"/>
    <w:rsid w:val="56B476CF"/>
    <w:rsid w:val="56BE7FDF"/>
    <w:rsid w:val="56C675EA"/>
    <w:rsid w:val="56E23696"/>
    <w:rsid w:val="5739542A"/>
    <w:rsid w:val="576D624C"/>
    <w:rsid w:val="57871C26"/>
    <w:rsid w:val="578F5A17"/>
    <w:rsid w:val="57B41ED9"/>
    <w:rsid w:val="57B60FF8"/>
    <w:rsid w:val="57BA3C07"/>
    <w:rsid w:val="57C93994"/>
    <w:rsid w:val="57D72CAA"/>
    <w:rsid w:val="57DB4F33"/>
    <w:rsid w:val="57EB194A"/>
    <w:rsid w:val="58171515"/>
    <w:rsid w:val="582E113A"/>
    <w:rsid w:val="583D030E"/>
    <w:rsid w:val="58753AAD"/>
    <w:rsid w:val="5891595B"/>
    <w:rsid w:val="589233DD"/>
    <w:rsid w:val="58B0040F"/>
    <w:rsid w:val="58D160B4"/>
    <w:rsid w:val="58D6064E"/>
    <w:rsid w:val="58ED4806"/>
    <w:rsid w:val="590D65AA"/>
    <w:rsid w:val="59145F35"/>
    <w:rsid w:val="59613991"/>
    <w:rsid w:val="59636026"/>
    <w:rsid w:val="596B0C63"/>
    <w:rsid w:val="59993355"/>
    <w:rsid w:val="59AA2C98"/>
    <w:rsid w:val="59AD46C0"/>
    <w:rsid w:val="59DF7CE5"/>
    <w:rsid w:val="5A1F18EA"/>
    <w:rsid w:val="5A4C14B5"/>
    <w:rsid w:val="5A536BD9"/>
    <w:rsid w:val="5A5D71D1"/>
    <w:rsid w:val="5A7F5187"/>
    <w:rsid w:val="5A857090"/>
    <w:rsid w:val="5ABE758F"/>
    <w:rsid w:val="5ADD2FA2"/>
    <w:rsid w:val="5AE1183E"/>
    <w:rsid w:val="5B366EB4"/>
    <w:rsid w:val="5B5661E6"/>
    <w:rsid w:val="5B5C12F2"/>
    <w:rsid w:val="5B721297"/>
    <w:rsid w:val="5B7D6727"/>
    <w:rsid w:val="5B7F4D2A"/>
    <w:rsid w:val="5B9A01BB"/>
    <w:rsid w:val="5BB86188"/>
    <w:rsid w:val="5BC93EA4"/>
    <w:rsid w:val="5C032D84"/>
    <w:rsid w:val="5C1A2683"/>
    <w:rsid w:val="5C564D8D"/>
    <w:rsid w:val="5C576F8B"/>
    <w:rsid w:val="5C5D0552"/>
    <w:rsid w:val="5C784F41"/>
    <w:rsid w:val="5C7929C3"/>
    <w:rsid w:val="5C7D13C9"/>
    <w:rsid w:val="5C8D7465"/>
    <w:rsid w:val="5C9148FE"/>
    <w:rsid w:val="5CAB2299"/>
    <w:rsid w:val="5CB47FD0"/>
    <w:rsid w:val="5CE65575"/>
    <w:rsid w:val="5D21575A"/>
    <w:rsid w:val="5D333E75"/>
    <w:rsid w:val="5D340EF8"/>
    <w:rsid w:val="5D4101BF"/>
    <w:rsid w:val="5D7746EA"/>
    <w:rsid w:val="5DC96EC0"/>
    <w:rsid w:val="5DD067F8"/>
    <w:rsid w:val="5DE35818"/>
    <w:rsid w:val="5E475A91"/>
    <w:rsid w:val="5E623B68"/>
    <w:rsid w:val="5E920286"/>
    <w:rsid w:val="5EC4038A"/>
    <w:rsid w:val="5ECB0F59"/>
    <w:rsid w:val="5EFE046D"/>
    <w:rsid w:val="5F0842F6"/>
    <w:rsid w:val="5F2B1033"/>
    <w:rsid w:val="5F3D6D4F"/>
    <w:rsid w:val="5F746EA8"/>
    <w:rsid w:val="5FAA3AFF"/>
    <w:rsid w:val="60017D91"/>
    <w:rsid w:val="604265FC"/>
    <w:rsid w:val="604F208F"/>
    <w:rsid w:val="60A31B19"/>
    <w:rsid w:val="610C27EC"/>
    <w:rsid w:val="61312681"/>
    <w:rsid w:val="61644155"/>
    <w:rsid w:val="61A62640"/>
    <w:rsid w:val="61F0390C"/>
    <w:rsid w:val="61F8244A"/>
    <w:rsid w:val="62142C74"/>
    <w:rsid w:val="62170EEA"/>
    <w:rsid w:val="62184EFE"/>
    <w:rsid w:val="62487DE4"/>
    <w:rsid w:val="62980CCF"/>
    <w:rsid w:val="62EB2CD8"/>
    <w:rsid w:val="631B12A8"/>
    <w:rsid w:val="632E4E68"/>
    <w:rsid w:val="634136E6"/>
    <w:rsid w:val="636F0D32"/>
    <w:rsid w:val="63783BC0"/>
    <w:rsid w:val="63936F88"/>
    <w:rsid w:val="63953170"/>
    <w:rsid w:val="63B10704"/>
    <w:rsid w:val="63CE7A78"/>
    <w:rsid w:val="64056CA7"/>
    <w:rsid w:val="6425175A"/>
    <w:rsid w:val="64465512"/>
    <w:rsid w:val="64526DA7"/>
    <w:rsid w:val="645F063B"/>
    <w:rsid w:val="64677C45"/>
    <w:rsid w:val="64775CE1"/>
    <w:rsid w:val="64A86497"/>
    <w:rsid w:val="64B51049"/>
    <w:rsid w:val="64DB0FFA"/>
    <w:rsid w:val="64EC3722"/>
    <w:rsid w:val="64F17BAA"/>
    <w:rsid w:val="654153AA"/>
    <w:rsid w:val="655D4CDA"/>
    <w:rsid w:val="65674A25"/>
    <w:rsid w:val="65C50D3B"/>
    <w:rsid w:val="65DF7832"/>
    <w:rsid w:val="65F8295A"/>
    <w:rsid w:val="65F95FCF"/>
    <w:rsid w:val="660E09B2"/>
    <w:rsid w:val="66107D2E"/>
    <w:rsid w:val="663D12E2"/>
    <w:rsid w:val="66421AD5"/>
    <w:rsid w:val="664C23E4"/>
    <w:rsid w:val="666A3B93"/>
    <w:rsid w:val="669924E4"/>
    <w:rsid w:val="66BB2698"/>
    <w:rsid w:val="670536F6"/>
    <w:rsid w:val="67165330"/>
    <w:rsid w:val="672159E1"/>
    <w:rsid w:val="67291409"/>
    <w:rsid w:val="673204AE"/>
    <w:rsid w:val="673C1CED"/>
    <w:rsid w:val="67492643"/>
    <w:rsid w:val="679405F2"/>
    <w:rsid w:val="67C577E1"/>
    <w:rsid w:val="67E433FF"/>
    <w:rsid w:val="682A60F2"/>
    <w:rsid w:val="683B7691"/>
    <w:rsid w:val="68521253"/>
    <w:rsid w:val="685F0B4B"/>
    <w:rsid w:val="68851E86"/>
    <w:rsid w:val="689466BA"/>
    <w:rsid w:val="68B51559"/>
    <w:rsid w:val="68B86C5B"/>
    <w:rsid w:val="68C504EF"/>
    <w:rsid w:val="68C9161F"/>
    <w:rsid w:val="68CC36FD"/>
    <w:rsid w:val="68D47E36"/>
    <w:rsid w:val="68E777AA"/>
    <w:rsid w:val="68F5139F"/>
    <w:rsid w:val="691B6CFF"/>
    <w:rsid w:val="6936651F"/>
    <w:rsid w:val="693712A3"/>
    <w:rsid w:val="69430DBD"/>
    <w:rsid w:val="694A290D"/>
    <w:rsid w:val="697B001E"/>
    <w:rsid w:val="69831701"/>
    <w:rsid w:val="69E7514E"/>
    <w:rsid w:val="69F753E9"/>
    <w:rsid w:val="6A452F6A"/>
    <w:rsid w:val="6A5C19DA"/>
    <w:rsid w:val="6A624A98"/>
    <w:rsid w:val="6A8769F5"/>
    <w:rsid w:val="6A9B2132"/>
    <w:rsid w:val="6A9B2674"/>
    <w:rsid w:val="6AA93906"/>
    <w:rsid w:val="6AB4101F"/>
    <w:rsid w:val="6AB87A25"/>
    <w:rsid w:val="6AD205CF"/>
    <w:rsid w:val="6AD36051"/>
    <w:rsid w:val="6AF74F8C"/>
    <w:rsid w:val="6B063E9D"/>
    <w:rsid w:val="6B314400"/>
    <w:rsid w:val="6B3E5700"/>
    <w:rsid w:val="6B5F36B6"/>
    <w:rsid w:val="6B693FC6"/>
    <w:rsid w:val="6B961612"/>
    <w:rsid w:val="6BA8732E"/>
    <w:rsid w:val="6BE35E8E"/>
    <w:rsid w:val="6C001B0D"/>
    <w:rsid w:val="6C4007A6"/>
    <w:rsid w:val="6C5B0466"/>
    <w:rsid w:val="6C6A1DCA"/>
    <w:rsid w:val="6C7A7686"/>
    <w:rsid w:val="6C8F2FF0"/>
    <w:rsid w:val="6C966FB6"/>
    <w:rsid w:val="6C9824B9"/>
    <w:rsid w:val="6C9C0EC0"/>
    <w:rsid w:val="6CA729CD"/>
    <w:rsid w:val="6CB74F6C"/>
    <w:rsid w:val="6CFF5361"/>
    <w:rsid w:val="6D1E5C16"/>
    <w:rsid w:val="6D480FD8"/>
    <w:rsid w:val="6D527369"/>
    <w:rsid w:val="6D535020"/>
    <w:rsid w:val="6D966B59"/>
    <w:rsid w:val="6DC30922"/>
    <w:rsid w:val="6DDC0D3F"/>
    <w:rsid w:val="6DE13755"/>
    <w:rsid w:val="6DFE2457"/>
    <w:rsid w:val="6E056E0D"/>
    <w:rsid w:val="6E0732BA"/>
    <w:rsid w:val="6E0D4219"/>
    <w:rsid w:val="6E0E551E"/>
    <w:rsid w:val="6E310F56"/>
    <w:rsid w:val="6E53278F"/>
    <w:rsid w:val="6E737441"/>
    <w:rsid w:val="6E8973E6"/>
    <w:rsid w:val="6E9047F2"/>
    <w:rsid w:val="6EC10845"/>
    <w:rsid w:val="6EDC35ED"/>
    <w:rsid w:val="6EE108C5"/>
    <w:rsid w:val="6F034B31"/>
    <w:rsid w:val="6F0C79BF"/>
    <w:rsid w:val="6F1E7E0C"/>
    <w:rsid w:val="6F2936EC"/>
    <w:rsid w:val="6F341E31"/>
    <w:rsid w:val="6F3B6E8A"/>
    <w:rsid w:val="6F635E50"/>
    <w:rsid w:val="6FD6290B"/>
    <w:rsid w:val="6FE3639E"/>
    <w:rsid w:val="6FED72D8"/>
    <w:rsid w:val="70027824"/>
    <w:rsid w:val="70072394"/>
    <w:rsid w:val="701B45F7"/>
    <w:rsid w:val="702401A6"/>
    <w:rsid w:val="70375E28"/>
    <w:rsid w:val="7046187D"/>
    <w:rsid w:val="705143F3"/>
    <w:rsid w:val="706224EF"/>
    <w:rsid w:val="70666977"/>
    <w:rsid w:val="70901F17"/>
    <w:rsid w:val="70942841"/>
    <w:rsid w:val="70C50F0F"/>
    <w:rsid w:val="70CB089A"/>
    <w:rsid w:val="70EF0119"/>
    <w:rsid w:val="71603430"/>
    <w:rsid w:val="717B0617"/>
    <w:rsid w:val="71BC14A7"/>
    <w:rsid w:val="71CB623E"/>
    <w:rsid w:val="71FB480F"/>
    <w:rsid w:val="71FD7D12"/>
    <w:rsid w:val="71FF7992"/>
    <w:rsid w:val="721149AE"/>
    <w:rsid w:val="72384674"/>
    <w:rsid w:val="723E771D"/>
    <w:rsid w:val="723F61FD"/>
    <w:rsid w:val="724C3314"/>
    <w:rsid w:val="726C7646"/>
    <w:rsid w:val="72BA5B47"/>
    <w:rsid w:val="73142D5D"/>
    <w:rsid w:val="73360D13"/>
    <w:rsid w:val="7349576A"/>
    <w:rsid w:val="738A079E"/>
    <w:rsid w:val="73CC4A8A"/>
    <w:rsid w:val="73CF7C0D"/>
    <w:rsid w:val="73D62E1B"/>
    <w:rsid w:val="73E42497"/>
    <w:rsid w:val="73F90A51"/>
    <w:rsid w:val="74214194"/>
    <w:rsid w:val="743950BE"/>
    <w:rsid w:val="7443214A"/>
    <w:rsid w:val="744743D4"/>
    <w:rsid w:val="744D62DD"/>
    <w:rsid w:val="745436E9"/>
    <w:rsid w:val="746305B1"/>
    <w:rsid w:val="74846437"/>
    <w:rsid w:val="74862811"/>
    <w:rsid w:val="748C6212"/>
    <w:rsid w:val="7491428B"/>
    <w:rsid w:val="75113A9C"/>
    <w:rsid w:val="7522503C"/>
    <w:rsid w:val="752949C6"/>
    <w:rsid w:val="75592FBA"/>
    <w:rsid w:val="7566482B"/>
    <w:rsid w:val="75AC3D19"/>
    <w:rsid w:val="75C17259"/>
    <w:rsid w:val="75C31342"/>
    <w:rsid w:val="75CB1FD1"/>
    <w:rsid w:val="75D06459"/>
    <w:rsid w:val="75FB149C"/>
    <w:rsid w:val="761777BD"/>
    <w:rsid w:val="76422F15"/>
    <w:rsid w:val="764C7FA1"/>
    <w:rsid w:val="768629F2"/>
    <w:rsid w:val="76AF5AC7"/>
    <w:rsid w:val="76B41F4F"/>
    <w:rsid w:val="76C36152"/>
    <w:rsid w:val="76F31A34"/>
    <w:rsid w:val="7719675C"/>
    <w:rsid w:val="771D50DB"/>
    <w:rsid w:val="772B54F6"/>
    <w:rsid w:val="77617AE9"/>
    <w:rsid w:val="776D717F"/>
    <w:rsid w:val="77756B2D"/>
    <w:rsid w:val="778D3E30"/>
    <w:rsid w:val="778F7334"/>
    <w:rsid w:val="77912837"/>
    <w:rsid w:val="780B5836"/>
    <w:rsid w:val="78166313"/>
    <w:rsid w:val="782C7B34"/>
    <w:rsid w:val="783F74D7"/>
    <w:rsid w:val="784513E1"/>
    <w:rsid w:val="7849788F"/>
    <w:rsid w:val="784D67ED"/>
    <w:rsid w:val="785506C7"/>
    <w:rsid w:val="786F2225"/>
    <w:rsid w:val="788543C8"/>
    <w:rsid w:val="78936F61"/>
    <w:rsid w:val="78A60180"/>
    <w:rsid w:val="78AA253B"/>
    <w:rsid w:val="78B16511"/>
    <w:rsid w:val="78C47730"/>
    <w:rsid w:val="78D131C3"/>
    <w:rsid w:val="78DE02DA"/>
    <w:rsid w:val="78F30280"/>
    <w:rsid w:val="790849A2"/>
    <w:rsid w:val="7913570D"/>
    <w:rsid w:val="7941005E"/>
    <w:rsid w:val="79424F6E"/>
    <w:rsid w:val="79564904"/>
    <w:rsid w:val="796572BA"/>
    <w:rsid w:val="79B266DD"/>
    <w:rsid w:val="79CA11DC"/>
    <w:rsid w:val="79F842AA"/>
    <w:rsid w:val="7A2405F1"/>
    <w:rsid w:val="7A2902FC"/>
    <w:rsid w:val="7A3A2795"/>
    <w:rsid w:val="7A3D151B"/>
    <w:rsid w:val="7A4543A9"/>
    <w:rsid w:val="7A82098B"/>
    <w:rsid w:val="7A910FA6"/>
    <w:rsid w:val="7AA07F3B"/>
    <w:rsid w:val="7AA80BCB"/>
    <w:rsid w:val="7AAA40CE"/>
    <w:rsid w:val="7ABA39B2"/>
    <w:rsid w:val="7ABD52ED"/>
    <w:rsid w:val="7AF45447"/>
    <w:rsid w:val="7B0A1EE1"/>
    <w:rsid w:val="7B2D68A5"/>
    <w:rsid w:val="7B3B5BBB"/>
    <w:rsid w:val="7B55150B"/>
    <w:rsid w:val="7B7A0F23"/>
    <w:rsid w:val="7B843A31"/>
    <w:rsid w:val="7B974C50"/>
    <w:rsid w:val="7BA951D4"/>
    <w:rsid w:val="7BB72F86"/>
    <w:rsid w:val="7BBD563C"/>
    <w:rsid w:val="7BD24E35"/>
    <w:rsid w:val="7BDC5744"/>
    <w:rsid w:val="7BE350CF"/>
    <w:rsid w:val="7BE81D4E"/>
    <w:rsid w:val="7C01687E"/>
    <w:rsid w:val="7C276ABD"/>
    <w:rsid w:val="7C4518F1"/>
    <w:rsid w:val="7C474DF4"/>
    <w:rsid w:val="7C505703"/>
    <w:rsid w:val="7C5E6844"/>
    <w:rsid w:val="7CC0123A"/>
    <w:rsid w:val="7CD868E1"/>
    <w:rsid w:val="7CF0780B"/>
    <w:rsid w:val="7CFA011A"/>
    <w:rsid w:val="7D0F483D"/>
    <w:rsid w:val="7D322473"/>
    <w:rsid w:val="7D6111FA"/>
    <w:rsid w:val="7D7035DC"/>
    <w:rsid w:val="7D7809E9"/>
    <w:rsid w:val="7D85447B"/>
    <w:rsid w:val="7D956C94"/>
    <w:rsid w:val="7DA60233"/>
    <w:rsid w:val="7DC120E2"/>
    <w:rsid w:val="7DD34A3D"/>
    <w:rsid w:val="7DF0192C"/>
    <w:rsid w:val="7DFF40AD"/>
    <w:rsid w:val="7E3D1A2B"/>
    <w:rsid w:val="7E3E74AD"/>
    <w:rsid w:val="7E5570D2"/>
    <w:rsid w:val="7E595AD8"/>
    <w:rsid w:val="7E5E415E"/>
    <w:rsid w:val="7E9906E9"/>
    <w:rsid w:val="7EA50156"/>
    <w:rsid w:val="7EA65BD8"/>
    <w:rsid w:val="7ECE7C95"/>
    <w:rsid w:val="7EF33B75"/>
    <w:rsid w:val="7EFB30E3"/>
    <w:rsid w:val="7F0B7AFA"/>
    <w:rsid w:val="7F143C8D"/>
    <w:rsid w:val="7F4B6365"/>
    <w:rsid w:val="7F842F5E"/>
    <w:rsid w:val="7FBD539F"/>
    <w:rsid w:val="7FFD0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7">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8">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9">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1">
    <w:name w:val="annotation text"/>
    <w:basedOn w:val="1"/>
    <w:link w:val="49"/>
    <w:qFormat/>
    <w:uiPriority w:val="99"/>
  </w:style>
  <w:style w:type="paragraph" w:styleId="12">
    <w:name w:val="Body Text"/>
    <w:basedOn w:val="1"/>
    <w:next w:val="1"/>
    <w:link w:val="62"/>
    <w:qFormat/>
    <w:uiPriority w:val="99"/>
    <w:pPr>
      <w:spacing w:after="120"/>
    </w:pPr>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1"/>
    <w:next w:val="11"/>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2"/>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1"/>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0"/>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4"/>
    <w:qFormat/>
    <w:uiPriority w:val="0"/>
    <w:rPr>
      <w:rFonts w:asciiTheme="minorHAnsi" w:hAnsiTheme="minorHAnsi" w:eastAsiaTheme="minorEastAsia" w:cstheme="minorBidi"/>
      <w:b/>
      <w:bCs/>
      <w:sz w:val="32"/>
      <w:szCs w:val="32"/>
    </w:rPr>
  </w:style>
  <w:style w:type="character" w:customStyle="1" w:styleId="59">
    <w:name w:val="标题 4 Char"/>
    <w:basedOn w:val="31"/>
    <w:link w:val="5"/>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1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6"/>
    <w:qFormat/>
    <w:uiPriority w:val="0"/>
    <w:rPr>
      <w:rFonts w:ascii="Arial" w:hAnsi="Arial" w:eastAsia="黑体"/>
      <w:b/>
      <w:bCs/>
      <w:sz w:val="24"/>
      <w:szCs w:val="24"/>
    </w:rPr>
  </w:style>
  <w:style w:type="character" w:customStyle="1" w:styleId="81">
    <w:name w:val="标题 7 Char"/>
    <w:basedOn w:val="31"/>
    <w:link w:val="7"/>
    <w:qFormat/>
    <w:uiPriority w:val="0"/>
    <w:rPr>
      <w:rFonts w:ascii="Times New Roman" w:hAnsi="Times New Roman"/>
      <w:b/>
      <w:bCs/>
      <w:sz w:val="24"/>
      <w:szCs w:val="24"/>
    </w:rPr>
  </w:style>
  <w:style w:type="character" w:customStyle="1" w:styleId="82">
    <w:name w:val="标题 8 Char"/>
    <w:basedOn w:val="31"/>
    <w:link w:val="8"/>
    <w:qFormat/>
    <w:uiPriority w:val="0"/>
    <w:rPr>
      <w:rFonts w:ascii="Arial" w:hAnsi="Arial" w:eastAsia="黑体"/>
      <w:sz w:val="24"/>
      <w:szCs w:val="24"/>
    </w:rPr>
  </w:style>
  <w:style w:type="character" w:customStyle="1" w:styleId="83">
    <w:name w:val="标题 9 Char"/>
    <w:basedOn w:val="31"/>
    <w:link w:val="9"/>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73</Pages>
  <Words>3978</Words>
  <Characters>22681</Characters>
  <Lines>189</Lines>
  <Paragraphs>53</Paragraphs>
  <TotalTime>7</TotalTime>
  <ScaleCrop>false</ScaleCrop>
  <LinksUpToDate>false</LinksUpToDate>
  <CharactersWithSpaces>26606</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张爱林</cp:lastModifiedBy>
  <cp:lastPrinted>2019-12-03T09:03:00Z</cp:lastPrinted>
  <dcterms:modified xsi:type="dcterms:W3CDTF">2026-08-11T06:32:32Z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8946676BBE4649A887A258CAF6AD1800_12</vt:lpwstr>
  </property>
</Properties>
</file>