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auto"/>
          <w:sz w:val="28"/>
          <w:szCs w:val="28"/>
          <w:highlight w:val="none"/>
        </w:rPr>
      </w:pPr>
    </w:p>
    <w:p>
      <w:pPr>
        <w:adjustRightInd w:val="0"/>
        <w:snapToGrid w:val="0"/>
        <w:spacing w:line="360" w:lineRule="auto"/>
        <w:jc w:val="center"/>
        <w:rPr>
          <w:rFonts w:hint="eastAsia" w:ascii="仿宋" w:hAnsi="仿宋" w:eastAsia="仿宋" w:cs="仿宋"/>
          <w:bCs/>
          <w:color w:val="auto"/>
          <w:sz w:val="28"/>
          <w:szCs w:val="28"/>
          <w:highlight w:val="none"/>
        </w:rPr>
      </w:pPr>
    </w:p>
    <w:p>
      <w:pPr>
        <w:adjustRightInd w:val="0"/>
        <w:snapToGrid w:val="0"/>
        <w:spacing w:line="360" w:lineRule="auto"/>
        <w:rPr>
          <w:rFonts w:hint="eastAsia" w:ascii="仿宋" w:hAnsi="仿宋" w:eastAsia="仿宋" w:cs="仿宋"/>
          <w:b/>
          <w:color w:val="auto"/>
          <w:sz w:val="44"/>
          <w:szCs w:val="44"/>
          <w:highlight w:val="none"/>
        </w:rPr>
      </w:pPr>
    </w:p>
    <w:p>
      <w:pPr>
        <w:tabs>
          <w:tab w:val="left" w:pos="720"/>
          <w:tab w:val="left" w:pos="8295"/>
        </w:tabs>
        <w:spacing w:line="360" w:lineRule="auto"/>
        <w:jc w:val="center"/>
        <w:rPr>
          <w:rFonts w:hint="default" w:ascii="仿宋" w:hAnsi="仿宋" w:eastAsia="仿宋" w:cs="仿宋"/>
          <w:b/>
          <w:color w:val="auto"/>
          <w:sz w:val="28"/>
          <w:szCs w:val="28"/>
          <w:highlight w:val="none"/>
          <w:lang w:val="en-US"/>
        </w:rPr>
      </w:pPr>
      <w:r>
        <w:rPr>
          <w:rFonts w:hint="eastAsia" w:ascii="仿宋" w:hAnsi="仿宋" w:eastAsia="仿宋" w:cs="宋体"/>
          <w:b/>
          <w:color w:val="auto"/>
          <w:spacing w:val="40"/>
          <w:sz w:val="36"/>
          <w:szCs w:val="36"/>
          <w:highlight w:val="none"/>
          <w:lang w:val="en-US" w:eastAsia="zh-CN"/>
        </w:rPr>
        <w:t xml:space="preserve">  </w:t>
      </w:r>
    </w:p>
    <w:p>
      <w:pPr>
        <w:tabs>
          <w:tab w:val="left" w:pos="720"/>
          <w:tab w:val="left" w:pos="8295"/>
        </w:tabs>
        <w:spacing w:before="240" w:line="360" w:lineRule="auto"/>
        <w:jc w:val="cente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t>人保财险湖北省分公司恩施州分公司2026年矿山领域安责险事故预防技术服务项目</w:t>
      </w:r>
    </w:p>
    <w:p>
      <w:pPr>
        <w:tabs>
          <w:tab w:val="left" w:pos="720"/>
          <w:tab w:val="left" w:pos="8295"/>
        </w:tabs>
        <w:spacing w:before="240" w:line="360" w:lineRule="auto"/>
        <w:jc w:val="center"/>
        <w:rPr>
          <w:rFonts w:hint="eastAsia" w:ascii="仿宋" w:hAnsi="仿宋" w:eastAsia="仿宋" w:cs="仿宋"/>
          <w:b/>
          <w:color w:val="auto"/>
          <w:sz w:val="28"/>
          <w:szCs w:val="28"/>
          <w:highlight w:val="none"/>
          <w:lang w:eastAsia="zh-CN"/>
        </w:rPr>
      </w:pPr>
      <w:r>
        <w:rPr>
          <w:rFonts w:hint="eastAsia" w:ascii="仿宋" w:hAnsi="仿宋" w:eastAsia="仿宋" w:cs="宋体"/>
          <w:b/>
          <w:color w:val="auto"/>
          <w:sz w:val="28"/>
          <w:szCs w:val="28"/>
          <w:highlight w:val="none"/>
        </w:rPr>
        <w:t>采购代理项目编号：</w:t>
      </w:r>
      <w:r>
        <w:rPr>
          <w:rFonts w:hint="eastAsia" w:ascii="仿宋" w:hAnsi="仿宋" w:eastAsia="仿宋" w:cs="宋体"/>
          <w:b/>
          <w:color w:val="auto"/>
          <w:sz w:val="28"/>
          <w:szCs w:val="28"/>
          <w:highlight w:val="none"/>
          <w:lang w:eastAsia="zh-CN"/>
        </w:rPr>
        <w:t>ZB0113-202608-FZBFW1319</w:t>
      </w:r>
    </w:p>
    <w:p>
      <w:pPr>
        <w:rPr>
          <w:rFonts w:hint="eastAsia" w:ascii="仿宋" w:hAnsi="仿宋" w:eastAsia="仿宋" w:cs="仿宋"/>
          <w:color w:val="auto"/>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17"/>
        <w:rPr>
          <w:rFonts w:hint="eastAsia"/>
          <w:color w:val="auto"/>
          <w:highlight w:val="none"/>
        </w:rPr>
      </w:pPr>
    </w:p>
    <w:p>
      <w:pPr>
        <w:tabs>
          <w:tab w:val="left" w:pos="720"/>
          <w:tab w:val="left" w:pos="8295"/>
        </w:tabs>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lang w:val="en-US" w:eastAsia="zh-CN"/>
        </w:rPr>
        <w:t>比选</w:t>
      </w:r>
      <w:r>
        <w:rPr>
          <w:rFonts w:hint="eastAsia" w:ascii="仿宋" w:hAnsi="仿宋" w:eastAsia="仿宋" w:cs="仿宋"/>
          <w:b/>
          <w:bCs/>
          <w:color w:val="auto"/>
          <w:sz w:val="84"/>
          <w:szCs w:val="84"/>
          <w:highlight w:val="none"/>
        </w:rPr>
        <w:t>文件</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40"/>
        <w:rPr>
          <w:rFonts w:hint="eastAsia"/>
          <w:color w:val="auto"/>
          <w:highlight w:val="none"/>
        </w:rPr>
      </w:pPr>
    </w:p>
    <w:p>
      <w:pPr>
        <w:tabs>
          <w:tab w:val="left" w:pos="720"/>
          <w:tab w:val="left" w:pos="8295"/>
        </w:tabs>
        <w:spacing w:line="360" w:lineRule="auto"/>
        <w:jc w:val="center"/>
        <w:rPr>
          <w:rFonts w:ascii="仿宋" w:hAnsi="仿宋" w:eastAsia="仿宋" w:cs="仿宋"/>
          <w:b/>
          <w:color w:val="auto"/>
          <w:sz w:val="36"/>
          <w:szCs w:val="36"/>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rPr>
        <w:t>采购人：</w:t>
      </w:r>
      <w:r>
        <w:rPr>
          <w:rFonts w:hint="eastAsia" w:ascii="仿宋" w:hAnsi="仿宋" w:eastAsia="仿宋" w:cs="仿宋"/>
          <w:b/>
          <w:color w:val="auto"/>
          <w:kern w:val="0"/>
          <w:sz w:val="28"/>
          <w:szCs w:val="28"/>
          <w:highlight w:val="none"/>
          <w:lang w:eastAsia="zh-CN"/>
        </w:rPr>
        <w:t>中国人民财产保险股份有限公司恩施州分公司</w:t>
      </w:r>
    </w:p>
    <w:p>
      <w:pPr>
        <w:tabs>
          <w:tab w:val="left" w:pos="8295"/>
        </w:tabs>
        <w:adjustRightInd w:val="0"/>
        <w:snapToGrid w:val="0"/>
        <w:spacing w:line="360" w:lineRule="auto"/>
        <w:ind w:left="1706" w:right="-21" w:rightChars="-10" w:hanging="1706" w:hangingChars="607"/>
        <w:jc w:val="center"/>
        <w:rPr>
          <w:rFonts w:hint="eastAsia"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rPr>
        <w:t>采购代理机构：</w:t>
      </w:r>
      <w:r>
        <w:rPr>
          <w:rFonts w:hint="eastAsia" w:ascii="仿宋" w:hAnsi="仿宋" w:eastAsia="仿宋" w:cs="仿宋"/>
          <w:b/>
          <w:color w:val="auto"/>
          <w:kern w:val="0"/>
          <w:sz w:val="28"/>
          <w:szCs w:val="28"/>
          <w:highlight w:val="none"/>
          <w:lang w:val="en-US" w:eastAsia="zh-CN"/>
        </w:rPr>
        <w:t>湖北国华项目管理咨询有限公司</w:t>
      </w:r>
    </w:p>
    <w:p>
      <w:pPr>
        <w:tabs>
          <w:tab w:val="left" w:pos="8295"/>
        </w:tabs>
        <w:adjustRightInd w:val="0"/>
        <w:snapToGrid w:val="0"/>
        <w:spacing w:line="360" w:lineRule="auto"/>
        <w:ind w:left="1706" w:right="-21" w:rightChars="-10" w:hanging="1706" w:hangingChars="607"/>
        <w:jc w:val="center"/>
        <w:rPr>
          <w:rFonts w:hint="eastAsia" w:ascii="仿宋" w:hAnsi="仿宋" w:eastAsia="仿宋" w:cs="仿宋"/>
          <w:b/>
          <w:color w:val="auto"/>
          <w:kern w:val="0"/>
          <w:sz w:val="28"/>
          <w:szCs w:val="28"/>
          <w:highlight w:val="none"/>
        </w:rPr>
      </w:pP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8</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auto"/>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keepNext w:val="0"/>
        <w:keepLines w:val="0"/>
        <w:pageBreakBefore w:val="0"/>
        <w:widowControl w:val="0"/>
        <w:kinsoku/>
        <w:overflowPunct/>
        <w:topLinePunct w:val="0"/>
        <w:autoSpaceDE w:val="0"/>
        <w:autoSpaceDN w:val="0"/>
        <w:bidi w:val="0"/>
        <w:adjustRightInd w:val="0"/>
        <w:snapToGrid w:val="0"/>
        <w:spacing w:after="0" w:line="360" w:lineRule="auto"/>
        <w:jc w:val="center"/>
        <w:textAlignment w:val="auto"/>
        <w:outlineLvl w:val="0"/>
        <w:rPr>
          <w:rFonts w:hint="eastAsia" w:ascii="仿宋" w:hAnsi="仿宋" w:eastAsia="仿宋" w:cs="仿宋"/>
          <w:b/>
          <w:bCs/>
          <w:color w:val="auto"/>
          <w:kern w:val="2"/>
          <w:sz w:val="32"/>
          <w:szCs w:val="32"/>
          <w:highlight w:val="none"/>
        </w:rPr>
      </w:pPr>
      <w:bookmarkStart w:id="0" w:name="_Toc97886956"/>
      <w:bookmarkStart w:id="1" w:name="_Toc113606433"/>
      <w:bookmarkStart w:id="2" w:name="_Toc49188167"/>
      <w:bookmarkStart w:id="3" w:name="_Toc23584"/>
      <w:r>
        <w:rPr>
          <w:rFonts w:hint="eastAsia" w:ascii="仿宋" w:hAnsi="仿宋" w:eastAsia="仿宋" w:cs="仿宋"/>
          <w:b/>
          <w:bCs/>
          <w:color w:val="auto"/>
          <w:kern w:val="2"/>
          <w:sz w:val="32"/>
          <w:szCs w:val="32"/>
          <w:highlight w:val="none"/>
        </w:rPr>
        <w:t>“阳光招采电子招标投标交易平台”相关操作说明</w:t>
      </w:r>
      <w:bookmarkEnd w:id="0"/>
      <w:bookmarkEnd w:id="1"/>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before="312" w:beforeLines="100" w:after="0" w:line="360" w:lineRule="auto"/>
        <w:jc w:val="both"/>
        <w:textAlignment w:val="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前言</w:t>
      </w:r>
      <w:bookmarkEnd w:id="2"/>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本项目为全流程电子标，投标人在阳光招采电子招标投标交易平台（网址：https://www.yangguangzhaocai.com）获取采购文件后，应仔细阅读本操作说明，更详细的操作帮助文档详见“电子交易平台---帮助中心”。</w:t>
      </w:r>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after="0" w:line="360" w:lineRule="auto"/>
        <w:jc w:val="both"/>
        <w:textAlignment w:val="auto"/>
        <w:rPr>
          <w:rFonts w:hint="eastAsia" w:ascii="仿宋" w:hAnsi="仿宋" w:eastAsia="仿宋" w:cs="仿宋"/>
          <w:b/>
          <w:color w:val="auto"/>
          <w:sz w:val="22"/>
          <w:szCs w:val="22"/>
          <w:highlight w:val="none"/>
        </w:rPr>
      </w:pPr>
      <w:bookmarkStart w:id="4" w:name="_Toc49188168"/>
      <w:r>
        <w:rPr>
          <w:rFonts w:hint="eastAsia" w:ascii="仿宋" w:hAnsi="仿宋" w:eastAsia="仿宋" w:cs="仿宋"/>
          <w:b/>
          <w:color w:val="auto"/>
          <w:sz w:val="22"/>
          <w:szCs w:val="22"/>
          <w:highlight w:val="none"/>
        </w:rPr>
        <w:t>平台功能</w:t>
      </w:r>
      <w:bookmarkEnd w:id="4"/>
      <w:r>
        <w:rPr>
          <w:rFonts w:hint="eastAsia" w:ascii="仿宋" w:hAnsi="仿宋" w:eastAsia="仿宋" w:cs="仿宋"/>
          <w:b/>
          <w:color w:val="auto"/>
          <w:sz w:val="22"/>
          <w:szCs w:val="22"/>
          <w:highlight w:val="none"/>
        </w:rPr>
        <w:t>简介</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line="360" w:lineRule="auto"/>
        <w:ind w:firstLine="422"/>
        <w:textAlignment w:val="auto"/>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招投标相关各方以“CA数字证书”为身份验证和安全保障工具，可在平台开展全流程电子招标投标活动，包括：发布招标公告/邀请函、变更公告、发布上传招标文件、澄清答疑、招标文件变更补遗、递交资格材料、审核资格材料、下载招标文件、网上异议/质疑、编制及上传投标文件、网上开标、远程解密、查看开标信息、定标公示等内容。</w:t>
      </w:r>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after="0" w:line="360" w:lineRule="auto"/>
        <w:jc w:val="both"/>
        <w:textAlignment w:val="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编制电子投标文件需要的软、硬件环境</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1、用于编制、上传、解密投标文件的电脑应为win7以上操作系统，装有微软Edge、谷歌Chrome、360、火狐Firefox等主流浏览器（</w:t>
      </w:r>
      <w:r>
        <w:rPr>
          <w:rFonts w:hint="eastAsia" w:ascii="仿宋" w:hAnsi="仿宋" w:eastAsia="仿宋" w:cs="仿宋"/>
          <w:b/>
          <w:color w:val="auto"/>
          <w:sz w:val="22"/>
          <w:szCs w:val="22"/>
          <w:highlight w:val="none"/>
        </w:rPr>
        <w:t>本系统不支持IE浏览器</w:t>
      </w:r>
      <w:r>
        <w:rPr>
          <w:rFonts w:hint="eastAsia" w:ascii="仿宋" w:hAnsi="仿宋" w:eastAsia="仿宋" w:cs="仿宋"/>
          <w:color w:val="auto"/>
          <w:sz w:val="22"/>
          <w:szCs w:val="22"/>
          <w:highlight w:val="none"/>
        </w:rPr>
        <w:t>）、WPS 或 Office Word 2013以上版本；</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40" w:firstLineChars="2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2、从阳光招采平台取得CA数字证书（老用户可沿用之前在老平台办理过的CA证书）；</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40" w:firstLineChars="200"/>
        <w:textAlignment w:val="auto"/>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3、从阳光招采网站首页右侧区域【帮助中心】→【工具软件】中下载并安装“数字签名服务驱动”（以前安装过老平台驱动的仍需重新下载安装），用户可点击右上角“驱动安装指南”进行环境检测与自动修复；</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40" w:firstLineChars="200"/>
        <w:textAlignment w:val="auto"/>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4、在线编制投标文件时，选择所投项目标段，点击导航栏【招标文件（供应商）】-下载文件处编辑，详细操作说明见平台首页【帮助中心】—【帮助文档】—【投标人】→《投标人-编制及上传电子投标文件操作指南》，投标文件内容编制完成后，在签章和加密投标文件时需要插入企业CA。</w:t>
      </w:r>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before="156" w:beforeLines="50" w:after="0" w:line="360" w:lineRule="auto"/>
        <w:jc w:val="both"/>
        <w:textAlignment w:val="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电子投标文件递交</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投标人应在投标截止时间前，将企业CA插入可联网的电脑，使用微软Edge、谷歌Chrome、360、火狐Firefox（不可用IE浏览器），登录投标人入口，选择所投项目标段，点击导航栏【网上投标（供应商）】，点击【递交报价文件】按钮上传已加密的电子投标文件（后缀名为TBJ）。</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2、如同时上传多个项目或同一项目多个标段的投标文件，应注意不要相互混淆。</w:t>
      </w:r>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before="156" w:beforeLines="50" w:after="0" w:line="360" w:lineRule="auto"/>
        <w:jc w:val="both"/>
        <w:textAlignment w:val="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电子投标文件解密</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1、建议投标人至少在投标截止时间1小时前，将企业CA插入可联网的电脑，检查电脑工作环境是否正常，如有问题应及时联系平台技术支持。</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投标人应在投标截止时间前，登录投标人入口，进入所投项目标段，点击页面导航栏中的【开标（供应商）】-【进入开标会】进行签到。待平台下达解密指令后，点击“TBJ解密”按钮，按系统提示进行解密操作。投标人可选择CA解密或解密符解密，使用CA解密时需要插入企业CA输入pin码；使用解密符则需上传生成加密投标文件时对应生成的Bskey文件。</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3、对于</w:t>
      </w:r>
      <w:r>
        <w:rPr>
          <w:rFonts w:hint="eastAsia" w:ascii="仿宋" w:hAnsi="仿宋" w:eastAsia="仿宋" w:cs="仿宋"/>
          <w:color w:val="auto"/>
          <w:sz w:val="22"/>
          <w:szCs w:val="22"/>
          <w:highlight w:val="none"/>
          <w:lang w:val="en-US" w:eastAsia="zh-CN"/>
        </w:rPr>
        <w:t>比选、磋商、</w:t>
      </w:r>
      <w:r>
        <w:rPr>
          <w:rFonts w:hint="eastAsia" w:ascii="仿宋" w:hAnsi="仿宋" w:eastAsia="仿宋" w:cs="仿宋"/>
          <w:color w:val="auto"/>
          <w:sz w:val="22"/>
          <w:szCs w:val="22"/>
          <w:highlight w:val="none"/>
        </w:rPr>
        <w:t>谈判、单一来源等需进行多轮报价的项目，投标人在解密后应保持在线，以便及时参与评委发起的二轮或多轮洽谈及报价。</w:t>
      </w:r>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before="156" w:beforeLines="50" w:after="0" w:line="360" w:lineRule="auto"/>
        <w:jc w:val="both"/>
        <w:textAlignment w:val="auto"/>
        <w:rPr>
          <w:rFonts w:hint="eastAsia" w:ascii="仿宋" w:hAnsi="仿宋" w:eastAsia="仿宋" w:cs="仿宋"/>
          <w:b/>
          <w:color w:val="auto"/>
          <w:sz w:val="22"/>
          <w:szCs w:val="22"/>
          <w:highlight w:val="none"/>
        </w:rPr>
      </w:pPr>
      <w:bookmarkStart w:id="5" w:name="_Toc49188169"/>
      <w:r>
        <w:rPr>
          <w:rFonts w:hint="eastAsia" w:ascii="仿宋" w:hAnsi="仿宋" w:eastAsia="仿宋" w:cs="仿宋"/>
          <w:b/>
          <w:color w:val="auto"/>
          <w:sz w:val="22"/>
          <w:szCs w:val="22"/>
          <w:highlight w:val="none"/>
        </w:rPr>
        <w:t>重要提示</w:t>
      </w:r>
      <w:bookmarkEnd w:id="5"/>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1、编制及上传、解密投标文件均需要使用CA，使用CA必须先在电脑正确安装“数字签名服务驱动”。</w:t>
      </w:r>
      <w:r>
        <w:rPr>
          <w:rFonts w:hint="eastAsia" w:ascii="仿宋" w:hAnsi="仿宋" w:eastAsia="仿宋" w:cs="仿宋"/>
          <w:b/>
          <w:color w:val="auto"/>
          <w:sz w:val="22"/>
          <w:szCs w:val="22"/>
          <w:highlight w:val="none"/>
        </w:rPr>
        <w:t>如解密电脑与制作标书电脑不是同一台，应提前检查解密电脑是否安装了数字签名服务驱动！</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2、投标人应密切留意招标文件的更新情况，应根据最后一次发布的电子招标文件制作投标文件。如因使用旧版招标文件制作投标文件而造成不利于投标人后果的，责任由投标人自行承担。</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3、制作投标文件时，导入的文件大小须控制在200M以内（若文件过大，请注意控制文件中的扫描图片或截图等图片大小，或将word先转成pdf格式后再行导入），否则可能导致文件加密失败。</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4、电子投标文件必须在投标截止时间前通过阳光招采电子招标投标交易平台成功上传并确认签名。</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5、在投标截止时间之前，如需对已上传投标文件进行修改，可点击【撤销参与投标】按钮，撤销成功后，应在规定投标截止时间内重新制作、上传修改后的投标文件。</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6、如上传及解密过程出现错误提示，应首先检查是否使用企业CA、本机是否安装</w:t>
      </w:r>
      <w:r>
        <w:rPr>
          <w:rFonts w:hint="eastAsia" w:ascii="仿宋" w:hAnsi="仿宋" w:eastAsia="仿宋" w:cs="仿宋"/>
          <w:b/>
          <w:color w:val="auto"/>
          <w:sz w:val="22"/>
          <w:szCs w:val="22"/>
          <w:highlight w:val="none"/>
        </w:rPr>
        <w:t>数字签名服务驱动</w:t>
      </w:r>
      <w:r>
        <w:rPr>
          <w:rFonts w:hint="eastAsia" w:ascii="仿宋" w:hAnsi="仿宋" w:eastAsia="仿宋" w:cs="仿宋"/>
          <w:color w:val="auto"/>
          <w:sz w:val="22"/>
          <w:szCs w:val="22"/>
          <w:highlight w:val="none"/>
        </w:rPr>
        <w:t>、是否使用微软Edge、谷歌Chrome、360、火狐Firefox等主流浏览器。</w:t>
      </w:r>
    </w:p>
    <w:p>
      <w:pPr>
        <w:keepNext w:val="0"/>
        <w:keepLines w:val="0"/>
        <w:pageBreakBefore w:val="0"/>
        <w:widowControl w:val="0"/>
        <w:numPr>
          <w:ilvl w:val="0"/>
          <w:numId w:val="4"/>
        </w:numPr>
        <w:tabs>
          <w:tab w:val="left" w:pos="426"/>
        </w:tabs>
        <w:kinsoku/>
        <w:wordWrap w:val="0"/>
        <w:overflowPunct/>
        <w:topLinePunct w:val="0"/>
        <w:autoSpaceDE w:val="0"/>
        <w:autoSpaceDN w:val="0"/>
        <w:bidi w:val="0"/>
        <w:adjustRightInd w:val="0"/>
        <w:snapToGrid w:val="0"/>
        <w:spacing w:before="156" w:beforeLines="50" w:after="0" w:line="360" w:lineRule="auto"/>
        <w:jc w:val="both"/>
        <w:textAlignment w:val="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技术支持联系方式</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1、网络支持：登录平台后，点击页面右下角白色机器人图标；</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2、流程操作电话咨询：</w:t>
      </w:r>
      <w:r>
        <w:rPr>
          <w:rFonts w:hint="eastAsia" w:ascii="仿宋" w:hAnsi="仿宋" w:eastAsia="仿宋" w:cs="仿宋"/>
          <w:color w:val="auto"/>
          <w:sz w:val="22"/>
          <w:szCs w:val="22"/>
          <w:highlight w:val="none"/>
          <w:lang w:eastAsia="zh-CN"/>
        </w:rPr>
        <w:t>0574-22762077</w:t>
      </w:r>
      <w:r>
        <w:rPr>
          <w:rFonts w:hint="eastAsia" w:ascii="仿宋" w:hAnsi="仿宋" w:eastAsia="仿宋" w:cs="仿宋"/>
          <w:color w:val="auto"/>
          <w:sz w:val="22"/>
          <w:szCs w:val="22"/>
          <w:highlight w:val="none"/>
        </w:rPr>
        <w:t>；</w:t>
      </w:r>
    </w:p>
    <w:p>
      <w:pPr>
        <w:keepNext w:val="0"/>
        <w:keepLines w:val="0"/>
        <w:pageBreakBefore w:val="0"/>
        <w:widowControl w:val="0"/>
        <w:tabs>
          <w:tab w:val="left" w:pos="709"/>
          <w:tab w:val="left" w:pos="993"/>
        </w:tabs>
        <w:kinsoku/>
        <w:wordWrap w:val="0"/>
        <w:overflowPunct/>
        <w:topLinePunct w:val="0"/>
        <w:autoSpaceDE w:val="0"/>
        <w:autoSpaceDN w:val="0"/>
        <w:bidi w:val="0"/>
        <w:adjustRightInd w:val="0"/>
        <w:snapToGrid w:val="0"/>
        <w:spacing w:after="0" w:line="360" w:lineRule="auto"/>
        <w:ind w:firstLine="420"/>
        <w:textAlignment w:val="auto"/>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3、QQ： 1724282166。</w:t>
      </w:r>
    </w:p>
    <w:p>
      <w:pPr>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zh-CN"/>
        </w:rPr>
        <w:br w:type="page"/>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目  录</w:t>
      </w:r>
      <w:bookmarkEnd w:id="3"/>
    </w:p>
    <w:p>
      <w:pPr>
        <w:pStyle w:val="29"/>
        <w:keepNext w:val="0"/>
        <w:keepLines w:val="0"/>
        <w:pageBreakBefore w:val="0"/>
        <w:widowControl w:val="0"/>
        <w:tabs>
          <w:tab w:val="right" w:leader="dot" w:pos="9638"/>
        </w:tabs>
        <w:kinsoku/>
        <w:wordWrap/>
        <w:overflowPunct/>
        <w:topLinePunct w:val="0"/>
        <w:autoSpaceDE/>
        <w:autoSpaceDN/>
        <w:bidi w:val="0"/>
        <w:adjustRightInd/>
        <w:snapToGrid/>
        <w:spacing w:before="0" w:after="0"/>
        <w:ind w:left="0"/>
        <w:textAlignment w:val="auto"/>
        <w:rPr>
          <w:color w:val="auto"/>
          <w:highlight w:val="none"/>
        </w:rPr>
      </w:pPr>
      <w:r>
        <w:rPr>
          <w:rFonts w:hint="eastAsia" w:ascii="仿宋" w:hAnsi="仿宋" w:eastAsia="仿宋" w:cs="仿宋"/>
          <w:b w:val="0"/>
          <w:bCs w:val="0"/>
          <w:caps w:val="0"/>
          <w:color w:val="auto"/>
          <w:sz w:val="24"/>
          <w:szCs w:val="24"/>
          <w:highlight w:val="none"/>
        </w:rPr>
        <w:fldChar w:fldCharType="begin"/>
      </w:r>
      <w:r>
        <w:rPr>
          <w:rFonts w:hint="eastAsia" w:ascii="仿宋" w:hAnsi="仿宋" w:eastAsia="仿宋" w:cs="仿宋"/>
          <w:b w:val="0"/>
          <w:bCs w:val="0"/>
          <w:caps w:val="0"/>
          <w:color w:val="auto"/>
          <w:sz w:val="24"/>
          <w:szCs w:val="24"/>
          <w:highlight w:val="none"/>
        </w:rPr>
        <w:instrText xml:space="preserve"> TOC \o "1-3" \h \z \u </w:instrText>
      </w:r>
      <w:r>
        <w:rPr>
          <w:rFonts w:hint="eastAsia" w:ascii="仿宋" w:hAnsi="仿宋" w:eastAsia="仿宋" w:cs="仿宋"/>
          <w:b w:val="0"/>
          <w:bCs w:val="0"/>
          <w:caps w:val="0"/>
          <w:color w:val="auto"/>
          <w:sz w:val="24"/>
          <w:szCs w:val="24"/>
          <w:highlight w:val="none"/>
        </w:rPr>
        <w:fldChar w:fldCharType="separate"/>
      </w:r>
      <w:r>
        <w:rPr>
          <w:rFonts w:hint="eastAsia" w:ascii="仿宋" w:hAnsi="仿宋" w:eastAsia="仿宋" w:cs="仿宋"/>
          <w:bCs w:val="0"/>
          <w:caps w:val="0"/>
          <w:color w:val="auto"/>
          <w:szCs w:val="24"/>
          <w:highlight w:val="none"/>
        </w:rPr>
        <w:fldChar w:fldCharType="begin"/>
      </w:r>
      <w:r>
        <w:rPr>
          <w:rFonts w:hint="eastAsia" w:ascii="仿宋" w:hAnsi="仿宋" w:eastAsia="仿宋" w:cs="仿宋"/>
          <w:bCs w:val="0"/>
          <w:caps w:val="0"/>
          <w:color w:val="auto"/>
          <w:szCs w:val="24"/>
          <w:highlight w:val="none"/>
        </w:rPr>
        <w:instrText xml:space="preserve"> HYPERLINK \l _Toc23196 </w:instrText>
      </w:r>
      <w:r>
        <w:rPr>
          <w:rFonts w:hint="eastAsia" w:ascii="仿宋" w:hAnsi="仿宋" w:eastAsia="仿宋" w:cs="仿宋"/>
          <w:bCs w:val="0"/>
          <w:caps w:val="0"/>
          <w:color w:val="auto"/>
          <w:szCs w:val="24"/>
          <w:highlight w:val="none"/>
        </w:rPr>
        <w:fldChar w:fldCharType="separate"/>
      </w:r>
      <w:r>
        <w:rPr>
          <w:rFonts w:hint="eastAsia" w:ascii="仿宋" w:hAnsi="仿宋" w:eastAsia="仿宋" w:cs="仿宋"/>
          <w:bCs w:val="0"/>
          <w:color w:val="auto"/>
          <w:szCs w:val="28"/>
          <w:highlight w:val="none"/>
        </w:rPr>
        <w:t xml:space="preserve">第一章 </w:t>
      </w:r>
      <w:r>
        <w:rPr>
          <w:rFonts w:hint="eastAsia" w:ascii="仿宋" w:hAnsi="仿宋" w:eastAsia="仿宋" w:cs="仿宋"/>
          <w:bCs w:val="0"/>
          <w:color w:val="auto"/>
          <w:szCs w:val="28"/>
          <w:highlight w:val="none"/>
          <w:lang w:val="en-US" w:eastAsia="zh-CN"/>
        </w:rPr>
        <w:t>比选</w:t>
      </w:r>
      <w:r>
        <w:rPr>
          <w:rFonts w:hint="eastAsia" w:ascii="仿宋" w:hAnsi="仿宋" w:eastAsia="仿宋" w:cs="仿宋"/>
          <w:bCs w:val="0"/>
          <w:color w:val="auto"/>
          <w:szCs w:val="28"/>
          <w:highlight w:val="none"/>
        </w:rPr>
        <w:t>公告</w:t>
      </w:r>
      <w:r>
        <w:rPr>
          <w:color w:val="auto"/>
          <w:highlight w:val="none"/>
        </w:rPr>
        <w:tab/>
      </w:r>
      <w:r>
        <w:rPr>
          <w:color w:val="auto"/>
          <w:highlight w:val="none"/>
        </w:rPr>
        <w:fldChar w:fldCharType="begin"/>
      </w:r>
      <w:r>
        <w:rPr>
          <w:color w:val="auto"/>
          <w:highlight w:val="none"/>
        </w:rPr>
        <w:instrText xml:space="preserve"> PAGEREF _Toc23196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bCs w:val="0"/>
          <w:caps w:val="0"/>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color w:val="auto"/>
          <w:highlight w:val="none"/>
        </w:rPr>
      </w:pPr>
      <w:r>
        <w:rPr>
          <w:rFonts w:hint="eastAsia" w:ascii="仿宋" w:hAnsi="仿宋" w:eastAsia="仿宋" w:cs="仿宋"/>
          <w:caps/>
          <w:color w:val="auto"/>
          <w:highlight w:val="none"/>
        </w:rPr>
        <w:fldChar w:fldCharType="begin"/>
      </w:r>
      <w:r>
        <w:rPr>
          <w:rFonts w:hint="eastAsia" w:ascii="仿宋" w:hAnsi="仿宋" w:eastAsia="仿宋" w:cs="仿宋"/>
          <w:caps/>
          <w:color w:val="auto"/>
          <w:highlight w:val="none"/>
        </w:rPr>
        <w:instrText xml:space="preserve"> HYPERLINK \l _Toc21237 </w:instrText>
      </w:r>
      <w:r>
        <w:rPr>
          <w:rFonts w:hint="eastAsia" w:ascii="仿宋" w:hAnsi="仿宋" w:eastAsia="仿宋" w:cs="仿宋"/>
          <w:caps/>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_Toc21237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caps/>
          <w:color w:val="auto"/>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_Toc17569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二、供应商资格要求</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_Toc17569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4</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_Toc28263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三、资格审查方法</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_Toc28263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_Toc2019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四、</w:t>
      </w:r>
      <w:r>
        <w:rPr>
          <w:rFonts w:hint="eastAsia" w:ascii="仿宋" w:hAnsi="仿宋" w:eastAsia="仿宋" w:cs="仿宋"/>
          <w:color w:val="auto"/>
          <w:szCs w:val="24"/>
          <w:highlight w:val="none"/>
          <w:lang w:val="en-US" w:eastAsia="zh-CN"/>
        </w:rPr>
        <w:t>比选</w:t>
      </w:r>
      <w:r>
        <w:rPr>
          <w:rFonts w:hint="eastAsia" w:ascii="仿宋" w:hAnsi="仿宋" w:eastAsia="仿宋" w:cs="仿宋"/>
          <w:color w:val="auto"/>
          <w:szCs w:val="24"/>
          <w:highlight w:val="none"/>
        </w:rPr>
        <w:t>文件的获取</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_Toc2019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_Toc32115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五、响应文件的递交</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_Toc32115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_Toc874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lang w:val="en-US" w:eastAsia="zh-CN"/>
        </w:rPr>
        <w:t>六</w:t>
      </w:r>
      <w:r>
        <w:rPr>
          <w:rFonts w:hint="eastAsia" w:ascii="仿宋" w:hAnsi="仿宋" w:eastAsia="仿宋" w:cs="仿宋"/>
          <w:color w:val="auto"/>
          <w:szCs w:val="24"/>
          <w:highlight w:val="none"/>
        </w:rPr>
        <w:t>、发布公告的媒介</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_Toc874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7</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_Toc30596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lang w:val="en-US" w:eastAsia="zh-CN"/>
        </w:rPr>
        <w:t>七</w:t>
      </w:r>
      <w:r>
        <w:rPr>
          <w:rFonts w:hint="eastAsia" w:ascii="仿宋" w:hAnsi="仿宋" w:eastAsia="仿宋" w:cs="仿宋"/>
          <w:color w:val="auto"/>
          <w:szCs w:val="24"/>
          <w:highlight w:val="none"/>
        </w:rPr>
        <w:t>、联系方式</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_Toc30596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7</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29"/>
        <w:keepNext w:val="0"/>
        <w:keepLines w:val="0"/>
        <w:pageBreakBefore w:val="0"/>
        <w:widowControl w:val="0"/>
        <w:tabs>
          <w:tab w:val="right" w:leader="dot" w:pos="9638"/>
        </w:tabs>
        <w:kinsoku/>
        <w:wordWrap/>
        <w:overflowPunct/>
        <w:topLinePunct w:val="0"/>
        <w:autoSpaceDE/>
        <w:autoSpaceDN/>
        <w:bidi w:val="0"/>
        <w:adjustRightInd/>
        <w:snapToGrid/>
        <w:spacing w:before="0" w:after="0"/>
        <w:ind w:left="0"/>
        <w:textAlignment w:val="auto"/>
        <w:rPr>
          <w:color w:val="auto"/>
          <w:highlight w:val="none"/>
        </w:rPr>
      </w:pPr>
      <w:r>
        <w:rPr>
          <w:rFonts w:hint="eastAsia" w:ascii="仿宋" w:hAnsi="仿宋" w:eastAsia="仿宋" w:cs="仿宋"/>
          <w:caps/>
          <w:color w:val="auto"/>
          <w:highlight w:val="none"/>
        </w:rPr>
        <w:fldChar w:fldCharType="begin"/>
      </w:r>
      <w:r>
        <w:rPr>
          <w:rFonts w:hint="eastAsia" w:ascii="仿宋" w:hAnsi="仿宋" w:eastAsia="仿宋" w:cs="仿宋"/>
          <w:caps/>
          <w:color w:val="auto"/>
          <w:highlight w:val="none"/>
        </w:rPr>
        <w:instrText xml:space="preserve"> HYPERLINK \l _Toc7018 </w:instrText>
      </w:r>
      <w:r>
        <w:rPr>
          <w:rFonts w:hint="eastAsia" w:ascii="仿宋" w:hAnsi="仿宋" w:eastAsia="仿宋" w:cs="仿宋"/>
          <w:caps/>
          <w:color w:val="auto"/>
          <w:highlight w:val="none"/>
        </w:rPr>
        <w:fldChar w:fldCharType="separate"/>
      </w:r>
      <w:r>
        <w:rPr>
          <w:rFonts w:hint="eastAsia" w:ascii="仿宋" w:hAnsi="仿宋" w:eastAsia="仿宋" w:cs="仿宋"/>
          <w:color w:val="auto"/>
          <w:szCs w:val="28"/>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_Toc7018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caps/>
          <w:color w:val="auto"/>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_Toc14477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一、供应商须知前附表</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_Toc14477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8</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_Toc27220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二、供应商须知正文</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_Toc27220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13</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_Toc3678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（一）总 则</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_Toc3678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13</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_Toc14164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w:t>
      </w:r>
      <w:r>
        <w:rPr>
          <w:rFonts w:hint="eastAsia" w:ascii="仿宋" w:hAnsi="仿宋" w:eastAsia="仿宋" w:cs="仿宋"/>
          <w:color w:val="auto"/>
          <w:szCs w:val="24"/>
          <w:highlight w:val="none"/>
          <w:lang w:val="en-US" w:eastAsia="zh-CN"/>
        </w:rPr>
        <w:t>比选</w:t>
      </w:r>
      <w:r>
        <w:rPr>
          <w:rFonts w:hint="eastAsia" w:ascii="仿宋" w:hAnsi="仿宋" w:eastAsia="仿宋" w:cs="仿宋"/>
          <w:color w:val="auto"/>
          <w:szCs w:val="24"/>
          <w:highlight w:val="none"/>
        </w:rPr>
        <w:t>文件</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_Toc14164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13</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_Toc31141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（三）响应文件</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_Toc31141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14</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_Toc17865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（四）响应文件的递交</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_Toc17865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17</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_Toc2055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（五）</w:t>
      </w:r>
      <w:r>
        <w:rPr>
          <w:rFonts w:hint="eastAsia" w:ascii="仿宋" w:hAnsi="仿宋" w:eastAsia="仿宋" w:cs="仿宋"/>
          <w:color w:val="auto"/>
          <w:szCs w:val="24"/>
          <w:highlight w:val="none"/>
          <w:lang w:val="en-US" w:eastAsia="zh-CN"/>
        </w:rPr>
        <w:t>比选</w:t>
      </w:r>
      <w:r>
        <w:rPr>
          <w:rFonts w:hint="eastAsia" w:ascii="仿宋" w:hAnsi="仿宋" w:eastAsia="仿宋" w:cs="仿宋"/>
          <w:color w:val="auto"/>
          <w:szCs w:val="24"/>
          <w:highlight w:val="none"/>
        </w:rPr>
        <w:t>和评审</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_Toc2055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18</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_Toc28031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（六）授予合同</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_Toc28031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20</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_Toc6132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（七）其他</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_Toc6132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20</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29"/>
        <w:keepNext w:val="0"/>
        <w:keepLines w:val="0"/>
        <w:pageBreakBefore w:val="0"/>
        <w:widowControl w:val="0"/>
        <w:tabs>
          <w:tab w:val="right" w:leader="dot" w:pos="9638"/>
        </w:tabs>
        <w:kinsoku/>
        <w:wordWrap/>
        <w:overflowPunct/>
        <w:topLinePunct w:val="0"/>
        <w:autoSpaceDE/>
        <w:autoSpaceDN/>
        <w:bidi w:val="0"/>
        <w:adjustRightInd/>
        <w:snapToGrid/>
        <w:spacing w:before="0" w:after="0"/>
        <w:ind w:left="0"/>
        <w:textAlignment w:val="auto"/>
        <w:rPr>
          <w:color w:val="auto"/>
          <w:highlight w:val="none"/>
        </w:rPr>
      </w:pPr>
      <w:r>
        <w:rPr>
          <w:rFonts w:hint="eastAsia" w:ascii="仿宋" w:hAnsi="仿宋" w:eastAsia="仿宋" w:cs="仿宋"/>
          <w:caps/>
          <w:color w:val="auto"/>
          <w:highlight w:val="none"/>
        </w:rPr>
        <w:fldChar w:fldCharType="begin"/>
      </w:r>
      <w:r>
        <w:rPr>
          <w:rFonts w:hint="eastAsia" w:ascii="仿宋" w:hAnsi="仿宋" w:eastAsia="仿宋" w:cs="仿宋"/>
          <w:caps/>
          <w:color w:val="auto"/>
          <w:highlight w:val="none"/>
        </w:rPr>
        <w:instrText xml:space="preserve"> HYPERLINK \l _Toc10670 </w:instrText>
      </w:r>
      <w:r>
        <w:rPr>
          <w:rFonts w:hint="eastAsia" w:ascii="仿宋" w:hAnsi="仿宋" w:eastAsia="仿宋" w:cs="仿宋"/>
          <w:caps/>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_Toc10670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仿宋"/>
          <w:caps/>
          <w:color w:val="auto"/>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_Toc7201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一、评审程序</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_Toc7201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22</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_Toc32019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二、初步评审</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_Toc32019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23</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_Toc25550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、详细评审</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_Toc25550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25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29"/>
        <w:keepNext w:val="0"/>
        <w:keepLines w:val="0"/>
        <w:pageBreakBefore w:val="0"/>
        <w:widowControl w:val="0"/>
        <w:tabs>
          <w:tab w:val="right" w:leader="dot" w:pos="9638"/>
        </w:tabs>
        <w:kinsoku/>
        <w:wordWrap/>
        <w:overflowPunct/>
        <w:topLinePunct w:val="0"/>
        <w:autoSpaceDE/>
        <w:autoSpaceDN/>
        <w:bidi w:val="0"/>
        <w:adjustRightInd/>
        <w:snapToGrid/>
        <w:spacing w:before="0" w:after="0"/>
        <w:ind w:left="0"/>
        <w:textAlignment w:val="auto"/>
        <w:rPr>
          <w:color w:val="auto"/>
          <w:highlight w:val="none"/>
        </w:rPr>
      </w:pPr>
      <w:r>
        <w:rPr>
          <w:rFonts w:hint="eastAsia" w:ascii="仿宋" w:hAnsi="仿宋" w:eastAsia="仿宋" w:cs="仿宋"/>
          <w:caps/>
          <w:color w:val="auto"/>
          <w:highlight w:val="none"/>
        </w:rPr>
        <w:fldChar w:fldCharType="begin"/>
      </w:r>
      <w:r>
        <w:rPr>
          <w:rFonts w:hint="eastAsia" w:ascii="仿宋" w:hAnsi="仿宋" w:eastAsia="仿宋" w:cs="仿宋"/>
          <w:caps/>
          <w:color w:val="auto"/>
          <w:highlight w:val="none"/>
        </w:rPr>
        <w:instrText xml:space="preserve"> HYPERLINK \l _Toc15254 </w:instrText>
      </w:r>
      <w:r>
        <w:rPr>
          <w:rFonts w:hint="eastAsia" w:ascii="仿宋" w:hAnsi="仿宋" w:eastAsia="仿宋" w:cs="仿宋"/>
          <w:caps/>
          <w:color w:val="auto"/>
          <w:highlight w:val="none"/>
        </w:rPr>
        <w:fldChar w:fldCharType="separate"/>
      </w:r>
      <w:r>
        <w:rPr>
          <w:rFonts w:hint="eastAsia" w:ascii="仿宋" w:hAnsi="仿宋" w:eastAsia="仿宋" w:cs="仿宋"/>
          <w:color w:val="auto"/>
          <w:szCs w:val="28"/>
          <w:highlight w:val="none"/>
        </w:rPr>
        <w:t>第四章 合同条款</w:t>
      </w:r>
      <w:r>
        <w:rPr>
          <w:color w:val="auto"/>
          <w:highlight w:val="none"/>
        </w:rPr>
        <w:tab/>
      </w:r>
      <w:r>
        <w:rPr>
          <w:color w:val="auto"/>
          <w:highlight w:val="none"/>
        </w:rPr>
        <w:fldChar w:fldCharType="begin"/>
      </w:r>
      <w:r>
        <w:rPr>
          <w:color w:val="auto"/>
          <w:highlight w:val="none"/>
        </w:rPr>
        <w:instrText xml:space="preserve"> PAGEREF _Toc15254 \h </w:instrText>
      </w:r>
      <w:r>
        <w:rPr>
          <w:color w:val="auto"/>
          <w:highlight w:val="none"/>
        </w:rPr>
        <w:fldChar w:fldCharType="separate"/>
      </w:r>
      <w:r>
        <w:rPr>
          <w:color w:val="auto"/>
          <w:highlight w:val="none"/>
        </w:rPr>
        <w:t>27</w:t>
      </w:r>
      <w:r>
        <w:rPr>
          <w:color w:val="auto"/>
          <w:highlight w:val="none"/>
        </w:rPr>
        <w:fldChar w:fldCharType="end"/>
      </w:r>
      <w:r>
        <w:rPr>
          <w:rFonts w:hint="eastAsia" w:ascii="仿宋" w:hAnsi="仿宋" w:eastAsia="仿宋" w:cs="仿宋"/>
          <w:caps/>
          <w:color w:val="auto"/>
          <w:highlight w:val="none"/>
        </w:rPr>
        <w:fldChar w:fldCharType="end"/>
      </w:r>
    </w:p>
    <w:p>
      <w:pPr>
        <w:pStyle w:val="29"/>
        <w:keepNext w:val="0"/>
        <w:keepLines w:val="0"/>
        <w:pageBreakBefore w:val="0"/>
        <w:widowControl w:val="0"/>
        <w:tabs>
          <w:tab w:val="right" w:leader="dot" w:pos="9638"/>
        </w:tabs>
        <w:kinsoku/>
        <w:wordWrap/>
        <w:overflowPunct/>
        <w:topLinePunct w:val="0"/>
        <w:autoSpaceDE/>
        <w:autoSpaceDN/>
        <w:bidi w:val="0"/>
        <w:adjustRightInd/>
        <w:snapToGrid/>
        <w:spacing w:before="0" w:after="0"/>
        <w:ind w:left="0"/>
        <w:textAlignment w:val="auto"/>
        <w:rPr>
          <w:color w:val="auto"/>
          <w:highlight w:val="none"/>
        </w:rPr>
      </w:pPr>
      <w:r>
        <w:rPr>
          <w:rFonts w:hint="eastAsia" w:ascii="仿宋" w:hAnsi="仿宋" w:eastAsia="仿宋" w:cs="仿宋"/>
          <w:caps/>
          <w:color w:val="auto"/>
          <w:highlight w:val="none"/>
        </w:rPr>
        <w:fldChar w:fldCharType="begin"/>
      </w:r>
      <w:r>
        <w:rPr>
          <w:rFonts w:hint="eastAsia" w:ascii="仿宋" w:hAnsi="仿宋" w:eastAsia="仿宋" w:cs="仿宋"/>
          <w:caps/>
          <w:color w:val="auto"/>
          <w:highlight w:val="none"/>
        </w:rPr>
        <w:instrText xml:space="preserve"> HYPERLINK \l _Toc22083 </w:instrText>
      </w:r>
      <w:r>
        <w:rPr>
          <w:rFonts w:hint="eastAsia" w:ascii="仿宋" w:hAnsi="仿宋" w:eastAsia="仿宋" w:cs="仿宋"/>
          <w:caps/>
          <w:color w:val="auto"/>
          <w:highlight w:val="none"/>
        </w:rPr>
        <w:fldChar w:fldCharType="separate"/>
      </w:r>
      <w:r>
        <w:rPr>
          <w:rFonts w:hint="eastAsia" w:ascii="仿宋" w:hAnsi="仿宋" w:eastAsia="仿宋" w:cs="仿宋"/>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_Toc22083 \h </w:instrText>
      </w:r>
      <w:r>
        <w:rPr>
          <w:color w:val="auto"/>
          <w:highlight w:val="none"/>
        </w:rPr>
        <w:fldChar w:fldCharType="separate"/>
      </w:r>
      <w:r>
        <w:rPr>
          <w:color w:val="auto"/>
          <w:highlight w:val="none"/>
        </w:rPr>
        <w:t>28</w:t>
      </w:r>
      <w:r>
        <w:rPr>
          <w:color w:val="auto"/>
          <w:highlight w:val="none"/>
        </w:rPr>
        <w:fldChar w:fldCharType="end"/>
      </w:r>
      <w:r>
        <w:rPr>
          <w:rFonts w:hint="eastAsia" w:ascii="仿宋" w:hAnsi="仿宋" w:eastAsia="仿宋" w:cs="仿宋"/>
          <w:caps/>
          <w:color w:val="auto"/>
          <w:highlight w:val="none"/>
        </w:rPr>
        <w:fldChar w:fldCharType="end"/>
      </w:r>
    </w:p>
    <w:p>
      <w:pPr>
        <w:pStyle w:val="29"/>
        <w:keepNext w:val="0"/>
        <w:keepLines w:val="0"/>
        <w:pageBreakBefore w:val="0"/>
        <w:widowControl w:val="0"/>
        <w:tabs>
          <w:tab w:val="right" w:leader="dot" w:pos="9638"/>
        </w:tabs>
        <w:kinsoku/>
        <w:wordWrap/>
        <w:overflowPunct/>
        <w:topLinePunct w:val="0"/>
        <w:autoSpaceDE/>
        <w:autoSpaceDN/>
        <w:bidi w:val="0"/>
        <w:adjustRightInd/>
        <w:snapToGrid/>
        <w:spacing w:before="0" w:after="0"/>
        <w:ind w:left="0"/>
        <w:textAlignment w:val="auto"/>
        <w:rPr>
          <w:color w:val="auto"/>
          <w:highlight w:val="none"/>
        </w:rPr>
      </w:pPr>
      <w:r>
        <w:rPr>
          <w:rFonts w:hint="eastAsia" w:ascii="仿宋" w:hAnsi="仿宋" w:eastAsia="仿宋" w:cs="仿宋"/>
          <w:caps/>
          <w:color w:val="auto"/>
          <w:highlight w:val="none"/>
        </w:rPr>
        <w:fldChar w:fldCharType="begin"/>
      </w:r>
      <w:r>
        <w:rPr>
          <w:rFonts w:hint="eastAsia" w:ascii="仿宋" w:hAnsi="仿宋" w:eastAsia="仿宋" w:cs="仿宋"/>
          <w:caps/>
          <w:color w:val="auto"/>
          <w:highlight w:val="none"/>
        </w:rPr>
        <w:instrText xml:space="preserve"> HYPERLINK \l _Toc3675 </w:instrText>
      </w:r>
      <w:r>
        <w:rPr>
          <w:rFonts w:hint="eastAsia" w:ascii="仿宋" w:hAnsi="仿宋" w:eastAsia="仿宋" w:cs="仿宋"/>
          <w:caps/>
          <w:color w:val="auto"/>
          <w:highlight w:val="none"/>
        </w:rPr>
        <w:fldChar w:fldCharType="separate"/>
      </w:r>
      <w:r>
        <w:rPr>
          <w:rFonts w:hint="eastAsia" w:ascii="仿宋" w:hAnsi="仿宋" w:eastAsia="仿宋" w:cs="仿宋"/>
          <w:color w:val="auto"/>
          <w:szCs w:val="28"/>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_Toc3675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仿宋"/>
          <w:caps/>
          <w:color w:val="auto"/>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_Toc17191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lang w:val="en-US" w:eastAsia="zh-CN"/>
        </w:rPr>
        <w:t>一、</w:t>
      </w:r>
      <w:r>
        <w:rPr>
          <w:rFonts w:hint="eastAsia" w:ascii="仿宋" w:hAnsi="仿宋" w:eastAsia="仿宋" w:cs="仿宋"/>
          <w:color w:val="auto"/>
          <w:szCs w:val="24"/>
          <w:highlight w:val="none"/>
        </w:rPr>
        <w:t>商务文件</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_Toc17191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32</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_Toc27958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（一）响应函</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_Toc27958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34</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_Toc13983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（二）法定代表人（负责人）身份证明书</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_Toc13983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35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_Toc24788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（三）法定代表人（负责人）授权委托书</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_Toc24788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36</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_Toc30551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（四）资格证明文件</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_Toc30551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37</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_Toc15130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eastAsia="zh-CN"/>
        </w:rPr>
        <w:t>五</w:t>
      </w:r>
      <w:r>
        <w:rPr>
          <w:rFonts w:hint="eastAsia" w:ascii="仿宋" w:hAnsi="仿宋" w:eastAsia="仿宋" w:cs="仿宋"/>
          <w:color w:val="auto"/>
          <w:szCs w:val="24"/>
          <w:highlight w:val="none"/>
        </w:rPr>
        <w:t>）供应商须知应答偏离表</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_Toc15130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46</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_Toc17890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eastAsia="zh-CN"/>
        </w:rPr>
        <w:t>七</w:t>
      </w:r>
      <w:r>
        <w:rPr>
          <w:rFonts w:hint="eastAsia" w:ascii="仿宋" w:hAnsi="仿宋" w:eastAsia="仿宋" w:cs="仿宋"/>
          <w:color w:val="auto"/>
          <w:szCs w:val="24"/>
          <w:highlight w:val="none"/>
        </w:rPr>
        <w:t>）供应商行为准则承诺书</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_Toc17890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48</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_Toc8068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eastAsia="zh-CN"/>
        </w:rPr>
        <w:t>八</w:t>
      </w:r>
      <w:r>
        <w:rPr>
          <w:rFonts w:hint="eastAsia" w:ascii="仿宋" w:hAnsi="仿宋" w:eastAsia="仿宋" w:cs="仿宋"/>
          <w:color w:val="auto"/>
          <w:szCs w:val="24"/>
          <w:highlight w:val="none"/>
        </w:rPr>
        <w:t>）供应商廉洁诚信承诺书</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_Toc8068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50</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_Toc28698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二、技术文件</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_Toc28698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54</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_Toc17302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（一）采购需求应答偏离表</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_Toc17302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_Toc8284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（二）技术方案</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_Toc8284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56</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_Toc20365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（三）其他材料</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_Toc20365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59</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_Toc20443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三、报价文件</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_Toc20443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60</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_Toc18942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（一）报价一览表</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_Toc18942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60</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34"/>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_Toc15457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lang w:val="en-US" w:eastAsia="zh-CN"/>
        </w:rPr>
        <w:t>二</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分项报价表</w:t>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PAGEREF _Toc15457 \h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4"/>
          <w:highlight w:val="none"/>
        </w:rPr>
        <w:t>61</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rPr>
        <w:fldChar w:fldCharType="end"/>
      </w:r>
    </w:p>
    <w:p>
      <w:pPr>
        <w:pStyle w:val="20"/>
        <w:keepNext w:val="0"/>
        <w:keepLines w:val="0"/>
        <w:pageBreakBefore w:val="0"/>
        <w:widowControl w:val="0"/>
        <w:tabs>
          <w:tab w:val="right" w:leader="dot" w:pos="9638"/>
        </w:tabs>
        <w:kinsoku/>
        <w:wordWrap/>
        <w:overflowPunct/>
        <w:topLinePunct w:val="0"/>
        <w:autoSpaceDE/>
        <w:autoSpaceDN/>
        <w:bidi w:val="0"/>
        <w:adjustRightInd/>
        <w:snapToGrid/>
        <w:ind w:left="0"/>
        <w:textAlignment w:val="auto"/>
        <w:rPr>
          <w:rFonts w:hint="eastAsia" w:ascii="仿宋" w:hAnsi="仿宋" w:eastAsia="仿宋" w:cs="仿宋"/>
          <w:color w:val="auto"/>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auto"/>
          <w:highlight w:val="none"/>
        </w:rPr>
        <w:fldChar w:fldCharType="end"/>
      </w:r>
    </w:p>
    <w:p>
      <w:pPr>
        <w:pStyle w:val="2"/>
        <w:spacing w:before="0" w:after="0" w:line="360" w:lineRule="auto"/>
        <w:jc w:val="center"/>
        <w:rPr>
          <w:rFonts w:ascii="仿宋" w:hAnsi="仿宋" w:eastAsia="仿宋" w:cs="仿宋"/>
          <w:bCs w:val="0"/>
          <w:color w:val="auto"/>
          <w:sz w:val="28"/>
          <w:szCs w:val="28"/>
          <w:highlight w:val="none"/>
        </w:rPr>
      </w:pPr>
      <w:bookmarkStart w:id="6" w:name="_Toc23196"/>
      <w:bookmarkStart w:id="7" w:name="_Toc287600115"/>
      <w:bookmarkStart w:id="8" w:name="_Toc19709"/>
      <w:bookmarkStart w:id="9" w:name="_Toc11838"/>
      <w:bookmarkStart w:id="10" w:name="_Toc444891333"/>
      <w:bookmarkStart w:id="11" w:name="_Toc517281813"/>
      <w:bookmarkStart w:id="12" w:name="_Toc7300"/>
      <w:bookmarkStart w:id="13" w:name="_Toc11826"/>
      <w:r>
        <w:rPr>
          <w:rFonts w:hint="eastAsia" w:ascii="仿宋" w:hAnsi="仿宋" w:eastAsia="仿宋" w:cs="仿宋"/>
          <w:bCs w:val="0"/>
          <w:color w:val="auto"/>
          <w:sz w:val="28"/>
          <w:szCs w:val="28"/>
          <w:highlight w:val="none"/>
        </w:rPr>
        <w:t xml:space="preserve">第一章 </w:t>
      </w:r>
      <w:r>
        <w:rPr>
          <w:rFonts w:hint="eastAsia" w:ascii="仿宋" w:hAnsi="仿宋" w:eastAsia="仿宋" w:cs="仿宋"/>
          <w:bCs w:val="0"/>
          <w:color w:val="auto"/>
          <w:sz w:val="28"/>
          <w:szCs w:val="28"/>
          <w:highlight w:val="none"/>
          <w:lang w:val="en-US" w:eastAsia="zh-CN"/>
        </w:rPr>
        <w:t>比选</w:t>
      </w:r>
      <w:r>
        <w:rPr>
          <w:rFonts w:hint="eastAsia" w:ascii="仿宋" w:hAnsi="仿宋" w:eastAsia="仿宋" w:cs="仿宋"/>
          <w:bCs w:val="0"/>
          <w:color w:val="auto"/>
          <w:sz w:val="28"/>
          <w:szCs w:val="28"/>
          <w:highlight w:val="none"/>
        </w:rPr>
        <w:t>公告</w:t>
      </w:r>
      <w:bookmarkEnd w:id="6"/>
    </w:p>
    <w:p>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eastAsia="zh-CN"/>
        </w:rPr>
        <w:t>人保财险湖北省分公司恩施州分公司2026年矿山领域安责险事故预防技术服务项目</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采购代理项目编号：ZB0113-202608-FZBFW1319</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eastAsia="zh-CN"/>
        </w:rPr>
        <w:t>中国人民财产保险股份有限公司恩施州分公司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w:t>
      </w:r>
      <w:r>
        <w:rPr>
          <w:rFonts w:hint="eastAsia" w:ascii="仿宋" w:hAnsi="仿宋" w:eastAsia="仿宋" w:cs="Cambria Math"/>
          <w:color w:val="auto"/>
          <w:sz w:val="24"/>
          <w:highlight w:val="none"/>
          <w:lang w:val="en-US" w:eastAsia="zh-CN"/>
        </w:rPr>
        <w:t>比选</w:t>
      </w:r>
      <w:r>
        <w:rPr>
          <w:rFonts w:hint="eastAsia" w:ascii="仿宋" w:hAnsi="仿宋" w:eastAsia="仿宋" w:cs="Cambria Math"/>
          <w:color w:val="auto"/>
          <w:sz w:val="24"/>
          <w:highlight w:val="none"/>
        </w:rPr>
        <w:t>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lang w:eastAsia="zh-CN"/>
        </w:rPr>
        <w:t>中国人民财产保险股份有限公司恩施州分公司</w:t>
      </w:r>
      <w:r>
        <w:rPr>
          <w:rFonts w:hint="eastAsia" w:ascii="仿宋" w:hAnsi="仿宋" w:eastAsia="仿宋" w:cs="宋体"/>
          <w:color w:val="auto"/>
          <w:sz w:val="24"/>
          <w:highlight w:val="none"/>
        </w:rPr>
        <w:t>（以下简称“</w:t>
      </w:r>
      <w:r>
        <w:rPr>
          <w:rFonts w:hint="eastAsia" w:ascii="仿宋" w:hAnsi="仿宋" w:eastAsia="仿宋" w:cs="宋体"/>
          <w:color w:val="auto"/>
          <w:sz w:val="24"/>
          <w:highlight w:val="none"/>
          <w:lang w:eastAsia="zh-CN"/>
        </w:rPr>
        <w:t>人保恩施州分公司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 xml:space="preserve"> </w:t>
      </w:r>
      <w:r>
        <w:rPr>
          <w:rFonts w:hint="eastAsia" w:ascii="仿宋" w:hAnsi="仿宋" w:eastAsia="仿宋" w:cs="宋体"/>
          <w:color w:val="auto"/>
          <w:sz w:val="24"/>
          <w:szCs w:val="24"/>
          <w:highlight w:val="none"/>
          <w:u w:val="single"/>
          <w:lang w:val="zh-CN"/>
        </w:rPr>
        <w:t>湖北国华项目管理咨询有限公司</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（以下简称“采购代理机构”）进行公开</w:t>
      </w:r>
      <w:r>
        <w:rPr>
          <w:rFonts w:hint="eastAsia" w:ascii="仿宋" w:hAnsi="仿宋" w:eastAsia="仿宋" w:cs="仿宋"/>
          <w:color w:val="auto"/>
          <w:sz w:val="24"/>
          <w:highlight w:val="none"/>
          <w:lang w:val="en-US"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 xml:space="preserve">有意向且具有提供标的物能力的潜在供应商（以下简称“供应商”）可前来参与响应。 </w:t>
      </w:r>
    </w:p>
    <w:p>
      <w:pPr>
        <w:pStyle w:val="3"/>
        <w:ind w:firstLine="0" w:firstLineChars="0"/>
        <w:jc w:val="left"/>
        <w:rPr>
          <w:rFonts w:hint="eastAsia" w:ascii="仿宋" w:hAnsi="仿宋" w:eastAsia="仿宋" w:cs="仿宋"/>
          <w:color w:val="auto"/>
          <w:sz w:val="24"/>
          <w:szCs w:val="24"/>
          <w:highlight w:val="none"/>
        </w:rPr>
      </w:pPr>
      <w:bookmarkStart w:id="14" w:name="_Toc21237"/>
      <w:r>
        <w:rPr>
          <w:rFonts w:hint="eastAsia" w:ascii="仿宋" w:hAnsi="仿宋" w:eastAsia="仿宋" w:cs="仿宋"/>
          <w:color w:val="auto"/>
          <w:sz w:val="24"/>
          <w:szCs w:val="24"/>
          <w:highlight w:val="none"/>
        </w:rPr>
        <w:t>一、项目概况与采购范围</w:t>
      </w:r>
      <w:bookmarkEnd w:id="14"/>
    </w:p>
    <w:p>
      <w:pPr>
        <w:adjustRightInd w:val="0"/>
        <w:snapToGrid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lang w:eastAsia="zh-CN"/>
        </w:rPr>
        <w:t>人保财险湖北省分公司恩施州分公司2026年矿山领域安责险事故预防技术服务项目。</w:t>
      </w:r>
    </w:p>
    <w:p>
      <w:pPr>
        <w:adjustRightInd w:val="0"/>
        <w:snapToGrid w:val="0"/>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 预算金额：15万元。</w:t>
      </w:r>
    </w:p>
    <w:p>
      <w:pPr>
        <w:adjustRightInd w:val="0"/>
        <w:snapToGrid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 采购范围：本项目选定 1 家供应商，为我公司提供服务期为 1年的事故预防服务。具体内容及要求见招标文件第五章采购需求。</w:t>
      </w:r>
    </w:p>
    <w:p>
      <w:pPr>
        <w:adjustRightInd w:val="0"/>
        <w:snapToGrid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 项目性质：服务。</w:t>
      </w:r>
    </w:p>
    <w:p>
      <w:pPr>
        <w:adjustRightInd w:val="0"/>
        <w:snapToGrid w:val="0"/>
        <w:spacing w:line="360" w:lineRule="auto"/>
        <w:ind w:firstLine="480" w:firstLineChars="200"/>
        <w:jc w:val="left"/>
        <w:rPr>
          <w:rFonts w:hint="default" w:ascii="仿宋" w:hAnsi="仿宋" w:eastAsia="仿宋" w:cs="宋体"/>
          <w:color w:val="auto"/>
          <w:sz w:val="24"/>
          <w:szCs w:val="24"/>
          <w:highlight w:val="none"/>
          <w:lang w:val="en-US" w:eastAsia="zh-CN"/>
        </w:rPr>
      </w:pPr>
      <w:r>
        <w:rPr>
          <w:rFonts w:hint="eastAsia" w:ascii="仿宋" w:hAnsi="仿宋" w:eastAsia="仿宋" w:cs="仿宋"/>
          <w:color w:val="auto"/>
          <w:sz w:val="24"/>
          <w:highlight w:val="none"/>
          <w:lang w:val="en-US" w:eastAsia="zh-CN"/>
        </w:rPr>
        <w:t>1.5 服务期：自合同签订之日起1年</w:t>
      </w:r>
      <w:r>
        <w:rPr>
          <w:rFonts w:hint="eastAsia" w:ascii="仿宋" w:hAnsi="仿宋" w:eastAsia="仿宋" w:cs="宋体"/>
          <w:color w:val="auto"/>
          <w:sz w:val="24"/>
          <w:highlight w:val="none"/>
          <w:lang w:val="en-US" w:eastAsia="zh-CN"/>
        </w:rPr>
        <w:t>。</w:t>
      </w:r>
    </w:p>
    <w:p>
      <w:pPr>
        <w:adjustRightInd w:val="0"/>
        <w:snapToGrid w:val="0"/>
        <w:spacing w:line="360" w:lineRule="auto"/>
        <w:ind w:firstLine="480" w:firstLineChars="200"/>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1.6 服务地点：采购人指定地点。</w:t>
      </w:r>
    </w:p>
    <w:p>
      <w:pPr>
        <w:adjustRightInd w:val="0"/>
        <w:snapToGrid w:val="0"/>
        <w:spacing w:line="360" w:lineRule="auto"/>
        <w:ind w:firstLine="480" w:firstLineChars="200"/>
        <w:jc w:val="left"/>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1.7付款方式：本项目采购为服务合同，合同签订后，每月或每季结算一次（如遇应急检查、安全生产月或客户需求激增，导致服务频次骤增，则按月结算）。具体支付费用按照具体实施项目据实结算。本项目累计结算金额不超过15万元。。</w:t>
      </w:r>
    </w:p>
    <w:p>
      <w:pPr>
        <w:pStyle w:val="3"/>
        <w:ind w:firstLine="0" w:firstLineChars="0"/>
        <w:jc w:val="left"/>
        <w:rPr>
          <w:rFonts w:hint="eastAsia" w:ascii="仿宋" w:hAnsi="仿宋" w:eastAsia="仿宋" w:cs="仿宋"/>
          <w:color w:val="auto"/>
          <w:sz w:val="24"/>
          <w:szCs w:val="24"/>
          <w:highlight w:val="none"/>
        </w:rPr>
      </w:pPr>
      <w:bookmarkStart w:id="15" w:name="_Toc17569"/>
      <w:r>
        <w:rPr>
          <w:rFonts w:hint="eastAsia" w:ascii="仿宋" w:hAnsi="仿宋" w:eastAsia="仿宋" w:cs="仿宋"/>
          <w:color w:val="auto"/>
          <w:sz w:val="24"/>
          <w:szCs w:val="24"/>
          <w:highlight w:val="none"/>
        </w:rPr>
        <w:t>二、供应商资格要求</w:t>
      </w:r>
      <w:bookmarkEnd w:id="15"/>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color w:val="auto"/>
          <w:sz w:val="24"/>
          <w:highlight w:val="none"/>
          <w:lang w:val="en-US" w:eastAsia="zh-CN"/>
        </w:rPr>
        <w:t xml:space="preserve"> </w:t>
      </w:r>
      <w:r>
        <w:rPr>
          <w:rFonts w:hint="eastAsia" w:ascii="仿宋" w:hAnsi="仿宋" w:eastAsia="仿宋" w:cs="宋体"/>
          <w:b/>
          <w:bCs/>
          <w:color w:val="auto"/>
          <w:sz w:val="24"/>
          <w:highlight w:val="none"/>
        </w:rPr>
        <w:t>在中华人民共和国境内依法登记的法人或其他组织，具有独立承担民事责任的能力，</w:t>
      </w:r>
      <w:r>
        <w:rPr>
          <w:rFonts w:hint="eastAsia" w:ascii="仿宋" w:hAnsi="仿宋" w:eastAsia="仿宋" w:cs="宋体"/>
          <w:color w:val="auto"/>
          <w:sz w:val="24"/>
          <w:highlight w:val="none"/>
        </w:rPr>
        <w:t>供应商如为企业法人，须提供企业法人营业执照</w:t>
      </w:r>
      <w:r>
        <w:rPr>
          <w:rFonts w:hint="eastAsia" w:ascii="仿宋" w:hAnsi="仿宋" w:eastAsia="仿宋" w:cs="Monaco"/>
          <w:color w:val="auto"/>
          <w:sz w:val="24"/>
          <w:highlight w:val="none"/>
        </w:rPr>
        <w:t>（复印件）</w:t>
      </w:r>
      <w:r>
        <w:rPr>
          <w:rFonts w:hint="eastAsia" w:ascii="仿宋" w:hAnsi="仿宋" w:eastAsia="仿宋" w:cs="宋体"/>
          <w:color w:val="auto"/>
          <w:sz w:val="24"/>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color w:val="auto"/>
          <w:sz w:val="24"/>
          <w:highlight w:val="none"/>
          <w:lang w:val="en-US" w:eastAsia="zh-CN"/>
        </w:rPr>
        <w:t xml:space="preserve"> </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，需提供</w:t>
      </w:r>
      <w:r>
        <w:rPr>
          <w:rFonts w:hint="eastAsia" w:ascii="仿宋" w:hAnsi="仿宋" w:eastAsia="仿宋" w:cs="宋体"/>
          <w:color w:val="auto"/>
          <w:sz w:val="24"/>
          <w:szCs w:val="24"/>
          <w:highlight w:val="none"/>
          <w:lang w:val="en-US" w:eastAsia="zh-CN"/>
        </w:rPr>
        <w:t>2024年度或2025年度</w:t>
      </w:r>
      <w:r>
        <w:rPr>
          <w:rFonts w:hint="eastAsia" w:ascii="仿宋" w:hAnsi="仿宋" w:eastAsia="仿宋" w:cs="宋体"/>
          <w:color w:val="auto"/>
          <w:sz w:val="24"/>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b/>
          <w:bCs/>
          <w:color w:val="auto"/>
          <w:sz w:val="24"/>
          <w:highlight w:val="none"/>
          <w:lang w:eastAsia="zh-CN"/>
        </w:rPr>
        <w:t>或</w:t>
      </w:r>
      <w:r>
        <w:rPr>
          <w:rFonts w:hint="eastAsia" w:ascii="仿宋" w:hAnsi="仿宋" w:eastAsia="仿宋" w:cs="宋体"/>
          <w:b/>
          <w:bCs/>
          <w:color w:val="auto"/>
          <w:sz w:val="24"/>
          <w:highlight w:val="none"/>
          <w:lang w:val="en-US" w:eastAsia="zh-CN"/>
        </w:rPr>
        <w:t>由供应商提供书面承诺或声明</w:t>
      </w:r>
      <w:r>
        <w:rPr>
          <w:rFonts w:hint="eastAsia" w:ascii="仿宋" w:hAnsi="仿宋" w:eastAsia="仿宋" w:cs="宋体"/>
          <w:b/>
          <w:bCs/>
          <w:color w:val="auto"/>
          <w:sz w:val="24"/>
          <w:highlight w:val="none"/>
        </w:rPr>
        <w:t>。</w:t>
      </w:r>
    </w:p>
    <w:p>
      <w:pPr>
        <w:pageBreakBefore w:val="0"/>
        <w:widowControl w:val="0"/>
        <w:kinsoku/>
        <w:overflowPunct/>
        <w:topLinePunct w:val="0"/>
        <w:autoSpaceDE/>
        <w:autoSpaceDN/>
        <w:bidi w:val="0"/>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highlight w:val="none"/>
        </w:rPr>
        <w:t xml:space="preserve">2.3 </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w:t>
      </w:r>
      <w:r>
        <w:rPr>
          <w:rFonts w:hint="eastAsia" w:ascii="仿宋" w:hAnsi="仿宋" w:eastAsia="仿宋" w:cs="宋体"/>
          <w:color w:val="auto"/>
          <w:sz w:val="24"/>
          <w:szCs w:val="24"/>
          <w:highlight w:val="none"/>
          <w:lang w:val="en-US" w:eastAsia="zh-CN"/>
        </w:rPr>
        <w:t>由供应商提供书面承诺或声明，或提供相应证明材料。</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b/>
          <w:bCs/>
          <w:color w:val="auto"/>
          <w:sz w:val="24"/>
          <w:szCs w:val="24"/>
          <w:highlight w:val="none"/>
        </w:rPr>
      </w:pPr>
      <w:r>
        <w:rPr>
          <w:rFonts w:hint="eastAsia" w:ascii="仿宋" w:hAnsi="仿宋" w:eastAsia="仿宋" w:cs="宋体"/>
          <w:color w:val="auto"/>
          <w:sz w:val="24"/>
          <w:highlight w:val="none"/>
        </w:rPr>
        <w:t>2.4</w:t>
      </w:r>
      <w:r>
        <w:rPr>
          <w:rFonts w:hint="eastAsia" w:ascii="仿宋" w:hAnsi="仿宋" w:eastAsia="仿宋" w:cs="宋体"/>
          <w:color w:val="auto"/>
          <w:sz w:val="24"/>
          <w:highlight w:val="none"/>
          <w:lang w:val="en-US" w:eastAsia="zh-CN"/>
        </w:rPr>
        <w:t xml:space="preserve"> </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由</w:t>
      </w:r>
      <w:r>
        <w:rPr>
          <w:rFonts w:hint="eastAsia" w:ascii="仿宋" w:hAnsi="仿宋" w:eastAsia="仿宋" w:cs="宋体"/>
          <w:color w:val="auto"/>
          <w:sz w:val="24"/>
          <w:szCs w:val="24"/>
          <w:highlight w:val="none"/>
          <w:lang w:val="en-US" w:eastAsia="zh-CN"/>
        </w:rPr>
        <w:t>供应商同时提供</w:t>
      </w:r>
      <w:r>
        <w:rPr>
          <w:rFonts w:hint="eastAsia" w:ascii="仿宋" w:hAnsi="仿宋" w:eastAsia="仿宋" w:cs="宋体"/>
          <w:color w:val="auto"/>
          <w:sz w:val="24"/>
          <w:szCs w:val="24"/>
          <w:highlight w:val="none"/>
        </w:rPr>
        <w:t>依法缴纳税收</w:t>
      </w:r>
      <w:r>
        <w:rPr>
          <w:rFonts w:hint="eastAsia" w:ascii="仿宋" w:hAnsi="仿宋" w:eastAsia="仿宋" w:cs="宋体"/>
          <w:color w:val="auto"/>
          <w:sz w:val="24"/>
          <w:szCs w:val="24"/>
          <w:highlight w:val="none"/>
          <w:lang w:val="en-US" w:eastAsia="zh-CN"/>
        </w:rPr>
        <w:t>和</w:t>
      </w:r>
      <w:r>
        <w:rPr>
          <w:rFonts w:hint="eastAsia" w:ascii="仿宋" w:hAnsi="仿宋" w:eastAsia="仿宋" w:cs="宋体"/>
          <w:color w:val="auto"/>
          <w:sz w:val="24"/>
          <w:szCs w:val="24"/>
          <w:highlight w:val="none"/>
        </w:rPr>
        <w:t>依法缴纳社会保障资金</w:t>
      </w:r>
      <w:r>
        <w:rPr>
          <w:rFonts w:hint="eastAsia" w:ascii="仿宋" w:hAnsi="仿宋" w:eastAsia="仿宋" w:cs="宋体"/>
          <w:color w:val="auto"/>
          <w:sz w:val="24"/>
          <w:szCs w:val="24"/>
          <w:highlight w:val="none"/>
          <w:lang w:eastAsia="zh-CN"/>
        </w:rPr>
        <w:t>的</w:t>
      </w:r>
      <w:r>
        <w:rPr>
          <w:rFonts w:hint="eastAsia" w:ascii="仿宋" w:hAnsi="仿宋" w:eastAsia="仿宋" w:cs="宋体"/>
          <w:color w:val="auto"/>
          <w:sz w:val="24"/>
          <w:szCs w:val="24"/>
          <w:highlight w:val="none"/>
        </w:rPr>
        <w:t>证明材料</w:t>
      </w:r>
      <w:r>
        <w:rPr>
          <w:rFonts w:hint="eastAsia" w:ascii="仿宋" w:hAnsi="仿宋" w:eastAsia="仿宋" w:cs="宋体"/>
          <w:b/>
          <w:bCs/>
          <w:color w:val="auto"/>
          <w:sz w:val="24"/>
          <w:szCs w:val="24"/>
          <w:highlight w:val="none"/>
          <w:lang w:eastAsia="zh-CN"/>
        </w:rPr>
        <w:t>或</w:t>
      </w:r>
      <w:r>
        <w:rPr>
          <w:rFonts w:hint="eastAsia" w:ascii="仿宋" w:hAnsi="仿宋" w:eastAsia="仿宋" w:cs="宋体"/>
          <w:b/>
          <w:bCs/>
          <w:color w:val="auto"/>
          <w:sz w:val="24"/>
          <w:szCs w:val="24"/>
          <w:highlight w:val="none"/>
          <w:lang w:val="en-US" w:eastAsia="zh-CN"/>
        </w:rPr>
        <w:t>由供应商提供相关书面承诺或声明</w:t>
      </w:r>
      <w:r>
        <w:rPr>
          <w:rFonts w:hint="eastAsia" w:ascii="仿宋" w:hAnsi="仿宋" w:eastAsia="仿宋" w:cs="宋体"/>
          <w:b/>
          <w:bCs/>
          <w:color w:val="auto"/>
          <w:sz w:val="24"/>
          <w:szCs w:val="24"/>
          <w:highlight w:val="none"/>
        </w:rPr>
        <w:t>。</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依法缴纳税收：本项目公告发布时间前12个月内（至少有1个月）缴纳税收的凭据（完税证、缴款书、印花税票、银行代扣（代缴）转账凭证等均可）；</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依法缴纳社会保障资金：本项目公告发布时间前12个月内（至少有1个月）缴纳社会保险的凭据（专用收据或社会保险</w:t>
      </w:r>
      <w:r>
        <w:rPr>
          <w:rFonts w:hint="eastAsia" w:ascii="仿宋" w:hAnsi="仿宋" w:eastAsia="仿宋" w:cs="宋体"/>
          <w:color w:val="auto"/>
          <w:sz w:val="24"/>
          <w:szCs w:val="24"/>
          <w:highlight w:val="none"/>
          <w:lang w:eastAsia="zh-CN"/>
        </w:rPr>
        <w:t>缴纳</w:t>
      </w:r>
      <w:r>
        <w:rPr>
          <w:rFonts w:hint="eastAsia" w:ascii="仿宋" w:hAnsi="仿宋" w:eastAsia="仿宋" w:cs="宋体"/>
          <w:color w:val="auto"/>
          <w:sz w:val="24"/>
          <w:szCs w:val="24"/>
          <w:highlight w:val="none"/>
        </w:rPr>
        <w:t>清单）；</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为其他组织或自然人的，也应满足以上要求；</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（4）递交</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rPr>
        <w:t>文件截止时间的当月成立但因税务机关原因导致其尚未依法缴纳税收的</w:t>
      </w:r>
      <w:r>
        <w:rPr>
          <w:rFonts w:hint="eastAsia" w:ascii="仿宋" w:hAnsi="仿宋" w:eastAsia="仿宋" w:cs="宋体"/>
          <w:color w:val="auto"/>
          <w:sz w:val="24"/>
          <w:szCs w:val="24"/>
          <w:highlight w:val="none"/>
          <w:lang w:eastAsia="zh-CN"/>
        </w:rPr>
        <w:t>供应商</w:t>
      </w:r>
      <w:r>
        <w:rPr>
          <w:rFonts w:hint="eastAsia" w:ascii="仿宋" w:hAnsi="仿宋" w:eastAsia="仿宋" w:cs="宋体"/>
          <w:color w:val="auto"/>
          <w:sz w:val="24"/>
          <w:szCs w:val="24"/>
          <w:highlight w:val="none"/>
        </w:rPr>
        <w:t>，提供将依法缴纳税收承诺书原件（格式自拟），该承诺书视同税收缴纳凭据；</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（5）递交</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rPr>
        <w:t>文件截止时间的当月成立但因社会保障资金管理机关原因导致其尚未依法缴纳社会保障资金的</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，提供将依法缴纳社会保障资金承诺书原件（格式自拟），该承诺书视同社会保险凭据；</w:t>
      </w:r>
    </w:p>
    <w:p>
      <w:pPr>
        <w:pageBreakBefore w:val="0"/>
        <w:widowControl w:val="0"/>
        <w:kinsoku/>
        <w:overflowPunct/>
        <w:topLinePunct w:val="0"/>
        <w:autoSpaceDE/>
        <w:autoSpaceDN/>
        <w:bidi w:val="0"/>
        <w:spacing w:line="360" w:lineRule="auto"/>
        <w:ind w:firstLine="480" w:firstLineChars="200"/>
        <w:textAlignment w:val="baseline"/>
        <w:rPr>
          <w:rFonts w:hint="eastAsia"/>
          <w:b/>
          <w:bCs/>
          <w:color w:val="auto"/>
          <w:highlight w:val="none"/>
        </w:rPr>
      </w:pPr>
      <w:r>
        <w:rPr>
          <w:rFonts w:hint="eastAsia" w:ascii="仿宋" w:hAnsi="仿宋" w:eastAsia="仿宋" w:cs="宋体"/>
          <w:color w:val="auto"/>
          <w:sz w:val="24"/>
          <w:szCs w:val="24"/>
          <w:highlight w:val="none"/>
        </w:rPr>
        <w:t>（6）依法免税或不需要缴纳社会保障资金的</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，具有相应文件证明其依法免税或不需要</w:t>
      </w:r>
      <w:r>
        <w:rPr>
          <w:rFonts w:hint="eastAsia" w:ascii="仿宋" w:hAnsi="仿宋" w:eastAsia="仿宋" w:cs="宋体"/>
          <w:color w:val="auto"/>
          <w:sz w:val="24"/>
          <w:szCs w:val="24"/>
          <w:highlight w:val="none"/>
          <w:lang w:eastAsia="zh-CN"/>
        </w:rPr>
        <w:t>缴纳</w:t>
      </w:r>
      <w:r>
        <w:rPr>
          <w:rFonts w:hint="eastAsia" w:ascii="仿宋" w:hAnsi="仿宋" w:eastAsia="仿宋" w:cs="宋体"/>
          <w:color w:val="auto"/>
          <w:sz w:val="24"/>
          <w:szCs w:val="24"/>
          <w:highlight w:val="none"/>
        </w:rPr>
        <w:t>社会保障资金。</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color w:val="auto"/>
          <w:sz w:val="24"/>
          <w:highlight w:val="none"/>
          <w:lang w:val="en-US" w:eastAsia="zh-CN"/>
        </w:rPr>
        <w:t xml:space="preserve"> </w:t>
      </w:r>
      <w:r>
        <w:rPr>
          <w:rFonts w:hint="eastAsia" w:ascii="仿宋" w:hAnsi="仿宋" w:eastAsia="仿宋" w:cs="宋体"/>
          <w:b/>
          <w:bCs/>
          <w:color w:val="auto"/>
          <w:sz w:val="24"/>
          <w:highlight w:val="none"/>
        </w:rPr>
        <w:t>供应商应经营状况良好，且近三年内无违法违规记录。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w:t>
      </w:r>
      <w:r>
        <w:rPr>
          <w:rFonts w:hint="eastAsia" w:ascii="仿宋" w:hAnsi="仿宋" w:eastAsia="仿宋" w:cs="宋体"/>
          <w:color w:val="auto"/>
          <w:sz w:val="24"/>
          <w:highlight w:val="none"/>
          <w:lang w:val="en-US" w:eastAsia="zh-CN"/>
        </w:rPr>
        <w:t>比选</w:t>
      </w:r>
      <w:r>
        <w:rPr>
          <w:rFonts w:hint="eastAsia" w:ascii="仿宋" w:hAnsi="仿宋" w:eastAsia="仿宋" w:cs="宋体"/>
          <w:color w:val="auto"/>
          <w:sz w:val="24"/>
          <w:highlight w:val="none"/>
        </w:rPr>
        <w:t>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信用中国查询网址：https://www.creditchina.gov.cn/xinxigongshi/</w:t>
      </w:r>
    </w:p>
    <w:p>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 xml:space="preserve">2.6 </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w:t>
      </w:r>
      <w:r>
        <w:rPr>
          <w:rFonts w:hint="eastAsia" w:ascii="仿宋" w:hAnsi="仿宋" w:eastAsia="仿宋" w:cs="宋体"/>
          <w:b/>
          <w:bCs/>
          <w:color w:val="auto"/>
          <w:sz w:val="24"/>
          <w:highlight w:val="none"/>
          <w:lang w:eastAsia="zh-CN"/>
        </w:rPr>
        <w:t>中国人民保险各级机构的供应商黑名单</w:t>
      </w:r>
      <w:r>
        <w:rPr>
          <w:rFonts w:hint="eastAsia" w:ascii="仿宋" w:hAnsi="仿宋" w:eastAsia="仿宋" w:cs="宋体"/>
          <w:b/>
          <w:bCs/>
          <w:color w:val="auto"/>
          <w:sz w:val="24"/>
          <w:highlight w:val="none"/>
        </w:rPr>
        <w:t>且在禁入期内的供应商参与采购活动。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2.7</w:t>
      </w:r>
      <w:r>
        <w:rPr>
          <w:rFonts w:hint="eastAsia" w:ascii="仿宋" w:hAnsi="仿宋" w:eastAsia="仿宋" w:cs="宋体"/>
          <w:color w:val="auto"/>
          <w:sz w:val="24"/>
          <w:highlight w:val="none"/>
          <w:lang w:val="en-US" w:eastAsia="zh-CN"/>
        </w:rPr>
        <w:t xml:space="preserve"> </w:t>
      </w:r>
      <w:r>
        <w:rPr>
          <w:rFonts w:hint="eastAsia" w:ascii="仿宋" w:hAnsi="仿宋" w:eastAsia="仿宋" w:cs="宋体"/>
          <w:color w:val="auto"/>
          <w:sz w:val="24"/>
          <w:highlight w:val="none"/>
        </w:rPr>
        <w:t>单位负责人为同一人或存在控股、管理关系的不同单位，不得参加同一标段/标包响应或未划分标段/标包的同一采购项目的响应，需填写《供应商控股及管理关系情况申报表》。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2.8</w:t>
      </w:r>
      <w:r>
        <w:rPr>
          <w:rFonts w:hint="eastAsia" w:ascii="仿宋" w:hAnsi="仿宋" w:eastAsia="仿宋" w:cs="宋体"/>
          <w:color w:val="auto"/>
          <w:sz w:val="24"/>
          <w:highlight w:val="none"/>
          <w:lang w:val="en-US" w:eastAsia="zh-CN"/>
        </w:rPr>
        <w:t xml:space="preserve"> </w:t>
      </w:r>
      <w:r>
        <w:rPr>
          <w:rFonts w:hint="eastAsia" w:ascii="仿宋" w:hAnsi="仿宋" w:eastAsia="仿宋" w:cs="宋体"/>
          <w:color w:val="auto"/>
          <w:sz w:val="24"/>
          <w:highlight w:val="none"/>
        </w:rPr>
        <w:t>本项目不接受联合体响应。</w:t>
      </w:r>
    </w:p>
    <w:p>
      <w:pPr>
        <w:spacing w:line="360" w:lineRule="auto"/>
        <w:ind w:firstLine="480" w:firstLineChars="200"/>
        <w:textAlignment w:val="baseline"/>
        <w:rPr>
          <w:rFonts w:hint="default" w:eastAsia="仿宋"/>
          <w:color w:val="auto"/>
          <w:highlight w:val="none"/>
          <w:lang w:val="en-US" w:eastAsia="zh-CN"/>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 xml:space="preserve">9 </w:t>
      </w:r>
      <w:r>
        <w:rPr>
          <w:rFonts w:hint="eastAsia" w:ascii="仿宋" w:hAnsi="仿宋" w:eastAsia="仿宋" w:cs="宋体"/>
          <w:color w:val="auto"/>
          <w:sz w:val="24"/>
          <w:szCs w:val="24"/>
          <w:highlight w:val="none"/>
          <w:lang w:val="en-US" w:eastAsia="zh-CN"/>
        </w:rPr>
        <w:t>其它资格要求：/。</w:t>
      </w:r>
    </w:p>
    <w:p>
      <w:pPr>
        <w:pStyle w:val="3"/>
        <w:ind w:firstLine="0" w:firstLineChars="0"/>
        <w:jc w:val="left"/>
        <w:rPr>
          <w:rFonts w:hint="eastAsia" w:ascii="仿宋" w:hAnsi="仿宋" w:eastAsia="仿宋" w:cs="仿宋"/>
          <w:color w:val="auto"/>
          <w:sz w:val="24"/>
          <w:szCs w:val="24"/>
          <w:highlight w:val="none"/>
        </w:rPr>
      </w:pPr>
      <w:bookmarkStart w:id="16" w:name="_Toc28263"/>
      <w:r>
        <w:rPr>
          <w:rFonts w:hint="eastAsia" w:ascii="仿宋" w:hAnsi="仿宋" w:eastAsia="仿宋" w:cs="仿宋"/>
          <w:color w:val="auto"/>
          <w:sz w:val="24"/>
          <w:szCs w:val="24"/>
          <w:highlight w:val="none"/>
        </w:rPr>
        <w:t>三、资格审查方法</w:t>
      </w:r>
      <w:bookmarkEnd w:id="16"/>
    </w:p>
    <w:p>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w:t>
      </w:r>
      <w:r>
        <w:rPr>
          <w:rFonts w:hint="eastAsia" w:ascii="仿宋" w:hAnsi="仿宋" w:eastAsia="仿宋" w:cs="宋体"/>
          <w:color w:val="auto"/>
          <w:sz w:val="24"/>
          <w:highlight w:val="none"/>
          <w:lang w:val="en-US" w:eastAsia="zh-CN"/>
        </w:rPr>
        <w:t>比选</w:t>
      </w:r>
      <w:r>
        <w:rPr>
          <w:rFonts w:hint="eastAsia" w:ascii="仿宋" w:hAnsi="仿宋" w:eastAsia="仿宋" w:cs="仿宋"/>
          <w:color w:val="auto"/>
          <w:sz w:val="24"/>
          <w:highlight w:val="none"/>
        </w:rPr>
        <w:t>文件第三章评审办法。未通过资格后审的供应商，响应文件将被否决，不进入</w:t>
      </w:r>
      <w:r>
        <w:rPr>
          <w:rFonts w:hint="eastAsia" w:ascii="仿宋" w:hAnsi="仿宋" w:eastAsia="仿宋" w:cs="宋体"/>
          <w:color w:val="auto"/>
          <w:sz w:val="24"/>
          <w:highlight w:val="none"/>
          <w:lang w:val="en-US" w:eastAsia="zh-CN"/>
        </w:rPr>
        <w:t>比选</w:t>
      </w:r>
      <w:r>
        <w:rPr>
          <w:rFonts w:hint="eastAsia" w:ascii="仿宋" w:hAnsi="仿宋" w:eastAsia="仿宋" w:cs="仿宋"/>
          <w:color w:val="auto"/>
          <w:sz w:val="24"/>
          <w:highlight w:val="none"/>
        </w:rPr>
        <w:t>、详细评审等后续环节。</w:t>
      </w:r>
    </w:p>
    <w:p>
      <w:pPr>
        <w:pStyle w:val="3"/>
        <w:keepNext/>
        <w:keepLines/>
        <w:pageBreakBefore w:val="0"/>
        <w:widowControl w:val="0"/>
        <w:kinsoku/>
        <w:wordWrap/>
        <w:overflowPunct/>
        <w:topLinePunct w:val="0"/>
        <w:autoSpaceDE/>
        <w:autoSpaceDN/>
        <w:bidi w:val="0"/>
        <w:adjustRightInd/>
        <w:snapToGrid/>
        <w:ind w:firstLine="0" w:firstLineChars="0"/>
        <w:jc w:val="left"/>
        <w:textAlignment w:val="auto"/>
        <w:rPr>
          <w:rFonts w:hint="eastAsia" w:ascii="仿宋" w:hAnsi="仿宋" w:eastAsia="仿宋" w:cs="仿宋"/>
          <w:color w:val="auto"/>
          <w:sz w:val="24"/>
          <w:szCs w:val="24"/>
          <w:highlight w:val="none"/>
        </w:rPr>
      </w:pPr>
      <w:bookmarkStart w:id="17" w:name="_Toc2019"/>
      <w:r>
        <w:rPr>
          <w:rFonts w:hint="eastAsia" w:ascii="仿宋" w:hAnsi="仿宋" w:eastAsia="仿宋" w:cs="仿宋"/>
          <w:color w:val="auto"/>
          <w:sz w:val="24"/>
          <w:szCs w:val="24"/>
          <w:highlight w:val="none"/>
        </w:rPr>
        <w:t>四、</w:t>
      </w:r>
      <w:r>
        <w:rPr>
          <w:rFonts w:hint="eastAsia" w:ascii="仿宋" w:hAnsi="仿宋" w:eastAsia="仿宋" w:cs="宋体"/>
          <w:color w:val="auto"/>
          <w:sz w:val="24"/>
          <w:highlight w:val="none"/>
          <w:lang w:val="en-US" w:eastAsia="zh-CN"/>
        </w:rPr>
        <w:t>比选</w:t>
      </w:r>
      <w:r>
        <w:rPr>
          <w:rFonts w:hint="eastAsia" w:ascii="仿宋" w:hAnsi="仿宋" w:eastAsia="仿宋" w:cs="仿宋"/>
          <w:color w:val="auto"/>
          <w:sz w:val="24"/>
          <w:szCs w:val="24"/>
          <w:highlight w:val="none"/>
        </w:rPr>
        <w:t>文件的获取</w:t>
      </w:r>
      <w:bookmarkEnd w:id="17"/>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en-US" w:eastAsia="zh-CN"/>
        </w:rPr>
      </w:pPr>
      <w:bookmarkStart w:id="18" w:name="_Toc32115"/>
      <w:r>
        <w:rPr>
          <w:rFonts w:hint="eastAsia" w:ascii="仿宋" w:hAnsi="仿宋" w:eastAsia="仿宋" w:cs="宋体"/>
          <w:color w:val="auto"/>
          <w:sz w:val="24"/>
          <w:szCs w:val="24"/>
          <w:highlight w:val="none"/>
          <w:lang w:val="en-US" w:eastAsia="zh-CN"/>
        </w:rPr>
        <w:t xml:space="preserve">4.1 </w:t>
      </w:r>
      <w:r>
        <w:rPr>
          <w:rFonts w:hint="eastAsia" w:ascii="仿宋" w:hAnsi="仿宋" w:eastAsia="仿宋" w:cs="宋体"/>
          <w:color w:val="auto"/>
          <w:sz w:val="24"/>
          <w:szCs w:val="24"/>
          <w:highlight w:val="none"/>
          <w:lang w:val="zh-CN" w:eastAsia="zh-CN"/>
        </w:rPr>
        <w:t>拟参加本项目的供应商须在阳光招采电子招标投标交易平台</w:t>
      </w:r>
      <w:r>
        <w:rPr>
          <w:rFonts w:hint="eastAsia" w:ascii="仿宋" w:hAnsi="仿宋" w:eastAsia="仿宋" w:cs="宋体"/>
          <w:color w:val="auto"/>
          <w:sz w:val="24"/>
          <w:szCs w:val="24"/>
          <w:highlight w:val="none"/>
          <w:lang w:val="en-US" w:eastAsia="zh-CN"/>
        </w:rPr>
        <w:t>（网址</w:t>
      </w:r>
      <w:r>
        <w:rPr>
          <w:rFonts w:hint="eastAsia" w:ascii="仿宋" w:hAnsi="仿宋" w:eastAsia="仿宋" w:cs="宋体"/>
          <w:color w:val="auto"/>
          <w:sz w:val="24"/>
          <w:szCs w:val="24"/>
          <w:highlight w:val="none"/>
          <w:lang w:val="en-US" w:eastAsia="zh-CN"/>
        </w:rPr>
        <w:fldChar w:fldCharType="begin"/>
      </w:r>
      <w:r>
        <w:rPr>
          <w:rFonts w:hint="eastAsia" w:ascii="仿宋" w:hAnsi="仿宋" w:eastAsia="仿宋" w:cs="宋体"/>
          <w:color w:val="auto"/>
          <w:sz w:val="24"/>
          <w:szCs w:val="24"/>
          <w:highlight w:val="none"/>
          <w:lang w:val="en-US" w:eastAsia="zh-CN"/>
        </w:rPr>
        <w:instrText xml:space="preserve"> HYPERLINK "https://www.yangguangzhaocai.com" </w:instrText>
      </w:r>
      <w:r>
        <w:rPr>
          <w:rFonts w:hint="eastAsia" w:ascii="仿宋" w:hAnsi="仿宋" w:eastAsia="仿宋" w:cs="宋体"/>
          <w:color w:val="auto"/>
          <w:sz w:val="24"/>
          <w:szCs w:val="24"/>
          <w:highlight w:val="none"/>
          <w:lang w:val="en-US" w:eastAsia="zh-CN"/>
        </w:rPr>
        <w:fldChar w:fldCharType="separate"/>
      </w:r>
      <w:r>
        <w:rPr>
          <w:rFonts w:hint="eastAsia" w:ascii="仿宋" w:hAnsi="仿宋" w:eastAsia="仿宋" w:cs="宋体"/>
          <w:color w:val="auto"/>
          <w:sz w:val="24"/>
          <w:szCs w:val="24"/>
          <w:highlight w:val="none"/>
          <w:lang w:val="en-US" w:eastAsia="zh-CN"/>
        </w:rPr>
        <w:t>https://www.yangguangzhaocai.com</w:t>
      </w:r>
      <w:r>
        <w:rPr>
          <w:rFonts w:hint="eastAsia" w:ascii="仿宋" w:hAnsi="仿宋" w:eastAsia="仿宋" w:cs="宋体"/>
          <w:color w:val="auto"/>
          <w:sz w:val="24"/>
          <w:szCs w:val="24"/>
          <w:highlight w:val="none"/>
          <w:lang w:val="en-US" w:eastAsia="zh-CN"/>
        </w:rPr>
        <w:fldChar w:fldCharType="end"/>
      </w:r>
      <w:r>
        <w:rPr>
          <w:rFonts w:hint="eastAsia" w:ascii="仿宋" w:hAnsi="仿宋" w:eastAsia="仿宋" w:cs="宋体"/>
          <w:color w:val="auto"/>
          <w:sz w:val="24"/>
          <w:szCs w:val="24"/>
          <w:highlight w:val="none"/>
          <w:lang w:val="en-US" w:eastAsia="zh-CN"/>
        </w:rPr>
        <w:t>）点击“新用户注册”免费注册（具体操作详见---帮助中心---投标人注册、投标人线上支付下载文件）；</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4.2 </w:t>
      </w:r>
      <w:r>
        <w:rPr>
          <w:rFonts w:hint="eastAsia" w:ascii="仿宋" w:hAnsi="仿宋" w:eastAsia="仿宋" w:cs="宋体"/>
          <w:color w:val="auto"/>
          <w:sz w:val="24"/>
          <w:szCs w:val="24"/>
          <w:highlight w:val="none"/>
          <w:lang w:val="zh-CN" w:eastAsia="zh-CN"/>
        </w:rPr>
        <w:t>完成注册后</w:t>
      </w:r>
      <w:r>
        <w:rPr>
          <w:rFonts w:hint="eastAsia" w:ascii="仿宋" w:hAnsi="仿宋" w:eastAsia="仿宋" w:cs="宋体"/>
          <w:color w:val="auto"/>
          <w:sz w:val="24"/>
          <w:szCs w:val="24"/>
          <w:highlight w:val="none"/>
          <w:lang w:val="en-US" w:eastAsia="zh-CN"/>
        </w:rPr>
        <w:t>，请于</w:t>
      </w:r>
      <w:r>
        <w:rPr>
          <w:rFonts w:hint="eastAsia" w:ascii="仿宋" w:hAnsi="仿宋" w:eastAsia="仿宋" w:cs="宋体"/>
          <w:color w:val="auto"/>
          <w:sz w:val="24"/>
          <w:szCs w:val="24"/>
          <w:highlight w:val="none"/>
          <w:u w:val="single"/>
          <w:lang w:val="en-US" w:eastAsia="zh-CN"/>
        </w:rPr>
        <w:t>2026年8月12日至2026年8月18日</w:t>
      </w:r>
      <w:r>
        <w:rPr>
          <w:rFonts w:hint="eastAsia" w:ascii="仿宋" w:hAnsi="仿宋" w:eastAsia="仿宋" w:cs="宋体"/>
          <w:color w:val="auto"/>
          <w:sz w:val="24"/>
          <w:szCs w:val="24"/>
          <w:highlight w:val="none"/>
          <w:lang w:val="en-US" w:eastAsia="zh-CN"/>
        </w:rPr>
        <w:t xml:space="preserve"> 17:00 时止（北京时间），通过互联网访问电子交易平台，点击 “投标人”登录，在“公告信息—采购公告”菜单付费下载拟投标段招标文件，400元/份，售后不退。联合体响应的，由联合体牵头人下载招标文件。未按规定获取招标文件的，其投标文件将无法提交；</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4.3 </w:t>
      </w:r>
      <w:r>
        <w:rPr>
          <w:rFonts w:hint="eastAsia" w:ascii="仿宋" w:hAnsi="仿宋" w:eastAsia="仿宋" w:cs="宋体"/>
          <w:color w:val="auto"/>
          <w:sz w:val="24"/>
          <w:szCs w:val="24"/>
          <w:highlight w:val="none"/>
          <w:lang w:val="zh-CN" w:eastAsia="zh-CN"/>
        </w:rPr>
        <w:t>本项目为全流程电子标，供应商须办理CA数字证书（相关操作帮助详见：帮助中心---CA数字证书办理指南，CA办理咨询电话：027-87272733）</w:t>
      </w:r>
      <w:r>
        <w:rPr>
          <w:rFonts w:hint="eastAsia" w:ascii="仿宋" w:hAnsi="仿宋" w:eastAsia="仿宋" w:cs="宋体"/>
          <w:color w:val="auto"/>
          <w:sz w:val="24"/>
          <w:szCs w:val="24"/>
          <w:highlight w:val="none"/>
          <w:lang w:val="en-US" w:eastAsia="zh-CN"/>
        </w:rPr>
        <w:t>；</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4.4 </w:t>
      </w:r>
      <w:r>
        <w:rPr>
          <w:rFonts w:hint="eastAsia" w:ascii="仿宋" w:hAnsi="仿宋" w:eastAsia="仿宋" w:cs="宋体"/>
          <w:color w:val="auto"/>
          <w:sz w:val="24"/>
          <w:szCs w:val="24"/>
          <w:highlight w:val="none"/>
          <w:lang w:val="zh-CN" w:eastAsia="zh-CN"/>
        </w:rPr>
        <w:t>使用电子交易平台时遇到的各类操作问题</w:t>
      </w:r>
      <w:r>
        <w:rPr>
          <w:rFonts w:hint="eastAsia" w:ascii="仿宋" w:hAnsi="仿宋" w:eastAsia="仿宋" w:cs="宋体"/>
          <w:color w:val="auto"/>
          <w:sz w:val="24"/>
          <w:szCs w:val="24"/>
          <w:highlight w:val="none"/>
          <w:lang w:val="en-US" w:eastAsia="zh-CN"/>
        </w:rPr>
        <w:t>（登录、企业注册、文件下载制作标书等问题），可拨打咨询电话 0574-22762077（工作日:08:00-18:00；节假日:09:00-12:00，14:00-18:00）；</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eastAsia="zh-CN"/>
        </w:rPr>
      </w:pPr>
      <w:r>
        <w:rPr>
          <w:rFonts w:hint="eastAsia" w:ascii="仿宋" w:hAnsi="仿宋" w:eastAsia="仿宋" w:cs="宋体"/>
          <w:color w:val="auto"/>
          <w:sz w:val="24"/>
          <w:szCs w:val="24"/>
          <w:highlight w:val="none"/>
          <w:lang w:val="en-US" w:eastAsia="zh-CN"/>
        </w:rPr>
        <w:t xml:space="preserve">4.5 </w:t>
      </w:r>
      <w:r>
        <w:rPr>
          <w:rFonts w:hint="eastAsia" w:ascii="仿宋" w:hAnsi="仿宋" w:eastAsia="仿宋" w:cs="宋体"/>
          <w:color w:val="auto"/>
          <w:sz w:val="24"/>
          <w:szCs w:val="24"/>
          <w:highlight w:val="none"/>
          <w:lang w:val="zh-CN" w:eastAsia="zh-CN"/>
        </w:rPr>
        <w:t>注册企业信息将在工作日2小时左右审核，审核进度问题咨询电话：027-87272708；对本项目的具体业务问题，请向采购代理机构项目经理进行咨询（联系方式详见本公告）。</w:t>
      </w:r>
    </w:p>
    <w:p>
      <w:pPr>
        <w:pStyle w:val="3"/>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五、响应文件的递交</w:t>
      </w:r>
      <w:bookmarkEnd w:id="18"/>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en-US" w:eastAsia="zh-CN"/>
        </w:rPr>
        <w:t>5.1 响应</w:t>
      </w:r>
      <w:r>
        <w:rPr>
          <w:rFonts w:hint="eastAsia" w:ascii="仿宋" w:hAnsi="仿宋" w:eastAsia="仿宋" w:cs="宋体"/>
          <w:color w:val="auto"/>
          <w:sz w:val="24"/>
          <w:szCs w:val="24"/>
          <w:highlight w:val="none"/>
          <w:lang w:val="zh-CN"/>
        </w:rPr>
        <w:t>文件递交截止时间及开标时间：</w:t>
      </w:r>
      <w:r>
        <w:rPr>
          <w:rFonts w:hint="eastAsia" w:ascii="仿宋" w:hAnsi="仿宋" w:eastAsia="仿宋" w:cs="宋体"/>
          <w:color w:val="auto"/>
          <w:sz w:val="24"/>
          <w:szCs w:val="24"/>
          <w:highlight w:val="none"/>
          <w:u w:val="single"/>
          <w:lang w:val="en-US" w:eastAsia="zh-CN"/>
        </w:rPr>
        <w:t>2026</w:t>
      </w:r>
      <w:r>
        <w:rPr>
          <w:rFonts w:hint="eastAsia" w:ascii="仿宋" w:hAnsi="仿宋" w:eastAsia="仿宋" w:cs="宋体"/>
          <w:color w:val="auto"/>
          <w:sz w:val="24"/>
          <w:szCs w:val="24"/>
          <w:highlight w:val="none"/>
          <w:u w:val="single"/>
          <w:lang w:val="zh-CN"/>
        </w:rPr>
        <w:t>年</w:t>
      </w:r>
      <w:r>
        <w:rPr>
          <w:rFonts w:hint="eastAsia" w:ascii="仿宋" w:hAnsi="仿宋" w:eastAsia="仿宋" w:cs="宋体"/>
          <w:color w:val="auto"/>
          <w:sz w:val="24"/>
          <w:szCs w:val="24"/>
          <w:highlight w:val="none"/>
          <w:u w:val="single"/>
          <w:lang w:val="en-US" w:eastAsia="zh-CN"/>
        </w:rPr>
        <w:t>8</w:t>
      </w:r>
      <w:r>
        <w:rPr>
          <w:rFonts w:hint="eastAsia" w:ascii="仿宋" w:hAnsi="仿宋" w:eastAsia="仿宋" w:cs="宋体"/>
          <w:color w:val="auto"/>
          <w:sz w:val="24"/>
          <w:szCs w:val="24"/>
          <w:highlight w:val="none"/>
          <w:u w:val="single"/>
          <w:lang w:val="zh-CN"/>
        </w:rPr>
        <w:t>月</w:t>
      </w:r>
      <w:r>
        <w:rPr>
          <w:rFonts w:hint="eastAsia" w:ascii="仿宋" w:hAnsi="仿宋" w:eastAsia="仿宋" w:cs="宋体"/>
          <w:color w:val="auto"/>
          <w:sz w:val="24"/>
          <w:szCs w:val="24"/>
          <w:highlight w:val="none"/>
          <w:u w:val="single"/>
          <w:lang w:val="en-US" w:eastAsia="zh-CN"/>
        </w:rPr>
        <w:t>24</w:t>
      </w:r>
      <w:bookmarkStart w:id="237" w:name="_GoBack"/>
      <w:bookmarkEnd w:id="237"/>
      <w:r>
        <w:rPr>
          <w:rFonts w:hint="eastAsia" w:ascii="仿宋" w:hAnsi="仿宋" w:eastAsia="仿宋" w:cs="宋体"/>
          <w:color w:val="auto"/>
          <w:sz w:val="24"/>
          <w:szCs w:val="24"/>
          <w:highlight w:val="none"/>
          <w:u w:val="single"/>
          <w:lang w:val="zh-CN"/>
        </w:rPr>
        <w:t>日</w:t>
      </w:r>
      <w:r>
        <w:rPr>
          <w:rFonts w:hint="eastAsia" w:ascii="仿宋" w:hAnsi="仿宋" w:eastAsia="仿宋" w:cs="宋体"/>
          <w:color w:val="auto"/>
          <w:sz w:val="24"/>
          <w:szCs w:val="24"/>
          <w:highlight w:val="none"/>
          <w:u w:val="single"/>
          <w:lang w:val="en-US" w:eastAsia="zh-CN"/>
        </w:rPr>
        <w:t>14</w:t>
      </w:r>
      <w:r>
        <w:rPr>
          <w:rFonts w:hint="eastAsia" w:ascii="仿宋" w:hAnsi="仿宋" w:eastAsia="仿宋" w:cs="宋体"/>
          <w:color w:val="auto"/>
          <w:sz w:val="24"/>
          <w:szCs w:val="24"/>
          <w:highlight w:val="none"/>
          <w:u w:val="single"/>
          <w:lang w:val="zh-CN"/>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lang w:val="zh-CN"/>
        </w:rPr>
        <w:t>分</w:t>
      </w:r>
      <w:r>
        <w:rPr>
          <w:rFonts w:hint="eastAsia" w:ascii="仿宋" w:hAnsi="仿宋" w:eastAsia="仿宋" w:cs="宋体"/>
          <w:color w:val="auto"/>
          <w:sz w:val="24"/>
          <w:szCs w:val="24"/>
          <w:highlight w:val="none"/>
          <w:lang w:val="zh-CN"/>
        </w:rPr>
        <w:t>（北京时间）；</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en-US" w:eastAsia="zh-CN"/>
        </w:rPr>
        <w:t>5.2 供应商</w:t>
      </w:r>
      <w:r>
        <w:rPr>
          <w:rFonts w:hint="eastAsia" w:ascii="仿宋" w:hAnsi="仿宋" w:eastAsia="仿宋" w:cs="宋体"/>
          <w:color w:val="auto"/>
          <w:sz w:val="24"/>
          <w:szCs w:val="24"/>
          <w:highlight w:val="none"/>
          <w:lang w:val="zh-CN"/>
        </w:rPr>
        <w:t>应当在</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文件递交截止时间前，完成以下步骤：</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（1）通过互联网登录电子交易平台，选择所投标段上传加密的电子</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lang w:val="zh-CN"/>
        </w:rPr>
        <w:t>完成加密</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文件上传后，电子交易平台即时向</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lang w:val="zh-CN"/>
        </w:rPr>
        <w:t>发出电子签收凭证，递交时间以电子签收凭证载明的传输完成时间为准。</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（2）</w:t>
      </w:r>
      <w:r>
        <w:rPr>
          <w:rFonts w:hint="eastAsia" w:ascii="仿宋" w:hAnsi="仿宋" w:eastAsia="仿宋" w:cs="宋体"/>
          <w:color w:val="auto"/>
          <w:sz w:val="24"/>
          <w:szCs w:val="24"/>
          <w:highlight w:val="none"/>
          <w:lang w:val="en-US" w:eastAsia="zh-CN"/>
        </w:rPr>
        <w:t>比选</w:t>
      </w:r>
      <w:r>
        <w:rPr>
          <w:rFonts w:hint="eastAsia" w:ascii="仿宋" w:hAnsi="仿宋" w:eastAsia="仿宋" w:cs="宋体"/>
          <w:color w:val="auto"/>
          <w:sz w:val="24"/>
          <w:szCs w:val="24"/>
          <w:highlight w:val="none"/>
          <w:lang w:val="zh-CN"/>
        </w:rPr>
        <w:t>文件规定同时接收纸质版</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lang w:val="zh-CN"/>
        </w:rPr>
        <w:t>应在</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文件递交截止时间</w:t>
      </w:r>
      <w:r>
        <w:rPr>
          <w:rFonts w:hint="eastAsia" w:ascii="仿宋" w:hAnsi="仿宋" w:eastAsia="仿宋" w:cs="宋体"/>
          <w:color w:val="auto"/>
          <w:sz w:val="24"/>
          <w:szCs w:val="24"/>
          <w:highlight w:val="none"/>
        </w:rPr>
        <w:t>前将</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rPr>
        <w:t>文件密封快递</w:t>
      </w:r>
      <w:r>
        <w:rPr>
          <w:rFonts w:hint="eastAsia" w:ascii="仿宋" w:hAnsi="仿宋" w:eastAsia="仿宋" w:cs="宋体"/>
          <w:color w:val="auto"/>
          <w:sz w:val="24"/>
          <w:szCs w:val="24"/>
          <w:highlight w:val="none"/>
          <w:lang w:val="en-US" w:eastAsia="zh-CN"/>
        </w:rPr>
        <w:t>或提前现场递交</w:t>
      </w:r>
      <w:r>
        <w:rPr>
          <w:rFonts w:hint="eastAsia" w:ascii="仿宋" w:hAnsi="仿宋" w:eastAsia="仿宋" w:cs="宋体"/>
          <w:color w:val="auto"/>
          <w:sz w:val="24"/>
          <w:szCs w:val="24"/>
          <w:highlight w:val="none"/>
        </w:rPr>
        <w:t>至开标地点</w:t>
      </w:r>
      <w:r>
        <w:rPr>
          <w:rFonts w:hint="eastAsia" w:ascii="仿宋" w:hAnsi="仿宋" w:eastAsia="仿宋" w:cs="宋体"/>
          <w:color w:val="auto"/>
          <w:sz w:val="24"/>
          <w:szCs w:val="24"/>
          <w:highlight w:val="none"/>
          <w:lang w:val="zh-CN"/>
        </w:rPr>
        <w:t>。递交纸质</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文件地址</w:t>
      </w:r>
      <w:r>
        <w:rPr>
          <w:rFonts w:hint="eastAsia" w:ascii="仿宋" w:hAnsi="仿宋" w:eastAsia="仿宋" w:cs="宋体"/>
          <w:color w:val="auto"/>
          <w:sz w:val="24"/>
          <w:szCs w:val="24"/>
          <w:highlight w:val="none"/>
          <w:lang w:val="en-US" w:eastAsia="zh-CN"/>
        </w:rPr>
        <w:t>/邮寄地址</w:t>
      </w:r>
      <w:r>
        <w:rPr>
          <w:rFonts w:hint="eastAsia" w:ascii="仿宋" w:hAnsi="仿宋" w:eastAsia="仿宋" w:cs="宋体"/>
          <w:color w:val="auto"/>
          <w:sz w:val="24"/>
          <w:szCs w:val="24"/>
          <w:highlight w:val="none"/>
          <w:lang w:val="zh-CN"/>
        </w:rPr>
        <w:t>：</w:t>
      </w:r>
      <w:r>
        <w:rPr>
          <w:rFonts w:hint="eastAsia" w:ascii="仿宋" w:hAnsi="仿宋" w:eastAsia="仿宋" w:cs="宋体"/>
          <w:color w:val="auto"/>
          <w:sz w:val="24"/>
          <w:szCs w:val="24"/>
          <w:highlight w:val="none"/>
          <w:lang w:val="en-US" w:eastAsia="zh-CN"/>
        </w:rPr>
        <w:t>恩施市金龙大道金子寨小区2幢1单元201室，张工，027-87272718</w:t>
      </w:r>
      <w:r>
        <w:rPr>
          <w:rFonts w:hint="eastAsia" w:ascii="仿宋" w:hAnsi="仿宋" w:eastAsia="仿宋" w:cs="宋体"/>
          <w:color w:val="auto"/>
          <w:sz w:val="24"/>
          <w:szCs w:val="24"/>
          <w:highlight w:val="none"/>
          <w:lang w:val="zh-CN" w:eastAsia="zh-CN"/>
        </w:rPr>
        <w:t>。</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en-US" w:eastAsia="zh-CN"/>
        </w:rPr>
        <w:t xml:space="preserve">5.3 </w:t>
      </w:r>
      <w:r>
        <w:rPr>
          <w:rFonts w:hint="eastAsia" w:ascii="仿宋" w:hAnsi="仿宋" w:eastAsia="仿宋" w:cs="宋体"/>
          <w:color w:val="auto"/>
          <w:sz w:val="24"/>
          <w:szCs w:val="24"/>
          <w:highlight w:val="none"/>
          <w:lang w:val="zh-CN"/>
        </w:rPr>
        <w:t>逾期未完成上传加密电子</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文件或未递交纸质版</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文件（如需）的，采购代理机构（电子交易平台）将视为未递交投标文件。</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en-US" w:eastAsia="zh-CN"/>
        </w:rPr>
        <w:t xml:space="preserve">5.4 </w:t>
      </w:r>
      <w:r>
        <w:rPr>
          <w:rFonts w:hint="eastAsia" w:ascii="仿宋" w:hAnsi="仿宋" w:eastAsia="仿宋" w:cs="宋体"/>
          <w:color w:val="auto"/>
          <w:sz w:val="24"/>
          <w:szCs w:val="24"/>
          <w:highlight w:val="none"/>
          <w:lang w:val="zh-CN"/>
        </w:rPr>
        <w:t>凡是购买了</w:t>
      </w:r>
      <w:r>
        <w:rPr>
          <w:rFonts w:hint="eastAsia" w:ascii="仿宋" w:hAnsi="仿宋" w:eastAsia="仿宋" w:cs="宋体"/>
          <w:color w:val="auto"/>
          <w:sz w:val="24"/>
          <w:szCs w:val="24"/>
          <w:highlight w:val="none"/>
          <w:lang w:val="en-US" w:eastAsia="zh-CN"/>
        </w:rPr>
        <w:t>比选</w:t>
      </w:r>
      <w:r>
        <w:rPr>
          <w:rFonts w:hint="eastAsia" w:ascii="仿宋" w:hAnsi="仿宋" w:eastAsia="仿宋" w:cs="宋体"/>
          <w:color w:val="auto"/>
          <w:sz w:val="24"/>
          <w:szCs w:val="24"/>
          <w:highlight w:val="none"/>
          <w:lang w:val="zh-CN"/>
        </w:rPr>
        <w:t>文件但决定不参加</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lang w:val="zh-CN"/>
        </w:rPr>
        <w:t>的潜在</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lang w:val="zh-CN"/>
        </w:rPr>
        <w:t>，请在开标截止_3_日前以书面形式通知</w:t>
      </w:r>
      <w:r>
        <w:rPr>
          <w:rFonts w:hint="eastAsia" w:ascii="仿宋" w:hAnsi="仿宋" w:eastAsia="仿宋" w:cs="宋体"/>
          <w:color w:val="auto"/>
          <w:sz w:val="24"/>
          <w:szCs w:val="24"/>
          <w:highlight w:val="none"/>
          <w:lang w:val="en-US" w:eastAsia="zh-CN"/>
        </w:rPr>
        <w:t>采购</w:t>
      </w:r>
      <w:r>
        <w:rPr>
          <w:rFonts w:hint="eastAsia" w:ascii="仿宋" w:hAnsi="仿宋" w:eastAsia="仿宋" w:cs="宋体"/>
          <w:color w:val="auto"/>
          <w:sz w:val="24"/>
          <w:szCs w:val="24"/>
          <w:highlight w:val="none"/>
          <w:lang w:val="zh-CN"/>
        </w:rPr>
        <w:t>代理机构。</w:t>
      </w:r>
    </w:p>
    <w:p>
      <w:pPr>
        <w:pageBreakBefore w:val="0"/>
        <w:widowControl w:val="0"/>
        <w:kinsoku/>
        <w:overflowPunct/>
        <w:topLinePunct w:val="0"/>
        <w:autoSpaceDE/>
        <w:autoSpaceDN/>
        <w:bidi w:val="0"/>
        <w:spacing w:line="360" w:lineRule="auto"/>
        <w:ind w:firstLine="482" w:firstLineChars="200"/>
        <w:textAlignment w:val="baseline"/>
        <w:rPr>
          <w:rFonts w:hint="eastAsia" w:ascii="仿宋" w:hAnsi="仿宋" w:eastAsia="仿宋" w:cs="宋体"/>
          <w:b/>
          <w:bCs/>
          <w:color w:val="auto"/>
          <w:sz w:val="24"/>
          <w:szCs w:val="24"/>
          <w:highlight w:val="none"/>
          <w:lang w:val="zh-CN"/>
        </w:rPr>
      </w:pPr>
      <w:r>
        <w:rPr>
          <w:rFonts w:hint="eastAsia" w:ascii="仿宋" w:hAnsi="仿宋" w:eastAsia="仿宋" w:cs="宋体"/>
          <w:b/>
          <w:bCs/>
          <w:color w:val="auto"/>
          <w:sz w:val="24"/>
          <w:szCs w:val="24"/>
          <w:highlight w:val="none"/>
        </w:rPr>
        <w:t>说明：</w:t>
      </w:r>
      <w:r>
        <w:rPr>
          <w:rFonts w:hint="eastAsia" w:ascii="仿宋" w:hAnsi="仿宋" w:eastAsia="仿宋" w:cs="宋体"/>
          <w:b/>
          <w:bCs/>
          <w:color w:val="auto"/>
          <w:sz w:val="24"/>
          <w:szCs w:val="24"/>
          <w:highlight w:val="none"/>
          <w:lang w:val="en-US" w:eastAsia="zh-CN"/>
        </w:rPr>
        <w:t>如</w:t>
      </w:r>
      <w:r>
        <w:rPr>
          <w:rFonts w:hint="eastAsia" w:ascii="仿宋" w:hAnsi="仿宋" w:eastAsia="仿宋" w:cs="宋体"/>
          <w:b/>
          <w:bCs/>
          <w:color w:val="auto"/>
          <w:sz w:val="24"/>
          <w:szCs w:val="24"/>
          <w:highlight w:val="none"/>
        </w:rPr>
        <w:t>采购文件要求</w:t>
      </w:r>
      <w:r>
        <w:rPr>
          <w:rFonts w:hint="eastAsia" w:ascii="仿宋" w:hAnsi="仿宋" w:eastAsia="仿宋" w:cs="宋体"/>
          <w:b/>
          <w:bCs/>
          <w:color w:val="auto"/>
          <w:sz w:val="24"/>
          <w:szCs w:val="24"/>
          <w:highlight w:val="none"/>
          <w:lang w:val="en-US" w:eastAsia="zh-CN"/>
        </w:rPr>
        <w:t>供应商</w:t>
      </w:r>
      <w:r>
        <w:rPr>
          <w:rFonts w:hint="eastAsia" w:ascii="仿宋" w:hAnsi="仿宋" w:eastAsia="仿宋" w:cs="宋体"/>
          <w:b/>
          <w:bCs/>
          <w:color w:val="auto"/>
          <w:sz w:val="24"/>
          <w:szCs w:val="24"/>
          <w:highlight w:val="none"/>
        </w:rPr>
        <w:t>现场递交</w:t>
      </w:r>
      <w:r>
        <w:rPr>
          <w:rFonts w:hint="eastAsia" w:ascii="仿宋" w:hAnsi="仿宋" w:eastAsia="仿宋" w:cs="宋体"/>
          <w:b/>
          <w:bCs/>
          <w:color w:val="auto"/>
          <w:sz w:val="24"/>
          <w:szCs w:val="24"/>
          <w:highlight w:val="none"/>
          <w:lang w:val="en-US" w:eastAsia="zh-CN"/>
        </w:rPr>
        <w:t>响应</w:t>
      </w:r>
      <w:r>
        <w:rPr>
          <w:rFonts w:hint="eastAsia" w:ascii="仿宋" w:hAnsi="仿宋" w:eastAsia="仿宋" w:cs="宋体"/>
          <w:b/>
          <w:bCs/>
          <w:color w:val="auto"/>
          <w:sz w:val="24"/>
          <w:szCs w:val="24"/>
          <w:highlight w:val="none"/>
        </w:rPr>
        <w:t>文件或样品的，</w:t>
      </w:r>
      <w:r>
        <w:rPr>
          <w:rFonts w:hint="eastAsia" w:ascii="仿宋" w:hAnsi="仿宋" w:eastAsia="仿宋" w:cs="宋体"/>
          <w:b/>
          <w:bCs/>
          <w:color w:val="auto"/>
          <w:sz w:val="24"/>
          <w:szCs w:val="24"/>
          <w:highlight w:val="none"/>
          <w:lang w:val="en-US" w:eastAsia="zh-CN"/>
        </w:rPr>
        <w:t>供应商</w:t>
      </w:r>
      <w:r>
        <w:rPr>
          <w:rFonts w:hint="eastAsia" w:ascii="仿宋" w:hAnsi="仿宋" w:eastAsia="仿宋" w:cs="宋体"/>
          <w:b/>
          <w:bCs/>
          <w:color w:val="auto"/>
          <w:sz w:val="24"/>
          <w:szCs w:val="24"/>
          <w:highlight w:val="none"/>
        </w:rPr>
        <w:t>应合理安排行程以保证按时抵达开标场所并递交</w:t>
      </w:r>
      <w:r>
        <w:rPr>
          <w:rFonts w:hint="eastAsia" w:ascii="仿宋" w:hAnsi="仿宋" w:eastAsia="仿宋" w:cs="宋体"/>
          <w:b/>
          <w:bCs/>
          <w:color w:val="auto"/>
          <w:sz w:val="24"/>
          <w:szCs w:val="24"/>
          <w:highlight w:val="none"/>
          <w:lang w:val="en-US" w:eastAsia="zh-CN"/>
        </w:rPr>
        <w:t>响应</w:t>
      </w:r>
      <w:r>
        <w:rPr>
          <w:rFonts w:hint="eastAsia" w:ascii="仿宋" w:hAnsi="仿宋" w:eastAsia="仿宋" w:cs="宋体"/>
          <w:b/>
          <w:bCs/>
          <w:color w:val="auto"/>
          <w:sz w:val="24"/>
          <w:szCs w:val="24"/>
          <w:highlight w:val="none"/>
        </w:rPr>
        <w:t>文件或样品。</w:t>
      </w:r>
    </w:p>
    <w:p>
      <w:pPr>
        <w:pageBreakBefore w:val="0"/>
        <w:widowControl w:val="0"/>
        <w:kinsoku/>
        <w:overflowPunct/>
        <w:topLinePunct w:val="0"/>
        <w:autoSpaceDE/>
        <w:autoSpaceDN/>
        <w:bidi w:val="0"/>
        <w:spacing w:line="440" w:lineRule="exact"/>
        <w:ind w:firstLine="482" w:firstLineChars="200"/>
        <w:textAlignment w:val="baseline"/>
        <w:rPr>
          <w:rFonts w:ascii="仿宋" w:hAnsi="仿宋" w:eastAsia="仿宋" w:cs="宋体"/>
          <w:b/>
          <w:bCs/>
          <w:color w:val="auto"/>
          <w:sz w:val="24"/>
          <w:szCs w:val="24"/>
          <w:highlight w:val="none"/>
          <w:lang w:val="zh-CN"/>
        </w:rPr>
      </w:pPr>
      <w:r>
        <w:rPr>
          <w:rFonts w:hint="eastAsia" w:ascii="仿宋" w:hAnsi="仿宋" w:eastAsia="仿宋" w:cs="宋体"/>
          <w:b/>
          <w:bCs/>
          <w:color w:val="auto"/>
          <w:sz w:val="24"/>
          <w:szCs w:val="24"/>
          <w:highlight w:val="none"/>
        </w:rPr>
        <w:t>5</w:t>
      </w:r>
      <w:r>
        <w:rPr>
          <w:rFonts w:hint="eastAsia" w:ascii="仿宋" w:hAnsi="仿宋" w:eastAsia="仿宋" w:cs="宋体"/>
          <w:b/>
          <w:bCs/>
          <w:color w:val="auto"/>
          <w:sz w:val="24"/>
          <w:szCs w:val="24"/>
          <w:highlight w:val="none"/>
          <w:lang w:val="zh-CN"/>
        </w:rPr>
        <w:t>.</w:t>
      </w:r>
      <w:r>
        <w:rPr>
          <w:rFonts w:hint="eastAsia" w:ascii="仿宋" w:hAnsi="仿宋" w:eastAsia="仿宋" w:cs="宋体"/>
          <w:b/>
          <w:bCs/>
          <w:color w:val="auto"/>
          <w:sz w:val="24"/>
          <w:szCs w:val="24"/>
          <w:highlight w:val="none"/>
          <w:lang w:val="en-US" w:eastAsia="zh-CN"/>
        </w:rPr>
        <w:t>5</w:t>
      </w:r>
      <w:r>
        <w:rPr>
          <w:rFonts w:hint="eastAsia" w:ascii="仿宋" w:hAnsi="仿宋" w:eastAsia="仿宋" w:cs="宋体"/>
          <w:b/>
          <w:bCs/>
          <w:color w:val="auto"/>
          <w:sz w:val="24"/>
          <w:szCs w:val="24"/>
          <w:highlight w:val="none"/>
          <w:lang w:val="zh-CN"/>
        </w:rPr>
        <w:t>凡具备资格且对本项目感兴趣的</w:t>
      </w:r>
      <w:r>
        <w:rPr>
          <w:rFonts w:hint="eastAsia" w:ascii="仿宋" w:hAnsi="仿宋" w:eastAsia="仿宋" w:cs="宋体"/>
          <w:b/>
          <w:bCs/>
          <w:color w:val="auto"/>
          <w:sz w:val="24"/>
          <w:szCs w:val="24"/>
          <w:highlight w:val="none"/>
          <w:lang w:val="en-US" w:eastAsia="zh-CN"/>
        </w:rPr>
        <w:t>供应商</w:t>
      </w:r>
      <w:r>
        <w:rPr>
          <w:rFonts w:hint="eastAsia" w:ascii="仿宋" w:hAnsi="仿宋" w:eastAsia="仿宋" w:cs="宋体"/>
          <w:b/>
          <w:bCs/>
          <w:color w:val="auto"/>
          <w:sz w:val="24"/>
          <w:szCs w:val="24"/>
          <w:highlight w:val="none"/>
          <w:lang w:val="zh-CN"/>
        </w:rPr>
        <w:t>，同时须登录“人保e采”外网门户（https://ec.picc.com/）申请注册入库，审核通过后进行项目报名。“人保e采”管理系统供应商注册入库详情可在登录“人保e采”外网门户后查阅《人保e采管理系统供应商入库操作指南》。</w:t>
      </w:r>
    </w:p>
    <w:p>
      <w:pPr>
        <w:pStyle w:val="3"/>
        <w:ind w:firstLine="0" w:firstLineChars="0"/>
        <w:jc w:val="left"/>
        <w:rPr>
          <w:rFonts w:hint="eastAsia" w:ascii="仿宋" w:hAnsi="仿宋" w:eastAsia="仿宋" w:cs="仿宋"/>
          <w:color w:val="auto"/>
          <w:sz w:val="24"/>
          <w:szCs w:val="24"/>
          <w:highlight w:val="none"/>
        </w:rPr>
      </w:pPr>
      <w:bookmarkStart w:id="19" w:name="_Toc8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9"/>
    </w:p>
    <w:p>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宋体"/>
          <w:color w:val="auto"/>
          <w:sz w:val="24"/>
          <w:highlight w:val="none"/>
          <w:lang w:val="en-US" w:eastAsia="zh-CN"/>
        </w:rPr>
        <w:t>比选</w:t>
      </w:r>
      <w:r>
        <w:rPr>
          <w:rFonts w:hint="eastAsia" w:ascii="仿宋" w:hAnsi="仿宋" w:eastAsia="仿宋" w:cs="仿宋"/>
          <w:color w:val="auto"/>
          <w:sz w:val="24"/>
          <w:highlight w:val="none"/>
        </w:rPr>
        <w:t>公告同时在</w:t>
      </w:r>
      <w:r>
        <w:rPr>
          <w:rFonts w:hint="eastAsia" w:ascii="仿宋" w:hAnsi="仿宋" w:eastAsia="仿宋" w:cs="宋体"/>
          <w:color w:val="auto"/>
          <w:sz w:val="24"/>
          <w:highlight w:val="none"/>
          <w:u w:val="single"/>
        </w:rPr>
        <w:t>“人保e采”外网门户（https://ec.picc.com/）</w:t>
      </w:r>
      <w:r>
        <w:rPr>
          <w:rFonts w:hint="eastAsia" w:ascii="Times New Roman" w:hAnsi="Times New Roman" w:eastAsia="仿宋" w:cs="宋体"/>
          <w:color w:val="auto"/>
          <w:sz w:val="24"/>
          <w:highlight w:val="none"/>
          <w:u w:val="single"/>
          <w:lang w:eastAsia="zh-CN"/>
        </w:rPr>
        <w:t>、</w:t>
      </w:r>
      <w:r>
        <w:rPr>
          <w:rFonts w:hint="eastAsia" w:ascii="仿宋" w:hAnsi="仿宋" w:eastAsia="仿宋" w:cs="宋体"/>
          <w:color w:val="auto"/>
          <w:sz w:val="24"/>
          <w:highlight w:val="none"/>
          <w:u w:val="single"/>
          <w:lang w:eastAsia="zh-CN"/>
        </w:rPr>
        <w:t>中国招标投标公共服务平台、湖北国华项目管理咨询有限公司官网、阳光招采电子招标投标交易平台（https://www.yangguangzhaocai.com）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。对于非法转载、篡改采购公告信息的组织或个人，采购人保留追究其法律责任的权利。</w:t>
      </w:r>
    </w:p>
    <w:p>
      <w:pPr>
        <w:pStyle w:val="3"/>
        <w:ind w:firstLine="0" w:firstLineChars="0"/>
        <w:jc w:val="left"/>
        <w:rPr>
          <w:rFonts w:hint="eastAsia" w:ascii="仿宋" w:hAnsi="仿宋" w:eastAsia="仿宋" w:cs="仿宋"/>
          <w:color w:val="auto"/>
          <w:sz w:val="24"/>
          <w:szCs w:val="24"/>
          <w:highlight w:val="none"/>
        </w:rPr>
      </w:pPr>
      <w:bookmarkStart w:id="20" w:name="_Toc3059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20"/>
    </w:p>
    <w:bookmarkEnd w:id="7"/>
    <w:bookmarkEnd w:id="8"/>
    <w:bookmarkEnd w:id="9"/>
    <w:bookmarkEnd w:id="10"/>
    <w:bookmarkEnd w:id="11"/>
    <w:bookmarkEnd w:id="12"/>
    <w:bookmarkEnd w:id="13"/>
    <w:p>
      <w:pPr>
        <w:pageBreakBefore w:val="0"/>
        <w:widowControl w:val="0"/>
        <w:tabs>
          <w:tab w:val="left" w:pos="-105"/>
          <w:tab w:val="left" w:pos="420"/>
          <w:tab w:val="left" w:pos="630"/>
          <w:tab w:val="left" w:pos="1155"/>
          <w:tab w:val="left" w:pos="1890"/>
          <w:tab w:val="left" w:pos="3150"/>
          <w:tab w:val="left" w:pos="3780"/>
        </w:tabs>
        <w:kinsoku/>
        <w:overflowPunct/>
        <w:topLinePunct w:val="0"/>
        <w:autoSpaceDE/>
        <w:autoSpaceDN/>
        <w:bidi w:val="0"/>
        <w:spacing w:line="440" w:lineRule="exact"/>
        <w:ind w:firstLine="422" w:firstLineChars="175"/>
        <w:jc w:val="left"/>
        <w:rPr>
          <w:rFonts w:hint="eastAsia" w:ascii="仿宋" w:hAnsi="仿宋" w:eastAsia="仿宋" w:cs="仿宋"/>
          <w:b/>
          <w:bCs/>
          <w:color w:val="auto"/>
          <w:sz w:val="24"/>
          <w:highlight w:val="none"/>
          <w:lang w:eastAsia="zh-CN"/>
        </w:rPr>
      </w:pPr>
      <w:bookmarkStart w:id="21" w:name="_Toc2797"/>
      <w:bookmarkStart w:id="22" w:name="_Toc17103"/>
      <w:bookmarkStart w:id="23" w:name="_Toc287600116"/>
      <w:bookmarkStart w:id="24" w:name="_Toc517281814"/>
      <w:bookmarkStart w:id="25" w:name="_Toc23165"/>
      <w:bookmarkStart w:id="26" w:name="_Toc1895"/>
      <w:bookmarkStart w:id="27" w:name="_Toc444891334"/>
      <w:r>
        <w:rPr>
          <w:rFonts w:hint="eastAsia" w:ascii="仿宋" w:hAnsi="仿宋" w:eastAsia="仿宋" w:cs="宋体"/>
          <w:b/>
          <w:color w:val="auto"/>
          <w:sz w:val="24"/>
          <w:szCs w:val="24"/>
          <w:highlight w:val="none"/>
          <w:lang w:val="en-US" w:eastAsia="zh-CN"/>
        </w:rPr>
        <w:t>采购</w:t>
      </w:r>
      <w:r>
        <w:rPr>
          <w:rFonts w:hint="eastAsia" w:ascii="仿宋" w:hAnsi="仿宋" w:eastAsia="仿宋" w:cs="宋体"/>
          <w:b/>
          <w:color w:val="auto"/>
          <w:sz w:val="24"/>
          <w:szCs w:val="24"/>
          <w:highlight w:val="none"/>
        </w:rPr>
        <w:t>人：</w:t>
      </w:r>
      <w:r>
        <w:rPr>
          <w:rFonts w:hint="eastAsia" w:ascii="仿宋" w:hAnsi="仿宋" w:eastAsia="仿宋" w:cs="仿宋"/>
          <w:b/>
          <w:bCs/>
          <w:color w:val="auto"/>
          <w:sz w:val="24"/>
          <w:highlight w:val="none"/>
          <w:lang w:eastAsia="zh-CN"/>
        </w:rPr>
        <w:t>中国人民财产保险股份有限公司恩施州分公司</w:t>
      </w:r>
    </w:p>
    <w:p>
      <w:pPr>
        <w:pageBreakBefore w:val="0"/>
        <w:widowControl w:val="0"/>
        <w:kinsoku/>
        <w:overflowPunct/>
        <w:topLinePunct w:val="0"/>
        <w:autoSpaceDE/>
        <w:autoSpaceDN/>
        <w:bidi w:val="0"/>
        <w:spacing w:line="440" w:lineRule="exact"/>
        <w:ind w:firstLine="420" w:firstLineChars="175"/>
        <w:jc w:val="left"/>
        <w:rPr>
          <w:rFonts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湖北省恩施市施州大道50号</w:t>
      </w:r>
    </w:p>
    <w:p>
      <w:pPr>
        <w:pageBreakBefore w:val="0"/>
        <w:widowControl w:val="0"/>
        <w:kinsoku/>
        <w:overflowPunct/>
        <w:topLinePunct w:val="0"/>
        <w:autoSpaceDE/>
        <w:autoSpaceDN/>
        <w:bidi w:val="0"/>
        <w:spacing w:line="440" w:lineRule="exact"/>
        <w:ind w:firstLine="482" w:firstLineChars="200"/>
        <w:textAlignment w:val="baseline"/>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lang w:val="en-US" w:eastAsia="zh-CN"/>
        </w:rPr>
        <w:t>采购</w:t>
      </w:r>
      <w:r>
        <w:rPr>
          <w:rFonts w:hint="eastAsia" w:ascii="仿宋" w:hAnsi="仿宋" w:eastAsia="仿宋" w:cs="宋体"/>
          <w:b/>
          <w:color w:val="auto"/>
          <w:sz w:val="24"/>
          <w:szCs w:val="24"/>
          <w:highlight w:val="none"/>
        </w:rPr>
        <w:t>代理机构：</w:t>
      </w:r>
      <w:r>
        <w:rPr>
          <w:rFonts w:hint="eastAsia" w:ascii="仿宋" w:hAnsi="仿宋" w:eastAsia="仿宋" w:cs="宋体"/>
          <w:b/>
          <w:color w:val="auto"/>
          <w:sz w:val="24"/>
          <w:szCs w:val="24"/>
          <w:highlight w:val="none"/>
          <w:lang w:val="zh-CN"/>
        </w:rPr>
        <w:t>湖北国华项目管理咨询有限公司</w:t>
      </w:r>
    </w:p>
    <w:p>
      <w:pPr>
        <w:pageBreakBefore w:val="0"/>
        <w:widowControl w:val="0"/>
        <w:kinsoku/>
        <w:overflowPunct/>
        <w:topLinePunct w:val="0"/>
        <w:autoSpaceDE/>
        <w:autoSpaceDN/>
        <w:bidi w:val="0"/>
        <w:spacing w:line="440" w:lineRule="exact"/>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val="zh-CN"/>
        </w:rPr>
        <w:t>武汉市武昌区中北路109号中铁1818中心10楼</w:t>
      </w:r>
    </w:p>
    <w:p>
      <w:pPr>
        <w:pageBreakBefore w:val="0"/>
        <w:widowControl w:val="0"/>
        <w:kinsoku/>
        <w:overflowPunct/>
        <w:topLinePunct w:val="0"/>
        <w:autoSpaceDE/>
        <w:autoSpaceDN/>
        <w:bidi w:val="0"/>
        <w:spacing w:line="440" w:lineRule="exact"/>
        <w:ind w:firstLine="480" w:firstLineChars="200"/>
        <w:textAlignment w:val="baseline"/>
        <w:rPr>
          <w:rFonts w:ascii="仿宋" w:hAnsi="仿宋" w:eastAsia="仿宋" w:cs="宋体"/>
          <w:color w:val="auto"/>
          <w:sz w:val="24"/>
          <w:szCs w:val="24"/>
          <w:highlight w:val="none"/>
        </w:rPr>
      </w:pPr>
      <w:bookmarkStart w:id="28" w:name="_Hlk69457004"/>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张亚然</w:t>
      </w:r>
      <w:r>
        <w:rPr>
          <w:rFonts w:hint="eastAsia" w:ascii="仿宋" w:hAnsi="仿宋" w:eastAsia="仿宋" w:cs="宋体"/>
          <w:color w:val="auto"/>
          <w:sz w:val="24"/>
          <w:szCs w:val="24"/>
          <w:highlight w:val="none"/>
          <w:lang w:val="zh-CN"/>
        </w:rPr>
        <w:t>、</w:t>
      </w:r>
      <w:r>
        <w:rPr>
          <w:rFonts w:hint="eastAsia" w:ascii="仿宋" w:hAnsi="仿宋" w:eastAsia="仿宋" w:cs="宋体"/>
          <w:color w:val="auto"/>
          <w:sz w:val="24"/>
          <w:szCs w:val="24"/>
          <w:highlight w:val="none"/>
          <w:lang w:val="en-US" w:eastAsia="zh-CN"/>
        </w:rPr>
        <w:t>汪洋、</w:t>
      </w:r>
      <w:r>
        <w:rPr>
          <w:rFonts w:hint="eastAsia" w:ascii="仿宋" w:hAnsi="仿宋" w:eastAsia="仿宋" w:cs="宋体"/>
          <w:color w:val="auto"/>
          <w:sz w:val="24"/>
          <w:szCs w:val="24"/>
          <w:highlight w:val="none"/>
          <w:lang w:val="zh-CN"/>
        </w:rPr>
        <w:t>汪树新</w:t>
      </w:r>
    </w:p>
    <w:p>
      <w:pPr>
        <w:pageBreakBefore w:val="0"/>
        <w:widowControl w:val="0"/>
        <w:kinsoku/>
        <w:overflowPunct/>
        <w:topLinePunct w:val="0"/>
        <w:autoSpaceDE/>
        <w:autoSpaceDN/>
        <w:bidi w:val="0"/>
        <w:spacing w:line="440" w:lineRule="exact"/>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电话：</w:t>
      </w:r>
      <w:r>
        <w:rPr>
          <w:rFonts w:hint="eastAsia" w:ascii="仿宋" w:hAnsi="仿宋" w:eastAsia="仿宋" w:cs="宋体"/>
          <w:color w:val="auto"/>
          <w:sz w:val="24"/>
          <w:szCs w:val="24"/>
          <w:highlight w:val="none"/>
          <w:lang w:val="zh-CN"/>
        </w:rPr>
        <w:t>027-87272718</w:t>
      </w:r>
    </w:p>
    <w:p>
      <w:pPr>
        <w:pageBreakBefore w:val="0"/>
        <w:widowControl w:val="0"/>
        <w:kinsoku/>
        <w:overflowPunct/>
        <w:topLinePunct w:val="0"/>
        <w:autoSpaceDE/>
        <w:autoSpaceDN/>
        <w:bidi w:val="0"/>
        <w:spacing w:line="440" w:lineRule="exact"/>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val="en-US" w:eastAsia="zh-CN"/>
        </w:rPr>
        <w:t>1781657448</w:t>
      </w:r>
      <w:r>
        <w:rPr>
          <w:rFonts w:hint="eastAsia" w:ascii="仿宋" w:hAnsi="仿宋" w:eastAsia="仿宋" w:cs="宋体"/>
          <w:color w:val="auto"/>
          <w:sz w:val="24"/>
          <w:szCs w:val="24"/>
          <w:highlight w:val="none"/>
          <w:lang w:val="zh-CN"/>
        </w:rPr>
        <w:t>@qq.com</w:t>
      </w:r>
    </w:p>
    <w:bookmarkEnd w:id="28"/>
    <w:p>
      <w:pPr>
        <w:pageBreakBefore w:val="0"/>
        <w:widowControl w:val="0"/>
        <w:kinsoku/>
        <w:overflowPunct/>
        <w:topLinePunct w:val="0"/>
        <w:autoSpaceDE/>
        <w:autoSpaceDN/>
        <w:bidi w:val="0"/>
        <w:spacing w:line="440" w:lineRule="exact"/>
        <w:ind w:firstLine="480" w:firstLineChars="200"/>
        <w:textAlignment w:val="baseline"/>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开户银行：</w:t>
      </w:r>
      <w:r>
        <w:rPr>
          <w:rFonts w:hint="eastAsia" w:ascii="仿宋" w:hAnsi="仿宋" w:eastAsia="仿宋" w:cs="宋体"/>
          <w:bCs/>
          <w:color w:val="auto"/>
          <w:sz w:val="24"/>
          <w:szCs w:val="24"/>
          <w:highlight w:val="none"/>
          <w:lang w:val="zh-CN"/>
        </w:rPr>
        <w:t>中国民生银行武汉分行中南支行</w:t>
      </w:r>
      <w:r>
        <w:rPr>
          <w:rFonts w:hint="eastAsia" w:ascii="仿宋" w:hAnsi="仿宋" w:eastAsia="仿宋" w:cs="宋体"/>
          <w:bCs/>
          <w:color w:val="auto"/>
          <w:sz w:val="24"/>
          <w:szCs w:val="24"/>
          <w:highlight w:val="none"/>
        </w:rPr>
        <w:t xml:space="preserve">  </w:t>
      </w:r>
    </w:p>
    <w:p>
      <w:pPr>
        <w:pageBreakBefore w:val="0"/>
        <w:widowControl w:val="0"/>
        <w:kinsoku/>
        <w:overflowPunct/>
        <w:topLinePunct w:val="0"/>
        <w:autoSpaceDE/>
        <w:autoSpaceDN/>
        <w:bidi w:val="0"/>
        <w:spacing w:line="440" w:lineRule="exact"/>
        <w:ind w:firstLine="480" w:firstLineChars="200"/>
        <w:textAlignment w:val="baseline"/>
        <w:rPr>
          <w:rFonts w:hint="eastAsia" w:ascii="仿宋" w:hAnsi="仿宋" w:eastAsia="仿宋" w:cs="宋体"/>
          <w:bCs/>
          <w:color w:val="auto"/>
          <w:sz w:val="24"/>
          <w:szCs w:val="24"/>
          <w:highlight w:val="none"/>
          <w:lang w:val="zh-CN"/>
        </w:rPr>
      </w:pPr>
      <w:r>
        <w:rPr>
          <w:rFonts w:hint="eastAsia" w:ascii="仿宋" w:hAnsi="仿宋" w:eastAsia="仿宋" w:cs="宋体"/>
          <w:bCs/>
          <w:color w:val="auto"/>
          <w:sz w:val="24"/>
          <w:szCs w:val="24"/>
          <w:highlight w:val="none"/>
        </w:rPr>
        <w:t>账号：</w:t>
      </w:r>
      <w:r>
        <w:rPr>
          <w:rFonts w:hint="eastAsia" w:ascii="仿宋" w:hAnsi="仿宋" w:eastAsia="仿宋" w:cs="宋体"/>
          <w:bCs/>
          <w:color w:val="auto"/>
          <w:sz w:val="24"/>
          <w:szCs w:val="24"/>
          <w:highlight w:val="none"/>
          <w:lang w:val="zh-CN"/>
        </w:rPr>
        <w:t xml:space="preserve">0505 0142 1000 5225 </w:t>
      </w:r>
    </w:p>
    <w:p>
      <w:pPr>
        <w:pStyle w:val="17"/>
        <w:rPr>
          <w:color w:val="auto"/>
          <w:highlight w:val="none"/>
        </w:rPr>
      </w:pPr>
    </w:p>
    <w:p>
      <w:pPr>
        <w:pageBreakBefore w:val="0"/>
        <w:widowControl w:val="0"/>
        <w:kinsoku/>
        <w:overflowPunct/>
        <w:topLinePunct w:val="0"/>
        <w:autoSpaceDE/>
        <w:autoSpaceDN/>
        <w:bidi w:val="0"/>
        <w:spacing w:line="440" w:lineRule="exact"/>
        <w:ind w:firstLine="480" w:firstLineChars="200"/>
        <w:jc w:val="right"/>
        <w:textAlignment w:val="baseline"/>
        <w:rPr>
          <w:rFonts w:hint="eastAsia" w:ascii="Times New Roman" w:hAnsi="Times New Roman" w:eastAsia="仿宋" w:cs="宋体"/>
          <w:color w:val="auto"/>
          <w:sz w:val="24"/>
          <w:szCs w:val="24"/>
          <w:highlight w:val="none"/>
          <w:lang w:eastAsia="zh-CN"/>
        </w:rPr>
      </w:pPr>
      <w:r>
        <w:rPr>
          <w:rFonts w:hint="eastAsia" w:ascii="Times New Roman" w:hAnsi="Times New Roman" w:eastAsia="仿宋" w:cs="宋体"/>
          <w:color w:val="auto"/>
          <w:sz w:val="24"/>
          <w:szCs w:val="24"/>
          <w:highlight w:val="none"/>
          <w:lang w:val="en-US" w:eastAsia="zh-CN"/>
        </w:rPr>
        <w:t>采购</w:t>
      </w:r>
      <w:r>
        <w:rPr>
          <w:rFonts w:hint="eastAsia" w:ascii="Times New Roman" w:hAnsi="Times New Roman" w:eastAsia="仿宋" w:cs="宋体"/>
          <w:color w:val="auto"/>
          <w:sz w:val="24"/>
          <w:szCs w:val="24"/>
          <w:highlight w:val="none"/>
        </w:rPr>
        <w:t>人：</w:t>
      </w:r>
      <w:r>
        <w:rPr>
          <w:rFonts w:hint="eastAsia" w:eastAsia="仿宋" w:cs="宋体"/>
          <w:color w:val="auto"/>
          <w:sz w:val="24"/>
          <w:szCs w:val="24"/>
          <w:highlight w:val="none"/>
          <w:lang w:val="hr-HR" w:eastAsia="zh-CN"/>
        </w:rPr>
        <w:t>中国人民财产保险股份有限公司恩施州分公司</w:t>
      </w:r>
    </w:p>
    <w:p>
      <w:pPr>
        <w:pageBreakBefore w:val="0"/>
        <w:widowControl w:val="0"/>
        <w:kinsoku/>
        <w:overflowPunct/>
        <w:topLinePunct w:val="0"/>
        <w:autoSpaceDE/>
        <w:autoSpaceDN/>
        <w:bidi w:val="0"/>
        <w:spacing w:line="440" w:lineRule="exact"/>
        <w:ind w:firstLine="480" w:firstLineChars="200"/>
        <w:jc w:val="right"/>
        <w:textAlignment w:val="baseline"/>
        <w:rPr>
          <w:rFonts w:ascii="Times New Roman" w:hAnsi="Times New Roman" w:eastAsia="仿宋" w:cs="宋体"/>
          <w:color w:val="auto"/>
          <w:sz w:val="24"/>
          <w:szCs w:val="24"/>
          <w:highlight w:val="none"/>
        </w:rPr>
      </w:pPr>
      <w:r>
        <w:rPr>
          <w:rFonts w:hint="eastAsia" w:ascii="Times New Roman" w:hAnsi="Times New Roman" w:eastAsia="仿宋" w:cs="宋体"/>
          <w:color w:val="auto"/>
          <w:sz w:val="24"/>
          <w:szCs w:val="24"/>
          <w:highlight w:val="none"/>
          <w:lang w:val="en-US" w:eastAsia="zh-CN"/>
        </w:rPr>
        <w:t>采购</w:t>
      </w:r>
      <w:r>
        <w:rPr>
          <w:rFonts w:hint="eastAsia" w:ascii="Times New Roman" w:hAnsi="Times New Roman" w:eastAsia="仿宋" w:cs="宋体"/>
          <w:color w:val="auto"/>
          <w:sz w:val="24"/>
          <w:szCs w:val="24"/>
          <w:highlight w:val="none"/>
        </w:rPr>
        <w:t>代理机构：</w:t>
      </w:r>
      <w:r>
        <w:rPr>
          <w:rFonts w:hint="eastAsia" w:ascii="Times New Roman" w:hAnsi="Times New Roman" w:eastAsia="仿宋" w:cs="宋体"/>
          <w:color w:val="auto"/>
          <w:sz w:val="24"/>
          <w:szCs w:val="24"/>
          <w:highlight w:val="none"/>
          <w:lang w:val="zh-CN"/>
        </w:rPr>
        <w:t>湖北国华项目管理咨询有限公司</w:t>
      </w:r>
    </w:p>
    <w:p>
      <w:pPr>
        <w:pageBreakBefore w:val="0"/>
        <w:widowControl w:val="0"/>
        <w:kinsoku/>
        <w:overflowPunct/>
        <w:topLinePunct w:val="0"/>
        <w:autoSpaceDE/>
        <w:autoSpaceDN/>
        <w:bidi w:val="0"/>
        <w:spacing w:line="440" w:lineRule="exact"/>
        <w:ind w:firstLine="480" w:firstLineChars="200"/>
        <w:jc w:val="right"/>
        <w:textAlignment w:val="baseline"/>
        <w:rPr>
          <w:rFonts w:ascii="Times New Roman" w:hAnsi="Times New Roman" w:eastAsia="仿宋" w:cs="宋体"/>
          <w:color w:val="auto"/>
          <w:sz w:val="24"/>
          <w:szCs w:val="24"/>
          <w:highlight w:val="none"/>
        </w:rPr>
      </w:pP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Times New Roman" w:hAnsi="Times New Roman" w:eastAsia="仿宋" w:cs="宋体"/>
          <w:color w:val="auto"/>
          <w:sz w:val="24"/>
          <w:szCs w:val="24"/>
          <w:highlight w:val="none"/>
        </w:rPr>
        <w:t>年</w:t>
      </w:r>
      <w:r>
        <w:rPr>
          <w:rFonts w:hint="eastAsia" w:eastAsia="仿宋" w:cs="宋体"/>
          <w:color w:val="auto"/>
          <w:sz w:val="24"/>
          <w:szCs w:val="24"/>
          <w:highlight w:val="none"/>
          <w:lang w:val="en-US" w:eastAsia="zh-CN"/>
        </w:rPr>
        <w:t>8</w:t>
      </w:r>
      <w:r>
        <w:rPr>
          <w:rFonts w:hint="eastAsia" w:ascii="Times New Roman" w:hAnsi="Times New Roman" w:eastAsia="仿宋" w:cs="宋体"/>
          <w:color w:val="auto"/>
          <w:sz w:val="24"/>
          <w:szCs w:val="24"/>
          <w:highlight w:val="none"/>
        </w:rPr>
        <w:t>月</w:t>
      </w:r>
      <w:r>
        <w:rPr>
          <w:rFonts w:hint="eastAsia" w:eastAsia="仿宋" w:cs="宋体"/>
          <w:color w:val="auto"/>
          <w:sz w:val="24"/>
          <w:szCs w:val="24"/>
          <w:highlight w:val="none"/>
          <w:lang w:val="en-US" w:eastAsia="zh-CN"/>
        </w:rPr>
        <w:t>11</w:t>
      </w:r>
      <w:r>
        <w:rPr>
          <w:rFonts w:hint="eastAsia" w:ascii="Times New Roman" w:hAnsi="Times New Roman" w:eastAsia="仿宋" w:cs="宋体"/>
          <w:color w:val="auto"/>
          <w:sz w:val="24"/>
          <w:szCs w:val="24"/>
          <w:highlight w:val="none"/>
        </w:rPr>
        <w:t>日</w:t>
      </w:r>
    </w:p>
    <w:p>
      <w:pPr>
        <w:pStyle w:val="2"/>
        <w:spacing w:before="0" w:after="0" w:line="360" w:lineRule="auto"/>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br w:type="page"/>
      </w:r>
      <w:bookmarkStart w:id="29" w:name="_Toc7018"/>
      <w:r>
        <w:rPr>
          <w:rFonts w:hint="eastAsia" w:ascii="仿宋" w:hAnsi="仿宋" w:eastAsia="仿宋" w:cs="仿宋"/>
          <w:color w:val="auto"/>
          <w:sz w:val="28"/>
          <w:szCs w:val="28"/>
          <w:highlight w:val="none"/>
        </w:rPr>
        <w:t>第二章 供应商须知</w:t>
      </w:r>
      <w:bookmarkEnd w:id="21"/>
      <w:bookmarkEnd w:id="22"/>
      <w:bookmarkEnd w:id="23"/>
      <w:bookmarkEnd w:id="24"/>
      <w:bookmarkEnd w:id="25"/>
      <w:bookmarkEnd w:id="26"/>
      <w:bookmarkEnd w:id="27"/>
      <w:bookmarkEnd w:id="29"/>
    </w:p>
    <w:p>
      <w:pPr>
        <w:pStyle w:val="3"/>
        <w:ind w:firstLine="0" w:firstLineChars="0"/>
        <w:jc w:val="left"/>
        <w:rPr>
          <w:rFonts w:hint="eastAsia" w:ascii="仿宋" w:hAnsi="仿宋" w:eastAsia="仿宋" w:cs="仿宋"/>
          <w:color w:val="auto"/>
          <w:sz w:val="24"/>
          <w:szCs w:val="24"/>
          <w:highlight w:val="none"/>
        </w:rPr>
      </w:pPr>
      <w:bookmarkStart w:id="30" w:name="_Toc287600117"/>
      <w:bookmarkStart w:id="31" w:name="_Toc19783312"/>
      <w:bookmarkStart w:id="32" w:name="_Toc32464"/>
      <w:bookmarkStart w:id="33" w:name="_Toc17721"/>
      <w:bookmarkStart w:id="34" w:name="_Toc444891335"/>
      <w:bookmarkStart w:id="35" w:name="_Toc14477"/>
      <w:bookmarkStart w:id="36" w:name="_Toc517281815"/>
      <w:bookmarkStart w:id="37" w:name="_Toc27353"/>
      <w:bookmarkStart w:id="38" w:name="_Toc29571"/>
      <w:r>
        <w:rPr>
          <w:rFonts w:hint="eastAsia" w:ascii="仿宋" w:hAnsi="仿宋" w:eastAsia="仿宋" w:cs="仿宋"/>
          <w:color w:val="auto"/>
          <w:sz w:val="24"/>
          <w:szCs w:val="24"/>
          <w:highlight w:val="none"/>
        </w:rPr>
        <w:t>一、供应商须知前附表</w:t>
      </w:r>
      <w:bookmarkEnd w:id="30"/>
      <w:bookmarkEnd w:id="31"/>
      <w:bookmarkEnd w:id="32"/>
      <w:bookmarkEnd w:id="33"/>
      <w:bookmarkEnd w:id="34"/>
      <w:bookmarkEnd w:id="35"/>
      <w:bookmarkEnd w:id="36"/>
      <w:bookmarkEnd w:id="37"/>
      <w:bookmarkEnd w:id="38"/>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tbl>
      <w:tblPr>
        <w:tblStyle w:val="41"/>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937"/>
        <w:gridCol w:w="6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条款号</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条款名称</w:t>
            </w:r>
          </w:p>
        </w:tc>
        <w:tc>
          <w:tcPr>
            <w:tcW w:w="3530" w:type="pct"/>
            <w:noWrap w:val="0"/>
            <w:vAlign w:val="center"/>
          </w:tcPr>
          <w:p>
            <w:pPr>
              <w:keepNext w:val="0"/>
              <w:keepLines w:val="0"/>
              <w:suppressLineNumbers w:val="0"/>
              <w:tabs>
                <w:tab w:val="left" w:pos="1180"/>
              </w:tabs>
              <w:adjustRightInd w:val="0"/>
              <w:snapToGrid w:val="0"/>
              <w:spacing w:before="0" w:beforeAutospacing="0" w:after="0" w:afterAutospacing="0" w:line="360" w:lineRule="auto"/>
              <w:ind w:left="0" w:right="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宋体" w:cs="仿宋"/>
                <w:color w:val="auto"/>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采购范围</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val="en-US" w:eastAsia="zh-CN"/>
              </w:rPr>
              <w:t>比选</w:t>
            </w:r>
            <w:r>
              <w:rPr>
                <w:rFonts w:hint="eastAsia" w:ascii="仿宋" w:hAnsi="仿宋" w:eastAsia="仿宋" w:cs="仿宋"/>
                <w:color w:val="auto"/>
                <w:highlight w:val="none"/>
                <w:u w:val="single"/>
              </w:rPr>
              <w:t>公告“一、项目概况与采购范围”</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4.2</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宋体"/>
                <w:color w:val="auto"/>
                <w:sz w:val="21"/>
                <w:szCs w:val="21"/>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6.2</w:t>
            </w:r>
          </w:p>
        </w:tc>
        <w:tc>
          <w:tcPr>
            <w:tcW w:w="986" w:type="pct"/>
            <w:noWrap w:val="0"/>
            <w:vAlign w:val="center"/>
          </w:tcPr>
          <w:p>
            <w:pPr>
              <w:keepNext w:val="0"/>
              <w:keepLines w:val="0"/>
              <w:suppressLineNumbers w:val="0"/>
              <w:spacing w:before="62" w:beforeLines="20" w:beforeAutospacing="0" w:after="62" w:afterLines="2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比选</w:t>
            </w:r>
            <w:r>
              <w:rPr>
                <w:rFonts w:hint="eastAsia" w:ascii="仿宋" w:hAnsi="仿宋" w:eastAsia="仿宋" w:cs="仿宋"/>
                <w:color w:val="auto"/>
                <w:szCs w:val="21"/>
                <w:highlight w:val="none"/>
              </w:rPr>
              <w:t>文件实质性要求的标识</w:t>
            </w:r>
          </w:p>
        </w:tc>
        <w:tc>
          <w:tcPr>
            <w:tcW w:w="3530" w:type="pct"/>
            <w:noWrap w:val="0"/>
            <w:vAlign w:val="center"/>
          </w:tcPr>
          <w:p>
            <w:pPr>
              <w:pStyle w:val="140"/>
              <w:keepNext w:val="0"/>
              <w:keepLines w:val="0"/>
              <w:suppressLineNumbers w:val="0"/>
              <w:topLinePunct/>
              <w:spacing w:before="62" w:beforeLines="20" w:beforeAutospacing="0" w:after="62" w:afterLines="20" w:afterAutospacing="0" w:line="360" w:lineRule="auto"/>
              <w:ind w:left="0" w:right="0"/>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lang w:val="en-US" w:eastAsia="zh-CN"/>
              </w:rPr>
              <w:t>比选</w:t>
            </w:r>
            <w:r>
              <w:rPr>
                <w:rFonts w:hint="eastAsia" w:ascii="仿宋" w:hAnsi="仿宋" w:eastAsia="仿宋" w:cs="Cambria Math"/>
                <w:color w:val="auto"/>
                <w:sz w:val="21"/>
                <w:szCs w:val="21"/>
                <w:highlight w:val="none"/>
                <w:u w:val="single"/>
              </w:rPr>
              <w:t>文件中标识“★”条款、注明“</w:t>
            </w:r>
            <w:r>
              <w:rPr>
                <w:rFonts w:hint="eastAsia" w:ascii="仿宋" w:hAnsi="仿宋" w:eastAsia="仿宋" w:cs="Cambria Math"/>
                <w:color w:val="auto"/>
                <w:sz w:val="21"/>
                <w:szCs w:val="21"/>
                <w:highlight w:val="none"/>
                <w:u w:val="single"/>
                <w:lang w:val="en-US" w:eastAsia="zh-CN"/>
              </w:rPr>
              <w:t>比选</w:t>
            </w:r>
            <w:r>
              <w:rPr>
                <w:rFonts w:hint="eastAsia" w:ascii="仿宋" w:hAnsi="仿宋" w:eastAsia="仿宋" w:cs="Cambria Math"/>
                <w:color w:val="auto"/>
                <w:sz w:val="21"/>
                <w:szCs w:val="21"/>
                <w:highlight w:val="none"/>
                <w:u w:val="single"/>
              </w:rPr>
              <w:t>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7.2</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30" w:type="pct"/>
            <w:noWrap w:val="0"/>
            <w:vAlign w:val="center"/>
          </w:tcPr>
          <w:p>
            <w:pPr>
              <w:pStyle w:val="140"/>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val="0"/>
                <w:bCs/>
                <w:color w:val="auto"/>
                <w:sz w:val="21"/>
                <w:szCs w:val="21"/>
                <w:highlight w:val="none"/>
                <w:u w:val="single"/>
                <w:lang w:val="en-US" w:eastAsia="zh-CN"/>
              </w:rPr>
              <w:t>比选</w:t>
            </w:r>
            <w:r>
              <w:rPr>
                <w:rFonts w:hint="eastAsia" w:ascii="仿宋" w:hAnsi="仿宋" w:eastAsia="仿宋" w:cs="宋体"/>
                <w:b w:val="0"/>
                <w:bCs/>
                <w:color w:val="auto"/>
                <w:sz w:val="21"/>
                <w:szCs w:val="21"/>
                <w:highlight w:val="none"/>
                <w:u w:val="single"/>
              </w:rPr>
              <w:t>文件发售截止日期次日上午10:00（北京时间）</w:t>
            </w:r>
          </w:p>
          <w:p>
            <w:pPr>
              <w:pStyle w:val="150"/>
              <w:keepNext w:val="0"/>
              <w:keepLines w:val="0"/>
              <w:suppressLineNumbers w:val="0"/>
              <w:spacing w:before="62" w:beforeLines="20" w:beforeAutospacing="0" w:after="62" w:afterLines="20" w:afterAutospacing="0" w:line="360" w:lineRule="auto"/>
              <w:ind w:left="0" w:right="0"/>
              <w:rPr>
                <w:rFonts w:hint="eastAsia" w:ascii="仿宋" w:hAnsi="仿宋" w:eastAsia="仿宋" w:cs="宋体"/>
                <w:color w:val="auto"/>
                <w:sz w:val="21"/>
                <w:szCs w:val="21"/>
                <w:highlight w:val="none"/>
                <w:lang w:val="en-US" w:eastAsia="zh-CN"/>
              </w:rPr>
            </w:pPr>
            <w:r>
              <w:rPr>
                <w:rFonts w:hint="eastAsia" w:ascii="仿宋" w:hAnsi="仿宋" w:eastAsia="仿宋" w:cs="宋体"/>
                <w:b w:val="0"/>
                <w:bCs w:val="0"/>
                <w:color w:val="auto"/>
                <w:sz w:val="21"/>
                <w:szCs w:val="21"/>
                <w:highlight w:val="none"/>
              </w:rPr>
              <w:t>提出澄清的方式：</w:t>
            </w:r>
            <w:r>
              <w:rPr>
                <w:rFonts w:hint="eastAsia" w:ascii="仿宋" w:hAnsi="仿宋" w:eastAsia="仿宋" w:cs="宋体"/>
                <w:color w:val="auto"/>
                <w:sz w:val="21"/>
                <w:szCs w:val="21"/>
                <w:highlight w:val="none"/>
                <w:u w:val="single"/>
                <w:lang w:val="en-US" w:eastAsia="zh-CN"/>
              </w:rPr>
              <w:t>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7.3</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30" w:type="pct"/>
            <w:noWrap w:val="0"/>
            <w:vAlign w:val="center"/>
          </w:tcPr>
          <w:p>
            <w:pPr>
              <w:pStyle w:val="140"/>
              <w:keepNext w:val="0"/>
              <w:keepLines w:val="0"/>
              <w:suppressLineNumbers w:val="0"/>
              <w:topLinePunct/>
              <w:spacing w:before="62" w:beforeLines="20" w:beforeAutospacing="0" w:after="62" w:afterLines="20" w:afterAutospacing="0"/>
              <w:ind w:left="0" w:right="0"/>
              <w:rPr>
                <w:rFonts w:hint="eastAsia" w:ascii="仿宋" w:hAnsi="仿宋" w:eastAsia="仿宋" w:cs="宋体"/>
                <w:b w:val="0"/>
                <w:bCs/>
                <w:color w:val="auto"/>
                <w:sz w:val="21"/>
                <w:szCs w:val="21"/>
                <w:highlight w:val="none"/>
                <w:u w:val="single"/>
                <w:lang w:eastAsia="zh-CN"/>
              </w:rPr>
            </w:pPr>
            <w:r>
              <w:rPr>
                <w:rFonts w:hint="eastAsia" w:ascii="仿宋" w:hAnsi="仿宋" w:eastAsia="仿宋" w:cs="宋体"/>
                <w:b/>
                <w:color w:val="auto"/>
                <w:sz w:val="21"/>
                <w:szCs w:val="21"/>
                <w:highlight w:val="none"/>
              </w:rPr>
              <w:t>确认收到澄清或修改的时间：</w:t>
            </w:r>
            <w:r>
              <w:rPr>
                <w:rFonts w:hint="eastAsia" w:ascii="仿宋" w:hAnsi="仿宋" w:eastAsia="仿宋" w:cs="宋体"/>
                <w:b w:val="0"/>
                <w:bCs/>
                <w:color w:val="auto"/>
                <w:sz w:val="21"/>
                <w:szCs w:val="21"/>
                <w:highlight w:val="none"/>
                <w:u w:val="single"/>
              </w:rPr>
              <w:t>收到</w:t>
            </w:r>
            <w:r>
              <w:rPr>
                <w:rFonts w:hint="eastAsia" w:ascii="仿宋" w:hAnsi="仿宋" w:eastAsia="仿宋" w:cs="宋体"/>
                <w:b w:val="0"/>
                <w:bCs/>
                <w:color w:val="auto"/>
                <w:sz w:val="21"/>
                <w:szCs w:val="21"/>
                <w:highlight w:val="none"/>
                <w:u w:val="single"/>
                <w:lang w:val="en-US" w:eastAsia="zh-CN"/>
              </w:rPr>
              <w:t>比选</w:t>
            </w:r>
            <w:r>
              <w:rPr>
                <w:rFonts w:hint="eastAsia" w:ascii="仿宋" w:hAnsi="仿宋" w:eastAsia="仿宋" w:cs="宋体"/>
                <w:b w:val="0"/>
                <w:bCs/>
                <w:color w:val="auto"/>
                <w:sz w:val="21"/>
                <w:szCs w:val="21"/>
                <w:highlight w:val="none"/>
                <w:u w:val="single"/>
              </w:rPr>
              <w:t>文件澄清或修改通知后</w:t>
            </w:r>
            <w:r>
              <w:rPr>
                <w:rFonts w:hint="eastAsia" w:ascii="仿宋" w:hAnsi="仿宋" w:eastAsia="仿宋" w:cs="宋体"/>
                <w:b w:val="0"/>
                <w:bCs/>
                <w:color w:val="auto"/>
                <w:sz w:val="21"/>
                <w:szCs w:val="21"/>
                <w:highlight w:val="none"/>
                <w:u w:val="single"/>
                <w:lang w:val="en-US" w:eastAsia="zh-CN"/>
              </w:rPr>
              <w:t>1</w:t>
            </w:r>
            <w:r>
              <w:rPr>
                <w:rFonts w:hint="eastAsia" w:ascii="仿宋" w:hAnsi="仿宋" w:eastAsia="仿宋" w:cs="宋体"/>
                <w:b w:val="0"/>
                <w:bCs/>
                <w:color w:val="auto"/>
                <w:sz w:val="21"/>
                <w:szCs w:val="21"/>
                <w:highlight w:val="none"/>
                <w:u w:val="single"/>
              </w:rPr>
              <w:t>个工作日内</w:t>
            </w:r>
            <w:r>
              <w:rPr>
                <w:rFonts w:hint="eastAsia" w:ascii="仿宋" w:hAnsi="仿宋" w:eastAsia="仿宋" w:cs="宋体"/>
                <w:b w:val="0"/>
                <w:bCs/>
                <w:color w:val="auto"/>
                <w:sz w:val="21"/>
                <w:szCs w:val="21"/>
                <w:highlight w:val="none"/>
                <w:u w:val="single"/>
                <w:lang w:eastAsia="zh-CN"/>
              </w:rPr>
              <w:t>。</w:t>
            </w:r>
          </w:p>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b w:val="0"/>
                <w:bCs/>
                <w:color w:val="auto"/>
                <w:sz w:val="21"/>
                <w:szCs w:val="21"/>
                <w:highlight w:val="none"/>
              </w:rPr>
              <w:t>确认收到澄清或修改文件的方式：</w:t>
            </w:r>
            <w:r>
              <w:rPr>
                <w:rFonts w:hint="eastAsia" w:ascii="仿宋" w:hAnsi="仿宋" w:eastAsia="仿宋" w:cs="宋体"/>
                <w:color w:val="auto"/>
                <w:sz w:val="21"/>
                <w:szCs w:val="21"/>
                <w:highlight w:val="none"/>
                <w:u w:val="single"/>
                <w:lang w:val="en-US" w:eastAsia="zh-CN"/>
              </w:rPr>
              <w:t>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3530" w:type="pct"/>
            <w:noWrap w:val="0"/>
            <w:vAlign w:val="center"/>
          </w:tcPr>
          <w:p>
            <w:pPr>
              <w:pStyle w:val="150"/>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pPr>
              <w:keepNext w:val="0"/>
              <w:keepLines w:val="0"/>
              <w:suppressLineNumbers w:val="0"/>
              <w:autoSpaceDE w:val="0"/>
              <w:autoSpaceDN w:val="0"/>
              <w:spacing w:before="0" w:beforeAutospacing="0" w:after="0" w:afterAutospacing="0" w:line="276" w:lineRule="auto"/>
              <w:ind w:left="0" w:right="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keepNext w:val="0"/>
              <w:keepLines w:val="0"/>
              <w:suppressLineNumbers w:val="0"/>
              <w:autoSpaceDE w:val="0"/>
              <w:autoSpaceDN w:val="0"/>
              <w:spacing w:before="0" w:beforeAutospacing="0" w:after="0" w:afterAutospacing="0" w:line="276" w:lineRule="auto"/>
              <w:ind w:left="0" w:right="0"/>
              <w:rPr>
                <w:rFonts w:hint="default"/>
                <w:color w:val="auto"/>
                <w:highlight w:val="none"/>
              </w:rPr>
            </w:pPr>
            <w:r>
              <w:rPr>
                <w:rFonts w:hint="eastAsia" w:ascii="仿宋" w:hAnsi="仿宋" w:eastAsia="仿宋" w:cs="仿宋"/>
                <w:b/>
                <w:color w:val="auto"/>
                <w:szCs w:val="21"/>
                <w:highlight w:val="none"/>
              </w:rPr>
              <w:t>详细评审索引表</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150"/>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150"/>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150"/>
              <w:keepNext w:val="0"/>
              <w:keepLines w:val="0"/>
              <w:suppressLineNumbers w:val="0"/>
              <w:spacing w:before="62" w:beforeLines="20" w:beforeAutospacing="0" w:after="62" w:afterLines="20" w:afterAutospacing="0"/>
              <w:ind w:left="0" w:right="0"/>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pPr>
              <w:keepNext w:val="0"/>
              <w:keepLines w:val="0"/>
              <w:suppressLineNumbers w:val="0"/>
              <w:autoSpaceDE w:val="0"/>
              <w:autoSpaceDN w:val="0"/>
              <w:spacing w:before="0" w:beforeAutospacing="0" w:after="0" w:afterAutospacing="0" w:line="276" w:lineRule="auto"/>
              <w:ind w:left="0" w:right="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keepNext w:val="0"/>
              <w:keepLines w:val="0"/>
              <w:suppressLineNumbers w:val="0"/>
              <w:autoSpaceDE w:val="0"/>
              <w:autoSpaceDN w:val="0"/>
              <w:spacing w:before="0" w:beforeAutospacing="0" w:after="0" w:afterAutospacing="0" w:line="276" w:lineRule="auto"/>
              <w:ind w:left="0" w:right="0"/>
              <w:rPr>
                <w:rFonts w:hint="default"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keepNext w:val="0"/>
              <w:keepLines w:val="0"/>
              <w:suppressLineNumbers w:val="0"/>
              <w:autoSpaceDE w:val="0"/>
              <w:autoSpaceDN w:val="0"/>
              <w:spacing w:before="0" w:beforeAutospacing="0" w:after="0" w:afterAutospacing="0" w:line="276" w:lineRule="auto"/>
              <w:ind w:left="0" w:right="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pPr>
              <w:keepNext w:val="0"/>
              <w:keepLines w:val="0"/>
              <w:suppressLineNumbers w:val="0"/>
              <w:autoSpaceDE w:val="0"/>
              <w:autoSpaceDN w:val="0"/>
              <w:spacing w:before="0" w:beforeAutospacing="0" w:after="0" w:afterAutospacing="0" w:line="276" w:lineRule="auto"/>
              <w:ind w:left="0" w:right="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（一）报价一览表</w:t>
            </w:r>
          </w:p>
          <w:p>
            <w:pPr>
              <w:pStyle w:val="157"/>
              <w:keepNext w:val="0"/>
              <w:keepLines w:val="0"/>
              <w:suppressLineNumbers w:val="0"/>
              <w:spacing w:before="62" w:beforeLines="20" w:beforeAutospacing="0" w:after="62" w:afterLines="20" w:afterAutospacing="0" w:line="276"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（二）分项报价表</w:t>
            </w:r>
            <w:r>
              <w:rPr>
                <w:rFonts w:hint="eastAsia" w:ascii="仿宋" w:hAnsi="仿宋" w:eastAsia="仿宋" w:cs="宋体"/>
                <w:color w:val="auto"/>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15</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default"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3530" w:type="pct"/>
            <w:noWrap w:val="0"/>
            <w:vAlign w:val="center"/>
          </w:tcPr>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宋体"/>
                <w:bCs/>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val="en-US" w:eastAsia="zh-CN"/>
              </w:rPr>
              <w:t>比选</w:t>
            </w:r>
            <w:r>
              <w:rPr>
                <w:rFonts w:hint="eastAsia" w:ascii="仿宋" w:hAnsi="仿宋" w:eastAsia="仿宋" w:cs="仿宋"/>
                <w:color w:val="auto"/>
                <w:highlight w:val="none"/>
                <w:u w:val="singl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14</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3530" w:type="pct"/>
            <w:noWrap w:val="0"/>
            <w:vAlign w:val="center"/>
          </w:tcPr>
          <w:p>
            <w:pPr>
              <w:pStyle w:val="140"/>
              <w:keepNext w:val="0"/>
              <w:keepLines w:val="0"/>
              <w:suppressLineNumbers w:val="0"/>
              <w:topLinePunct/>
              <w:spacing w:before="62" w:beforeLines="20" w:beforeAutospacing="0" w:after="62" w:afterLines="20" w:afterAutospacing="0" w:line="360" w:lineRule="auto"/>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140"/>
              <w:keepNext w:val="0"/>
              <w:keepLines w:val="0"/>
              <w:suppressLineNumbers w:val="0"/>
              <w:topLinePunct/>
              <w:spacing w:before="62" w:beforeLines="20" w:beforeAutospacing="0" w:after="62" w:afterLines="20" w:afterAutospacing="0" w:line="360" w:lineRule="auto"/>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140"/>
              <w:keepNext w:val="0"/>
              <w:keepLines w:val="0"/>
              <w:suppressLineNumbers w:val="0"/>
              <w:topLinePunct/>
              <w:spacing w:before="62" w:beforeLines="20" w:beforeAutospacing="0" w:after="62" w:afterLines="20" w:afterAutospacing="0" w:line="360" w:lineRule="auto"/>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140"/>
              <w:keepNext w:val="0"/>
              <w:keepLines w:val="0"/>
              <w:suppressLineNumbers w:val="0"/>
              <w:topLinePunct/>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比选</w:t>
            </w:r>
            <w:r>
              <w:rPr>
                <w:rFonts w:hint="eastAsia" w:ascii="仿宋" w:hAnsi="仿宋" w:eastAsia="仿宋" w:cs="仿宋"/>
                <w:color w:val="auto"/>
                <w:szCs w:val="21"/>
                <w:highlight w:val="none"/>
              </w:rPr>
              <w:t>响应报价</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1）供应商应结合自身实力与经验、市场价格竞争及合同实施风险等因素进行综合考虑进行报价。</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小组将视</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情况决定是否进行多轮次报价，供应商</w:t>
            </w:r>
            <w:r>
              <w:rPr>
                <w:rFonts w:hint="eastAsia" w:ascii="仿宋" w:hAnsi="仿宋" w:eastAsia="仿宋" w:cs="仿宋"/>
                <w:color w:val="auto"/>
                <w:highlight w:val="none"/>
                <w:u w:val="single"/>
              </w:rPr>
              <w:t>最后一轮</w:t>
            </w:r>
            <w:r>
              <w:rPr>
                <w:rFonts w:hint="eastAsia" w:ascii="仿宋" w:hAnsi="仿宋" w:eastAsia="仿宋" w:cs="仿宋"/>
                <w:color w:val="auto"/>
                <w:highlight w:val="none"/>
                <w:u w:val="single"/>
                <w:lang w:val="en-US" w:eastAsia="zh-CN"/>
              </w:rPr>
              <w:t>洽谈</w:t>
            </w:r>
            <w:r>
              <w:rPr>
                <w:rFonts w:hint="eastAsia" w:ascii="仿宋" w:hAnsi="仿宋" w:eastAsia="仿宋" w:cs="仿宋"/>
                <w:color w:val="auto"/>
                <w:highlight w:val="none"/>
                <w:u w:val="single"/>
              </w:rPr>
              <w:t>提交的报价</w:t>
            </w:r>
            <w:r>
              <w:rPr>
                <w:rFonts w:hint="eastAsia" w:ascii="仿宋" w:hAnsi="仿宋" w:eastAsia="仿宋" w:cs="仿宋"/>
                <w:color w:val="auto"/>
                <w:highlight w:val="none"/>
              </w:rPr>
              <w:t>将作为该供应商的</w:t>
            </w:r>
            <w:r>
              <w:rPr>
                <w:rFonts w:hint="eastAsia" w:ascii="仿宋" w:hAnsi="仿宋" w:eastAsia="仿宋" w:cs="仿宋"/>
                <w:b/>
                <w:bCs/>
                <w:color w:val="auto"/>
                <w:highlight w:val="none"/>
              </w:rPr>
              <w:t>最终报价</w:t>
            </w:r>
            <w:r>
              <w:rPr>
                <w:rFonts w:hint="eastAsia" w:ascii="仿宋" w:hAnsi="仿宋" w:eastAsia="仿宋" w:cs="仿宋"/>
                <w:color w:val="auto"/>
                <w:highlight w:val="none"/>
              </w:rPr>
              <w:t>进行评审。</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采购人应当在采购文件中明确，采购评审中出现下列情形之一的，评审委员会应当启动异常低价投标（响应）审查程序：</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1.投标（响应）报价低于全部通过符合性审查供应商投标（响应）报价平均值</w:t>
            </w:r>
            <w:r>
              <w:rPr>
                <w:rFonts w:hint="eastAsia" w:ascii="仿宋" w:hAnsi="仿宋" w:eastAsia="仿宋" w:cs="仿宋"/>
                <w:color w:val="auto"/>
                <w:highlight w:val="none"/>
                <w:lang w:val="en-US" w:eastAsia="zh-CN"/>
              </w:rPr>
              <w:t>65</w:t>
            </w:r>
            <w:r>
              <w:rPr>
                <w:rFonts w:hint="eastAsia" w:ascii="仿宋" w:hAnsi="仿宋" w:eastAsia="仿宋" w:cs="仿宋"/>
                <w:color w:val="auto"/>
                <w:highlight w:val="none"/>
                <w:lang w:val="zh-CN" w:eastAsia="zh-CN"/>
              </w:rPr>
              <w:t>%的，即投标（响应）报价&lt;全部通过符合性审查供应商投标（响应）报价平均值×</w:t>
            </w:r>
            <w:r>
              <w:rPr>
                <w:rFonts w:hint="eastAsia" w:ascii="仿宋" w:hAnsi="仿宋" w:eastAsia="仿宋" w:cs="仿宋"/>
                <w:color w:val="auto"/>
                <w:highlight w:val="none"/>
                <w:lang w:val="en-US" w:eastAsia="zh-CN"/>
              </w:rPr>
              <w:t>65</w:t>
            </w:r>
            <w:r>
              <w:rPr>
                <w:rFonts w:hint="eastAsia" w:ascii="仿宋" w:hAnsi="仿宋" w:eastAsia="仿宋" w:cs="仿宋"/>
                <w:color w:val="auto"/>
                <w:highlight w:val="none"/>
                <w:lang w:val="zh-CN" w:eastAsia="zh-CN"/>
              </w:rPr>
              <w:t>%；</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2.投标（响应）报价低于通过符合性审查的次低报价供应商投标（响应）报价</w:t>
            </w:r>
            <w:r>
              <w:rPr>
                <w:rFonts w:hint="eastAsia" w:ascii="仿宋" w:hAnsi="仿宋" w:eastAsia="仿宋" w:cs="仿宋"/>
                <w:color w:val="auto"/>
                <w:highlight w:val="none"/>
                <w:lang w:val="en-US" w:eastAsia="zh-CN"/>
              </w:rPr>
              <w:t>65</w:t>
            </w:r>
            <w:r>
              <w:rPr>
                <w:rFonts w:hint="eastAsia" w:ascii="仿宋" w:hAnsi="仿宋" w:eastAsia="仿宋" w:cs="仿宋"/>
                <w:color w:val="auto"/>
                <w:highlight w:val="none"/>
                <w:lang w:val="zh-CN" w:eastAsia="zh-CN"/>
              </w:rPr>
              <w:t>%的，即投标（响应）报价&lt;通过符合性审查的次低报价供应商投标（响应）报价×</w:t>
            </w:r>
            <w:r>
              <w:rPr>
                <w:rFonts w:hint="eastAsia" w:ascii="仿宋" w:hAnsi="仿宋" w:eastAsia="仿宋" w:cs="仿宋"/>
                <w:color w:val="auto"/>
                <w:highlight w:val="none"/>
                <w:lang w:val="en-US" w:eastAsia="zh-CN"/>
              </w:rPr>
              <w:t>65</w:t>
            </w:r>
            <w:r>
              <w:rPr>
                <w:rFonts w:hint="eastAsia" w:ascii="仿宋" w:hAnsi="仿宋" w:eastAsia="仿宋" w:cs="仿宋"/>
                <w:color w:val="auto"/>
                <w:highlight w:val="none"/>
                <w:lang w:val="zh-CN" w:eastAsia="zh-CN"/>
              </w:rPr>
              <w:t>%；</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3.投标（响应）报价低于采购项目最高限价</w:t>
            </w:r>
            <w:r>
              <w:rPr>
                <w:rFonts w:hint="eastAsia" w:ascii="仿宋" w:hAnsi="仿宋" w:eastAsia="仿宋" w:cs="仿宋"/>
                <w:color w:val="auto"/>
                <w:highlight w:val="none"/>
                <w:lang w:val="en-US" w:eastAsia="zh-CN"/>
              </w:rPr>
              <w:t>65</w:t>
            </w:r>
            <w:r>
              <w:rPr>
                <w:rFonts w:hint="eastAsia" w:ascii="仿宋" w:hAnsi="仿宋" w:eastAsia="仿宋" w:cs="仿宋"/>
                <w:color w:val="auto"/>
                <w:highlight w:val="none"/>
                <w:lang w:val="zh-CN" w:eastAsia="zh-CN"/>
              </w:rPr>
              <w:t>%的，即投标（响应）报价&lt;采购项目最高限价×</w:t>
            </w:r>
            <w:r>
              <w:rPr>
                <w:rFonts w:hint="eastAsia" w:ascii="仿宋" w:hAnsi="仿宋" w:eastAsia="仿宋" w:cs="仿宋"/>
                <w:color w:val="auto"/>
                <w:highlight w:val="none"/>
                <w:lang w:val="en-US" w:eastAsia="zh-CN"/>
              </w:rPr>
              <w:t>65</w:t>
            </w:r>
            <w:r>
              <w:rPr>
                <w:rFonts w:hint="eastAsia" w:ascii="仿宋" w:hAnsi="仿宋" w:eastAsia="仿宋" w:cs="仿宋"/>
                <w:color w:val="auto"/>
                <w:highlight w:val="none"/>
                <w:lang w:val="zh-CN" w:eastAsia="zh-CN"/>
              </w:rPr>
              <w:t>%；</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4.评审委员会基于专业判断，认为供应商报价过低，有可能影响产品质量或者不能诚信履约的其他情形。</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采购人可以结合具体项目实际情况，提高上述第1项至第3项中启动异常低价投标（响应）审查的数值标准，但是最高不得超过65%。</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lang w:val="zh-CN" w:eastAsia="zh-CN"/>
              </w:rPr>
              <w:t>异常低价投标（响应）审查的启动原因、审查意见和审查结果应当在评审报告中记录，并随供应商提供的相关书面说明及证明材料，以及评审委员会有关互联网浏览、查询历史一并归档。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比选</w:t>
            </w:r>
            <w:r>
              <w:rPr>
                <w:rFonts w:hint="eastAsia" w:ascii="仿宋" w:hAnsi="仿宋" w:eastAsia="仿宋" w:cs="仿宋"/>
                <w:color w:val="auto"/>
                <w:szCs w:val="21"/>
                <w:highlight w:val="none"/>
              </w:rPr>
              <w:t>响应有效期</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宋体"/>
                <w:color w:val="auto"/>
                <w:highlight w:val="none"/>
                <w:lang w:val="en-US" w:eastAsia="zh-CN"/>
              </w:rPr>
              <w:t>比选</w:t>
            </w:r>
            <w:r>
              <w:rPr>
                <w:rFonts w:hint="eastAsia" w:ascii="仿宋" w:hAnsi="仿宋" w:eastAsia="仿宋" w:cs="宋体"/>
                <w:color w:val="auto"/>
                <w:highlight w:val="none"/>
              </w:rPr>
              <w:t>响应有效期：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13</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比选保证金</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auto"/>
                <w:highlight w:val="none"/>
                <w:lang w:val="en-US" w:eastAsia="zh-CN"/>
              </w:rPr>
            </w:pPr>
            <w:r>
              <w:rPr>
                <w:rFonts w:hint="eastAsia" w:ascii="仿宋" w:hAnsi="仿宋" w:eastAsia="仿宋" w:cs="宋体"/>
                <w:color w:val="auto"/>
                <w:highlight w:val="none"/>
                <w:lang w:val="en-US" w:eastAsia="zh-CN"/>
              </w:rPr>
              <w:t>不需要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90" w:hRule="atLeast"/>
          <w:jc w:val="center"/>
        </w:trPr>
        <w:tc>
          <w:tcPr>
            <w:tcW w:w="483" w:type="pct"/>
            <w:noWrap w:val="0"/>
            <w:vAlign w:val="center"/>
          </w:tcPr>
          <w:p>
            <w:pPr>
              <w:pStyle w:val="157"/>
              <w:keepNext w:val="0"/>
              <w:keepLines w:val="0"/>
              <w:suppressLineNumbers w:val="0"/>
              <w:spacing w:before="62" w:beforeLines="20" w:beforeAutospacing="0" w:after="62" w:afterLines="20" w:afterAutospacing="0" w:line="360" w:lineRule="auto"/>
              <w:ind w:left="0" w:right="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14</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响应文件的份数</w:t>
            </w:r>
          </w:p>
        </w:tc>
        <w:tc>
          <w:tcPr>
            <w:tcW w:w="3530" w:type="pct"/>
            <w:noWrap w:val="0"/>
            <w:vAlign w:val="center"/>
          </w:tcPr>
          <w:p>
            <w:pPr>
              <w:pStyle w:val="157"/>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rPr>
              <w:t>接受电子</w:t>
            </w:r>
            <w:r>
              <w:rPr>
                <w:rFonts w:hint="eastAsia" w:ascii="仿宋" w:hAnsi="仿宋" w:eastAsia="仿宋" w:cs="宋体"/>
                <w:color w:val="auto"/>
                <w:szCs w:val="21"/>
                <w:highlight w:val="none"/>
                <w:lang w:val="en-US" w:eastAsia="zh-CN"/>
              </w:rPr>
              <w:t>响应</w:t>
            </w:r>
            <w:r>
              <w:rPr>
                <w:rFonts w:hint="eastAsia" w:ascii="仿宋" w:hAnsi="仿宋" w:eastAsia="仿宋" w:cs="宋体"/>
                <w:color w:val="auto"/>
                <w:szCs w:val="21"/>
                <w:highlight w:val="none"/>
              </w:rPr>
              <w:t>文件的同时，还</w:t>
            </w:r>
            <w:r>
              <w:rPr>
                <w:rFonts w:hint="eastAsia" w:ascii="仿宋" w:hAnsi="仿宋" w:eastAsia="仿宋" w:cs="宋体"/>
                <w:color w:val="auto"/>
                <w:szCs w:val="21"/>
                <w:highlight w:val="none"/>
                <w:lang w:val="en-US" w:eastAsia="zh-CN"/>
              </w:rPr>
              <w:t>须递交</w:t>
            </w:r>
            <w:r>
              <w:rPr>
                <w:rFonts w:hint="eastAsia" w:ascii="仿宋" w:hAnsi="仿宋" w:eastAsia="仿宋" w:cs="宋体"/>
                <w:color w:val="auto"/>
                <w:szCs w:val="21"/>
                <w:highlight w:val="none"/>
              </w:rPr>
              <w:t>纸质</w:t>
            </w:r>
            <w:r>
              <w:rPr>
                <w:rFonts w:hint="eastAsia" w:ascii="仿宋" w:hAnsi="仿宋" w:eastAsia="仿宋" w:cs="宋体"/>
                <w:color w:val="auto"/>
                <w:szCs w:val="21"/>
                <w:highlight w:val="none"/>
                <w:lang w:val="en-US" w:eastAsia="zh-CN"/>
              </w:rPr>
              <w:t>响应</w:t>
            </w:r>
            <w:r>
              <w:rPr>
                <w:rFonts w:hint="eastAsia" w:ascii="仿宋" w:hAnsi="仿宋" w:eastAsia="仿宋" w:cs="宋体"/>
                <w:color w:val="auto"/>
                <w:szCs w:val="21"/>
                <w:highlight w:val="none"/>
              </w:rPr>
              <w:t>文件备用</w:t>
            </w:r>
            <w:r>
              <w:rPr>
                <w:rFonts w:hint="eastAsia" w:ascii="仿宋" w:hAnsi="仿宋" w:eastAsia="仿宋" w:cs="宋体"/>
                <w:color w:val="auto"/>
                <w:szCs w:val="21"/>
                <w:highlight w:val="none"/>
                <w:lang w:eastAsia="zh-CN"/>
              </w:rPr>
              <w:t>。</w:t>
            </w:r>
          </w:p>
          <w:p>
            <w:pPr>
              <w:pStyle w:val="15"/>
              <w:keepNext w:val="0"/>
              <w:keepLines w:val="0"/>
              <w:widowControl/>
              <w:suppressLineNumbers w:val="0"/>
              <w:spacing w:before="0" w:beforeAutospacing="0" w:after="0" w:afterAutospacing="0"/>
              <w:ind w:left="0" w:right="0"/>
              <w:rPr>
                <w:rFonts w:hint="eastAsia" w:ascii="仿宋" w:hAnsi="仿宋" w:eastAsia="仿宋" w:cs="宋体"/>
                <w:color w:val="auto"/>
                <w:highlight w:val="none"/>
              </w:rPr>
            </w:pPr>
            <w:r>
              <w:rPr>
                <w:rFonts w:hint="eastAsia" w:ascii="仿宋" w:hAnsi="仿宋" w:eastAsia="仿宋" w:cs="宋体"/>
                <w:color w:val="auto"/>
                <w:sz w:val="21"/>
                <w:szCs w:val="21"/>
                <w:highlight w:val="none"/>
              </w:rPr>
              <w:t>纸质文件正本</w:t>
            </w:r>
            <w:r>
              <w:rPr>
                <w:rFonts w:hint="eastAsia" w:ascii="仿宋" w:hAnsi="仿宋" w:eastAsia="仿宋" w:cs="宋体"/>
                <w:b/>
                <w:bCs/>
                <w:color w:val="auto"/>
                <w:sz w:val="21"/>
                <w:szCs w:val="21"/>
                <w:highlight w:val="none"/>
                <w:u w:val="single"/>
              </w:rPr>
              <w:t xml:space="preserve"> 1 </w:t>
            </w:r>
            <w:r>
              <w:rPr>
                <w:rFonts w:hint="eastAsia" w:ascii="仿宋" w:hAnsi="仿宋" w:eastAsia="仿宋" w:cs="宋体"/>
                <w:b/>
                <w:bCs/>
                <w:color w:val="auto"/>
                <w:sz w:val="21"/>
                <w:szCs w:val="21"/>
                <w:highlight w:val="none"/>
              </w:rPr>
              <w:t>份</w:t>
            </w:r>
            <w:r>
              <w:rPr>
                <w:rFonts w:hint="eastAsia" w:ascii="仿宋" w:hAnsi="仿宋" w:eastAsia="仿宋" w:cs="宋体"/>
                <w:color w:val="auto"/>
                <w:sz w:val="21"/>
                <w:szCs w:val="21"/>
                <w:highlight w:val="none"/>
              </w:rPr>
              <w:t>，副本</w:t>
            </w:r>
            <w:r>
              <w:rPr>
                <w:rFonts w:hint="default" w:ascii="仿宋" w:hAnsi="仿宋" w:eastAsia="仿宋" w:cs="宋体"/>
                <w:b/>
                <w:bCs/>
                <w:color w:val="auto"/>
                <w:sz w:val="21"/>
                <w:szCs w:val="21"/>
                <w:highlight w:val="none"/>
                <w:u w:val="single"/>
              </w:rPr>
              <w:t xml:space="preserve"> </w:t>
            </w:r>
            <w:r>
              <w:rPr>
                <w:rFonts w:hint="eastAsia" w:ascii="仿宋" w:hAnsi="仿宋" w:eastAsia="仿宋" w:cs="宋体"/>
                <w:b/>
                <w:bCs/>
                <w:color w:val="auto"/>
                <w:sz w:val="21"/>
                <w:szCs w:val="21"/>
                <w:highlight w:val="none"/>
                <w:u w:val="single"/>
                <w:lang w:val="en-US" w:eastAsia="zh-CN"/>
              </w:rPr>
              <w:t>1</w:t>
            </w:r>
            <w:r>
              <w:rPr>
                <w:rFonts w:hint="eastAsia" w:ascii="仿宋" w:hAnsi="仿宋" w:eastAsia="仿宋" w:cs="宋体"/>
                <w:b/>
                <w:bCs/>
                <w:color w:val="auto"/>
                <w:sz w:val="21"/>
                <w:szCs w:val="21"/>
                <w:highlight w:val="none"/>
                <w:u w:val="single"/>
              </w:rPr>
              <w:t xml:space="preserve"> </w:t>
            </w:r>
            <w:r>
              <w:rPr>
                <w:rFonts w:hint="eastAsia" w:ascii="仿宋" w:hAnsi="仿宋" w:eastAsia="仿宋" w:cs="宋体"/>
                <w:b/>
                <w:bCs/>
                <w:color w:val="auto"/>
                <w:sz w:val="21"/>
                <w:szCs w:val="21"/>
                <w:highlight w:val="none"/>
              </w:rPr>
              <w:t>份</w:t>
            </w:r>
            <w:r>
              <w:rPr>
                <w:rFonts w:hint="eastAsia" w:ascii="仿宋" w:hAnsi="仿宋" w:eastAsia="仿宋"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14</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纸质</w:t>
            </w:r>
            <w:r>
              <w:rPr>
                <w:rFonts w:hint="eastAsia" w:ascii="仿宋" w:hAnsi="仿宋" w:eastAsia="仿宋" w:cs="仿宋"/>
                <w:color w:val="auto"/>
                <w:szCs w:val="21"/>
                <w:highlight w:val="none"/>
              </w:rPr>
              <w:t>响应文件的装订、密封和标记</w:t>
            </w:r>
          </w:p>
        </w:tc>
        <w:tc>
          <w:tcPr>
            <w:tcW w:w="3530" w:type="pct"/>
            <w:noWrap w:val="0"/>
            <w:vAlign w:val="center"/>
          </w:tcPr>
          <w:p>
            <w:pPr>
              <w:pStyle w:val="157"/>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lang w:val="en-US" w:eastAsia="zh-CN"/>
              </w:rPr>
              <w:t>1</w:t>
            </w: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接受电子</w:t>
            </w:r>
            <w:r>
              <w:rPr>
                <w:rFonts w:hint="eastAsia" w:ascii="仿宋" w:hAnsi="仿宋" w:eastAsia="仿宋" w:cs="宋体"/>
                <w:color w:val="auto"/>
                <w:szCs w:val="21"/>
                <w:highlight w:val="none"/>
                <w:lang w:val="en-US" w:eastAsia="zh-CN"/>
              </w:rPr>
              <w:t>响应</w:t>
            </w:r>
            <w:r>
              <w:rPr>
                <w:rFonts w:hint="eastAsia" w:ascii="仿宋" w:hAnsi="仿宋" w:eastAsia="仿宋" w:cs="宋体"/>
                <w:color w:val="auto"/>
                <w:szCs w:val="21"/>
                <w:highlight w:val="none"/>
              </w:rPr>
              <w:t>文件的同时，还接受纸质</w:t>
            </w:r>
            <w:r>
              <w:rPr>
                <w:rFonts w:hint="eastAsia" w:ascii="仿宋" w:hAnsi="仿宋" w:eastAsia="仿宋" w:cs="宋体"/>
                <w:color w:val="auto"/>
                <w:szCs w:val="21"/>
                <w:highlight w:val="none"/>
                <w:lang w:val="en-US" w:eastAsia="zh-CN"/>
              </w:rPr>
              <w:t>响应</w:t>
            </w:r>
            <w:r>
              <w:rPr>
                <w:rFonts w:hint="eastAsia" w:ascii="仿宋" w:hAnsi="仿宋" w:eastAsia="仿宋" w:cs="宋体"/>
                <w:color w:val="auto"/>
                <w:szCs w:val="21"/>
                <w:highlight w:val="none"/>
              </w:rPr>
              <w:t>文件备用：</w:t>
            </w:r>
          </w:p>
          <w:p>
            <w:pPr>
              <w:pStyle w:val="157"/>
              <w:keepNext w:val="0"/>
              <w:keepLines w:val="0"/>
              <w:suppressLineNumbers w:val="0"/>
              <w:spacing w:before="62" w:beforeLines="20" w:beforeAutospacing="0" w:after="62" w:afterLines="20" w:afterAutospacing="0"/>
              <w:ind w:left="0" w:right="0"/>
              <w:rPr>
                <w:rFonts w:hint="default" w:ascii="仿宋" w:hAnsi="仿宋" w:eastAsia="仿宋" w:cs="宋体"/>
                <w:bCs/>
                <w:color w:val="auto"/>
                <w:szCs w:val="21"/>
                <w:highlight w:val="none"/>
              </w:rPr>
            </w:pP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en-US" w:eastAsia="zh-CN"/>
              </w:rPr>
              <w:t>2</w:t>
            </w: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en-US" w:eastAsia="zh-CN"/>
              </w:rPr>
              <w:t>纸质响应文件</w:t>
            </w:r>
            <w:r>
              <w:rPr>
                <w:rFonts w:hint="eastAsia" w:ascii="仿宋" w:hAnsi="仿宋" w:eastAsia="仿宋" w:cs="宋体"/>
                <w:color w:val="auto"/>
                <w:szCs w:val="21"/>
                <w:highlight w:val="none"/>
              </w:rPr>
              <w:t>采用A4纸胶装，双面打印，密封粘接缝隙加盖</w:t>
            </w:r>
            <w:r>
              <w:rPr>
                <w:rFonts w:hint="eastAsia" w:ascii="仿宋" w:hAnsi="仿宋" w:eastAsia="仿宋" w:cs="宋体"/>
                <w:color w:val="auto"/>
                <w:szCs w:val="21"/>
                <w:highlight w:val="none"/>
                <w:lang w:val="en-US" w:eastAsia="zh-CN"/>
              </w:rPr>
              <w:t>供应商</w:t>
            </w:r>
            <w:r>
              <w:rPr>
                <w:rFonts w:hint="eastAsia" w:ascii="仿宋" w:hAnsi="仿宋" w:eastAsia="仿宋" w:cs="宋体"/>
                <w:color w:val="auto"/>
                <w:szCs w:val="21"/>
                <w:highlight w:val="none"/>
              </w:rPr>
              <w:t>公章</w:t>
            </w:r>
            <w:r>
              <w:rPr>
                <w:rFonts w:hint="eastAsia" w:ascii="仿宋" w:hAnsi="仿宋" w:eastAsia="仿宋" w:cs="宋体"/>
                <w:b/>
                <w:bCs/>
                <w:color w:val="auto"/>
                <w:szCs w:val="21"/>
                <w:highlight w:val="none"/>
              </w:rPr>
              <w:t>或</w:t>
            </w:r>
            <w:r>
              <w:rPr>
                <w:rFonts w:hint="eastAsia" w:ascii="仿宋" w:hAnsi="仿宋" w:eastAsia="仿宋" w:cs="宋体"/>
                <w:color w:val="auto"/>
                <w:szCs w:val="21"/>
                <w:highlight w:val="none"/>
              </w:rPr>
              <w:t>由法定代表人（负责人）</w:t>
            </w:r>
            <w:r>
              <w:rPr>
                <w:rFonts w:hint="eastAsia" w:ascii="仿宋" w:hAnsi="仿宋" w:eastAsia="仿宋" w:cs="宋体"/>
                <w:b/>
                <w:bCs/>
                <w:color w:val="auto"/>
                <w:szCs w:val="21"/>
                <w:highlight w:val="none"/>
              </w:rPr>
              <w:t>或</w:t>
            </w:r>
            <w:r>
              <w:rPr>
                <w:rFonts w:hint="eastAsia" w:ascii="仿宋" w:hAnsi="仿宋" w:eastAsia="仿宋" w:cs="宋体"/>
                <w:color w:val="auto"/>
                <w:szCs w:val="21"/>
                <w:highlight w:val="none"/>
              </w:rPr>
              <w:t>其委托代理人签字。</w:t>
            </w:r>
            <w:r>
              <w:rPr>
                <w:rFonts w:hint="eastAsia" w:ascii="仿宋" w:hAnsi="仿宋" w:eastAsia="仿宋" w:cs="宋体"/>
                <w:b/>
                <w:color w:val="auto"/>
                <w:szCs w:val="21"/>
                <w:highlight w:val="none"/>
              </w:rPr>
              <w:t>未按要求密封的</w:t>
            </w:r>
            <w:r>
              <w:rPr>
                <w:rFonts w:hint="eastAsia" w:ascii="仿宋" w:hAnsi="仿宋" w:eastAsia="仿宋" w:cs="宋体"/>
                <w:b/>
                <w:color w:val="auto"/>
                <w:szCs w:val="21"/>
                <w:highlight w:val="none"/>
                <w:lang w:eastAsia="zh-Hans"/>
              </w:rPr>
              <w:t>纸质</w:t>
            </w:r>
            <w:r>
              <w:rPr>
                <w:rFonts w:hint="eastAsia" w:ascii="仿宋" w:hAnsi="仿宋" w:eastAsia="仿宋" w:cs="宋体"/>
                <w:b/>
                <w:color w:val="auto"/>
                <w:szCs w:val="21"/>
                <w:highlight w:val="none"/>
                <w:lang w:val="en-US" w:eastAsia="zh-Hans"/>
              </w:rPr>
              <w:t>响应</w:t>
            </w:r>
            <w:r>
              <w:rPr>
                <w:rFonts w:hint="eastAsia" w:ascii="仿宋" w:hAnsi="仿宋" w:eastAsia="仿宋" w:cs="宋体"/>
                <w:b/>
                <w:color w:val="auto"/>
                <w:szCs w:val="21"/>
                <w:highlight w:val="none"/>
              </w:rPr>
              <w:t>文件不予接收。</w:t>
            </w:r>
          </w:p>
          <w:p>
            <w:pPr>
              <w:keepNext w:val="0"/>
              <w:keepLines w:val="0"/>
              <w:suppressLineNumbers w:val="0"/>
              <w:spacing w:before="0" w:beforeAutospacing="0" w:after="0" w:afterAutospacing="0"/>
              <w:ind w:left="0" w:right="0"/>
              <w:rPr>
                <w:rFonts w:hint="default" w:ascii="仿宋" w:hAnsi="仿宋" w:eastAsia="仿宋"/>
                <w:color w:val="auto"/>
                <w:highlight w:val="none"/>
              </w:rPr>
            </w:pPr>
            <w:r>
              <w:rPr>
                <w:rFonts w:hint="eastAsia" w:ascii="仿宋" w:hAnsi="仿宋" w:eastAsia="仿宋" w:cs="Cambria Math"/>
                <w:color w:val="auto"/>
                <w:szCs w:val="21"/>
                <w:highlight w:val="none"/>
              </w:rPr>
              <w:t>（</w:t>
            </w:r>
            <w:r>
              <w:rPr>
                <w:rFonts w:hint="eastAsia" w:ascii="仿宋" w:hAnsi="仿宋" w:eastAsia="仿宋" w:cs="Cambria Math"/>
                <w:color w:val="auto"/>
                <w:szCs w:val="21"/>
                <w:highlight w:val="none"/>
                <w:lang w:val="en-US" w:eastAsia="zh-CN"/>
              </w:rPr>
              <w:t>3</w:t>
            </w:r>
            <w:r>
              <w:rPr>
                <w:rFonts w:hint="eastAsia" w:ascii="仿宋" w:hAnsi="仿宋" w:eastAsia="仿宋" w:cs="Cambria Math"/>
                <w:color w:val="auto"/>
                <w:szCs w:val="21"/>
                <w:highlight w:val="none"/>
              </w:rPr>
              <w:t>）外层包封具体样式如下：</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Cambria Math"/>
                <w:b/>
                <w:color w:val="auto"/>
                <w:highlight w:val="none"/>
              </w:rPr>
            </w:pPr>
            <w:r>
              <w:rPr>
                <w:rFonts w:hint="eastAsia" w:ascii="仿宋" w:hAnsi="仿宋" w:eastAsia="仿宋" w:cs="仿宋"/>
                <w:color w:val="auto"/>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no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项目名称：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采购人名称：</w:t>
                                  </w:r>
                                  <w:r>
                                    <w:rPr>
                                      <w:rFonts w:hint="eastAsia" w:ascii="仿宋" w:hAnsi="仿宋" w:eastAsia="仿宋" w:cs="仿宋"/>
                                      <w:kern w:val="0"/>
                                      <w:szCs w:val="21"/>
                                      <w:highlight w:val="none"/>
                                      <w:u w:val="single"/>
                                    </w:rPr>
                                    <w:t xml:space="preserve">                 </w:t>
                                  </w:r>
                                </w:p>
                                <w:p>
                                  <w:pPr>
                                    <w:spacing w:line="360" w:lineRule="auto"/>
                                    <w:rPr>
                                      <w:rFonts w:hint="eastAsia" w:ascii="仿宋" w:hAnsi="仿宋" w:eastAsia="仿宋" w:cs="仿宋"/>
                                      <w:kern w:val="0"/>
                                      <w:szCs w:val="21"/>
                                      <w:highlight w:val="none"/>
                                    </w:rPr>
                                  </w:pPr>
                                  <w:r>
                                    <w:rPr>
                                      <w:rFonts w:hint="eastAsia" w:ascii="仿宋" w:hAnsi="仿宋" w:eastAsia="仿宋" w:cs="仿宋"/>
                                      <w:kern w:val="0"/>
                                      <w:szCs w:val="21"/>
                                      <w:highlight w:val="none"/>
                                    </w:rPr>
                                    <w:t>本文件于</w:t>
                                  </w:r>
                                  <w:r>
                                    <w:rPr>
                                      <w:rFonts w:hint="eastAsia" w:ascii="仿宋" w:hAnsi="仿宋" w:eastAsia="仿宋" w:cs="仿宋"/>
                                      <w:szCs w:val="21"/>
                                      <w:highlight w:val="none"/>
                                    </w:rPr>
                                    <w:t>【</w:t>
                                  </w:r>
                                  <w:r>
                                    <w:rPr>
                                      <w:rFonts w:hint="eastAsia" w:ascii="仿宋" w:hAnsi="仿宋" w:eastAsia="仿宋" w:cs="仿宋"/>
                                      <w:szCs w:val="21"/>
                                      <w:highlight w:val="none"/>
                                      <w:u w:val="single"/>
                                    </w:rPr>
                                    <w:t>XX</w:t>
                                  </w:r>
                                  <w:r>
                                    <w:rPr>
                                      <w:rFonts w:hint="eastAsia" w:ascii="仿宋" w:hAnsi="仿宋" w:eastAsia="仿宋" w:cs="仿宋"/>
                                      <w:szCs w:val="21"/>
                                      <w:highlight w:val="none"/>
                                    </w:rPr>
                                    <w:t>】年【</w:t>
                                  </w:r>
                                  <w:r>
                                    <w:rPr>
                                      <w:rFonts w:hint="eastAsia" w:ascii="仿宋" w:hAnsi="仿宋" w:eastAsia="仿宋" w:cs="仿宋"/>
                                      <w:szCs w:val="21"/>
                                      <w:highlight w:val="none"/>
                                      <w:u w:val="single"/>
                                    </w:rPr>
                                    <w:t>XX</w:t>
                                  </w:r>
                                  <w:r>
                                    <w:rPr>
                                      <w:rFonts w:hint="eastAsia" w:ascii="仿宋" w:hAnsi="仿宋" w:eastAsia="仿宋" w:cs="仿宋"/>
                                      <w:szCs w:val="21"/>
                                      <w:highlight w:val="none"/>
                                    </w:rPr>
                                    <w:t>】月【</w:t>
                                  </w:r>
                                  <w:r>
                                    <w:rPr>
                                      <w:rFonts w:hint="eastAsia" w:ascii="仿宋" w:hAnsi="仿宋" w:eastAsia="仿宋" w:cs="仿宋"/>
                                      <w:szCs w:val="21"/>
                                      <w:highlight w:val="none"/>
                                      <w:u w:val="single"/>
                                    </w:rPr>
                                    <w:t>XX</w:t>
                                  </w:r>
                                  <w:r>
                                    <w:rPr>
                                      <w:rFonts w:hint="eastAsia" w:ascii="仿宋" w:hAnsi="仿宋" w:eastAsia="仿宋" w:cs="仿宋"/>
                                      <w:szCs w:val="21"/>
                                      <w:highlight w:val="none"/>
                                    </w:rPr>
                                    <w:t>】日【</w:t>
                                  </w:r>
                                  <w:r>
                                    <w:rPr>
                                      <w:rFonts w:hint="eastAsia" w:ascii="仿宋" w:hAnsi="仿宋" w:eastAsia="仿宋" w:cs="仿宋"/>
                                      <w:szCs w:val="21"/>
                                      <w:highlight w:val="none"/>
                                      <w:u w:val="single"/>
                                    </w:rPr>
                                    <w:t>XX</w:t>
                                  </w:r>
                                  <w:r>
                                    <w:rPr>
                                      <w:rFonts w:hint="eastAsia" w:ascii="仿宋" w:hAnsi="仿宋" w:eastAsia="仿宋" w:cs="仿宋"/>
                                      <w:szCs w:val="21"/>
                                      <w:highlight w:val="none"/>
                                    </w:rPr>
                                    <w:t>】【</w:t>
                                  </w:r>
                                  <w:r>
                                    <w:rPr>
                                      <w:rFonts w:hint="eastAsia" w:ascii="仿宋" w:hAnsi="仿宋" w:eastAsia="仿宋" w:cs="仿宋"/>
                                      <w:szCs w:val="21"/>
                                      <w:highlight w:val="none"/>
                                      <w:u w:val="single"/>
                                    </w:rPr>
                                    <w:t>XX</w:t>
                                  </w:r>
                                  <w:r>
                                    <w:rPr>
                                      <w:rFonts w:hint="eastAsia" w:ascii="仿宋" w:hAnsi="仿宋" w:eastAsia="仿宋" w:cs="仿宋"/>
                                      <w:szCs w:val="21"/>
                                      <w:highlight w:val="none"/>
                                    </w:rPr>
                                    <w:t>】时【</w:t>
                                  </w:r>
                                  <w:r>
                                    <w:rPr>
                                      <w:rFonts w:hint="eastAsia" w:ascii="仿宋" w:hAnsi="仿宋" w:eastAsia="仿宋" w:cs="仿宋"/>
                                      <w:szCs w:val="21"/>
                                      <w:highlight w:val="none"/>
                                      <w:u w:val="single"/>
                                    </w:rPr>
                                    <w:t>XX</w:t>
                                  </w:r>
                                  <w:r>
                                    <w:rPr>
                                      <w:rFonts w:hint="eastAsia" w:ascii="仿宋" w:hAnsi="仿宋" w:eastAsia="仿宋" w:cs="仿宋"/>
                                      <w:szCs w:val="21"/>
                                      <w:highlight w:val="none"/>
                                    </w:rPr>
                                    <w:t>】</w:t>
                                  </w:r>
                                  <w:r>
                                    <w:rPr>
                                      <w:rFonts w:hint="eastAsia" w:ascii="仿宋" w:hAnsi="仿宋" w:eastAsia="仿宋" w:cs="仿宋"/>
                                      <w:kern w:val="0"/>
                                      <w:szCs w:val="21"/>
                                      <w:highlight w:val="none"/>
                                    </w:rPr>
                                    <w:t>（北京时间）前不得开封</w:t>
                                  </w:r>
                                </w:p>
                                <w:p>
                                  <w:pPr>
                                    <w:spacing w:line="360" w:lineRule="auto"/>
                                    <w:rPr>
                                      <w:rFonts w:hint="eastAsia" w:ascii="仿宋" w:hAnsi="仿宋" w:eastAsia="仿宋" w:cs="仿宋"/>
                                      <w:kern w:val="0"/>
                                      <w:szCs w:val="21"/>
                                      <w:highlight w:val="none"/>
                                    </w:rPr>
                                  </w:pPr>
                                  <w:r>
                                    <w:rPr>
                                      <w:rFonts w:hint="eastAsia" w:ascii="仿宋" w:hAnsi="仿宋" w:eastAsia="仿宋" w:cs="仿宋"/>
                                      <w:kern w:val="0"/>
                                      <w:szCs w:val="21"/>
                                      <w:highlight w:val="none"/>
                                    </w:rPr>
                                    <w:t>供应商名称：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（公章）</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供应商地址：</w:t>
                                  </w:r>
                                  <w:r>
                                    <w:rPr>
                                      <w:rFonts w:hint="eastAsia" w:ascii="仿宋" w:hAnsi="仿宋" w:eastAsia="仿宋" w:cs="仿宋"/>
                                      <w:kern w:val="0"/>
                                      <w:szCs w:val="21"/>
                                      <w:highlight w:val="none"/>
                                      <w:u w:val="single"/>
                                    </w:rPr>
                                    <w:t xml:space="preserve">                 </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封装文件内容：</w:t>
                                  </w:r>
                                  <w:r>
                                    <w:rPr>
                                      <w:rFonts w:hint="eastAsia" w:ascii="仿宋" w:hAnsi="仿宋" w:eastAsia="仿宋" w:cs="仿宋"/>
                                      <w:kern w:val="0"/>
                                      <w:szCs w:val="21"/>
                                      <w:highlight w:val="none"/>
                                      <w:u w:val="single"/>
                                    </w:rPr>
                                    <w:t xml:space="preserve">                 </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联系人及联系电话：</w:t>
                                  </w:r>
                                  <w:r>
                                    <w:rPr>
                                      <w:rFonts w:hint="eastAsia" w:ascii="仿宋" w:hAnsi="仿宋" w:eastAsia="仿宋" w:cs="仿宋"/>
                                      <w:kern w:val="0"/>
                                      <w:szCs w:val="21"/>
                                      <w:highlight w:val="none"/>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ed="f" stroked="t" coordsize="21600,21600" o:gfxdata="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DY0GO1QAAAAUBAAAPAAAAAAAAAAEAIAAAACIAAABkcnMvZG93bnJldi54bWxQSwECFAAUAAAA&#10;CACHTuJA4n+ReyoCAABZBAAADgAAAAAAAAABACAAAAAkAQAAZHJzL2Uyb0RvYy54bWxQSwUGAAAA&#10;AAYABgBZAQAAwAUAAAAA&#10;">
                      <v:fill on="f"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项目名称：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采购人名称：</w:t>
                            </w:r>
                            <w:r>
                              <w:rPr>
                                <w:rFonts w:hint="eastAsia" w:ascii="仿宋" w:hAnsi="仿宋" w:eastAsia="仿宋" w:cs="仿宋"/>
                                <w:kern w:val="0"/>
                                <w:szCs w:val="21"/>
                                <w:highlight w:val="none"/>
                                <w:u w:val="single"/>
                              </w:rPr>
                              <w:t xml:space="preserve">                 </w:t>
                            </w:r>
                          </w:p>
                          <w:p>
                            <w:pPr>
                              <w:spacing w:line="360" w:lineRule="auto"/>
                              <w:rPr>
                                <w:rFonts w:hint="eastAsia" w:ascii="仿宋" w:hAnsi="仿宋" w:eastAsia="仿宋" w:cs="仿宋"/>
                                <w:kern w:val="0"/>
                                <w:szCs w:val="21"/>
                                <w:highlight w:val="none"/>
                              </w:rPr>
                            </w:pPr>
                            <w:r>
                              <w:rPr>
                                <w:rFonts w:hint="eastAsia" w:ascii="仿宋" w:hAnsi="仿宋" w:eastAsia="仿宋" w:cs="仿宋"/>
                                <w:kern w:val="0"/>
                                <w:szCs w:val="21"/>
                                <w:highlight w:val="none"/>
                              </w:rPr>
                              <w:t>本文件于</w:t>
                            </w:r>
                            <w:r>
                              <w:rPr>
                                <w:rFonts w:hint="eastAsia" w:ascii="仿宋" w:hAnsi="仿宋" w:eastAsia="仿宋" w:cs="仿宋"/>
                                <w:szCs w:val="21"/>
                                <w:highlight w:val="none"/>
                              </w:rPr>
                              <w:t>【</w:t>
                            </w:r>
                            <w:r>
                              <w:rPr>
                                <w:rFonts w:hint="eastAsia" w:ascii="仿宋" w:hAnsi="仿宋" w:eastAsia="仿宋" w:cs="仿宋"/>
                                <w:szCs w:val="21"/>
                                <w:highlight w:val="none"/>
                                <w:u w:val="single"/>
                              </w:rPr>
                              <w:t>XX</w:t>
                            </w:r>
                            <w:r>
                              <w:rPr>
                                <w:rFonts w:hint="eastAsia" w:ascii="仿宋" w:hAnsi="仿宋" w:eastAsia="仿宋" w:cs="仿宋"/>
                                <w:szCs w:val="21"/>
                                <w:highlight w:val="none"/>
                              </w:rPr>
                              <w:t>】年【</w:t>
                            </w:r>
                            <w:r>
                              <w:rPr>
                                <w:rFonts w:hint="eastAsia" w:ascii="仿宋" w:hAnsi="仿宋" w:eastAsia="仿宋" w:cs="仿宋"/>
                                <w:szCs w:val="21"/>
                                <w:highlight w:val="none"/>
                                <w:u w:val="single"/>
                              </w:rPr>
                              <w:t>XX</w:t>
                            </w:r>
                            <w:r>
                              <w:rPr>
                                <w:rFonts w:hint="eastAsia" w:ascii="仿宋" w:hAnsi="仿宋" w:eastAsia="仿宋" w:cs="仿宋"/>
                                <w:szCs w:val="21"/>
                                <w:highlight w:val="none"/>
                              </w:rPr>
                              <w:t>】月【</w:t>
                            </w:r>
                            <w:r>
                              <w:rPr>
                                <w:rFonts w:hint="eastAsia" w:ascii="仿宋" w:hAnsi="仿宋" w:eastAsia="仿宋" w:cs="仿宋"/>
                                <w:szCs w:val="21"/>
                                <w:highlight w:val="none"/>
                                <w:u w:val="single"/>
                              </w:rPr>
                              <w:t>XX</w:t>
                            </w:r>
                            <w:r>
                              <w:rPr>
                                <w:rFonts w:hint="eastAsia" w:ascii="仿宋" w:hAnsi="仿宋" w:eastAsia="仿宋" w:cs="仿宋"/>
                                <w:szCs w:val="21"/>
                                <w:highlight w:val="none"/>
                              </w:rPr>
                              <w:t>】日【</w:t>
                            </w:r>
                            <w:r>
                              <w:rPr>
                                <w:rFonts w:hint="eastAsia" w:ascii="仿宋" w:hAnsi="仿宋" w:eastAsia="仿宋" w:cs="仿宋"/>
                                <w:szCs w:val="21"/>
                                <w:highlight w:val="none"/>
                                <w:u w:val="single"/>
                              </w:rPr>
                              <w:t>XX</w:t>
                            </w:r>
                            <w:r>
                              <w:rPr>
                                <w:rFonts w:hint="eastAsia" w:ascii="仿宋" w:hAnsi="仿宋" w:eastAsia="仿宋" w:cs="仿宋"/>
                                <w:szCs w:val="21"/>
                                <w:highlight w:val="none"/>
                              </w:rPr>
                              <w:t>】【</w:t>
                            </w:r>
                            <w:r>
                              <w:rPr>
                                <w:rFonts w:hint="eastAsia" w:ascii="仿宋" w:hAnsi="仿宋" w:eastAsia="仿宋" w:cs="仿宋"/>
                                <w:szCs w:val="21"/>
                                <w:highlight w:val="none"/>
                                <w:u w:val="single"/>
                              </w:rPr>
                              <w:t>XX</w:t>
                            </w:r>
                            <w:r>
                              <w:rPr>
                                <w:rFonts w:hint="eastAsia" w:ascii="仿宋" w:hAnsi="仿宋" w:eastAsia="仿宋" w:cs="仿宋"/>
                                <w:szCs w:val="21"/>
                                <w:highlight w:val="none"/>
                              </w:rPr>
                              <w:t>】时【</w:t>
                            </w:r>
                            <w:r>
                              <w:rPr>
                                <w:rFonts w:hint="eastAsia" w:ascii="仿宋" w:hAnsi="仿宋" w:eastAsia="仿宋" w:cs="仿宋"/>
                                <w:szCs w:val="21"/>
                                <w:highlight w:val="none"/>
                                <w:u w:val="single"/>
                              </w:rPr>
                              <w:t>XX</w:t>
                            </w:r>
                            <w:r>
                              <w:rPr>
                                <w:rFonts w:hint="eastAsia" w:ascii="仿宋" w:hAnsi="仿宋" w:eastAsia="仿宋" w:cs="仿宋"/>
                                <w:szCs w:val="21"/>
                                <w:highlight w:val="none"/>
                              </w:rPr>
                              <w:t>】</w:t>
                            </w:r>
                            <w:r>
                              <w:rPr>
                                <w:rFonts w:hint="eastAsia" w:ascii="仿宋" w:hAnsi="仿宋" w:eastAsia="仿宋" w:cs="仿宋"/>
                                <w:kern w:val="0"/>
                                <w:szCs w:val="21"/>
                                <w:highlight w:val="none"/>
                              </w:rPr>
                              <w:t>（北京时间）前不得开封</w:t>
                            </w:r>
                          </w:p>
                          <w:p>
                            <w:pPr>
                              <w:spacing w:line="360" w:lineRule="auto"/>
                              <w:rPr>
                                <w:rFonts w:hint="eastAsia" w:ascii="仿宋" w:hAnsi="仿宋" w:eastAsia="仿宋" w:cs="仿宋"/>
                                <w:kern w:val="0"/>
                                <w:szCs w:val="21"/>
                                <w:highlight w:val="none"/>
                              </w:rPr>
                            </w:pPr>
                            <w:r>
                              <w:rPr>
                                <w:rFonts w:hint="eastAsia" w:ascii="仿宋" w:hAnsi="仿宋" w:eastAsia="仿宋" w:cs="仿宋"/>
                                <w:kern w:val="0"/>
                                <w:szCs w:val="21"/>
                                <w:highlight w:val="none"/>
                              </w:rPr>
                              <w:t>供应商名称：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（公章）</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供应商地址：</w:t>
                            </w:r>
                            <w:r>
                              <w:rPr>
                                <w:rFonts w:hint="eastAsia" w:ascii="仿宋" w:hAnsi="仿宋" w:eastAsia="仿宋" w:cs="仿宋"/>
                                <w:kern w:val="0"/>
                                <w:szCs w:val="21"/>
                                <w:highlight w:val="none"/>
                                <w:u w:val="single"/>
                              </w:rPr>
                              <w:t xml:space="preserve">                 </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封装文件内容：</w:t>
                            </w:r>
                            <w:r>
                              <w:rPr>
                                <w:rFonts w:hint="eastAsia" w:ascii="仿宋" w:hAnsi="仿宋" w:eastAsia="仿宋" w:cs="仿宋"/>
                                <w:kern w:val="0"/>
                                <w:szCs w:val="21"/>
                                <w:highlight w:val="none"/>
                                <w:u w:val="single"/>
                              </w:rPr>
                              <w:t xml:space="preserve">                 </w:t>
                            </w:r>
                          </w:p>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联系人及联系电话：</w:t>
                            </w:r>
                            <w:r>
                              <w:rPr>
                                <w:rFonts w:hint="eastAsia" w:ascii="仿宋" w:hAnsi="仿宋" w:eastAsia="仿宋" w:cs="仿宋"/>
                                <w:kern w:val="0"/>
                                <w:szCs w:val="21"/>
                                <w:highlight w:val="none"/>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15</w:t>
            </w:r>
          </w:p>
        </w:tc>
        <w:tc>
          <w:tcPr>
            <w:tcW w:w="986" w:type="pct"/>
            <w:noWrap w:val="0"/>
            <w:vAlign w:val="center"/>
          </w:tcPr>
          <w:p>
            <w:pPr>
              <w:pStyle w:val="157"/>
              <w:keepNext w:val="0"/>
              <w:keepLines w:val="0"/>
              <w:suppressLineNumbers w:val="0"/>
              <w:spacing w:before="62" w:beforeLines="20" w:beforeAutospacing="0" w:after="62" w:afterLines="20" w:afterAutospacing="0" w:line="360" w:lineRule="auto"/>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响应文件的递交</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val="en-US" w:eastAsia="zh-CN"/>
              </w:rPr>
              <w:t>比选</w:t>
            </w:r>
            <w:r>
              <w:rPr>
                <w:rFonts w:hint="eastAsia" w:ascii="仿宋" w:hAnsi="仿宋" w:eastAsia="仿宋" w:cs="仿宋"/>
                <w:color w:val="auto"/>
                <w:highlight w:val="none"/>
                <w:u w:val="single"/>
              </w:rPr>
              <w:t>公告“五、响应文件的递交”</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15.1</w:t>
            </w:r>
          </w:p>
        </w:tc>
        <w:tc>
          <w:tcPr>
            <w:tcW w:w="986" w:type="pct"/>
            <w:noWrap w:val="0"/>
            <w:vAlign w:val="center"/>
          </w:tcPr>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leftChars="0" w:right="0" w:rightChars="0"/>
              <w:jc w:val="center"/>
              <w:textAlignment w:val="auto"/>
              <w:rPr>
                <w:rFonts w:hint="eastAsia" w:ascii="仿宋" w:hAnsi="仿宋" w:eastAsia="仿宋" w:cs="仿宋"/>
                <w:color w:val="auto"/>
                <w:highlight w:val="none"/>
              </w:rPr>
            </w:pPr>
            <w:r>
              <w:rPr>
                <w:rFonts w:hint="eastAsia" w:ascii="仿宋" w:hAnsi="仿宋" w:eastAsia="仿宋" w:cs="宋体"/>
                <w:color w:val="auto"/>
                <w:spacing w:val="-6"/>
                <w:kern w:val="0"/>
                <w:sz w:val="21"/>
                <w:szCs w:val="21"/>
                <w:highlight w:val="none"/>
                <w:lang w:val="en-US" w:eastAsia="zh-CN" w:bidi="ar-SA"/>
              </w:rPr>
              <w:t>解密时间</w:t>
            </w:r>
          </w:p>
        </w:tc>
        <w:tc>
          <w:tcPr>
            <w:tcW w:w="3530" w:type="pct"/>
            <w:noWrap w:val="0"/>
            <w:vAlign w:val="center"/>
          </w:tcPr>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leftChars="0" w:right="0" w:rightChars="0"/>
              <w:jc w:val="left"/>
              <w:textAlignment w:val="auto"/>
              <w:rPr>
                <w:rFonts w:hint="eastAsia" w:ascii="仿宋" w:hAnsi="仿宋" w:eastAsia="仿宋" w:cs="仿宋"/>
                <w:color w:val="auto"/>
                <w:highlight w:val="none"/>
              </w:rPr>
            </w:pPr>
            <w:r>
              <w:rPr>
                <w:rFonts w:hint="eastAsia" w:ascii="仿宋" w:hAnsi="仿宋" w:eastAsia="仿宋" w:cs="宋体"/>
                <w:color w:val="auto"/>
                <w:spacing w:val="-6"/>
                <w:kern w:val="0"/>
                <w:sz w:val="21"/>
                <w:szCs w:val="21"/>
                <w:highlight w:val="none"/>
                <w:lang w:val="en-US" w:eastAsia="zh-CN" w:bidi="ar-SA"/>
              </w:rPr>
              <w:t>电子交易平台发出解密提示后30分钟内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组建</w:t>
            </w:r>
            <w:r>
              <w:rPr>
                <w:rFonts w:hint="eastAsia" w:ascii="仿宋" w:hAnsi="仿宋" w:eastAsia="仿宋" w:cs="宋体"/>
                <w:color w:val="auto"/>
                <w:highlight w:val="none"/>
                <w:lang w:val="en-US" w:eastAsia="zh-CN"/>
              </w:rPr>
              <w:t>比选</w:t>
            </w:r>
            <w:r>
              <w:rPr>
                <w:rFonts w:hint="eastAsia" w:ascii="仿宋" w:hAnsi="仿宋" w:eastAsia="仿宋" w:cs="仿宋"/>
                <w:color w:val="auto"/>
                <w:szCs w:val="21"/>
                <w:highlight w:val="none"/>
              </w:rPr>
              <w:t>小组</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本项目</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小组成员人数为</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kern w:val="0"/>
                <w:szCs w:val="21"/>
                <w:highlight w:val="none"/>
              </w:rPr>
            </w:pPr>
            <w:r>
              <w:rPr>
                <w:rFonts w:hint="eastAsia" w:ascii="仿宋" w:hAnsi="仿宋" w:eastAsia="仿宋" w:cs="宋体"/>
                <w:color w:val="auto"/>
                <w:highlight w:val="none"/>
                <w:lang w:val="en-US" w:eastAsia="zh-CN"/>
              </w:rPr>
              <w:t>比选</w:t>
            </w:r>
            <w:r>
              <w:rPr>
                <w:rFonts w:hint="eastAsia" w:ascii="仿宋" w:hAnsi="仿宋" w:eastAsia="仿宋" w:cs="仿宋"/>
                <w:color w:val="auto"/>
                <w:kern w:val="0"/>
                <w:szCs w:val="21"/>
                <w:highlight w:val="none"/>
              </w:rPr>
              <w:t>程序及方式</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小组将与通过初步评审的有效供应商按照</w:t>
            </w:r>
            <w:r>
              <w:rPr>
                <w:rFonts w:hint="eastAsia" w:ascii="仿宋" w:hAnsi="仿宋" w:eastAsia="仿宋" w:cs="仿宋"/>
                <w:color w:val="auto"/>
                <w:highlight w:val="none"/>
                <w:u w:val="single"/>
              </w:rPr>
              <w:t>响应文件递交顺序</w:t>
            </w:r>
            <w:r>
              <w:rPr>
                <w:rFonts w:hint="eastAsia" w:ascii="仿宋" w:hAnsi="仿宋" w:eastAsia="仿宋" w:cs="仿宋"/>
                <w:color w:val="auto"/>
                <w:highlight w:val="none"/>
              </w:rPr>
              <w:t>逐一进行</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，供应商至少应派法定代表人或其授权委托人准时参会。</w:t>
            </w:r>
          </w:p>
          <w:p>
            <w:pPr>
              <w:pStyle w:val="157"/>
              <w:keepNext w:val="0"/>
              <w:keepLines w:val="0"/>
              <w:suppressLineNumbers w:val="0"/>
              <w:spacing w:before="62" w:beforeLines="20" w:beforeAutospacing="0" w:after="62" w:afterLines="20" w:afterAutospacing="0" w:line="360" w:lineRule="auto"/>
              <w:ind w:left="0" w:right="0"/>
              <w:rPr>
                <w:rFonts w:hint="default"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小组有权要求供应商对响应文件中含义不明确、同类问题表述不一致或者有明显文字和计算错误的内容等进行澄清、说明或更正。第一轮</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结束后，供应商提交第一轮报价及</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小组要求提供的其他文件，</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小组将视具体情况决定是否进行多轮</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及报价。最后一轮</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19.3</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宋体"/>
                <w:color w:val="auto"/>
                <w:highlight w:val="none"/>
                <w:lang w:val="en-US" w:eastAsia="zh-CN"/>
              </w:rPr>
              <w:t>比选</w:t>
            </w:r>
            <w:r>
              <w:rPr>
                <w:rFonts w:hint="eastAsia" w:ascii="仿宋" w:hAnsi="仿宋" w:eastAsia="仿宋" w:cs="仿宋"/>
                <w:color w:val="auto"/>
                <w:szCs w:val="21"/>
                <w:highlight w:val="none"/>
              </w:rPr>
              <w:t>内容</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包含但不仅限于</w:t>
            </w:r>
            <w:r>
              <w:rPr>
                <w:rFonts w:hint="eastAsia" w:ascii="仿宋" w:hAnsi="仿宋" w:eastAsia="仿宋" w:cs="仿宋"/>
                <w:color w:val="auto"/>
                <w:highlight w:val="none"/>
                <w:u w:val="single"/>
              </w:rPr>
              <w:t>报价、</w:t>
            </w:r>
            <w:r>
              <w:rPr>
                <w:rFonts w:hint="eastAsia" w:ascii="仿宋" w:hAnsi="仿宋" w:eastAsia="仿宋" w:cs="仿宋"/>
                <w:color w:val="auto"/>
                <w:highlight w:val="none"/>
                <w:u w:val="single"/>
                <w:lang w:val="en-US" w:eastAsia="zh-CN"/>
              </w:rPr>
              <w:t>技术</w:t>
            </w:r>
            <w:r>
              <w:rPr>
                <w:rFonts w:hint="eastAsia" w:ascii="仿宋" w:hAnsi="仿宋" w:eastAsia="仿宋" w:cs="仿宋"/>
                <w:color w:val="auto"/>
                <w:highlight w:val="none"/>
                <w:u w:val="single"/>
              </w:rPr>
              <w:t>方案、商务</w:t>
            </w:r>
            <w:r>
              <w:rPr>
                <w:rFonts w:hint="eastAsia" w:ascii="仿宋" w:hAnsi="仿宋" w:eastAsia="仿宋" w:cs="仿宋"/>
                <w:color w:val="auto"/>
                <w:highlight w:val="none"/>
                <w:u w:val="single"/>
                <w:lang w:val="en-US" w:eastAsia="zh-CN"/>
              </w:rPr>
              <w:t>内容</w:t>
            </w:r>
            <w:r>
              <w:rPr>
                <w:rFonts w:hint="eastAsia" w:ascii="仿宋" w:hAnsi="仿宋" w:eastAsia="仿宋" w:cs="仿宋"/>
                <w:color w:val="auto"/>
                <w:highlight w:val="none"/>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3530" w:type="pct"/>
            <w:noWrap w:val="0"/>
            <w:vAlign w:val="center"/>
          </w:tcPr>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w:t>
            </w:r>
            <w:r>
              <w:rPr>
                <w:rFonts w:hint="eastAsia" w:ascii="仿宋" w:hAnsi="仿宋" w:eastAsia="仿宋" w:cs="宋体"/>
                <w:color w:val="auto"/>
                <w:highlight w:val="none"/>
                <w:u w:val="single"/>
                <w:lang w:val="en-US" w:eastAsia="zh-CN"/>
              </w:rPr>
              <w:t>前3名</w:t>
            </w:r>
            <w:r>
              <w:rPr>
                <w:rFonts w:hint="eastAsia" w:ascii="仿宋" w:hAnsi="仿宋" w:eastAsia="仿宋" w:cs="宋体"/>
                <w:color w:val="auto"/>
                <w:highlight w:val="none"/>
              </w:rPr>
              <w:t>为</w:t>
            </w:r>
            <w:r>
              <w:rPr>
                <w:rFonts w:hint="eastAsia" w:ascii="仿宋" w:hAnsi="仿宋" w:eastAsia="仿宋" w:cs="仿宋"/>
                <w:color w:val="auto"/>
                <w:highlight w:val="none"/>
              </w:rPr>
              <w:t>成交候选人</w:t>
            </w:r>
            <w:r>
              <w:rPr>
                <w:rFonts w:hint="eastAsia" w:ascii="仿宋" w:hAnsi="仿宋" w:eastAsia="仿宋" w:cs="宋体"/>
                <w:color w:val="auto"/>
                <w:highlight w:val="none"/>
              </w:rPr>
              <w:t>。</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rPr>
              <w:t>技术</w:t>
            </w:r>
            <w:r>
              <w:rPr>
                <w:rFonts w:hint="eastAsia" w:ascii="仿宋" w:hAnsi="仿宋" w:eastAsia="仿宋" w:cs="仿宋"/>
                <w:color w:val="auto"/>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21.1</w:t>
            </w:r>
          </w:p>
        </w:tc>
        <w:tc>
          <w:tcPr>
            <w:tcW w:w="986" w:type="pct"/>
            <w:noWrap w:val="0"/>
            <w:vAlign w:val="center"/>
          </w:tcPr>
          <w:p>
            <w:pPr>
              <w:pStyle w:val="157"/>
              <w:keepNext w:val="0"/>
              <w:keepLines w:val="0"/>
              <w:suppressLineNumbers w:val="0"/>
              <w:spacing w:before="62" w:beforeLines="20" w:beforeAutospacing="0" w:after="62" w:afterLines="20" w:afterAutospacing="0" w:line="360" w:lineRule="auto"/>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成交人数量</w:t>
            </w:r>
          </w:p>
        </w:tc>
        <w:tc>
          <w:tcPr>
            <w:tcW w:w="3530" w:type="pct"/>
            <w:noWrap w:val="0"/>
            <w:vAlign w:val="center"/>
          </w:tcPr>
          <w:p>
            <w:pPr>
              <w:pStyle w:val="157"/>
              <w:keepNext w:val="0"/>
              <w:keepLines w:val="0"/>
              <w:suppressLineNumbers w:val="0"/>
              <w:spacing w:before="62" w:beforeLines="20" w:beforeAutospacing="0" w:after="62" w:afterLines="20" w:afterAutospacing="0"/>
              <w:ind w:left="0" w:right="0"/>
              <w:rPr>
                <w:rFonts w:hint="default"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lang w:val="en-US" w:eastAsia="zh-CN"/>
              </w:rPr>
              <w:t>1</w:t>
            </w:r>
            <w:r>
              <w:rPr>
                <w:rFonts w:hint="eastAsia" w:ascii="仿宋" w:hAnsi="仿宋" w:eastAsia="仿宋" w:cs="仿宋"/>
                <w:color w:val="auto"/>
                <w:highlight w:val="none"/>
                <w:u w:val="single"/>
              </w:rPr>
              <w:t>家</w:t>
            </w:r>
          </w:p>
          <w:p>
            <w:pPr>
              <w:pStyle w:val="157"/>
              <w:keepNext w:val="0"/>
              <w:keepLines w:val="0"/>
              <w:suppressLineNumbers w:val="0"/>
              <w:spacing w:before="62" w:beforeLines="20" w:beforeAutospacing="0" w:after="62" w:afterLines="2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highlight w:val="none"/>
              </w:rPr>
              <w:t>成交候选人放弃成交、因不可抗力不能履行合同、</w:t>
            </w:r>
            <w:r>
              <w:rPr>
                <w:rFonts w:hint="eastAsia" w:ascii="仿宋" w:hAnsi="仿宋" w:eastAsia="仿宋" w:cs="宋体"/>
                <w:color w:val="auto"/>
                <w:highlight w:val="none"/>
              </w:rPr>
              <w:t>不按照</w:t>
            </w:r>
            <w:r>
              <w:rPr>
                <w:rFonts w:hint="eastAsia" w:ascii="仿宋" w:hAnsi="仿宋" w:eastAsia="仿宋" w:cs="宋体"/>
                <w:color w:val="auto"/>
                <w:highlight w:val="none"/>
                <w:lang w:val="en-US" w:eastAsia="zh-CN"/>
              </w:rPr>
              <w:t>比选</w:t>
            </w:r>
            <w:r>
              <w:rPr>
                <w:rFonts w:hint="eastAsia" w:ascii="仿宋" w:hAnsi="仿宋" w:eastAsia="仿宋" w:cs="宋体"/>
                <w:color w:val="auto"/>
                <w:highlight w:val="none"/>
              </w:rPr>
              <w:t>文件要求提交履约保证金</w:t>
            </w:r>
            <w:r>
              <w:rPr>
                <w:rFonts w:hint="eastAsia" w:ascii="仿宋" w:hAnsi="仿宋" w:eastAsia="仿宋" w:cs="仿宋"/>
                <w:color w:val="auto"/>
                <w:highlight w:val="none"/>
              </w:rPr>
              <w:t>、存在重大经营或法律风险、被查实存在影响采购结果的违法行为等情形，采购人按照</w:t>
            </w:r>
            <w:r>
              <w:rPr>
                <w:rFonts w:hint="eastAsia" w:ascii="仿宋" w:hAnsi="仿宋" w:eastAsia="仿宋" w:cs="宋体"/>
                <w:color w:val="auto"/>
                <w:highlight w:val="none"/>
                <w:lang w:val="en-US" w:eastAsia="zh-CN"/>
              </w:rPr>
              <w:t>比选</w:t>
            </w:r>
            <w:r>
              <w:rPr>
                <w:rFonts w:hint="eastAsia" w:ascii="仿宋" w:hAnsi="仿宋" w:eastAsia="仿宋" w:cs="仿宋"/>
                <w:color w:val="auto"/>
                <w:highlight w:val="none"/>
              </w:rPr>
              <w:t>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22.3</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30" w:type="pct"/>
            <w:noWrap w:val="0"/>
            <w:vAlign w:val="center"/>
          </w:tcPr>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宋体"/>
                <w:color w:val="auto"/>
                <w:szCs w:val="21"/>
                <w:highlight w:val="none"/>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23</w:t>
            </w:r>
          </w:p>
        </w:tc>
        <w:tc>
          <w:tcPr>
            <w:tcW w:w="986" w:type="pct"/>
            <w:noWrap w:val="0"/>
            <w:vAlign w:val="center"/>
          </w:tcPr>
          <w:p>
            <w:pPr>
              <w:keepNext w:val="0"/>
              <w:keepLines w:val="0"/>
              <w:suppressLineNumbers w:val="0"/>
              <w:adjustRightInd w:val="0"/>
              <w:snapToGrid w:val="0"/>
              <w:spacing w:before="0" w:beforeAutospacing="0" w:after="0" w:afterAutospacing="0" w:line="360" w:lineRule="auto"/>
              <w:ind w:left="36" w:leftChars="17"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采购代理服务费</w:t>
            </w:r>
          </w:p>
        </w:tc>
        <w:tc>
          <w:tcPr>
            <w:tcW w:w="3530" w:type="pct"/>
            <w:noWrap w:val="0"/>
            <w:vAlign w:val="center"/>
          </w:tcPr>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收费依据：参考原国家发展计划委员会《采购代理服务收费管理暂行办法》(计价格[2002]1980号文)、国家发展改革委员会办公厅发布的关于《采购代理服务收费有关问题的通知》(发改办[2003]857号文)和国家发展改革委《关于降低部分建设项目收费标准规范收费行为等有关问题的通知》(发改价格[2011]534号)的规定。</w:t>
            </w:r>
          </w:p>
          <w:p>
            <w:pPr>
              <w:keepNext w:val="0"/>
              <w:keepLines w:val="0"/>
              <w:pageBreakBefore w:val="0"/>
              <w:suppressLineNumbers w:val="0"/>
              <w:kinsoku/>
              <w:wordWrap/>
              <w:overflowPunct/>
              <w:autoSpaceDE w:val="0"/>
              <w:autoSpaceDN w:val="0"/>
              <w:bidi w:val="0"/>
              <w:snapToGrid/>
              <w:spacing w:before="0" w:beforeAutospacing="0" w:after="0" w:afterAutospacing="0" w:line="44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（2）服务费金额：根据国家发展和改革委员会办公厅发改办价格﹝2003﹞857号文的规定，经与</w:t>
            </w:r>
            <w:r>
              <w:rPr>
                <w:rFonts w:hint="eastAsia" w:ascii="仿宋" w:hAnsi="仿宋" w:eastAsia="仿宋" w:cs="仿宋"/>
                <w:color w:val="auto"/>
                <w:szCs w:val="21"/>
                <w:highlight w:val="none"/>
                <w:lang w:val="en-US" w:eastAsia="zh-CN"/>
              </w:rPr>
              <w:t>采购</w:t>
            </w:r>
            <w:r>
              <w:rPr>
                <w:rFonts w:hint="eastAsia" w:ascii="仿宋" w:hAnsi="仿宋" w:eastAsia="仿宋" w:cs="仿宋"/>
                <w:color w:val="auto"/>
                <w:szCs w:val="21"/>
                <w:highlight w:val="none"/>
              </w:rPr>
              <w:t>人协商，由</w:t>
            </w:r>
            <w:r>
              <w:rPr>
                <w:rFonts w:hint="eastAsia" w:ascii="仿宋" w:hAnsi="仿宋" w:eastAsia="仿宋" w:cs="仿宋"/>
                <w:color w:val="auto"/>
                <w:szCs w:val="21"/>
                <w:highlight w:val="none"/>
                <w:lang w:val="en-US" w:eastAsia="zh-CN"/>
              </w:rPr>
              <w:t>成交供应商</w:t>
            </w:r>
            <w:r>
              <w:rPr>
                <w:rFonts w:hint="eastAsia" w:ascii="仿宋" w:hAnsi="仿宋" w:eastAsia="仿宋" w:cs="仿宋"/>
                <w:color w:val="auto"/>
                <w:szCs w:val="21"/>
                <w:highlight w:val="none"/>
              </w:rPr>
              <w:t>按国家发展计划委员会计价格﹝2011﹞534号文及原国家计委《招标代理服务收费管理暂行办法》（﹝2002﹞1980号）规定标准的</w:t>
            </w:r>
            <w:r>
              <w:rPr>
                <w:rFonts w:hint="eastAsia" w:ascii="仿宋" w:hAnsi="仿宋" w:eastAsia="仿宋" w:cs="仿宋"/>
                <w:color w:val="auto"/>
                <w:szCs w:val="21"/>
                <w:highlight w:val="none"/>
                <w:u w:val="single"/>
                <w:lang w:val="en-US" w:eastAsia="zh-CN"/>
              </w:rPr>
              <w:t>50</w:t>
            </w:r>
            <w:r>
              <w:rPr>
                <w:rFonts w:hint="eastAsia" w:ascii="仿宋" w:hAnsi="仿宋" w:eastAsia="仿宋" w:cs="仿宋"/>
                <w:color w:val="auto"/>
                <w:szCs w:val="21"/>
                <w:highlight w:val="none"/>
                <w:u w:val="single"/>
              </w:rPr>
              <w:t>%</w:t>
            </w:r>
            <w:r>
              <w:rPr>
                <w:rFonts w:hint="eastAsia" w:ascii="仿宋" w:hAnsi="仿宋" w:eastAsia="仿宋" w:cs="仿宋"/>
                <w:color w:val="auto"/>
                <w:szCs w:val="21"/>
                <w:highlight w:val="none"/>
              </w:rPr>
              <w:t>向</w:t>
            </w:r>
            <w:r>
              <w:rPr>
                <w:rFonts w:hint="eastAsia" w:ascii="仿宋" w:hAnsi="仿宋" w:eastAsia="仿宋" w:cs="仿宋"/>
                <w:color w:val="auto"/>
                <w:szCs w:val="21"/>
                <w:highlight w:val="none"/>
                <w:lang w:val="en-US" w:eastAsia="zh-CN"/>
              </w:rPr>
              <w:t>采购</w:t>
            </w:r>
            <w:r>
              <w:rPr>
                <w:rFonts w:hint="eastAsia" w:ascii="仿宋" w:hAnsi="仿宋" w:eastAsia="仿宋" w:cs="仿宋"/>
                <w:color w:val="auto"/>
                <w:szCs w:val="21"/>
                <w:highlight w:val="none"/>
              </w:rPr>
              <w:t>代理机构支付代理服务费（不足</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000元，按</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000元收取）。</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采购代理机构银行账户信息：</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户 名：</w:t>
            </w:r>
            <w:r>
              <w:rPr>
                <w:rFonts w:hint="eastAsia" w:ascii="仿宋" w:hAnsi="仿宋" w:eastAsia="仿宋" w:cs="仿宋"/>
                <w:color w:val="auto"/>
                <w:szCs w:val="21"/>
                <w:highlight w:val="none"/>
                <w:lang w:eastAsia="zh-CN"/>
              </w:rPr>
              <w:t>湖北国华项目管理咨询有限公司</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开户行：民生银行武汉中南支行</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b/>
                <w:color w:val="auto"/>
                <w:kern w:val="0"/>
                <w:szCs w:val="21"/>
                <w:highlight w:val="none"/>
                <w:lang w:val="en-US" w:eastAsia="zh-CN"/>
              </w:rPr>
            </w:pPr>
            <w:r>
              <w:rPr>
                <w:rFonts w:hint="eastAsia" w:ascii="仿宋" w:hAnsi="仿宋" w:eastAsia="仿宋" w:cs="仿宋"/>
                <w:color w:val="auto"/>
                <w:szCs w:val="21"/>
                <w:highlight w:val="none"/>
              </w:rPr>
              <w:t>账 号：0505014210005225</w:t>
            </w:r>
            <w:r>
              <w:rPr>
                <w:rFonts w:hint="eastAsia" w:ascii="仿宋" w:hAnsi="仿宋" w:eastAsia="仿宋" w:cs="仿宋"/>
                <w:color w:val="auto"/>
                <w:szCs w:val="21"/>
                <w:highlight w:val="none"/>
                <w:lang w:val="en-US" w:eastAsia="zh-CN"/>
              </w:rPr>
              <w:t>。</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color w:val="auto"/>
                <w:highlight w:val="none"/>
              </w:rPr>
            </w:pPr>
            <w:r>
              <w:rPr>
                <w:rFonts w:hint="eastAsia" w:ascii="仿宋" w:hAnsi="仿宋" w:eastAsia="仿宋" w:cs="仿宋"/>
                <w:color w:val="auto"/>
                <w:szCs w:val="21"/>
                <w:highlight w:val="none"/>
              </w:rPr>
              <w:t>（3）缴纳时限：成交人在收到采购代理服务费付款通知书后15日内，向采购代理机构一次性支付。</w:t>
            </w:r>
          </w:p>
        </w:tc>
      </w:tr>
    </w:tbl>
    <w:p>
      <w:pPr>
        <w:pStyle w:val="3"/>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39" w:name="_Toc19783313"/>
      <w:bookmarkStart w:id="40" w:name="_Toc6047"/>
      <w:bookmarkStart w:id="41" w:name="_Toc287600118"/>
      <w:bookmarkStart w:id="42" w:name="_Toc20514"/>
      <w:bookmarkStart w:id="43" w:name="_Toc444891336"/>
      <w:bookmarkStart w:id="44" w:name="_Toc11071"/>
      <w:bookmarkStart w:id="45" w:name="_Toc27232"/>
      <w:bookmarkStart w:id="46" w:name="_Toc517281816"/>
      <w:bookmarkStart w:id="47" w:name="_Toc27220"/>
      <w:r>
        <w:rPr>
          <w:rFonts w:hint="eastAsia" w:ascii="仿宋" w:hAnsi="仿宋" w:eastAsia="仿宋" w:cs="仿宋"/>
          <w:color w:val="auto"/>
          <w:sz w:val="24"/>
          <w:szCs w:val="24"/>
          <w:highlight w:val="none"/>
        </w:rPr>
        <w:t>二、供应商须知</w:t>
      </w:r>
      <w:bookmarkEnd w:id="39"/>
      <w:bookmarkEnd w:id="40"/>
      <w:bookmarkEnd w:id="41"/>
      <w:bookmarkEnd w:id="42"/>
      <w:bookmarkEnd w:id="43"/>
      <w:bookmarkEnd w:id="44"/>
      <w:bookmarkEnd w:id="45"/>
      <w:bookmarkEnd w:id="46"/>
      <w:r>
        <w:rPr>
          <w:rFonts w:hint="eastAsia" w:ascii="仿宋" w:hAnsi="仿宋" w:eastAsia="仿宋" w:cs="仿宋"/>
          <w:color w:val="auto"/>
          <w:sz w:val="24"/>
          <w:szCs w:val="24"/>
          <w:highlight w:val="none"/>
        </w:rPr>
        <w:t>正文</w:t>
      </w:r>
      <w:bookmarkEnd w:id="47"/>
    </w:p>
    <w:p>
      <w:pPr>
        <w:pStyle w:val="4"/>
        <w:numPr>
          <w:ilvl w:val="5"/>
          <w:numId w:val="0"/>
        </w:numPr>
        <w:spacing w:before="0" w:after="0" w:line="360" w:lineRule="auto"/>
        <w:rPr>
          <w:rFonts w:hint="eastAsia" w:ascii="仿宋" w:hAnsi="仿宋" w:eastAsia="仿宋" w:cs="仿宋"/>
          <w:color w:val="auto"/>
          <w:sz w:val="24"/>
          <w:szCs w:val="24"/>
          <w:highlight w:val="none"/>
        </w:rPr>
      </w:pPr>
      <w:bookmarkStart w:id="48" w:name="_Toc6681"/>
      <w:bookmarkStart w:id="49" w:name="_Toc19783314"/>
      <w:bookmarkStart w:id="50" w:name="_Toc431"/>
      <w:bookmarkStart w:id="51" w:name="_Toc22969"/>
      <w:bookmarkStart w:id="52" w:name="_Toc3678"/>
      <w:bookmarkStart w:id="53" w:name="_Toc11851"/>
      <w:bookmarkStart w:id="54" w:name="_Toc517281817"/>
      <w:bookmarkStart w:id="55" w:name="_Toc444891337"/>
      <w:bookmarkStart w:id="56" w:name="_Toc16441"/>
      <w:bookmarkStart w:id="57" w:name="_Toc287600119"/>
      <w:r>
        <w:rPr>
          <w:rFonts w:hint="eastAsia" w:ascii="仿宋" w:hAnsi="仿宋" w:eastAsia="仿宋" w:cs="仿宋"/>
          <w:color w:val="auto"/>
          <w:sz w:val="24"/>
          <w:szCs w:val="24"/>
          <w:highlight w:val="none"/>
        </w:rPr>
        <w:t>（一）总 则</w:t>
      </w:r>
      <w:bookmarkEnd w:id="48"/>
      <w:bookmarkEnd w:id="49"/>
      <w:bookmarkEnd w:id="50"/>
      <w:bookmarkEnd w:id="51"/>
      <w:bookmarkEnd w:id="52"/>
      <w:bookmarkEnd w:id="53"/>
      <w:bookmarkEnd w:id="54"/>
      <w:bookmarkEnd w:id="55"/>
      <w:bookmarkEnd w:id="56"/>
      <w:bookmarkEnd w:id="57"/>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本项目按照中华人民共和国有关法律、行政法规和部门规章以及采购人的采购管理制度，通过</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方式确定签约供应商。</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auto"/>
          <w:sz w:val="24"/>
          <w:highlight w:val="none"/>
        </w:rPr>
      </w:pP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详细内容详见第五章采购需求。</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资金来源于采购人或其子公司（含分支机构）自筹（比例100%），且资金已落实。</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4.1</w:t>
      </w:r>
      <w:r>
        <w:rPr>
          <w:rFonts w:hint="eastAsia" w:ascii="仿宋" w:hAnsi="仿宋" w:eastAsia="仿宋" w:cs="宋体"/>
          <w:color w:val="auto"/>
          <w:kern w:val="0"/>
          <w:sz w:val="24"/>
          <w:highlight w:val="none"/>
        </w:rPr>
        <w:t>资格预审：是指在递交响应文件前对潜在供应商进行的资格审查。采用资格预审方式的，资格条件已经在</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文件发出前的资格预审文件中作出规定。</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.2资格后审：是指在首次响应文件递交截止时间后由</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小组根据</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文件的规定对供应商进行的资格审查。采购人应当在</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kern w:val="0"/>
          <w:sz w:val="24"/>
          <w:highlight w:val="none"/>
          <w:u w:val="single"/>
        </w:rPr>
        <w:t>详见本须知前附表。</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响应费用</w:t>
      </w:r>
    </w:p>
    <w:p>
      <w:pPr>
        <w:spacing w:line="360" w:lineRule="auto"/>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不论结果如何，</w:t>
      </w:r>
      <w:r>
        <w:rPr>
          <w:rFonts w:hint="eastAsia" w:ascii="仿宋" w:hAnsi="仿宋" w:eastAsia="仿宋" w:cs="仿宋"/>
          <w:color w:val="auto"/>
          <w:sz w:val="24"/>
          <w:highlight w:val="none"/>
        </w:rPr>
        <w:t>供应商</w:t>
      </w:r>
      <w:r>
        <w:rPr>
          <w:rFonts w:hint="eastAsia" w:ascii="仿宋" w:hAnsi="仿宋" w:eastAsia="仿宋" w:cs="宋体"/>
          <w:color w:val="auto"/>
          <w:sz w:val="24"/>
          <w:highlight w:val="none"/>
        </w:rPr>
        <w:t>自行承担所有准备和参与本次</w:t>
      </w:r>
      <w:r>
        <w:rPr>
          <w:rFonts w:hint="eastAsia" w:ascii="仿宋" w:hAnsi="仿宋" w:eastAsia="仿宋" w:cs="仿宋"/>
          <w:color w:val="auto"/>
          <w:sz w:val="24"/>
          <w:highlight w:val="none"/>
          <w:lang w:eastAsia="zh-CN"/>
        </w:rPr>
        <w:t>比选</w:t>
      </w:r>
      <w:r>
        <w:rPr>
          <w:rFonts w:hint="eastAsia" w:ascii="仿宋" w:hAnsi="仿宋" w:eastAsia="仿宋" w:cs="宋体"/>
          <w:color w:val="auto"/>
          <w:sz w:val="24"/>
          <w:highlight w:val="none"/>
        </w:rPr>
        <w:t>响应的有关费用。</w:t>
      </w:r>
    </w:p>
    <w:p>
      <w:pPr>
        <w:pStyle w:val="4"/>
        <w:keepNext w:val="0"/>
        <w:keepLines w:val="0"/>
        <w:pageBreakBefore w:val="0"/>
        <w:widowControl w:val="0"/>
        <w:numPr>
          <w:ilvl w:val="5"/>
          <w:numId w:val="0"/>
        </w:numPr>
        <w:kinsoku/>
        <w:wordWrap/>
        <w:overflowPunct/>
        <w:topLinePunct w:val="0"/>
        <w:autoSpaceDE/>
        <w:autoSpaceDN/>
        <w:bidi w:val="0"/>
        <w:adjustRightInd/>
        <w:snapToGrid/>
        <w:spacing w:before="0" w:after="0" w:line="360" w:lineRule="auto"/>
        <w:textAlignment w:val="auto"/>
        <w:rPr>
          <w:rFonts w:hint="eastAsia" w:ascii="仿宋" w:hAnsi="仿宋" w:eastAsia="仿宋" w:cs="仿宋"/>
          <w:color w:val="auto"/>
          <w:sz w:val="24"/>
          <w:szCs w:val="24"/>
          <w:highlight w:val="none"/>
        </w:rPr>
      </w:pPr>
      <w:bookmarkStart w:id="58" w:name="_Toc444891338"/>
      <w:bookmarkStart w:id="59" w:name="_Toc24246"/>
      <w:bookmarkStart w:id="60" w:name="_Toc19783315"/>
      <w:bookmarkStart w:id="61" w:name="_Toc25513"/>
      <w:bookmarkStart w:id="62" w:name="_Toc3016"/>
      <w:bookmarkStart w:id="63" w:name="_Toc14164"/>
      <w:bookmarkStart w:id="64" w:name="_Toc517281818"/>
      <w:bookmarkStart w:id="65" w:name="_Toc287600120"/>
      <w:bookmarkStart w:id="66" w:name="_Toc5255"/>
      <w:bookmarkStart w:id="67" w:name="_Toc10975"/>
      <w:r>
        <w:rPr>
          <w:rFonts w:hint="eastAsia" w:ascii="仿宋" w:hAnsi="仿宋" w:eastAsia="仿宋" w:cs="仿宋"/>
          <w:color w:val="auto"/>
          <w:sz w:val="24"/>
          <w:szCs w:val="24"/>
          <w:highlight w:val="none"/>
        </w:rPr>
        <w:t>（二）</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文件</w:t>
      </w:r>
      <w:bookmarkEnd w:id="58"/>
      <w:bookmarkEnd w:id="59"/>
      <w:bookmarkEnd w:id="60"/>
      <w:bookmarkEnd w:id="61"/>
      <w:bookmarkEnd w:id="62"/>
      <w:bookmarkEnd w:id="63"/>
      <w:bookmarkEnd w:id="64"/>
      <w:bookmarkEnd w:id="65"/>
      <w:bookmarkEnd w:id="66"/>
      <w:bookmarkEnd w:id="67"/>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文件的组成</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6.1</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文件包括下列内容：</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公告</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第六章 响应文件格式</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ascii="仿宋" w:hAnsi="仿宋" w:eastAsia="仿宋" w:cs="仿宋"/>
          <w:color w:val="auto"/>
          <w:kern w:val="0"/>
          <w:sz w:val="24"/>
          <w:highlight w:val="none"/>
        </w:rPr>
        <w:t>2</w:t>
      </w:r>
      <w:r>
        <w:rPr>
          <w:rFonts w:hint="eastAsia" w:ascii="仿宋" w:hAnsi="仿宋" w:eastAsia="仿宋" w:cs="仿宋"/>
          <w:color w:val="auto"/>
          <w:kern w:val="0"/>
          <w:sz w:val="24"/>
          <w:highlight w:val="none"/>
        </w:rPr>
        <w:t>采购人在</w:t>
      </w:r>
      <w:r>
        <w:rPr>
          <w:rFonts w:hint="eastAsia" w:ascii="仿宋" w:hAnsi="仿宋" w:eastAsia="仿宋" w:cs="仿宋"/>
          <w:color w:val="auto"/>
          <w:sz w:val="24"/>
          <w:highlight w:val="none"/>
          <w:lang w:eastAsia="zh-CN"/>
        </w:rPr>
        <w:t>比选</w:t>
      </w:r>
      <w:r>
        <w:rPr>
          <w:rFonts w:hint="eastAsia" w:ascii="仿宋" w:hAnsi="仿宋" w:eastAsia="仿宋" w:cs="仿宋"/>
          <w:color w:val="auto"/>
          <w:kern w:val="0"/>
          <w:sz w:val="24"/>
          <w:highlight w:val="none"/>
        </w:rPr>
        <w:t>文件中以显著的方式标明实质性要求、条件以及不满足实质性要求和条件的响应文件将被否决的提示。实质性标识方式和具体要求</w:t>
      </w:r>
      <w:r>
        <w:rPr>
          <w:rFonts w:hint="eastAsia" w:ascii="仿宋" w:hAnsi="仿宋" w:eastAsia="仿宋" w:cs="仿宋"/>
          <w:color w:val="auto"/>
          <w:kern w:val="0"/>
          <w:sz w:val="24"/>
          <w:highlight w:val="none"/>
          <w:u w:val="single"/>
        </w:rPr>
        <w:t>见本须知前附表</w:t>
      </w:r>
      <w:r>
        <w:rPr>
          <w:rFonts w:hint="eastAsia" w:ascii="仿宋" w:hAnsi="仿宋" w:eastAsia="仿宋" w:cs="仿宋"/>
          <w:color w:val="auto"/>
          <w:kern w:val="0"/>
          <w:sz w:val="24"/>
          <w:highlight w:val="none"/>
        </w:rPr>
        <w:t>。</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文件的修改</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仿宋"/>
          <w:color w:val="auto"/>
          <w:sz w:val="24"/>
          <w:highlight w:val="none"/>
        </w:rPr>
        <w:t>7.1潜在</w:t>
      </w:r>
      <w:r>
        <w:rPr>
          <w:rFonts w:hint="eastAsia" w:ascii="仿宋" w:hAnsi="仿宋" w:eastAsia="仿宋" w:cs="宋体"/>
          <w:color w:val="auto"/>
          <w:kern w:val="0"/>
          <w:sz w:val="24"/>
          <w:highlight w:val="none"/>
        </w:rPr>
        <w:t>供应商对</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w:t>
      </w:r>
      <w:r>
        <w:rPr>
          <w:rFonts w:hint="eastAsia" w:ascii="仿宋" w:hAnsi="仿宋" w:eastAsia="仿宋" w:cs="宋体"/>
          <w:color w:val="auto"/>
          <w:kern w:val="0"/>
          <w:sz w:val="24"/>
          <w:highlight w:val="none"/>
        </w:rPr>
        <w:t>有疑问的，应当按照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规定的时间和方式，要求采购人对</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w:t>
      </w:r>
      <w:r>
        <w:rPr>
          <w:rFonts w:hint="eastAsia" w:ascii="仿宋" w:hAnsi="仿宋" w:eastAsia="仿宋" w:cs="宋体"/>
          <w:color w:val="auto"/>
          <w:kern w:val="0"/>
          <w:sz w:val="24"/>
          <w:highlight w:val="none"/>
        </w:rPr>
        <w:t>进行澄清。</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7.2</w:t>
      </w:r>
      <w:r>
        <w:rPr>
          <w:rFonts w:hint="eastAsia" w:ascii="仿宋" w:hAnsi="仿宋" w:eastAsia="仿宋" w:cs="仿宋"/>
          <w:color w:val="auto"/>
          <w:sz w:val="24"/>
          <w:highlight w:val="none"/>
        </w:rPr>
        <w:t>采购人在响应文件递交截止时间前，可以书面形式发出的对</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文件的澄清或修改内容，</w:t>
      </w:r>
      <w:r>
        <w:rPr>
          <w:rFonts w:hint="eastAsia" w:ascii="仿宋" w:hAnsi="仿宋" w:eastAsia="仿宋" w:cs="宋体"/>
          <w:color w:val="auto"/>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w:t>
      </w:r>
      <w:r>
        <w:rPr>
          <w:rFonts w:hint="eastAsia" w:ascii="仿宋" w:hAnsi="仿宋" w:eastAsia="仿宋" w:cs="宋体"/>
          <w:color w:val="auto"/>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auto"/>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w:t>
      </w:r>
      <w:r>
        <w:rPr>
          <w:rFonts w:hint="eastAsia" w:ascii="仿宋" w:hAnsi="仿宋" w:eastAsia="仿宋" w:cs="宋体"/>
          <w:color w:val="auto"/>
          <w:kern w:val="0"/>
          <w:sz w:val="24"/>
          <w:highlight w:val="none"/>
        </w:rPr>
        <w:t>4</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所有关于</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w:t>
      </w:r>
      <w:r>
        <w:rPr>
          <w:rFonts w:hint="eastAsia" w:ascii="仿宋" w:hAnsi="仿宋" w:eastAsia="仿宋" w:cs="宋体"/>
          <w:color w:val="auto"/>
          <w:kern w:val="0"/>
          <w:sz w:val="24"/>
          <w:highlight w:val="none"/>
        </w:rPr>
        <w:t>的澄清和修改均作为</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w:t>
      </w:r>
      <w:r>
        <w:rPr>
          <w:rFonts w:hint="eastAsia" w:ascii="仿宋" w:hAnsi="仿宋" w:eastAsia="仿宋" w:cs="宋体"/>
          <w:color w:val="auto"/>
          <w:kern w:val="0"/>
          <w:sz w:val="24"/>
          <w:highlight w:val="none"/>
        </w:rPr>
        <w:t>的补充部分。</w:t>
      </w:r>
      <w:r>
        <w:rPr>
          <w:rFonts w:hint="eastAsia" w:ascii="仿宋" w:hAnsi="仿宋" w:eastAsia="仿宋" w:cs="仿宋"/>
          <w:color w:val="auto"/>
          <w:sz w:val="24"/>
          <w:highlight w:val="none"/>
        </w:rPr>
        <w:t>当</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文件的澄清或修改等在同一内容的表述上不一致时，以最后发出的书面文件为准。</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响应预备会</w:t>
      </w:r>
    </w:p>
    <w:p>
      <w:pPr>
        <w:spacing w:line="360" w:lineRule="auto"/>
        <w:textAlignment w:val="baseline"/>
        <w:rPr>
          <w:rFonts w:hint="eastAsia" w:ascii="仿宋" w:hAnsi="仿宋" w:eastAsia="仿宋" w:cs="宋体"/>
          <w:color w:val="auto"/>
          <w:sz w:val="24"/>
          <w:highlight w:val="none"/>
          <w:u w:val="single"/>
          <w:lang w:eastAsia="zh-CN"/>
        </w:rPr>
      </w:pPr>
      <w:r>
        <w:rPr>
          <w:rFonts w:hint="eastAsia" w:ascii="仿宋" w:hAnsi="仿宋" w:eastAsia="仿宋" w:cs="宋体"/>
          <w:color w:val="auto"/>
          <w:sz w:val="24"/>
          <w:highlight w:val="none"/>
        </w:rPr>
        <w:t>采购人认为必要时，将召开</w:t>
      </w:r>
      <w:r>
        <w:rPr>
          <w:rFonts w:hint="eastAsia" w:ascii="仿宋" w:hAnsi="仿宋" w:eastAsia="仿宋" w:cs="仿宋"/>
          <w:color w:val="auto"/>
          <w:sz w:val="24"/>
          <w:highlight w:val="none"/>
          <w:lang w:eastAsia="zh-CN"/>
        </w:rPr>
        <w:t>比选</w:t>
      </w:r>
      <w:r>
        <w:rPr>
          <w:rFonts w:hint="eastAsia" w:ascii="仿宋" w:hAnsi="仿宋" w:eastAsia="仿宋" w:cs="宋体"/>
          <w:color w:val="auto"/>
          <w:sz w:val="24"/>
          <w:highlight w:val="none"/>
        </w:rPr>
        <w:t>响应预备会(答疑会)，公开解答潜在供应商对</w:t>
      </w:r>
      <w:r>
        <w:rPr>
          <w:rFonts w:hint="eastAsia" w:ascii="仿宋" w:hAnsi="仿宋" w:eastAsia="仿宋" w:cs="仿宋"/>
          <w:color w:val="auto"/>
          <w:sz w:val="24"/>
          <w:highlight w:val="none"/>
          <w:lang w:eastAsia="zh-CN"/>
        </w:rPr>
        <w:t>比选</w:t>
      </w:r>
      <w:r>
        <w:rPr>
          <w:rFonts w:hint="eastAsia" w:ascii="仿宋" w:hAnsi="仿宋" w:eastAsia="仿宋" w:cs="宋体"/>
          <w:color w:val="auto"/>
          <w:sz w:val="24"/>
          <w:highlight w:val="none"/>
        </w:rPr>
        <w:t>文件提出的疑问</w:t>
      </w:r>
      <w:r>
        <w:rPr>
          <w:rFonts w:hint="eastAsia" w:ascii="仿宋" w:hAnsi="仿宋" w:eastAsia="仿宋" w:cs="宋体"/>
          <w:color w:val="auto"/>
          <w:sz w:val="24"/>
          <w:highlight w:val="none"/>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color w:val="auto"/>
          <w:sz w:val="24"/>
          <w:szCs w:val="24"/>
          <w:highlight w:val="none"/>
        </w:rPr>
      </w:pPr>
      <w:bookmarkStart w:id="68" w:name="_Toc14308"/>
      <w:bookmarkStart w:id="69" w:name="_Toc27642"/>
      <w:bookmarkStart w:id="70" w:name="_Toc27563"/>
      <w:bookmarkStart w:id="71" w:name="_Toc287600121"/>
      <w:bookmarkStart w:id="72" w:name="_Toc444891339"/>
      <w:bookmarkStart w:id="73" w:name="_Toc16985"/>
      <w:bookmarkStart w:id="74" w:name="_Toc31141"/>
      <w:bookmarkStart w:id="75" w:name="_Toc19783316"/>
      <w:bookmarkStart w:id="76" w:name="_Toc517281819"/>
      <w:bookmarkStart w:id="77" w:name="_Toc13691"/>
      <w:r>
        <w:rPr>
          <w:rFonts w:hint="eastAsia" w:ascii="仿宋" w:hAnsi="仿宋" w:eastAsia="仿宋" w:cs="仿宋"/>
          <w:color w:val="auto"/>
          <w:sz w:val="24"/>
          <w:szCs w:val="24"/>
          <w:highlight w:val="none"/>
        </w:rPr>
        <w:t>（三）响应文件</w:t>
      </w:r>
      <w:bookmarkEnd w:id="68"/>
      <w:bookmarkEnd w:id="69"/>
      <w:bookmarkEnd w:id="70"/>
      <w:bookmarkEnd w:id="71"/>
      <w:bookmarkEnd w:id="72"/>
      <w:bookmarkEnd w:id="73"/>
      <w:bookmarkEnd w:id="74"/>
      <w:bookmarkEnd w:id="75"/>
      <w:bookmarkEnd w:id="76"/>
      <w:bookmarkEnd w:id="77"/>
    </w:p>
    <w:p>
      <w:pPr>
        <w:pStyle w:val="5"/>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jc w:val="left"/>
        <w:rPr>
          <w:rFonts w:hint="eastAsia" w:ascii="仿宋" w:hAnsi="仿宋" w:eastAsia="仿宋" w:cs="仿宋"/>
          <w:color w:val="auto"/>
          <w:sz w:val="24"/>
          <w:highlight w:val="none"/>
        </w:rPr>
      </w:pPr>
      <w:r>
        <w:rPr>
          <w:rFonts w:hint="eastAsia" w:ascii="仿宋" w:hAnsi="仿宋" w:eastAsia="仿宋" w:cs="宋体"/>
          <w:color w:val="auto"/>
          <w:sz w:val="24"/>
          <w:highlight w:val="none"/>
        </w:rPr>
        <w:t>供应商应当按照供应商须知前附表的要求制作并提交响应文件，具体组成</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pPr>
        <w:pStyle w:val="5"/>
        <w:spacing w:before="0" w:after="0" w:line="360" w:lineRule="auto"/>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.1 供应商应当按照</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文件的要求编制响应文件，并对其提交的响应文件的真实性、合法性承担法律责任。响应文件应当对</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 xml:space="preserve">文件提出的实质性要求和条件作出响应。 </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.2 供应商应认真阅读</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文件中所有的事项、格式、条款和技术规范等。供应商没有按照</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文件要求递交全部资料，或者供应商没有对</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文件在各方面都作出实质性响应是供应商的风险，并可能导致其</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 xml:space="preserve">响应被否决。 </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0.3 </w:t>
      </w:r>
      <w:r>
        <w:rPr>
          <w:rFonts w:hint="eastAsia" w:ascii="仿宋" w:hAnsi="仿宋" w:eastAsia="仿宋" w:cs="宋体"/>
          <w:color w:val="auto"/>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文件中要求进行解释或提出建议的除外）。</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0.4 </w:t>
      </w:r>
      <w:r>
        <w:rPr>
          <w:rFonts w:hint="eastAsia" w:ascii="仿宋" w:hAnsi="仿宋" w:eastAsia="仿宋" w:cs="宋体"/>
          <w:color w:val="auto"/>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文件中要求进行解释或提出建议的除外）。</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5</w:t>
      </w:r>
      <w:r>
        <w:rPr>
          <w:rFonts w:hint="eastAsia" w:ascii="仿宋" w:hAnsi="仿宋" w:eastAsia="仿宋" w:cs="宋体"/>
          <w:color w:val="auto"/>
          <w:kern w:val="0"/>
          <w:sz w:val="24"/>
          <w:highlight w:val="none"/>
        </w:rPr>
        <w:t xml:space="preserve"> 供应商提交的响应文件以及供应商与采购人就有关</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auto"/>
          <w:kern w:val="0"/>
          <w:sz w:val="24"/>
          <w:highlight w:val="none"/>
          <w:u w:val="singl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6</w:t>
      </w:r>
      <w:r>
        <w:rPr>
          <w:rFonts w:hint="eastAsia" w:ascii="仿宋" w:hAnsi="仿宋" w:eastAsia="仿宋" w:cs="宋体"/>
          <w:color w:val="auto"/>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8" w:name="_Hlk173250545"/>
      <w:r>
        <w:rPr>
          <w:rFonts w:hint="eastAsia" w:ascii="仿宋" w:hAnsi="仿宋" w:eastAsia="仿宋" w:cs="宋体"/>
          <w:color w:val="auto"/>
          <w:kern w:val="0"/>
          <w:sz w:val="24"/>
          <w:highlight w:val="none"/>
        </w:rPr>
        <w:t>盖章或者签字另有要求的，</w:t>
      </w:r>
      <w:r>
        <w:rPr>
          <w:rFonts w:hint="eastAsia" w:ascii="仿宋" w:hAnsi="仿宋" w:eastAsia="仿宋" w:cs="宋体"/>
          <w:color w:val="auto"/>
          <w:kern w:val="0"/>
          <w:sz w:val="24"/>
          <w:highlight w:val="none"/>
          <w:u w:val="single"/>
        </w:rPr>
        <w:t>见本须知前附表。</w:t>
      </w:r>
    </w:p>
    <w:bookmarkEnd w:id="78"/>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0.7</w:t>
      </w:r>
      <w:r>
        <w:rPr>
          <w:rFonts w:hint="eastAsia" w:ascii="仿宋" w:hAnsi="仿宋" w:eastAsia="仿宋" w:cs="仿宋"/>
          <w:color w:val="auto"/>
          <w:sz w:val="24"/>
          <w:highlight w:val="none"/>
        </w:rPr>
        <w:t>除工程规范另有规定外，响应文件使用的度量衡单位，均采用中华人民共和国法定计量单位。</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响应报价</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供应商应当根据</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文件要求进行报价，供应商应当报出符合</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文件要求的拟提供货物或服务的单价、总价、费率、税率等内容，采购人不接受供应商的任何低于成本报价的不正当竞争方式，其他报价要求</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供应商须知前附表</w:t>
      </w:r>
      <w:r>
        <w:rPr>
          <w:rFonts w:hint="eastAsia" w:ascii="仿宋" w:hAnsi="仿宋" w:eastAsia="仿宋" w:cs="仿宋"/>
          <w:color w:val="auto"/>
          <w:sz w:val="24"/>
          <w:highlight w:val="none"/>
        </w:rPr>
        <w:t>。</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响应有效期</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 xml:space="preserve">.1 </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响应有效期从响应文件递交截止之日起算，具体时间</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，在此期间，供应商不得要求撤销或修改其响应文件。供应商承诺的</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响应有效期必须不短于</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文件规定的</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响应有效期，否则将构成对</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文件的非实质性响应，</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响应将被否决。</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.2 在原</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响应有效期结束前，出现特殊情况的，采购人可以书面形式要求所有供应商延长</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响应有效期。供应商同意延长的，不得要求或被允许修改其响应文件的实质性内容</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供应商拒绝延长的，其</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响应失效。</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szCs w:val="24"/>
          <w:highlight w:val="none"/>
        </w:rPr>
        <w:t>保证金</w:t>
      </w:r>
    </w:p>
    <w:p>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3</w:t>
      </w:r>
      <w:r>
        <w:rPr>
          <w:rFonts w:hint="eastAsia" w:ascii="仿宋" w:hAnsi="仿宋" w:eastAsia="仿宋" w:cs="仿宋"/>
          <w:color w:val="auto"/>
          <w:sz w:val="24"/>
          <w:highlight w:val="none"/>
        </w:rPr>
        <w:t>.1</w:t>
      </w:r>
      <w:r>
        <w:rPr>
          <w:rFonts w:hint="eastAsia" w:ascii="仿宋" w:hAnsi="仿宋" w:eastAsia="仿宋" w:cs="宋体"/>
          <w:color w:val="auto"/>
          <w:kern w:val="0"/>
          <w:sz w:val="24"/>
          <w:highlight w:val="none"/>
        </w:rPr>
        <w:t>采购人要求</w:t>
      </w:r>
      <w:r>
        <w:rPr>
          <w:rFonts w:hint="eastAsia" w:ascii="仿宋" w:hAnsi="仿宋" w:eastAsia="仿宋" w:cs="仿宋"/>
          <w:color w:val="auto"/>
          <w:sz w:val="24"/>
          <w:highlight w:val="none"/>
        </w:rPr>
        <w:t>供应商</w:t>
      </w:r>
      <w:r>
        <w:rPr>
          <w:rFonts w:hint="eastAsia" w:ascii="仿宋" w:hAnsi="仿宋" w:eastAsia="仿宋" w:cs="宋体"/>
          <w:color w:val="auto"/>
          <w:kern w:val="0"/>
          <w:sz w:val="24"/>
          <w:highlight w:val="none"/>
        </w:rPr>
        <w:t>提交</w:t>
      </w:r>
      <w:r>
        <w:rPr>
          <w:rFonts w:hint="eastAsia" w:ascii="仿宋" w:hAnsi="仿宋" w:eastAsia="仿宋" w:cs="宋体"/>
          <w:color w:val="auto"/>
          <w:kern w:val="0"/>
          <w:sz w:val="24"/>
          <w:highlight w:val="none"/>
          <w:lang w:eastAsia="zh-CN"/>
        </w:rPr>
        <w:t>比选保证金</w:t>
      </w:r>
      <w:r>
        <w:rPr>
          <w:rFonts w:hint="eastAsia" w:ascii="仿宋" w:hAnsi="仿宋" w:eastAsia="仿宋" w:cs="宋体"/>
          <w:color w:val="auto"/>
          <w:kern w:val="0"/>
          <w:sz w:val="24"/>
          <w:highlight w:val="none"/>
        </w:rPr>
        <w:t>的，</w:t>
      </w:r>
      <w:r>
        <w:rPr>
          <w:rFonts w:hint="eastAsia" w:ascii="仿宋" w:hAnsi="仿宋" w:eastAsia="仿宋" w:cs="宋体"/>
          <w:color w:val="auto"/>
          <w:kern w:val="0"/>
          <w:sz w:val="24"/>
          <w:highlight w:val="none"/>
          <w:lang w:eastAsia="zh-CN"/>
        </w:rPr>
        <w:t>比选保证金</w:t>
      </w:r>
      <w:r>
        <w:rPr>
          <w:rFonts w:hint="eastAsia" w:ascii="仿宋" w:hAnsi="仿宋" w:eastAsia="仿宋" w:cs="仿宋"/>
          <w:color w:val="auto"/>
          <w:sz w:val="24"/>
          <w:highlight w:val="none"/>
        </w:rPr>
        <w:t>数额应当不超过采购项目预算的2%，</w:t>
      </w:r>
      <w:r>
        <w:rPr>
          <w:rFonts w:hint="eastAsia" w:ascii="仿宋" w:hAnsi="仿宋" w:eastAsia="仿宋" w:cs="仿宋"/>
          <w:color w:val="auto"/>
          <w:sz w:val="24"/>
          <w:highlight w:val="none"/>
          <w:lang w:eastAsia="zh-CN"/>
        </w:rPr>
        <w:t>比选保证金</w:t>
      </w:r>
      <w:r>
        <w:rPr>
          <w:rFonts w:hint="eastAsia" w:ascii="仿宋" w:hAnsi="仿宋" w:eastAsia="仿宋" w:cs="仿宋"/>
          <w:color w:val="auto"/>
          <w:sz w:val="24"/>
          <w:highlight w:val="none"/>
        </w:rPr>
        <w:t>有效期与</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响应有效期一致，</w:t>
      </w:r>
      <w:r>
        <w:rPr>
          <w:rFonts w:hint="eastAsia" w:ascii="仿宋" w:hAnsi="仿宋" w:eastAsia="仿宋" w:cs="仿宋"/>
          <w:b/>
          <w:bCs/>
          <w:color w:val="auto"/>
          <w:sz w:val="24"/>
          <w:highlight w:val="none"/>
        </w:rPr>
        <w:t>本项目</w:t>
      </w:r>
      <w:r>
        <w:rPr>
          <w:rFonts w:hint="eastAsia" w:ascii="仿宋" w:hAnsi="仿宋" w:eastAsia="仿宋" w:cs="仿宋"/>
          <w:b/>
          <w:bCs/>
          <w:color w:val="auto"/>
          <w:sz w:val="24"/>
          <w:highlight w:val="none"/>
          <w:lang w:eastAsia="zh-CN"/>
        </w:rPr>
        <w:t>比选保证金</w:t>
      </w:r>
      <w:r>
        <w:rPr>
          <w:rFonts w:hint="eastAsia" w:ascii="仿宋" w:hAnsi="仿宋" w:eastAsia="仿宋" w:cs="仿宋"/>
          <w:b/>
          <w:bCs/>
          <w:color w:val="auto"/>
          <w:sz w:val="24"/>
          <w:highlight w:val="none"/>
        </w:rPr>
        <w:t>金额、形式见</w:t>
      </w:r>
      <w:r>
        <w:rPr>
          <w:rFonts w:hint="eastAsia" w:ascii="仿宋" w:hAnsi="仿宋" w:eastAsia="仿宋" w:cs="仿宋"/>
          <w:b/>
          <w:bCs/>
          <w:color w:val="auto"/>
          <w:sz w:val="24"/>
          <w:highlight w:val="none"/>
          <w:u w:val="single"/>
        </w:rPr>
        <w:t>本须知前附表</w:t>
      </w:r>
      <w:r>
        <w:rPr>
          <w:rFonts w:hint="eastAsia" w:ascii="仿宋" w:hAnsi="仿宋" w:eastAsia="仿宋" w:cs="仿宋"/>
          <w:b/>
          <w:bCs/>
          <w:color w:val="auto"/>
          <w:sz w:val="24"/>
          <w:highlight w:val="none"/>
        </w:rPr>
        <w:t>。</w:t>
      </w:r>
    </w:p>
    <w:p>
      <w:pPr>
        <w:widowControl/>
        <w:topLinePunct/>
        <w:spacing w:line="360" w:lineRule="auto"/>
        <w:rPr>
          <w:rFonts w:ascii="仿宋" w:hAnsi="仿宋" w:eastAsia="仿宋" w:cs="仿宋"/>
          <w:color w:val="auto"/>
          <w:kern w:val="0"/>
          <w:sz w:val="24"/>
          <w:highlight w:val="none"/>
          <w:lang w:bidi="ar"/>
        </w:rPr>
      </w:pPr>
      <w:r>
        <w:rPr>
          <w:rFonts w:ascii="仿宋" w:hAnsi="仿宋" w:eastAsia="仿宋" w:cs="仿宋"/>
          <w:color w:val="auto"/>
          <w:sz w:val="24"/>
          <w:highlight w:val="none"/>
        </w:rPr>
        <w:t>13.2</w:t>
      </w:r>
      <w:r>
        <w:rPr>
          <w:rFonts w:hint="eastAsia" w:ascii="仿宋" w:hAnsi="仿宋" w:eastAsia="仿宋" w:cs="仿宋"/>
          <w:color w:val="auto"/>
          <w:kern w:val="0"/>
          <w:sz w:val="24"/>
          <w:highlight w:val="none"/>
          <w:lang w:bidi="ar"/>
        </w:rPr>
        <w:t>供应商或成交供应商出现下列行为之一，</w:t>
      </w:r>
      <w:r>
        <w:rPr>
          <w:rFonts w:hint="eastAsia" w:ascii="仿宋" w:hAnsi="仿宋" w:eastAsia="仿宋" w:cs="宋体"/>
          <w:color w:val="auto"/>
          <w:sz w:val="24"/>
          <w:highlight w:val="none"/>
          <w:lang w:eastAsia="zh-CN"/>
        </w:rPr>
        <w:t>比选保证金</w:t>
      </w:r>
      <w:r>
        <w:rPr>
          <w:rFonts w:hint="eastAsia" w:ascii="仿宋" w:hAnsi="仿宋" w:eastAsia="仿宋" w:cs="仿宋"/>
          <w:color w:val="auto"/>
          <w:kern w:val="0"/>
          <w:sz w:val="24"/>
          <w:highlight w:val="none"/>
          <w:lang w:bidi="ar"/>
        </w:rPr>
        <w:t>不予退还：</w:t>
      </w:r>
    </w:p>
    <w:p>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（1）供应商在</w:t>
      </w:r>
      <w:r>
        <w:rPr>
          <w:rFonts w:hint="eastAsia" w:ascii="仿宋" w:hAnsi="仿宋" w:eastAsia="仿宋" w:cs="仿宋"/>
          <w:color w:val="auto"/>
          <w:sz w:val="24"/>
          <w:highlight w:val="none"/>
          <w:lang w:eastAsia="zh-CN"/>
        </w:rPr>
        <w:t>比选</w:t>
      </w:r>
      <w:r>
        <w:rPr>
          <w:rFonts w:hint="eastAsia" w:ascii="仿宋" w:hAnsi="仿宋" w:eastAsia="仿宋" w:cs="仿宋"/>
          <w:color w:val="auto"/>
          <w:kern w:val="0"/>
          <w:sz w:val="24"/>
          <w:highlight w:val="none"/>
          <w:lang w:bidi="ar"/>
        </w:rPr>
        <w:t>截止后至</w:t>
      </w:r>
      <w:r>
        <w:rPr>
          <w:rFonts w:hint="eastAsia" w:ascii="仿宋" w:hAnsi="仿宋" w:eastAsia="仿宋" w:cs="仿宋"/>
          <w:color w:val="auto"/>
          <w:sz w:val="24"/>
          <w:highlight w:val="none"/>
          <w:lang w:eastAsia="zh-CN"/>
        </w:rPr>
        <w:t>比选</w:t>
      </w:r>
      <w:r>
        <w:rPr>
          <w:rFonts w:hint="eastAsia" w:ascii="仿宋" w:hAnsi="仿宋" w:eastAsia="仿宋" w:cs="仿宋"/>
          <w:color w:val="auto"/>
          <w:kern w:val="0"/>
          <w:sz w:val="24"/>
          <w:highlight w:val="none"/>
          <w:lang w:bidi="ar"/>
        </w:rPr>
        <w:t>有效期期满前,要求撤回已递交的响应文件；</w:t>
      </w:r>
    </w:p>
    <w:p>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（2）成交后放弃成交的；</w:t>
      </w:r>
    </w:p>
    <w:p>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（3）成交后无正当理由不与采购人订立合同的；</w:t>
      </w:r>
    </w:p>
    <w:p>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（4）成交供应商在签订合同时向采购人提出附加条件或要求变更实质性合同条款的；</w:t>
      </w:r>
    </w:p>
    <w:p>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（5）成交供应商不按照</w:t>
      </w:r>
      <w:r>
        <w:rPr>
          <w:rFonts w:hint="eastAsia" w:ascii="仿宋" w:hAnsi="仿宋" w:eastAsia="仿宋" w:cs="仿宋"/>
          <w:color w:val="auto"/>
          <w:sz w:val="24"/>
          <w:highlight w:val="none"/>
          <w:lang w:eastAsia="zh-CN"/>
        </w:rPr>
        <w:t>比选</w:t>
      </w:r>
      <w:r>
        <w:rPr>
          <w:rFonts w:hint="eastAsia" w:ascii="仿宋" w:hAnsi="仿宋" w:eastAsia="仿宋" w:cs="仿宋"/>
          <w:color w:val="auto"/>
          <w:kern w:val="0"/>
          <w:sz w:val="24"/>
          <w:highlight w:val="none"/>
          <w:lang w:bidi="ar"/>
        </w:rPr>
        <w:t>文件要求提交履约保证金的；</w:t>
      </w:r>
    </w:p>
    <w:p>
      <w:pPr>
        <w:pStyle w:val="17"/>
        <w:spacing w:line="360" w:lineRule="auto"/>
        <w:jc w:val="left"/>
        <w:rPr>
          <w:rStyle w:val="90"/>
          <w:rFonts w:hint="default"/>
          <w:color w:val="auto"/>
          <w:highlight w:val="none"/>
        </w:rPr>
      </w:pPr>
      <w:r>
        <w:rPr>
          <w:rFonts w:hint="eastAsia" w:ascii="仿宋" w:hAnsi="仿宋" w:eastAsia="仿宋" w:cs="仿宋"/>
          <w:color w:val="auto"/>
          <w:kern w:val="0"/>
          <w:sz w:val="24"/>
          <w:highlight w:val="none"/>
          <w:lang w:bidi="ar"/>
        </w:rPr>
        <w:t>（6）供应商有恶意欺诈、弄虚作假、围标串标、哄抬标价、徇私行贿等法律法规中所列违规行为的</w:t>
      </w:r>
      <w:r>
        <w:rPr>
          <w:rStyle w:val="90"/>
          <w:rFonts w:hint="default"/>
          <w:color w:val="auto"/>
          <w:highlight w:val="none"/>
        </w:rPr>
        <w:t>。</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.响应文件的式样、密封和标记</w:t>
      </w:r>
    </w:p>
    <w:p>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响应文件包括电子响应文件与纸质响应文件（指采购文件规定接收纸质响应文件的情况）两种形式如有不一致，以电子响应文件为准。本项目要求供应商递交的响应文件形式详见《供应商须知前附表》。供应商未按规定形式要求递交响应文件的，或采购文件规定须同时递交两种形式响应文件但供应商只递交了其中一种的，将均被视作无效响应。</w:t>
      </w:r>
    </w:p>
    <w:p>
      <w:pPr>
        <w:keepNext w:val="0"/>
        <w:keepLines w:val="0"/>
        <w:pageBreakBefore w:val="0"/>
        <w:widowControl w:val="0"/>
        <w:numPr>
          <w:ilvl w:val="0"/>
          <w:numId w:val="0"/>
        </w:numPr>
        <w:tabs>
          <w:tab w:val="left" w:pos="709"/>
        </w:tabs>
        <w:kinsoku/>
        <w:wordWrap/>
        <w:overflowPunct/>
        <w:topLinePunct w:val="0"/>
        <w:bidi w:val="0"/>
        <w:adjustRightInd/>
        <w:snapToGrid/>
        <w:spacing w:after="0" w:line="360" w:lineRule="auto"/>
        <w:ind w:left="630" w:leftChars="0" w:hanging="630" w:firstLineChars="0"/>
        <w:contextualSpacing/>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2"/>
          <w:szCs w:val="28"/>
          <w:highlight w:val="none"/>
          <w:lang w:val="en-US" w:eastAsia="zh-CN" w:bidi="ar-SA"/>
        </w:rPr>
        <w:t>14.1</w:t>
      </w:r>
      <w:r>
        <w:rPr>
          <w:rFonts w:hint="eastAsia" w:ascii="仿宋" w:hAnsi="仿宋" w:eastAsia="仿宋" w:cs="仿宋"/>
          <w:b/>
          <w:color w:val="auto"/>
          <w:sz w:val="24"/>
          <w:szCs w:val="24"/>
          <w:highlight w:val="none"/>
        </w:rPr>
        <w:t>电子响应文件</w:t>
      </w:r>
    </w:p>
    <w:p>
      <w:pPr>
        <w:pStyle w:val="108"/>
        <w:keepNext w:val="0"/>
        <w:keepLines w:val="0"/>
        <w:pageBreakBefore w:val="0"/>
        <w:widowControl w:val="0"/>
        <w:tabs>
          <w:tab w:val="left" w:pos="709"/>
        </w:tabs>
        <w:kinsoku/>
        <w:wordWrap/>
        <w:overflowPunct/>
        <w:topLinePunct w:val="0"/>
        <w:bidi w:val="0"/>
        <w:adjustRightInd/>
        <w:snapToGrid/>
        <w:spacing w:after="0" w:line="360" w:lineRule="auto"/>
        <w:ind w:left="629"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电子响应文件由供应商在“电子交易平台”在线编制及签章、加密后生成，并在规定截止时间前上传到“电子交易平台”：</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供应商在编制电子响应文件时应按照评审条款逐一对应相关响应材料。</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电子响应文件中的证明资料的“复印件”均为原件扫描件加盖电子签章。</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b/>
          <w:snapToGrid w:val="0"/>
          <w:color w:val="auto"/>
          <w:sz w:val="24"/>
          <w:szCs w:val="24"/>
          <w:highlight w:val="none"/>
          <w:lang w:val="zh-CN"/>
        </w:rPr>
        <w:t>响应文件格式文件要求供应商“盖单位章”、“公章”的地方，供应商应使用CA 数字证书加盖供应商的单位电子印章</w:t>
      </w:r>
      <w:r>
        <w:rPr>
          <w:rFonts w:hint="eastAsia" w:ascii="仿宋" w:hAnsi="仿宋" w:eastAsia="仿宋" w:cs="仿宋"/>
          <w:snapToGrid w:val="0"/>
          <w:color w:val="auto"/>
          <w:sz w:val="24"/>
          <w:szCs w:val="24"/>
          <w:highlight w:val="none"/>
          <w:lang w:val="zh-CN"/>
        </w:rPr>
        <w:t>。</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b/>
          <w:snapToGrid w:val="0"/>
          <w:color w:val="auto"/>
          <w:sz w:val="24"/>
          <w:szCs w:val="24"/>
          <w:highlight w:val="none"/>
          <w:lang w:val="zh-CN"/>
        </w:rPr>
        <w:t>电子响应文件格式文件要求法定代表人“签字”、“签名”的地方，供应商应使用CA 数字证书加盖法定代表人的个人电子印章或电子签名章</w:t>
      </w:r>
      <w:r>
        <w:rPr>
          <w:rFonts w:hint="eastAsia" w:ascii="仿宋" w:hAnsi="仿宋" w:eastAsia="仿宋" w:cs="仿宋"/>
          <w:snapToGrid w:val="0"/>
          <w:color w:val="auto"/>
          <w:sz w:val="24"/>
          <w:szCs w:val="24"/>
          <w:highlight w:val="none"/>
          <w:lang w:val="zh-CN"/>
        </w:rPr>
        <w:t>。因“电子交易平台”未要求授权代表办理CA数字证书，“法定代表人授权委托书”中的“授权代表”处可以由授权代表签名后扫描上传，或直接打印授权代表姓名，无需授权代表电子签章。</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证明材料中要求有其他单位盖章或签名的地方（如制造商授权书、检测报告等），供应商应提供“盖章（签名）原件的扫描件”。</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联合体参与响应的，响应文件由联合体牵头人按上述规定在要求“盖单位章”的地方加盖联合体牵头人单位电子印章；在要求“签名”的地方加盖联合体牵头人法定代表人的个人电子印章或电子签名章。</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为了保证系统处理效率，制作证明材料扫描件时，供应商在保证可辨认清晰度情况下扫描时应尽量降低扫描分辨率（对于以文字为主的文件扫描，建议最高200DPI；对于图片为主且颜色丰富的文件，建议最高300DPI），输出为JPG文件格式，再粘贴至word，以减少成稿文件的容量大小。</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snapToGrid w:val="0"/>
          <w:color w:val="auto"/>
          <w:sz w:val="24"/>
          <w:szCs w:val="24"/>
          <w:highlight w:val="none"/>
          <w:lang w:val="zh-CN"/>
        </w:rPr>
        <w:t>为了保证系统整体效率，系统对所提交的电子响应文件有容量的限制（</w:t>
      </w:r>
      <w:r>
        <w:rPr>
          <w:rFonts w:hint="eastAsia" w:ascii="仿宋" w:hAnsi="仿宋" w:eastAsia="仿宋" w:cs="仿宋"/>
          <w:b/>
          <w:snapToGrid w:val="0"/>
          <w:color w:val="auto"/>
          <w:sz w:val="24"/>
          <w:szCs w:val="24"/>
          <w:highlight w:val="none"/>
          <w:lang w:val="zh-CN"/>
        </w:rPr>
        <w:t>生成的TBJ格式响应文件应不大于200M</w:t>
      </w:r>
      <w:r>
        <w:rPr>
          <w:rFonts w:hint="eastAsia" w:ascii="仿宋" w:hAnsi="仿宋" w:eastAsia="仿宋" w:cs="仿宋"/>
          <w:snapToGrid w:val="0"/>
          <w:color w:val="auto"/>
          <w:sz w:val="24"/>
          <w:szCs w:val="24"/>
          <w:highlight w:val="none"/>
          <w:lang w:val="zh-CN"/>
        </w:rPr>
        <w:t>），因此，供应商应尽可能降低本文件的大小，小尺寸响应文件将使</w:t>
      </w:r>
      <w:r>
        <w:rPr>
          <w:rFonts w:hint="eastAsia" w:ascii="仿宋" w:hAnsi="仿宋" w:eastAsia="仿宋" w:cs="仿宋"/>
          <w:color w:val="auto"/>
          <w:sz w:val="24"/>
          <w:szCs w:val="24"/>
          <w:highlight w:val="none"/>
        </w:rPr>
        <w:t>递交更快捷、减少差错发生几率，避免响应截止时间前未能完整上传响应文件。</w:t>
      </w:r>
    </w:p>
    <w:p>
      <w:pPr>
        <w:keepNext w:val="0"/>
        <w:keepLines w:val="0"/>
        <w:pageBreakBefore w:val="0"/>
        <w:widowControl w:val="0"/>
        <w:numPr>
          <w:ilvl w:val="0"/>
          <w:numId w:val="5"/>
        </w:numPr>
        <w:tabs>
          <w:tab w:val="left" w:pos="540"/>
          <w:tab w:val="left" w:pos="2040"/>
        </w:tabs>
        <w:kinsoku/>
        <w:wordWrap/>
        <w:overflowPunct/>
        <w:topLinePunct w:val="0"/>
        <w:autoSpaceDE w:val="0"/>
        <w:autoSpaceDN w:val="0"/>
        <w:bidi w:val="0"/>
        <w:adjustRightInd/>
        <w:snapToGrid/>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响应文件经在线编制及签章、加密后，生成终版电子响应文件（后缀名为.TBJ）。</w:t>
      </w:r>
    </w:p>
    <w:p>
      <w:pPr>
        <w:keepNext w:val="0"/>
        <w:keepLines w:val="0"/>
        <w:pageBreakBefore w:val="0"/>
        <w:widowControl w:val="0"/>
        <w:numPr>
          <w:ilvl w:val="0"/>
          <w:numId w:val="0"/>
        </w:numPr>
        <w:tabs>
          <w:tab w:val="left" w:pos="720"/>
        </w:tabs>
        <w:kinsoku/>
        <w:wordWrap/>
        <w:overflowPunct/>
        <w:topLinePunct w:val="0"/>
        <w:bidi w:val="0"/>
        <w:adjustRightInd/>
        <w:snapToGrid/>
        <w:spacing w:after="0" w:line="360" w:lineRule="auto"/>
        <w:ind w:left="630" w:leftChars="0" w:hanging="630" w:firstLineChars="0"/>
        <w:contextualSpacing/>
        <w:jc w:val="both"/>
        <w:textAlignment w:val="auto"/>
        <w:rPr>
          <w:rFonts w:hint="eastAsia" w:ascii="仿宋" w:hAnsi="仿宋" w:eastAsia="仿宋" w:cs="仿宋"/>
          <w:snapToGrid w:val="0"/>
          <w:color w:val="auto"/>
          <w:sz w:val="24"/>
          <w:szCs w:val="24"/>
          <w:highlight w:val="none"/>
        </w:rPr>
      </w:pPr>
      <w:r>
        <w:rPr>
          <w:rFonts w:hint="eastAsia" w:ascii="仿宋" w:hAnsi="仿宋" w:eastAsia="仿宋" w:cs="仿宋"/>
          <w:snapToGrid w:val="0"/>
          <w:color w:val="auto"/>
          <w:kern w:val="2"/>
          <w:sz w:val="24"/>
          <w:szCs w:val="24"/>
          <w:highlight w:val="none"/>
          <w:lang w:val="en-US" w:eastAsia="zh-CN" w:bidi="ar-SA"/>
        </w:rPr>
        <w:t>14.2</w:t>
      </w:r>
      <w:r>
        <w:rPr>
          <w:rFonts w:hint="eastAsia" w:ascii="仿宋" w:hAnsi="仿宋" w:eastAsia="仿宋" w:cs="仿宋"/>
          <w:b/>
          <w:color w:val="auto"/>
          <w:sz w:val="24"/>
          <w:szCs w:val="24"/>
          <w:highlight w:val="none"/>
        </w:rPr>
        <w:t>纸质响应文件</w:t>
      </w:r>
    </w:p>
    <w:p>
      <w:pPr>
        <w:keepNext w:val="0"/>
        <w:keepLines w:val="0"/>
        <w:pageBreakBefore w:val="0"/>
        <w:widowControl w:val="0"/>
        <w:numPr>
          <w:ilvl w:val="0"/>
          <w:numId w:val="6"/>
        </w:numPr>
        <w:kinsoku/>
        <w:wordWrap/>
        <w:overflowPunct/>
        <w:topLinePunct w:val="0"/>
        <w:autoSpaceDE w:val="0"/>
        <w:autoSpaceDN w:val="0"/>
        <w:bidi w:val="0"/>
        <w:adjustRightInd/>
        <w:snapToGrid/>
        <w:spacing w:after="0" w:line="360" w:lineRule="auto"/>
        <w:ind w:left="567" w:hanging="283"/>
        <w:jc w:val="both"/>
        <w:textAlignment w:val="auto"/>
        <w:rPr>
          <w:rFonts w:hint="eastAsia"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lang w:val="zh-CN"/>
        </w:rPr>
        <w:t>本项目是否接收接收纸质响应文件备用详见</w:t>
      </w:r>
      <w:r>
        <w:rPr>
          <w:rFonts w:hint="eastAsia" w:ascii="仿宋" w:hAnsi="仿宋" w:eastAsia="仿宋" w:cs="仿宋"/>
          <w:snapToGrid w:val="0"/>
          <w:color w:val="auto"/>
          <w:sz w:val="24"/>
          <w:szCs w:val="24"/>
          <w:highlight w:val="none"/>
        </w:rPr>
        <w:t>《供应商须知前附表》</w:t>
      </w:r>
      <w:r>
        <w:rPr>
          <w:rFonts w:hint="eastAsia" w:ascii="仿宋" w:hAnsi="仿宋" w:eastAsia="仿宋" w:cs="仿宋"/>
          <w:snapToGrid w:val="0"/>
          <w:color w:val="auto"/>
          <w:sz w:val="24"/>
          <w:szCs w:val="24"/>
          <w:highlight w:val="none"/>
          <w:lang w:val="zh-CN"/>
        </w:rPr>
        <w:t>。纸质响应文件由电子响应文件打印生成</w:t>
      </w:r>
      <w:r>
        <w:rPr>
          <w:rFonts w:hint="eastAsia" w:ascii="仿宋" w:hAnsi="仿宋" w:eastAsia="仿宋" w:cs="仿宋"/>
          <w:color w:val="auto"/>
          <w:sz w:val="24"/>
          <w:szCs w:val="24"/>
          <w:highlight w:val="none"/>
        </w:rPr>
        <w:t>，</w:t>
      </w:r>
      <w:r>
        <w:rPr>
          <w:rFonts w:hint="eastAsia" w:ascii="仿宋" w:hAnsi="仿宋" w:eastAsia="仿宋" w:cs="仿宋"/>
          <w:snapToGrid w:val="0"/>
          <w:color w:val="auto"/>
          <w:sz w:val="24"/>
          <w:szCs w:val="24"/>
          <w:highlight w:val="none"/>
          <w:lang w:val="zh-CN"/>
        </w:rPr>
        <w:t>响应文件用纸应统一为A4规格（图纸、效果图等除外）。</w:t>
      </w:r>
    </w:p>
    <w:p>
      <w:pPr>
        <w:keepNext w:val="0"/>
        <w:keepLines w:val="0"/>
        <w:pageBreakBefore w:val="0"/>
        <w:widowControl w:val="0"/>
        <w:numPr>
          <w:ilvl w:val="0"/>
          <w:numId w:val="6"/>
        </w:numPr>
        <w:kinsoku/>
        <w:wordWrap/>
        <w:overflowPunct/>
        <w:topLinePunct w:val="0"/>
        <w:autoSpaceDE w:val="0"/>
        <w:autoSpaceDN w:val="0"/>
        <w:bidi w:val="0"/>
        <w:adjustRightInd/>
        <w:snapToGrid/>
        <w:spacing w:after="0" w:line="360" w:lineRule="auto"/>
        <w:ind w:left="567" w:hanging="283"/>
        <w:jc w:val="both"/>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纸质响应文件正、副本的数量见《供应商须知前附表》，响应文件须清楚地标明“正本”、“副本”，副本可采用正本的复印件。若副本与正本不符，以正本为准；</w:t>
      </w:r>
    </w:p>
    <w:p>
      <w:pPr>
        <w:keepNext w:val="0"/>
        <w:keepLines w:val="0"/>
        <w:pageBreakBefore w:val="0"/>
        <w:widowControl w:val="0"/>
        <w:numPr>
          <w:ilvl w:val="0"/>
          <w:numId w:val="6"/>
        </w:numPr>
        <w:kinsoku/>
        <w:wordWrap/>
        <w:overflowPunct/>
        <w:topLinePunct w:val="0"/>
        <w:autoSpaceDE w:val="0"/>
        <w:autoSpaceDN w:val="0"/>
        <w:bidi w:val="0"/>
        <w:adjustRightInd/>
        <w:snapToGrid/>
        <w:spacing w:after="0" w:line="360" w:lineRule="auto"/>
        <w:ind w:left="567" w:hanging="283"/>
        <w:jc w:val="both"/>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正本需打印或用不褪色墨水书写，并由法定代表人或授权代表（签名）并加盖公章。由授权代表（签名）的，响应文件中应提交《法定代表人授权书》。供应商为自然人的，由供应商本人签名并附身份证明。</w:t>
      </w:r>
    </w:p>
    <w:p>
      <w:pPr>
        <w:keepNext w:val="0"/>
        <w:keepLines w:val="0"/>
        <w:pageBreakBefore w:val="0"/>
        <w:widowControl w:val="0"/>
        <w:numPr>
          <w:ilvl w:val="0"/>
          <w:numId w:val="6"/>
        </w:numPr>
        <w:kinsoku/>
        <w:wordWrap/>
        <w:overflowPunct/>
        <w:topLinePunct w:val="0"/>
        <w:autoSpaceDE w:val="0"/>
        <w:autoSpaceDN w:val="0"/>
        <w:bidi w:val="0"/>
        <w:adjustRightInd/>
        <w:snapToGrid/>
        <w:spacing w:after="0" w:line="360" w:lineRule="auto"/>
        <w:ind w:left="567" w:hanging="283"/>
        <w:jc w:val="both"/>
        <w:textAlignment w:val="auto"/>
        <w:rPr>
          <w:rFonts w:hint="eastAsia" w:ascii="仿宋" w:hAnsi="仿宋" w:eastAsia="仿宋" w:cs="仿宋"/>
          <w:snapToGrid w:val="0"/>
          <w:color w:val="auto"/>
          <w:sz w:val="24"/>
          <w:szCs w:val="24"/>
          <w:highlight w:val="none"/>
          <w:lang w:val="zh-CN"/>
        </w:rPr>
      </w:pPr>
      <w:r>
        <w:rPr>
          <w:rFonts w:hint="eastAsia" w:ascii="仿宋" w:hAnsi="仿宋" w:eastAsia="仿宋" w:cs="仿宋"/>
          <w:snapToGrid w:val="0"/>
          <w:color w:val="auto"/>
          <w:sz w:val="24"/>
          <w:szCs w:val="24"/>
          <w:highlight w:val="none"/>
          <w:lang w:val="zh-CN"/>
        </w:rPr>
        <w:t>纸质响应文件应当采用不可拆卸的方法的装订，对未经装订的响应文件可能发生的文件散落或缺损及由此产生的后果由供应商承担。</w:t>
      </w:r>
    </w:p>
    <w:p>
      <w:pPr>
        <w:keepNext w:val="0"/>
        <w:keepLines w:val="0"/>
        <w:pageBreakBefore w:val="0"/>
        <w:widowControl w:val="0"/>
        <w:numPr>
          <w:ilvl w:val="0"/>
          <w:numId w:val="6"/>
        </w:numPr>
        <w:kinsoku/>
        <w:wordWrap/>
        <w:overflowPunct/>
        <w:topLinePunct w:val="0"/>
        <w:autoSpaceDE w:val="0"/>
        <w:autoSpaceDN w:val="0"/>
        <w:bidi w:val="0"/>
        <w:adjustRightInd/>
        <w:snapToGrid/>
        <w:spacing w:after="0" w:line="360" w:lineRule="auto"/>
        <w:ind w:left="567" w:hanging="283"/>
        <w:jc w:val="both"/>
        <w:textAlignment w:val="auto"/>
        <w:rPr>
          <w:rFonts w:ascii="仿宋" w:hAnsi="仿宋" w:eastAsia="仿宋" w:cs="宋体"/>
          <w:color w:val="auto"/>
          <w:kern w:val="0"/>
          <w:sz w:val="24"/>
          <w:highlight w:val="none"/>
        </w:rPr>
      </w:pPr>
      <w:r>
        <w:rPr>
          <w:rFonts w:hint="eastAsia" w:ascii="仿宋" w:hAnsi="仿宋" w:eastAsia="仿宋" w:cs="仿宋"/>
          <w:snapToGrid w:val="0"/>
          <w:color w:val="auto"/>
          <w:sz w:val="24"/>
          <w:szCs w:val="24"/>
          <w:highlight w:val="none"/>
          <w:lang w:val="zh-CN"/>
        </w:rPr>
        <w:t>纸质响应文件应进行密封包装，封包加盖供应商公章，并注明项目编号、项目名称、供应商名称及“（**时间）前不得启封”的字样。</w:t>
      </w:r>
    </w:p>
    <w:p>
      <w:pPr>
        <w:keepNext w:val="0"/>
        <w:keepLines w:val="0"/>
        <w:pageBreakBefore w:val="0"/>
        <w:widowControl w:val="0"/>
        <w:numPr>
          <w:ilvl w:val="0"/>
          <w:numId w:val="6"/>
        </w:numPr>
        <w:kinsoku/>
        <w:wordWrap/>
        <w:overflowPunct/>
        <w:topLinePunct w:val="0"/>
        <w:autoSpaceDE w:val="0"/>
        <w:autoSpaceDN w:val="0"/>
        <w:bidi w:val="0"/>
        <w:adjustRightInd/>
        <w:snapToGrid/>
        <w:spacing w:after="0" w:line="360" w:lineRule="auto"/>
        <w:ind w:left="567" w:hanging="283"/>
        <w:jc w:val="both"/>
        <w:textAlignment w:val="auto"/>
        <w:rPr>
          <w:rFonts w:ascii="仿宋" w:hAnsi="仿宋" w:eastAsia="仿宋" w:cs="宋体"/>
          <w:color w:val="auto"/>
          <w:kern w:val="0"/>
          <w:sz w:val="24"/>
          <w:highlight w:val="none"/>
        </w:rPr>
      </w:pPr>
      <w:r>
        <w:rPr>
          <w:rFonts w:hint="eastAsia" w:ascii="仿宋" w:hAnsi="仿宋" w:eastAsia="仿宋" w:cs="仿宋"/>
          <w:color w:val="auto"/>
          <w:sz w:val="24"/>
          <w:szCs w:val="24"/>
          <w:highlight w:val="none"/>
        </w:rPr>
        <w:t>如果未按要求加写标记的，采购代理机构对其误投或提前启封概不负责</w:t>
      </w:r>
      <w:r>
        <w:rPr>
          <w:rFonts w:hint="eastAsia" w:ascii="仿宋" w:hAnsi="仿宋" w:eastAsia="仿宋" w:cs="仿宋"/>
          <w:color w:val="auto"/>
          <w:sz w:val="24"/>
          <w:szCs w:val="24"/>
          <w:highlight w:val="none"/>
          <w:lang w:val="zh-CN"/>
        </w:rPr>
        <w:t>。</w:t>
      </w:r>
    </w:p>
    <w:p>
      <w:pPr>
        <w:pStyle w:val="4"/>
        <w:keepNext w:val="0"/>
        <w:keepLines w:val="0"/>
        <w:pageBreakBefore w:val="0"/>
        <w:widowControl w:val="0"/>
        <w:numPr>
          <w:ilvl w:val="5"/>
          <w:numId w:val="0"/>
        </w:numPr>
        <w:kinsoku/>
        <w:wordWrap/>
        <w:overflowPunct/>
        <w:topLinePunct w:val="0"/>
        <w:autoSpaceDE/>
        <w:autoSpaceDN/>
        <w:bidi w:val="0"/>
        <w:adjustRightInd/>
        <w:snapToGrid/>
        <w:spacing w:before="0" w:after="0" w:line="360" w:lineRule="auto"/>
        <w:textAlignment w:val="auto"/>
        <w:rPr>
          <w:rFonts w:hint="eastAsia" w:ascii="仿宋" w:hAnsi="仿宋" w:eastAsia="仿宋" w:cs="仿宋"/>
          <w:color w:val="auto"/>
          <w:sz w:val="24"/>
          <w:szCs w:val="24"/>
          <w:highlight w:val="none"/>
        </w:rPr>
      </w:pPr>
      <w:bookmarkStart w:id="79" w:name="_Toc14726"/>
      <w:bookmarkStart w:id="80" w:name="_Toc444891340"/>
      <w:bookmarkStart w:id="81" w:name="_Toc517281820"/>
      <w:bookmarkStart w:id="82" w:name="_Toc287600122"/>
      <w:bookmarkStart w:id="83" w:name="_Toc21600"/>
      <w:bookmarkStart w:id="84" w:name="_Toc4155"/>
      <w:bookmarkStart w:id="85" w:name="_Toc19783317"/>
      <w:bookmarkStart w:id="86" w:name="_Toc7129"/>
      <w:bookmarkStart w:id="87" w:name="_Toc18673"/>
      <w:bookmarkStart w:id="88" w:name="_Toc17865"/>
      <w:r>
        <w:rPr>
          <w:rFonts w:hint="eastAsia" w:ascii="仿宋" w:hAnsi="仿宋" w:eastAsia="仿宋" w:cs="仿宋"/>
          <w:color w:val="auto"/>
          <w:sz w:val="24"/>
          <w:szCs w:val="24"/>
          <w:highlight w:val="none"/>
        </w:rPr>
        <w:t>（四）响应文件的</w:t>
      </w:r>
      <w:bookmarkEnd w:id="79"/>
      <w:bookmarkEnd w:id="80"/>
      <w:bookmarkEnd w:id="81"/>
      <w:bookmarkEnd w:id="82"/>
      <w:bookmarkEnd w:id="83"/>
      <w:bookmarkEnd w:id="84"/>
      <w:bookmarkEnd w:id="85"/>
      <w:bookmarkEnd w:id="86"/>
      <w:bookmarkEnd w:id="87"/>
      <w:r>
        <w:rPr>
          <w:rFonts w:hint="eastAsia" w:ascii="仿宋" w:hAnsi="仿宋" w:eastAsia="仿宋" w:cs="仿宋"/>
          <w:color w:val="auto"/>
          <w:sz w:val="24"/>
          <w:szCs w:val="24"/>
          <w:highlight w:val="none"/>
        </w:rPr>
        <w:t>递交</w:t>
      </w:r>
      <w:bookmarkEnd w:id="88"/>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5</w:t>
      </w:r>
      <w:r>
        <w:rPr>
          <w:rFonts w:hint="eastAsia" w:ascii="仿宋" w:hAnsi="仿宋" w:eastAsia="仿宋" w:cs="仿宋"/>
          <w:color w:val="auto"/>
          <w:sz w:val="24"/>
          <w:szCs w:val="24"/>
          <w:highlight w:val="none"/>
        </w:rPr>
        <w:t>.响应文件的递交</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.1供应商应按</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规定的时间、方式递交响应文件。</w:t>
      </w:r>
    </w:p>
    <w:p>
      <w:pPr>
        <w:spacing w:line="360" w:lineRule="auto"/>
        <w:jc w:val="left"/>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15.2出现下列情形之一时，</w:t>
      </w:r>
      <w:r>
        <w:rPr>
          <w:rFonts w:hint="eastAsia" w:ascii="仿宋" w:hAnsi="仿宋" w:eastAsia="仿宋" w:cs="宋体"/>
          <w:b/>
          <w:bCs/>
          <w:color w:val="auto"/>
          <w:sz w:val="24"/>
          <w:highlight w:val="none"/>
        </w:rPr>
        <w:t>响应文件不予接收或已经递交的响应文件无效；</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（1）电子响应文件逾期递交的；</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（2）纸质响应文件逾期递交或者未送达指定地点或者未按照</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文件要求封装的；</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（3）未通过资格预审的申请供应商递交的；</w:t>
      </w:r>
      <w:r>
        <w:rPr>
          <w:rFonts w:hint="eastAsia" w:ascii="仿宋" w:hAnsi="仿宋" w:eastAsia="仿宋" w:cs="宋体"/>
          <w:i/>
          <w:color w:val="auto"/>
          <w:sz w:val="24"/>
          <w:highlight w:val="none"/>
        </w:rPr>
        <w:t>（资格预审项目适用）</w:t>
      </w:r>
    </w:p>
    <w:p>
      <w:pPr>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（4）未按</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公告或者响应公告书要求获得本项目</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文件的。</w:t>
      </w:r>
    </w:p>
    <w:p>
      <w:pPr>
        <w:pStyle w:val="5"/>
        <w:spacing w:before="0" w:after="0" w:line="360" w:lineRule="auto"/>
        <w:jc w:val="left"/>
        <w:rPr>
          <w:rFonts w:ascii="仿宋" w:hAnsi="仿宋" w:eastAsia="仿宋" w:cs="仿宋"/>
          <w:color w:val="auto"/>
          <w:sz w:val="24"/>
          <w:highlight w:val="none"/>
        </w:rPr>
      </w:pPr>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.响应文件的修改、撤回和撤销</w:t>
      </w:r>
    </w:p>
    <w:p>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16</w:t>
      </w:r>
      <w:r>
        <w:rPr>
          <w:rFonts w:hint="eastAsia" w:ascii="仿宋" w:hAnsi="仿宋" w:eastAsia="仿宋" w:cs="仿宋"/>
          <w:color w:val="auto"/>
          <w:sz w:val="24"/>
          <w:highlight w:val="none"/>
        </w:rPr>
        <w:t>.1</w:t>
      </w:r>
      <w:r>
        <w:rPr>
          <w:rFonts w:hint="eastAsia" w:ascii="仿宋" w:hAnsi="仿宋" w:eastAsia="仿宋" w:cs="宋体"/>
          <w:color w:val="auto"/>
          <w:spacing w:val="-4"/>
          <w:kern w:val="0"/>
          <w:sz w:val="24"/>
          <w:highlight w:val="none"/>
        </w:rPr>
        <w:t>在</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文件</w:t>
      </w:r>
      <w:r>
        <w:rPr>
          <w:rFonts w:hint="eastAsia" w:ascii="仿宋" w:hAnsi="仿宋" w:eastAsia="仿宋" w:cs="宋体"/>
          <w:color w:val="auto"/>
          <w:spacing w:val="-4"/>
          <w:kern w:val="0"/>
          <w:sz w:val="24"/>
          <w:highlight w:val="none"/>
        </w:rPr>
        <w:t>规定的</w:t>
      </w:r>
      <w:r>
        <w:rPr>
          <w:rFonts w:hint="eastAsia" w:ascii="仿宋" w:hAnsi="仿宋" w:eastAsia="仿宋" w:cs="仿宋"/>
          <w:color w:val="auto"/>
          <w:sz w:val="24"/>
          <w:highlight w:val="none"/>
        </w:rPr>
        <w:t>响应文件</w:t>
      </w:r>
      <w:r>
        <w:rPr>
          <w:rFonts w:hint="eastAsia" w:ascii="仿宋" w:hAnsi="仿宋" w:eastAsia="仿宋" w:cs="宋体"/>
          <w:color w:val="auto"/>
          <w:spacing w:val="-4"/>
          <w:kern w:val="0"/>
          <w:sz w:val="24"/>
          <w:highlight w:val="none"/>
        </w:rPr>
        <w:t>递交截止时间前，</w:t>
      </w:r>
      <w:r>
        <w:rPr>
          <w:rFonts w:hint="eastAsia" w:ascii="仿宋" w:hAnsi="仿宋" w:eastAsia="仿宋" w:cs="宋体"/>
          <w:color w:val="auto"/>
          <w:kern w:val="0"/>
          <w:sz w:val="24"/>
          <w:highlight w:val="none"/>
        </w:rPr>
        <w:t>可以补充、修改或撤回已提交的响应文件。</w:t>
      </w:r>
      <w:r>
        <w:rPr>
          <w:rFonts w:ascii="仿宋" w:hAnsi="仿宋" w:eastAsia="仿宋" w:cs="宋体"/>
          <w:color w:val="auto"/>
          <w:kern w:val="0"/>
          <w:sz w:val="24"/>
          <w:highlight w:val="none"/>
        </w:rPr>
        <w:t>补充、修改的内容为</w:t>
      </w:r>
      <w:r>
        <w:rPr>
          <w:rFonts w:hint="eastAsia" w:ascii="仿宋" w:hAnsi="仿宋" w:eastAsia="仿宋" w:cs="宋体"/>
          <w:color w:val="auto"/>
          <w:kern w:val="0"/>
          <w:sz w:val="24"/>
          <w:highlight w:val="none"/>
        </w:rPr>
        <w:t>响应</w:t>
      </w:r>
      <w:r>
        <w:rPr>
          <w:rFonts w:ascii="仿宋" w:hAnsi="仿宋" w:eastAsia="仿宋" w:cs="宋体"/>
          <w:color w:val="auto"/>
          <w:kern w:val="0"/>
          <w:sz w:val="24"/>
          <w:highlight w:val="none"/>
        </w:rPr>
        <w:t>文件的组成部分</w:t>
      </w:r>
      <w:r>
        <w:rPr>
          <w:rFonts w:hint="eastAsia" w:ascii="仿宋" w:hAnsi="仿宋" w:eastAsia="仿宋" w:cs="宋体"/>
          <w:color w:val="auto"/>
          <w:kern w:val="0"/>
          <w:sz w:val="24"/>
          <w:highlight w:val="none"/>
        </w:rPr>
        <w:t>，应当在响应文件递交截止时间前按照</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文件的规定进行递交。</w:t>
      </w:r>
    </w:p>
    <w:p>
      <w:pPr>
        <w:pStyle w:val="17"/>
        <w:spacing w:line="360" w:lineRule="auto"/>
        <w:jc w:val="left"/>
        <w:rPr>
          <w:rFonts w:hint="eastAsia"/>
          <w:color w:val="auto"/>
          <w:highlight w:val="none"/>
        </w:rPr>
      </w:pPr>
      <w:bookmarkStart w:id="89" w:name="_Toc247085716"/>
      <w:bookmarkStart w:id="90" w:name="_Toc246996945"/>
      <w:bookmarkStart w:id="91" w:name="_Toc152042334"/>
      <w:bookmarkStart w:id="92" w:name="_Toc332188194"/>
      <w:bookmarkStart w:id="93" w:name="_Toc326223561"/>
      <w:bookmarkStart w:id="94" w:name="_Toc246996202"/>
      <w:bookmarkStart w:id="95" w:name="_Toc152045558"/>
      <w:bookmarkStart w:id="96" w:name="_Toc334766948"/>
      <w:bookmarkStart w:id="97" w:name="_Toc144974526"/>
      <w:bookmarkStart w:id="98" w:name="_Toc179632576"/>
      <w:r>
        <w:rPr>
          <w:rFonts w:ascii="仿宋" w:hAnsi="仿宋" w:eastAsia="仿宋" w:cs="仿宋"/>
          <w:color w:val="auto"/>
          <w:sz w:val="24"/>
          <w:highlight w:val="none"/>
        </w:rPr>
        <w:t>16.2</w:t>
      </w:r>
      <w:bookmarkEnd w:id="89"/>
      <w:bookmarkEnd w:id="90"/>
      <w:bookmarkEnd w:id="91"/>
      <w:bookmarkEnd w:id="92"/>
      <w:bookmarkEnd w:id="93"/>
      <w:bookmarkEnd w:id="94"/>
      <w:bookmarkEnd w:id="95"/>
      <w:bookmarkEnd w:id="96"/>
      <w:bookmarkEnd w:id="97"/>
      <w:bookmarkEnd w:id="98"/>
      <w:r>
        <w:rPr>
          <w:rFonts w:hint="eastAsia" w:ascii="仿宋" w:hAnsi="仿宋" w:eastAsia="仿宋" w:cs="仿宋"/>
          <w:color w:val="auto"/>
          <w:sz w:val="24"/>
          <w:highlight w:val="none"/>
          <w:lang w:val="en-US" w:eastAsia="zh-CN"/>
        </w:rPr>
        <w:t xml:space="preserve"> </w:t>
      </w:r>
      <w:r>
        <w:rPr>
          <w:rFonts w:hint="eastAsia" w:ascii="仿宋" w:hAnsi="仿宋" w:eastAsia="仿宋" w:cs="宋体"/>
          <w:color w:val="auto"/>
          <w:kern w:val="0"/>
          <w:sz w:val="24"/>
          <w:highlight w:val="none"/>
        </w:rPr>
        <w:t>响应文件递交截止时间后，供应商在响应有效期内撤销其响应文件，</w:t>
      </w:r>
      <w:r>
        <w:rPr>
          <w:rFonts w:hint="eastAsia" w:ascii="仿宋" w:hAnsi="仿宋" w:eastAsia="仿宋" w:cs="宋体"/>
          <w:color w:val="auto"/>
          <w:kern w:val="0"/>
          <w:sz w:val="24"/>
          <w:highlight w:val="none"/>
          <w:lang w:eastAsia="zh-CN"/>
        </w:rPr>
        <w:t>比选保证金</w:t>
      </w:r>
      <w:r>
        <w:rPr>
          <w:rFonts w:hint="eastAsia" w:ascii="仿宋" w:hAnsi="仿宋" w:eastAsia="仿宋" w:cs="宋体"/>
          <w:color w:val="auto"/>
          <w:kern w:val="0"/>
          <w:sz w:val="24"/>
          <w:highlight w:val="none"/>
        </w:rPr>
        <w:t>不予退还。</w:t>
      </w:r>
    </w:p>
    <w:p>
      <w:pPr>
        <w:pStyle w:val="4"/>
        <w:numPr>
          <w:ilvl w:val="5"/>
          <w:numId w:val="0"/>
        </w:numPr>
        <w:spacing w:before="0" w:after="0" w:line="360" w:lineRule="auto"/>
        <w:rPr>
          <w:rFonts w:hint="eastAsia" w:ascii="仿宋" w:hAnsi="仿宋" w:eastAsia="仿宋" w:cs="仿宋"/>
          <w:color w:val="auto"/>
          <w:sz w:val="24"/>
          <w:szCs w:val="24"/>
          <w:highlight w:val="none"/>
        </w:rPr>
      </w:pPr>
      <w:bookmarkStart w:id="99" w:name="_Toc517281821"/>
      <w:bookmarkStart w:id="100" w:name="_Toc2055"/>
      <w:bookmarkStart w:id="101" w:name="_Toc287600123"/>
      <w:bookmarkStart w:id="102" w:name="_Toc30466"/>
      <w:bookmarkStart w:id="103" w:name="_Toc12797"/>
      <w:bookmarkStart w:id="104" w:name="_Toc444891341"/>
      <w:bookmarkStart w:id="105" w:name="_Toc20741"/>
      <w:bookmarkStart w:id="106" w:name="_Toc2636"/>
      <w:bookmarkStart w:id="107" w:name="_Toc11361"/>
      <w:r>
        <w:rPr>
          <w:rFonts w:hint="eastAsia" w:ascii="仿宋" w:hAnsi="仿宋" w:eastAsia="仿宋" w:cs="仿宋"/>
          <w:color w:val="auto"/>
          <w:sz w:val="24"/>
          <w:szCs w:val="24"/>
          <w:highlight w:val="none"/>
        </w:rPr>
        <w:t>（五）</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和评审</w:t>
      </w:r>
      <w:bookmarkEnd w:id="99"/>
      <w:bookmarkEnd w:id="100"/>
      <w:bookmarkEnd w:id="101"/>
      <w:bookmarkEnd w:id="102"/>
      <w:bookmarkEnd w:id="103"/>
      <w:bookmarkEnd w:id="104"/>
      <w:bookmarkEnd w:id="105"/>
      <w:bookmarkEnd w:id="106"/>
      <w:bookmarkEnd w:id="107"/>
    </w:p>
    <w:p>
      <w:pPr>
        <w:pStyle w:val="5"/>
        <w:spacing w:before="0" w:after="0" w:line="360" w:lineRule="auto"/>
        <w:jc w:val="left"/>
        <w:rPr>
          <w:rFonts w:hint="eastAsia" w:ascii="仿宋" w:hAnsi="仿宋" w:eastAsia="仿宋" w:cs="仿宋"/>
          <w:color w:val="auto"/>
          <w:sz w:val="24"/>
          <w:szCs w:val="24"/>
          <w:highlight w:val="none"/>
        </w:rPr>
      </w:pPr>
      <w:bookmarkStart w:id="108" w:name="_Toc234223229"/>
      <w:bookmarkStart w:id="109" w:name="_Toc234223227"/>
      <w:r>
        <w:rPr>
          <w:rFonts w:ascii="仿宋" w:hAnsi="仿宋" w:eastAsia="仿宋" w:cs="仿宋"/>
          <w:color w:val="auto"/>
          <w:sz w:val="24"/>
          <w:szCs w:val="24"/>
          <w:highlight w:val="none"/>
        </w:rPr>
        <w:t>17</w:t>
      </w:r>
      <w:r>
        <w:rPr>
          <w:rFonts w:hint="eastAsia" w:ascii="仿宋" w:hAnsi="仿宋" w:eastAsia="仿宋" w:cs="仿宋"/>
          <w:color w:val="auto"/>
          <w:sz w:val="24"/>
          <w:szCs w:val="24"/>
          <w:highlight w:val="none"/>
        </w:rPr>
        <w:t>.组建</w:t>
      </w:r>
      <w:bookmarkEnd w:id="108"/>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小组</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7.1</w:t>
      </w:r>
      <w:r>
        <w:rPr>
          <w:rFonts w:hint="eastAsia" w:ascii="仿宋" w:hAnsi="仿宋" w:eastAsia="仿宋" w:cs="宋体"/>
          <w:color w:val="auto"/>
          <w:kern w:val="0"/>
          <w:sz w:val="24"/>
          <w:highlight w:val="none"/>
        </w:rPr>
        <w:t>采购人依照企业采购管理制度的相关规定组建</w:t>
      </w:r>
      <w:r>
        <w:rPr>
          <w:rFonts w:hint="eastAsia" w:ascii="仿宋" w:hAnsi="仿宋" w:eastAsia="仿宋" w:cs="宋体"/>
          <w:color w:val="auto"/>
          <w:kern w:val="0"/>
          <w:sz w:val="24"/>
          <w:highlight w:val="none"/>
          <w:lang w:val="en-US" w:eastAsia="zh-CN"/>
        </w:rPr>
        <w:t>X</w:t>
      </w:r>
      <w:r>
        <w:rPr>
          <w:rFonts w:hint="eastAsia" w:ascii="仿宋" w:hAnsi="仿宋" w:eastAsia="仿宋" w:cs="宋体"/>
          <w:color w:val="auto"/>
          <w:kern w:val="0"/>
          <w:sz w:val="24"/>
          <w:highlight w:val="none"/>
        </w:rPr>
        <w:t>人及以上单数的</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小组，具体人数</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本须知前附表</w:t>
      </w:r>
      <w:r>
        <w:rPr>
          <w:rFonts w:hint="eastAsia" w:ascii="仿宋" w:hAnsi="仿宋" w:eastAsia="仿宋" w:cs="宋体"/>
          <w:color w:val="auto"/>
          <w:kern w:val="0"/>
          <w:sz w:val="24"/>
          <w:highlight w:val="none"/>
        </w:rPr>
        <w:t>，</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小组成员名单在成交结果确定前保密。</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7.2</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小组成员应当按照客观、公正、审慎的原则，根据</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文件规定的评审程序、评审方法和评审标准进行独立评审。</w:t>
      </w:r>
    </w:p>
    <w:p>
      <w:pPr>
        <w:pStyle w:val="5"/>
        <w:spacing w:before="0" w:after="0" w:line="360" w:lineRule="auto"/>
        <w:jc w:val="left"/>
        <w:rPr>
          <w:rFonts w:ascii="仿宋" w:hAnsi="仿宋" w:eastAsia="仿宋" w:cs="仿宋"/>
          <w:color w:val="auto"/>
          <w:sz w:val="24"/>
          <w:szCs w:val="24"/>
          <w:highlight w:val="none"/>
        </w:rPr>
      </w:pPr>
      <w:bookmarkStart w:id="110" w:name="_Toc234223228"/>
      <w:r>
        <w:rPr>
          <w:rFonts w:ascii="仿宋" w:hAnsi="仿宋" w:eastAsia="仿宋" w:cs="仿宋"/>
          <w:color w:val="auto"/>
          <w:sz w:val="24"/>
          <w:szCs w:val="24"/>
          <w:highlight w:val="none"/>
        </w:rPr>
        <w:t>18</w:t>
      </w:r>
      <w:r>
        <w:rPr>
          <w:rFonts w:hint="eastAsia" w:ascii="仿宋" w:hAnsi="仿宋" w:eastAsia="仿宋" w:cs="仿宋"/>
          <w:color w:val="auto"/>
          <w:sz w:val="24"/>
          <w:szCs w:val="24"/>
          <w:highlight w:val="none"/>
        </w:rPr>
        <w:t>.初步评审</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8.1</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小组按照第三章评审办法中初步评审的内容及要求，对响应文件进行初步评审。通过初步评审的供应商进入</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环节，未通过初步评审的供应商，其</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响应将被否决，不进入</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、详细评审等后续环节。</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8.2</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color w:val="auto"/>
          <w:sz w:val="24"/>
          <w:highlight w:val="none"/>
        </w:rPr>
      </w:pPr>
      <w:r>
        <w:rPr>
          <w:rFonts w:hint="eastAsia" w:ascii="仿宋" w:hAnsi="仿宋" w:eastAsia="仿宋" w:cs="宋体"/>
          <w:color w:val="auto"/>
          <w:kern w:val="0"/>
          <w:sz w:val="24"/>
          <w:highlight w:val="none"/>
        </w:rPr>
        <w:t>18</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小组对供应商递交的澄清、说明或补正有疑问的，可以要求供应商进一步澄清、说明或者补正，直至满足</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小组的要求。拒不按要求进行澄清、说明或者补正的供应商</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eastAsia="zh-CN"/>
        </w:rPr>
        <w:t>比选</w:t>
      </w:r>
      <w:r>
        <w:rPr>
          <w:rFonts w:hint="eastAsia" w:ascii="仿宋" w:hAnsi="仿宋" w:eastAsia="仿宋" w:cs="仿宋"/>
          <w:b/>
          <w:bCs/>
          <w:color w:val="auto"/>
          <w:sz w:val="24"/>
          <w:highlight w:val="none"/>
        </w:rPr>
        <w:t>小组有权对其响应做否决处理。</w:t>
      </w:r>
    </w:p>
    <w:p>
      <w:pPr>
        <w:widowControl/>
        <w:topLinePunct/>
        <w:spacing w:line="360" w:lineRule="auto"/>
        <w:rPr>
          <w:rFonts w:hint="eastAsia"/>
          <w:color w:val="auto"/>
          <w:highlight w:val="none"/>
        </w:rPr>
      </w:pPr>
      <w:r>
        <w:rPr>
          <w:rFonts w:hint="eastAsia" w:ascii="仿宋" w:hAnsi="仿宋" w:eastAsia="仿宋" w:cs="宋体"/>
          <w:color w:val="auto"/>
          <w:kern w:val="0"/>
          <w:sz w:val="24"/>
          <w:highlight w:val="none"/>
        </w:rPr>
        <w:t>18</w:t>
      </w: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小组必要时可以要求供应商提交有关证明和证件的原件，以便核验。拒不按要求提供原件的供应商，</w:t>
      </w:r>
      <w:r>
        <w:rPr>
          <w:rFonts w:hint="eastAsia" w:ascii="仿宋" w:hAnsi="仿宋" w:eastAsia="仿宋" w:cs="仿宋"/>
          <w:b/>
          <w:bCs/>
          <w:color w:val="auto"/>
          <w:sz w:val="24"/>
          <w:highlight w:val="none"/>
          <w:lang w:eastAsia="zh-CN"/>
        </w:rPr>
        <w:t>比选</w:t>
      </w:r>
      <w:r>
        <w:rPr>
          <w:rFonts w:hint="eastAsia" w:ascii="仿宋" w:hAnsi="仿宋" w:eastAsia="仿宋" w:cs="仿宋"/>
          <w:b/>
          <w:bCs/>
          <w:color w:val="auto"/>
          <w:sz w:val="24"/>
          <w:highlight w:val="none"/>
        </w:rPr>
        <w:t>小组有权对其响应做否决处理。</w:t>
      </w:r>
    </w:p>
    <w:p>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程序</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19.1</w:t>
      </w:r>
      <w:r>
        <w:rPr>
          <w:rFonts w:hint="eastAsia" w:ascii="仿宋" w:hAnsi="仿宋" w:eastAsia="仿宋" w:cs="仿宋"/>
          <w:color w:val="auto"/>
          <w:sz w:val="24"/>
          <w:highlight w:val="none"/>
        </w:rPr>
        <w:t>响应文件开启</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采购代理机构在第一章“采购公告”中约定的日期、时间和地点组织线上开启，所有供应商均应当准时在线参加。</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2供应商必须在响应截止时间前，远程参加开启或到采购代理机构现场参加开启（到现场的应携带CA数字证书和已安装好CA数字签名服务驱动的笔记本电脑），使用加密响应文件的CA数字证书登录“电子交易平台”，进入“开标大厅”选择所响应标段进行签到，并保持实时在线，按要求进行相关解密及后续</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操作。</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3到响应文件递交截止时间，递交响应文件不足3家的，不进行开启。</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4在规定的时间内，非因“电子交易平台”原因造成响应文件未解密的，视为供应商撤回响应文件。已解密的响应文件少于三个的，本次</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失败；已解密的响应文件不少于三个的，开启继续进行。</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5供应商代表对开启过程和开启记录有疑义，以及认为采购人、采购代理机构相关工作人员有需要回避的情形的，应当场提出询问或者回避申请。采购人、采购代理机构将及时处理供应商代表提出的询问或者回避申请。</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6电子开启的应急措施：</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电子开启如因下列原因，导致系统无法正常运行，或者无法保证</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过程的公平、公正和信息安全时，采购人和采购代理机构可以采用纸质响应文件（采购文件要求在响应截止时间前递交纸质响应文件的）开启和评审，并以纸质响应文件正本为准；采购人和采购代理机构也可中止本次开启，等待系统恢复正常后另行通知开标时间。</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1)开启时全部或者部分供应商数据无法显示或缺失；</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2)开启时因突发问题，平台工作人员未能在15分钟内进行问题责任判定的；</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3)系统服务器发生故障，无法访问或无法使用系统；</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4)系统的软件或数据库出现错误，不能进行正常操作；</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5)出现断电事故；</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6)系统发现有安全漏洞，有潜在的泄密危险； </w:t>
      </w:r>
    </w:p>
    <w:p>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7)其他无法保证开启工作正常进行的情形。</w:t>
      </w:r>
    </w:p>
    <w:p>
      <w:pPr>
        <w:spacing w:line="360" w:lineRule="auto"/>
        <w:jc w:val="left"/>
        <w:rPr>
          <w:rFonts w:ascii="仿宋" w:hAnsi="仿宋" w:eastAsia="仿宋" w:cs="仿宋"/>
          <w:color w:val="auto"/>
          <w:sz w:val="24"/>
          <w:highlight w:val="none"/>
          <w:u w:val="single"/>
        </w:rPr>
      </w:pPr>
      <w:r>
        <w:rPr>
          <w:rFonts w:ascii="仿宋" w:hAnsi="仿宋" w:eastAsia="仿宋" w:cs="仿宋"/>
          <w:color w:val="auto"/>
          <w:sz w:val="24"/>
          <w:highlight w:val="none"/>
        </w:rPr>
        <w:t>19</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小组所有成员应当集中与通过初步评审的单一供应商分别进行</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，并给予所有参加</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的供应商平等的</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机会。供应商</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顺序、</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形式以及其他要求等</w:t>
      </w:r>
      <w:r>
        <w:rPr>
          <w:rFonts w:hint="eastAsia" w:ascii="仿宋" w:hAnsi="仿宋" w:eastAsia="仿宋" w:cs="仿宋"/>
          <w:color w:val="auto"/>
          <w:sz w:val="24"/>
          <w:highlight w:val="none"/>
          <w:u w:val="single"/>
        </w:rPr>
        <w:t>详见本须知前附表。</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19.</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小组与供应商就</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文件中的价格、商务内容、技术内容或有待供应商进一步明确的内容等进行一对一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，并要求实质性响应的供应商提交最终报价。具体</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内容详见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19.</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小组可视情况要求供应商进行多轮</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及报价。</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中，任何一方不得向第三方透露与</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有关的任何信息。</w:t>
      </w:r>
    </w:p>
    <w:bookmarkEnd w:id="110"/>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19.</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各轮报价有算术错误的，</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小组按照以下原则对报价进行修正，修正的价格经供应商书面确认后具有约束力。供应商不接受或不确认修正后价格的，</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w:t>
      </w:r>
      <w:r>
        <w:rPr>
          <w:rFonts w:hint="eastAsia" w:ascii="仿宋" w:hAnsi="仿宋" w:eastAsia="仿宋" w:cs="仿宋"/>
          <w:b/>
          <w:bCs/>
          <w:color w:val="auto"/>
          <w:sz w:val="24"/>
          <w:highlight w:val="none"/>
        </w:rPr>
        <w:t>应当否决其响应</w:t>
      </w:r>
      <w:r>
        <w:rPr>
          <w:rFonts w:hint="eastAsia" w:ascii="仿宋" w:hAnsi="仿宋" w:eastAsia="仿宋" w:cs="仿宋"/>
          <w:color w:val="auto"/>
          <w:sz w:val="24"/>
          <w:highlight w:val="none"/>
        </w:rPr>
        <w:t>。</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（1）大写金额与小写金额不一致的，以大写金额为准；</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（2）总价金额与根据单价计算出的结果不一致的，以单价金额为准修正总价，但单价金额小数点有明显错误的除外。</w:t>
      </w:r>
    </w:p>
    <w:bookmarkEnd w:id="109"/>
    <w:p>
      <w:pPr>
        <w:pStyle w:val="5"/>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20</w:t>
      </w:r>
      <w:r>
        <w:rPr>
          <w:rFonts w:hint="eastAsia" w:ascii="仿宋" w:hAnsi="仿宋" w:eastAsia="仿宋" w:cs="仿宋"/>
          <w:color w:val="auto"/>
          <w:sz w:val="24"/>
          <w:szCs w:val="24"/>
          <w:highlight w:val="none"/>
        </w:rPr>
        <w:t>.详细评审</w:t>
      </w:r>
    </w:p>
    <w:p>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20</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小组采用综合评分法对提交最终报价的供应商的响应文件及其最终报价进行综合评分。综合评分法，是指响应文件满足</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文件全部实质性要求且按评审因素的量化指标评审得分最高的供应商为成交候选人的评审方法。</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文件中没有规定的评审标准不得作为评审依据。</w:t>
      </w:r>
    </w:p>
    <w:p>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20</w:t>
      </w:r>
      <w:r>
        <w:rPr>
          <w:rFonts w:hint="eastAsia" w:ascii="仿宋" w:hAnsi="仿宋" w:eastAsia="仿宋" w:cs="仿宋"/>
          <w:color w:val="auto"/>
          <w:sz w:val="24"/>
          <w:highlight w:val="none"/>
        </w:rPr>
        <w:t>.2发生以下情形之一的，原则上做终止采购处理：</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（1）出现影响采购公正的违法、违规行为的；</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（2）成交候选人报价超过预算金额，采购需求方无法解决的；</w:t>
      </w:r>
    </w:p>
    <w:p>
      <w:pPr>
        <w:spacing w:line="36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（3）成交人为N家（N</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）的项目，有效供应商</w:t>
      </w:r>
      <w:r>
        <w:rPr>
          <w:rFonts w:hint="eastAsia" w:ascii="仿宋" w:hAnsi="仿宋" w:eastAsia="仿宋" w:cs="仿宋"/>
          <w:b/>
          <w:bCs/>
          <w:color w:val="auto"/>
          <w:sz w:val="24"/>
          <w:highlight w:val="none"/>
          <w:lang w:val="en-US" w:eastAsia="zh-CN"/>
        </w:rPr>
        <w:t>应不</w:t>
      </w:r>
      <w:r>
        <w:rPr>
          <w:rFonts w:hint="eastAsia" w:ascii="仿宋" w:hAnsi="仿宋" w:eastAsia="仿宋" w:cs="仿宋"/>
          <w:b/>
          <w:bCs/>
          <w:color w:val="auto"/>
          <w:sz w:val="24"/>
          <w:highlight w:val="none"/>
        </w:rPr>
        <w:t>少于</w:t>
      </w:r>
      <w:r>
        <w:rPr>
          <w:rFonts w:hint="eastAsia" w:ascii="仿宋" w:hAnsi="仿宋" w:eastAsia="仿宋" w:cs="仿宋"/>
          <w:b/>
          <w:bCs/>
          <w:color w:val="auto"/>
          <w:sz w:val="24"/>
          <w:highlight w:val="none"/>
          <w:lang w:val="en-US" w:eastAsia="zh-CN"/>
        </w:rPr>
        <w:t>N+2</w:t>
      </w:r>
      <w:r>
        <w:rPr>
          <w:rFonts w:hint="eastAsia" w:ascii="仿宋" w:hAnsi="仿宋" w:eastAsia="仿宋" w:cs="仿宋"/>
          <w:b/>
          <w:bCs/>
          <w:color w:val="auto"/>
          <w:sz w:val="24"/>
          <w:highlight w:val="none"/>
        </w:rPr>
        <w:t xml:space="preserve">家。 </w:t>
      </w:r>
    </w:p>
    <w:p>
      <w:pPr>
        <w:widowControl/>
        <w:topLinePunct/>
        <w:spacing w:line="360" w:lineRule="auto"/>
        <w:rPr>
          <w:rFonts w:hint="eastAsia" w:ascii="仿宋" w:hAnsi="仿宋" w:eastAsia="仿宋" w:cs="仿宋"/>
          <w:color w:val="auto"/>
          <w:sz w:val="24"/>
          <w:highlight w:val="none"/>
        </w:rPr>
      </w:pPr>
      <w:r>
        <w:rPr>
          <w:rFonts w:ascii="仿宋" w:hAnsi="仿宋" w:eastAsia="仿宋" w:cs="仿宋"/>
          <w:color w:val="auto"/>
          <w:sz w:val="24"/>
          <w:highlight w:val="none"/>
        </w:rPr>
        <w:t>20</w:t>
      </w:r>
      <w:r>
        <w:rPr>
          <w:rFonts w:hint="eastAsia" w:ascii="仿宋" w:hAnsi="仿宋" w:eastAsia="仿宋" w:cs="仿宋"/>
          <w:color w:val="auto"/>
          <w:sz w:val="24"/>
          <w:highlight w:val="none"/>
        </w:rPr>
        <w:t>.</w:t>
      </w:r>
      <w:r>
        <w:rPr>
          <w:rFonts w:ascii="仿宋" w:hAnsi="仿宋" w:eastAsia="仿宋" w:cs="仿宋"/>
          <w:color w:val="auto"/>
          <w:sz w:val="24"/>
          <w:highlight w:val="none"/>
        </w:rPr>
        <w:t>3</w:t>
      </w:r>
      <w:r>
        <w:rPr>
          <w:rFonts w:hint="eastAsia" w:ascii="仿宋" w:hAnsi="仿宋" w:eastAsia="仿宋" w:cs="仿宋"/>
          <w:color w:val="auto"/>
          <w:sz w:val="24"/>
          <w:highlight w:val="none"/>
        </w:rPr>
        <w:t>成交候选人推荐原则</w:t>
      </w: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宋体"/>
          <w:color w:val="auto"/>
          <w:kern w:val="0"/>
          <w:sz w:val="24"/>
          <w:highlight w:val="none"/>
        </w:rPr>
        <w:t>成交候选人的经营、财务状况发生较大变化或者存在违法行为，采购人认为可能影响其履约能力的，应当在发出成交通知书前由原</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小组会按照</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文件规定的标准和方法审查确认。</w:t>
      </w:r>
    </w:p>
    <w:p>
      <w:pPr>
        <w:pStyle w:val="4"/>
        <w:numPr>
          <w:ilvl w:val="5"/>
          <w:numId w:val="0"/>
        </w:numPr>
        <w:spacing w:before="0" w:after="0" w:line="360" w:lineRule="auto"/>
        <w:rPr>
          <w:rFonts w:hint="eastAsia" w:ascii="仿宋" w:hAnsi="仿宋" w:eastAsia="仿宋" w:cs="仿宋"/>
          <w:color w:val="auto"/>
          <w:sz w:val="24"/>
          <w:szCs w:val="24"/>
          <w:highlight w:val="none"/>
        </w:rPr>
      </w:pPr>
      <w:bookmarkStart w:id="111" w:name="_Toc13936"/>
      <w:bookmarkStart w:id="112" w:name="_Toc2322"/>
      <w:bookmarkStart w:id="113" w:name="_Toc19451"/>
      <w:bookmarkStart w:id="114" w:name="_Toc444891342"/>
      <w:bookmarkStart w:id="115" w:name="_Toc28031"/>
      <w:bookmarkStart w:id="116" w:name="_Toc9911"/>
      <w:bookmarkStart w:id="117" w:name="_Toc234223231"/>
      <w:bookmarkStart w:id="118" w:name="_Toc517281822"/>
      <w:bookmarkStart w:id="119" w:name="_Toc16781"/>
      <w:bookmarkStart w:id="120" w:name="_Toc287600124"/>
      <w:r>
        <w:rPr>
          <w:rFonts w:hint="eastAsia" w:ascii="仿宋" w:hAnsi="仿宋" w:eastAsia="仿宋" w:cs="仿宋"/>
          <w:color w:val="auto"/>
          <w:sz w:val="24"/>
          <w:szCs w:val="24"/>
          <w:highlight w:val="none"/>
        </w:rPr>
        <w:t>（六）授予合同</w:t>
      </w:r>
      <w:bookmarkEnd w:id="111"/>
      <w:bookmarkEnd w:id="112"/>
      <w:bookmarkEnd w:id="113"/>
      <w:bookmarkEnd w:id="114"/>
      <w:bookmarkEnd w:id="115"/>
      <w:bookmarkEnd w:id="116"/>
      <w:bookmarkEnd w:id="117"/>
      <w:bookmarkEnd w:id="118"/>
      <w:bookmarkEnd w:id="119"/>
      <w:bookmarkEnd w:id="120"/>
    </w:p>
    <w:p>
      <w:pPr>
        <w:pStyle w:val="5"/>
        <w:spacing w:before="0" w:after="0" w:line="360" w:lineRule="auto"/>
        <w:jc w:val="left"/>
        <w:rPr>
          <w:rFonts w:hint="eastAsia" w:ascii="仿宋" w:hAnsi="仿宋" w:eastAsia="仿宋" w:cs="仿宋"/>
          <w:color w:val="auto"/>
          <w:sz w:val="24"/>
          <w:szCs w:val="24"/>
          <w:highlight w:val="none"/>
        </w:rPr>
      </w:pPr>
      <w:bookmarkStart w:id="121" w:name="_Toc234223232"/>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rPr>
        <w:t>.确定</w:t>
      </w:r>
      <w:bookmarkEnd w:id="121"/>
      <w:r>
        <w:rPr>
          <w:rFonts w:hint="eastAsia" w:ascii="仿宋" w:hAnsi="仿宋" w:eastAsia="仿宋" w:cs="仿宋"/>
          <w:color w:val="auto"/>
          <w:sz w:val="24"/>
          <w:szCs w:val="24"/>
          <w:highlight w:val="none"/>
        </w:rPr>
        <w:t>成交人</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21.1</w:t>
      </w:r>
      <w:r>
        <w:rPr>
          <w:rFonts w:hint="eastAsia" w:ascii="仿宋" w:hAnsi="仿宋" w:eastAsia="仿宋" w:cs="仿宋"/>
          <w:color w:val="auto"/>
          <w:sz w:val="24"/>
          <w:highlight w:val="none"/>
        </w:rPr>
        <w:t>采购人依据</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小组推荐的成交候选人名单确定成交人，成交人数量</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21.</w:t>
      </w:r>
      <w:r>
        <w:rPr>
          <w:rFonts w:hint="eastAsia" w:ascii="仿宋" w:hAnsi="仿宋" w:eastAsia="仿宋" w:cs="宋体"/>
          <w:color w:val="auto"/>
          <w:kern w:val="0"/>
          <w:sz w:val="24"/>
          <w:highlight w:val="none"/>
          <w:lang w:val="en-US" w:eastAsia="zh-CN"/>
        </w:rPr>
        <w:t>2</w:t>
      </w:r>
      <w:r>
        <w:rPr>
          <w:rFonts w:hint="eastAsia" w:ascii="仿宋" w:hAnsi="仿宋" w:eastAsia="仿宋" w:cs="宋体"/>
          <w:color w:val="auto"/>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auto"/>
          <w:kern w:val="0"/>
          <w:sz w:val="24"/>
          <w:highlight w:val="none"/>
          <w:lang w:val="en-US" w:eastAsia="zh-CN"/>
        </w:rPr>
        <w:t>均</w:t>
      </w:r>
      <w:r>
        <w:rPr>
          <w:rFonts w:hint="eastAsia" w:ascii="仿宋" w:hAnsi="仿宋" w:eastAsia="仿宋" w:cs="宋体"/>
          <w:color w:val="auto"/>
          <w:kern w:val="0"/>
          <w:sz w:val="24"/>
          <w:highlight w:val="none"/>
        </w:rPr>
        <w:t>具有法律效力。成交人收到成交通知书后放弃成交的，应当承担法律责任。</w:t>
      </w:r>
    </w:p>
    <w:p>
      <w:pPr>
        <w:pStyle w:val="5"/>
        <w:spacing w:before="0" w:after="0"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签订合同</w:t>
      </w:r>
    </w:p>
    <w:p>
      <w:pPr>
        <w:widowControl/>
        <w:topLinePunc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2.1</w:t>
      </w:r>
      <w:r>
        <w:rPr>
          <w:rFonts w:hint="eastAsia" w:ascii="仿宋" w:hAnsi="仿宋" w:eastAsia="仿宋" w:cs="仿宋"/>
          <w:color w:val="auto"/>
          <w:sz w:val="24"/>
          <w:highlight w:val="none"/>
        </w:rPr>
        <w:t>采购人与成交人按照</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文件和成交人的响应文件</w:t>
      </w:r>
      <w:r>
        <w:rPr>
          <w:rFonts w:hint="eastAsia" w:ascii="仿宋" w:hAnsi="仿宋" w:eastAsia="仿宋" w:cs="宋体"/>
          <w:color w:val="auto"/>
          <w:kern w:val="0"/>
          <w:sz w:val="24"/>
          <w:highlight w:val="none"/>
        </w:rPr>
        <w:t>订立书面合同。合同的标的、价款、质量、履行期限等主要条款应当与</w:t>
      </w:r>
      <w:r>
        <w:rPr>
          <w:rFonts w:hint="eastAsia" w:ascii="仿宋" w:hAnsi="仿宋" w:eastAsia="仿宋" w:cs="仿宋"/>
          <w:color w:val="auto"/>
          <w:sz w:val="24"/>
          <w:highlight w:val="none"/>
          <w:lang w:eastAsia="zh-CN"/>
        </w:rPr>
        <w:t>比选</w:t>
      </w:r>
      <w:r>
        <w:rPr>
          <w:rFonts w:hint="eastAsia" w:ascii="仿宋" w:hAnsi="仿宋" w:eastAsia="仿宋" w:cs="宋体"/>
          <w:color w:val="auto"/>
          <w:kern w:val="0"/>
          <w:sz w:val="24"/>
          <w:highlight w:val="none"/>
        </w:rPr>
        <w:t>文件和</w:t>
      </w:r>
      <w:r>
        <w:rPr>
          <w:rFonts w:hint="eastAsia" w:ascii="仿宋" w:hAnsi="仿宋" w:eastAsia="仿宋" w:cs="仿宋"/>
          <w:color w:val="auto"/>
          <w:sz w:val="24"/>
          <w:highlight w:val="none"/>
        </w:rPr>
        <w:t>成交</w:t>
      </w:r>
      <w:r>
        <w:rPr>
          <w:rFonts w:hint="eastAsia" w:ascii="仿宋" w:hAnsi="仿宋" w:eastAsia="仿宋" w:cs="宋体"/>
          <w:color w:val="auto"/>
          <w:kern w:val="0"/>
          <w:sz w:val="24"/>
          <w:highlight w:val="none"/>
        </w:rPr>
        <w:t>人的</w:t>
      </w:r>
      <w:r>
        <w:rPr>
          <w:rFonts w:hint="eastAsia" w:ascii="仿宋" w:hAnsi="仿宋" w:eastAsia="仿宋" w:cs="仿宋"/>
          <w:color w:val="auto"/>
          <w:sz w:val="24"/>
          <w:highlight w:val="none"/>
        </w:rPr>
        <w:t>响应</w:t>
      </w:r>
      <w:r>
        <w:rPr>
          <w:rFonts w:hint="eastAsia" w:ascii="仿宋" w:hAnsi="仿宋" w:eastAsia="仿宋" w:cs="宋体"/>
          <w:color w:val="auto"/>
          <w:kern w:val="0"/>
          <w:sz w:val="24"/>
          <w:highlight w:val="none"/>
        </w:rPr>
        <w:t>文件的内容一致。</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2.2</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22.3</w:t>
      </w:r>
      <w:r>
        <w:rPr>
          <w:rFonts w:hint="eastAsia" w:ascii="仿宋" w:hAnsi="仿宋" w:eastAsia="仿宋" w:cs="宋体"/>
          <w:color w:val="auto"/>
          <w:kern w:val="0"/>
          <w:sz w:val="24"/>
          <w:highlight w:val="none"/>
          <w:lang w:eastAsia="zh-CN"/>
        </w:rPr>
        <w:t>比选</w:t>
      </w:r>
      <w:r>
        <w:rPr>
          <w:rFonts w:hint="eastAsia" w:ascii="仿宋" w:hAnsi="仿宋" w:eastAsia="仿宋" w:cs="宋体"/>
          <w:color w:val="auto"/>
          <w:kern w:val="0"/>
          <w:sz w:val="24"/>
          <w:highlight w:val="none"/>
        </w:rPr>
        <w:t>文件要求成交人提交履约保证金的，成交人应当按照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要求的金额和方式递交。成交人如不按要求提交履约保证金，将取消其成交资格，</w:t>
      </w:r>
      <w:r>
        <w:rPr>
          <w:rFonts w:hint="eastAsia" w:ascii="仿宋" w:hAnsi="仿宋" w:eastAsia="仿宋" w:cs="宋体"/>
          <w:color w:val="auto"/>
          <w:kern w:val="0"/>
          <w:sz w:val="24"/>
          <w:highlight w:val="none"/>
          <w:lang w:eastAsia="zh-CN"/>
        </w:rPr>
        <w:t>比选保证金</w:t>
      </w:r>
      <w:r>
        <w:rPr>
          <w:rFonts w:hint="eastAsia" w:ascii="仿宋" w:hAnsi="仿宋" w:eastAsia="仿宋" w:cs="宋体"/>
          <w:color w:val="auto"/>
          <w:kern w:val="0"/>
          <w:sz w:val="24"/>
          <w:highlight w:val="none"/>
        </w:rPr>
        <w:t>不予退还。</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22.4成交供应商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w:t>
      </w:r>
      <w:r>
        <w:rPr>
          <w:rFonts w:hint="eastAsia" w:ascii="仿宋" w:hAnsi="仿宋" w:eastAsia="仿宋" w:cs="宋体"/>
          <w:color w:val="auto"/>
          <w:kern w:val="0"/>
          <w:sz w:val="24"/>
          <w:highlight w:val="none"/>
        </w:rPr>
        <w:t>履约</w:t>
      </w:r>
      <w:r>
        <w:rPr>
          <w:rFonts w:ascii="仿宋" w:hAnsi="仿宋" w:eastAsia="仿宋" w:cs="宋体"/>
          <w:color w:val="auto"/>
          <w:kern w:val="0"/>
          <w:sz w:val="24"/>
          <w:highlight w:val="none"/>
        </w:rPr>
        <w:t>保证金不予退还，给</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人造成的损失超过履约保证金数额的，还应当对超过部分予以赔偿；没有提交履约保证金的，应当对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pPr>
        <w:pStyle w:val="4"/>
        <w:numPr>
          <w:ilvl w:val="5"/>
          <w:numId w:val="0"/>
        </w:numPr>
        <w:spacing w:before="0" w:after="0" w:line="360" w:lineRule="auto"/>
        <w:jc w:val="both"/>
        <w:rPr>
          <w:rFonts w:hint="eastAsia" w:ascii="仿宋" w:hAnsi="仿宋" w:eastAsia="仿宋" w:cs="仿宋"/>
          <w:color w:val="auto"/>
          <w:sz w:val="24"/>
          <w:szCs w:val="24"/>
          <w:highlight w:val="none"/>
        </w:rPr>
      </w:pPr>
      <w:bookmarkStart w:id="122" w:name="_Toc6132"/>
      <w:bookmarkStart w:id="123" w:name="_Toc14533"/>
      <w:bookmarkStart w:id="124" w:name="_Toc234223235"/>
      <w:r>
        <w:rPr>
          <w:rFonts w:hint="eastAsia" w:ascii="仿宋" w:hAnsi="仿宋" w:eastAsia="仿宋" w:cs="仿宋"/>
          <w:color w:val="auto"/>
          <w:sz w:val="24"/>
          <w:szCs w:val="24"/>
          <w:highlight w:val="none"/>
        </w:rPr>
        <w:t>（七）其他</w:t>
      </w:r>
      <w:bookmarkEnd w:id="122"/>
      <w:bookmarkEnd w:id="123"/>
    </w:p>
    <w:p>
      <w:pPr>
        <w:pStyle w:val="5"/>
        <w:spacing w:before="0" w:after="0" w:line="360" w:lineRule="auto"/>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w:t>
      </w:r>
      <w:r>
        <w:rPr>
          <w:rFonts w:ascii="仿宋" w:hAnsi="仿宋" w:eastAsia="仿宋" w:cs="仿宋"/>
          <w:bCs w:val="0"/>
          <w:color w:val="auto"/>
          <w:sz w:val="24"/>
          <w:szCs w:val="24"/>
          <w:highlight w:val="none"/>
        </w:rPr>
        <w:t>3</w:t>
      </w:r>
      <w:r>
        <w:rPr>
          <w:rFonts w:hint="eastAsia" w:ascii="仿宋" w:hAnsi="仿宋" w:eastAsia="仿宋" w:cs="仿宋"/>
          <w:bCs w:val="0"/>
          <w:color w:val="auto"/>
          <w:sz w:val="24"/>
          <w:szCs w:val="24"/>
          <w:highlight w:val="none"/>
        </w:rPr>
        <w:t>.采购代理服务费</w:t>
      </w:r>
      <w:bookmarkEnd w:id="124"/>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pStyle w:val="5"/>
        <w:spacing w:before="0" w:after="0" w:line="360" w:lineRule="auto"/>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w:t>
      </w:r>
      <w:r>
        <w:rPr>
          <w:rFonts w:ascii="仿宋" w:hAnsi="仿宋" w:eastAsia="仿宋" w:cs="仿宋"/>
          <w:bCs w:val="0"/>
          <w:color w:val="auto"/>
          <w:sz w:val="24"/>
          <w:szCs w:val="24"/>
          <w:highlight w:val="none"/>
        </w:rPr>
        <w:t>4.</w:t>
      </w:r>
      <w:r>
        <w:rPr>
          <w:rFonts w:hint="eastAsia" w:ascii="仿宋" w:hAnsi="仿宋" w:eastAsia="仿宋" w:cs="仿宋"/>
          <w:bCs w:val="0"/>
          <w:color w:val="auto"/>
          <w:sz w:val="24"/>
          <w:szCs w:val="24"/>
          <w:highlight w:val="none"/>
        </w:rPr>
        <w:t>其他情况</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rPr>
          <w:color w:val="auto"/>
          <w:highlight w:val="none"/>
        </w:rPr>
        <w:sectPr>
          <w:footerReference r:id="rId10" w:type="default"/>
          <w:pgSz w:w="11906" w:h="16838"/>
          <w:pgMar w:top="1417" w:right="1134" w:bottom="1134" w:left="1134" w:header="851" w:footer="992" w:gutter="0"/>
          <w:cols w:space="720" w:num="1"/>
          <w:docGrid w:type="lines" w:linePitch="312" w:charSpace="0"/>
        </w:sectPr>
      </w:pPr>
    </w:p>
    <w:p>
      <w:pPr>
        <w:pStyle w:val="2"/>
        <w:spacing w:before="0" w:after="0" w:line="360" w:lineRule="auto"/>
        <w:jc w:val="center"/>
        <w:rPr>
          <w:rFonts w:hint="eastAsia" w:ascii="仿宋" w:hAnsi="仿宋" w:eastAsia="仿宋" w:cs="仿宋"/>
          <w:color w:val="auto"/>
          <w:sz w:val="28"/>
          <w:szCs w:val="28"/>
          <w:highlight w:val="none"/>
        </w:rPr>
      </w:pPr>
      <w:bookmarkStart w:id="125" w:name="_Toc10670"/>
      <w:bookmarkStart w:id="126" w:name="_Toc517281824"/>
      <w:bookmarkStart w:id="127" w:name="_Toc444891343"/>
      <w:r>
        <w:rPr>
          <w:rFonts w:hint="eastAsia" w:ascii="仿宋" w:hAnsi="仿宋" w:eastAsia="仿宋" w:cs="仿宋"/>
          <w:color w:val="auto"/>
          <w:sz w:val="28"/>
          <w:szCs w:val="28"/>
          <w:highlight w:val="none"/>
        </w:rPr>
        <w:t>第三章 评审办法</w:t>
      </w:r>
      <w:bookmarkEnd w:id="125"/>
    </w:p>
    <w:p>
      <w:pPr>
        <w:pStyle w:val="3"/>
        <w:ind w:firstLine="0" w:firstLineChars="0"/>
        <w:jc w:val="left"/>
        <w:rPr>
          <w:rFonts w:hint="eastAsia" w:ascii="仿宋" w:hAnsi="仿宋" w:eastAsia="仿宋" w:cs="仿宋"/>
          <w:color w:val="auto"/>
          <w:sz w:val="24"/>
          <w:szCs w:val="24"/>
          <w:highlight w:val="none"/>
        </w:rPr>
      </w:pPr>
      <w:bookmarkStart w:id="128" w:name="_Toc517281825"/>
      <w:bookmarkStart w:id="129" w:name="_Toc7201"/>
      <w:bookmarkStart w:id="130" w:name="_Toc444891344"/>
      <w:bookmarkStart w:id="131" w:name="_Toc226969358"/>
      <w:bookmarkStart w:id="132" w:name="_Toc227057964"/>
      <w:r>
        <w:rPr>
          <w:rFonts w:hint="eastAsia" w:ascii="仿宋" w:hAnsi="仿宋" w:eastAsia="仿宋" w:cs="仿宋"/>
          <w:color w:val="auto"/>
          <w:sz w:val="24"/>
          <w:szCs w:val="24"/>
          <w:highlight w:val="none"/>
        </w:rPr>
        <w:t>一、评审程序</w:t>
      </w:r>
      <w:bookmarkEnd w:id="128"/>
      <w:bookmarkEnd w:id="129"/>
      <w:bookmarkEnd w:id="130"/>
    </w:p>
    <w:p>
      <w:pPr>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小组</w:t>
      </w:r>
      <w:r>
        <w:rPr>
          <w:rFonts w:hint="eastAsia" w:ascii="仿宋" w:hAnsi="仿宋" w:eastAsia="仿宋" w:cs="仿宋"/>
          <w:color w:val="auto"/>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熟悉</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文件；</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rPr>
        <w:t>对响应文件进行初步评审，检查响应文件是否满足</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文件的初审要求；初步评审中不符合评审标准的，将做否决</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响应处理；</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供应商有以下情形之一的，</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小组应当否决其</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响应：</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（1）按照</w:t>
      </w:r>
      <w:r>
        <w:rPr>
          <w:rFonts w:hint="eastAsia" w:ascii="仿宋" w:hAnsi="仿宋" w:eastAsia="仿宋" w:cs="仿宋"/>
          <w:color w:val="auto"/>
          <w:kern w:val="0"/>
          <w:sz w:val="24"/>
          <w:highlight w:val="none"/>
          <w:lang w:val="en-US" w:eastAsia="zh-CN"/>
        </w:rPr>
        <w:t>比选</w:t>
      </w:r>
      <w:r>
        <w:rPr>
          <w:rFonts w:hint="eastAsia" w:ascii="仿宋" w:hAnsi="仿宋" w:eastAsia="仿宋" w:cs="仿宋"/>
          <w:color w:val="auto"/>
          <w:kern w:val="0"/>
          <w:sz w:val="24"/>
          <w:highlight w:val="none"/>
        </w:rPr>
        <w:t>公告要求已经递交电子</w:t>
      </w:r>
      <w:r>
        <w:rPr>
          <w:rFonts w:hint="eastAsia" w:ascii="仿宋" w:hAnsi="仿宋" w:eastAsia="仿宋" w:cs="仿宋"/>
          <w:color w:val="auto"/>
          <w:kern w:val="0"/>
          <w:sz w:val="24"/>
          <w:highlight w:val="none"/>
          <w:lang w:val="en-US" w:eastAsia="zh-CN"/>
        </w:rPr>
        <w:t>响应</w:t>
      </w:r>
      <w:r>
        <w:rPr>
          <w:rFonts w:hint="eastAsia" w:ascii="仿宋" w:hAnsi="仿宋" w:eastAsia="仿宋" w:cs="仿宋"/>
          <w:color w:val="auto"/>
          <w:kern w:val="0"/>
          <w:sz w:val="24"/>
          <w:highlight w:val="none"/>
        </w:rPr>
        <w:t>文件，</w:t>
      </w:r>
      <w:r>
        <w:rPr>
          <w:rFonts w:hint="eastAsia" w:ascii="仿宋" w:hAnsi="仿宋" w:eastAsia="仿宋" w:cs="仿宋"/>
          <w:color w:val="auto"/>
          <w:kern w:val="0"/>
          <w:sz w:val="24"/>
          <w:highlight w:val="none"/>
          <w:lang w:val="en-US" w:eastAsia="zh-CN"/>
        </w:rPr>
        <w:t>但</w:t>
      </w:r>
      <w:r>
        <w:rPr>
          <w:rFonts w:hint="eastAsia" w:ascii="仿宋" w:hAnsi="仿宋" w:eastAsia="仿宋" w:cs="仿宋"/>
          <w:color w:val="auto"/>
          <w:kern w:val="0"/>
          <w:sz w:val="24"/>
          <w:highlight w:val="none"/>
        </w:rPr>
        <w:t>未按要求递交纸质响应文件；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（4）不符合国家或者</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文件规定的资格条件；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（5）同一供应商提交两个以上不同的响应文件或者响应报价，但</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文件要求提交备选文件的除外；</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lang w:eastAsia="zh-CN"/>
        </w:rPr>
        <w:t>）</w:t>
      </w:r>
      <w:r>
        <w:rPr>
          <w:rFonts w:hint="eastAsia" w:ascii="仿宋" w:hAnsi="仿宋" w:eastAsia="仿宋" w:cs="宋体"/>
          <w:color w:val="auto"/>
          <w:kern w:val="0"/>
          <w:sz w:val="24"/>
          <w:szCs w:val="24"/>
          <w:highlight w:val="none"/>
          <w:lang w:val="en-US" w:eastAsia="zh-CN"/>
        </w:rPr>
        <w:t>最终</w:t>
      </w:r>
      <w:r>
        <w:rPr>
          <w:rFonts w:hint="eastAsia" w:ascii="仿宋" w:hAnsi="仿宋" w:eastAsia="仿宋" w:cs="宋体"/>
          <w:color w:val="auto"/>
          <w:kern w:val="0"/>
          <w:sz w:val="24"/>
          <w:szCs w:val="24"/>
          <w:highlight w:val="none"/>
        </w:rPr>
        <w:t>报价低于成本或者高于</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文件未对</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hint="eastAsia" w:ascii="仿宋" w:hAnsi="仿宋" w:eastAsia="仿宋" w:cs="宋体"/>
          <w:color w:val="auto"/>
          <w:kern w:val="0"/>
          <w:sz w:val="24"/>
          <w:szCs w:val="24"/>
          <w:highlight w:val="none"/>
          <w:lang w:val="en-US" w:eastAsia="zh-CN"/>
        </w:rPr>
        <w:t>供应商</w:t>
      </w:r>
      <w:r>
        <w:rPr>
          <w:rFonts w:hint="eastAsia" w:ascii="仿宋" w:hAnsi="仿宋" w:eastAsia="仿宋" w:cs="宋体"/>
          <w:color w:val="auto"/>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文件附有</w:t>
      </w:r>
      <w:r>
        <w:rPr>
          <w:rFonts w:hint="eastAsia" w:ascii="仿宋" w:hAnsi="仿宋" w:eastAsia="仿宋" w:cs="宋体"/>
          <w:color w:val="auto"/>
          <w:kern w:val="0"/>
          <w:sz w:val="24"/>
          <w:szCs w:val="24"/>
          <w:highlight w:val="none"/>
          <w:lang w:val="en-US" w:eastAsia="zh-CN"/>
        </w:rPr>
        <w:t>采购</w:t>
      </w:r>
      <w:r>
        <w:rPr>
          <w:rFonts w:hint="eastAsia" w:ascii="仿宋" w:hAnsi="仿宋" w:eastAsia="仿宋" w:cs="宋体"/>
          <w:color w:val="auto"/>
          <w:kern w:val="0"/>
          <w:sz w:val="24"/>
          <w:szCs w:val="24"/>
          <w:highlight w:val="none"/>
        </w:rPr>
        <w:t>人不能接受的条件；</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4.初步评审</w:t>
      </w:r>
      <w:r>
        <w:rPr>
          <w:rFonts w:hint="eastAsia" w:ascii="仿宋" w:hAnsi="仿宋" w:eastAsia="仿宋" w:cs="仿宋"/>
          <w:color w:val="auto"/>
          <w:kern w:val="0"/>
          <w:sz w:val="24"/>
          <w:highlight w:val="none"/>
          <w:lang w:val="zh-CN" w:eastAsia="zh-CN"/>
        </w:rPr>
        <w:t>内容允许在比选过程中按比选小组规定的时间内补充，若未在规定时间内补充则将导致响应无效。</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通过初步评审的供应商分别进行</w:t>
      </w:r>
      <w:r>
        <w:rPr>
          <w:rFonts w:hint="eastAsia" w:ascii="仿宋" w:hAnsi="仿宋" w:eastAsia="仿宋" w:cs="仿宋"/>
          <w:color w:val="auto"/>
          <w:kern w:val="0"/>
          <w:sz w:val="24"/>
          <w:highlight w:val="none"/>
          <w:lang w:eastAsia="zh-CN"/>
        </w:rPr>
        <w:t>比选</w:t>
      </w:r>
      <w:r>
        <w:rPr>
          <w:rFonts w:hint="eastAsia" w:ascii="仿宋" w:hAnsi="仿宋" w:eastAsia="仿宋" w:cs="仿宋"/>
          <w:color w:val="auto"/>
          <w:kern w:val="0"/>
          <w:sz w:val="24"/>
          <w:highlight w:val="none"/>
        </w:rPr>
        <w:t>；</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rPr>
        <w:t>通过初步评审的供应商进行最终报价；</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7.</w:t>
      </w:r>
      <w:r>
        <w:rPr>
          <w:rFonts w:hint="eastAsia" w:ascii="仿宋" w:hAnsi="仿宋" w:eastAsia="仿宋" w:cs="仿宋"/>
          <w:color w:val="auto"/>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8.</w:t>
      </w:r>
      <w:r>
        <w:rPr>
          <w:rFonts w:hint="eastAsia" w:ascii="仿宋" w:hAnsi="仿宋" w:eastAsia="仿宋" w:cs="仿宋"/>
          <w:color w:val="auto"/>
          <w:kern w:val="0"/>
          <w:sz w:val="24"/>
          <w:highlight w:val="none"/>
        </w:rPr>
        <w:t>按照综合评分由高到低的次序推荐成交候选人，提交评审报告，评审报告应包含评审情况说明、排名次序、推荐成交候选人名单及其他说明事项。</w:t>
      </w:r>
    </w:p>
    <w:p>
      <w:pPr>
        <w:pStyle w:val="3"/>
        <w:ind w:firstLine="0" w:firstLineChars="0"/>
        <w:jc w:val="left"/>
        <w:rPr>
          <w:rFonts w:hint="eastAsia" w:ascii="仿宋" w:hAnsi="仿宋" w:eastAsia="仿宋" w:cs="仿宋"/>
          <w:color w:val="auto"/>
          <w:sz w:val="24"/>
          <w:szCs w:val="24"/>
          <w:highlight w:val="none"/>
        </w:rPr>
      </w:pPr>
      <w:bookmarkStart w:id="133" w:name="_Toc517281826"/>
      <w:bookmarkStart w:id="134" w:name="_Toc444891345"/>
      <w:r>
        <w:rPr>
          <w:rFonts w:hint="eastAsia" w:ascii="仿宋" w:hAnsi="仿宋" w:eastAsia="仿宋" w:cs="仿宋"/>
          <w:color w:val="auto"/>
          <w:sz w:val="24"/>
          <w:szCs w:val="24"/>
          <w:highlight w:val="none"/>
        </w:rPr>
        <w:br w:type="page"/>
      </w:r>
      <w:bookmarkStart w:id="135" w:name="_Toc32019"/>
      <w:r>
        <w:rPr>
          <w:rFonts w:hint="eastAsia" w:ascii="仿宋" w:hAnsi="仿宋" w:eastAsia="仿宋" w:cs="仿宋"/>
          <w:color w:val="auto"/>
          <w:sz w:val="24"/>
          <w:szCs w:val="24"/>
          <w:highlight w:val="none"/>
        </w:rPr>
        <w:t>二、初步评审</w:t>
      </w:r>
      <w:bookmarkEnd w:id="133"/>
      <w:bookmarkEnd w:id="134"/>
      <w:bookmarkEnd w:id="135"/>
    </w:p>
    <w:bookmarkEnd w:id="131"/>
    <w:bookmarkEnd w:id="132"/>
    <w:tbl>
      <w:tblPr>
        <w:tblStyle w:val="41"/>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5"/>
        <w:gridCol w:w="1145"/>
        <w:gridCol w:w="3314"/>
        <w:gridCol w:w="474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color w:val="auto"/>
                <w:kern w:val="0"/>
                <w:szCs w:val="21"/>
                <w:highlight w:val="none"/>
              </w:rPr>
            </w:pPr>
            <w:bookmarkStart w:id="136" w:name="_Toc426620345"/>
            <w:bookmarkStart w:id="137" w:name="_Toc444891346"/>
            <w:bookmarkStart w:id="138" w:name="_Toc517281827"/>
            <w:bookmarkStart w:id="139" w:name="_Toc4633"/>
            <w:bookmarkStart w:id="140" w:name="_Toc9003"/>
            <w:bookmarkStart w:id="141" w:name="_Toc13468"/>
            <w:r>
              <w:rPr>
                <w:rFonts w:hint="eastAsia" w:ascii="仿宋" w:hAnsi="仿宋" w:eastAsia="仿宋" w:cs="仿宋"/>
                <w:b/>
                <w:color w:val="auto"/>
                <w:kern w:val="0"/>
                <w:szCs w:val="21"/>
                <w:highlight w:val="none"/>
              </w:rPr>
              <w:t>序号</w:t>
            </w:r>
          </w:p>
        </w:tc>
        <w:tc>
          <w:tcPr>
            <w:tcW w:w="581" w:type="pc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评审环节</w:t>
            </w:r>
          </w:p>
        </w:tc>
        <w:tc>
          <w:tcPr>
            <w:tcW w:w="1681" w:type="pc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评审因素</w:t>
            </w:r>
          </w:p>
        </w:tc>
        <w:tc>
          <w:tcPr>
            <w:tcW w:w="2404" w:type="pc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restar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81" w:type="pct"/>
            <w:vMerge w:val="restar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供应商名称</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pacing w:val="-4"/>
                <w:kern w:val="0"/>
                <w:szCs w:val="21"/>
                <w:highlight w:val="none"/>
              </w:rPr>
            </w:pPr>
            <w:r>
              <w:rPr>
                <w:rFonts w:hint="eastAsia" w:ascii="仿宋" w:hAnsi="仿宋" w:eastAsia="仿宋" w:cs="仿宋"/>
                <w:color w:val="auto"/>
                <w:szCs w:val="21"/>
                <w:highlight w:val="none"/>
              </w:rPr>
              <w:t>法定代表人（负责人）身份证明</w:t>
            </w:r>
          </w:p>
        </w:tc>
        <w:tc>
          <w:tcPr>
            <w:tcW w:w="2404" w:type="pct"/>
            <w:noWrap w:val="0"/>
            <w:vAlign w:val="center"/>
          </w:tcPr>
          <w:p>
            <w:pPr>
              <w:pStyle w:val="175"/>
              <w:keepNext w:val="0"/>
              <w:keepLines w:val="0"/>
              <w:pageBreakBefore w:val="0"/>
              <w:suppressLineNumbers w:val="0"/>
              <w:kinsoku/>
              <w:wordWrap/>
              <w:overflowPunct/>
              <w:topLinePunct/>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138"/>
              <w:keepNext w:val="0"/>
              <w:keepLines w:val="0"/>
              <w:pageBreakBefore w:val="0"/>
              <w:suppressLineNumbers w:val="0"/>
              <w:tabs>
                <w:tab w:val="left" w:pos="630"/>
              </w:tabs>
              <w:kinsoku/>
              <w:wordWrap/>
              <w:overflowPunct/>
              <w:topLinePunct/>
              <w:autoSpaceDE/>
              <w:autoSpaceDN/>
              <w:bidi w:val="0"/>
              <w:adjustRightInd/>
              <w:snapToGrid/>
              <w:spacing w:before="0" w:beforeAutospacing="0" w:after="0" w:afterAutospacing="0" w:line="240" w:lineRule="auto"/>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2404" w:type="pct"/>
            <w:noWrap w:val="0"/>
            <w:vAlign w:val="center"/>
          </w:tcPr>
          <w:p>
            <w:pPr>
              <w:pStyle w:val="175"/>
              <w:keepNext w:val="0"/>
              <w:keepLines w:val="0"/>
              <w:pageBreakBefore w:val="0"/>
              <w:suppressLineNumbers w:val="0"/>
              <w:kinsoku/>
              <w:wordWrap/>
              <w:overflowPunct/>
              <w:topLinePunct/>
              <w:autoSpaceDE/>
              <w:autoSpaceDN/>
              <w:bidi w:val="0"/>
              <w:adjustRightInd/>
              <w:snapToGrid/>
              <w:spacing w:before="0" w:beforeAutospacing="0" w:after="0" w:afterAutospacing="0" w:line="240" w:lineRule="auto"/>
              <w:ind w:left="0"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175"/>
              <w:keepNext w:val="0"/>
              <w:keepLines w:val="0"/>
              <w:pageBreakBefore w:val="0"/>
              <w:suppressLineNumbers w:val="0"/>
              <w:kinsoku/>
              <w:wordWrap/>
              <w:overflowPunct/>
              <w:topLinePunct/>
              <w:autoSpaceDE/>
              <w:autoSpaceDN/>
              <w:bidi w:val="0"/>
              <w:adjustRightInd/>
              <w:snapToGrid/>
              <w:spacing w:before="0" w:beforeAutospacing="0" w:after="0" w:afterAutospacing="0" w:line="240" w:lineRule="auto"/>
              <w:ind w:left="0" w:right="0"/>
              <w:textAlignment w:val="auto"/>
              <w:rPr>
                <w:rFonts w:hint="eastAsia"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响应文件签字或盖章</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157"/>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textAlignment w:val="auto"/>
              <w:rPr>
                <w:rFonts w:hint="eastAsia" w:ascii="仿宋" w:hAnsi="仿宋" w:eastAsia="仿宋" w:cs="宋体"/>
                <w:color w:val="auto"/>
                <w:highlight w:val="none"/>
              </w:rPr>
            </w:pPr>
            <w:r>
              <w:rPr>
                <w:rFonts w:hint="eastAsia" w:ascii="仿宋" w:hAnsi="仿宋" w:eastAsia="仿宋" w:cs="宋体"/>
                <w:color w:val="auto"/>
                <w:highlight w:val="none"/>
              </w:rPr>
              <w:t>2、响应文件的所有签字处均指手写签字</w:t>
            </w:r>
            <w:r>
              <w:rPr>
                <w:rFonts w:hint="eastAsia" w:ascii="仿宋" w:hAnsi="仿宋" w:eastAsia="仿宋" w:cs="宋体"/>
                <w:b/>
                <w:color w:val="auto"/>
                <w:highlight w:val="none"/>
              </w:rPr>
              <w:t>或</w:t>
            </w:r>
            <w:r>
              <w:rPr>
                <w:rFonts w:hint="eastAsia" w:ascii="仿宋" w:hAnsi="仿宋" w:eastAsia="仿宋" w:cs="宋体"/>
                <w:color w:val="auto"/>
                <w:highlight w:val="none"/>
              </w:rPr>
              <w:t>签名章/印章</w:t>
            </w:r>
            <w:r>
              <w:rPr>
                <w:rFonts w:hint="eastAsia" w:ascii="仿宋" w:hAnsi="仿宋" w:eastAsia="仿宋" w:cs="宋体"/>
                <w:b/>
                <w:bCs/>
                <w:color w:val="auto"/>
                <w:highlight w:val="none"/>
              </w:rPr>
              <w:t>或</w:t>
            </w:r>
            <w:r>
              <w:rPr>
                <w:rFonts w:hint="eastAsia" w:ascii="仿宋" w:hAnsi="仿宋" w:eastAsia="仿宋" w:cs="宋体"/>
                <w:color w:val="auto"/>
                <w:highlight w:val="none"/>
              </w:rPr>
              <w:t>CA签名章。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restar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81" w:type="pct"/>
            <w:vMerge w:val="restar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auto"/>
                <w:szCs w:val="21"/>
                <w:highlight w:val="none"/>
              </w:rPr>
            </w:pPr>
            <w:r>
              <w:rPr>
                <w:rFonts w:hint="eastAsia" w:ascii="仿宋" w:hAnsi="仿宋" w:eastAsia="仿宋" w:cs="宋体"/>
                <w:color w:val="auto"/>
                <w:szCs w:val="21"/>
                <w:highlight w:val="none"/>
              </w:rPr>
              <w:t>具有独立承担民事责任的能力</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val="zh-CN" w:eastAsia="zh-CN"/>
              </w:rPr>
              <w:t>具有良好的商业信誉和健全的财务会计制度；</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val="zh-CN" w:eastAsia="zh-CN"/>
              </w:rPr>
              <w:t>具有履行合同所必需的设备和专业技术能力；</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val="zh-CN" w:eastAsia="zh-CN"/>
              </w:rPr>
              <w:t>有依法缴纳税收和社会保障资金的良好记录；</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color w:val="auto"/>
                <w:kern w:val="0"/>
                <w:szCs w:val="21"/>
                <w:highlight w:val="none"/>
                <w:lang w:val="en-US" w:eastAsia="zh-CN"/>
              </w:rPr>
            </w:pPr>
            <w:r>
              <w:rPr>
                <w:rFonts w:hint="eastAsia" w:ascii="仿宋" w:hAnsi="仿宋" w:eastAsia="仿宋" w:cs="宋体"/>
                <w:color w:val="auto"/>
                <w:szCs w:val="21"/>
                <w:highlight w:val="none"/>
                <w:lang w:val="zh-CN" w:eastAsia="zh-CN"/>
              </w:rPr>
              <w:t>参加采购活动前三年内，在经营活动中没有重大违法记录；</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color w:val="auto"/>
                <w:kern w:val="0"/>
                <w:szCs w:val="21"/>
                <w:highlight w:val="none"/>
                <w:lang w:val="en-US" w:eastAsia="zh-CN"/>
              </w:rPr>
            </w:pPr>
            <w:r>
              <w:rPr>
                <w:rFonts w:hint="default" w:ascii="仿宋" w:hAnsi="仿宋" w:eastAsia="仿宋" w:cs="仿宋"/>
                <w:color w:val="auto"/>
                <w:kern w:val="0"/>
                <w:szCs w:val="21"/>
                <w:highlight w:val="none"/>
                <w:lang w:val="en-US" w:eastAsia="zh-CN"/>
              </w:rPr>
              <w:t>严禁列入采购人及其所隶属的</w:t>
            </w:r>
            <w:r>
              <w:rPr>
                <w:rFonts w:hint="eastAsia" w:ascii="仿宋" w:hAnsi="仿宋" w:eastAsia="仿宋" w:cs="仿宋"/>
                <w:color w:val="auto"/>
                <w:kern w:val="0"/>
                <w:szCs w:val="21"/>
                <w:highlight w:val="none"/>
                <w:lang w:val="en-US" w:eastAsia="zh-CN"/>
              </w:rPr>
              <w:t>中国人民保险各级机构的供应商黑名单</w:t>
            </w:r>
            <w:r>
              <w:rPr>
                <w:rFonts w:hint="default" w:ascii="仿宋" w:hAnsi="仿宋" w:eastAsia="仿宋" w:cs="仿宋"/>
                <w:color w:val="auto"/>
                <w:kern w:val="0"/>
                <w:szCs w:val="21"/>
                <w:highlight w:val="none"/>
                <w:lang w:val="en-US" w:eastAsia="zh-CN"/>
              </w:rPr>
              <w:t>且在禁入期内的供应商参与采购活动</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0"/>
                <w:szCs w:val="21"/>
                <w:highlight w:val="none"/>
                <w:lang w:val="en-US" w:eastAsia="zh-CN"/>
              </w:rPr>
            </w:pPr>
            <w:r>
              <w:rPr>
                <w:rFonts w:hint="default" w:ascii="仿宋" w:hAnsi="仿宋" w:eastAsia="仿宋" w:cs="仿宋"/>
                <w:color w:val="auto"/>
                <w:kern w:val="0"/>
                <w:szCs w:val="21"/>
                <w:highlight w:val="none"/>
                <w:lang w:val="en-US" w:eastAsia="zh-CN"/>
              </w:rPr>
              <w:t>单位负责人为同一人或存在控股、管理关系的不同单位，不得参加同一标段/标包</w:t>
            </w:r>
            <w:r>
              <w:rPr>
                <w:rFonts w:hint="eastAsia" w:ascii="仿宋" w:hAnsi="仿宋" w:eastAsia="仿宋" w:cs="仿宋"/>
                <w:color w:val="auto"/>
                <w:kern w:val="0"/>
                <w:szCs w:val="21"/>
                <w:highlight w:val="none"/>
                <w:lang w:val="en-US" w:eastAsia="zh-CN"/>
              </w:rPr>
              <w:t>比选</w:t>
            </w:r>
            <w:r>
              <w:rPr>
                <w:rFonts w:hint="default" w:ascii="仿宋" w:hAnsi="仿宋" w:eastAsia="仿宋" w:cs="仿宋"/>
                <w:color w:val="auto"/>
                <w:kern w:val="0"/>
                <w:szCs w:val="21"/>
                <w:highlight w:val="none"/>
                <w:lang w:val="en-US" w:eastAsia="zh-CN"/>
              </w:rPr>
              <w:t>响应或未划分标段/标包的同一采购项目的</w:t>
            </w:r>
            <w:r>
              <w:rPr>
                <w:rFonts w:hint="eastAsia" w:ascii="仿宋" w:hAnsi="仿宋" w:eastAsia="仿宋" w:cs="仿宋"/>
                <w:color w:val="auto"/>
                <w:kern w:val="0"/>
                <w:szCs w:val="21"/>
                <w:highlight w:val="none"/>
                <w:lang w:val="en-US" w:eastAsia="zh-CN"/>
              </w:rPr>
              <w:t>比选</w:t>
            </w:r>
            <w:r>
              <w:rPr>
                <w:rFonts w:hint="default" w:ascii="仿宋" w:hAnsi="仿宋" w:eastAsia="仿宋" w:cs="仿宋"/>
                <w:color w:val="auto"/>
                <w:kern w:val="0"/>
                <w:szCs w:val="21"/>
                <w:highlight w:val="none"/>
                <w:lang w:val="en-US" w:eastAsia="zh-CN"/>
              </w:rPr>
              <w:t>响应，需填写《供应商控股及管理关系情况申报表》</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kern w:val="0"/>
                <w:szCs w:val="21"/>
                <w:highlight w:val="none"/>
                <w:lang w:val="en-US" w:eastAsia="zh-CN"/>
              </w:rPr>
              <w:t>本项目不接受联合体比选响应</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top"/>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其他资格要求</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r>
              <w:rPr>
                <w:rFonts w:hint="eastAsia" w:ascii="仿宋" w:hAnsi="仿宋" w:eastAsia="仿宋" w:cs="Cambria Math"/>
                <w:color w:val="auto"/>
                <w:szCs w:val="21"/>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restart"/>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r>
              <w:rPr>
                <w:rFonts w:hint="default" w:ascii="仿宋" w:hAnsi="仿宋" w:eastAsia="仿宋" w:cs="仿宋"/>
                <w:color w:val="auto"/>
                <w:kern w:val="0"/>
                <w:szCs w:val="21"/>
                <w:highlight w:val="none"/>
              </w:rPr>
              <w:t>3</w:t>
            </w:r>
          </w:p>
        </w:tc>
        <w:tc>
          <w:tcPr>
            <w:tcW w:w="581" w:type="pct"/>
            <w:vMerge w:val="restar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lang w:eastAsia="zh-CN"/>
              </w:rPr>
              <w:t>比选保证金</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Cambria Math"/>
                <w:color w:val="auto"/>
                <w:szCs w:val="21"/>
                <w:highlight w:val="none"/>
              </w:rPr>
              <w:t>符合第二章“供应商须知前附表”规定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581" w:type="pct"/>
            <w:vMerge w:val="continue"/>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2" w:type="pct"/>
            <w:vMerge w:val="continue"/>
            <w:noWrap w:val="0"/>
            <w:vAlign w:val="center"/>
          </w:tcPr>
          <w:p>
            <w:pPr>
              <w:keepNext w:val="0"/>
              <w:keepLines w:val="0"/>
              <w:pageBreakBefore w:val="0"/>
              <w:widowControl/>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0"/>
                <w:szCs w:val="21"/>
                <w:highlight w:val="none"/>
              </w:rPr>
            </w:pPr>
          </w:p>
        </w:tc>
        <w:tc>
          <w:tcPr>
            <w:tcW w:w="581" w:type="pct"/>
            <w:vMerge w:val="continue"/>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Cs w:val="21"/>
                <w:highlight w:val="none"/>
              </w:rPr>
            </w:pPr>
          </w:p>
        </w:tc>
        <w:tc>
          <w:tcPr>
            <w:tcW w:w="1681"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2404" w:type="pct"/>
            <w:noWrap w:val="0"/>
            <w:vAlign w:val="center"/>
          </w:tcPr>
          <w:p>
            <w:pPr>
              <w:keepNext w:val="0"/>
              <w:keepLines w:val="0"/>
              <w:pageBreakBefore w:val="0"/>
              <w:suppressLineNumbers w:val="0"/>
              <w:kinsoku/>
              <w:wordWrap/>
              <w:overflowPunct/>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3"/>
        <w:keepNext/>
        <w:keepLines/>
        <w:pageBreakBefore w:val="0"/>
        <w:widowControl w:val="0"/>
        <w:kinsoku/>
        <w:wordWrap/>
        <w:overflowPunct/>
        <w:topLinePunct w:val="0"/>
        <w:autoSpaceDE/>
        <w:autoSpaceDN/>
        <w:bidi w:val="0"/>
        <w:adjustRightInd/>
        <w:snapToGrid/>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1"/>
          <w:szCs w:val="21"/>
          <w:highlight w:val="none"/>
        </w:rPr>
        <w:br w:type="page"/>
      </w:r>
      <w:bookmarkStart w:id="142" w:name="_Toc25550"/>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bookmarkEnd w:id="136"/>
      <w:bookmarkEnd w:id="137"/>
      <w:bookmarkEnd w:id="138"/>
      <w:bookmarkEnd w:id="139"/>
      <w:bookmarkEnd w:id="140"/>
      <w:bookmarkEnd w:id="141"/>
      <w:r>
        <w:rPr>
          <w:rFonts w:hint="eastAsia" w:ascii="仿宋" w:hAnsi="仿宋" w:eastAsia="仿宋" w:cs="仿宋"/>
          <w:color w:val="auto"/>
          <w:sz w:val="24"/>
          <w:szCs w:val="24"/>
          <w:highlight w:val="none"/>
        </w:rPr>
        <w:t>详细评审</w:t>
      </w:r>
      <w:bookmarkEnd w:id="142"/>
    </w:p>
    <w:tbl>
      <w:tblPr>
        <w:tblStyle w:val="41"/>
        <w:tblW w:w="0" w:type="auto"/>
        <w:tblInd w:w="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0"/>
        <w:gridCol w:w="944"/>
        <w:gridCol w:w="567"/>
        <w:gridCol w:w="7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项目</w:t>
            </w:r>
          </w:p>
        </w:tc>
        <w:tc>
          <w:tcPr>
            <w:tcW w:w="944"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评标</w:t>
            </w:r>
          </w:p>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分项</w:t>
            </w:r>
          </w:p>
        </w:tc>
        <w:tc>
          <w:tcPr>
            <w:tcW w:w="56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分值</w:t>
            </w:r>
          </w:p>
        </w:tc>
        <w:tc>
          <w:tcPr>
            <w:tcW w:w="70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子项目及分值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1" w:hRule="atLeast"/>
        </w:trPr>
        <w:tc>
          <w:tcPr>
            <w:tcW w:w="110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价格</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部分</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（40分）</w:t>
            </w:r>
          </w:p>
        </w:tc>
        <w:tc>
          <w:tcPr>
            <w:tcW w:w="944" w:type="dxa"/>
            <w:tcBorders>
              <w:top w:val="single" w:color="000000" w:sz="4" w:space="0"/>
              <w:left w:val="nil"/>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报价</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得分</w:t>
            </w:r>
          </w:p>
        </w:tc>
        <w:tc>
          <w:tcPr>
            <w:tcW w:w="56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FF0000"/>
                <w:kern w:val="0"/>
                <w:sz w:val="24"/>
                <w:szCs w:val="24"/>
              </w:rPr>
            </w:pPr>
            <w:r>
              <w:rPr>
                <w:rFonts w:hint="eastAsia" w:ascii="仿宋" w:hAnsi="仿宋" w:eastAsia="仿宋" w:cs="仿宋"/>
                <w:kern w:val="0"/>
                <w:sz w:val="24"/>
                <w:szCs w:val="24"/>
                <w:lang w:val="en-US" w:eastAsia="zh-CN" w:bidi="ar"/>
              </w:rPr>
              <w:t>40</w:t>
            </w:r>
          </w:p>
        </w:tc>
        <w:tc>
          <w:tcPr>
            <w:tcW w:w="70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bidi="ar"/>
              </w:rPr>
              <w:t>1、低价优先法</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1）适用情形：有效投标人少于5家（不含本数）</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2）评标价：各有效投标人的含税投标价,剔除可抵扣的增值税进项税额。</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3）评标基准价：满足招标文件要求且最低的有效评标价。</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4）价格分计算：评标价=评标基准价的投标人，得价格分的满分；其他投标人的价格分按照以下公式计算，并精确到小数点后两位：</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价格得分＝（评标基准价/该投标人的评标价）*40；</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bidi="ar"/>
              </w:rPr>
              <w:t>2、偏离度计算法</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1）适用情形：有效投标人大于5家（含本数）</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2）评标价：各有效投标人的含税投标价,剔除可抵扣的增值税进项税额。</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3）评标基准价：取所有有效评标价的算术平均值。</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4）价格分计算：按照以下公式计算，并精确到小数点后两位：</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价格得分=(1-A*│1－该投标人的评标价／评标基准价│)*40</w:t>
            </w:r>
          </w:p>
          <w:p>
            <w:pPr>
              <w:keepNext w:val="0"/>
              <w:keepLines w:val="0"/>
              <w:widowControl/>
              <w:suppressLineNumbers w:val="0"/>
              <w:spacing w:before="0" w:beforeAutospacing="0" w:after="0" w:afterAutospacing="0" w:line="348" w:lineRule="auto"/>
              <w:ind w:left="0" w:right="0"/>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A：价格调整系数，当该投标人的评标价低于评标基准价时，A=0.3；当该投标人的评标价高于评标基准价时，A=1；当价格得分&lt;0时，取0。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0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商务</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部分</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（10分）</w:t>
            </w:r>
          </w:p>
        </w:tc>
        <w:tc>
          <w:tcPr>
            <w:tcW w:w="94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类似</w:t>
            </w:r>
          </w:p>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业绩</w:t>
            </w:r>
          </w:p>
        </w:tc>
        <w:tc>
          <w:tcPr>
            <w:tcW w:w="56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kern w:val="2"/>
                <w:sz w:val="24"/>
                <w:szCs w:val="24"/>
                <w:lang w:val="en-US" w:eastAsia="zh-CN" w:bidi="ar"/>
              </w:rPr>
              <w:t>5</w:t>
            </w:r>
          </w:p>
        </w:tc>
        <w:tc>
          <w:tcPr>
            <w:tcW w:w="70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投标人近三年内有承接过类似安责险事故预防服务项目，以相关证明文件（合同）复印件或扫描件为准，每提供一个业绩得1分，最多得5分。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110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业绩</w:t>
            </w:r>
          </w:p>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评价</w:t>
            </w:r>
          </w:p>
        </w:tc>
        <w:tc>
          <w:tcPr>
            <w:tcW w:w="56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w:t>
            </w:r>
          </w:p>
        </w:tc>
        <w:tc>
          <w:tcPr>
            <w:tcW w:w="70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投标人近三年内承接的类似业绩获得用户类似“好”“满意”“优秀/优良”的正面评价，每提供1个得1分，最高得5分，同一业主不重复计分，不提供不得分；</w:t>
            </w:r>
          </w:p>
          <w:p>
            <w:pPr>
              <w:keepNext w:val="0"/>
              <w:keepLines w:val="0"/>
              <w:widowControl w:val="0"/>
              <w:suppressLineNumbers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注：需提供类似业绩经用户盖章的评价表复印件或扫描件，并加盖投标人单位公章，不提供不得分。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7" w:hRule="atLeast"/>
        </w:trPr>
        <w:tc>
          <w:tcPr>
            <w:tcW w:w="1100" w:type="dxa"/>
            <w:vMerge w:val="restart"/>
            <w:tcBorders>
              <w:top w:val="nil"/>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技术</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部分</w:t>
            </w:r>
          </w:p>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（50分）</w:t>
            </w:r>
          </w:p>
        </w:tc>
        <w:tc>
          <w:tcPr>
            <w:tcW w:w="944" w:type="dxa"/>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项目理解、重难点分析与解决方案</w:t>
            </w:r>
          </w:p>
        </w:tc>
        <w:tc>
          <w:tcPr>
            <w:tcW w:w="567" w:type="dxa"/>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w:t>
            </w:r>
          </w:p>
        </w:tc>
        <w:tc>
          <w:tcPr>
            <w:tcW w:w="7056" w:type="dxa"/>
            <w:tcBorders>
              <w:top w:val="single" w:color="auto" w:sz="4" w:space="0"/>
              <w:left w:val="nil"/>
              <w:bottom w:val="single" w:color="auto" w:sz="4" w:space="0"/>
              <w:right w:val="single" w:color="000000" w:sz="4" w:space="0"/>
            </w:tcBorders>
            <w:shd w:val="clear" w:color="auto" w:fill="auto"/>
            <w:vAlign w:val="center"/>
          </w:tcPr>
          <w:p>
            <w:pPr>
              <w:pStyle w:val="37"/>
              <w:keepNext w:val="0"/>
              <w:keepLines w:val="0"/>
              <w:widowControl w:val="0"/>
              <w:suppressLineNumbers w:val="0"/>
              <w:snapToGrid w:val="0"/>
              <w:spacing w:before="0" w:beforeAutospacing="0" w:after="0" w:afterAutospacing="0" w:line="360" w:lineRule="auto"/>
              <w:ind w:left="0" w:right="0" w:firstLine="0"/>
              <w:jc w:val="both"/>
              <w:rPr>
                <w:rFonts w:hint="eastAsia" w:ascii="仿宋" w:hAnsi="仿宋" w:eastAsia="仿宋" w:cs="仿宋"/>
                <w:bCs/>
                <w:kern w:val="2"/>
                <w:sz w:val="24"/>
                <w:szCs w:val="24"/>
              </w:rPr>
            </w:pPr>
            <w:r>
              <w:rPr>
                <w:rFonts w:hint="eastAsia" w:ascii="仿宋" w:hAnsi="仿宋" w:eastAsia="仿宋" w:cs="仿宋"/>
                <w:bCs/>
                <w:kern w:val="2"/>
                <w:sz w:val="24"/>
                <w:szCs w:val="24"/>
                <w:lang w:val="en-US" w:eastAsia="zh-CN" w:bidi="ar"/>
              </w:rPr>
              <w:t>根据投标人针对本项目应提供的项目理解、重难点分析与解决方案进行评审。对项目的理解情况、重难点分析与重难点解决方案内容完整，条理清晰，符合项目实际的得10-7分，对项目的理解情况、重难点分析与重难点解决方案内容较完整，条理较清晰，较符合项目实际的得6-4分，对项目的理解情况、重难点分析与重难点解决方案内容基本完整，条理基本清晰，基本符合项目实际的得3-1分，</w:t>
            </w:r>
            <w:r>
              <w:rPr>
                <w:rFonts w:hint="eastAsia" w:ascii="仿宋" w:hAnsi="仿宋" w:eastAsia="仿宋" w:cs="仿宋"/>
                <w:kern w:val="0"/>
                <w:sz w:val="24"/>
                <w:szCs w:val="24"/>
                <w:lang w:val="en-US" w:eastAsia="zh-CN" w:bidi="ar"/>
              </w:rPr>
              <w:t>其他不得分。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7" w:hRule="atLeast"/>
        </w:trPr>
        <w:tc>
          <w:tcPr>
            <w:tcW w:w="110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4" w:type="dxa"/>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事故预防服务方案</w:t>
            </w:r>
          </w:p>
        </w:tc>
        <w:tc>
          <w:tcPr>
            <w:tcW w:w="567" w:type="dxa"/>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12</w:t>
            </w:r>
          </w:p>
        </w:tc>
        <w:tc>
          <w:tcPr>
            <w:tcW w:w="7056" w:type="dxa"/>
            <w:tcBorders>
              <w:top w:val="single" w:color="auto" w:sz="4" w:space="0"/>
              <w:left w:val="nil"/>
              <w:bottom w:val="single" w:color="auto" w:sz="4" w:space="0"/>
              <w:right w:val="single" w:color="000000" w:sz="4" w:space="0"/>
            </w:tcBorders>
            <w:shd w:val="clear" w:color="auto" w:fill="auto"/>
            <w:vAlign w:val="center"/>
          </w:tcPr>
          <w:p>
            <w:pPr>
              <w:pStyle w:val="37"/>
              <w:keepNext w:val="0"/>
              <w:keepLines w:val="0"/>
              <w:widowControl w:val="0"/>
              <w:suppressLineNumbers w:val="0"/>
              <w:snapToGrid w:val="0"/>
              <w:spacing w:before="0" w:beforeAutospacing="0" w:after="0" w:afterAutospacing="0" w:line="360" w:lineRule="auto"/>
              <w:ind w:left="0" w:right="0" w:firstLine="0"/>
              <w:jc w:val="both"/>
              <w:rPr>
                <w:rFonts w:hint="eastAsia" w:ascii="仿宋" w:hAnsi="仿宋" w:eastAsia="仿宋" w:cs="仿宋"/>
                <w:kern w:val="2"/>
                <w:sz w:val="24"/>
                <w:szCs w:val="24"/>
              </w:rPr>
            </w:pPr>
            <w:r>
              <w:rPr>
                <w:rFonts w:hint="eastAsia" w:ascii="仿宋" w:hAnsi="仿宋" w:eastAsia="仿宋" w:cs="仿宋"/>
                <w:bCs/>
                <w:kern w:val="2"/>
                <w:sz w:val="24"/>
                <w:szCs w:val="24"/>
                <w:lang w:val="en-US" w:eastAsia="zh-CN" w:bidi="ar"/>
              </w:rPr>
              <w:t>根据投标人根据本项目的特点及要求，制定的事故预防服务方案进行评审，内容包含但不限于企业安全培训教育、隐患排查治理、应急演练指导、安全技术咨询等实操性服务。能够描述其技术特点、工作安排详细，实施措施合理、计划方案科学、规范的操作流程清晰的得12-9分，方案较合理的得8-5分，方案有待优化的得4-1分。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48" w:hRule="atLeast"/>
        </w:trPr>
        <w:tc>
          <w:tcPr>
            <w:tcW w:w="110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4" w:type="dxa"/>
            <w:tcBorders>
              <w:top w:val="single" w:color="auto" w:sz="4" w:space="0"/>
              <w:left w:val="nil"/>
              <w:bottom w:val="single" w:color="auto" w:sz="4" w:space="0"/>
              <w:right w:val="single" w:color="auto" w:sz="4" w:space="0"/>
            </w:tcBorders>
            <w:shd w:val="clear" w:color="auto" w:fill="auto"/>
            <w:vAlign w:val="center"/>
          </w:tcPr>
          <w:p>
            <w:pPr>
              <w:pStyle w:val="37"/>
              <w:keepNext w:val="0"/>
              <w:keepLines w:val="0"/>
              <w:widowControl w:val="0"/>
              <w:suppressLineNumbers w:val="0"/>
              <w:adjustRightInd w:val="0"/>
              <w:snapToGrid w:val="0"/>
              <w:spacing w:before="0" w:beforeAutospacing="0" w:after="0" w:afterAutospacing="0" w:line="360" w:lineRule="auto"/>
              <w:ind w:left="0" w:right="0" w:firstLine="0" w:firstLineChars="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专业技术人员配置</w:t>
            </w:r>
          </w:p>
        </w:tc>
        <w:tc>
          <w:tcPr>
            <w:tcW w:w="567" w:type="dxa"/>
            <w:tcBorders>
              <w:top w:val="single" w:color="auto" w:sz="4" w:space="0"/>
              <w:left w:val="nil"/>
              <w:bottom w:val="single" w:color="auto" w:sz="4" w:space="0"/>
              <w:right w:val="single" w:color="auto" w:sz="4" w:space="0"/>
            </w:tcBorders>
            <w:shd w:val="clear" w:color="auto" w:fill="auto"/>
            <w:vAlign w:val="center"/>
          </w:tcPr>
          <w:p>
            <w:pPr>
              <w:pStyle w:val="37"/>
              <w:keepNext w:val="0"/>
              <w:keepLines w:val="0"/>
              <w:widowControl w:val="0"/>
              <w:suppressLineNumbers w:val="0"/>
              <w:adjustRightInd w:val="0"/>
              <w:snapToGrid w:val="0"/>
              <w:spacing w:before="0" w:beforeAutospacing="0" w:after="0" w:afterAutospacing="0" w:line="360" w:lineRule="auto"/>
              <w:ind w:left="0" w:right="0" w:firstLine="0" w:firstLineChars="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w:t>
            </w:r>
          </w:p>
        </w:tc>
        <w:tc>
          <w:tcPr>
            <w:tcW w:w="70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根据投标人针对本项目的专业技术人员配置进行评审。岗位应设置合理、人员配备齐全、实施能力强，责任人和岗位职责及工作标准清晰且随时保证沟通便捷性、可操作性强。岗位、人员配置合理、配备人员专业能力强、实践经验丰富的得10-7分，配置基本满足项目需求的得6-4分，配置不合理、能力和经验有欠缺得3-1分。不合理或不提供的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7" w:hRule="atLeast"/>
        </w:trPr>
        <w:tc>
          <w:tcPr>
            <w:tcW w:w="110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4" w:type="dxa"/>
            <w:tcBorders>
              <w:top w:val="single" w:color="auto" w:sz="4" w:space="0"/>
              <w:left w:val="nil"/>
              <w:bottom w:val="single" w:color="auto" w:sz="4" w:space="0"/>
              <w:right w:val="single" w:color="auto" w:sz="4" w:space="0"/>
            </w:tcBorders>
            <w:shd w:val="clear" w:color="auto" w:fill="auto"/>
            <w:vAlign w:val="center"/>
          </w:tcPr>
          <w:p>
            <w:pPr>
              <w:pStyle w:val="37"/>
              <w:keepNext w:val="0"/>
              <w:keepLines w:val="0"/>
              <w:widowControl w:val="0"/>
              <w:suppressLineNumbers w:val="0"/>
              <w:adjustRightInd w:val="0"/>
              <w:snapToGrid w:val="0"/>
              <w:spacing w:before="0" w:beforeAutospacing="0" w:after="0" w:afterAutospacing="0" w:line="360" w:lineRule="auto"/>
              <w:ind w:left="0" w:right="0" w:firstLine="0" w:firstLineChars="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内部管理方案</w:t>
            </w:r>
          </w:p>
        </w:tc>
        <w:tc>
          <w:tcPr>
            <w:tcW w:w="567" w:type="dxa"/>
            <w:tcBorders>
              <w:top w:val="single" w:color="auto" w:sz="4" w:space="0"/>
              <w:left w:val="nil"/>
              <w:bottom w:val="single" w:color="auto" w:sz="4" w:space="0"/>
              <w:right w:val="single" w:color="auto" w:sz="4" w:space="0"/>
            </w:tcBorders>
            <w:shd w:val="clear" w:color="auto" w:fill="auto"/>
            <w:vAlign w:val="center"/>
          </w:tcPr>
          <w:p>
            <w:pPr>
              <w:pStyle w:val="37"/>
              <w:keepNext w:val="0"/>
              <w:keepLines w:val="0"/>
              <w:widowControl w:val="0"/>
              <w:suppressLineNumbers w:val="0"/>
              <w:adjustRightInd w:val="0"/>
              <w:snapToGrid w:val="0"/>
              <w:spacing w:before="0" w:beforeAutospacing="0" w:after="0" w:afterAutospacing="0" w:line="360" w:lineRule="auto"/>
              <w:ind w:left="0" w:right="0" w:firstLine="0" w:firstLineChars="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8</w:t>
            </w:r>
          </w:p>
        </w:tc>
        <w:tc>
          <w:tcPr>
            <w:tcW w:w="70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kern w:val="2"/>
                <w:sz w:val="24"/>
                <w:szCs w:val="24"/>
              </w:rPr>
            </w:pPr>
            <w:r>
              <w:rPr>
                <w:rFonts w:hint="eastAsia" w:ascii="仿宋" w:hAnsi="仿宋" w:eastAsia="仿宋" w:cs="仿宋"/>
                <w:kern w:val="0"/>
                <w:sz w:val="24"/>
                <w:szCs w:val="24"/>
                <w:lang w:val="en-US" w:eastAsia="zh-CN" w:bidi="ar"/>
              </w:rPr>
              <w:t>根据投标人提供的</w:t>
            </w:r>
            <w:r>
              <w:rPr>
                <w:rFonts w:hint="eastAsia" w:ascii="仿宋" w:hAnsi="仿宋" w:eastAsia="仿宋" w:cs="仿宋"/>
                <w:color w:val="000000"/>
                <w:kern w:val="0"/>
                <w:sz w:val="24"/>
                <w:szCs w:val="24"/>
                <w:lang w:val="en-US" w:eastAsia="zh-CN" w:bidi="ar"/>
              </w:rPr>
              <w:t>内部管理方案进行评审，内容包括但不限于内部管理制度、内部管理组织架构、内部管理人员配置等。</w:t>
            </w:r>
            <w:r>
              <w:rPr>
                <w:rFonts w:hint="eastAsia" w:ascii="仿宋" w:hAnsi="仿宋" w:eastAsia="仿宋" w:cs="仿宋"/>
                <w:kern w:val="0"/>
                <w:sz w:val="24"/>
                <w:szCs w:val="24"/>
                <w:lang w:val="en-US" w:eastAsia="zh-CN" w:bidi="ar"/>
              </w:rPr>
              <w:t>内容编制全面、合理、针对性强得8-6分；内容较全面、合理，具有可操作性得5-4分；内容基本可行，无针对性得3-1分，其他不得分。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4" w:hRule="atLeast"/>
        </w:trPr>
        <w:tc>
          <w:tcPr>
            <w:tcW w:w="110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4" w:type="dxa"/>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服务质量控制方案</w:t>
            </w:r>
          </w:p>
        </w:tc>
        <w:tc>
          <w:tcPr>
            <w:tcW w:w="567" w:type="dxa"/>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10</w:t>
            </w:r>
          </w:p>
        </w:tc>
        <w:tc>
          <w:tcPr>
            <w:tcW w:w="70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根据投标人提供的</w:t>
            </w:r>
            <w:r>
              <w:rPr>
                <w:rFonts w:hint="eastAsia" w:ascii="仿宋" w:hAnsi="仿宋" w:eastAsia="仿宋" w:cs="仿宋"/>
                <w:color w:val="000000"/>
                <w:kern w:val="0"/>
                <w:sz w:val="24"/>
                <w:szCs w:val="24"/>
                <w:lang w:val="en-US" w:eastAsia="zh-CN" w:bidi="ar"/>
              </w:rPr>
              <w:t>服务质量控制方案进行评审，内容包括但不限于服务质量的标准与承诺，质量监管制度与执行，出现服务质量的处理措施等。</w:t>
            </w:r>
            <w:r>
              <w:rPr>
                <w:rFonts w:hint="eastAsia" w:ascii="仿宋" w:hAnsi="仿宋" w:eastAsia="仿宋" w:cs="仿宋"/>
                <w:kern w:val="0"/>
                <w:sz w:val="24"/>
                <w:szCs w:val="24"/>
                <w:lang w:val="en-US" w:eastAsia="zh-CN" w:bidi="ar"/>
              </w:rPr>
              <w:t>内容编制全面、合理、针对性强得10-7分；内容较全面、合理，具有可操作性得6-4分；内容基本可行，无针对性得3-1分，其他不得分。</w:t>
            </w:r>
          </w:p>
        </w:tc>
      </w:tr>
    </w:tbl>
    <w:p>
      <w:pPr>
        <w:rPr>
          <w:rFonts w:hint="eastAsia"/>
          <w:color w:val="auto"/>
          <w:highlight w:val="none"/>
        </w:rPr>
      </w:pPr>
    </w:p>
    <w:p>
      <w:pPr>
        <w:pStyle w:val="2"/>
        <w:numPr>
          <w:ilvl w:val="0"/>
          <w:numId w:val="0"/>
        </w:numPr>
        <w:spacing w:before="0"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bookmarkStart w:id="143" w:name="_Toc15254"/>
      <w:r>
        <w:rPr>
          <w:rFonts w:hint="eastAsia" w:ascii="仿宋" w:hAnsi="仿宋" w:eastAsia="仿宋" w:cs="仿宋"/>
          <w:color w:val="auto"/>
          <w:sz w:val="28"/>
          <w:szCs w:val="28"/>
          <w:highlight w:val="none"/>
          <w:lang w:val="en-US" w:eastAsia="zh-CN"/>
        </w:rPr>
        <w:t xml:space="preserve">第四章 </w:t>
      </w:r>
      <w:r>
        <w:rPr>
          <w:rFonts w:hint="eastAsia" w:ascii="仿宋" w:hAnsi="仿宋" w:eastAsia="仿宋" w:cs="仿宋"/>
          <w:color w:val="auto"/>
          <w:sz w:val="28"/>
          <w:szCs w:val="28"/>
          <w:highlight w:val="none"/>
        </w:rPr>
        <w:t>合同条款</w:t>
      </w:r>
      <w:bookmarkEnd w:id="143"/>
    </w:p>
    <w:p>
      <w:pPr>
        <w:keepNext w:val="0"/>
        <w:keepLines w:val="0"/>
        <w:widowControl/>
        <w:suppressLineNumbers w:val="0"/>
        <w:spacing w:before="0" w:beforeAutospacing="1" w:after="0" w:afterAutospacing="1" w:line="600" w:lineRule="exact"/>
        <w:ind w:left="0" w:right="0"/>
        <w:jc w:val="center"/>
      </w:pPr>
      <w:r>
        <w:rPr>
          <w:rFonts w:hint="default" w:ascii="仿宋" w:hAnsi="仿宋" w:eastAsia="仿宋" w:cs="仿宋"/>
          <w:b/>
          <w:bCs/>
          <w:color w:val="auto"/>
          <w:sz w:val="24"/>
          <w:highlight w:val="none"/>
          <w:lang w:eastAsia="zh-CN"/>
        </w:rPr>
        <w:t>商务部分</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color w:val="auto"/>
          <w:sz w:val="24"/>
          <w:highlight w:val="none"/>
          <w:lang w:eastAsia="zh-CN"/>
        </w:rPr>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第一条 项目内容及要求</w:t>
      </w:r>
      <w:r>
        <w:rPr>
          <w:rFonts w:hint="default" w:ascii="仿宋" w:hAnsi="仿宋" w:eastAsia="仿宋" w:cs="仿宋"/>
          <w:color w:val="auto"/>
          <w:sz w:val="24"/>
          <w:highlight w:val="none"/>
          <w:lang w:eastAsia="zh-CN"/>
        </w:rPr>
        <w:br w:type="textWrapping"/>
      </w:r>
      <w:r>
        <w:rPr>
          <w:rFonts w:hint="default" w:ascii="仿宋" w:hAnsi="仿宋" w:eastAsia="仿宋" w:cs="仿宋"/>
          <w:b/>
          <w:bCs/>
          <w:color w:val="auto"/>
          <w:sz w:val="24"/>
          <w:highlight w:val="none"/>
          <w:lang w:eastAsia="zh-CN"/>
        </w:rPr>
        <w:t>项目内容及要求</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b/>
          <w:bCs/>
          <w:color w:val="auto"/>
          <w:sz w:val="24"/>
          <w:highlight w:val="none"/>
          <w:lang w:eastAsia="zh-CN"/>
        </w:rPr>
      </w:pPr>
      <w:r>
        <w:rPr>
          <w:rFonts w:hint="default" w:ascii="仿宋_GB2312" w:eastAsia="仿宋_GB2312" w:cs="仿宋_GB2312"/>
          <w:b/>
          <w:bCs w:val="0"/>
          <w:sz w:val="32"/>
          <w:szCs w:val="32"/>
        </w:rPr>
        <w:t>   </w:t>
      </w:r>
      <w:r>
        <w:rPr>
          <w:rFonts w:hint="default" w:ascii="仿宋" w:hAnsi="仿宋" w:eastAsia="仿宋" w:cs="仿宋"/>
          <w:b/>
          <w:bCs/>
          <w:color w:val="auto"/>
          <w:sz w:val="24"/>
          <w:highlight w:val="none"/>
          <w:lang w:eastAsia="zh-CN"/>
        </w:rPr>
        <w:t xml:space="preserve"> 第二条 合同价格</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（五） ......</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第三条 双方的权利和义务</w:t>
      </w:r>
      <w:r>
        <w:rPr>
          <w:rFonts w:hint="default" w:ascii="仿宋_GB2312" w:eastAsia="仿宋_GB2312" w:cs="仿宋_GB2312"/>
          <w:sz w:val="32"/>
          <w:szCs w:val="32"/>
        </w:rPr>
        <w:br w:type="textWrapping"/>
      </w:r>
      <w:r>
        <w:rPr>
          <w:rFonts w:hint="default" w:ascii="仿宋" w:hAnsi="仿宋" w:eastAsia="仿宋" w:cs="仿宋"/>
          <w:b/>
          <w:bCs/>
          <w:color w:val="auto"/>
          <w:sz w:val="24"/>
          <w:highlight w:val="none"/>
          <w:lang w:eastAsia="zh-CN"/>
        </w:rPr>
        <w:t>双方的权利和义务</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第四条 违约责任</w:t>
      </w:r>
      <w:r>
        <w:rPr>
          <w:rFonts w:hint="default" w:ascii="仿宋_GB2312" w:eastAsia="仿宋_GB2312" w:cs="仿宋_GB2312"/>
          <w:sz w:val="32"/>
          <w:szCs w:val="32"/>
        </w:rPr>
        <w:br w:type="textWrapping"/>
      </w:r>
      <w:r>
        <w:rPr>
          <w:rFonts w:hint="default" w:ascii="仿宋" w:hAnsi="仿宋" w:eastAsia="仿宋" w:cs="仿宋"/>
          <w:b/>
          <w:bCs/>
          <w:color w:val="auto"/>
          <w:sz w:val="24"/>
          <w:highlight w:val="none"/>
          <w:lang w:eastAsia="zh-CN"/>
        </w:rPr>
        <w:t>违约责任</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pPr>
      <w:r>
        <w:rPr>
          <w:rFonts w:hint="default" w:ascii="仿宋_GB2312" w:eastAsia="仿宋_GB2312" w:cs="仿宋_GB2312"/>
          <w:b/>
          <w:bCs/>
          <w:sz w:val="32"/>
          <w:szCs w:val="32"/>
        </w:rPr>
        <w:t>通用部分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第五条 双方的权利和义务</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（一） 甲方的权利和义务</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（1）甲方有权获得本合同项下乙方应提供的全部合格的服务；</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（2）甲方有权在合同期内对乙方的产品及服务进行监督；</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（3）乙方未按照合同约定履行义务的，甲方有权采取相应的措施；</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（4）甲方应按照合同约定向乙方支付合同价款；</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（三） 乙方的权利和义务</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（1）乙方有权获得甲方支付的合同价款；</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（2）乙方应按照合同约定向甲方提供全部合格的服务；</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（3）乙方应当按照合同约定的期限及要求完成项目内容；</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（四） ......</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b/>
          <w:bCs w:val="0"/>
          <w:sz w:val="32"/>
          <w:szCs w:val="32"/>
        </w:rPr>
        <w:t>   </w:t>
      </w:r>
      <w:r>
        <w:rPr>
          <w:rFonts w:hint="default" w:ascii="仿宋" w:hAnsi="仿宋" w:eastAsia="仿宋" w:cs="仿宋"/>
          <w:b/>
          <w:bCs/>
          <w:color w:val="auto"/>
          <w:sz w:val="24"/>
          <w:highlight w:val="none"/>
          <w:lang w:eastAsia="zh-CN"/>
        </w:rPr>
        <w:t xml:space="preserve"> 第六条 数据安全</w:t>
      </w:r>
      <w:r>
        <w:rPr>
          <w:rFonts w:hint="default" w:ascii="仿宋_GB2312" w:eastAsia="仿宋_GB2312" w:cs="仿宋_GB2312"/>
          <w:sz w:val="32"/>
          <w:szCs w:val="32"/>
        </w:rPr>
        <w:br w:type="textWrapping"/>
      </w:r>
      <w:r>
        <w:rPr>
          <w:rFonts w:hint="default" w:ascii="仿宋_GB2312" w:eastAsia="仿宋_GB2312" w:cs="仿宋_GB2312"/>
          <w:sz w:val="32"/>
          <w:szCs w:val="32"/>
        </w:rPr>
        <w:br w:type="textWrapping"/>
      </w:r>
      <w:r>
        <w:rPr>
          <w:rFonts w:hint="default" w:ascii="仿宋" w:hAnsi="仿宋" w:eastAsia="仿宋" w:cs="仿宋"/>
          <w:b/>
          <w:bCs/>
          <w:color w:val="auto"/>
          <w:sz w:val="24"/>
          <w:highlight w:val="none"/>
          <w:lang w:eastAsia="zh-CN"/>
        </w:rPr>
        <w:t xml:space="preserve">数据安全（接收外部数据和对外传输数据） </w:t>
      </w:r>
      <w:r>
        <w:rPr>
          <w:rFonts w:hint="default" w:ascii="仿宋_GB2312" w:eastAsia="仿宋_GB2312" w:cs="仿宋_GB2312"/>
          <w:sz w:val="32"/>
          <w:szCs w:val="32"/>
        </w:rPr>
        <w:br w:type="textWrapping"/>
      </w:r>
      <w:r>
        <w:rPr>
          <w:rFonts w:hint="default" w:ascii="仿宋" w:hAnsi="仿宋" w:eastAsia="仿宋" w:cs="仿宋"/>
          <w:color w:val="auto"/>
          <w:sz w:val="24"/>
          <w:highlight w:val="none"/>
          <w:lang w:eastAsia="zh-CN"/>
        </w:rPr>
        <w:t xml:space="preserve">（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1.乙方应妥善留存信息主体的授权文件，甲方如须对乙方的授权文件进行抽查、核查、备份时，乙方应予配合。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3.乙方需取得信息主体在充分知情的前提下自愿、明确作出的合法有效授权。乙方与信息主体因授权、使用信息等问题引起的争议与甲方无关。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（二）涉及非个人信息的，乙方承诺其提供数据来源的合法合规性；且不涉及第三方商业秘密且已获得数据所有权、使用权人的合法授权。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三）涉及公开信息爬取的，乙方应承诺数据来源合法，包括：明确爬虫行为已遵循ROBOTS协议、不存在规避或破解被爬取网站反爬虫措施的行为、承诺不存在其他《中华人民共和国反不正当竞争法》等法律法规禁止的行为。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（四）双方数据处理活动的地域限于中国境内（为本合同履行之目的，不包含香港、澳门、台湾地区），不得将数据传输至境外。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（五）乙方应当按照合同约定使用数据，遵循最小化原则。乙方应保证数据及信息的处理(包括收集、存储、使用、加工、传输、提供、公开、删除等)的安全，防止数据及信息被篡改或丢失、泄漏。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（六）乙方应保证数据使用不以垄断经营和不正当竞争为目的，不发生误导、欺诈、胁迫或者干扰等限制个人或者组织正当选择与决策的行为，遵循社会公德伦理。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（八）数据及信息的保存期限应符合实现本协议业务处理目的所必要的最短时间。乙方应在合作期满或终止后，及时删除各种介质上所存储的甲方提供的数据及信息。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（十）若需开展数据测试，乙方的测试环境应与生产系统隔离，未经脱敏处理不得进入测试环境。</w:t>
      </w:r>
      <w:r>
        <w:rPr>
          <w:rFonts w:hint="default" w:ascii="仿宋" w:hAnsi="仿宋" w:eastAsia="仿宋" w:cs="仿宋"/>
          <w:color w:val="auto"/>
          <w:sz w:val="24"/>
          <w:highlight w:val="none"/>
          <w:lang w:eastAsia="zh-CN"/>
        </w:rPr>
        <w:br w:type="textWrapping"/>
      </w:r>
      <w:r>
        <w:rPr>
          <w:rFonts w:hint="default" w:ascii="仿宋" w:hAnsi="仿宋" w:eastAsia="仿宋" w:cs="仿宋"/>
          <w:b/>
          <w:bCs/>
          <w:color w:val="auto"/>
          <w:sz w:val="24"/>
          <w:highlight w:val="none"/>
          <w:lang w:eastAsia="zh-CN"/>
        </w:rPr>
        <w:t xml:space="preserve">数据安全（接收外部数据） </w:t>
      </w:r>
      <w:r>
        <w:rPr>
          <w:rFonts w:hint="default" w:ascii="仿宋_GB2312" w:eastAsia="仿宋_GB2312" w:cs="仿宋_GB2312"/>
          <w:sz w:val="32"/>
          <w:szCs w:val="32"/>
        </w:rPr>
        <w:br w:type="textWrapping"/>
      </w:r>
      <w:r>
        <w:rPr>
          <w:rFonts w:hint="default" w:ascii="仿宋" w:hAnsi="仿宋" w:eastAsia="仿宋" w:cs="仿宋"/>
          <w:color w:val="auto"/>
          <w:sz w:val="24"/>
          <w:highlight w:val="none"/>
          <w:lang w:eastAsia="zh-CN"/>
        </w:rPr>
        <w:t xml:space="preserve">（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1.乙方应妥善留存信息主体的授权文件，甲方如须对乙方的授权文件进行抽查、核查、备份时，乙方应予配合。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3.乙方需取得信息主体在充分知情的前提下自愿、明确作出的合法有效授权。乙方与信息主体因授权、使用信息等问题引起的争议与甲方无关。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（二）涉及非个人信息的，乙方承诺其提供数据来源的合法合规性；且不涉及第三方商业秘密且已获得数据所有权、使用权人的合法授权。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三）涉及公开信息爬取的，乙方应承诺数据来源合法，包括：明确爬虫行为已遵循ROBOTS协议、不存在规避或破解被爬取网站反爬虫措施的行为、承诺不存在其他《中华人民共和国反不正当竞争法》等法律法规禁止的行为。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（四）双方数据处理活动的地域限于中国境内（为本合同履行之目的，不包含香港、澳门、台湾地区），不得将数据传输至境外。</w:t>
      </w:r>
      <w:r>
        <w:rPr>
          <w:rFonts w:hint="default" w:ascii="仿宋" w:hAnsi="仿宋" w:eastAsia="仿宋" w:cs="仿宋"/>
          <w:color w:val="auto"/>
          <w:sz w:val="24"/>
          <w:highlight w:val="none"/>
          <w:lang w:eastAsia="zh-CN"/>
        </w:rPr>
        <w:br w:type="textWrapping"/>
      </w:r>
      <w:r>
        <w:rPr>
          <w:rFonts w:hint="default" w:ascii="仿宋" w:hAnsi="仿宋" w:eastAsia="仿宋" w:cs="仿宋"/>
          <w:b/>
          <w:bCs/>
          <w:color w:val="auto"/>
          <w:sz w:val="24"/>
          <w:highlight w:val="none"/>
          <w:lang w:eastAsia="zh-CN"/>
        </w:rPr>
        <w:t xml:space="preserve">数据安全（对外传输数据） </w:t>
      </w:r>
      <w:r>
        <w:rPr>
          <w:rFonts w:hint="default" w:ascii="仿宋_GB2312" w:eastAsia="仿宋_GB2312" w:cs="仿宋_GB2312"/>
          <w:sz w:val="32"/>
          <w:szCs w:val="32"/>
        </w:rPr>
        <w:br w:type="textWrapping"/>
      </w:r>
      <w:r>
        <w:rPr>
          <w:rFonts w:hint="default" w:ascii="仿宋" w:hAnsi="仿宋" w:eastAsia="仿宋" w:cs="仿宋"/>
          <w:color w:val="auto"/>
          <w:sz w:val="24"/>
          <w:highlight w:val="none"/>
          <w:lang w:eastAsia="zh-CN"/>
        </w:rPr>
        <w:t xml:space="preserve">（一）乙方应当按照合同约定使用数据，遵循最小化原则。乙方应保证数据及信息的处理(包括收集、存储、使用、加工、传输、提供、公开、删除等)的安全，防止数据及信息被篡改或丢失、泄漏。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（二）乙方应保证数据使用不以垄断经营和不正当竞争为目的，不发生误导、欺诈、胁迫或者干扰等限制个人或者组织正当选择与决策的行为，遵循社会公德伦理。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（四）数据及信息的保存期限应符合实现本协议业务处理目的所必要的最短时间。乙方应在合作期满或终止后，及时删除各种介质上所存储的甲方提供的数据及信息。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 xml:space="preserve">（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 </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（六）若需开展数据测试，乙方的测试环境应与生产系统隔离，未经脱敏处理不得进入测试环境。</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b/>
          <w:bCs/>
          <w:color w:val="auto"/>
          <w:sz w:val="24"/>
          <w:highlight w:val="none"/>
          <w:lang w:eastAsia="zh-CN"/>
        </w:rPr>
        <w:t>    第七条 禁止转让</w:t>
      </w:r>
      <w:r>
        <w:rPr>
          <w:rFonts w:hint="default" w:ascii="仿宋_GB2312" w:eastAsia="仿宋_GB2312" w:cs="仿宋_GB2312"/>
          <w:sz w:val="32"/>
          <w:szCs w:val="32"/>
        </w:rPr>
        <w:br w:type="textWrapping"/>
      </w:r>
      <w:r>
        <w:rPr>
          <w:rFonts w:hint="default" w:ascii="仿宋" w:hAnsi="仿宋" w:eastAsia="仿宋" w:cs="仿宋"/>
          <w:b/>
          <w:bCs/>
          <w:color w:val="auto"/>
          <w:sz w:val="24"/>
          <w:highlight w:val="none"/>
          <w:lang w:eastAsia="zh-CN"/>
        </w:rPr>
        <w:t>禁止转让</w:t>
      </w:r>
      <w:r>
        <w:rPr>
          <w:rFonts w:hint="default" w:ascii="仿宋_GB2312" w:eastAsia="仿宋_GB2312" w:cs="仿宋_GB2312"/>
          <w:sz w:val="32"/>
          <w:szCs w:val="32"/>
        </w:rPr>
        <w:br w:type="textWrapping"/>
      </w:r>
      <w:r>
        <w:rPr>
          <w:rFonts w:hint="default" w:ascii="仿宋" w:hAnsi="仿宋" w:eastAsia="仿宋" w:cs="仿宋"/>
          <w:color w:val="auto"/>
          <w:sz w:val="24"/>
          <w:highlight w:val="none"/>
          <w:lang w:eastAsia="zh-CN"/>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w:t>
      </w:r>
      <w:r>
        <w:rPr>
          <w:rFonts w:hint="default" w:ascii="仿宋" w:hAnsi="仿宋" w:eastAsia="仿宋" w:cs="仿宋"/>
          <w:b/>
          <w:bCs/>
          <w:color w:val="auto"/>
          <w:sz w:val="24"/>
          <w:highlight w:val="none"/>
          <w:lang w:eastAsia="zh-CN"/>
        </w:rPr>
        <w:t>  第八条 权利保证</w:t>
      </w:r>
      <w:r>
        <w:rPr>
          <w:rFonts w:hint="default" w:ascii="仿宋_GB2312" w:eastAsia="仿宋_GB2312" w:cs="仿宋_GB2312"/>
          <w:sz w:val="32"/>
          <w:szCs w:val="32"/>
        </w:rPr>
        <w:br w:type="textWrapping"/>
      </w:r>
      <w:r>
        <w:rPr>
          <w:rFonts w:hint="default" w:ascii="仿宋" w:hAnsi="仿宋" w:eastAsia="仿宋" w:cs="仿宋"/>
          <w:b/>
          <w:bCs/>
          <w:color w:val="auto"/>
          <w:sz w:val="24"/>
          <w:highlight w:val="none"/>
          <w:lang w:eastAsia="zh-CN"/>
        </w:rPr>
        <w:t>权利保证</w:t>
      </w:r>
      <w:r>
        <w:rPr>
          <w:rFonts w:hint="default" w:ascii="仿宋_GB2312" w:eastAsia="仿宋_GB2312" w:cs="仿宋_GB2312"/>
          <w:sz w:val="32"/>
          <w:szCs w:val="32"/>
        </w:rPr>
        <w:br w:type="textWrapping"/>
      </w:r>
      <w:r>
        <w:rPr>
          <w:rFonts w:hint="default" w:ascii="仿宋" w:hAnsi="仿宋" w:eastAsia="仿宋" w:cs="仿宋"/>
          <w:color w:val="auto"/>
          <w:sz w:val="24"/>
          <w:highlight w:val="none"/>
          <w:lang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default" w:ascii="仿宋_GB2312" w:eastAsia="仿宋_GB2312" w:cs="仿宋_GB2312"/>
          <w:b/>
          <w:bCs w:val="0"/>
          <w:sz w:val="32"/>
          <w:szCs w:val="32"/>
        </w:rPr>
      </w:pPr>
      <w:r>
        <w:rPr>
          <w:rFonts w:hint="default" w:ascii="仿宋_GB2312" w:eastAsia="仿宋_GB2312" w:cs="仿宋_GB2312"/>
          <w:b/>
          <w:bCs w:val="0"/>
          <w:sz w:val="32"/>
          <w:szCs w:val="32"/>
        </w:rPr>
        <w:t>   </w:t>
      </w:r>
      <w:r>
        <w:rPr>
          <w:rFonts w:hint="default" w:ascii="仿宋" w:hAnsi="仿宋" w:eastAsia="仿宋" w:cs="仿宋"/>
          <w:b/>
          <w:bCs/>
          <w:color w:val="auto"/>
          <w:sz w:val="24"/>
          <w:highlight w:val="none"/>
          <w:lang w:eastAsia="zh-CN"/>
        </w:rPr>
        <w:t xml:space="preserve"> 第九条 违约责任</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乙方延迟交付的违约责任</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（1）由于乙方原因造成项目延迟的，每延迟10个工作日，乙方向甲方支付违约金为合同服务费用总额的_______%。</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第十条 保密义务</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b/>
          <w:bCs/>
          <w:color w:val="auto"/>
          <w:sz w:val="24"/>
          <w:highlight w:val="none"/>
          <w:lang w:eastAsia="zh-CN"/>
        </w:rPr>
      </w:pPr>
      <w:r>
        <w:rPr>
          <w:rFonts w:hint="default" w:ascii="仿宋_GB2312" w:eastAsia="仿宋_GB2312" w:cs="仿宋_GB2312"/>
          <w:b/>
          <w:bCs w:val="0"/>
          <w:sz w:val="32"/>
          <w:szCs w:val="32"/>
        </w:rPr>
        <w:t>   </w:t>
      </w:r>
      <w:r>
        <w:rPr>
          <w:rFonts w:hint="default" w:ascii="仿宋" w:hAnsi="仿宋" w:eastAsia="仿宋" w:cs="仿宋"/>
          <w:b/>
          <w:bCs/>
          <w:color w:val="auto"/>
          <w:sz w:val="24"/>
          <w:highlight w:val="none"/>
          <w:lang w:eastAsia="zh-CN"/>
        </w:rPr>
        <w:t xml:space="preserve"> 第十一条 不可抗力</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第十二条 合同变更</w:t>
      </w:r>
      <w:r>
        <w:rPr>
          <w:rFonts w:hint="default" w:ascii="仿宋" w:hAnsi="仿宋" w:eastAsia="仿宋" w:cs="仿宋"/>
          <w:b/>
          <w:bCs/>
          <w:color w:val="auto"/>
          <w:sz w:val="24"/>
          <w:highlight w:val="none"/>
          <w:lang w:eastAsia="zh-CN"/>
        </w:rPr>
        <w:br w:type="textWrapping"/>
      </w:r>
      <w:r>
        <w:rPr>
          <w:rFonts w:hint="default" w:ascii="仿宋" w:hAnsi="仿宋" w:eastAsia="仿宋" w:cs="仿宋"/>
          <w:b/>
          <w:bCs/>
          <w:color w:val="auto"/>
          <w:sz w:val="24"/>
          <w:highlight w:val="none"/>
          <w:lang w:eastAsia="zh-CN"/>
        </w:rPr>
        <w:t>合同变更</w:t>
      </w:r>
      <w:r>
        <w:rPr>
          <w:rFonts w:hint="default" w:ascii="仿宋" w:hAnsi="仿宋" w:eastAsia="仿宋" w:cs="仿宋"/>
          <w:b/>
          <w:bCs/>
          <w:color w:val="auto"/>
          <w:sz w:val="24"/>
          <w:highlight w:val="none"/>
          <w:lang w:eastAsia="zh-CN"/>
        </w:rPr>
        <w:br w:type="textWrapping"/>
      </w:r>
      <w:r>
        <w:rPr>
          <w:rFonts w:hint="default" w:ascii="仿宋" w:hAnsi="仿宋" w:eastAsia="仿宋" w:cs="仿宋"/>
          <w:color w:val="auto"/>
          <w:sz w:val="24"/>
          <w:highlight w:val="none"/>
          <w:lang w:eastAsia="zh-CN"/>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第十三条 合同特别终止</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 xml:space="preserve"> （一） 甲乙双方同意在乙方出现下列情形时，甲方可以书面形式通知乙方（或者乙方的破产清算组或相关管理人）提出终止合同而不向其提供任何补偿：</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（1）乙方破产、解散（包括但不限于乙方股东会决议解散、乙方被吊销营业执照、被责令关闭、被撤销、被司法机关裁决解散等情形）；</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第十四条 法律适用与争议解决</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w:t>
      </w:r>
      <w:r>
        <w:rPr>
          <w:rFonts w:hint="default" w:ascii="仿宋" w:hAnsi="仿宋" w:eastAsia="仿宋" w:cs="仿宋"/>
          <w:b/>
          <w:bCs/>
          <w:color w:val="auto"/>
          <w:sz w:val="24"/>
          <w:highlight w:val="none"/>
          <w:lang w:eastAsia="zh-CN"/>
        </w:rPr>
        <w:t>争议解决</w:t>
      </w:r>
      <w:r>
        <w:rPr>
          <w:rFonts w:hint="default" w:ascii="仿宋" w:hAnsi="仿宋" w:eastAsia="仿宋" w:cs="仿宋"/>
          <w:color w:val="auto"/>
          <w:sz w:val="24"/>
          <w:highlight w:val="none"/>
          <w:lang w:eastAsia="zh-CN"/>
        </w:rPr>
        <w:br w:type="textWrapping"/>
      </w:r>
      <w:r>
        <w:rPr>
          <w:rFonts w:hint="default" w:ascii="仿宋" w:hAnsi="仿宋" w:eastAsia="仿宋" w:cs="仿宋"/>
          <w:color w:val="auto"/>
          <w:sz w:val="24"/>
          <w:highlight w:val="none"/>
          <w:lang w:eastAsia="zh-CN"/>
        </w:rPr>
        <w:t>凡因本合同引起的或与本合同有关的任何争议，双方首先应友好协商解决。协商不成的，任何一方均可向甲方所在地有管辖权的法院提起诉讼。</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第十五条 合同生效及其他</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sz w:val="32"/>
          <w:szCs w:val="32"/>
        </w:rPr>
        <w:t xml:space="preserve">   </w:t>
      </w:r>
      <w:r>
        <w:rPr>
          <w:rFonts w:hint="default" w:ascii="仿宋" w:hAnsi="仿宋" w:eastAsia="仿宋" w:cs="仿宋"/>
          <w:color w:val="auto"/>
          <w:sz w:val="24"/>
          <w:highlight w:val="none"/>
          <w:lang w:eastAsia="zh-CN"/>
        </w:rPr>
        <w:t>（一）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 w:hAnsi="仿宋" w:eastAsia="仿宋" w:cs="仿宋"/>
          <w:color w:val="auto"/>
          <w:sz w:val="24"/>
          <w:highlight w:val="none"/>
          <w:lang w:eastAsia="zh-CN"/>
        </w:rPr>
        <w:t xml:space="preserve">   （七） ......</w:t>
      </w:r>
    </w:p>
    <w:p>
      <w:pPr>
        <w:keepNext w:val="0"/>
        <w:keepLines w:val="0"/>
        <w:widowControl/>
        <w:suppressLineNumbers w:val="0"/>
        <w:spacing w:before="0" w:beforeAutospacing="1" w:after="0" w:afterAutospacing="1" w:line="600" w:lineRule="exact"/>
        <w:ind w:left="0" w:right="0"/>
        <w:jc w:val="left"/>
        <w:rPr>
          <w:rFonts w:hint="default" w:ascii="仿宋" w:hAnsi="仿宋" w:eastAsia="仿宋" w:cs="仿宋"/>
          <w:color w:val="auto"/>
          <w:sz w:val="24"/>
          <w:highlight w:val="none"/>
          <w:lang w:eastAsia="zh-CN"/>
        </w:rPr>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第十六条 附件的组成</w:t>
      </w:r>
      <w:r>
        <w:rPr>
          <w:rFonts w:hint="default" w:ascii="仿宋_GB2312" w:eastAsia="仿宋_GB2312" w:cs="仿宋_GB2312"/>
          <w:b/>
          <w:bCs w:val="0"/>
          <w:sz w:val="32"/>
          <w:szCs w:val="32"/>
        </w:rPr>
        <w:br w:type="textWrapping"/>
      </w:r>
      <w:r>
        <w:rPr>
          <w:rFonts w:hint="default" w:ascii="仿宋" w:hAnsi="仿宋" w:eastAsia="仿宋" w:cs="仿宋"/>
          <w:color w:val="auto"/>
          <w:sz w:val="24"/>
          <w:highlight w:val="none"/>
          <w:lang w:eastAsia="zh-CN"/>
        </w:rPr>
        <w:t>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xml:space="preserve">    </w:t>
      </w:r>
      <w:r>
        <w:rPr>
          <w:rFonts w:hint="default" w:ascii="仿宋" w:hAnsi="仿宋" w:eastAsia="仿宋" w:cs="仿宋"/>
          <w:b/>
          <w:bCs/>
          <w:color w:val="auto"/>
          <w:sz w:val="24"/>
          <w:highlight w:val="none"/>
          <w:lang w:eastAsia="zh-CN"/>
        </w:rPr>
        <w:t>第十七条 ......</w:t>
      </w:r>
    </w:p>
    <w:p>
      <w:pPr>
        <w:widowControl w:val="0"/>
        <w:numPr>
          <w:ilvl w:val="0"/>
          <w:numId w:val="0"/>
        </w:numPr>
        <w:jc w:val="both"/>
        <w:rPr>
          <w:rFonts w:hint="eastAsia"/>
          <w:color w:val="auto"/>
          <w:highlight w:val="none"/>
        </w:rPr>
      </w:pPr>
    </w:p>
    <w:bookmarkEnd w:id="126"/>
    <w:bookmarkEnd w:id="127"/>
    <w:p>
      <w:pPr>
        <w:rPr>
          <w:rFonts w:hint="eastAsia" w:ascii="仿宋" w:hAnsi="仿宋" w:eastAsia="仿宋" w:cs="仿宋"/>
          <w:b/>
          <w:bCs/>
          <w:color w:val="auto"/>
          <w:sz w:val="28"/>
          <w:szCs w:val="28"/>
          <w:highlight w:val="none"/>
        </w:rPr>
      </w:pPr>
      <w:bookmarkStart w:id="144" w:name="_Toc444891347"/>
      <w:bookmarkStart w:id="145" w:name="_Toc24217"/>
      <w:bookmarkStart w:id="146" w:name="_Toc16424"/>
      <w:bookmarkStart w:id="147" w:name="_Toc28349"/>
      <w:bookmarkStart w:id="148" w:name="_Toc24143"/>
      <w:bookmarkStart w:id="149" w:name="_Toc22083"/>
      <w:bookmarkStart w:id="150" w:name="_Toc517281828"/>
      <w:r>
        <w:rPr>
          <w:rFonts w:hint="eastAsia" w:ascii="仿宋" w:hAnsi="仿宋" w:eastAsia="仿宋" w:cs="仿宋"/>
          <w:b/>
          <w:bCs/>
          <w:color w:val="auto"/>
          <w:sz w:val="28"/>
          <w:szCs w:val="28"/>
          <w:highlight w:val="none"/>
        </w:rPr>
        <w:br w:type="page"/>
      </w:r>
    </w:p>
    <w:p>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outlineLvl w:val="0"/>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第五章 </w:t>
      </w:r>
      <w:bookmarkEnd w:id="144"/>
      <w:bookmarkEnd w:id="145"/>
      <w:bookmarkEnd w:id="146"/>
      <w:bookmarkEnd w:id="147"/>
      <w:bookmarkEnd w:id="148"/>
      <w:r>
        <w:rPr>
          <w:rFonts w:hint="eastAsia" w:ascii="仿宋" w:hAnsi="仿宋" w:eastAsia="仿宋" w:cs="仿宋"/>
          <w:b/>
          <w:bCs/>
          <w:color w:val="auto"/>
          <w:sz w:val="28"/>
          <w:szCs w:val="28"/>
          <w:highlight w:val="none"/>
        </w:rPr>
        <w:t>采购需求</w:t>
      </w:r>
      <w:bookmarkEnd w:id="149"/>
      <w:bookmarkEnd w:id="150"/>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bCs/>
          <w:i w:val="0"/>
          <w:iCs w:val="0"/>
          <w:color w:val="000000"/>
          <w:sz w:val="24"/>
          <w:szCs w:val="24"/>
          <w:highlight w:val="none"/>
        </w:rPr>
      </w:pPr>
      <w:bookmarkStart w:id="151" w:name="_Toc444891352"/>
      <w:bookmarkStart w:id="152" w:name="_Toc17141"/>
      <w:bookmarkStart w:id="153" w:name="_Toc287600128"/>
      <w:bookmarkStart w:id="154" w:name="_Toc517281835"/>
      <w:bookmarkStart w:id="155" w:name="_Toc10693"/>
      <w:bookmarkStart w:id="156" w:name="_Toc11206"/>
      <w:bookmarkStart w:id="157" w:name="_Toc21125"/>
      <w:r>
        <w:rPr>
          <w:rFonts w:hint="eastAsia" w:ascii="仿宋" w:hAnsi="仿宋" w:eastAsia="仿宋" w:cs="仿宋"/>
          <w:b/>
          <w:bCs/>
          <w:i w:val="0"/>
          <w:iCs w:val="0"/>
          <w:color w:val="000000"/>
          <w:sz w:val="24"/>
          <w:szCs w:val="24"/>
          <w:highlight w:val="none"/>
        </w:rPr>
        <w:t>（一）采购背景</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i w:val="0"/>
          <w:iCs w:val="0"/>
          <w:color w:val="000000"/>
          <w:sz w:val="24"/>
          <w:szCs w:val="24"/>
          <w:highlight w:val="none"/>
          <w:lang w:val="en-US" w:eastAsia="zh-CN"/>
        </w:rPr>
      </w:pPr>
      <w:r>
        <w:rPr>
          <w:rFonts w:hint="eastAsia" w:ascii="仿宋" w:hAnsi="仿宋" w:eastAsia="仿宋" w:cs="仿宋"/>
          <w:i w:val="0"/>
          <w:iCs w:val="0"/>
          <w:color w:val="000000"/>
          <w:sz w:val="24"/>
          <w:szCs w:val="24"/>
          <w:highlight w:val="none"/>
          <w:lang w:val="en-US" w:eastAsia="zh-CN"/>
        </w:rPr>
        <w:t>根据湖北省应急管理厅办公室下发的《关于组织开展安全生产责任保险集中事故预防服务项目申报工作的函》，恩施州应急局拟开展矿山领域安全生产责任保险（以下简称“安责险”）集中事故预防服务工作，由恩施州应急局统一申报，我司作为牵头单位统筹实施，以矿山领域作为集中服务行业开展事故预防服务，保障安责险事故预防工作高效实施，规范落地，从而实现安责险事故预防服务费用高效规范使用、精准直达企业。</w:t>
      </w:r>
    </w:p>
    <w:p>
      <w:pPr>
        <w:keepNext w:val="0"/>
        <w:keepLines w:val="0"/>
        <w:pageBreakBefore w:val="0"/>
        <w:widowControl w:val="0"/>
        <w:kinsoku/>
        <w:wordWrap/>
        <w:overflowPunct/>
        <w:topLinePunct w:val="0"/>
        <w:autoSpaceDE/>
        <w:autoSpaceDN/>
        <w:bidi w:val="0"/>
        <w:adjustRightInd/>
        <w:snapToGrid w:val="0"/>
        <w:spacing w:line="300" w:lineRule="auto"/>
        <w:ind w:right="420" w:firstLine="482" w:firstLineChars="200"/>
        <w:textAlignment w:val="auto"/>
        <w:rPr>
          <w:rFonts w:hint="eastAsia" w:ascii="仿宋" w:hAnsi="仿宋" w:eastAsia="仿宋" w:cs="仿宋"/>
          <w:b/>
          <w:bCs/>
          <w:i w:val="0"/>
          <w:iCs w:val="0"/>
          <w:color w:val="000000"/>
          <w:sz w:val="24"/>
          <w:szCs w:val="24"/>
          <w:highlight w:val="none"/>
        </w:rPr>
      </w:pPr>
      <w:r>
        <w:rPr>
          <w:rFonts w:hint="eastAsia" w:ascii="仿宋" w:hAnsi="仿宋" w:eastAsia="仿宋" w:cs="仿宋"/>
          <w:b/>
          <w:bCs/>
          <w:i w:val="0"/>
          <w:iCs w:val="0"/>
          <w:color w:val="000000"/>
          <w:sz w:val="24"/>
          <w:szCs w:val="24"/>
          <w:highlight w:val="none"/>
        </w:rPr>
        <w:t>（二）采购需求</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i w:val="0"/>
          <w:iCs w:val="0"/>
          <w:color w:val="auto"/>
          <w:sz w:val="24"/>
          <w:szCs w:val="24"/>
          <w:highlight w:val="none"/>
          <w:lang w:val="en-US" w:eastAsia="zh-CN"/>
        </w:rPr>
        <w:t>供应商在受到我司的委托后，需在以下服务范围内协助投保企业开展事故预防服务工作：（1）安全风险辨识、评估和安全评价。开展安全风险辨识评估、安全评价和安全生产检测检验，提出风险防控措施建议，发布风险预警信息；（2）生产安全事故隐患排查。开展生产安全事故隐患排查，提出隐患治理措施与方案；（3）安全生产宣传教育培训。制作发放安全生产宣传教育培训资料，举办安全生产宣传教育活动，组织开展安全生产专项教育培训；（4）我司根据投保企业需求，委托供应商协助投保企业开展其他与服务项目相关的事故预防工作，包括：投保企业开展安全生产标准化建设、生产安全事故应急预案编制和演练、安全生产科技推广应用以及其他有关事故预防工作</w:t>
      </w:r>
      <w:r>
        <w:rPr>
          <w:rFonts w:hint="eastAsia" w:ascii="仿宋" w:hAnsi="仿宋" w:eastAsia="仿宋" w:cs="仿宋"/>
          <w:i w:val="0"/>
          <w:iCs w:val="0"/>
          <w:color w:val="auto"/>
          <w:sz w:val="24"/>
          <w:szCs w:val="24"/>
          <w:highlight w:val="yellow"/>
          <w:lang w:val="en-US" w:eastAsia="zh-CN"/>
        </w:rPr>
        <w:t>。</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二、项目预算</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预算共15万元（1年）。</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本项目报价采用综合折扣，参照报价标准见下表：</w:t>
      </w:r>
    </w:p>
    <w:tbl>
      <w:tblPr>
        <w:tblStyle w:val="41"/>
        <w:tblW w:w="9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513"/>
        <w:gridCol w:w="1865"/>
        <w:gridCol w:w="2835"/>
        <w:gridCol w:w="1077"/>
        <w:gridCol w:w="1077"/>
        <w:gridCol w:w="10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jc w:val="center"/>
        </w:trPr>
        <w:tc>
          <w:tcPr>
            <w:tcW w:w="1513"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服务项目</w:t>
            </w: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规模</w:t>
            </w:r>
          </w:p>
        </w:tc>
        <w:tc>
          <w:tcPr>
            <w:tcW w:w="283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标准</w:t>
            </w:r>
          </w:p>
        </w:tc>
        <w:tc>
          <w:tcPr>
            <w:tcW w:w="1077"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含税报价限价(元/次）</w:t>
            </w:r>
          </w:p>
        </w:tc>
        <w:tc>
          <w:tcPr>
            <w:tcW w:w="1077"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default" w:ascii="仿宋" w:hAnsi="仿宋" w:eastAsia="仿宋" w:cs="仿宋"/>
                <w:b/>
                <w:bCs/>
                <w:i w:val="0"/>
                <w:iCs w:val="0"/>
                <w:color w:val="000000"/>
                <w:sz w:val="21"/>
                <w:szCs w:val="21"/>
                <w:u w:val="none"/>
                <w:lang w:val="en-US" w:eastAsia="zh-CN" w:bidi="ar"/>
              </w:rPr>
            </w:pPr>
            <w:r>
              <w:rPr>
                <w:rFonts w:hint="eastAsia" w:ascii="仿宋" w:hAnsi="仿宋" w:eastAsia="仿宋" w:cs="仿宋"/>
                <w:b/>
                <w:bCs/>
                <w:i w:val="0"/>
                <w:iCs w:val="0"/>
                <w:color w:val="000000"/>
                <w:sz w:val="21"/>
                <w:szCs w:val="21"/>
                <w:u w:val="none"/>
                <w:lang w:val="en-US" w:eastAsia="zh-CN" w:bidi="ar"/>
              </w:rPr>
              <w:t>预估数量</w:t>
            </w:r>
          </w:p>
        </w:tc>
        <w:tc>
          <w:tcPr>
            <w:tcW w:w="1077"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default" w:ascii="仿宋" w:hAnsi="仿宋" w:eastAsia="仿宋" w:cs="仿宋"/>
                <w:b/>
                <w:bCs/>
                <w:i w:val="0"/>
                <w:iCs w:val="0"/>
                <w:color w:val="000000"/>
                <w:sz w:val="21"/>
                <w:szCs w:val="21"/>
                <w:u w:val="none"/>
                <w:lang w:val="en-US" w:eastAsia="zh-CN" w:bidi="ar"/>
              </w:rPr>
            </w:pPr>
            <w:r>
              <w:rPr>
                <w:rFonts w:hint="eastAsia" w:ascii="仿宋" w:hAnsi="仿宋" w:eastAsia="仿宋" w:cs="仿宋"/>
                <w:b/>
                <w:bCs/>
                <w:i w:val="0"/>
                <w:iCs w:val="0"/>
                <w:color w:val="000000"/>
                <w:sz w:val="21"/>
                <w:szCs w:val="21"/>
                <w:u w:val="none"/>
                <w:lang w:val="en-US" w:eastAsia="zh-CN" w:bidi="ar"/>
              </w:rPr>
              <w:t>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7" w:hRule="atLeast"/>
          <w:jc w:val="center"/>
        </w:trPr>
        <w:tc>
          <w:tcPr>
            <w:tcW w:w="1513"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安全生产宣传教育培训</w:t>
            </w: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单次培训≤30人</w:t>
            </w:r>
          </w:p>
        </w:tc>
        <w:tc>
          <w:tcPr>
            <w:tcW w:w="283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单次培训不低于2小时，出具服务报告</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3000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9000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7" w:hRule="atLeast"/>
          <w:jc w:val="center"/>
        </w:trPr>
        <w:tc>
          <w:tcPr>
            <w:tcW w:w="1513"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单次培训＞30人</w:t>
            </w:r>
          </w:p>
        </w:tc>
        <w:tc>
          <w:tcPr>
            <w:tcW w:w="283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单次培训不低于3小时，出具服务报告</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5000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513"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安全风险辨识、评估和安全评价</w:t>
            </w: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企业安责险保费0.8万-2万（不含2万）</w:t>
            </w:r>
          </w:p>
        </w:tc>
        <w:tc>
          <w:tcPr>
            <w:tcW w:w="2835"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供应商根据企业规模组织2名或2名以上有资质的技术人员在企业生产现场进行安全风险辨识、评估和安全评价，出具服务报告</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3200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6400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jc w:val="center"/>
        </w:trPr>
        <w:tc>
          <w:tcPr>
            <w:tcW w:w="1513"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企业安责险保费2万-10万（不含10万）</w:t>
            </w:r>
          </w:p>
        </w:tc>
        <w:tc>
          <w:tcPr>
            <w:tcW w:w="2835"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5000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7</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513"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企业安责险保费10万元及以上</w:t>
            </w:r>
          </w:p>
        </w:tc>
        <w:tc>
          <w:tcPr>
            <w:tcW w:w="2835"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10000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jc w:val="center"/>
        </w:trPr>
        <w:tc>
          <w:tcPr>
            <w:tcW w:w="1513"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生产安全事故隐患排查</w:t>
            </w: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企业安责险保费0.8万—2万（不含2万）</w:t>
            </w:r>
          </w:p>
        </w:tc>
        <w:tc>
          <w:tcPr>
            <w:tcW w:w="2835"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供应商根据企业规模组织2名或2名以上有资质的技术人员在企业生产现场进行安全风险辨识、评估和安全评价，出具服务报告</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3200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9600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jc w:val="center"/>
        </w:trPr>
        <w:tc>
          <w:tcPr>
            <w:tcW w:w="1513"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企业安责险保费2万—10万（不含10万）</w:t>
            </w:r>
          </w:p>
        </w:tc>
        <w:tc>
          <w:tcPr>
            <w:tcW w:w="2835"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5000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10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513"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企业安责险保费10万元及以上</w:t>
            </w:r>
          </w:p>
        </w:tc>
        <w:tc>
          <w:tcPr>
            <w:tcW w:w="2835"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10000</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513"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lang w:val="en-US" w:eastAsia="zh-CN"/>
              </w:rPr>
            </w:pPr>
            <w:r>
              <w:rPr>
                <w:rFonts w:hint="eastAsia" w:ascii="仿宋" w:hAnsi="仿宋" w:eastAsia="仿宋" w:cs="仿宋"/>
                <w:b/>
                <w:bCs/>
                <w:i w:val="0"/>
                <w:iCs w:val="0"/>
                <w:color w:val="000000"/>
                <w:sz w:val="21"/>
                <w:szCs w:val="21"/>
                <w:u w:val="none"/>
                <w:lang w:val="en-US" w:eastAsia="zh-CN"/>
              </w:rPr>
              <w:t>合计</w:t>
            </w:r>
          </w:p>
        </w:tc>
        <w:tc>
          <w:tcPr>
            <w:tcW w:w="186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lang w:val="en-US" w:eastAsia="zh-CN" w:bidi="ar"/>
              </w:rPr>
            </w:pPr>
          </w:p>
        </w:tc>
        <w:tc>
          <w:tcPr>
            <w:tcW w:w="2835"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i w:val="0"/>
                <w:iCs w:val="0"/>
                <w:color w:val="000000"/>
                <w:sz w:val="21"/>
                <w:szCs w:val="21"/>
                <w:u w:val="none"/>
              </w:rPr>
            </w:pP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lang w:val="en-US" w:eastAsia="zh-CN"/>
              </w:rPr>
            </w:pPr>
          </w:p>
        </w:tc>
        <w:tc>
          <w:tcPr>
            <w:tcW w:w="1077" w:type="dxa"/>
            <w:tcBorders>
              <w:tl2br w:val="nil"/>
              <w:tr2bl w:val="nil"/>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077"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150000</w:t>
            </w:r>
          </w:p>
        </w:tc>
      </w:tr>
    </w:tbl>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en-US" w:eastAsia="zh-CN"/>
        </w:rPr>
      </w:pPr>
    </w:p>
    <w:p>
      <w:pPr>
        <w:tabs>
          <w:tab w:val="center" w:pos="4153"/>
          <w:tab w:val="right" w:pos="8306"/>
        </w:tabs>
        <w:adjustRightInd w:val="0"/>
        <w:snapToGrid w:val="0"/>
        <w:spacing w:line="360" w:lineRule="auto"/>
        <w:ind w:firstLine="480" w:firstLineChars="200"/>
        <w:textAlignment w:val="baseline"/>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以上表格中数量为根据以往经验预估数量，最终结算按照实际发生数量据实结算。</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三、采购内容</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本项目选定 </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eastAsia="zh-CN"/>
        </w:rPr>
        <w:t xml:space="preserve"> 家供应商，为我公司提供服务期为 1年的事故预防服务。</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四、服务内容的要求</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1.服务内容包括：</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（一）安全生产宣传教育培训服务；</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（二）安全风险辨识、评估和安全评价服务；</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（三）生产安全事故隐患排查服务；</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2.供应商固定工作场所建筑面积不少于100平方米，具有与事故预防服务（安全生产技术服务）业务相适应的设施、设备、软件等技术支撑条件；（提供相关证明文件）。</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3.供应商具有与其从事安全生产技术服务活动相适应的专业技术人员</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4.供应商具有与其从事煤矿或地下非煤矿山相关工作经验的专业技术人员。技术人员中，至少3个以上矿山领域的注册安全工程师。</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5.供应商须具备健全的内部管理方案，包括但不限于内部管理制度、内部管理组织架构、内部管理人员配置等；</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6.供应商针对本项目应提供符合项目实际的项目理解、重难点分析与解决方案；</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7.供应商针对本项目应提供事故预防服务方案，内容包含但不限于安全生产宣传教育培训、安全风险辨识、评估和安全评价、生产安全事故隐患排查；</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8.安全生产宣传教育培训：委派专业人员对企业主要负责人和安全管理人员等进行安全培训教育，专题不限于仪表、安全管理、重点监控危险化学品监管等。</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9.安全风险辨识：委派专业人员对企业主要负责人和安全管理人员等进行安全风险辨识培训教育。</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9.生产安全事故隐患排查：通过现场检查、查阅资料、座谈反馈等方式，深入了解企业安全生产条件和安全管理实际情况，对进行全方位的隐患排查，并出具隐患排查报告。</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10.供应商针对本项目应提供服务质量控制方案，内容包括但不限于服务质量的标准与承诺，质量监管制度与执行，出现服务质量的处理措施等。</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lang w:val="zh-CN" w:eastAsia="zh-CN"/>
        </w:rPr>
        <w:t>商务要求</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eastAsia="zh-CN"/>
        </w:rPr>
        <w:t>服务期：自合同签订之日起1年。</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eastAsia="zh-CN"/>
        </w:rPr>
        <w:t>服务地点：</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val="zh-CN" w:eastAsia="zh-CN"/>
        </w:rPr>
        <w:t>指定地点。</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eastAsia="zh-CN"/>
        </w:rPr>
        <w:t>报价要求：本项目按整体综合折扣（%）进行报价，报价不得超过 100%，否则为无效投标。报价须包含履行合同所有相关服务的所需的所有费用。投标报价只允许有一个折扣，中标人所报的折扣将作为合同执行过程中的结算折扣，不得以任何理由予以变更。（例如：投标人所报折扣为 90%，即为打九折。）。</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lang w:val="zh-CN" w:eastAsia="zh-CN"/>
        </w:rPr>
        <w:t>、验收标准及付款安排</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（1）验收标准</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验收标准报告符合湖北省安全生产责任保险信息管理平台验收标准，同时符合我司总公司要求以及恩施州分公司审核条件。</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（2）付款安排</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本项目采购为服务合同，合同签订后，每月或每季结算一次（如遇应急检查、安全生产月或客户需求激增，导致服务频次骤增，则按月结算）。具体支付费用按照具体实施项目据实结算。本项目累计结算金额不超过15万元。</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七、入围供应商数量建议及使用规则</w:t>
      </w:r>
    </w:p>
    <w:p>
      <w:pPr>
        <w:tabs>
          <w:tab w:val="center" w:pos="4153"/>
          <w:tab w:val="right" w:pos="8306"/>
        </w:tabs>
        <w:adjustRightInd w:val="0"/>
        <w:snapToGrid w:val="0"/>
        <w:spacing w:line="360" w:lineRule="auto"/>
        <w:ind w:firstLine="480" w:firstLineChars="200"/>
        <w:textAlignment w:val="baseline"/>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本次采购项目的采购量均为预估数量，实际采购数量以采购合同签订后采购人的实际订单为准，采购人不承诺最低采购数量。本项目中选1家供应商，采购人不承诺中选供应商协议有效期内的具体服务数量及实际份额。成交供应商累计承接业务量直至项目预算执行完毕或框架协议期满。</w:t>
      </w:r>
      <w:r>
        <w:rPr>
          <w:rFonts w:hint="eastAsia" w:ascii="仿宋" w:hAnsi="仿宋" w:eastAsia="仿宋" w:cs="仿宋"/>
          <w:color w:val="auto"/>
          <w:sz w:val="24"/>
          <w:szCs w:val="24"/>
          <w:highlight w:val="none"/>
          <w:lang w:val="zh-CN" w:eastAsia="zh-CN"/>
        </w:rPr>
        <w:br w:type="page"/>
      </w:r>
    </w:p>
    <w:p>
      <w:pPr>
        <w:adjustRightInd w:val="0"/>
        <w:snapToGrid w:val="0"/>
        <w:spacing w:line="360" w:lineRule="auto"/>
        <w:jc w:val="left"/>
        <w:rPr>
          <w:rFonts w:hint="eastAsia" w:ascii="仿宋" w:hAnsi="仿宋" w:eastAsia="仿宋" w:cs="仿宋"/>
          <w:color w:val="auto"/>
          <w:sz w:val="28"/>
          <w:szCs w:val="28"/>
          <w:highlight w:val="none"/>
        </w:rPr>
      </w:pPr>
    </w:p>
    <w:p>
      <w:pPr>
        <w:pStyle w:val="2"/>
        <w:spacing w:before="0" w:after="0" w:line="360" w:lineRule="auto"/>
        <w:jc w:val="center"/>
        <w:rPr>
          <w:rFonts w:hint="eastAsia" w:ascii="仿宋" w:hAnsi="仿宋" w:eastAsia="仿宋" w:cs="仿宋"/>
          <w:color w:val="auto"/>
          <w:sz w:val="28"/>
          <w:szCs w:val="28"/>
          <w:highlight w:val="none"/>
        </w:rPr>
      </w:pPr>
      <w:bookmarkStart w:id="158" w:name="_Toc3675"/>
      <w:r>
        <w:rPr>
          <w:rFonts w:hint="eastAsia" w:ascii="仿宋" w:hAnsi="仿宋" w:eastAsia="仿宋" w:cs="仿宋"/>
          <w:color w:val="auto"/>
          <w:sz w:val="28"/>
          <w:szCs w:val="28"/>
          <w:highlight w:val="none"/>
        </w:rPr>
        <w:t>第六章 响应文件格式</w:t>
      </w:r>
      <w:bookmarkEnd w:id="151"/>
      <w:bookmarkEnd w:id="152"/>
      <w:bookmarkEnd w:id="153"/>
      <w:bookmarkEnd w:id="154"/>
      <w:bookmarkEnd w:id="155"/>
      <w:bookmarkEnd w:id="156"/>
      <w:bookmarkEnd w:id="157"/>
      <w:bookmarkEnd w:id="158"/>
    </w:p>
    <w:p>
      <w:pPr>
        <w:spacing w:line="360" w:lineRule="auto"/>
        <w:rPr>
          <w:rFonts w:hint="eastAsia" w:ascii="仿宋" w:hAnsi="仿宋" w:eastAsia="仿宋" w:cs="仿宋"/>
          <w:b/>
          <w:color w:val="auto"/>
          <w:highlight w:val="none"/>
        </w:rPr>
      </w:pPr>
      <w:r>
        <w:rPr>
          <w:rFonts w:hint="eastAsia" w:ascii="仿宋" w:hAnsi="仿宋" w:eastAsia="仿宋" w:cs="宋体"/>
          <w:b/>
          <w:color w:val="auto"/>
          <w:sz w:val="24"/>
          <w:highlight w:val="none"/>
        </w:rPr>
        <w:t>封面格式</w:t>
      </w:r>
    </w:p>
    <w:tbl>
      <w:tblPr>
        <w:tblStyle w:val="41"/>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7"/>
              <w:keepNext w:val="0"/>
              <w:keepLines w:val="0"/>
              <w:suppressLineNumbers w:val="0"/>
              <w:spacing w:before="156" w:beforeAutospacing="0" w:after="312" w:afterAutospacing="0"/>
              <w:ind w:left="0"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157"/>
              <w:keepNext w:val="0"/>
              <w:keepLines w:val="0"/>
              <w:suppressLineNumbers w:val="0"/>
              <w:spacing w:before="156" w:beforeAutospacing="0" w:after="312"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157"/>
              <w:keepNext w:val="0"/>
              <w:keepLines w:val="0"/>
              <w:suppressLineNumbers w:val="0"/>
              <w:spacing w:before="0" w:beforeAutospacing="0" w:after="0" w:afterAutospacing="0"/>
              <w:ind w:left="0" w:right="-284" w:firstLine="2240"/>
              <w:rPr>
                <w:rFonts w:hint="eastAsia" w:ascii="仿宋" w:hAnsi="仿宋" w:eastAsia="仿宋" w:cs="仿宋"/>
                <w:color w:val="auto"/>
                <w:sz w:val="28"/>
                <w:highlight w:val="none"/>
                <w:u w:val="single"/>
              </w:rPr>
            </w:pPr>
          </w:p>
          <w:p>
            <w:pPr>
              <w:pStyle w:val="157"/>
              <w:keepNext w:val="0"/>
              <w:keepLines w:val="0"/>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lang w:eastAsia="zh-CN"/>
              </w:rPr>
              <w:t>比选</w:t>
            </w:r>
            <w:r>
              <w:rPr>
                <w:rFonts w:hint="eastAsia" w:ascii="仿宋" w:hAnsi="仿宋" w:eastAsia="仿宋" w:cs="仿宋"/>
                <w:color w:val="auto"/>
                <w:sz w:val="52"/>
                <w:highlight w:val="none"/>
              </w:rPr>
              <w:t>响应文件</w:t>
            </w:r>
          </w:p>
          <w:p>
            <w:pPr>
              <w:pStyle w:val="157"/>
              <w:keepNext w:val="0"/>
              <w:keepLines w:val="0"/>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p>
          <w:p>
            <w:pPr>
              <w:pStyle w:val="157"/>
              <w:keepNext w:val="0"/>
              <w:keepLines w:val="0"/>
              <w:suppressLineNumbers w:val="0"/>
              <w:spacing w:before="624" w:beforeAutospacing="0" w:after="156" w:afterAutospacing="0" w:line="240" w:lineRule="atLeast"/>
              <w:ind w:left="0" w:right="0"/>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157"/>
              <w:keepNext w:val="0"/>
              <w:keepLines w:val="0"/>
              <w:suppressLineNumbers w:val="0"/>
              <w:spacing w:before="1560" w:beforeAutospacing="0" w:after="0" w:afterAutospacing="0" w:line="400" w:lineRule="atLeast"/>
              <w:ind w:left="0"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157"/>
              <w:keepNext w:val="0"/>
              <w:keepLines w:val="0"/>
              <w:suppressLineNumbers w:val="0"/>
              <w:spacing w:before="0" w:beforeAutospacing="0" w:after="156" w:afterAutospacing="0" w:line="400" w:lineRule="atLeast"/>
              <w:ind w:left="0" w:right="-284"/>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157"/>
              <w:keepNext w:val="0"/>
              <w:keepLines w:val="0"/>
              <w:suppressLineNumbers w:val="0"/>
              <w:spacing w:before="0" w:beforeAutospacing="0" w:after="624" w:afterAutospacing="0"/>
              <w:ind w:left="0" w:right="-284"/>
              <w:jc w:val="center"/>
              <w:rPr>
                <w:rFonts w:hint="eastAsia" w:ascii="仿宋" w:hAnsi="仿宋" w:eastAsia="仿宋" w:cs="仿宋"/>
                <w:color w:val="auto"/>
                <w:sz w:val="24"/>
                <w:highlight w:val="none"/>
              </w:rPr>
            </w:pPr>
          </w:p>
          <w:p>
            <w:pPr>
              <w:pStyle w:val="157"/>
              <w:keepNext w:val="0"/>
              <w:keepLines w:val="0"/>
              <w:suppressLineNumbers w:val="0"/>
              <w:spacing w:before="0" w:beforeAutospacing="0" w:after="624" w:afterAutospacing="0"/>
              <w:ind w:left="0"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格式：封口</w:t>
      </w:r>
    </w:p>
    <w:tbl>
      <w:tblPr>
        <w:tblStyle w:val="41"/>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7"/>
              <w:keepNext w:val="0"/>
              <w:keepLines w:val="0"/>
              <w:suppressLineNumbers w:val="0"/>
              <w:spacing w:before="0" w:beforeAutospacing="0" w:after="0" w:afterAutospacing="0"/>
              <w:ind w:left="0"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kern w:val="0"/>
          <w:szCs w:val="21"/>
          <w:highlight w:val="none"/>
        </w:rPr>
      </w:pPr>
    </w:p>
    <w:p>
      <w:pPr>
        <w:pStyle w:val="3"/>
        <w:numPr>
          <w:ilvl w:val="0"/>
          <w:numId w:val="0"/>
        </w:numPr>
        <w:ind w:leftChars="0"/>
        <w:jc w:val="both"/>
        <w:rPr>
          <w:rFonts w:ascii="仿宋" w:hAnsi="仿宋" w:eastAsia="仿宋" w:cs="仿宋"/>
          <w:color w:val="auto"/>
          <w:sz w:val="24"/>
          <w:szCs w:val="24"/>
          <w:highlight w:val="none"/>
        </w:rPr>
      </w:pPr>
      <w:bookmarkStart w:id="159" w:name="_Toc3936"/>
      <w:bookmarkStart w:id="160" w:name="_Toc25957"/>
      <w:bookmarkStart w:id="161" w:name="_Toc19910"/>
      <w:bookmarkStart w:id="162" w:name="_Toc444891353"/>
      <w:bookmarkStart w:id="163" w:name="_Toc11783"/>
      <w:bookmarkStart w:id="164" w:name="_Toc19783362"/>
      <w:bookmarkStart w:id="165" w:name="_Toc517281836"/>
      <w:bookmarkStart w:id="166" w:name="_Toc21280"/>
      <w:bookmarkStart w:id="167" w:name="_Toc287600131"/>
      <w:bookmarkStart w:id="168" w:name="_Toc287600129"/>
      <w:bookmarkStart w:id="169" w:name="_Toc19783360"/>
      <w:r>
        <w:rPr>
          <w:rFonts w:ascii="仿宋" w:hAnsi="仿宋" w:eastAsia="仿宋" w:cs="仿宋"/>
          <w:color w:val="auto"/>
          <w:sz w:val="24"/>
          <w:szCs w:val="24"/>
          <w:highlight w:val="none"/>
        </w:rPr>
        <w:br w:type="page"/>
      </w:r>
      <w:bookmarkStart w:id="170" w:name="_Toc17191"/>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商务文件</w:t>
      </w:r>
      <w:bookmarkEnd w:id="159"/>
      <w:bookmarkEnd w:id="170"/>
    </w:p>
    <w:p>
      <w:pPr>
        <w:bidi w:val="0"/>
        <w:jc w:val="center"/>
        <w:rPr>
          <w:rFonts w:hint="eastAsia"/>
          <w:color w:val="auto"/>
          <w:highlight w:val="none"/>
        </w:rPr>
      </w:pPr>
      <w:bookmarkStart w:id="171" w:name="_Toc26744"/>
      <w:r>
        <w:rPr>
          <w:rFonts w:hint="eastAsia" w:ascii="仿宋" w:hAnsi="仿宋" w:eastAsia="仿宋" w:cs="仿宋"/>
          <w:b/>
          <w:bCs/>
          <w:color w:val="auto"/>
          <w:sz w:val="24"/>
          <w:szCs w:val="24"/>
          <w:highlight w:val="none"/>
        </w:rPr>
        <w:t>初步评审索引表</w:t>
      </w:r>
      <w:bookmarkEnd w:id="171"/>
      <w:r>
        <w:rPr>
          <w:rFonts w:hint="eastAsia" w:ascii="仿宋" w:hAnsi="仿宋" w:eastAsia="仿宋" w:cs="仿宋"/>
          <w:b w:val="0"/>
          <w:bCs w:val="0"/>
          <w:color w:val="auto"/>
          <w:sz w:val="24"/>
          <w:szCs w:val="24"/>
          <w:highlight w:val="none"/>
        </w:rPr>
        <w:t>（可以根据项目实际情况选择是否设置）</w:t>
      </w:r>
    </w:p>
    <w:tbl>
      <w:tblPr>
        <w:tblStyle w:val="41"/>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序号</w:t>
            </w:r>
          </w:p>
        </w:tc>
        <w:tc>
          <w:tcPr>
            <w:tcW w:w="1701" w:type="dxa"/>
            <w:noWrap w:val="0"/>
            <w:vAlign w:val="top"/>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b/>
                <w:color w:val="auto"/>
                <w:kern w:val="0"/>
                <w:szCs w:val="21"/>
                <w:highlight w:val="none"/>
              </w:rPr>
              <w:t>评审环节</w:t>
            </w:r>
          </w:p>
        </w:tc>
        <w:tc>
          <w:tcPr>
            <w:tcW w:w="3300" w:type="dxa"/>
            <w:noWrap w:val="0"/>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评审因素</w:t>
            </w:r>
          </w:p>
        </w:tc>
        <w:tc>
          <w:tcPr>
            <w:tcW w:w="4217" w:type="dxa"/>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701" w:type="dxa"/>
            <w:vMerge w:val="restart"/>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default"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法定代表人（负责人）身份证明</w:t>
            </w:r>
          </w:p>
        </w:tc>
        <w:tc>
          <w:tcPr>
            <w:tcW w:w="4217" w:type="dxa"/>
            <w:noWrap w:val="0"/>
            <w:vAlign w:val="center"/>
          </w:tcPr>
          <w:p>
            <w:pPr>
              <w:pStyle w:val="138"/>
              <w:keepNext w:val="0"/>
              <w:keepLines w:val="0"/>
              <w:suppressLineNumbers w:val="0"/>
              <w:tabs>
                <w:tab w:val="left" w:pos="630"/>
              </w:tabs>
              <w:topLinePunct/>
              <w:spacing w:before="48" w:beforeLines="20" w:beforeAutospacing="0" w:after="48" w:afterLines="20" w:afterAutospacing="0" w:line="276" w:lineRule="auto"/>
              <w:ind w:left="0" w:right="0"/>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7" w:type="dxa"/>
            <w:noWrap w:val="0"/>
            <w:vAlign w:val="center"/>
          </w:tcPr>
          <w:p>
            <w:pPr>
              <w:pStyle w:val="138"/>
              <w:keepNext w:val="0"/>
              <w:keepLines w:val="0"/>
              <w:suppressLineNumbers w:val="0"/>
              <w:tabs>
                <w:tab w:val="left" w:pos="630"/>
              </w:tabs>
              <w:topLinePunct/>
              <w:spacing w:before="48" w:beforeLines="20" w:beforeAutospacing="0" w:after="48" w:afterLines="20" w:afterAutospacing="0" w:line="276" w:lineRule="auto"/>
              <w:ind w:left="0" w:right="0"/>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宋体"/>
                <w:color w:val="auto"/>
                <w:spacing w:val="-4"/>
                <w:kern w:val="0"/>
                <w:szCs w:val="21"/>
                <w:highlight w:val="none"/>
              </w:rPr>
            </w:pPr>
            <w:r>
              <w:rPr>
                <w:rFonts w:hint="eastAsia" w:ascii="仿宋" w:hAnsi="仿宋" w:eastAsia="仿宋" w:cs="仿宋"/>
                <w:color w:val="auto"/>
                <w:szCs w:val="21"/>
                <w:highlight w:val="none"/>
              </w:rPr>
              <w:t>响应文件签字或盖章</w:t>
            </w:r>
          </w:p>
        </w:tc>
        <w:tc>
          <w:tcPr>
            <w:tcW w:w="4217" w:type="dxa"/>
            <w:noWrap w:val="0"/>
            <w:vAlign w:val="center"/>
          </w:tcPr>
          <w:p>
            <w:pPr>
              <w:pStyle w:val="157"/>
              <w:keepNext w:val="0"/>
              <w:keepLines w:val="0"/>
              <w:suppressLineNumbers w:val="0"/>
              <w:spacing w:before="48" w:beforeLines="20" w:beforeAutospacing="0" w:after="48" w:afterLines="20" w:afterAutospacing="0" w:line="276" w:lineRule="auto"/>
              <w:ind w:left="0" w:right="0"/>
              <w:rPr>
                <w:rFonts w:hint="eastAsia" w:ascii="仿宋" w:hAnsi="仿宋" w:eastAsia="仿宋" w:cs="仿宋"/>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701" w:type="dxa"/>
            <w:vMerge w:val="restart"/>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具有独立承担民事责任的能力</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lang w:val="zh-CN" w:eastAsia="zh-CN"/>
              </w:rPr>
              <w:t>具有良好的商业信誉和健全的财务会计制度；</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宋体"/>
                <w:color w:val="auto"/>
                <w:szCs w:val="21"/>
                <w:highlight w:val="none"/>
                <w:lang w:val="zh-CN" w:eastAsia="zh-CN"/>
              </w:rPr>
              <w:t>具有履行合同所必需的设备和专业技术能力；</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宋体"/>
                <w:color w:val="auto"/>
                <w:szCs w:val="21"/>
                <w:highlight w:val="none"/>
                <w:lang w:val="zh-CN" w:eastAsia="zh-CN"/>
              </w:rPr>
              <w:t>有依法缴纳税收和社会保障资金的良好记录；</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宋体"/>
                <w:color w:val="auto"/>
                <w:szCs w:val="21"/>
                <w:highlight w:val="none"/>
                <w:lang w:val="zh-CN" w:eastAsia="zh-CN"/>
              </w:rPr>
              <w:t>参加采购活动前三年内，在经营活动中没有重大违法记录；</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0"/>
                <w:szCs w:val="21"/>
                <w:highlight w:val="none"/>
              </w:rPr>
            </w:pPr>
            <w:r>
              <w:rPr>
                <w:rFonts w:hint="default" w:ascii="仿宋" w:hAnsi="仿宋" w:eastAsia="仿宋" w:cs="仿宋"/>
                <w:color w:val="auto"/>
                <w:kern w:val="0"/>
                <w:szCs w:val="21"/>
                <w:highlight w:val="none"/>
                <w:lang w:val="en-US" w:eastAsia="zh-CN"/>
              </w:rPr>
              <w:t>严禁列入采购人及其所隶属的</w:t>
            </w:r>
            <w:r>
              <w:rPr>
                <w:rFonts w:hint="eastAsia" w:ascii="仿宋" w:hAnsi="仿宋" w:eastAsia="仿宋" w:cs="仿宋"/>
                <w:color w:val="auto"/>
                <w:kern w:val="0"/>
                <w:szCs w:val="21"/>
                <w:highlight w:val="none"/>
                <w:lang w:val="en-US" w:eastAsia="zh-CN"/>
              </w:rPr>
              <w:t>中国人民保险各级机构的供应商黑名单</w:t>
            </w:r>
            <w:r>
              <w:rPr>
                <w:rFonts w:hint="default" w:ascii="仿宋" w:hAnsi="仿宋" w:eastAsia="仿宋" w:cs="仿宋"/>
                <w:color w:val="auto"/>
                <w:kern w:val="0"/>
                <w:szCs w:val="21"/>
                <w:highlight w:val="none"/>
                <w:lang w:val="en-US" w:eastAsia="zh-CN"/>
              </w:rPr>
              <w:t>且在禁入期内的供应商参与采购活动</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auto"/>
                <w:szCs w:val="21"/>
                <w:highlight w:val="none"/>
              </w:rPr>
            </w:pPr>
            <w:r>
              <w:rPr>
                <w:rFonts w:hint="default" w:ascii="仿宋" w:hAnsi="仿宋" w:eastAsia="仿宋" w:cs="仿宋"/>
                <w:color w:val="auto"/>
                <w:kern w:val="0"/>
                <w:szCs w:val="21"/>
                <w:highlight w:val="none"/>
                <w:lang w:val="en-US" w:eastAsia="zh-CN"/>
              </w:rPr>
              <w:t>单位负责人为同一人或存在控股、管理关系的不同单位，不得参加同一标段/标包</w:t>
            </w:r>
            <w:r>
              <w:rPr>
                <w:rFonts w:hint="eastAsia" w:ascii="仿宋" w:hAnsi="仿宋" w:eastAsia="仿宋" w:cs="仿宋"/>
                <w:color w:val="auto"/>
                <w:kern w:val="0"/>
                <w:szCs w:val="21"/>
                <w:highlight w:val="none"/>
                <w:lang w:val="en-US" w:eastAsia="zh-CN"/>
              </w:rPr>
              <w:t>比选</w:t>
            </w:r>
            <w:r>
              <w:rPr>
                <w:rFonts w:hint="default" w:ascii="仿宋" w:hAnsi="仿宋" w:eastAsia="仿宋" w:cs="仿宋"/>
                <w:color w:val="auto"/>
                <w:kern w:val="0"/>
                <w:szCs w:val="21"/>
                <w:highlight w:val="none"/>
                <w:lang w:val="en-US" w:eastAsia="zh-CN"/>
              </w:rPr>
              <w:t>响应或未划分标段/标包的同一采购项目的</w:t>
            </w:r>
            <w:r>
              <w:rPr>
                <w:rFonts w:hint="eastAsia" w:ascii="仿宋" w:hAnsi="仿宋" w:eastAsia="仿宋" w:cs="仿宋"/>
                <w:color w:val="auto"/>
                <w:kern w:val="0"/>
                <w:szCs w:val="21"/>
                <w:highlight w:val="none"/>
                <w:lang w:val="en-US" w:eastAsia="zh-CN"/>
              </w:rPr>
              <w:t>比选</w:t>
            </w:r>
            <w:r>
              <w:rPr>
                <w:rFonts w:hint="default" w:ascii="仿宋" w:hAnsi="仿宋" w:eastAsia="仿宋" w:cs="仿宋"/>
                <w:color w:val="auto"/>
                <w:kern w:val="0"/>
                <w:szCs w:val="21"/>
                <w:highlight w:val="none"/>
                <w:lang w:val="en-US" w:eastAsia="zh-CN"/>
              </w:rPr>
              <w:t>响应，需填写《供应商控股及管理关系情况申报表》</w:t>
            </w:r>
          </w:p>
        </w:tc>
        <w:tc>
          <w:tcPr>
            <w:tcW w:w="4217" w:type="dxa"/>
            <w:noWrap w:val="0"/>
            <w:vAlign w:val="center"/>
          </w:tcPr>
          <w:p>
            <w:pPr>
              <w:keepNext w:val="0"/>
              <w:keepLines w:val="0"/>
              <w:suppressLineNumbers w:val="0"/>
              <w:spacing w:before="24" w:beforeAutospacing="0" w:after="24" w:afterAutospacing="0" w:line="276" w:lineRule="auto"/>
              <w:ind w:left="0" w:right="0"/>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本项目不接受联合体比选响应</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Cs w:val="21"/>
                <w:highlight w:val="none"/>
              </w:rPr>
            </w:pPr>
          </w:p>
        </w:tc>
        <w:tc>
          <w:tcPr>
            <w:tcW w:w="1701" w:type="dxa"/>
            <w:vMerge w:val="continue"/>
            <w:noWrap w:val="0"/>
            <w:vAlign w:val="top"/>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default" w:ascii="仿宋" w:hAnsi="仿宋" w:eastAsia="仿宋" w:cs="仿宋"/>
                <w:color w:val="auto"/>
                <w:kern w:val="0"/>
                <w:szCs w:val="21"/>
                <w:highlight w:val="none"/>
              </w:rPr>
            </w:pPr>
            <w:r>
              <w:rPr>
                <w:rFonts w:hint="eastAsia" w:ascii="仿宋" w:hAnsi="仿宋" w:eastAsia="仿宋" w:cs="仿宋"/>
                <w:color w:val="auto"/>
                <w:szCs w:val="21"/>
                <w:highlight w:val="none"/>
                <w:lang w:val="en-US" w:eastAsia="zh-CN"/>
              </w:rPr>
              <w:t>其他资格要求</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r>
              <w:rPr>
                <w:rFonts w:hint="default" w:ascii="仿宋" w:hAnsi="仿宋" w:eastAsia="仿宋" w:cs="仿宋"/>
                <w:color w:val="auto"/>
                <w:kern w:val="0"/>
                <w:szCs w:val="21"/>
                <w:highlight w:val="none"/>
              </w:rPr>
              <w:t>3</w:t>
            </w:r>
          </w:p>
        </w:tc>
        <w:tc>
          <w:tcPr>
            <w:tcW w:w="1701" w:type="dxa"/>
            <w:vMerge w:val="restart"/>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响应函</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auto"/>
                <w:kern w:val="0"/>
                <w:szCs w:val="21"/>
                <w:highlight w:val="none"/>
                <w:lang w:eastAsia="zh-CN"/>
              </w:rPr>
            </w:pPr>
            <w:r>
              <w:rPr>
                <w:rFonts w:hint="eastAsia" w:ascii="仿宋" w:hAnsi="仿宋" w:eastAsia="仿宋" w:cs="Cambria Math"/>
                <w:color w:val="auto"/>
                <w:szCs w:val="21"/>
                <w:highlight w:val="none"/>
                <w:lang w:eastAsia="zh-CN"/>
              </w:rPr>
              <w:t>比选保证金</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Cs w:val="21"/>
                <w:highlight w:val="none"/>
              </w:rPr>
            </w:pPr>
          </w:p>
        </w:tc>
        <w:tc>
          <w:tcPr>
            <w:tcW w:w="1701" w:type="dxa"/>
            <w:vMerge w:val="continue"/>
            <w:noWrap w:val="0"/>
            <w:vAlign w:val="center"/>
          </w:tcPr>
          <w:p>
            <w:pPr>
              <w:keepNext w:val="0"/>
              <w:keepLines w:val="0"/>
              <w:suppressLineNumbers w:val="0"/>
              <w:spacing w:before="24" w:beforeAutospacing="0" w:after="24" w:afterAutospacing="0" w:line="360" w:lineRule="auto"/>
              <w:ind w:left="0" w:right="0"/>
              <w:jc w:val="center"/>
              <w:rPr>
                <w:rFonts w:hint="eastAsia" w:ascii="仿宋" w:hAnsi="仿宋" w:eastAsia="仿宋" w:cs="仿宋"/>
                <w:color w:val="auto"/>
                <w:kern w:val="0"/>
                <w:szCs w:val="21"/>
                <w:highlight w:val="none"/>
              </w:rPr>
            </w:pPr>
          </w:p>
        </w:tc>
        <w:tc>
          <w:tcPr>
            <w:tcW w:w="3300" w:type="dxa"/>
            <w:noWrap w:val="0"/>
            <w:vAlign w:val="center"/>
          </w:tcPr>
          <w:p>
            <w:pPr>
              <w:keepNext w:val="0"/>
              <w:keepLines w:val="0"/>
              <w:suppressLineNumbers w:val="0"/>
              <w:spacing w:before="24" w:beforeAutospacing="0" w:after="24" w:afterAutospacing="0" w:line="276" w:lineRule="auto"/>
              <w:ind w:left="0" w:right="0"/>
              <w:jc w:val="center"/>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4217" w:type="dxa"/>
            <w:noWrap w:val="0"/>
            <w:vAlign w:val="center"/>
          </w:tcPr>
          <w:p>
            <w:pPr>
              <w:keepNext w:val="0"/>
              <w:keepLines w:val="0"/>
              <w:suppressLineNumbers w:val="0"/>
              <w:spacing w:before="24" w:beforeAutospacing="0" w:after="24" w:afterAutospacing="0" w:line="276" w:lineRule="auto"/>
              <w:ind w:left="0" w:right="0"/>
              <w:jc w:val="left"/>
              <w:rPr>
                <w:rFonts w:hint="eastAsia" w:ascii="仿宋" w:hAnsi="仿宋" w:eastAsia="仿宋" w:cs="仿宋"/>
                <w:color w:val="auto"/>
                <w:szCs w:val="21"/>
                <w:highlight w:val="none"/>
              </w:rPr>
            </w:pPr>
          </w:p>
        </w:tc>
      </w:tr>
    </w:tbl>
    <w:p>
      <w:pPr>
        <w:rPr>
          <w:rFonts w:hint="eastAsia" w:ascii="宋体" w:hAnsi="宋体"/>
          <w:color w:val="auto"/>
          <w:kern w:val="0"/>
          <w:szCs w:val="21"/>
          <w:highlight w:val="none"/>
        </w:rPr>
        <w:sectPr>
          <w:headerReference r:id="rId11" w:type="default"/>
          <w:footerReference r:id="rId12" w:type="default"/>
          <w:pgSz w:w="11906" w:h="16838"/>
          <w:pgMar w:top="1417" w:right="1134" w:bottom="1134" w:left="1134" w:header="964" w:footer="964" w:gutter="0"/>
          <w:cols w:space="720" w:num="1"/>
          <w:docGrid w:linePitch="312" w:charSpace="0"/>
        </w:sectPr>
      </w:pPr>
    </w:p>
    <w:bookmarkEnd w:id="160"/>
    <w:bookmarkEnd w:id="161"/>
    <w:bookmarkEnd w:id="162"/>
    <w:bookmarkEnd w:id="163"/>
    <w:bookmarkEnd w:id="164"/>
    <w:bookmarkEnd w:id="165"/>
    <w:bookmarkEnd w:id="166"/>
    <w:bookmarkEnd w:id="167"/>
    <w:p>
      <w:pPr>
        <w:bidi w:val="0"/>
        <w:jc w:val="center"/>
        <w:rPr>
          <w:rFonts w:hint="eastAsia" w:ascii="仿宋" w:hAnsi="仿宋" w:eastAsia="仿宋" w:cs="仿宋"/>
          <w:b/>
          <w:bCs/>
          <w:color w:val="auto"/>
          <w:sz w:val="24"/>
          <w:szCs w:val="24"/>
          <w:highlight w:val="none"/>
        </w:rPr>
      </w:pPr>
      <w:bookmarkStart w:id="172" w:name="_Toc25121"/>
      <w:bookmarkStart w:id="173" w:name="_Toc7202"/>
      <w:bookmarkStart w:id="174" w:name="_Toc12140"/>
      <w:bookmarkStart w:id="175" w:name="_Toc517281837"/>
      <w:bookmarkStart w:id="176" w:name="_Toc27799"/>
      <w:bookmarkStart w:id="177" w:name="_Toc444891354"/>
      <w:r>
        <w:rPr>
          <w:rFonts w:hint="eastAsia" w:ascii="仿宋" w:hAnsi="仿宋" w:eastAsia="仿宋" w:cs="仿宋"/>
          <w:b/>
          <w:bCs/>
          <w:color w:val="auto"/>
          <w:sz w:val="24"/>
          <w:szCs w:val="24"/>
          <w:highlight w:val="none"/>
        </w:rPr>
        <w:t>详细评审索引表</w:t>
      </w:r>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keepNext w:val="0"/>
              <w:keepLines w:val="0"/>
              <w:widowControl/>
              <w:suppressLineNumbers w:val="0"/>
              <w:spacing w:before="0" w:beforeAutospacing="0" w:after="0" w:afterAutospacing="0"/>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1</w:t>
            </w:r>
          </w:p>
        </w:tc>
        <w:tc>
          <w:tcPr>
            <w:tcW w:w="1696"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商务得分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企业类似项目业绩</w:t>
            </w:r>
          </w:p>
        </w:tc>
        <w:tc>
          <w:tcPr>
            <w:tcW w:w="4820"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pPr>
              <w:keepNext w:val="0"/>
              <w:keepLines w:val="0"/>
              <w:suppressLineNumbers w:val="0"/>
              <w:spacing w:before="0" w:beforeAutospacing="0" w:after="0" w:afterAutospacing="0"/>
              <w:ind w:left="0" w:right="0"/>
              <w:rPr>
                <w:rStyle w:val="118"/>
                <w:rFonts w:hint="default" w:cs="宋体"/>
                <w:color w:val="auto"/>
                <w:highlight w:val="none"/>
                <w:lang w:bidi="ar"/>
              </w:rPr>
            </w:pPr>
            <w:r>
              <w:rPr>
                <w:rFonts w:hint="eastAsia" w:ascii="仿宋" w:hAnsi="仿宋" w:eastAsia="仿宋" w:cs="宋体"/>
                <w:color w:val="auto"/>
                <w:kern w:val="0"/>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2</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eastAsia="zh-CN" w:bidi="ar"/>
              </w:rPr>
              <w:t>……</w:t>
            </w: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18"/>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00"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p>
        </w:tc>
        <w:tc>
          <w:tcPr>
            <w:tcW w:w="1696"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eastAsia="zh-CN" w:bidi="ar"/>
              </w:rPr>
            </w:pPr>
            <w:r>
              <w:rPr>
                <w:rFonts w:hint="eastAsia" w:ascii="仿宋" w:hAnsi="仿宋" w:eastAsia="仿宋" w:cs="宋体"/>
                <w:color w:val="auto"/>
                <w:kern w:val="0"/>
                <w:szCs w:val="21"/>
                <w:highlight w:val="none"/>
                <w:lang w:eastAsia="zh-CN" w:bidi="ar"/>
              </w:rPr>
              <w:t>……</w:t>
            </w:r>
          </w:p>
        </w:tc>
        <w:tc>
          <w:tcPr>
            <w:tcW w:w="226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color w:val="auto"/>
                <w:sz w:val="21"/>
                <w:szCs w:val="21"/>
                <w:highlight w:val="none"/>
                <w:lang w:val="en-US" w:eastAsia="zh-CN"/>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18"/>
                <w:rFonts w:hint="default" w:cs="宋体"/>
                <w:color w:val="auto"/>
                <w:highlight w:val="none"/>
                <w:lang w:bidi="ar"/>
              </w:rPr>
            </w:pP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4"/>
        <w:numPr>
          <w:ilvl w:val="0"/>
          <w:numId w:val="0"/>
        </w:numPr>
        <w:spacing w:before="0" w:line="440" w:lineRule="exact"/>
        <w:rPr>
          <w:rFonts w:hint="eastAsia" w:ascii="仿宋" w:hAnsi="仿宋" w:eastAsia="仿宋" w:cs="仿宋"/>
          <w:color w:val="auto"/>
          <w:sz w:val="24"/>
          <w:szCs w:val="24"/>
          <w:highlight w:val="none"/>
        </w:rPr>
      </w:pPr>
      <w:bookmarkStart w:id="178" w:name="_Toc27958"/>
      <w:r>
        <w:rPr>
          <w:rFonts w:hint="eastAsia" w:ascii="仿宋" w:hAnsi="仿宋" w:eastAsia="仿宋" w:cs="仿宋"/>
          <w:color w:val="auto"/>
          <w:sz w:val="24"/>
          <w:szCs w:val="24"/>
          <w:highlight w:val="none"/>
        </w:rPr>
        <w:t>（一）响应函</w:t>
      </w:r>
      <w:bookmarkEnd w:id="178"/>
    </w:p>
    <w:p>
      <w:pPr>
        <w:pStyle w:val="157"/>
        <w:spacing w:line="440" w:lineRule="exact"/>
        <w:rPr>
          <w:rFonts w:hint="eastAsia"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致：</w:t>
      </w:r>
      <w:r>
        <w:rPr>
          <w:rFonts w:hint="eastAsia" w:ascii="仿宋" w:hAnsi="仿宋" w:eastAsia="仿宋" w:cs="Cambria Math"/>
          <w:color w:val="auto"/>
          <w:sz w:val="24"/>
          <w:szCs w:val="24"/>
          <w:highlight w:val="none"/>
          <w:u w:val="single"/>
          <w:lang w:eastAsia="zh-CN"/>
        </w:rPr>
        <w:t>（</w:t>
      </w:r>
      <w:r>
        <w:rPr>
          <w:rFonts w:hint="eastAsia" w:ascii="仿宋" w:hAnsi="仿宋" w:eastAsia="仿宋" w:cs="Cambria Math"/>
          <w:color w:val="auto"/>
          <w:sz w:val="24"/>
          <w:szCs w:val="24"/>
          <w:highlight w:val="none"/>
          <w:u w:val="single"/>
          <w:lang w:val="en-US" w:eastAsia="zh-CN"/>
        </w:rPr>
        <w:t>采购人名称</w:t>
      </w:r>
      <w:r>
        <w:rPr>
          <w:rFonts w:hint="eastAsia" w:ascii="仿宋" w:hAnsi="仿宋" w:eastAsia="仿宋" w:cs="Cambria Math"/>
          <w:color w:val="auto"/>
          <w:sz w:val="24"/>
          <w:szCs w:val="24"/>
          <w:highlight w:val="none"/>
          <w:u w:val="single"/>
          <w:lang w:eastAsia="zh-CN"/>
        </w:rPr>
        <w:t>）</w:t>
      </w:r>
      <w:r>
        <w:rPr>
          <w:rFonts w:hint="eastAsia" w:ascii="仿宋" w:hAnsi="仿宋" w:eastAsia="仿宋" w:cs="Cambria Math"/>
          <w:color w:val="auto"/>
          <w:sz w:val="24"/>
          <w:szCs w:val="24"/>
          <w:highlight w:val="none"/>
          <w:u w:val="single"/>
        </w:rPr>
        <w:t xml:space="preserve">     </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u w:val="single"/>
        </w:rPr>
        <w:t xml:space="preserve">   （供应商名称）   </w:t>
      </w:r>
      <w:r>
        <w:rPr>
          <w:rFonts w:hint="eastAsia" w:ascii="仿宋" w:hAnsi="仿宋" w:eastAsia="仿宋" w:cs="Cambria Math"/>
          <w:color w:val="auto"/>
          <w:kern w:val="0"/>
          <w:sz w:val="24"/>
          <w:highlight w:val="none"/>
        </w:rPr>
        <w:t>（以下称“我方”）已仔细研究了</w:t>
      </w:r>
      <w:r>
        <w:rPr>
          <w:rFonts w:hint="eastAsia" w:ascii="仿宋" w:hAnsi="仿宋" w:eastAsia="仿宋" w:cs="Cambria Math"/>
          <w:color w:val="auto"/>
          <w:kern w:val="0"/>
          <w:sz w:val="24"/>
          <w:highlight w:val="none"/>
          <w:u w:val="single"/>
        </w:rPr>
        <w:t xml:space="preserve"> </w:t>
      </w:r>
      <w:r>
        <w:rPr>
          <w:rFonts w:ascii="仿宋" w:hAnsi="仿宋" w:eastAsia="仿宋" w:cs="Cambria Math"/>
          <w:color w:val="auto"/>
          <w:kern w:val="0"/>
          <w:sz w:val="24"/>
          <w:highlight w:val="none"/>
          <w:u w:val="single"/>
        </w:rPr>
        <w:t xml:space="preserve"> </w:t>
      </w:r>
      <w:r>
        <w:rPr>
          <w:rFonts w:hint="eastAsia" w:ascii="仿宋" w:hAnsi="仿宋" w:eastAsia="仿宋" w:cs="Cambria Math"/>
          <w:color w:val="auto"/>
          <w:kern w:val="0"/>
          <w:sz w:val="24"/>
          <w:highlight w:val="none"/>
          <w:u w:val="single"/>
        </w:rPr>
        <w:t xml:space="preserve">（项目名称）    </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文件的全部内容，包括澄清或者修改文件以及有关附件，我方将严格按照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文件要求递交符合要求的全部</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响应文件。</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现我方承诺如下内容：</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 本响应函及</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响应文件自</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响应文件提交截止日起有效期为</w:t>
      </w:r>
      <w:r>
        <w:rPr>
          <w:rFonts w:hint="eastAsia" w:ascii="仿宋" w:hAnsi="仿宋" w:eastAsia="仿宋" w:cs="Cambria Math"/>
          <w:color w:val="auto"/>
          <w:kern w:val="0"/>
          <w:sz w:val="24"/>
          <w:highlight w:val="none"/>
          <w:u w:val="single"/>
          <w:lang w:val="en-US" w:eastAsia="zh-CN"/>
        </w:rPr>
        <w:t>90</w:t>
      </w:r>
      <w:r>
        <w:rPr>
          <w:rFonts w:hint="eastAsia" w:ascii="仿宋" w:hAnsi="仿宋" w:eastAsia="仿宋" w:cs="Cambria Math"/>
          <w:color w:val="auto"/>
          <w:kern w:val="0"/>
          <w:sz w:val="24"/>
          <w:highlight w:val="none"/>
          <w:u w:val="single"/>
        </w:rPr>
        <w:t>天</w:t>
      </w:r>
      <w:r>
        <w:rPr>
          <w:rFonts w:hint="eastAsia" w:ascii="仿宋" w:hAnsi="仿宋" w:eastAsia="仿宋" w:cs="Cambria Math"/>
          <w:color w:val="auto"/>
          <w:kern w:val="0"/>
          <w:sz w:val="24"/>
          <w:highlight w:val="none"/>
        </w:rPr>
        <w:t>，我方承诺在响应有效期内不修改、撤销</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响应文件。</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2. 随同本响应函提交</w:t>
      </w:r>
      <w:r>
        <w:rPr>
          <w:rFonts w:hint="eastAsia" w:ascii="仿宋" w:hAnsi="仿宋" w:eastAsia="仿宋" w:cs="Cambria Math"/>
          <w:color w:val="auto"/>
          <w:kern w:val="0"/>
          <w:sz w:val="24"/>
          <w:highlight w:val="none"/>
          <w:lang w:eastAsia="zh-CN"/>
        </w:rPr>
        <w:t>比选保证金</w:t>
      </w:r>
      <w:r>
        <w:rPr>
          <w:rFonts w:hint="eastAsia" w:ascii="仿宋" w:hAnsi="仿宋" w:eastAsia="仿宋" w:cs="Cambria Math"/>
          <w:color w:val="auto"/>
          <w:kern w:val="0"/>
          <w:sz w:val="24"/>
          <w:highlight w:val="none"/>
        </w:rPr>
        <w:t>一份。</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3. 我方承诺提供</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4.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5．我方承诺对在本次采购活动过程中所获知贵方一切商业秘密保密，不会向任何第三方泄露，不会用于本次采购活动之外的任何其他目的。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auto"/>
          <w:kern w:val="0"/>
          <w:sz w:val="24"/>
          <w:highlight w:val="none"/>
        </w:rPr>
      </w:pPr>
      <w:r>
        <w:rPr>
          <w:rFonts w:ascii="仿宋" w:hAnsi="仿宋" w:eastAsia="仿宋" w:cs="宋体"/>
          <w:color w:val="auto"/>
          <w:kern w:val="0"/>
          <w:sz w:val="24"/>
          <w:highlight w:val="none"/>
        </w:rPr>
        <w:t>6</w:t>
      </w:r>
      <w:r>
        <w:rPr>
          <w:rFonts w:hint="eastAsia" w:ascii="仿宋" w:hAnsi="仿宋" w:eastAsia="仿宋" w:cs="宋体"/>
          <w:color w:val="auto"/>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7. 如我方成交：</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（2）我方承诺按照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文件规定递交履约保证金、支付采购代理服务费。</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（3）我方承诺按照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文件的规定及合同约定履行相关责任和义务。</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pStyle w:val="4"/>
        <w:numPr>
          <w:ilvl w:val="0"/>
          <w:numId w:val="0"/>
        </w:numPr>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68"/>
      <w:bookmarkEnd w:id="169"/>
      <w:bookmarkEnd w:id="172"/>
      <w:bookmarkEnd w:id="173"/>
      <w:bookmarkEnd w:id="174"/>
      <w:bookmarkEnd w:id="175"/>
      <w:bookmarkEnd w:id="176"/>
      <w:bookmarkEnd w:id="177"/>
      <w:bookmarkStart w:id="179" w:name="_Toc13983"/>
      <w:r>
        <w:rPr>
          <w:rFonts w:hint="eastAsia" w:ascii="仿宋" w:hAnsi="仿宋" w:eastAsia="仿宋" w:cs="仿宋"/>
          <w:color w:val="auto"/>
          <w:sz w:val="24"/>
          <w:szCs w:val="24"/>
          <w:highlight w:val="none"/>
        </w:rPr>
        <w:t>（二）法定代表人（负责人）身份证明书</w:t>
      </w:r>
      <w:bookmarkEnd w:id="179"/>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法定代表人（负责人）身份证明书</w:t>
      </w:r>
      <w:r>
        <w:rPr>
          <w:rFonts w:hint="eastAsia" w:ascii="仿宋" w:hAnsi="仿宋" w:eastAsia="仿宋" w:cs="仿宋"/>
          <w:b/>
          <w:color w:val="auto"/>
          <w:sz w:val="24"/>
          <w:highlight w:val="none"/>
        </w:rPr>
        <w:tab/>
      </w:r>
    </w:p>
    <w:p>
      <w:pPr>
        <w:spacing w:line="360" w:lineRule="auto"/>
        <w:rPr>
          <w:rFonts w:hint="eastAsia" w:ascii="仿宋" w:hAnsi="仿宋" w:eastAsia="仿宋" w:cs="仿宋"/>
          <w:b/>
          <w:color w:val="auto"/>
          <w:sz w:val="24"/>
          <w:highlight w:val="none"/>
        </w:rPr>
      </w:pPr>
    </w:p>
    <w:p>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职务：</w:t>
      </w:r>
      <w:r>
        <w:rPr>
          <w:rFonts w:hint="eastAsia" w:ascii="仿宋" w:hAnsi="仿宋" w:eastAsia="仿宋" w:cs="仿宋"/>
          <w:color w:val="auto"/>
          <w:kern w:val="0"/>
          <w:sz w:val="24"/>
          <w:highlight w:val="none"/>
          <w:u w:val="single"/>
        </w:rPr>
        <w:t xml:space="preserve">         </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rPr>
        <w:t>（负责人）</w:t>
      </w:r>
      <w:r>
        <w:rPr>
          <w:rFonts w:hint="eastAsia" w:ascii="仿宋" w:hAnsi="仿宋" w:eastAsia="仿宋" w:cs="仿宋"/>
          <w:color w:val="auto"/>
          <w:kern w:val="0"/>
          <w:sz w:val="24"/>
          <w:highlight w:val="none"/>
        </w:rPr>
        <w:t>。</w:t>
      </w:r>
    </w:p>
    <w:p>
      <w:pPr>
        <w:widowControl/>
        <w:topLinePunct/>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pPr>
        <w:widowControl/>
        <w:topLinePunct/>
        <w:spacing w:line="360" w:lineRule="auto"/>
        <w:rPr>
          <w:rFonts w:ascii="仿宋" w:hAnsi="仿宋" w:eastAsia="仿宋" w:cs="仿宋"/>
          <w:color w:val="auto"/>
          <w:kern w:val="0"/>
          <w:sz w:val="24"/>
          <w:highlight w:val="none"/>
        </w:rPr>
      </w:pPr>
    </w:p>
    <w:p>
      <w:pPr>
        <w:widowControl/>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附：法定代表人（负责人）身份证复印件（需同时提供正面及背面）。</w:t>
      </w:r>
    </w:p>
    <w:p>
      <w:pPr>
        <w:widowControl/>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7"/>
        <w:spacing w:line="440" w:lineRule="atLeast"/>
        <w:ind w:firstLine="480"/>
        <w:jc w:val="left"/>
        <w:rPr>
          <w:rFonts w:hint="eastAsia" w:ascii="仿宋" w:hAnsi="仿宋" w:eastAsia="仿宋" w:cs="仿宋"/>
          <w:color w:val="auto"/>
          <w:highlight w:val="none"/>
        </w:rPr>
      </w:pPr>
    </w:p>
    <w:p>
      <w:pPr>
        <w:pStyle w:val="157"/>
        <w:spacing w:line="440" w:lineRule="atLeast"/>
        <w:ind w:firstLine="480"/>
        <w:jc w:val="left"/>
        <w:rPr>
          <w:rFonts w:hint="eastAsia" w:ascii="仿宋" w:hAnsi="仿宋" w:eastAsia="仿宋" w:cs="仿宋"/>
          <w:color w:val="auto"/>
          <w:highlight w:val="none"/>
        </w:rPr>
      </w:pPr>
    </w:p>
    <w:p>
      <w:pPr>
        <w:pStyle w:val="157"/>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sz w:val="24"/>
          <w:highlight w:val="none"/>
        </w:rPr>
      </w:pPr>
    </w:p>
    <w:p>
      <w:pPr>
        <w:tabs>
          <w:tab w:val="left" w:pos="720"/>
          <w:tab w:val="left" w:pos="900"/>
        </w:tabs>
        <w:spacing w:line="360" w:lineRule="auto"/>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wordWrap w:val="0"/>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p>
    <w:p>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tabs>
          <w:tab w:val="left" w:pos="720"/>
          <w:tab w:val="left" w:pos="900"/>
        </w:tabs>
        <w:spacing w:line="360" w:lineRule="auto"/>
        <w:ind w:left="1078"/>
        <w:rPr>
          <w:rFonts w:hint="eastAsia" w:ascii="仿宋" w:hAnsi="仿宋" w:eastAsia="仿宋" w:cs="仿宋"/>
          <w:color w:val="auto"/>
          <w:sz w:val="24"/>
          <w:highlight w:val="none"/>
        </w:rPr>
      </w:pPr>
    </w:p>
    <w:p>
      <w:pPr>
        <w:tabs>
          <w:tab w:val="left" w:pos="720"/>
          <w:tab w:val="left" w:pos="900"/>
        </w:tabs>
        <w:spacing w:line="360" w:lineRule="auto"/>
        <w:ind w:left="1078"/>
        <w:rPr>
          <w:rFonts w:hint="eastAsia" w:ascii="仿宋" w:hAnsi="仿宋" w:eastAsia="仿宋" w:cs="仿宋"/>
          <w:color w:val="auto"/>
          <w:sz w:val="24"/>
          <w:highlight w:val="none"/>
        </w:rPr>
      </w:pPr>
    </w:p>
    <w:p>
      <w:pPr>
        <w:pStyle w:val="4"/>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80" w:name="_Toc287600130"/>
      <w:bookmarkStart w:id="181" w:name="_Toc517281838"/>
      <w:bookmarkStart w:id="182" w:name="_Toc5582"/>
      <w:bookmarkStart w:id="183" w:name="_Toc4426"/>
      <w:bookmarkStart w:id="184" w:name="_Toc20707"/>
      <w:bookmarkStart w:id="185" w:name="_Toc24788"/>
      <w:bookmarkStart w:id="186" w:name="_Toc19783361"/>
      <w:bookmarkStart w:id="187" w:name="_Toc26267"/>
      <w:bookmarkStart w:id="188" w:name="_Toc444891355"/>
      <w:r>
        <w:rPr>
          <w:rFonts w:hint="eastAsia" w:ascii="仿宋" w:hAnsi="仿宋" w:eastAsia="仿宋" w:cs="仿宋"/>
          <w:color w:val="auto"/>
          <w:sz w:val="24"/>
          <w:szCs w:val="24"/>
          <w:highlight w:val="none"/>
        </w:rPr>
        <w:t>（三）法定代表人（负责人）授权委托书</w:t>
      </w:r>
      <w:bookmarkEnd w:id="180"/>
      <w:bookmarkEnd w:id="181"/>
      <w:bookmarkEnd w:id="182"/>
      <w:bookmarkEnd w:id="183"/>
      <w:bookmarkEnd w:id="184"/>
      <w:bookmarkEnd w:id="185"/>
      <w:bookmarkEnd w:id="186"/>
      <w:bookmarkEnd w:id="187"/>
      <w:bookmarkEnd w:id="188"/>
    </w:p>
    <w:p>
      <w:pPr>
        <w:pStyle w:val="157"/>
        <w:spacing w:before="240" w:after="240" w:line="360" w:lineRule="auto"/>
        <w:jc w:val="center"/>
        <w:rPr>
          <w:rFonts w:hint="eastAsia"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157"/>
        <w:topLinePunct/>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lang w:eastAsia="zh-CN"/>
        </w:rPr>
        <w:t>比选</w:t>
      </w:r>
      <w:r>
        <w:rPr>
          <w:rFonts w:hint="eastAsia" w:ascii="仿宋" w:hAnsi="仿宋" w:eastAsia="仿宋" w:cs="Cambria Math"/>
          <w:color w:val="auto"/>
          <w:sz w:val="24"/>
          <w:szCs w:val="24"/>
          <w:highlight w:val="none"/>
        </w:rPr>
        <w:t>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委托期限：</w:t>
      </w:r>
      <w:r>
        <w:rPr>
          <w:rFonts w:hint="eastAsia" w:ascii="仿宋" w:hAnsi="仿宋" w:eastAsia="仿宋" w:cs="Cambria Math"/>
          <w:color w:val="auto"/>
          <w:kern w:val="0"/>
          <w:sz w:val="24"/>
          <w:highlight w:val="none"/>
          <w:u w:val="single"/>
        </w:rPr>
        <w:t xml:space="preserve"> 自</w:t>
      </w:r>
      <w:r>
        <w:rPr>
          <w:rFonts w:hint="eastAsia" w:ascii="仿宋" w:hAnsi="仿宋" w:eastAsia="仿宋" w:cs="微软雅黑"/>
          <w:color w:val="auto"/>
          <w:kern w:val="0"/>
          <w:sz w:val="24"/>
          <w:highlight w:val="none"/>
          <w:u w:val="single"/>
        </w:rPr>
        <w:t>本委托书签字盖章生效</w:t>
      </w:r>
      <w:r>
        <w:rPr>
          <w:rFonts w:hint="eastAsia" w:ascii="仿宋" w:hAnsi="仿宋" w:eastAsia="仿宋" w:cs="Cambria Math"/>
          <w:color w:val="auto"/>
          <w:kern w:val="0"/>
          <w:sz w:val="24"/>
          <w:highlight w:val="none"/>
          <w:u w:val="single"/>
        </w:rPr>
        <w:t>之日起至</w:t>
      </w:r>
      <w:r>
        <w:rPr>
          <w:rFonts w:hint="eastAsia" w:ascii="仿宋" w:hAnsi="仿宋" w:eastAsia="仿宋" w:cs="Cambria Math"/>
          <w:color w:val="auto"/>
          <w:kern w:val="0"/>
          <w:sz w:val="24"/>
          <w:highlight w:val="none"/>
          <w:u w:val="single"/>
          <w:lang w:eastAsia="zh-CN"/>
        </w:rPr>
        <w:t>比选</w:t>
      </w:r>
      <w:r>
        <w:rPr>
          <w:rFonts w:hint="eastAsia" w:ascii="仿宋" w:hAnsi="仿宋" w:eastAsia="仿宋" w:cs="Cambria Math"/>
          <w:color w:val="auto"/>
          <w:kern w:val="0"/>
          <w:sz w:val="24"/>
          <w:highlight w:val="none"/>
          <w:u w:val="single"/>
        </w:rPr>
        <w:t xml:space="preserve">响应有效期到期之日为止 </w:t>
      </w:r>
      <w:r>
        <w:rPr>
          <w:rFonts w:hint="eastAsia" w:ascii="仿宋" w:hAnsi="仿宋" w:eastAsia="仿宋" w:cs="Cambria Math"/>
          <w:color w:val="auto"/>
          <w:kern w:val="0"/>
          <w:sz w:val="24"/>
          <w:highlight w:val="none"/>
        </w:rPr>
        <w:t>。</w:t>
      </w:r>
    </w:p>
    <w:p>
      <w:pPr>
        <w:pStyle w:val="157"/>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157"/>
        <w:spacing w:line="360" w:lineRule="auto"/>
        <w:ind w:firstLine="482" w:firstLineChars="200"/>
        <w:rPr>
          <w:rFonts w:ascii="仿宋" w:hAnsi="仿宋" w:eastAsia="仿宋" w:cs="Cambria Math"/>
          <w:b/>
          <w:bCs/>
          <w:color w:val="auto"/>
          <w:sz w:val="24"/>
          <w:szCs w:val="24"/>
          <w:highlight w:val="none"/>
        </w:rPr>
      </w:pPr>
    </w:p>
    <w:p>
      <w:pPr>
        <w:pStyle w:val="157"/>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157"/>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7"/>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sz w:val="24"/>
          <w:highlight w:val="none"/>
        </w:rPr>
      </w:pPr>
    </w:p>
    <w:p>
      <w:pPr>
        <w:tabs>
          <w:tab w:val="left" w:pos="540"/>
        </w:tabs>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ab/>
      </w:r>
    </w:p>
    <w:p>
      <w:pPr>
        <w:pStyle w:val="17"/>
        <w:rPr>
          <w:rFonts w:ascii="宋体" w:hAnsi="宋体"/>
          <w:color w:val="auto"/>
          <w:kern w:val="0"/>
          <w:szCs w:val="21"/>
          <w:highlight w:val="none"/>
        </w:rPr>
      </w:pPr>
    </w:p>
    <w:p>
      <w:pPr>
        <w:pStyle w:val="17"/>
        <w:rPr>
          <w:rFonts w:ascii="宋体" w:hAnsi="宋体"/>
          <w:color w:val="auto"/>
          <w:kern w:val="0"/>
          <w:szCs w:val="21"/>
          <w:highlight w:val="none"/>
        </w:rPr>
      </w:pPr>
    </w:p>
    <w:p>
      <w:pPr>
        <w:pStyle w:val="17"/>
        <w:rPr>
          <w:rFonts w:ascii="宋体" w:hAnsi="宋体"/>
          <w:color w:val="auto"/>
          <w:kern w:val="0"/>
          <w:szCs w:val="21"/>
          <w:highlight w:val="none"/>
        </w:rPr>
      </w:pPr>
    </w:p>
    <w:p>
      <w:pPr>
        <w:spacing w:line="360" w:lineRule="auto"/>
        <w:ind w:right="420" w:firstLine="4200" w:firstLineChars="175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ind w:right="420" w:firstLine="3120" w:firstLineChars="13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法定代表人（负责人）：</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（签字或盖章）</w:t>
      </w:r>
    </w:p>
    <w:p>
      <w:pPr>
        <w:pStyle w:val="157"/>
        <w:wordWrap w:val="0"/>
        <w:spacing w:line="360" w:lineRule="auto"/>
        <w:ind w:right="105" w:firstLine="4200" w:firstLineChars="175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tabs>
          <w:tab w:val="left" w:pos="540"/>
        </w:tabs>
        <w:rPr>
          <w:rFonts w:hint="eastAsia" w:ascii="仿宋" w:hAnsi="仿宋" w:eastAsia="仿宋" w:cs="仿宋"/>
          <w:color w:val="auto"/>
          <w:kern w:val="0"/>
          <w:szCs w:val="21"/>
          <w:highlight w:val="none"/>
        </w:rPr>
        <w:sectPr>
          <w:pgSz w:w="11906" w:h="16838"/>
          <w:pgMar w:top="1417" w:right="1134" w:bottom="1134" w:left="1134" w:header="851" w:footer="992" w:gutter="0"/>
          <w:cols w:space="720" w:num="1"/>
          <w:titlePg/>
          <w:docGrid w:type="lines" w:linePitch="312" w:charSpace="0"/>
        </w:sectPr>
      </w:pPr>
    </w:p>
    <w:p>
      <w:pPr>
        <w:pStyle w:val="4"/>
        <w:numPr>
          <w:ilvl w:val="0"/>
          <w:numId w:val="0"/>
        </w:numPr>
        <w:spacing w:before="0" w:after="0" w:line="360" w:lineRule="auto"/>
        <w:rPr>
          <w:rFonts w:hint="eastAsia" w:ascii="仿宋" w:hAnsi="仿宋" w:eastAsia="仿宋" w:cs="仿宋"/>
          <w:color w:val="auto"/>
          <w:sz w:val="24"/>
          <w:szCs w:val="24"/>
          <w:highlight w:val="none"/>
        </w:rPr>
      </w:pPr>
      <w:bookmarkStart w:id="189" w:name="_Toc30551"/>
      <w:bookmarkStart w:id="190" w:name="_Toc517281841"/>
      <w:bookmarkStart w:id="191" w:name="_Toc16561"/>
      <w:bookmarkStart w:id="192" w:name="_Toc27026"/>
      <w:bookmarkStart w:id="193" w:name="_Toc5406"/>
      <w:bookmarkStart w:id="194" w:name="_Toc11396"/>
      <w:bookmarkStart w:id="195" w:name="_Toc287600132"/>
      <w:bookmarkStart w:id="196" w:name="_Toc444891357"/>
      <w:bookmarkStart w:id="197" w:name="_Toc34779170"/>
      <w:bookmarkStart w:id="198" w:name="_Toc34779120"/>
      <w:bookmarkStart w:id="199" w:name="_Toc34822258"/>
      <w:bookmarkStart w:id="200" w:name="_Toc34779216"/>
      <w:bookmarkStart w:id="201" w:name="_Toc35957216"/>
      <w:bookmarkStart w:id="202" w:name="_Toc287600135"/>
      <w:r>
        <w:rPr>
          <w:rFonts w:hint="eastAsia" w:ascii="仿宋" w:hAnsi="仿宋" w:eastAsia="仿宋" w:cs="仿宋"/>
          <w:color w:val="auto"/>
          <w:sz w:val="24"/>
          <w:szCs w:val="24"/>
          <w:highlight w:val="none"/>
        </w:rPr>
        <w:t>（四）资格证明文件</w:t>
      </w:r>
      <w:bookmarkEnd w:id="189"/>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157"/>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41"/>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7"/>
              <w:keepNext w:val="0"/>
              <w:keepLines w:val="0"/>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bl>
    <w:p>
      <w:pPr>
        <w:pStyle w:val="157"/>
        <w:jc w:val="left"/>
        <w:rPr>
          <w:rFonts w:hint="eastAsia" w:ascii="仿宋" w:hAnsi="仿宋" w:eastAsia="仿宋" w:cs="仿宋"/>
          <w:b/>
          <w:color w:val="auto"/>
          <w:sz w:val="24"/>
          <w:szCs w:val="24"/>
          <w:highlight w:val="none"/>
        </w:rPr>
      </w:pPr>
      <w:r>
        <w:rPr>
          <w:rFonts w:hint="eastAsia" w:ascii="仿宋" w:hAnsi="仿宋" w:eastAsia="仿宋" w:cs="宋体"/>
          <w:b/>
          <w:color w:val="auto"/>
          <w:sz w:val="24"/>
          <w:szCs w:val="24"/>
          <w:highlight w:val="none"/>
        </w:rPr>
        <w:t>注：提供由工商部门核发的最新营业执照（正副本皆可）。</w:t>
      </w:r>
    </w:p>
    <w:p>
      <w:pPr>
        <w:pStyle w:val="157"/>
        <w:jc w:val="left"/>
        <w:rPr>
          <w:rFonts w:hint="eastAsia" w:ascii="仿宋" w:hAnsi="仿宋" w:eastAsia="仿宋" w:cs="仿宋"/>
          <w:b/>
          <w:color w:val="auto"/>
          <w:highlight w:val="none"/>
        </w:rPr>
      </w:pPr>
    </w:p>
    <w:p>
      <w:pPr>
        <w:pStyle w:val="157"/>
        <w:jc w:val="left"/>
        <w:rPr>
          <w:rFonts w:hint="eastAsia" w:ascii="仿宋" w:hAnsi="仿宋" w:eastAsia="仿宋" w:cs="仿宋"/>
          <w:b/>
          <w:color w:val="auto"/>
          <w:highlight w:val="none"/>
          <w:lang w:eastAsia="zh-CN"/>
        </w:rPr>
      </w:pPr>
    </w:p>
    <w:p>
      <w:pPr>
        <w:pStyle w:val="157"/>
        <w:jc w:val="left"/>
        <w:rPr>
          <w:rFonts w:hint="eastAsia" w:ascii="仿宋" w:hAnsi="仿宋" w:eastAsia="仿宋" w:cs="仿宋"/>
          <w:b/>
          <w:color w:val="auto"/>
          <w:highlight w:val="none"/>
          <w:lang w:eastAsia="zh-CN"/>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供应商</w:t>
      </w:r>
      <w:r>
        <w:rPr>
          <w:rFonts w:hint="eastAsia" w:ascii="仿宋" w:hAnsi="仿宋" w:eastAsia="仿宋" w:cs="Cambria Math"/>
          <w:color w:val="auto"/>
          <w:sz w:val="24"/>
          <w:highlight w:val="none"/>
        </w:rPr>
        <w:t>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cs="仿宋"/>
          <w:color w:val="auto"/>
          <w:highlight w:val="none"/>
        </w:rPr>
        <w:br w:type="page"/>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财务审计报告或银行资信证明</w:t>
      </w:r>
    </w:p>
    <w:p>
      <w:pPr>
        <w:spacing w:line="360" w:lineRule="auto"/>
        <w:ind w:firstLine="480" w:firstLineChars="200"/>
        <w:textAlignment w:val="baseline"/>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需提供</w:t>
      </w:r>
      <w:r>
        <w:rPr>
          <w:rFonts w:hint="eastAsia" w:ascii="仿宋" w:hAnsi="仿宋" w:eastAsia="仿宋" w:cs="宋体"/>
          <w:color w:val="auto"/>
          <w:sz w:val="24"/>
          <w:szCs w:val="24"/>
          <w:highlight w:val="none"/>
          <w:lang w:val="en-US" w:eastAsia="zh-CN"/>
        </w:rPr>
        <w:t>2024年度或2025年度</w:t>
      </w:r>
      <w:r>
        <w:rPr>
          <w:rFonts w:hint="eastAsia" w:ascii="仿宋" w:hAnsi="仿宋" w:eastAsia="仿宋" w:cs="宋体"/>
          <w:color w:val="auto"/>
          <w:sz w:val="24"/>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b/>
          <w:bCs/>
          <w:color w:val="auto"/>
          <w:sz w:val="24"/>
          <w:highlight w:val="none"/>
          <w:lang w:eastAsia="zh-CN"/>
        </w:rPr>
        <w:t>或</w:t>
      </w:r>
      <w:r>
        <w:rPr>
          <w:rFonts w:hint="eastAsia" w:ascii="仿宋" w:hAnsi="仿宋" w:eastAsia="仿宋" w:cs="宋体"/>
          <w:b/>
          <w:bCs/>
          <w:color w:val="auto"/>
          <w:sz w:val="24"/>
          <w:highlight w:val="none"/>
          <w:lang w:val="en-US" w:eastAsia="zh-CN"/>
        </w:rPr>
        <w:t>由供应商提供书面承诺或声明</w:t>
      </w:r>
      <w:r>
        <w:rPr>
          <w:rFonts w:hint="eastAsia" w:ascii="仿宋" w:hAnsi="仿宋" w:eastAsia="仿宋" w:cs="宋体"/>
          <w:b/>
          <w:bCs/>
          <w:color w:val="auto"/>
          <w:sz w:val="24"/>
          <w:highlight w:val="none"/>
          <w:lang w:eastAsia="zh-CN"/>
        </w:rPr>
        <w:t>。</w:t>
      </w:r>
    </w:p>
    <w:p>
      <w:pPr>
        <w:spacing w:line="360" w:lineRule="auto"/>
        <w:ind w:firstLine="480" w:firstLineChars="200"/>
        <w:textAlignment w:val="baseline"/>
        <w:rPr>
          <w:rFonts w:ascii="仿宋" w:hAnsi="仿宋" w:eastAsia="仿宋" w:cs="仿宋"/>
          <w:color w:val="auto"/>
          <w:sz w:val="24"/>
          <w:highlight w:val="none"/>
        </w:rPr>
      </w:pPr>
      <w:r>
        <w:rPr>
          <w:rFonts w:ascii="仿宋" w:hAnsi="仿宋" w:eastAsia="仿宋" w:cs="仿宋"/>
          <w:color w:val="auto"/>
          <w:sz w:val="24"/>
          <w:highlight w:val="none"/>
        </w:rPr>
        <w:br w:type="page"/>
      </w:r>
    </w:p>
    <w:p>
      <w:pPr>
        <w:pStyle w:val="5"/>
        <w:numPr>
          <w:ilvl w:val="0"/>
          <w:numId w:val="0"/>
        </w:numPr>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同类项目实施经验</w:t>
      </w:r>
      <w:r>
        <w:rPr>
          <w:rFonts w:hint="eastAsia" w:ascii="仿宋" w:hAnsi="仿宋" w:eastAsia="仿宋" w:cs="仿宋"/>
          <w:b w:val="0"/>
          <w:bCs w:val="0"/>
          <w:color w:val="auto"/>
          <w:sz w:val="24"/>
          <w:szCs w:val="24"/>
          <w:highlight w:val="none"/>
        </w:rPr>
        <w:t xml:space="preserve"> </w:t>
      </w:r>
    </w:p>
    <w:p>
      <w:pPr>
        <w:bidi w:val="0"/>
        <w:rPr>
          <w:rFonts w:hint="eastAsia"/>
          <w:color w:val="auto"/>
          <w:highlight w:val="none"/>
        </w:rPr>
      </w:pPr>
      <w:r>
        <w:rPr>
          <w:rFonts w:hint="eastAsia" w:ascii="仿宋" w:hAnsi="仿宋" w:eastAsia="仿宋" w:cs="仿宋"/>
          <w:b w:val="0"/>
          <w:bCs w:val="0"/>
          <w:color w:val="auto"/>
          <w:sz w:val="24"/>
          <w:szCs w:val="24"/>
          <w:highlight w:val="none"/>
        </w:rPr>
        <w:t>（可以根据项目实际情况选择是否设置）</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47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78"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64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565"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21"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709" w:type="pc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p>
        </w:tc>
      </w:tr>
    </w:tbl>
    <w:p>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2）按照</w:t>
      </w:r>
      <w:r>
        <w:rPr>
          <w:rFonts w:hint="eastAsia" w:ascii="仿宋" w:hAnsi="仿宋" w:eastAsia="仿宋"/>
          <w:b/>
          <w:color w:val="auto"/>
          <w:sz w:val="24"/>
          <w:highlight w:val="none"/>
          <w:lang w:eastAsia="zh-CN"/>
        </w:rPr>
        <w:t>比选</w:t>
      </w:r>
      <w:r>
        <w:rPr>
          <w:rFonts w:hint="eastAsia" w:ascii="仿宋" w:hAnsi="仿宋" w:eastAsia="仿宋"/>
          <w:b/>
          <w:color w:val="auto"/>
          <w:sz w:val="24"/>
          <w:highlight w:val="none"/>
        </w:rPr>
        <w:t>公告的资格要求提供有效的实施经验证明材料，作为资格后审的评审依据。</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3）本业绩表及证明材料也作为详细评审中对供应商同类项目实施经验的评审及打分依据，供应商需根据详细评审标准的要求，提供符合要求的业绩证明材料。</w:t>
      </w:r>
    </w:p>
    <w:p>
      <w:pPr>
        <w:spacing w:line="360" w:lineRule="auto"/>
        <w:jc w:val="left"/>
        <w:rPr>
          <w:rFonts w:hint="eastAsia" w:ascii="仿宋" w:hAnsi="仿宋" w:eastAsia="仿宋" w:cs="仿宋"/>
          <w:color w:val="auto"/>
          <w:sz w:val="24"/>
          <w:highlight w:val="none"/>
        </w:rPr>
      </w:pPr>
    </w:p>
    <w:p>
      <w:pPr>
        <w:spacing w:line="360" w:lineRule="auto"/>
        <w:ind w:firstLine="480" w:firstLineChars="200"/>
        <w:jc w:val="left"/>
        <w:rPr>
          <w:rFonts w:hint="eastAsia" w:ascii="仿宋" w:hAnsi="仿宋" w:eastAsia="仿宋" w:cs="仿宋"/>
          <w:bCs/>
          <w:color w:val="auto"/>
          <w:sz w:val="24"/>
          <w:highlight w:val="none"/>
        </w:rPr>
      </w:pPr>
    </w:p>
    <w:p>
      <w:pPr>
        <w:pStyle w:val="108"/>
        <w:topLinePunct/>
        <w:adjustRightInd w:val="0"/>
        <w:snapToGrid w:val="0"/>
        <w:spacing w:line="360" w:lineRule="auto"/>
        <w:ind w:left="1575" w:firstLine="0" w:firstLineChars="0"/>
        <w:rPr>
          <w:rFonts w:hint="eastAsia" w:ascii="仿宋" w:hAnsi="仿宋" w:eastAsia="仿宋" w:cs="仿宋"/>
          <w:bCs/>
          <w:color w:val="auto"/>
          <w:sz w:val="24"/>
          <w:highlight w:val="none"/>
        </w:rPr>
      </w:pPr>
    </w:p>
    <w:p>
      <w:pPr>
        <w:pStyle w:val="108"/>
        <w:topLinePunct/>
        <w:adjustRightInd w:val="0"/>
        <w:snapToGrid w:val="0"/>
        <w:spacing w:line="360" w:lineRule="auto"/>
        <w:ind w:left="1575" w:firstLine="0" w:firstLineChars="0"/>
        <w:rPr>
          <w:rFonts w:hint="eastAsia" w:ascii="仿宋" w:hAnsi="仿宋" w:eastAsia="仿宋" w:cs="仿宋"/>
          <w:bCs/>
          <w:color w:val="auto"/>
          <w:sz w:val="24"/>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供应商</w:t>
      </w:r>
      <w:r>
        <w:rPr>
          <w:rFonts w:hint="eastAsia" w:ascii="仿宋" w:hAnsi="仿宋" w:eastAsia="仿宋" w:cs="Cambria Math"/>
          <w:color w:val="auto"/>
          <w:sz w:val="24"/>
          <w:highlight w:val="none"/>
        </w:rPr>
        <w:t>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5"/>
        <w:numPr>
          <w:ilvl w:val="0"/>
          <w:numId w:val="0"/>
        </w:numPr>
        <w:spacing w:before="0" w:after="0" w:line="360" w:lineRule="auto"/>
        <w:rPr>
          <w:rFonts w:hint="eastAsia" w:ascii="仿宋" w:hAnsi="仿宋" w:eastAsia="仿宋" w:cs="仿宋"/>
          <w:color w:val="auto"/>
          <w:sz w:val="24"/>
          <w:szCs w:val="24"/>
          <w:highlight w:val="none"/>
        </w:rPr>
      </w:pPr>
      <w:r>
        <w:rPr>
          <w:color w:val="auto"/>
          <w:highlight w:val="none"/>
        </w:rPr>
        <w:br w:type="page"/>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税收和社保证明材料</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供应商须提供：</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lang w:val="en-US" w:eastAsia="zh-CN"/>
        </w:rPr>
        <w:t>供应商须同时提供</w:t>
      </w:r>
      <w:r>
        <w:rPr>
          <w:rFonts w:hint="eastAsia" w:ascii="仿宋" w:hAnsi="仿宋" w:eastAsia="仿宋" w:cs="宋体"/>
          <w:color w:val="auto"/>
          <w:sz w:val="24"/>
          <w:szCs w:val="24"/>
          <w:highlight w:val="none"/>
        </w:rPr>
        <w:t>依法缴纳税收</w:t>
      </w:r>
      <w:r>
        <w:rPr>
          <w:rFonts w:hint="eastAsia" w:ascii="仿宋" w:hAnsi="仿宋" w:eastAsia="仿宋" w:cs="宋体"/>
          <w:color w:val="auto"/>
          <w:sz w:val="24"/>
          <w:szCs w:val="24"/>
          <w:highlight w:val="none"/>
          <w:lang w:val="en-US" w:eastAsia="zh-CN"/>
        </w:rPr>
        <w:t>和</w:t>
      </w:r>
      <w:r>
        <w:rPr>
          <w:rFonts w:hint="eastAsia" w:ascii="仿宋" w:hAnsi="仿宋" w:eastAsia="仿宋" w:cs="宋体"/>
          <w:color w:val="auto"/>
          <w:sz w:val="24"/>
          <w:szCs w:val="24"/>
          <w:highlight w:val="none"/>
        </w:rPr>
        <w:t>依法缴纳社会保障资金</w:t>
      </w:r>
      <w:r>
        <w:rPr>
          <w:rFonts w:hint="eastAsia" w:ascii="仿宋" w:hAnsi="仿宋" w:eastAsia="仿宋" w:cs="宋体"/>
          <w:color w:val="auto"/>
          <w:sz w:val="24"/>
          <w:szCs w:val="24"/>
          <w:highlight w:val="none"/>
          <w:lang w:eastAsia="zh-CN"/>
        </w:rPr>
        <w:t>的</w:t>
      </w:r>
      <w:r>
        <w:rPr>
          <w:rFonts w:hint="eastAsia" w:ascii="仿宋" w:hAnsi="仿宋" w:eastAsia="仿宋" w:cs="宋体"/>
          <w:color w:val="auto"/>
          <w:sz w:val="24"/>
          <w:szCs w:val="24"/>
          <w:highlight w:val="none"/>
        </w:rPr>
        <w:t>证明材料</w:t>
      </w:r>
      <w:r>
        <w:rPr>
          <w:rFonts w:hint="eastAsia" w:ascii="仿宋" w:hAnsi="仿宋" w:eastAsia="仿宋" w:cs="宋体"/>
          <w:color w:val="auto"/>
          <w:sz w:val="24"/>
          <w:szCs w:val="24"/>
          <w:highlight w:val="none"/>
          <w:lang w:eastAsia="zh-CN"/>
        </w:rPr>
        <w:t>或</w:t>
      </w:r>
      <w:r>
        <w:rPr>
          <w:rFonts w:hint="eastAsia" w:ascii="仿宋" w:hAnsi="仿宋" w:eastAsia="仿宋" w:cs="宋体"/>
          <w:color w:val="auto"/>
          <w:sz w:val="24"/>
          <w:szCs w:val="24"/>
          <w:highlight w:val="none"/>
          <w:lang w:val="en-US" w:eastAsia="zh-CN"/>
        </w:rPr>
        <w:t>由供应商提供书面承诺或声明</w:t>
      </w:r>
      <w:r>
        <w:rPr>
          <w:rFonts w:hint="eastAsia" w:ascii="仿宋" w:hAnsi="仿宋" w:eastAsia="仿宋" w:cs="宋体"/>
          <w:color w:val="auto"/>
          <w:sz w:val="24"/>
          <w:szCs w:val="24"/>
          <w:highlight w:val="none"/>
        </w:rPr>
        <w:t>。</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依法缴纳税收：本项目公告发布时间前12个月内（至少有1个月）缴纳税收的凭据（完税证、缴款书、印花税票、银行代扣（代缴）转账凭证等均可）；</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依法缴纳社会保障资金：本项目公告发布时间前12个月内（至少有1个月）缴纳社会保险的凭据（专用收据或社会保险交纳清单）；</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为其他组织或自然人的，也应满足以上要求；</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（4）递交</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rPr>
        <w:t>文件截止时间的当月成立但因税务机关原因导致其尚未依法缴纳税收的</w:t>
      </w:r>
      <w:r>
        <w:rPr>
          <w:rFonts w:hint="eastAsia" w:ascii="仿宋" w:hAnsi="仿宋" w:eastAsia="仿宋" w:cs="宋体"/>
          <w:color w:val="auto"/>
          <w:sz w:val="24"/>
          <w:szCs w:val="24"/>
          <w:highlight w:val="none"/>
          <w:lang w:eastAsia="zh-CN"/>
        </w:rPr>
        <w:t>供应商</w:t>
      </w:r>
      <w:r>
        <w:rPr>
          <w:rFonts w:hint="eastAsia" w:ascii="仿宋" w:hAnsi="仿宋" w:eastAsia="仿宋" w:cs="宋体"/>
          <w:color w:val="auto"/>
          <w:sz w:val="24"/>
          <w:szCs w:val="24"/>
          <w:highlight w:val="none"/>
        </w:rPr>
        <w:t>，提供将依法缴纳税收承诺书原件（格式自拟），该承诺书视同税收缴纳凭据；</w:t>
      </w:r>
    </w:p>
    <w:p>
      <w:pPr>
        <w:pageBreakBefore w:val="0"/>
        <w:widowControl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（5）递交</w:t>
      </w:r>
      <w:r>
        <w:rPr>
          <w:rFonts w:hint="eastAsia" w:ascii="仿宋" w:hAnsi="仿宋" w:eastAsia="仿宋" w:cs="宋体"/>
          <w:color w:val="auto"/>
          <w:sz w:val="24"/>
          <w:szCs w:val="24"/>
          <w:highlight w:val="none"/>
          <w:lang w:val="en-US" w:eastAsia="zh-CN"/>
        </w:rPr>
        <w:t>响应</w:t>
      </w:r>
      <w:r>
        <w:rPr>
          <w:rFonts w:hint="eastAsia" w:ascii="仿宋" w:hAnsi="仿宋" w:eastAsia="仿宋" w:cs="宋体"/>
          <w:color w:val="auto"/>
          <w:sz w:val="24"/>
          <w:szCs w:val="24"/>
          <w:highlight w:val="none"/>
        </w:rPr>
        <w:t>文件截止时间的当月成立但因社会保障资金管理机关原因导致其尚未依法缴纳社会保障资金的</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，提供将依法缴纳社会保障资金承诺书原件（格式自拟），该承诺书视同社会保险凭据；</w:t>
      </w:r>
    </w:p>
    <w:p>
      <w:pPr>
        <w:pageBreakBefore w:val="0"/>
        <w:widowControl w:val="0"/>
        <w:kinsoku/>
        <w:overflowPunct/>
        <w:topLinePunct w:val="0"/>
        <w:autoSpaceDE/>
        <w:autoSpaceDN/>
        <w:bidi w:val="0"/>
        <w:spacing w:line="360" w:lineRule="auto"/>
        <w:ind w:firstLine="480" w:firstLineChars="200"/>
        <w:textAlignment w:val="baseline"/>
        <w:rPr>
          <w:rFonts w:hint="eastAsia"/>
          <w:b/>
          <w:bCs/>
          <w:color w:val="auto"/>
          <w:highlight w:val="none"/>
        </w:rPr>
      </w:pPr>
      <w:r>
        <w:rPr>
          <w:rFonts w:hint="eastAsia" w:ascii="仿宋" w:hAnsi="仿宋" w:eastAsia="仿宋" w:cs="宋体"/>
          <w:color w:val="auto"/>
          <w:sz w:val="24"/>
          <w:szCs w:val="24"/>
          <w:highlight w:val="none"/>
        </w:rPr>
        <w:t>（6）依法免税或不需要缴纳社会保障资金的</w:t>
      </w: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，具有相应文件证明其依法免税或不需要交纳社会保障资金。</w:t>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pacing w:line="360" w:lineRule="auto"/>
        <w:ind w:firstLine="480" w:firstLineChars="200"/>
        <w:textAlignment w:val="baseline"/>
        <w:rPr>
          <w:rStyle w:val="50"/>
          <w:color w:val="auto"/>
          <w:highlight w:val="none"/>
        </w:rPr>
      </w:pPr>
      <w:r>
        <w:rPr>
          <w:rFonts w:hint="eastAsia" w:ascii="仿宋" w:hAnsi="仿宋" w:eastAsia="仿宋" w:cs="Cambria Math"/>
          <w:color w:val="auto"/>
          <w:sz w:val="24"/>
          <w:highlight w:val="none"/>
          <w:lang w:val="en-US" w:eastAsia="zh-CN"/>
        </w:rPr>
        <w:t>信用中国</w:t>
      </w:r>
      <w:r>
        <w:rPr>
          <w:rFonts w:hint="eastAsia" w:ascii="仿宋" w:hAnsi="仿宋" w:eastAsia="仿宋" w:cs="Cambria Math"/>
          <w:color w:val="auto"/>
          <w:sz w:val="24"/>
          <w:highlight w:val="none"/>
        </w:rPr>
        <w:t>查询网址：</w:t>
      </w:r>
      <w:r>
        <w:rPr>
          <w:color w:val="auto"/>
          <w:highlight w:val="none"/>
        </w:rPr>
        <w:fldChar w:fldCharType="begin"/>
      </w:r>
      <w:r>
        <w:rPr>
          <w:rStyle w:val="50"/>
          <w:color w:val="auto"/>
          <w:highlight w:val="none"/>
        </w:rPr>
        <w:instrText xml:space="preserve"> </w:instrText>
      </w:r>
      <w:r>
        <w:rPr>
          <w:rStyle w:val="50"/>
          <w:rFonts w:hint="eastAsia"/>
          <w:color w:val="auto"/>
          <w:highlight w:val="none"/>
        </w:rPr>
        <w:instrText xml:space="preserve">HYPERLINK "https://www.creditchina.gov.cn/xinyongfuwu/?navPage=5"</w:instrText>
      </w:r>
      <w:r>
        <w:rPr>
          <w:rStyle w:val="50"/>
          <w:color w:val="auto"/>
          <w:highlight w:val="none"/>
        </w:rPr>
        <w:instrText xml:space="preserve"> </w:instrText>
      </w:r>
      <w:r>
        <w:rPr>
          <w:color w:val="auto"/>
          <w:highlight w:val="none"/>
        </w:rPr>
        <w:fldChar w:fldCharType="separate"/>
      </w:r>
      <w:r>
        <w:rPr>
          <w:rStyle w:val="50"/>
          <w:rFonts w:hint="eastAsia"/>
          <w:color w:val="auto"/>
          <w:highlight w:val="none"/>
        </w:rPr>
        <w:t>https://www.creditchina.gov.cn/xinyongfuwu/?navPage=5</w:t>
      </w:r>
      <w:r>
        <w:rPr>
          <w:color w:val="auto"/>
          <w:highlight w:val="none"/>
        </w:rPr>
        <w:fldChar w:fldCharType="end"/>
      </w:r>
    </w:p>
    <w:p>
      <w:pPr>
        <w:spacing w:line="360" w:lineRule="auto"/>
        <w:textAlignment w:val="baseline"/>
        <w:rPr>
          <w:color w:val="auto"/>
          <w:highlight w:val="none"/>
        </w:rPr>
      </w:pPr>
      <w:r>
        <w:rPr>
          <w:rFonts w:hint="eastAsia" w:ascii="仿宋" w:hAnsi="仿宋" w:eastAsia="仿宋" w:cs="Cambria Math"/>
          <w:color w:val="auto"/>
          <w:sz w:val="24"/>
          <w:highlight w:val="none"/>
        </w:rPr>
        <w:t>（1）失信被执行人查询截图范例：</w:t>
      </w:r>
    </w:p>
    <w:p>
      <w:pPr>
        <w:ind w:firstLine="210" w:firstLineChars="100"/>
        <w:rPr>
          <w:color w:val="auto"/>
          <w:highlight w:val="none"/>
        </w:rPr>
      </w:pPr>
      <w:r>
        <w:rPr>
          <w:color w:val="auto"/>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auto"/>
          <w:szCs w:val="21"/>
          <w:highlight w:val="none"/>
        </w:rPr>
      </w:pPr>
      <w:r>
        <w:rPr>
          <w:rFonts w:hint="eastAsia" w:ascii="仿宋" w:hAnsi="仿宋" w:eastAsia="仿宋" w:cs="Cambria Math"/>
          <w:color w:val="auto"/>
          <w:sz w:val="24"/>
          <w:highlight w:val="none"/>
        </w:rPr>
        <w:t>（2）</w:t>
      </w:r>
      <w:r>
        <w:rPr>
          <w:rFonts w:hint="eastAsia" w:ascii="仿宋" w:hAnsi="仿宋" w:eastAsia="仿宋" w:cs="微软雅黑"/>
          <w:color w:val="auto"/>
          <w:sz w:val="24"/>
          <w:highlight w:val="none"/>
        </w:rPr>
        <w:t>重大</w:t>
      </w:r>
      <w:r>
        <w:rPr>
          <w:rFonts w:hint="eastAsia" w:ascii="仿宋" w:hAnsi="仿宋" w:eastAsia="仿宋" w:cs="仿宋"/>
          <w:color w:val="auto"/>
          <w:sz w:val="24"/>
          <w:highlight w:val="none"/>
        </w:rPr>
        <w:t>税收违法失信主体</w:t>
      </w:r>
      <w:r>
        <w:rPr>
          <w:rFonts w:hint="eastAsia" w:ascii="仿宋" w:hAnsi="仿宋" w:eastAsia="仿宋" w:cs="微软雅黑"/>
          <w:color w:val="auto"/>
          <w:sz w:val="24"/>
          <w:highlight w:val="none"/>
        </w:rPr>
        <w:t>查询截图范例：</w:t>
      </w:r>
    </w:p>
    <w:p>
      <w:pPr>
        <w:rPr>
          <w:rFonts w:hint="eastAsia" w:ascii="仿宋" w:hAnsi="仿宋" w:eastAsia="仿宋" w:cs="Cambria Math"/>
          <w:color w:val="auto"/>
          <w:sz w:val="24"/>
          <w:highlight w:val="none"/>
        </w:rPr>
      </w:pPr>
      <w:r>
        <w:rPr>
          <w:rFonts w:ascii="仿宋" w:hAnsi="仿宋" w:eastAsia="仿宋"/>
          <w:color w:val="auto"/>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color w:val="auto"/>
          <w:sz w:val="24"/>
          <w:highlight w:val="none"/>
        </w:rPr>
      </w:pPr>
      <w:r>
        <w:rPr>
          <w:rFonts w:hint="eastAsia" w:ascii="仿宋" w:hAnsi="仿宋" w:eastAsia="仿宋" w:cs="Cambria Math"/>
          <w:color w:val="auto"/>
          <w:sz w:val="24"/>
          <w:highlight w:val="none"/>
        </w:rPr>
        <w:t>（3）政府采购严重违法失信行为记录名单查询截图范例：</w:t>
      </w:r>
    </w:p>
    <w:p>
      <w:pPr>
        <w:ind w:firstLine="210" w:firstLineChars="100"/>
        <w:rPr>
          <w:color w:val="auto"/>
          <w:highlight w:val="none"/>
        </w:rPr>
      </w:pPr>
      <w:r>
        <w:rPr>
          <w:color w:val="auto"/>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pPr>
        <w:pStyle w:val="5"/>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r>
        <w:rPr>
          <w:rFonts w:ascii="仿宋" w:hAnsi="仿宋" w:eastAsia="仿宋" w:cs="仿宋"/>
          <w:color w:val="auto"/>
          <w:sz w:val="24"/>
          <w:szCs w:val="24"/>
          <w:highlight w:val="none"/>
        </w:rPr>
        <w:t>6</w:t>
      </w:r>
      <w:r>
        <w:rPr>
          <w:rFonts w:hint="eastAsia" w:ascii="仿宋" w:hAnsi="仿宋" w:eastAsia="仿宋" w:cs="仿宋"/>
          <w:color w:val="auto"/>
          <w:sz w:val="24"/>
          <w:szCs w:val="24"/>
          <w:highlight w:val="none"/>
        </w:rPr>
        <w:t>、未列入供应商黑名单且未在禁入期承诺函</w:t>
      </w:r>
    </w:p>
    <w:p>
      <w:pPr>
        <w:pStyle w:val="17"/>
        <w:spacing w:before="24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lang w:val="en-US" w:eastAsia="zh-CN"/>
        </w:rPr>
        <w:t>采购人名称</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rPr>
        <w:t>：</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承诺截至本项目响应文件递交截止时间，我方未被列入</w:t>
      </w:r>
      <w:r>
        <w:rPr>
          <w:rFonts w:hint="eastAsia" w:ascii="仿宋" w:hAnsi="仿宋" w:eastAsia="仿宋" w:cs="Cambria Math"/>
          <w:color w:val="auto"/>
          <w:sz w:val="24"/>
          <w:highlight w:val="none"/>
          <w:lang w:val="en-US" w:eastAsia="zh-CN"/>
        </w:rPr>
        <w:t>采购</w:t>
      </w:r>
      <w:r>
        <w:rPr>
          <w:rFonts w:hint="eastAsia" w:ascii="仿宋" w:hAnsi="仿宋" w:eastAsia="仿宋" w:cs="Cambria Math"/>
          <w:color w:val="auto"/>
          <w:sz w:val="24"/>
          <w:highlight w:val="none"/>
        </w:rPr>
        <w:t>人及其所隶属的</w:t>
      </w:r>
      <w:r>
        <w:rPr>
          <w:rFonts w:hint="eastAsia" w:ascii="仿宋" w:hAnsi="仿宋" w:eastAsia="仿宋" w:cs="Cambria Math"/>
          <w:color w:val="auto"/>
          <w:sz w:val="24"/>
          <w:highlight w:val="none"/>
          <w:lang w:eastAsia="zh-CN"/>
        </w:rPr>
        <w:t>中国人民保险各级机构的供应商黑名单</w:t>
      </w:r>
      <w:r>
        <w:rPr>
          <w:rFonts w:hint="eastAsia" w:ascii="仿宋" w:hAnsi="仿宋" w:eastAsia="仿宋" w:cs="Cambria Math"/>
          <w:color w:val="auto"/>
          <w:sz w:val="24"/>
          <w:highlight w:val="none"/>
        </w:rPr>
        <w:t>且未在禁入期内。</w:t>
      </w:r>
    </w:p>
    <w:p>
      <w:pPr>
        <w:pStyle w:val="17"/>
        <w:ind w:firstLine="480" w:firstLineChars="200"/>
        <w:jc w:val="both"/>
        <w:rPr>
          <w:rFonts w:ascii="仿宋" w:hAnsi="仿宋" w:eastAsia="仿宋" w:cs="Cambria Math"/>
          <w:color w:val="auto"/>
          <w:sz w:val="24"/>
          <w:highlight w:val="none"/>
        </w:rPr>
      </w:pPr>
    </w:p>
    <w:p>
      <w:pPr>
        <w:pStyle w:val="17"/>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特此承诺。</w:t>
      </w:r>
    </w:p>
    <w:p>
      <w:pPr>
        <w:pStyle w:val="127"/>
        <w:ind w:firstLine="640"/>
        <w:rPr>
          <w:rFonts w:ascii="仿宋" w:hAnsi="仿宋" w:eastAsia="仿宋"/>
          <w:color w:val="auto"/>
          <w:highlight w:val="none"/>
        </w:rPr>
      </w:pPr>
    </w:p>
    <w:p>
      <w:pPr>
        <w:pStyle w:val="127"/>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150"/>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203" w:name="_Hlk69983040"/>
      <w:r>
        <w:rPr>
          <w:rFonts w:ascii="仿宋" w:hAnsi="仿宋" w:eastAsia="仿宋" w:cs="仿宋"/>
          <w:color w:val="auto"/>
          <w:sz w:val="24"/>
          <w:szCs w:val="24"/>
          <w:highlight w:val="none"/>
        </w:rPr>
        <w:t>7</w:t>
      </w:r>
      <w:r>
        <w:rPr>
          <w:rFonts w:hint="eastAsia" w:ascii="仿宋" w:hAnsi="仿宋" w:eastAsia="仿宋" w:cs="仿宋"/>
          <w:color w:val="auto"/>
          <w:sz w:val="24"/>
          <w:szCs w:val="24"/>
          <w:highlight w:val="none"/>
        </w:rPr>
        <w:t>、供应商控股及管理关系情况申报表</w:t>
      </w:r>
    </w:p>
    <w:p>
      <w:pPr>
        <w:pStyle w:val="108"/>
        <w:spacing w:before="240" w:after="240" w:line="360" w:lineRule="auto"/>
        <w:ind w:firstLine="0" w:firstLineChars="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采购</w:t>
      </w:r>
      <w:r>
        <w:rPr>
          <w:rFonts w:hint="eastAsia" w:ascii="仿宋" w:hAnsi="仿宋" w:eastAsia="仿宋" w:cs="宋体"/>
          <w:color w:val="auto"/>
          <w:sz w:val="24"/>
          <w:szCs w:val="24"/>
          <w:highlight w:val="none"/>
          <w:u w:val="single"/>
        </w:rPr>
        <w:t xml:space="preserve">人名称）  </w:t>
      </w:r>
      <w:r>
        <w:rPr>
          <w:rFonts w:hint="eastAsia" w:ascii="仿宋" w:hAnsi="仿宋" w:eastAsia="仿宋" w:cs="宋体"/>
          <w:color w:val="auto"/>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（项目名称）的</w:t>
      </w:r>
      <w:r>
        <w:rPr>
          <w:rFonts w:hint="eastAsia" w:ascii="仿宋" w:hAnsi="仿宋" w:eastAsia="仿宋" w:cs="宋体"/>
          <w:color w:val="auto"/>
          <w:sz w:val="24"/>
          <w:szCs w:val="24"/>
          <w:highlight w:val="none"/>
          <w:lang w:val="en-US" w:eastAsia="zh-CN"/>
        </w:rPr>
        <w:t>比选</w:t>
      </w:r>
      <w:r>
        <w:rPr>
          <w:rFonts w:hint="eastAsia" w:ascii="仿宋" w:hAnsi="仿宋" w:eastAsia="仿宋" w:cs="宋体"/>
          <w:color w:val="auto"/>
          <w:sz w:val="24"/>
          <w:szCs w:val="24"/>
          <w:highlight w:val="none"/>
        </w:rPr>
        <w:t>，根据法律法规维护投标公正性的相关规定，</w:t>
      </w:r>
      <w:r>
        <w:rPr>
          <w:rFonts w:hint="eastAsia" w:ascii="仿宋" w:hAnsi="仿宋" w:eastAsia="仿宋" w:cs="宋体"/>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auto"/>
          <w:sz w:val="24"/>
          <w:szCs w:val="24"/>
          <w:highlight w:val="none"/>
        </w:rPr>
        <w:t>。</w:t>
      </w:r>
    </w:p>
    <w:tbl>
      <w:tblPr>
        <w:tblStyle w:val="4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姓    名</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身份证号</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auto"/>
                <w:highlight w:val="none"/>
                <w:lang w:val="en-US" w:eastAsia="zh-CN"/>
              </w:rPr>
            </w:pPr>
            <w:r>
              <w:rPr>
                <w:rFonts w:hint="eastAsia" w:ascii="仿宋" w:hAnsi="仿宋" w:eastAsia="仿宋" w:cs="宋体"/>
                <w:color w:val="auto"/>
                <w:highlight w:val="none"/>
                <w:lang w:val="en-US" w:eastAsia="zh-CN"/>
              </w:rPr>
              <w:t>单位负责人为同一人单位名称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lang w:eastAsia="zh-CN"/>
              </w:rPr>
            </w:pP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投资</w:t>
            </w:r>
            <w:r>
              <w:rPr>
                <w:rFonts w:hint="eastAsia" w:ascii="仿宋" w:hAnsi="仿宋" w:eastAsia="仿宋" w:cs="宋体"/>
                <w:color w:val="auto"/>
                <w:highlight w:val="none"/>
                <w:lang w:val="en-US" w:eastAsia="zh-CN"/>
              </w:rPr>
              <w:t>单位</w:t>
            </w:r>
            <w:r>
              <w:rPr>
                <w:rFonts w:hint="eastAsia" w:ascii="仿宋" w:hAnsi="仿宋" w:eastAsia="仿宋" w:cs="宋体"/>
                <w:color w:val="auto"/>
                <w:highlight w:val="none"/>
              </w:rPr>
              <w:t>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管理关系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被管理关系单位名称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highlight w:val="none"/>
              </w:rPr>
            </w:pPr>
            <w:r>
              <w:rPr>
                <w:rFonts w:hint="eastAsia" w:ascii="仿宋" w:hAnsi="仿宋" w:eastAsia="仿宋" w:cs="宋体"/>
                <w:color w:val="auto"/>
                <w:highlight w:val="none"/>
              </w:rPr>
              <w:t>备注：</w:t>
            </w:r>
          </w:p>
        </w:tc>
      </w:tr>
    </w:tbl>
    <w:p>
      <w:pPr>
        <w:adjustRightInd w:val="0"/>
        <w:snapToGrid w:val="0"/>
        <w:spacing w:line="360" w:lineRule="auto"/>
        <w:ind w:left="0" w:leftChars="0" w:firstLine="0" w:firstLineChars="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注：</w:t>
      </w:r>
    </w:p>
    <w:p>
      <w:pPr>
        <w:adjustRightInd w:val="0"/>
        <w:snapToGrid w:val="0"/>
        <w:spacing w:line="360" w:lineRule="auto"/>
        <w:ind w:left="0" w:leftChars="0" w:firstLine="0" w:firstLineChars="0"/>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highlight w:val="none"/>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3.如未有相关情况，请在相应栏填写“无”。</w:t>
      </w:r>
    </w:p>
    <w:p>
      <w:pPr>
        <w:pStyle w:val="162"/>
        <w:numPr>
          <w:ilvl w:val="0"/>
          <w:numId w:val="0"/>
        </w:numPr>
        <w:adjustRightInd w:val="0"/>
        <w:snapToGrid w:val="0"/>
        <w:spacing w:line="360" w:lineRule="auto"/>
        <w:ind w:leftChars="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 xml:space="preserve">管理关系单位是指与不具有出资持股关系的其他单位之间存在管理与被管理关系的单位； </w:t>
      </w:r>
    </w:p>
    <w:p>
      <w:pPr>
        <w:pStyle w:val="162"/>
        <w:numPr>
          <w:ilvl w:val="0"/>
          <w:numId w:val="0"/>
        </w:numPr>
        <w:adjustRightInd w:val="0"/>
        <w:snapToGrid w:val="0"/>
        <w:spacing w:line="360" w:lineRule="auto"/>
        <w:ind w:leftChars="0"/>
        <w:jc w:val="both"/>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如未有相关情况，请在相应栏填写“无”。</w:t>
      </w:r>
    </w:p>
    <w:p>
      <w:pPr>
        <w:spacing w:line="360" w:lineRule="auto"/>
        <w:ind w:left="480" w:hanging="480" w:hangingChars="200"/>
        <w:rPr>
          <w:rFonts w:hint="eastAsia"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非联合体</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响应声明</w:t>
      </w:r>
    </w:p>
    <w:bookmarkEnd w:id="190"/>
    <w:bookmarkEnd w:id="203"/>
    <w:p>
      <w:pPr>
        <w:pStyle w:val="17"/>
        <w:spacing w:before="240"/>
        <w:rPr>
          <w:rFonts w:hint="eastAsia" w:ascii="仿宋" w:hAnsi="仿宋" w:eastAsia="仿宋" w:cs="Cambria Math"/>
          <w:b/>
          <w:bCs/>
          <w:color w:val="auto"/>
          <w:sz w:val="24"/>
          <w:highlight w:val="none"/>
        </w:rPr>
      </w:pPr>
      <w:bookmarkStart w:id="204" w:name="_Toc71192048"/>
      <w:bookmarkStart w:id="205" w:name="_Toc20195"/>
      <w:bookmarkStart w:id="206" w:name="_Toc517281859"/>
      <w:bookmarkStart w:id="207" w:name="_Toc432420841"/>
      <w:r>
        <w:rPr>
          <w:rFonts w:hint="eastAsia" w:ascii="仿宋" w:hAnsi="仿宋" w:eastAsia="仿宋" w:cs="Cambria Math"/>
          <w:b/>
          <w:bCs/>
          <w:color w:val="auto"/>
          <w:sz w:val="24"/>
          <w:highlight w:val="none"/>
        </w:rPr>
        <w:t>非联合体</w:t>
      </w:r>
      <w:r>
        <w:rPr>
          <w:rFonts w:hint="eastAsia" w:ascii="仿宋" w:hAnsi="仿宋" w:eastAsia="仿宋" w:cs="Cambria Math"/>
          <w:b/>
          <w:bCs/>
          <w:color w:val="auto"/>
          <w:sz w:val="24"/>
          <w:highlight w:val="none"/>
          <w:lang w:eastAsia="zh-CN"/>
        </w:rPr>
        <w:t>比选</w:t>
      </w:r>
      <w:r>
        <w:rPr>
          <w:rFonts w:hint="eastAsia" w:ascii="仿宋" w:hAnsi="仿宋" w:eastAsia="仿宋" w:cs="Cambria Math"/>
          <w:b/>
          <w:bCs/>
          <w:color w:val="auto"/>
          <w:sz w:val="24"/>
          <w:highlight w:val="none"/>
        </w:rPr>
        <w:t>响应声明</w:t>
      </w:r>
    </w:p>
    <w:p>
      <w:pPr>
        <w:adjustRightInd w:val="0"/>
        <w:snapToGrid w:val="0"/>
        <w:spacing w:before="240"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采购人</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rPr>
        <w:t>：</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独立参与</w:t>
      </w:r>
      <w:r>
        <w:rPr>
          <w:rFonts w:hint="eastAsia" w:ascii="仿宋" w:hAnsi="仿宋" w:eastAsia="仿宋" w:cs="Cambria Math"/>
          <w:color w:val="auto"/>
          <w:sz w:val="24"/>
          <w:highlight w:val="none"/>
          <w:u w:val="single"/>
        </w:rPr>
        <w:t xml:space="preserve">    （项目名称）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响应，非联合体参与</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响应。</w:t>
      </w:r>
      <w:r>
        <w:rPr>
          <w:rFonts w:ascii="仿宋" w:hAnsi="仿宋" w:eastAsia="仿宋" w:cs="Cambria Math"/>
          <w:color w:val="auto"/>
          <w:sz w:val="24"/>
          <w:highlight w:val="none"/>
        </w:rPr>
        <w:t xml:space="preserve"> </w:t>
      </w:r>
    </w:p>
    <w:p>
      <w:pPr>
        <w:pStyle w:val="17"/>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特此声明。</w:t>
      </w:r>
    </w:p>
    <w:p>
      <w:pPr>
        <w:pStyle w:val="127"/>
        <w:ind w:firstLine="640"/>
        <w:rPr>
          <w:rFonts w:ascii="仿宋" w:hAnsi="仿宋" w:eastAsia="仿宋"/>
          <w:color w:val="auto"/>
          <w:highlight w:val="none"/>
        </w:rPr>
      </w:pPr>
    </w:p>
    <w:p>
      <w:pPr>
        <w:pStyle w:val="127"/>
        <w:ind w:firstLine="640"/>
        <w:rPr>
          <w:rFonts w:ascii="仿宋" w:hAnsi="仿宋" w:eastAsia="仿宋"/>
          <w:color w:val="auto"/>
          <w:highlight w:val="none"/>
        </w:rPr>
      </w:pPr>
    </w:p>
    <w:p>
      <w:pPr>
        <w:pStyle w:val="127"/>
        <w:ind w:firstLine="640"/>
        <w:rPr>
          <w:rFonts w:ascii="仿宋" w:hAnsi="仿宋" w:eastAsia="仿宋"/>
          <w:color w:val="auto"/>
          <w:highlight w:val="none"/>
        </w:rPr>
      </w:pPr>
    </w:p>
    <w:p>
      <w:pPr>
        <w:pStyle w:val="127"/>
        <w:ind w:firstLine="640"/>
        <w:rPr>
          <w:rFonts w:ascii="仿宋" w:hAnsi="仿宋" w:eastAsia="仿宋"/>
          <w:color w:val="auto"/>
          <w:highlight w:val="none"/>
        </w:rPr>
      </w:pPr>
    </w:p>
    <w:p>
      <w:pPr>
        <w:pStyle w:val="127"/>
        <w:ind w:firstLine="640"/>
        <w:rPr>
          <w:rFonts w:ascii="仿宋" w:hAnsi="仿宋" w:eastAsia="仿宋"/>
          <w:color w:val="auto"/>
          <w:highlight w:val="none"/>
        </w:rPr>
      </w:pPr>
    </w:p>
    <w:p>
      <w:pPr>
        <w:pStyle w:val="127"/>
        <w:ind w:firstLine="640"/>
        <w:rPr>
          <w:rFonts w:ascii="仿宋" w:hAnsi="仿宋" w:eastAsia="仿宋"/>
          <w:color w:val="auto"/>
          <w:highlight w:val="none"/>
        </w:rPr>
      </w:pPr>
    </w:p>
    <w:p>
      <w:pPr>
        <w:pStyle w:val="127"/>
        <w:ind w:firstLine="640"/>
        <w:rPr>
          <w:rFonts w:hint="eastAsia" w:ascii="仿宋" w:hAnsi="仿宋" w:eastAsia="仿宋"/>
          <w:color w:val="auto"/>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pPr>
        <w:pStyle w:val="4"/>
        <w:numPr>
          <w:ilvl w:val="0"/>
          <w:numId w:val="0"/>
        </w:numPr>
        <w:tabs>
          <w:tab w:val="clear" w:pos="1440"/>
        </w:tabs>
        <w:spacing w:before="0" w:after="0" w:line="360" w:lineRule="auto"/>
        <w:rPr>
          <w:rFonts w:ascii="仿宋" w:hAnsi="仿宋" w:cs="宋体"/>
          <w:color w:val="auto"/>
          <w:szCs w:val="24"/>
          <w:highlight w:val="none"/>
        </w:rPr>
      </w:pPr>
      <w:bookmarkStart w:id="208" w:name="_Toc18208"/>
      <w:bookmarkStart w:id="209" w:name="_Toc112068411"/>
      <w:bookmarkStart w:id="210" w:name="_Toc65683009"/>
      <w:bookmarkStart w:id="211" w:name="_Toc15130"/>
      <w:bookmarkStart w:id="212" w:name="_Toc144139212"/>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208"/>
      <w:bookmarkEnd w:id="209"/>
      <w:bookmarkEnd w:id="210"/>
      <w:bookmarkEnd w:id="211"/>
      <w:bookmarkEnd w:id="212"/>
    </w:p>
    <w:p>
      <w:pPr>
        <w:spacing w:line="360" w:lineRule="auto"/>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供应商须知应答偏离表</w:t>
      </w:r>
    </w:p>
    <w:p>
      <w:pPr>
        <w:spacing w:line="360" w:lineRule="auto"/>
        <w:rPr>
          <w:rFonts w:hint="eastAsia" w:ascii="仿宋" w:hAnsi="仿宋" w:eastAsia="仿宋" w:cs="宋体"/>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bl>
    <w:p>
      <w:pPr>
        <w:spacing w:line="360" w:lineRule="auto"/>
        <w:ind w:left="480" w:hanging="480" w:hangingChars="200"/>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注：所有偏离须在本表中列出，未在本偏离表中列出偏离，将视为供应商已完全接受</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文件要求</w:t>
      </w:r>
      <w:r>
        <w:rPr>
          <w:rFonts w:hint="eastAsia" w:ascii="仿宋" w:hAnsi="仿宋" w:eastAsia="仿宋" w:cs="宋体"/>
          <w:b/>
          <w:bCs/>
          <w:color w:val="auto"/>
          <w:sz w:val="24"/>
          <w:highlight w:val="none"/>
        </w:rPr>
        <w:t>。如全部满足，在偏离表中应答“全部满足”即可。</w:t>
      </w: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spacing w:line="360" w:lineRule="auto"/>
        <w:jc w:val="right"/>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pPr>
        <w:numPr>
          <w:ilvl w:val="0"/>
          <w:numId w:val="0"/>
        </w:numPr>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合同条款应答偏</w:t>
      </w:r>
      <w:r>
        <w:rPr>
          <w:rFonts w:ascii="仿宋" w:hAnsi="仿宋" w:eastAsia="仿宋" w:cs="仿宋"/>
          <w:b/>
          <w:bCs/>
          <w:color w:val="auto"/>
          <w:sz w:val="24"/>
          <w:szCs w:val="24"/>
          <w:highlight w:val="none"/>
        </w:rPr>
        <w:t>离表</w:t>
      </w:r>
    </w:p>
    <w:p>
      <w:pPr>
        <w:numPr>
          <w:ilvl w:val="0"/>
          <w:numId w:val="0"/>
        </w:num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合同条款应答偏离表</w:t>
      </w:r>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Cambria Math"/>
                <w:color w:val="auto"/>
                <w:szCs w:val="21"/>
                <w:highlight w:val="none"/>
              </w:rPr>
            </w:pPr>
          </w:p>
        </w:tc>
      </w:tr>
    </w:tbl>
    <w:p>
      <w:pPr>
        <w:spacing w:before="240" w:line="360" w:lineRule="auto"/>
        <w:ind w:left="480" w:hanging="480" w:hanging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注：所有偏离必须在本表中列出，未在本偏离表中列出偏离，将视为供应商已完全接受</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文件要求；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highlight w:val="none"/>
          <w:u w:val="single"/>
        </w:rPr>
      </w:pPr>
    </w:p>
    <w:p>
      <w:pPr>
        <w:pStyle w:val="4"/>
        <w:numPr>
          <w:ilvl w:val="0"/>
          <w:numId w:val="0"/>
        </w:numPr>
        <w:spacing w:before="0" w:after="0" w:line="360" w:lineRule="auto"/>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highlight w:val="none"/>
        </w:rPr>
        <w:br w:type="page"/>
      </w:r>
    </w:p>
    <w:p>
      <w:pPr>
        <w:pStyle w:val="4"/>
        <w:numPr>
          <w:ilvl w:val="0"/>
          <w:numId w:val="0"/>
        </w:numPr>
        <w:spacing w:before="0" w:after="0" w:line="360" w:lineRule="auto"/>
        <w:rPr>
          <w:rFonts w:hint="eastAsia" w:ascii="仿宋" w:hAnsi="仿宋" w:eastAsia="仿宋" w:cs="仿宋"/>
          <w:color w:val="auto"/>
          <w:sz w:val="24"/>
          <w:szCs w:val="24"/>
          <w:highlight w:val="none"/>
        </w:rPr>
      </w:pPr>
      <w:bookmarkStart w:id="213" w:name="_Toc17890"/>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）供应商行为准则承诺书</w:t>
      </w:r>
      <w:bookmarkEnd w:id="213"/>
    </w:p>
    <w:p>
      <w:pPr>
        <w:spacing w:line="240" w:lineRule="auto"/>
        <w:jc w:val="center"/>
        <w:rPr>
          <w:rFonts w:ascii="仿宋" w:hAnsi="仿宋" w:eastAsia="仿宋" w:cs="宋体"/>
          <w:b/>
          <w:bCs/>
          <w:color w:val="auto"/>
          <w:sz w:val="28"/>
          <w:szCs w:val="28"/>
          <w:highlight w:val="none"/>
        </w:rPr>
      </w:pPr>
      <w:bookmarkStart w:id="214"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sz w:val="24"/>
          <w:highlight w:val="none"/>
        </w:rPr>
      </w:pP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一、参加</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集团公司、各子公司以及各级分支机构（以下简称“</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”）采购项目的供应商，不属于禁止交易的</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集团干部员工关系企业，必须维护</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的核心价值，在与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合作时必须坚守对道德、社会及环境保护负责任的原则，促进公平和可持续发展。所有供应商（包括供应商及其员工、附属公司、关联企业及供应商分包的任何第三方在内）在与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进行业务往来或参与任何与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有关的活动时，都应遵守供应商行为准则（以下简称“本准则”）。</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供应商经营业务时必须遵守所有适用的法律法规及相关政策等规定。如因违反任何适用的法律、法规而可能影响其按照本准则向</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提供产品及服务的能力时，应立即通知</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二、供应商应有道德地从事商业活动，坚持公平竞争原则，遵守其经营所在地及国家所有适用的反腐败法律、法规，不得有贿赂、腐败、恶意串通、恶意欺诈或其他损害</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利益的不良行为。</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五、供应商必须遵守信息隐私保护的法律及法规。由</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提供的所有信息，或与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的业务往来期间所获取的所有信息（以下简称“</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的信息”），应被视为商业秘密、敏感及专有信息。供应商只有经授权或按照法律规定方可披露</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的信息，且不得向未经授权的第三方或公众披露</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的信息。未经</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的事先书面同意，供应商不得聘请或授权任何第三方服务的供应商处理</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的信息。涉及国家秘密的，严格遵守国家和</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相关规定。</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六、供应商在运营过程中以及为</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提供服务的过程中，不得有违反知识产权保护法规的行为。供应商应承认且尊重与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相关的商标、版权、设计及专利上的知识产权，不得从事可能会侵犯</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知识产权或损坏</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声誉的任何活动。</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七、供应商应采取适当行动以确保其员工了解并遵守本守则的理念，并应用于其供应链（如适用）。在给予供应商合理通知的情况下，</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八、供应商承诺遵守</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有关采购管理和供应商管理的相关规定、履行相应义务。</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九、供应商参与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采购过程中，将认真阅读并理解邀请文件的内容，并保证严格保密文件内容，不泄露</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任何信息。</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十一、供应商承诺根据</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的要求提供供应产品的市场参考价格，并保证该数据的真实性与时效性；如提供不实或虚假数据的，自愿接受录入</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供应商诚信档案记录的不利后果。</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十二、如果供应商（包括咨询顾问、董事、雇员、代理人和代表）违反或未履行本承诺下的任何规定、保证及陈述，将自愿对因违反或未履行承诺书的规定而对</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造成的直接损失进行赔偿。</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十三、采购过程中涉及函件往来的，使用供应商以下地址及联系方式：</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法定代表人（负责人）姓名、职务：__________________</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邮编：__________地址：__________________</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电话：__________传真：__________________</w:t>
      </w:r>
    </w:p>
    <w:p>
      <w:pPr>
        <w:pStyle w:val="142"/>
        <w:spacing w:line="360" w:lineRule="auto"/>
        <w:ind w:firstLine="480"/>
        <w:jc w:val="both"/>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法定代表人（负责人）或授权代表签字：______________</w:t>
      </w:r>
    </w:p>
    <w:p>
      <w:pPr>
        <w:pStyle w:val="4"/>
        <w:numPr>
          <w:ilvl w:val="0"/>
          <w:numId w:val="0"/>
        </w:numPr>
        <w:spacing w:before="0" w:after="0" w:line="360" w:lineRule="auto"/>
        <w:rPr>
          <w:rFonts w:ascii="仿宋" w:hAnsi="仿宋" w:cs="宋体"/>
          <w:color w:val="auto"/>
          <w:szCs w:val="24"/>
          <w:highlight w:val="none"/>
        </w:rPr>
      </w:pPr>
      <w:r>
        <w:rPr>
          <w:rFonts w:hint="eastAsia" w:ascii="仿宋" w:hAnsi="仿宋" w:eastAsia="仿宋" w:cs="仿宋"/>
          <w:color w:val="auto"/>
          <w:highlight w:val="none"/>
        </w:rPr>
        <w:br w:type="page"/>
      </w:r>
      <w:bookmarkStart w:id="215" w:name="_Toc8068"/>
      <w:r>
        <w:rPr>
          <w:rFonts w:hint="eastAsia" w:ascii="仿宋" w:hAnsi="仿宋" w:eastAsia="仿宋" w:cs="宋体"/>
          <w:bCs w:val="0"/>
          <w:color w:val="auto"/>
          <w:sz w:val="24"/>
          <w:szCs w:val="24"/>
          <w:highlight w:val="none"/>
        </w:rPr>
        <w:t>（</w:t>
      </w:r>
      <w:r>
        <w:rPr>
          <w:rFonts w:hint="eastAsia" w:ascii="仿宋" w:hAnsi="仿宋" w:eastAsia="仿宋" w:cs="宋体"/>
          <w:bCs w:val="0"/>
          <w:color w:val="auto"/>
          <w:sz w:val="24"/>
          <w:szCs w:val="24"/>
          <w:highlight w:val="none"/>
          <w:lang w:val="en-US" w:eastAsia="zh-CN"/>
        </w:rPr>
        <w:t>八</w:t>
      </w:r>
      <w:r>
        <w:rPr>
          <w:rFonts w:hint="eastAsia" w:ascii="仿宋" w:hAnsi="仿宋" w:eastAsia="仿宋" w:cs="宋体"/>
          <w:bCs w:val="0"/>
          <w:color w:val="auto"/>
          <w:sz w:val="24"/>
          <w:szCs w:val="24"/>
          <w:highlight w:val="none"/>
        </w:rPr>
        <w:t>）供应商廉洁诚信承诺书</w:t>
      </w:r>
      <w:bookmarkEnd w:id="214"/>
      <w:bookmarkEnd w:id="215"/>
    </w:p>
    <w:p>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highlight w:val="none"/>
        </w:rPr>
      </w:pP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为维护公平竞争的市场秩序和公正透明的商业环境，保证与</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集团公司、各子公司以及各级分支机构（以下简称“</w:t>
      </w:r>
      <w:r>
        <w:rPr>
          <w:rFonts w:hint="eastAsia" w:ascii="仿宋" w:hAnsi="仿宋" w:eastAsia="仿宋" w:cs="仿宋"/>
          <w:color w:val="auto"/>
          <w:sz w:val="24"/>
          <w:highlight w:val="none"/>
          <w:lang w:eastAsia="zh-CN"/>
        </w:rPr>
        <w:t>中国人民保险</w:t>
      </w:r>
      <w:r>
        <w:rPr>
          <w:rFonts w:hint="eastAsia" w:ascii="仿宋" w:hAnsi="仿宋" w:eastAsia="仿宋" w:cs="仿宋"/>
          <w:color w:val="auto"/>
          <w:sz w:val="24"/>
          <w:highlight w:val="none"/>
        </w:rPr>
        <w:t>”）</w:t>
      </w:r>
      <w:r>
        <w:rPr>
          <w:rFonts w:hint="eastAsia" w:ascii="仿宋" w:hAnsi="仿宋" w:eastAsia="仿宋" w:cs="宋体"/>
          <w:color w:val="auto"/>
          <w:sz w:val="24"/>
          <w:highlight w:val="none"/>
        </w:rPr>
        <w:t>合作项目的顺利进行，我方作为参与</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的合作过程中郑重承诺如下：</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二、避免利害关系承诺。我们将在采购过程中主动申报与</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及相关主体的关联及利害关系，包括我们的相关主体与</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三、廉洁自律承诺。我们坚决不以任何形式为获取或意图获取交易机会、竞争优势或谋取不正当利益而向</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或相关主体实施商业贿赂或营私舞弊行为，包括但不限于：</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（2）为其安排有可能影响公平、公正交易的宴请、健身、娱乐等活动；</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（3）为其投资入股、个人借款或买卖股票、债券等提供方便；</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（6）向其提供借款、融资、担保等；</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（7）给予或承诺给予其不正当利益的其他行为；</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我们也不会以任何方式向</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出借、转让资质证书；</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伙同他人串标、围标或非法排挤竞争对手；</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七、配合监督承诺。我们将积极配合</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八、如违反上述承诺，我方自愿承担以下法律责任：</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（1）如我方及我方工作人员违反本承诺书承诺，</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（2）如我方及我方工作人员违反本承诺书承诺，</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及其子公司等所有关联主体有权限制或取消我方在</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参与</w:t>
      </w:r>
      <w:r>
        <w:rPr>
          <w:rFonts w:hint="eastAsia" w:ascii="仿宋" w:hAnsi="仿宋" w:eastAsia="仿宋" w:cs="宋体"/>
          <w:color w:val="auto"/>
          <w:sz w:val="24"/>
          <w:highlight w:val="none"/>
          <w:lang w:val="en-US" w:eastAsia="zh-CN"/>
        </w:rPr>
        <w:t>采购</w:t>
      </w:r>
      <w:r>
        <w:rPr>
          <w:rFonts w:hint="eastAsia" w:ascii="仿宋" w:hAnsi="仿宋" w:eastAsia="仿宋" w:cs="宋体"/>
          <w:color w:val="auto"/>
          <w:sz w:val="24"/>
          <w:highlight w:val="none"/>
        </w:rPr>
        <w:t>项目的资格；</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（3）如我方及我方工作人员违反本承诺书承诺，</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（4）如我方及我方工作人员违反本承诺书承诺，除承担前述（1）（2）（3）项责任外，</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highlight w:val="none"/>
        </w:rPr>
      </w:pP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本承诺书自承诺方签字和盖章之日起生效。如我方成功中选</w:t>
      </w:r>
      <w:r>
        <w:rPr>
          <w:rFonts w:hint="eastAsia" w:ascii="仿宋" w:hAnsi="仿宋" w:eastAsia="仿宋" w:cs="仿宋"/>
          <w:color w:val="auto"/>
          <w:sz w:val="24"/>
          <w:highlight w:val="none"/>
          <w:lang w:eastAsia="zh-CN"/>
        </w:rPr>
        <w:t>中国人民保险</w:t>
      </w:r>
      <w:r>
        <w:rPr>
          <w:rFonts w:hint="eastAsia" w:ascii="仿宋" w:hAnsi="仿宋" w:eastAsia="仿宋" w:cs="宋体"/>
          <w:color w:val="auto"/>
          <w:sz w:val="24"/>
          <w:highlight w:val="none"/>
        </w:rPr>
        <w:t>采购项目，将按</w:t>
      </w:r>
      <w:r>
        <w:rPr>
          <w:rFonts w:hint="eastAsia" w:ascii="仿宋" w:hAnsi="仿宋" w:eastAsia="仿宋" w:cs="宋体"/>
          <w:color w:val="auto"/>
          <w:sz w:val="24"/>
          <w:highlight w:val="none"/>
          <w:lang w:eastAsia="zh-CN"/>
        </w:rPr>
        <w:t>中国人民保险</w:t>
      </w:r>
      <w:r>
        <w:rPr>
          <w:rFonts w:hint="eastAsia" w:ascii="仿宋" w:hAnsi="仿宋" w:eastAsia="仿宋" w:cs="宋体"/>
          <w:color w:val="auto"/>
          <w:sz w:val="24"/>
          <w:highlight w:val="none"/>
        </w:rPr>
        <w:t>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highlight w:val="none"/>
        </w:rPr>
      </w:pPr>
    </w:p>
    <w:p>
      <w:pPr>
        <w:tabs>
          <w:tab w:val="left" w:pos="458"/>
        </w:tabs>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pPr>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法定代表人姓名、职务：__________________</w:t>
      </w:r>
    </w:p>
    <w:p>
      <w:pPr>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法定代表人或授权代表签字：______________</w:t>
      </w:r>
    </w:p>
    <w:p>
      <w:pPr>
        <w:spacing w:line="360" w:lineRule="auto"/>
        <w:ind w:firstLine="3578" w:firstLineChars="1491"/>
        <w:rPr>
          <w:rFonts w:ascii="仿宋" w:hAnsi="仿宋" w:eastAsia="仿宋" w:cs="仿宋"/>
          <w:color w:val="auto"/>
          <w:sz w:val="24"/>
          <w:szCs w:val="24"/>
          <w:highlight w:val="none"/>
        </w:rPr>
      </w:pPr>
      <w:r>
        <w:rPr>
          <w:rFonts w:hint="eastAsia" w:ascii="仿宋" w:hAnsi="仿宋" w:eastAsia="仿宋" w:cs="仿宋"/>
          <w:b w:val="0"/>
          <w:bCs w:val="0"/>
          <w:color w:val="auto"/>
          <w:kern w:val="2"/>
          <w:sz w:val="24"/>
          <w:szCs w:val="24"/>
          <w:highlight w:val="none"/>
          <w:lang w:val="en-US" w:eastAsia="zh-CN" w:bidi="ar-SA"/>
        </w:rPr>
        <w:t>日期：__________________________________</w:t>
      </w:r>
      <w:r>
        <w:rPr>
          <w:rFonts w:hint="eastAsia" w:ascii="仿宋" w:hAnsi="仿宋" w:eastAsia="仿宋" w:cs="仿宋"/>
          <w:color w:val="auto"/>
          <w:highlight w:val="none"/>
        </w:rPr>
        <w:br w:type="page"/>
      </w:r>
      <w:r>
        <w:rPr>
          <w:rStyle w:val="59"/>
          <w:rFonts w:hint="eastAsia" w:ascii="仿宋" w:hAnsi="仿宋" w:eastAsia="仿宋" w:cs="仿宋"/>
          <w:color w:val="auto"/>
          <w:sz w:val="24"/>
          <w:szCs w:val="24"/>
          <w:highlight w:val="none"/>
        </w:rPr>
        <w:t>（</w:t>
      </w:r>
      <w:r>
        <w:rPr>
          <w:rStyle w:val="59"/>
          <w:rFonts w:hint="eastAsia" w:ascii="仿宋" w:hAnsi="仿宋" w:eastAsia="仿宋" w:cs="仿宋"/>
          <w:color w:val="auto"/>
          <w:sz w:val="24"/>
          <w:szCs w:val="24"/>
          <w:highlight w:val="none"/>
          <w:lang w:val="en-US" w:eastAsia="zh-CN"/>
        </w:rPr>
        <w:t>九</w:t>
      </w:r>
      <w:r>
        <w:rPr>
          <w:rStyle w:val="59"/>
          <w:rFonts w:hint="eastAsia" w:ascii="仿宋" w:hAnsi="仿宋" w:eastAsia="仿宋" w:cs="仿宋"/>
          <w:color w:val="auto"/>
          <w:sz w:val="24"/>
          <w:szCs w:val="24"/>
          <w:highlight w:val="none"/>
        </w:rPr>
        <w:t>）其他材料</w:t>
      </w:r>
    </w:p>
    <w:p>
      <w:pPr>
        <w:spacing w:line="360" w:lineRule="auto"/>
        <w:rPr>
          <w:rFonts w:hint="eastAsia" w:ascii="宋体" w:hAnsi="宋体"/>
          <w:color w:val="auto"/>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bookmarkEnd w:id="204"/>
    <w:p>
      <w:pPr>
        <w:pStyle w:val="3"/>
        <w:ind w:firstLine="0" w:firstLineChars="0"/>
        <w:jc w:val="both"/>
        <w:rPr>
          <w:rFonts w:hint="eastAsia" w:ascii="仿宋" w:hAnsi="仿宋" w:eastAsia="仿宋" w:cs="仿宋"/>
          <w:color w:val="auto"/>
          <w:sz w:val="24"/>
          <w:szCs w:val="24"/>
          <w:highlight w:val="none"/>
        </w:rPr>
      </w:pPr>
      <w:bookmarkStart w:id="216" w:name="_Toc28698"/>
      <w:r>
        <w:rPr>
          <w:rFonts w:hint="eastAsia" w:ascii="仿宋" w:hAnsi="仿宋" w:eastAsia="仿宋" w:cs="仿宋"/>
          <w:color w:val="auto"/>
          <w:sz w:val="24"/>
          <w:szCs w:val="24"/>
          <w:highlight w:val="none"/>
        </w:rPr>
        <w:t>二、技术文件</w:t>
      </w:r>
      <w:bookmarkEnd w:id="205"/>
      <w:bookmarkEnd w:id="216"/>
    </w:p>
    <w:bookmarkEnd w:id="206"/>
    <w:bookmarkEnd w:id="207"/>
    <w:p>
      <w:pPr>
        <w:bidi w:val="0"/>
        <w:jc w:val="center"/>
        <w:rPr>
          <w:rFonts w:hint="eastAsia" w:ascii="仿宋" w:hAnsi="仿宋" w:eastAsia="仿宋" w:cs="仿宋"/>
          <w:b/>
          <w:bCs/>
          <w:color w:val="auto"/>
          <w:sz w:val="24"/>
          <w:szCs w:val="24"/>
          <w:highlight w:val="none"/>
        </w:rPr>
      </w:pPr>
      <w:bookmarkStart w:id="217" w:name="_Toc30870"/>
      <w:bookmarkStart w:id="218" w:name="_Toc23108"/>
      <w:r>
        <w:rPr>
          <w:rFonts w:hint="eastAsia" w:ascii="仿宋" w:hAnsi="仿宋" w:eastAsia="仿宋" w:cs="仿宋"/>
          <w:b/>
          <w:bCs/>
          <w:color w:val="auto"/>
          <w:sz w:val="24"/>
          <w:szCs w:val="24"/>
          <w:highlight w:val="none"/>
        </w:rPr>
        <w:t>详细评审索引表</w:t>
      </w:r>
      <w:bookmarkEnd w:id="217"/>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keepNext w:val="0"/>
              <w:keepLines w:val="0"/>
              <w:widowControl/>
              <w:suppressLineNumbers w:val="0"/>
              <w:spacing w:before="0" w:beforeAutospacing="0" w:after="0" w:afterAutospacing="0"/>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3</w:t>
            </w:r>
          </w:p>
        </w:tc>
        <w:tc>
          <w:tcPr>
            <w:tcW w:w="1696"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szCs w:val="21"/>
                <w:highlight w:val="none"/>
              </w:rPr>
              <w:t>（XX分）</w:t>
            </w:r>
          </w:p>
        </w:tc>
        <w:tc>
          <w:tcPr>
            <w:tcW w:w="2268"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18"/>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4</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18"/>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5</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18"/>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6</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18"/>
                <w:rFonts w:hint="default" w:cs="宋体"/>
                <w:color w:val="auto"/>
                <w:highlight w:val="none"/>
                <w:lang w:bidi="ar"/>
              </w:rPr>
            </w:pP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4"/>
        <w:numPr>
          <w:ilvl w:val="0"/>
          <w:numId w:val="0"/>
        </w:numPr>
        <w:spacing w:before="0" w:after="0" w:line="360" w:lineRule="auto"/>
        <w:rPr>
          <w:rFonts w:hint="eastAsia" w:ascii="仿宋" w:hAnsi="仿宋" w:eastAsia="仿宋" w:cs="仿宋"/>
          <w:color w:val="auto"/>
          <w:sz w:val="24"/>
          <w:szCs w:val="24"/>
          <w:highlight w:val="none"/>
        </w:rPr>
      </w:pPr>
      <w:bookmarkStart w:id="219" w:name="_Toc17302"/>
      <w:r>
        <w:rPr>
          <w:rFonts w:hint="eastAsia" w:ascii="仿宋" w:hAnsi="仿宋" w:eastAsia="仿宋" w:cs="仿宋"/>
          <w:color w:val="auto"/>
          <w:sz w:val="24"/>
          <w:szCs w:val="24"/>
          <w:highlight w:val="none"/>
        </w:rPr>
        <w:t>（一）采购需求应答偏离表</w:t>
      </w:r>
      <w:bookmarkEnd w:id="218"/>
      <w:bookmarkEnd w:id="219"/>
    </w:p>
    <w:p>
      <w:pPr>
        <w:spacing w:line="360" w:lineRule="auto"/>
        <w:jc w:val="center"/>
        <w:rPr>
          <w:rFonts w:hint="eastAsia" w:ascii="仿宋" w:hAnsi="仿宋" w:eastAsia="仿宋" w:cs="仿宋"/>
          <w:b/>
          <w:bCs/>
          <w:color w:val="auto"/>
          <w:sz w:val="24"/>
          <w:highlight w:val="none"/>
        </w:rPr>
      </w:pPr>
      <w:bookmarkStart w:id="220" w:name="_Toc125561188"/>
      <w:bookmarkStart w:id="221" w:name="_Toc293297544"/>
      <w:bookmarkStart w:id="222" w:name="_Toc125771198"/>
      <w:r>
        <w:rPr>
          <w:rFonts w:hint="eastAsia" w:ascii="仿宋" w:hAnsi="仿宋" w:eastAsia="仿宋" w:cs="仿宋"/>
          <w:b/>
          <w:bCs/>
          <w:color w:val="auto"/>
          <w:sz w:val="24"/>
          <w:highlight w:val="none"/>
        </w:rPr>
        <w:t>采购需求应答偏离表</w:t>
      </w:r>
      <w:bookmarkEnd w:id="220"/>
      <w:bookmarkEnd w:id="221"/>
      <w:bookmarkEnd w:id="222"/>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1"/>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注：</w:t>
      </w:r>
      <w:r>
        <w:rPr>
          <w:rFonts w:hint="eastAsia" w:ascii="仿宋" w:hAnsi="仿宋" w:eastAsia="仿宋" w:cs="Cambria Math"/>
          <w:color w:val="auto"/>
          <w:sz w:val="24"/>
          <w:highlight w:val="none"/>
        </w:rPr>
        <w:t>对于未列出的偏离内容视同供应商已完全接受</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文件的要求，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360" w:lineRule="auto"/>
        <w:ind w:left="480" w:hanging="480" w:hangingChars="200"/>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sz w:val="24"/>
          <w:highlight w:val="none"/>
        </w:rPr>
      </w:pPr>
    </w:p>
    <w:p>
      <w:pPr>
        <w:pStyle w:val="4"/>
        <w:numPr>
          <w:ilvl w:val="0"/>
          <w:numId w:val="0"/>
        </w:numPr>
        <w:spacing w:before="0" w:after="0" w:line="360" w:lineRule="auto"/>
        <w:ind w:left="1152" w:hanging="1152"/>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223" w:name="_Toc8284"/>
      <w:r>
        <w:rPr>
          <w:rFonts w:hint="eastAsia" w:ascii="仿宋" w:hAnsi="仿宋" w:eastAsia="仿宋" w:cs="仿宋"/>
          <w:color w:val="auto"/>
          <w:sz w:val="24"/>
          <w:szCs w:val="24"/>
          <w:highlight w:val="none"/>
        </w:rPr>
        <w:t>（二）技术方案</w:t>
      </w:r>
      <w:bookmarkEnd w:id="223"/>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供应商应根据采购需求的要求，提供相应的文件内容以及证明材料。 </w:t>
      </w:r>
      <w:bookmarkEnd w:id="191"/>
      <w:bookmarkEnd w:id="192"/>
      <w:bookmarkEnd w:id="193"/>
      <w:bookmarkEnd w:id="194"/>
      <w:bookmarkEnd w:id="195"/>
      <w:bookmarkEnd w:id="196"/>
      <w:bookmarkStart w:id="224" w:name="_Toc517281860"/>
      <w:bookmarkStart w:id="225" w:name="_Toc444891358"/>
      <w:r>
        <w:rPr>
          <w:rFonts w:hint="eastAsia" w:ascii="仿宋" w:hAnsi="仿宋" w:eastAsia="仿宋" w:cs="仿宋"/>
          <w:color w:val="auto"/>
          <w:sz w:val="24"/>
          <w:highlight w:val="none"/>
        </w:rPr>
        <w:br w:type="page"/>
      </w:r>
    </w:p>
    <w:p>
      <w:pPr>
        <w:pStyle w:val="5"/>
        <w:numPr>
          <w:ilvl w:val="0"/>
          <w:numId w:val="0"/>
        </w:numPr>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lang w:val="en-US" w:eastAsia="zh-CN"/>
        </w:rPr>
        <w:t>1、</w:t>
      </w:r>
      <w:r>
        <w:rPr>
          <w:rFonts w:hint="eastAsia" w:ascii="仿宋" w:hAnsi="仿宋" w:eastAsia="仿宋" w:cs="Cambria Math"/>
          <w:color w:val="auto"/>
          <w:sz w:val="24"/>
          <w:szCs w:val="24"/>
          <w:highlight w:val="none"/>
        </w:rPr>
        <w:t>拟派服务团队成员汇总表</w:t>
      </w:r>
    </w:p>
    <w:tbl>
      <w:tblPr>
        <w:tblStyle w:val="41"/>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注：需按照采购需求中的相关要求，列明本项目服务团队所有人员信息及职责分工。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lang w:val="en-US" w:eastAsia="zh-CN"/>
        </w:rPr>
        <w:t>2、</w:t>
      </w:r>
      <w:r>
        <w:rPr>
          <w:rFonts w:hint="eastAsia" w:ascii="仿宋" w:hAnsi="仿宋" w:eastAsia="仿宋" w:cs="Cambria Math"/>
          <w:color w:val="auto"/>
          <w:sz w:val="24"/>
          <w:szCs w:val="24"/>
          <w:highlight w:val="none"/>
        </w:rPr>
        <w:t>拟派团队成员简历表</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1680" w:type="dxa"/>
            <w:gridSpan w:val="3"/>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945"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945"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1854"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出 生 日 期</w:t>
            </w:r>
          </w:p>
        </w:tc>
        <w:tc>
          <w:tcPr>
            <w:tcW w:w="2694"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毕业院校及专业</w:t>
            </w:r>
          </w:p>
        </w:tc>
        <w:tc>
          <w:tcPr>
            <w:tcW w:w="3570" w:type="dxa"/>
            <w:gridSpan w:val="6"/>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1854" w:type="dxa"/>
            <w:gridSpan w:val="2"/>
            <w:noWrap w:val="0"/>
            <w:vAlign w:val="center"/>
          </w:tcPr>
          <w:p>
            <w:pPr>
              <w:keepNext w:val="0"/>
              <w:keepLines w:val="0"/>
              <w:suppressLineNumbers w:val="0"/>
              <w:spacing w:before="0" w:beforeAutospacing="0" w:after="0" w:afterAutospacing="0"/>
              <w:ind w:left="-18"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694" w:type="dxa"/>
            <w:noWrap w:val="0"/>
            <w:vAlign w:val="center"/>
          </w:tcPr>
          <w:p>
            <w:pPr>
              <w:keepNext w:val="0"/>
              <w:keepLines w:val="0"/>
              <w:suppressLineNumbers w:val="0"/>
              <w:spacing w:before="0" w:beforeAutospacing="0" w:after="0" w:afterAutospacing="0"/>
              <w:ind w:left="45"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1974"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2835" w:type="dxa"/>
            <w:gridSpan w:val="4"/>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为供应商服务时间</w:t>
            </w:r>
          </w:p>
        </w:tc>
        <w:tc>
          <w:tcPr>
            <w:tcW w:w="2694"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专业资质</w:t>
            </w:r>
          </w:p>
        </w:tc>
        <w:tc>
          <w:tcPr>
            <w:tcW w:w="1974"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2835" w:type="dxa"/>
            <w:gridSpan w:val="4"/>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在本项目中的职务</w:t>
            </w:r>
          </w:p>
        </w:tc>
        <w:tc>
          <w:tcPr>
            <w:tcW w:w="2694"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keepNext w:val="0"/>
              <w:keepLines w:val="0"/>
              <w:suppressLineNumbers w:val="0"/>
              <w:spacing w:before="0" w:beforeAutospacing="0" w:after="0" w:afterAutospacing="0"/>
              <w:ind w:left="0" w:right="0" w:firstLine="3360" w:firstLineChars="1400"/>
              <w:rPr>
                <w:rFonts w:hint="eastAsia" w:ascii="仿宋" w:hAnsi="仿宋" w:eastAsia="仿宋" w:cs="仿宋"/>
                <w:color w:val="auto"/>
                <w:sz w:val="24"/>
                <w:highlight w:val="none"/>
              </w:rPr>
            </w:pPr>
            <w:r>
              <w:rPr>
                <w:rFonts w:hint="eastAsia" w:ascii="仿宋" w:hAnsi="仿宋" w:eastAsia="仿宋" w:cs="仿宋"/>
                <w:color w:val="auto"/>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4536" w:type="dxa"/>
            <w:gridSpan w:val="6"/>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同类项目名称及简要描述</w:t>
            </w:r>
          </w:p>
        </w:tc>
        <w:tc>
          <w:tcPr>
            <w:tcW w:w="3261" w:type="dxa"/>
            <w:gridSpan w:val="2"/>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bl>
    <w:p>
      <w:pPr>
        <w:spacing w:before="24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w:t>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4"/>
        <w:numPr>
          <w:ilvl w:val="0"/>
          <w:numId w:val="0"/>
        </w:numPr>
        <w:spacing w:before="0" w:after="0" w:line="360" w:lineRule="auto"/>
        <w:rPr>
          <w:rFonts w:hint="eastAsia" w:ascii="仿宋" w:hAnsi="仿宋" w:eastAsia="仿宋" w:cs="仿宋"/>
          <w:color w:val="auto"/>
          <w:sz w:val="24"/>
          <w:szCs w:val="24"/>
          <w:highlight w:val="none"/>
        </w:rPr>
      </w:pPr>
      <w:bookmarkStart w:id="226" w:name="_Toc20365"/>
      <w:r>
        <w:rPr>
          <w:rFonts w:hint="eastAsia" w:ascii="仿宋" w:hAnsi="仿宋" w:eastAsia="仿宋" w:cs="仿宋"/>
          <w:color w:val="auto"/>
          <w:sz w:val="24"/>
          <w:szCs w:val="24"/>
          <w:highlight w:val="none"/>
        </w:rPr>
        <w:t>（三）</w:t>
      </w:r>
      <w:bookmarkEnd w:id="197"/>
      <w:bookmarkEnd w:id="198"/>
      <w:bookmarkEnd w:id="199"/>
      <w:bookmarkEnd w:id="200"/>
      <w:bookmarkEnd w:id="201"/>
      <w:bookmarkEnd w:id="202"/>
      <w:bookmarkEnd w:id="224"/>
      <w:bookmarkEnd w:id="225"/>
      <w:r>
        <w:rPr>
          <w:rFonts w:hint="eastAsia" w:ascii="仿宋" w:hAnsi="仿宋" w:eastAsia="仿宋" w:cs="仿宋"/>
          <w:color w:val="auto"/>
          <w:sz w:val="24"/>
          <w:szCs w:val="24"/>
          <w:highlight w:val="none"/>
        </w:rPr>
        <w:t>其他材料</w:t>
      </w:r>
      <w:bookmarkEnd w:id="226"/>
    </w:p>
    <w:p>
      <w:pPr>
        <w:spacing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p>
      <w:pPr>
        <w:spacing w:line="360" w:lineRule="auto"/>
        <w:rPr>
          <w:rFonts w:hint="eastAsia" w:ascii="仿宋" w:hAnsi="仿宋" w:eastAsia="仿宋" w:cs="仿宋"/>
          <w:color w:val="auto"/>
          <w:sz w:val="24"/>
          <w:highlight w:val="none"/>
        </w:rPr>
        <w:sectPr>
          <w:pgSz w:w="11906" w:h="16838"/>
          <w:pgMar w:top="1417" w:right="1134" w:bottom="1134" w:left="1134" w:header="964" w:footer="964" w:gutter="0"/>
          <w:cols w:space="720" w:num="1"/>
          <w:docGrid w:linePitch="312" w:charSpace="0"/>
        </w:sectPr>
      </w:pPr>
    </w:p>
    <w:p>
      <w:pPr>
        <w:pStyle w:val="3"/>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227" w:name="_Toc20443"/>
      <w:r>
        <w:rPr>
          <w:rFonts w:hint="eastAsia" w:ascii="仿宋" w:hAnsi="仿宋" w:eastAsia="仿宋" w:cs="仿宋"/>
          <w:color w:val="auto"/>
          <w:sz w:val="24"/>
          <w:szCs w:val="24"/>
          <w:highlight w:val="none"/>
        </w:rPr>
        <w:t>三、报价文件</w:t>
      </w:r>
      <w:bookmarkEnd w:id="227"/>
    </w:p>
    <w:p>
      <w:pPr>
        <w:pStyle w:val="4"/>
        <w:numPr>
          <w:ilvl w:val="5"/>
          <w:numId w:val="0"/>
        </w:numPr>
        <w:spacing w:line="360" w:lineRule="auto"/>
        <w:ind w:leftChars="0"/>
        <w:jc w:val="center"/>
        <w:rPr>
          <w:rFonts w:hint="eastAsia" w:ascii="仿宋" w:hAnsi="仿宋" w:eastAsia="仿宋" w:cs="仿宋"/>
          <w:color w:val="auto"/>
          <w:sz w:val="24"/>
          <w:szCs w:val="24"/>
          <w:highlight w:val="none"/>
        </w:rPr>
      </w:pPr>
      <w:bookmarkStart w:id="228" w:name="_Toc511726864"/>
      <w:bookmarkStart w:id="229" w:name="_Toc18942"/>
      <w:r>
        <w:rPr>
          <w:rFonts w:hint="eastAsia" w:ascii="仿宋" w:hAnsi="仿宋" w:eastAsia="仿宋" w:cs="仿宋"/>
          <w:color w:val="auto"/>
          <w:sz w:val="24"/>
          <w:szCs w:val="24"/>
          <w:highlight w:val="none"/>
        </w:rPr>
        <w:t>（一）报价</w:t>
      </w:r>
      <w:bookmarkEnd w:id="228"/>
      <w:r>
        <w:rPr>
          <w:rFonts w:hint="eastAsia" w:ascii="仿宋" w:hAnsi="仿宋" w:eastAsia="仿宋" w:cs="仿宋"/>
          <w:color w:val="auto"/>
          <w:sz w:val="24"/>
          <w:szCs w:val="24"/>
          <w:highlight w:val="none"/>
        </w:rPr>
        <w:t>一览表</w:t>
      </w:r>
      <w:bookmarkEnd w:id="229"/>
    </w:p>
    <w:p>
      <w:pPr>
        <w:widowControl/>
        <w:adjustRightInd w:val="0"/>
        <w:snapToGrid w:val="0"/>
        <w:spacing w:line="360" w:lineRule="auto"/>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rPr>
        <w:t>供应商名称</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u w:val="single"/>
          <w:lang w:val="en-US" w:eastAsia="zh-CN"/>
        </w:rPr>
        <w:t xml:space="preserve">                 </w:t>
      </w:r>
    </w:p>
    <w:p>
      <w:pPr>
        <w:widowControl/>
        <w:adjustRightInd w:val="0"/>
        <w:snapToGrid w:val="0"/>
        <w:spacing w:line="360" w:lineRule="auto"/>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p>
    <w:p>
      <w:pPr>
        <w:widowControl/>
        <w:adjustRightInd w:val="0"/>
        <w:snapToGrid w:val="0"/>
        <w:spacing w:line="360"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综合折扣百分比</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 xml:space="preserve"> </w:t>
      </w:r>
    </w:p>
    <w:tbl>
      <w:tblPr>
        <w:tblStyle w:val="178"/>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6"/>
        <w:gridCol w:w="1980"/>
        <w:gridCol w:w="2085"/>
        <w:gridCol w:w="1590"/>
        <w:gridCol w:w="2086"/>
        <w:gridCol w:w="9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2" w:hRule="atLeast"/>
          <w:jc w:val="center"/>
        </w:trPr>
        <w:tc>
          <w:tcPr>
            <w:tcW w:w="746" w:type="dxa"/>
            <w:vAlign w:val="center"/>
          </w:tcPr>
          <w:p>
            <w:pPr>
              <w:pStyle w:val="177"/>
              <w:widowControl/>
              <w:kinsoku w:val="0"/>
              <w:autoSpaceDE w:val="0"/>
              <w:autoSpaceDN w:val="0"/>
              <w:adjustRightInd w:val="0"/>
              <w:snapToGrid w:val="0"/>
              <w:spacing w:before="68" w:line="225" w:lineRule="auto"/>
              <w:jc w:val="center"/>
              <w:textAlignment w:val="baseline"/>
              <w:rPr>
                <w:rFonts w:hint="eastAsia" w:ascii="仿宋" w:hAnsi="仿宋" w:eastAsia="仿宋" w:cs="仿宋"/>
                <w:b/>
                <w:bCs/>
                <w:snapToGrid w:val="0"/>
                <w:color w:val="auto"/>
                <w:kern w:val="0"/>
                <w:sz w:val="24"/>
                <w:szCs w:val="24"/>
                <w:highlight w:val="none"/>
                <w:lang w:eastAsia="en-US"/>
              </w:rPr>
            </w:pPr>
            <w:r>
              <w:rPr>
                <w:rFonts w:hint="eastAsia" w:ascii="仿宋" w:hAnsi="仿宋" w:eastAsia="仿宋" w:cs="仿宋"/>
                <w:b/>
                <w:bCs/>
                <w:snapToGrid w:val="0"/>
                <w:color w:val="auto"/>
                <w:spacing w:val="-3"/>
                <w:kern w:val="0"/>
                <w:sz w:val="24"/>
                <w:szCs w:val="24"/>
                <w:highlight w:val="none"/>
                <w:lang w:eastAsia="en-US"/>
              </w:rPr>
              <w:t>序号</w:t>
            </w:r>
          </w:p>
        </w:tc>
        <w:tc>
          <w:tcPr>
            <w:tcW w:w="1980" w:type="dxa"/>
            <w:vAlign w:val="center"/>
          </w:tcPr>
          <w:p>
            <w:pPr>
              <w:pStyle w:val="177"/>
              <w:widowControl/>
              <w:kinsoku w:val="0"/>
              <w:autoSpaceDE w:val="0"/>
              <w:autoSpaceDN w:val="0"/>
              <w:adjustRightInd w:val="0"/>
              <w:snapToGrid w:val="0"/>
              <w:spacing w:before="68" w:line="360" w:lineRule="auto"/>
              <w:jc w:val="center"/>
              <w:textAlignment w:val="baseline"/>
              <w:rPr>
                <w:rFonts w:hint="eastAsia" w:ascii="仿宋" w:hAnsi="仿宋" w:eastAsia="仿宋" w:cs="仿宋"/>
                <w:b/>
                <w:bCs/>
                <w:snapToGrid w:val="0"/>
                <w:color w:val="auto"/>
                <w:kern w:val="0"/>
                <w:sz w:val="24"/>
                <w:szCs w:val="24"/>
                <w:highlight w:val="none"/>
                <w:lang w:eastAsia="en-US"/>
              </w:rPr>
            </w:pPr>
            <w:r>
              <w:rPr>
                <w:rFonts w:hint="eastAsia" w:ascii="仿宋" w:hAnsi="仿宋" w:eastAsia="仿宋" w:cs="仿宋"/>
                <w:b/>
                <w:bCs/>
                <w:snapToGrid w:val="0"/>
                <w:color w:val="auto"/>
                <w:spacing w:val="-3"/>
                <w:kern w:val="0"/>
                <w:sz w:val="24"/>
                <w:szCs w:val="24"/>
                <w:highlight w:val="none"/>
                <w:lang w:eastAsia="en-US"/>
              </w:rPr>
              <w:t>报价内容</w:t>
            </w:r>
          </w:p>
        </w:tc>
        <w:tc>
          <w:tcPr>
            <w:tcW w:w="2085" w:type="dxa"/>
            <w:vAlign w:val="center"/>
          </w:tcPr>
          <w:p>
            <w:pPr>
              <w:pStyle w:val="177"/>
              <w:widowControl/>
              <w:kinsoku w:val="0"/>
              <w:autoSpaceDE w:val="0"/>
              <w:autoSpaceDN w:val="0"/>
              <w:adjustRightInd w:val="0"/>
              <w:snapToGrid w:val="0"/>
              <w:spacing w:before="68" w:line="360" w:lineRule="auto"/>
              <w:jc w:val="center"/>
              <w:textAlignment w:val="baseline"/>
              <w:rPr>
                <w:rFonts w:hint="eastAsia" w:ascii="仿宋" w:hAnsi="仿宋" w:eastAsia="仿宋" w:cs="仿宋"/>
                <w:b/>
                <w:bCs/>
                <w:snapToGrid w:val="0"/>
                <w:color w:val="auto"/>
                <w:kern w:val="0"/>
                <w:sz w:val="24"/>
                <w:szCs w:val="24"/>
                <w:highlight w:val="none"/>
                <w:lang w:eastAsia="en-US"/>
              </w:rPr>
            </w:pPr>
            <w:r>
              <w:rPr>
                <w:rFonts w:hint="eastAsia" w:ascii="仿宋" w:hAnsi="仿宋" w:eastAsia="仿宋" w:cs="仿宋"/>
                <w:b/>
                <w:bCs/>
                <w:snapToGrid w:val="0"/>
                <w:color w:val="auto"/>
                <w:spacing w:val="-3"/>
                <w:kern w:val="0"/>
                <w:sz w:val="24"/>
                <w:szCs w:val="24"/>
                <w:highlight w:val="none"/>
                <w:lang w:eastAsia="en-US"/>
              </w:rPr>
              <w:t>含税投标报价（综合折扣）（%）</w:t>
            </w:r>
          </w:p>
        </w:tc>
        <w:tc>
          <w:tcPr>
            <w:tcW w:w="1590" w:type="dxa"/>
            <w:vAlign w:val="center"/>
          </w:tcPr>
          <w:p>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szCs w:val="24"/>
                <w:highlight w:val="none"/>
                <w:lang w:eastAsia="en-US"/>
              </w:rPr>
            </w:pPr>
            <w:r>
              <w:rPr>
                <w:rFonts w:hint="eastAsia" w:ascii="仿宋" w:hAnsi="仿宋" w:eastAsia="仿宋" w:cs="仿宋"/>
                <w:b/>
                <w:bCs/>
                <w:snapToGrid w:val="0"/>
                <w:color w:val="auto"/>
                <w:kern w:val="0"/>
                <w:sz w:val="24"/>
                <w:szCs w:val="24"/>
                <w:highlight w:val="none"/>
                <w:lang w:eastAsia="en-US"/>
              </w:rPr>
              <w:t>增值税率（%）</w:t>
            </w:r>
          </w:p>
        </w:tc>
        <w:tc>
          <w:tcPr>
            <w:tcW w:w="2086" w:type="dxa"/>
            <w:vAlign w:val="center"/>
          </w:tcPr>
          <w:p>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szCs w:val="24"/>
                <w:highlight w:val="none"/>
                <w:lang w:eastAsia="en-US"/>
              </w:rPr>
            </w:pPr>
            <w:r>
              <w:rPr>
                <w:rFonts w:hint="eastAsia" w:ascii="仿宋" w:hAnsi="仿宋" w:eastAsia="仿宋" w:cs="仿宋"/>
                <w:b/>
                <w:bCs/>
                <w:snapToGrid w:val="0"/>
                <w:color w:val="auto"/>
                <w:kern w:val="0"/>
                <w:sz w:val="24"/>
                <w:szCs w:val="24"/>
                <w:highlight w:val="none"/>
                <w:lang w:eastAsia="en-US"/>
              </w:rPr>
              <w:t>不含税投标报价（综合折扣）（%）</w:t>
            </w:r>
          </w:p>
        </w:tc>
        <w:tc>
          <w:tcPr>
            <w:tcW w:w="915" w:type="dxa"/>
            <w:vAlign w:val="center"/>
          </w:tcPr>
          <w:p>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szCs w:val="24"/>
                <w:highlight w:val="none"/>
                <w:lang w:eastAsia="en-US"/>
              </w:rPr>
            </w:pPr>
            <w:r>
              <w:rPr>
                <w:rFonts w:hint="eastAsia" w:ascii="仿宋" w:hAnsi="仿宋" w:eastAsia="仿宋" w:cs="仿宋"/>
                <w:b/>
                <w:bCs/>
                <w:snapToGrid w:val="0"/>
                <w:color w:val="auto"/>
                <w:kern w:val="0"/>
                <w:sz w:val="24"/>
                <w:szCs w:val="24"/>
                <w:highlight w:val="none"/>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jc w:val="center"/>
        </w:trPr>
        <w:tc>
          <w:tcPr>
            <w:tcW w:w="746" w:type="dxa"/>
            <w:vAlign w:val="center"/>
          </w:tcPr>
          <w:p>
            <w:pPr>
              <w:widowControl/>
              <w:kinsoku w:val="0"/>
              <w:autoSpaceDE w:val="0"/>
              <w:autoSpaceDN w:val="0"/>
              <w:adjustRightInd w:val="0"/>
              <w:snapToGrid w:val="0"/>
              <w:spacing w:line="302" w:lineRule="auto"/>
              <w:jc w:val="center"/>
              <w:textAlignment w:val="baseline"/>
              <w:rPr>
                <w:rFonts w:hint="eastAsia" w:ascii="仿宋" w:hAnsi="仿宋" w:eastAsia="仿宋" w:cs="仿宋"/>
                <w:snapToGrid w:val="0"/>
                <w:color w:val="auto"/>
                <w:kern w:val="0"/>
                <w:sz w:val="24"/>
                <w:szCs w:val="24"/>
                <w:highlight w:val="none"/>
                <w:lang w:eastAsia="en-US"/>
              </w:rPr>
            </w:pPr>
            <w:r>
              <w:rPr>
                <w:rFonts w:hint="eastAsia" w:ascii="仿宋" w:hAnsi="仿宋" w:eastAsia="仿宋" w:cs="仿宋"/>
                <w:snapToGrid w:val="0"/>
                <w:color w:val="auto"/>
                <w:kern w:val="0"/>
                <w:sz w:val="24"/>
                <w:szCs w:val="24"/>
                <w:highlight w:val="none"/>
                <w:lang w:eastAsia="en-US"/>
              </w:rPr>
              <w:t>1</w:t>
            </w:r>
          </w:p>
        </w:tc>
        <w:tc>
          <w:tcPr>
            <w:tcW w:w="1980" w:type="dxa"/>
            <w:vAlign w:val="center"/>
          </w:tcPr>
          <w:p>
            <w:pPr>
              <w:widowControl/>
              <w:kinsoku w:val="0"/>
              <w:autoSpaceDE w:val="0"/>
              <w:autoSpaceDN w:val="0"/>
              <w:adjustRightInd w:val="0"/>
              <w:snapToGrid w:val="0"/>
              <w:spacing w:line="302" w:lineRule="auto"/>
              <w:jc w:val="center"/>
              <w:textAlignment w:val="baseline"/>
              <w:rPr>
                <w:rFonts w:hint="eastAsia" w:ascii="仿宋" w:hAnsi="仿宋" w:eastAsia="仿宋" w:cs="仿宋"/>
                <w:snapToGrid w:val="0"/>
                <w:color w:val="auto"/>
                <w:kern w:val="0"/>
                <w:sz w:val="24"/>
                <w:szCs w:val="24"/>
                <w:highlight w:val="none"/>
                <w:lang w:eastAsia="en-US"/>
              </w:rPr>
            </w:pPr>
          </w:p>
        </w:tc>
        <w:tc>
          <w:tcPr>
            <w:tcW w:w="2085" w:type="dxa"/>
            <w:vAlign w:val="center"/>
          </w:tcPr>
          <w:p>
            <w:pPr>
              <w:widowControl/>
              <w:kinsoku w:val="0"/>
              <w:autoSpaceDE w:val="0"/>
              <w:autoSpaceDN w:val="0"/>
              <w:adjustRightInd w:val="0"/>
              <w:snapToGrid w:val="0"/>
              <w:spacing w:line="302" w:lineRule="auto"/>
              <w:jc w:val="center"/>
              <w:textAlignment w:val="baseline"/>
              <w:rPr>
                <w:rFonts w:hint="eastAsia" w:ascii="仿宋" w:hAnsi="仿宋" w:eastAsia="仿宋" w:cs="仿宋"/>
                <w:snapToGrid w:val="0"/>
                <w:color w:val="auto"/>
                <w:kern w:val="0"/>
                <w:sz w:val="24"/>
                <w:szCs w:val="24"/>
                <w:highlight w:val="none"/>
                <w:lang w:eastAsia="en-US"/>
              </w:rPr>
            </w:pPr>
          </w:p>
        </w:tc>
        <w:tc>
          <w:tcPr>
            <w:tcW w:w="1590" w:type="dxa"/>
            <w:vAlign w:val="center"/>
          </w:tcPr>
          <w:p>
            <w:pPr>
              <w:widowControl/>
              <w:kinsoku w:val="0"/>
              <w:autoSpaceDE w:val="0"/>
              <w:autoSpaceDN w:val="0"/>
              <w:adjustRightInd w:val="0"/>
              <w:snapToGrid w:val="0"/>
              <w:spacing w:line="302" w:lineRule="auto"/>
              <w:jc w:val="center"/>
              <w:textAlignment w:val="baseline"/>
              <w:rPr>
                <w:rFonts w:hint="eastAsia" w:ascii="仿宋" w:hAnsi="仿宋" w:eastAsia="仿宋" w:cs="仿宋"/>
                <w:snapToGrid w:val="0"/>
                <w:color w:val="auto"/>
                <w:kern w:val="0"/>
                <w:sz w:val="24"/>
                <w:szCs w:val="24"/>
                <w:highlight w:val="none"/>
                <w:lang w:eastAsia="en-US"/>
              </w:rPr>
            </w:pPr>
          </w:p>
        </w:tc>
        <w:tc>
          <w:tcPr>
            <w:tcW w:w="2086" w:type="dxa"/>
            <w:vAlign w:val="center"/>
          </w:tcPr>
          <w:p>
            <w:pPr>
              <w:widowControl/>
              <w:kinsoku w:val="0"/>
              <w:autoSpaceDE w:val="0"/>
              <w:autoSpaceDN w:val="0"/>
              <w:adjustRightInd w:val="0"/>
              <w:snapToGrid w:val="0"/>
              <w:spacing w:line="302" w:lineRule="auto"/>
              <w:jc w:val="center"/>
              <w:textAlignment w:val="baseline"/>
              <w:rPr>
                <w:rFonts w:hint="eastAsia" w:ascii="仿宋" w:hAnsi="仿宋" w:eastAsia="仿宋" w:cs="仿宋"/>
                <w:snapToGrid w:val="0"/>
                <w:color w:val="auto"/>
                <w:kern w:val="0"/>
                <w:sz w:val="24"/>
                <w:szCs w:val="24"/>
                <w:highlight w:val="none"/>
                <w:lang w:eastAsia="en-US"/>
              </w:rPr>
            </w:pPr>
          </w:p>
        </w:tc>
        <w:tc>
          <w:tcPr>
            <w:tcW w:w="915" w:type="dxa"/>
            <w:vAlign w:val="center"/>
          </w:tcPr>
          <w:p>
            <w:pPr>
              <w:widowControl/>
              <w:kinsoku w:val="0"/>
              <w:autoSpaceDE w:val="0"/>
              <w:autoSpaceDN w:val="0"/>
              <w:adjustRightInd w:val="0"/>
              <w:snapToGrid w:val="0"/>
              <w:spacing w:line="302" w:lineRule="auto"/>
              <w:jc w:val="center"/>
              <w:textAlignment w:val="baseline"/>
              <w:rPr>
                <w:rFonts w:hint="eastAsia" w:ascii="仿宋" w:hAnsi="仿宋" w:eastAsia="仿宋" w:cs="仿宋"/>
                <w:snapToGrid w:val="0"/>
                <w:color w:val="auto"/>
                <w:kern w:val="0"/>
                <w:sz w:val="24"/>
                <w:szCs w:val="24"/>
                <w:highlight w:val="none"/>
                <w:lang w:eastAsia="en-US"/>
              </w:rPr>
            </w:pPr>
          </w:p>
        </w:tc>
      </w:tr>
    </w:tbl>
    <w:p>
      <w:pPr>
        <w:pStyle w:val="40"/>
        <w:ind w:left="0" w:leftChars="0" w:firstLine="0" w:firstLineChars="0"/>
        <w:rPr>
          <w:rFonts w:hint="eastAsia"/>
          <w:color w:val="auto"/>
          <w:highlight w:val="none"/>
        </w:rPr>
      </w:pPr>
    </w:p>
    <w:p>
      <w:pPr>
        <w:widowControl/>
        <w:jc w:val="both"/>
        <w:textAlignment w:val="center"/>
        <w:rPr>
          <w:rFonts w:hint="eastAsia" w:ascii="仿宋" w:hAnsi="仿宋" w:eastAsia="仿宋" w:cs="仿宋"/>
          <w:color w:val="auto"/>
          <w:kern w:val="0"/>
          <w:szCs w:val="21"/>
          <w:highlight w:val="none"/>
          <w:lang w:bidi="ar"/>
        </w:rPr>
      </w:pP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pPr>
        <w:numPr>
          <w:ilvl w:val="0"/>
          <w:numId w:val="0"/>
        </w:numPr>
        <w:spacing w:line="360" w:lineRule="auto"/>
        <w:rPr>
          <w:rFonts w:hint="eastAsia" w:ascii="仿宋" w:hAnsi="仿宋" w:eastAsia="仿宋"/>
          <w:b/>
          <w:bCs w:val="0"/>
          <w:color w:val="auto"/>
          <w:sz w:val="24"/>
          <w:highlight w:val="none"/>
        </w:rPr>
      </w:pPr>
      <w:r>
        <w:rPr>
          <w:rFonts w:hint="eastAsia" w:ascii="仿宋" w:hAnsi="仿宋" w:eastAsia="仿宋"/>
          <w:b/>
          <w:bCs w:val="0"/>
          <w:color w:val="auto"/>
          <w:sz w:val="24"/>
          <w:highlight w:val="none"/>
          <w:lang w:val="en-US" w:eastAsia="zh-CN"/>
        </w:rPr>
        <w:t>1.</w:t>
      </w:r>
      <w:r>
        <w:rPr>
          <w:rFonts w:hint="eastAsia" w:ascii="仿宋" w:hAnsi="仿宋" w:eastAsia="仿宋"/>
          <w:b/>
          <w:bCs w:val="0"/>
          <w:color w:val="auto"/>
          <w:sz w:val="24"/>
          <w:highlight w:val="none"/>
        </w:rPr>
        <w:t>本次报价精确到小数点后两位（四舍五入）。</w:t>
      </w:r>
    </w:p>
    <w:p>
      <w:pPr>
        <w:pStyle w:val="108"/>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
          <w:bCs w:val="0"/>
          <w:color w:val="auto"/>
          <w:sz w:val="24"/>
          <w:highlight w:val="none"/>
          <w:lang w:val="en-US" w:eastAsia="zh-CN"/>
        </w:rPr>
        <w:t>2.含税价=不含税价*(1+税率)</w:t>
      </w:r>
      <w:r>
        <w:rPr>
          <w:rFonts w:hint="eastAsia" w:ascii="仿宋" w:hAnsi="仿宋" w:eastAsia="仿宋" w:cs="宋体"/>
          <w:bCs/>
          <w:color w:val="auto"/>
          <w:sz w:val="24"/>
          <w:highlight w:val="none"/>
          <w:lang w:val="en-US" w:eastAsia="zh-CN"/>
        </w:rPr>
        <w:t>，若报价与此公式不符，增值税专用发票以不含税</w:t>
      </w:r>
    </w:p>
    <w:p>
      <w:pPr>
        <w:pStyle w:val="108"/>
        <w:numPr>
          <w:ilvl w:val="0"/>
          <w:numId w:val="0"/>
        </w:numPr>
        <w:spacing w:line="360" w:lineRule="auto"/>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价为准进行修正,增值税普通发票以含税价进行修正。</w:t>
      </w:r>
    </w:p>
    <w:p>
      <w:pPr>
        <w:pStyle w:val="108"/>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3.后续如因国家税率调整，专票以不含税价不变进行调整，普票以含税价不变进行</w:t>
      </w:r>
    </w:p>
    <w:p>
      <w:pPr>
        <w:pStyle w:val="108"/>
        <w:numPr>
          <w:ilvl w:val="0"/>
          <w:numId w:val="0"/>
        </w:numPr>
        <w:spacing w:line="360" w:lineRule="auto"/>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调整。</w:t>
      </w:r>
    </w:p>
    <w:p>
      <w:pPr>
        <w:spacing w:line="360" w:lineRule="auto"/>
        <w:jc w:val="both"/>
        <w:rPr>
          <w:rFonts w:hint="eastAsia" w:ascii="仿宋" w:hAnsi="仿宋" w:eastAsia="仿宋" w:cs="仿宋"/>
          <w:color w:val="auto"/>
          <w:sz w:val="24"/>
          <w:highlight w:val="none"/>
        </w:rPr>
      </w:pPr>
    </w:p>
    <w:p>
      <w:pPr>
        <w:numPr>
          <w:ilvl w:val="0"/>
          <w:numId w:val="1"/>
        </w:numPr>
        <w:spacing w:line="440" w:lineRule="exact"/>
        <w:jc w:val="right"/>
        <w:rPr>
          <w:rFonts w:ascii="仿宋" w:hAnsi="仿宋" w:eastAsia="仿宋" w:cs="宋体"/>
          <w:color w:val="auto"/>
          <w:sz w:val="24"/>
          <w:highlight w:val="none"/>
        </w:rPr>
      </w:pPr>
      <w:bookmarkStart w:id="230" w:name="_Toc530319762"/>
      <w:bookmarkStart w:id="231" w:name="_Toc482180015"/>
      <w:bookmarkStart w:id="232" w:name="_Toc16591840"/>
      <w:bookmarkStart w:id="233" w:name="_Toc518302646"/>
      <w:bookmarkStart w:id="234" w:name="_Toc517281864"/>
      <w:bookmarkStart w:id="235" w:name="_Toc2267055"/>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pPr>
        <w:pStyle w:val="4"/>
        <w:numPr>
          <w:ilvl w:val="5"/>
          <w:numId w:val="0"/>
        </w:numPr>
        <w:spacing w:line="360" w:lineRule="auto"/>
        <w:ind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230"/>
      <w:bookmarkEnd w:id="231"/>
      <w:bookmarkEnd w:id="232"/>
      <w:bookmarkEnd w:id="233"/>
      <w:bookmarkEnd w:id="234"/>
      <w:bookmarkEnd w:id="235"/>
      <w:bookmarkStart w:id="236" w:name="_Toc15457"/>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分项报价表</w:t>
      </w:r>
      <w:bookmarkEnd w:id="236"/>
    </w:p>
    <w:p>
      <w:pPr>
        <w:widowControl/>
        <w:adjustRightInd w:val="0"/>
        <w:snapToGrid w:val="0"/>
        <w:spacing w:line="360" w:lineRule="auto"/>
        <w:rPr>
          <w:rFonts w:hint="eastAsia" w:ascii="仿宋" w:hAnsi="仿宋" w:eastAsia="仿宋" w:cstheme="minorEastAsia"/>
          <w:color w:val="auto"/>
          <w:kern w:val="0"/>
          <w:sz w:val="24"/>
          <w:szCs w:val="24"/>
          <w:highlight w:val="none"/>
        </w:rPr>
      </w:pPr>
      <w:r>
        <w:rPr>
          <w:rFonts w:hint="eastAsia" w:ascii="仿宋" w:hAnsi="仿宋" w:eastAsia="仿宋" w:cstheme="minorEastAsia"/>
          <w:color w:val="auto"/>
          <w:kern w:val="0"/>
          <w:sz w:val="24"/>
          <w:szCs w:val="24"/>
          <w:highlight w:val="none"/>
        </w:rPr>
        <w:t>（可以根据项目实际情况选择是否设置）</w:t>
      </w:r>
    </w:p>
    <w:p>
      <w:pPr>
        <w:widowControl/>
        <w:adjustRightInd w:val="0"/>
        <w:snapToGrid w:val="0"/>
        <w:spacing w:line="360" w:lineRule="auto"/>
        <w:rPr>
          <w:rFonts w:hint="default" w:ascii="仿宋" w:hAnsi="仿宋" w:eastAsia="仿宋" w:cstheme="minorEastAsia"/>
          <w:color w:val="auto"/>
          <w:kern w:val="0"/>
          <w:sz w:val="24"/>
          <w:szCs w:val="24"/>
          <w:highlight w:val="none"/>
          <w:u w:val="single"/>
          <w:lang w:val="en-US" w:eastAsia="zh-CN"/>
        </w:rPr>
      </w:pPr>
      <w:r>
        <w:rPr>
          <w:rFonts w:hint="eastAsia" w:ascii="仿宋" w:hAnsi="仿宋" w:eastAsia="仿宋" w:cstheme="minorEastAsia"/>
          <w:color w:val="auto"/>
          <w:kern w:val="0"/>
          <w:sz w:val="24"/>
          <w:szCs w:val="24"/>
          <w:highlight w:val="none"/>
        </w:rPr>
        <w:t>供应商名称：</w:t>
      </w:r>
      <w:r>
        <w:rPr>
          <w:rFonts w:hint="eastAsia" w:ascii="仿宋" w:hAnsi="仿宋" w:eastAsia="仿宋" w:cstheme="minorEastAsia"/>
          <w:color w:val="auto"/>
          <w:kern w:val="0"/>
          <w:sz w:val="24"/>
          <w:szCs w:val="24"/>
          <w:highlight w:val="none"/>
          <w:u w:val="single"/>
          <w:lang w:val="en-US" w:eastAsia="zh-CN"/>
        </w:rPr>
        <w:t xml:space="preserve">            </w:t>
      </w:r>
    </w:p>
    <w:p>
      <w:pPr>
        <w:widowControl/>
        <w:adjustRightInd w:val="0"/>
        <w:snapToGrid w:val="0"/>
        <w:spacing w:line="360" w:lineRule="auto"/>
        <w:rPr>
          <w:rFonts w:hint="default" w:ascii="仿宋" w:hAnsi="仿宋" w:eastAsia="仿宋" w:cstheme="minorEastAsia"/>
          <w:color w:val="auto"/>
          <w:kern w:val="0"/>
          <w:sz w:val="24"/>
          <w:szCs w:val="24"/>
          <w:highlight w:val="none"/>
          <w:u w:val="single"/>
          <w:lang w:val="en-US" w:eastAsia="zh-CN"/>
        </w:rPr>
      </w:pPr>
      <w:r>
        <w:rPr>
          <w:rFonts w:hint="eastAsia" w:ascii="仿宋" w:hAnsi="仿宋" w:eastAsia="仿宋" w:cstheme="minorEastAsia"/>
          <w:color w:val="auto"/>
          <w:kern w:val="0"/>
          <w:sz w:val="24"/>
          <w:szCs w:val="24"/>
          <w:highlight w:val="none"/>
        </w:rPr>
        <w:t>项目名称：</w:t>
      </w:r>
      <w:r>
        <w:rPr>
          <w:rFonts w:hint="eastAsia" w:ascii="仿宋" w:hAnsi="仿宋" w:eastAsia="仿宋" w:cstheme="minorEastAsia"/>
          <w:color w:val="auto"/>
          <w:kern w:val="0"/>
          <w:sz w:val="24"/>
          <w:szCs w:val="24"/>
          <w:highlight w:val="none"/>
          <w:u w:val="single"/>
          <w:lang w:val="en-US" w:eastAsia="zh-CN"/>
        </w:rPr>
        <w:t xml:space="preserve">              </w:t>
      </w:r>
    </w:p>
    <w:p>
      <w:pPr>
        <w:widowControl/>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widowControl/>
        <w:adjustRightInd w:val="0"/>
        <w:snapToGrid w:val="0"/>
        <w:spacing w:line="360" w:lineRule="auto"/>
        <w:rPr>
          <w:rFonts w:hint="eastAsia" w:ascii="仿宋" w:hAnsi="仿宋" w:eastAsia="仿宋"/>
          <w:color w:val="auto"/>
          <w:highlight w:val="none"/>
          <w:u w:val="none"/>
          <w:lang w:val="en-US" w:eastAsia="zh-CN"/>
        </w:rPr>
      </w:pPr>
      <w:r>
        <w:rPr>
          <w:rFonts w:hint="eastAsia" w:ascii="仿宋" w:hAnsi="仿宋" w:eastAsia="仿宋" w:cstheme="minorEastAsia"/>
          <w:color w:val="auto"/>
          <w:kern w:val="0"/>
          <w:sz w:val="24"/>
          <w:szCs w:val="24"/>
          <w:highlight w:val="none"/>
        </w:rPr>
        <w:t>示例表 1：</w:t>
      </w:r>
      <w:r>
        <w:rPr>
          <w:rFonts w:hint="eastAsia" w:ascii="仿宋" w:hAnsi="仿宋" w:eastAsia="仿宋" w:cs="仿宋"/>
          <w:color w:val="auto"/>
          <w:sz w:val="24"/>
          <w:szCs w:val="24"/>
          <w:highlight w:val="none"/>
          <w:u w:val="none"/>
        </w:rPr>
        <w:t xml:space="preserve"> </w:t>
      </w:r>
    </w:p>
    <w:tbl>
      <w:tblPr>
        <w:tblStyle w:val="41"/>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00"/>
        <w:gridCol w:w="2096"/>
        <w:gridCol w:w="1211"/>
        <w:gridCol w:w="1211"/>
        <w:gridCol w:w="1211"/>
        <w:gridCol w:w="1211"/>
        <w:gridCol w:w="12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700"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服务项目</w:t>
            </w: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规模</w:t>
            </w:r>
          </w:p>
        </w:tc>
        <w:tc>
          <w:tcPr>
            <w:tcW w:w="1211"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含税报价限价(元/次）</w:t>
            </w:r>
          </w:p>
        </w:tc>
        <w:tc>
          <w:tcPr>
            <w:tcW w:w="1211"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lang w:val="en-US" w:eastAsia="zh-CN" w:bidi="ar"/>
              </w:rPr>
            </w:pPr>
            <w:r>
              <w:rPr>
                <w:rFonts w:hint="eastAsia" w:ascii="仿宋" w:hAnsi="仿宋" w:eastAsia="仿宋" w:cs="仿宋"/>
                <w:b/>
                <w:bCs/>
                <w:snapToGrid w:val="0"/>
                <w:color w:val="auto"/>
                <w:spacing w:val="-3"/>
                <w:kern w:val="0"/>
                <w:sz w:val="24"/>
                <w:szCs w:val="24"/>
                <w:highlight w:val="none"/>
                <w:lang w:eastAsia="en-US"/>
              </w:rPr>
              <w:t>含税投标报价（综合折扣）（%）</w:t>
            </w:r>
          </w:p>
        </w:tc>
        <w:tc>
          <w:tcPr>
            <w:tcW w:w="1211"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lang w:val="en-US" w:eastAsia="zh-CN" w:bidi="ar"/>
              </w:rPr>
            </w:pPr>
            <w:r>
              <w:rPr>
                <w:rFonts w:hint="eastAsia" w:ascii="仿宋" w:hAnsi="仿宋" w:eastAsia="仿宋" w:cs="仿宋"/>
                <w:b/>
                <w:bCs/>
                <w:snapToGrid w:val="0"/>
                <w:color w:val="auto"/>
                <w:spacing w:val="-3"/>
                <w:kern w:val="0"/>
                <w:sz w:val="24"/>
                <w:szCs w:val="24"/>
                <w:highlight w:val="none"/>
                <w:lang w:eastAsia="en-US"/>
              </w:rPr>
              <w:t>含税投标报价</w:t>
            </w:r>
            <w:r>
              <w:rPr>
                <w:rFonts w:hint="eastAsia" w:ascii="仿宋" w:hAnsi="仿宋" w:eastAsia="仿宋" w:cs="仿宋"/>
                <w:b/>
                <w:bCs/>
                <w:snapToGrid w:val="0"/>
                <w:color w:val="auto"/>
                <w:spacing w:val="-3"/>
                <w:kern w:val="0"/>
                <w:sz w:val="24"/>
                <w:szCs w:val="24"/>
                <w:highlight w:val="none"/>
                <w:lang w:eastAsia="zh-CN"/>
              </w:rPr>
              <w:t>（</w:t>
            </w:r>
            <w:r>
              <w:rPr>
                <w:rFonts w:hint="eastAsia" w:ascii="仿宋" w:hAnsi="仿宋" w:eastAsia="仿宋" w:cs="仿宋"/>
                <w:b/>
                <w:bCs/>
                <w:snapToGrid w:val="0"/>
                <w:color w:val="auto"/>
                <w:spacing w:val="-3"/>
                <w:kern w:val="0"/>
                <w:sz w:val="24"/>
                <w:szCs w:val="24"/>
                <w:highlight w:val="none"/>
                <w:lang w:val="en-US" w:eastAsia="zh-CN"/>
              </w:rPr>
              <w:t>单价</w:t>
            </w:r>
            <w:r>
              <w:rPr>
                <w:rFonts w:hint="eastAsia" w:ascii="仿宋" w:hAnsi="仿宋" w:eastAsia="仿宋" w:cs="仿宋"/>
                <w:b/>
                <w:bCs/>
                <w:snapToGrid w:val="0"/>
                <w:color w:val="auto"/>
                <w:spacing w:val="-3"/>
                <w:kern w:val="0"/>
                <w:sz w:val="24"/>
                <w:szCs w:val="24"/>
                <w:highlight w:val="none"/>
                <w:lang w:eastAsia="zh-CN"/>
              </w:rPr>
              <w:t>）</w:t>
            </w:r>
          </w:p>
        </w:tc>
        <w:tc>
          <w:tcPr>
            <w:tcW w:w="1211"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b/>
                <w:bCs/>
                <w:i w:val="0"/>
                <w:iCs w:val="0"/>
                <w:color w:val="000000"/>
                <w:kern w:val="2"/>
                <w:sz w:val="21"/>
                <w:szCs w:val="21"/>
                <w:u w:val="none"/>
                <w:lang w:val="en-US" w:eastAsia="en-US" w:bidi="ar"/>
              </w:rPr>
            </w:pPr>
            <w:r>
              <w:rPr>
                <w:rFonts w:hint="eastAsia" w:ascii="仿宋" w:hAnsi="仿宋" w:eastAsia="仿宋" w:cs="仿宋"/>
                <w:b/>
                <w:bCs/>
                <w:snapToGrid w:val="0"/>
                <w:color w:val="auto"/>
                <w:spacing w:val="-3"/>
                <w:kern w:val="0"/>
                <w:sz w:val="24"/>
                <w:szCs w:val="24"/>
                <w:highlight w:val="none"/>
                <w:lang w:val="en-US" w:eastAsia="zh-CN"/>
              </w:rPr>
              <w:t>不</w:t>
            </w:r>
            <w:r>
              <w:rPr>
                <w:rFonts w:hint="eastAsia" w:ascii="仿宋" w:hAnsi="仿宋" w:eastAsia="仿宋" w:cs="仿宋"/>
                <w:b/>
                <w:bCs/>
                <w:snapToGrid w:val="0"/>
                <w:color w:val="auto"/>
                <w:spacing w:val="-3"/>
                <w:kern w:val="0"/>
                <w:sz w:val="24"/>
                <w:szCs w:val="24"/>
                <w:highlight w:val="none"/>
                <w:lang w:eastAsia="en-US"/>
              </w:rPr>
              <w:t>含税投标报价（综合折扣）（%）</w:t>
            </w:r>
          </w:p>
        </w:tc>
        <w:tc>
          <w:tcPr>
            <w:tcW w:w="1211"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b/>
                <w:bCs/>
                <w:i w:val="0"/>
                <w:iCs w:val="0"/>
                <w:color w:val="000000"/>
                <w:kern w:val="2"/>
                <w:sz w:val="21"/>
                <w:szCs w:val="21"/>
                <w:u w:val="none"/>
                <w:lang w:val="en-US" w:eastAsia="en-US" w:bidi="ar"/>
              </w:rPr>
            </w:pPr>
            <w:r>
              <w:rPr>
                <w:rFonts w:hint="eastAsia" w:ascii="仿宋" w:hAnsi="仿宋" w:eastAsia="仿宋" w:cs="仿宋"/>
                <w:b/>
                <w:bCs/>
                <w:snapToGrid w:val="0"/>
                <w:color w:val="auto"/>
                <w:spacing w:val="-3"/>
                <w:kern w:val="0"/>
                <w:sz w:val="24"/>
                <w:szCs w:val="24"/>
                <w:highlight w:val="none"/>
                <w:lang w:val="en-US" w:eastAsia="zh-CN"/>
              </w:rPr>
              <w:t>不</w:t>
            </w:r>
            <w:r>
              <w:rPr>
                <w:rFonts w:hint="eastAsia" w:ascii="仿宋" w:hAnsi="仿宋" w:eastAsia="仿宋" w:cs="仿宋"/>
                <w:b/>
                <w:bCs/>
                <w:snapToGrid w:val="0"/>
                <w:color w:val="auto"/>
                <w:spacing w:val="-3"/>
                <w:kern w:val="0"/>
                <w:sz w:val="24"/>
                <w:szCs w:val="24"/>
                <w:highlight w:val="none"/>
                <w:lang w:eastAsia="en-US"/>
              </w:rPr>
              <w:t>含税投标报价</w:t>
            </w:r>
            <w:r>
              <w:rPr>
                <w:rFonts w:hint="eastAsia" w:ascii="仿宋" w:hAnsi="仿宋" w:eastAsia="仿宋" w:cs="仿宋"/>
                <w:b/>
                <w:bCs/>
                <w:snapToGrid w:val="0"/>
                <w:color w:val="auto"/>
                <w:spacing w:val="-3"/>
                <w:kern w:val="0"/>
                <w:sz w:val="24"/>
                <w:szCs w:val="24"/>
                <w:highlight w:val="none"/>
                <w:lang w:eastAsia="zh-CN"/>
              </w:rPr>
              <w:t>（</w:t>
            </w:r>
            <w:r>
              <w:rPr>
                <w:rFonts w:hint="eastAsia" w:ascii="仿宋" w:hAnsi="仿宋" w:eastAsia="仿宋" w:cs="仿宋"/>
                <w:b/>
                <w:bCs/>
                <w:snapToGrid w:val="0"/>
                <w:color w:val="auto"/>
                <w:spacing w:val="-3"/>
                <w:kern w:val="0"/>
                <w:sz w:val="24"/>
                <w:szCs w:val="24"/>
                <w:highlight w:val="none"/>
                <w:lang w:val="en-US" w:eastAsia="zh-CN"/>
              </w:rPr>
              <w:t>单价</w:t>
            </w:r>
            <w:r>
              <w:rPr>
                <w:rFonts w:hint="eastAsia" w:ascii="仿宋" w:hAnsi="仿宋" w:eastAsia="仿宋" w:cs="仿宋"/>
                <w:b/>
                <w:bCs/>
                <w:snapToGrid w:val="0"/>
                <w:color w:val="auto"/>
                <w:spacing w:val="-3"/>
                <w:kern w:val="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7" w:hRule="atLeast"/>
          <w:jc w:val="center"/>
        </w:trPr>
        <w:tc>
          <w:tcPr>
            <w:tcW w:w="1700"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b/>
                <w:bCs/>
                <w:i w:val="0"/>
                <w:iCs w:val="0"/>
                <w:color w:val="000000"/>
                <w:kern w:val="2"/>
                <w:sz w:val="21"/>
                <w:szCs w:val="21"/>
                <w:u w:val="none"/>
                <w:lang w:val="en-US" w:eastAsia="zh-CN" w:bidi="ar-SA"/>
              </w:rPr>
            </w:pPr>
            <w:r>
              <w:rPr>
                <w:rFonts w:hint="eastAsia" w:ascii="仿宋" w:hAnsi="仿宋" w:eastAsia="仿宋" w:cs="仿宋"/>
                <w:b/>
                <w:bCs/>
                <w:i w:val="0"/>
                <w:iCs w:val="0"/>
                <w:color w:val="000000"/>
                <w:sz w:val="21"/>
                <w:szCs w:val="21"/>
                <w:u w:val="none"/>
                <w:lang w:val="en-US" w:eastAsia="zh-CN" w:bidi="ar"/>
              </w:rPr>
              <w:t>安全生产宣传教育培训</w:t>
            </w:r>
          </w:p>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单次培训≤30人</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7" w:hRule="atLeast"/>
          <w:jc w:val="center"/>
        </w:trPr>
        <w:tc>
          <w:tcPr>
            <w:tcW w:w="1700"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单次培训＞30人</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700"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b/>
                <w:bCs/>
                <w:i w:val="0"/>
                <w:iCs w:val="0"/>
                <w:color w:val="000000"/>
                <w:kern w:val="2"/>
                <w:sz w:val="21"/>
                <w:szCs w:val="21"/>
                <w:u w:val="none"/>
                <w:lang w:val="en-US" w:eastAsia="zh-CN" w:bidi="ar-SA"/>
              </w:rPr>
            </w:pPr>
            <w:r>
              <w:rPr>
                <w:rFonts w:hint="eastAsia" w:ascii="仿宋" w:hAnsi="仿宋" w:eastAsia="仿宋" w:cs="仿宋"/>
                <w:b/>
                <w:bCs/>
                <w:i w:val="0"/>
                <w:iCs w:val="0"/>
                <w:color w:val="000000"/>
                <w:sz w:val="21"/>
                <w:szCs w:val="21"/>
                <w:u w:val="none"/>
                <w:lang w:val="en-US" w:eastAsia="zh-CN" w:bidi="ar"/>
              </w:rPr>
              <w:t>安全风险辨识、评估和安全评价</w:t>
            </w:r>
          </w:p>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企业安责险保费0.8万-2万（不含2万）</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jc w:val="center"/>
        </w:trPr>
        <w:tc>
          <w:tcPr>
            <w:tcW w:w="1700"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企业安责险保费2万-10万（不含10万）</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700"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企业安责险保费10万元及以上</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672" w:hRule="atLeast"/>
          <w:jc w:val="center"/>
        </w:trPr>
        <w:tc>
          <w:tcPr>
            <w:tcW w:w="1700" w:type="dxa"/>
            <w:vMerge w:val="restart"/>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b/>
                <w:bCs/>
                <w:i w:val="0"/>
                <w:iCs w:val="0"/>
                <w:color w:val="000000"/>
                <w:kern w:val="2"/>
                <w:sz w:val="21"/>
                <w:szCs w:val="21"/>
                <w:u w:val="none"/>
                <w:lang w:val="en-US" w:eastAsia="zh-CN" w:bidi="ar-SA"/>
              </w:rPr>
            </w:pPr>
            <w:r>
              <w:rPr>
                <w:rFonts w:hint="eastAsia" w:ascii="仿宋" w:hAnsi="仿宋" w:eastAsia="仿宋" w:cs="仿宋"/>
                <w:b/>
                <w:bCs/>
                <w:i w:val="0"/>
                <w:iCs w:val="0"/>
                <w:color w:val="000000"/>
                <w:sz w:val="21"/>
                <w:szCs w:val="21"/>
                <w:u w:val="none"/>
                <w:lang w:val="en-US" w:eastAsia="zh-CN" w:bidi="ar"/>
              </w:rPr>
              <w:t>生产安全事故隐患排查</w:t>
            </w:r>
          </w:p>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企业安责险保费0.8万—2万（不含2万）</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jc w:val="center"/>
        </w:trPr>
        <w:tc>
          <w:tcPr>
            <w:tcW w:w="1700"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企业安责险保费2万—10万（不含10万）</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6" w:hRule="atLeast"/>
          <w:jc w:val="center"/>
        </w:trPr>
        <w:tc>
          <w:tcPr>
            <w:tcW w:w="1700" w:type="dxa"/>
            <w:vMerge w:val="continue"/>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right="0"/>
              <w:jc w:val="center"/>
              <w:rPr>
                <w:rFonts w:hint="eastAsia" w:ascii="仿宋" w:hAnsi="仿宋" w:eastAsia="仿宋" w:cs="仿宋"/>
                <w:b/>
                <w:bCs/>
                <w:i w:val="0"/>
                <w:iCs w:val="0"/>
                <w:color w:val="000000"/>
                <w:sz w:val="21"/>
                <w:szCs w:val="21"/>
                <w:u w:val="none"/>
              </w:rPr>
            </w:pPr>
          </w:p>
        </w:tc>
        <w:tc>
          <w:tcPr>
            <w:tcW w:w="2096" w:type="dxa"/>
            <w:tcBorders>
              <w:tl2br w:val="nil"/>
              <w:tr2bl w:val="nil"/>
            </w:tcBorders>
            <w:shd w:val="clear" w:color="auto" w:fill="auto"/>
            <w:noWrap w:val="0"/>
            <w:vAlign w:val="center"/>
          </w:tcPr>
          <w:p>
            <w:pPr>
              <w:keepNext w:val="0"/>
              <w:keepLines w:val="0"/>
              <w:pageBreakBefore w:val="0"/>
              <w:widowControl/>
              <w:suppressLineNumbers w:val="0"/>
              <w:bidi w:val="0"/>
              <w:spacing w:before="0" w:beforeAutospacing="0" w:after="0" w:afterAutospacing="0" w:line="300" w:lineRule="exact"/>
              <w:ind w:left="0" w:leftChars="0" w:right="0" w:rightChars="0"/>
              <w:jc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sz w:val="21"/>
                <w:szCs w:val="21"/>
                <w:u w:val="none"/>
                <w:lang w:val="en-US" w:eastAsia="zh-CN" w:bidi="ar"/>
              </w:rPr>
              <w:t>企业安责险保费10万元及以上</w:t>
            </w: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2"/>
                <w:sz w:val="21"/>
                <w:szCs w:val="21"/>
                <w:u w:val="none"/>
                <w:lang w:val="en-US" w:eastAsia="zh-CN" w:bidi="ar-SA"/>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c>
          <w:tcPr>
            <w:tcW w:w="1211" w:type="dxa"/>
            <w:tcBorders>
              <w:tl2br w:val="nil"/>
              <w:tr2bl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lang w:val="en-US" w:eastAsia="zh-CN"/>
              </w:rPr>
            </w:pPr>
          </w:p>
        </w:tc>
      </w:tr>
    </w:tbl>
    <w:p>
      <w:pPr>
        <w:widowControl/>
        <w:adjustRightInd w:val="0"/>
        <w:snapToGrid w:val="0"/>
        <w:spacing w:line="360" w:lineRule="auto"/>
        <w:rPr>
          <w:rFonts w:hint="eastAsia" w:ascii="仿宋" w:hAnsi="仿宋" w:eastAsia="仿宋" w:cstheme="minorEastAsia"/>
          <w:b w:val="0"/>
          <w:bCs w:val="0"/>
          <w:color w:val="auto"/>
          <w:kern w:val="0"/>
          <w:sz w:val="24"/>
          <w:szCs w:val="24"/>
          <w:highlight w:val="none"/>
        </w:rPr>
      </w:pPr>
    </w:p>
    <w:p>
      <w:pPr>
        <w:numPr>
          <w:ilvl w:val="0"/>
          <w:numId w:val="1"/>
        </w:numPr>
        <w:spacing w:line="440" w:lineRule="exact"/>
        <w:jc w:val="left"/>
        <w:rPr>
          <w:rFonts w:hint="eastAsia" w:ascii="仿宋" w:hAnsi="仿宋" w:eastAsia="仿宋" w:cstheme="minorEastAsia"/>
          <w:b/>
          <w:bCs/>
          <w:color w:val="auto"/>
          <w:kern w:val="0"/>
          <w:sz w:val="24"/>
          <w:szCs w:val="24"/>
          <w:highlight w:val="none"/>
          <w:lang w:val="en-US" w:eastAsia="zh-CN"/>
        </w:rPr>
      </w:pPr>
      <w:r>
        <w:rPr>
          <w:rFonts w:hint="eastAsia" w:ascii="仿宋" w:hAnsi="仿宋" w:eastAsia="仿宋" w:cstheme="minorEastAsia"/>
          <w:b/>
          <w:bCs/>
          <w:color w:val="auto"/>
          <w:kern w:val="0"/>
          <w:sz w:val="24"/>
          <w:szCs w:val="24"/>
          <w:highlight w:val="none"/>
          <w:lang w:val="en-US" w:eastAsia="zh-CN"/>
        </w:rPr>
        <w:t>备注：</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theme="minorEastAsia"/>
          <w:b/>
          <w:bCs/>
          <w:color w:val="auto"/>
          <w:kern w:val="0"/>
          <w:sz w:val="24"/>
          <w:szCs w:val="24"/>
          <w:highlight w:val="none"/>
          <w:lang w:val="en-US" w:eastAsia="zh-CN"/>
        </w:rPr>
      </w:pPr>
      <w:r>
        <w:rPr>
          <w:rFonts w:hint="eastAsia" w:ascii="仿宋" w:hAnsi="仿宋" w:eastAsia="仿宋" w:cstheme="minorEastAsia"/>
          <w:b/>
          <w:bCs/>
          <w:color w:val="auto"/>
          <w:kern w:val="0"/>
          <w:sz w:val="24"/>
          <w:szCs w:val="24"/>
          <w:highlight w:val="none"/>
          <w:lang w:val="en-US" w:eastAsia="zh-CN"/>
        </w:rPr>
        <w:t>1、本次报价精确到小数点后两位（四舍五入），根据分项报价表进行逐项报价，不得缺省或回避填写，否则将视为非实质性响应。</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theme="minorEastAsia"/>
          <w:b/>
          <w:bCs/>
          <w:color w:val="auto"/>
          <w:kern w:val="0"/>
          <w:sz w:val="24"/>
          <w:szCs w:val="24"/>
          <w:highlight w:val="none"/>
          <w:lang w:val="en-US" w:eastAsia="zh-CN"/>
        </w:rPr>
      </w:pPr>
      <w:r>
        <w:rPr>
          <w:rFonts w:hint="eastAsia" w:ascii="仿宋" w:hAnsi="仿宋" w:eastAsia="仿宋" w:cstheme="minorEastAsia"/>
          <w:b/>
          <w:bCs/>
          <w:color w:val="auto"/>
          <w:kern w:val="0"/>
          <w:sz w:val="24"/>
          <w:szCs w:val="24"/>
          <w:highlight w:val="none"/>
          <w:lang w:val="en-US" w:eastAsia="zh-CN"/>
        </w:rPr>
        <w:t>2、为完成本项目规定工作所需的全部费用，包括但不限于产品费用、提供技术服务人员、必要工具设备的所有费用及税金等。</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theme="minorEastAsia"/>
          <w:b/>
          <w:bCs/>
          <w:color w:val="auto"/>
          <w:kern w:val="0"/>
          <w:sz w:val="24"/>
          <w:szCs w:val="24"/>
          <w:highlight w:val="none"/>
          <w:lang w:val="en-US" w:eastAsia="zh-CN"/>
        </w:rPr>
      </w:pPr>
      <w:r>
        <w:rPr>
          <w:rFonts w:hint="eastAsia" w:ascii="仿宋" w:hAnsi="仿宋" w:eastAsia="仿宋" w:cstheme="minorEastAsia"/>
          <w:b/>
          <w:bCs/>
          <w:color w:val="auto"/>
          <w:kern w:val="0"/>
          <w:sz w:val="24"/>
          <w:szCs w:val="24"/>
          <w:highlight w:val="none"/>
          <w:lang w:val="en-US" w:eastAsia="zh-CN"/>
        </w:rPr>
        <w:t>3、分项报价表含税投标总价=各项含税合价之和，且应等于投标一览表中的含税投标总价。若不一致，将以各含税单价为准进行修正。含税价格=不含税价格×（1+税率）。</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宋体"/>
          <w:color w:val="auto"/>
          <w:sz w:val="24"/>
          <w:highlight w:val="none"/>
        </w:rPr>
      </w:pPr>
      <w:r>
        <w:rPr>
          <w:rFonts w:hint="eastAsia" w:ascii="仿宋" w:hAnsi="仿宋" w:eastAsia="仿宋" w:cstheme="minorEastAsia"/>
          <w:b/>
          <w:bCs/>
          <w:color w:val="auto"/>
          <w:kern w:val="0"/>
          <w:sz w:val="24"/>
          <w:szCs w:val="24"/>
          <w:highlight w:val="none"/>
          <w:lang w:val="en-US" w:eastAsia="zh-CN"/>
        </w:rPr>
        <w:t>4、本项目开发实施工作量为预估工作量，后续以履约时实际投入的人力工作量为合同付款依据，根据实际使用量进行结算。</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宋体"/>
          <w:color w:val="auto"/>
          <w:sz w:val="24"/>
          <w:highlight w:val="none"/>
        </w:rPr>
      </w:pPr>
      <w:r>
        <w:rPr>
          <w:rFonts w:hint="eastAsia" w:ascii="仿宋" w:hAnsi="仿宋" w:eastAsia="仿宋" w:cstheme="minorEastAsia"/>
          <w:b/>
          <w:bCs/>
          <w:color w:val="auto"/>
          <w:kern w:val="0"/>
          <w:sz w:val="24"/>
          <w:szCs w:val="24"/>
          <w:highlight w:val="none"/>
          <w:lang w:val="en-US" w:eastAsia="zh-CN"/>
        </w:rPr>
        <w:t>5、投标报价（单价）= 报价限价×综合折扣。例如：综合折扣90%，则安全生产宣传教育培训（单次培训≤30人）投标报价=3500×90%=3150。</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宋体"/>
          <w:color w:val="auto"/>
          <w:sz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851" w:leftChars="200" w:hanging="431"/>
        <w:jc w:val="left"/>
        <w:textAlignment w:val="auto"/>
        <w:rPr>
          <w:rFonts w:hint="eastAsia" w:ascii="仿宋" w:hAnsi="仿宋" w:eastAsia="仿宋" w:cs="宋体"/>
          <w:color w:val="auto"/>
          <w:sz w:val="24"/>
          <w:highlight w:val="none"/>
        </w:rPr>
      </w:pPr>
      <w:r>
        <w:rPr>
          <w:rFonts w:hint="eastAsia" w:ascii="仿宋" w:hAnsi="仿宋" w:eastAsia="仿宋" w:cstheme="minorEastAsia"/>
          <w:color w:val="auto"/>
          <w:kern w:val="0"/>
          <w:sz w:val="24"/>
          <w:szCs w:val="24"/>
          <w:highlight w:val="none"/>
          <w:lang w:val="en-US" w:eastAsia="zh-CN"/>
        </w:rPr>
        <w:t xml:space="preserve">                                        </w:t>
      </w: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pPr>
        <w:bidi w:val="0"/>
        <w:rPr>
          <w:rFonts w:hint="eastAsia"/>
          <w:color w:val="auto"/>
          <w:highlight w:val="none"/>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decorative"/>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中等线简体">
    <w:altName w:val="宋体"/>
    <w:panose1 w:val="00000000000000000000"/>
    <w:charset w:val="86"/>
    <w:family w:val="auto"/>
    <w:pitch w:val="default"/>
    <w:sig w:usb0="00000000" w:usb1="00000000" w:usb2="00000010" w:usb3="00000000" w:csb0="00040000"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6"/>
      </w:rPr>
    </w:pPr>
    <w:r>
      <w:fldChar w:fldCharType="begin"/>
    </w:r>
    <w:r>
      <w:rPr>
        <w:rStyle w:val="46"/>
      </w:rPr>
      <w:instrText xml:space="preserve">PAGE  </w:instrText>
    </w:r>
    <w:r>
      <w:fldChar w:fldCharType="separate"/>
    </w:r>
    <w:r>
      <w:rPr>
        <w:rStyle w:val="46"/>
      </w:rPr>
      <w:t>19</w:t>
    </w:r>
    <w:r>
      <w:fldChar w:fldCharType="end"/>
    </w:r>
  </w:p>
  <w:p>
    <w:pPr>
      <w:pStyle w:val="26"/>
      <w:framePr w:wrap="around" w:vAnchor="text" w:hAnchor="margin" w:xAlign="center" w:y="1"/>
      <w:rPr>
        <w:rStyle w:val="46"/>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6"/>
                            </w:rPr>
                          </w:pPr>
                          <w:r>
                            <w:fldChar w:fldCharType="begin"/>
                          </w:r>
                          <w:r>
                            <w:rPr>
                              <w:rStyle w:val="46"/>
                            </w:rPr>
                            <w:instrText xml:space="preserve">PAGE  </w:instrText>
                          </w:r>
                          <w:r>
                            <w:fldChar w:fldCharType="separate"/>
                          </w:r>
                          <w:r>
                            <w:rPr>
                              <w:rStyle w:val="46"/>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6"/>
                      </w:rPr>
                    </w:pPr>
                    <w:r>
                      <w:fldChar w:fldCharType="begin"/>
                    </w:r>
                    <w:r>
                      <w:rPr>
                        <w:rStyle w:val="46"/>
                      </w:rPr>
                      <w:instrText xml:space="preserve">PAGE  </w:instrText>
                    </w:r>
                    <w:r>
                      <w:fldChar w:fldCharType="separate"/>
                    </w:r>
                    <w:r>
                      <w:rPr>
                        <w:rStyle w:val="46"/>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rPr>
    </w:pPr>
    <w:r>
      <w:rPr>
        <w:rFonts w:hint="eastAsia" w:ascii="仿宋" w:hAnsi="仿宋" w:eastAsia="仿宋" w:cs="仿宋"/>
        <w:lang w:val="en-US" w:eastAsia="zh-CN"/>
      </w:rPr>
      <w:t>比选</w:t>
    </w:r>
    <w:r>
      <w:rPr>
        <w:rFonts w:hint="eastAsia" w:ascii="仿宋" w:hAnsi="仿宋" w:eastAsia="仿宋" w:cs="仿宋"/>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45" w:line="227" w:lineRule="auto"/>
      <w:ind w:left="4497"/>
      <w:rPr>
        <w:sz w:val="18"/>
        <w:szCs w:val="18"/>
      </w:rPr>
    </w:pPr>
    <w:r>
      <mc:AlternateContent>
        <mc:Choice Requires="wps">
          <w:drawing>
            <wp:anchor distT="0" distB="0" distL="114300" distR="114300" simplePos="0" relativeHeight="251665408" behindDoc="0" locked="0" layoutInCell="0" allowOverlap="1">
              <wp:simplePos x="0" y="0"/>
              <wp:positionH relativeFrom="page">
                <wp:posOffset>701675</wp:posOffset>
              </wp:positionH>
              <wp:positionV relativeFrom="page">
                <wp:posOffset>701040</wp:posOffset>
              </wp:positionV>
              <wp:extent cx="6156960" cy="6350"/>
              <wp:effectExtent l="0" t="0" r="0" b="0"/>
              <wp:wrapNone/>
              <wp:docPr id="13" name="任意多边形 13"/>
              <wp:cNvGraphicFramePr/>
              <a:graphic xmlns:a="http://schemas.openxmlformats.org/drawingml/2006/main">
                <a:graphicData uri="http://schemas.microsoft.com/office/word/2010/wordprocessingShape">
                  <wps:wsp>
                    <wps:cNvSpPr/>
                    <wps:spPr>
                      <a:xfrm>
                        <a:off x="0" y="0"/>
                        <a:ext cx="6156960" cy="6350"/>
                      </a:xfrm>
                      <a:custGeom>
                        <a:avLst/>
                        <a:gdLst/>
                        <a:ahLst/>
                        <a:cxnLst/>
                        <a:pathLst>
                          <a:path w="9695" h="10">
                            <a:moveTo>
                              <a:pt x="0" y="5"/>
                            </a:moveTo>
                            <a:lnTo>
                              <a:pt x="9695" y="5"/>
                            </a:lnTo>
                          </a:path>
                        </a:pathLst>
                      </a:custGeom>
                      <a:noFill/>
                      <a:ln w="6350" cap="flat"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5.25pt;margin-top:55.2pt;height:0.5pt;width:484.8pt;mso-position-horizontal-relative:page;mso-position-vertical-relative:page;z-index:251665408;mso-width-relative:page;mso-height-relative:page;" filled="f" stroked="t" coordsize="9695,10" o:allowincell="f" o:gfxdata="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D9N7I9gAAAAMAQAADwAAAAAAAAABACAAAAAiAAAA&#10;ZHJzL2Rvd25yZXYueG1sUEsBAhQAFAAAAAgAh07iQF58ReZAAgAApgQAAA4AAAAAAAAAAQAgAAAA&#10;JwEAAGRycy9lMm9Eb2MueG1sUEsFBgAAAAAGAAYAWQEAANkFAAAAAA==&#10;" path="m0,5l9695,5e">
              <v:fill on="f" focussize="0,0"/>
              <v:stroke weight="0.5pt" color="#000000" miterlimit="10" joinstyle="miter"/>
              <v:imagedata o:title=""/>
              <o:lock v:ext="edit" aspectratio="f"/>
            </v:shape>
          </w:pict>
        </mc:Fallback>
      </mc:AlternateContent>
    </w:r>
    <w:r>
      <w:rPr>
        <w:spacing w:val="-2"/>
        <w:sz w:val="18"/>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05C21DF9"/>
    <w:multiLevelType w:val="multilevel"/>
    <w:tmpl w:val="05C21DF9"/>
    <w:lvl w:ilvl="0" w:tentative="0">
      <w:start w:val="1"/>
      <w:numFmt w:val="decimal"/>
      <w:lvlText w:val="%1)"/>
      <w:lvlJc w:val="left"/>
      <w:pPr>
        <w:tabs>
          <w:tab w:val="left" w:pos="720"/>
        </w:tabs>
        <w:ind w:left="720" w:hanging="360"/>
      </w:pPr>
      <w:rPr>
        <w:rFonts w:hint="default" w:ascii="宋体" w:hAnsi="宋体" w:eastAsia="宋体" w:cs="Times New Roman"/>
        <w:sz w:val="24"/>
        <w:szCs w:val="24"/>
      </w:rPr>
    </w:lvl>
    <w:lvl w:ilvl="1" w:tentative="0">
      <w:start w:val="1"/>
      <w:numFmt w:val="japaneseCounting"/>
      <w:lvlText w:val="%2、"/>
      <w:lvlJc w:val="left"/>
      <w:pPr>
        <w:tabs>
          <w:tab w:val="left" w:pos="720"/>
        </w:tabs>
        <w:ind w:left="720" w:hanging="465"/>
      </w:pPr>
      <w:rPr>
        <w:rFonts w:hint="default" w:cs="黑体"/>
      </w:rPr>
    </w:lvl>
    <w:lvl w:ilvl="2" w:tentative="0">
      <w:start w:val="1"/>
      <w:numFmt w:val="decimal"/>
      <w:lvlText w:val="%3)"/>
      <w:lvlJc w:val="left"/>
      <w:pPr>
        <w:tabs>
          <w:tab w:val="left" w:pos="915"/>
        </w:tabs>
        <w:ind w:left="915" w:hanging="240"/>
      </w:pPr>
      <w:rPr>
        <w:rFonts w:hint="default" w:cs="Times New Roman"/>
      </w:rPr>
    </w:lvl>
    <w:lvl w:ilvl="3" w:tentative="0">
      <w:start w:val="1"/>
      <w:numFmt w:val="decimal"/>
      <w:lvlText w:val="%4）"/>
      <w:lvlJc w:val="left"/>
      <w:pPr>
        <w:tabs>
          <w:tab w:val="left" w:pos="1455"/>
        </w:tabs>
        <w:ind w:left="1455" w:hanging="360"/>
      </w:pPr>
      <w:rPr>
        <w:rFonts w:hint="default" w:cs="Times New Roman"/>
      </w:rPr>
    </w:lvl>
    <w:lvl w:ilvl="4" w:tentative="0">
      <w:start w:val="4"/>
      <w:numFmt w:val="decimal"/>
      <w:lvlText w:val="%5．"/>
      <w:lvlJc w:val="left"/>
      <w:pPr>
        <w:tabs>
          <w:tab w:val="left" w:pos="1875"/>
        </w:tabs>
        <w:ind w:left="1875" w:hanging="360"/>
      </w:pPr>
      <w:rPr>
        <w:rFonts w:hint="default" w:cs="Times New Roman"/>
      </w:rPr>
    </w:lvl>
    <w:lvl w:ilvl="5" w:tentative="0">
      <w:start w:val="1"/>
      <w:numFmt w:val="lowerRoman"/>
      <w:lvlText w:val="%6."/>
      <w:lvlJc w:val="right"/>
      <w:pPr>
        <w:tabs>
          <w:tab w:val="left" w:pos="2355"/>
        </w:tabs>
        <w:ind w:left="2355" w:hanging="420"/>
      </w:pPr>
      <w:rPr>
        <w:rFonts w:cs="Times New Roman"/>
      </w:rPr>
    </w:lvl>
    <w:lvl w:ilvl="6" w:tentative="0">
      <w:start w:val="1"/>
      <w:numFmt w:val="decimal"/>
      <w:lvlText w:val="%7."/>
      <w:lvlJc w:val="left"/>
      <w:pPr>
        <w:tabs>
          <w:tab w:val="left" w:pos="2775"/>
        </w:tabs>
        <w:ind w:left="2775" w:hanging="420"/>
      </w:pPr>
      <w:rPr>
        <w:rFonts w:cs="Times New Roman"/>
      </w:rPr>
    </w:lvl>
    <w:lvl w:ilvl="7" w:tentative="0">
      <w:start w:val="1"/>
      <w:numFmt w:val="lowerLetter"/>
      <w:lvlText w:val="%8)"/>
      <w:lvlJc w:val="left"/>
      <w:pPr>
        <w:tabs>
          <w:tab w:val="left" w:pos="3195"/>
        </w:tabs>
        <w:ind w:left="3195" w:hanging="420"/>
      </w:pPr>
      <w:rPr>
        <w:rFonts w:cs="Times New Roman"/>
      </w:rPr>
    </w:lvl>
    <w:lvl w:ilvl="8" w:tentative="0">
      <w:start w:val="1"/>
      <w:numFmt w:val="lowerRoman"/>
      <w:lvlText w:val="%9."/>
      <w:lvlJc w:val="right"/>
      <w:pPr>
        <w:tabs>
          <w:tab w:val="left" w:pos="3615"/>
        </w:tabs>
        <w:ind w:left="3615" w:hanging="420"/>
      </w:pPr>
      <w:rPr>
        <w:rFonts w:cs="Times New Roman"/>
      </w:rPr>
    </w:lvl>
  </w:abstractNum>
  <w:abstractNum w:abstractNumId="4">
    <w:nsid w:val="2B33785C"/>
    <w:multiLevelType w:val="multilevel"/>
    <w:tmpl w:val="2B33785C"/>
    <w:lvl w:ilvl="0" w:tentative="0">
      <w:start w:val="1"/>
      <w:numFmt w:val="chineseCountingThousand"/>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b w:val="0"/>
      </w:rPr>
    </w:lvl>
    <w:lvl w:ilvl="3" w:tentative="0">
      <w:start w:val="1"/>
      <w:numFmt w:val="decimal"/>
      <w:lvlText w:val="%1.%2.%3.%4"/>
      <w:lvlJc w:val="left"/>
      <w:pPr>
        <w:ind w:left="0" w:firstLine="0"/>
      </w:pPr>
      <w:rPr>
        <w:rFonts w:hint="eastAsia"/>
        <w:b w:val="0"/>
      </w:rPr>
    </w:lvl>
    <w:lvl w:ilvl="4" w:tentative="0">
      <w:start w:val="1"/>
      <w:numFmt w:val="decimal"/>
      <w:lvlText w:val="%1.%2.%3.%4.%5"/>
      <w:lvlJc w:val="left"/>
      <w:pPr>
        <w:ind w:left="0" w:firstLine="0"/>
      </w:pPr>
      <w:rPr>
        <w:rFonts w:hint="eastAsia"/>
        <w:b w:val="0"/>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FF6072B"/>
    <w:multiLevelType w:val="multilevel"/>
    <w:tmpl w:val="6FF6072B"/>
    <w:lvl w:ilvl="0" w:tentative="0">
      <w:start w:val="1"/>
      <w:numFmt w:val="decimal"/>
      <w:lvlText w:val="%1)"/>
      <w:lvlJc w:val="left"/>
      <w:pPr>
        <w:ind w:left="860" w:hanging="420"/>
      </w:pPr>
      <w:rPr>
        <w:rFonts w:hint="eastAsia"/>
        <w:lang w:val="en-US"/>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480"/>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192C1F"/>
    <w:rsid w:val="01241D66"/>
    <w:rsid w:val="013B4944"/>
    <w:rsid w:val="014A3244"/>
    <w:rsid w:val="01A51AFF"/>
    <w:rsid w:val="01B95421"/>
    <w:rsid w:val="01CF453C"/>
    <w:rsid w:val="020B1354"/>
    <w:rsid w:val="02186E84"/>
    <w:rsid w:val="022D32CB"/>
    <w:rsid w:val="025A55E9"/>
    <w:rsid w:val="027C0F8A"/>
    <w:rsid w:val="029442A4"/>
    <w:rsid w:val="02A23766"/>
    <w:rsid w:val="02BC63B4"/>
    <w:rsid w:val="02F2197A"/>
    <w:rsid w:val="02F32FFC"/>
    <w:rsid w:val="02FF17CC"/>
    <w:rsid w:val="0317318F"/>
    <w:rsid w:val="034D12D4"/>
    <w:rsid w:val="035C2662"/>
    <w:rsid w:val="03637FE7"/>
    <w:rsid w:val="0376348B"/>
    <w:rsid w:val="0388663C"/>
    <w:rsid w:val="03A97929"/>
    <w:rsid w:val="03C32A6F"/>
    <w:rsid w:val="03CA17C3"/>
    <w:rsid w:val="03CE20DF"/>
    <w:rsid w:val="03D57B0C"/>
    <w:rsid w:val="03E5503B"/>
    <w:rsid w:val="03FB034A"/>
    <w:rsid w:val="040E0780"/>
    <w:rsid w:val="04401D61"/>
    <w:rsid w:val="047A6254"/>
    <w:rsid w:val="04966335"/>
    <w:rsid w:val="04BE1034"/>
    <w:rsid w:val="04D0480D"/>
    <w:rsid w:val="04D34B21"/>
    <w:rsid w:val="04D81D11"/>
    <w:rsid w:val="04E366BD"/>
    <w:rsid w:val="04F10A9B"/>
    <w:rsid w:val="050C1396"/>
    <w:rsid w:val="050E1D07"/>
    <w:rsid w:val="0515460A"/>
    <w:rsid w:val="0519526F"/>
    <w:rsid w:val="052076F5"/>
    <w:rsid w:val="05254E16"/>
    <w:rsid w:val="053F6840"/>
    <w:rsid w:val="05525152"/>
    <w:rsid w:val="05656DAB"/>
    <w:rsid w:val="059874F0"/>
    <w:rsid w:val="059E0622"/>
    <w:rsid w:val="05A81888"/>
    <w:rsid w:val="05CD1AD2"/>
    <w:rsid w:val="05CF1AFF"/>
    <w:rsid w:val="05D050F7"/>
    <w:rsid w:val="05E22C45"/>
    <w:rsid w:val="05F812DD"/>
    <w:rsid w:val="05F9607E"/>
    <w:rsid w:val="05FE2BF2"/>
    <w:rsid w:val="06021ED4"/>
    <w:rsid w:val="06402ABA"/>
    <w:rsid w:val="064E339A"/>
    <w:rsid w:val="068D6A93"/>
    <w:rsid w:val="069E6AB1"/>
    <w:rsid w:val="06A26061"/>
    <w:rsid w:val="06AB2EE9"/>
    <w:rsid w:val="06CE7668"/>
    <w:rsid w:val="06E00027"/>
    <w:rsid w:val="06E25B52"/>
    <w:rsid w:val="07024E64"/>
    <w:rsid w:val="07140180"/>
    <w:rsid w:val="072D2162"/>
    <w:rsid w:val="073518D0"/>
    <w:rsid w:val="07354BC2"/>
    <w:rsid w:val="07442036"/>
    <w:rsid w:val="0750320D"/>
    <w:rsid w:val="07806523"/>
    <w:rsid w:val="079E0D8E"/>
    <w:rsid w:val="07A11D12"/>
    <w:rsid w:val="07CD7297"/>
    <w:rsid w:val="07E21FBD"/>
    <w:rsid w:val="07F67816"/>
    <w:rsid w:val="085C77EA"/>
    <w:rsid w:val="088612BA"/>
    <w:rsid w:val="089332B7"/>
    <w:rsid w:val="08B05320"/>
    <w:rsid w:val="08BE1F43"/>
    <w:rsid w:val="08E712DF"/>
    <w:rsid w:val="08E9597F"/>
    <w:rsid w:val="08F900D1"/>
    <w:rsid w:val="08F935C9"/>
    <w:rsid w:val="08FA50E4"/>
    <w:rsid w:val="09045CE0"/>
    <w:rsid w:val="09075A53"/>
    <w:rsid w:val="09696FDD"/>
    <w:rsid w:val="096C5C89"/>
    <w:rsid w:val="097313E3"/>
    <w:rsid w:val="09756E61"/>
    <w:rsid w:val="09771A8A"/>
    <w:rsid w:val="097A7E27"/>
    <w:rsid w:val="09813EE4"/>
    <w:rsid w:val="09A17C7A"/>
    <w:rsid w:val="09A54C50"/>
    <w:rsid w:val="09BC6028"/>
    <w:rsid w:val="09CD4DDF"/>
    <w:rsid w:val="09D35269"/>
    <w:rsid w:val="09DD448E"/>
    <w:rsid w:val="09DD6A43"/>
    <w:rsid w:val="09F2400E"/>
    <w:rsid w:val="09FD0A32"/>
    <w:rsid w:val="0A2B31CA"/>
    <w:rsid w:val="0A534AFF"/>
    <w:rsid w:val="0A5A5EB7"/>
    <w:rsid w:val="0A6E31A4"/>
    <w:rsid w:val="0A6F3443"/>
    <w:rsid w:val="0AAE469B"/>
    <w:rsid w:val="0AB51B2D"/>
    <w:rsid w:val="0B080EF2"/>
    <w:rsid w:val="0B104CB8"/>
    <w:rsid w:val="0B107D8C"/>
    <w:rsid w:val="0B154BBD"/>
    <w:rsid w:val="0B325F44"/>
    <w:rsid w:val="0B471BC9"/>
    <w:rsid w:val="0B6866EB"/>
    <w:rsid w:val="0B7071B5"/>
    <w:rsid w:val="0B825EDB"/>
    <w:rsid w:val="0BCA3D41"/>
    <w:rsid w:val="0BCC1983"/>
    <w:rsid w:val="0BE82909"/>
    <w:rsid w:val="0BEF27AA"/>
    <w:rsid w:val="0C2057FC"/>
    <w:rsid w:val="0C24660F"/>
    <w:rsid w:val="0C2D66FE"/>
    <w:rsid w:val="0C5E3191"/>
    <w:rsid w:val="0C616454"/>
    <w:rsid w:val="0C6A75EB"/>
    <w:rsid w:val="0C764AAB"/>
    <w:rsid w:val="0C7A707B"/>
    <w:rsid w:val="0C864E88"/>
    <w:rsid w:val="0C8C7B9F"/>
    <w:rsid w:val="0C9475E1"/>
    <w:rsid w:val="0CA62E5A"/>
    <w:rsid w:val="0CB43017"/>
    <w:rsid w:val="0CBD4DA7"/>
    <w:rsid w:val="0CD32AA0"/>
    <w:rsid w:val="0CE41E67"/>
    <w:rsid w:val="0D17585D"/>
    <w:rsid w:val="0D3E33CC"/>
    <w:rsid w:val="0D5745CD"/>
    <w:rsid w:val="0D575B85"/>
    <w:rsid w:val="0D5E04FB"/>
    <w:rsid w:val="0D607B2A"/>
    <w:rsid w:val="0D7E21C9"/>
    <w:rsid w:val="0D885EF1"/>
    <w:rsid w:val="0DA25D4B"/>
    <w:rsid w:val="0DA37C00"/>
    <w:rsid w:val="0DAF0AF5"/>
    <w:rsid w:val="0DDF7C6E"/>
    <w:rsid w:val="0DF317F5"/>
    <w:rsid w:val="0DF626F7"/>
    <w:rsid w:val="0DF7405B"/>
    <w:rsid w:val="0DF96E8C"/>
    <w:rsid w:val="0E183F30"/>
    <w:rsid w:val="0E1C1B02"/>
    <w:rsid w:val="0E1D2CA7"/>
    <w:rsid w:val="0E2177BC"/>
    <w:rsid w:val="0E2E2851"/>
    <w:rsid w:val="0E344BF5"/>
    <w:rsid w:val="0E4571B4"/>
    <w:rsid w:val="0E513A96"/>
    <w:rsid w:val="0E6A0CB4"/>
    <w:rsid w:val="0E79874A"/>
    <w:rsid w:val="0E7C2FAE"/>
    <w:rsid w:val="0E7F55DC"/>
    <w:rsid w:val="0E824CB1"/>
    <w:rsid w:val="0E854F87"/>
    <w:rsid w:val="0E893E01"/>
    <w:rsid w:val="0EEC37BE"/>
    <w:rsid w:val="0EFB0FE6"/>
    <w:rsid w:val="0F130858"/>
    <w:rsid w:val="0F1555F1"/>
    <w:rsid w:val="0F22624D"/>
    <w:rsid w:val="0F2A5EAE"/>
    <w:rsid w:val="0F351EA3"/>
    <w:rsid w:val="0F3D40EC"/>
    <w:rsid w:val="0F451D95"/>
    <w:rsid w:val="0F5A309E"/>
    <w:rsid w:val="0F7F0CB4"/>
    <w:rsid w:val="0F864AF8"/>
    <w:rsid w:val="0F891808"/>
    <w:rsid w:val="0FD05B7C"/>
    <w:rsid w:val="0FE26F7E"/>
    <w:rsid w:val="0FF86998"/>
    <w:rsid w:val="0FFB69DA"/>
    <w:rsid w:val="0FFF9E23"/>
    <w:rsid w:val="10134CDE"/>
    <w:rsid w:val="101B00CC"/>
    <w:rsid w:val="104D2298"/>
    <w:rsid w:val="10732690"/>
    <w:rsid w:val="108A3181"/>
    <w:rsid w:val="10933928"/>
    <w:rsid w:val="109E6535"/>
    <w:rsid w:val="10C85AC8"/>
    <w:rsid w:val="10E053CE"/>
    <w:rsid w:val="10EA5F4D"/>
    <w:rsid w:val="11437F75"/>
    <w:rsid w:val="115A0EAB"/>
    <w:rsid w:val="115A4A6C"/>
    <w:rsid w:val="117A67CD"/>
    <w:rsid w:val="118A5482"/>
    <w:rsid w:val="11B60016"/>
    <w:rsid w:val="11CB154F"/>
    <w:rsid w:val="11D57FF6"/>
    <w:rsid w:val="11EC0DBF"/>
    <w:rsid w:val="11EF5B10"/>
    <w:rsid w:val="12003074"/>
    <w:rsid w:val="12042B6A"/>
    <w:rsid w:val="12071A36"/>
    <w:rsid w:val="126845B0"/>
    <w:rsid w:val="12725CE9"/>
    <w:rsid w:val="1283653C"/>
    <w:rsid w:val="128D0ACD"/>
    <w:rsid w:val="128E5727"/>
    <w:rsid w:val="12934B57"/>
    <w:rsid w:val="12AF0785"/>
    <w:rsid w:val="12B5001B"/>
    <w:rsid w:val="12B74C45"/>
    <w:rsid w:val="12B97E85"/>
    <w:rsid w:val="12E02111"/>
    <w:rsid w:val="12E0359D"/>
    <w:rsid w:val="12E3158A"/>
    <w:rsid w:val="131948E0"/>
    <w:rsid w:val="13326301"/>
    <w:rsid w:val="13453400"/>
    <w:rsid w:val="134B49D1"/>
    <w:rsid w:val="13774559"/>
    <w:rsid w:val="13831D0F"/>
    <w:rsid w:val="138B7476"/>
    <w:rsid w:val="13A07D1C"/>
    <w:rsid w:val="13AA6C7A"/>
    <w:rsid w:val="13AF12D1"/>
    <w:rsid w:val="13D97F0D"/>
    <w:rsid w:val="13DB77D7"/>
    <w:rsid w:val="13ED6813"/>
    <w:rsid w:val="14461FDB"/>
    <w:rsid w:val="146A774B"/>
    <w:rsid w:val="146B5DFA"/>
    <w:rsid w:val="146E33A4"/>
    <w:rsid w:val="14833540"/>
    <w:rsid w:val="14887B0E"/>
    <w:rsid w:val="14946069"/>
    <w:rsid w:val="14A93F80"/>
    <w:rsid w:val="14E145A4"/>
    <w:rsid w:val="14E20675"/>
    <w:rsid w:val="151D2E85"/>
    <w:rsid w:val="152315CE"/>
    <w:rsid w:val="153A298B"/>
    <w:rsid w:val="15534416"/>
    <w:rsid w:val="15545B7C"/>
    <w:rsid w:val="155C7174"/>
    <w:rsid w:val="15702ADB"/>
    <w:rsid w:val="157F4238"/>
    <w:rsid w:val="15942E62"/>
    <w:rsid w:val="15B8776F"/>
    <w:rsid w:val="15C80049"/>
    <w:rsid w:val="15DC403B"/>
    <w:rsid w:val="15E440DF"/>
    <w:rsid w:val="15FC4DAB"/>
    <w:rsid w:val="161F262E"/>
    <w:rsid w:val="16444AAD"/>
    <w:rsid w:val="164729D6"/>
    <w:rsid w:val="16623343"/>
    <w:rsid w:val="167639EE"/>
    <w:rsid w:val="16952AE1"/>
    <w:rsid w:val="16987D08"/>
    <w:rsid w:val="16B000D0"/>
    <w:rsid w:val="16C06700"/>
    <w:rsid w:val="16F64A51"/>
    <w:rsid w:val="1703020F"/>
    <w:rsid w:val="1712563F"/>
    <w:rsid w:val="171728C0"/>
    <w:rsid w:val="1731377E"/>
    <w:rsid w:val="173B45EA"/>
    <w:rsid w:val="174A2B14"/>
    <w:rsid w:val="175824DC"/>
    <w:rsid w:val="17684F4D"/>
    <w:rsid w:val="17A02F74"/>
    <w:rsid w:val="17A64703"/>
    <w:rsid w:val="17AF94C5"/>
    <w:rsid w:val="17CE585E"/>
    <w:rsid w:val="17D426A8"/>
    <w:rsid w:val="17D430F8"/>
    <w:rsid w:val="17F10988"/>
    <w:rsid w:val="180F222F"/>
    <w:rsid w:val="18420450"/>
    <w:rsid w:val="184C5231"/>
    <w:rsid w:val="18932160"/>
    <w:rsid w:val="18B45502"/>
    <w:rsid w:val="18E3085C"/>
    <w:rsid w:val="18E446A5"/>
    <w:rsid w:val="18E45469"/>
    <w:rsid w:val="18F70F9E"/>
    <w:rsid w:val="1925275C"/>
    <w:rsid w:val="19325F66"/>
    <w:rsid w:val="19510D51"/>
    <w:rsid w:val="19537AAF"/>
    <w:rsid w:val="195D452F"/>
    <w:rsid w:val="195F03D1"/>
    <w:rsid w:val="19784F04"/>
    <w:rsid w:val="197B27AB"/>
    <w:rsid w:val="19853DFD"/>
    <w:rsid w:val="198B0A33"/>
    <w:rsid w:val="19A73E3E"/>
    <w:rsid w:val="19B377DB"/>
    <w:rsid w:val="19B63D32"/>
    <w:rsid w:val="19D915B3"/>
    <w:rsid w:val="1A03730E"/>
    <w:rsid w:val="1A143B33"/>
    <w:rsid w:val="1A2E4342"/>
    <w:rsid w:val="1A306299"/>
    <w:rsid w:val="1A3503C3"/>
    <w:rsid w:val="1A424B3D"/>
    <w:rsid w:val="1A4B1C44"/>
    <w:rsid w:val="1A4E6FE1"/>
    <w:rsid w:val="1A627DE6"/>
    <w:rsid w:val="1A6B4A18"/>
    <w:rsid w:val="1A720862"/>
    <w:rsid w:val="1A761976"/>
    <w:rsid w:val="1A7D4CCC"/>
    <w:rsid w:val="1A8E6CD5"/>
    <w:rsid w:val="1A9452B0"/>
    <w:rsid w:val="1A986C8A"/>
    <w:rsid w:val="1AB84712"/>
    <w:rsid w:val="1ABB4790"/>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C64637"/>
    <w:rsid w:val="1CCA25EF"/>
    <w:rsid w:val="1CCA789A"/>
    <w:rsid w:val="1CCC4A9D"/>
    <w:rsid w:val="1CD67896"/>
    <w:rsid w:val="1CE03735"/>
    <w:rsid w:val="1D120304"/>
    <w:rsid w:val="1D1505D7"/>
    <w:rsid w:val="1D3348B9"/>
    <w:rsid w:val="1D5B3175"/>
    <w:rsid w:val="1D6BA2A5"/>
    <w:rsid w:val="1D70483F"/>
    <w:rsid w:val="1D760B5F"/>
    <w:rsid w:val="1D7736AA"/>
    <w:rsid w:val="1D7EDBAC"/>
    <w:rsid w:val="1DA55031"/>
    <w:rsid w:val="1DA90101"/>
    <w:rsid w:val="1DB72178"/>
    <w:rsid w:val="1DE33932"/>
    <w:rsid w:val="1DE47DF0"/>
    <w:rsid w:val="1DE547AB"/>
    <w:rsid w:val="1DEA3BDA"/>
    <w:rsid w:val="1DF1708C"/>
    <w:rsid w:val="1E1B3FC3"/>
    <w:rsid w:val="1E3C48AF"/>
    <w:rsid w:val="1E3D42AB"/>
    <w:rsid w:val="1E561107"/>
    <w:rsid w:val="1E5805C9"/>
    <w:rsid w:val="1E5C27D9"/>
    <w:rsid w:val="1E6E8FC2"/>
    <w:rsid w:val="1E960B39"/>
    <w:rsid w:val="1EA8294E"/>
    <w:rsid w:val="1EBB6387"/>
    <w:rsid w:val="1EE920F1"/>
    <w:rsid w:val="1EEDC44B"/>
    <w:rsid w:val="1EF321F1"/>
    <w:rsid w:val="1EF83469"/>
    <w:rsid w:val="1F121216"/>
    <w:rsid w:val="1F1A79F2"/>
    <w:rsid w:val="1F3C2E43"/>
    <w:rsid w:val="1F4205D3"/>
    <w:rsid w:val="1F433A78"/>
    <w:rsid w:val="1F4924CA"/>
    <w:rsid w:val="1F4D0F4B"/>
    <w:rsid w:val="1F706A60"/>
    <w:rsid w:val="1F901744"/>
    <w:rsid w:val="1F983263"/>
    <w:rsid w:val="1FAF1D46"/>
    <w:rsid w:val="1FB1255F"/>
    <w:rsid w:val="1FD97C09"/>
    <w:rsid w:val="1FDF48EE"/>
    <w:rsid w:val="1FE607C1"/>
    <w:rsid w:val="1FF41019"/>
    <w:rsid w:val="200927CB"/>
    <w:rsid w:val="203A0E21"/>
    <w:rsid w:val="203B04ED"/>
    <w:rsid w:val="203F229D"/>
    <w:rsid w:val="20625F75"/>
    <w:rsid w:val="2069158A"/>
    <w:rsid w:val="207364D3"/>
    <w:rsid w:val="20976B5A"/>
    <w:rsid w:val="209B4147"/>
    <w:rsid w:val="20B76DF4"/>
    <w:rsid w:val="20C26C84"/>
    <w:rsid w:val="20C42294"/>
    <w:rsid w:val="20C443FE"/>
    <w:rsid w:val="20C50451"/>
    <w:rsid w:val="20D77BFC"/>
    <w:rsid w:val="20E83702"/>
    <w:rsid w:val="20FF7D05"/>
    <w:rsid w:val="2100711D"/>
    <w:rsid w:val="210F16D9"/>
    <w:rsid w:val="210F7FBF"/>
    <w:rsid w:val="21372259"/>
    <w:rsid w:val="21656CD6"/>
    <w:rsid w:val="21694910"/>
    <w:rsid w:val="21822CFB"/>
    <w:rsid w:val="21D63963"/>
    <w:rsid w:val="21ED4624"/>
    <w:rsid w:val="22294218"/>
    <w:rsid w:val="2234120F"/>
    <w:rsid w:val="22512901"/>
    <w:rsid w:val="2267492F"/>
    <w:rsid w:val="22A44447"/>
    <w:rsid w:val="22B346F2"/>
    <w:rsid w:val="22C36432"/>
    <w:rsid w:val="22D05B48"/>
    <w:rsid w:val="22DB6980"/>
    <w:rsid w:val="22E006EF"/>
    <w:rsid w:val="22F00A92"/>
    <w:rsid w:val="2301712C"/>
    <w:rsid w:val="23335C2F"/>
    <w:rsid w:val="233D0C25"/>
    <w:rsid w:val="23444268"/>
    <w:rsid w:val="234E00AF"/>
    <w:rsid w:val="23675841"/>
    <w:rsid w:val="239A32F4"/>
    <w:rsid w:val="23B302CE"/>
    <w:rsid w:val="23D16EFC"/>
    <w:rsid w:val="23EF3232"/>
    <w:rsid w:val="2403431B"/>
    <w:rsid w:val="240A5D77"/>
    <w:rsid w:val="24142194"/>
    <w:rsid w:val="242F6347"/>
    <w:rsid w:val="246739F8"/>
    <w:rsid w:val="24A30FBB"/>
    <w:rsid w:val="24AD4960"/>
    <w:rsid w:val="24B677DB"/>
    <w:rsid w:val="24C00E4A"/>
    <w:rsid w:val="24DB1B09"/>
    <w:rsid w:val="24E60780"/>
    <w:rsid w:val="24F43B92"/>
    <w:rsid w:val="24FF19C4"/>
    <w:rsid w:val="25041590"/>
    <w:rsid w:val="25731E80"/>
    <w:rsid w:val="257866B1"/>
    <w:rsid w:val="258F38CC"/>
    <w:rsid w:val="25A82F5B"/>
    <w:rsid w:val="25C915FC"/>
    <w:rsid w:val="25CE4CD0"/>
    <w:rsid w:val="260874E8"/>
    <w:rsid w:val="26124ED4"/>
    <w:rsid w:val="262E6F34"/>
    <w:rsid w:val="2632366A"/>
    <w:rsid w:val="26333878"/>
    <w:rsid w:val="264D28A0"/>
    <w:rsid w:val="26520DBA"/>
    <w:rsid w:val="26595760"/>
    <w:rsid w:val="267E7E2B"/>
    <w:rsid w:val="26B613FF"/>
    <w:rsid w:val="26C62C95"/>
    <w:rsid w:val="26C76774"/>
    <w:rsid w:val="26C848AF"/>
    <w:rsid w:val="26CE2A68"/>
    <w:rsid w:val="26D97433"/>
    <w:rsid w:val="26E74AA2"/>
    <w:rsid w:val="26FE003E"/>
    <w:rsid w:val="271C5FE7"/>
    <w:rsid w:val="27315631"/>
    <w:rsid w:val="275C465E"/>
    <w:rsid w:val="27992D3B"/>
    <w:rsid w:val="27AA2CA3"/>
    <w:rsid w:val="27B01683"/>
    <w:rsid w:val="27B8211C"/>
    <w:rsid w:val="27C82253"/>
    <w:rsid w:val="27EC4E71"/>
    <w:rsid w:val="28247BB6"/>
    <w:rsid w:val="285717B4"/>
    <w:rsid w:val="28933CCC"/>
    <w:rsid w:val="28AE7984"/>
    <w:rsid w:val="28B31FCA"/>
    <w:rsid w:val="28C80D3F"/>
    <w:rsid w:val="28CC797B"/>
    <w:rsid w:val="28D96965"/>
    <w:rsid w:val="28DE3958"/>
    <w:rsid w:val="29055F95"/>
    <w:rsid w:val="29341888"/>
    <w:rsid w:val="2945508F"/>
    <w:rsid w:val="296740FF"/>
    <w:rsid w:val="29701219"/>
    <w:rsid w:val="298B7241"/>
    <w:rsid w:val="298E09C9"/>
    <w:rsid w:val="299E2D9B"/>
    <w:rsid w:val="29B421E7"/>
    <w:rsid w:val="29DE1DBA"/>
    <w:rsid w:val="29E224B7"/>
    <w:rsid w:val="29FB3EBB"/>
    <w:rsid w:val="29FD2F6F"/>
    <w:rsid w:val="2A0A5C85"/>
    <w:rsid w:val="2A0F28F4"/>
    <w:rsid w:val="2A0F54AF"/>
    <w:rsid w:val="2A1D03C7"/>
    <w:rsid w:val="2A2E41C8"/>
    <w:rsid w:val="2A314AC8"/>
    <w:rsid w:val="2A3C6EB3"/>
    <w:rsid w:val="2A446D64"/>
    <w:rsid w:val="2A4E3657"/>
    <w:rsid w:val="2A4F5FF4"/>
    <w:rsid w:val="2A554419"/>
    <w:rsid w:val="2A5E32CD"/>
    <w:rsid w:val="2A8C02FC"/>
    <w:rsid w:val="2AC12DBF"/>
    <w:rsid w:val="2AD70139"/>
    <w:rsid w:val="2ADC3D50"/>
    <w:rsid w:val="2AEE531A"/>
    <w:rsid w:val="2AFB6893"/>
    <w:rsid w:val="2B1C66E6"/>
    <w:rsid w:val="2B22793F"/>
    <w:rsid w:val="2B2E77B1"/>
    <w:rsid w:val="2B3A3218"/>
    <w:rsid w:val="2B3C5C6D"/>
    <w:rsid w:val="2B6C4470"/>
    <w:rsid w:val="2B7D5189"/>
    <w:rsid w:val="2B8F6C63"/>
    <w:rsid w:val="2BB53814"/>
    <w:rsid w:val="2BDE868F"/>
    <w:rsid w:val="2BEF7575"/>
    <w:rsid w:val="2C091874"/>
    <w:rsid w:val="2C0C2E05"/>
    <w:rsid w:val="2C187F64"/>
    <w:rsid w:val="2C22438D"/>
    <w:rsid w:val="2C2A6F85"/>
    <w:rsid w:val="2C301EDF"/>
    <w:rsid w:val="2C363D63"/>
    <w:rsid w:val="2C4A7F5F"/>
    <w:rsid w:val="2C515B6D"/>
    <w:rsid w:val="2C5F0A97"/>
    <w:rsid w:val="2C854E4C"/>
    <w:rsid w:val="2C8A3639"/>
    <w:rsid w:val="2CA8549C"/>
    <w:rsid w:val="2CC35E7E"/>
    <w:rsid w:val="2CD63D6C"/>
    <w:rsid w:val="2CF748AA"/>
    <w:rsid w:val="2D157538"/>
    <w:rsid w:val="2D2F720D"/>
    <w:rsid w:val="2D310B09"/>
    <w:rsid w:val="2D4828C3"/>
    <w:rsid w:val="2D57345B"/>
    <w:rsid w:val="2D5F3EE2"/>
    <w:rsid w:val="2D764F47"/>
    <w:rsid w:val="2DD91851"/>
    <w:rsid w:val="2DDB69E3"/>
    <w:rsid w:val="2DED636C"/>
    <w:rsid w:val="2DF9093A"/>
    <w:rsid w:val="2E136236"/>
    <w:rsid w:val="2E3D4373"/>
    <w:rsid w:val="2E4D6A38"/>
    <w:rsid w:val="2E9025A4"/>
    <w:rsid w:val="2E964E15"/>
    <w:rsid w:val="2EBD40A4"/>
    <w:rsid w:val="2EE158E9"/>
    <w:rsid w:val="2EF35252"/>
    <w:rsid w:val="2F080823"/>
    <w:rsid w:val="2F08776A"/>
    <w:rsid w:val="2F0D5D93"/>
    <w:rsid w:val="2F173E47"/>
    <w:rsid w:val="2F1B4932"/>
    <w:rsid w:val="2F20375F"/>
    <w:rsid w:val="2F2A0E3C"/>
    <w:rsid w:val="2F2D7712"/>
    <w:rsid w:val="2F3E632A"/>
    <w:rsid w:val="2F4F3241"/>
    <w:rsid w:val="2F6C3DCC"/>
    <w:rsid w:val="2F797671"/>
    <w:rsid w:val="2F7B3516"/>
    <w:rsid w:val="2F81674D"/>
    <w:rsid w:val="2F8E5679"/>
    <w:rsid w:val="2F9C4D38"/>
    <w:rsid w:val="2FC25D7B"/>
    <w:rsid w:val="2FC90A41"/>
    <w:rsid w:val="2FD22068"/>
    <w:rsid w:val="2FD64B99"/>
    <w:rsid w:val="2FE87A6A"/>
    <w:rsid w:val="2FE91C99"/>
    <w:rsid w:val="2FF81FE9"/>
    <w:rsid w:val="2FFD154B"/>
    <w:rsid w:val="300F5566"/>
    <w:rsid w:val="30184226"/>
    <w:rsid w:val="304D190A"/>
    <w:rsid w:val="30731155"/>
    <w:rsid w:val="3086347F"/>
    <w:rsid w:val="308F4B91"/>
    <w:rsid w:val="30941DB6"/>
    <w:rsid w:val="309E7091"/>
    <w:rsid w:val="30BD4B70"/>
    <w:rsid w:val="30DE49F0"/>
    <w:rsid w:val="30E20ADF"/>
    <w:rsid w:val="31067B71"/>
    <w:rsid w:val="31104BE6"/>
    <w:rsid w:val="31107C6B"/>
    <w:rsid w:val="3135407B"/>
    <w:rsid w:val="31421084"/>
    <w:rsid w:val="31887B7C"/>
    <w:rsid w:val="31895649"/>
    <w:rsid w:val="31AD34E7"/>
    <w:rsid w:val="31B02544"/>
    <w:rsid w:val="31DB58FA"/>
    <w:rsid w:val="31E0690F"/>
    <w:rsid w:val="31E4376E"/>
    <w:rsid w:val="31E744D3"/>
    <w:rsid w:val="31F03994"/>
    <w:rsid w:val="31F06AA9"/>
    <w:rsid w:val="31FF15D2"/>
    <w:rsid w:val="32096EE3"/>
    <w:rsid w:val="32155C69"/>
    <w:rsid w:val="32535B1F"/>
    <w:rsid w:val="32655A40"/>
    <w:rsid w:val="327613D0"/>
    <w:rsid w:val="32830AEF"/>
    <w:rsid w:val="328E2276"/>
    <w:rsid w:val="329945C7"/>
    <w:rsid w:val="329E0E6A"/>
    <w:rsid w:val="32AE7CE7"/>
    <w:rsid w:val="32BE744E"/>
    <w:rsid w:val="32C41EAE"/>
    <w:rsid w:val="32C62FAA"/>
    <w:rsid w:val="32CA0E4B"/>
    <w:rsid w:val="32CB45C8"/>
    <w:rsid w:val="32D21971"/>
    <w:rsid w:val="32E34523"/>
    <w:rsid w:val="332E3950"/>
    <w:rsid w:val="335202DB"/>
    <w:rsid w:val="336E5F6C"/>
    <w:rsid w:val="33732317"/>
    <w:rsid w:val="33790B91"/>
    <w:rsid w:val="337B4EF0"/>
    <w:rsid w:val="339064C2"/>
    <w:rsid w:val="3396767F"/>
    <w:rsid w:val="33A337D5"/>
    <w:rsid w:val="33F71CC8"/>
    <w:rsid w:val="33FA57B0"/>
    <w:rsid w:val="34016A86"/>
    <w:rsid w:val="34067CF6"/>
    <w:rsid w:val="34184C5D"/>
    <w:rsid w:val="34391824"/>
    <w:rsid w:val="343D03F7"/>
    <w:rsid w:val="34475E33"/>
    <w:rsid w:val="344C23E9"/>
    <w:rsid w:val="34695556"/>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60006C2"/>
    <w:rsid w:val="36231CDE"/>
    <w:rsid w:val="36290B2F"/>
    <w:rsid w:val="36457F31"/>
    <w:rsid w:val="36967D4F"/>
    <w:rsid w:val="36A861E5"/>
    <w:rsid w:val="36BC6408"/>
    <w:rsid w:val="36E55AEB"/>
    <w:rsid w:val="372F3093"/>
    <w:rsid w:val="3734013D"/>
    <w:rsid w:val="373B7D1B"/>
    <w:rsid w:val="37442F4D"/>
    <w:rsid w:val="37883D9D"/>
    <w:rsid w:val="37987CE3"/>
    <w:rsid w:val="379DF0C9"/>
    <w:rsid w:val="37CD3840"/>
    <w:rsid w:val="37DA5F5D"/>
    <w:rsid w:val="37ED036A"/>
    <w:rsid w:val="37F913BE"/>
    <w:rsid w:val="37FF6BD7"/>
    <w:rsid w:val="38177FF1"/>
    <w:rsid w:val="386523B0"/>
    <w:rsid w:val="389E4DF7"/>
    <w:rsid w:val="38A230B5"/>
    <w:rsid w:val="38B5305A"/>
    <w:rsid w:val="38D63A95"/>
    <w:rsid w:val="38E85F68"/>
    <w:rsid w:val="3914125A"/>
    <w:rsid w:val="3915611C"/>
    <w:rsid w:val="39260D0B"/>
    <w:rsid w:val="396B7958"/>
    <w:rsid w:val="397158ED"/>
    <w:rsid w:val="39724B96"/>
    <w:rsid w:val="3986014B"/>
    <w:rsid w:val="39E37660"/>
    <w:rsid w:val="3A291850"/>
    <w:rsid w:val="3A2A56F0"/>
    <w:rsid w:val="3A347BA7"/>
    <w:rsid w:val="3A86131C"/>
    <w:rsid w:val="3A904DA0"/>
    <w:rsid w:val="3AA14CC2"/>
    <w:rsid w:val="3AC96B3C"/>
    <w:rsid w:val="3AD3639A"/>
    <w:rsid w:val="3ADA7F84"/>
    <w:rsid w:val="3AE22A52"/>
    <w:rsid w:val="3B037579"/>
    <w:rsid w:val="3B06357D"/>
    <w:rsid w:val="3B0A2B10"/>
    <w:rsid w:val="3B111A40"/>
    <w:rsid w:val="3B2A3A82"/>
    <w:rsid w:val="3B470C18"/>
    <w:rsid w:val="3B5269DA"/>
    <w:rsid w:val="3B9A0AD5"/>
    <w:rsid w:val="3BAA2DFB"/>
    <w:rsid w:val="3BB98257"/>
    <w:rsid w:val="3BD45B11"/>
    <w:rsid w:val="3BEB5437"/>
    <w:rsid w:val="3BF75330"/>
    <w:rsid w:val="3C195C5A"/>
    <w:rsid w:val="3C277358"/>
    <w:rsid w:val="3C300842"/>
    <w:rsid w:val="3C504855"/>
    <w:rsid w:val="3CA91485"/>
    <w:rsid w:val="3CB3794A"/>
    <w:rsid w:val="3CC17E22"/>
    <w:rsid w:val="3CDA6666"/>
    <w:rsid w:val="3D0A686C"/>
    <w:rsid w:val="3D697E49"/>
    <w:rsid w:val="3D833044"/>
    <w:rsid w:val="3D98639D"/>
    <w:rsid w:val="3DBD4CAC"/>
    <w:rsid w:val="3DE76D88"/>
    <w:rsid w:val="3DFDB1AE"/>
    <w:rsid w:val="3E0655B4"/>
    <w:rsid w:val="3E337FDD"/>
    <w:rsid w:val="3E5FED92"/>
    <w:rsid w:val="3E6D4856"/>
    <w:rsid w:val="3E835940"/>
    <w:rsid w:val="3E8B628D"/>
    <w:rsid w:val="3E8C18E6"/>
    <w:rsid w:val="3EBD617F"/>
    <w:rsid w:val="3ECA28FD"/>
    <w:rsid w:val="3ECC5739"/>
    <w:rsid w:val="3F257157"/>
    <w:rsid w:val="3F384761"/>
    <w:rsid w:val="3F3F6505"/>
    <w:rsid w:val="3F526712"/>
    <w:rsid w:val="3F5B5216"/>
    <w:rsid w:val="3F640B0B"/>
    <w:rsid w:val="3F812A3A"/>
    <w:rsid w:val="3FD062C0"/>
    <w:rsid w:val="3FD3BFEC"/>
    <w:rsid w:val="3FE1772E"/>
    <w:rsid w:val="3FF50647"/>
    <w:rsid w:val="3FFD8E96"/>
    <w:rsid w:val="3FFE1AF6"/>
    <w:rsid w:val="3FFE70B7"/>
    <w:rsid w:val="400B31E9"/>
    <w:rsid w:val="40141D1D"/>
    <w:rsid w:val="401B4FD8"/>
    <w:rsid w:val="401F30A7"/>
    <w:rsid w:val="40307C69"/>
    <w:rsid w:val="404D7AC8"/>
    <w:rsid w:val="40634C41"/>
    <w:rsid w:val="40791BF6"/>
    <w:rsid w:val="407B722C"/>
    <w:rsid w:val="4096753E"/>
    <w:rsid w:val="40AB4C9D"/>
    <w:rsid w:val="40DD16D8"/>
    <w:rsid w:val="41281AE7"/>
    <w:rsid w:val="413063A6"/>
    <w:rsid w:val="41391FB6"/>
    <w:rsid w:val="4145485A"/>
    <w:rsid w:val="41686388"/>
    <w:rsid w:val="417530DD"/>
    <w:rsid w:val="417B40A4"/>
    <w:rsid w:val="41814A29"/>
    <w:rsid w:val="41920DF4"/>
    <w:rsid w:val="419C33BB"/>
    <w:rsid w:val="41A36DCF"/>
    <w:rsid w:val="41C06248"/>
    <w:rsid w:val="42226A27"/>
    <w:rsid w:val="425608D6"/>
    <w:rsid w:val="42586B9E"/>
    <w:rsid w:val="425C78EF"/>
    <w:rsid w:val="425D4FF7"/>
    <w:rsid w:val="425F7C30"/>
    <w:rsid w:val="42655A33"/>
    <w:rsid w:val="42680B06"/>
    <w:rsid w:val="426A5E81"/>
    <w:rsid w:val="427C326D"/>
    <w:rsid w:val="429F46BC"/>
    <w:rsid w:val="42A34DFA"/>
    <w:rsid w:val="42D13BA4"/>
    <w:rsid w:val="42F26E0D"/>
    <w:rsid w:val="43005F1C"/>
    <w:rsid w:val="43100FE2"/>
    <w:rsid w:val="43242DC6"/>
    <w:rsid w:val="43463A91"/>
    <w:rsid w:val="439E6277"/>
    <w:rsid w:val="43A254B1"/>
    <w:rsid w:val="43A755E0"/>
    <w:rsid w:val="43B943DD"/>
    <w:rsid w:val="43BF143F"/>
    <w:rsid w:val="43F50014"/>
    <w:rsid w:val="4404683C"/>
    <w:rsid w:val="44240C6A"/>
    <w:rsid w:val="44272CAC"/>
    <w:rsid w:val="443A54EB"/>
    <w:rsid w:val="44451BDC"/>
    <w:rsid w:val="444F6481"/>
    <w:rsid w:val="4455482D"/>
    <w:rsid w:val="446E1F07"/>
    <w:rsid w:val="44727C49"/>
    <w:rsid w:val="4475326D"/>
    <w:rsid w:val="447B6726"/>
    <w:rsid w:val="449A1973"/>
    <w:rsid w:val="44F02F62"/>
    <w:rsid w:val="451A0FD3"/>
    <w:rsid w:val="456D21BF"/>
    <w:rsid w:val="45712308"/>
    <w:rsid w:val="457D2990"/>
    <w:rsid w:val="458B1522"/>
    <w:rsid w:val="45ED0241"/>
    <w:rsid w:val="460434E4"/>
    <w:rsid w:val="460D1FE3"/>
    <w:rsid w:val="466B00B6"/>
    <w:rsid w:val="46706F3F"/>
    <w:rsid w:val="46742883"/>
    <w:rsid w:val="46757EF5"/>
    <w:rsid w:val="468375BE"/>
    <w:rsid w:val="46876032"/>
    <w:rsid w:val="46A87C88"/>
    <w:rsid w:val="46BC33FE"/>
    <w:rsid w:val="46C96C6F"/>
    <w:rsid w:val="46FD0882"/>
    <w:rsid w:val="470D2D84"/>
    <w:rsid w:val="471513C1"/>
    <w:rsid w:val="47245012"/>
    <w:rsid w:val="472B40E0"/>
    <w:rsid w:val="473461A6"/>
    <w:rsid w:val="4736734B"/>
    <w:rsid w:val="473D42FE"/>
    <w:rsid w:val="474D22A8"/>
    <w:rsid w:val="47793752"/>
    <w:rsid w:val="477E751F"/>
    <w:rsid w:val="47A07BBB"/>
    <w:rsid w:val="47A31B07"/>
    <w:rsid w:val="47A9364D"/>
    <w:rsid w:val="47B71E17"/>
    <w:rsid w:val="47C81250"/>
    <w:rsid w:val="47C84FBA"/>
    <w:rsid w:val="47E051A9"/>
    <w:rsid w:val="47EA5D49"/>
    <w:rsid w:val="47EFACDD"/>
    <w:rsid w:val="48137501"/>
    <w:rsid w:val="485278BE"/>
    <w:rsid w:val="48580FAA"/>
    <w:rsid w:val="487D2A9B"/>
    <w:rsid w:val="488573DB"/>
    <w:rsid w:val="48997F4E"/>
    <w:rsid w:val="48C75219"/>
    <w:rsid w:val="48D23E7A"/>
    <w:rsid w:val="48E0038B"/>
    <w:rsid w:val="48F04FAA"/>
    <w:rsid w:val="49383A95"/>
    <w:rsid w:val="49897021"/>
    <w:rsid w:val="499B766C"/>
    <w:rsid w:val="49A85CE0"/>
    <w:rsid w:val="49BB73C2"/>
    <w:rsid w:val="49CB0635"/>
    <w:rsid w:val="49CC464E"/>
    <w:rsid w:val="49E815C6"/>
    <w:rsid w:val="4A203730"/>
    <w:rsid w:val="4A203D36"/>
    <w:rsid w:val="4A3F1F54"/>
    <w:rsid w:val="4A5943E4"/>
    <w:rsid w:val="4A6050DB"/>
    <w:rsid w:val="4A6278FA"/>
    <w:rsid w:val="4A693AF6"/>
    <w:rsid w:val="4AD43451"/>
    <w:rsid w:val="4ADD07E4"/>
    <w:rsid w:val="4B4E3F99"/>
    <w:rsid w:val="4B5A348C"/>
    <w:rsid w:val="4B715FB2"/>
    <w:rsid w:val="4B8C55E8"/>
    <w:rsid w:val="4BB41A6E"/>
    <w:rsid w:val="4BB858C5"/>
    <w:rsid w:val="4BDD5D8A"/>
    <w:rsid w:val="4C083C31"/>
    <w:rsid w:val="4C100B51"/>
    <w:rsid w:val="4C3C131C"/>
    <w:rsid w:val="4C7556B4"/>
    <w:rsid w:val="4C790EC3"/>
    <w:rsid w:val="4C875D8A"/>
    <w:rsid w:val="4C88552C"/>
    <w:rsid w:val="4CB80042"/>
    <w:rsid w:val="4CC805CD"/>
    <w:rsid w:val="4CD90354"/>
    <w:rsid w:val="4CE218FE"/>
    <w:rsid w:val="4CE354D3"/>
    <w:rsid w:val="4D092A65"/>
    <w:rsid w:val="4D3E119B"/>
    <w:rsid w:val="4D5D5079"/>
    <w:rsid w:val="4D63426D"/>
    <w:rsid w:val="4D6F1F18"/>
    <w:rsid w:val="4D7376F9"/>
    <w:rsid w:val="4D9E38E4"/>
    <w:rsid w:val="4DC82BF0"/>
    <w:rsid w:val="4DD013FD"/>
    <w:rsid w:val="4DE577AB"/>
    <w:rsid w:val="4DEF2E86"/>
    <w:rsid w:val="4E121FA7"/>
    <w:rsid w:val="4E6E2737"/>
    <w:rsid w:val="4E7B4448"/>
    <w:rsid w:val="4EBA1CDB"/>
    <w:rsid w:val="4EDB1BC9"/>
    <w:rsid w:val="4EEB225C"/>
    <w:rsid w:val="4F103158"/>
    <w:rsid w:val="4F172AC2"/>
    <w:rsid w:val="4F1B6653"/>
    <w:rsid w:val="4F292345"/>
    <w:rsid w:val="4F2C6561"/>
    <w:rsid w:val="4F314161"/>
    <w:rsid w:val="4F3F55BB"/>
    <w:rsid w:val="4F460981"/>
    <w:rsid w:val="4F464A5A"/>
    <w:rsid w:val="4F4C6491"/>
    <w:rsid w:val="4F505898"/>
    <w:rsid w:val="4F5551B4"/>
    <w:rsid w:val="4F5D32A4"/>
    <w:rsid w:val="4F66062D"/>
    <w:rsid w:val="4F6B71DF"/>
    <w:rsid w:val="4F9818B4"/>
    <w:rsid w:val="4FAD051B"/>
    <w:rsid w:val="4FD46EBD"/>
    <w:rsid w:val="4FDA0735"/>
    <w:rsid w:val="4FDE202D"/>
    <w:rsid w:val="4FE828ED"/>
    <w:rsid w:val="4FF37764"/>
    <w:rsid w:val="501D392A"/>
    <w:rsid w:val="503D78E7"/>
    <w:rsid w:val="503D7B8D"/>
    <w:rsid w:val="506616A5"/>
    <w:rsid w:val="506B2F52"/>
    <w:rsid w:val="507951EA"/>
    <w:rsid w:val="508F2AB3"/>
    <w:rsid w:val="50B138D1"/>
    <w:rsid w:val="50B73382"/>
    <w:rsid w:val="50C8300A"/>
    <w:rsid w:val="50F0046A"/>
    <w:rsid w:val="50F31B7F"/>
    <w:rsid w:val="511A61BA"/>
    <w:rsid w:val="511E35F8"/>
    <w:rsid w:val="51503FA0"/>
    <w:rsid w:val="5156017D"/>
    <w:rsid w:val="51566BAA"/>
    <w:rsid w:val="51596E11"/>
    <w:rsid w:val="5161270B"/>
    <w:rsid w:val="519B5CC2"/>
    <w:rsid w:val="51CD03C6"/>
    <w:rsid w:val="51FE7D93"/>
    <w:rsid w:val="52121DCF"/>
    <w:rsid w:val="52137423"/>
    <w:rsid w:val="521C6302"/>
    <w:rsid w:val="522105B9"/>
    <w:rsid w:val="52263BCA"/>
    <w:rsid w:val="52754DA9"/>
    <w:rsid w:val="52AF3E2F"/>
    <w:rsid w:val="52FB705C"/>
    <w:rsid w:val="5304202F"/>
    <w:rsid w:val="53155197"/>
    <w:rsid w:val="531B7C6E"/>
    <w:rsid w:val="531E008C"/>
    <w:rsid w:val="532650AE"/>
    <w:rsid w:val="53314D4C"/>
    <w:rsid w:val="53316789"/>
    <w:rsid w:val="535F5FA4"/>
    <w:rsid w:val="53871716"/>
    <w:rsid w:val="53950C89"/>
    <w:rsid w:val="53A40CC6"/>
    <w:rsid w:val="53A43997"/>
    <w:rsid w:val="53D00AF6"/>
    <w:rsid w:val="53D42EB7"/>
    <w:rsid w:val="53DE1453"/>
    <w:rsid w:val="53FF5110"/>
    <w:rsid w:val="5403502E"/>
    <w:rsid w:val="540A3EEE"/>
    <w:rsid w:val="540A6D47"/>
    <w:rsid w:val="54457077"/>
    <w:rsid w:val="544F1263"/>
    <w:rsid w:val="549D0C85"/>
    <w:rsid w:val="54E67898"/>
    <w:rsid w:val="54EE6554"/>
    <w:rsid w:val="5503044A"/>
    <w:rsid w:val="550C6C83"/>
    <w:rsid w:val="553E32D6"/>
    <w:rsid w:val="55583B90"/>
    <w:rsid w:val="55675C79"/>
    <w:rsid w:val="558D65E8"/>
    <w:rsid w:val="55990B54"/>
    <w:rsid w:val="55BC2E86"/>
    <w:rsid w:val="55BC4C30"/>
    <w:rsid w:val="55C03CB8"/>
    <w:rsid w:val="55C624E8"/>
    <w:rsid w:val="55D26A44"/>
    <w:rsid w:val="55D94BD7"/>
    <w:rsid w:val="560B1CAC"/>
    <w:rsid w:val="5625035E"/>
    <w:rsid w:val="562F0568"/>
    <w:rsid w:val="565F506B"/>
    <w:rsid w:val="566F1F39"/>
    <w:rsid w:val="56830ADF"/>
    <w:rsid w:val="56857CFC"/>
    <w:rsid w:val="569022B2"/>
    <w:rsid w:val="56BB20E5"/>
    <w:rsid w:val="56D5033D"/>
    <w:rsid w:val="56D67726"/>
    <w:rsid w:val="56FF2CC1"/>
    <w:rsid w:val="57002B8D"/>
    <w:rsid w:val="571B6F3E"/>
    <w:rsid w:val="571F6FD0"/>
    <w:rsid w:val="57307AAE"/>
    <w:rsid w:val="57341D30"/>
    <w:rsid w:val="57344DFE"/>
    <w:rsid w:val="573577BE"/>
    <w:rsid w:val="573751CA"/>
    <w:rsid w:val="57606083"/>
    <w:rsid w:val="5771361B"/>
    <w:rsid w:val="578B0E6E"/>
    <w:rsid w:val="57A1046F"/>
    <w:rsid w:val="57B5D834"/>
    <w:rsid w:val="57D60C34"/>
    <w:rsid w:val="57F652BC"/>
    <w:rsid w:val="58036411"/>
    <w:rsid w:val="58405511"/>
    <w:rsid w:val="5848061C"/>
    <w:rsid w:val="5848614A"/>
    <w:rsid w:val="585D6E6C"/>
    <w:rsid w:val="588C1D68"/>
    <w:rsid w:val="58A674A5"/>
    <w:rsid w:val="58BD349A"/>
    <w:rsid w:val="58CD30A4"/>
    <w:rsid w:val="58CD382E"/>
    <w:rsid w:val="58D7418F"/>
    <w:rsid w:val="5900000F"/>
    <w:rsid w:val="590A1DA2"/>
    <w:rsid w:val="590D6489"/>
    <w:rsid w:val="59154896"/>
    <w:rsid w:val="592B5553"/>
    <w:rsid w:val="595042FB"/>
    <w:rsid w:val="59876675"/>
    <w:rsid w:val="59B455AD"/>
    <w:rsid w:val="59B961EA"/>
    <w:rsid w:val="59C9107F"/>
    <w:rsid w:val="59CE04C3"/>
    <w:rsid w:val="59FFE880"/>
    <w:rsid w:val="5A0C0158"/>
    <w:rsid w:val="5A376F91"/>
    <w:rsid w:val="5A3D0E34"/>
    <w:rsid w:val="5A4E1D0A"/>
    <w:rsid w:val="5A642481"/>
    <w:rsid w:val="5A6E0818"/>
    <w:rsid w:val="5ABE7049"/>
    <w:rsid w:val="5AC32B55"/>
    <w:rsid w:val="5AE145C9"/>
    <w:rsid w:val="5AE16BD1"/>
    <w:rsid w:val="5B051A82"/>
    <w:rsid w:val="5B421824"/>
    <w:rsid w:val="5B695259"/>
    <w:rsid w:val="5B75772B"/>
    <w:rsid w:val="5B9E3DE4"/>
    <w:rsid w:val="5B9F3E6E"/>
    <w:rsid w:val="5BBA5B71"/>
    <w:rsid w:val="5BC44CEE"/>
    <w:rsid w:val="5BDA0F82"/>
    <w:rsid w:val="5BDF4787"/>
    <w:rsid w:val="5BE106D2"/>
    <w:rsid w:val="5BEE5145"/>
    <w:rsid w:val="5BFC04F4"/>
    <w:rsid w:val="5BFFD2DF"/>
    <w:rsid w:val="5C00697E"/>
    <w:rsid w:val="5C2F3299"/>
    <w:rsid w:val="5C37658E"/>
    <w:rsid w:val="5C3F2150"/>
    <w:rsid w:val="5C405FA4"/>
    <w:rsid w:val="5C5F447C"/>
    <w:rsid w:val="5C7521D3"/>
    <w:rsid w:val="5C7A1BCF"/>
    <w:rsid w:val="5C896574"/>
    <w:rsid w:val="5C8C3697"/>
    <w:rsid w:val="5CAC7B1C"/>
    <w:rsid w:val="5CD13E43"/>
    <w:rsid w:val="5CEF42BA"/>
    <w:rsid w:val="5D2378DB"/>
    <w:rsid w:val="5D383570"/>
    <w:rsid w:val="5D591FBD"/>
    <w:rsid w:val="5D94180E"/>
    <w:rsid w:val="5D9F272C"/>
    <w:rsid w:val="5D9F27A5"/>
    <w:rsid w:val="5DC411A3"/>
    <w:rsid w:val="5DCA620A"/>
    <w:rsid w:val="5DDABCF8"/>
    <w:rsid w:val="5DDD008C"/>
    <w:rsid w:val="5DF13745"/>
    <w:rsid w:val="5DFE433A"/>
    <w:rsid w:val="5E1373C1"/>
    <w:rsid w:val="5E2D4485"/>
    <w:rsid w:val="5E451AD3"/>
    <w:rsid w:val="5E6747E1"/>
    <w:rsid w:val="5E7BB97F"/>
    <w:rsid w:val="5E9641A9"/>
    <w:rsid w:val="5E97068D"/>
    <w:rsid w:val="5EB543C4"/>
    <w:rsid w:val="5EB7CDDF"/>
    <w:rsid w:val="5EB84469"/>
    <w:rsid w:val="5EB92CF5"/>
    <w:rsid w:val="5EBF6980"/>
    <w:rsid w:val="5ED30C10"/>
    <w:rsid w:val="5ED40ADE"/>
    <w:rsid w:val="5EDA2A7B"/>
    <w:rsid w:val="5EE16E0E"/>
    <w:rsid w:val="5EE82204"/>
    <w:rsid w:val="5F3940A0"/>
    <w:rsid w:val="5F44566E"/>
    <w:rsid w:val="5F4C554A"/>
    <w:rsid w:val="5F675369"/>
    <w:rsid w:val="5F9C7872"/>
    <w:rsid w:val="5FAA453B"/>
    <w:rsid w:val="5FB71F10"/>
    <w:rsid w:val="5FCF3527"/>
    <w:rsid w:val="5FF11BD5"/>
    <w:rsid w:val="5FF508FC"/>
    <w:rsid w:val="5FFB837C"/>
    <w:rsid w:val="601531AE"/>
    <w:rsid w:val="602D4F22"/>
    <w:rsid w:val="603F2201"/>
    <w:rsid w:val="604C733B"/>
    <w:rsid w:val="605721AA"/>
    <w:rsid w:val="60653448"/>
    <w:rsid w:val="60AE77CA"/>
    <w:rsid w:val="60B44113"/>
    <w:rsid w:val="60C06C11"/>
    <w:rsid w:val="60D120F3"/>
    <w:rsid w:val="60E517B1"/>
    <w:rsid w:val="60EA573B"/>
    <w:rsid w:val="613313A0"/>
    <w:rsid w:val="61380895"/>
    <w:rsid w:val="613F7C88"/>
    <w:rsid w:val="6155202D"/>
    <w:rsid w:val="616816BC"/>
    <w:rsid w:val="61731648"/>
    <w:rsid w:val="61755F36"/>
    <w:rsid w:val="617A1E26"/>
    <w:rsid w:val="61A70A3B"/>
    <w:rsid w:val="61BC73C0"/>
    <w:rsid w:val="61D60995"/>
    <w:rsid w:val="61D73548"/>
    <w:rsid w:val="61E16FA2"/>
    <w:rsid w:val="61E54B40"/>
    <w:rsid w:val="622C753A"/>
    <w:rsid w:val="624F3EEF"/>
    <w:rsid w:val="625F3407"/>
    <w:rsid w:val="62884618"/>
    <w:rsid w:val="62D70BD1"/>
    <w:rsid w:val="62E47D3E"/>
    <w:rsid w:val="62E92531"/>
    <w:rsid w:val="63406FB8"/>
    <w:rsid w:val="6341070D"/>
    <w:rsid w:val="63416D06"/>
    <w:rsid w:val="635414AE"/>
    <w:rsid w:val="637F3940"/>
    <w:rsid w:val="63A6157B"/>
    <w:rsid w:val="63AA21B4"/>
    <w:rsid w:val="63C3108A"/>
    <w:rsid w:val="63FC019F"/>
    <w:rsid w:val="642277FE"/>
    <w:rsid w:val="64481AB7"/>
    <w:rsid w:val="64497B3B"/>
    <w:rsid w:val="644F5459"/>
    <w:rsid w:val="64504B83"/>
    <w:rsid w:val="646F08D5"/>
    <w:rsid w:val="647E5D3F"/>
    <w:rsid w:val="648630F3"/>
    <w:rsid w:val="64B30F39"/>
    <w:rsid w:val="64BA7177"/>
    <w:rsid w:val="64C45F03"/>
    <w:rsid w:val="64CB5E68"/>
    <w:rsid w:val="64D5736A"/>
    <w:rsid w:val="64F851F1"/>
    <w:rsid w:val="651B67EF"/>
    <w:rsid w:val="65312228"/>
    <w:rsid w:val="65625FEC"/>
    <w:rsid w:val="656C7BC4"/>
    <w:rsid w:val="65715E5A"/>
    <w:rsid w:val="65904230"/>
    <w:rsid w:val="65930C48"/>
    <w:rsid w:val="65BF74AA"/>
    <w:rsid w:val="65C23858"/>
    <w:rsid w:val="65EB0373"/>
    <w:rsid w:val="6601087F"/>
    <w:rsid w:val="660B76FD"/>
    <w:rsid w:val="66183E19"/>
    <w:rsid w:val="66236B9E"/>
    <w:rsid w:val="663865AB"/>
    <w:rsid w:val="665D40AE"/>
    <w:rsid w:val="66821BE2"/>
    <w:rsid w:val="66A623A5"/>
    <w:rsid w:val="66BE22A1"/>
    <w:rsid w:val="66D70B4F"/>
    <w:rsid w:val="66FF5A0E"/>
    <w:rsid w:val="67005BCA"/>
    <w:rsid w:val="6702678E"/>
    <w:rsid w:val="670B175B"/>
    <w:rsid w:val="670F2FB6"/>
    <w:rsid w:val="671C1D5F"/>
    <w:rsid w:val="671F12E9"/>
    <w:rsid w:val="673426E5"/>
    <w:rsid w:val="673D2573"/>
    <w:rsid w:val="67812CEA"/>
    <w:rsid w:val="67980EC5"/>
    <w:rsid w:val="679D4CF3"/>
    <w:rsid w:val="679E080A"/>
    <w:rsid w:val="67B04461"/>
    <w:rsid w:val="67EE11BE"/>
    <w:rsid w:val="681E63B1"/>
    <w:rsid w:val="68342724"/>
    <w:rsid w:val="683B1C26"/>
    <w:rsid w:val="6889713A"/>
    <w:rsid w:val="68AF2209"/>
    <w:rsid w:val="68C04607"/>
    <w:rsid w:val="68DC0F3F"/>
    <w:rsid w:val="68DC73D9"/>
    <w:rsid w:val="68E258A1"/>
    <w:rsid w:val="68FA6BF9"/>
    <w:rsid w:val="691463FB"/>
    <w:rsid w:val="691A565F"/>
    <w:rsid w:val="69541AD9"/>
    <w:rsid w:val="695B2D9D"/>
    <w:rsid w:val="69650E2F"/>
    <w:rsid w:val="69A9488B"/>
    <w:rsid w:val="69B47B0D"/>
    <w:rsid w:val="69C96177"/>
    <w:rsid w:val="69E16BE6"/>
    <w:rsid w:val="6A230268"/>
    <w:rsid w:val="6A3F0348"/>
    <w:rsid w:val="6A457122"/>
    <w:rsid w:val="6A4D68CC"/>
    <w:rsid w:val="6A5F513A"/>
    <w:rsid w:val="6A7150A8"/>
    <w:rsid w:val="6A724C2D"/>
    <w:rsid w:val="6A7401B1"/>
    <w:rsid w:val="6A843983"/>
    <w:rsid w:val="6ABF2D94"/>
    <w:rsid w:val="6B02331D"/>
    <w:rsid w:val="6B067187"/>
    <w:rsid w:val="6B507AEB"/>
    <w:rsid w:val="6B5415A7"/>
    <w:rsid w:val="6B727905"/>
    <w:rsid w:val="6B9125CB"/>
    <w:rsid w:val="6B99520C"/>
    <w:rsid w:val="6BB93611"/>
    <w:rsid w:val="6BC35959"/>
    <w:rsid w:val="6BE64B7B"/>
    <w:rsid w:val="6BF315F7"/>
    <w:rsid w:val="6C05168F"/>
    <w:rsid w:val="6C05463D"/>
    <w:rsid w:val="6C164AAF"/>
    <w:rsid w:val="6C274259"/>
    <w:rsid w:val="6C714624"/>
    <w:rsid w:val="6C7D7121"/>
    <w:rsid w:val="6C9F23F5"/>
    <w:rsid w:val="6CBD664D"/>
    <w:rsid w:val="6CD07465"/>
    <w:rsid w:val="6CDA28F7"/>
    <w:rsid w:val="6CFF355E"/>
    <w:rsid w:val="6D003795"/>
    <w:rsid w:val="6D10711C"/>
    <w:rsid w:val="6D1771CB"/>
    <w:rsid w:val="6D2356D5"/>
    <w:rsid w:val="6D2E27CF"/>
    <w:rsid w:val="6D52034D"/>
    <w:rsid w:val="6D70737B"/>
    <w:rsid w:val="6D76311A"/>
    <w:rsid w:val="6D771760"/>
    <w:rsid w:val="6D993D80"/>
    <w:rsid w:val="6DDF75FC"/>
    <w:rsid w:val="6DF90EC9"/>
    <w:rsid w:val="6E01448B"/>
    <w:rsid w:val="6E025E88"/>
    <w:rsid w:val="6E041063"/>
    <w:rsid w:val="6E2E5E48"/>
    <w:rsid w:val="6E866386"/>
    <w:rsid w:val="6EA165BF"/>
    <w:rsid w:val="6ED160AB"/>
    <w:rsid w:val="6EDB34C1"/>
    <w:rsid w:val="6F006DDA"/>
    <w:rsid w:val="6F085C5D"/>
    <w:rsid w:val="6F4F6D21"/>
    <w:rsid w:val="6F58696B"/>
    <w:rsid w:val="6F6325CC"/>
    <w:rsid w:val="6F6E6F9C"/>
    <w:rsid w:val="6F95673A"/>
    <w:rsid w:val="6F9673F9"/>
    <w:rsid w:val="6F9D4B96"/>
    <w:rsid w:val="6FA7767C"/>
    <w:rsid w:val="6FBB755E"/>
    <w:rsid w:val="6FCD27E4"/>
    <w:rsid w:val="6FD10B32"/>
    <w:rsid w:val="6FDF5A50"/>
    <w:rsid w:val="6FEE1B2C"/>
    <w:rsid w:val="7000220A"/>
    <w:rsid w:val="7019691C"/>
    <w:rsid w:val="701D6C26"/>
    <w:rsid w:val="70216AC8"/>
    <w:rsid w:val="70392C2A"/>
    <w:rsid w:val="70566360"/>
    <w:rsid w:val="70745258"/>
    <w:rsid w:val="707819B0"/>
    <w:rsid w:val="709B2D07"/>
    <w:rsid w:val="709F64A5"/>
    <w:rsid w:val="70AD6346"/>
    <w:rsid w:val="70CF02ED"/>
    <w:rsid w:val="70D74AB3"/>
    <w:rsid w:val="70DA6154"/>
    <w:rsid w:val="70DA7BE8"/>
    <w:rsid w:val="70DD0315"/>
    <w:rsid w:val="70E95D7A"/>
    <w:rsid w:val="71136C4F"/>
    <w:rsid w:val="71235661"/>
    <w:rsid w:val="712E15B0"/>
    <w:rsid w:val="714D0A49"/>
    <w:rsid w:val="7150636D"/>
    <w:rsid w:val="71673F9B"/>
    <w:rsid w:val="717520A9"/>
    <w:rsid w:val="717A5DBE"/>
    <w:rsid w:val="71856C39"/>
    <w:rsid w:val="719F0B7C"/>
    <w:rsid w:val="71AF5789"/>
    <w:rsid w:val="71CD6934"/>
    <w:rsid w:val="71DD3D62"/>
    <w:rsid w:val="71EA15C0"/>
    <w:rsid w:val="71F83BE6"/>
    <w:rsid w:val="72074706"/>
    <w:rsid w:val="723942F4"/>
    <w:rsid w:val="724015D2"/>
    <w:rsid w:val="725737C3"/>
    <w:rsid w:val="7260622C"/>
    <w:rsid w:val="726D5A47"/>
    <w:rsid w:val="72757496"/>
    <w:rsid w:val="727B41C2"/>
    <w:rsid w:val="727D77DF"/>
    <w:rsid w:val="72C9C255"/>
    <w:rsid w:val="72E75711"/>
    <w:rsid w:val="72EB1400"/>
    <w:rsid w:val="731E26C5"/>
    <w:rsid w:val="732860A1"/>
    <w:rsid w:val="734C374E"/>
    <w:rsid w:val="73517BC9"/>
    <w:rsid w:val="73870389"/>
    <w:rsid w:val="73A90BD3"/>
    <w:rsid w:val="73B44DF0"/>
    <w:rsid w:val="73C31140"/>
    <w:rsid w:val="73F21076"/>
    <w:rsid w:val="7417189B"/>
    <w:rsid w:val="74280243"/>
    <w:rsid w:val="74340A39"/>
    <w:rsid w:val="74611F1F"/>
    <w:rsid w:val="7491533F"/>
    <w:rsid w:val="74A55084"/>
    <w:rsid w:val="74CE0A9B"/>
    <w:rsid w:val="74D22127"/>
    <w:rsid w:val="74F4555C"/>
    <w:rsid w:val="74F95BAD"/>
    <w:rsid w:val="75037857"/>
    <w:rsid w:val="750D524B"/>
    <w:rsid w:val="752FE869"/>
    <w:rsid w:val="753D053B"/>
    <w:rsid w:val="755539A3"/>
    <w:rsid w:val="75556181"/>
    <w:rsid w:val="75712ACC"/>
    <w:rsid w:val="75846400"/>
    <w:rsid w:val="759871F9"/>
    <w:rsid w:val="75A44310"/>
    <w:rsid w:val="75C26102"/>
    <w:rsid w:val="75CC5A83"/>
    <w:rsid w:val="75E35A02"/>
    <w:rsid w:val="75FA4693"/>
    <w:rsid w:val="76072028"/>
    <w:rsid w:val="761A3604"/>
    <w:rsid w:val="761C373C"/>
    <w:rsid w:val="761E6A3A"/>
    <w:rsid w:val="762E2F79"/>
    <w:rsid w:val="76390E53"/>
    <w:rsid w:val="76561A78"/>
    <w:rsid w:val="767577A0"/>
    <w:rsid w:val="768611D1"/>
    <w:rsid w:val="76A61737"/>
    <w:rsid w:val="76AC12BF"/>
    <w:rsid w:val="76B25A36"/>
    <w:rsid w:val="76BD780E"/>
    <w:rsid w:val="76BE11CF"/>
    <w:rsid w:val="76BFB7AB"/>
    <w:rsid w:val="76CD2F8B"/>
    <w:rsid w:val="76CEC8CE"/>
    <w:rsid w:val="76DB6DD7"/>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6F7BDD"/>
    <w:rsid w:val="78700E16"/>
    <w:rsid w:val="7876453C"/>
    <w:rsid w:val="78787717"/>
    <w:rsid w:val="78AB6CF2"/>
    <w:rsid w:val="78C85065"/>
    <w:rsid w:val="78CB54A2"/>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A66D73"/>
    <w:rsid w:val="7AB73B9D"/>
    <w:rsid w:val="7AC96B81"/>
    <w:rsid w:val="7AD727B2"/>
    <w:rsid w:val="7AD7A1FA"/>
    <w:rsid w:val="7ADE96DB"/>
    <w:rsid w:val="7AEF037C"/>
    <w:rsid w:val="7AFD5349"/>
    <w:rsid w:val="7B063D79"/>
    <w:rsid w:val="7B0E3DF2"/>
    <w:rsid w:val="7B0F0EC6"/>
    <w:rsid w:val="7B286B9A"/>
    <w:rsid w:val="7B2B3404"/>
    <w:rsid w:val="7B334FEE"/>
    <w:rsid w:val="7B3B3EC1"/>
    <w:rsid w:val="7B7114EB"/>
    <w:rsid w:val="7B766521"/>
    <w:rsid w:val="7B9A6B24"/>
    <w:rsid w:val="7B9A6FC5"/>
    <w:rsid w:val="7BA269EE"/>
    <w:rsid w:val="7BB66E53"/>
    <w:rsid w:val="7BBB08F9"/>
    <w:rsid w:val="7BBD11D4"/>
    <w:rsid w:val="7BC47376"/>
    <w:rsid w:val="7BEB30F6"/>
    <w:rsid w:val="7BFFA655"/>
    <w:rsid w:val="7C00147E"/>
    <w:rsid w:val="7C0E1600"/>
    <w:rsid w:val="7C3717CE"/>
    <w:rsid w:val="7C385132"/>
    <w:rsid w:val="7C691183"/>
    <w:rsid w:val="7C9537CE"/>
    <w:rsid w:val="7CD2057E"/>
    <w:rsid w:val="7D0D2D49"/>
    <w:rsid w:val="7D203553"/>
    <w:rsid w:val="7D3638F1"/>
    <w:rsid w:val="7D4441A2"/>
    <w:rsid w:val="7D5471E5"/>
    <w:rsid w:val="7D9948DF"/>
    <w:rsid w:val="7D9C56A0"/>
    <w:rsid w:val="7DBA0B08"/>
    <w:rsid w:val="7DC47C61"/>
    <w:rsid w:val="7DC652F5"/>
    <w:rsid w:val="7DD76F8A"/>
    <w:rsid w:val="7DDB5147"/>
    <w:rsid w:val="7E00744C"/>
    <w:rsid w:val="7E1A6458"/>
    <w:rsid w:val="7E1F5D8A"/>
    <w:rsid w:val="7E27194F"/>
    <w:rsid w:val="7E53DB8D"/>
    <w:rsid w:val="7E5D471B"/>
    <w:rsid w:val="7E7F494B"/>
    <w:rsid w:val="7E93527C"/>
    <w:rsid w:val="7EA64368"/>
    <w:rsid w:val="7EA7CF43"/>
    <w:rsid w:val="7EC17537"/>
    <w:rsid w:val="7EED3DCE"/>
    <w:rsid w:val="7EFF54EF"/>
    <w:rsid w:val="7EFFBE69"/>
    <w:rsid w:val="7F0969F7"/>
    <w:rsid w:val="7F2C38B2"/>
    <w:rsid w:val="7F4033B0"/>
    <w:rsid w:val="7F4B17C2"/>
    <w:rsid w:val="7F63180E"/>
    <w:rsid w:val="7F65074C"/>
    <w:rsid w:val="7F691304"/>
    <w:rsid w:val="7F6B1C88"/>
    <w:rsid w:val="7F6EDAEE"/>
    <w:rsid w:val="7F7513EC"/>
    <w:rsid w:val="7F8F6F36"/>
    <w:rsid w:val="7FA2476B"/>
    <w:rsid w:val="7FA7A97F"/>
    <w:rsid w:val="7FAA5858"/>
    <w:rsid w:val="7FAF3BDF"/>
    <w:rsid w:val="7FAFC216"/>
    <w:rsid w:val="7FBB2037"/>
    <w:rsid w:val="7FBDD174"/>
    <w:rsid w:val="7FBE4DEA"/>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57"/>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9"/>
    <w:qFormat/>
    <w:uiPriority w:val="0"/>
    <w:pPr>
      <w:numPr>
        <w:ilvl w:val="5"/>
        <w:numId w:val="1"/>
      </w:numPr>
      <w:spacing w:before="260" w:after="260" w:line="416" w:lineRule="auto"/>
      <w:outlineLvl w:val="2"/>
    </w:pPr>
    <w:rPr>
      <w:b/>
      <w:bCs/>
      <w:sz w:val="32"/>
      <w:szCs w:val="32"/>
    </w:rPr>
  </w:style>
  <w:style w:type="paragraph" w:styleId="5">
    <w:name w:val="heading 4"/>
    <w:basedOn w:val="1"/>
    <w:next w:val="1"/>
    <w:link w:val="6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0">
    <w:name w:val="heading 9"/>
    <w:basedOn w:val="1"/>
    <w:next w:val="1"/>
    <w:link w:val="62"/>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link w:val="44"/>
    <w:qFormat/>
    <w:uiPriority w:val="0"/>
    <w:rPr>
      <w:rFonts w:ascii="宋体" w:hAnsi="宋体"/>
      <w:kern w:val="0"/>
      <w:szCs w:val="21"/>
    </w:rPr>
  </w:style>
  <w:style w:type="table" w:default="1" w:styleId="41">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60"/>
    <w:qFormat/>
    <w:uiPriority w:val="0"/>
    <w:pPr>
      <w:widowControl/>
      <w:ind w:firstLine="42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3"/>
    <w:qFormat/>
    <w:uiPriority w:val="0"/>
    <w:pPr>
      <w:shd w:val="clear" w:color="auto" w:fill="000080"/>
    </w:pPr>
  </w:style>
  <w:style w:type="paragraph" w:styleId="15">
    <w:name w:val="annotation text"/>
    <w:link w:val="64"/>
    <w:qFormat/>
    <w:uiPriority w:val="99"/>
    <w:pPr>
      <w:adjustRightInd w:val="0"/>
      <w:spacing w:line="360" w:lineRule="atLeast"/>
      <w:jc w:val="left"/>
      <w:textAlignment w:val="baseline"/>
    </w:pPr>
    <w:rPr>
      <w:rFonts w:ascii="Times New Roman" w:hAnsi="Times New Roman" w:eastAsia="仿宋" w:cs="Times New Roman"/>
      <w:kern w:val="0"/>
      <w:sz w:val="24"/>
      <w:szCs w:val="20"/>
    </w:rPr>
  </w:style>
  <w:style w:type="paragraph" w:styleId="16">
    <w:name w:val="Body Text 3"/>
    <w:basedOn w:val="1"/>
    <w:link w:val="65"/>
    <w:qFormat/>
    <w:uiPriority w:val="0"/>
    <w:pPr>
      <w:spacing w:line="440" w:lineRule="exact"/>
    </w:pPr>
    <w:rPr>
      <w:sz w:val="24"/>
    </w:rPr>
  </w:style>
  <w:style w:type="paragraph" w:styleId="17">
    <w:name w:val="Body Text"/>
    <w:basedOn w:val="1"/>
    <w:next w:val="1"/>
    <w:link w:val="55"/>
    <w:qFormat/>
    <w:uiPriority w:val="0"/>
    <w:pPr>
      <w:jc w:val="center"/>
    </w:pPr>
    <w:rPr>
      <w:sz w:val="52"/>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6"/>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7"/>
    <w:qFormat/>
    <w:uiPriority w:val="0"/>
    <w:rPr>
      <w:sz w:val="18"/>
      <w:szCs w:val="18"/>
    </w:rPr>
  </w:style>
  <w:style w:type="paragraph" w:styleId="26">
    <w:name w:val="footer"/>
    <w:basedOn w:val="1"/>
    <w:link w:val="68"/>
    <w:qFormat/>
    <w:uiPriority w:val="99"/>
    <w:pPr>
      <w:tabs>
        <w:tab w:val="center" w:pos="4153"/>
        <w:tab w:val="right" w:pos="8306"/>
      </w:tabs>
      <w:snapToGrid w:val="0"/>
      <w:jc w:val="left"/>
    </w:pPr>
    <w:rPr>
      <w:sz w:val="18"/>
      <w:szCs w:val="18"/>
    </w:rPr>
  </w:style>
  <w:style w:type="paragraph" w:styleId="27">
    <w:name w:val="envelope return"/>
    <w:basedOn w:val="1"/>
    <w:qFormat/>
    <w:uiPriority w:val="0"/>
    <w:pPr>
      <w:snapToGrid w:val="0"/>
    </w:pPr>
    <w:rPr>
      <w:rFonts w:ascii="Arial" w:hAnsi="Arial"/>
    </w:rPr>
  </w:style>
  <w:style w:type="paragraph" w:styleId="28">
    <w:name w:val="header"/>
    <w:basedOn w:val="1"/>
    <w:next w:val="1"/>
    <w:link w:val="69"/>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Body Text 2"/>
    <w:basedOn w:val="1"/>
    <w:qFormat/>
    <w:uiPriority w:val="0"/>
    <w:rPr>
      <w:sz w:val="28"/>
    </w:rPr>
  </w:style>
  <w:style w:type="paragraph" w:styleId="37">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8">
    <w:name w:val="Title"/>
    <w:basedOn w:val="1"/>
    <w:link w:val="70"/>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9">
    <w:name w:val="annotation subject"/>
    <w:basedOn w:val="15"/>
    <w:next w:val="15"/>
    <w:link w:val="71"/>
    <w:qFormat/>
    <w:uiPriority w:val="0"/>
    <w:pPr>
      <w:adjustRightInd/>
      <w:spacing w:line="240" w:lineRule="auto"/>
      <w:textAlignment w:val="auto"/>
    </w:pPr>
    <w:rPr>
      <w:b/>
      <w:bCs/>
      <w:kern w:val="2"/>
      <w:sz w:val="21"/>
      <w:szCs w:val="24"/>
    </w:rPr>
  </w:style>
  <w:style w:type="paragraph" w:styleId="40">
    <w:name w:val="Body Text First Indent 2"/>
    <w:basedOn w:val="18"/>
    <w:qFormat/>
    <w:uiPriority w:val="0"/>
    <w:pPr>
      <w:ind w:firstLine="420" w:firstLineChars="200"/>
    </w:pPr>
    <w:rPr>
      <w:rFonts w:ascii="Arial" w:hAnsi="Arial"/>
      <w:snapToGrid w:val="0"/>
      <w:kern w:val="0"/>
      <w:sz w:val="20"/>
    </w:rPr>
  </w:style>
  <w:style w:type="table" w:styleId="42">
    <w:name w:val="Table Grid"/>
    <w:basedOn w:val="41"/>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Char2 Char Char Char1 Char Char Char Char Char Char Char Char1 Char1 Char Char1 Char"/>
    <w:basedOn w:val="1"/>
    <w:link w:val="43"/>
    <w:qFormat/>
    <w:uiPriority w:val="0"/>
    <w:pPr>
      <w:spacing w:line="240" w:lineRule="auto"/>
    </w:pPr>
    <w:rPr>
      <w:rFonts w:ascii="宋体" w:hAnsi="宋体"/>
      <w:kern w:val="0"/>
      <w:szCs w:val="21"/>
    </w:rPr>
  </w:style>
  <w:style w:type="character" w:styleId="45">
    <w:name w:val="Strong"/>
    <w:qFormat/>
    <w:uiPriority w:val="0"/>
    <w:rPr>
      <w:rFonts w:cs="Times New Roman"/>
      <w:b/>
    </w:rPr>
  </w:style>
  <w:style w:type="character" w:styleId="46">
    <w:name w:val="page number"/>
    <w:basedOn w:val="43"/>
    <w:qFormat/>
    <w:uiPriority w:val="0"/>
  </w:style>
  <w:style w:type="character" w:styleId="47">
    <w:name w:val="FollowedHyperlink"/>
    <w:qFormat/>
    <w:uiPriority w:val="0"/>
    <w:rPr>
      <w:color w:val="333333"/>
      <w:u w:val="none"/>
    </w:rPr>
  </w:style>
  <w:style w:type="character" w:styleId="48">
    <w:name w:val="Emphasis"/>
    <w:qFormat/>
    <w:uiPriority w:val="20"/>
  </w:style>
  <w:style w:type="character" w:styleId="49">
    <w:name w:val="HTML Definition"/>
    <w:unhideWhenUsed/>
    <w:qFormat/>
    <w:uiPriority w:val="99"/>
    <w:rPr>
      <w:i/>
      <w:iCs/>
    </w:rPr>
  </w:style>
  <w:style w:type="character" w:styleId="50">
    <w:name w:val="Hyperlink"/>
    <w:qFormat/>
    <w:uiPriority w:val="99"/>
    <w:rPr>
      <w:color w:val="333333"/>
      <w:u w:val="none"/>
    </w:rPr>
  </w:style>
  <w:style w:type="character" w:styleId="51">
    <w:name w:val="HTML Code"/>
    <w:unhideWhenUsed/>
    <w:qFormat/>
    <w:uiPriority w:val="99"/>
    <w:rPr>
      <w:rFonts w:hint="default" w:ascii="Consolas" w:hAnsi="Consolas" w:eastAsia="Consolas" w:cs="Consolas"/>
      <w:color w:val="C7254E"/>
      <w:sz w:val="21"/>
      <w:szCs w:val="21"/>
      <w:shd w:val="clear" w:color="auto" w:fill="F9F2F4"/>
    </w:rPr>
  </w:style>
  <w:style w:type="character" w:styleId="52">
    <w:name w:val="annotation reference"/>
    <w:qFormat/>
    <w:uiPriority w:val="0"/>
    <w:rPr>
      <w:sz w:val="21"/>
      <w:szCs w:val="21"/>
    </w:rPr>
  </w:style>
  <w:style w:type="character" w:styleId="53">
    <w:name w:val="HTML Keyboard"/>
    <w:unhideWhenUsed/>
    <w:qFormat/>
    <w:uiPriority w:val="99"/>
    <w:rPr>
      <w:rFonts w:hint="default" w:ascii="Consolas" w:hAnsi="Consolas" w:eastAsia="Consolas" w:cs="Consolas"/>
      <w:color w:val="FFFFFF"/>
      <w:sz w:val="21"/>
      <w:szCs w:val="21"/>
      <w:shd w:val="clear" w:color="auto" w:fill="333333"/>
    </w:rPr>
  </w:style>
  <w:style w:type="character" w:styleId="54">
    <w:name w:val="HTML Sample"/>
    <w:unhideWhenUsed/>
    <w:qFormat/>
    <w:uiPriority w:val="99"/>
    <w:rPr>
      <w:rFonts w:ascii="Consolas" w:hAnsi="Consolas" w:eastAsia="Consolas" w:cs="Consolas"/>
      <w:sz w:val="21"/>
      <w:szCs w:val="21"/>
    </w:rPr>
  </w:style>
  <w:style w:type="character" w:customStyle="1" w:styleId="55">
    <w:name w:val="正文文本 字符"/>
    <w:link w:val="17"/>
    <w:qFormat/>
    <w:locked/>
    <w:uiPriority w:val="0"/>
    <w:rPr>
      <w:kern w:val="2"/>
      <w:sz w:val="52"/>
      <w:szCs w:val="24"/>
    </w:rPr>
  </w:style>
  <w:style w:type="character" w:customStyle="1" w:styleId="56">
    <w:name w:val="标题 1 字符"/>
    <w:link w:val="2"/>
    <w:qFormat/>
    <w:locked/>
    <w:uiPriority w:val="0"/>
    <w:rPr>
      <w:b/>
      <w:bCs/>
      <w:kern w:val="44"/>
      <w:sz w:val="44"/>
      <w:szCs w:val="44"/>
    </w:rPr>
  </w:style>
  <w:style w:type="character" w:customStyle="1" w:styleId="57">
    <w:name w:val="标题 2 字符"/>
    <w:link w:val="3"/>
    <w:qFormat/>
    <w:locked/>
    <w:uiPriority w:val="0"/>
    <w:rPr>
      <w:rFonts w:ascii="Arial" w:hAnsi="Arial"/>
      <w:b/>
      <w:bCs/>
      <w:color w:val="FF0000"/>
      <w:kern w:val="2"/>
      <w:sz w:val="28"/>
      <w:szCs w:val="32"/>
    </w:rPr>
  </w:style>
  <w:style w:type="paragraph" w:customStyle="1" w:styleId="58">
    <w:name w:val="标题 60"/>
    <w:basedOn w:val="7"/>
    <w:qFormat/>
    <w:uiPriority w:val="0"/>
    <w:pPr>
      <w:spacing w:line="319" w:lineRule="auto"/>
      <w:ind w:firstLine="200" w:firstLineChars="200"/>
    </w:pPr>
    <w:rPr>
      <w:b w:val="0"/>
      <w:bCs w:val="0"/>
    </w:rPr>
  </w:style>
  <w:style w:type="character" w:customStyle="1" w:styleId="59">
    <w:name w:val="标题 3 字符"/>
    <w:link w:val="4"/>
    <w:qFormat/>
    <w:uiPriority w:val="0"/>
    <w:rPr>
      <w:b/>
      <w:bCs/>
      <w:kern w:val="2"/>
      <w:sz w:val="32"/>
      <w:szCs w:val="32"/>
    </w:rPr>
  </w:style>
  <w:style w:type="character" w:customStyle="1" w:styleId="60">
    <w:name w:val="正文缩进 字符"/>
    <w:link w:val="12"/>
    <w:qFormat/>
    <w:uiPriority w:val="0"/>
  </w:style>
  <w:style w:type="character" w:customStyle="1" w:styleId="61">
    <w:name w:val="标题 4 字符"/>
    <w:link w:val="5"/>
    <w:qFormat/>
    <w:uiPriority w:val="0"/>
    <w:rPr>
      <w:rFonts w:ascii="Arial" w:hAnsi="Arial" w:eastAsia="黑体"/>
      <w:b/>
      <w:bCs/>
      <w:kern w:val="2"/>
      <w:sz w:val="28"/>
      <w:szCs w:val="28"/>
    </w:rPr>
  </w:style>
  <w:style w:type="character" w:customStyle="1" w:styleId="62">
    <w:name w:val="标题 9 字符"/>
    <w:link w:val="10"/>
    <w:qFormat/>
    <w:uiPriority w:val="0"/>
    <w:rPr>
      <w:rFonts w:ascii="Arial" w:hAnsi="Arial" w:eastAsia="黑体"/>
      <w:sz w:val="21"/>
      <w:szCs w:val="21"/>
    </w:rPr>
  </w:style>
  <w:style w:type="character" w:customStyle="1" w:styleId="63">
    <w:name w:val="文档结构图 字符"/>
    <w:link w:val="14"/>
    <w:qFormat/>
    <w:uiPriority w:val="0"/>
    <w:rPr>
      <w:kern w:val="2"/>
      <w:sz w:val="21"/>
      <w:szCs w:val="24"/>
      <w:shd w:val="clear" w:color="auto" w:fill="000080"/>
    </w:rPr>
  </w:style>
  <w:style w:type="character" w:customStyle="1" w:styleId="64">
    <w:name w:val="批注文字 字符1"/>
    <w:link w:val="15"/>
    <w:qFormat/>
    <w:locked/>
    <w:uiPriority w:val="99"/>
    <w:rPr>
      <w:rFonts w:ascii="Times New Roman" w:hAnsi="Times New Roman" w:eastAsia="仿宋"/>
      <w:sz w:val="24"/>
    </w:rPr>
  </w:style>
  <w:style w:type="character" w:customStyle="1" w:styleId="65">
    <w:name w:val="正文文本 3 字符"/>
    <w:link w:val="16"/>
    <w:qFormat/>
    <w:uiPriority w:val="0"/>
    <w:rPr>
      <w:kern w:val="2"/>
      <w:sz w:val="24"/>
      <w:szCs w:val="24"/>
    </w:rPr>
  </w:style>
  <w:style w:type="character" w:customStyle="1" w:styleId="66">
    <w:name w:val="纯文本 字符"/>
    <w:link w:val="21"/>
    <w:qFormat/>
    <w:uiPriority w:val="0"/>
    <w:rPr>
      <w:rFonts w:ascii="宋体" w:hAnsi="Courier New"/>
      <w:kern w:val="2"/>
      <w:sz w:val="21"/>
    </w:rPr>
  </w:style>
  <w:style w:type="character" w:customStyle="1" w:styleId="67">
    <w:name w:val="批注框文本 字符"/>
    <w:link w:val="25"/>
    <w:qFormat/>
    <w:locked/>
    <w:uiPriority w:val="0"/>
    <w:rPr>
      <w:kern w:val="2"/>
      <w:sz w:val="18"/>
      <w:szCs w:val="18"/>
    </w:rPr>
  </w:style>
  <w:style w:type="character" w:customStyle="1" w:styleId="68">
    <w:name w:val="页脚 字符"/>
    <w:link w:val="26"/>
    <w:qFormat/>
    <w:uiPriority w:val="99"/>
    <w:rPr>
      <w:kern w:val="2"/>
      <w:sz w:val="18"/>
      <w:szCs w:val="18"/>
    </w:rPr>
  </w:style>
  <w:style w:type="character" w:customStyle="1" w:styleId="69">
    <w:name w:val="页眉 字符"/>
    <w:link w:val="28"/>
    <w:qFormat/>
    <w:locked/>
    <w:uiPriority w:val="99"/>
    <w:rPr>
      <w:kern w:val="2"/>
      <w:sz w:val="18"/>
      <w:szCs w:val="18"/>
    </w:rPr>
  </w:style>
  <w:style w:type="character" w:customStyle="1" w:styleId="70">
    <w:name w:val="标题 字符"/>
    <w:link w:val="38"/>
    <w:qFormat/>
    <w:locked/>
    <w:uiPriority w:val="0"/>
    <w:rPr>
      <w:rFonts w:ascii="Arial" w:hAnsi="Arial"/>
      <w:b/>
      <w:kern w:val="28"/>
      <w:sz w:val="32"/>
    </w:rPr>
  </w:style>
  <w:style w:type="character" w:customStyle="1" w:styleId="71">
    <w:name w:val="批注主题 字符"/>
    <w:link w:val="39"/>
    <w:qFormat/>
    <w:locked/>
    <w:uiPriority w:val="0"/>
    <w:rPr>
      <w:b/>
      <w:bCs/>
      <w:kern w:val="2"/>
      <w:sz w:val="21"/>
      <w:szCs w:val="24"/>
    </w:rPr>
  </w:style>
  <w:style w:type="character" w:customStyle="1" w:styleId="72">
    <w:name w:val="bd-close2"/>
    <w:qFormat/>
    <w:uiPriority w:val="0"/>
    <w:rPr>
      <w:vanish/>
    </w:rPr>
  </w:style>
  <w:style w:type="character" w:customStyle="1" w:styleId="73">
    <w:name w:val="left"/>
    <w:qFormat/>
    <w:uiPriority w:val="0"/>
    <w:rPr>
      <w:color w:val="FF4700"/>
    </w:rPr>
  </w:style>
  <w:style w:type="character" w:customStyle="1" w:styleId="74">
    <w:name w:val="first-child"/>
    <w:qFormat/>
    <w:uiPriority w:val="0"/>
  </w:style>
  <w:style w:type="character" w:customStyle="1" w:styleId="75">
    <w:name w:val="bd-close"/>
    <w:qFormat/>
    <w:uiPriority w:val="0"/>
    <w:rPr>
      <w:vanish/>
    </w:rPr>
  </w:style>
  <w:style w:type="character" w:customStyle="1" w:styleId="76">
    <w:name w:val="left2"/>
    <w:qFormat/>
    <w:uiPriority w:val="0"/>
    <w:rPr>
      <w:color w:val="FF4700"/>
    </w:rPr>
  </w:style>
  <w:style w:type="character" w:customStyle="1" w:styleId="77">
    <w:name w:val="edui-clickable2"/>
    <w:qFormat/>
    <w:uiPriority w:val="0"/>
    <w:rPr>
      <w:color w:val="0000FF"/>
      <w:u w:val="single"/>
    </w:rPr>
  </w:style>
  <w:style w:type="character" w:customStyle="1" w:styleId="78">
    <w:name w:val="Footer Char"/>
    <w:qFormat/>
    <w:locked/>
    <w:uiPriority w:val="0"/>
    <w:rPr>
      <w:rFonts w:ascii="Calibri" w:hAnsi="Calibri" w:eastAsia="宋体"/>
      <w:sz w:val="18"/>
    </w:rPr>
  </w:style>
  <w:style w:type="character" w:customStyle="1" w:styleId="79">
    <w:name w:val="Header Char"/>
    <w:qFormat/>
    <w:locked/>
    <w:uiPriority w:val="0"/>
    <w:rPr>
      <w:rFonts w:ascii="Calibri" w:hAnsi="Calibri" w:eastAsia="宋体"/>
      <w:sz w:val="18"/>
    </w:rPr>
  </w:style>
  <w:style w:type="character" w:customStyle="1" w:styleId="80">
    <w:name w:val="标题2 Char"/>
    <w:link w:val="81"/>
    <w:qFormat/>
    <w:uiPriority w:val="0"/>
    <w:rPr>
      <w:rFonts w:ascii="黑体" w:hAnsi="宋体" w:cs="黑体"/>
      <w:b/>
      <w:bCs/>
      <w:sz w:val="28"/>
      <w:szCs w:val="28"/>
    </w:rPr>
  </w:style>
  <w:style w:type="paragraph" w:customStyle="1" w:styleId="81">
    <w:name w:val="标题2"/>
    <w:basedOn w:val="5"/>
    <w:next w:val="1"/>
    <w:link w:val="80"/>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2">
    <w:name w:val="中文正文、 Char Char"/>
    <w:link w:val="83"/>
    <w:qFormat/>
    <w:uiPriority w:val="0"/>
    <w:rPr>
      <w:kern w:val="2"/>
      <w:sz w:val="21"/>
      <w:szCs w:val="21"/>
    </w:rPr>
  </w:style>
  <w:style w:type="paragraph" w:customStyle="1" w:styleId="83">
    <w:name w:val="中文正文、"/>
    <w:basedOn w:val="1"/>
    <w:link w:val="82"/>
    <w:qFormat/>
    <w:uiPriority w:val="0"/>
    <w:pPr>
      <w:adjustRightInd/>
      <w:spacing w:line="360" w:lineRule="auto"/>
      <w:ind w:firstLine="420" w:firstLineChars="200"/>
    </w:pPr>
    <w:rPr>
      <w:szCs w:val="21"/>
    </w:rPr>
  </w:style>
  <w:style w:type="character" w:customStyle="1" w:styleId="84">
    <w:name w:val="批注主题 Char"/>
    <w:link w:val="85"/>
    <w:qFormat/>
    <w:locked/>
    <w:uiPriority w:val="0"/>
    <w:rPr>
      <w:b/>
      <w:sz w:val="24"/>
    </w:rPr>
  </w:style>
  <w:style w:type="paragraph" w:customStyle="1" w:styleId="85">
    <w:name w:val="批注主题1"/>
    <w:basedOn w:val="15"/>
    <w:next w:val="15"/>
    <w:link w:val="84"/>
    <w:qFormat/>
    <w:uiPriority w:val="0"/>
    <w:pPr>
      <w:adjustRightInd/>
      <w:spacing w:line="240" w:lineRule="auto"/>
      <w:textAlignment w:val="auto"/>
    </w:pPr>
    <w:rPr>
      <w:b/>
    </w:rPr>
  </w:style>
  <w:style w:type="character" w:customStyle="1" w:styleId="86">
    <w:name w:val="16"/>
    <w:qFormat/>
    <w:uiPriority w:val="0"/>
    <w:rPr>
      <w:rFonts w:hint="default" w:ascii="Times New Roman" w:hAnsi="Times New Roman" w:cs="Times New Roman"/>
    </w:rPr>
  </w:style>
  <w:style w:type="character" w:customStyle="1" w:styleId="87">
    <w:name w:val="封面标题 Char"/>
    <w:link w:val="88"/>
    <w:qFormat/>
    <w:uiPriority w:val="0"/>
    <w:rPr>
      <w:rFonts w:ascii="黑体" w:eastAsia="黑体"/>
      <w:sz w:val="52"/>
      <w:szCs w:val="52"/>
    </w:rPr>
  </w:style>
  <w:style w:type="paragraph" w:customStyle="1" w:styleId="88">
    <w:name w:val="封面标题"/>
    <w:basedOn w:val="1"/>
    <w:link w:val="87"/>
    <w:qFormat/>
    <w:uiPriority w:val="0"/>
    <w:pPr>
      <w:spacing w:line="276" w:lineRule="auto"/>
      <w:jc w:val="center"/>
    </w:pPr>
    <w:rPr>
      <w:rFonts w:ascii="黑体" w:eastAsia="黑体"/>
      <w:kern w:val="0"/>
      <w:sz w:val="52"/>
      <w:szCs w:val="52"/>
    </w:rPr>
  </w:style>
  <w:style w:type="character" w:customStyle="1" w:styleId="89">
    <w:name w:val="edui-unclickable"/>
    <w:qFormat/>
    <w:uiPriority w:val="0"/>
    <w:rPr>
      <w:color w:val="808080"/>
    </w:rPr>
  </w:style>
  <w:style w:type="character" w:customStyle="1" w:styleId="90">
    <w:name w:val="15"/>
    <w:qFormat/>
    <w:uiPriority w:val="0"/>
    <w:rPr>
      <w:rFonts w:hint="eastAsia" w:ascii="宋体" w:hAnsi="宋体" w:eastAsia="宋体"/>
      <w:sz w:val="24"/>
      <w:szCs w:val="24"/>
    </w:rPr>
  </w:style>
  <w:style w:type="character" w:customStyle="1" w:styleId="91">
    <w:name w:val="封面副标题 Char"/>
    <w:link w:val="92"/>
    <w:qFormat/>
    <w:uiPriority w:val="0"/>
    <w:rPr>
      <w:rFonts w:ascii="黑体" w:eastAsia="黑体"/>
      <w:sz w:val="28"/>
      <w:szCs w:val="28"/>
    </w:rPr>
  </w:style>
  <w:style w:type="paragraph" w:customStyle="1" w:styleId="92">
    <w:name w:val="封面副标题"/>
    <w:basedOn w:val="1"/>
    <w:link w:val="91"/>
    <w:qFormat/>
    <w:uiPriority w:val="0"/>
    <w:pPr>
      <w:spacing w:line="276" w:lineRule="auto"/>
      <w:ind w:firstLine="199" w:firstLineChars="71"/>
      <w:jc w:val="center"/>
    </w:pPr>
    <w:rPr>
      <w:rFonts w:ascii="黑体" w:eastAsia="黑体"/>
      <w:kern w:val="0"/>
      <w:sz w:val="28"/>
      <w:szCs w:val="28"/>
    </w:rPr>
  </w:style>
  <w:style w:type="character" w:customStyle="1" w:styleId="93">
    <w:name w:val="文档结构图 Char"/>
    <w:link w:val="94"/>
    <w:qFormat/>
    <w:locked/>
    <w:uiPriority w:val="0"/>
    <w:rPr>
      <w:rFonts w:ascii="宋体" w:hAnsi="Calibri"/>
      <w:sz w:val="18"/>
    </w:rPr>
  </w:style>
  <w:style w:type="paragraph" w:customStyle="1" w:styleId="94">
    <w:name w:val="文档结构图1"/>
    <w:basedOn w:val="1"/>
    <w:link w:val="93"/>
    <w:qFormat/>
    <w:uiPriority w:val="0"/>
    <w:rPr>
      <w:rFonts w:ascii="宋体" w:hAnsi="Calibri"/>
      <w:kern w:val="0"/>
      <w:sz w:val="18"/>
      <w:szCs w:val="20"/>
    </w:rPr>
  </w:style>
  <w:style w:type="character" w:customStyle="1" w:styleId="95">
    <w:name w:val="纯文本 Char"/>
    <w:qFormat/>
    <w:locked/>
    <w:uiPriority w:val="0"/>
    <w:rPr>
      <w:rFonts w:ascii="Calibri" w:hAnsi="Calibri" w:cs="Calibri"/>
    </w:rPr>
  </w:style>
  <w:style w:type="character" w:customStyle="1" w:styleId="96">
    <w:name w:val="font31"/>
    <w:qFormat/>
    <w:uiPriority w:val="0"/>
    <w:rPr>
      <w:rFonts w:hint="eastAsia" w:ascii="仿宋" w:hAnsi="仿宋" w:eastAsia="仿宋" w:cs="仿宋"/>
      <w:color w:val="000000"/>
      <w:kern w:val="0"/>
      <w:sz w:val="20"/>
      <w:szCs w:val="20"/>
      <w:u w:val="none"/>
    </w:rPr>
  </w:style>
  <w:style w:type="character" w:customStyle="1" w:styleId="97">
    <w:name w:val="button"/>
    <w:qFormat/>
    <w:uiPriority w:val="0"/>
  </w:style>
  <w:style w:type="character" w:customStyle="1" w:styleId="98">
    <w:name w:val="bd-open"/>
    <w:qFormat/>
    <w:uiPriority w:val="0"/>
  </w:style>
  <w:style w:type="character" w:customStyle="1" w:styleId="99">
    <w:name w:val="tmpztreemove_arrow"/>
    <w:qFormat/>
    <w:uiPriority w:val="0"/>
  </w:style>
  <w:style w:type="character" w:customStyle="1" w:styleId="100">
    <w:name w:val="Comment Text Char"/>
    <w:qFormat/>
    <w:locked/>
    <w:uiPriority w:val="0"/>
    <w:rPr>
      <w:rFonts w:ascii="Times New Roman" w:hAnsi="Times New Roman" w:eastAsia="宋体"/>
      <w:sz w:val="24"/>
    </w:rPr>
  </w:style>
  <w:style w:type="character" w:customStyle="1" w:styleId="101">
    <w:name w:val="A表格文字 Char"/>
    <w:link w:val="102"/>
    <w:qFormat/>
    <w:uiPriority w:val="0"/>
    <w:rPr>
      <w:rFonts w:ascii="宋体" w:hAnsi="宋体"/>
      <w:kern w:val="21"/>
      <w:sz w:val="21"/>
    </w:rPr>
  </w:style>
  <w:style w:type="paragraph" w:customStyle="1" w:styleId="102">
    <w:name w:val="A表格文字"/>
    <w:basedOn w:val="1"/>
    <w:link w:val="101"/>
    <w:qFormat/>
    <w:uiPriority w:val="0"/>
    <w:pPr>
      <w:adjustRightInd w:val="0"/>
      <w:snapToGrid w:val="0"/>
      <w:spacing w:before="40" w:after="40"/>
      <w:jc w:val="left"/>
    </w:pPr>
    <w:rPr>
      <w:rFonts w:ascii="宋体" w:hAnsi="宋体"/>
      <w:kern w:val="21"/>
      <w:szCs w:val="20"/>
    </w:rPr>
  </w:style>
  <w:style w:type="character" w:customStyle="1" w:styleId="103">
    <w:name w:val="layui-layer-tabnow"/>
    <w:qFormat/>
    <w:uiPriority w:val="0"/>
    <w:rPr>
      <w:bdr w:val="single" w:color="CCCCCC" w:sz="6" w:space="0"/>
      <w:shd w:val="clear" w:color="auto" w:fill="FFFFFF"/>
    </w:rPr>
  </w:style>
  <w:style w:type="character" w:customStyle="1" w:styleId="104">
    <w:name w:val="批注文字 Char2"/>
    <w:qFormat/>
    <w:uiPriority w:val="99"/>
    <w:rPr>
      <w:kern w:val="2"/>
      <w:sz w:val="21"/>
    </w:rPr>
  </w:style>
  <w:style w:type="character" w:customStyle="1" w:styleId="105">
    <w:name w:val="bd-open2"/>
    <w:qFormat/>
    <w:uiPriority w:val="0"/>
  </w:style>
  <w:style w:type="character" w:customStyle="1" w:styleId="106">
    <w:name w:val="font51"/>
    <w:qFormat/>
    <w:uiPriority w:val="0"/>
    <w:rPr>
      <w:rFonts w:hint="eastAsia" w:ascii="仿宋" w:hAnsi="仿宋" w:eastAsia="仿宋" w:cs="仿宋"/>
      <w:b/>
      <w:bCs/>
      <w:color w:val="000000"/>
      <w:sz w:val="21"/>
      <w:szCs w:val="21"/>
      <w:u w:val="none"/>
    </w:rPr>
  </w:style>
  <w:style w:type="character" w:customStyle="1" w:styleId="107">
    <w:name w:val="列表段落 字符"/>
    <w:link w:val="108"/>
    <w:qFormat/>
    <w:locked/>
    <w:uiPriority w:val="34"/>
    <w:rPr>
      <w:rFonts w:cs="Calibri"/>
      <w:kern w:val="2"/>
      <w:sz w:val="21"/>
      <w:szCs w:val="24"/>
    </w:rPr>
  </w:style>
  <w:style w:type="paragraph" w:styleId="108">
    <w:name w:val="List Paragraph"/>
    <w:basedOn w:val="1"/>
    <w:link w:val="107"/>
    <w:qFormat/>
    <w:uiPriority w:val="34"/>
    <w:pPr>
      <w:ind w:firstLine="420" w:firstLineChars="200"/>
    </w:pPr>
    <w:rPr>
      <w:rFonts w:ascii="Calibri" w:hAnsi="Calibri" w:cs="Calibri"/>
    </w:rPr>
  </w:style>
  <w:style w:type="character" w:customStyle="1" w:styleId="109">
    <w:name w:val="Title Char"/>
    <w:qFormat/>
    <w:locked/>
    <w:uiPriority w:val="0"/>
    <w:rPr>
      <w:rFonts w:ascii="Cambria" w:hAnsi="Cambria" w:eastAsia="宋体"/>
      <w:b/>
      <w:sz w:val="32"/>
    </w:rPr>
  </w:style>
  <w:style w:type="character" w:customStyle="1" w:styleId="110">
    <w:name w:val="批注文字 Char1"/>
    <w:qFormat/>
    <w:uiPriority w:val="0"/>
    <w:rPr>
      <w:kern w:val="2"/>
      <w:sz w:val="21"/>
    </w:rPr>
  </w:style>
  <w:style w:type="character" w:customStyle="1" w:styleId="111">
    <w:name w:val="彩色列表 - 强调文字颜色 1 Char"/>
    <w:link w:val="112"/>
    <w:qFormat/>
    <w:uiPriority w:val="34"/>
    <w:rPr>
      <w:rFonts w:ascii="Calibri" w:hAnsi="Calibri"/>
      <w:kern w:val="2"/>
      <w:sz w:val="21"/>
      <w:szCs w:val="22"/>
    </w:rPr>
  </w:style>
  <w:style w:type="paragraph" w:customStyle="1" w:styleId="112">
    <w:name w:val="彩色列表 - 强调文字颜色 11"/>
    <w:basedOn w:val="1"/>
    <w:link w:val="111"/>
    <w:qFormat/>
    <w:uiPriority w:val="34"/>
    <w:pPr>
      <w:ind w:firstLine="420" w:firstLineChars="200"/>
    </w:pPr>
    <w:rPr>
      <w:rFonts w:ascii="Calibri" w:hAnsi="Calibri"/>
      <w:szCs w:val="22"/>
    </w:rPr>
  </w:style>
  <w:style w:type="character" w:customStyle="1" w:styleId="113">
    <w:name w:val="列出段落 字符"/>
    <w:qFormat/>
    <w:uiPriority w:val="34"/>
    <w:rPr>
      <w:kern w:val="2"/>
      <w:sz w:val="21"/>
      <w:szCs w:val="24"/>
    </w:rPr>
  </w:style>
  <w:style w:type="character" w:customStyle="1" w:styleId="114">
    <w:name w:val="批注引用1"/>
    <w:qFormat/>
    <w:uiPriority w:val="0"/>
    <w:rPr>
      <w:sz w:val="21"/>
    </w:rPr>
  </w:style>
  <w:style w:type="character" w:customStyle="1" w:styleId="115">
    <w:name w:val="Balloon Text Char"/>
    <w:qFormat/>
    <w:locked/>
    <w:uiPriority w:val="0"/>
    <w:rPr>
      <w:rFonts w:ascii="Calibri" w:hAnsi="Calibri" w:eastAsia="宋体"/>
      <w:sz w:val="18"/>
    </w:rPr>
  </w:style>
  <w:style w:type="character" w:customStyle="1" w:styleId="116">
    <w:name w:val="A表格文字左对齐 Char"/>
    <w:link w:val="117"/>
    <w:qFormat/>
    <w:uiPriority w:val="0"/>
    <w:rPr>
      <w:rFonts w:ascii="宋体" w:hAnsi="宋体"/>
      <w:kern w:val="2"/>
      <w:sz w:val="21"/>
    </w:rPr>
  </w:style>
  <w:style w:type="paragraph" w:customStyle="1" w:styleId="117">
    <w:name w:val="A表格文字左对齐"/>
    <w:basedOn w:val="1"/>
    <w:link w:val="116"/>
    <w:qFormat/>
    <w:uiPriority w:val="0"/>
    <w:pPr>
      <w:adjustRightInd w:val="0"/>
      <w:spacing w:before="40" w:after="4"/>
      <w:jc w:val="left"/>
    </w:pPr>
    <w:rPr>
      <w:rFonts w:ascii="宋体" w:hAnsi="宋体"/>
      <w:szCs w:val="20"/>
    </w:rPr>
  </w:style>
  <w:style w:type="character" w:customStyle="1" w:styleId="118">
    <w:name w:val="font11"/>
    <w:qFormat/>
    <w:uiPriority w:val="0"/>
    <w:rPr>
      <w:rFonts w:hint="eastAsia" w:ascii="仿宋" w:hAnsi="仿宋" w:eastAsia="仿宋" w:cs="仿宋"/>
      <w:color w:val="FF0000"/>
      <w:sz w:val="20"/>
      <w:szCs w:val="20"/>
      <w:u w:val="none"/>
      <w:lang w:val="en-US" w:eastAsia="zh-CN" w:bidi="ar-SA"/>
    </w:rPr>
  </w:style>
  <w:style w:type="character" w:customStyle="1" w:styleId="119">
    <w:name w:val="right"/>
    <w:qFormat/>
    <w:uiPriority w:val="0"/>
  </w:style>
  <w:style w:type="character" w:customStyle="1" w:styleId="120">
    <w:name w:val="批注文字 字符"/>
    <w:qFormat/>
    <w:uiPriority w:val="99"/>
    <w:rPr>
      <w:kern w:val="2"/>
      <w:sz w:val="21"/>
    </w:rPr>
  </w:style>
  <w:style w:type="character" w:customStyle="1" w:styleId="121">
    <w:name w:val="font21"/>
    <w:qFormat/>
    <w:uiPriority w:val="0"/>
    <w:rPr>
      <w:rFonts w:hint="default" w:ascii="仿宋_GB2312" w:hAnsi="宋体" w:eastAsia="仿宋_GB2312" w:cs="仿宋_GB2312"/>
      <w:color w:val="FF0000"/>
      <w:kern w:val="0"/>
      <w:sz w:val="24"/>
      <w:szCs w:val="24"/>
      <w:u w:val="none"/>
    </w:rPr>
  </w:style>
  <w:style w:type="character" w:customStyle="1" w:styleId="122">
    <w:name w:val="日期 Char"/>
    <w:link w:val="123"/>
    <w:qFormat/>
    <w:locked/>
    <w:uiPriority w:val="0"/>
    <w:rPr>
      <w:rFonts w:ascii="Calibri" w:hAnsi="Calibri"/>
    </w:rPr>
  </w:style>
  <w:style w:type="paragraph" w:customStyle="1" w:styleId="123">
    <w:name w:val="日期1"/>
    <w:basedOn w:val="1"/>
    <w:next w:val="1"/>
    <w:link w:val="122"/>
    <w:qFormat/>
    <w:uiPriority w:val="0"/>
    <w:pPr>
      <w:ind w:left="100" w:leftChars="2500"/>
    </w:pPr>
    <w:rPr>
      <w:rFonts w:ascii="Calibri" w:hAnsi="Calibri"/>
      <w:kern w:val="0"/>
      <w:sz w:val="20"/>
      <w:szCs w:val="20"/>
    </w:rPr>
  </w:style>
  <w:style w:type="character" w:customStyle="1" w:styleId="124">
    <w:name w:val="封面合同编号 Char"/>
    <w:link w:val="125"/>
    <w:qFormat/>
    <w:uiPriority w:val="0"/>
    <w:rPr>
      <w:rFonts w:ascii="Calibri" w:hAnsi="Calibri"/>
      <w:kern w:val="2"/>
      <w:sz w:val="21"/>
      <w:szCs w:val="22"/>
    </w:rPr>
  </w:style>
  <w:style w:type="paragraph" w:customStyle="1" w:styleId="125">
    <w:name w:val="封面合同编号"/>
    <w:basedOn w:val="1"/>
    <w:link w:val="124"/>
    <w:qFormat/>
    <w:uiPriority w:val="0"/>
    <w:pPr>
      <w:spacing w:line="276" w:lineRule="auto"/>
      <w:ind w:right="1701"/>
      <w:jc w:val="right"/>
    </w:pPr>
    <w:rPr>
      <w:rFonts w:ascii="Calibri" w:hAnsi="Calibri"/>
      <w:szCs w:val="22"/>
    </w:rPr>
  </w:style>
  <w:style w:type="paragraph" w:customStyle="1" w:styleId="126">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7">
    <w:name w:val="1正文"/>
    <w:basedOn w:val="1"/>
    <w:qFormat/>
    <w:uiPriority w:val="0"/>
    <w:pPr>
      <w:spacing w:line="560" w:lineRule="exact"/>
      <w:ind w:firstLine="200" w:firstLineChars="200"/>
    </w:pPr>
    <w:rPr>
      <w:rFonts w:eastAsia="Cambria Math"/>
      <w:sz w:val="32"/>
    </w:rPr>
  </w:style>
  <w:style w:type="paragraph" w:customStyle="1" w:styleId="12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无间隔1"/>
    <w:qFormat/>
    <w:uiPriority w:val="1"/>
    <w:rPr>
      <w:rFonts w:ascii="Times New Roman" w:hAnsi="Times New Roman" w:eastAsia="宋体" w:cs="Times New Roman"/>
      <w:sz w:val="22"/>
      <w:lang w:val="en-US" w:eastAsia="zh-CN" w:bidi="ar-SA"/>
    </w:rPr>
  </w:style>
  <w:style w:type="paragraph" w:customStyle="1" w:styleId="130">
    <w:name w:val="表格正文"/>
    <w:basedOn w:val="1"/>
    <w:qFormat/>
    <w:uiPriority w:val="0"/>
    <w:pPr>
      <w:widowControl/>
      <w:snapToGrid w:val="0"/>
      <w:spacing w:line="300" w:lineRule="auto"/>
      <w:jc w:val="left"/>
    </w:pPr>
    <w:rPr>
      <w:rFonts w:ascii="Calibri" w:hAnsi="Calibri"/>
      <w:sz w:val="24"/>
    </w:rPr>
  </w:style>
  <w:style w:type="paragraph" w:customStyle="1" w:styleId="131">
    <w:name w:val="_Style 129"/>
    <w:basedOn w:val="1"/>
    <w:next w:val="1"/>
    <w:qFormat/>
    <w:uiPriority w:val="0"/>
    <w:pPr>
      <w:pBdr>
        <w:top w:val="single" w:color="auto" w:sz="6" w:space="1"/>
      </w:pBdr>
      <w:jc w:val="center"/>
    </w:pPr>
    <w:rPr>
      <w:rFonts w:ascii="Arial" w:eastAsia="宋体"/>
      <w:vanish/>
      <w:sz w:val="16"/>
    </w:rPr>
  </w:style>
  <w:style w:type="paragraph" w:customStyle="1" w:styleId="132">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3">
    <w:name w:val="Level 2"/>
    <w:basedOn w:val="1"/>
    <w:qFormat/>
    <w:uiPriority w:val="0"/>
    <w:rPr>
      <w:rFonts w:ascii="Calibri" w:hAnsi="Calibri"/>
      <w:szCs w:val="22"/>
    </w:rPr>
  </w:style>
  <w:style w:type="paragraph" w:customStyle="1" w:styleId="134">
    <w:name w:val="列出段落2"/>
    <w:basedOn w:val="1"/>
    <w:qFormat/>
    <w:uiPriority w:val="0"/>
    <w:pPr>
      <w:ind w:firstLine="420" w:firstLineChars="200"/>
    </w:pPr>
    <w:rPr>
      <w:rFonts w:ascii="Calibri" w:hAnsi="Calibri"/>
      <w:szCs w:val="22"/>
    </w:rPr>
  </w:style>
  <w:style w:type="paragraph" w:customStyle="1" w:styleId="135">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36">
    <w:name w:val="样式 样式 首行缩进:  2 字符1 + 首行缩进:  2 字符"/>
    <w:basedOn w:val="137"/>
    <w:qFormat/>
    <w:uiPriority w:val="0"/>
    <w:pPr>
      <w:ind w:firstLine="480"/>
    </w:pPr>
  </w:style>
  <w:style w:type="paragraph" w:customStyle="1" w:styleId="137">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8">
    <w:name w:val="正文文本 32"/>
    <w:basedOn w:val="1"/>
    <w:qFormat/>
    <w:uiPriority w:val="0"/>
    <w:pPr>
      <w:spacing w:line="312" w:lineRule="auto"/>
    </w:pPr>
    <w:rPr>
      <w:rFonts w:ascii="宋体" w:hAnsi="Times New Roman"/>
      <w:sz w:val="24"/>
      <w:szCs w:val="20"/>
    </w:rPr>
  </w:style>
  <w:style w:type="paragraph" w:customStyle="1" w:styleId="139">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40">
    <w:name w:val="Body Text 3"/>
    <w:basedOn w:val="1"/>
    <w:qFormat/>
    <w:uiPriority w:val="0"/>
    <w:rPr>
      <w:rFonts w:ascii="宋体"/>
      <w:sz w:val="24"/>
    </w:rPr>
  </w:style>
  <w:style w:type="paragraph" w:customStyle="1" w:styleId="141">
    <w:name w:val="Level 4"/>
    <w:basedOn w:val="1"/>
    <w:qFormat/>
    <w:uiPriority w:val="0"/>
    <w:pPr>
      <w:tabs>
        <w:tab w:val="left" w:pos="2440"/>
      </w:tabs>
      <w:ind w:left="2041" w:hanging="765"/>
    </w:pPr>
    <w:rPr>
      <w:rFonts w:ascii="Calibri" w:hAnsi="Calibri"/>
      <w:szCs w:val="22"/>
    </w:rPr>
  </w:style>
  <w:style w:type="paragraph" w:customStyle="1" w:styleId="142">
    <w:name w:val="1"/>
    <w:basedOn w:val="1"/>
    <w:next w:val="24"/>
    <w:qFormat/>
    <w:uiPriority w:val="0"/>
    <w:pPr>
      <w:tabs>
        <w:tab w:val="left" w:pos="3060"/>
      </w:tabs>
      <w:spacing w:line="140" w:lineRule="atLeast"/>
      <w:ind w:firstLine="560" w:firstLineChars="200"/>
    </w:pPr>
    <w:rPr>
      <w:sz w:val="28"/>
    </w:rPr>
  </w:style>
  <w:style w:type="paragraph" w:customStyle="1" w:styleId="143">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4">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5">
    <w:name w:val="样式 四号 首行缩进:  1厘米 行距: 1.5 倍行距"/>
    <w:basedOn w:val="1"/>
    <w:qFormat/>
    <w:uiPriority w:val="0"/>
    <w:pPr>
      <w:spacing w:line="360" w:lineRule="auto"/>
      <w:ind w:firstLine="570"/>
    </w:pPr>
    <w:rPr>
      <w:sz w:val="28"/>
      <w:szCs w:val="20"/>
    </w:rPr>
  </w:style>
  <w:style w:type="paragraph" w:customStyle="1" w:styleId="146">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7">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8">
    <w:name w:val="样式1"/>
    <w:basedOn w:val="1"/>
    <w:qFormat/>
    <w:uiPriority w:val="0"/>
    <w:pPr>
      <w:numPr>
        <w:ilvl w:val="0"/>
        <w:numId w:val="3"/>
      </w:numPr>
      <w:spacing w:line="360" w:lineRule="auto"/>
      <w:ind w:left="1253" w:hanging="680"/>
    </w:pPr>
    <w:rPr>
      <w:sz w:val="28"/>
      <w:szCs w:val="28"/>
    </w:rPr>
  </w:style>
  <w:style w:type="paragraph" w:customStyle="1" w:styleId="149">
    <w:name w:val="Level 1"/>
    <w:basedOn w:val="1"/>
    <w:qFormat/>
    <w:uiPriority w:val="0"/>
    <w:rPr>
      <w:rFonts w:ascii="Calibri" w:hAnsi="Calibri"/>
      <w:szCs w:val="22"/>
    </w:rPr>
  </w:style>
  <w:style w:type="paragraph" w:customStyle="1" w:styleId="150">
    <w:name w:val="p16"/>
    <w:basedOn w:val="1"/>
    <w:qFormat/>
    <w:uiPriority w:val="0"/>
    <w:pPr>
      <w:widowControl/>
    </w:pPr>
    <w:rPr>
      <w:rFonts w:ascii="宋体" w:hAnsi="宋体"/>
      <w:kern w:val="0"/>
      <w:sz w:val="24"/>
      <w:szCs w:val="20"/>
    </w:rPr>
  </w:style>
  <w:style w:type="paragraph" w:customStyle="1" w:styleId="151">
    <w:name w:val="List Paragraph1"/>
    <w:basedOn w:val="1"/>
    <w:qFormat/>
    <w:uiPriority w:val="34"/>
    <w:pPr>
      <w:ind w:firstLine="420" w:firstLineChars="200"/>
    </w:pPr>
  </w:style>
  <w:style w:type="paragraph" w:customStyle="1" w:styleId="152">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3">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4">
    <w:name w:val="标题4"/>
    <w:basedOn w:val="1"/>
    <w:qFormat/>
    <w:uiPriority w:val="0"/>
    <w:pPr>
      <w:spacing w:before="156" w:beforeLines="50" w:after="156" w:afterLines="50"/>
      <w:jc w:val="left"/>
    </w:pPr>
    <w:rPr>
      <w:rFonts w:eastAsia="黑体"/>
      <w:b/>
      <w:kern w:val="0"/>
      <w:sz w:val="30"/>
    </w:rPr>
  </w:style>
  <w:style w:type="paragraph" w:customStyle="1" w:styleId="155">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6">
    <w:name w:val="列出段落1"/>
    <w:basedOn w:val="1"/>
    <w:qFormat/>
    <w:uiPriority w:val="34"/>
    <w:pPr>
      <w:ind w:firstLine="420" w:firstLineChars="200"/>
    </w:pPr>
    <w:rPr>
      <w:rFonts w:ascii="Calibri" w:hAnsi="Calibri" w:cs="Calibri"/>
      <w:szCs w:val="21"/>
    </w:rPr>
  </w:style>
  <w:style w:type="paragraph" w:customStyle="1" w:styleId="157">
    <w:name w:val="p0"/>
    <w:basedOn w:val="1"/>
    <w:qFormat/>
    <w:uiPriority w:val="0"/>
    <w:pPr>
      <w:widowControl/>
    </w:pPr>
    <w:rPr>
      <w:kern w:val="0"/>
      <w:szCs w:val="21"/>
    </w:rPr>
  </w:style>
  <w:style w:type="paragraph" w:customStyle="1" w:styleId="158">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9">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60">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1">
    <w:name w:val="_Style 12"/>
    <w:basedOn w:val="1"/>
    <w:next w:val="18"/>
    <w:qFormat/>
    <w:uiPriority w:val="0"/>
    <w:pPr>
      <w:spacing w:line="360" w:lineRule="auto"/>
      <w:ind w:firstLine="540"/>
    </w:pPr>
    <w:rPr>
      <w:sz w:val="28"/>
      <w:szCs w:val="20"/>
    </w:rPr>
  </w:style>
  <w:style w:type="paragraph" w:customStyle="1" w:styleId="162">
    <w:name w:val="_Style 160"/>
    <w:basedOn w:val="1"/>
    <w:next w:val="108"/>
    <w:qFormat/>
    <w:uiPriority w:val="0"/>
    <w:pPr>
      <w:pBdr>
        <w:bottom w:val="single" w:color="auto" w:sz="6" w:space="1"/>
      </w:pBdr>
      <w:jc w:val="center"/>
    </w:pPr>
    <w:rPr>
      <w:rFonts w:ascii="Arial" w:eastAsia="宋体"/>
      <w:vanish/>
      <w:sz w:val="16"/>
    </w:rPr>
  </w:style>
  <w:style w:type="paragraph" w:customStyle="1" w:styleId="163">
    <w:name w:val="Level 5"/>
    <w:basedOn w:val="1"/>
    <w:qFormat/>
    <w:uiPriority w:val="0"/>
    <w:pPr>
      <w:tabs>
        <w:tab w:val="left" w:pos="2552"/>
      </w:tabs>
      <w:ind w:left="2552" w:hanging="567"/>
    </w:pPr>
    <w:rPr>
      <w:rFonts w:ascii="Calibri" w:hAnsi="Calibri"/>
      <w:szCs w:val="22"/>
    </w:rPr>
  </w:style>
  <w:style w:type="paragraph" w:customStyle="1" w:styleId="164">
    <w:name w:val="样式 标题 2 +"/>
    <w:basedOn w:val="3"/>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5">
    <w:name w:val="_Style 246"/>
    <w:basedOn w:val="1"/>
    <w:next w:val="15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6">
    <w:name w:val="列出段落11"/>
    <w:basedOn w:val="1"/>
    <w:qFormat/>
    <w:uiPriority w:val="0"/>
    <w:pPr>
      <w:ind w:firstLine="420" w:firstLineChars="200"/>
    </w:pPr>
    <w:rPr>
      <w:rFonts w:ascii="Calibri" w:hAnsi="Calibri"/>
      <w:szCs w:val="22"/>
    </w:rPr>
  </w:style>
  <w:style w:type="paragraph" w:customStyle="1" w:styleId="167">
    <w:name w:val="Char Char Char"/>
    <w:basedOn w:val="1"/>
    <w:qFormat/>
    <w:uiPriority w:val="0"/>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_Style 168"/>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Char Char Char Char"/>
    <w:basedOn w:val="1"/>
    <w:qFormat/>
    <w:uiPriority w:val="0"/>
    <w:pPr>
      <w:tabs>
        <w:tab w:val="left" w:pos="360"/>
      </w:tabs>
    </w:pPr>
    <w:rPr>
      <w:szCs w:val="20"/>
    </w:rPr>
  </w:style>
  <w:style w:type="paragraph" w:customStyle="1" w:styleId="173">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4">
    <w:name w:val="Level 6"/>
    <w:basedOn w:val="1"/>
    <w:qFormat/>
    <w:uiPriority w:val="0"/>
    <w:pPr>
      <w:tabs>
        <w:tab w:val="left" w:pos="3289"/>
      </w:tabs>
      <w:ind w:left="3289" w:hanging="681"/>
    </w:pPr>
    <w:rPr>
      <w:rFonts w:ascii="Calibri" w:hAnsi="Calibri"/>
      <w:szCs w:val="22"/>
    </w:rPr>
  </w:style>
  <w:style w:type="paragraph" w:customStyle="1" w:styleId="175">
    <w:name w:val="正文文本 33"/>
    <w:basedOn w:val="1"/>
    <w:qFormat/>
    <w:uiPriority w:val="0"/>
    <w:rPr>
      <w:rFonts w:ascii="宋体" w:hAnsi="Times New Roman" w:cs="Times New Roman"/>
      <w:sz w:val="24"/>
    </w:rPr>
  </w:style>
  <w:style w:type="character" w:customStyle="1" w:styleId="176">
    <w:name w:val="正文缩进 字符1"/>
    <w:qFormat/>
    <w:uiPriority w:val="0"/>
  </w:style>
  <w:style w:type="paragraph" w:customStyle="1" w:styleId="177">
    <w:name w:val="Table Text"/>
    <w:basedOn w:val="1"/>
    <w:semiHidden/>
    <w:qFormat/>
    <w:uiPriority w:val="0"/>
    <w:rPr>
      <w:rFonts w:ascii="Arial" w:hAnsi="Arial" w:eastAsia="Arial" w:cs="Arial"/>
      <w:sz w:val="21"/>
      <w:szCs w:val="21"/>
      <w:lang w:val="en-US" w:eastAsia="en-US" w:bidi="ar-SA"/>
    </w:rPr>
  </w:style>
  <w:style w:type="table" w:customStyle="1" w:styleId="178">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79">
    <w:name w:val="ZB5"/>
    <w:basedOn w:val="1"/>
    <w:qFormat/>
    <w:uiPriority w:val="0"/>
    <w:pPr>
      <w:spacing w:line="400" w:lineRule="exact"/>
      <w:ind w:firstLine="200" w:firstLineChars="200"/>
    </w:pPr>
    <w:rPr>
      <w:rFonts w:ascii="Consolas" w:hAnsi="Consolas" w:eastAsia="方正中等线简体"/>
      <w:szCs w:val="20"/>
    </w:rPr>
  </w:style>
  <w:style w:type="paragraph" w:customStyle="1" w:styleId="180">
    <w:name w:val="正文_2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1">
    <w:name w:val="正文缩进2"/>
    <w:basedOn w:val="1"/>
    <w:qFormat/>
    <w:uiPriority w:val="0"/>
    <w:pPr>
      <w:wordWrap w:val="0"/>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9875</Words>
  <Characters>10663</Characters>
  <Lines>1</Lines>
  <Paragraphs>1</Paragraphs>
  <TotalTime>13</TotalTime>
  <ScaleCrop>false</ScaleCrop>
  <LinksUpToDate>false</LinksUpToDate>
  <CharactersWithSpaces>10790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谭佐卿</cp:lastModifiedBy>
  <cp:lastPrinted>2018-07-16T11:27:00Z</cp:lastPrinted>
  <dcterms:modified xsi:type="dcterms:W3CDTF">2026-08-11T08:18:34Z</dcterms:modified>
  <dc:title>山西医科大学第一医院住院楼土建施工及安装工程招标文件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99B6AFBE7C584337B181D0CE2D3D68AF_13</vt:lpwstr>
  </property>
  <property fmtid="{D5CDD505-2E9C-101B-9397-08002B2CF9AE}" pid="4" name="KSOTemplateDocerSaveRecord">
    <vt:lpwstr>eyJoZGlkIjoiZDFhYzhmNDljODk4YzQ5ZTU2ZjE1YjFmYmJkYzRlMWMiLCJ1c2VySWQiOiI3NDk4MDUwNTEifQ==</vt:lpwstr>
  </property>
</Properties>
</file>