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489543">
      <w:pPr>
        <w:rPr>
          <w:rFonts w:hint="eastAsia" w:ascii="仿宋" w:hAnsi="仿宋" w:eastAsia="仿宋" w:cs="仿宋"/>
          <w:color w:val="000000"/>
          <w:sz w:val="28"/>
          <w:szCs w:val="28"/>
          <w:highlight w:val="none"/>
        </w:rPr>
      </w:pPr>
    </w:p>
    <w:p w14:paraId="10DCCE86">
      <w:pPr>
        <w:adjustRightInd w:val="0"/>
        <w:snapToGrid w:val="0"/>
        <w:spacing w:line="360" w:lineRule="auto"/>
        <w:jc w:val="center"/>
        <w:rPr>
          <w:rFonts w:hint="eastAsia" w:ascii="仿宋" w:hAnsi="仿宋" w:eastAsia="仿宋" w:cs="仿宋"/>
          <w:bCs/>
          <w:color w:val="000000"/>
          <w:sz w:val="28"/>
          <w:szCs w:val="28"/>
          <w:highlight w:val="none"/>
        </w:rPr>
      </w:pPr>
    </w:p>
    <w:p w14:paraId="421989F6">
      <w:pPr>
        <w:spacing w:before="240"/>
        <w:jc w:val="center"/>
        <w:rPr>
          <w:rStyle w:val="51"/>
          <w:color w:val="000000" w:themeColor="text1"/>
          <w:highlight w:val="none"/>
          <w14:textFill>
            <w14:solidFill>
              <w14:schemeClr w14:val="tx1"/>
            </w14:solidFill>
          </w14:textFill>
        </w:rPr>
      </w:pPr>
      <w:r>
        <w:rPr>
          <w:rFonts w:hint="eastAsia" w:ascii="仿宋" w:hAnsi="仿宋" w:eastAsia="仿宋" w:cs="宋体"/>
          <w:b/>
          <w:color w:val="000000" w:themeColor="text1"/>
          <w:spacing w:val="40"/>
          <w:sz w:val="36"/>
          <w:szCs w:val="36"/>
          <w:highlight w:val="none"/>
          <w14:textFill>
            <w14:solidFill>
              <w14:schemeClr w14:val="tx1"/>
            </w14:solidFill>
          </w14:textFill>
        </w:rPr>
        <w:t>人保</w:t>
      </w:r>
      <w:r>
        <w:rPr>
          <w:rFonts w:hint="eastAsia" w:ascii="仿宋" w:hAnsi="仿宋" w:eastAsia="仿宋" w:cs="宋体"/>
          <w:b/>
          <w:color w:val="000000" w:themeColor="text1"/>
          <w:spacing w:val="40"/>
          <w:sz w:val="36"/>
          <w:szCs w:val="36"/>
          <w:highlight w:val="none"/>
          <w:lang w:val="en-US" w:eastAsia="zh-CN"/>
          <w14:textFill>
            <w14:solidFill>
              <w14:schemeClr w14:val="tx1"/>
            </w14:solidFill>
          </w14:textFill>
        </w:rPr>
        <w:t>财险</w:t>
      </w:r>
      <w:r>
        <w:rPr>
          <w:rFonts w:hint="eastAsia" w:ascii="仿宋" w:hAnsi="仿宋" w:eastAsia="仿宋" w:cs="宋体"/>
          <w:b/>
          <w:color w:val="000000" w:themeColor="text1"/>
          <w:spacing w:val="40"/>
          <w:sz w:val="36"/>
          <w:szCs w:val="36"/>
          <w:highlight w:val="none"/>
          <w:lang w:eastAsia="zh-CN"/>
          <w14:textFill>
            <w14:solidFill>
              <w14:schemeClr w14:val="tx1"/>
            </w14:solidFill>
          </w14:textFill>
        </w:rPr>
        <w:t>景德镇市河西支公司车险客户增值服务</w:t>
      </w:r>
      <w:r>
        <w:rPr>
          <w:rFonts w:hint="eastAsia" w:ascii="仿宋" w:hAnsi="仿宋" w:eastAsia="仿宋" w:cs="宋体"/>
          <w:b/>
          <w:color w:val="000000" w:themeColor="text1"/>
          <w:spacing w:val="40"/>
          <w:sz w:val="36"/>
          <w:szCs w:val="36"/>
          <w:highlight w:val="none"/>
          <w14:textFill>
            <w14:solidFill>
              <w14:schemeClr w14:val="tx1"/>
            </w14:solidFill>
          </w14:textFill>
        </w:rPr>
        <w:t>采购项目</w:t>
      </w:r>
    </w:p>
    <w:p w14:paraId="1E1B4F53">
      <w:pPr>
        <w:adjustRightInd w:val="0"/>
        <w:snapToGrid w:val="0"/>
        <w:spacing w:before="240" w:line="360" w:lineRule="auto"/>
        <w:ind w:firstLine="3973" w:firstLineChars="900"/>
        <w:rPr>
          <w:rFonts w:ascii="仿宋" w:hAnsi="仿宋" w:eastAsia="仿宋" w:cs="宋体"/>
          <w:b/>
          <w:color w:val="FF0000"/>
          <w:spacing w:val="40"/>
          <w:sz w:val="36"/>
          <w:szCs w:val="36"/>
          <w:highlight w:val="none"/>
        </w:rPr>
      </w:pPr>
    </w:p>
    <w:p w14:paraId="29375BBD">
      <w:pPr>
        <w:tabs>
          <w:tab w:val="left" w:pos="720"/>
          <w:tab w:val="left" w:pos="8295"/>
        </w:tabs>
        <w:spacing w:before="240" w:line="360" w:lineRule="auto"/>
        <w:jc w:val="center"/>
        <w:rPr>
          <w:rFonts w:hint="eastAsia" w:ascii="仿宋" w:hAnsi="仿宋" w:eastAsia="仿宋" w:cs="宋体"/>
          <w:b/>
          <w:color w:val="000000" w:themeColor="text1"/>
          <w:sz w:val="28"/>
          <w:szCs w:val="28"/>
          <w:highlight w:val="none"/>
          <w:lang w:val="en-US" w:eastAsia="zh-CN"/>
          <w14:textFill>
            <w14:solidFill>
              <w14:schemeClr w14:val="tx1"/>
            </w14:solidFill>
          </w14:textFill>
        </w:rPr>
      </w:pPr>
      <w:r>
        <w:rPr>
          <w:rFonts w:hint="eastAsia" w:ascii="仿宋" w:hAnsi="仿宋" w:eastAsia="仿宋" w:cs="宋体"/>
          <w:b/>
          <w:color w:val="000000" w:themeColor="text1"/>
          <w:sz w:val="28"/>
          <w:szCs w:val="28"/>
          <w:highlight w:val="none"/>
          <w14:textFill>
            <w14:solidFill>
              <w14:schemeClr w14:val="tx1"/>
            </w14:solidFill>
          </w14:textFill>
        </w:rPr>
        <w:t>项目编号：</w:t>
      </w:r>
      <w:r>
        <w:rPr>
          <w:rFonts w:hint="eastAsia" w:ascii="仿宋" w:hAnsi="仿宋" w:eastAsia="仿宋" w:cs="宋体"/>
          <w:b/>
          <w:color w:val="000000" w:themeColor="text1"/>
          <w:sz w:val="28"/>
          <w:szCs w:val="28"/>
          <w:highlight w:val="none"/>
          <w:lang w:val="en-US" w:eastAsia="zh-CN"/>
          <w14:textFill>
            <w14:solidFill>
              <w14:schemeClr w14:val="tx1"/>
            </w14:solidFill>
          </w14:textFill>
        </w:rPr>
        <w:t>XM26DSPC000736</w:t>
      </w:r>
    </w:p>
    <w:p w14:paraId="62BFC204">
      <w:pPr>
        <w:tabs>
          <w:tab w:val="left" w:pos="720"/>
          <w:tab w:val="left" w:pos="8295"/>
        </w:tabs>
        <w:spacing w:line="360" w:lineRule="auto"/>
        <w:jc w:val="center"/>
        <w:rPr>
          <w:rFonts w:hint="eastAsia" w:ascii="仿宋" w:hAnsi="仿宋" w:eastAsia="仿宋" w:cs="仿宋"/>
          <w:b/>
          <w:color w:val="000000"/>
          <w:sz w:val="28"/>
          <w:szCs w:val="28"/>
          <w:highlight w:val="none"/>
        </w:rPr>
      </w:pPr>
    </w:p>
    <w:p w14:paraId="02446ACC">
      <w:pPr>
        <w:pStyle w:val="2"/>
        <w:rPr>
          <w:rFonts w:hint="eastAsia"/>
        </w:rPr>
      </w:pPr>
    </w:p>
    <w:p w14:paraId="759D04E6">
      <w:pPr>
        <w:pStyle w:val="2"/>
        <w:rPr>
          <w:rFonts w:hint="eastAsia"/>
          <w:highlight w:val="none"/>
        </w:rPr>
      </w:pPr>
    </w:p>
    <w:p w14:paraId="05DE321D">
      <w:pPr>
        <w:rPr>
          <w:rFonts w:hint="eastAsia" w:ascii="仿宋" w:hAnsi="仿宋" w:eastAsia="仿宋" w:cs="仿宋"/>
          <w:color w:val="000000"/>
          <w:highlight w:val="none"/>
        </w:rPr>
      </w:pPr>
    </w:p>
    <w:p w14:paraId="1C36C51B">
      <w:pPr>
        <w:tabs>
          <w:tab w:val="left" w:pos="720"/>
          <w:tab w:val="left" w:pos="8295"/>
        </w:tabs>
        <w:spacing w:line="360" w:lineRule="auto"/>
        <w:jc w:val="center"/>
        <w:rPr>
          <w:rFonts w:hint="eastAsia" w:ascii="仿宋" w:hAnsi="仿宋" w:eastAsia="仿宋" w:cs="仿宋"/>
          <w:b/>
          <w:color w:val="000000"/>
          <w:sz w:val="28"/>
          <w:szCs w:val="28"/>
          <w:highlight w:val="none"/>
        </w:rPr>
      </w:pPr>
    </w:p>
    <w:p w14:paraId="5DED6399">
      <w:pPr>
        <w:pStyle w:val="2"/>
        <w:rPr>
          <w:rFonts w:hint="eastAsia"/>
          <w:highlight w:val="none"/>
        </w:rPr>
      </w:pPr>
    </w:p>
    <w:p w14:paraId="1C01C660">
      <w:pPr>
        <w:tabs>
          <w:tab w:val="left" w:pos="720"/>
          <w:tab w:val="left" w:pos="8295"/>
        </w:tabs>
        <w:spacing w:line="360" w:lineRule="auto"/>
        <w:jc w:val="center"/>
        <w:rPr>
          <w:rFonts w:hint="eastAsia" w:ascii="仿宋" w:hAnsi="仿宋" w:eastAsia="仿宋" w:cs="仿宋"/>
          <w:b/>
          <w:bCs/>
          <w:color w:val="000000"/>
          <w:sz w:val="84"/>
          <w:szCs w:val="84"/>
          <w:highlight w:val="none"/>
        </w:rPr>
      </w:pPr>
      <w:r>
        <w:rPr>
          <w:rFonts w:hint="eastAsia" w:ascii="仿宋" w:hAnsi="仿宋" w:eastAsia="仿宋" w:cs="仿宋"/>
          <w:b/>
          <w:bCs/>
          <w:color w:val="000000"/>
          <w:sz w:val="84"/>
          <w:szCs w:val="84"/>
          <w:highlight w:val="none"/>
        </w:rPr>
        <w:t>竞争性磋商文件</w:t>
      </w:r>
    </w:p>
    <w:p w14:paraId="160EB043">
      <w:pPr>
        <w:tabs>
          <w:tab w:val="left" w:pos="720"/>
          <w:tab w:val="left" w:pos="8295"/>
        </w:tabs>
        <w:spacing w:line="360" w:lineRule="auto"/>
        <w:jc w:val="center"/>
        <w:rPr>
          <w:rFonts w:hint="eastAsia" w:ascii="仿宋" w:hAnsi="仿宋" w:eastAsia="仿宋" w:cs="仿宋"/>
          <w:b/>
          <w:color w:val="000000"/>
          <w:sz w:val="28"/>
          <w:szCs w:val="28"/>
          <w:highlight w:val="none"/>
        </w:rPr>
      </w:pPr>
    </w:p>
    <w:p w14:paraId="5CFBEA69">
      <w:pPr>
        <w:tabs>
          <w:tab w:val="left" w:pos="720"/>
          <w:tab w:val="left" w:pos="8295"/>
        </w:tabs>
        <w:spacing w:line="360" w:lineRule="auto"/>
        <w:jc w:val="center"/>
        <w:rPr>
          <w:rFonts w:hint="eastAsia" w:ascii="仿宋" w:hAnsi="仿宋" w:eastAsia="仿宋" w:cs="仿宋"/>
          <w:b/>
          <w:color w:val="000000"/>
          <w:sz w:val="28"/>
          <w:szCs w:val="28"/>
          <w:highlight w:val="none"/>
        </w:rPr>
      </w:pPr>
    </w:p>
    <w:p w14:paraId="533216FA">
      <w:pPr>
        <w:tabs>
          <w:tab w:val="left" w:pos="720"/>
          <w:tab w:val="left" w:pos="8295"/>
        </w:tabs>
        <w:spacing w:line="360" w:lineRule="auto"/>
        <w:jc w:val="center"/>
        <w:rPr>
          <w:rFonts w:hint="eastAsia" w:ascii="仿宋" w:hAnsi="仿宋" w:eastAsia="仿宋" w:cs="仿宋"/>
          <w:b/>
          <w:color w:val="000000"/>
          <w:sz w:val="28"/>
          <w:szCs w:val="28"/>
          <w:highlight w:val="none"/>
        </w:rPr>
      </w:pPr>
    </w:p>
    <w:p w14:paraId="2AE2DC58">
      <w:pPr>
        <w:tabs>
          <w:tab w:val="left" w:pos="720"/>
          <w:tab w:val="left" w:pos="8295"/>
        </w:tabs>
        <w:spacing w:line="360" w:lineRule="auto"/>
        <w:jc w:val="center"/>
        <w:rPr>
          <w:rFonts w:ascii="仿宋" w:hAnsi="仿宋" w:eastAsia="仿宋" w:cs="仿宋"/>
          <w:b/>
          <w:color w:val="000000"/>
          <w:sz w:val="36"/>
          <w:szCs w:val="36"/>
          <w:highlight w:val="none"/>
        </w:rPr>
      </w:pPr>
    </w:p>
    <w:p w14:paraId="19BA4F3B">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000000" w:themeColor="text1"/>
          <w:kern w:val="0"/>
          <w:sz w:val="28"/>
          <w:szCs w:val="28"/>
          <w:highlight w:val="none"/>
          <w14:textFill>
            <w14:solidFill>
              <w14:schemeClr w14:val="tx1"/>
            </w14:solidFill>
          </w14:textFill>
        </w:rPr>
      </w:pPr>
      <w:r>
        <w:rPr>
          <w:rFonts w:hint="eastAsia" w:ascii="仿宋" w:hAnsi="仿宋" w:eastAsia="仿宋" w:cs="仿宋"/>
          <w:b/>
          <w:color w:val="000000" w:themeColor="text1"/>
          <w:kern w:val="0"/>
          <w:sz w:val="28"/>
          <w:szCs w:val="28"/>
          <w:highlight w:val="none"/>
          <w14:textFill>
            <w14:solidFill>
              <w14:schemeClr w14:val="tx1"/>
            </w14:solidFill>
          </w14:textFill>
        </w:rPr>
        <w:t>采购人：中国人民财产保险股份有限公司</w:t>
      </w:r>
      <w:r>
        <w:rPr>
          <w:rFonts w:hint="eastAsia" w:ascii="仿宋" w:hAnsi="仿宋" w:eastAsia="仿宋" w:cs="仿宋"/>
          <w:b/>
          <w:color w:val="000000" w:themeColor="text1"/>
          <w:kern w:val="0"/>
          <w:sz w:val="28"/>
          <w:szCs w:val="28"/>
          <w:highlight w:val="none"/>
          <w:lang w:eastAsia="zh-CN"/>
          <w14:textFill>
            <w14:solidFill>
              <w14:schemeClr w14:val="tx1"/>
            </w14:solidFill>
          </w14:textFill>
        </w:rPr>
        <w:t>景德镇市河西支</w:t>
      </w:r>
      <w:r>
        <w:rPr>
          <w:rFonts w:hint="eastAsia" w:ascii="仿宋" w:hAnsi="仿宋" w:eastAsia="仿宋" w:cs="仿宋"/>
          <w:b/>
          <w:color w:val="000000" w:themeColor="text1"/>
          <w:kern w:val="0"/>
          <w:sz w:val="28"/>
          <w:szCs w:val="28"/>
          <w:highlight w:val="none"/>
          <w14:textFill>
            <w14:solidFill>
              <w14:schemeClr w14:val="tx1"/>
            </w14:solidFill>
          </w14:textFill>
        </w:rPr>
        <w:t>公司</w:t>
      </w:r>
    </w:p>
    <w:p w14:paraId="05D8BA5E">
      <w:pPr>
        <w:tabs>
          <w:tab w:val="left" w:pos="720"/>
          <w:tab w:val="left" w:pos="8295"/>
        </w:tabs>
        <w:spacing w:line="360" w:lineRule="auto"/>
        <w:jc w:val="center"/>
        <w:rPr>
          <w:rFonts w:hint="eastAsia" w:ascii="仿宋" w:hAnsi="仿宋" w:eastAsia="仿宋" w:cs="仿宋"/>
          <w:b/>
          <w:color w:val="000000" w:themeColor="text1"/>
          <w:sz w:val="36"/>
          <w:szCs w:val="36"/>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日期：20</w:t>
      </w:r>
      <w:r>
        <w:rPr>
          <w:rFonts w:hint="eastAsia" w:ascii="仿宋" w:hAnsi="仿宋" w:eastAsia="仿宋" w:cs="仿宋"/>
          <w:b/>
          <w:color w:val="000000" w:themeColor="text1"/>
          <w:sz w:val="28"/>
          <w:szCs w:val="28"/>
          <w:highlight w:val="none"/>
          <w:lang w:val="en-US" w:eastAsia="zh-CN"/>
          <w14:textFill>
            <w14:solidFill>
              <w14:schemeClr w14:val="tx1"/>
            </w14:solidFill>
          </w14:textFill>
        </w:rPr>
        <w:t>26</w:t>
      </w:r>
      <w:r>
        <w:rPr>
          <w:rFonts w:hint="eastAsia" w:ascii="仿宋" w:hAnsi="仿宋" w:eastAsia="仿宋" w:cs="仿宋"/>
          <w:b/>
          <w:color w:val="000000" w:themeColor="text1"/>
          <w:sz w:val="28"/>
          <w:szCs w:val="28"/>
          <w:highlight w:val="none"/>
          <w14:textFill>
            <w14:solidFill>
              <w14:schemeClr w14:val="tx1"/>
            </w14:solidFill>
          </w14:textFill>
        </w:rPr>
        <w:t>年</w:t>
      </w:r>
      <w:r>
        <w:rPr>
          <w:rFonts w:hint="eastAsia" w:ascii="仿宋" w:hAnsi="仿宋" w:eastAsia="仿宋" w:cs="仿宋"/>
          <w:b/>
          <w:color w:val="000000" w:themeColor="text1"/>
          <w:sz w:val="28"/>
          <w:szCs w:val="28"/>
          <w:highlight w:val="none"/>
          <w:lang w:val="en-US" w:eastAsia="zh-CN"/>
          <w14:textFill>
            <w14:solidFill>
              <w14:schemeClr w14:val="tx1"/>
            </w14:solidFill>
          </w14:textFill>
        </w:rPr>
        <w:t>8</w:t>
      </w:r>
      <w:r>
        <w:rPr>
          <w:rFonts w:hint="eastAsia" w:ascii="仿宋" w:hAnsi="仿宋" w:eastAsia="仿宋" w:cs="仿宋"/>
          <w:b/>
          <w:color w:val="000000" w:themeColor="text1"/>
          <w:sz w:val="28"/>
          <w:szCs w:val="28"/>
          <w:highlight w:val="none"/>
          <w14:textFill>
            <w14:solidFill>
              <w14:schemeClr w14:val="tx1"/>
            </w14:solidFill>
          </w14:textFill>
        </w:rPr>
        <w:t>月</w:t>
      </w:r>
    </w:p>
    <w:p w14:paraId="3706B8CE">
      <w:pPr>
        <w:spacing w:line="360" w:lineRule="auto"/>
        <w:jc w:val="center"/>
        <w:rPr>
          <w:rFonts w:hint="eastAsia" w:ascii="仿宋" w:hAnsi="仿宋" w:eastAsia="仿宋" w:cs="仿宋"/>
          <w:color w:val="000000" w:themeColor="text1"/>
          <w:sz w:val="36"/>
          <w:highlight w:val="none"/>
          <w14:textFill>
            <w14:solidFill>
              <w14:schemeClr w14:val="tx1"/>
            </w14:solidFill>
          </w14:textFill>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14:paraId="3A6C01C9">
      <w:pPr>
        <w:jc w:val="center"/>
        <w:rPr>
          <w:rFonts w:hint="eastAsia" w:ascii="仿宋" w:hAnsi="仿宋" w:eastAsia="仿宋" w:cs="仿宋"/>
          <w:b/>
          <w:bCs/>
          <w:color w:val="000000"/>
          <w:sz w:val="28"/>
          <w:szCs w:val="28"/>
          <w:highlight w:val="none"/>
        </w:rPr>
      </w:pPr>
      <w:bookmarkStart w:id="0" w:name="_Toc23584"/>
      <w:r>
        <w:rPr>
          <w:rFonts w:hint="eastAsia" w:ascii="仿宋" w:hAnsi="仿宋" w:eastAsia="仿宋" w:cs="仿宋"/>
          <w:b/>
          <w:bCs/>
          <w:color w:val="000000"/>
          <w:sz w:val="28"/>
          <w:szCs w:val="28"/>
          <w:highlight w:val="none"/>
          <w:lang w:val="zh-CN"/>
        </w:rPr>
        <w:t>目  录</w:t>
      </w:r>
      <w:bookmarkEnd w:id="0"/>
    </w:p>
    <w:p w14:paraId="4BF0C7E0">
      <w:pPr>
        <w:pStyle w:val="28"/>
        <w:tabs>
          <w:tab w:val="right" w:leader="dot" w:pos="9638"/>
        </w:tabs>
      </w:pPr>
      <w:r>
        <w:rPr>
          <w:rFonts w:hint="eastAsia" w:ascii="仿宋" w:hAnsi="仿宋" w:eastAsia="仿宋" w:cs="仿宋"/>
          <w:b w:val="0"/>
          <w:bCs w:val="0"/>
          <w:caps w:val="0"/>
          <w:color w:val="000000"/>
          <w:sz w:val="24"/>
          <w:szCs w:val="24"/>
          <w:highlight w:val="none"/>
        </w:rPr>
        <w:fldChar w:fldCharType="begin"/>
      </w:r>
      <w:r>
        <w:rPr>
          <w:rFonts w:hint="eastAsia" w:ascii="仿宋" w:hAnsi="仿宋" w:eastAsia="仿宋" w:cs="仿宋"/>
          <w:b w:val="0"/>
          <w:bCs w:val="0"/>
          <w:caps w:val="0"/>
          <w:color w:val="000000"/>
          <w:sz w:val="24"/>
          <w:szCs w:val="24"/>
          <w:highlight w:val="none"/>
        </w:rPr>
        <w:instrText xml:space="preserve"> TOC \o "1-3" \h \z \u </w:instrText>
      </w:r>
      <w:r>
        <w:rPr>
          <w:rFonts w:hint="eastAsia" w:ascii="仿宋" w:hAnsi="仿宋" w:eastAsia="仿宋" w:cs="仿宋"/>
          <w:b w:val="0"/>
          <w:bCs w:val="0"/>
          <w:caps w:val="0"/>
          <w:color w:val="000000"/>
          <w:sz w:val="24"/>
          <w:szCs w:val="24"/>
          <w:highlight w:val="none"/>
        </w:rPr>
        <w:fldChar w:fldCharType="separate"/>
      </w:r>
      <w:r>
        <w:rPr>
          <w:rFonts w:hint="eastAsia" w:ascii="仿宋" w:hAnsi="仿宋" w:eastAsia="仿宋" w:cs="仿宋"/>
          <w:bCs w:val="0"/>
          <w:caps w:val="0"/>
          <w:color w:val="000000"/>
          <w:szCs w:val="24"/>
          <w:highlight w:val="none"/>
        </w:rPr>
        <w:fldChar w:fldCharType="begin"/>
      </w:r>
      <w:r>
        <w:rPr>
          <w:rFonts w:hint="eastAsia" w:ascii="仿宋" w:hAnsi="仿宋" w:eastAsia="仿宋" w:cs="仿宋"/>
          <w:bCs w:val="0"/>
          <w:caps w:val="0"/>
          <w:szCs w:val="24"/>
          <w:highlight w:val="none"/>
        </w:rPr>
        <w:instrText xml:space="preserve"> HYPERLINK \l _Toc23196 </w:instrText>
      </w:r>
      <w:r>
        <w:rPr>
          <w:rFonts w:hint="eastAsia" w:ascii="仿宋" w:hAnsi="仿宋" w:eastAsia="仿宋" w:cs="仿宋"/>
          <w:bCs w:val="0"/>
          <w:caps w:val="0"/>
          <w:szCs w:val="24"/>
          <w:highlight w:val="none"/>
        </w:rPr>
        <w:fldChar w:fldCharType="separate"/>
      </w:r>
      <w:r>
        <w:rPr>
          <w:rFonts w:hint="eastAsia" w:ascii="仿宋" w:hAnsi="仿宋" w:eastAsia="仿宋" w:cs="仿宋"/>
          <w:bCs w:val="0"/>
          <w:szCs w:val="28"/>
          <w:highlight w:val="none"/>
        </w:rPr>
        <w:t>第一章 竞争性磋商公告</w:t>
      </w:r>
      <w:r>
        <w:tab/>
      </w:r>
      <w:r>
        <w:fldChar w:fldCharType="begin"/>
      </w:r>
      <w:r>
        <w:instrText xml:space="preserve"> PAGEREF _Toc23196 \h </w:instrText>
      </w:r>
      <w:r>
        <w:fldChar w:fldCharType="separate"/>
      </w:r>
      <w:r>
        <w:t>3</w:t>
      </w:r>
      <w:r>
        <w:fldChar w:fldCharType="end"/>
      </w:r>
      <w:r>
        <w:rPr>
          <w:rFonts w:hint="eastAsia" w:ascii="仿宋" w:hAnsi="仿宋" w:eastAsia="仿宋" w:cs="仿宋"/>
          <w:bCs w:val="0"/>
          <w:caps w:val="0"/>
          <w:color w:val="000000"/>
          <w:szCs w:val="24"/>
          <w:highlight w:val="none"/>
        </w:rPr>
        <w:fldChar w:fldCharType="end"/>
      </w:r>
    </w:p>
    <w:p w14:paraId="438516EE">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_Toc21237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一、项目概况与采购范围</w:t>
      </w:r>
      <w:r>
        <w:tab/>
      </w:r>
      <w:r>
        <w:fldChar w:fldCharType="begin"/>
      </w:r>
      <w:r>
        <w:instrText xml:space="preserve"> PAGEREF _Toc21237 \h </w:instrText>
      </w:r>
      <w:r>
        <w:fldChar w:fldCharType="separate"/>
      </w:r>
      <w:r>
        <w:t>3</w:t>
      </w:r>
      <w:r>
        <w:fldChar w:fldCharType="end"/>
      </w:r>
      <w:r>
        <w:rPr>
          <w:rFonts w:hint="eastAsia" w:ascii="仿宋" w:hAnsi="仿宋" w:eastAsia="仿宋" w:cs="仿宋"/>
          <w:caps/>
          <w:color w:val="000000"/>
          <w:highlight w:val="none"/>
        </w:rPr>
        <w:fldChar w:fldCharType="end"/>
      </w:r>
    </w:p>
    <w:p w14:paraId="4A4C5E8A">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_Toc17569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二、供应商资格要求</w:t>
      </w:r>
      <w:r>
        <w:tab/>
      </w:r>
      <w:r>
        <w:fldChar w:fldCharType="begin"/>
      </w:r>
      <w:r>
        <w:instrText xml:space="preserve"> PAGEREF _Toc17569 \h </w:instrText>
      </w:r>
      <w:r>
        <w:fldChar w:fldCharType="separate"/>
      </w:r>
      <w:r>
        <w:t>3</w:t>
      </w:r>
      <w:r>
        <w:fldChar w:fldCharType="end"/>
      </w:r>
      <w:r>
        <w:rPr>
          <w:rFonts w:hint="eastAsia" w:ascii="仿宋" w:hAnsi="仿宋" w:eastAsia="仿宋" w:cs="仿宋"/>
          <w:caps/>
          <w:color w:val="000000"/>
          <w:highlight w:val="none"/>
        </w:rPr>
        <w:fldChar w:fldCharType="end"/>
      </w:r>
    </w:p>
    <w:p w14:paraId="78B299F9">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_Toc28263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三、资格审查方法</w:t>
      </w:r>
      <w:r>
        <w:tab/>
      </w:r>
      <w:r>
        <w:fldChar w:fldCharType="begin"/>
      </w:r>
      <w:r>
        <w:instrText xml:space="preserve"> PAGEREF _Toc28263 \h </w:instrText>
      </w:r>
      <w:r>
        <w:fldChar w:fldCharType="separate"/>
      </w:r>
      <w:r>
        <w:t>4</w:t>
      </w:r>
      <w:r>
        <w:fldChar w:fldCharType="end"/>
      </w:r>
      <w:r>
        <w:rPr>
          <w:rFonts w:hint="eastAsia" w:ascii="仿宋" w:hAnsi="仿宋" w:eastAsia="仿宋" w:cs="仿宋"/>
          <w:caps/>
          <w:color w:val="000000"/>
          <w:highlight w:val="none"/>
        </w:rPr>
        <w:fldChar w:fldCharType="end"/>
      </w:r>
    </w:p>
    <w:p w14:paraId="7EAA8234">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_Toc2019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四、磋商文件的获取</w:t>
      </w:r>
      <w:r>
        <w:tab/>
      </w:r>
      <w:r>
        <w:fldChar w:fldCharType="begin"/>
      </w:r>
      <w:r>
        <w:instrText xml:space="preserve"> PAGEREF _Toc2019 \h </w:instrText>
      </w:r>
      <w:r>
        <w:fldChar w:fldCharType="separate"/>
      </w:r>
      <w:r>
        <w:t>4</w:t>
      </w:r>
      <w:r>
        <w:fldChar w:fldCharType="end"/>
      </w:r>
      <w:r>
        <w:rPr>
          <w:rFonts w:hint="eastAsia" w:ascii="仿宋" w:hAnsi="仿宋" w:eastAsia="仿宋" w:cs="仿宋"/>
          <w:caps/>
          <w:color w:val="000000"/>
          <w:highlight w:val="none"/>
        </w:rPr>
        <w:fldChar w:fldCharType="end"/>
      </w:r>
    </w:p>
    <w:p w14:paraId="685E03CA">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_Toc32115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五、响应文件的递交</w:t>
      </w:r>
      <w:r>
        <w:tab/>
      </w:r>
      <w:r>
        <w:fldChar w:fldCharType="begin"/>
      </w:r>
      <w:r>
        <w:instrText xml:space="preserve"> PAGEREF _Toc32115 \h </w:instrText>
      </w:r>
      <w:r>
        <w:fldChar w:fldCharType="separate"/>
      </w:r>
      <w:r>
        <w:t>4</w:t>
      </w:r>
      <w:r>
        <w:fldChar w:fldCharType="end"/>
      </w:r>
      <w:r>
        <w:rPr>
          <w:rFonts w:hint="eastAsia" w:ascii="仿宋" w:hAnsi="仿宋" w:eastAsia="仿宋" w:cs="仿宋"/>
          <w:caps/>
          <w:color w:val="000000"/>
          <w:highlight w:val="none"/>
        </w:rPr>
        <w:fldChar w:fldCharType="end"/>
      </w:r>
    </w:p>
    <w:p w14:paraId="2F41F439">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_Toc874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六</w:t>
      </w:r>
      <w:r>
        <w:rPr>
          <w:rFonts w:hint="eastAsia" w:ascii="仿宋" w:hAnsi="仿宋" w:eastAsia="仿宋" w:cs="仿宋"/>
          <w:szCs w:val="24"/>
          <w:highlight w:val="none"/>
        </w:rPr>
        <w:t>、发布公告的媒介</w:t>
      </w:r>
      <w:r>
        <w:tab/>
      </w:r>
      <w:r>
        <w:fldChar w:fldCharType="begin"/>
      </w:r>
      <w:r>
        <w:instrText xml:space="preserve"> PAGEREF _Toc874 \h </w:instrText>
      </w:r>
      <w:r>
        <w:fldChar w:fldCharType="separate"/>
      </w:r>
      <w:r>
        <w:t>5</w:t>
      </w:r>
      <w:r>
        <w:fldChar w:fldCharType="end"/>
      </w:r>
      <w:r>
        <w:rPr>
          <w:rFonts w:hint="eastAsia" w:ascii="仿宋" w:hAnsi="仿宋" w:eastAsia="仿宋" w:cs="仿宋"/>
          <w:caps/>
          <w:color w:val="000000"/>
          <w:highlight w:val="none"/>
        </w:rPr>
        <w:fldChar w:fldCharType="end"/>
      </w:r>
    </w:p>
    <w:p w14:paraId="108DBD03">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_Toc30596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、联系方式</w:t>
      </w:r>
      <w:r>
        <w:tab/>
      </w:r>
      <w:r>
        <w:fldChar w:fldCharType="begin"/>
      </w:r>
      <w:r>
        <w:instrText xml:space="preserve"> PAGEREF _Toc30596 \h </w:instrText>
      </w:r>
      <w:r>
        <w:fldChar w:fldCharType="separate"/>
      </w:r>
      <w:r>
        <w:t>5</w:t>
      </w:r>
      <w:r>
        <w:fldChar w:fldCharType="end"/>
      </w:r>
      <w:r>
        <w:rPr>
          <w:rFonts w:hint="eastAsia" w:ascii="仿宋" w:hAnsi="仿宋" w:eastAsia="仿宋" w:cs="仿宋"/>
          <w:caps/>
          <w:color w:val="000000"/>
          <w:highlight w:val="none"/>
        </w:rPr>
        <w:fldChar w:fldCharType="end"/>
      </w:r>
    </w:p>
    <w:p w14:paraId="209B4E7C">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_Toc7018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第二章 供应商须知</w:t>
      </w:r>
      <w:r>
        <w:tab/>
      </w:r>
      <w:r>
        <w:fldChar w:fldCharType="begin"/>
      </w:r>
      <w:r>
        <w:instrText xml:space="preserve"> PAGEREF _Toc7018 \h </w:instrText>
      </w:r>
      <w:r>
        <w:fldChar w:fldCharType="separate"/>
      </w:r>
      <w:r>
        <w:t>6</w:t>
      </w:r>
      <w:r>
        <w:fldChar w:fldCharType="end"/>
      </w:r>
      <w:r>
        <w:rPr>
          <w:rFonts w:hint="eastAsia" w:ascii="仿宋" w:hAnsi="仿宋" w:eastAsia="仿宋" w:cs="仿宋"/>
          <w:caps/>
          <w:color w:val="000000"/>
          <w:highlight w:val="none"/>
        </w:rPr>
        <w:fldChar w:fldCharType="end"/>
      </w:r>
    </w:p>
    <w:p w14:paraId="7BD8DAE0">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_Toc14477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一、供应商须知前附表</w:t>
      </w:r>
      <w:r>
        <w:tab/>
      </w:r>
      <w:r>
        <w:fldChar w:fldCharType="begin"/>
      </w:r>
      <w:r>
        <w:instrText xml:space="preserve"> PAGEREF _Toc14477 \h </w:instrText>
      </w:r>
      <w:r>
        <w:fldChar w:fldCharType="separate"/>
      </w:r>
      <w:r>
        <w:t>6</w:t>
      </w:r>
      <w:r>
        <w:fldChar w:fldCharType="end"/>
      </w:r>
      <w:r>
        <w:rPr>
          <w:rFonts w:hint="eastAsia" w:ascii="仿宋" w:hAnsi="仿宋" w:eastAsia="仿宋" w:cs="仿宋"/>
          <w:caps/>
          <w:color w:val="000000"/>
          <w:highlight w:val="none"/>
        </w:rPr>
        <w:fldChar w:fldCharType="end"/>
      </w:r>
    </w:p>
    <w:p w14:paraId="226B9BF7">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_Toc27220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二、供应商须知正文</w:t>
      </w:r>
      <w:r>
        <w:tab/>
      </w:r>
      <w:r>
        <w:fldChar w:fldCharType="begin"/>
      </w:r>
      <w:r>
        <w:instrText xml:space="preserve"> PAGEREF _Toc27220 \h </w:instrText>
      </w:r>
      <w:r>
        <w:fldChar w:fldCharType="separate"/>
      </w:r>
      <w:r>
        <w:t>11</w:t>
      </w:r>
      <w:r>
        <w:fldChar w:fldCharType="end"/>
      </w:r>
      <w:r>
        <w:rPr>
          <w:rFonts w:hint="eastAsia" w:ascii="仿宋" w:hAnsi="仿宋" w:eastAsia="仿宋" w:cs="仿宋"/>
          <w:caps/>
          <w:color w:val="000000"/>
          <w:highlight w:val="none"/>
        </w:rPr>
        <w:fldChar w:fldCharType="end"/>
      </w:r>
    </w:p>
    <w:p w14:paraId="170B3014">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_Toc3678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（一）总 则</w:t>
      </w:r>
      <w:r>
        <w:tab/>
      </w:r>
      <w:r>
        <w:fldChar w:fldCharType="begin"/>
      </w:r>
      <w:r>
        <w:instrText xml:space="preserve"> PAGEREF _Toc3678 \h </w:instrText>
      </w:r>
      <w:r>
        <w:fldChar w:fldCharType="separate"/>
      </w:r>
      <w:r>
        <w:t>11</w:t>
      </w:r>
      <w:r>
        <w:fldChar w:fldCharType="end"/>
      </w:r>
      <w:r>
        <w:rPr>
          <w:rFonts w:hint="eastAsia" w:ascii="仿宋" w:hAnsi="仿宋" w:eastAsia="仿宋" w:cs="仿宋"/>
          <w:caps/>
          <w:color w:val="000000"/>
          <w:highlight w:val="none"/>
        </w:rPr>
        <w:fldChar w:fldCharType="end"/>
      </w:r>
    </w:p>
    <w:p w14:paraId="4FB1AAB9">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_Toc14164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（二）磋商文件</w:t>
      </w:r>
      <w:r>
        <w:tab/>
      </w:r>
      <w:r>
        <w:fldChar w:fldCharType="begin"/>
      </w:r>
      <w:r>
        <w:instrText xml:space="preserve"> PAGEREF _Toc14164 \h </w:instrText>
      </w:r>
      <w:r>
        <w:fldChar w:fldCharType="separate"/>
      </w:r>
      <w:r>
        <w:t>11</w:t>
      </w:r>
      <w:r>
        <w:fldChar w:fldCharType="end"/>
      </w:r>
      <w:r>
        <w:rPr>
          <w:rFonts w:hint="eastAsia" w:ascii="仿宋" w:hAnsi="仿宋" w:eastAsia="仿宋" w:cs="仿宋"/>
          <w:caps/>
          <w:color w:val="000000"/>
          <w:highlight w:val="none"/>
        </w:rPr>
        <w:fldChar w:fldCharType="end"/>
      </w:r>
    </w:p>
    <w:p w14:paraId="11282CB5">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_Toc31141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（三）响应文件</w:t>
      </w:r>
      <w:r>
        <w:tab/>
      </w:r>
      <w:r>
        <w:fldChar w:fldCharType="begin"/>
      </w:r>
      <w:r>
        <w:instrText xml:space="preserve"> PAGEREF _Toc31141 \h </w:instrText>
      </w:r>
      <w:r>
        <w:fldChar w:fldCharType="separate"/>
      </w:r>
      <w:r>
        <w:t>12</w:t>
      </w:r>
      <w:r>
        <w:fldChar w:fldCharType="end"/>
      </w:r>
      <w:r>
        <w:rPr>
          <w:rFonts w:hint="eastAsia" w:ascii="仿宋" w:hAnsi="仿宋" w:eastAsia="仿宋" w:cs="仿宋"/>
          <w:caps/>
          <w:color w:val="000000"/>
          <w:highlight w:val="none"/>
        </w:rPr>
        <w:fldChar w:fldCharType="end"/>
      </w:r>
    </w:p>
    <w:p w14:paraId="03A6B84D">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_Toc17865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（四）响应文件的递交</w:t>
      </w:r>
      <w:r>
        <w:tab/>
      </w:r>
      <w:r>
        <w:fldChar w:fldCharType="begin"/>
      </w:r>
      <w:r>
        <w:instrText xml:space="preserve"> PAGEREF _Toc17865 \h </w:instrText>
      </w:r>
      <w:r>
        <w:fldChar w:fldCharType="separate"/>
      </w:r>
      <w:r>
        <w:t>14</w:t>
      </w:r>
      <w:r>
        <w:fldChar w:fldCharType="end"/>
      </w:r>
      <w:r>
        <w:rPr>
          <w:rFonts w:hint="eastAsia" w:ascii="仿宋" w:hAnsi="仿宋" w:eastAsia="仿宋" w:cs="仿宋"/>
          <w:caps/>
          <w:color w:val="000000"/>
          <w:highlight w:val="none"/>
        </w:rPr>
        <w:fldChar w:fldCharType="end"/>
      </w:r>
    </w:p>
    <w:p w14:paraId="54CF7F1F">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_Toc2055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（五）竞争性磋商和评审</w:t>
      </w:r>
      <w:r>
        <w:tab/>
      </w:r>
      <w:r>
        <w:fldChar w:fldCharType="begin"/>
      </w:r>
      <w:r>
        <w:instrText xml:space="preserve"> PAGEREF _Toc2055 \h </w:instrText>
      </w:r>
      <w:r>
        <w:fldChar w:fldCharType="separate"/>
      </w:r>
      <w:r>
        <w:t>14</w:t>
      </w:r>
      <w:r>
        <w:fldChar w:fldCharType="end"/>
      </w:r>
      <w:r>
        <w:rPr>
          <w:rFonts w:hint="eastAsia" w:ascii="仿宋" w:hAnsi="仿宋" w:eastAsia="仿宋" w:cs="仿宋"/>
          <w:caps/>
          <w:color w:val="000000"/>
          <w:highlight w:val="none"/>
        </w:rPr>
        <w:fldChar w:fldCharType="end"/>
      </w:r>
    </w:p>
    <w:p w14:paraId="130D62A6">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_Toc28031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（六）授予合同</w:t>
      </w:r>
      <w:r>
        <w:tab/>
      </w:r>
      <w:r>
        <w:fldChar w:fldCharType="begin"/>
      </w:r>
      <w:r>
        <w:instrText xml:space="preserve"> PAGEREF _Toc28031 \h </w:instrText>
      </w:r>
      <w:r>
        <w:fldChar w:fldCharType="separate"/>
      </w:r>
      <w:r>
        <w:t>16</w:t>
      </w:r>
      <w:r>
        <w:fldChar w:fldCharType="end"/>
      </w:r>
      <w:r>
        <w:rPr>
          <w:rFonts w:hint="eastAsia" w:ascii="仿宋" w:hAnsi="仿宋" w:eastAsia="仿宋" w:cs="仿宋"/>
          <w:caps/>
          <w:color w:val="000000"/>
          <w:highlight w:val="none"/>
        </w:rPr>
        <w:fldChar w:fldCharType="end"/>
      </w:r>
    </w:p>
    <w:p w14:paraId="7DFE2938">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_Toc6132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（七）其他</w:t>
      </w:r>
      <w:r>
        <w:tab/>
      </w:r>
      <w:r>
        <w:fldChar w:fldCharType="begin"/>
      </w:r>
      <w:r>
        <w:instrText xml:space="preserve"> PAGEREF _Toc6132 \h </w:instrText>
      </w:r>
      <w:r>
        <w:fldChar w:fldCharType="separate"/>
      </w:r>
      <w:r>
        <w:t>16</w:t>
      </w:r>
      <w:r>
        <w:fldChar w:fldCharType="end"/>
      </w:r>
      <w:r>
        <w:rPr>
          <w:rFonts w:hint="eastAsia" w:ascii="仿宋" w:hAnsi="仿宋" w:eastAsia="仿宋" w:cs="仿宋"/>
          <w:caps/>
          <w:color w:val="000000"/>
          <w:highlight w:val="none"/>
        </w:rPr>
        <w:fldChar w:fldCharType="end"/>
      </w:r>
    </w:p>
    <w:p w14:paraId="777B04CE">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_Toc10670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第三章 评审办法</w:t>
      </w:r>
      <w:r>
        <w:tab/>
      </w:r>
      <w:r>
        <w:fldChar w:fldCharType="begin"/>
      </w:r>
      <w:r>
        <w:instrText xml:space="preserve"> PAGEREF _Toc10670 \h </w:instrText>
      </w:r>
      <w:r>
        <w:fldChar w:fldCharType="separate"/>
      </w:r>
      <w:r>
        <w:t>18</w:t>
      </w:r>
      <w:r>
        <w:fldChar w:fldCharType="end"/>
      </w:r>
      <w:r>
        <w:rPr>
          <w:rFonts w:hint="eastAsia" w:ascii="仿宋" w:hAnsi="仿宋" w:eastAsia="仿宋" w:cs="仿宋"/>
          <w:caps/>
          <w:color w:val="000000"/>
          <w:highlight w:val="none"/>
        </w:rPr>
        <w:fldChar w:fldCharType="end"/>
      </w:r>
    </w:p>
    <w:p w14:paraId="03DE41B0">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_Toc7201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一、评审程序</w:t>
      </w:r>
      <w:r>
        <w:tab/>
      </w:r>
      <w:r>
        <w:fldChar w:fldCharType="begin"/>
      </w:r>
      <w:r>
        <w:instrText xml:space="preserve"> PAGEREF _Toc7201 \h </w:instrText>
      </w:r>
      <w:r>
        <w:fldChar w:fldCharType="separate"/>
      </w:r>
      <w:r>
        <w:t>18</w:t>
      </w:r>
      <w:r>
        <w:fldChar w:fldCharType="end"/>
      </w:r>
      <w:r>
        <w:rPr>
          <w:rFonts w:hint="eastAsia" w:ascii="仿宋" w:hAnsi="仿宋" w:eastAsia="仿宋" w:cs="仿宋"/>
          <w:caps/>
          <w:color w:val="000000"/>
          <w:highlight w:val="none"/>
        </w:rPr>
        <w:fldChar w:fldCharType="end"/>
      </w:r>
    </w:p>
    <w:p w14:paraId="4DE5BAF2">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_Toc32019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二、初步评审</w:t>
      </w:r>
      <w:r>
        <w:tab/>
      </w:r>
      <w:r>
        <w:fldChar w:fldCharType="begin"/>
      </w:r>
      <w:r>
        <w:instrText xml:space="preserve"> PAGEREF _Toc32019 \h </w:instrText>
      </w:r>
      <w:r>
        <w:fldChar w:fldCharType="separate"/>
      </w:r>
      <w:r>
        <w:t>19</w:t>
      </w:r>
      <w:r>
        <w:fldChar w:fldCharType="end"/>
      </w:r>
      <w:r>
        <w:rPr>
          <w:rFonts w:hint="eastAsia" w:ascii="仿宋" w:hAnsi="仿宋" w:eastAsia="仿宋" w:cs="仿宋"/>
          <w:caps/>
          <w:color w:val="000000"/>
          <w:highlight w:val="none"/>
        </w:rPr>
        <w:fldChar w:fldCharType="end"/>
      </w:r>
    </w:p>
    <w:p w14:paraId="703DBF1A">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_Toc25550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三</w:t>
      </w:r>
      <w:r>
        <w:rPr>
          <w:rFonts w:hint="eastAsia" w:ascii="仿宋" w:hAnsi="仿宋" w:eastAsia="仿宋" w:cs="仿宋"/>
          <w:szCs w:val="24"/>
          <w:highlight w:val="none"/>
        </w:rPr>
        <w:t>、详细评审</w:t>
      </w:r>
      <w:r>
        <w:tab/>
      </w:r>
      <w:r>
        <w:fldChar w:fldCharType="begin"/>
      </w:r>
      <w:r>
        <w:instrText xml:space="preserve"> PAGEREF _Toc25550 \h </w:instrText>
      </w:r>
      <w:r>
        <w:fldChar w:fldCharType="separate"/>
      </w:r>
      <w:r>
        <w:t>20</w:t>
      </w:r>
      <w:r>
        <w:fldChar w:fldCharType="end"/>
      </w:r>
      <w:r>
        <w:rPr>
          <w:rFonts w:hint="eastAsia" w:ascii="仿宋" w:hAnsi="仿宋" w:eastAsia="仿宋" w:cs="仿宋"/>
          <w:caps/>
          <w:color w:val="000000"/>
          <w:highlight w:val="none"/>
        </w:rPr>
        <w:fldChar w:fldCharType="end"/>
      </w:r>
    </w:p>
    <w:p w14:paraId="32F0DECA">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_Toc15254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第四章 合同条款</w:t>
      </w:r>
      <w:r>
        <w:tab/>
      </w:r>
      <w:r>
        <w:fldChar w:fldCharType="begin"/>
      </w:r>
      <w:r>
        <w:instrText xml:space="preserve"> PAGEREF _Toc15254 \h </w:instrText>
      </w:r>
      <w:r>
        <w:fldChar w:fldCharType="separate"/>
      </w:r>
      <w:r>
        <w:t>21</w:t>
      </w:r>
      <w:r>
        <w:fldChar w:fldCharType="end"/>
      </w:r>
      <w:r>
        <w:rPr>
          <w:rFonts w:hint="eastAsia" w:ascii="仿宋" w:hAnsi="仿宋" w:eastAsia="仿宋" w:cs="仿宋"/>
          <w:caps/>
          <w:color w:val="000000"/>
          <w:highlight w:val="none"/>
        </w:rPr>
        <w:fldChar w:fldCharType="end"/>
      </w:r>
    </w:p>
    <w:p w14:paraId="098C36DD">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_Toc22083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第五章 采购需求</w:t>
      </w:r>
      <w:r>
        <w:tab/>
      </w:r>
      <w:r>
        <w:fldChar w:fldCharType="begin"/>
      </w:r>
      <w:r>
        <w:instrText xml:space="preserve"> PAGEREF _Toc22083 \h </w:instrText>
      </w:r>
      <w:r>
        <w:fldChar w:fldCharType="separate"/>
      </w:r>
      <w:r>
        <w:t>22</w:t>
      </w:r>
      <w:r>
        <w:fldChar w:fldCharType="end"/>
      </w:r>
      <w:r>
        <w:rPr>
          <w:rFonts w:hint="eastAsia" w:ascii="仿宋" w:hAnsi="仿宋" w:eastAsia="仿宋" w:cs="仿宋"/>
          <w:caps/>
          <w:color w:val="000000"/>
          <w:highlight w:val="none"/>
        </w:rPr>
        <w:fldChar w:fldCharType="end"/>
      </w:r>
    </w:p>
    <w:p w14:paraId="74A2C1AE">
      <w:pPr>
        <w:pStyle w:val="28"/>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_Toc3675 </w:instrText>
      </w:r>
      <w:r>
        <w:rPr>
          <w:rFonts w:hint="eastAsia" w:ascii="仿宋" w:hAnsi="仿宋" w:eastAsia="仿宋" w:cs="仿宋"/>
          <w:caps/>
          <w:highlight w:val="none"/>
        </w:rPr>
        <w:fldChar w:fldCharType="separate"/>
      </w:r>
      <w:r>
        <w:rPr>
          <w:rFonts w:hint="eastAsia" w:ascii="仿宋" w:hAnsi="仿宋" w:eastAsia="仿宋" w:cs="仿宋"/>
          <w:szCs w:val="28"/>
          <w:highlight w:val="none"/>
        </w:rPr>
        <w:t>第六章 响应文件格式</w:t>
      </w:r>
      <w:r>
        <w:tab/>
      </w:r>
      <w:r>
        <w:fldChar w:fldCharType="begin"/>
      </w:r>
      <w:r>
        <w:instrText xml:space="preserve"> PAGEREF _Toc3675 \h </w:instrText>
      </w:r>
      <w:r>
        <w:fldChar w:fldCharType="separate"/>
      </w:r>
      <w:r>
        <w:t>23</w:t>
      </w:r>
      <w:r>
        <w:fldChar w:fldCharType="end"/>
      </w:r>
      <w:r>
        <w:rPr>
          <w:rFonts w:hint="eastAsia" w:ascii="仿宋" w:hAnsi="仿宋" w:eastAsia="仿宋" w:cs="仿宋"/>
          <w:caps/>
          <w:color w:val="000000"/>
          <w:highlight w:val="none"/>
        </w:rPr>
        <w:fldChar w:fldCharType="end"/>
      </w:r>
    </w:p>
    <w:p w14:paraId="21627E99">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_Toc17191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val="en-US" w:eastAsia="zh-CN"/>
        </w:rPr>
        <w:t>一、</w:t>
      </w:r>
      <w:r>
        <w:rPr>
          <w:rFonts w:hint="eastAsia" w:ascii="仿宋" w:hAnsi="仿宋" w:eastAsia="仿宋" w:cs="仿宋"/>
          <w:szCs w:val="24"/>
          <w:highlight w:val="none"/>
        </w:rPr>
        <w:t>商务文件</w:t>
      </w:r>
      <w:r>
        <w:tab/>
      </w:r>
      <w:r>
        <w:fldChar w:fldCharType="begin"/>
      </w:r>
      <w:r>
        <w:instrText xml:space="preserve"> PAGEREF _Toc17191 \h </w:instrText>
      </w:r>
      <w:r>
        <w:fldChar w:fldCharType="separate"/>
      </w:r>
      <w:r>
        <w:t>24</w:t>
      </w:r>
      <w:r>
        <w:fldChar w:fldCharType="end"/>
      </w:r>
      <w:r>
        <w:rPr>
          <w:rFonts w:hint="eastAsia" w:ascii="仿宋" w:hAnsi="仿宋" w:eastAsia="仿宋" w:cs="仿宋"/>
          <w:caps/>
          <w:color w:val="000000"/>
          <w:highlight w:val="none"/>
        </w:rPr>
        <w:fldChar w:fldCharType="end"/>
      </w:r>
    </w:p>
    <w:p w14:paraId="4CACD6A9">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_Toc27958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（一）响应函</w:t>
      </w:r>
      <w:r>
        <w:tab/>
      </w:r>
      <w:r>
        <w:fldChar w:fldCharType="begin"/>
      </w:r>
      <w:r>
        <w:instrText xml:space="preserve"> PAGEREF _Toc27958 \h </w:instrText>
      </w:r>
      <w:r>
        <w:fldChar w:fldCharType="separate"/>
      </w:r>
      <w:r>
        <w:t>26</w:t>
      </w:r>
      <w:r>
        <w:fldChar w:fldCharType="end"/>
      </w:r>
      <w:r>
        <w:rPr>
          <w:rFonts w:hint="eastAsia" w:ascii="仿宋" w:hAnsi="仿宋" w:eastAsia="仿宋" w:cs="仿宋"/>
          <w:caps/>
          <w:color w:val="000000"/>
          <w:highlight w:val="none"/>
        </w:rPr>
        <w:fldChar w:fldCharType="end"/>
      </w:r>
    </w:p>
    <w:p w14:paraId="38E125EB">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_Toc13983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（二）法定代表人（负责人）身份证明书</w:t>
      </w:r>
      <w:r>
        <w:tab/>
      </w:r>
      <w:r>
        <w:fldChar w:fldCharType="begin"/>
      </w:r>
      <w:r>
        <w:instrText xml:space="preserve"> PAGEREF _Toc13983 \h </w:instrText>
      </w:r>
      <w:r>
        <w:fldChar w:fldCharType="separate"/>
      </w:r>
      <w:r>
        <w:t>27</w:t>
      </w:r>
      <w:r>
        <w:fldChar w:fldCharType="end"/>
      </w:r>
      <w:r>
        <w:rPr>
          <w:rFonts w:hint="eastAsia" w:ascii="仿宋" w:hAnsi="仿宋" w:eastAsia="仿宋" w:cs="仿宋"/>
          <w:caps/>
          <w:color w:val="000000"/>
          <w:highlight w:val="none"/>
        </w:rPr>
        <w:fldChar w:fldCharType="end"/>
      </w:r>
    </w:p>
    <w:p w14:paraId="1905C104">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_Toc24788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（三）法定代表人（负责人）授权委托书</w:t>
      </w:r>
      <w:r>
        <w:tab/>
      </w:r>
      <w:r>
        <w:fldChar w:fldCharType="begin"/>
      </w:r>
      <w:r>
        <w:instrText xml:space="preserve"> PAGEREF _Toc24788 \h </w:instrText>
      </w:r>
      <w:r>
        <w:fldChar w:fldCharType="separate"/>
      </w:r>
      <w:r>
        <w:t>28</w:t>
      </w:r>
      <w:r>
        <w:fldChar w:fldCharType="end"/>
      </w:r>
      <w:r>
        <w:rPr>
          <w:rFonts w:hint="eastAsia" w:ascii="仿宋" w:hAnsi="仿宋" w:eastAsia="仿宋" w:cs="仿宋"/>
          <w:caps/>
          <w:color w:val="000000"/>
          <w:highlight w:val="none"/>
        </w:rPr>
        <w:fldChar w:fldCharType="end"/>
      </w:r>
    </w:p>
    <w:p w14:paraId="08B0F43A">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_Toc30551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（四）资格证明文件</w:t>
      </w:r>
      <w:r>
        <w:tab/>
      </w:r>
      <w:r>
        <w:fldChar w:fldCharType="begin"/>
      </w:r>
      <w:r>
        <w:instrText xml:space="preserve"> PAGEREF _Toc30551 \h </w:instrText>
      </w:r>
      <w:r>
        <w:fldChar w:fldCharType="separate"/>
      </w:r>
      <w:r>
        <w:t>29</w:t>
      </w:r>
      <w:r>
        <w:fldChar w:fldCharType="end"/>
      </w:r>
      <w:r>
        <w:rPr>
          <w:rFonts w:hint="eastAsia" w:ascii="仿宋" w:hAnsi="仿宋" w:eastAsia="仿宋" w:cs="仿宋"/>
          <w:caps/>
          <w:color w:val="000000"/>
          <w:highlight w:val="none"/>
        </w:rPr>
        <w:fldChar w:fldCharType="end"/>
      </w:r>
    </w:p>
    <w:p w14:paraId="318FA3C5">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_Toc15130 </w:instrText>
      </w:r>
      <w:r>
        <w:rPr>
          <w:rFonts w:hint="eastAsia" w:ascii="仿宋" w:hAnsi="仿宋" w:eastAsia="仿宋" w:cs="仿宋"/>
          <w:caps/>
          <w:highlight w:val="none"/>
        </w:rPr>
        <w:fldChar w:fldCharType="separate"/>
      </w:r>
      <w:r>
        <w:rPr>
          <w:rFonts w:ascii="仿宋" w:hAnsi="仿宋" w:eastAsia="仿宋" w:cs="仿宋"/>
          <w:szCs w:val="24"/>
          <w:highlight w:val="none"/>
        </w:rPr>
        <w:t>（</w:t>
      </w:r>
      <w:r>
        <w:rPr>
          <w:rFonts w:hint="eastAsia" w:ascii="仿宋" w:hAnsi="仿宋" w:eastAsia="仿宋" w:cs="仿宋"/>
          <w:szCs w:val="24"/>
          <w:highlight w:val="none"/>
          <w:lang w:val="en-US" w:eastAsia="zh-CN"/>
        </w:rPr>
        <w:t>五</w:t>
      </w:r>
      <w:r>
        <w:rPr>
          <w:rFonts w:ascii="仿宋" w:hAnsi="仿宋" w:eastAsia="仿宋" w:cs="仿宋"/>
          <w:szCs w:val="24"/>
          <w:highlight w:val="none"/>
        </w:rPr>
        <w:t>）</w:t>
      </w:r>
      <w:r>
        <w:rPr>
          <w:rFonts w:hint="eastAsia" w:ascii="仿宋" w:hAnsi="仿宋" w:eastAsia="仿宋" w:cs="仿宋"/>
          <w:szCs w:val="24"/>
          <w:highlight w:val="none"/>
        </w:rPr>
        <w:t>供应商</w:t>
      </w:r>
      <w:r>
        <w:rPr>
          <w:rFonts w:ascii="仿宋" w:hAnsi="仿宋" w:eastAsia="仿宋" w:cs="仿宋"/>
          <w:szCs w:val="24"/>
          <w:highlight w:val="none"/>
        </w:rPr>
        <w:t>须知应答偏离表</w:t>
      </w:r>
      <w:r>
        <w:tab/>
      </w:r>
      <w:r>
        <w:fldChar w:fldCharType="begin"/>
      </w:r>
      <w:r>
        <w:instrText xml:space="preserve"> PAGEREF _Toc15130 \h </w:instrText>
      </w:r>
      <w:r>
        <w:fldChar w:fldCharType="separate"/>
      </w:r>
      <w:r>
        <w:t>38</w:t>
      </w:r>
      <w:r>
        <w:fldChar w:fldCharType="end"/>
      </w:r>
      <w:r>
        <w:rPr>
          <w:rFonts w:hint="eastAsia" w:ascii="仿宋" w:hAnsi="仿宋" w:eastAsia="仿宋" w:cs="仿宋"/>
          <w:caps/>
          <w:color w:val="000000"/>
          <w:highlight w:val="none"/>
        </w:rPr>
        <w:fldChar w:fldCharType="end"/>
      </w:r>
    </w:p>
    <w:p w14:paraId="7E24A018">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_Toc17890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w:t>
      </w:r>
      <w:r>
        <w:rPr>
          <w:rFonts w:hint="eastAsia" w:ascii="仿宋" w:hAnsi="仿宋" w:eastAsia="仿宋" w:cs="仿宋"/>
          <w:szCs w:val="24"/>
          <w:highlight w:val="none"/>
          <w:lang w:val="en-US" w:eastAsia="zh-CN"/>
        </w:rPr>
        <w:t>七</w:t>
      </w:r>
      <w:r>
        <w:rPr>
          <w:rFonts w:hint="eastAsia" w:ascii="仿宋" w:hAnsi="仿宋" w:eastAsia="仿宋" w:cs="仿宋"/>
          <w:szCs w:val="24"/>
          <w:highlight w:val="none"/>
        </w:rPr>
        <w:t>）供应商行为准则承诺书</w:t>
      </w:r>
      <w:r>
        <w:tab/>
      </w:r>
      <w:r>
        <w:fldChar w:fldCharType="begin"/>
      </w:r>
      <w:r>
        <w:instrText xml:space="preserve"> PAGEREF _Toc17890 \h </w:instrText>
      </w:r>
      <w:r>
        <w:fldChar w:fldCharType="separate"/>
      </w:r>
      <w:r>
        <w:t>40</w:t>
      </w:r>
      <w:r>
        <w:fldChar w:fldCharType="end"/>
      </w:r>
      <w:r>
        <w:rPr>
          <w:rFonts w:hint="eastAsia" w:ascii="仿宋" w:hAnsi="仿宋" w:eastAsia="仿宋" w:cs="仿宋"/>
          <w:caps/>
          <w:color w:val="000000"/>
          <w:highlight w:val="none"/>
        </w:rPr>
        <w:fldChar w:fldCharType="end"/>
      </w:r>
    </w:p>
    <w:p w14:paraId="499EE4B3">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_Toc8068 </w:instrText>
      </w:r>
      <w:r>
        <w:rPr>
          <w:rFonts w:hint="eastAsia" w:ascii="仿宋" w:hAnsi="仿宋" w:eastAsia="仿宋" w:cs="仿宋"/>
          <w:caps/>
          <w:highlight w:val="none"/>
        </w:rPr>
        <w:fldChar w:fldCharType="separate"/>
      </w:r>
      <w:r>
        <w:rPr>
          <w:rFonts w:hint="eastAsia" w:ascii="仿宋" w:hAnsi="仿宋" w:eastAsia="仿宋" w:cs="宋体"/>
          <w:bCs w:val="0"/>
          <w:szCs w:val="24"/>
          <w:highlight w:val="none"/>
        </w:rPr>
        <w:t>（</w:t>
      </w:r>
      <w:r>
        <w:rPr>
          <w:rFonts w:hint="eastAsia" w:ascii="仿宋" w:hAnsi="仿宋" w:eastAsia="仿宋" w:cs="宋体"/>
          <w:bCs w:val="0"/>
          <w:szCs w:val="24"/>
          <w:highlight w:val="none"/>
          <w:lang w:val="en-US" w:eastAsia="zh-CN"/>
        </w:rPr>
        <w:t>八</w:t>
      </w:r>
      <w:r>
        <w:rPr>
          <w:rFonts w:hint="eastAsia" w:ascii="仿宋" w:hAnsi="仿宋" w:eastAsia="仿宋" w:cs="宋体"/>
          <w:bCs w:val="0"/>
          <w:szCs w:val="24"/>
          <w:highlight w:val="none"/>
        </w:rPr>
        <w:t>）供应商廉洁诚信承诺书</w:t>
      </w:r>
      <w:r>
        <w:tab/>
      </w:r>
      <w:r>
        <w:fldChar w:fldCharType="begin"/>
      </w:r>
      <w:r>
        <w:instrText xml:space="preserve"> PAGEREF _Toc8068 \h </w:instrText>
      </w:r>
      <w:r>
        <w:fldChar w:fldCharType="separate"/>
      </w:r>
      <w:r>
        <w:t>42</w:t>
      </w:r>
      <w:r>
        <w:fldChar w:fldCharType="end"/>
      </w:r>
      <w:r>
        <w:rPr>
          <w:rFonts w:hint="eastAsia" w:ascii="仿宋" w:hAnsi="仿宋" w:eastAsia="仿宋" w:cs="仿宋"/>
          <w:caps/>
          <w:color w:val="000000"/>
          <w:highlight w:val="none"/>
        </w:rPr>
        <w:fldChar w:fldCharType="end"/>
      </w:r>
    </w:p>
    <w:p w14:paraId="1EC04793">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_Toc28698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二、技术文件</w:t>
      </w:r>
      <w:r>
        <w:tab/>
      </w:r>
      <w:r>
        <w:fldChar w:fldCharType="begin"/>
      </w:r>
      <w:r>
        <w:instrText xml:space="preserve"> PAGEREF _Toc28698 \h </w:instrText>
      </w:r>
      <w:r>
        <w:fldChar w:fldCharType="separate"/>
      </w:r>
      <w:r>
        <w:t>46</w:t>
      </w:r>
      <w:r>
        <w:fldChar w:fldCharType="end"/>
      </w:r>
      <w:r>
        <w:rPr>
          <w:rFonts w:hint="eastAsia" w:ascii="仿宋" w:hAnsi="仿宋" w:eastAsia="仿宋" w:cs="仿宋"/>
          <w:caps/>
          <w:color w:val="000000"/>
          <w:highlight w:val="none"/>
        </w:rPr>
        <w:fldChar w:fldCharType="end"/>
      </w:r>
    </w:p>
    <w:p w14:paraId="1792EDD5">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_Toc17302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（一）采购需求应答偏离表</w:t>
      </w:r>
      <w:r>
        <w:tab/>
      </w:r>
      <w:r>
        <w:fldChar w:fldCharType="begin"/>
      </w:r>
      <w:r>
        <w:instrText xml:space="preserve"> PAGEREF _Toc17302 \h </w:instrText>
      </w:r>
      <w:r>
        <w:fldChar w:fldCharType="separate"/>
      </w:r>
      <w:r>
        <w:t>47</w:t>
      </w:r>
      <w:r>
        <w:fldChar w:fldCharType="end"/>
      </w:r>
      <w:r>
        <w:rPr>
          <w:rFonts w:hint="eastAsia" w:ascii="仿宋" w:hAnsi="仿宋" w:eastAsia="仿宋" w:cs="仿宋"/>
          <w:caps/>
          <w:color w:val="000000"/>
          <w:highlight w:val="none"/>
        </w:rPr>
        <w:fldChar w:fldCharType="end"/>
      </w:r>
    </w:p>
    <w:p w14:paraId="70EFDCC8">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_Toc8284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（二）技术方案</w:t>
      </w:r>
      <w:r>
        <w:tab/>
      </w:r>
      <w:r>
        <w:fldChar w:fldCharType="begin"/>
      </w:r>
      <w:r>
        <w:instrText xml:space="preserve"> PAGEREF _Toc8284 \h </w:instrText>
      </w:r>
      <w:r>
        <w:fldChar w:fldCharType="separate"/>
      </w:r>
      <w:r>
        <w:t>48</w:t>
      </w:r>
      <w:r>
        <w:fldChar w:fldCharType="end"/>
      </w:r>
      <w:r>
        <w:rPr>
          <w:rFonts w:hint="eastAsia" w:ascii="仿宋" w:hAnsi="仿宋" w:eastAsia="仿宋" w:cs="仿宋"/>
          <w:caps/>
          <w:color w:val="000000"/>
          <w:highlight w:val="none"/>
        </w:rPr>
        <w:fldChar w:fldCharType="end"/>
      </w:r>
    </w:p>
    <w:p w14:paraId="57224032">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_Toc20365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（三）其他材料</w:t>
      </w:r>
      <w:r>
        <w:tab/>
      </w:r>
      <w:r>
        <w:fldChar w:fldCharType="begin"/>
      </w:r>
      <w:r>
        <w:instrText xml:space="preserve"> PAGEREF _Toc20365 \h </w:instrText>
      </w:r>
      <w:r>
        <w:fldChar w:fldCharType="separate"/>
      </w:r>
      <w:r>
        <w:t>51</w:t>
      </w:r>
      <w:r>
        <w:fldChar w:fldCharType="end"/>
      </w:r>
      <w:r>
        <w:rPr>
          <w:rFonts w:hint="eastAsia" w:ascii="仿宋" w:hAnsi="仿宋" w:eastAsia="仿宋" w:cs="仿宋"/>
          <w:caps/>
          <w:color w:val="000000"/>
          <w:highlight w:val="none"/>
        </w:rPr>
        <w:fldChar w:fldCharType="end"/>
      </w:r>
    </w:p>
    <w:p w14:paraId="7FC18673">
      <w:pPr>
        <w:pStyle w:val="33"/>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_Toc20443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三、报价文件</w:t>
      </w:r>
      <w:r>
        <w:tab/>
      </w:r>
      <w:r>
        <w:fldChar w:fldCharType="begin"/>
      </w:r>
      <w:r>
        <w:instrText xml:space="preserve"> PAGEREF _Toc20443 \h </w:instrText>
      </w:r>
      <w:r>
        <w:fldChar w:fldCharType="separate"/>
      </w:r>
      <w:r>
        <w:t>52</w:t>
      </w:r>
      <w:r>
        <w:fldChar w:fldCharType="end"/>
      </w:r>
      <w:r>
        <w:rPr>
          <w:rFonts w:hint="eastAsia" w:ascii="仿宋" w:hAnsi="仿宋" w:eastAsia="仿宋" w:cs="仿宋"/>
          <w:caps/>
          <w:color w:val="000000"/>
          <w:highlight w:val="none"/>
        </w:rPr>
        <w:fldChar w:fldCharType="end"/>
      </w:r>
    </w:p>
    <w:p w14:paraId="4F1385AC">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_Toc18942 </w:instrText>
      </w:r>
      <w:r>
        <w:rPr>
          <w:rFonts w:hint="eastAsia" w:ascii="仿宋" w:hAnsi="仿宋" w:eastAsia="仿宋" w:cs="仿宋"/>
          <w:caps/>
          <w:highlight w:val="none"/>
        </w:rPr>
        <w:fldChar w:fldCharType="separate"/>
      </w:r>
      <w:r>
        <w:rPr>
          <w:rFonts w:hint="eastAsia" w:ascii="仿宋" w:hAnsi="仿宋" w:eastAsia="仿宋" w:cs="仿宋"/>
          <w:szCs w:val="24"/>
          <w:highlight w:val="none"/>
        </w:rPr>
        <w:t>（一）报价一览表</w:t>
      </w:r>
      <w:r>
        <w:tab/>
      </w:r>
      <w:r>
        <w:fldChar w:fldCharType="begin"/>
      </w:r>
      <w:r>
        <w:instrText xml:space="preserve"> PAGEREF _Toc18942 \h </w:instrText>
      </w:r>
      <w:r>
        <w:fldChar w:fldCharType="separate"/>
      </w:r>
      <w:r>
        <w:t>52</w:t>
      </w:r>
      <w:r>
        <w:fldChar w:fldCharType="end"/>
      </w:r>
      <w:r>
        <w:rPr>
          <w:rFonts w:hint="eastAsia" w:ascii="仿宋" w:hAnsi="仿宋" w:eastAsia="仿宋" w:cs="仿宋"/>
          <w:caps/>
          <w:color w:val="000000"/>
          <w:highlight w:val="none"/>
        </w:rPr>
        <w:fldChar w:fldCharType="end"/>
      </w:r>
    </w:p>
    <w:p w14:paraId="597FD040">
      <w:pPr>
        <w:pStyle w:val="20"/>
        <w:tabs>
          <w:tab w:val="right" w:leader="dot" w:pos="9638"/>
        </w:tabs>
      </w:pPr>
      <w:r>
        <w:rPr>
          <w:rFonts w:hint="eastAsia" w:ascii="仿宋" w:hAnsi="仿宋" w:eastAsia="仿宋" w:cs="仿宋"/>
          <w:caps/>
          <w:color w:val="000000"/>
          <w:highlight w:val="none"/>
        </w:rPr>
        <w:fldChar w:fldCharType="begin"/>
      </w:r>
      <w:r>
        <w:rPr>
          <w:rFonts w:hint="eastAsia" w:ascii="仿宋" w:hAnsi="仿宋" w:eastAsia="仿宋" w:cs="仿宋"/>
          <w:caps/>
          <w:highlight w:val="none"/>
        </w:rPr>
        <w:instrText xml:space="preserve"> HYPERLINK \l _Toc15457 </w:instrText>
      </w:r>
      <w:r>
        <w:rPr>
          <w:rFonts w:hint="eastAsia" w:ascii="仿宋" w:hAnsi="仿宋" w:eastAsia="仿宋" w:cs="仿宋"/>
          <w:caps/>
          <w:highlight w:val="none"/>
        </w:rPr>
        <w:fldChar w:fldCharType="separate"/>
      </w:r>
      <w:r>
        <w:rPr>
          <w:rFonts w:hint="eastAsia" w:ascii="仿宋" w:hAnsi="仿宋" w:eastAsia="仿宋" w:cs="仿宋"/>
          <w:szCs w:val="24"/>
          <w:highlight w:val="none"/>
          <w:lang w:eastAsia="zh-CN"/>
        </w:rPr>
        <w:t>（</w:t>
      </w:r>
      <w:r>
        <w:rPr>
          <w:rFonts w:hint="eastAsia" w:ascii="仿宋" w:hAnsi="仿宋" w:eastAsia="仿宋" w:cs="仿宋"/>
          <w:szCs w:val="24"/>
          <w:highlight w:val="none"/>
          <w:lang w:val="en-US" w:eastAsia="zh-CN"/>
        </w:rPr>
        <w:t>二</w:t>
      </w:r>
      <w:r>
        <w:rPr>
          <w:rFonts w:hint="eastAsia" w:ascii="仿宋" w:hAnsi="仿宋" w:eastAsia="仿宋" w:cs="仿宋"/>
          <w:szCs w:val="24"/>
          <w:highlight w:val="none"/>
          <w:lang w:eastAsia="zh-CN"/>
        </w:rPr>
        <w:t>）</w:t>
      </w:r>
      <w:r>
        <w:rPr>
          <w:rFonts w:hint="eastAsia" w:ascii="仿宋" w:hAnsi="仿宋" w:eastAsia="仿宋" w:cs="仿宋"/>
          <w:szCs w:val="24"/>
          <w:highlight w:val="none"/>
        </w:rPr>
        <w:t>分项报价表</w:t>
      </w:r>
      <w:r>
        <w:tab/>
      </w:r>
      <w:r>
        <w:fldChar w:fldCharType="begin"/>
      </w:r>
      <w:r>
        <w:instrText xml:space="preserve"> PAGEREF _Toc15457 \h </w:instrText>
      </w:r>
      <w:r>
        <w:fldChar w:fldCharType="separate"/>
      </w:r>
      <w:r>
        <w:t>53</w:t>
      </w:r>
      <w:r>
        <w:fldChar w:fldCharType="end"/>
      </w:r>
      <w:r>
        <w:rPr>
          <w:rFonts w:hint="eastAsia" w:ascii="仿宋" w:hAnsi="仿宋" w:eastAsia="仿宋" w:cs="仿宋"/>
          <w:caps/>
          <w:color w:val="000000"/>
          <w:highlight w:val="none"/>
        </w:rPr>
        <w:fldChar w:fldCharType="end"/>
      </w:r>
    </w:p>
    <w:p w14:paraId="0DC73368">
      <w:pPr>
        <w:pStyle w:val="20"/>
        <w:tabs>
          <w:tab w:val="right" w:leader="dot" w:pos="9638"/>
        </w:tabs>
        <w:rPr>
          <w:rFonts w:hint="eastAsia" w:ascii="仿宋" w:hAnsi="仿宋" w:eastAsia="仿宋" w:cs="仿宋"/>
          <w:color w:val="000000"/>
          <w:sz w:val="24"/>
          <w:highlight w:val="none"/>
        </w:rPr>
        <w:sectPr>
          <w:headerReference r:id="rId8" w:type="default"/>
          <w:footerReference r:id="rId9" w:type="default"/>
          <w:pgSz w:w="11906" w:h="16838"/>
          <w:pgMar w:top="1417" w:right="1134" w:bottom="1134" w:left="1134" w:header="851" w:footer="992" w:gutter="0"/>
          <w:pgNumType w:start="1"/>
          <w:cols w:space="720" w:num="1"/>
          <w:docGrid w:type="lines" w:linePitch="312" w:charSpace="0"/>
        </w:sectPr>
      </w:pPr>
      <w:r>
        <w:rPr>
          <w:rFonts w:hint="eastAsia" w:ascii="仿宋" w:hAnsi="仿宋" w:eastAsia="仿宋" w:cs="仿宋"/>
          <w:caps/>
          <w:color w:val="000000"/>
          <w:highlight w:val="none"/>
        </w:rPr>
        <w:fldChar w:fldCharType="end"/>
      </w:r>
    </w:p>
    <w:p w14:paraId="11D60356">
      <w:pPr>
        <w:pStyle w:val="3"/>
        <w:spacing w:before="0" w:after="0" w:line="360" w:lineRule="auto"/>
        <w:jc w:val="center"/>
        <w:rPr>
          <w:rFonts w:hint="eastAsia" w:ascii="仿宋" w:hAnsi="仿宋" w:eastAsia="仿宋" w:cs="仿宋"/>
          <w:b w:val="0"/>
          <w:bCs w:val="0"/>
          <w:color w:val="000000" w:themeColor="text1"/>
          <w:kern w:val="2"/>
          <w:sz w:val="24"/>
          <w:szCs w:val="24"/>
          <w:highlight w:val="none"/>
          <w:u w:val="single"/>
          <w:lang w:val="en-US" w:eastAsia="zh-CN" w:bidi="ar-SA"/>
          <w14:textFill>
            <w14:solidFill>
              <w14:schemeClr w14:val="tx1"/>
            </w14:solidFill>
          </w14:textFill>
        </w:rPr>
      </w:pPr>
      <w:bookmarkStart w:id="1" w:name="_Toc23196"/>
      <w:bookmarkStart w:id="2" w:name="_Toc517281813"/>
      <w:bookmarkStart w:id="3" w:name="_Toc11826"/>
      <w:bookmarkStart w:id="4" w:name="_Toc19709"/>
      <w:bookmarkStart w:id="5" w:name="_Toc287600115"/>
      <w:bookmarkStart w:id="6" w:name="_Toc11838"/>
      <w:bookmarkStart w:id="7" w:name="_Toc7300"/>
      <w:bookmarkStart w:id="8" w:name="_Toc444891333"/>
      <w:r>
        <w:rPr>
          <w:rFonts w:hint="eastAsia" w:ascii="仿宋" w:hAnsi="仿宋" w:eastAsia="仿宋" w:cs="仿宋"/>
          <w:bCs w:val="0"/>
          <w:color w:val="000000"/>
          <w:sz w:val="28"/>
          <w:szCs w:val="28"/>
          <w:highlight w:val="none"/>
        </w:rPr>
        <w:t>第一章 竞争性磋商公告</w:t>
      </w:r>
      <w:bookmarkEnd w:id="1"/>
    </w:p>
    <w:p w14:paraId="3334F2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Cambria Math"/>
          <w:color w:val="000000"/>
          <w:sz w:val="24"/>
          <w:highlight w:val="none"/>
        </w:rPr>
      </w:pPr>
      <w:r>
        <w:rPr>
          <w:rFonts w:hint="eastAsia" w:ascii="仿宋" w:hAnsi="仿宋" w:eastAsia="仿宋" w:cs="仿宋"/>
          <w:b w:val="0"/>
          <w:bCs w:val="0"/>
          <w:color w:val="000000" w:themeColor="text1"/>
          <w:kern w:val="2"/>
          <w:sz w:val="24"/>
          <w:szCs w:val="24"/>
          <w:highlight w:val="none"/>
          <w:u w:val="single"/>
          <w:lang w:val="en-US" w:eastAsia="zh-CN" w:bidi="ar-SA"/>
          <w14:textFill>
            <w14:solidFill>
              <w14:schemeClr w14:val="tx1"/>
            </w14:solidFill>
          </w14:textFill>
        </w:rPr>
        <w:t>本项目人保财险景德镇市河西支公司车险客户增值服务采购项目（项目编号：XM26DSPC000736）</w:t>
      </w:r>
      <w:r>
        <w:rPr>
          <w:rFonts w:hint="eastAsia" w:ascii="仿宋" w:hAnsi="仿宋" w:eastAsia="仿宋" w:cs="仿宋"/>
          <w:color w:val="000000" w:themeColor="text1"/>
          <w:sz w:val="24"/>
          <w:highlight w:val="none"/>
          <w14:textFill>
            <w14:solidFill>
              <w14:schemeClr w14:val="tx1"/>
            </w14:solidFill>
          </w14:textFill>
        </w:rPr>
        <w:t>由</w:t>
      </w:r>
      <w:r>
        <w:rPr>
          <w:rFonts w:hint="eastAsia" w:ascii="仿宋" w:hAnsi="仿宋" w:eastAsia="仿宋" w:cs="仿宋"/>
          <w:color w:val="000000" w:themeColor="text1"/>
          <w:sz w:val="24"/>
          <w:highlight w:val="none"/>
          <w:u w:val="single"/>
          <w14:textFill>
            <w14:solidFill>
              <w14:schemeClr w14:val="tx1"/>
            </w14:solidFill>
          </w14:textFill>
        </w:rPr>
        <w:t>中国人民财产保险股份有限公司</w:t>
      </w:r>
      <w:r>
        <w:rPr>
          <w:rFonts w:hint="eastAsia" w:ascii="仿宋" w:hAnsi="仿宋" w:eastAsia="仿宋" w:cs="仿宋"/>
          <w:color w:val="000000" w:themeColor="text1"/>
          <w:sz w:val="24"/>
          <w:highlight w:val="none"/>
          <w:u w:val="single"/>
          <w:lang w:eastAsia="zh-CN"/>
          <w14:textFill>
            <w14:solidFill>
              <w14:schemeClr w14:val="tx1"/>
            </w14:solidFill>
          </w14:textFill>
        </w:rPr>
        <w:t>景德镇市河西支</w:t>
      </w:r>
      <w:r>
        <w:rPr>
          <w:rFonts w:hint="eastAsia" w:ascii="仿宋" w:hAnsi="仿宋" w:eastAsia="仿宋" w:cs="仿宋"/>
          <w:color w:val="000000" w:themeColor="text1"/>
          <w:sz w:val="24"/>
          <w:highlight w:val="none"/>
          <w:u w:val="single"/>
          <w14:textFill>
            <w14:solidFill>
              <w14:schemeClr w14:val="tx1"/>
            </w14:solidFill>
          </w14:textFill>
        </w:rPr>
        <w:t>公司</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sz w:val="24"/>
          <w:highlight w:val="none"/>
        </w:rPr>
        <w:t>以下简称“采购人”）</w:t>
      </w:r>
      <w:r>
        <w:rPr>
          <w:rFonts w:hint="eastAsia" w:ascii="仿宋" w:hAnsi="仿宋" w:eastAsia="仿宋" w:cs="Cambria Math"/>
          <w:sz w:val="24"/>
          <w:highlight w:val="none"/>
        </w:rPr>
        <w:t>批准并落实资金，组织本项目的磋商工作</w:t>
      </w:r>
      <w:r>
        <w:rPr>
          <w:rFonts w:hint="eastAsia" w:ascii="仿宋" w:hAnsi="仿宋" w:eastAsia="仿宋" w:cs="仿宋"/>
          <w:color w:val="000000"/>
          <w:sz w:val="24"/>
          <w:highlight w:val="none"/>
        </w:rPr>
        <w:t>，采购合同由</w:t>
      </w:r>
      <w:r>
        <w:rPr>
          <w:rFonts w:hint="eastAsia" w:ascii="仿宋" w:hAnsi="仿宋" w:eastAsia="仿宋" w:cs="宋体"/>
          <w:color w:val="000000" w:themeColor="text1"/>
          <w:sz w:val="24"/>
          <w:highlight w:val="none"/>
          <w:u w:val="single"/>
          <w14:textFill>
            <w14:solidFill>
              <w14:schemeClr w14:val="tx1"/>
            </w14:solidFill>
          </w14:textFill>
        </w:rPr>
        <w:t>中国人民财产保险股份有限公司</w:t>
      </w:r>
      <w:r>
        <w:rPr>
          <w:rFonts w:hint="eastAsia" w:ascii="仿宋" w:hAnsi="仿宋" w:eastAsia="仿宋" w:cs="宋体"/>
          <w:color w:val="000000" w:themeColor="text1"/>
          <w:sz w:val="24"/>
          <w:highlight w:val="none"/>
          <w:u w:val="single"/>
          <w:lang w:eastAsia="zh-CN"/>
          <w14:textFill>
            <w14:solidFill>
              <w14:schemeClr w14:val="tx1"/>
            </w14:solidFill>
          </w14:textFill>
        </w:rPr>
        <w:t>景德镇市</w:t>
      </w:r>
      <w:r>
        <w:rPr>
          <w:rFonts w:hint="eastAsia" w:ascii="仿宋" w:hAnsi="仿宋" w:eastAsia="仿宋" w:cs="宋体"/>
          <w:color w:val="000000" w:themeColor="text1"/>
          <w:sz w:val="24"/>
          <w:highlight w:val="none"/>
          <w:u w:val="single"/>
          <w14:textFill>
            <w14:solidFill>
              <w14:schemeClr w14:val="tx1"/>
            </w14:solidFill>
          </w14:textFill>
        </w:rPr>
        <w:t>分公司</w:t>
      </w:r>
      <w:r>
        <w:rPr>
          <w:rFonts w:hint="eastAsia" w:ascii="仿宋" w:hAnsi="仿宋" w:eastAsia="仿宋" w:cs="宋体"/>
          <w:color w:val="000000" w:themeColor="text1"/>
          <w:sz w:val="24"/>
          <w:highlight w:val="none"/>
          <w14:textFill>
            <w14:solidFill>
              <w14:schemeClr w14:val="tx1"/>
            </w14:solidFill>
          </w14:textFill>
        </w:rPr>
        <w:t>（以下简称“人保</w:t>
      </w:r>
      <w:r>
        <w:rPr>
          <w:rFonts w:hint="eastAsia" w:ascii="仿宋" w:hAnsi="仿宋" w:eastAsia="仿宋" w:cs="宋体"/>
          <w:color w:val="000000" w:themeColor="text1"/>
          <w:sz w:val="24"/>
          <w:highlight w:val="none"/>
          <w:lang w:val="en-US" w:eastAsia="zh-CN"/>
          <w14:textFill>
            <w14:solidFill>
              <w14:schemeClr w14:val="tx1"/>
            </w14:solidFill>
          </w14:textFill>
        </w:rPr>
        <w:t>财险景德镇分公司</w:t>
      </w:r>
      <w:r>
        <w:rPr>
          <w:rFonts w:hint="eastAsia" w:ascii="仿宋" w:hAnsi="仿宋" w:eastAsia="仿宋" w:cs="宋体"/>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根据成交结果与成交人签署</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进行公开竞争性磋商，</w:t>
      </w:r>
      <w:r>
        <w:rPr>
          <w:rFonts w:hint="eastAsia" w:ascii="仿宋" w:hAnsi="仿宋" w:eastAsia="仿宋" w:cs="Cambria Math"/>
          <w:sz w:val="24"/>
          <w:highlight w:val="none"/>
        </w:rPr>
        <w:t>有意向且具有提供标的物能力的潜在供应商（以下简称“供应商”）可前来参与磋商响应。</w:t>
      </w:r>
      <w:r>
        <w:rPr>
          <w:rFonts w:hint="eastAsia" w:ascii="仿宋" w:hAnsi="仿宋" w:eastAsia="仿宋" w:cs="Cambria Math"/>
          <w:color w:val="000000"/>
          <w:sz w:val="24"/>
          <w:highlight w:val="none"/>
        </w:rPr>
        <w:t xml:space="preserve"> </w:t>
      </w:r>
    </w:p>
    <w:p w14:paraId="2120C3B4">
      <w:pPr>
        <w:pStyle w:val="4"/>
        <w:ind w:firstLine="0" w:firstLineChars="0"/>
        <w:jc w:val="left"/>
        <w:rPr>
          <w:rFonts w:hint="eastAsia" w:ascii="仿宋" w:hAnsi="仿宋" w:eastAsia="仿宋" w:cs="仿宋"/>
          <w:color w:val="000000"/>
          <w:sz w:val="24"/>
          <w:szCs w:val="24"/>
          <w:highlight w:val="none"/>
        </w:rPr>
      </w:pPr>
      <w:bookmarkStart w:id="9" w:name="_Toc21237"/>
      <w:r>
        <w:rPr>
          <w:rFonts w:hint="eastAsia" w:ascii="仿宋" w:hAnsi="仿宋" w:eastAsia="仿宋" w:cs="仿宋"/>
          <w:color w:val="000000"/>
          <w:sz w:val="24"/>
          <w:szCs w:val="24"/>
          <w:highlight w:val="none"/>
        </w:rPr>
        <w:t>一、项目概况与采购范围</w:t>
      </w:r>
      <w:bookmarkEnd w:id="9"/>
    </w:p>
    <w:p w14:paraId="683A2C76">
      <w:pPr>
        <w:adjustRightInd w:val="0"/>
        <w:snapToGrid w:val="0"/>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sz w:val="24"/>
          <w:highlight w:val="none"/>
        </w:rPr>
        <w:t>1.1 项目名称：</w:t>
      </w:r>
      <w:r>
        <w:rPr>
          <w:rFonts w:hint="eastAsia" w:ascii="仿宋" w:hAnsi="仿宋" w:eastAsia="仿宋" w:cs="仿宋"/>
          <w:color w:val="000000" w:themeColor="text1"/>
          <w:sz w:val="24"/>
          <w:highlight w:val="none"/>
          <w:u w:val="single"/>
          <w14:textFill>
            <w14:solidFill>
              <w14:schemeClr w14:val="tx1"/>
            </w14:solidFill>
          </w14:textFill>
        </w:rPr>
        <w:t>人保</w:t>
      </w:r>
      <w:r>
        <w:rPr>
          <w:rFonts w:hint="eastAsia" w:ascii="仿宋" w:hAnsi="仿宋" w:eastAsia="仿宋" w:cs="仿宋"/>
          <w:color w:val="000000" w:themeColor="text1"/>
          <w:sz w:val="24"/>
          <w:highlight w:val="none"/>
          <w:u w:val="single"/>
          <w:lang w:val="en-US" w:eastAsia="zh-CN"/>
          <w14:textFill>
            <w14:solidFill>
              <w14:schemeClr w14:val="tx1"/>
            </w14:solidFill>
          </w14:textFill>
        </w:rPr>
        <w:t>财险</w:t>
      </w:r>
      <w:r>
        <w:rPr>
          <w:rFonts w:hint="eastAsia" w:ascii="仿宋" w:hAnsi="仿宋" w:eastAsia="仿宋" w:cs="仿宋"/>
          <w:color w:val="000000" w:themeColor="text1"/>
          <w:sz w:val="24"/>
          <w:highlight w:val="none"/>
          <w:u w:val="single"/>
          <w:lang w:eastAsia="zh-CN"/>
          <w14:textFill>
            <w14:solidFill>
              <w14:schemeClr w14:val="tx1"/>
            </w14:solidFill>
          </w14:textFill>
        </w:rPr>
        <w:t>景德镇市河西支公司车险客户增值服务采购</w:t>
      </w:r>
      <w:r>
        <w:rPr>
          <w:rFonts w:hint="eastAsia" w:ascii="仿宋" w:hAnsi="仿宋" w:eastAsia="仿宋" w:cs="仿宋"/>
          <w:color w:val="000000" w:themeColor="text1"/>
          <w:sz w:val="24"/>
          <w:highlight w:val="none"/>
          <w:u w:val="single"/>
          <w14:textFill>
            <w14:solidFill>
              <w14:schemeClr w14:val="tx1"/>
            </w14:solidFill>
          </w14:textFill>
        </w:rPr>
        <w:t>项目</w:t>
      </w:r>
      <w:r>
        <w:rPr>
          <w:rFonts w:hint="eastAsia" w:ascii="仿宋" w:hAnsi="仿宋" w:eastAsia="仿宋" w:cs="仿宋"/>
          <w:color w:val="000000" w:themeColor="text1"/>
          <w:sz w:val="24"/>
          <w:highlight w:val="none"/>
          <w14:textFill>
            <w14:solidFill>
              <w14:schemeClr w14:val="tx1"/>
            </w14:solidFill>
          </w14:textFill>
        </w:rPr>
        <w:t>。</w:t>
      </w:r>
    </w:p>
    <w:p w14:paraId="5679CFA1">
      <w:pPr>
        <w:adjustRightInd w:val="0"/>
        <w:snapToGrid w:val="0"/>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themeColor="text1"/>
          <w:sz w:val="24"/>
          <w:highlight w:val="none"/>
          <w14:textFill>
            <w14:solidFill>
              <w14:schemeClr w14:val="tx1"/>
            </w14:solidFill>
          </w14:textFill>
        </w:rPr>
        <w:t>1.2 采购范围：本项目拟采购</w:t>
      </w:r>
      <w:r>
        <w:rPr>
          <w:rFonts w:hint="eastAsia" w:ascii="仿宋" w:hAnsi="仿宋" w:eastAsia="仿宋" w:cs="仿宋"/>
          <w:color w:val="000000" w:themeColor="text1"/>
          <w:sz w:val="24"/>
          <w:highlight w:val="none"/>
          <w:lang w:eastAsia="zh-CN"/>
          <w14:textFill>
            <w14:solidFill>
              <w14:schemeClr w14:val="tx1"/>
            </w14:solidFill>
          </w14:textFill>
        </w:rPr>
        <w:t>车险客户增值服务（车辆安全检测、车辆代为送检）</w:t>
      </w:r>
      <w:r>
        <w:rPr>
          <w:rFonts w:hint="eastAsia" w:ascii="仿宋" w:hAnsi="仿宋" w:eastAsia="仿宋" w:cs="仿宋"/>
          <w:color w:val="000000" w:themeColor="text1"/>
          <w:sz w:val="24"/>
          <w:highlight w:val="none"/>
          <w14:textFill>
            <w14:solidFill>
              <w14:schemeClr w14:val="tx1"/>
            </w14:solidFill>
          </w14:textFill>
        </w:rPr>
        <w:t>，具</w:t>
      </w:r>
      <w:r>
        <w:rPr>
          <w:rFonts w:hint="eastAsia" w:ascii="仿宋" w:hAnsi="仿宋" w:eastAsia="仿宋" w:cs="仿宋"/>
          <w:color w:val="000000"/>
          <w:sz w:val="24"/>
          <w:highlight w:val="none"/>
        </w:rPr>
        <w:t>体技术要求详见第五章采购需求。</w:t>
      </w:r>
    </w:p>
    <w:p w14:paraId="35BD67D7">
      <w:pPr>
        <w:adjustRightInd w:val="0"/>
        <w:snapToGrid w:val="0"/>
        <w:spacing w:line="360" w:lineRule="auto"/>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sz w:val="24"/>
          <w:highlight w:val="none"/>
        </w:rPr>
        <w:t xml:space="preserve">1.3 </w:t>
      </w:r>
      <w:r>
        <w:rPr>
          <w:rFonts w:hint="eastAsia" w:ascii="仿宋" w:hAnsi="仿宋" w:eastAsia="仿宋" w:cs="仿宋"/>
          <w:sz w:val="24"/>
          <w:highlight w:val="none"/>
        </w:rPr>
        <w:t>标包</w:t>
      </w:r>
      <w:r>
        <w:rPr>
          <w:rFonts w:hint="eastAsia" w:ascii="仿宋" w:hAnsi="仿宋" w:eastAsia="仿宋" w:cs="仿宋"/>
          <w:color w:val="000000" w:themeColor="text1"/>
          <w:sz w:val="24"/>
          <w:highlight w:val="none"/>
          <w14:textFill>
            <w14:solidFill>
              <w14:schemeClr w14:val="tx1"/>
            </w14:solidFill>
          </w14:textFill>
        </w:rPr>
        <w:t>划分：</w:t>
      </w:r>
      <w:r>
        <w:rPr>
          <w:rFonts w:hint="eastAsia" w:ascii="仿宋" w:hAnsi="仿宋" w:eastAsia="仿宋" w:cs="宋体"/>
          <w:color w:val="000000" w:themeColor="text1"/>
          <w:sz w:val="24"/>
          <w:highlight w:val="none"/>
          <w14:textFill>
            <w14:solidFill>
              <w14:schemeClr w14:val="tx1"/>
            </w14:solidFill>
          </w14:textFill>
        </w:rPr>
        <w:t>本项目不划分标包，情况如下：</w:t>
      </w:r>
    </w:p>
    <w:tbl>
      <w:tblPr>
        <w:tblStyle w:val="40"/>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3094"/>
        <w:gridCol w:w="2353"/>
        <w:gridCol w:w="1700"/>
      </w:tblGrid>
      <w:tr w14:paraId="230F1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8" w:type="pct"/>
            <w:noWrap w:val="0"/>
            <w:vAlign w:val="center"/>
          </w:tcPr>
          <w:p w14:paraId="1420FD07">
            <w:pPr>
              <w:widowControl/>
              <w:jc w:val="center"/>
              <w:rPr>
                <w:rFonts w:hint="eastAsia" w:ascii="仿宋" w:hAnsi="仿宋" w:eastAsia="仿宋" w:cs="宋体"/>
                <w:b/>
                <w:bCs/>
                <w:color w:val="000000" w:themeColor="text1"/>
                <w:kern w:val="0"/>
                <w:sz w:val="24"/>
                <w:highlight w:val="none"/>
                <w14:textFill>
                  <w14:solidFill>
                    <w14:schemeClr w14:val="tx1"/>
                  </w14:solidFill>
                </w14:textFill>
              </w:rPr>
            </w:pPr>
            <w:r>
              <w:rPr>
                <w:rFonts w:hint="eastAsia" w:ascii="仿宋" w:hAnsi="仿宋" w:eastAsia="仿宋" w:cs="宋体"/>
                <w:b/>
                <w:bCs/>
                <w:color w:val="000000" w:themeColor="text1"/>
                <w:kern w:val="0"/>
                <w:sz w:val="24"/>
                <w:highlight w:val="none"/>
                <w14:textFill>
                  <w14:solidFill>
                    <w14:schemeClr w14:val="tx1"/>
                  </w14:solidFill>
                </w14:textFill>
              </w:rPr>
              <w:t>标包号</w:t>
            </w:r>
          </w:p>
        </w:tc>
        <w:tc>
          <w:tcPr>
            <w:tcW w:w="1853" w:type="pct"/>
            <w:noWrap w:val="0"/>
            <w:vAlign w:val="center"/>
          </w:tcPr>
          <w:p w14:paraId="78075711">
            <w:pPr>
              <w:widowControl/>
              <w:jc w:val="center"/>
              <w:rPr>
                <w:rFonts w:hint="eastAsia" w:ascii="仿宋" w:hAnsi="仿宋" w:eastAsia="仿宋" w:cs="宋体"/>
                <w:b/>
                <w:bCs/>
                <w:color w:val="000000" w:themeColor="text1"/>
                <w:sz w:val="24"/>
                <w:highlight w:val="none"/>
                <w14:textFill>
                  <w14:solidFill>
                    <w14:schemeClr w14:val="tx1"/>
                  </w14:solidFill>
                </w14:textFill>
              </w:rPr>
            </w:pPr>
            <w:r>
              <w:rPr>
                <w:rFonts w:hint="eastAsia" w:ascii="仿宋" w:hAnsi="仿宋" w:eastAsia="仿宋" w:cs="宋体"/>
                <w:b/>
                <w:bCs/>
                <w:color w:val="000000" w:themeColor="text1"/>
                <w:kern w:val="0"/>
                <w:sz w:val="24"/>
                <w:highlight w:val="none"/>
                <w14:textFill>
                  <w14:solidFill>
                    <w14:schemeClr w14:val="tx1"/>
                  </w14:solidFill>
                </w14:textFill>
              </w:rPr>
              <w:t>标包名称</w:t>
            </w:r>
          </w:p>
        </w:tc>
        <w:tc>
          <w:tcPr>
            <w:tcW w:w="1409" w:type="pct"/>
            <w:noWrap w:val="0"/>
            <w:vAlign w:val="center"/>
          </w:tcPr>
          <w:p w14:paraId="462061D4">
            <w:pPr>
              <w:widowControl/>
              <w:jc w:val="center"/>
              <w:rPr>
                <w:rFonts w:hint="eastAsia" w:ascii="仿宋" w:hAnsi="仿宋" w:eastAsia="仿宋" w:cs="宋体"/>
                <w:b/>
                <w:bCs/>
                <w:color w:val="000000" w:themeColor="text1"/>
                <w:sz w:val="24"/>
                <w:highlight w:val="none"/>
                <w14:textFill>
                  <w14:solidFill>
                    <w14:schemeClr w14:val="tx1"/>
                  </w14:solidFill>
                </w14:textFill>
              </w:rPr>
            </w:pPr>
            <w:r>
              <w:rPr>
                <w:rFonts w:hint="eastAsia" w:ascii="仿宋" w:hAnsi="仿宋" w:eastAsia="仿宋" w:cs="宋体"/>
                <w:b/>
                <w:bCs/>
                <w:color w:val="000000" w:themeColor="text1"/>
                <w:sz w:val="24"/>
                <w:highlight w:val="none"/>
                <w14:textFill>
                  <w14:solidFill>
                    <w14:schemeClr w14:val="tx1"/>
                  </w14:solidFill>
                </w14:textFill>
              </w:rPr>
              <w:t>采购内容/数量</w:t>
            </w:r>
          </w:p>
        </w:tc>
        <w:tc>
          <w:tcPr>
            <w:tcW w:w="1018" w:type="pct"/>
            <w:noWrap w:val="0"/>
            <w:vAlign w:val="center"/>
          </w:tcPr>
          <w:p w14:paraId="5975F590">
            <w:pPr>
              <w:widowControl/>
              <w:jc w:val="center"/>
              <w:rPr>
                <w:rFonts w:hint="eastAsia" w:ascii="仿宋" w:hAnsi="仿宋" w:eastAsia="仿宋" w:cs="宋体"/>
                <w:b/>
                <w:bCs/>
                <w:color w:val="000000" w:themeColor="text1"/>
                <w:kern w:val="0"/>
                <w:sz w:val="24"/>
                <w:highlight w:val="none"/>
                <w14:textFill>
                  <w14:solidFill>
                    <w14:schemeClr w14:val="tx1"/>
                  </w14:solidFill>
                </w14:textFill>
              </w:rPr>
            </w:pPr>
            <w:r>
              <w:rPr>
                <w:rFonts w:hint="eastAsia" w:ascii="仿宋" w:hAnsi="仿宋" w:eastAsia="仿宋" w:cs="宋体"/>
                <w:b/>
                <w:bCs/>
                <w:color w:val="000000" w:themeColor="text1"/>
                <w:kern w:val="0"/>
                <w:sz w:val="24"/>
                <w:highlight w:val="none"/>
                <w14:textFill>
                  <w14:solidFill>
                    <w14:schemeClr w14:val="tx1"/>
                  </w14:solidFill>
                </w14:textFill>
              </w:rPr>
              <w:t>中标人数量</w:t>
            </w:r>
          </w:p>
        </w:tc>
      </w:tr>
      <w:tr w14:paraId="766D4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18" w:type="pct"/>
            <w:noWrap w:val="0"/>
            <w:vAlign w:val="center"/>
          </w:tcPr>
          <w:p w14:paraId="20648B10">
            <w:pPr>
              <w:widowControl/>
              <w:jc w:val="center"/>
              <w:rPr>
                <w:rFonts w:hint="eastAsia" w:ascii="仿宋" w:hAnsi="仿宋" w:eastAsia="仿宋" w:cs="宋体"/>
                <w:color w:val="000000" w:themeColor="text1"/>
                <w:kern w:val="0"/>
                <w:sz w:val="24"/>
                <w:highlight w:val="none"/>
                <w14:textFill>
                  <w14:solidFill>
                    <w14:schemeClr w14:val="tx1"/>
                  </w14:solidFill>
                </w14:textFill>
              </w:rPr>
            </w:pPr>
            <w:r>
              <w:rPr>
                <w:rFonts w:hint="eastAsia" w:ascii="仿宋" w:hAnsi="仿宋" w:eastAsia="仿宋" w:cs="宋体"/>
                <w:color w:val="000000" w:themeColor="text1"/>
                <w:kern w:val="0"/>
                <w:sz w:val="24"/>
                <w:highlight w:val="none"/>
                <w14:textFill>
                  <w14:solidFill>
                    <w14:schemeClr w14:val="tx1"/>
                  </w14:solidFill>
                </w14:textFill>
              </w:rPr>
              <w:t>标包1</w:t>
            </w:r>
          </w:p>
        </w:tc>
        <w:tc>
          <w:tcPr>
            <w:tcW w:w="1853" w:type="pct"/>
            <w:noWrap w:val="0"/>
            <w:vAlign w:val="center"/>
          </w:tcPr>
          <w:p w14:paraId="522B15E8">
            <w:pPr>
              <w:widowControl/>
              <w:jc w:val="center"/>
              <w:rPr>
                <w:rFonts w:hint="eastAsia" w:ascii="仿宋" w:hAnsi="仿宋" w:eastAsia="仿宋" w:cs="宋体"/>
                <w:color w:val="000000" w:themeColor="text1"/>
                <w:kern w:val="0"/>
                <w:sz w:val="24"/>
                <w:highlight w:val="none"/>
                <w:lang w:eastAsia="zh-CN"/>
                <w14:textFill>
                  <w14:solidFill>
                    <w14:schemeClr w14:val="tx1"/>
                  </w14:solidFill>
                </w14:textFill>
              </w:rPr>
            </w:pPr>
            <w:r>
              <w:rPr>
                <w:rFonts w:hint="eastAsia" w:ascii="仿宋" w:hAnsi="仿宋" w:eastAsia="仿宋" w:cs="宋体"/>
                <w:color w:val="000000" w:themeColor="text1"/>
                <w:kern w:val="0"/>
                <w:sz w:val="24"/>
                <w:highlight w:val="none"/>
                <w:lang w:eastAsia="zh-CN"/>
                <w14:textFill>
                  <w14:solidFill>
                    <w14:schemeClr w14:val="tx1"/>
                  </w14:solidFill>
                </w14:textFill>
              </w:rPr>
              <w:t>人保财险景德镇市河西支公司车险客户增值服务采购项目</w:t>
            </w:r>
          </w:p>
        </w:tc>
        <w:tc>
          <w:tcPr>
            <w:tcW w:w="1409" w:type="pct"/>
            <w:noWrap w:val="0"/>
            <w:vAlign w:val="center"/>
          </w:tcPr>
          <w:p w14:paraId="173B38E0">
            <w:pPr>
              <w:widowControl/>
              <w:jc w:val="center"/>
              <w:rPr>
                <w:rFonts w:hint="eastAsia" w:ascii="仿宋" w:hAnsi="仿宋" w:eastAsia="仿宋" w:cs="宋体"/>
                <w:color w:val="000000" w:themeColor="text1"/>
                <w:kern w:val="0"/>
                <w:sz w:val="24"/>
                <w:highlight w:val="none"/>
                <w:lang w:eastAsia="zh-CN"/>
                <w14:textFill>
                  <w14:solidFill>
                    <w14:schemeClr w14:val="tx1"/>
                  </w14:solidFill>
                </w14:textFill>
              </w:rPr>
            </w:pPr>
            <w:r>
              <w:rPr>
                <w:rFonts w:hint="eastAsia" w:ascii="仿宋" w:hAnsi="仿宋" w:eastAsia="仿宋" w:cs="宋体"/>
                <w:color w:val="000000" w:themeColor="text1"/>
                <w:kern w:val="0"/>
                <w:sz w:val="24"/>
                <w:highlight w:val="none"/>
                <w:lang w:eastAsia="zh-CN"/>
                <w14:textFill>
                  <w14:solidFill>
                    <w14:schemeClr w14:val="tx1"/>
                  </w14:solidFill>
                </w14:textFill>
              </w:rPr>
              <w:t>车险客户增值服务（车辆安全检测、车辆代为送检）</w:t>
            </w:r>
          </w:p>
        </w:tc>
        <w:tc>
          <w:tcPr>
            <w:tcW w:w="1018" w:type="pct"/>
            <w:noWrap w:val="0"/>
            <w:vAlign w:val="center"/>
          </w:tcPr>
          <w:p w14:paraId="0FBBA799">
            <w:pPr>
              <w:widowControl/>
              <w:jc w:val="center"/>
              <w:rPr>
                <w:rFonts w:hint="eastAsia" w:ascii="仿宋" w:hAnsi="仿宋" w:eastAsia="仿宋" w:cs="宋体"/>
                <w:color w:val="000000" w:themeColor="text1"/>
                <w:kern w:val="0"/>
                <w:sz w:val="24"/>
                <w:highlight w:val="none"/>
                <w14:textFill>
                  <w14:solidFill>
                    <w14:schemeClr w14:val="tx1"/>
                  </w14:solidFill>
                </w14:textFill>
              </w:rPr>
            </w:pPr>
            <w:r>
              <w:rPr>
                <w:rFonts w:hint="eastAsia" w:ascii="仿宋" w:hAnsi="仿宋" w:eastAsia="仿宋" w:cs="宋体"/>
                <w:color w:val="000000" w:themeColor="text1"/>
                <w:kern w:val="0"/>
                <w:sz w:val="24"/>
                <w:highlight w:val="none"/>
                <w:lang w:val="en-US" w:eastAsia="zh-CN"/>
                <w14:textFill>
                  <w14:solidFill>
                    <w14:schemeClr w14:val="tx1"/>
                  </w14:solidFill>
                </w14:textFill>
              </w:rPr>
              <w:t>2</w:t>
            </w:r>
            <w:r>
              <w:rPr>
                <w:rFonts w:hint="eastAsia" w:ascii="仿宋" w:hAnsi="仿宋" w:eastAsia="仿宋" w:cs="宋体"/>
                <w:color w:val="000000" w:themeColor="text1"/>
                <w:kern w:val="0"/>
                <w:sz w:val="24"/>
                <w:highlight w:val="none"/>
                <w14:textFill>
                  <w14:solidFill>
                    <w14:schemeClr w14:val="tx1"/>
                  </w14:solidFill>
                </w14:textFill>
              </w:rPr>
              <w:t>个</w:t>
            </w:r>
          </w:p>
        </w:tc>
      </w:tr>
    </w:tbl>
    <w:p w14:paraId="14C0CDCE">
      <w:pPr>
        <w:adjustRightInd w:val="0"/>
        <w:snapToGrid w:val="0"/>
        <w:spacing w:before="240" w:line="360" w:lineRule="auto"/>
        <w:ind w:firstLine="480" w:firstLineChars="200"/>
        <w:jc w:val="left"/>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sz w:val="24"/>
          <w:highlight w:val="none"/>
        </w:rPr>
        <w:t>1.4</w:t>
      </w:r>
      <w:r>
        <w:rPr>
          <w:rFonts w:ascii="仿宋" w:hAnsi="仿宋" w:cs="仿宋"/>
          <w:sz w:val="24"/>
          <w:highlight w:val="none"/>
        </w:rPr>
        <w:t xml:space="preserve"> </w:t>
      </w:r>
      <w:r>
        <w:rPr>
          <w:rFonts w:hint="eastAsia" w:ascii="仿宋" w:hAnsi="仿宋" w:eastAsia="仿宋" w:cs="仿宋"/>
          <w:color w:val="000000"/>
          <w:sz w:val="24"/>
          <w:highlight w:val="none"/>
        </w:rPr>
        <w:t>项目性质：</w:t>
      </w:r>
      <w:r>
        <w:rPr>
          <w:rFonts w:hint="eastAsia" w:ascii="仿宋" w:hAnsi="仿宋" w:eastAsia="仿宋" w:cs="宋体"/>
          <w:color w:val="000000" w:themeColor="text1"/>
          <w:sz w:val="24"/>
          <w:highlight w:val="none"/>
          <w14:textFill>
            <w14:solidFill>
              <w14:schemeClr w14:val="tx1"/>
            </w14:solidFill>
          </w14:textFill>
        </w:rPr>
        <w:t>服务</w:t>
      </w:r>
    </w:p>
    <w:p w14:paraId="7B2936FD">
      <w:pPr>
        <w:adjustRightInd w:val="0"/>
        <w:snapToGrid w:val="0"/>
        <w:spacing w:line="360" w:lineRule="auto"/>
        <w:ind w:firstLine="480" w:firstLineChars="200"/>
        <w:jc w:val="left"/>
        <w:rPr>
          <w:rFonts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ascii="仿宋" w:hAnsi="仿宋" w:eastAsia="仿宋" w:cs="仿宋"/>
          <w:color w:val="000000" w:themeColor="text1"/>
          <w:sz w:val="24"/>
          <w:highlight w:val="none"/>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服务期限：</w:t>
      </w:r>
      <w:r>
        <w:rPr>
          <w:rFonts w:hint="eastAsia" w:ascii="仿宋" w:hAnsi="仿宋" w:eastAsia="仿宋" w:cs="宋体"/>
          <w:color w:val="000000" w:themeColor="text1"/>
          <w:sz w:val="24"/>
          <w:highlight w:val="none"/>
          <w14:textFill>
            <w14:solidFill>
              <w14:schemeClr w14:val="tx1"/>
            </w14:solidFill>
          </w14:textFill>
        </w:rPr>
        <w:t>自合同签订之日起</w:t>
      </w:r>
      <w:r>
        <w:rPr>
          <w:rFonts w:hint="eastAsia" w:ascii="仿宋" w:hAnsi="仿宋" w:eastAsia="仿宋" w:cs="宋体"/>
          <w:color w:val="000000" w:themeColor="text1"/>
          <w:sz w:val="24"/>
          <w:highlight w:val="none"/>
          <w:lang w:val="en-US" w:eastAsia="zh-CN"/>
          <w14:textFill>
            <w14:solidFill>
              <w14:schemeClr w14:val="tx1"/>
            </w14:solidFill>
          </w14:textFill>
        </w:rPr>
        <w:t>2</w:t>
      </w:r>
      <w:r>
        <w:rPr>
          <w:rFonts w:hint="eastAsia" w:ascii="仿宋" w:hAnsi="仿宋" w:eastAsia="仿宋" w:cs="宋体"/>
          <w:color w:val="000000" w:themeColor="text1"/>
          <w:sz w:val="24"/>
          <w:highlight w:val="none"/>
          <w14:textFill>
            <w14:solidFill>
              <w14:schemeClr w14:val="tx1"/>
            </w14:solidFill>
          </w14:textFill>
        </w:rPr>
        <w:t>年</w:t>
      </w:r>
    </w:p>
    <w:p w14:paraId="24F5B439">
      <w:pPr>
        <w:adjustRightInd w:val="0"/>
        <w:snapToGrid w:val="0"/>
        <w:spacing w:line="360" w:lineRule="auto"/>
        <w:ind w:firstLine="480" w:firstLineChars="200"/>
        <w:jc w:val="lef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6</w:t>
      </w:r>
      <w:r>
        <w:rPr>
          <w:rFonts w:hint="eastAsia" w:ascii="仿宋" w:hAnsi="仿宋" w:eastAsia="仿宋" w:cs="宋体"/>
          <w:color w:val="000000"/>
          <w:sz w:val="24"/>
          <w:highlight w:val="none"/>
        </w:rPr>
        <w:t>服务地点/交货地点：</w:t>
      </w:r>
      <w:r>
        <w:rPr>
          <w:rFonts w:hint="eastAsia" w:ascii="仿宋" w:hAnsi="仿宋" w:eastAsia="仿宋" w:cs="仿宋"/>
          <w:color w:val="auto"/>
          <w:sz w:val="24"/>
          <w:szCs w:val="24"/>
          <w:highlight w:val="none"/>
          <w:lang w:val="en-US" w:eastAsia="zh-CN"/>
        </w:rPr>
        <w:t>采购人指定地点</w:t>
      </w:r>
    </w:p>
    <w:p w14:paraId="5413324C">
      <w:pPr>
        <w:pStyle w:val="4"/>
        <w:ind w:firstLine="0" w:firstLineChars="0"/>
        <w:jc w:val="left"/>
        <w:rPr>
          <w:rFonts w:hint="eastAsia" w:ascii="仿宋" w:hAnsi="仿宋" w:eastAsia="仿宋" w:cs="仿宋"/>
          <w:color w:val="000000"/>
          <w:sz w:val="24"/>
          <w:szCs w:val="24"/>
          <w:highlight w:val="none"/>
        </w:rPr>
      </w:pPr>
      <w:bookmarkStart w:id="10" w:name="_Toc17569"/>
      <w:r>
        <w:rPr>
          <w:rFonts w:hint="eastAsia" w:ascii="仿宋" w:hAnsi="仿宋" w:eastAsia="仿宋" w:cs="仿宋"/>
          <w:color w:val="000000"/>
          <w:sz w:val="24"/>
          <w:szCs w:val="24"/>
          <w:highlight w:val="none"/>
        </w:rPr>
        <w:t>二、供应商资格要求</w:t>
      </w:r>
      <w:bookmarkEnd w:id="10"/>
    </w:p>
    <w:p w14:paraId="1A91E754">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2.1</w:t>
      </w:r>
      <w:r>
        <w:rPr>
          <w:rFonts w:hint="eastAsia" w:ascii="仿宋" w:hAnsi="仿宋" w:eastAsia="仿宋" w:cs="宋体"/>
          <w:b/>
          <w:bCs/>
          <w:color w:val="000000"/>
          <w:sz w:val="24"/>
          <w:highlight w:val="none"/>
        </w:rPr>
        <w:t>具有独立承担民事责任的能力</w:t>
      </w:r>
      <w:r>
        <w:rPr>
          <w:rFonts w:hint="eastAsia" w:ascii="仿宋" w:hAnsi="仿宋" w:eastAsia="仿宋" w:cs="宋体"/>
          <w:b/>
          <w:bCs/>
          <w:color w:val="000000"/>
          <w:sz w:val="24"/>
          <w:highlight w:val="none"/>
          <w:lang w:eastAsia="zh-CN"/>
        </w:rPr>
        <w:t>：</w:t>
      </w:r>
      <w:r>
        <w:rPr>
          <w:rFonts w:hint="eastAsia" w:ascii="仿宋" w:hAnsi="仿宋" w:eastAsia="仿宋" w:cs="宋体"/>
          <w:color w:val="000000"/>
          <w:sz w:val="24"/>
          <w:highlight w:val="none"/>
        </w:rPr>
        <w:t>供应商如为企业法人，须提供企业法人营业执照</w:t>
      </w:r>
      <w:r>
        <w:rPr>
          <w:rFonts w:hint="eastAsia" w:ascii="仿宋" w:hAnsi="仿宋" w:eastAsia="仿宋" w:cs="Monaco"/>
          <w:color w:val="000000"/>
          <w:sz w:val="24"/>
        </w:rPr>
        <w:t>（复印件）</w:t>
      </w:r>
      <w:r>
        <w:rPr>
          <w:rFonts w:hint="eastAsia" w:ascii="仿宋" w:hAnsi="仿宋" w:eastAsia="仿宋" w:cs="宋体"/>
          <w:color w:val="000000"/>
          <w:sz w:val="24"/>
          <w:highlight w:val="none"/>
        </w:rPr>
        <w:t>；供应商如为事业单位或其他组织，须提供事业单位法人证书或登记证或组织机构代码证或其他有效证明文件（复印件）；</w:t>
      </w:r>
    </w:p>
    <w:p w14:paraId="3E3F632A">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2.2</w:t>
      </w:r>
      <w:r>
        <w:rPr>
          <w:rFonts w:hint="eastAsia" w:ascii="仿宋" w:hAnsi="仿宋" w:eastAsia="仿宋" w:cs="宋体"/>
          <w:b/>
          <w:bCs/>
          <w:color w:val="000000"/>
          <w:sz w:val="24"/>
          <w:highlight w:val="none"/>
        </w:rPr>
        <w:t>具有良好的商业信誉和健全的财务会计制度</w:t>
      </w:r>
      <w:r>
        <w:rPr>
          <w:rFonts w:hint="eastAsia" w:ascii="仿宋" w:hAnsi="仿宋" w:eastAsia="仿宋" w:cs="宋体"/>
          <w:b/>
          <w:bCs/>
          <w:color w:val="000000"/>
          <w:sz w:val="24"/>
          <w:highlight w:val="none"/>
          <w:lang w:eastAsia="zh-CN"/>
        </w:rPr>
        <w:t>：</w:t>
      </w:r>
      <w:r>
        <w:rPr>
          <w:rFonts w:hint="eastAsia" w:ascii="仿宋" w:hAnsi="仿宋" w:eastAsia="仿宋" w:cs="宋体"/>
          <w:color w:val="000000"/>
          <w:sz w:val="24"/>
          <w:highlight w:val="none"/>
        </w:rPr>
        <w:t>需提供</w:t>
      </w:r>
      <w:r>
        <w:rPr>
          <w:rFonts w:hint="eastAsia" w:ascii="仿宋" w:hAnsi="仿宋" w:eastAsia="仿宋" w:cs="宋体"/>
          <w:color w:val="000000"/>
          <w:sz w:val="24"/>
          <w:highlight w:val="none"/>
          <w:lang w:val="en-US" w:eastAsia="zh-CN"/>
        </w:rPr>
        <w:t>2025</w:t>
      </w:r>
      <w:r>
        <w:rPr>
          <w:rFonts w:hint="eastAsia" w:ascii="仿宋" w:hAnsi="仿宋" w:eastAsia="仿宋" w:cs="宋体"/>
          <w:color w:val="auto"/>
          <w:sz w:val="24"/>
          <w:highlight w:val="none"/>
        </w:rPr>
        <w:t>年</w:t>
      </w:r>
      <w:r>
        <w:rPr>
          <w:rFonts w:hint="eastAsia" w:ascii="仿宋" w:hAnsi="仿宋" w:eastAsia="仿宋" w:cs="宋体"/>
          <w:color w:val="000000"/>
          <w:sz w:val="24"/>
          <w:highlight w:val="none"/>
        </w:rPr>
        <w:t>度经会计师事务所或审计机构审计的财务审计报告及财务报表（至少包含会计师事务所或审计机构签章页、资产负债表、现金流量表、损益表/利润表）或提供响应文件递交截止日前6个月内开具的银行资信证明。</w:t>
      </w:r>
    </w:p>
    <w:p w14:paraId="38514491">
      <w:pPr>
        <w:spacing w:line="360" w:lineRule="auto"/>
        <w:ind w:firstLine="480" w:firstLineChars="200"/>
        <w:textAlignment w:val="baseline"/>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 xml:space="preserve">2.3 </w:t>
      </w:r>
      <w:r>
        <w:rPr>
          <w:rFonts w:hint="eastAsia" w:ascii="仿宋" w:hAnsi="仿宋" w:eastAsia="仿宋" w:cs="宋体"/>
          <w:b/>
          <w:bCs/>
          <w:color w:val="000000"/>
          <w:sz w:val="24"/>
          <w:highlight w:val="none"/>
        </w:rPr>
        <w:t>具有履行合同所必需的设备和专业技术能力</w:t>
      </w:r>
      <w:r>
        <w:rPr>
          <w:rFonts w:hint="eastAsia" w:ascii="仿宋" w:hAnsi="仿宋" w:eastAsia="仿宋" w:cs="宋体"/>
          <w:b/>
          <w:bCs/>
          <w:color w:val="000000"/>
          <w:sz w:val="24"/>
          <w:highlight w:val="none"/>
          <w:lang w:eastAsia="zh-CN"/>
        </w:rPr>
        <w:t>：</w:t>
      </w:r>
      <w:r>
        <w:rPr>
          <w:rFonts w:hint="eastAsia" w:ascii="仿宋" w:hAnsi="仿宋" w:eastAsia="仿宋" w:cs="宋体"/>
          <w:color w:val="000000"/>
          <w:sz w:val="24"/>
          <w:highlight w:val="none"/>
        </w:rPr>
        <w:t>近三年（</w:t>
      </w:r>
      <w:r>
        <w:rPr>
          <w:rFonts w:hint="eastAsia" w:ascii="仿宋" w:hAnsi="仿宋" w:eastAsia="仿宋" w:cs="宋体"/>
          <w:color w:val="000000"/>
          <w:sz w:val="24"/>
          <w:highlight w:val="none"/>
          <w:lang w:val="en-US" w:eastAsia="zh-CN"/>
        </w:rPr>
        <w:t>2023</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lang w:val="en-US" w:eastAsia="zh-CN"/>
        </w:rPr>
        <w:t>6</w:t>
      </w:r>
      <w:r>
        <w:rPr>
          <w:rFonts w:hint="eastAsia" w:ascii="仿宋" w:hAnsi="仿宋" w:eastAsia="仿宋" w:cs="宋体"/>
          <w:color w:val="000000"/>
          <w:sz w:val="24"/>
          <w:highlight w:val="none"/>
        </w:rPr>
        <w:t>月1日至今）应具有</w:t>
      </w:r>
      <w:r>
        <w:rPr>
          <w:rFonts w:hint="eastAsia" w:ascii="仿宋" w:hAnsi="仿宋" w:eastAsia="仿宋" w:cs="宋体"/>
          <w:color w:val="000000"/>
          <w:sz w:val="24"/>
          <w:highlight w:val="none"/>
          <w:lang w:val="en-US" w:eastAsia="zh-CN"/>
        </w:rPr>
        <w:t>1个</w:t>
      </w:r>
      <w:r>
        <w:rPr>
          <w:rFonts w:hint="eastAsia" w:ascii="仿宋" w:hAnsi="仿宋" w:eastAsia="仿宋" w:cs="宋体"/>
          <w:color w:val="000000"/>
          <w:sz w:val="24"/>
          <w:highlight w:val="none"/>
        </w:rPr>
        <w:t>以上同类项目实施案例，并提供符合上述要求的合同关键页作为有效的业绩证明材料。合同关键页包含但不限于合同首页、合同标的页、签署日期页及盖章页等</w:t>
      </w:r>
      <w:r>
        <w:rPr>
          <w:rFonts w:hint="eastAsia" w:ascii="仿宋" w:hAnsi="仿宋" w:eastAsia="仿宋" w:cs="宋体"/>
          <w:color w:val="000000"/>
          <w:sz w:val="24"/>
          <w:highlight w:val="none"/>
          <w:lang w:eastAsia="zh-CN"/>
        </w:rPr>
        <w:t>；</w:t>
      </w:r>
      <w:r>
        <w:rPr>
          <w:rFonts w:hint="eastAsia" w:ascii="仿宋" w:hAnsi="仿宋" w:eastAsia="仿宋" w:cs="仿宋"/>
          <w:color w:val="000000"/>
          <w:szCs w:val="21"/>
          <w:highlight w:val="none"/>
          <w:lang w:val="en-US" w:eastAsia="zh-CN"/>
        </w:rPr>
        <w:t>或者提供相应的承诺函。</w:t>
      </w:r>
    </w:p>
    <w:p w14:paraId="0CB6F50A">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2.4</w:t>
      </w:r>
      <w:r>
        <w:rPr>
          <w:rFonts w:hint="eastAsia" w:ascii="仿宋" w:hAnsi="仿宋" w:eastAsia="仿宋" w:cs="宋体"/>
          <w:b/>
          <w:bCs/>
          <w:color w:val="000000"/>
          <w:sz w:val="24"/>
          <w:highlight w:val="none"/>
        </w:rPr>
        <w:t>有依法缴纳税收和社会保障资金的良好记录</w:t>
      </w:r>
      <w:r>
        <w:rPr>
          <w:rFonts w:hint="eastAsia" w:ascii="仿宋" w:hAnsi="仿宋" w:eastAsia="仿宋" w:cs="宋体"/>
          <w:b/>
          <w:bCs/>
          <w:color w:val="000000"/>
          <w:sz w:val="24"/>
          <w:highlight w:val="none"/>
          <w:lang w:eastAsia="zh-CN"/>
        </w:rPr>
        <w:t>：</w:t>
      </w:r>
      <w:r>
        <w:rPr>
          <w:rFonts w:hint="eastAsia" w:ascii="仿宋" w:hAnsi="仿宋" w:eastAsia="仿宋" w:cs="宋体"/>
          <w:color w:val="000000"/>
          <w:sz w:val="24"/>
          <w:highlight w:val="none"/>
        </w:rPr>
        <w:t>提供近6个月任意一个月的税收和社会保障资金缴纳凭证。</w:t>
      </w:r>
    </w:p>
    <w:p w14:paraId="5D57D8E9">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2.5</w:t>
      </w:r>
      <w:r>
        <w:rPr>
          <w:rFonts w:hint="eastAsia" w:ascii="仿宋" w:hAnsi="仿宋" w:eastAsia="仿宋" w:cs="宋体"/>
          <w:b/>
          <w:bCs/>
          <w:color w:val="000000"/>
          <w:sz w:val="24"/>
          <w:highlight w:val="none"/>
        </w:rPr>
        <w:t>经营状况良好，且近三年内无违法违规记录</w:t>
      </w:r>
      <w:r>
        <w:rPr>
          <w:rFonts w:hint="eastAsia" w:ascii="仿宋" w:hAnsi="仿宋" w:eastAsia="仿宋" w:cs="宋体"/>
          <w:b/>
          <w:bCs/>
          <w:color w:val="000000"/>
          <w:sz w:val="24"/>
          <w:highlight w:val="none"/>
          <w:lang w:eastAsia="zh-CN"/>
        </w:rPr>
        <w:t>：</w:t>
      </w:r>
      <w:r>
        <w:rPr>
          <w:rFonts w:hint="eastAsia" w:ascii="仿宋" w:hAnsi="仿宋" w:eastAsia="仿宋" w:cs="宋体"/>
          <w:b w:val="0"/>
          <w:bCs w:val="0"/>
          <w:color w:val="000000"/>
          <w:sz w:val="24"/>
          <w:highlight w:val="none"/>
        </w:rPr>
        <w:t>（</w:t>
      </w:r>
      <w:r>
        <w:rPr>
          <w:rFonts w:hint="eastAsia" w:ascii="仿宋" w:hAnsi="仿宋" w:eastAsia="仿宋" w:cs="宋体"/>
          <w:b w:val="0"/>
          <w:bCs w:val="0"/>
          <w:color w:val="000000" w:themeColor="text1"/>
          <w:sz w:val="24"/>
          <w:highlight w:val="none"/>
          <w:lang w:val="en-US" w:eastAsia="zh-CN"/>
          <w14:textFill>
            <w14:solidFill>
              <w14:schemeClr w14:val="tx1"/>
            </w14:solidFill>
          </w14:textFill>
        </w:rPr>
        <w:t>2023</w:t>
      </w:r>
      <w:r>
        <w:rPr>
          <w:rFonts w:hint="eastAsia" w:ascii="仿宋" w:hAnsi="仿宋" w:eastAsia="仿宋" w:cs="宋体"/>
          <w:b w:val="0"/>
          <w:bCs w:val="0"/>
          <w:color w:val="000000"/>
          <w:sz w:val="24"/>
          <w:highlight w:val="none"/>
        </w:rPr>
        <w:t>年</w:t>
      </w:r>
      <w:r>
        <w:rPr>
          <w:rFonts w:hint="eastAsia" w:ascii="仿宋" w:hAnsi="仿宋" w:eastAsia="仿宋" w:cs="宋体"/>
          <w:b w:val="0"/>
          <w:bCs w:val="0"/>
          <w:color w:val="000000"/>
          <w:sz w:val="24"/>
          <w:highlight w:val="none"/>
          <w:lang w:val="en-US" w:eastAsia="zh-CN"/>
        </w:rPr>
        <w:t>6</w:t>
      </w:r>
      <w:r>
        <w:rPr>
          <w:rFonts w:hint="eastAsia" w:ascii="仿宋" w:hAnsi="仿宋" w:eastAsia="仿宋" w:cs="宋体"/>
          <w:b w:val="0"/>
          <w:bCs w:val="0"/>
          <w:color w:val="000000"/>
          <w:sz w:val="24"/>
          <w:highlight w:val="none"/>
        </w:rPr>
        <w:t>月1日至今）</w:t>
      </w:r>
      <w:r>
        <w:rPr>
          <w:rFonts w:hint="eastAsia" w:ascii="仿宋" w:hAnsi="仿宋" w:eastAsia="仿宋" w:cs="宋体"/>
          <w:color w:val="000000"/>
          <w:sz w:val="24"/>
          <w:highlight w:val="none"/>
        </w:rPr>
        <w:t>违法违规记录是指被“信用中国”列入失信被执行人、重大税收违法失信主体、政府采购严重违法失信行为记录名单。供应商需提供自磋商公告发布之日至响应文件递交截止之日期间对以上三项内容的查询截图。</w:t>
      </w:r>
    </w:p>
    <w:p w14:paraId="11E07158">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信用中国查询网址：https://www.creditchina.gov.cn/xinyongfuwu/?navPage=5</w:t>
      </w:r>
    </w:p>
    <w:p w14:paraId="339C4913">
      <w:pPr>
        <w:spacing w:line="600" w:lineRule="exact"/>
        <w:ind w:left="638" w:leftChars="304" w:firstLine="0" w:firstLineChars="0"/>
        <w:rPr>
          <w:rFonts w:hint="eastAsia" w:ascii="仿宋" w:hAnsi="仿宋" w:eastAsia="仿宋" w:cs="宋体"/>
          <w:color w:val="000000"/>
          <w:sz w:val="24"/>
          <w:highlight w:val="none"/>
          <w:lang w:eastAsia="zh-CN"/>
        </w:rPr>
      </w:pPr>
      <w:r>
        <w:rPr>
          <w:rFonts w:hint="eastAsia" w:ascii="仿宋" w:hAnsi="仿宋" w:eastAsia="仿宋" w:cs="宋体"/>
          <w:color w:val="000000"/>
          <w:sz w:val="24"/>
          <w:highlight w:val="none"/>
        </w:rPr>
        <w:t>2.6</w:t>
      </w:r>
      <w:r>
        <w:rPr>
          <w:rFonts w:hint="eastAsia" w:ascii="仿宋" w:hAnsi="仿宋" w:eastAsia="仿宋" w:cs="宋体"/>
          <w:b/>
          <w:bCs/>
          <w:color w:val="000000"/>
          <w:sz w:val="24"/>
          <w:highlight w:val="none"/>
        </w:rPr>
        <w:t xml:space="preserve"> 未被列入公司供应商黑名单或已不在禁入期内</w:t>
      </w:r>
      <w:r>
        <w:rPr>
          <w:rFonts w:hint="eastAsia" w:ascii="仿宋" w:hAnsi="仿宋" w:eastAsia="仿宋" w:cs="宋体"/>
          <w:b/>
          <w:bCs/>
          <w:color w:val="000000"/>
          <w:sz w:val="24"/>
          <w:highlight w:val="none"/>
          <w:lang w:eastAsia="zh-CN"/>
        </w:rPr>
        <w:t>：</w:t>
      </w:r>
      <w:r>
        <w:rPr>
          <w:rFonts w:hint="eastAsia" w:ascii="仿宋" w:hAnsi="仿宋" w:eastAsia="仿宋" w:cs="宋体"/>
          <w:color w:val="000000"/>
          <w:sz w:val="24"/>
          <w:highlight w:val="none"/>
          <w:lang w:eastAsia="zh-CN"/>
        </w:rPr>
        <w:t>须提供未被列入黑名单承诺函</w:t>
      </w:r>
    </w:p>
    <w:p w14:paraId="007B4AEA">
      <w:pPr>
        <w:spacing w:line="600" w:lineRule="exact"/>
        <w:ind w:firstLine="720" w:firstLineChars="300"/>
        <w:jc w:val="left"/>
        <w:rPr>
          <w:rFonts w:hint="eastAsia" w:ascii="仿宋" w:hAnsi="仿宋" w:eastAsia="仿宋" w:cs="宋体"/>
          <w:color w:val="000000"/>
          <w:sz w:val="24"/>
          <w:highlight w:val="none"/>
          <w:lang w:val="en-US" w:eastAsia="zh-CN"/>
        </w:rPr>
      </w:pPr>
      <w:r>
        <w:rPr>
          <w:rFonts w:hint="eastAsia" w:ascii="仿宋" w:hAnsi="仿宋" w:eastAsia="仿宋" w:cs="宋体"/>
          <w:color w:val="000000"/>
          <w:sz w:val="24"/>
          <w:highlight w:val="none"/>
        </w:rPr>
        <w:t>2.7</w:t>
      </w:r>
      <w:r>
        <w:rPr>
          <w:rFonts w:hint="eastAsia" w:ascii="仿宋" w:hAnsi="仿宋" w:eastAsia="仿宋" w:cs="宋体"/>
          <w:b/>
          <w:bCs/>
          <w:color w:val="000000"/>
          <w:sz w:val="24"/>
          <w:highlight w:val="none"/>
          <w:lang w:val="en-US" w:eastAsia="zh-CN"/>
        </w:rPr>
        <w:t>单位负责人为同一人或存在控股、管理关系的不同单位，不得参加同一标段/标包磋商响应或未划分标段/标包的同一采购项目的磋商响应：</w:t>
      </w:r>
      <w:r>
        <w:rPr>
          <w:rFonts w:hint="eastAsia" w:ascii="仿宋" w:hAnsi="仿宋" w:eastAsia="仿宋" w:cs="宋体"/>
          <w:color w:val="000000"/>
          <w:sz w:val="24"/>
          <w:highlight w:val="none"/>
        </w:rPr>
        <w:t>需填写《供应商控股及管理关系情况申报表》</w:t>
      </w:r>
    </w:p>
    <w:p w14:paraId="1E6B300E">
      <w:pPr>
        <w:spacing w:line="360" w:lineRule="auto"/>
        <w:ind w:firstLine="720" w:firstLineChars="300"/>
        <w:textAlignment w:val="baseline"/>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2.8</w:t>
      </w:r>
      <w:r>
        <w:rPr>
          <w:rFonts w:hint="eastAsia" w:ascii="仿宋" w:hAnsi="仿宋" w:eastAsia="仿宋" w:cs="宋体"/>
          <w:b/>
          <w:bCs/>
          <w:color w:val="000000"/>
          <w:sz w:val="24"/>
          <w:highlight w:val="none"/>
        </w:rPr>
        <w:t>本项目不接受联合体磋商响应。</w:t>
      </w:r>
    </w:p>
    <w:p w14:paraId="6ECC0191">
      <w:pPr>
        <w:pStyle w:val="4"/>
        <w:ind w:firstLine="0" w:firstLineChars="0"/>
        <w:jc w:val="left"/>
        <w:rPr>
          <w:rFonts w:hint="eastAsia" w:ascii="仿宋" w:hAnsi="仿宋" w:eastAsia="仿宋" w:cs="仿宋"/>
          <w:color w:val="000000"/>
          <w:sz w:val="24"/>
          <w:szCs w:val="24"/>
          <w:highlight w:val="none"/>
        </w:rPr>
      </w:pPr>
      <w:bookmarkStart w:id="11" w:name="_Toc28263"/>
      <w:r>
        <w:rPr>
          <w:rFonts w:hint="eastAsia" w:ascii="仿宋" w:hAnsi="仿宋" w:eastAsia="仿宋" w:cs="仿宋"/>
          <w:color w:val="000000"/>
          <w:sz w:val="24"/>
          <w:szCs w:val="24"/>
          <w:highlight w:val="none"/>
        </w:rPr>
        <w:t>三、资格审查方法</w:t>
      </w:r>
      <w:bookmarkEnd w:id="11"/>
    </w:p>
    <w:p w14:paraId="5496CED0">
      <w:pPr>
        <w:spacing w:line="360" w:lineRule="auto"/>
        <w:ind w:firstLine="480" w:firstLineChars="200"/>
        <w:textAlignment w:val="baseline"/>
        <w:rPr>
          <w:rFonts w:ascii="仿宋" w:hAnsi="仿宋" w:eastAsia="仿宋" w:cs="仿宋"/>
          <w:color w:val="000000"/>
          <w:sz w:val="24"/>
          <w:highlight w:val="none"/>
        </w:rPr>
      </w:pPr>
      <w:r>
        <w:rPr>
          <w:rFonts w:hint="eastAsia" w:ascii="仿宋" w:hAnsi="仿宋" w:eastAsia="仿宋" w:cs="仿宋"/>
          <w:color w:val="000000"/>
          <w:sz w:val="24"/>
          <w:highlight w:val="none"/>
        </w:rPr>
        <w:t>本项目将进行资格</w:t>
      </w:r>
      <w:r>
        <w:rPr>
          <w:rFonts w:hint="eastAsia" w:ascii="仿宋" w:hAnsi="仿宋" w:eastAsia="仿宋" w:cs="仿宋"/>
          <w:color w:val="000000" w:themeColor="text1"/>
          <w:sz w:val="24"/>
          <w:highlight w:val="none"/>
          <w14:textFill>
            <w14:solidFill>
              <w14:schemeClr w14:val="tx1"/>
            </w14:solidFill>
          </w14:textFill>
        </w:rPr>
        <w:t>后审</w:t>
      </w:r>
      <w:r>
        <w:rPr>
          <w:rFonts w:hint="eastAsia" w:ascii="仿宋" w:hAnsi="仿宋" w:eastAsia="仿宋" w:cs="仿宋"/>
          <w:color w:val="000000"/>
          <w:sz w:val="24"/>
          <w:highlight w:val="none"/>
        </w:rPr>
        <w:t>，资格审查方法为合格制，资格审查标准和内容见磋商文件第三章评审办法。未通过资格</w:t>
      </w:r>
      <w:r>
        <w:rPr>
          <w:rFonts w:hint="eastAsia" w:ascii="仿宋" w:hAnsi="仿宋" w:eastAsia="仿宋" w:cs="仿宋"/>
          <w:color w:val="000000" w:themeColor="text1"/>
          <w:sz w:val="24"/>
          <w:highlight w:val="none"/>
          <w14:textFill>
            <w14:solidFill>
              <w14:schemeClr w14:val="tx1"/>
            </w14:solidFill>
          </w14:textFill>
        </w:rPr>
        <w:t>后审</w:t>
      </w:r>
      <w:r>
        <w:rPr>
          <w:rFonts w:hint="eastAsia" w:ascii="仿宋" w:hAnsi="仿宋" w:eastAsia="仿宋" w:cs="仿宋"/>
          <w:color w:val="000000"/>
          <w:sz w:val="24"/>
          <w:highlight w:val="none"/>
        </w:rPr>
        <w:t>的供应商，响应文件将被否决，不进入磋商、详细评审等后续环节。</w:t>
      </w:r>
    </w:p>
    <w:p w14:paraId="144757B9">
      <w:pPr>
        <w:pStyle w:val="4"/>
        <w:spacing w:after="240"/>
        <w:ind w:firstLine="0" w:firstLineChars="0"/>
        <w:jc w:val="left"/>
        <w:rPr>
          <w:rFonts w:hint="eastAsia" w:ascii="仿宋" w:hAnsi="仿宋" w:eastAsia="仿宋" w:cs="仿宋"/>
          <w:color w:val="000000"/>
          <w:sz w:val="24"/>
          <w:szCs w:val="24"/>
          <w:highlight w:val="none"/>
        </w:rPr>
      </w:pPr>
      <w:bookmarkStart w:id="12" w:name="_Toc2019"/>
      <w:r>
        <w:rPr>
          <w:rFonts w:hint="eastAsia" w:ascii="仿宋" w:hAnsi="仿宋" w:eastAsia="仿宋" w:cs="仿宋"/>
          <w:color w:val="000000"/>
          <w:sz w:val="24"/>
          <w:szCs w:val="24"/>
          <w:highlight w:val="none"/>
        </w:rPr>
        <w:t>四、磋商文件的获取</w:t>
      </w:r>
      <w:bookmarkEnd w:id="12"/>
    </w:p>
    <w:p w14:paraId="3F0B35E9">
      <w:pPr>
        <w:pStyle w:val="82"/>
        <w:adjustRightInd w:val="0"/>
        <w:snapToGrid w:val="0"/>
        <w:ind w:firstLineChars="175"/>
        <w:jc w:val="left"/>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ascii="仿宋" w:hAnsi="仿宋" w:eastAsia="仿宋" w:cs="仿宋"/>
          <w:color w:val="000000"/>
          <w:sz w:val="24"/>
          <w:szCs w:val="24"/>
          <w:highlight w:val="none"/>
        </w:rPr>
        <w:t>4</w:t>
      </w:r>
      <w:r>
        <w:rPr>
          <w:rFonts w:hint="eastAsia" w:ascii="仿宋" w:hAnsi="仿宋" w:eastAsia="仿宋" w:cs="仿宋"/>
          <w:color w:val="000000"/>
          <w:sz w:val="24"/>
          <w:szCs w:val="24"/>
          <w:highlight w:val="none"/>
        </w:rPr>
        <w:t>.1磋商文件</w:t>
      </w:r>
      <w:r>
        <w:rPr>
          <w:rFonts w:hint="eastAsia" w:ascii="仿宋" w:hAnsi="仿宋" w:eastAsia="仿宋" w:cs="宋体"/>
          <w:color w:val="000000"/>
          <w:sz w:val="24"/>
          <w:szCs w:val="24"/>
          <w:highlight w:val="none"/>
        </w:rPr>
        <w:t>获取</w:t>
      </w:r>
      <w:r>
        <w:rPr>
          <w:rFonts w:hint="eastAsia" w:ascii="仿宋" w:hAnsi="仿宋" w:eastAsia="仿宋" w:cs="仿宋"/>
          <w:color w:val="000000"/>
          <w:sz w:val="24"/>
          <w:szCs w:val="24"/>
          <w:highlight w:val="none"/>
        </w:rPr>
        <w:t>时间：</w:t>
      </w:r>
      <w:r>
        <w:rPr>
          <w:rFonts w:hint="eastAsia" w:ascii="仿宋" w:hAnsi="仿宋" w:eastAsia="仿宋" w:cs="宋体"/>
          <w:b/>
          <w:color w:val="000000" w:themeColor="text1"/>
          <w:sz w:val="24"/>
          <w:szCs w:val="24"/>
          <w:highlight w:val="none"/>
          <w:u w:val="single"/>
          <w14:textFill>
            <w14:solidFill>
              <w14:schemeClr w14:val="tx1"/>
            </w14:solidFill>
          </w14:textFill>
        </w:rPr>
        <w:t>202</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6</w:t>
      </w:r>
      <w:r>
        <w:rPr>
          <w:rFonts w:hint="eastAsia" w:ascii="仿宋" w:hAnsi="仿宋" w:eastAsia="仿宋" w:cs="宋体"/>
          <w:b/>
          <w:color w:val="000000" w:themeColor="text1"/>
          <w:sz w:val="24"/>
          <w:szCs w:val="24"/>
          <w:highlight w:val="none"/>
          <w:u w:val="single"/>
          <w14:textFill>
            <w14:solidFill>
              <w14:schemeClr w14:val="tx1"/>
            </w14:solidFill>
          </w14:textFill>
        </w:rPr>
        <w:t>年</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8</w:t>
      </w:r>
      <w:r>
        <w:rPr>
          <w:rFonts w:hint="eastAsia" w:ascii="仿宋" w:hAnsi="仿宋" w:eastAsia="仿宋" w:cs="宋体"/>
          <w:b/>
          <w:color w:val="000000" w:themeColor="text1"/>
          <w:sz w:val="24"/>
          <w:szCs w:val="24"/>
          <w:highlight w:val="none"/>
          <w:u w:val="single"/>
          <w14:textFill>
            <w14:solidFill>
              <w14:schemeClr w14:val="tx1"/>
            </w14:solidFill>
          </w14:textFill>
        </w:rPr>
        <w:t>月</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17</w:t>
      </w:r>
      <w:r>
        <w:rPr>
          <w:rFonts w:hint="eastAsia" w:ascii="仿宋" w:hAnsi="仿宋" w:eastAsia="仿宋" w:cs="宋体"/>
          <w:b/>
          <w:color w:val="000000" w:themeColor="text1"/>
          <w:sz w:val="24"/>
          <w:szCs w:val="24"/>
          <w:highlight w:val="none"/>
          <w:u w:val="single"/>
          <w14:textFill>
            <w14:solidFill>
              <w14:schemeClr w14:val="tx1"/>
            </w14:solidFill>
          </w14:textFill>
        </w:rPr>
        <w:t>日</w:t>
      </w:r>
      <w:r>
        <w:rPr>
          <w:rFonts w:hint="eastAsia" w:ascii="仿宋" w:hAnsi="仿宋" w:eastAsia="仿宋" w:cs="宋体"/>
          <w:b/>
          <w:color w:val="000000" w:themeColor="text1"/>
          <w:sz w:val="24"/>
          <w:szCs w:val="24"/>
          <w:highlight w:val="none"/>
          <w14:textFill>
            <w14:solidFill>
              <w14:schemeClr w14:val="tx1"/>
            </w14:solidFill>
          </w14:textFill>
        </w:rPr>
        <w:t>至</w:t>
      </w:r>
      <w:r>
        <w:rPr>
          <w:rFonts w:hint="eastAsia" w:ascii="仿宋" w:hAnsi="仿宋" w:eastAsia="仿宋" w:cs="宋体"/>
          <w:b/>
          <w:color w:val="000000" w:themeColor="text1"/>
          <w:sz w:val="24"/>
          <w:szCs w:val="24"/>
          <w:highlight w:val="none"/>
          <w:u w:val="single"/>
          <w14:textFill>
            <w14:solidFill>
              <w14:schemeClr w14:val="tx1"/>
            </w14:solidFill>
          </w14:textFill>
        </w:rPr>
        <w:t>202</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6</w:t>
      </w:r>
      <w:r>
        <w:rPr>
          <w:rFonts w:hint="eastAsia" w:ascii="仿宋" w:hAnsi="仿宋" w:eastAsia="仿宋" w:cs="宋体"/>
          <w:b/>
          <w:color w:val="000000" w:themeColor="text1"/>
          <w:sz w:val="24"/>
          <w:szCs w:val="24"/>
          <w:highlight w:val="none"/>
          <w:u w:val="single"/>
          <w14:textFill>
            <w14:solidFill>
              <w14:schemeClr w14:val="tx1"/>
            </w14:solidFill>
          </w14:textFill>
        </w:rPr>
        <w:t>年</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8</w:t>
      </w:r>
      <w:r>
        <w:rPr>
          <w:rFonts w:hint="eastAsia" w:ascii="仿宋" w:hAnsi="仿宋" w:eastAsia="仿宋" w:cs="宋体"/>
          <w:b/>
          <w:color w:val="000000" w:themeColor="text1"/>
          <w:sz w:val="24"/>
          <w:szCs w:val="24"/>
          <w:highlight w:val="none"/>
          <w:u w:val="single"/>
          <w14:textFill>
            <w14:solidFill>
              <w14:schemeClr w14:val="tx1"/>
            </w14:solidFill>
          </w14:textFill>
        </w:rPr>
        <w:t>月</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21</w:t>
      </w:r>
      <w:r>
        <w:rPr>
          <w:rFonts w:hint="eastAsia" w:ascii="仿宋" w:hAnsi="仿宋" w:eastAsia="仿宋" w:cs="宋体"/>
          <w:b/>
          <w:color w:val="000000" w:themeColor="text1"/>
          <w:sz w:val="24"/>
          <w:szCs w:val="24"/>
          <w:highlight w:val="none"/>
          <w:u w:val="single"/>
          <w14:textFill>
            <w14:solidFill>
              <w14:schemeClr w14:val="tx1"/>
            </w14:solidFill>
          </w14:textFill>
        </w:rPr>
        <w:t>日，</w:t>
      </w:r>
      <w:r>
        <w:rPr>
          <w:rFonts w:hint="eastAsia" w:ascii="仿宋" w:hAnsi="仿宋" w:eastAsia="仿宋" w:cs="宋体"/>
          <w:b/>
          <w:color w:val="000000" w:themeColor="text1"/>
          <w:sz w:val="24"/>
          <w:szCs w:val="24"/>
          <w:highlight w:val="none"/>
          <w:u w:val="single"/>
          <w:lang w:val="en-US" w:eastAsia="zh-CN"/>
          <w14:textFill>
            <w14:solidFill>
              <w14:schemeClr w14:val="tx1"/>
            </w14:solidFill>
          </w14:textFill>
        </w:rPr>
        <w:t>10</w:t>
      </w:r>
      <w:r>
        <w:rPr>
          <w:rFonts w:hint="eastAsia" w:ascii="仿宋" w:hAnsi="仿宋" w:eastAsia="仿宋" w:cs="宋体"/>
          <w:b/>
          <w:bCs/>
          <w:color w:val="000000" w:themeColor="text1"/>
          <w:sz w:val="24"/>
          <w:szCs w:val="24"/>
          <w:highlight w:val="none"/>
          <w14:textFill>
            <w14:solidFill>
              <w14:schemeClr w14:val="tx1"/>
            </w14:solidFill>
          </w14:textFill>
        </w:rPr>
        <w:t>时</w:t>
      </w: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00分</w:t>
      </w:r>
      <w:r>
        <w:rPr>
          <w:rFonts w:hint="eastAsia" w:ascii="仿宋" w:hAnsi="仿宋" w:eastAsia="仿宋" w:cs="宋体"/>
          <w:b/>
          <w:bCs/>
          <w:color w:val="000000" w:themeColor="text1"/>
          <w:sz w:val="24"/>
          <w:szCs w:val="24"/>
          <w:highlight w:val="none"/>
          <w14:textFill>
            <w14:solidFill>
              <w14:schemeClr w14:val="tx1"/>
            </w14:solidFill>
          </w14:textFill>
        </w:rPr>
        <w:t>至</w:t>
      </w: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23</w:t>
      </w:r>
      <w:r>
        <w:rPr>
          <w:rFonts w:hint="eastAsia" w:ascii="仿宋" w:hAnsi="仿宋" w:eastAsia="仿宋" w:cs="宋体"/>
          <w:b/>
          <w:bCs/>
          <w:color w:val="000000" w:themeColor="text1"/>
          <w:sz w:val="24"/>
          <w:szCs w:val="24"/>
          <w:highlight w:val="none"/>
          <w14:textFill>
            <w14:solidFill>
              <w14:schemeClr w14:val="tx1"/>
            </w14:solidFill>
          </w14:textFill>
        </w:rPr>
        <w:t>时</w:t>
      </w:r>
      <w:r>
        <w:rPr>
          <w:rFonts w:hint="eastAsia" w:ascii="仿宋" w:hAnsi="仿宋" w:eastAsia="仿宋" w:cs="宋体"/>
          <w:b/>
          <w:bCs/>
          <w:color w:val="000000" w:themeColor="text1"/>
          <w:sz w:val="24"/>
          <w:szCs w:val="24"/>
          <w:highlight w:val="none"/>
          <w:lang w:val="en-US" w:eastAsia="zh-CN"/>
          <w14:textFill>
            <w14:solidFill>
              <w14:schemeClr w14:val="tx1"/>
            </w14:solidFill>
          </w14:textFill>
        </w:rPr>
        <w:t>59分</w:t>
      </w:r>
      <w:r>
        <w:rPr>
          <w:rFonts w:hint="eastAsia" w:ascii="仿宋" w:hAnsi="仿宋" w:eastAsia="仿宋" w:cs="宋体"/>
          <w:b/>
          <w:bCs/>
          <w:color w:val="000000" w:themeColor="text1"/>
          <w:sz w:val="24"/>
          <w:szCs w:val="24"/>
          <w:highlight w:val="none"/>
          <w14:textFill>
            <w14:solidFill>
              <w14:schemeClr w14:val="tx1"/>
            </w14:solidFill>
          </w14:textFill>
        </w:rPr>
        <w:t>（北京时间，下同）。</w:t>
      </w:r>
    </w:p>
    <w:p w14:paraId="48E0B88C">
      <w:pPr>
        <w:pStyle w:val="13"/>
        <w:spacing w:line="360" w:lineRule="auto"/>
        <w:ind w:firstLine="480" w:firstLineChars="200"/>
        <w:rPr>
          <w:rFonts w:hint="eastAsia" w:ascii="仿宋" w:hAnsi="仿宋" w:eastAsia="仿宋" w:cs="仿宋_GB2312"/>
          <w:sz w:val="24"/>
          <w:szCs w:val="24"/>
          <w:highlight w:val="none"/>
        </w:rPr>
      </w:pPr>
      <w:r>
        <w:rPr>
          <w:rFonts w:ascii="仿宋" w:hAnsi="仿宋" w:eastAsia="仿宋" w:cs="宋体"/>
          <w:color w:val="000000"/>
          <w:sz w:val="24"/>
          <w:highlight w:val="none"/>
        </w:rPr>
        <w:t>4</w:t>
      </w:r>
      <w:r>
        <w:rPr>
          <w:rFonts w:hint="eastAsia" w:ascii="仿宋" w:hAnsi="仿宋" w:eastAsia="仿宋" w:cs="宋体"/>
          <w:color w:val="000000"/>
          <w:sz w:val="24"/>
          <w:highlight w:val="none"/>
        </w:rPr>
        <w:t>.2拟报名参加本项目的供应商，</w:t>
      </w:r>
      <w:r>
        <w:rPr>
          <w:rFonts w:hint="eastAsia" w:ascii="仿宋" w:hAnsi="仿宋" w:eastAsia="仿宋" w:cs="宋体"/>
          <w:color w:val="000000" w:themeColor="text1"/>
          <w:sz w:val="24"/>
          <w:highlight w:val="none"/>
          <w14:textFill>
            <w14:solidFill>
              <w14:schemeClr w14:val="tx1"/>
            </w14:solidFill>
          </w14:textFill>
        </w:rPr>
        <w:t>请</w:t>
      </w:r>
      <w:r>
        <w:rPr>
          <w:rFonts w:hint="eastAsia" w:ascii="仿宋" w:hAnsi="仿宋" w:eastAsia="仿宋" w:cs="宋体"/>
          <w:color w:val="000000" w:themeColor="text1"/>
          <w:sz w:val="24"/>
          <w:highlight w:val="none"/>
          <w:lang w:val="en-US" w:eastAsia="zh-CN"/>
          <w14:textFill>
            <w14:solidFill>
              <w14:schemeClr w14:val="tx1"/>
            </w14:solidFill>
          </w14:textFill>
        </w:rPr>
        <w:t>通过“人保e采”外网门户</w:t>
      </w:r>
      <w:r>
        <w:rPr>
          <w:rFonts w:hint="eastAsia" w:ascii="仿宋" w:hAnsi="仿宋" w:eastAsia="仿宋" w:cs="宋体"/>
          <w:color w:val="000000" w:themeColor="text1"/>
          <w:sz w:val="24"/>
          <w:highlight w:val="none"/>
          <w14:textFill>
            <w14:solidFill>
              <w14:schemeClr w14:val="tx1"/>
            </w14:solidFill>
          </w14:textFill>
        </w:rPr>
        <w:t>申请获取</w:t>
      </w:r>
      <w:r>
        <w:rPr>
          <w:rFonts w:hint="eastAsia" w:ascii="仿宋" w:hAnsi="仿宋" w:eastAsia="仿宋" w:cs="宋体"/>
          <w:color w:val="000000" w:themeColor="text1"/>
          <w:sz w:val="24"/>
          <w:highlight w:val="none"/>
          <w:lang w:val="en-US" w:eastAsia="zh-CN"/>
          <w14:textFill>
            <w14:solidFill>
              <w14:schemeClr w14:val="tx1"/>
            </w14:solidFill>
          </w14:textFill>
        </w:rPr>
        <w:t>磋商</w:t>
      </w:r>
      <w:r>
        <w:rPr>
          <w:rFonts w:hint="eastAsia" w:ascii="仿宋" w:hAnsi="仿宋" w:eastAsia="仿宋" w:cs="宋体"/>
          <w:color w:val="000000" w:themeColor="text1"/>
          <w:sz w:val="24"/>
          <w:highlight w:val="none"/>
          <w14:textFill>
            <w14:solidFill>
              <w14:schemeClr w14:val="tx1"/>
            </w14:solidFill>
          </w14:textFill>
        </w:rPr>
        <w:t>文件</w:t>
      </w:r>
      <w:r>
        <w:rPr>
          <w:rFonts w:hint="eastAsia" w:ascii="仿宋" w:hAnsi="仿宋" w:eastAsia="仿宋" w:cs="仿宋_GB2312"/>
          <w:color w:val="000000" w:themeColor="text1"/>
          <w:sz w:val="24"/>
          <w:szCs w:val="24"/>
          <w:highlight w:val="none"/>
          <w14:textFill>
            <w14:solidFill>
              <w14:schemeClr w14:val="tx1"/>
            </w14:solidFill>
          </w14:textFill>
        </w:rPr>
        <w:t>。</w:t>
      </w:r>
    </w:p>
    <w:p w14:paraId="33F0F0B6">
      <w:pPr>
        <w:pStyle w:val="4"/>
        <w:ind w:firstLine="0" w:firstLineChars="0"/>
        <w:jc w:val="left"/>
        <w:rPr>
          <w:rFonts w:hint="eastAsia" w:ascii="仿宋" w:hAnsi="仿宋" w:eastAsia="仿宋" w:cs="仿宋"/>
          <w:color w:val="000000"/>
          <w:sz w:val="24"/>
          <w:szCs w:val="24"/>
          <w:highlight w:val="none"/>
        </w:rPr>
      </w:pPr>
      <w:bookmarkStart w:id="13" w:name="_Toc32115"/>
      <w:r>
        <w:rPr>
          <w:rFonts w:hint="eastAsia" w:ascii="仿宋" w:hAnsi="仿宋" w:eastAsia="仿宋" w:cs="仿宋"/>
          <w:color w:val="000000"/>
          <w:sz w:val="24"/>
          <w:szCs w:val="24"/>
          <w:highlight w:val="none"/>
        </w:rPr>
        <w:t>五、响应文件的递交</w:t>
      </w:r>
      <w:bookmarkEnd w:id="13"/>
    </w:p>
    <w:p w14:paraId="27633719">
      <w:pPr>
        <w:spacing w:line="360" w:lineRule="auto"/>
        <w:ind w:firstLine="480" w:firstLineChars="200"/>
        <w:textAlignment w:val="baseline"/>
        <w:rPr>
          <w:rFonts w:hint="eastAsia" w:ascii="仿宋" w:hAnsi="仿宋" w:eastAsia="仿宋" w:cs="宋体"/>
          <w:b/>
          <w:bCs/>
          <w:color w:val="000000" w:themeColor="text1"/>
          <w:sz w:val="24"/>
          <w:highlight w:val="none"/>
          <w:lang w:eastAsia="zh-CN"/>
          <w14:textFill>
            <w14:solidFill>
              <w14:schemeClr w14:val="tx1"/>
            </w14:solidFill>
          </w14:textFill>
        </w:rPr>
      </w:pPr>
      <w:r>
        <w:rPr>
          <w:rFonts w:ascii="仿宋" w:hAnsi="仿宋" w:eastAsia="仿宋" w:cs="宋体"/>
          <w:color w:val="000000"/>
          <w:sz w:val="24"/>
          <w:highlight w:val="none"/>
        </w:rPr>
        <w:t>5</w:t>
      </w:r>
      <w:r>
        <w:rPr>
          <w:rFonts w:hint="eastAsia" w:ascii="仿宋" w:hAnsi="仿宋" w:eastAsia="仿宋" w:cs="宋体"/>
          <w:color w:val="000000"/>
          <w:sz w:val="24"/>
          <w:highlight w:val="none"/>
        </w:rPr>
        <w:t>.1响应文件递交截止时间：</w:t>
      </w:r>
      <w:r>
        <w:rPr>
          <w:rFonts w:hint="eastAsia" w:ascii="仿宋" w:hAnsi="仿宋" w:eastAsia="仿宋" w:cs="宋体"/>
          <w:b/>
          <w:bCs/>
          <w:color w:val="000000" w:themeColor="text1"/>
          <w:sz w:val="24"/>
          <w:highlight w:val="none"/>
          <w:u w:val="single"/>
          <w14:textFill>
            <w14:solidFill>
              <w14:schemeClr w14:val="tx1"/>
            </w14:solidFill>
          </w14:textFill>
        </w:rPr>
        <w:t>20</w:t>
      </w:r>
      <w:r>
        <w:rPr>
          <w:rFonts w:hint="eastAsia" w:ascii="仿宋" w:hAnsi="仿宋" w:eastAsia="仿宋" w:cs="宋体"/>
          <w:b/>
          <w:bCs/>
          <w:color w:val="000000" w:themeColor="text1"/>
          <w:sz w:val="24"/>
          <w:highlight w:val="none"/>
          <w:u w:val="single"/>
          <w:lang w:val="en-US" w:eastAsia="zh-CN"/>
          <w14:textFill>
            <w14:solidFill>
              <w14:schemeClr w14:val="tx1"/>
            </w14:solidFill>
          </w14:textFill>
        </w:rPr>
        <w:t>26</w:t>
      </w:r>
      <w:r>
        <w:rPr>
          <w:rFonts w:hint="eastAsia" w:ascii="仿宋" w:hAnsi="仿宋" w:eastAsia="仿宋" w:cs="宋体"/>
          <w:b/>
          <w:bCs/>
          <w:color w:val="000000" w:themeColor="text1"/>
          <w:sz w:val="24"/>
          <w:highlight w:val="none"/>
          <w:u w:val="single"/>
          <w14:textFill>
            <w14:solidFill>
              <w14:schemeClr w14:val="tx1"/>
            </w14:solidFill>
          </w14:textFill>
        </w:rPr>
        <w:t>年</w:t>
      </w:r>
      <w:r>
        <w:rPr>
          <w:rFonts w:hint="eastAsia" w:ascii="仿宋" w:hAnsi="仿宋" w:eastAsia="仿宋" w:cs="宋体"/>
          <w:b/>
          <w:bCs/>
          <w:color w:val="000000" w:themeColor="text1"/>
          <w:sz w:val="24"/>
          <w:highlight w:val="none"/>
          <w:u w:val="single"/>
          <w:lang w:val="en-US" w:eastAsia="zh-CN"/>
          <w14:textFill>
            <w14:solidFill>
              <w14:schemeClr w14:val="tx1"/>
            </w14:solidFill>
          </w14:textFill>
        </w:rPr>
        <w:t>8</w:t>
      </w:r>
      <w:r>
        <w:rPr>
          <w:rFonts w:hint="eastAsia" w:ascii="仿宋" w:hAnsi="仿宋" w:eastAsia="仿宋" w:cs="宋体"/>
          <w:b/>
          <w:bCs/>
          <w:color w:val="000000" w:themeColor="text1"/>
          <w:sz w:val="24"/>
          <w:highlight w:val="none"/>
          <w:u w:val="single"/>
          <w14:textFill>
            <w14:solidFill>
              <w14:schemeClr w14:val="tx1"/>
            </w14:solidFill>
          </w14:textFill>
        </w:rPr>
        <w:t>月</w:t>
      </w:r>
      <w:r>
        <w:rPr>
          <w:rFonts w:hint="eastAsia" w:ascii="仿宋" w:hAnsi="仿宋" w:eastAsia="仿宋" w:cs="宋体"/>
          <w:b/>
          <w:bCs/>
          <w:color w:val="000000" w:themeColor="text1"/>
          <w:sz w:val="24"/>
          <w:highlight w:val="none"/>
          <w:u w:val="single"/>
          <w:lang w:val="en-US" w:eastAsia="zh-CN"/>
          <w14:textFill>
            <w14:solidFill>
              <w14:schemeClr w14:val="tx1"/>
            </w14:solidFill>
          </w14:textFill>
        </w:rPr>
        <w:t>25</w:t>
      </w:r>
      <w:r>
        <w:rPr>
          <w:rFonts w:hint="eastAsia" w:ascii="仿宋" w:hAnsi="仿宋" w:eastAsia="仿宋" w:cs="宋体"/>
          <w:b/>
          <w:bCs/>
          <w:color w:val="000000" w:themeColor="text1"/>
          <w:sz w:val="24"/>
          <w:highlight w:val="none"/>
          <w:u w:val="single"/>
          <w14:textFill>
            <w14:solidFill>
              <w14:schemeClr w14:val="tx1"/>
            </w14:solidFill>
          </w14:textFill>
        </w:rPr>
        <w:t>日</w:t>
      </w:r>
      <w:r>
        <w:rPr>
          <w:rFonts w:hint="eastAsia" w:ascii="仿宋" w:hAnsi="仿宋" w:eastAsia="仿宋" w:cs="宋体"/>
          <w:b/>
          <w:bCs/>
          <w:color w:val="000000" w:themeColor="text1"/>
          <w:sz w:val="24"/>
          <w:highlight w:val="none"/>
          <w:u w:val="single"/>
          <w:lang w:val="en-US" w:eastAsia="zh-CN"/>
          <w14:textFill>
            <w14:solidFill>
              <w14:schemeClr w14:val="tx1"/>
            </w14:solidFill>
          </w14:textFill>
        </w:rPr>
        <w:t>14</w:t>
      </w:r>
      <w:r>
        <w:rPr>
          <w:rFonts w:hint="eastAsia" w:ascii="仿宋" w:hAnsi="仿宋" w:eastAsia="仿宋" w:cs="宋体"/>
          <w:b/>
          <w:bCs/>
          <w:color w:val="000000" w:themeColor="text1"/>
          <w:sz w:val="24"/>
          <w:highlight w:val="none"/>
          <w:u w:val="single"/>
          <w14:textFill>
            <w14:solidFill>
              <w14:schemeClr w14:val="tx1"/>
            </w14:solidFill>
          </w14:textFill>
        </w:rPr>
        <w:t>时</w:t>
      </w:r>
      <w:r>
        <w:rPr>
          <w:rFonts w:hint="eastAsia" w:ascii="仿宋" w:hAnsi="仿宋" w:eastAsia="仿宋" w:cs="宋体"/>
          <w:b/>
          <w:bCs/>
          <w:color w:val="000000" w:themeColor="text1"/>
          <w:sz w:val="24"/>
          <w:highlight w:val="none"/>
          <w:u w:val="single"/>
          <w:lang w:val="en-US" w:eastAsia="zh-CN"/>
          <w14:textFill>
            <w14:solidFill>
              <w14:schemeClr w14:val="tx1"/>
            </w14:solidFill>
          </w14:textFill>
        </w:rPr>
        <w:t>30</w:t>
      </w:r>
      <w:r>
        <w:rPr>
          <w:rFonts w:hint="eastAsia" w:ascii="仿宋" w:hAnsi="仿宋" w:eastAsia="仿宋" w:cs="宋体"/>
          <w:b/>
          <w:bCs/>
          <w:color w:val="000000" w:themeColor="text1"/>
          <w:sz w:val="24"/>
          <w:highlight w:val="none"/>
          <w:u w:val="single"/>
          <w14:textFill>
            <w14:solidFill>
              <w14:schemeClr w14:val="tx1"/>
            </w14:solidFill>
          </w14:textFill>
        </w:rPr>
        <w:t>分</w:t>
      </w:r>
      <w:r>
        <w:rPr>
          <w:rFonts w:hint="eastAsia" w:ascii="仿宋" w:hAnsi="仿宋" w:eastAsia="仿宋" w:cs="宋体"/>
          <w:b/>
          <w:bCs/>
          <w:color w:val="000000" w:themeColor="text1"/>
          <w:sz w:val="24"/>
          <w:highlight w:val="none"/>
          <w14:textFill>
            <w14:solidFill>
              <w14:schemeClr w14:val="tx1"/>
            </w14:solidFill>
          </w14:textFill>
        </w:rPr>
        <w:t>。</w:t>
      </w:r>
    </w:p>
    <w:p w14:paraId="0163CF19">
      <w:pPr>
        <w:spacing w:line="360" w:lineRule="auto"/>
        <w:ind w:firstLine="480" w:firstLineChars="200"/>
        <w:jc w:val="left"/>
        <w:textAlignment w:val="baseline"/>
        <w:rPr>
          <w:rFonts w:hint="eastAsia"/>
          <w:highlight w:val="none"/>
        </w:rPr>
      </w:pPr>
      <w:r>
        <w:rPr>
          <w:rFonts w:hint="eastAsia" w:ascii="仿宋" w:hAnsi="仿宋" w:eastAsia="仿宋" w:cs="宋体"/>
          <w:color w:val="000000"/>
          <w:sz w:val="24"/>
          <w:highlight w:val="none"/>
        </w:rPr>
        <w:t>5.2响应文件的递交：</w:t>
      </w:r>
      <w:r>
        <w:rPr>
          <w:rFonts w:hint="eastAsia" w:ascii="仿宋" w:hAnsi="仿宋" w:eastAsia="仿宋" w:cs="宋体"/>
          <w:color w:val="000000" w:themeColor="text1"/>
          <w:sz w:val="24"/>
          <w:highlight w:val="none"/>
          <w14:textFill>
            <w14:solidFill>
              <w14:schemeClr w14:val="tx1"/>
            </w14:solidFill>
          </w14:textFill>
        </w:rPr>
        <w:t>须现场递交至</w:t>
      </w:r>
      <w:r>
        <w:rPr>
          <w:rFonts w:hint="eastAsia" w:ascii="仿宋" w:hAnsi="仿宋" w:eastAsia="仿宋" w:cs="宋体"/>
          <w:color w:val="000000" w:themeColor="text1"/>
          <w:sz w:val="24"/>
          <w:highlight w:val="none"/>
          <w:lang w:eastAsia="zh-CN"/>
          <w14:textFill>
            <w14:solidFill>
              <w14:schemeClr w14:val="tx1"/>
            </w14:solidFill>
          </w14:textFill>
        </w:rPr>
        <w:t>中国人民财产保险股份有限公司景德镇市河西支公司二楼会议室</w:t>
      </w:r>
      <w:r>
        <w:rPr>
          <w:rFonts w:hint="eastAsia" w:ascii="仿宋" w:hAnsi="仿宋" w:eastAsia="仿宋" w:cs="宋体"/>
          <w:color w:val="000000"/>
          <w:sz w:val="24"/>
          <w:highlight w:val="none"/>
        </w:rPr>
        <w:t>，</w:t>
      </w:r>
      <w:r>
        <w:rPr>
          <w:rFonts w:hint="eastAsia" w:ascii="仿宋" w:hAnsi="仿宋" w:eastAsia="仿宋" w:cs="宋体"/>
          <w:b/>
          <w:bCs/>
          <w:color w:val="000000"/>
          <w:sz w:val="24"/>
          <w:highlight w:val="none"/>
        </w:rPr>
        <w:t>逾期送达或者未送达指定地点或者未按照磋商文件要求封装的纸质响应文件不予接收。</w:t>
      </w:r>
    </w:p>
    <w:p w14:paraId="66F10D1E">
      <w:pPr>
        <w:spacing w:line="360" w:lineRule="auto"/>
        <w:ind w:firstLine="480" w:firstLineChars="200"/>
        <w:textAlignment w:val="baseline"/>
        <w:rPr>
          <w:rFonts w:hint="eastAsia" w:ascii="仿宋" w:hAnsi="仿宋" w:eastAsia="仿宋" w:cs="宋体"/>
          <w:b w:val="0"/>
          <w:bCs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5.3</w:t>
      </w:r>
      <w:r>
        <w:rPr>
          <w:rFonts w:hint="eastAsia" w:ascii="仿宋" w:hAnsi="仿宋" w:eastAsia="仿宋" w:cs="宋体"/>
          <w:b w:val="0"/>
          <w:bCs w:val="0"/>
          <w:color w:val="000000"/>
          <w:kern w:val="2"/>
          <w:sz w:val="24"/>
          <w:szCs w:val="24"/>
          <w:highlight w:val="none"/>
          <w:lang w:val="en-US" w:eastAsia="zh-CN" w:bidi="ar-SA"/>
        </w:rPr>
        <w:t>本项目将于上述同一时间、地点进行磋商，</w:t>
      </w:r>
      <w:r>
        <w:rPr>
          <w:rFonts w:hint="eastAsia" w:ascii="仿宋" w:hAnsi="仿宋" w:eastAsia="仿宋" w:cs="宋体"/>
          <w:b w:val="0"/>
          <w:bCs w:val="0"/>
          <w:color w:val="auto"/>
          <w:kern w:val="2"/>
          <w:sz w:val="24"/>
          <w:szCs w:val="24"/>
          <w:highlight w:val="none"/>
          <w:lang w:val="en-US" w:eastAsia="zh-CN" w:bidi="ar-SA"/>
        </w:rPr>
        <w:t>采购人/采购代理机构邀</w:t>
      </w:r>
      <w:r>
        <w:rPr>
          <w:rFonts w:hint="eastAsia" w:ascii="仿宋" w:hAnsi="仿宋" w:eastAsia="仿宋" w:cs="宋体"/>
          <w:b w:val="0"/>
          <w:bCs w:val="0"/>
          <w:color w:val="000000"/>
          <w:kern w:val="2"/>
          <w:sz w:val="24"/>
          <w:szCs w:val="24"/>
          <w:highlight w:val="none"/>
          <w:lang w:val="en-US" w:eastAsia="zh-CN" w:bidi="ar-SA"/>
        </w:rPr>
        <w:t>请供应商代表准时参加。</w:t>
      </w:r>
    </w:p>
    <w:p w14:paraId="64629321">
      <w:pPr>
        <w:spacing w:line="360" w:lineRule="auto"/>
        <w:ind w:firstLine="480" w:firstLineChars="200"/>
        <w:textAlignment w:val="baseline"/>
        <w:rPr>
          <w:rFonts w:hint="eastAsia" w:ascii="仿宋" w:hAnsi="仿宋" w:eastAsia="仿宋" w:cs="宋体"/>
          <w:b/>
          <w:bCs/>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w:t>
      </w:r>
      <w:r>
        <w:rPr>
          <w:rFonts w:hint="eastAsia" w:ascii="仿宋" w:hAnsi="仿宋" w:eastAsia="仿宋" w:cs="宋体"/>
          <w:b/>
          <w:bCs/>
          <w:color w:val="000000"/>
          <w:kern w:val="2"/>
          <w:sz w:val="24"/>
          <w:szCs w:val="24"/>
          <w:highlight w:val="none"/>
          <w:lang w:val="en-US" w:eastAsia="zh-CN" w:bidi="ar-SA"/>
        </w:rPr>
        <w:t>出现以下情形之一时，采购人/采购代理机构不予接收投标文件：</w:t>
      </w:r>
    </w:p>
    <w:p w14:paraId="5E00DD34">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5.4.1  逾期送达或者未送达指定地点的；</w:t>
      </w:r>
    </w:p>
    <w:p w14:paraId="4EB9F776">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5.4.2  未按照响应文件要求密封的；</w:t>
      </w:r>
    </w:p>
    <w:p w14:paraId="37A5CB79">
      <w:pPr>
        <w:spacing w:line="360" w:lineRule="auto"/>
        <w:ind w:firstLine="480" w:firstLineChars="200"/>
        <w:textAlignment w:val="baseline"/>
        <w:rPr>
          <w:rFonts w:hint="eastAsia" w:ascii="仿宋" w:hAnsi="仿宋" w:eastAsia="仿宋" w:cs="宋体"/>
          <w:color w:val="000000"/>
          <w:sz w:val="24"/>
          <w:highlight w:val="none"/>
        </w:rPr>
      </w:pPr>
      <w:r>
        <w:rPr>
          <w:rFonts w:hint="eastAsia" w:ascii="仿宋" w:hAnsi="仿宋" w:eastAsia="仿宋" w:cs="宋体"/>
          <w:b w:val="0"/>
          <w:color w:val="000000"/>
          <w:kern w:val="2"/>
          <w:sz w:val="24"/>
          <w:szCs w:val="24"/>
          <w:highlight w:val="none"/>
          <w:lang w:val="en-US" w:eastAsia="zh-CN" w:bidi="ar-SA"/>
        </w:rPr>
        <w:t>5.4.3  未按照磋商公告要求获取磋商文件的。</w:t>
      </w:r>
    </w:p>
    <w:p w14:paraId="30E77806">
      <w:pPr>
        <w:pStyle w:val="4"/>
        <w:ind w:firstLine="0" w:firstLineChars="0"/>
        <w:jc w:val="left"/>
        <w:rPr>
          <w:rFonts w:hint="eastAsia" w:ascii="仿宋" w:hAnsi="仿宋" w:eastAsia="仿宋" w:cs="仿宋"/>
          <w:color w:val="000000"/>
          <w:sz w:val="24"/>
          <w:szCs w:val="24"/>
          <w:highlight w:val="none"/>
        </w:rPr>
      </w:pPr>
      <w:bookmarkStart w:id="14" w:name="_Toc874"/>
      <w:r>
        <w:rPr>
          <w:rFonts w:hint="eastAsia" w:ascii="仿宋" w:hAnsi="仿宋" w:eastAsia="仿宋" w:cs="仿宋"/>
          <w:color w:val="000000"/>
          <w:sz w:val="24"/>
          <w:szCs w:val="24"/>
          <w:highlight w:val="none"/>
          <w:lang w:val="en-US" w:eastAsia="zh-CN"/>
        </w:rPr>
        <w:t>六</w:t>
      </w:r>
      <w:r>
        <w:rPr>
          <w:rFonts w:hint="eastAsia" w:ascii="仿宋" w:hAnsi="仿宋" w:eastAsia="仿宋" w:cs="仿宋"/>
          <w:color w:val="000000"/>
          <w:sz w:val="24"/>
          <w:szCs w:val="24"/>
          <w:highlight w:val="none"/>
        </w:rPr>
        <w:t>、发布公告的媒介</w:t>
      </w:r>
      <w:bookmarkEnd w:id="14"/>
    </w:p>
    <w:p w14:paraId="1412BF82">
      <w:pPr>
        <w:spacing w:line="360" w:lineRule="auto"/>
        <w:ind w:firstLine="480" w:firstLineChars="200"/>
        <w:textAlignment w:val="baseline"/>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本项目磋商公告同时在</w:t>
      </w:r>
      <w:r>
        <w:rPr>
          <w:rFonts w:hint="eastAsia" w:ascii="仿宋" w:hAnsi="仿宋" w:eastAsia="仿宋" w:cs="宋体"/>
          <w:color w:val="000000" w:themeColor="text1"/>
          <w:sz w:val="24"/>
          <w:highlight w:val="none"/>
          <w:u w:val="single"/>
          <w14:textFill>
            <w14:solidFill>
              <w14:schemeClr w14:val="tx1"/>
            </w14:solidFill>
          </w14:textFill>
        </w:rPr>
        <w:t>“人保e采”外网门户（https://ec.picc.com/）</w:t>
      </w:r>
      <w:r>
        <w:rPr>
          <w:rFonts w:hint="eastAsia" w:ascii="仿宋" w:hAnsi="仿宋" w:eastAsia="仿宋" w:cs="仿宋"/>
          <w:color w:val="000000" w:themeColor="text1"/>
          <w:sz w:val="24"/>
          <w:highlight w:val="none"/>
          <w14:textFill>
            <w14:solidFill>
              <w14:schemeClr w14:val="tx1"/>
            </w14:solidFill>
          </w14:textFill>
        </w:rPr>
        <w:t>上发</w:t>
      </w:r>
      <w:r>
        <w:rPr>
          <w:rFonts w:hint="eastAsia" w:ascii="仿宋" w:hAnsi="仿宋" w:eastAsia="仿宋" w:cs="仿宋"/>
          <w:color w:val="000000"/>
          <w:sz w:val="24"/>
          <w:highlight w:val="none"/>
        </w:rPr>
        <w:t>布，</w:t>
      </w:r>
      <w:r>
        <w:rPr>
          <w:rFonts w:hint="eastAsia" w:ascii="仿宋" w:hAnsi="仿宋" w:eastAsia="仿宋" w:cs="宋体"/>
          <w:color w:val="000000"/>
          <w:sz w:val="24"/>
          <w:highlight w:val="none"/>
        </w:rPr>
        <w:t>除上述外，</w:t>
      </w:r>
      <w:r>
        <w:rPr>
          <w:rFonts w:hint="eastAsia" w:ascii="仿宋" w:hAnsi="仿宋" w:eastAsia="仿宋" w:cs="宋体"/>
          <w:color w:val="auto"/>
          <w:sz w:val="24"/>
          <w:highlight w:val="none"/>
        </w:rPr>
        <w:t>采购人/采购代理机构不在其他任何网站、论坛等媒介上发布任何采购信息，其他任何媒介上转载的、以采购人/采购代理机构为采购主体的采购信息均为非法转载，均为无效</w:t>
      </w:r>
      <w:r>
        <w:rPr>
          <w:rFonts w:hint="eastAsia" w:ascii="仿宋" w:hAnsi="仿宋" w:eastAsia="仿宋" w:cs="仿宋"/>
          <w:color w:val="auto"/>
          <w:sz w:val="24"/>
          <w:highlight w:val="none"/>
        </w:rPr>
        <w:t>。对于非法转载、篡改采购公告信息的组织或个人，采购人/采购代理机构</w:t>
      </w:r>
      <w:r>
        <w:rPr>
          <w:rFonts w:hint="eastAsia" w:ascii="仿宋" w:hAnsi="仿宋" w:eastAsia="仿宋" w:cs="仿宋"/>
          <w:color w:val="000000"/>
          <w:sz w:val="24"/>
          <w:highlight w:val="none"/>
        </w:rPr>
        <w:t>保留追究其法律责任的权利。</w:t>
      </w:r>
    </w:p>
    <w:p w14:paraId="436DB7FE">
      <w:pPr>
        <w:pStyle w:val="4"/>
        <w:ind w:firstLine="0" w:firstLineChars="0"/>
        <w:jc w:val="left"/>
        <w:rPr>
          <w:rFonts w:hint="eastAsia" w:ascii="仿宋" w:hAnsi="仿宋" w:eastAsia="仿宋" w:cs="仿宋"/>
          <w:color w:val="000000"/>
          <w:sz w:val="24"/>
          <w:szCs w:val="24"/>
          <w:highlight w:val="none"/>
        </w:rPr>
      </w:pPr>
      <w:bookmarkStart w:id="15" w:name="_Toc30596"/>
      <w:r>
        <w:rPr>
          <w:rFonts w:hint="eastAsia" w:ascii="仿宋" w:hAnsi="仿宋" w:eastAsia="仿宋" w:cs="仿宋"/>
          <w:color w:val="000000"/>
          <w:sz w:val="24"/>
          <w:szCs w:val="24"/>
          <w:highlight w:val="none"/>
          <w:lang w:val="en-US" w:eastAsia="zh-CN"/>
        </w:rPr>
        <w:t>七</w:t>
      </w:r>
      <w:r>
        <w:rPr>
          <w:rFonts w:hint="eastAsia" w:ascii="仿宋" w:hAnsi="仿宋" w:eastAsia="仿宋" w:cs="仿宋"/>
          <w:color w:val="000000"/>
          <w:sz w:val="24"/>
          <w:szCs w:val="24"/>
          <w:highlight w:val="none"/>
        </w:rPr>
        <w:t>、联系方式</w:t>
      </w:r>
      <w:bookmarkEnd w:id="15"/>
    </w:p>
    <w:p w14:paraId="7BA8F33F">
      <w:pPr>
        <w:tabs>
          <w:tab w:val="left" w:pos="-105"/>
          <w:tab w:val="left" w:pos="420"/>
          <w:tab w:val="left" w:pos="630"/>
          <w:tab w:val="left" w:pos="1155"/>
          <w:tab w:val="left" w:pos="1890"/>
          <w:tab w:val="left" w:pos="3150"/>
          <w:tab w:val="left" w:pos="3780"/>
        </w:tabs>
        <w:spacing w:line="360" w:lineRule="auto"/>
        <w:ind w:firstLine="420" w:firstLineChars="175"/>
        <w:jc w:val="left"/>
        <w:rPr>
          <w:rFonts w:hint="eastAsia" w:ascii="仿宋" w:hAnsi="仿宋" w:eastAsia="仿宋" w:cs="仿宋"/>
          <w:b w:val="0"/>
          <w:bCs w:val="0"/>
          <w:color w:val="000000" w:themeColor="text1"/>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14:textFill>
            <w14:solidFill>
              <w14:schemeClr w14:val="tx1"/>
            </w14:solidFill>
          </w14:textFill>
        </w:rPr>
        <w:t>采购人：中国人民财产保险股份有限公司</w:t>
      </w:r>
      <w:r>
        <w:rPr>
          <w:rFonts w:hint="eastAsia" w:ascii="仿宋" w:hAnsi="仿宋" w:eastAsia="仿宋" w:cs="仿宋"/>
          <w:b w:val="0"/>
          <w:bCs w:val="0"/>
          <w:color w:val="000000" w:themeColor="text1"/>
          <w:sz w:val="24"/>
          <w:highlight w:val="none"/>
          <w:lang w:eastAsia="zh-CN"/>
          <w14:textFill>
            <w14:solidFill>
              <w14:schemeClr w14:val="tx1"/>
            </w14:solidFill>
          </w14:textFill>
        </w:rPr>
        <w:t>景德镇市河西支</w:t>
      </w:r>
      <w:r>
        <w:rPr>
          <w:rFonts w:hint="eastAsia" w:ascii="仿宋" w:hAnsi="仿宋" w:eastAsia="仿宋" w:cs="仿宋"/>
          <w:b w:val="0"/>
          <w:bCs w:val="0"/>
          <w:color w:val="000000" w:themeColor="text1"/>
          <w:sz w:val="24"/>
          <w:highlight w:val="none"/>
          <w14:textFill>
            <w14:solidFill>
              <w14:schemeClr w14:val="tx1"/>
            </w14:solidFill>
          </w14:textFill>
        </w:rPr>
        <w:t>公司</w:t>
      </w:r>
    </w:p>
    <w:p w14:paraId="206A99BE">
      <w:pPr>
        <w:spacing w:line="360" w:lineRule="auto"/>
        <w:ind w:firstLine="420" w:firstLineChars="175"/>
        <w:jc w:val="left"/>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地址：</w:t>
      </w:r>
      <w:r>
        <w:rPr>
          <w:rFonts w:hint="eastAsia" w:ascii="仿宋" w:hAnsi="仿宋" w:eastAsia="仿宋" w:cs="仿宋"/>
          <w:color w:val="000000" w:themeColor="text1"/>
          <w:sz w:val="24"/>
          <w:highlight w:val="none"/>
          <w:lang w:eastAsia="zh-CN"/>
          <w14:textFill>
            <w14:solidFill>
              <w14:schemeClr w14:val="tx1"/>
            </w14:solidFill>
          </w14:textFill>
        </w:rPr>
        <w:t>江西省景德镇市昌江区瓷都大道</w:t>
      </w:r>
      <w:r>
        <w:rPr>
          <w:rFonts w:hint="eastAsia" w:ascii="仿宋" w:hAnsi="仿宋" w:eastAsia="仿宋" w:cs="仿宋"/>
          <w:color w:val="000000" w:themeColor="text1"/>
          <w:sz w:val="24"/>
          <w:highlight w:val="none"/>
          <w:lang w:val="en-US" w:eastAsia="zh-CN"/>
          <w14:textFill>
            <w14:solidFill>
              <w14:schemeClr w14:val="tx1"/>
            </w14:solidFill>
          </w14:textFill>
        </w:rPr>
        <w:t>1100号</w:t>
      </w:r>
    </w:p>
    <w:p w14:paraId="00FAF6CB">
      <w:pPr>
        <w:spacing w:line="360" w:lineRule="auto"/>
        <w:ind w:firstLine="420" w:firstLineChars="175"/>
        <w:jc w:val="left"/>
        <w:rPr>
          <w:rFonts w:hint="eastAsia" w:ascii="仿宋" w:hAnsi="仿宋" w:eastAsia="仿宋" w:cs="宋体"/>
          <w:color w:val="000000" w:themeColor="text1"/>
          <w:sz w:val="24"/>
          <w:highlight w:val="none"/>
          <w:lang w:eastAsia="zh-CN"/>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联系人：</w:t>
      </w:r>
      <w:r>
        <w:rPr>
          <w:rFonts w:hint="eastAsia" w:ascii="仿宋" w:hAnsi="仿宋" w:eastAsia="仿宋" w:cs="宋体"/>
          <w:color w:val="000000" w:themeColor="text1"/>
          <w:sz w:val="24"/>
          <w:highlight w:val="none"/>
          <w:lang w:eastAsia="zh-CN"/>
          <w14:textFill>
            <w14:solidFill>
              <w14:schemeClr w14:val="tx1"/>
            </w14:solidFill>
          </w14:textFill>
        </w:rPr>
        <w:t>钟越尔</w:t>
      </w:r>
    </w:p>
    <w:p w14:paraId="16CA7701">
      <w:pPr>
        <w:spacing w:line="360" w:lineRule="auto"/>
        <w:ind w:firstLine="420" w:firstLineChars="175"/>
        <w:jc w:val="left"/>
        <w:rPr>
          <w:rFonts w:hint="eastAsia" w:ascii="仿宋" w:hAnsi="仿宋" w:eastAsia="仿宋" w:cs="宋体"/>
          <w:color w:val="000000" w:themeColor="text1"/>
          <w:sz w:val="24"/>
          <w:highlight w:val="none"/>
          <w:lang w:val="en-US" w:eastAsia="zh-CN"/>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电话：</w:t>
      </w:r>
      <w:r>
        <w:rPr>
          <w:rFonts w:hint="eastAsia" w:ascii="仿宋" w:hAnsi="仿宋" w:eastAsia="仿宋" w:cs="宋体"/>
          <w:color w:val="000000" w:themeColor="text1"/>
          <w:sz w:val="24"/>
          <w:highlight w:val="none"/>
          <w:lang w:val="en-US" w:eastAsia="zh-CN"/>
          <w14:textFill>
            <w14:solidFill>
              <w14:schemeClr w14:val="tx1"/>
            </w14:solidFill>
          </w14:textFill>
        </w:rPr>
        <w:t>0798-8526840</w:t>
      </w:r>
    </w:p>
    <w:p w14:paraId="3AFB4E46">
      <w:pPr>
        <w:pStyle w:val="2"/>
        <w:rPr>
          <w:rFonts w:hint="eastAsia" w:ascii="仿宋" w:hAnsi="仿宋" w:eastAsia="仿宋" w:cs="宋体"/>
          <w:color w:val="FF0000"/>
          <w:sz w:val="24"/>
          <w:highlight w:val="none"/>
          <w:lang w:val="en-US" w:eastAsia="zh-CN"/>
        </w:rPr>
      </w:pPr>
    </w:p>
    <w:p w14:paraId="79D01444">
      <w:pPr>
        <w:rPr>
          <w:rFonts w:hint="eastAsia" w:ascii="仿宋" w:hAnsi="仿宋" w:eastAsia="仿宋" w:cs="宋体"/>
          <w:color w:val="FF0000"/>
          <w:sz w:val="24"/>
          <w:highlight w:val="none"/>
          <w:lang w:val="en-US" w:eastAsia="zh-CN"/>
        </w:rPr>
      </w:pPr>
    </w:p>
    <w:p w14:paraId="0E1F7CD3">
      <w:pPr>
        <w:pStyle w:val="2"/>
        <w:rPr>
          <w:rFonts w:hint="eastAsia" w:ascii="仿宋" w:hAnsi="仿宋" w:eastAsia="仿宋" w:cs="宋体"/>
          <w:color w:val="FF0000"/>
          <w:sz w:val="24"/>
          <w:highlight w:val="none"/>
          <w:lang w:val="en-US" w:eastAsia="zh-CN"/>
        </w:rPr>
      </w:pPr>
    </w:p>
    <w:p w14:paraId="1CB15651">
      <w:pPr>
        <w:rPr>
          <w:rFonts w:hint="eastAsia" w:ascii="仿宋" w:hAnsi="仿宋" w:eastAsia="仿宋" w:cs="宋体"/>
          <w:color w:val="FF0000"/>
          <w:sz w:val="24"/>
          <w:highlight w:val="none"/>
          <w:lang w:val="en-US" w:eastAsia="zh-CN"/>
        </w:rPr>
      </w:pPr>
    </w:p>
    <w:p w14:paraId="2C3A33EB">
      <w:pPr>
        <w:pStyle w:val="2"/>
        <w:rPr>
          <w:rFonts w:hint="eastAsia" w:ascii="仿宋" w:hAnsi="仿宋" w:eastAsia="仿宋" w:cs="宋体"/>
          <w:color w:val="FF0000"/>
          <w:sz w:val="24"/>
          <w:highlight w:val="none"/>
          <w:lang w:val="en-US" w:eastAsia="zh-CN"/>
        </w:rPr>
      </w:pPr>
    </w:p>
    <w:p w14:paraId="4DA7B5B1">
      <w:pPr>
        <w:rPr>
          <w:rFonts w:hint="eastAsia" w:ascii="仿宋" w:hAnsi="仿宋" w:eastAsia="仿宋" w:cs="宋体"/>
          <w:color w:val="FF0000"/>
          <w:sz w:val="24"/>
          <w:highlight w:val="none"/>
          <w:lang w:val="en-US" w:eastAsia="zh-CN"/>
        </w:rPr>
      </w:pPr>
    </w:p>
    <w:p w14:paraId="63A9F8E1">
      <w:pPr>
        <w:pStyle w:val="2"/>
        <w:rPr>
          <w:rFonts w:hint="eastAsia" w:ascii="仿宋" w:hAnsi="仿宋" w:eastAsia="仿宋" w:cs="宋体"/>
          <w:color w:val="FF0000"/>
          <w:sz w:val="24"/>
          <w:highlight w:val="none"/>
          <w:lang w:val="en-US" w:eastAsia="zh-CN"/>
        </w:rPr>
      </w:pPr>
    </w:p>
    <w:p w14:paraId="762D6516">
      <w:pPr>
        <w:rPr>
          <w:rFonts w:hint="eastAsia" w:ascii="仿宋" w:hAnsi="仿宋" w:eastAsia="仿宋" w:cs="宋体"/>
          <w:color w:val="FF0000"/>
          <w:sz w:val="24"/>
          <w:highlight w:val="none"/>
          <w:lang w:val="en-US" w:eastAsia="zh-CN"/>
        </w:rPr>
      </w:pPr>
    </w:p>
    <w:p w14:paraId="10EF2A75">
      <w:pPr>
        <w:pStyle w:val="2"/>
        <w:rPr>
          <w:rFonts w:hint="eastAsia" w:ascii="仿宋" w:hAnsi="仿宋" w:eastAsia="仿宋" w:cs="宋体"/>
          <w:color w:val="FF0000"/>
          <w:sz w:val="24"/>
          <w:highlight w:val="none"/>
          <w:lang w:val="en-US" w:eastAsia="zh-CN"/>
        </w:rPr>
      </w:pPr>
    </w:p>
    <w:p w14:paraId="494BDF82">
      <w:pPr>
        <w:rPr>
          <w:rFonts w:hint="eastAsia" w:ascii="仿宋" w:hAnsi="仿宋" w:eastAsia="仿宋" w:cs="宋体"/>
          <w:color w:val="FF0000"/>
          <w:sz w:val="24"/>
          <w:highlight w:val="none"/>
          <w:lang w:val="en-US" w:eastAsia="zh-CN"/>
        </w:rPr>
      </w:pPr>
    </w:p>
    <w:p w14:paraId="68F00883">
      <w:pPr>
        <w:pStyle w:val="2"/>
        <w:rPr>
          <w:rFonts w:hint="eastAsia"/>
        </w:rPr>
      </w:pPr>
    </w:p>
    <w:p w14:paraId="73D5E15C">
      <w:pPr>
        <w:rPr>
          <w:rFonts w:hint="eastAsia"/>
        </w:rPr>
      </w:pPr>
    </w:p>
    <w:p w14:paraId="16581738">
      <w:pPr>
        <w:pStyle w:val="2"/>
        <w:rPr>
          <w:rFonts w:hint="eastAsia"/>
        </w:rPr>
      </w:pPr>
    </w:p>
    <w:p w14:paraId="5AFEEC20">
      <w:pPr>
        <w:rPr>
          <w:rFonts w:hint="eastAsia"/>
        </w:rPr>
      </w:pPr>
    </w:p>
    <w:p w14:paraId="33482745">
      <w:pPr>
        <w:pStyle w:val="2"/>
        <w:rPr>
          <w:rFonts w:hint="eastAsia"/>
        </w:rPr>
      </w:pPr>
    </w:p>
    <w:p w14:paraId="10D472CC">
      <w:pPr>
        <w:spacing w:line="360" w:lineRule="auto"/>
        <w:ind w:firstLine="480" w:firstLineChars="200"/>
        <w:jc w:val="right"/>
        <w:textAlignment w:val="baseline"/>
        <w:rPr>
          <w:rFonts w:hint="eastAsia" w:ascii="仿宋" w:hAnsi="仿宋" w:eastAsia="仿宋" w:cs="宋体"/>
          <w:color w:val="FF0000"/>
          <w:sz w:val="24"/>
          <w:highlight w:val="none"/>
        </w:rPr>
      </w:pPr>
    </w:p>
    <w:p w14:paraId="59B4CDC6">
      <w:pPr>
        <w:spacing w:line="360" w:lineRule="auto"/>
        <w:ind w:firstLine="480" w:firstLineChars="200"/>
        <w:jc w:val="right"/>
        <w:textAlignment w:val="baseline"/>
        <w:rPr>
          <w:rFonts w:hint="eastAsia" w:ascii="仿宋" w:hAnsi="仿宋" w:eastAsia="仿宋" w:cs="宋体"/>
          <w:color w:val="000000" w:themeColor="text1"/>
          <w:sz w:val="24"/>
          <w:highlight w:val="none"/>
          <w14:textFill>
            <w14:solidFill>
              <w14:schemeClr w14:val="tx1"/>
            </w14:solidFill>
          </w14:textFill>
        </w:rPr>
      </w:pPr>
      <w:r>
        <w:rPr>
          <w:rFonts w:hint="eastAsia" w:ascii="仿宋" w:hAnsi="仿宋" w:eastAsia="仿宋" w:cs="宋体"/>
          <w:color w:val="000000" w:themeColor="text1"/>
          <w:sz w:val="24"/>
          <w:highlight w:val="none"/>
          <w14:textFill>
            <w14:solidFill>
              <w14:schemeClr w14:val="tx1"/>
            </w14:solidFill>
          </w14:textFill>
        </w:rPr>
        <w:t>采购人：中国人民财产保险股份有限公司</w:t>
      </w:r>
      <w:r>
        <w:rPr>
          <w:rFonts w:hint="eastAsia" w:ascii="仿宋" w:hAnsi="仿宋" w:eastAsia="仿宋" w:cs="宋体"/>
          <w:color w:val="000000" w:themeColor="text1"/>
          <w:sz w:val="24"/>
          <w:highlight w:val="none"/>
          <w:lang w:eastAsia="zh-CN"/>
          <w14:textFill>
            <w14:solidFill>
              <w14:schemeClr w14:val="tx1"/>
            </w14:solidFill>
          </w14:textFill>
        </w:rPr>
        <w:t>景德镇市河西支</w:t>
      </w:r>
      <w:r>
        <w:rPr>
          <w:rFonts w:hint="eastAsia" w:ascii="仿宋" w:hAnsi="仿宋" w:eastAsia="仿宋" w:cs="宋体"/>
          <w:color w:val="000000" w:themeColor="text1"/>
          <w:sz w:val="24"/>
          <w:highlight w:val="none"/>
          <w14:textFill>
            <w14:solidFill>
              <w14:schemeClr w14:val="tx1"/>
            </w14:solidFill>
          </w14:textFill>
        </w:rPr>
        <w:t>公司</w:t>
      </w:r>
    </w:p>
    <w:p w14:paraId="2F8ED982">
      <w:pPr>
        <w:spacing w:line="360" w:lineRule="auto"/>
        <w:ind w:firstLine="482" w:firstLineChars="200"/>
        <w:jc w:val="right"/>
        <w:textAlignment w:val="baseline"/>
        <w:rPr>
          <w:b/>
          <w:bCs/>
          <w:color w:val="000000" w:themeColor="text1"/>
          <w:highlight w:val="none"/>
          <w14:textFill>
            <w14:solidFill>
              <w14:schemeClr w14:val="tx1"/>
            </w14:solidFill>
          </w14:textFill>
        </w:rPr>
      </w:pPr>
      <w:r>
        <w:rPr>
          <w:rFonts w:hint="eastAsia" w:ascii="仿宋" w:hAnsi="仿宋" w:eastAsia="仿宋" w:cs="宋体"/>
          <w:b/>
          <w:bCs/>
          <w:color w:val="000000" w:themeColor="text1"/>
          <w:sz w:val="24"/>
          <w:highlight w:val="none"/>
          <w14:textFill>
            <w14:solidFill>
              <w14:schemeClr w14:val="tx1"/>
            </w14:solidFill>
          </w14:textFill>
        </w:rPr>
        <w:t>202</w:t>
      </w:r>
      <w:r>
        <w:rPr>
          <w:rFonts w:hint="eastAsia" w:ascii="仿宋" w:hAnsi="仿宋" w:eastAsia="仿宋" w:cs="宋体"/>
          <w:b/>
          <w:bCs/>
          <w:color w:val="000000" w:themeColor="text1"/>
          <w:sz w:val="24"/>
          <w:highlight w:val="none"/>
          <w:lang w:val="en-US" w:eastAsia="zh-CN"/>
          <w14:textFill>
            <w14:solidFill>
              <w14:schemeClr w14:val="tx1"/>
            </w14:solidFill>
          </w14:textFill>
        </w:rPr>
        <w:t>6</w:t>
      </w:r>
      <w:r>
        <w:rPr>
          <w:rFonts w:hint="eastAsia" w:ascii="仿宋" w:hAnsi="仿宋" w:eastAsia="仿宋" w:cs="宋体"/>
          <w:b/>
          <w:bCs/>
          <w:color w:val="000000" w:themeColor="text1"/>
          <w:sz w:val="24"/>
          <w:highlight w:val="none"/>
          <w14:textFill>
            <w14:solidFill>
              <w14:schemeClr w14:val="tx1"/>
            </w14:solidFill>
          </w14:textFill>
        </w:rPr>
        <w:t>年</w:t>
      </w:r>
      <w:r>
        <w:rPr>
          <w:rFonts w:hint="eastAsia" w:ascii="仿宋" w:hAnsi="仿宋" w:eastAsia="仿宋" w:cs="宋体"/>
          <w:b/>
          <w:bCs/>
          <w:color w:val="000000" w:themeColor="text1"/>
          <w:sz w:val="24"/>
          <w:highlight w:val="none"/>
          <w:lang w:val="en-US" w:eastAsia="zh-CN"/>
          <w14:textFill>
            <w14:solidFill>
              <w14:schemeClr w14:val="tx1"/>
            </w14:solidFill>
          </w14:textFill>
        </w:rPr>
        <w:t>8</w:t>
      </w:r>
      <w:r>
        <w:rPr>
          <w:rFonts w:hint="eastAsia" w:ascii="仿宋" w:hAnsi="仿宋" w:eastAsia="仿宋" w:cs="宋体"/>
          <w:b/>
          <w:bCs/>
          <w:color w:val="000000" w:themeColor="text1"/>
          <w:sz w:val="24"/>
          <w:highlight w:val="none"/>
          <w14:textFill>
            <w14:solidFill>
              <w14:schemeClr w14:val="tx1"/>
            </w14:solidFill>
          </w14:textFill>
        </w:rPr>
        <w:t>月</w:t>
      </w:r>
      <w:r>
        <w:rPr>
          <w:rFonts w:hint="eastAsia" w:ascii="仿宋" w:hAnsi="仿宋" w:eastAsia="仿宋" w:cs="宋体"/>
          <w:b/>
          <w:bCs/>
          <w:color w:val="000000" w:themeColor="text1"/>
          <w:sz w:val="24"/>
          <w:highlight w:val="none"/>
          <w:lang w:val="en-US" w:eastAsia="zh-CN"/>
          <w14:textFill>
            <w14:solidFill>
              <w14:schemeClr w14:val="tx1"/>
            </w14:solidFill>
          </w14:textFill>
        </w:rPr>
        <w:t>17</w:t>
      </w:r>
      <w:r>
        <w:rPr>
          <w:rFonts w:hint="eastAsia" w:ascii="仿宋" w:hAnsi="仿宋" w:eastAsia="仿宋" w:cs="宋体"/>
          <w:b/>
          <w:bCs/>
          <w:color w:val="000000" w:themeColor="text1"/>
          <w:sz w:val="24"/>
          <w:highlight w:val="none"/>
          <w14:textFill>
            <w14:solidFill>
              <w14:schemeClr w14:val="tx1"/>
            </w14:solidFill>
          </w14:textFill>
        </w:rPr>
        <w:t>日</w:t>
      </w:r>
    </w:p>
    <w:bookmarkEnd w:id="2"/>
    <w:bookmarkEnd w:id="3"/>
    <w:bookmarkEnd w:id="4"/>
    <w:bookmarkEnd w:id="5"/>
    <w:bookmarkEnd w:id="6"/>
    <w:bookmarkEnd w:id="7"/>
    <w:bookmarkEnd w:id="8"/>
    <w:p w14:paraId="281FE27B">
      <w:pPr>
        <w:pStyle w:val="3"/>
        <w:spacing w:before="0" w:after="0" w:line="360" w:lineRule="auto"/>
        <w:jc w:val="center"/>
        <w:rPr>
          <w:rFonts w:hint="eastAsia" w:ascii="仿宋" w:hAnsi="仿宋" w:eastAsia="仿宋" w:cs="仿宋"/>
          <w:color w:val="000000"/>
          <w:sz w:val="28"/>
          <w:szCs w:val="28"/>
          <w:highlight w:val="none"/>
        </w:rPr>
      </w:pPr>
      <w:bookmarkStart w:id="16" w:name="_Toc2797"/>
      <w:bookmarkStart w:id="17" w:name="_Toc1895"/>
      <w:bookmarkStart w:id="18" w:name="_Toc444891334"/>
      <w:bookmarkStart w:id="19" w:name="_Toc17103"/>
      <w:bookmarkStart w:id="20" w:name="_Toc23165"/>
      <w:bookmarkStart w:id="21" w:name="_Toc517281814"/>
      <w:bookmarkStart w:id="22" w:name="_Toc287600116"/>
      <w:r>
        <w:rPr>
          <w:rFonts w:ascii="仿宋" w:hAnsi="仿宋" w:eastAsia="仿宋" w:cs="仿宋"/>
          <w:color w:val="000000"/>
          <w:sz w:val="28"/>
          <w:szCs w:val="28"/>
          <w:highlight w:val="none"/>
        </w:rPr>
        <w:br w:type="page"/>
      </w:r>
      <w:bookmarkStart w:id="23" w:name="_Toc7018"/>
      <w:r>
        <w:rPr>
          <w:rFonts w:hint="eastAsia" w:ascii="仿宋" w:hAnsi="仿宋" w:eastAsia="仿宋" w:cs="仿宋"/>
          <w:color w:val="000000"/>
          <w:sz w:val="28"/>
          <w:szCs w:val="28"/>
          <w:highlight w:val="none"/>
        </w:rPr>
        <w:t>第二章 供应商须知</w:t>
      </w:r>
      <w:bookmarkEnd w:id="16"/>
      <w:bookmarkEnd w:id="17"/>
      <w:bookmarkEnd w:id="18"/>
      <w:bookmarkEnd w:id="19"/>
      <w:bookmarkEnd w:id="20"/>
      <w:bookmarkEnd w:id="21"/>
      <w:bookmarkEnd w:id="22"/>
      <w:bookmarkEnd w:id="23"/>
    </w:p>
    <w:p w14:paraId="69168F34">
      <w:pPr>
        <w:pStyle w:val="4"/>
        <w:ind w:firstLine="0" w:firstLineChars="0"/>
        <w:jc w:val="left"/>
        <w:rPr>
          <w:rFonts w:hint="eastAsia" w:ascii="仿宋" w:hAnsi="仿宋" w:eastAsia="仿宋" w:cs="仿宋"/>
          <w:color w:val="000000"/>
          <w:sz w:val="24"/>
          <w:szCs w:val="24"/>
          <w:highlight w:val="none"/>
        </w:rPr>
      </w:pPr>
      <w:bookmarkStart w:id="24" w:name="_Toc32464"/>
      <w:bookmarkStart w:id="25" w:name="_Toc17721"/>
      <w:bookmarkStart w:id="26" w:name="_Toc19783312"/>
      <w:bookmarkStart w:id="27" w:name="_Toc444891335"/>
      <w:bookmarkStart w:id="28" w:name="_Toc29571"/>
      <w:bookmarkStart w:id="29" w:name="_Toc14477"/>
      <w:bookmarkStart w:id="30" w:name="_Toc27353"/>
      <w:bookmarkStart w:id="31" w:name="_Toc287600117"/>
      <w:bookmarkStart w:id="32" w:name="_Toc517281815"/>
      <w:r>
        <w:rPr>
          <w:rFonts w:hint="eastAsia" w:ascii="仿宋" w:hAnsi="仿宋" w:eastAsia="仿宋" w:cs="仿宋"/>
          <w:color w:val="000000"/>
          <w:sz w:val="24"/>
          <w:szCs w:val="24"/>
          <w:highlight w:val="none"/>
        </w:rPr>
        <w:t>一、供应商须知前附表</w:t>
      </w:r>
      <w:bookmarkEnd w:id="24"/>
      <w:bookmarkEnd w:id="25"/>
      <w:bookmarkEnd w:id="26"/>
      <w:bookmarkEnd w:id="27"/>
      <w:bookmarkEnd w:id="28"/>
      <w:bookmarkEnd w:id="29"/>
      <w:bookmarkEnd w:id="30"/>
      <w:bookmarkEnd w:id="31"/>
      <w:bookmarkEnd w:id="32"/>
    </w:p>
    <w:p w14:paraId="220530DF">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本须知前附表是对供应商须知正文的具体补充和修改，如有矛盾，以本前附表为准。</w:t>
      </w:r>
    </w:p>
    <w:tbl>
      <w:tblPr>
        <w:tblStyle w:val="40"/>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949"/>
        <w:gridCol w:w="1822"/>
        <w:gridCol w:w="7048"/>
      </w:tblGrid>
      <w:tr w14:paraId="3D2A3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noWrap w:val="0"/>
            <w:vAlign w:val="center"/>
          </w:tcPr>
          <w:p w14:paraId="0CDAD8DD">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条款号</w:t>
            </w:r>
          </w:p>
        </w:tc>
        <w:tc>
          <w:tcPr>
            <w:tcW w:w="927" w:type="pct"/>
            <w:noWrap w:val="0"/>
            <w:vAlign w:val="center"/>
          </w:tcPr>
          <w:p w14:paraId="780AE0CD">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条款名称</w:t>
            </w:r>
          </w:p>
        </w:tc>
        <w:tc>
          <w:tcPr>
            <w:tcW w:w="3589" w:type="pct"/>
            <w:noWrap w:val="0"/>
            <w:vAlign w:val="center"/>
          </w:tcPr>
          <w:p w14:paraId="44979E57">
            <w:pPr>
              <w:tabs>
                <w:tab w:val="left" w:pos="1180"/>
              </w:tabs>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编列内容</w:t>
            </w:r>
          </w:p>
        </w:tc>
      </w:tr>
      <w:tr w14:paraId="66E31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noWrap w:val="0"/>
            <w:vAlign w:val="center"/>
          </w:tcPr>
          <w:p w14:paraId="63645EAE">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211F3901">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采购范围</w:t>
            </w:r>
          </w:p>
        </w:tc>
        <w:tc>
          <w:tcPr>
            <w:tcW w:w="3589" w:type="pct"/>
            <w:noWrap w:val="0"/>
            <w:vAlign w:val="center"/>
          </w:tcPr>
          <w:p w14:paraId="7ECDF81E">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第一章 竞争性磋商公告“一、项目概况与采购范围”</w:t>
            </w:r>
            <w:r>
              <w:rPr>
                <w:rFonts w:hint="eastAsia" w:ascii="仿宋" w:hAnsi="仿宋" w:eastAsia="仿宋" w:cs="仿宋"/>
                <w:color w:val="000000"/>
                <w:highlight w:val="none"/>
              </w:rPr>
              <w:t>。</w:t>
            </w:r>
          </w:p>
        </w:tc>
      </w:tr>
      <w:tr w14:paraId="58E6B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5E3C63BA">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13E702D1">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资格审查方式及供应商应具备的资格条件</w:t>
            </w:r>
          </w:p>
        </w:tc>
        <w:tc>
          <w:tcPr>
            <w:tcW w:w="3589" w:type="pct"/>
            <w:noWrap w:val="0"/>
            <w:vAlign w:val="center"/>
          </w:tcPr>
          <w:p w14:paraId="45726C45">
            <w:pPr>
              <w:pStyle w:val="139"/>
              <w:topLinePunct/>
              <w:spacing w:before="62" w:beforeLines="20" w:after="62" w:afterLines="20"/>
              <w:rPr>
                <w:rFonts w:hint="eastAsia" w:ascii="仿宋" w:hAnsi="仿宋" w:eastAsia="仿宋" w:cs="宋体"/>
                <w:color w:val="000000" w:themeColor="text1"/>
                <w:sz w:val="21"/>
                <w:szCs w:val="21"/>
                <w:highlight w:val="none"/>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□资格预审</w:t>
            </w:r>
          </w:p>
          <w:p w14:paraId="5D62B201">
            <w:pPr>
              <w:pStyle w:val="156"/>
              <w:spacing w:before="62" w:beforeLines="20" w:after="62" w:afterLines="20"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宋体"/>
                <w:color w:val="000000" w:themeColor="text1"/>
                <w:highlight w:val="none"/>
                <w:lang w:eastAsia="zh-CN"/>
                <w14:textFill>
                  <w14:solidFill>
                    <w14:schemeClr w14:val="tx1"/>
                  </w14:solidFill>
                </w14:textFill>
              </w:rPr>
              <w:t>☑</w:t>
            </w:r>
            <w:r>
              <w:rPr>
                <w:rFonts w:hint="eastAsia" w:ascii="仿宋" w:hAnsi="仿宋" w:eastAsia="仿宋" w:cs="宋体"/>
                <w:color w:val="000000" w:themeColor="text1"/>
                <w:highlight w:val="none"/>
                <w14:textFill>
                  <w14:solidFill>
                    <w14:schemeClr w14:val="tx1"/>
                  </w14:solidFill>
                </w14:textFill>
              </w:rPr>
              <w:t>资格后审，</w:t>
            </w:r>
            <w:r>
              <w:rPr>
                <w:rFonts w:hint="eastAsia" w:ascii="仿宋" w:hAnsi="仿宋" w:eastAsia="仿宋" w:cs="仿宋"/>
                <w:color w:val="000000" w:themeColor="text1"/>
                <w:highlight w:val="none"/>
                <w14:textFill>
                  <w14:solidFill>
                    <w14:schemeClr w14:val="tx1"/>
                  </w14:solidFill>
                </w14:textFill>
              </w:rPr>
              <w:t>详见</w:t>
            </w:r>
            <w:r>
              <w:rPr>
                <w:rFonts w:hint="eastAsia" w:ascii="仿宋" w:hAnsi="仿宋" w:eastAsia="仿宋" w:cs="仿宋"/>
                <w:color w:val="000000" w:themeColor="text1"/>
                <w:highlight w:val="none"/>
                <w:u w:val="single"/>
                <w14:textFill>
                  <w14:solidFill>
                    <w14:schemeClr w14:val="tx1"/>
                  </w14:solidFill>
                </w14:textFill>
              </w:rPr>
              <w:t>第一章 竞争性磋商公告“二、供应商资格要求”</w:t>
            </w:r>
            <w:r>
              <w:rPr>
                <w:rFonts w:hint="eastAsia" w:ascii="仿宋" w:hAnsi="仿宋" w:eastAsia="仿宋" w:cs="仿宋"/>
                <w:color w:val="000000" w:themeColor="text1"/>
                <w:highlight w:val="none"/>
                <w14:textFill>
                  <w14:solidFill>
                    <w14:schemeClr w14:val="tx1"/>
                  </w14:solidFill>
                </w14:textFill>
              </w:rPr>
              <w:t>。</w:t>
            </w:r>
          </w:p>
        </w:tc>
      </w:tr>
      <w:tr w14:paraId="1E88D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3C44A576">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7D493D2B">
            <w:pPr>
              <w:spacing w:before="62" w:beforeLines="20" w:after="62" w:afterLines="20"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★磋商文件实质性要求的标识</w:t>
            </w:r>
          </w:p>
        </w:tc>
        <w:tc>
          <w:tcPr>
            <w:tcW w:w="3589" w:type="pct"/>
            <w:noWrap w:val="0"/>
            <w:vAlign w:val="center"/>
          </w:tcPr>
          <w:p w14:paraId="6ED1BF03">
            <w:pPr>
              <w:pStyle w:val="139"/>
              <w:topLinePunct/>
              <w:spacing w:before="62" w:beforeLines="20" w:after="62" w:afterLines="20" w:line="360" w:lineRule="auto"/>
              <w:rPr>
                <w:rFonts w:hint="eastAsia" w:ascii="仿宋" w:hAnsi="仿宋" w:eastAsia="仿宋" w:cs="Cambria Math"/>
                <w:b/>
                <w:color w:val="000000"/>
                <w:sz w:val="21"/>
                <w:szCs w:val="21"/>
                <w:highlight w:val="none"/>
              </w:rPr>
            </w:pPr>
            <w:r>
              <w:rPr>
                <w:rFonts w:hint="eastAsia" w:ascii="仿宋" w:hAnsi="仿宋" w:eastAsia="仿宋" w:cs="Cambria Math"/>
                <w:color w:val="000000"/>
                <w:sz w:val="21"/>
                <w:szCs w:val="21"/>
                <w:highlight w:val="none"/>
                <w:u w:val="single"/>
              </w:rPr>
              <w:t>磋商文件中标识“★”条款、注明“磋商响应将被否决”、“对其响应做否决处理”</w:t>
            </w:r>
            <w:r>
              <w:rPr>
                <w:rFonts w:hint="eastAsia" w:ascii="仿宋" w:hAnsi="仿宋" w:eastAsia="仿宋" w:cs="宋体"/>
                <w:color w:val="000000"/>
                <w:sz w:val="21"/>
                <w:szCs w:val="21"/>
                <w:highlight w:val="none"/>
                <w:u w:val="single"/>
              </w:rPr>
              <w:t>等</w:t>
            </w:r>
            <w:r>
              <w:rPr>
                <w:rFonts w:hint="eastAsia" w:ascii="仿宋" w:hAnsi="仿宋" w:eastAsia="仿宋" w:cs="Cambria Math"/>
                <w:color w:val="000000"/>
                <w:sz w:val="21"/>
                <w:szCs w:val="21"/>
                <w:highlight w:val="none"/>
                <w:u w:val="single"/>
              </w:rPr>
              <w:t>的条款</w:t>
            </w:r>
            <w:r>
              <w:rPr>
                <w:rFonts w:hint="eastAsia" w:ascii="仿宋" w:hAnsi="仿宋" w:eastAsia="仿宋" w:cs="Cambria Math"/>
                <w:color w:val="000000"/>
                <w:sz w:val="21"/>
                <w:szCs w:val="21"/>
                <w:highlight w:val="none"/>
              </w:rPr>
              <w:t>，均为实质性条款，</w:t>
            </w:r>
            <w:r>
              <w:rPr>
                <w:rFonts w:hint="eastAsia" w:ascii="仿宋" w:hAnsi="仿宋" w:eastAsia="仿宋" w:cs="宋体"/>
                <w:b/>
                <w:color w:val="000000"/>
                <w:sz w:val="21"/>
                <w:szCs w:val="21"/>
                <w:highlight w:val="none"/>
              </w:rPr>
              <w:t>不满足任意一项</w:t>
            </w:r>
            <w:r>
              <w:rPr>
                <w:rFonts w:hint="eastAsia" w:ascii="仿宋" w:hAnsi="仿宋" w:eastAsia="仿宋" w:cs="Cambria Math"/>
                <w:b/>
                <w:color w:val="000000"/>
                <w:sz w:val="21"/>
                <w:szCs w:val="21"/>
                <w:highlight w:val="none"/>
              </w:rPr>
              <w:t>实质性条款的响应将被否决。</w:t>
            </w:r>
          </w:p>
        </w:tc>
      </w:tr>
      <w:tr w14:paraId="6C2E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32EC645D">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456FB47E">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供应商提出澄清的截止时间和方式</w:t>
            </w:r>
          </w:p>
        </w:tc>
        <w:tc>
          <w:tcPr>
            <w:tcW w:w="3589" w:type="pct"/>
            <w:noWrap w:val="0"/>
            <w:vAlign w:val="center"/>
          </w:tcPr>
          <w:p w14:paraId="7F4CC102">
            <w:pPr>
              <w:pStyle w:val="139"/>
              <w:topLinePunct/>
              <w:spacing w:before="62" w:beforeLines="20" w:after="62" w:afterLines="20"/>
              <w:rPr>
                <w:rFonts w:hint="eastAsia" w:ascii="仿宋" w:hAnsi="仿宋" w:eastAsia="仿宋" w:cs="宋体"/>
                <w:color w:val="000000" w:themeColor="text1"/>
                <w:sz w:val="21"/>
                <w:szCs w:val="21"/>
                <w:highlight w:val="none"/>
                <w14:textFill>
                  <w14:solidFill>
                    <w14:schemeClr w14:val="tx1"/>
                  </w14:solidFill>
                </w14:textFill>
              </w:rPr>
            </w:pPr>
            <w:r>
              <w:rPr>
                <w:rFonts w:hint="eastAsia" w:ascii="仿宋" w:hAnsi="仿宋" w:eastAsia="仿宋" w:cs="宋体"/>
                <w:b/>
                <w:color w:val="000000" w:themeColor="text1"/>
                <w:sz w:val="21"/>
                <w:szCs w:val="21"/>
                <w:highlight w:val="none"/>
                <w14:textFill>
                  <w14:solidFill>
                    <w14:schemeClr w14:val="tx1"/>
                  </w14:solidFill>
                </w14:textFill>
              </w:rPr>
              <w:t>截止时间：</w:t>
            </w:r>
            <w:r>
              <w:rPr>
                <w:rFonts w:hint="eastAsia" w:ascii="仿宋" w:hAnsi="仿宋" w:eastAsia="仿宋" w:cs="宋体"/>
                <w:b/>
                <w:color w:val="000000" w:themeColor="text1"/>
                <w:sz w:val="21"/>
                <w:szCs w:val="21"/>
                <w:highlight w:val="none"/>
                <w:u w:val="single"/>
                <w14:textFill>
                  <w14:solidFill>
                    <w14:schemeClr w14:val="tx1"/>
                  </w14:solidFill>
                </w14:textFill>
              </w:rPr>
              <w:t>202</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6</w:t>
            </w:r>
            <w:r>
              <w:rPr>
                <w:rFonts w:hint="eastAsia" w:ascii="仿宋" w:hAnsi="仿宋" w:eastAsia="仿宋" w:cs="宋体"/>
                <w:b/>
                <w:color w:val="000000" w:themeColor="text1"/>
                <w:sz w:val="21"/>
                <w:szCs w:val="21"/>
                <w:highlight w:val="none"/>
                <w:u w:val="single"/>
                <w14:textFill>
                  <w14:solidFill>
                    <w14:schemeClr w14:val="tx1"/>
                  </w14:solidFill>
                </w14:textFill>
              </w:rPr>
              <w:t>年</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8</w:t>
            </w:r>
            <w:r>
              <w:rPr>
                <w:rFonts w:hint="eastAsia" w:ascii="仿宋" w:hAnsi="仿宋" w:eastAsia="仿宋" w:cs="宋体"/>
                <w:b/>
                <w:color w:val="000000" w:themeColor="text1"/>
                <w:sz w:val="21"/>
                <w:szCs w:val="21"/>
                <w:highlight w:val="none"/>
                <w:u w:val="single"/>
                <w14:textFill>
                  <w14:solidFill>
                    <w14:schemeClr w14:val="tx1"/>
                  </w14:solidFill>
                </w14:textFill>
              </w:rPr>
              <w:t>月</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25</w:t>
            </w:r>
            <w:r>
              <w:rPr>
                <w:rFonts w:hint="eastAsia" w:ascii="仿宋" w:hAnsi="仿宋" w:eastAsia="仿宋" w:cs="宋体"/>
                <w:b/>
                <w:color w:val="000000" w:themeColor="text1"/>
                <w:sz w:val="21"/>
                <w:szCs w:val="21"/>
                <w:highlight w:val="none"/>
                <w:u w:val="single"/>
                <w14:textFill>
                  <w14:solidFill>
                    <w14:schemeClr w14:val="tx1"/>
                  </w14:solidFill>
                </w14:textFill>
              </w:rPr>
              <w:t>日</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14</w:t>
            </w:r>
            <w:r>
              <w:rPr>
                <w:rFonts w:hint="eastAsia" w:ascii="仿宋" w:hAnsi="仿宋" w:eastAsia="仿宋" w:cs="宋体"/>
                <w:b/>
                <w:color w:val="000000" w:themeColor="text1"/>
                <w:sz w:val="21"/>
                <w:szCs w:val="21"/>
                <w:highlight w:val="none"/>
                <w:u w:val="single"/>
                <w14:textFill>
                  <w14:solidFill>
                    <w14:schemeClr w14:val="tx1"/>
                  </w14:solidFill>
                </w14:textFill>
              </w:rPr>
              <w:t xml:space="preserve">时 </w:t>
            </w:r>
            <w:r>
              <w:rPr>
                <w:rFonts w:hint="eastAsia" w:ascii="仿宋" w:hAnsi="仿宋" w:eastAsia="仿宋" w:cs="宋体"/>
                <w:b/>
                <w:color w:val="000000" w:themeColor="text1"/>
                <w:sz w:val="21"/>
                <w:szCs w:val="21"/>
                <w:highlight w:val="none"/>
                <w:u w:val="single"/>
                <w:lang w:val="en-US" w:eastAsia="zh-CN"/>
                <w14:textFill>
                  <w14:solidFill>
                    <w14:schemeClr w14:val="tx1"/>
                  </w14:solidFill>
                </w14:textFill>
              </w:rPr>
              <w:t>30</w:t>
            </w:r>
            <w:r>
              <w:rPr>
                <w:rFonts w:hint="eastAsia" w:ascii="仿宋" w:hAnsi="仿宋" w:eastAsia="仿宋" w:cs="宋体"/>
                <w:b/>
                <w:color w:val="000000" w:themeColor="text1"/>
                <w:sz w:val="21"/>
                <w:szCs w:val="21"/>
                <w:highlight w:val="none"/>
                <w:u w:val="single"/>
                <w14:textFill>
                  <w14:solidFill>
                    <w14:schemeClr w14:val="tx1"/>
                  </w14:solidFill>
                </w14:textFill>
              </w:rPr>
              <w:t>分</w:t>
            </w:r>
            <w:r>
              <w:rPr>
                <w:rFonts w:hint="eastAsia" w:ascii="仿宋" w:hAnsi="仿宋" w:eastAsia="仿宋" w:cs="宋体"/>
                <w:b/>
                <w:color w:val="000000" w:themeColor="text1"/>
                <w:sz w:val="21"/>
                <w:szCs w:val="21"/>
                <w:highlight w:val="none"/>
                <w14:textFill>
                  <w14:solidFill>
                    <w14:schemeClr w14:val="tx1"/>
                  </w14:solidFill>
                </w14:textFill>
              </w:rPr>
              <w:t>（北京时间）。</w:t>
            </w:r>
          </w:p>
          <w:p w14:paraId="002D92A3">
            <w:pPr>
              <w:pStyle w:val="149"/>
              <w:spacing w:before="62" w:beforeLines="20" w:after="62" w:afterLines="20" w:line="360" w:lineRule="auto"/>
              <w:rPr>
                <w:rFonts w:hint="eastAsia" w:ascii="仿宋" w:hAnsi="仿宋" w:eastAsia="仿宋" w:cs="宋体"/>
                <w:color w:val="000000" w:themeColor="text1"/>
                <w:sz w:val="21"/>
                <w:szCs w:val="21"/>
                <w:highlight w:val="none"/>
                <w:lang w:val="en-US" w:eastAsia="zh-CN"/>
                <w14:textFill>
                  <w14:solidFill>
                    <w14:schemeClr w14:val="tx1"/>
                  </w14:solidFill>
                </w14:textFill>
              </w:rPr>
            </w:pPr>
            <w:r>
              <w:rPr>
                <w:rFonts w:hint="eastAsia" w:ascii="仿宋" w:hAnsi="仿宋" w:eastAsia="仿宋" w:cs="宋体"/>
                <w:color w:val="000000" w:themeColor="text1"/>
                <w:sz w:val="21"/>
                <w:szCs w:val="21"/>
                <w:highlight w:val="none"/>
                <w14:textFill>
                  <w14:solidFill>
                    <w14:schemeClr w14:val="tx1"/>
                  </w14:solidFill>
                </w14:textFill>
              </w:rPr>
              <w:t>提出澄清的方式：书面方式，</w:t>
            </w:r>
            <w:r>
              <w:rPr>
                <w:rFonts w:hint="eastAsia" w:ascii="仿宋" w:hAnsi="仿宋" w:eastAsia="仿宋" w:cs="宋体"/>
                <w:color w:val="000000" w:themeColor="text1"/>
                <w:sz w:val="21"/>
                <w:szCs w:val="21"/>
                <w:highlight w:val="none"/>
                <w:lang w:eastAsia="zh-CN"/>
                <w14:textFill>
                  <w14:solidFill>
                    <w14:schemeClr w14:val="tx1"/>
                  </w14:solidFill>
                </w14:textFill>
              </w:rPr>
              <w:t>现场递交澄清材料。</w:t>
            </w:r>
            <w:bookmarkStart w:id="233" w:name="_GoBack"/>
            <w:bookmarkEnd w:id="233"/>
          </w:p>
        </w:tc>
      </w:tr>
      <w:tr w14:paraId="11B81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13D61F27">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14:paraId="41D4FB57">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供应商确认收到澄清或修改的截止时间和方式</w:t>
            </w:r>
          </w:p>
        </w:tc>
        <w:tc>
          <w:tcPr>
            <w:tcW w:w="3589" w:type="pct"/>
            <w:noWrap w:val="0"/>
            <w:vAlign w:val="center"/>
          </w:tcPr>
          <w:p w14:paraId="6C178F7C">
            <w:pPr>
              <w:spacing w:line="360" w:lineRule="auto"/>
              <w:rPr>
                <w:rFonts w:hint="eastAsia" w:ascii="仿宋" w:hAnsi="仿宋" w:eastAsia="仿宋" w:cs="宋体"/>
                <w:b w:val="0"/>
                <w:bCs/>
                <w:color w:val="000000" w:themeColor="text1"/>
                <w:szCs w:val="21"/>
                <w:highlight w:val="none"/>
                <w14:textFill>
                  <w14:solidFill>
                    <w14:schemeClr w14:val="tx1"/>
                  </w14:solidFill>
                </w14:textFill>
              </w:rPr>
            </w:pPr>
            <w:r>
              <w:rPr>
                <w:rFonts w:hint="eastAsia" w:ascii="仿宋" w:hAnsi="仿宋" w:eastAsia="仿宋" w:cs="宋体"/>
                <w:b/>
                <w:color w:val="000000" w:themeColor="text1"/>
                <w:szCs w:val="21"/>
                <w:highlight w:val="none"/>
                <w14:textFill>
                  <w14:solidFill>
                    <w14:schemeClr w14:val="tx1"/>
                  </w14:solidFill>
                </w14:textFill>
              </w:rPr>
              <w:t>确认收到澄清或修改的时间：</w:t>
            </w:r>
            <w:r>
              <w:rPr>
                <w:rFonts w:hint="eastAsia" w:ascii="仿宋" w:hAnsi="仿宋" w:eastAsia="仿宋" w:cs="宋体"/>
                <w:b w:val="0"/>
                <w:bCs/>
                <w:color w:val="000000" w:themeColor="text1"/>
                <w:szCs w:val="21"/>
                <w:highlight w:val="none"/>
                <w:u w:val="single"/>
                <w14:textFill>
                  <w14:solidFill>
                    <w14:schemeClr w14:val="tx1"/>
                  </w14:solidFill>
                </w14:textFill>
              </w:rPr>
              <w:t>收到</w:t>
            </w:r>
            <w:r>
              <w:rPr>
                <w:rFonts w:hint="eastAsia" w:ascii="仿宋" w:hAnsi="仿宋" w:eastAsia="仿宋" w:cs="宋体"/>
                <w:b w:val="0"/>
                <w:bCs/>
                <w:color w:val="000000" w:themeColor="text1"/>
                <w:szCs w:val="21"/>
                <w:highlight w:val="none"/>
                <w:u w:val="single"/>
                <w:lang w:val="en-US" w:eastAsia="zh-CN"/>
                <w14:textFill>
                  <w14:solidFill>
                    <w14:schemeClr w14:val="tx1"/>
                  </w14:solidFill>
                </w14:textFill>
              </w:rPr>
              <w:t>磋商</w:t>
            </w:r>
            <w:r>
              <w:rPr>
                <w:rFonts w:hint="eastAsia" w:ascii="仿宋" w:hAnsi="仿宋" w:eastAsia="仿宋" w:cs="宋体"/>
                <w:b w:val="0"/>
                <w:bCs/>
                <w:color w:val="000000" w:themeColor="text1"/>
                <w:szCs w:val="21"/>
                <w:highlight w:val="none"/>
                <w:u w:val="single"/>
                <w14:textFill>
                  <w14:solidFill>
                    <w14:schemeClr w14:val="tx1"/>
                  </w14:solidFill>
                </w14:textFill>
              </w:rPr>
              <w:t>文件澄清或修改通知后</w:t>
            </w:r>
            <w:r>
              <w:rPr>
                <w:rFonts w:hint="eastAsia" w:ascii="仿宋" w:hAnsi="仿宋" w:eastAsia="仿宋" w:cs="宋体"/>
                <w:b w:val="0"/>
                <w:bCs/>
                <w:color w:val="000000" w:themeColor="text1"/>
                <w:szCs w:val="21"/>
                <w:highlight w:val="none"/>
                <w:u w:val="single"/>
                <w:lang w:val="en-US" w:eastAsia="zh-CN"/>
                <w14:textFill>
                  <w14:solidFill>
                    <w14:schemeClr w14:val="tx1"/>
                  </w14:solidFill>
                </w14:textFill>
              </w:rPr>
              <w:t>5</w:t>
            </w:r>
            <w:r>
              <w:rPr>
                <w:rFonts w:hint="eastAsia" w:ascii="仿宋" w:hAnsi="仿宋" w:eastAsia="仿宋" w:cs="宋体"/>
                <w:b w:val="0"/>
                <w:bCs/>
                <w:color w:val="000000" w:themeColor="text1"/>
                <w:szCs w:val="21"/>
                <w:highlight w:val="none"/>
                <w:u w:val="single"/>
                <w14:textFill>
                  <w14:solidFill>
                    <w14:schemeClr w14:val="tx1"/>
                  </w14:solidFill>
                </w14:textFill>
              </w:rPr>
              <w:t>个工作日内。</w:t>
            </w:r>
          </w:p>
          <w:p w14:paraId="43C7920B">
            <w:pPr>
              <w:spacing w:line="360" w:lineRule="auto"/>
              <w:rPr>
                <w:rFonts w:hint="eastAsia" w:ascii="仿宋" w:hAnsi="仿宋" w:eastAsia="仿宋" w:cs="宋体"/>
                <w:color w:val="000000" w:themeColor="text1"/>
                <w:szCs w:val="21"/>
                <w:highlight w:val="none"/>
                <w:lang w:eastAsia="zh-CN"/>
                <w14:textFill>
                  <w14:solidFill>
                    <w14:schemeClr w14:val="tx1"/>
                  </w14:solidFill>
                </w14:textFill>
              </w:rPr>
            </w:pPr>
            <w:r>
              <w:rPr>
                <w:rFonts w:hint="eastAsia" w:ascii="仿宋" w:hAnsi="仿宋" w:eastAsia="仿宋" w:cs="宋体"/>
                <w:color w:val="000000" w:themeColor="text1"/>
                <w:szCs w:val="21"/>
                <w:highlight w:val="none"/>
                <w14:textFill>
                  <w14:solidFill>
                    <w14:schemeClr w14:val="tx1"/>
                  </w14:solidFill>
                </w14:textFill>
              </w:rPr>
              <w:t>确认收到澄清或修改文件的方式：</w:t>
            </w:r>
            <w:r>
              <w:rPr>
                <w:rFonts w:hint="eastAsia" w:ascii="仿宋" w:hAnsi="仿宋" w:eastAsia="仿宋" w:cs="宋体"/>
                <w:color w:val="000000" w:themeColor="text1"/>
                <w:sz w:val="21"/>
                <w:szCs w:val="21"/>
                <w:highlight w:val="none"/>
                <w:lang w:eastAsia="zh-CN"/>
                <w14:textFill>
                  <w14:solidFill>
                    <w14:schemeClr w14:val="tx1"/>
                  </w14:solidFill>
                </w14:textFill>
              </w:rPr>
              <w:t>书面方式</w:t>
            </w:r>
          </w:p>
        </w:tc>
      </w:tr>
      <w:tr w14:paraId="341E9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1F3D07BE">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2A9F677F">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响应文件的组成</w:t>
            </w:r>
          </w:p>
        </w:tc>
        <w:tc>
          <w:tcPr>
            <w:tcW w:w="3589" w:type="pct"/>
            <w:noWrap w:val="0"/>
            <w:vAlign w:val="center"/>
          </w:tcPr>
          <w:p w14:paraId="6F4B4283">
            <w:pPr>
              <w:pStyle w:val="149"/>
              <w:spacing w:before="62" w:beforeLines="20" w:after="62" w:afterLines="20" w:line="276"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响应文件按照以下架构分成三册并顺序编制：</w:t>
            </w:r>
          </w:p>
          <w:p w14:paraId="1F23B234">
            <w:pPr>
              <w:pStyle w:val="156"/>
              <w:spacing w:before="62" w:beforeLines="20" w:after="62" w:afterLines="20" w:line="276" w:lineRule="auto"/>
              <w:rPr>
                <w:rFonts w:hint="eastAsia" w:ascii="仿宋" w:hAnsi="仿宋" w:eastAsia="仿宋" w:cs="仿宋"/>
                <w:b/>
                <w:color w:val="000000"/>
                <w:highlight w:val="none"/>
              </w:rPr>
            </w:pPr>
            <w:r>
              <w:rPr>
                <w:rFonts w:hint="eastAsia" w:ascii="仿宋" w:hAnsi="仿宋" w:eastAsia="仿宋" w:cs="仿宋"/>
                <w:b/>
                <w:color w:val="000000"/>
                <w:highlight w:val="none"/>
              </w:rPr>
              <w:t>一、商务文件</w:t>
            </w:r>
          </w:p>
          <w:p w14:paraId="0A141EDA">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初步评审索引表</w:t>
            </w:r>
          </w:p>
          <w:p w14:paraId="7B27BE26">
            <w:pPr>
              <w:autoSpaceDE w:val="0"/>
              <w:autoSpaceDN w:val="0"/>
              <w:spacing w:line="276" w:lineRule="auto"/>
            </w:pPr>
            <w:r>
              <w:rPr>
                <w:rFonts w:hint="eastAsia" w:ascii="仿宋" w:hAnsi="仿宋" w:eastAsia="仿宋" w:cs="仿宋"/>
                <w:b/>
                <w:color w:val="000000"/>
                <w:szCs w:val="21"/>
                <w:highlight w:val="none"/>
              </w:rPr>
              <w:t>详细评审索引表</w:t>
            </w:r>
          </w:p>
          <w:p w14:paraId="31DF0991">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（一）响应函</w:t>
            </w:r>
          </w:p>
          <w:p w14:paraId="5C85C8D4">
            <w:pPr>
              <w:pStyle w:val="149"/>
              <w:spacing w:before="62" w:beforeLines="20" w:after="62" w:afterLines="2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（二）法定代表人（负责人）身份证明</w:t>
            </w:r>
          </w:p>
          <w:p w14:paraId="3330B5C6">
            <w:pPr>
              <w:pStyle w:val="149"/>
              <w:spacing w:before="62" w:beforeLines="20" w:after="62" w:afterLines="2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（三）法定代表人（负责人）授权委托书</w:t>
            </w:r>
          </w:p>
          <w:p w14:paraId="561E9AAC">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（四）资格证明文件</w:t>
            </w:r>
          </w:p>
          <w:p w14:paraId="6ED4D56F">
            <w:pPr>
              <w:pStyle w:val="149"/>
              <w:spacing w:before="62" w:beforeLines="20" w:after="62" w:afterLines="20"/>
              <w:rPr>
                <w:rFonts w:hint="eastAsia" w:ascii="仿宋" w:hAnsi="仿宋" w:eastAsia="仿宋" w:cs="仿宋"/>
                <w:color w:val="000000"/>
                <w:highlight w:val="none"/>
              </w:rPr>
            </w:pPr>
            <w:r>
              <w:rPr>
                <w:rFonts w:hint="eastAsia" w:ascii="仿宋" w:hAnsi="仿宋" w:eastAsia="仿宋" w:cs="宋体"/>
                <w:color w:val="000000"/>
                <w:sz w:val="21"/>
                <w:szCs w:val="21"/>
                <w:highlight w:val="none"/>
              </w:rPr>
              <w:t>（五）供应商须知应答偏离表</w:t>
            </w:r>
          </w:p>
          <w:p w14:paraId="4AD0E67B">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（六）合同条款应答偏离表</w:t>
            </w:r>
          </w:p>
          <w:p w14:paraId="7902662F">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（七）供应商行为准则承诺书</w:t>
            </w:r>
          </w:p>
          <w:p w14:paraId="305AB081">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宋体"/>
                <w:color w:val="000000"/>
                <w:highlight w:val="none"/>
              </w:rPr>
              <w:t>（八）供应商廉洁诚信承诺书</w:t>
            </w:r>
          </w:p>
          <w:p w14:paraId="32B1AFB1">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（九）其他材料</w:t>
            </w:r>
            <w:r>
              <w:rPr>
                <w:rFonts w:hint="eastAsia" w:ascii="仿宋" w:hAnsi="仿宋" w:eastAsia="仿宋" w:cs="宋体"/>
                <w:color w:val="000000"/>
                <w:sz w:val="21"/>
                <w:szCs w:val="21"/>
                <w:highlight w:val="none"/>
              </w:rPr>
              <w:t>（如有）</w:t>
            </w:r>
          </w:p>
          <w:p w14:paraId="4CDDEC27">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二、技术文件</w:t>
            </w:r>
          </w:p>
          <w:p w14:paraId="30B393F1">
            <w:pPr>
              <w:autoSpaceDE w:val="0"/>
              <w:autoSpaceDN w:val="0"/>
              <w:spacing w:line="276" w:lineRule="auto"/>
              <w:rPr>
                <w:rFonts w:ascii="仿宋" w:hAnsi="仿宋" w:eastAsia="仿宋" w:cs="仿宋"/>
                <w:b/>
                <w:color w:val="000000"/>
                <w:szCs w:val="21"/>
                <w:highlight w:val="none"/>
              </w:rPr>
            </w:pPr>
            <w:r>
              <w:rPr>
                <w:rFonts w:hint="eastAsia" w:ascii="仿宋" w:hAnsi="仿宋" w:eastAsia="仿宋" w:cs="仿宋"/>
                <w:b/>
                <w:color w:val="000000"/>
                <w:szCs w:val="21"/>
                <w:highlight w:val="none"/>
              </w:rPr>
              <w:t>详细评审索引表</w:t>
            </w:r>
          </w:p>
          <w:p w14:paraId="150AB956">
            <w:pPr>
              <w:autoSpaceDE w:val="0"/>
              <w:autoSpaceDN w:val="0"/>
              <w:spacing w:line="276"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（一）采购需求应答偏离表</w:t>
            </w:r>
          </w:p>
          <w:p w14:paraId="2CD104FF">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（二）技术方案</w:t>
            </w:r>
          </w:p>
          <w:p w14:paraId="5A7998BF">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（三）其他材料</w:t>
            </w:r>
            <w:r>
              <w:rPr>
                <w:rFonts w:hint="eastAsia" w:ascii="仿宋" w:hAnsi="仿宋" w:eastAsia="仿宋" w:cs="宋体"/>
                <w:color w:val="000000"/>
                <w:sz w:val="21"/>
                <w:szCs w:val="21"/>
                <w:highlight w:val="none"/>
              </w:rPr>
              <w:t>（如有）</w:t>
            </w:r>
          </w:p>
          <w:p w14:paraId="66DE2657">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三、报价文件</w:t>
            </w:r>
          </w:p>
          <w:p w14:paraId="68EB2685">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（一）报价一览表</w:t>
            </w:r>
          </w:p>
          <w:p w14:paraId="4257139A">
            <w:pPr>
              <w:pStyle w:val="156"/>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（二）分项报价表</w:t>
            </w:r>
            <w:r>
              <w:rPr>
                <w:rFonts w:hint="eastAsia" w:ascii="仿宋" w:hAnsi="仿宋" w:eastAsia="仿宋" w:cs="宋体"/>
                <w:color w:val="000000"/>
                <w:sz w:val="21"/>
                <w:szCs w:val="21"/>
                <w:highlight w:val="none"/>
              </w:rPr>
              <w:t>（如有）</w:t>
            </w:r>
          </w:p>
        </w:tc>
      </w:tr>
      <w:tr w14:paraId="15397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19819E65">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14:paraId="7BD1406D">
            <w:pPr>
              <w:adjustRightInd w:val="0"/>
              <w:snapToGrid w:val="0"/>
              <w:spacing w:line="360" w:lineRule="auto"/>
              <w:ind w:left="36" w:leftChars="17"/>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响应文件的递交</w:t>
            </w:r>
          </w:p>
        </w:tc>
        <w:tc>
          <w:tcPr>
            <w:tcW w:w="3589" w:type="pct"/>
            <w:noWrap w:val="0"/>
            <w:vAlign w:val="center"/>
          </w:tcPr>
          <w:p w14:paraId="5CE5A0E0">
            <w:pPr>
              <w:autoSpaceDE w:val="0"/>
              <w:autoSpaceDN w:val="0"/>
              <w:spacing w:line="360" w:lineRule="auto"/>
              <w:rPr>
                <w:rFonts w:hint="eastAsia" w:ascii="仿宋" w:hAnsi="仿宋" w:eastAsia="仿宋" w:cs="宋体"/>
                <w:bCs/>
                <w:color w:val="000000"/>
                <w:szCs w:val="21"/>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第一章 竞争性磋商公告</w:t>
            </w:r>
          </w:p>
        </w:tc>
      </w:tr>
      <w:tr w14:paraId="6BADA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19CB1396">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24064CBE">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w:t>
            </w:r>
            <w:r>
              <w:rPr>
                <w:rFonts w:hint="eastAsia" w:ascii="仿宋" w:hAnsi="仿宋" w:eastAsia="仿宋" w:cs="宋体"/>
                <w:color w:val="000000"/>
                <w:szCs w:val="21"/>
                <w:highlight w:val="none"/>
              </w:rPr>
              <w:t>响应文件的盖章或签字要求</w:t>
            </w:r>
          </w:p>
        </w:tc>
        <w:tc>
          <w:tcPr>
            <w:tcW w:w="3589" w:type="pct"/>
            <w:noWrap w:val="0"/>
            <w:vAlign w:val="center"/>
          </w:tcPr>
          <w:p w14:paraId="693A4BA1">
            <w:pPr>
              <w:pStyle w:val="139"/>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（1）《法定代表人（负责人）身份证明》的落款处应加盖公章。</w:t>
            </w:r>
          </w:p>
          <w:p w14:paraId="53EB78DD">
            <w:pPr>
              <w:pStyle w:val="139"/>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（2）《法定代表人（负责人）授权委托书》的落款处应加盖公章</w:t>
            </w:r>
            <w:r>
              <w:rPr>
                <w:rFonts w:hint="eastAsia" w:ascii="仿宋" w:hAnsi="仿宋" w:eastAsia="仿宋" w:cs="宋体"/>
                <w:b/>
                <w:color w:val="000000"/>
                <w:sz w:val="21"/>
                <w:szCs w:val="21"/>
                <w:highlight w:val="none"/>
              </w:rPr>
              <w:t>并由</w:t>
            </w:r>
            <w:r>
              <w:rPr>
                <w:rFonts w:hint="eastAsia" w:ascii="仿宋" w:hAnsi="仿宋" w:eastAsia="仿宋" w:cs="宋体"/>
                <w:color w:val="000000"/>
                <w:sz w:val="21"/>
                <w:szCs w:val="21"/>
                <w:highlight w:val="none"/>
              </w:rPr>
              <w:t>法定代表人（负责人）</w:t>
            </w:r>
            <w:r>
              <w:rPr>
                <w:rFonts w:hint="eastAsia" w:ascii="仿宋" w:hAnsi="仿宋" w:eastAsia="仿宋" w:cs="宋体"/>
                <w:b/>
                <w:color w:val="000000"/>
                <w:sz w:val="21"/>
                <w:szCs w:val="21"/>
                <w:highlight w:val="none"/>
              </w:rPr>
              <w:t>和</w:t>
            </w:r>
            <w:r>
              <w:rPr>
                <w:rFonts w:hint="eastAsia" w:ascii="仿宋" w:hAnsi="仿宋" w:eastAsia="仿宋" w:cs="宋体"/>
                <w:color w:val="000000"/>
                <w:sz w:val="21"/>
                <w:szCs w:val="21"/>
                <w:highlight w:val="none"/>
              </w:rPr>
              <w:t>其委托代理人</w:t>
            </w:r>
            <w:r>
              <w:rPr>
                <w:rFonts w:hint="eastAsia" w:ascii="仿宋" w:hAnsi="仿宋" w:eastAsia="仿宋" w:cs="宋体"/>
                <w:b/>
                <w:color w:val="000000"/>
                <w:sz w:val="21"/>
                <w:szCs w:val="21"/>
                <w:highlight w:val="none"/>
              </w:rPr>
              <w:t>双方</w:t>
            </w:r>
            <w:r>
              <w:rPr>
                <w:rFonts w:hint="eastAsia" w:ascii="仿宋" w:hAnsi="仿宋" w:eastAsia="仿宋" w:cs="宋体"/>
                <w:color w:val="000000"/>
                <w:sz w:val="21"/>
                <w:szCs w:val="21"/>
                <w:highlight w:val="none"/>
              </w:rPr>
              <w:t>签字。</w:t>
            </w:r>
          </w:p>
          <w:p w14:paraId="1E1795E7">
            <w:pPr>
              <w:pStyle w:val="139"/>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（3）响应文件格式中其他有落款的文件，</w:t>
            </w:r>
            <w:r>
              <w:rPr>
                <w:rFonts w:hint="eastAsia" w:ascii="仿宋" w:hAnsi="仿宋" w:eastAsia="仿宋" w:cs="宋体"/>
                <w:b/>
                <w:color w:val="000000"/>
                <w:sz w:val="21"/>
                <w:szCs w:val="21"/>
                <w:highlight w:val="none"/>
              </w:rPr>
              <w:t>均需</w:t>
            </w:r>
            <w:r>
              <w:rPr>
                <w:rFonts w:hint="eastAsia" w:ascii="仿宋" w:hAnsi="仿宋" w:eastAsia="仿宋" w:cs="宋体"/>
                <w:color w:val="000000"/>
                <w:sz w:val="21"/>
                <w:szCs w:val="21"/>
                <w:highlight w:val="none"/>
              </w:rPr>
              <w:t>加盖公章。</w:t>
            </w:r>
          </w:p>
          <w:p w14:paraId="5DA6E35A">
            <w:pPr>
              <w:pStyle w:val="139"/>
              <w:topLinePunct/>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000000"/>
                <w:sz w:val="21"/>
                <w:szCs w:val="21"/>
                <w:highlight w:val="none"/>
              </w:rPr>
              <w:t>（4）响应文件的所有签字处均指手写签字</w:t>
            </w:r>
            <w:r>
              <w:rPr>
                <w:rFonts w:hint="eastAsia" w:ascii="仿宋" w:hAnsi="仿宋" w:eastAsia="仿宋" w:cs="宋体"/>
                <w:b/>
                <w:color w:val="000000"/>
                <w:sz w:val="21"/>
                <w:szCs w:val="21"/>
                <w:highlight w:val="none"/>
              </w:rPr>
              <w:t>或</w:t>
            </w:r>
            <w:r>
              <w:rPr>
                <w:rFonts w:hint="eastAsia" w:ascii="仿宋" w:hAnsi="仿宋" w:eastAsia="仿宋" w:cs="宋体"/>
                <w:color w:val="000000"/>
                <w:sz w:val="21"/>
                <w:szCs w:val="21"/>
                <w:highlight w:val="none"/>
              </w:rPr>
              <w:t>签名章/印章</w:t>
            </w:r>
            <w:r>
              <w:rPr>
                <w:rFonts w:hint="eastAsia" w:ascii="仿宋" w:hAnsi="仿宋" w:eastAsia="仿宋" w:cs="宋体"/>
                <w:b/>
                <w:bCs/>
                <w:color w:val="000000"/>
                <w:sz w:val="21"/>
                <w:szCs w:val="21"/>
                <w:highlight w:val="none"/>
              </w:rPr>
              <w:t>或</w:t>
            </w:r>
            <w:r>
              <w:rPr>
                <w:rFonts w:hint="eastAsia" w:ascii="仿宋" w:hAnsi="仿宋" w:eastAsia="仿宋" w:cs="宋体"/>
                <w:color w:val="000000"/>
                <w:sz w:val="21"/>
                <w:szCs w:val="21"/>
                <w:highlight w:val="none"/>
              </w:rPr>
              <w:t>CA签名章，</w:t>
            </w:r>
            <w:r>
              <w:rPr>
                <w:rFonts w:hint="eastAsia" w:ascii="仿宋" w:hAnsi="仿宋" w:eastAsia="仿宋" w:cs="宋体"/>
                <w:b/>
                <w:color w:val="000000"/>
                <w:sz w:val="21"/>
                <w:szCs w:val="21"/>
                <w:highlight w:val="none"/>
              </w:rPr>
              <w:t>不得</w:t>
            </w:r>
            <w:r>
              <w:rPr>
                <w:rFonts w:hint="eastAsia" w:ascii="仿宋" w:hAnsi="仿宋" w:eastAsia="仿宋" w:cs="宋体"/>
                <w:color w:val="000000"/>
                <w:sz w:val="21"/>
                <w:szCs w:val="21"/>
                <w:highlight w:val="none"/>
              </w:rPr>
              <w:t>以打印体代替。</w:t>
            </w:r>
          </w:p>
        </w:tc>
      </w:tr>
      <w:tr w14:paraId="75B6F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0FBBC12B">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70331DFD">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磋商响应报价</w:t>
            </w:r>
          </w:p>
        </w:tc>
        <w:tc>
          <w:tcPr>
            <w:tcW w:w="3589" w:type="pct"/>
            <w:noWrap w:val="0"/>
            <w:vAlign w:val="center"/>
          </w:tcPr>
          <w:p w14:paraId="3FB7A798">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1）供应商应结合自身实力与经验、市场价格竞争及合同实施风险等因素进行综合考虑进行报价。</w:t>
            </w:r>
          </w:p>
          <w:p w14:paraId="636BF0BD">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2）磋商小组将视磋商情况决定是否进行多轮次报价，供应商</w:t>
            </w:r>
            <w:r>
              <w:rPr>
                <w:rFonts w:hint="eastAsia" w:ascii="仿宋" w:hAnsi="仿宋" w:eastAsia="仿宋" w:cs="仿宋"/>
                <w:color w:val="000000"/>
                <w:highlight w:val="none"/>
                <w:u w:val="single"/>
              </w:rPr>
              <w:t>最后一轮磋商提交的报价</w:t>
            </w:r>
            <w:r>
              <w:rPr>
                <w:rFonts w:hint="eastAsia" w:ascii="仿宋" w:hAnsi="仿宋" w:eastAsia="仿宋" w:cs="仿宋"/>
                <w:color w:val="000000"/>
                <w:highlight w:val="none"/>
              </w:rPr>
              <w:t>将作为该供应商的</w:t>
            </w:r>
            <w:r>
              <w:rPr>
                <w:rFonts w:hint="eastAsia" w:ascii="仿宋" w:hAnsi="仿宋" w:eastAsia="仿宋" w:cs="仿宋"/>
                <w:b/>
                <w:bCs/>
                <w:color w:val="000000"/>
                <w:highlight w:val="none"/>
              </w:rPr>
              <w:t>最终报价</w:t>
            </w:r>
            <w:r>
              <w:rPr>
                <w:rFonts w:hint="eastAsia" w:ascii="仿宋" w:hAnsi="仿宋" w:eastAsia="仿宋" w:cs="仿宋"/>
                <w:color w:val="000000"/>
                <w:highlight w:val="none"/>
              </w:rPr>
              <w:t>进行评审。</w:t>
            </w:r>
          </w:p>
        </w:tc>
      </w:tr>
      <w:tr w14:paraId="14912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7EC813C6">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21F44A54">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★磋商响应有效期</w:t>
            </w:r>
          </w:p>
        </w:tc>
        <w:tc>
          <w:tcPr>
            <w:tcW w:w="3589" w:type="pct"/>
            <w:noWrap w:val="0"/>
            <w:vAlign w:val="center"/>
          </w:tcPr>
          <w:p w14:paraId="542C5428">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000000"/>
                <w:highlight w:val="none"/>
              </w:rPr>
              <w:t>磋商响应有效期：</w:t>
            </w:r>
            <w:r>
              <w:rPr>
                <w:rFonts w:hint="eastAsia" w:ascii="仿宋" w:hAnsi="仿宋" w:eastAsia="仿宋" w:cs="仿宋"/>
                <w:color w:val="000000"/>
                <w:highlight w:val="none"/>
              </w:rPr>
              <w:t>自磋商之日起不少于90天。</w:t>
            </w:r>
          </w:p>
        </w:tc>
      </w:tr>
      <w:tr w14:paraId="341A1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5623C33A">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14:paraId="627F6958">
            <w:pPr>
              <w:adjustRightInd w:val="0"/>
              <w:snapToGrid w:val="0"/>
              <w:spacing w:line="360" w:lineRule="auto"/>
              <w:ind w:left="36" w:leftChars="17"/>
              <w:jc w:val="center"/>
              <w:rPr>
                <w:rFonts w:hint="default" w:ascii="仿宋" w:hAnsi="仿宋" w:eastAsia="仿宋" w:cs="仿宋"/>
                <w:color w:val="000000"/>
                <w:szCs w:val="21"/>
                <w:highlight w:val="none"/>
                <w:lang w:val="en-US" w:eastAsia="zh-CN"/>
              </w:rPr>
            </w:pPr>
            <w:r>
              <w:rPr>
                <w:rFonts w:hint="eastAsia" w:ascii="仿宋" w:hAnsi="仿宋" w:eastAsia="仿宋" w:cs="宋体"/>
                <w:color w:val="000000"/>
                <w:szCs w:val="21"/>
                <w:highlight w:val="none"/>
              </w:rPr>
              <w:t>★磋商保证金</w:t>
            </w:r>
            <w:r>
              <w:rPr>
                <w:rFonts w:hint="eastAsia" w:ascii="仿宋" w:hAnsi="仿宋" w:eastAsia="仿宋" w:cs="宋体"/>
                <w:color w:val="000000"/>
                <w:szCs w:val="21"/>
                <w:highlight w:val="none"/>
                <w:lang w:val="en-US" w:eastAsia="zh-CN"/>
              </w:rPr>
              <w:t>的金额</w:t>
            </w:r>
          </w:p>
        </w:tc>
        <w:tc>
          <w:tcPr>
            <w:tcW w:w="3589" w:type="pct"/>
            <w:noWrap w:val="0"/>
            <w:vAlign w:val="center"/>
          </w:tcPr>
          <w:p w14:paraId="1B5DA05A">
            <w:pPr>
              <w:pStyle w:val="156"/>
              <w:spacing w:before="62" w:beforeLines="20" w:after="62" w:afterLines="20" w:line="360" w:lineRule="auto"/>
              <w:rPr>
                <w:rFonts w:hint="eastAsia" w:ascii="仿宋" w:hAnsi="仿宋" w:eastAsia="仿宋" w:cs="仿宋"/>
                <w:color w:val="000000"/>
                <w:highlight w:val="none"/>
                <w:u w:val="single"/>
              </w:rPr>
            </w:pPr>
            <w:r>
              <w:rPr>
                <w:rFonts w:hint="eastAsia" w:ascii="仿宋" w:hAnsi="仿宋" w:eastAsia="仿宋" w:cs="仿宋"/>
                <w:b/>
                <w:bCs w:val="0"/>
                <w:color w:val="000000"/>
                <w:sz w:val="24"/>
                <w:szCs w:val="24"/>
                <w:highlight w:val="none"/>
                <w:lang w:eastAsia="zh-CN"/>
              </w:rPr>
              <w:t>本项目不设置磋商保证金</w:t>
            </w:r>
          </w:p>
        </w:tc>
      </w:tr>
      <w:tr w14:paraId="490F6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5D7F6B97">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6925DA92">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w:t>
            </w:r>
            <w:r>
              <w:rPr>
                <w:rFonts w:hint="eastAsia" w:ascii="仿宋" w:hAnsi="仿宋" w:eastAsia="仿宋" w:cs="宋体"/>
                <w:color w:val="000000"/>
                <w:szCs w:val="21"/>
                <w:highlight w:val="none"/>
                <w:lang w:val="en-US" w:eastAsia="zh-CN"/>
              </w:rPr>
              <w:t>磋商</w:t>
            </w:r>
            <w:r>
              <w:rPr>
                <w:rFonts w:hint="eastAsia" w:ascii="仿宋" w:hAnsi="仿宋" w:eastAsia="仿宋" w:cs="宋体"/>
                <w:color w:val="000000"/>
                <w:szCs w:val="21"/>
                <w:highlight w:val="none"/>
              </w:rPr>
              <w:t>保证金</w:t>
            </w:r>
            <w:r>
              <w:rPr>
                <w:rFonts w:hint="eastAsia" w:ascii="仿宋" w:hAnsi="仿宋" w:eastAsia="仿宋" w:cs="宋体"/>
                <w:color w:val="000000"/>
                <w:szCs w:val="21"/>
                <w:highlight w:val="none"/>
                <w:lang w:val="en-US" w:eastAsia="zh-CN"/>
              </w:rPr>
              <w:t>的</w:t>
            </w:r>
            <w:r>
              <w:rPr>
                <w:rFonts w:hint="eastAsia" w:ascii="仿宋" w:hAnsi="仿宋" w:eastAsia="仿宋" w:cs="宋体"/>
                <w:color w:val="000000"/>
                <w:szCs w:val="21"/>
                <w:highlight w:val="none"/>
              </w:rPr>
              <w:t>形式</w:t>
            </w:r>
          </w:p>
        </w:tc>
        <w:tc>
          <w:tcPr>
            <w:tcW w:w="3589" w:type="pct"/>
            <w:noWrap w:val="0"/>
            <w:vAlign w:val="center"/>
          </w:tcPr>
          <w:p w14:paraId="52D5F6D9">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b/>
                <w:bCs w:val="0"/>
                <w:color w:val="000000"/>
                <w:sz w:val="24"/>
                <w:szCs w:val="24"/>
                <w:highlight w:val="none"/>
                <w:lang w:eastAsia="zh-CN"/>
              </w:rPr>
              <w:t>本项目不设置磋商保证金</w:t>
            </w:r>
          </w:p>
        </w:tc>
      </w:tr>
      <w:tr w14:paraId="2F555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822" w:hRule="atLeast"/>
          <w:jc w:val="center"/>
        </w:trPr>
        <w:tc>
          <w:tcPr>
            <w:tcW w:w="483" w:type="pct"/>
            <w:noWrap w:val="0"/>
            <w:vAlign w:val="center"/>
          </w:tcPr>
          <w:p w14:paraId="5A7EB985">
            <w:pPr>
              <w:pStyle w:val="156"/>
              <w:spacing w:before="62" w:beforeLines="20" w:after="62" w:afterLines="20" w:line="276" w:lineRule="auto"/>
              <w:jc w:val="center"/>
              <w:rPr>
                <w:rFonts w:hint="eastAsia" w:ascii="仿宋" w:hAnsi="仿宋" w:eastAsia="仿宋" w:cs="仿宋"/>
                <w:color w:val="000000"/>
                <w:highlight w:val="none"/>
              </w:rPr>
            </w:pPr>
          </w:p>
        </w:tc>
        <w:tc>
          <w:tcPr>
            <w:tcW w:w="927" w:type="pct"/>
            <w:noWrap w:val="0"/>
            <w:vAlign w:val="center"/>
          </w:tcPr>
          <w:p w14:paraId="03E36177">
            <w:pPr>
              <w:pStyle w:val="156"/>
              <w:spacing w:before="62" w:beforeLines="20" w:after="62" w:afterLines="20" w:line="276" w:lineRule="auto"/>
              <w:jc w:val="center"/>
              <w:rPr>
                <w:rFonts w:hint="eastAsia" w:ascii="仿宋" w:hAnsi="仿宋" w:eastAsia="仿宋" w:cs="仿宋"/>
                <w:color w:val="000000"/>
                <w:highlight w:val="none"/>
              </w:rPr>
            </w:pPr>
            <w:r>
              <w:rPr>
                <w:rFonts w:hint="eastAsia" w:ascii="仿宋" w:hAnsi="仿宋" w:eastAsia="仿宋" w:cs="宋体"/>
                <w:highlight w:val="none"/>
              </w:rPr>
              <w:t>★磋商保证金不予退还情形</w:t>
            </w:r>
          </w:p>
        </w:tc>
        <w:tc>
          <w:tcPr>
            <w:tcW w:w="3589" w:type="pct"/>
            <w:noWrap w:val="0"/>
            <w:vAlign w:val="center"/>
          </w:tcPr>
          <w:p w14:paraId="1598CF3A">
            <w:pPr>
              <w:pStyle w:val="2"/>
              <w:spacing w:line="360" w:lineRule="auto"/>
              <w:jc w:val="both"/>
              <w:rPr>
                <w:rFonts w:hint="eastAsia" w:ascii="仿宋" w:hAnsi="仿宋" w:eastAsia="仿宋" w:cs="仿宋"/>
                <w:kern w:val="0"/>
                <w:sz w:val="21"/>
                <w:szCs w:val="21"/>
                <w:highlight w:val="none"/>
                <w:lang w:bidi="ar"/>
              </w:rPr>
            </w:pPr>
            <w:r>
              <w:rPr>
                <w:rFonts w:hint="eastAsia" w:ascii="仿宋" w:hAnsi="仿宋" w:eastAsia="仿宋" w:cs="仿宋"/>
                <w:b/>
                <w:bCs w:val="0"/>
                <w:color w:val="000000"/>
                <w:sz w:val="24"/>
                <w:szCs w:val="24"/>
                <w:highlight w:val="none"/>
                <w:lang w:eastAsia="zh-CN"/>
              </w:rPr>
              <w:t>本项目不设置磋商保证金</w:t>
            </w:r>
          </w:p>
          <w:p w14:paraId="699A3F07">
            <w:pPr>
              <w:pStyle w:val="156"/>
              <w:spacing w:before="62" w:beforeLines="20" w:after="62" w:afterLines="20" w:line="360" w:lineRule="auto"/>
              <w:jc w:val="center"/>
              <w:rPr>
                <w:rFonts w:hint="eastAsia" w:ascii="仿宋" w:hAnsi="仿宋" w:eastAsia="仿宋" w:cs="仿宋"/>
                <w:color w:val="000000"/>
                <w:highlight w:val="none"/>
              </w:rPr>
            </w:pPr>
          </w:p>
        </w:tc>
      </w:tr>
      <w:tr w14:paraId="1F2B9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3510092C">
            <w:pPr>
              <w:pStyle w:val="156"/>
              <w:spacing w:before="62" w:beforeLines="20" w:after="62" w:afterLines="20" w:line="360" w:lineRule="auto"/>
              <w:jc w:val="center"/>
              <w:rPr>
                <w:rFonts w:hint="eastAsia" w:ascii="仿宋" w:hAnsi="仿宋" w:eastAsia="仿宋" w:cs="仿宋"/>
                <w:color w:val="000000"/>
                <w:highlight w:val="none"/>
              </w:rPr>
            </w:pPr>
          </w:p>
        </w:tc>
        <w:tc>
          <w:tcPr>
            <w:tcW w:w="927" w:type="pct"/>
            <w:noWrap w:val="0"/>
            <w:vAlign w:val="center"/>
          </w:tcPr>
          <w:p w14:paraId="0D602DB2">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响应文件的份数</w:t>
            </w:r>
          </w:p>
        </w:tc>
        <w:tc>
          <w:tcPr>
            <w:tcW w:w="3589" w:type="pct"/>
            <w:noWrap w:val="0"/>
            <w:vAlign w:val="center"/>
          </w:tcPr>
          <w:p w14:paraId="7C98AB2B">
            <w:pPr>
              <w:pStyle w:val="16"/>
              <w:rPr>
                <w:rFonts w:hint="eastAsia" w:ascii="仿宋" w:hAnsi="仿宋" w:eastAsia="仿宋" w:cs="宋体"/>
                <w:color w:val="000000"/>
                <w:highlight w:val="none"/>
              </w:rPr>
            </w:pPr>
            <w:r>
              <w:rPr>
                <w:rFonts w:hint="eastAsia" w:ascii="仿宋" w:hAnsi="仿宋" w:eastAsia="仿宋" w:cs="宋体"/>
                <w:color w:val="000000"/>
                <w:sz w:val="21"/>
                <w:szCs w:val="21"/>
                <w:highlight w:val="none"/>
              </w:rPr>
              <w:t>电子文件</w:t>
            </w:r>
            <w:r>
              <w:rPr>
                <w:rFonts w:hint="eastAsia" w:ascii="仿宋" w:hAnsi="仿宋" w:eastAsia="仿宋" w:cs="宋体"/>
                <w:color w:val="000000"/>
                <w:sz w:val="21"/>
                <w:szCs w:val="21"/>
                <w:highlight w:val="none"/>
                <w:u w:val="single"/>
                <w:lang w:val="en-US" w:eastAsia="zh-CN"/>
              </w:rPr>
              <w:t>/</w:t>
            </w:r>
            <w:r>
              <w:rPr>
                <w:rFonts w:hint="eastAsia" w:ascii="仿宋" w:hAnsi="仿宋" w:eastAsia="仿宋" w:cs="宋体"/>
                <w:color w:val="000000"/>
                <w:sz w:val="21"/>
                <w:szCs w:val="21"/>
                <w:highlight w:val="none"/>
              </w:rPr>
              <w:t>份（</w:t>
            </w:r>
            <w:r>
              <w:rPr>
                <w:rFonts w:hint="eastAsia" w:ascii="仿宋" w:hAnsi="仿宋" w:eastAsia="仿宋" w:cs="宋体"/>
                <w:color w:val="000000"/>
                <w:sz w:val="21"/>
                <w:szCs w:val="21"/>
                <w:highlight w:val="none"/>
                <w:lang w:val="en-US" w:eastAsia="zh-CN"/>
              </w:rPr>
              <w:t>具体格式要求</w:t>
            </w:r>
            <w:r>
              <w:rPr>
                <w:rFonts w:hint="eastAsia" w:ascii="仿宋" w:hAnsi="仿宋" w:eastAsia="仿宋" w:cs="宋体"/>
                <w:color w:val="000000"/>
                <w:sz w:val="21"/>
                <w:szCs w:val="21"/>
                <w:highlight w:val="none"/>
              </w:rPr>
              <w:t>）；纸质文件正本</w:t>
            </w:r>
            <w:r>
              <w:rPr>
                <w:rFonts w:hint="eastAsia" w:ascii="仿宋" w:hAnsi="仿宋" w:eastAsia="仿宋" w:cs="宋体"/>
                <w:color w:val="000000"/>
                <w:sz w:val="21"/>
                <w:szCs w:val="21"/>
                <w:highlight w:val="none"/>
                <w:u w:val="single"/>
              </w:rPr>
              <w:t xml:space="preserve"> 1 </w:t>
            </w:r>
            <w:r>
              <w:rPr>
                <w:rFonts w:hint="eastAsia" w:ascii="仿宋" w:hAnsi="仿宋" w:eastAsia="仿宋" w:cs="宋体"/>
                <w:color w:val="000000"/>
                <w:sz w:val="21"/>
                <w:szCs w:val="21"/>
                <w:highlight w:val="none"/>
              </w:rPr>
              <w:t>份</w:t>
            </w:r>
          </w:p>
        </w:tc>
      </w:tr>
      <w:tr w14:paraId="6E1A6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72313C6B">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4FF063EC">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纸质</w:t>
            </w:r>
            <w:r>
              <w:rPr>
                <w:rFonts w:hint="eastAsia" w:ascii="仿宋" w:hAnsi="仿宋" w:eastAsia="仿宋" w:cs="仿宋"/>
                <w:color w:val="000000"/>
                <w:szCs w:val="21"/>
                <w:highlight w:val="none"/>
              </w:rPr>
              <w:t>响应文件的装订、密封和标记</w:t>
            </w:r>
          </w:p>
        </w:tc>
        <w:tc>
          <w:tcPr>
            <w:tcW w:w="3589" w:type="pct"/>
            <w:noWrap w:val="0"/>
            <w:vAlign w:val="center"/>
          </w:tcPr>
          <w:p w14:paraId="0ED077F6">
            <w:pPr>
              <w:spacing w:line="360" w:lineRule="auto"/>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color w:val="000000"/>
                <w:szCs w:val="21"/>
                <w:highlight w:val="none"/>
                <w:lang w:eastAsia="zh-Hans"/>
              </w:rPr>
              <w:t>纸质</w:t>
            </w:r>
            <w:r>
              <w:rPr>
                <w:rFonts w:hint="eastAsia" w:ascii="仿宋" w:hAnsi="仿宋" w:eastAsia="仿宋" w:cs="Cambria Math"/>
                <w:color w:val="000000"/>
                <w:szCs w:val="21"/>
                <w:highlight w:val="none"/>
              </w:rPr>
              <w:t>响应文件不予接收。</w:t>
            </w:r>
          </w:p>
          <w:p w14:paraId="266D1E6E">
            <w:pPr>
              <w:rPr>
                <w:rFonts w:ascii="仿宋" w:hAnsi="仿宋" w:eastAsia="仿宋"/>
                <w:color w:val="000000"/>
                <w:highlight w:val="none"/>
              </w:rPr>
            </w:pPr>
            <w:r>
              <w:rPr>
                <w:rFonts w:hint="eastAsia" w:ascii="仿宋" w:hAnsi="仿宋" w:eastAsia="仿宋" w:cs="Cambria Math"/>
                <w:color w:val="000000"/>
                <w:szCs w:val="21"/>
                <w:highlight w:val="none"/>
              </w:rPr>
              <w:t>（2）外层包封具体样式如下：</w:t>
            </w:r>
          </w:p>
          <w:p w14:paraId="20F6BA0B">
            <w:pPr>
              <w:pStyle w:val="156"/>
              <w:spacing w:before="62" w:beforeLines="20" w:after="62" w:afterLines="20" w:line="360" w:lineRule="auto"/>
              <w:rPr>
                <w:rFonts w:hint="eastAsia" w:ascii="仿宋" w:hAnsi="仿宋" w:eastAsia="仿宋" w:cs="Cambria Math"/>
                <w:b/>
                <w:color w:val="000000"/>
                <w:highlight w:val="none"/>
              </w:rPr>
            </w:pPr>
            <w:r>
              <w:rPr>
                <w:rFonts w:hint="eastAsia" w:ascii="仿宋" w:hAnsi="仿宋" w:eastAsia="仿宋" w:cs="仿宋"/>
                <w:color w:val="000000"/>
                <w:highlight w:val="none"/>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5EB8C8E">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14:paraId="49C7A9C8">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14:paraId="01C2CA41">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14:paraId="39CD40B0">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0225E85E">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14:paraId="74B281B1">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61580622">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14:paraId="35EB8C8E">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14:paraId="49C7A9C8">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14:paraId="01C2CA41">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w:t>
                            </w:r>
                            <w:r>
                              <w:rPr>
                                <w:rFonts w:hint="eastAsia" w:ascii="仿宋" w:hAnsi="仿宋" w:eastAsia="仿宋" w:cs="仿宋"/>
                                <w:kern w:val="0"/>
                                <w:szCs w:val="21"/>
                              </w:rPr>
                              <w:t>（北京时间）前不得开封</w:t>
                            </w:r>
                          </w:p>
                          <w:p w14:paraId="39CD40B0">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0225E85E">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14:paraId="74B281B1">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61580622">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14:paraId="2826D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583E5684">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36FDCF45">
            <w:pPr>
              <w:pStyle w:val="156"/>
              <w:spacing w:before="62" w:beforeLines="20" w:after="62" w:afterLines="20" w:line="360" w:lineRule="auto"/>
              <w:jc w:val="center"/>
              <w:rPr>
                <w:rFonts w:hint="eastAsia" w:ascii="仿宋" w:hAnsi="仿宋" w:eastAsia="仿宋" w:cs="仿宋"/>
                <w:color w:val="000000"/>
                <w:highlight w:val="none"/>
              </w:rPr>
            </w:pPr>
            <w:r>
              <w:rPr>
                <w:rFonts w:hint="eastAsia" w:ascii="仿宋" w:hAnsi="仿宋" w:eastAsia="仿宋" w:cs="仿宋"/>
                <w:color w:val="000000"/>
                <w:highlight w:val="none"/>
              </w:rPr>
              <w:t>响应文件的递交</w:t>
            </w:r>
          </w:p>
        </w:tc>
        <w:tc>
          <w:tcPr>
            <w:tcW w:w="3589" w:type="pct"/>
            <w:noWrap w:val="0"/>
            <w:vAlign w:val="center"/>
          </w:tcPr>
          <w:p w14:paraId="48E2E99D">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第一章 竞争性磋商公告“五、响应文件的递交”</w:t>
            </w:r>
            <w:r>
              <w:rPr>
                <w:rFonts w:hint="eastAsia" w:ascii="仿宋" w:hAnsi="仿宋" w:eastAsia="仿宋" w:cs="仿宋"/>
                <w:color w:val="000000"/>
                <w:highlight w:val="none"/>
              </w:rPr>
              <w:t>。</w:t>
            </w:r>
          </w:p>
        </w:tc>
      </w:tr>
      <w:tr w14:paraId="21DF2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6A56C27C">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14:paraId="170BF3FF">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组建磋商小组</w:t>
            </w:r>
          </w:p>
        </w:tc>
        <w:tc>
          <w:tcPr>
            <w:tcW w:w="3589" w:type="pct"/>
            <w:noWrap w:val="0"/>
            <w:vAlign w:val="center"/>
          </w:tcPr>
          <w:p w14:paraId="41ADC404">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本项目磋商小组成员</w:t>
            </w:r>
            <w:r>
              <w:rPr>
                <w:rFonts w:hint="eastAsia" w:ascii="仿宋" w:hAnsi="仿宋" w:eastAsia="仿宋" w:cs="仿宋"/>
                <w:color w:val="000000" w:themeColor="text1"/>
                <w:highlight w:val="none"/>
                <w14:textFill>
                  <w14:solidFill>
                    <w14:schemeClr w14:val="tx1"/>
                  </w14:solidFill>
                </w14:textFill>
              </w:rPr>
              <w:t>人数为</w:t>
            </w:r>
            <w:r>
              <w:rPr>
                <w:rFonts w:hint="eastAsia" w:ascii="仿宋" w:hAnsi="仿宋" w:eastAsia="仿宋" w:cs="仿宋"/>
                <w:color w:val="000000" w:themeColor="text1"/>
                <w:highlight w:val="none"/>
                <w:u w:val="single"/>
                <w:lang w:val="en-US" w:eastAsia="zh-CN"/>
                <w14:textFill>
                  <w14:solidFill>
                    <w14:schemeClr w14:val="tx1"/>
                  </w14:solidFill>
                </w14:textFill>
              </w:rPr>
              <w:t>3</w:t>
            </w:r>
            <w:r>
              <w:rPr>
                <w:rFonts w:hint="eastAsia" w:ascii="仿宋" w:hAnsi="仿宋" w:eastAsia="仿宋" w:cs="仿宋"/>
                <w:color w:val="000000" w:themeColor="text1"/>
                <w:highlight w:val="none"/>
                <w:u w:val="single"/>
                <w14:textFill>
                  <w14:solidFill>
                    <w14:schemeClr w14:val="tx1"/>
                  </w14:solidFill>
                </w14:textFill>
              </w:rPr>
              <w:t>人</w:t>
            </w:r>
          </w:p>
        </w:tc>
      </w:tr>
      <w:tr w14:paraId="303D5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16FF1F19">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779ED375">
            <w:pPr>
              <w:adjustRightInd w:val="0"/>
              <w:snapToGrid w:val="0"/>
              <w:spacing w:line="360" w:lineRule="auto"/>
              <w:ind w:left="36" w:leftChars="17"/>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磋商程序及方式</w:t>
            </w:r>
          </w:p>
        </w:tc>
        <w:tc>
          <w:tcPr>
            <w:tcW w:w="3589" w:type="pct"/>
            <w:noWrap w:val="0"/>
            <w:vAlign w:val="center"/>
          </w:tcPr>
          <w:p w14:paraId="15CD7FE3">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（1）磋商小组将与通过初步评审的有效供应商按照</w:t>
            </w:r>
            <w:r>
              <w:rPr>
                <w:rFonts w:hint="eastAsia" w:ascii="仿宋" w:hAnsi="仿宋" w:eastAsia="仿宋" w:cs="仿宋"/>
                <w:color w:val="000000"/>
                <w:highlight w:val="none"/>
                <w:u w:val="single"/>
              </w:rPr>
              <w:t>响应文件递交顺序/供应商随机抽取顺序/供应商名称首字A</w:t>
            </w:r>
            <w:r>
              <w:rPr>
                <w:rFonts w:ascii="仿宋" w:hAnsi="仿宋" w:eastAsia="仿宋" w:cs="仿宋"/>
                <w:color w:val="000000"/>
                <w:highlight w:val="none"/>
                <w:u w:val="single"/>
              </w:rPr>
              <w:t>-Z</w:t>
            </w:r>
            <w:r>
              <w:rPr>
                <w:rFonts w:hint="eastAsia" w:ascii="仿宋" w:hAnsi="仿宋" w:eastAsia="仿宋" w:cs="仿宋"/>
                <w:color w:val="000000"/>
                <w:highlight w:val="none"/>
                <w:u w:val="single"/>
              </w:rPr>
              <w:t>顺序/其他方式</w:t>
            </w:r>
            <w:r>
              <w:rPr>
                <w:rFonts w:hint="eastAsia" w:ascii="仿宋" w:hAnsi="仿宋" w:eastAsia="仿宋" w:cs="仿宋"/>
                <w:color w:val="000000"/>
                <w:highlight w:val="none"/>
              </w:rPr>
              <w:t>逐一进行磋商，供应商至少应派法定代表人或其授权委托人准时参会。</w:t>
            </w:r>
          </w:p>
          <w:p w14:paraId="509ECBFE">
            <w:pPr>
              <w:pStyle w:val="156"/>
              <w:spacing w:before="62" w:beforeLines="20" w:after="62" w:afterLines="20" w:line="360" w:lineRule="auto"/>
              <w:rPr>
                <w:rFonts w:ascii="仿宋" w:hAnsi="仿宋" w:eastAsia="仿宋" w:cs="仿宋"/>
                <w:color w:val="000000"/>
                <w:highlight w:val="none"/>
              </w:rPr>
            </w:pPr>
            <w:r>
              <w:rPr>
                <w:rFonts w:hint="eastAsia" w:ascii="仿宋" w:hAnsi="仿宋" w:eastAsia="仿宋" w:cs="仿宋"/>
                <w:color w:val="000000"/>
                <w:highlight w:val="none"/>
              </w:rPr>
              <w:t>（2）磋商小组有权要求供应商对响应文件中含义不明确、同类问题表述不一致或者有明显文字和计算错误的内容等进行澄清、说明或更正。第一轮磋商结束后，供应商提交第一轮报价及磋商小组要求提供的其他文件，磋商小组将视具体情况决定是否进行多轮磋商及报价。最后一轮磋商结束后，供应商提交最终报价并签署相关承诺性文件。</w:t>
            </w:r>
          </w:p>
        </w:tc>
      </w:tr>
      <w:tr w14:paraId="43798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771414B5">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50A8CA49">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磋商内容</w:t>
            </w:r>
          </w:p>
        </w:tc>
        <w:tc>
          <w:tcPr>
            <w:tcW w:w="3589" w:type="pct"/>
            <w:noWrap w:val="0"/>
            <w:vAlign w:val="center"/>
          </w:tcPr>
          <w:p w14:paraId="5D76905A">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rPr>
              <w:t>包含但不仅限于</w:t>
            </w:r>
            <w:r>
              <w:rPr>
                <w:rFonts w:hint="eastAsia" w:ascii="仿宋" w:hAnsi="仿宋" w:eastAsia="仿宋" w:cs="仿宋"/>
                <w:color w:val="000000"/>
                <w:u w:val="single"/>
              </w:rPr>
              <w:t>报价、对采购需求的理解、产品配置、实施方案、人员配置、服务承诺、商务条款</w:t>
            </w:r>
            <w:r>
              <w:rPr>
                <w:rFonts w:hint="eastAsia" w:ascii="仿宋" w:hAnsi="仿宋" w:eastAsia="仿宋" w:cs="仿宋"/>
                <w:color w:val="000000"/>
              </w:rPr>
              <w:t>等。</w:t>
            </w:r>
          </w:p>
        </w:tc>
      </w:tr>
      <w:tr w14:paraId="64CA7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3" w:type="pct"/>
            <w:noWrap w:val="0"/>
            <w:vAlign w:val="center"/>
          </w:tcPr>
          <w:p w14:paraId="593E8E9D">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3BC4E3A6">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成交候选人推荐原则</w:t>
            </w:r>
          </w:p>
        </w:tc>
        <w:tc>
          <w:tcPr>
            <w:tcW w:w="3589" w:type="pct"/>
            <w:noWrap w:val="0"/>
            <w:vAlign w:val="center"/>
          </w:tcPr>
          <w:p w14:paraId="59EBB1C6">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磋商小组根据有效供应商</w:t>
            </w:r>
            <w:r>
              <w:rPr>
                <w:rFonts w:hint="eastAsia" w:ascii="仿宋" w:hAnsi="仿宋" w:eastAsia="仿宋" w:cs="宋体"/>
                <w:color w:val="000000"/>
                <w:highlight w:val="none"/>
              </w:rPr>
              <w:t>综合得分由高至低排出的名次，顺序推荐</w:t>
            </w:r>
            <w:r>
              <w:rPr>
                <w:rFonts w:hint="eastAsia" w:ascii="仿宋" w:hAnsi="仿宋" w:eastAsia="仿宋" w:cs="宋体"/>
                <w:color w:val="000000"/>
                <w:highlight w:val="none"/>
                <w:u w:val="single"/>
              </w:rPr>
              <w:t>综合得分</w:t>
            </w:r>
            <w:r>
              <w:rPr>
                <w:rFonts w:hint="eastAsia" w:ascii="仿宋" w:hAnsi="仿宋" w:eastAsia="仿宋" w:cs="宋体"/>
                <w:color w:val="000000" w:themeColor="text1"/>
                <w:highlight w:val="none"/>
                <w:u w:val="single"/>
                <w14:textFill>
                  <w14:solidFill>
                    <w14:schemeClr w14:val="tx1"/>
                  </w14:solidFill>
                </w14:textFill>
              </w:rPr>
              <w:t>前</w:t>
            </w:r>
            <w:r>
              <w:rPr>
                <w:rFonts w:hint="eastAsia" w:ascii="仿宋" w:hAnsi="仿宋" w:eastAsia="仿宋" w:cs="宋体"/>
                <w:color w:val="000000" w:themeColor="text1"/>
                <w:highlight w:val="none"/>
                <w:u w:val="single"/>
                <w:lang w:val="en-US" w:eastAsia="zh-CN"/>
                <w14:textFill>
                  <w14:solidFill>
                    <w14:schemeClr w14:val="tx1"/>
                  </w14:solidFill>
                </w14:textFill>
              </w:rPr>
              <w:t>2</w:t>
            </w:r>
            <w:r>
              <w:rPr>
                <w:rFonts w:hint="eastAsia" w:ascii="仿宋" w:hAnsi="仿宋" w:eastAsia="仿宋" w:cs="宋体"/>
                <w:color w:val="000000" w:themeColor="text1"/>
                <w:highlight w:val="none"/>
                <w:u w:val="single"/>
                <w14:textFill>
                  <w14:solidFill>
                    <w14:schemeClr w14:val="tx1"/>
                  </w14:solidFill>
                </w14:textFill>
              </w:rPr>
              <w:t>名</w:t>
            </w:r>
            <w:r>
              <w:rPr>
                <w:rFonts w:hint="eastAsia" w:ascii="仿宋" w:hAnsi="仿宋" w:eastAsia="仿宋" w:cs="宋体"/>
                <w:color w:val="000000" w:themeColor="text1"/>
                <w:highlight w:val="none"/>
                <w14:textFill>
                  <w14:solidFill>
                    <w14:schemeClr w14:val="tx1"/>
                  </w14:solidFill>
                </w14:textFill>
              </w:rPr>
              <w:t>为</w:t>
            </w:r>
            <w:r>
              <w:rPr>
                <w:rFonts w:hint="eastAsia" w:ascii="仿宋" w:hAnsi="仿宋" w:eastAsia="仿宋" w:cs="宋体"/>
                <w:color w:val="000000"/>
                <w:highlight w:val="none"/>
              </w:rPr>
              <w:t>成交候选人。</w:t>
            </w:r>
            <w:r>
              <w:rPr>
                <w:rFonts w:hint="eastAsia" w:ascii="仿宋" w:hAnsi="仿宋" w:eastAsia="仿宋" w:cs="仿宋"/>
                <w:color w:val="000000"/>
                <w:highlight w:val="none"/>
              </w:rPr>
              <w:t>综合得分相同时，</w:t>
            </w:r>
            <w:r>
              <w:rPr>
                <w:rFonts w:hint="eastAsia" w:ascii="仿宋" w:hAnsi="仿宋" w:eastAsia="仿宋" w:cs="仿宋"/>
                <w:sz w:val="21"/>
                <w:szCs w:val="21"/>
                <w:lang w:val="en-US" w:eastAsia="zh-CN"/>
              </w:rPr>
              <w:t>则以价格评分的高低进行排名，若价格评分也相同，则以技术评分的高低进行排名，若技术评分也相同，则以服务评分的高低进行排名。</w:t>
            </w:r>
          </w:p>
        </w:tc>
      </w:tr>
      <w:tr w14:paraId="2438D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097D577B">
            <w:pPr>
              <w:adjustRightInd w:val="0"/>
              <w:snapToGrid w:val="0"/>
              <w:spacing w:line="360" w:lineRule="auto"/>
              <w:jc w:val="center"/>
              <w:rPr>
                <w:rFonts w:hint="eastAsia" w:ascii="仿宋" w:hAnsi="仿宋" w:eastAsia="仿宋" w:cs="仿宋"/>
                <w:color w:val="000000"/>
                <w:szCs w:val="21"/>
                <w:highlight w:val="none"/>
              </w:rPr>
            </w:pPr>
          </w:p>
        </w:tc>
        <w:tc>
          <w:tcPr>
            <w:tcW w:w="927" w:type="pct"/>
            <w:noWrap w:val="0"/>
            <w:vAlign w:val="center"/>
          </w:tcPr>
          <w:p w14:paraId="08DE8843">
            <w:pPr>
              <w:pStyle w:val="156"/>
              <w:spacing w:before="62" w:beforeLines="20" w:after="62" w:afterLines="20" w:line="360" w:lineRule="auto"/>
              <w:jc w:val="center"/>
              <w:rPr>
                <w:rFonts w:hint="eastAsia" w:ascii="仿宋" w:hAnsi="仿宋" w:eastAsia="仿宋" w:cs="仿宋"/>
                <w:color w:val="000000"/>
                <w:highlight w:val="none"/>
              </w:rPr>
            </w:pPr>
            <w:r>
              <w:rPr>
                <w:rFonts w:hint="eastAsia" w:ascii="仿宋" w:hAnsi="仿宋" w:eastAsia="仿宋" w:cs="仿宋"/>
                <w:color w:val="000000"/>
                <w:highlight w:val="none"/>
              </w:rPr>
              <w:t>成交人数量</w:t>
            </w:r>
          </w:p>
        </w:tc>
        <w:tc>
          <w:tcPr>
            <w:tcW w:w="3589" w:type="pct"/>
            <w:noWrap w:val="0"/>
            <w:vAlign w:val="center"/>
          </w:tcPr>
          <w:p w14:paraId="15B6E029">
            <w:pPr>
              <w:pStyle w:val="156"/>
              <w:spacing w:before="62" w:beforeLines="20" w:after="62" w:afterLines="20"/>
              <w:rPr>
                <w:rFonts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成交人数量：</w:t>
            </w:r>
            <w:r>
              <w:rPr>
                <w:rFonts w:hint="eastAsia" w:ascii="仿宋" w:hAnsi="仿宋" w:eastAsia="仿宋" w:cs="仿宋"/>
                <w:color w:val="000000" w:themeColor="text1"/>
                <w:highlight w:val="none"/>
                <w:u w:val="single"/>
                <w:lang w:val="en-US" w:eastAsia="zh-CN"/>
                <w14:textFill>
                  <w14:solidFill>
                    <w14:schemeClr w14:val="tx1"/>
                  </w14:solidFill>
                </w14:textFill>
              </w:rPr>
              <w:t>2</w:t>
            </w:r>
            <w:r>
              <w:rPr>
                <w:rFonts w:hint="eastAsia" w:ascii="仿宋" w:hAnsi="仿宋" w:eastAsia="仿宋" w:cs="仿宋"/>
                <w:color w:val="000000" w:themeColor="text1"/>
                <w:highlight w:val="none"/>
                <w:u w:val="single"/>
                <w14:textFill>
                  <w14:solidFill>
                    <w14:schemeClr w14:val="tx1"/>
                  </w14:solidFill>
                </w14:textFill>
              </w:rPr>
              <w:t>家</w:t>
            </w:r>
          </w:p>
          <w:p w14:paraId="25036815">
            <w:pPr>
              <w:pStyle w:val="156"/>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000000" w:themeColor="text1"/>
                <w:highlight w:val="none"/>
                <w:u w:val="single"/>
                <w14:textFill>
                  <w14:solidFill>
                    <w14:schemeClr w14:val="tx1"/>
                  </w14:solidFill>
                </w14:textFill>
              </w:rPr>
              <w:t>综合排名前</w:t>
            </w:r>
            <w:r>
              <w:rPr>
                <w:rFonts w:hint="eastAsia" w:ascii="仿宋" w:hAnsi="仿宋" w:eastAsia="仿宋" w:cs="宋体"/>
                <w:color w:val="000000" w:themeColor="text1"/>
                <w:highlight w:val="none"/>
                <w:u w:val="single"/>
                <w:lang w:val="en-US" w:eastAsia="zh-CN"/>
                <w14:textFill>
                  <w14:solidFill>
                    <w14:schemeClr w14:val="tx1"/>
                  </w14:solidFill>
                </w14:textFill>
              </w:rPr>
              <w:t>2</w:t>
            </w:r>
            <w:r>
              <w:rPr>
                <w:rFonts w:hint="eastAsia" w:ascii="仿宋" w:hAnsi="仿宋" w:eastAsia="仿宋" w:cs="宋体"/>
                <w:color w:val="000000" w:themeColor="text1"/>
                <w:highlight w:val="none"/>
                <w:u w:val="single"/>
                <w14:textFill>
                  <w14:solidFill>
                    <w14:schemeClr w14:val="tx1"/>
                  </w14:solidFill>
                </w14:textFill>
              </w:rPr>
              <w:t>位中的某一个</w:t>
            </w:r>
            <w:r>
              <w:rPr>
                <w:rFonts w:hint="eastAsia" w:ascii="仿宋" w:hAnsi="仿宋" w:eastAsia="仿宋" w:cs="仿宋"/>
                <w:color w:val="000000" w:themeColor="text1"/>
                <w:highlight w:val="none"/>
                <w14:textFill>
                  <w14:solidFill>
                    <w14:schemeClr w14:val="tx1"/>
                  </w14:solidFill>
                </w14:textFill>
              </w:rPr>
              <w:t>成交候选人放弃成交、因不可抗力不能履行合同、</w:t>
            </w:r>
            <w:r>
              <w:rPr>
                <w:rFonts w:hint="eastAsia" w:ascii="仿宋" w:hAnsi="仿宋" w:eastAsia="仿宋" w:cs="宋体"/>
                <w:color w:val="000000" w:themeColor="text1"/>
                <w:highlight w:val="none"/>
                <w14:textFill>
                  <w14:solidFill>
                    <w14:schemeClr w14:val="tx1"/>
                  </w14:solidFill>
                </w14:textFill>
              </w:rPr>
              <w:t>不按照磋商文件要求提</w:t>
            </w:r>
            <w:r>
              <w:rPr>
                <w:rFonts w:hint="eastAsia" w:ascii="仿宋" w:hAnsi="仿宋" w:eastAsia="仿宋" w:cs="宋体"/>
                <w:color w:val="000000"/>
                <w:highlight w:val="none"/>
              </w:rPr>
              <w:t>交履约保证金</w:t>
            </w:r>
            <w:r>
              <w:rPr>
                <w:rFonts w:hint="eastAsia" w:ascii="仿宋" w:hAnsi="仿宋" w:eastAsia="仿宋" w:cs="仿宋"/>
                <w:highlight w:val="none"/>
              </w:rPr>
              <w:t>、存在重大经营或法律风险、被查实存在影响采购结果的违法行为等情形，采购人按照磋商小组提出的成交候选人名单排序依次确定其他成交候选人为成交人，或者重新采购。</w:t>
            </w:r>
          </w:p>
        </w:tc>
      </w:tr>
      <w:tr w14:paraId="44EC2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27D5699B">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14:paraId="2CF8AEC0">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履约保证金</w:t>
            </w:r>
          </w:p>
        </w:tc>
        <w:tc>
          <w:tcPr>
            <w:tcW w:w="3589" w:type="pct"/>
            <w:noWrap w:val="0"/>
            <w:vAlign w:val="center"/>
          </w:tcPr>
          <w:p w14:paraId="036A03E8">
            <w:pPr>
              <w:pStyle w:val="156"/>
              <w:spacing w:before="62" w:beforeLines="20" w:after="62" w:afterLines="20" w:line="360" w:lineRule="auto"/>
              <w:rPr>
                <w:rFonts w:ascii="仿宋" w:hAnsi="仿宋" w:eastAsia="仿宋" w:cs="宋体"/>
                <w:color w:val="000000" w:themeColor="text1"/>
                <w:highlight w:val="none"/>
                <w14:textFill>
                  <w14:solidFill>
                    <w14:schemeClr w14:val="tx1"/>
                  </w14:solidFill>
                </w14:textFill>
              </w:rPr>
            </w:pPr>
            <w:r>
              <w:rPr>
                <w:rFonts w:hint="eastAsia" w:ascii="仿宋" w:hAnsi="仿宋" w:eastAsia="仿宋" w:cs="宋体"/>
                <w:color w:val="000000" w:themeColor="text1"/>
                <w:highlight w:val="none"/>
                <w14:textFill>
                  <w14:solidFill>
                    <w14:schemeClr w14:val="tx1"/>
                  </w14:solidFill>
                </w14:textFill>
              </w:rPr>
              <w:t>□收取，形式及比例：</w:t>
            </w:r>
          </w:p>
          <w:p w14:paraId="59B7D772">
            <w:pPr>
              <w:autoSpaceDE w:val="0"/>
              <w:autoSpaceDN w:val="0"/>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宋体"/>
                <w:color w:val="000000" w:themeColor="text1"/>
                <w:szCs w:val="21"/>
                <w:highlight w:val="none"/>
                <w:lang w:eastAsia="zh-CN"/>
                <w14:textFill>
                  <w14:solidFill>
                    <w14:schemeClr w14:val="tx1"/>
                  </w14:solidFill>
                </w14:textFill>
              </w:rPr>
              <w:t>☑</w:t>
            </w:r>
            <w:r>
              <w:rPr>
                <w:rFonts w:hint="eastAsia" w:ascii="仿宋" w:hAnsi="仿宋" w:eastAsia="仿宋" w:cs="宋体"/>
                <w:color w:val="000000" w:themeColor="text1"/>
                <w:szCs w:val="21"/>
                <w:highlight w:val="none"/>
                <w14:textFill>
                  <w14:solidFill>
                    <w14:schemeClr w14:val="tx1"/>
                  </w14:solidFill>
                </w14:textFill>
              </w:rPr>
              <w:t>不收取</w:t>
            </w:r>
          </w:p>
        </w:tc>
      </w:tr>
      <w:tr w14:paraId="242CB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14:paraId="50B8BC65">
            <w:pPr>
              <w:adjustRightInd w:val="0"/>
              <w:snapToGrid w:val="0"/>
              <w:spacing w:line="360" w:lineRule="auto"/>
              <w:jc w:val="center"/>
              <w:rPr>
                <w:rFonts w:ascii="仿宋" w:hAnsi="仿宋" w:eastAsia="仿宋" w:cs="仿宋"/>
                <w:color w:val="000000"/>
                <w:szCs w:val="21"/>
                <w:highlight w:val="none"/>
              </w:rPr>
            </w:pPr>
          </w:p>
        </w:tc>
        <w:tc>
          <w:tcPr>
            <w:tcW w:w="927" w:type="pct"/>
            <w:noWrap w:val="0"/>
            <w:vAlign w:val="center"/>
          </w:tcPr>
          <w:p w14:paraId="301DA029">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采购代理服务费</w:t>
            </w:r>
          </w:p>
        </w:tc>
        <w:tc>
          <w:tcPr>
            <w:tcW w:w="3589" w:type="pct"/>
            <w:noWrap w:val="0"/>
            <w:vAlign w:val="center"/>
          </w:tcPr>
          <w:p w14:paraId="221825B4">
            <w:pPr>
              <w:autoSpaceDE w:val="0"/>
              <w:autoSpaceDN w:val="0"/>
              <w:spacing w:line="360" w:lineRule="auto"/>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本项目无采购代理机构</w:t>
            </w:r>
          </w:p>
        </w:tc>
      </w:tr>
    </w:tbl>
    <w:p w14:paraId="6CCC8F7C">
      <w:pPr>
        <w:pStyle w:val="4"/>
        <w:ind w:firstLine="0" w:firstLineChars="0"/>
        <w:jc w:val="left"/>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33" w:name="_Toc20514"/>
      <w:bookmarkStart w:id="34" w:name="_Toc517281816"/>
      <w:bookmarkStart w:id="35" w:name="_Toc19783313"/>
      <w:bookmarkStart w:id="36" w:name="_Toc6047"/>
      <w:bookmarkStart w:id="37" w:name="_Toc11071"/>
      <w:bookmarkStart w:id="38" w:name="_Toc287600118"/>
      <w:bookmarkStart w:id="39" w:name="_Toc444891336"/>
      <w:bookmarkStart w:id="40" w:name="_Toc27232"/>
      <w:bookmarkStart w:id="41" w:name="_Toc27220"/>
      <w:r>
        <w:rPr>
          <w:rFonts w:hint="eastAsia" w:ascii="仿宋" w:hAnsi="仿宋" w:eastAsia="仿宋" w:cs="仿宋"/>
          <w:color w:val="000000"/>
          <w:sz w:val="24"/>
          <w:szCs w:val="24"/>
          <w:highlight w:val="none"/>
        </w:rPr>
        <w:t>二、供应商须知</w:t>
      </w:r>
      <w:bookmarkEnd w:id="33"/>
      <w:bookmarkEnd w:id="34"/>
      <w:bookmarkEnd w:id="35"/>
      <w:bookmarkEnd w:id="36"/>
      <w:bookmarkEnd w:id="37"/>
      <w:bookmarkEnd w:id="38"/>
      <w:bookmarkEnd w:id="39"/>
      <w:bookmarkEnd w:id="40"/>
      <w:r>
        <w:rPr>
          <w:rFonts w:hint="eastAsia" w:ascii="仿宋" w:hAnsi="仿宋" w:eastAsia="仿宋" w:cs="仿宋"/>
          <w:color w:val="000000"/>
          <w:sz w:val="24"/>
          <w:szCs w:val="24"/>
          <w:highlight w:val="none"/>
        </w:rPr>
        <w:t>正文</w:t>
      </w:r>
      <w:bookmarkEnd w:id="41"/>
    </w:p>
    <w:p w14:paraId="5DBBA55D">
      <w:pPr>
        <w:pStyle w:val="5"/>
        <w:spacing w:before="0" w:after="0" w:line="360" w:lineRule="auto"/>
        <w:ind w:firstLine="482"/>
        <w:rPr>
          <w:rFonts w:hint="eastAsia" w:ascii="仿宋" w:hAnsi="仿宋" w:eastAsia="仿宋" w:cs="仿宋"/>
          <w:color w:val="000000"/>
          <w:sz w:val="24"/>
          <w:szCs w:val="24"/>
          <w:highlight w:val="none"/>
        </w:rPr>
      </w:pPr>
      <w:bookmarkStart w:id="42" w:name="_Toc6681"/>
      <w:bookmarkStart w:id="43" w:name="_Toc444891337"/>
      <w:bookmarkStart w:id="44" w:name="_Toc517281817"/>
      <w:bookmarkStart w:id="45" w:name="_Toc11851"/>
      <w:bookmarkStart w:id="46" w:name="_Toc3678"/>
      <w:bookmarkStart w:id="47" w:name="_Toc431"/>
      <w:bookmarkStart w:id="48" w:name="_Toc16441"/>
      <w:bookmarkStart w:id="49" w:name="_Toc19783314"/>
      <w:bookmarkStart w:id="50" w:name="_Toc22969"/>
      <w:bookmarkStart w:id="51" w:name="_Toc287600119"/>
      <w:r>
        <w:rPr>
          <w:rFonts w:hint="eastAsia" w:ascii="仿宋" w:hAnsi="仿宋" w:eastAsia="仿宋" w:cs="仿宋"/>
          <w:color w:val="000000"/>
          <w:sz w:val="24"/>
          <w:szCs w:val="24"/>
          <w:highlight w:val="none"/>
        </w:rPr>
        <w:t>（一）总 则</w:t>
      </w:r>
      <w:bookmarkEnd w:id="42"/>
      <w:bookmarkEnd w:id="43"/>
      <w:bookmarkEnd w:id="44"/>
      <w:bookmarkEnd w:id="45"/>
      <w:bookmarkEnd w:id="46"/>
      <w:bookmarkEnd w:id="47"/>
      <w:bookmarkEnd w:id="48"/>
      <w:bookmarkEnd w:id="49"/>
      <w:bookmarkEnd w:id="50"/>
      <w:bookmarkEnd w:id="51"/>
    </w:p>
    <w:p w14:paraId="0D24F546">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1.项目说明</w:t>
      </w:r>
    </w:p>
    <w:p w14:paraId="096C8D1E">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本项目按照中华人民共和国有关法律、行政法规和部门规章以及采购人的采购管理制度，通过竞争性磋商方式确定签约供应商。</w:t>
      </w:r>
    </w:p>
    <w:p w14:paraId="7CF0EF01">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2.采购范围</w:t>
      </w:r>
    </w:p>
    <w:p w14:paraId="337F4CF2">
      <w:pPr>
        <w:tabs>
          <w:tab w:val="left" w:pos="3150"/>
          <w:tab w:val="left" w:pos="3780"/>
        </w:tabs>
        <w:spacing w:line="360" w:lineRule="auto"/>
        <w:jc w:val="left"/>
        <w:rPr>
          <w:rFonts w:hint="eastAsia" w:ascii="仿宋" w:hAnsi="仿宋" w:eastAsia="仿宋" w:cs="仿宋"/>
          <w:bCs/>
          <w:color w:val="000000"/>
          <w:sz w:val="24"/>
          <w:highlight w:val="none"/>
        </w:rPr>
      </w:pP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仿宋"/>
          <w:bCs/>
          <w:color w:val="000000"/>
          <w:sz w:val="24"/>
          <w:highlight w:val="none"/>
        </w:rPr>
        <w:t>详细内容详见第五章采购需求。</w:t>
      </w:r>
    </w:p>
    <w:p w14:paraId="07B5B092">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3.资金来源</w:t>
      </w:r>
    </w:p>
    <w:p w14:paraId="5DB52CE0">
      <w:pPr>
        <w:tabs>
          <w:tab w:val="left" w:pos="3150"/>
          <w:tab w:val="left" w:pos="3780"/>
        </w:tabs>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资金来源于采购人或其子公司（含分支机构）自筹（比例100%），且资金已落实。</w:t>
      </w:r>
    </w:p>
    <w:p w14:paraId="0E355FEF">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4.资格审查</w:t>
      </w:r>
    </w:p>
    <w:p w14:paraId="4BF59687">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4.1</w:t>
      </w:r>
      <w:r>
        <w:rPr>
          <w:rFonts w:hint="eastAsia" w:ascii="仿宋" w:hAnsi="仿宋" w:eastAsia="仿宋" w:cs="宋体"/>
          <w:color w:val="000000"/>
          <w:kern w:val="0"/>
          <w:sz w:val="24"/>
          <w:highlight w:val="none"/>
        </w:rPr>
        <w:t>资格预审：是指在递交响应文件前对潜在供应商进行的资格审查。采用资格预审方式的，资格条件已经在磋商文件发出前的资格预审文件中作出规定。</w:t>
      </w:r>
    </w:p>
    <w:p w14:paraId="7EE8FC84">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4</w:t>
      </w:r>
      <w:r>
        <w:rPr>
          <w:rFonts w:hint="eastAsia" w:ascii="仿宋" w:hAnsi="仿宋" w:eastAsia="仿宋" w:cs="宋体"/>
          <w:color w:val="000000"/>
          <w:kern w:val="0"/>
          <w:sz w:val="24"/>
          <w:highlight w:val="none"/>
        </w:rPr>
        <w:t>.2资格后审：是指在首次响应文件递交截止时间后由磋商小组根据磋商文件的规定对供应商进行的资格审查。采购人应当在磋商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kern w:val="0"/>
          <w:sz w:val="24"/>
          <w:highlight w:val="none"/>
          <w:u w:val="single"/>
        </w:rPr>
        <w:t>详见本须知前附表。</w:t>
      </w:r>
    </w:p>
    <w:p w14:paraId="3E826D80">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5.磋商响应费用</w:t>
      </w:r>
    </w:p>
    <w:p w14:paraId="3210E96D">
      <w:pPr>
        <w:spacing w:line="360" w:lineRule="auto"/>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不论结果如何，</w:t>
      </w:r>
      <w:r>
        <w:rPr>
          <w:rFonts w:hint="eastAsia" w:ascii="仿宋" w:hAnsi="仿宋" w:eastAsia="仿宋" w:cs="仿宋"/>
          <w:color w:val="000000"/>
          <w:sz w:val="24"/>
          <w:highlight w:val="none"/>
        </w:rPr>
        <w:t>供应商</w:t>
      </w:r>
      <w:r>
        <w:rPr>
          <w:rFonts w:hint="eastAsia" w:ascii="仿宋" w:hAnsi="仿宋" w:eastAsia="仿宋" w:cs="宋体"/>
          <w:color w:val="000000"/>
          <w:sz w:val="24"/>
          <w:highlight w:val="none"/>
        </w:rPr>
        <w:t>自行承担所有准备和参与本次磋商响应的有关费用。</w:t>
      </w:r>
    </w:p>
    <w:p w14:paraId="6A7A27C0">
      <w:pPr>
        <w:pStyle w:val="5"/>
        <w:spacing w:after="0" w:line="360" w:lineRule="auto"/>
        <w:ind w:firstLine="482"/>
        <w:rPr>
          <w:rFonts w:hint="eastAsia" w:ascii="仿宋" w:hAnsi="仿宋" w:eastAsia="仿宋" w:cs="仿宋"/>
          <w:color w:val="000000"/>
          <w:sz w:val="24"/>
          <w:szCs w:val="24"/>
          <w:highlight w:val="none"/>
        </w:rPr>
      </w:pPr>
      <w:bookmarkStart w:id="52" w:name="_Toc25513"/>
      <w:bookmarkStart w:id="53" w:name="_Toc5255"/>
      <w:bookmarkStart w:id="54" w:name="_Toc287600120"/>
      <w:bookmarkStart w:id="55" w:name="_Toc24246"/>
      <w:bookmarkStart w:id="56" w:name="_Toc3016"/>
      <w:bookmarkStart w:id="57" w:name="_Toc19783315"/>
      <w:bookmarkStart w:id="58" w:name="_Toc517281818"/>
      <w:bookmarkStart w:id="59" w:name="_Toc444891338"/>
      <w:bookmarkStart w:id="60" w:name="_Toc10975"/>
      <w:bookmarkStart w:id="61" w:name="_Toc14164"/>
      <w:r>
        <w:rPr>
          <w:rFonts w:hint="eastAsia" w:ascii="仿宋" w:hAnsi="仿宋" w:eastAsia="仿宋" w:cs="仿宋"/>
          <w:color w:val="000000"/>
          <w:sz w:val="24"/>
          <w:szCs w:val="24"/>
          <w:highlight w:val="none"/>
        </w:rPr>
        <w:t>（二）磋商文件</w:t>
      </w:r>
      <w:bookmarkEnd w:id="52"/>
      <w:bookmarkEnd w:id="53"/>
      <w:bookmarkEnd w:id="54"/>
      <w:bookmarkEnd w:id="55"/>
      <w:bookmarkEnd w:id="56"/>
      <w:bookmarkEnd w:id="57"/>
      <w:bookmarkEnd w:id="58"/>
      <w:bookmarkEnd w:id="59"/>
      <w:bookmarkEnd w:id="60"/>
      <w:bookmarkEnd w:id="61"/>
    </w:p>
    <w:p w14:paraId="1FDCCB35">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6.磋商文件的组成</w:t>
      </w:r>
    </w:p>
    <w:p w14:paraId="1BEF6F29">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6.1磋商文件包括下列内容：</w:t>
      </w:r>
    </w:p>
    <w:p w14:paraId="51F61C1E">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第一章 竞争性磋商公告</w:t>
      </w:r>
    </w:p>
    <w:p w14:paraId="0CE51B66">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第二章 供应商须知</w:t>
      </w:r>
    </w:p>
    <w:p w14:paraId="28B6D49F">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第三章 评审办法</w:t>
      </w:r>
    </w:p>
    <w:p w14:paraId="4F1D0B73">
      <w:pPr>
        <w:pStyle w:val="23"/>
        <w:widowControl/>
        <w:spacing w:line="360" w:lineRule="auto"/>
        <w:ind w:left="0" w:leftChars="0"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第四章 合同格式</w:t>
      </w:r>
    </w:p>
    <w:p w14:paraId="3CB7D1FA">
      <w:pPr>
        <w:tabs>
          <w:tab w:val="left" w:pos="540"/>
          <w:tab w:val="left" w:pos="720"/>
        </w:tabs>
        <w:spacing w:line="360" w:lineRule="auto"/>
        <w:ind w:firstLine="480" w:firstLineChars="200"/>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第五章 采购需求</w:t>
      </w:r>
    </w:p>
    <w:p w14:paraId="6CBE1C75">
      <w:pPr>
        <w:tabs>
          <w:tab w:val="left" w:pos="540"/>
          <w:tab w:val="left" w:pos="720"/>
        </w:tabs>
        <w:spacing w:line="360" w:lineRule="auto"/>
        <w:ind w:firstLine="480" w:firstLineChars="200"/>
        <w:jc w:val="left"/>
        <w:rPr>
          <w:rFonts w:ascii="仿宋" w:hAnsi="仿宋" w:eastAsia="仿宋" w:cs="仿宋"/>
          <w:color w:val="000000"/>
          <w:sz w:val="24"/>
          <w:highlight w:val="none"/>
        </w:rPr>
      </w:pPr>
      <w:r>
        <w:rPr>
          <w:rFonts w:hint="eastAsia" w:ascii="仿宋" w:hAnsi="仿宋" w:eastAsia="仿宋" w:cs="仿宋"/>
          <w:color w:val="000000"/>
          <w:sz w:val="24"/>
          <w:highlight w:val="none"/>
        </w:rPr>
        <w:t>第六章 响应文件格式</w:t>
      </w:r>
    </w:p>
    <w:p w14:paraId="25B8A031">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6.</w:t>
      </w:r>
      <w:r>
        <w:rPr>
          <w:rFonts w:ascii="仿宋" w:hAnsi="仿宋" w:eastAsia="仿宋" w:cs="仿宋"/>
          <w:color w:val="000000"/>
          <w:kern w:val="0"/>
          <w:sz w:val="24"/>
          <w:highlight w:val="none"/>
        </w:rPr>
        <w:t>2</w:t>
      </w:r>
      <w:r>
        <w:rPr>
          <w:rFonts w:hint="eastAsia" w:ascii="仿宋" w:hAnsi="仿宋" w:eastAsia="仿宋" w:cs="仿宋"/>
          <w:color w:val="000000"/>
          <w:kern w:val="0"/>
          <w:sz w:val="24"/>
          <w:highlight w:val="none"/>
        </w:rPr>
        <w:t>采购人在磋商文件中以显著的方式标明实质性要求、条件以及不满足实质性要求和条件的响应文件将被否决的提示。实质性标识方式和具体要求</w:t>
      </w:r>
      <w:r>
        <w:rPr>
          <w:rFonts w:hint="eastAsia" w:ascii="仿宋" w:hAnsi="仿宋" w:eastAsia="仿宋" w:cs="仿宋"/>
          <w:color w:val="000000"/>
          <w:kern w:val="0"/>
          <w:sz w:val="24"/>
          <w:highlight w:val="none"/>
          <w:u w:val="single"/>
        </w:rPr>
        <w:t>见本须知前附表</w:t>
      </w:r>
      <w:r>
        <w:rPr>
          <w:rFonts w:hint="eastAsia" w:ascii="仿宋" w:hAnsi="仿宋" w:eastAsia="仿宋" w:cs="仿宋"/>
          <w:color w:val="000000"/>
          <w:kern w:val="0"/>
          <w:sz w:val="24"/>
          <w:highlight w:val="none"/>
        </w:rPr>
        <w:t>。</w:t>
      </w:r>
    </w:p>
    <w:p w14:paraId="4F97ADC4">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7.磋商文件的修改</w:t>
      </w:r>
    </w:p>
    <w:p w14:paraId="5BD4DA0D">
      <w:pPr>
        <w:widowControl/>
        <w:topLinePunct/>
        <w:spacing w:line="360" w:lineRule="auto"/>
        <w:rPr>
          <w:rFonts w:ascii="仿宋" w:hAnsi="仿宋" w:eastAsia="仿宋" w:cs="宋体"/>
          <w:color w:val="000000"/>
          <w:kern w:val="0"/>
          <w:sz w:val="24"/>
          <w:highlight w:val="none"/>
        </w:rPr>
      </w:pPr>
      <w:r>
        <w:rPr>
          <w:rFonts w:hint="eastAsia" w:ascii="仿宋" w:hAnsi="仿宋" w:eastAsia="仿宋" w:cs="仿宋"/>
          <w:color w:val="000000"/>
          <w:sz w:val="24"/>
          <w:highlight w:val="none"/>
        </w:rPr>
        <w:t>7.1潜在</w:t>
      </w:r>
      <w:r>
        <w:rPr>
          <w:rFonts w:hint="eastAsia" w:ascii="仿宋" w:hAnsi="仿宋" w:eastAsia="仿宋" w:cs="宋体"/>
          <w:color w:val="000000"/>
          <w:kern w:val="0"/>
          <w:sz w:val="24"/>
          <w:highlight w:val="none"/>
        </w:rPr>
        <w:t>供应商对</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有疑问的，应当按照</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规定的时间和方式，要求采购人对</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进行澄清。</w:t>
      </w:r>
    </w:p>
    <w:p w14:paraId="0D6D573A">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7.2</w:t>
      </w:r>
      <w:r>
        <w:rPr>
          <w:rFonts w:hint="eastAsia" w:ascii="仿宋" w:hAnsi="仿宋" w:eastAsia="仿宋" w:cs="仿宋"/>
          <w:color w:val="000000"/>
          <w:sz w:val="24"/>
          <w:highlight w:val="none"/>
        </w:rPr>
        <w:t>采购人在响应文件递交截止时间前，可以书面形式发出的对磋商文件的澄清或修改内容，</w:t>
      </w:r>
      <w:r>
        <w:rPr>
          <w:rFonts w:hint="eastAsia" w:ascii="仿宋" w:hAnsi="仿宋" w:eastAsia="仿宋" w:cs="宋体"/>
          <w:color w:val="000000"/>
          <w:kern w:val="0"/>
          <w:sz w:val="24"/>
          <w:highlight w:val="none"/>
        </w:rPr>
        <w:t>如澄清或修改的内容可能影响响应文件编制的，原则上应当在响应文件递交截止之日3个工作日前，以书面形式通知所有获取</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的潜在供应商，不足3个工作日的，原则上应顺延响应文件递交截止时间。</w:t>
      </w:r>
    </w:p>
    <w:p w14:paraId="6857AE31">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7.</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供应商收到澄清或修改后，应当按照供应商须知前附表规定的时间和方式通知采购人，确认已收到该澄清或修改。</w:t>
      </w:r>
    </w:p>
    <w:p w14:paraId="3171F817">
      <w:pPr>
        <w:spacing w:line="360" w:lineRule="auto"/>
        <w:jc w:val="left"/>
        <w:rPr>
          <w:rFonts w:ascii="仿宋" w:hAnsi="仿宋" w:eastAsia="仿宋" w:cs="仿宋"/>
          <w:color w:val="000000"/>
          <w:sz w:val="24"/>
          <w:highlight w:val="none"/>
        </w:rPr>
      </w:pPr>
      <w:r>
        <w:rPr>
          <w:rFonts w:hint="eastAsia" w:ascii="仿宋" w:hAnsi="仿宋" w:eastAsia="仿宋" w:cs="宋体"/>
          <w:color w:val="000000"/>
          <w:kern w:val="0"/>
          <w:sz w:val="24"/>
          <w:highlight w:val="none"/>
        </w:rPr>
        <w:t>7</w:t>
      </w:r>
      <w:r>
        <w:rPr>
          <w:rFonts w:ascii="仿宋" w:hAnsi="仿宋" w:eastAsia="仿宋" w:cs="宋体"/>
          <w:color w:val="000000"/>
          <w:kern w:val="0"/>
          <w:sz w:val="24"/>
          <w:highlight w:val="none"/>
        </w:rPr>
        <w:t>.</w:t>
      </w:r>
      <w:r>
        <w:rPr>
          <w:rFonts w:hint="eastAsia" w:ascii="仿宋" w:hAnsi="仿宋" w:eastAsia="仿宋" w:cs="宋体"/>
          <w:color w:val="000000"/>
          <w:kern w:val="0"/>
          <w:sz w:val="24"/>
          <w:highlight w:val="none"/>
        </w:rPr>
        <w:t>4</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rPr>
        <w:t>所有关于</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的澄清和修改均作为</w:t>
      </w:r>
      <w:r>
        <w:rPr>
          <w:rFonts w:hint="eastAsia" w:ascii="仿宋" w:hAnsi="仿宋" w:eastAsia="仿宋" w:cs="仿宋"/>
          <w:color w:val="000000"/>
          <w:sz w:val="24"/>
          <w:highlight w:val="none"/>
        </w:rPr>
        <w:t>磋商文件</w:t>
      </w:r>
      <w:r>
        <w:rPr>
          <w:rFonts w:hint="eastAsia" w:ascii="仿宋" w:hAnsi="仿宋" w:eastAsia="仿宋" w:cs="宋体"/>
          <w:color w:val="000000"/>
          <w:kern w:val="0"/>
          <w:sz w:val="24"/>
          <w:highlight w:val="none"/>
        </w:rPr>
        <w:t>的补充部分。</w:t>
      </w:r>
      <w:r>
        <w:rPr>
          <w:rFonts w:hint="eastAsia" w:ascii="仿宋" w:hAnsi="仿宋" w:eastAsia="仿宋" w:cs="仿宋"/>
          <w:color w:val="000000"/>
          <w:sz w:val="24"/>
          <w:highlight w:val="none"/>
        </w:rPr>
        <w:t>当磋商文件、磋商文件的澄清或修改等在同一内容的表述上不一致时，以最后发出的书面文件为准。</w:t>
      </w:r>
    </w:p>
    <w:p w14:paraId="2E60587C">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8.磋商响应预备会</w:t>
      </w:r>
    </w:p>
    <w:p w14:paraId="09A44E28">
      <w:pPr>
        <w:spacing w:line="360" w:lineRule="auto"/>
        <w:textAlignment w:val="baseline"/>
        <w:rPr>
          <w:rFonts w:hint="eastAsia" w:ascii="仿宋" w:hAnsi="仿宋" w:eastAsia="仿宋" w:cs="宋体"/>
          <w:color w:val="000000"/>
          <w:sz w:val="24"/>
          <w:highlight w:val="none"/>
          <w:u w:val="single"/>
          <w:lang w:eastAsia="zh-CN"/>
        </w:rPr>
      </w:pPr>
      <w:r>
        <w:rPr>
          <w:rFonts w:hint="eastAsia" w:ascii="仿宋" w:hAnsi="仿宋" w:eastAsia="仿宋" w:cs="宋体"/>
          <w:color w:val="000000"/>
          <w:sz w:val="24"/>
          <w:highlight w:val="none"/>
        </w:rPr>
        <w:t>采购人认为必要时，将召开磋商响应预备会(答疑会)，公开解答潜在供应商对磋商文件提出的疑问</w:t>
      </w:r>
      <w:r>
        <w:rPr>
          <w:rFonts w:hint="eastAsia" w:ascii="仿宋" w:hAnsi="仿宋" w:eastAsia="仿宋" w:cs="宋体"/>
          <w:color w:val="000000"/>
          <w:sz w:val="24"/>
          <w:highlight w:val="none"/>
          <w:lang w:eastAsia="zh-CN"/>
        </w:rPr>
        <w:t>。</w:t>
      </w:r>
    </w:p>
    <w:p w14:paraId="4AE313E5">
      <w:pPr>
        <w:pStyle w:val="5"/>
        <w:numPr>
          <w:ilvl w:val="0"/>
          <w:numId w:val="0"/>
        </w:numPr>
        <w:spacing w:after="0" w:line="360" w:lineRule="auto"/>
        <w:jc w:val="center"/>
        <w:rPr>
          <w:rFonts w:hint="eastAsia" w:ascii="仿宋" w:hAnsi="仿宋" w:eastAsia="仿宋" w:cs="仿宋"/>
          <w:color w:val="000000"/>
          <w:sz w:val="24"/>
          <w:szCs w:val="24"/>
          <w:highlight w:val="none"/>
        </w:rPr>
      </w:pPr>
      <w:bookmarkStart w:id="62" w:name="_Toc13691"/>
      <w:bookmarkStart w:id="63" w:name="_Toc27642"/>
      <w:bookmarkStart w:id="64" w:name="_Toc19783316"/>
      <w:bookmarkStart w:id="65" w:name="_Toc31141"/>
      <w:bookmarkStart w:id="66" w:name="_Toc27563"/>
      <w:bookmarkStart w:id="67" w:name="_Toc444891339"/>
      <w:bookmarkStart w:id="68" w:name="_Toc14308"/>
      <w:bookmarkStart w:id="69" w:name="_Toc287600121"/>
      <w:bookmarkStart w:id="70" w:name="_Toc16985"/>
      <w:bookmarkStart w:id="71" w:name="_Toc517281819"/>
      <w:r>
        <w:rPr>
          <w:rFonts w:hint="eastAsia" w:ascii="仿宋" w:hAnsi="仿宋" w:eastAsia="仿宋" w:cs="仿宋"/>
          <w:color w:val="000000"/>
          <w:sz w:val="24"/>
          <w:szCs w:val="24"/>
          <w:highlight w:val="none"/>
        </w:rPr>
        <w:t>（三）响应文件</w:t>
      </w:r>
      <w:bookmarkEnd w:id="62"/>
      <w:bookmarkEnd w:id="63"/>
      <w:bookmarkEnd w:id="64"/>
      <w:bookmarkEnd w:id="65"/>
      <w:bookmarkEnd w:id="66"/>
      <w:bookmarkEnd w:id="67"/>
      <w:bookmarkEnd w:id="68"/>
      <w:bookmarkEnd w:id="69"/>
      <w:bookmarkEnd w:id="70"/>
      <w:bookmarkEnd w:id="71"/>
    </w:p>
    <w:p w14:paraId="79C2EBFD">
      <w:pPr>
        <w:pStyle w:val="6"/>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9</w:t>
      </w:r>
      <w:r>
        <w:rPr>
          <w:rFonts w:hint="eastAsia" w:ascii="仿宋" w:hAnsi="仿宋" w:eastAsia="仿宋" w:cs="仿宋"/>
          <w:color w:val="000000"/>
          <w:sz w:val="24"/>
          <w:szCs w:val="24"/>
          <w:highlight w:val="none"/>
        </w:rPr>
        <w:t>.响应文件的组成</w:t>
      </w:r>
    </w:p>
    <w:p w14:paraId="5BD3CEAE">
      <w:pPr>
        <w:spacing w:line="360" w:lineRule="auto"/>
        <w:jc w:val="left"/>
        <w:rPr>
          <w:rFonts w:hint="eastAsia" w:ascii="仿宋" w:hAnsi="仿宋" w:eastAsia="仿宋" w:cs="仿宋"/>
          <w:color w:val="000000"/>
          <w:sz w:val="24"/>
          <w:highlight w:val="none"/>
        </w:rPr>
      </w:pPr>
      <w:r>
        <w:rPr>
          <w:rFonts w:hint="eastAsia" w:ascii="仿宋" w:hAnsi="仿宋" w:eastAsia="仿宋" w:cs="宋体"/>
          <w:color w:val="000000"/>
          <w:sz w:val="24"/>
          <w:highlight w:val="none"/>
        </w:rPr>
        <w:t>供应商应当按照供应商须知前附表的要求制作并提交响应文件，具体组成</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14:paraId="30C04872">
      <w:pPr>
        <w:pStyle w:val="6"/>
        <w:spacing w:before="0" w:after="0" w:line="360" w:lineRule="auto"/>
        <w:jc w:val="left"/>
        <w:rPr>
          <w:rFonts w:ascii="仿宋" w:hAnsi="仿宋" w:eastAsia="仿宋" w:cs="仿宋"/>
          <w:color w:val="000000"/>
          <w:sz w:val="24"/>
          <w:szCs w:val="24"/>
          <w:highlight w:val="none"/>
        </w:rPr>
      </w:pPr>
      <w:r>
        <w:rPr>
          <w:rFonts w:ascii="仿宋" w:hAnsi="仿宋" w:eastAsia="仿宋" w:cs="仿宋"/>
          <w:color w:val="000000"/>
          <w:sz w:val="24"/>
          <w:szCs w:val="24"/>
          <w:highlight w:val="none"/>
        </w:rPr>
        <w:t>10</w:t>
      </w:r>
      <w:r>
        <w:rPr>
          <w:rFonts w:hint="eastAsia" w:ascii="仿宋" w:hAnsi="仿宋" w:eastAsia="仿宋" w:cs="仿宋"/>
          <w:color w:val="000000"/>
          <w:sz w:val="24"/>
          <w:szCs w:val="24"/>
          <w:highlight w:val="none"/>
        </w:rPr>
        <w:t>.响应文件的编制</w:t>
      </w:r>
    </w:p>
    <w:p w14:paraId="6AC8637A">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 xml:space="preserve">.1 供应商应当按照磋商文件的要求编制响应文件，并对其提交的响应文件的真实性、合法性承担法律责任。响应文件应当对磋商文件提出的实质性要求和条件作出响应。 </w:t>
      </w:r>
    </w:p>
    <w:p w14:paraId="477C029B">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 xml:space="preserve">.2 供应商应认真阅读磋商文件中所有的事项、格式、条款和技术规范等。供应商没有按照磋商文件要求递交全部资料，或者供应商没有对磋商文件在各方面都作出实质性响应是供应商的风险，并可能导致其磋商响应被否决。 </w:t>
      </w:r>
    </w:p>
    <w:p w14:paraId="12778954">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 xml:space="preserve">0.3 </w:t>
      </w:r>
      <w:r>
        <w:rPr>
          <w:rFonts w:hint="eastAsia" w:ascii="仿宋" w:hAnsi="仿宋" w:eastAsia="仿宋" w:cs="宋体"/>
          <w:color w:val="000000"/>
          <w:kern w:val="0"/>
          <w:sz w:val="24"/>
          <w:highlight w:val="none"/>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磋商文件中要求进行解释或提出建议的除外）。</w:t>
      </w:r>
    </w:p>
    <w:p w14:paraId="79C8C1F6">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 xml:space="preserve">0.4 </w:t>
      </w:r>
      <w:r>
        <w:rPr>
          <w:rFonts w:hint="eastAsia" w:ascii="仿宋" w:hAnsi="仿宋" w:eastAsia="仿宋" w:cs="宋体"/>
          <w:color w:val="000000"/>
          <w:kern w:val="0"/>
          <w:sz w:val="24"/>
          <w:highlight w:val="none"/>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磋商文件中要求进行解释或提出建议的除外）。</w:t>
      </w:r>
    </w:p>
    <w:p w14:paraId="76F4AFC1">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5</w:t>
      </w:r>
      <w:r>
        <w:rPr>
          <w:rFonts w:hint="eastAsia" w:ascii="仿宋" w:hAnsi="仿宋" w:eastAsia="仿宋" w:cs="宋体"/>
          <w:color w:val="000000"/>
          <w:kern w:val="0"/>
          <w:sz w:val="24"/>
          <w:highlight w:val="none"/>
        </w:rPr>
        <w:t xml:space="preserve"> 供应商提交的响应文件以及供应商与采购人就有关磋商的所有往来函电均应使用中文。供应商提交的证明文件和印刷的文献可以使用另一种语言，但相应内容应当译成中文，在解释响应文件时以中文译本为准。</w:t>
      </w:r>
    </w:p>
    <w:p w14:paraId="5545D7AC">
      <w:pPr>
        <w:widowControl/>
        <w:topLinePunct/>
        <w:spacing w:line="360" w:lineRule="auto"/>
        <w:rPr>
          <w:rFonts w:hint="eastAsia" w:ascii="仿宋" w:hAnsi="仿宋" w:eastAsia="仿宋" w:cs="宋体"/>
          <w:color w:val="000000"/>
          <w:kern w:val="0"/>
          <w:sz w:val="24"/>
          <w:highlight w:val="none"/>
          <w:u w:val="single"/>
        </w:rPr>
      </w:pPr>
      <w:r>
        <w:rPr>
          <w:rFonts w:ascii="仿宋" w:hAnsi="仿宋" w:eastAsia="仿宋" w:cs="宋体"/>
          <w:color w:val="000000"/>
          <w:kern w:val="0"/>
          <w:sz w:val="24"/>
          <w:highlight w:val="none"/>
        </w:rPr>
        <w:t>10</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6</w:t>
      </w:r>
      <w:r>
        <w:rPr>
          <w:rFonts w:hint="eastAsia" w:ascii="仿宋" w:hAnsi="仿宋" w:eastAsia="仿宋" w:cs="宋体"/>
          <w:color w:val="000000"/>
          <w:kern w:val="0"/>
          <w:sz w:val="24"/>
          <w:highlight w:val="none"/>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2" w:name="_Hlk173250545"/>
      <w:r>
        <w:rPr>
          <w:rFonts w:hint="eastAsia" w:ascii="仿宋" w:hAnsi="仿宋" w:eastAsia="仿宋" w:cs="宋体"/>
          <w:color w:val="000000"/>
          <w:kern w:val="0"/>
          <w:sz w:val="24"/>
          <w:highlight w:val="none"/>
        </w:rPr>
        <w:t>盖章或者签字另有要求的，</w:t>
      </w:r>
      <w:r>
        <w:rPr>
          <w:rFonts w:hint="eastAsia" w:ascii="仿宋" w:hAnsi="仿宋" w:eastAsia="仿宋" w:cs="宋体"/>
          <w:color w:val="000000"/>
          <w:kern w:val="0"/>
          <w:sz w:val="24"/>
          <w:highlight w:val="none"/>
          <w:u w:val="single"/>
        </w:rPr>
        <w:t>见本须知前附表。</w:t>
      </w:r>
    </w:p>
    <w:bookmarkEnd w:id="72"/>
    <w:p w14:paraId="756CC122">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0.7</w:t>
      </w:r>
      <w:r>
        <w:rPr>
          <w:rFonts w:hint="eastAsia" w:ascii="仿宋" w:hAnsi="仿宋" w:eastAsia="仿宋" w:cs="仿宋"/>
          <w:color w:val="000000"/>
          <w:sz w:val="24"/>
          <w:highlight w:val="none"/>
        </w:rPr>
        <w:t>除工程规范另有规定外，响应文件使用的度量衡单位，均采用中华人民共和国法定计量单位。</w:t>
      </w:r>
    </w:p>
    <w:p w14:paraId="2EF06F71">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11.磋商响应报价</w:t>
      </w:r>
    </w:p>
    <w:p w14:paraId="482052A6">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供应商应当根据磋商文件要求进行报价，供应商应当报出符合磋商文件要求的拟提供货物或服务的单价、总价、费率、税率等内容，采购人不接受供应商的任何低于成本报价的不正当竞争方式，其他报价要求</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供应商须知前附表</w:t>
      </w:r>
      <w:r>
        <w:rPr>
          <w:rFonts w:hint="eastAsia" w:ascii="仿宋" w:hAnsi="仿宋" w:eastAsia="仿宋" w:cs="仿宋"/>
          <w:color w:val="000000"/>
          <w:sz w:val="24"/>
          <w:highlight w:val="none"/>
        </w:rPr>
        <w:t>。</w:t>
      </w:r>
    </w:p>
    <w:p w14:paraId="4472F0F3">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.磋商响应有效期</w:t>
      </w:r>
    </w:p>
    <w:p w14:paraId="73DADB8A">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12</w:t>
      </w:r>
      <w:r>
        <w:rPr>
          <w:rFonts w:hint="eastAsia" w:ascii="仿宋" w:hAnsi="仿宋" w:eastAsia="仿宋" w:cs="宋体"/>
          <w:color w:val="000000"/>
          <w:kern w:val="0"/>
          <w:sz w:val="24"/>
          <w:highlight w:val="none"/>
        </w:rPr>
        <w:t>.1 磋商响应有效期从响应文件递交截止之日起算，具体时间</w:t>
      </w:r>
      <w:r>
        <w:rPr>
          <w:rFonts w:hint="eastAsia" w:ascii="仿宋" w:hAnsi="仿宋" w:eastAsia="仿宋" w:cs="宋体"/>
          <w:color w:val="000000"/>
          <w:kern w:val="0"/>
          <w:sz w:val="24"/>
          <w:highlight w:val="none"/>
          <w:u w:val="single"/>
        </w:rPr>
        <w:t>见本须知前附表</w:t>
      </w:r>
      <w:r>
        <w:rPr>
          <w:rFonts w:hint="eastAsia" w:ascii="仿宋" w:hAnsi="仿宋" w:eastAsia="仿宋" w:cs="宋体"/>
          <w:color w:val="000000"/>
          <w:kern w:val="0"/>
          <w:sz w:val="24"/>
          <w:highlight w:val="none"/>
        </w:rPr>
        <w:t>，在此期间，供应商不得要求撤销或修改其响应文件。供应商承诺的磋商响应有效期必须不短于磋商文件规定的磋商响应有效期，否则将构成对磋商文件的非实质性响应，磋商响应将被否决。</w:t>
      </w:r>
    </w:p>
    <w:p w14:paraId="43EE2C58">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12</w:t>
      </w:r>
      <w:r>
        <w:rPr>
          <w:rFonts w:hint="eastAsia" w:ascii="仿宋" w:hAnsi="仿宋" w:eastAsia="仿宋" w:cs="宋体"/>
          <w:color w:val="000000"/>
          <w:kern w:val="0"/>
          <w:sz w:val="24"/>
          <w:highlight w:val="none"/>
        </w:rPr>
        <w:t>.2 在原磋商响应有效期结束前，出现特殊情况的，采购人可以书面形式要求所有供应商延长磋商响应有效期。供应商同意延长的，不得要求或被允许修改其响应文件的实质性内容</w:t>
      </w:r>
      <w:r>
        <w:rPr>
          <w:rFonts w:hint="eastAsia" w:ascii="仿宋" w:hAnsi="仿宋" w:eastAsia="仿宋" w:cs="宋体"/>
          <w:color w:val="000000"/>
          <w:kern w:val="0"/>
          <w:sz w:val="24"/>
          <w:highlight w:val="none"/>
          <w:lang w:eastAsia="zh-CN"/>
        </w:rPr>
        <w:t>。</w:t>
      </w:r>
      <w:r>
        <w:rPr>
          <w:rFonts w:hint="eastAsia" w:ascii="仿宋" w:hAnsi="仿宋" w:eastAsia="仿宋" w:cs="宋体"/>
          <w:color w:val="000000"/>
          <w:kern w:val="0"/>
          <w:sz w:val="24"/>
          <w:highlight w:val="none"/>
        </w:rPr>
        <w:t>供应商拒绝延长的，其磋商响应失效。</w:t>
      </w:r>
    </w:p>
    <w:p w14:paraId="7A35C94D">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3</w:t>
      </w:r>
      <w:r>
        <w:rPr>
          <w:rFonts w:hint="eastAsia" w:ascii="仿宋" w:hAnsi="仿宋" w:eastAsia="仿宋" w:cs="仿宋"/>
          <w:color w:val="000000"/>
          <w:sz w:val="24"/>
          <w:szCs w:val="24"/>
          <w:highlight w:val="none"/>
        </w:rPr>
        <w:t>.磋商保证金</w:t>
      </w:r>
    </w:p>
    <w:p w14:paraId="258C2D26">
      <w:pPr>
        <w:spacing w:line="360" w:lineRule="auto"/>
        <w:jc w:val="left"/>
        <w:rPr>
          <w:rFonts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3</w:t>
      </w:r>
      <w:r>
        <w:rPr>
          <w:rFonts w:hint="eastAsia" w:ascii="仿宋" w:hAnsi="仿宋" w:eastAsia="仿宋" w:cs="仿宋"/>
          <w:color w:val="000000"/>
          <w:sz w:val="24"/>
          <w:highlight w:val="none"/>
        </w:rPr>
        <w:t>.1</w:t>
      </w:r>
      <w:r>
        <w:rPr>
          <w:rFonts w:hint="eastAsia" w:ascii="仿宋" w:hAnsi="仿宋" w:eastAsia="仿宋" w:cs="宋体"/>
          <w:color w:val="000000"/>
          <w:kern w:val="0"/>
          <w:sz w:val="24"/>
          <w:highlight w:val="none"/>
        </w:rPr>
        <w:t>采购人要求</w:t>
      </w:r>
      <w:r>
        <w:rPr>
          <w:rFonts w:hint="eastAsia" w:ascii="仿宋" w:hAnsi="仿宋" w:eastAsia="仿宋" w:cs="仿宋"/>
          <w:color w:val="000000"/>
          <w:sz w:val="24"/>
          <w:highlight w:val="none"/>
        </w:rPr>
        <w:t>供应商</w:t>
      </w:r>
      <w:r>
        <w:rPr>
          <w:rFonts w:hint="eastAsia" w:ascii="仿宋" w:hAnsi="仿宋" w:eastAsia="仿宋" w:cs="宋体"/>
          <w:color w:val="000000"/>
          <w:kern w:val="0"/>
          <w:sz w:val="24"/>
          <w:highlight w:val="none"/>
        </w:rPr>
        <w:t>提交磋商保证金的，磋商</w:t>
      </w:r>
      <w:r>
        <w:rPr>
          <w:rFonts w:hint="eastAsia" w:ascii="仿宋" w:hAnsi="仿宋" w:eastAsia="仿宋" w:cs="仿宋"/>
          <w:color w:val="000000"/>
          <w:sz w:val="24"/>
          <w:highlight w:val="none"/>
        </w:rPr>
        <w:t>保证金数额应当不超过采购项目预算的2%，磋商保证金有效期与磋商响应有效期一致，本项目磋商保证金金额、形式见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14:paraId="73C70C46">
      <w:pPr>
        <w:widowControl/>
        <w:topLinePunct/>
        <w:spacing w:line="360" w:lineRule="auto"/>
        <w:rPr>
          <w:rFonts w:ascii="仿宋" w:hAnsi="仿宋" w:eastAsia="仿宋" w:cs="仿宋"/>
          <w:kern w:val="0"/>
          <w:sz w:val="24"/>
          <w:highlight w:val="none"/>
          <w:lang w:bidi="ar"/>
        </w:rPr>
      </w:pPr>
      <w:r>
        <w:rPr>
          <w:rFonts w:ascii="仿宋" w:hAnsi="仿宋" w:eastAsia="仿宋" w:cs="仿宋"/>
          <w:color w:val="000000"/>
          <w:sz w:val="24"/>
          <w:highlight w:val="none"/>
        </w:rPr>
        <w:t>13.2</w:t>
      </w:r>
      <w:r>
        <w:rPr>
          <w:rFonts w:hint="eastAsia" w:ascii="仿宋" w:hAnsi="仿宋" w:eastAsia="仿宋" w:cs="仿宋"/>
          <w:kern w:val="0"/>
          <w:sz w:val="24"/>
          <w:highlight w:val="none"/>
          <w:lang w:bidi="ar"/>
        </w:rPr>
        <w:t>供应商或成交供应商出现下列行为之一，</w:t>
      </w:r>
      <w:r>
        <w:rPr>
          <w:rFonts w:hint="eastAsia" w:ascii="仿宋" w:hAnsi="仿宋" w:eastAsia="仿宋" w:cs="宋体"/>
          <w:sz w:val="24"/>
          <w:highlight w:val="none"/>
        </w:rPr>
        <w:t>磋商</w:t>
      </w:r>
      <w:r>
        <w:rPr>
          <w:rFonts w:hint="eastAsia" w:ascii="仿宋" w:hAnsi="仿宋" w:eastAsia="仿宋" w:cs="仿宋"/>
          <w:kern w:val="0"/>
          <w:sz w:val="24"/>
          <w:highlight w:val="none"/>
          <w:lang w:bidi="ar"/>
        </w:rPr>
        <w:t>保证金不予退还：</w:t>
      </w:r>
    </w:p>
    <w:p w14:paraId="11159914">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（1）供应商在磋商截止后至磋商有效期期满前,要求撤回已递交的响应文件；</w:t>
      </w:r>
    </w:p>
    <w:p w14:paraId="7625A231">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（2）成交后放弃成交的；</w:t>
      </w:r>
    </w:p>
    <w:p w14:paraId="4C4A5718">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（3）成交后无正当理由不与采购人订立合同的；</w:t>
      </w:r>
    </w:p>
    <w:p w14:paraId="6FF3B4F5">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（4）成交供应商在签订合同时向采购人提出附加条件或要求变更实质性合同条款的；</w:t>
      </w:r>
    </w:p>
    <w:p w14:paraId="62B231FE">
      <w:pPr>
        <w:pStyle w:val="2"/>
        <w:spacing w:line="360" w:lineRule="auto"/>
        <w:jc w:val="left"/>
        <w:rPr>
          <w:rFonts w:hint="eastAsia" w:ascii="仿宋" w:hAnsi="仿宋" w:eastAsia="仿宋" w:cs="仿宋"/>
          <w:kern w:val="0"/>
          <w:sz w:val="24"/>
          <w:highlight w:val="none"/>
          <w:lang w:bidi="ar"/>
        </w:rPr>
      </w:pPr>
      <w:r>
        <w:rPr>
          <w:rFonts w:hint="eastAsia" w:ascii="仿宋" w:hAnsi="仿宋" w:eastAsia="仿宋" w:cs="仿宋"/>
          <w:kern w:val="0"/>
          <w:sz w:val="24"/>
          <w:highlight w:val="none"/>
          <w:lang w:bidi="ar"/>
        </w:rPr>
        <w:t>（5）成交供应商不按照磋商文件要求提交履约保证金的；</w:t>
      </w:r>
    </w:p>
    <w:p w14:paraId="3237A9AA">
      <w:pPr>
        <w:pStyle w:val="2"/>
        <w:spacing w:line="360" w:lineRule="auto"/>
        <w:jc w:val="left"/>
        <w:rPr>
          <w:rStyle w:val="89"/>
          <w:rFonts w:hint="default"/>
          <w:highlight w:val="none"/>
        </w:rPr>
      </w:pPr>
      <w:r>
        <w:rPr>
          <w:rFonts w:hint="eastAsia" w:ascii="仿宋" w:hAnsi="仿宋" w:eastAsia="仿宋" w:cs="仿宋"/>
          <w:kern w:val="0"/>
          <w:sz w:val="24"/>
          <w:highlight w:val="none"/>
          <w:lang w:bidi="ar"/>
        </w:rPr>
        <w:t>（6）供应商有恶意欺诈、弄虚作假、围标串标、哄抬标价、徇私行贿等法律法规中所列违规行为的</w:t>
      </w:r>
      <w:r>
        <w:rPr>
          <w:rStyle w:val="89"/>
          <w:rFonts w:hint="default"/>
          <w:highlight w:val="none"/>
        </w:rPr>
        <w:t>。</w:t>
      </w:r>
    </w:p>
    <w:p w14:paraId="25700579">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4</w:t>
      </w:r>
      <w:r>
        <w:rPr>
          <w:rFonts w:hint="eastAsia" w:ascii="仿宋" w:hAnsi="仿宋" w:eastAsia="仿宋" w:cs="仿宋"/>
          <w:color w:val="000000"/>
          <w:sz w:val="24"/>
          <w:szCs w:val="24"/>
          <w:highlight w:val="none"/>
        </w:rPr>
        <w:t>.响应文件的式样、密封和标记</w:t>
      </w:r>
    </w:p>
    <w:p w14:paraId="6BEF2DCB">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14</w:t>
      </w:r>
      <w:r>
        <w:rPr>
          <w:rFonts w:hint="eastAsia" w:ascii="仿宋" w:hAnsi="仿宋" w:eastAsia="仿宋" w:cs="宋体"/>
          <w:color w:val="000000"/>
          <w:kern w:val="0"/>
          <w:sz w:val="24"/>
          <w:highlight w:val="none"/>
        </w:rPr>
        <w:t>.1 供应商应当编制一份响应文件“正本”和</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所述份数的“副本”和“电子版”，副本为正本复印件。纸质版文件与电子版文件不一致时，以</w:t>
      </w:r>
      <w:r>
        <w:rPr>
          <w:rFonts w:hint="eastAsia" w:ascii="仿宋" w:hAnsi="仿宋" w:eastAsia="仿宋" w:cs="宋体"/>
          <w:b/>
          <w:bCs/>
          <w:kern w:val="0"/>
          <w:sz w:val="24"/>
          <w:highlight w:val="none"/>
          <w:lang w:eastAsia="zh-Hans"/>
        </w:rPr>
        <w:t>电子版</w:t>
      </w:r>
      <w:r>
        <w:rPr>
          <w:rFonts w:hint="eastAsia" w:ascii="仿宋" w:hAnsi="仿宋" w:eastAsia="仿宋" w:cs="宋体"/>
          <w:color w:val="000000"/>
          <w:kern w:val="0"/>
          <w:sz w:val="24"/>
          <w:highlight w:val="none"/>
        </w:rPr>
        <w:t>文件为准;响应文件正本与副本不一致时，以正本为准</w:t>
      </w:r>
      <w:r>
        <w:rPr>
          <w:rFonts w:hint="eastAsia" w:ascii="仿宋" w:hAnsi="仿宋" w:eastAsia="仿宋" w:cs="宋体"/>
          <w:color w:val="000000"/>
          <w:kern w:val="0"/>
          <w:sz w:val="24"/>
          <w:highlight w:val="none"/>
          <w:lang w:eastAsia="zh-CN"/>
        </w:rPr>
        <w:t>。</w:t>
      </w:r>
      <w:r>
        <w:rPr>
          <w:rFonts w:hint="eastAsia" w:ascii="仿宋" w:hAnsi="仿宋" w:eastAsia="仿宋" w:cs="宋体"/>
          <w:color w:val="000000"/>
          <w:kern w:val="0"/>
          <w:sz w:val="24"/>
          <w:highlight w:val="none"/>
        </w:rPr>
        <w:t xml:space="preserve"> </w:t>
      </w:r>
    </w:p>
    <w:p w14:paraId="62FFA7DE">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14</w:t>
      </w:r>
      <w:r>
        <w:rPr>
          <w:rFonts w:hint="eastAsia" w:ascii="仿宋" w:hAnsi="仿宋" w:eastAsia="仿宋" w:cs="宋体"/>
          <w:color w:val="000000"/>
          <w:kern w:val="0"/>
          <w:sz w:val="24"/>
          <w:highlight w:val="none"/>
        </w:rPr>
        <w:t>.2 每份纸质文件响应文件的正本、副本应当分别装订，并于封面上明确标明“正本”“副本”字样。具体要求</w:t>
      </w:r>
      <w:r>
        <w:rPr>
          <w:rFonts w:hint="eastAsia" w:ascii="仿宋" w:hAnsi="仿宋" w:eastAsia="仿宋" w:cs="宋体"/>
          <w:color w:val="000000"/>
          <w:kern w:val="0"/>
          <w:sz w:val="24"/>
          <w:highlight w:val="none"/>
          <w:u w:val="single"/>
        </w:rPr>
        <w:t>见本须知前附表</w:t>
      </w:r>
      <w:r>
        <w:rPr>
          <w:rFonts w:hint="eastAsia" w:ascii="仿宋" w:hAnsi="仿宋" w:eastAsia="仿宋" w:cs="宋体"/>
          <w:color w:val="000000"/>
          <w:kern w:val="0"/>
          <w:sz w:val="24"/>
          <w:highlight w:val="none"/>
        </w:rPr>
        <w:t>。</w:t>
      </w:r>
    </w:p>
    <w:p w14:paraId="37DBC003">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14</w:t>
      </w:r>
      <w:r>
        <w:rPr>
          <w:rFonts w:hint="eastAsia" w:ascii="仿宋" w:hAnsi="仿宋" w:eastAsia="仿宋" w:cs="宋体"/>
          <w:color w:val="000000"/>
          <w:kern w:val="0"/>
          <w:sz w:val="24"/>
          <w:highlight w:val="none"/>
        </w:rPr>
        <w:t>.</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 xml:space="preserve"> 对于磋商文件中提及的原件或复印件要求，照片件、扫描件、影印件、截图件等与其具有同等效力（磋商文件有特殊要求的除外）。</w:t>
      </w:r>
    </w:p>
    <w:p w14:paraId="563B85F9">
      <w:pPr>
        <w:pStyle w:val="5"/>
        <w:spacing w:after="0" w:line="360" w:lineRule="auto"/>
        <w:ind w:firstLine="482"/>
        <w:rPr>
          <w:rFonts w:hint="eastAsia" w:ascii="仿宋" w:hAnsi="仿宋" w:eastAsia="仿宋" w:cs="仿宋"/>
          <w:color w:val="000000"/>
          <w:sz w:val="24"/>
          <w:szCs w:val="24"/>
          <w:highlight w:val="none"/>
        </w:rPr>
      </w:pPr>
      <w:bookmarkStart w:id="73" w:name="_Toc19783317"/>
      <w:bookmarkStart w:id="74" w:name="_Toc517281820"/>
      <w:bookmarkStart w:id="75" w:name="_Toc21600"/>
      <w:bookmarkStart w:id="76" w:name="_Toc7129"/>
      <w:bookmarkStart w:id="77" w:name="_Toc18673"/>
      <w:bookmarkStart w:id="78" w:name="_Toc287600122"/>
      <w:bookmarkStart w:id="79" w:name="_Toc4155"/>
      <w:bookmarkStart w:id="80" w:name="_Toc14726"/>
      <w:bookmarkStart w:id="81" w:name="_Toc444891340"/>
      <w:bookmarkStart w:id="82" w:name="_Toc17865"/>
      <w:r>
        <w:rPr>
          <w:rFonts w:hint="eastAsia" w:ascii="仿宋" w:hAnsi="仿宋" w:eastAsia="仿宋" w:cs="仿宋"/>
          <w:color w:val="000000"/>
          <w:sz w:val="24"/>
          <w:szCs w:val="24"/>
          <w:highlight w:val="none"/>
        </w:rPr>
        <w:t>（四）响应文件的</w:t>
      </w:r>
      <w:bookmarkEnd w:id="73"/>
      <w:bookmarkEnd w:id="74"/>
      <w:bookmarkEnd w:id="75"/>
      <w:bookmarkEnd w:id="76"/>
      <w:bookmarkEnd w:id="77"/>
      <w:bookmarkEnd w:id="78"/>
      <w:bookmarkEnd w:id="79"/>
      <w:bookmarkEnd w:id="80"/>
      <w:bookmarkEnd w:id="81"/>
      <w:r>
        <w:rPr>
          <w:rFonts w:hint="eastAsia" w:ascii="仿宋" w:hAnsi="仿宋" w:eastAsia="仿宋" w:cs="仿宋"/>
          <w:color w:val="000000"/>
          <w:sz w:val="24"/>
          <w:szCs w:val="24"/>
          <w:highlight w:val="none"/>
        </w:rPr>
        <w:t>递交</w:t>
      </w:r>
      <w:bookmarkEnd w:id="82"/>
    </w:p>
    <w:p w14:paraId="3A8E8A4B">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5</w:t>
      </w:r>
      <w:r>
        <w:rPr>
          <w:rFonts w:hint="eastAsia" w:ascii="仿宋" w:hAnsi="仿宋" w:eastAsia="仿宋" w:cs="仿宋"/>
          <w:color w:val="000000"/>
          <w:sz w:val="24"/>
          <w:szCs w:val="24"/>
          <w:highlight w:val="none"/>
        </w:rPr>
        <w:t>.响应文件的递交</w:t>
      </w:r>
    </w:p>
    <w:p w14:paraId="65A8009A">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ascii="仿宋" w:hAnsi="仿宋" w:eastAsia="仿宋" w:cs="仿宋"/>
          <w:color w:val="000000"/>
          <w:sz w:val="24"/>
          <w:highlight w:val="none"/>
        </w:rPr>
        <w:t>5</w:t>
      </w:r>
      <w:r>
        <w:rPr>
          <w:rFonts w:hint="eastAsia" w:ascii="仿宋" w:hAnsi="仿宋" w:eastAsia="仿宋" w:cs="仿宋"/>
          <w:color w:val="000000"/>
          <w:sz w:val="24"/>
          <w:highlight w:val="none"/>
        </w:rPr>
        <w:t>.1供应商应按</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规定的时间、方式递交响应文件。</w:t>
      </w:r>
    </w:p>
    <w:p w14:paraId="4D1C5073">
      <w:pPr>
        <w:spacing w:line="360" w:lineRule="auto"/>
        <w:jc w:val="left"/>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15.2出现下列情形之一时，</w:t>
      </w:r>
      <w:r>
        <w:rPr>
          <w:rFonts w:hint="eastAsia" w:ascii="仿宋" w:hAnsi="仿宋" w:eastAsia="仿宋" w:cs="宋体"/>
          <w:b/>
          <w:bCs/>
          <w:color w:val="000000"/>
          <w:sz w:val="24"/>
          <w:highlight w:val="none"/>
        </w:rPr>
        <w:t>响应文件不予接收或已经递交的响应文件无效；</w:t>
      </w:r>
    </w:p>
    <w:p w14:paraId="0A0B3BDD">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（1）电子响应文件逾期递交的；</w:t>
      </w:r>
    </w:p>
    <w:p w14:paraId="0F135F3A">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（2）纸质响应文件逾期递交或者未送达指定地点或者未按照磋商文件要求封装的；</w:t>
      </w:r>
    </w:p>
    <w:p w14:paraId="0662D447">
      <w:pPr>
        <w:spacing w:line="360" w:lineRule="auto"/>
        <w:jc w:val="left"/>
        <w:rPr>
          <w:rFonts w:hint="eastAsia" w:ascii="仿宋" w:hAnsi="仿宋" w:eastAsia="仿宋" w:cs="宋体"/>
          <w:sz w:val="24"/>
          <w:highlight w:val="none"/>
        </w:rPr>
      </w:pPr>
      <w:r>
        <w:rPr>
          <w:rFonts w:hint="eastAsia" w:ascii="仿宋" w:hAnsi="仿宋" w:eastAsia="仿宋" w:cs="宋体"/>
          <w:color w:val="000000"/>
          <w:sz w:val="24"/>
          <w:highlight w:val="none"/>
        </w:rPr>
        <w:t>（3）未通过资格预审的申请供应商递交的；</w:t>
      </w:r>
      <w:r>
        <w:rPr>
          <w:rFonts w:hint="eastAsia" w:ascii="仿宋" w:hAnsi="仿宋" w:eastAsia="仿宋" w:cs="宋体"/>
          <w:i/>
          <w:sz w:val="24"/>
          <w:highlight w:val="none"/>
        </w:rPr>
        <w:t>（资格预审项目适用）</w:t>
      </w:r>
    </w:p>
    <w:p w14:paraId="1C993949">
      <w:pPr>
        <w:spacing w:line="360" w:lineRule="auto"/>
        <w:jc w:val="left"/>
        <w:rPr>
          <w:rFonts w:ascii="仿宋" w:hAnsi="仿宋" w:eastAsia="仿宋" w:cs="宋体"/>
          <w:color w:val="000000"/>
          <w:sz w:val="24"/>
          <w:highlight w:val="none"/>
        </w:rPr>
      </w:pPr>
      <w:r>
        <w:rPr>
          <w:rFonts w:hint="eastAsia" w:ascii="仿宋" w:hAnsi="仿宋" w:eastAsia="仿宋" w:cs="宋体"/>
          <w:color w:val="000000"/>
          <w:sz w:val="24"/>
          <w:highlight w:val="none"/>
        </w:rPr>
        <w:t>（4）未按磋商公告或者响应公告书要求获得本项目磋商文件的。</w:t>
      </w:r>
    </w:p>
    <w:p w14:paraId="6882071B">
      <w:pPr>
        <w:pStyle w:val="6"/>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16</w:t>
      </w:r>
      <w:r>
        <w:rPr>
          <w:rFonts w:hint="eastAsia" w:ascii="仿宋" w:hAnsi="仿宋" w:eastAsia="仿宋" w:cs="仿宋"/>
          <w:color w:val="000000"/>
          <w:sz w:val="24"/>
          <w:szCs w:val="24"/>
          <w:highlight w:val="none"/>
        </w:rPr>
        <w:t>.响应文件的修改、撤回和撤销</w:t>
      </w:r>
    </w:p>
    <w:p w14:paraId="5BE11C37">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16</w:t>
      </w:r>
      <w:r>
        <w:rPr>
          <w:rFonts w:hint="eastAsia" w:ascii="仿宋" w:hAnsi="仿宋" w:eastAsia="仿宋" w:cs="仿宋"/>
          <w:color w:val="000000"/>
          <w:sz w:val="24"/>
          <w:highlight w:val="none"/>
        </w:rPr>
        <w:t>.1</w:t>
      </w:r>
      <w:r>
        <w:rPr>
          <w:rFonts w:hint="eastAsia" w:ascii="仿宋" w:hAnsi="仿宋" w:eastAsia="仿宋" w:cs="宋体"/>
          <w:color w:val="000000"/>
          <w:spacing w:val="-4"/>
          <w:kern w:val="0"/>
          <w:sz w:val="24"/>
          <w:highlight w:val="none"/>
        </w:rPr>
        <w:t>在</w:t>
      </w:r>
      <w:r>
        <w:rPr>
          <w:rFonts w:hint="eastAsia" w:ascii="仿宋" w:hAnsi="仿宋" w:eastAsia="仿宋" w:cs="宋体"/>
          <w:color w:val="000000"/>
          <w:kern w:val="0"/>
          <w:sz w:val="24"/>
          <w:highlight w:val="none"/>
        </w:rPr>
        <w:t>磋商文件</w:t>
      </w:r>
      <w:r>
        <w:rPr>
          <w:rFonts w:hint="eastAsia" w:ascii="仿宋" w:hAnsi="仿宋" w:eastAsia="仿宋" w:cs="宋体"/>
          <w:color w:val="000000"/>
          <w:spacing w:val="-4"/>
          <w:kern w:val="0"/>
          <w:sz w:val="24"/>
          <w:highlight w:val="none"/>
        </w:rPr>
        <w:t>规定的</w:t>
      </w:r>
      <w:r>
        <w:rPr>
          <w:rFonts w:hint="eastAsia" w:ascii="仿宋" w:hAnsi="仿宋" w:eastAsia="仿宋" w:cs="仿宋"/>
          <w:color w:val="000000"/>
          <w:sz w:val="24"/>
          <w:highlight w:val="none"/>
        </w:rPr>
        <w:t>响应文件</w:t>
      </w:r>
      <w:r>
        <w:rPr>
          <w:rFonts w:hint="eastAsia" w:ascii="仿宋" w:hAnsi="仿宋" w:eastAsia="仿宋" w:cs="宋体"/>
          <w:color w:val="000000"/>
          <w:spacing w:val="-4"/>
          <w:kern w:val="0"/>
          <w:sz w:val="24"/>
          <w:highlight w:val="none"/>
        </w:rPr>
        <w:t>递交截止时间前，</w:t>
      </w:r>
      <w:r>
        <w:rPr>
          <w:rFonts w:hint="eastAsia" w:ascii="仿宋" w:hAnsi="仿宋" w:eastAsia="仿宋" w:cs="宋体"/>
          <w:color w:val="000000"/>
          <w:kern w:val="0"/>
          <w:sz w:val="24"/>
          <w:highlight w:val="none"/>
        </w:rPr>
        <w:t>可以补充、修改或撤回已提交的响应文件。</w:t>
      </w:r>
      <w:r>
        <w:rPr>
          <w:rFonts w:ascii="仿宋" w:hAnsi="仿宋" w:eastAsia="仿宋" w:cs="宋体"/>
          <w:color w:val="000000"/>
          <w:kern w:val="0"/>
          <w:sz w:val="24"/>
          <w:highlight w:val="none"/>
        </w:rPr>
        <w:t>补充、修改的内容为</w:t>
      </w:r>
      <w:r>
        <w:rPr>
          <w:rFonts w:hint="eastAsia" w:ascii="仿宋" w:hAnsi="仿宋" w:eastAsia="仿宋" w:cs="宋体"/>
          <w:color w:val="000000"/>
          <w:kern w:val="0"/>
          <w:sz w:val="24"/>
          <w:highlight w:val="none"/>
        </w:rPr>
        <w:t>响应</w:t>
      </w:r>
      <w:r>
        <w:rPr>
          <w:rFonts w:ascii="仿宋" w:hAnsi="仿宋" w:eastAsia="仿宋" w:cs="宋体"/>
          <w:color w:val="000000"/>
          <w:kern w:val="0"/>
          <w:sz w:val="24"/>
          <w:highlight w:val="none"/>
        </w:rPr>
        <w:t>文件的组成部分</w:t>
      </w:r>
      <w:r>
        <w:rPr>
          <w:rFonts w:hint="eastAsia" w:ascii="仿宋" w:hAnsi="仿宋" w:eastAsia="仿宋" w:cs="宋体"/>
          <w:color w:val="000000"/>
          <w:kern w:val="0"/>
          <w:sz w:val="24"/>
          <w:highlight w:val="none"/>
        </w:rPr>
        <w:t>，应当在响应文件递交截止时间前按照磋商文件的规定进行递交。</w:t>
      </w:r>
    </w:p>
    <w:p w14:paraId="52BB094F">
      <w:pPr>
        <w:pStyle w:val="2"/>
        <w:spacing w:line="360" w:lineRule="auto"/>
        <w:jc w:val="left"/>
        <w:rPr>
          <w:rFonts w:hint="eastAsia"/>
          <w:highlight w:val="none"/>
        </w:rPr>
      </w:pPr>
      <w:bookmarkStart w:id="83" w:name="_Toc246996202"/>
      <w:bookmarkStart w:id="84" w:name="_Toc152042334"/>
      <w:bookmarkStart w:id="85" w:name="_Toc179632576"/>
      <w:bookmarkStart w:id="86" w:name="_Toc246996945"/>
      <w:bookmarkStart w:id="87" w:name="_Toc332188194"/>
      <w:bookmarkStart w:id="88" w:name="_Toc152045558"/>
      <w:bookmarkStart w:id="89" w:name="_Toc247085716"/>
      <w:bookmarkStart w:id="90" w:name="_Toc334766948"/>
      <w:bookmarkStart w:id="91" w:name="_Toc144974526"/>
      <w:bookmarkStart w:id="92" w:name="_Toc326223561"/>
      <w:r>
        <w:rPr>
          <w:rFonts w:ascii="仿宋" w:hAnsi="仿宋" w:eastAsia="仿宋" w:cs="仿宋"/>
          <w:color w:val="000000"/>
          <w:sz w:val="24"/>
          <w:highlight w:val="none"/>
        </w:rPr>
        <w:t>16.2</w:t>
      </w:r>
      <w:bookmarkEnd w:id="83"/>
      <w:bookmarkEnd w:id="84"/>
      <w:bookmarkEnd w:id="85"/>
      <w:bookmarkEnd w:id="86"/>
      <w:bookmarkEnd w:id="87"/>
      <w:bookmarkEnd w:id="88"/>
      <w:bookmarkEnd w:id="89"/>
      <w:bookmarkEnd w:id="90"/>
      <w:bookmarkEnd w:id="91"/>
      <w:bookmarkEnd w:id="92"/>
      <w:r>
        <w:rPr>
          <w:rFonts w:hint="eastAsia" w:ascii="仿宋" w:hAnsi="仿宋" w:eastAsia="仿宋" w:cs="仿宋"/>
          <w:color w:val="000000"/>
          <w:sz w:val="24"/>
          <w:highlight w:val="none"/>
          <w:lang w:val="en-US" w:eastAsia="zh-CN"/>
        </w:rPr>
        <w:t xml:space="preserve"> </w:t>
      </w:r>
      <w:r>
        <w:rPr>
          <w:rFonts w:hint="eastAsia" w:ascii="仿宋" w:hAnsi="仿宋" w:eastAsia="仿宋" w:cs="宋体"/>
          <w:color w:val="000000"/>
          <w:kern w:val="0"/>
          <w:sz w:val="24"/>
          <w:highlight w:val="none"/>
        </w:rPr>
        <w:t>响应文件递交截止时间后，供应商在响应有效期内撤销其响应文件，磋商保证金不予退还。</w:t>
      </w:r>
    </w:p>
    <w:p w14:paraId="5E31471F">
      <w:pPr>
        <w:pStyle w:val="5"/>
        <w:spacing w:before="0" w:after="0" w:line="360" w:lineRule="auto"/>
        <w:ind w:firstLine="482"/>
        <w:rPr>
          <w:rFonts w:hint="eastAsia" w:ascii="仿宋" w:hAnsi="仿宋" w:eastAsia="仿宋" w:cs="仿宋"/>
          <w:color w:val="000000"/>
          <w:sz w:val="24"/>
          <w:szCs w:val="24"/>
          <w:highlight w:val="none"/>
        </w:rPr>
      </w:pPr>
      <w:bookmarkStart w:id="93" w:name="_Toc11361"/>
      <w:bookmarkStart w:id="94" w:name="_Toc2636"/>
      <w:bookmarkStart w:id="95" w:name="_Toc30466"/>
      <w:bookmarkStart w:id="96" w:name="_Toc20741"/>
      <w:bookmarkStart w:id="97" w:name="_Toc444891341"/>
      <w:bookmarkStart w:id="98" w:name="_Toc287600123"/>
      <w:bookmarkStart w:id="99" w:name="_Toc2055"/>
      <w:bookmarkStart w:id="100" w:name="_Toc517281821"/>
      <w:bookmarkStart w:id="101" w:name="_Toc12797"/>
      <w:r>
        <w:rPr>
          <w:rFonts w:hint="eastAsia" w:ascii="仿宋" w:hAnsi="仿宋" w:eastAsia="仿宋" w:cs="仿宋"/>
          <w:color w:val="000000"/>
          <w:sz w:val="24"/>
          <w:szCs w:val="24"/>
          <w:highlight w:val="none"/>
        </w:rPr>
        <w:t>（五）竞争性磋商和评审</w:t>
      </w:r>
      <w:bookmarkEnd w:id="93"/>
      <w:bookmarkEnd w:id="94"/>
      <w:bookmarkEnd w:id="95"/>
      <w:bookmarkEnd w:id="96"/>
      <w:bookmarkEnd w:id="97"/>
      <w:bookmarkEnd w:id="98"/>
      <w:bookmarkEnd w:id="99"/>
      <w:bookmarkEnd w:id="100"/>
      <w:bookmarkEnd w:id="101"/>
    </w:p>
    <w:p w14:paraId="5B22A416">
      <w:pPr>
        <w:pStyle w:val="6"/>
        <w:spacing w:before="0" w:after="0" w:line="360" w:lineRule="auto"/>
        <w:jc w:val="left"/>
        <w:rPr>
          <w:rFonts w:hint="eastAsia" w:ascii="仿宋" w:hAnsi="仿宋" w:eastAsia="仿宋" w:cs="仿宋"/>
          <w:color w:val="000000"/>
          <w:sz w:val="24"/>
          <w:szCs w:val="24"/>
          <w:highlight w:val="none"/>
        </w:rPr>
      </w:pPr>
      <w:bookmarkStart w:id="102" w:name="_Toc234223229"/>
      <w:bookmarkStart w:id="103" w:name="_Toc234223227"/>
      <w:r>
        <w:rPr>
          <w:rFonts w:ascii="仿宋" w:hAnsi="仿宋" w:eastAsia="仿宋" w:cs="仿宋"/>
          <w:color w:val="000000"/>
          <w:sz w:val="24"/>
          <w:szCs w:val="24"/>
          <w:highlight w:val="none"/>
        </w:rPr>
        <w:t>17</w:t>
      </w:r>
      <w:r>
        <w:rPr>
          <w:rFonts w:hint="eastAsia" w:ascii="仿宋" w:hAnsi="仿宋" w:eastAsia="仿宋" w:cs="仿宋"/>
          <w:color w:val="000000"/>
          <w:sz w:val="24"/>
          <w:szCs w:val="24"/>
          <w:highlight w:val="none"/>
        </w:rPr>
        <w:t>.组建</w:t>
      </w:r>
      <w:bookmarkEnd w:id="102"/>
      <w:r>
        <w:rPr>
          <w:rFonts w:hint="eastAsia" w:ascii="仿宋" w:hAnsi="仿宋" w:eastAsia="仿宋" w:cs="仿宋"/>
          <w:color w:val="000000"/>
          <w:sz w:val="24"/>
          <w:szCs w:val="24"/>
          <w:highlight w:val="none"/>
        </w:rPr>
        <w:t>磋商小组</w:t>
      </w:r>
    </w:p>
    <w:p w14:paraId="0B952229">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7.1</w:t>
      </w:r>
      <w:r>
        <w:rPr>
          <w:rFonts w:hint="eastAsia" w:ascii="仿宋" w:hAnsi="仿宋" w:eastAsia="仿宋" w:cs="宋体"/>
          <w:color w:val="000000"/>
          <w:kern w:val="0"/>
          <w:sz w:val="24"/>
          <w:highlight w:val="none"/>
        </w:rPr>
        <w:t>采购人依照企业采购管理制度的相关规定组建</w:t>
      </w:r>
      <w:r>
        <w:rPr>
          <w:rFonts w:hint="eastAsia" w:ascii="仿宋" w:hAnsi="仿宋" w:eastAsia="仿宋" w:cs="宋体"/>
          <w:color w:val="000000"/>
          <w:kern w:val="0"/>
          <w:sz w:val="24"/>
          <w:highlight w:val="none"/>
          <w:lang w:val="en-US" w:eastAsia="zh-CN"/>
        </w:rPr>
        <w:t>3</w:t>
      </w:r>
      <w:r>
        <w:rPr>
          <w:rFonts w:hint="eastAsia" w:ascii="仿宋" w:hAnsi="仿宋" w:eastAsia="仿宋" w:cs="宋体"/>
          <w:color w:val="000000"/>
          <w:kern w:val="0"/>
          <w:sz w:val="24"/>
          <w:highlight w:val="none"/>
        </w:rPr>
        <w:t>人及以上单数的磋商小组，具体人数</w:t>
      </w:r>
      <w:r>
        <w:rPr>
          <w:rFonts w:hint="eastAsia" w:ascii="仿宋" w:hAnsi="仿宋" w:eastAsia="仿宋" w:cs="仿宋"/>
          <w:color w:val="000000"/>
          <w:sz w:val="24"/>
          <w:highlight w:val="none"/>
        </w:rPr>
        <w:t>见</w:t>
      </w:r>
      <w:r>
        <w:rPr>
          <w:rFonts w:hint="eastAsia" w:ascii="仿宋" w:hAnsi="仿宋" w:eastAsia="仿宋" w:cs="仿宋"/>
          <w:color w:val="000000"/>
          <w:sz w:val="24"/>
          <w:highlight w:val="none"/>
          <w:u w:val="single"/>
        </w:rPr>
        <w:t>本须知前附表</w:t>
      </w:r>
      <w:r>
        <w:rPr>
          <w:rFonts w:hint="eastAsia" w:ascii="仿宋" w:hAnsi="仿宋" w:eastAsia="仿宋" w:cs="宋体"/>
          <w:color w:val="000000"/>
          <w:kern w:val="0"/>
          <w:sz w:val="24"/>
          <w:highlight w:val="none"/>
        </w:rPr>
        <w:t>，磋商小组成员名单在成交结果确定前保密。</w:t>
      </w:r>
    </w:p>
    <w:p w14:paraId="57B60935">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7.2</w:t>
      </w:r>
      <w:r>
        <w:rPr>
          <w:rFonts w:hint="eastAsia" w:ascii="仿宋" w:hAnsi="仿宋" w:eastAsia="仿宋" w:cs="宋体"/>
          <w:color w:val="000000"/>
          <w:kern w:val="0"/>
          <w:sz w:val="24"/>
          <w:highlight w:val="none"/>
        </w:rPr>
        <w:t>磋商小组成员应当按照客观、公正、审慎的原则，根据磋商文件规定的评审程序、评审方法和评审标准进行独立评审。</w:t>
      </w:r>
    </w:p>
    <w:p w14:paraId="4EB8C875">
      <w:pPr>
        <w:pStyle w:val="6"/>
        <w:spacing w:before="0" w:after="0" w:line="360" w:lineRule="auto"/>
        <w:jc w:val="left"/>
        <w:rPr>
          <w:rFonts w:ascii="仿宋" w:hAnsi="仿宋" w:eastAsia="仿宋" w:cs="仿宋"/>
          <w:color w:val="000000"/>
          <w:sz w:val="24"/>
          <w:szCs w:val="24"/>
          <w:highlight w:val="none"/>
        </w:rPr>
      </w:pPr>
      <w:bookmarkStart w:id="104" w:name="_Toc234223228"/>
      <w:r>
        <w:rPr>
          <w:rFonts w:ascii="仿宋" w:hAnsi="仿宋" w:eastAsia="仿宋" w:cs="仿宋"/>
          <w:color w:val="000000"/>
          <w:sz w:val="24"/>
          <w:szCs w:val="24"/>
          <w:highlight w:val="none"/>
        </w:rPr>
        <w:t>18</w:t>
      </w:r>
      <w:r>
        <w:rPr>
          <w:rFonts w:hint="eastAsia" w:ascii="仿宋" w:hAnsi="仿宋" w:eastAsia="仿宋" w:cs="仿宋"/>
          <w:color w:val="000000"/>
          <w:sz w:val="24"/>
          <w:szCs w:val="24"/>
          <w:highlight w:val="none"/>
        </w:rPr>
        <w:t>.初步评审</w:t>
      </w:r>
    </w:p>
    <w:p w14:paraId="61DABC64">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8.1</w:t>
      </w:r>
      <w:r>
        <w:rPr>
          <w:rFonts w:hint="eastAsia" w:ascii="仿宋" w:hAnsi="仿宋" w:eastAsia="仿宋" w:cs="宋体"/>
          <w:color w:val="000000"/>
          <w:kern w:val="0"/>
          <w:sz w:val="24"/>
          <w:highlight w:val="none"/>
        </w:rPr>
        <w:t>磋商小组按照第三章</w:t>
      </w:r>
      <w:r>
        <w:rPr>
          <w:rFonts w:hint="eastAsia" w:ascii="仿宋" w:hAnsi="仿宋" w:eastAsia="仿宋" w:cs="宋体"/>
          <w:color w:val="000000"/>
          <w:kern w:val="0"/>
          <w:sz w:val="24"/>
        </w:rPr>
        <w:t>评审办法中初步评审的内容及要求</w:t>
      </w:r>
      <w:r>
        <w:rPr>
          <w:rFonts w:hint="eastAsia" w:ascii="仿宋" w:hAnsi="仿宋" w:eastAsia="仿宋" w:cs="宋体"/>
          <w:color w:val="000000"/>
          <w:kern w:val="0"/>
          <w:sz w:val="24"/>
          <w:highlight w:val="none"/>
        </w:rPr>
        <w:t>，对响应文件进行初步评审。通过初步评审的供应商进入磋商环节，未通过初步评审的供应商，其磋商响应将被否决，不进入磋商、详细评审等后续环节。</w:t>
      </w:r>
    </w:p>
    <w:p w14:paraId="7F5EABD4">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1</w:t>
      </w:r>
      <w:r>
        <w:rPr>
          <w:rFonts w:ascii="仿宋" w:hAnsi="仿宋" w:eastAsia="仿宋" w:cs="宋体"/>
          <w:color w:val="000000"/>
          <w:kern w:val="0"/>
          <w:sz w:val="24"/>
          <w:highlight w:val="none"/>
        </w:rPr>
        <w:t>8.2</w:t>
      </w:r>
      <w:r>
        <w:rPr>
          <w:rFonts w:hint="eastAsia" w:ascii="仿宋" w:hAnsi="仿宋" w:eastAsia="仿宋" w:cs="宋体"/>
          <w:color w:val="000000"/>
          <w:kern w:val="0"/>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14:paraId="79A8744E">
      <w:pPr>
        <w:widowControl/>
        <w:topLinePunct/>
        <w:spacing w:line="360" w:lineRule="auto"/>
        <w:rPr>
          <w:rFonts w:ascii="仿宋" w:hAnsi="仿宋" w:eastAsia="仿宋" w:cs="仿宋"/>
          <w:b/>
          <w:bCs/>
          <w:sz w:val="24"/>
          <w:highlight w:val="none"/>
        </w:rPr>
      </w:pPr>
      <w:r>
        <w:rPr>
          <w:rFonts w:hint="eastAsia" w:ascii="仿宋" w:hAnsi="仿宋" w:eastAsia="仿宋" w:cs="宋体"/>
          <w:color w:val="000000"/>
          <w:kern w:val="0"/>
          <w:sz w:val="24"/>
          <w:highlight w:val="none"/>
        </w:rPr>
        <w:t>18</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rPr>
        <w:t>磋商小组对供应商递交的澄清、说明或补正有疑问的，可以要求供应商进一步澄清、说明或者补正，直至满足磋商小组的要求。拒不按要求进行澄清、说明或者补正的供应商</w:t>
      </w:r>
      <w:r>
        <w:rPr>
          <w:rFonts w:hint="eastAsia" w:ascii="仿宋" w:hAnsi="仿宋" w:eastAsia="仿宋" w:cs="仿宋"/>
          <w:b/>
          <w:bCs/>
          <w:sz w:val="24"/>
          <w:highlight w:val="none"/>
        </w:rPr>
        <w:t>，磋商小组有权对其响应做否决处理。</w:t>
      </w:r>
    </w:p>
    <w:p w14:paraId="6646373C">
      <w:pPr>
        <w:widowControl/>
        <w:topLinePunct/>
        <w:spacing w:line="360" w:lineRule="auto"/>
        <w:rPr>
          <w:rFonts w:hint="eastAsia"/>
          <w:highlight w:val="none"/>
        </w:rPr>
      </w:pPr>
      <w:r>
        <w:rPr>
          <w:rFonts w:hint="eastAsia" w:ascii="仿宋" w:hAnsi="仿宋" w:eastAsia="仿宋" w:cs="宋体"/>
          <w:color w:val="000000"/>
          <w:kern w:val="0"/>
          <w:sz w:val="24"/>
          <w:highlight w:val="none"/>
        </w:rPr>
        <w:t>18</w:t>
      </w:r>
      <w:r>
        <w:rPr>
          <w:rFonts w:ascii="仿宋" w:hAnsi="仿宋" w:eastAsia="仿宋" w:cs="宋体"/>
          <w:color w:val="000000"/>
          <w:kern w:val="0"/>
          <w:sz w:val="24"/>
          <w:highlight w:val="none"/>
        </w:rPr>
        <w:t>.4</w:t>
      </w:r>
      <w:r>
        <w:rPr>
          <w:rFonts w:hint="eastAsia" w:ascii="仿宋" w:hAnsi="仿宋" w:eastAsia="仿宋" w:cs="宋体"/>
          <w:color w:val="000000"/>
          <w:kern w:val="0"/>
          <w:sz w:val="24"/>
          <w:highlight w:val="none"/>
        </w:rPr>
        <w:t>磋商小组必要时可以要求供应商提交有关证明和证件的原件，以便核验。拒不按要求提供原件的供应商，</w:t>
      </w:r>
      <w:r>
        <w:rPr>
          <w:rFonts w:hint="eastAsia" w:ascii="仿宋" w:hAnsi="仿宋" w:eastAsia="仿宋" w:cs="仿宋"/>
          <w:b/>
          <w:bCs/>
          <w:sz w:val="24"/>
          <w:highlight w:val="none"/>
        </w:rPr>
        <w:t>磋商小组有权对其响应做否决处理。</w:t>
      </w:r>
    </w:p>
    <w:p w14:paraId="22735028">
      <w:pPr>
        <w:pStyle w:val="6"/>
        <w:spacing w:before="0" w:after="0"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ascii="仿宋" w:hAnsi="仿宋" w:eastAsia="仿宋" w:cs="仿宋"/>
          <w:color w:val="000000"/>
          <w:sz w:val="24"/>
          <w:szCs w:val="24"/>
          <w:highlight w:val="none"/>
        </w:rPr>
        <w:t>9.</w:t>
      </w:r>
      <w:r>
        <w:rPr>
          <w:rFonts w:hint="eastAsia" w:ascii="仿宋" w:hAnsi="仿宋" w:eastAsia="仿宋" w:cs="仿宋"/>
          <w:color w:val="000000"/>
          <w:sz w:val="24"/>
          <w:szCs w:val="24"/>
          <w:highlight w:val="none"/>
        </w:rPr>
        <w:t>磋商程序</w:t>
      </w:r>
    </w:p>
    <w:p w14:paraId="689A8704">
      <w:pPr>
        <w:spacing w:line="360" w:lineRule="auto"/>
        <w:jc w:val="left"/>
        <w:rPr>
          <w:rFonts w:ascii="仿宋" w:hAnsi="仿宋" w:eastAsia="仿宋" w:cs="仿宋"/>
          <w:color w:val="000000"/>
          <w:sz w:val="24"/>
          <w:highlight w:val="none"/>
          <w:u w:val="single"/>
        </w:rPr>
      </w:pPr>
      <w:r>
        <w:rPr>
          <w:rFonts w:ascii="仿宋" w:hAnsi="仿宋" w:eastAsia="仿宋" w:cs="仿宋"/>
          <w:color w:val="000000"/>
          <w:sz w:val="24"/>
          <w:highlight w:val="none"/>
        </w:rPr>
        <w:t>19</w:t>
      </w:r>
      <w:r>
        <w:rPr>
          <w:rFonts w:hint="eastAsia" w:ascii="仿宋" w:hAnsi="仿宋" w:eastAsia="仿宋" w:cs="仿宋"/>
          <w:color w:val="000000"/>
          <w:sz w:val="24"/>
          <w:highlight w:val="none"/>
        </w:rPr>
        <w:t>.1磋商小组所有成员应当集中与通过初步评审的单一供应商分别进行磋商，并给予所有参加磋商的供应商平等的磋商机会。供应商磋商顺序、磋商形式以及其他要求等</w:t>
      </w:r>
      <w:r>
        <w:rPr>
          <w:rFonts w:hint="eastAsia" w:ascii="仿宋" w:hAnsi="仿宋" w:eastAsia="仿宋" w:cs="仿宋"/>
          <w:color w:val="000000"/>
          <w:sz w:val="24"/>
          <w:highlight w:val="none"/>
          <w:u w:val="single"/>
        </w:rPr>
        <w:t>详见本须知前附表。</w:t>
      </w:r>
    </w:p>
    <w:p w14:paraId="48B2C47E">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19.2</w:t>
      </w:r>
      <w:r>
        <w:rPr>
          <w:rFonts w:hint="eastAsia" w:ascii="仿宋" w:hAnsi="仿宋" w:eastAsia="仿宋" w:cs="仿宋"/>
          <w:color w:val="000000"/>
          <w:sz w:val="24"/>
          <w:highlight w:val="none"/>
        </w:rPr>
        <w:t>磋商小组与供应商就磋商文件中的价格、商务内容、技术内容或有待供应商进一步明确的内容等进行一对一磋商，并要求实质性响应的供应商提交最终报价。具体磋商内容详见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14:paraId="135020EC">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19.3</w:t>
      </w:r>
      <w:r>
        <w:rPr>
          <w:rFonts w:hint="eastAsia" w:ascii="仿宋" w:hAnsi="仿宋" w:eastAsia="仿宋" w:cs="仿宋"/>
          <w:color w:val="000000"/>
          <w:sz w:val="24"/>
          <w:highlight w:val="none"/>
        </w:rPr>
        <w:t>磋商小组可视情况要求供应商进行多轮磋商及报价。磋商中，任何一方不得向第三方透露与磋商有关的任何信息。</w:t>
      </w:r>
    </w:p>
    <w:bookmarkEnd w:id="104"/>
    <w:p w14:paraId="0F42FCE2">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19.4各轮报价有算术错误的，磋商小组按照以下原则对报价进行修正，修正的价格经供应商书面确认后具有约束力。供应商不接受或不确认修正后价格的，磋商小组</w:t>
      </w:r>
      <w:r>
        <w:rPr>
          <w:rFonts w:hint="eastAsia" w:ascii="仿宋" w:hAnsi="仿宋" w:eastAsia="仿宋" w:cs="仿宋"/>
          <w:b/>
          <w:bCs/>
          <w:color w:val="000000"/>
          <w:sz w:val="24"/>
          <w:highlight w:val="none"/>
        </w:rPr>
        <w:t>应当否决其响应</w:t>
      </w:r>
      <w:r>
        <w:rPr>
          <w:rFonts w:hint="eastAsia" w:ascii="仿宋" w:hAnsi="仿宋" w:eastAsia="仿宋" w:cs="仿宋"/>
          <w:color w:val="000000"/>
          <w:sz w:val="24"/>
          <w:highlight w:val="none"/>
        </w:rPr>
        <w:t>。</w:t>
      </w:r>
    </w:p>
    <w:p w14:paraId="6C62127F">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（1）大写金额与小写金额不一致的，以大写金额为准；</w:t>
      </w:r>
    </w:p>
    <w:p w14:paraId="5F226BC4">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（2）总价金额与根据单价计算出的结果不一致的，以单价金额为准修正总价，但单价金额小数点有明显错误的除外。</w:t>
      </w:r>
    </w:p>
    <w:bookmarkEnd w:id="103"/>
    <w:p w14:paraId="75D234E1">
      <w:pPr>
        <w:pStyle w:val="6"/>
        <w:spacing w:before="0" w:after="0" w:line="360" w:lineRule="auto"/>
        <w:jc w:val="left"/>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20</w:t>
      </w:r>
      <w:r>
        <w:rPr>
          <w:rFonts w:hint="eastAsia" w:ascii="仿宋" w:hAnsi="仿宋" w:eastAsia="仿宋" w:cs="仿宋"/>
          <w:color w:val="000000"/>
          <w:sz w:val="24"/>
          <w:szCs w:val="24"/>
          <w:highlight w:val="none"/>
        </w:rPr>
        <w:t>.详细评审</w:t>
      </w:r>
    </w:p>
    <w:p w14:paraId="418BF985">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1磋商小组采用综合评分法对提交最终报价的供应商的响应文件及其最终报价进行综合评分。综合评分法，是指响应文件满足磋商文件全部实质性要求且按评审因素的量化指标评审得分最高的供应商为成交候选人的评审方法。磋商文件中没有规定的评审标准不得作为评审依据。</w:t>
      </w:r>
    </w:p>
    <w:p w14:paraId="35925F83">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.2发生以下情形之一的，原则上做终止采购处理：</w:t>
      </w:r>
    </w:p>
    <w:p w14:paraId="0C5934C2">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（1）出现影响采购公正的违法、违规行为的；</w:t>
      </w:r>
    </w:p>
    <w:p w14:paraId="00056733">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（2）成交候选人报价超过预算金额，采购需求方无法解决的；</w:t>
      </w:r>
    </w:p>
    <w:p w14:paraId="7AB09559">
      <w:pPr>
        <w:spacing w:line="360" w:lineRule="auto"/>
        <w:jc w:val="left"/>
        <w:rPr>
          <w:rFonts w:ascii="仿宋" w:hAnsi="仿宋" w:eastAsia="仿宋" w:cs="仿宋"/>
          <w:color w:val="000000"/>
          <w:sz w:val="24"/>
          <w:highlight w:val="none"/>
        </w:rPr>
      </w:pPr>
      <w:r>
        <w:rPr>
          <w:rFonts w:hint="eastAsia" w:ascii="仿宋" w:hAnsi="仿宋" w:eastAsia="仿宋" w:cs="仿宋"/>
          <w:color w:val="000000"/>
          <w:sz w:val="24"/>
          <w:highlight w:val="none"/>
        </w:rPr>
        <w:t>（3）成交人为N家（1＜N＜3）的项目，有效供应商少于2N家（不含本数）；成交人为N家（N</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 xml:space="preserve">3）的项目，有效供应商少于1.5N家（不含本数）。 </w:t>
      </w:r>
    </w:p>
    <w:p w14:paraId="38BEF25C">
      <w:pPr>
        <w:widowControl/>
        <w:topLinePunct/>
        <w:spacing w:line="360" w:lineRule="auto"/>
        <w:rPr>
          <w:rFonts w:hint="eastAsia" w:ascii="仿宋" w:hAnsi="仿宋" w:eastAsia="仿宋" w:cs="仿宋"/>
          <w:color w:val="000000"/>
          <w:sz w:val="24"/>
          <w:highlight w:val="none"/>
        </w:rPr>
      </w:pPr>
      <w:r>
        <w:rPr>
          <w:rFonts w:ascii="仿宋" w:hAnsi="仿宋" w:eastAsia="仿宋" w:cs="仿宋"/>
          <w:color w:val="000000"/>
          <w:sz w:val="24"/>
          <w:highlight w:val="none"/>
        </w:rPr>
        <w:t>20</w:t>
      </w:r>
      <w:r>
        <w:rPr>
          <w:rFonts w:hint="eastAsia" w:ascii="仿宋" w:hAnsi="仿宋" w:eastAsia="仿宋" w:cs="仿宋"/>
          <w:color w:val="000000"/>
          <w:sz w:val="24"/>
          <w:highlight w:val="none"/>
        </w:rPr>
        <w:t>.</w:t>
      </w:r>
      <w:r>
        <w:rPr>
          <w:rFonts w:ascii="仿宋" w:hAnsi="仿宋" w:eastAsia="仿宋" w:cs="仿宋"/>
          <w:color w:val="000000"/>
          <w:sz w:val="24"/>
          <w:highlight w:val="none"/>
        </w:rPr>
        <w:t>3</w:t>
      </w:r>
      <w:r>
        <w:rPr>
          <w:rFonts w:hint="eastAsia" w:ascii="仿宋" w:hAnsi="仿宋" w:eastAsia="仿宋" w:cs="仿宋"/>
          <w:color w:val="000000"/>
          <w:sz w:val="24"/>
          <w:highlight w:val="none"/>
        </w:rPr>
        <w:t>成交候选人推荐原则</w:t>
      </w:r>
      <w:r>
        <w:rPr>
          <w:rFonts w:hint="eastAsia" w:ascii="仿宋" w:hAnsi="仿宋" w:eastAsia="仿宋" w:cs="仿宋"/>
          <w:color w:val="000000"/>
          <w:sz w:val="24"/>
          <w:highlight w:val="none"/>
          <w:u w:val="single"/>
        </w:rPr>
        <w:t>详见本须知前附表</w:t>
      </w:r>
      <w:r>
        <w:rPr>
          <w:rFonts w:hint="eastAsia" w:ascii="仿宋" w:hAnsi="仿宋" w:eastAsia="仿宋" w:cs="仿宋"/>
          <w:color w:val="000000"/>
          <w:sz w:val="24"/>
          <w:highlight w:val="none"/>
        </w:rPr>
        <w:t>。</w:t>
      </w:r>
      <w:r>
        <w:rPr>
          <w:rFonts w:hint="eastAsia" w:ascii="仿宋" w:hAnsi="仿宋" w:eastAsia="仿宋" w:cs="宋体"/>
          <w:color w:val="000000"/>
          <w:kern w:val="0"/>
          <w:sz w:val="24"/>
          <w:highlight w:val="none"/>
        </w:rPr>
        <w:t>成交候选人的经营、财务状况发生较大变化或者存在违法行为，采购人认为可能影响其履约能力的，应当在发出成交通知书前由原磋商小组会按照磋商文件规定的标准和方法审查确认。</w:t>
      </w:r>
    </w:p>
    <w:p w14:paraId="74CA5AB9">
      <w:pPr>
        <w:pStyle w:val="5"/>
        <w:spacing w:before="0" w:after="0" w:line="360" w:lineRule="auto"/>
        <w:ind w:firstLine="482"/>
        <w:rPr>
          <w:rFonts w:hint="eastAsia" w:ascii="仿宋" w:hAnsi="仿宋" w:eastAsia="仿宋" w:cs="仿宋"/>
          <w:color w:val="000000"/>
          <w:sz w:val="24"/>
          <w:szCs w:val="24"/>
          <w:highlight w:val="none"/>
        </w:rPr>
      </w:pPr>
      <w:bookmarkStart w:id="105" w:name="_Toc2322"/>
      <w:bookmarkStart w:id="106" w:name="_Toc234223231"/>
      <w:bookmarkStart w:id="107" w:name="_Toc19451"/>
      <w:bookmarkStart w:id="108" w:name="_Toc28031"/>
      <w:bookmarkStart w:id="109" w:name="_Toc13936"/>
      <w:bookmarkStart w:id="110" w:name="_Toc444891342"/>
      <w:bookmarkStart w:id="111" w:name="_Toc287600124"/>
      <w:bookmarkStart w:id="112" w:name="_Toc16781"/>
      <w:bookmarkStart w:id="113" w:name="_Toc9911"/>
      <w:bookmarkStart w:id="114" w:name="_Toc517281822"/>
      <w:r>
        <w:rPr>
          <w:rFonts w:hint="eastAsia" w:ascii="仿宋" w:hAnsi="仿宋" w:eastAsia="仿宋" w:cs="仿宋"/>
          <w:color w:val="000000"/>
          <w:sz w:val="24"/>
          <w:szCs w:val="24"/>
          <w:highlight w:val="none"/>
        </w:rPr>
        <w:t>（六）授予合同</w:t>
      </w:r>
      <w:bookmarkEnd w:id="105"/>
      <w:bookmarkEnd w:id="106"/>
      <w:bookmarkEnd w:id="107"/>
      <w:bookmarkEnd w:id="108"/>
      <w:bookmarkEnd w:id="109"/>
      <w:bookmarkEnd w:id="110"/>
      <w:bookmarkEnd w:id="111"/>
      <w:bookmarkEnd w:id="112"/>
      <w:bookmarkEnd w:id="113"/>
      <w:bookmarkEnd w:id="114"/>
    </w:p>
    <w:p w14:paraId="74DC6842">
      <w:pPr>
        <w:pStyle w:val="6"/>
        <w:spacing w:before="0" w:after="0" w:line="360" w:lineRule="auto"/>
        <w:jc w:val="left"/>
        <w:rPr>
          <w:rFonts w:hint="eastAsia" w:ascii="仿宋" w:hAnsi="仿宋" w:eastAsia="仿宋" w:cs="仿宋"/>
          <w:color w:val="000000"/>
          <w:sz w:val="24"/>
          <w:szCs w:val="24"/>
          <w:highlight w:val="none"/>
        </w:rPr>
      </w:pPr>
      <w:bookmarkStart w:id="115" w:name="_Toc234223232"/>
      <w:r>
        <w:rPr>
          <w:rFonts w:hint="eastAsia" w:ascii="仿宋" w:hAnsi="仿宋" w:eastAsia="仿宋" w:cs="仿宋"/>
          <w:color w:val="000000"/>
          <w:sz w:val="24"/>
          <w:szCs w:val="24"/>
          <w:highlight w:val="none"/>
        </w:rPr>
        <w:t>2</w:t>
      </w:r>
      <w:r>
        <w:rPr>
          <w:rFonts w:ascii="仿宋" w:hAnsi="仿宋" w:eastAsia="仿宋" w:cs="仿宋"/>
          <w:color w:val="000000"/>
          <w:sz w:val="24"/>
          <w:szCs w:val="24"/>
          <w:highlight w:val="none"/>
        </w:rPr>
        <w:t>1</w:t>
      </w:r>
      <w:r>
        <w:rPr>
          <w:rFonts w:hint="eastAsia" w:ascii="仿宋" w:hAnsi="仿宋" w:eastAsia="仿宋" w:cs="仿宋"/>
          <w:color w:val="000000"/>
          <w:sz w:val="24"/>
          <w:szCs w:val="24"/>
          <w:highlight w:val="none"/>
        </w:rPr>
        <w:t>.确定</w:t>
      </w:r>
      <w:bookmarkEnd w:id="115"/>
      <w:r>
        <w:rPr>
          <w:rFonts w:hint="eastAsia" w:ascii="仿宋" w:hAnsi="仿宋" w:eastAsia="仿宋" w:cs="仿宋"/>
          <w:color w:val="000000"/>
          <w:sz w:val="24"/>
          <w:szCs w:val="24"/>
          <w:highlight w:val="none"/>
        </w:rPr>
        <w:t>成交人</w:t>
      </w:r>
    </w:p>
    <w:p w14:paraId="08328511">
      <w:pPr>
        <w:spacing w:line="360" w:lineRule="auto"/>
        <w:jc w:val="left"/>
        <w:rPr>
          <w:rFonts w:ascii="仿宋" w:hAnsi="仿宋" w:eastAsia="仿宋" w:cs="仿宋"/>
          <w:color w:val="000000"/>
          <w:sz w:val="24"/>
          <w:highlight w:val="none"/>
        </w:rPr>
      </w:pPr>
      <w:r>
        <w:rPr>
          <w:rFonts w:ascii="仿宋" w:hAnsi="仿宋" w:eastAsia="仿宋" w:cs="仿宋"/>
          <w:color w:val="000000"/>
          <w:sz w:val="24"/>
          <w:highlight w:val="none"/>
        </w:rPr>
        <w:t>21.1</w:t>
      </w:r>
      <w:r>
        <w:rPr>
          <w:rFonts w:hint="eastAsia" w:ascii="仿宋" w:hAnsi="仿宋" w:eastAsia="仿宋" w:cs="仿宋"/>
          <w:color w:val="000000"/>
          <w:sz w:val="24"/>
          <w:highlight w:val="none"/>
        </w:rPr>
        <w:t>采购人依据磋商小组推荐的成交候选人名单确定成交人，成交人数量</w:t>
      </w:r>
      <w:r>
        <w:rPr>
          <w:rFonts w:hint="eastAsia" w:ascii="仿宋" w:hAnsi="仿宋" w:eastAsia="仿宋" w:cs="仿宋"/>
          <w:color w:val="000000"/>
          <w:sz w:val="24"/>
          <w:highlight w:val="none"/>
          <w:u w:val="single"/>
        </w:rPr>
        <w:t>见本须知前附表</w:t>
      </w:r>
      <w:r>
        <w:rPr>
          <w:rFonts w:hint="eastAsia" w:ascii="仿宋" w:hAnsi="仿宋" w:eastAsia="仿宋" w:cs="仿宋"/>
          <w:color w:val="000000"/>
          <w:sz w:val="24"/>
          <w:highlight w:val="none"/>
        </w:rPr>
        <w:t>。</w:t>
      </w:r>
    </w:p>
    <w:p w14:paraId="2B1C53FC">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21.</w:t>
      </w:r>
      <w:r>
        <w:rPr>
          <w:rFonts w:hint="eastAsia" w:ascii="仿宋" w:hAnsi="仿宋" w:eastAsia="仿宋" w:cs="宋体"/>
          <w:color w:val="000000"/>
          <w:kern w:val="0"/>
          <w:sz w:val="24"/>
          <w:highlight w:val="none"/>
          <w:lang w:val="en-US" w:eastAsia="zh-CN"/>
        </w:rPr>
        <w:t>2</w:t>
      </w:r>
      <w:r>
        <w:rPr>
          <w:rFonts w:hint="eastAsia" w:ascii="仿宋" w:hAnsi="仿宋" w:eastAsia="仿宋" w:cs="宋体"/>
          <w:color w:val="000000"/>
          <w:kern w:val="0"/>
          <w:sz w:val="24"/>
          <w:highlight w:val="none"/>
        </w:rPr>
        <w:t>成交人确定后，采购人应当向成交人发出成交通知书，同时将成交结果通知所有未成交的供应商。成交通知书对采购人和成交人</w:t>
      </w:r>
      <w:r>
        <w:rPr>
          <w:rFonts w:hint="eastAsia" w:ascii="仿宋" w:hAnsi="仿宋" w:eastAsia="仿宋" w:cs="宋体"/>
          <w:color w:val="000000"/>
          <w:kern w:val="0"/>
          <w:sz w:val="24"/>
          <w:highlight w:val="none"/>
          <w:lang w:val="en-US" w:eastAsia="zh-CN"/>
        </w:rPr>
        <w:t>均</w:t>
      </w:r>
      <w:r>
        <w:rPr>
          <w:rFonts w:hint="eastAsia" w:ascii="仿宋" w:hAnsi="仿宋" w:eastAsia="仿宋" w:cs="宋体"/>
          <w:color w:val="000000"/>
          <w:kern w:val="0"/>
          <w:sz w:val="24"/>
          <w:highlight w:val="none"/>
        </w:rPr>
        <w:t>具有法律效力。成交人收到成交通知书后放弃成交的，应当承担法律责任。</w:t>
      </w:r>
    </w:p>
    <w:p w14:paraId="4BC813D5">
      <w:pPr>
        <w:pStyle w:val="6"/>
        <w:spacing w:before="0" w:after="0" w:line="360" w:lineRule="auto"/>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2</w:t>
      </w:r>
      <w:r>
        <w:rPr>
          <w:rFonts w:ascii="仿宋" w:hAnsi="仿宋" w:eastAsia="仿宋" w:cs="仿宋"/>
          <w:color w:val="000000"/>
          <w:sz w:val="24"/>
          <w:szCs w:val="24"/>
          <w:highlight w:val="none"/>
        </w:rPr>
        <w:t>2.</w:t>
      </w:r>
      <w:r>
        <w:rPr>
          <w:rFonts w:hint="eastAsia" w:ascii="仿宋" w:hAnsi="仿宋" w:eastAsia="仿宋" w:cs="仿宋"/>
          <w:color w:val="000000"/>
          <w:sz w:val="24"/>
          <w:szCs w:val="24"/>
          <w:highlight w:val="none"/>
        </w:rPr>
        <w:t>签订合同</w:t>
      </w:r>
    </w:p>
    <w:p w14:paraId="39C14A2A">
      <w:pPr>
        <w:widowControl/>
        <w:topLinePunc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2</w:t>
      </w:r>
      <w:r>
        <w:rPr>
          <w:rFonts w:ascii="仿宋" w:hAnsi="仿宋" w:eastAsia="仿宋" w:cs="仿宋"/>
          <w:color w:val="000000"/>
          <w:sz w:val="24"/>
          <w:highlight w:val="none"/>
        </w:rPr>
        <w:t>2.1</w:t>
      </w:r>
      <w:r>
        <w:rPr>
          <w:rFonts w:hint="eastAsia" w:ascii="仿宋" w:hAnsi="仿宋" w:eastAsia="仿宋" w:cs="仿宋"/>
          <w:color w:val="000000"/>
          <w:sz w:val="24"/>
          <w:highlight w:val="none"/>
        </w:rPr>
        <w:t>采购人与成交人按照磋商文件和成交人的响应文件</w:t>
      </w:r>
      <w:r>
        <w:rPr>
          <w:rFonts w:hint="eastAsia" w:ascii="仿宋" w:hAnsi="仿宋" w:eastAsia="仿宋" w:cs="宋体"/>
          <w:color w:val="000000"/>
          <w:kern w:val="0"/>
          <w:sz w:val="24"/>
          <w:highlight w:val="none"/>
        </w:rPr>
        <w:t>订立书面合同。合同的标的、价款、质量、履行期限等主要条款应当与</w:t>
      </w:r>
      <w:r>
        <w:rPr>
          <w:rFonts w:hint="eastAsia" w:ascii="仿宋" w:hAnsi="仿宋" w:eastAsia="仿宋" w:cs="仿宋"/>
          <w:color w:val="000000"/>
          <w:sz w:val="24"/>
          <w:highlight w:val="none"/>
        </w:rPr>
        <w:t>磋商</w:t>
      </w:r>
      <w:r>
        <w:rPr>
          <w:rFonts w:hint="eastAsia" w:ascii="仿宋" w:hAnsi="仿宋" w:eastAsia="仿宋" w:cs="宋体"/>
          <w:color w:val="000000"/>
          <w:kern w:val="0"/>
          <w:sz w:val="24"/>
          <w:highlight w:val="none"/>
        </w:rPr>
        <w:t>文件和</w:t>
      </w:r>
      <w:r>
        <w:rPr>
          <w:rFonts w:hint="eastAsia" w:ascii="仿宋" w:hAnsi="仿宋" w:eastAsia="仿宋" w:cs="仿宋"/>
          <w:color w:val="000000"/>
          <w:sz w:val="24"/>
          <w:highlight w:val="none"/>
        </w:rPr>
        <w:t>成交</w:t>
      </w:r>
      <w:r>
        <w:rPr>
          <w:rFonts w:hint="eastAsia" w:ascii="仿宋" w:hAnsi="仿宋" w:eastAsia="仿宋" w:cs="宋体"/>
          <w:color w:val="000000"/>
          <w:kern w:val="0"/>
          <w:sz w:val="24"/>
          <w:highlight w:val="none"/>
        </w:rPr>
        <w:t>人的</w:t>
      </w:r>
      <w:r>
        <w:rPr>
          <w:rFonts w:hint="eastAsia" w:ascii="仿宋" w:hAnsi="仿宋" w:eastAsia="仿宋" w:cs="仿宋"/>
          <w:color w:val="000000"/>
          <w:sz w:val="24"/>
          <w:highlight w:val="none"/>
        </w:rPr>
        <w:t>响应</w:t>
      </w:r>
      <w:r>
        <w:rPr>
          <w:rFonts w:hint="eastAsia" w:ascii="仿宋" w:hAnsi="仿宋" w:eastAsia="仿宋" w:cs="宋体"/>
          <w:color w:val="000000"/>
          <w:kern w:val="0"/>
          <w:sz w:val="24"/>
          <w:highlight w:val="none"/>
        </w:rPr>
        <w:t>文件的内容一致。</w:t>
      </w:r>
    </w:p>
    <w:p w14:paraId="65983ADD">
      <w:pPr>
        <w:widowControl/>
        <w:topLinePunct/>
        <w:spacing w:line="360" w:lineRule="auto"/>
        <w:rPr>
          <w:rFonts w:hint="eastAsia" w:ascii="仿宋" w:hAnsi="仿宋" w:eastAsia="仿宋" w:cs="宋体"/>
          <w:color w:val="000000"/>
          <w:kern w:val="0"/>
          <w:sz w:val="24"/>
          <w:highlight w:val="none"/>
        </w:rPr>
      </w:pPr>
      <w:r>
        <w:rPr>
          <w:rFonts w:hint="eastAsia" w:ascii="仿宋" w:hAnsi="仿宋" w:eastAsia="仿宋" w:cs="仿宋"/>
          <w:color w:val="000000"/>
          <w:sz w:val="24"/>
          <w:highlight w:val="none"/>
        </w:rPr>
        <w:t>2</w:t>
      </w:r>
      <w:r>
        <w:rPr>
          <w:rFonts w:ascii="仿宋" w:hAnsi="仿宋" w:eastAsia="仿宋" w:cs="仿宋"/>
          <w:color w:val="000000"/>
          <w:sz w:val="24"/>
          <w:highlight w:val="none"/>
        </w:rPr>
        <w:t>2.2</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rPr>
        <w:t>成交人无正当理由不与采购人订立合同，在签订合同时向采购人提出附加条件，将取消其成交资格。给采购人造成损失的，成交人应当予以赔偿。</w:t>
      </w:r>
    </w:p>
    <w:p w14:paraId="208D26FE">
      <w:pPr>
        <w:widowControl/>
        <w:topLinePunct/>
        <w:spacing w:line="360" w:lineRule="auto"/>
        <w:rPr>
          <w:rFonts w:ascii="仿宋" w:hAnsi="仿宋" w:eastAsia="仿宋" w:cs="宋体"/>
          <w:color w:val="000000"/>
          <w:kern w:val="0"/>
          <w:sz w:val="24"/>
          <w:highlight w:val="none"/>
        </w:rPr>
      </w:pPr>
      <w:r>
        <w:rPr>
          <w:rFonts w:ascii="仿宋" w:hAnsi="仿宋" w:eastAsia="仿宋" w:cs="宋体"/>
          <w:color w:val="000000"/>
          <w:kern w:val="0"/>
          <w:sz w:val="24"/>
          <w:highlight w:val="none"/>
        </w:rPr>
        <w:t>22.3</w:t>
      </w:r>
      <w:r>
        <w:rPr>
          <w:rFonts w:hint="eastAsia" w:ascii="仿宋" w:hAnsi="仿宋" w:eastAsia="仿宋" w:cs="宋体"/>
          <w:color w:val="000000"/>
          <w:kern w:val="0"/>
          <w:sz w:val="24"/>
          <w:highlight w:val="none"/>
        </w:rPr>
        <w:t>磋商文件要求成交人提交履约保证金的，成交人应当按照</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要求的金额和方式递交。成交人如不按要求提交履约保证金，将取消其成交资格，磋商保证金不予退还。</w:t>
      </w:r>
    </w:p>
    <w:p w14:paraId="5DD63668">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22.4成交供应商</w:t>
      </w:r>
      <w:r>
        <w:rPr>
          <w:rFonts w:ascii="仿宋" w:hAnsi="仿宋" w:eastAsia="仿宋" w:cs="宋体"/>
          <w:color w:val="000000"/>
          <w:kern w:val="0"/>
          <w:sz w:val="24"/>
          <w:highlight w:val="none"/>
        </w:rPr>
        <w:t>不履行与</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人订立的合同的，</w:t>
      </w:r>
      <w:r>
        <w:rPr>
          <w:rFonts w:hint="eastAsia" w:ascii="仿宋" w:hAnsi="仿宋" w:eastAsia="仿宋" w:cs="宋体"/>
          <w:color w:val="000000"/>
          <w:kern w:val="0"/>
          <w:sz w:val="24"/>
          <w:highlight w:val="none"/>
        </w:rPr>
        <w:t>履约</w:t>
      </w:r>
      <w:r>
        <w:rPr>
          <w:rFonts w:ascii="仿宋" w:hAnsi="仿宋" w:eastAsia="仿宋" w:cs="宋体"/>
          <w:color w:val="000000"/>
          <w:kern w:val="0"/>
          <w:sz w:val="24"/>
          <w:highlight w:val="none"/>
        </w:rPr>
        <w:t>保证金不予退还，给</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人造成的损失超过履约保证金数额的，还应当对超过部分予以赔偿；没有提交履约保证金的，应当对</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人的损失承担赔偿责任。</w:t>
      </w:r>
    </w:p>
    <w:p w14:paraId="2F01375A">
      <w:pPr>
        <w:pStyle w:val="5"/>
        <w:spacing w:before="0" w:after="0" w:line="360" w:lineRule="auto"/>
        <w:ind w:firstLine="482"/>
        <w:jc w:val="both"/>
        <w:rPr>
          <w:rFonts w:hint="eastAsia" w:ascii="仿宋" w:hAnsi="仿宋" w:eastAsia="仿宋" w:cs="仿宋"/>
          <w:color w:val="000000"/>
          <w:sz w:val="24"/>
          <w:szCs w:val="24"/>
          <w:highlight w:val="none"/>
        </w:rPr>
      </w:pPr>
      <w:bookmarkStart w:id="116" w:name="_Toc6132"/>
      <w:bookmarkStart w:id="117" w:name="_Toc14533"/>
      <w:bookmarkStart w:id="118" w:name="_Toc234223235"/>
    </w:p>
    <w:p w14:paraId="0979F288">
      <w:pPr>
        <w:pStyle w:val="5"/>
        <w:spacing w:before="0" w:after="0" w:line="360" w:lineRule="auto"/>
        <w:ind w:firstLine="482"/>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（七）其他</w:t>
      </w:r>
      <w:bookmarkEnd w:id="116"/>
      <w:bookmarkEnd w:id="117"/>
    </w:p>
    <w:p w14:paraId="6DCF5A52">
      <w:pPr>
        <w:pStyle w:val="6"/>
        <w:spacing w:before="0" w:after="0" w:line="360" w:lineRule="auto"/>
        <w:jc w:val="left"/>
        <w:rPr>
          <w:rFonts w:hint="eastAsia" w:ascii="仿宋" w:hAnsi="仿宋" w:eastAsia="仿宋" w:cs="仿宋"/>
          <w:bCs w:val="0"/>
          <w:color w:val="000000"/>
          <w:sz w:val="24"/>
          <w:szCs w:val="24"/>
          <w:highlight w:val="none"/>
        </w:rPr>
      </w:pPr>
      <w:r>
        <w:rPr>
          <w:rFonts w:hint="eastAsia" w:ascii="仿宋" w:hAnsi="仿宋" w:eastAsia="仿宋" w:cs="仿宋"/>
          <w:bCs w:val="0"/>
          <w:color w:val="000000"/>
          <w:sz w:val="24"/>
          <w:szCs w:val="24"/>
          <w:highlight w:val="none"/>
        </w:rPr>
        <w:t>2</w:t>
      </w:r>
      <w:r>
        <w:rPr>
          <w:rFonts w:ascii="仿宋" w:hAnsi="仿宋" w:eastAsia="仿宋" w:cs="仿宋"/>
          <w:bCs w:val="0"/>
          <w:color w:val="000000"/>
          <w:sz w:val="24"/>
          <w:szCs w:val="24"/>
          <w:highlight w:val="none"/>
        </w:rPr>
        <w:t>3</w:t>
      </w:r>
      <w:r>
        <w:rPr>
          <w:rFonts w:hint="eastAsia" w:ascii="仿宋" w:hAnsi="仿宋" w:eastAsia="仿宋" w:cs="仿宋"/>
          <w:bCs w:val="0"/>
          <w:color w:val="000000"/>
          <w:sz w:val="24"/>
          <w:szCs w:val="24"/>
          <w:highlight w:val="none"/>
        </w:rPr>
        <w:t>.采购代理服务费</w:t>
      </w:r>
      <w:bookmarkEnd w:id="118"/>
    </w:p>
    <w:p w14:paraId="69FB723A">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14:paraId="37FA0F16">
      <w:pPr>
        <w:pStyle w:val="6"/>
        <w:spacing w:before="0" w:after="0" w:line="360" w:lineRule="auto"/>
        <w:jc w:val="left"/>
        <w:rPr>
          <w:rFonts w:hint="eastAsia" w:ascii="仿宋" w:hAnsi="仿宋" w:eastAsia="仿宋" w:cs="仿宋"/>
          <w:bCs w:val="0"/>
          <w:color w:val="000000"/>
          <w:sz w:val="24"/>
          <w:szCs w:val="24"/>
          <w:highlight w:val="none"/>
        </w:rPr>
      </w:pPr>
      <w:r>
        <w:rPr>
          <w:rFonts w:hint="eastAsia" w:ascii="仿宋" w:hAnsi="仿宋" w:eastAsia="仿宋" w:cs="仿宋"/>
          <w:bCs w:val="0"/>
          <w:color w:val="000000"/>
          <w:sz w:val="24"/>
          <w:szCs w:val="24"/>
          <w:highlight w:val="none"/>
        </w:rPr>
        <w:t>2</w:t>
      </w:r>
      <w:r>
        <w:rPr>
          <w:rFonts w:ascii="仿宋" w:hAnsi="仿宋" w:eastAsia="仿宋" w:cs="仿宋"/>
          <w:bCs w:val="0"/>
          <w:color w:val="000000"/>
          <w:sz w:val="24"/>
          <w:szCs w:val="24"/>
          <w:highlight w:val="none"/>
        </w:rPr>
        <w:t>4.</w:t>
      </w:r>
      <w:r>
        <w:rPr>
          <w:rFonts w:hint="eastAsia" w:ascii="仿宋" w:hAnsi="仿宋" w:eastAsia="仿宋" w:cs="仿宋"/>
          <w:bCs w:val="0"/>
          <w:color w:val="000000"/>
          <w:sz w:val="24"/>
          <w:szCs w:val="24"/>
          <w:highlight w:val="none"/>
        </w:rPr>
        <w:t>其他情况</w:t>
      </w:r>
    </w:p>
    <w:p w14:paraId="1A82943E">
      <w:pPr>
        <w:spacing w:line="360" w:lineRule="auto"/>
        <w:jc w:val="left"/>
        <w:rPr>
          <w:rFonts w:hint="eastAsia" w:ascii="仿宋" w:hAnsi="仿宋" w:eastAsia="仿宋" w:cs="仿宋"/>
          <w:color w:val="000000"/>
          <w:sz w:val="24"/>
          <w:highlight w:val="none"/>
        </w:rPr>
      </w:pPr>
      <w:r>
        <w:rPr>
          <w:rFonts w:hint="eastAsia" w:ascii="仿宋" w:hAnsi="仿宋" w:eastAsia="仿宋" w:cs="仿宋"/>
          <w:color w:val="000000"/>
          <w:sz w:val="24"/>
          <w:highlight w:val="none"/>
        </w:rPr>
        <w:t>详见</w:t>
      </w:r>
      <w:r>
        <w:rPr>
          <w:rFonts w:hint="eastAsia" w:ascii="仿宋" w:hAnsi="仿宋" w:eastAsia="仿宋" w:cs="仿宋"/>
          <w:color w:val="000000"/>
          <w:sz w:val="24"/>
          <w:highlight w:val="none"/>
          <w:u w:val="single"/>
        </w:rPr>
        <w:t>本须知前附表</w:t>
      </w:r>
      <w:r>
        <w:rPr>
          <w:rFonts w:hint="eastAsia" w:ascii="仿宋" w:hAnsi="仿宋" w:eastAsia="仿宋" w:cs="仿宋"/>
          <w:color w:val="000000"/>
          <w:sz w:val="24"/>
          <w:highlight w:val="none"/>
        </w:rPr>
        <w:t>。</w:t>
      </w:r>
    </w:p>
    <w:p w14:paraId="33FBEBD1">
      <w:pPr>
        <w:rPr>
          <w:color w:val="000000"/>
          <w:highlight w:val="none"/>
        </w:rPr>
        <w:sectPr>
          <w:footerReference r:id="rId10" w:type="default"/>
          <w:pgSz w:w="11906" w:h="16838"/>
          <w:pgMar w:top="1417" w:right="1134" w:bottom="1134" w:left="1134" w:header="851" w:footer="992" w:gutter="0"/>
          <w:cols w:space="720" w:num="1"/>
          <w:docGrid w:type="lines" w:linePitch="312" w:charSpace="0"/>
        </w:sectPr>
      </w:pPr>
    </w:p>
    <w:p w14:paraId="110D2EF7">
      <w:pPr>
        <w:pStyle w:val="3"/>
        <w:spacing w:before="0" w:after="0" w:line="360" w:lineRule="auto"/>
        <w:jc w:val="center"/>
        <w:rPr>
          <w:rFonts w:hint="eastAsia" w:ascii="仿宋" w:hAnsi="仿宋" w:eastAsia="仿宋" w:cs="仿宋"/>
          <w:color w:val="000000"/>
          <w:sz w:val="28"/>
          <w:szCs w:val="28"/>
          <w:highlight w:val="none"/>
        </w:rPr>
      </w:pPr>
      <w:bookmarkStart w:id="119" w:name="_Toc10670"/>
      <w:bookmarkStart w:id="120" w:name="_Toc444891343"/>
      <w:bookmarkStart w:id="121" w:name="_Toc517281824"/>
      <w:r>
        <w:rPr>
          <w:rFonts w:hint="eastAsia" w:ascii="仿宋" w:hAnsi="仿宋" w:eastAsia="仿宋" w:cs="仿宋"/>
          <w:color w:val="000000"/>
          <w:sz w:val="28"/>
          <w:szCs w:val="28"/>
          <w:highlight w:val="none"/>
        </w:rPr>
        <w:t>第三章 评审办法</w:t>
      </w:r>
      <w:bookmarkEnd w:id="119"/>
    </w:p>
    <w:p w14:paraId="76F2AA9D">
      <w:pPr>
        <w:pStyle w:val="4"/>
        <w:ind w:firstLine="0" w:firstLineChars="0"/>
        <w:jc w:val="left"/>
        <w:rPr>
          <w:rFonts w:hint="eastAsia" w:ascii="仿宋" w:hAnsi="仿宋" w:eastAsia="仿宋" w:cs="仿宋"/>
          <w:color w:val="000000"/>
          <w:sz w:val="24"/>
          <w:szCs w:val="24"/>
          <w:highlight w:val="none"/>
        </w:rPr>
      </w:pPr>
      <w:bookmarkStart w:id="122" w:name="_Toc517281825"/>
      <w:bookmarkStart w:id="123" w:name="_Toc7201"/>
      <w:bookmarkStart w:id="124" w:name="_Toc444891344"/>
      <w:bookmarkStart w:id="125" w:name="_Toc227057964"/>
      <w:bookmarkStart w:id="126" w:name="_Toc226969358"/>
      <w:r>
        <w:rPr>
          <w:rFonts w:hint="eastAsia" w:ascii="仿宋" w:hAnsi="仿宋" w:eastAsia="仿宋" w:cs="仿宋"/>
          <w:color w:val="000000"/>
          <w:sz w:val="24"/>
          <w:szCs w:val="24"/>
          <w:highlight w:val="none"/>
        </w:rPr>
        <w:t>一、评审程序</w:t>
      </w:r>
      <w:bookmarkEnd w:id="122"/>
      <w:bookmarkEnd w:id="123"/>
      <w:bookmarkEnd w:id="124"/>
    </w:p>
    <w:p w14:paraId="04272402">
      <w:pPr>
        <w:spacing w:line="360" w:lineRule="auto"/>
        <w:ind w:firstLine="480" w:firstLineChars="200"/>
        <w:jc w:val="left"/>
        <w:rPr>
          <w:rFonts w:hint="eastAsia" w:ascii="仿宋" w:hAnsi="仿宋" w:eastAsia="仿宋" w:cs="仿宋"/>
          <w:color w:val="000000"/>
          <w:kern w:val="0"/>
          <w:sz w:val="24"/>
          <w:highlight w:val="none"/>
        </w:rPr>
      </w:pPr>
      <w:r>
        <w:rPr>
          <w:rFonts w:hint="eastAsia" w:ascii="仿宋" w:hAnsi="仿宋" w:eastAsia="仿宋" w:cs="仿宋"/>
          <w:color w:val="000000"/>
          <w:sz w:val="24"/>
          <w:highlight w:val="none"/>
        </w:rPr>
        <w:t>磋商小组</w:t>
      </w:r>
      <w:r>
        <w:rPr>
          <w:rFonts w:hint="eastAsia" w:ascii="仿宋" w:hAnsi="仿宋" w:eastAsia="仿宋" w:cs="仿宋"/>
          <w:color w:val="000000"/>
          <w:kern w:val="0"/>
          <w:sz w:val="24"/>
          <w:highlight w:val="none"/>
        </w:rPr>
        <w:t>对响应文件中的相关内容进行评审。评审按照以下程序进行：</w:t>
      </w:r>
    </w:p>
    <w:p w14:paraId="51751F79">
      <w:pPr>
        <w:spacing w:line="360" w:lineRule="auto"/>
        <w:ind w:firstLine="420" w:firstLineChars="175"/>
        <w:jc w:val="left"/>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1.</w:t>
      </w:r>
      <w:r>
        <w:rPr>
          <w:rFonts w:hint="eastAsia" w:ascii="仿宋" w:hAnsi="仿宋" w:eastAsia="仿宋" w:cs="仿宋"/>
          <w:color w:val="000000"/>
          <w:kern w:val="0"/>
          <w:sz w:val="24"/>
          <w:highlight w:val="none"/>
        </w:rPr>
        <w:t>熟悉磋商文件；</w:t>
      </w:r>
    </w:p>
    <w:p w14:paraId="6EE68840">
      <w:pPr>
        <w:spacing w:line="360" w:lineRule="auto"/>
        <w:ind w:firstLine="420" w:firstLineChars="175"/>
        <w:jc w:val="left"/>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2.</w:t>
      </w:r>
      <w:r>
        <w:rPr>
          <w:rFonts w:hint="eastAsia" w:ascii="仿宋" w:hAnsi="仿宋" w:eastAsia="仿宋" w:cs="仿宋"/>
          <w:color w:val="000000"/>
          <w:kern w:val="0"/>
          <w:sz w:val="24"/>
          <w:highlight w:val="none"/>
        </w:rPr>
        <w:t>对响应文件进行初步评审，检查响应文件是否满足磋商文件的初审要求；初步评审中不符合评审标准的，将做否决磋商响应处理；</w:t>
      </w:r>
    </w:p>
    <w:p w14:paraId="028E18D6">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3.</w:t>
      </w:r>
      <w:r>
        <w:rPr>
          <w:rFonts w:hint="eastAsia" w:ascii="仿宋" w:hAnsi="仿宋" w:eastAsia="仿宋" w:cs="仿宋"/>
          <w:color w:val="000000"/>
          <w:kern w:val="0"/>
          <w:sz w:val="24"/>
          <w:highlight w:val="none"/>
        </w:rPr>
        <w:t>供应商有以下情形之一的，磋商小组应当否决其磋商响应：</w:t>
      </w:r>
    </w:p>
    <w:p w14:paraId="6DFCCE96">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（1）按照</w:t>
      </w:r>
      <w:r>
        <w:rPr>
          <w:rFonts w:hint="eastAsia" w:ascii="仿宋" w:hAnsi="仿宋" w:eastAsia="仿宋" w:cs="仿宋"/>
          <w:kern w:val="0"/>
          <w:sz w:val="24"/>
          <w:highlight w:val="none"/>
          <w:lang w:val="en-US" w:eastAsia="zh-CN"/>
        </w:rPr>
        <w:t>磋商</w:t>
      </w:r>
      <w:r>
        <w:rPr>
          <w:rFonts w:hint="eastAsia" w:ascii="仿宋" w:hAnsi="仿宋" w:eastAsia="仿宋" w:cs="仿宋"/>
          <w:kern w:val="0"/>
          <w:sz w:val="24"/>
          <w:highlight w:val="none"/>
        </w:rPr>
        <w:t>公告要求已经递交电子</w:t>
      </w:r>
      <w:r>
        <w:rPr>
          <w:rFonts w:hint="eastAsia" w:ascii="仿宋" w:hAnsi="仿宋" w:eastAsia="仿宋" w:cs="仿宋"/>
          <w:kern w:val="0"/>
          <w:sz w:val="24"/>
          <w:highlight w:val="none"/>
          <w:lang w:val="en-US" w:eastAsia="zh-CN"/>
        </w:rPr>
        <w:t>响应</w:t>
      </w:r>
      <w:r>
        <w:rPr>
          <w:rFonts w:hint="eastAsia" w:ascii="仿宋" w:hAnsi="仿宋" w:eastAsia="仿宋" w:cs="仿宋"/>
          <w:kern w:val="0"/>
          <w:sz w:val="24"/>
          <w:highlight w:val="none"/>
        </w:rPr>
        <w:t>文件，</w:t>
      </w:r>
      <w:r>
        <w:rPr>
          <w:rFonts w:hint="eastAsia" w:ascii="仿宋" w:hAnsi="仿宋" w:eastAsia="仿宋" w:cs="仿宋"/>
          <w:kern w:val="0"/>
          <w:sz w:val="24"/>
          <w:highlight w:val="none"/>
          <w:lang w:val="en-US" w:eastAsia="zh-CN"/>
        </w:rPr>
        <w:t>但</w:t>
      </w:r>
      <w:r>
        <w:rPr>
          <w:rFonts w:hint="eastAsia" w:ascii="仿宋" w:hAnsi="仿宋" w:eastAsia="仿宋" w:cs="仿宋"/>
          <w:kern w:val="0"/>
          <w:sz w:val="24"/>
          <w:highlight w:val="none"/>
        </w:rPr>
        <w:t>未按要求递交纸质响应文件；</w:t>
      </w:r>
    </w:p>
    <w:p w14:paraId="11C6636E">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（2）响应文件未经供应商盖章和单位负责人签字；</w:t>
      </w:r>
    </w:p>
    <w:p w14:paraId="48D0C8FC">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（3）允许联合体响应的，联合体没有递交共同响应协议；</w:t>
      </w:r>
    </w:p>
    <w:p w14:paraId="35F6349A">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（4）不符合国家或者磋商文件规定的资格条件；</w:t>
      </w:r>
    </w:p>
    <w:p w14:paraId="0F43B4E8">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（5）同一供应商提交两个以上不同的响应文件或者响应报价，但磋商文件要求提交备选文件的除外；</w:t>
      </w:r>
    </w:p>
    <w:p w14:paraId="5AE8E50B">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lang w:eastAsia="zh-CN"/>
        </w:rPr>
        <w:t>）</w:t>
      </w:r>
      <w:r>
        <w:rPr>
          <w:rFonts w:hint="eastAsia" w:ascii="仿宋" w:hAnsi="仿宋" w:eastAsia="仿宋" w:cs="宋体"/>
          <w:color w:val="000000"/>
          <w:kern w:val="0"/>
          <w:sz w:val="24"/>
          <w:szCs w:val="24"/>
          <w:highlight w:val="none"/>
          <w:lang w:val="en-US" w:eastAsia="zh-CN"/>
        </w:rPr>
        <w:t>最终</w:t>
      </w:r>
      <w:r>
        <w:rPr>
          <w:rFonts w:hint="eastAsia" w:ascii="仿宋" w:hAnsi="仿宋" w:eastAsia="仿宋" w:cs="宋体"/>
          <w:color w:val="000000"/>
          <w:kern w:val="0"/>
          <w:sz w:val="24"/>
          <w:szCs w:val="24"/>
          <w:highlight w:val="none"/>
        </w:rPr>
        <w:t>报价低于成本或者高于</w:t>
      </w:r>
      <w:r>
        <w:rPr>
          <w:rFonts w:hint="eastAsia" w:ascii="仿宋" w:hAnsi="仿宋" w:eastAsia="仿宋" w:cs="宋体"/>
          <w:color w:val="000000"/>
          <w:kern w:val="0"/>
          <w:sz w:val="24"/>
          <w:szCs w:val="24"/>
          <w:highlight w:val="none"/>
          <w:lang w:val="en-US" w:eastAsia="zh-CN"/>
        </w:rPr>
        <w:t>磋商</w:t>
      </w:r>
      <w:r>
        <w:rPr>
          <w:rFonts w:hint="eastAsia" w:ascii="仿宋" w:hAnsi="仿宋" w:eastAsia="仿宋" w:cs="宋体"/>
          <w:color w:val="000000"/>
          <w:kern w:val="0"/>
          <w:sz w:val="24"/>
          <w:szCs w:val="24"/>
          <w:highlight w:val="none"/>
        </w:rPr>
        <w:t>文件设定的最高投标限价；</w:t>
      </w:r>
    </w:p>
    <w:p w14:paraId="50DB9E17">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文件未对</w:t>
      </w:r>
      <w:r>
        <w:rPr>
          <w:rFonts w:hint="eastAsia" w:ascii="仿宋" w:hAnsi="仿宋" w:eastAsia="仿宋" w:cs="宋体"/>
          <w:color w:val="000000"/>
          <w:kern w:val="0"/>
          <w:sz w:val="24"/>
          <w:szCs w:val="24"/>
          <w:highlight w:val="none"/>
          <w:lang w:val="en-US" w:eastAsia="zh-CN"/>
        </w:rPr>
        <w:t>磋商</w:t>
      </w:r>
      <w:r>
        <w:rPr>
          <w:rFonts w:hint="eastAsia" w:ascii="仿宋" w:hAnsi="仿宋" w:eastAsia="仿宋" w:cs="宋体"/>
          <w:color w:val="000000"/>
          <w:kern w:val="0"/>
          <w:sz w:val="24"/>
          <w:szCs w:val="24"/>
          <w:highlight w:val="none"/>
        </w:rPr>
        <w:t xml:space="preserve">文件的实质性要求和条件作出响应； </w:t>
      </w:r>
    </w:p>
    <w:p w14:paraId="72652513">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（8）</w:t>
      </w:r>
      <w:r>
        <w:rPr>
          <w:rFonts w:hint="eastAsia" w:ascii="仿宋" w:hAnsi="仿宋" w:eastAsia="仿宋" w:cs="宋体"/>
          <w:color w:val="000000"/>
          <w:kern w:val="0"/>
          <w:sz w:val="24"/>
          <w:szCs w:val="24"/>
          <w:highlight w:val="none"/>
          <w:lang w:val="en-US" w:eastAsia="zh-CN"/>
        </w:rPr>
        <w:t>供应商</w:t>
      </w:r>
      <w:r>
        <w:rPr>
          <w:rFonts w:hint="eastAsia" w:ascii="仿宋" w:hAnsi="仿宋" w:eastAsia="仿宋" w:cs="宋体"/>
          <w:color w:val="000000"/>
          <w:kern w:val="0"/>
          <w:sz w:val="24"/>
          <w:szCs w:val="24"/>
          <w:highlight w:val="none"/>
        </w:rPr>
        <w:t>有串通投标、弄虚作假、行贿等违法行为；</w:t>
      </w:r>
    </w:p>
    <w:p w14:paraId="62566F53">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（9）不接受或不确认因算术性错误进行的价格修正；</w:t>
      </w:r>
    </w:p>
    <w:p w14:paraId="566B208B">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（10）</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文件附有</w:t>
      </w:r>
      <w:r>
        <w:rPr>
          <w:rFonts w:hint="eastAsia" w:ascii="仿宋" w:hAnsi="仿宋" w:eastAsia="仿宋" w:cs="宋体"/>
          <w:color w:val="000000"/>
          <w:kern w:val="0"/>
          <w:sz w:val="24"/>
          <w:szCs w:val="24"/>
          <w:highlight w:val="none"/>
          <w:lang w:val="en-US" w:eastAsia="zh-CN"/>
        </w:rPr>
        <w:t>采购</w:t>
      </w:r>
      <w:r>
        <w:rPr>
          <w:rFonts w:hint="eastAsia" w:ascii="仿宋" w:hAnsi="仿宋" w:eastAsia="仿宋" w:cs="宋体"/>
          <w:color w:val="000000"/>
          <w:kern w:val="0"/>
          <w:sz w:val="24"/>
          <w:szCs w:val="24"/>
          <w:highlight w:val="none"/>
        </w:rPr>
        <w:t>人不能接受的条件；</w:t>
      </w:r>
    </w:p>
    <w:p w14:paraId="07388500">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（11）不符合</w:t>
      </w:r>
      <w:r>
        <w:rPr>
          <w:rFonts w:hint="eastAsia" w:ascii="仿宋" w:hAnsi="仿宋" w:eastAsia="仿宋" w:cs="宋体"/>
          <w:color w:val="000000"/>
          <w:kern w:val="0"/>
          <w:sz w:val="24"/>
          <w:szCs w:val="24"/>
          <w:highlight w:val="none"/>
          <w:lang w:val="en-US" w:eastAsia="zh-CN"/>
        </w:rPr>
        <w:t>磋商</w:t>
      </w:r>
      <w:r>
        <w:rPr>
          <w:rFonts w:hint="eastAsia" w:ascii="仿宋" w:hAnsi="仿宋" w:eastAsia="仿宋" w:cs="宋体"/>
          <w:color w:val="000000"/>
          <w:kern w:val="0"/>
          <w:sz w:val="24"/>
          <w:szCs w:val="24"/>
          <w:highlight w:val="none"/>
        </w:rPr>
        <w:t>文件中规定的其他实质性要求。</w:t>
      </w:r>
    </w:p>
    <w:p w14:paraId="0F1E1A2E">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color w:val="000000"/>
          <w:kern w:val="0"/>
          <w:sz w:val="24"/>
          <w:highlight w:val="none"/>
          <w:lang w:val="en-US" w:eastAsia="zh-CN"/>
        </w:rPr>
        <w:t>4.初步评审</w:t>
      </w:r>
      <w:r>
        <w:rPr>
          <w:rFonts w:hint="eastAsia" w:ascii="仿宋" w:hAnsi="仿宋" w:eastAsia="仿宋" w:cs="仿宋"/>
          <w:color w:val="000000"/>
          <w:kern w:val="0"/>
          <w:sz w:val="24"/>
          <w:highlight w:val="none"/>
          <w:lang w:val="zh-CN" w:eastAsia="zh-CN"/>
        </w:rPr>
        <w:t>内容允许在磋商过程中按磋商小组规定的时间内补充，若未在规定时间内补充则将导致响应无效。</w:t>
      </w:r>
    </w:p>
    <w:p w14:paraId="79BD80F0">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lang w:val="en-US" w:eastAsia="zh-CN"/>
        </w:rPr>
        <w:t>5.</w:t>
      </w:r>
      <w:r>
        <w:rPr>
          <w:rFonts w:hint="eastAsia" w:ascii="仿宋" w:hAnsi="仿宋" w:eastAsia="仿宋" w:cs="仿宋"/>
          <w:kern w:val="0"/>
          <w:sz w:val="24"/>
          <w:highlight w:val="none"/>
        </w:rPr>
        <w:t>通过初步评审的供应商分别进行磋商；</w:t>
      </w:r>
    </w:p>
    <w:p w14:paraId="51DF68E7">
      <w:pPr>
        <w:spacing w:line="360" w:lineRule="auto"/>
        <w:ind w:firstLine="420" w:firstLineChars="175"/>
        <w:jc w:val="left"/>
        <w:rPr>
          <w:rFonts w:ascii="仿宋" w:hAnsi="仿宋" w:eastAsia="仿宋" w:cs="仿宋"/>
          <w:kern w:val="0"/>
          <w:sz w:val="24"/>
          <w:highlight w:val="none"/>
        </w:rPr>
      </w:pP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rPr>
        <w:t>通过初步评审的供应商进行最终报价；</w:t>
      </w:r>
    </w:p>
    <w:p w14:paraId="6F3A47B5">
      <w:pPr>
        <w:spacing w:line="360" w:lineRule="auto"/>
        <w:ind w:firstLine="420" w:firstLineChars="175"/>
        <w:jc w:val="left"/>
        <w:rPr>
          <w:rFonts w:ascii="仿宋" w:hAnsi="仿宋" w:eastAsia="仿宋" w:cs="仿宋"/>
          <w:kern w:val="0"/>
          <w:sz w:val="24"/>
          <w:highlight w:val="none"/>
        </w:rPr>
      </w:pPr>
      <w:r>
        <w:rPr>
          <w:rFonts w:hint="eastAsia" w:ascii="仿宋" w:hAnsi="仿宋" w:eastAsia="仿宋" w:cs="仿宋"/>
          <w:kern w:val="0"/>
          <w:sz w:val="24"/>
          <w:highlight w:val="none"/>
          <w:lang w:val="en-US" w:eastAsia="zh-CN"/>
        </w:rPr>
        <w:t>7.</w:t>
      </w:r>
      <w:r>
        <w:rPr>
          <w:rFonts w:hint="eastAsia" w:ascii="仿宋" w:hAnsi="仿宋" w:eastAsia="仿宋" w:cs="仿宋"/>
          <w:kern w:val="0"/>
          <w:sz w:val="24"/>
          <w:highlight w:val="none"/>
        </w:rPr>
        <w:t>通过初步评审的响应文件进行详细评审及打分；</w:t>
      </w:r>
    </w:p>
    <w:p w14:paraId="15538A59">
      <w:pPr>
        <w:spacing w:line="360" w:lineRule="auto"/>
        <w:ind w:firstLine="420" w:firstLineChars="175"/>
        <w:jc w:val="left"/>
        <w:rPr>
          <w:rFonts w:hint="eastAsia" w:ascii="仿宋" w:hAnsi="仿宋" w:eastAsia="仿宋" w:cs="仿宋"/>
          <w:color w:val="000000"/>
          <w:kern w:val="0"/>
          <w:sz w:val="24"/>
          <w:highlight w:val="none"/>
        </w:rPr>
      </w:pPr>
      <w:r>
        <w:rPr>
          <w:rFonts w:hint="eastAsia" w:ascii="仿宋" w:hAnsi="仿宋" w:eastAsia="仿宋" w:cs="仿宋"/>
          <w:kern w:val="0"/>
          <w:sz w:val="24"/>
          <w:highlight w:val="none"/>
          <w:lang w:val="en-US" w:eastAsia="zh-CN"/>
        </w:rPr>
        <w:t>8.</w:t>
      </w:r>
      <w:r>
        <w:rPr>
          <w:rFonts w:hint="eastAsia" w:ascii="仿宋" w:hAnsi="仿宋" w:eastAsia="仿宋" w:cs="仿宋"/>
          <w:kern w:val="0"/>
          <w:sz w:val="24"/>
          <w:highlight w:val="none"/>
        </w:rPr>
        <w:t>按照综合评分由高到低的次序推荐成交候选人，提交评审报告，评审报告应</w:t>
      </w:r>
      <w:r>
        <w:rPr>
          <w:rFonts w:hint="eastAsia" w:ascii="仿宋" w:hAnsi="仿宋" w:eastAsia="仿宋" w:cs="仿宋"/>
          <w:color w:val="000000"/>
          <w:kern w:val="0"/>
          <w:sz w:val="24"/>
          <w:highlight w:val="none"/>
        </w:rPr>
        <w:t>包含评审情况说明、排名次序、推荐成交候选人名单及其他说明事项。</w:t>
      </w:r>
    </w:p>
    <w:p w14:paraId="64047A51">
      <w:pPr>
        <w:pStyle w:val="4"/>
        <w:ind w:firstLine="0" w:firstLineChars="0"/>
        <w:jc w:val="left"/>
        <w:rPr>
          <w:rFonts w:hint="eastAsia" w:ascii="仿宋" w:hAnsi="仿宋" w:eastAsia="仿宋" w:cs="仿宋"/>
          <w:color w:val="000000"/>
          <w:sz w:val="24"/>
          <w:szCs w:val="24"/>
          <w:highlight w:val="none"/>
        </w:rPr>
      </w:pPr>
      <w:bookmarkStart w:id="127" w:name="_Toc444891345"/>
      <w:bookmarkStart w:id="128" w:name="_Toc517281826"/>
      <w:r>
        <w:rPr>
          <w:rFonts w:hint="eastAsia" w:ascii="仿宋" w:hAnsi="仿宋" w:eastAsia="仿宋" w:cs="仿宋"/>
          <w:color w:val="000000"/>
          <w:sz w:val="24"/>
          <w:szCs w:val="24"/>
          <w:highlight w:val="none"/>
        </w:rPr>
        <w:br w:type="page"/>
      </w:r>
      <w:bookmarkStart w:id="129" w:name="_Toc32019"/>
      <w:r>
        <w:rPr>
          <w:rFonts w:hint="eastAsia" w:ascii="仿宋" w:hAnsi="仿宋" w:eastAsia="仿宋" w:cs="仿宋"/>
          <w:color w:val="000000"/>
          <w:sz w:val="24"/>
          <w:szCs w:val="24"/>
          <w:highlight w:val="none"/>
        </w:rPr>
        <w:t>二、初步评审</w:t>
      </w:r>
      <w:bookmarkEnd w:id="127"/>
      <w:bookmarkEnd w:id="128"/>
      <w:bookmarkEnd w:id="129"/>
    </w:p>
    <w:bookmarkEnd w:id="125"/>
    <w:bookmarkEnd w:id="126"/>
    <w:tbl>
      <w:tblPr>
        <w:tblStyle w:val="40"/>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66"/>
        <w:gridCol w:w="1167"/>
        <w:gridCol w:w="1952"/>
        <w:gridCol w:w="6069"/>
      </w:tblGrid>
      <w:tr w14:paraId="2D73CF5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noWrap w:val="0"/>
            <w:vAlign w:val="center"/>
          </w:tcPr>
          <w:p w14:paraId="76309848">
            <w:pPr>
              <w:widowControl/>
              <w:spacing w:line="360" w:lineRule="auto"/>
              <w:jc w:val="center"/>
              <w:rPr>
                <w:rFonts w:hint="eastAsia" w:ascii="仿宋" w:hAnsi="仿宋" w:eastAsia="仿宋" w:cs="仿宋"/>
                <w:b/>
                <w:color w:val="000000"/>
                <w:kern w:val="0"/>
                <w:szCs w:val="21"/>
                <w:highlight w:val="none"/>
              </w:rPr>
            </w:pPr>
            <w:bookmarkStart w:id="130" w:name="_Toc517281827"/>
            <w:bookmarkStart w:id="131" w:name="_Toc4633"/>
            <w:bookmarkStart w:id="132" w:name="_Toc13468"/>
            <w:bookmarkStart w:id="133" w:name="_Toc426620345"/>
            <w:bookmarkStart w:id="134" w:name="_Toc444891346"/>
            <w:bookmarkStart w:id="135" w:name="_Toc9003"/>
            <w:r>
              <w:rPr>
                <w:rFonts w:hint="eastAsia" w:ascii="仿宋" w:hAnsi="仿宋" w:eastAsia="仿宋" w:cs="仿宋"/>
                <w:b/>
                <w:color w:val="000000"/>
                <w:kern w:val="0"/>
                <w:szCs w:val="21"/>
                <w:highlight w:val="none"/>
              </w:rPr>
              <w:t>序号</w:t>
            </w:r>
          </w:p>
        </w:tc>
        <w:tc>
          <w:tcPr>
            <w:tcW w:w="592" w:type="pct"/>
            <w:noWrap w:val="0"/>
            <w:vAlign w:val="top"/>
          </w:tcPr>
          <w:p w14:paraId="5DD677AF">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评审环节</w:t>
            </w:r>
          </w:p>
        </w:tc>
        <w:tc>
          <w:tcPr>
            <w:tcW w:w="990" w:type="pct"/>
            <w:noWrap w:val="0"/>
            <w:vAlign w:val="center"/>
          </w:tcPr>
          <w:p w14:paraId="2FE31CEB">
            <w:pPr>
              <w:widowControl/>
              <w:spacing w:before="24" w:after="24"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评审因素</w:t>
            </w:r>
          </w:p>
        </w:tc>
        <w:tc>
          <w:tcPr>
            <w:tcW w:w="3078" w:type="pct"/>
            <w:noWrap w:val="0"/>
            <w:vAlign w:val="center"/>
          </w:tcPr>
          <w:p w14:paraId="2C1DD6C4">
            <w:pPr>
              <w:widowControl/>
              <w:spacing w:line="360" w:lineRule="auto"/>
              <w:jc w:val="center"/>
              <w:rPr>
                <w:rFonts w:hint="eastAsia" w:ascii="仿宋" w:hAnsi="仿宋" w:eastAsia="仿宋" w:cs="仿宋"/>
                <w:b/>
                <w:color w:val="000000"/>
                <w:kern w:val="0"/>
                <w:szCs w:val="21"/>
                <w:highlight w:val="none"/>
              </w:rPr>
            </w:pPr>
            <w:r>
              <w:rPr>
                <w:rFonts w:hint="eastAsia" w:ascii="仿宋" w:hAnsi="仿宋" w:eastAsia="仿宋" w:cs="仿宋"/>
                <w:b/>
                <w:color w:val="000000"/>
                <w:kern w:val="0"/>
                <w:szCs w:val="21"/>
                <w:highlight w:val="none"/>
              </w:rPr>
              <w:t>评审标准</w:t>
            </w:r>
          </w:p>
        </w:tc>
      </w:tr>
      <w:tr w14:paraId="2A70BB6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noWrap w:val="0"/>
            <w:vAlign w:val="center"/>
          </w:tcPr>
          <w:p w14:paraId="1F5C7D61">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592" w:type="pct"/>
            <w:vMerge w:val="restart"/>
            <w:noWrap w:val="0"/>
            <w:vAlign w:val="center"/>
          </w:tcPr>
          <w:p w14:paraId="68053164">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990" w:type="pct"/>
            <w:noWrap w:val="0"/>
            <w:vAlign w:val="center"/>
          </w:tcPr>
          <w:p w14:paraId="49696DC4">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供应商名称</w:t>
            </w:r>
          </w:p>
        </w:tc>
        <w:tc>
          <w:tcPr>
            <w:tcW w:w="3078" w:type="pct"/>
            <w:noWrap w:val="0"/>
            <w:vAlign w:val="center"/>
          </w:tcPr>
          <w:p w14:paraId="0259D076">
            <w:pPr>
              <w:spacing w:before="24" w:after="24" w:line="276" w:lineRule="auto"/>
              <w:jc w:val="left"/>
              <w:rPr>
                <w:rFonts w:hint="eastAsia" w:ascii="仿宋" w:hAnsi="仿宋" w:eastAsia="仿宋" w:cs="仿宋"/>
                <w:color w:val="000000"/>
                <w:kern w:val="0"/>
                <w:szCs w:val="21"/>
                <w:highlight w:val="none"/>
              </w:rPr>
            </w:pPr>
            <w:r>
              <w:rPr>
                <w:rFonts w:hint="eastAsia" w:ascii="仿宋" w:hAnsi="仿宋" w:eastAsia="仿宋" w:cs="Cambria Math"/>
                <w:color w:val="000000"/>
                <w:szCs w:val="21"/>
                <w:highlight w:val="none"/>
              </w:rPr>
              <w:t>与企业营业执照、单位公章等保持一致。</w:t>
            </w:r>
          </w:p>
        </w:tc>
      </w:tr>
      <w:tr w14:paraId="0AB0E80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7AE96E19">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328799DF">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2AC477B6">
            <w:pPr>
              <w:spacing w:before="24" w:after="24" w:line="276" w:lineRule="auto"/>
              <w:jc w:val="center"/>
              <w:rPr>
                <w:rFonts w:hint="eastAsia" w:ascii="仿宋" w:hAnsi="仿宋" w:eastAsia="仿宋" w:cs="仿宋"/>
                <w:color w:val="000000"/>
                <w:spacing w:val="-4"/>
                <w:kern w:val="0"/>
                <w:szCs w:val="21"/>
                <w:highlight w:val="none"/>
              </w:rPr>
            </w:pPr>
            <w:r>
              <w:rPr>
                <w:rFonts w:hint="eastAsia" w:ascii="仿宋" w:hAnsi="仿宋" w:eastAsia="仿宋" w:cs="仿宋"/>
                <w:color w:val="000000"/>
                <w:szCs w:val="21"/>
                <w:highlight w:val="none"/>
              </w:rPr>
              <w:t>法定代表人（负责人）身份证明</w:t>
            </w:r>
          </w:p>
        </w:tc>
        <w:tc>
          <w:tcPr>
            <w:tcW w:w="3078" w:type="pct"/>
            <w:noWrap w:val="0"/>
            <w:vAlign w:val="center"/>
          </w:tcPr>
          <w:p w14:paraId="34B0D0D4">
            <w:pPr>
              <w:pStyle w:val="174"/>
              <w:topLinePunct/>
              <w:jc w:val="left"/>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1、提供法定代表人（负责人）身份证复印件。</w:t>
            </w:r>
          </w:p>
          <w:p w14:paraId="0C9DC7F2">
            <w:pPr>
              <w:pStyle w:val="137"/>
              <w:tabs>
                <w:tab w:val="left" w:pos="630"/>
              </w:tabs>
              <w:topLinePunct/>
              <w:spacing w:before="62" w:beforeLines="20" w:after="62" w:afterLines="20"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2"/>
                <w:highlight w:val="none"/>
              </w:rPr>
              <w:t>2、落款加盖公章。</w:t>
            </w:r>
          </w:p>
        </w:tc>
      </w:tr>
      <w:tr w14:paraId="7E7377C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2924A662">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005BCD53">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597C5E92">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3078" w:type="pct"/>
            <w:noWrap w:val="0"/>
            <w:vAlign w:val="center"/>
          </w:tcPr>
          <w:p w14:paraId="36EA06DA">
            <w:pPr>
              <w:pStyle w:val="174"/>
              <w:topLinePunc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1、提供委托代理人身份证复印件。</w:t>
            </w:r>
          </w:p>
          <w:p w14:paraId="1ADDF835">
            <w:pPr>
              <w:pStyle w:val="174"/>
              <w:topLinePunct/>
              <w:spacing w:line="276" w:lineRule="auto"/>
              <w:rPr>
                <w:rFonts w:hint="eastAsia" w:ascii="仿宋" w:hAnsi="仿宋" w:eastAsia="仿宋" w:cs="Cambria Math"/>
                <w:color w:val="000000"/>
                <w:sz w:val="21"/>
                <w:szCs w:val="21"/>
                <w:highlight w:val="none"/>
              </w:rPr>
            </w:pPr>
            <w:r>
              <w:rPr>
                <w:rFonts w:hint="eastAsia" w:ascii="仿宋" w:hAnsi="仿宋" w:eastAsia="仿宋" w:cs="仿宋"/>
                <w:color w:val="000000"/>
                <w:sz w:val="22"/>
                <w:highlight w:val="none"/>
              </w:rPr>
              <w:t>2、落款</w:t>
            </w:r>
            <w:r>
              <w:rPr>
                <w:rFonts w:hint="eastAsia" w:ascii="仿宋" w:hAnsi="仿宋" w:eastAsia="仿宋" w:cs="仿宋"/>
                <w:bCs/>
                <w:color w:val="000000"/>
                <w:sz w:val="22"/>
                <w:highlight w:val="none"/>
              </w:rPr>
              <w:t>加盖公章</w:t>
            </w:r>
            <w:r>
              <w:rPr>
                <w:rFonts w:hint="eastAsia" w:ascii="仿宋" w:hAnsi="仿宋" w:eastAsia="仿宋" w:cs="仿宋"/>
                <w:b/>
                <w:bCs/>
                <w:color w:val="000000"/>
                <w:sz w:val="22"/>
                <w:highlight w:val="none"/>
              </w:rPr>
              <w:t>并由</w:t>
            </w:r>
            <w:r>
              <w:rPr>
                <w:rFonts w:hint="eastAsia" w:ascii="仿宋" w:hAnsi="仿宋" w:eastAsia="仿宋" w:cs="仿宋"/>
                <w:color w:val="000000"/>
                <w:sz w:val="22"/>
                <w:highlight w:val="none"/>
              </w:rPr>
              <w:t>法定代表人（负责人）签字</w:t>
            </w:r>
            <w:r>
              <w:rPr>
                <w:rFonts w:hint="eastAsia" w:ascii="仿宋" w:hAnsi="仿宋" w:eastAsia="仿宋" w:cs="仿宋"/>
                <w:b/>
                <w:bCs/>
                <w:color w:val="000000"/>
                <w:sz w:val="22"/>
                <w:highlight w:val="none"/>
              </w:rPr>
              <w:t>和</w:t>
            </w:r>
            <w:r>
              <w:rPr>
                <w:rFonts w:hint="eastAsia" w:ascii="仿宋" w:hAnsi="仿宋" w:eastAsia="仿宋" w:cs="仿宋"/>
                <w:color w:val="000000"/>
                <w:sz w:val="22"/>
                <w:highlight w:val="none"/>
              </w:rPr>
              <w:t>其委托代理人</w:t>
            </w:r>
            <w:r>
              <w:rPr>
                <w:rFonts w:hint="eastAsia" w:ascii="仿宋" w:hAnsi="仿宋" w:eastAsia="仿宋" w:cs="仿宋"/>
                <w:b/>
                <w:bCs/>
                <w:color w:val="000000"/>
                <w:sz w:val="22"/>
                <w:highlight w:val="none"/>
              </w:rPr>
              <w:t>双方</w:t>
            </w:r>
            <w:r>
              <w:rPr>
                <w:rFonts w:hint="eastAsia" w:ascii="仿宋" w:hAnsi="仿宋" w:eastAsia="仿宋" w:cs="仿宋"/>
                <w:bCs/>
                <w:color w:val="000000"/>
                <w:sz w:val="22"/>
                <w:highlight w:val="none"/>
              </w:rPr>
              <w:t>签字。</w:t>
            </w:r>
          </w:p>
        </w:tc>
      </w:tr>
      <w:tr w14:paraId="654A8A4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3D9569B0">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254DE9A0">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293C162F">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响应文件签字或盖章</w:t>
            </w:r>
          </w:p>
        </w:tc>
        <w:tc>
          <w:tcPr>
            <w:tcW w:w="3078" w:type="pct"/>
            <w:noWrap w:val="0"/>
            <w:vAlign w:val="center"/>
          </w:tcPr>
          <w:p w14:paraId="7DFFA0FA">
            <w:pPr>
              <w:spacing w:before="24" w:after="24"/>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1、上述两款以外的响应文件格式中有落款的文件，</w:t>
            </w:r>
            <w:r>
              <w:rPr>
                <w:rFonts w:hint="eastAsia" w:ascii="仿宋" w:hAnsi="仿宋" w:eastAsia="仿宋" w:cs="宋体"/>
                <w:b/>
                <w:color w:val="000000"/>
                <w:szCs w:val="21"/>
                <w:highlight w:val="none"/>
              </w:rPr>
              <w:t>均需</w:t>
            </w:r>
            <w:r>
              <w:rPr>
                <w:rFonts w:hint="eastAsia" w:ascii="仿宋" w:hAnsi="仿宋" w:eastAsia="仿宋" w:cs="宋体"/>
                <w:color w:val="000000"/>
                <w:szCs w:val="21"/>
                <w:highlight w:val="none"/>
              </w:rPr>
              <w:t>加盖公章</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由法定代表人（负责人）签字</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其委托代理人签字。</w:t>
            </w:r>
          </w:p>
          <w:p w14:paraId="62CC6527">
            <w:pPr>
              <w:pStyle w:val="156"/>
              <w:spacing w:before="62" w:beforeLines="20" w:after="62" w:afterLines="20" w:line="276" w:lineRule="auto"/>
              <w:rPr>
                <w:rFonts w:hint="eastAsia" w:ascii="仿宋" w:hAnsi="仿宋" w:eastAsia="仿宋" w:cs="宋体"/>
                <w:color w:val="000000"/>
                <w:highlight w:val="none"/>
              </w:rPr>
            </w:pPr>
            <w:r>
              <w:rPr>
                <w:rFonts w:hint="eastAsia" w:ascii="仿宋" w:hAnsi="仿宋" w:eastAsia="仿宋" w:cs="宋体"/>
                <w:color w:val="000000"/>
                <w:highlight w:val="none"/>
              </w:rPr>
              <w:t>2、响应文件的所有签字处均指手写签字</w:t>
            </w:r>
            <w:r>
              <w:rPr>
                <w:rFonts w:hint="eastAsia" w:ascii="仿宋" w:hAnsi="仿宋" w:eastAsia="仿宋" w:cs="宋体"/>
                <w:b/>
                <w:color w:val="000000"/>
                <w:highlight w:val="none"/>
              </w:rPr>
              <w:t>或</w:t>
            </w:r>
            <w:r>
              <w:rPr>
                <w:rFonts w:hint="eastAsia" w:ascii="仿宋" w:hAnsi="仿宋" w:eastAsia="仿宋" w:cs="宋体"/>
                <w:color w:val="000000"/>
                <w:highlight w:val="none"/>
              </w:rPr>
              <w:t>签名章/印章</w:t>
            </w:r>
            <w:r>
              <w:rPr>
                <w:rFonts w:hint="eastAsia" w:ascii="仿宋" w:hAnsi="仿宋" w:eastAsia="仿宋" w:cs="宋体"/>
                <w:b/>
                <w:bCs/>
                <w:color w:val="000000"/>
                <w:highlight w:val="none"/>
              </w:rPr>
              <w:t>或</w:t>
            </w:r>
            <w:r>
              <w:rPr>
                <w:rFonts w:hint="eastAsia" w:ascii="仿宋" w:hAnsi="仿宋" w:eastAsia="仿宋" w:cs="宋体"/>
                <w:color w:val="000000"/>
                <w:highlight w:val="none"/>
              </w:rPr>
              <w:t>CA签名章，</w:t>
            </w:r>
            <w:r>
              <w:rPr>
                <w:rFonts w:hint="eastAsia" w:ascii="仿宋" w:hAnsi="仿宋" w:eastAsia="仿宋" w:cs="宋体"/>
                <w:b/>
                <w:color w:val="000000"/>
                <w:highlight w:val="none"/>
              </w:rPr>
              <w:t>不得</w:t>
            </w:r>
            <w:r>
              <w:rPr>
                <w:rFonts w:hint="eastAsia" w:ascii="仿宋" w:hAnsi="仿宋" w:eastAsia="仿宋" w:cs="宋体"/>
                <w:color w:val="000000"/>
                <w:highlight w:val="none"/>
              </w:rPr>
              <w:t>以打印体代替。</w:t>
            </w:r>
          </w:p>
        </w:tc>
      </w:tr>
      <w:tr w14:paraId="7B656A5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noWrap w:val="0"/>
            <w:vAlign w:val="center"/>
          </w:tcPr>
          <w:p w14:paraId="50E7B317">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592" w:type="pct"/>
            <w:vMerge w:val="restart"/>
            <w:noWrap w:val="0"/>
            <w:vAlign w:val="center"/>
          </w:tcPr>
          <w:p w14:paraId="0F4D411E">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990" w:type="pct"/>
            <w:noWrap w:val="0"/>
            <w:vAlign w:val="center"/>
          </w:tcPr>
          <w:p w14:paraId="6393169E">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具有独立承担民事责任的能力</w:t>
            </w:r>
          </w:p>
        </w:tc>
        <w:tc>
          <w:tcPr>
            <w:tcW w:w="3078" w:type="pct"/>
            <w:noWrap w:val="0"/>
            <w:vAlign w:val="center"/>
          </w:tcPr>
          <w:p w14:paraId="31822D75">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符合第一章“竞争性磋商公告”规定</w:t>
            </w:r>
          </w:p>
        </w:tc>
      </w:tr>
      <w:tr w14:paraId="4B77655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54362651">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14:paraId="1EBAAA5C">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6FF24CE0">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具有良好的商业信誉和健全的财务会计制度</w:t>
            </w:r>
          </w:p>
        </w:tc>
        <w:tc>
          <w:tcPr>
            <w:tcW w:w="3078" w:type="pct"/>
            <w:noWrap w:val="0"/>
            <w:vAlign w:val="center"/>
          </w:tcPr>
          <w:p w14:paraId="5B32CD43">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符合第一章“竞争性磋商公告”规定</w:t>
            </w:r>
          </w:p>
        </w:tc>
      </w:tr>
      <w:tr w14:paraId="74A4EE1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3F12C2DB">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14:paraId="556D1252">
            <w:pPr>
              <w:spacing w:before="24" w:after="24" w:line="360" w:lineRule="auto"/>
              <w:jc w:val="center"/>
              <w:rPr>
                <w:rFonts w:hint="eastAsia" w:ascii="仿宋" w:hAnsi="仿宋" w:eastAsia="仿宋" w:cs="仿宋"/>
                <w:color w:val="000000"/>
                <w:szCs w:val="21"/>
                <w:highlight w:val="none"/>
              </w:rPr>
            </w:pPr>
          </w:p>
        </w:tc>
        <w:tc>
          <w:tcPr>
            <w:tcW w:w="990" w:type="pct"/>
            <w:noWrap w:val="0"/>
            <w:vAlign w:val="center"/>
          </w:tcPr>
          <w:p w14:paraId="594A516E">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具有履行合同所必需的设备和专业技术能力</w:t>
            </w:r>
          </w:p>
        </w:tc>
        <w:tc>
          <w:tcPr>
            <w:tcW w:w="3078" w:type="pct"/>
            <w:noWrap w:val="0"/>
            <w:vAlign w:val="center"/>
          </w:tcPr>
          <w:p w14:paraId="46057FB1">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符合第一章“竞争性磋商公告”规定</w:t>
            </w:r>
          </w:p>
        </w:tc>
      </w:tr>
      <w:tr w14:paraId="143E286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15760D9B">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6530D381">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1BB3E691">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有依法缴纳税收和社会保障资金的良好记录</w:t>
            </w:r>
          </w:p>
        </w:tc>
        <w:tc>
          <w:tcPr>
            <w:tcW w:w="3078" w:type="pct"/>
            <w:noWrap w:val="0"/>
            <w:vAlign w:val="center"/>
          </w:tcPr>
          <w:p w14:paraId="6F9EADC2">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符合第一章“竞争性磋商公告”规定</w:t>
            </w:r>
          </w:p>
        </w:tc>
      </w:tr>
      <w:tr w14:paraId="40675B3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6FAEA6DA">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4470C053">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554DDE93">
            <w:pPr>
              <w:spacing w:before="24" w:after="24" w:line="276"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经营状况良好，且近三年内无重大违法违规记录</w:t>
            </w:r>
          </w:p>
        </w:tc>
        <w:tc>
          <w:tcPr>
            <w:tcW w:w="3078" w:type="pct"/>
            <w:noWrap w:val="0"/>
            <w:vAlign w:val="center"/>
          </w:tcPr>
          <w:p w14:paraId="0912D8D7">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符合第一章“竞争性磋商公告”规定</w:t>
            </w:r>
          </w:p>
        </w:tc>
      </w:tr>
      <w:tr w14:paraId="3A0484A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0121AF8A">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2C6EFD2C">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1FAC8118">
            <w:pPr>
              <w:spacing w:before="24" w:after="24" w:line="276"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未被列入公司供应商黑名单或已不在禁入期内</w:t>
            </w:r>
          </w:p>
        </w:tc>
        <w:tc>
          <w:tcPr>
            <w:tcW w:w="3078" w:type="pct"/>
            <w:noWrap w:val="0"/>
            <w:vAlign w:val="center"/>
          </w:tcPr>
          <w:p w14:paraId="0032A20A">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符合第一章“竞争性磋商公告”规定</w:t>
            </w:r>
          </w:p>
        </w:tc>
      </w:tr>
      <w:tr w14:paraId="0EE32E8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12675447">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65674A46">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6E02697B">
            <w:pPr>
              <w:spacing w:before="24" w:after="24" w:line="276" w:lineRule="auto"/>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控股及管理关系</w:t>
            </w:r>
          </w:p>
        </w:tc>
        <w:tc>
          <w:tcPr>
            <w:tcW w:w="3078" w:type="pct"/>
            <w:noWrap w:val="0"/>
            <w:vAlign w:val="center"/>
          </w:tcPr>
          <w:p w14:paraId="520358A4">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符合第一章“竞争性磋商公告”规定</w:t>
            </w:r>
          </w:p>
        </w:tc>
      </w:tr>
      <w:tr w14:paraId="5AFDFED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68004EF8">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top"/>
          </w:tcPr>
          <w:p w14:paraId="512E8B13">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1EC2CA00">
            <w:pPr>
              <w:spacing w:before="24" w:after="24" w:line="276" w:lineRule="auto"/>
              <w:jc w:val="center"/>
              <w:rPr>
                <w:rFonts w:hint="default" w:ascii="仿宋" w:hAnsi="仿宋" w:eastAsia="仿宋" w:cs="仿宋"/>
                <w:color w:val="000000"/>
                <w:szCs w:val="21"/>
                <w:highlight w:val="none"/>
                <w:lang w:val="en-US" w:eastAsia="zh-CN"/>
              </w:rPr>
            </w:pPr>
            <w:r>
              <w:rPr>
                <w:rFonts w:hint="eastAsia" w:ascii="仿宋" w:hAnsi="仿宋" w:eastAsia="仿宋" w:cs="Cambria Math"/>
                <w:color w:val="000000"/>
                <w:szCs w:val="21"/>
                <w:highlight w:val="none"/>
              </w:rPr>
              <w:t>联合体磋商</w:t>
            </w:r>
            <w:r>
              <w:rPr>
                <w:rFonts w:hint="eastAsia" w:ascii="仿宋" w:hAnsi="仿宋" w:eastAsia="仿宋" w:cs="Cambria Math"/>
                <w:color w:val="000000"/>
                <w:szCs w:val="21"/>
                <w:highlight w:val="none"/>
                <w:lang w:val="en-US" w:eastAsia="zh-CN"/>
              </w:rPr>
              <w:t>响应</w:t>
            </w:r>
          </w:p>
        </w:tc>
        <w:tc>
          <w:tcPr>
            <w:tcW w:w="3078" w:type="pct"/>
            <w:noWrap w:val="0"/>
            <w:vAlign w:val="center"/>
          </w:tcPr>
          <w:p w14:paraId="0273E230">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符合第一章“竞争性磋商公告”规定</w:t>
            </w:r>
          </w:p>
        </w:tc>
      </w:tr>
      <w:tr w14:paraId="4379A20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restart"/>
            <w:noWrap w:val="0"/>
            <w:vAlign w:val="center"/>
          </w:tcPr>
          <w:p w14:paraId="6364E02B">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592" w:type="pct"/>
            <w:vMerge w:val="restart"/>
            <w:noWrap w:val="0"/>
            <w:vAlign w:val="center"/>
          </w:tcPr>
          <w:p w14:paraId="79FC984A">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990" w:type="pct"/>
            <w:noWrap w:val="0"/>
            <w:vAlign w:val="center"/>
          </w:tcPr>
          <w:p w14:paraId="007F0A17">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响应函</w:t>
            </w:r>
          </w:p>
        </w:tc>
        <w:tc>
          <w:tcPr>
            <w:tcW w:w="3078" w:type="pct"/>
            <w:noWrap w:val="0"/>
            <w:vAlign w:val="center"/>
          </w:tcPr>
          <w:p w14:paraId="718A794A">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olor w:val="000000"/>
                <w:szCs w:val="21"/>
                <w:highlight w:val="none"/>
              </w:rPr>
              <w:t>除填写双方名称、项目名称外，未修改原文内容</w:t>
            </w:r>
            <w:r>
              <w:rPr>
                <w:rFonts w:hint="eastAsia" w:ascii="仿宋" w:hAnsi="仿宋" w:eastAsia="仿宋" w:cs="Cambria Math"/>
                <w:color w:val="000000"/>
                <w:szCs w:val="21"/>
                <w:highlight w:val="none"/>
              </w:rPr>
              <w:t>。</w:t>
            </w:r>
          </w:p>
        </w:tc>
      </w:tr>
      <w:tr w14:paraId="3BB52F9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5221C4B8">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14:paraId="19F615C7">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7812529C">
            <w:pPr>
              <w:spacing w:before="24" w:after="24" w:line="276" w:lineRule="auto"/>
              <w:jc w:val="center"/>
              <w:rPr>
                <w:rFonts w:hint="eastAsia" w:ascii="仿宋" w:hAnsi="仿宋" w:eastAsia="仿宋" w:cs="仿宋"/>
                <w:color w:val="000000"/>
                <w:kern w:val="0"/>
                <w:szCs w:val="21"/>
                <w:highlight w:val="none"/>
                <w:lang w:val="en-US" w:eastAsia="zh-CN"/>
              </w:rPr>
            </w:pPr>
            <w:r>
              <w:rPr>
                <w:rFonts w:hint="eastAsia" w:ascii="仿宋" w:hAnsi="仿宋" w:eastAsia="仿宋" w:cs="Cambria Math"/>
                <w:color w:val="000000" w:themeColor="text1"/>
                <w:szCs w:val="21"/>
                <w:highlight w:val="none"/>
                <w14:textFill>
                  <w14:solidFill>
                    <w14:schemeClr w14:val="tx1"/>
                  </w14:solidFill>
                </w14:textFill>
              </w:rPr>
              <w:t>磋商保证</w:t>
            </w:r>
            <w:r>
              <w:rPr>
                <w:rFonts w:hint="eastAsia" w:ascii="仿宋" w:hAnsi="仿宋" w:eastAsia="仿宋" w:cs="Cambria Math"/>
                <w:color w:val="000000" w:themeColor="text1"/>
                <w:szCs w:val="21"/>
                <w:highlight w:val="none"/>
                <w:lang w:val="en-US" w:eastAsia="zh-CN"/>
                <w14:textFill>
                  <w14:solidFill>
                    <w14:schemeClr w14:val="tx1"/>
                  </w14:solidFill>
                </w14:textFill>
              </w:rPr>
              <w:t>金</w:t>
            </w:r>
          </w:p>
        </w:tc>
        <w:tc>
          <w:tcPr>
            <w:tcW w:w="3078" w:type="pct"/>
            <w:noWrap w:val="0"/>
            <w:vAlign w:val="center"/>
          </w:tcPr>
          <w:p w14:paraId="5AD3A627">
            <w:pPr>
              <w:spacing w:before="24" w:after="24" w:line="276" w:lineRule="auto"/>
              <w:jc w:val="left"/>
              <w:rPr>
                <w:rFonts w:hint="eastAsia" w:ascii="仿宋" w:hAnsi="仿宋" w:eastAsia="仿宋" w:cs="仿宋"/>
                <w:color w:val="000000"/>
                <w:szCs w:val="21"/>
                <w:highlight w:val="none"/>
              </w:rPr>
            </w:pPr>
            <w:r>
              <w:rPr>
                <w:rFonts w:hint="eastAsia" w:ascii="仿宋" w:hAnsi="仿宋" w:eastAsia="仿宋"/>
                <w:color w:val="000000"/>
                <w:szCs w:val="21"/>
                <w:highlight w:val="none"/>
                <w:lang w:eastAsia="zh-CN"/>
              </w:rPr>
              <w:t>本项目不设置磋商保证金</w:t>
            </w:r>
          </w:p>
        </w:tc>
      </w:tr>
      <w:tr w14:paraId="4661FA2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28DACA29">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14:paraId="79717983">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1BE7EF56">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供应商行为准则承诺书</w:t>
            </w:r>
          </w:p>
        </w:tc>
        <w:tc>
          <w:tcPr>
            <w:tcW w:w="3078" w:type="pct"/>
            <w:noWrap w:val="0"/>
            <w:vAlign w:val="center"/>
          </w:tcPr>
          <w:p w14:paraId="4B142D7A">
            <w:pPr>
              <w:spacing w:before="24" w:after="24" w:line="276" w:lineRule="auto"/>
              <w:jc w:val="left"/>
              <w:rPr>
                <w:rFonts w:hint="eastAsia"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14:paraId="2DA5218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256AF535">
            <w:pPr>
              <w:widowControl/>
              <w:spacing w:line="360" w:lineRule="auto"/>
              <w:jc w:val="center"/>
              <w:rPr>
                <w:rFonts w:hint="eastAsia" w:ascii="仿宋" w:hAnsi="仿宋" w:eastAsia="仿宋" w:cs="仿宋"/>
                <w:color w:val="000000"/>
                <w:kern w:val="0"/>
                <w:szCs w:val="21"/>
                <w:highlight w:val="none"/>
              </w:rPr>
            </w:pPr>
          </w:p>
        </w:tc>
        <w:tc>
          <w:tcPr>
            <w:tcW w:w="592" w:type="pct"/>
            <w:vMerge w:val="continue"/>
            <w:noWrap w:val="0"/>
            <w:vAlign w:val="center"/>
          </w:tcPr>
          <w:p w14:paraId="07DA70DA">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7FE523FA">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3078" w:type="pct"/>
            <w:noWrap w:val="0"/>
            <w:vAlign w:val="center"/>
          </w:tcPr>
          <w:p w14:paraId="388D09D2">
            <w:pPr>
              <w:spacing w:before="24" w:after="24" w:line="276" w:lineRule="auto"/>
              <w:jc w:val="left"/>
              <w:rPr>
                <w:rFonts w:hint="eastAsia" w:ascii="仿宋" w:hAnsi="仿宋" w:eastAsia="仿宋" w:cs="Cambria Math"/>
                <w:color w:val="000000"/>
                <w:szCs w:val="21"/>
                <w:highlight w:val="none"/>
              </w:rPr>
            </w:pPr>
            <w:r>
              <w:rPr>
                <w:rFonts w:hint="eastAsia" w:ascii="仿宋" w:hAnsi="仿宋" w:eastAsia="仿宋" w:cs="仿宋"/>
                <w:color w:val="000000"/>
                <w:szCs w:val="21"/>
                <w:highlight w:val="none"/>
              </w:rPr>
              <w:t>除供应商填写内容外，未修改原文内容。</w:t>
            </w:r>
          </w:p>
        </w:tc>
      </w:tr>
      <w:tr w14:paraId="671552C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8" w:type="pct"/>
            <w:vMerge w:val="continue"/>
            <w:noWrap w:val="0"/>
            <w:vAlign w:val="center"/>
          </w:tcPr>
          <w:p w14:paraId="2C0F0792">
            <w:pPr>
              <w:widowControl/>
              <w:spacing w:line="360" w:lineRule="auto"/>
              <w:jc w:val="center"/>
              <w:rPr>
                <w:rFonts w:ascii="仿宋" w:hAnsi="仿宋" w:eastAsia="仿宋" w:cs="仿宋"/>
                <w:color w:val="000000"/>
                <w:kern w:val="0"/>
                <w:szCs w:val="21"/>
                <w:highlight w:val="none"/>
              </w:rPr>
            </w:pPr>
          </w:p>
        </w:tc>
        <w:tc>
          <w:tcPr>
            <w:tcW w:w="592" w:type="pct"/>
            <w:vMerge w:val="continue"/>
            <w:noWrap w:val="0"/>
            <w:vAlign w:val="center"/>
          </w:tcPr>
          <w:p w14:paraId="624466D6">
            <w:pPr>
              <w:spacing w:before="24" w:after="24" w:line="360" w:lineRule="auto"/>
              <w:jc w:val="center"/>
              <w:rPr>
                <w:rFonts w:hint="eastAsia" w:ascii="仿宋" w:hAnsi="仿宋" w:eastAsia="仿宋" w:cs="仿宋"/>
                <w:color w:val="000000"/>
                <w:kern w:val="0"/>
                <w:szCs w:val="21"/>
                <w:highlight w:val="none"/>
              </w:rPr>
            </w:pPr>
          </w:p>
        </w:tc>
        <w:tc>
          <w:tcPr>
            <w:tcW w:w="990" w:type="pct"/>
            <w:noWrap w:val="0"/>
            <w:vAlign w:val="center"/>
          </w:tcPr>
          <w:p w14:paraId="0B85B93A">
            <w:pPr>
              <w:spacing w:before="24" w:after="24" w:line="276" w:lineRule="auto"/>
              <w:jc w:val="center"/>
              <w:rPr>
                <w:rFonts w:ascii="仿宋" w:hAnsi="仿宋" w:eastAsia="仿宋" w:cs="仿宋"/>
                <w:color w:val="000000" w:themeColor="text1"/>
                <w:kern w:val="0"/>
                <w:szCs w:val="21"/>
                <w:highlight w:val="none"/>
                <w14:textFill>
                  <w14:solidFill>
                    <w14:schemeClr w14:val="tx1"/>
                  </w14:solidFill>
                </w14:textFill>
              </w:rPr>
            </w:pPr>
            <w:r>
              <w:rPr>
                <w:rFonts w:hint="eastAsia" w:ascii="仿宋" w:hAnsi="仿宋" w:eastAsia="仿宋" w:cs="Cambria Math"/>
                <w:color w:val="000000" w:themeColor="text1"/>
                <w:szCs w:val="21"/>
                <w:highlight w:val="none"/>
                <w14:textFill>
                  <w14:solidFill>
                    <w14:schemeClr w14:val="tx1"/>
                  </w14:solidFill>
                </w14:textFill>
              </w:rPr>
              <w:t>供应商偏离应答</w:t>
            </w:r>
          </w:p>
        </w:tc>
        <w:tc>
          <w:tcPr>
            <w:tcW w:w="3078" w:type="pct"/>
            <w:noWrap w:val="0"/>
            <w:vAlign w:val="center"/>
          </w:tcPr>
          <w:p w14:paraId="41580FC1">
            <w:pPr>
              <w:spacing w:before="24" w:after="24" w:line="276" w:lineRule="auto"/>
              <w:jc w:val="left"/>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《供应商须知应答偏离表》、《合同条款应答偏离表》、《采购需求应答偏离表》》进行了符合第二章“供应商须知”的应答</w:t>
            </w:r>
          </w:p>
        </w:tc>
      </w:tr>
    </w:tbl>
    <w:p w14:paraId="63C4F0C8">
      <w:pPr>
        <w:pStyle w:val="4"/>
        <w:ind w:firstLine="420" w:firstLineChars="200"/>
        <w:jc w:val="left"/>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1"/>
          <w:szCs w:val="21"/>
          <w:highlight w:val="none"/>
        </w:rPr>
        <w:br w:type="page"/>
      </w:r>
      <w:bookmarkStart w:id="136" w:name="_Toc25550"/>
      <w:r>
        <w:rPr>
          <w:rFonts w:hint="eastAsia" w:ascii="仿宋" w:hAnsi="仿宋" w:eastAsia="仿宋" w:cs="仿宋"/>
          <w:color w:val="000000"/>
          <w:sz w:val="24"/>
          <w:szCs w:val="24"/>
          <w:highlight w:val="none"/>
          <w:lang w:val="en-US" w:eastAsia="zh-CN"/>
        </w:rPr>
        <w:t>三</w:t>
      </w:r>
      <w:r>
        <w:rPr>
          <w:rFonts w:hint="eastAsia" w:ascii="仿宋" w:hAnsi="仿宋" w:eastAsia="仿宋" w:cs="仿宋"/>
          <w:color w:val="000000"/>
          <w:sz w:val="24"/>
          <w:szCs w:val="24"/>
          <w:highlight w:val="none"/>
        </w:rPr>
        <w:t>、</w:t>
      </w:r>
      <w:bookmarkEnd w:id="130"/>
      <w:bookmarkEnd w:id="131"/>
      <w:bookmarkEnd w:id="132"/>
      <w:bookmarkEnd w:id="133"/>
      <w:bookmarkEnd w:id="134"/>
      <w:bookmarkEnd w:id="135"/>
      <w:r>
        <w:rPr>
          <w:rFonts w:hint="eastAsia" w:ascii="仿宋" w:hAnsi="仿宋" w:eastAsia="仿宋" w:cs="仿宋"/>
          <w:color w:val="000000"/>
          <w:sz w:val="24"/>
          <w:szCs w:val="24"/>
          <w:highlight w:val="none"/>
        </w:rPr>
        <w:t>详细评审</w:t>
      </w:r>
      <w:bookmarkEnd w:id="136"/>
    </w:p>
    <w:tbl>
      <w:tblPr>
        <w:tblStyle w:val="4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07"/>
        <w:gridCol w:w="898"/>
        <w:gridCol w:w="7137"/>
      </w:tblGrid>
      <w:tr w14:paraId="2EDC1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918" w:type="pct"/>
            <w:noWrap w:val="0"/>
            <w:vAlign w:val="center"/>
          </w:tcPr>
          <w:p w14:paraId="1E1CE954">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center"/>
              <w:textAlignment w:val="baseline"/>
              <w:rPr>
                <w:rFonts w:hint="eastAsia" w:ascii="仿宋" w:hAnsi="仿宋" w:eastAsia="仿宋" w:cs="Arial"/>
                <w:b/>
                <w:bCs/>
                <w:snapToGrid w:val="0"/>
                <w:color w:val="000000" w:themeColor="text1"/>
                <w:kern w:val="0"/>
                <w:sz w:val="24"/>
                <w:szCs w:val="28"/>
                <w14:textFill>
                  <w14:solidFill>
                    <w14:schemeClr w14:val="tx1"/>
                  </w14:solidFill>
                </w14:textFill>
              </w:rPr>
            </w:pPr>
            <w:r>
              <w:rPr>
                <w:rFonts w:hint="eastAsia" w:ascii="仿宋" w:hAnsi="仿宋" w:eastAsia="仿宋" w:cs="Arial"/>
                <w:b/>
                <w:bCs/>
                <w:snapToGrid w:val="0"/>
                <w:color w:val="000000" w:themeColor="text1"/>
                <w:kern w:val="0"/>
                <w:sz w:val="24"/>
                <w:szCs w:val="28"/>
                <w14:textFill>
                  <w14:solidFill>
                    <w14:schemeClr w14:val="tx1"/>
                  </w14:solidFill>
                </w14:textFill>
              </w:rPr>
              <w:t>评审因素</w:t>
            </w:r>
          </w:p>
        </w:tc>
        <w:tc>
          <w:tcPr>
            <w:tcW w:w="4081" w:type="pct"/>
            <w:gridSpan w:val="2"/>
            <w:noWrap w:val="0"/>
            <w:vAlign w:val="center"/>
          </w:tcPr>
          <w:p w14:paraId="074ADC39">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center"/>
              <w:textAlignment w:val="baseline"/>
              <w:rPr>
                <w:rFonts w:hint="eastAsia" w:ascii="仿宋" w:hAnsi="仿宋" w:eastAsia="仿宋" w:cs="Arial"/>
                <w:b/>
                <w:bCs/>
                <w:snapToGrid w:val="0"/>
                <w:color w:val="000000" w:themeColor="text1"/>
                <w:kern w:val="0"/>
                <w:sz w:val="24"/>
                <w:szCs w:val="28"/>
                <w14:textFill>
                  <w14:solidFill>
                    <w14:schemeClr w14:val="tx1"/>
                  </w14:solidFill>
                </w14:textFill>
              </w:rPr>
            </w:pPr>
            <w:r>
              <w:rPr>
                <w:rFonts w:hint="eastAsia" w:ascii="仿宋" w:hAnsi="仿宋" w:eastAsia="仿宋" w:cs="Arial"/>
                <w:b/>
                <w:bCs/>
                <w:snapToGrid w:val="0"/>
                <w:color w:val="000000" w:themeColor="text1"/>
                <w:kern w:val="0"/>
                <w:sz w:val="24"/>
                <w:szCs w:val="28"/>
                <w14:textFill>
                  <w14:solidFill>
                    <w14:schemeClr w14:val="tx1"/>
                  </w14:solidFill>
                </w14:textFill>
              </w:rPr>
              <w:t>价格评分（</w:t>
            </w:r>
            <w:r>
              <w:rPr>
                <w:rFonts w:hint="eastAsia" w:ascii="仿宋" w:hAnsi="仿宋" w:eastAsia="仿宋" w:cs="Arial"/>
                <w:b/>
                <w:bCs/>
                <w:snapToGrid w:val="0"/>
                <w:color w:val="000000" w:themeColor="text1"/>
                <w:kern w:val="0"/>
                <w:sz w:val="24"/>
                <w:szCs w:val="28"/>
                <w:lang w:val="en-US" w:eastAsia="zh-CN"/>
                <w14:textFill>
                  <w14:solidFill>
                    <w14:schemeClr w14:val="tx1"/>
                  </w14:solidFill>
                </w14:textFill>
              </w:rPr>
              <w:t>50</w:t>
            </w:r>
            <w:r>
              <w:rPr>
                <w:rFonts w:hint="eastAsia" w:ascii="仿宋" w:hAnsi="仿宋" w:eastAsia="仿宋" w:cs="Arial"/>
                <w:b/>
                <w:bCs/>
                <w:snapToGrid w:val="0"/>
                <w:color w:val="000000" w:themeColor="text1"/>
                <w:kern w:val="0"/>
                <w:sz w:val="24"/>
                <w:szCs w:val="28"/>
                <w14:textFill>
                  <w14:solidFill>
                    <w14:schemeClr w14:val="tx1"/>
                  </w14:solidFill>
                </w14:textFill>
              </w:rPr>
              <w:t>分）</w:t>
            </w:r>
          </w:p>
        </w:tc>
      </w:tr>
      <w:tr w14:paraId="073FF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 w:type="pct"/>
            <w:noWrap w:val="0"/>
            <w:vAlign w:val="center"/>
          </w:tcPr>
          <w:p w14:paraId="3960AF2E">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center"/>
              <w:textAlignment w:val="baseline"/>
              <w:rPr>
                <w:rFonts w:hint="eastAsia" w:ascii="仿宋" w:hAnsi="仿宋" w:eastAsia="仿宋" w:cs="Arial"/>
                <w:snapToGrid w:val="0"/>
                <w:color w:val="000000" w:themeColor="text1"/>
                <w:kern w:val="0"/>
                <w:sz w:val="24"/>
                <w:szCs w:val="28"/>
                <w14:textFill>
                  <w14:solidFill>
                    <w14:schemeClr w14:val="tx1"/>
                  </w14:solidFill>
                </w14:textFill>
              </w:rPr>
            </w:pPr>
            <w:r>
              <w:rPr>
                <w:rFonts w:hint="eastAsia" w:ascii="仿宋" w:hAnsi="仿宋" w:eastAsia="仿宋" w:cs="Arial"/>
                <w:snapToGrid w:val="0"/>
                <w:color w:val="000000" w:themeColor="text1"/>
                <w:kern w:val="0"/>
                <w:sz w:val="24"/>
                <w:szCs w:val="28"/>
                <w14:textFill>
                  <w14:solidFill>
                    <w14:schemeClr w14:val="tx1"/>
                  </w14:solidFill>
                </w14:textFill>
              </w:rPr>
              <w:t>磋商报价</w:t>
            </w:r>
          </w:p>
        </w:tc>
        <w:tc>
          <w:tcPr>
            <w:tcW w:w="456" w:type="pct"/>
            <w:noWrap w:val="0"/>
            <w:vAlign w:val="center"/>
          </w:tcPr>
          <w:p w14:paraId="308BB02E">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center"/>
              <w:textAlignment w:val="baseline"/>
              <w:rPr>
                <w:rFonts w:hint="eastAsia" w:ascii="仿宋" w:hAnsi="仿宋" w:eastAsia="仿宋" w:cs="Arial"/>
                <w:snapToGrid w:val="0"/>
                <w:color w:val="000000" w:themeColor="text1"/>
                <w:kern w:val="0"/>
                <w:sz w:val="24"/>
                <w:szCs w:val="28"/>
                <w14:textFill>
                  <w14:solidFill>
                    <w14:schemeClr w14:val="tx1"/>
                  </w14:solidFill>
                </w14:textFill>
              </w:rPr>
            </w:pP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50</w:t>
            </w:r>
            <w:r>
              <w:rPr>
                <w:rFonts w:hint="eastAsia" w:ascii="仿宋" w:hAnsi="仿宋" w:eastAsia="仿宋" w:cs="Arial"/>
                <w:snapToGrid w:val="0"/>
                <w:color w:val="000000" w:themeColor="text1"/>
                <w:kern w:val="0"/>
                <w:sz w:val="24"/>
                <w:szCs w:val="28"/>
                <w14:textFill>
                  <w14:solidFill>
                    <w14:schemeClr w14:val="tx1"/>
                  </w14:solidFill>
                </w14:textFill>
              </w:rPr>
              <w:t>分</w:t>
            </w:r>
          </w:p>
        </w:tc>
        <w:tc>
          <w:tcPr>
            <w:tcW w:w="3625" w:type="pct"/>
            <w:noWrap w:val="0"/>
            <w:vAlign w:val="center"/>
          </w:tcPr>
          <w:p w14:paraId="405BB2F9">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left"/>
              <w:textAlignment w:val="baseline"/>
              <w:rPr>
                <w:rFonts w:hint="eastAsia" w:ascii="仿宋" w:hAnsi="仿宋" w:eastAsia="仿宋" w:cs="Arial"/>
                <w:snapToGrid w:val="0"/>
                <w:color w:val="000000" w:themeColor="text1"/>
                <w:kern w:val="0"/>
                <w:sz w:val="24"/>
                <w:szCs w:val="28"/>
                <w14:textFill>
                  <w14:solidFill>
                    <w14:schemeClr w14:val="tx1"/>
                  </w14:solidFill>
                </w14:textFill>
              </w:rPr>
            </w:pPr>
            <w:r>
              <w:rPr>
                <w:rFonts w:hint="eastAsia" w:ascii="仿宋" w:hAnsi="仿宋" w:eastAsia="仿宋" w:cs="Arial"/>
                <w:snapToGrid w:val="0"/>
                <w:color w:val="000000" w:themeColor="text1"/>
                <w:kern w:val="0"/>
                <w:sz w:val="24"/>
                <w:szCs w:val="28"/>
                <w14:textFill>
                  <w14:solidFill>
                    <w14:schemeClr w14:val="tx1"/>
                  </w14:solidFill>
                </w14:textFill>
              </w:rPr>
              <w:t>价格分采用低价优先法计算，即满足磋商文件要求且磋商价格</w:t>
            </w: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最低的</w:t>
            </w:r>
            <w:r>
              <w:rPr>
                <w:rFonts w:hint="eastAsia" w:ascii="仿宋" w:hAnsi="仿宋" w:eastAsia="仿宋" w:cs="Arial"/>
                <w:snapToGrid w:val="0"/>
                <w:color w:val="000000" w:themeColor="text1"/>
                <w:kern w:val="0"/>
                <w:sz w:val="24"/>
                <w:szCs w:val="28"/>
                <w14:textFill>
                  <w14:solidFill>
                    <w14:schemeClr w14:val="tx1"/>
                  </w14:solidFill>
                </w14:textFill>
              </w:rPr>
              <w:t>为评标基准价，其价格分为满分。其他供应商的价格分统一按下列公式计算：</w:t>
            </w:r>
          </w:p>
          <w:p w14:paraId="7FA2DB19">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left"/>
              <w:textAlignment w:val="baseline"/>
              <w:rPr>
                <w:rFonts w:hint="eastAsia" w:ascii="仿宋" w:hAnsi="仿宋" w:eastAsia="仿宋" w:cs="Arial"/>
                <w:snapToGrid w:val="0"/>
                <w:color w:val="000000" w:themeColor="text1"/>
                <w:kern w:val="0"/>
                <w:sz w:val="24"/>
                <w:szCs w:val="28"/>
                <w14:textFill>
                  <w14:solidFill>
                    <w14:schemeClr w14:val="tx1"/>
                  </w14:solidFill>
                </w14:textFill>
              </w:rPr>
            </w:pPr>
            <w:r>
              <w:rPr>
                <w:rFonts w:hint="eastAsia" w:ascii="仿宋" w:hAnsi="仿宋" w:eastAsia="仿宋" w:cs="Arial"/>
                <w:snapToGrid w:val="0"/>
                <w:color w:val="000000" w:themeColor="text1"/>
                <w:kern w:val="0"/>
                <w:sz w:val="24"/>
                <w:szCs w:val="28"/>
                <w14:textFill>
                  <w14:solidFill>
                    <w14:schemeClr w14:val="tx1"/>
                  </w14:solidFill>
                </w14:textFill>
              </w:rPr>
              <w:t>磋商报价得分=（评标基准价/磋商报价）*</w:t>
            </w: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50</w:t>
            </w:r>
            <w:r>
              <w:rPr>
                <w:rFonts w:hint="eastAsia" w:ascii="仿宋" w:hAnsi="仿宋" w:eastAsia="仿宋" w:cs="Arial"/>
                <w:snapToGrid w:val="0"/>
                <w:color w:val="000000" w:themeColor="text1"/>
                <w:kern w:val="0"/>
                <w:sz w:val="24"/>
                <w:szCs w:val="28"/>
                <w14:textFill>
                  <w14:solidFill>
                    <w14:schemeClr w14:val="tx1"/>
                  </w14:solidFill>
                </w14:textFill>
              </w:rPr>
              <w:t>分</w:t>
            </w:r>
          </w:p>
          <w:p w14:paraId="339C34EB">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both"/>
              <w:textAlignment w:val="baseline"/>
              <w:rPr>
                <w:rFonts w:hint="default" w:ascii="仿宋" w:hAnsi="仿宋" w:eastAsia="仿宋" w:cs="Arial"/>
                <w:snapToGrid w:val="0"/>
                <w:color w:val="000000" w:themeColor="text1"/>
                <w:kern w:val="0"/>
                <w:sz w:val="24"/>
                <w:szCs w:val="28"/>
                <w:lang w:val="en-US" w:eastAsia="zh-CN"/>
                <w14:textFill>
                  <w14:solidFill>
                    <w14:schemeClr w14:val="tx1"/>
                  </w14:solidFill>
                </w14:textFill>
              </w:rPr>
            </w:pPr>
            <w:r>
              <w:rPr>
                <w:rFonts w:hint="eastAsia" w:ascii="仿宋" w:hAnsi="仿宋" w:eastAsia="仿宋" w:cs="Arial"/>
                <w:b/>
                <w:bCs/>
                <w:snapToGrid w:val="0"/>
                <w:color w:val="000000" w:themeColor="text1"/>
                <w:kern w:val="0"/>
                <w:sz w:val="24"/>
                <w:szCs w:val="28"/>
                <w14:textFill>
                  <w14:solidFill>
                    <w14:schemeClr w14:val="tx1"/>
                  </w14:solidFill>
                </w14:textFill>
              </w:rPr>
              <w:t>评审依据：</w:t>
            </w:r>
            <w:r>
              <w:rPr>
                <w:rFonts w:hint="eastAsia" w:ascii="仿宋" w:hAnsi="仿宋" w:eastAsia="仿宋" w:cs="Arial"/>
                <w:b/>
                <w:bCs/>
                <w:snapToGrid w:val="0"/>
                <w:color w:val="000000" w:themeColor="text1"/>
                <w:kern w:val="0"/>
                <w:sz w:val="24"/>
                <w:szCs w:val="28"/>
                <w:lang w:val="en-US" w:eastAsia="zh-CN"/>
                <w14:textFill>
                  <w14:solidFill>
                    <w14:schemeClr w14:val="tx1"/>
                  </w14:solidFill>
                </w14:textFill>
              </w:rPr>
              <w:t>最终报价。评审价格为供应商最终车辆安全检测单价和车辆代为送检单价之和作为评审价格。</w:t>
            </w:r>
          </w:p>
        </w:tc>
      </w:tr>
      <w:tr w14:paraId="6DB50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trPr>
        <w:tc>
          <w:tcPr>
            <w:tcW w:w="918" w:type="pct"/>
            <w:noWrap w:val="0"/>
            <w:vAlign w:val="center"/>
          </w:tcPr>
          <w:p w14:paraId="789894B7">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center"/>
              <w:textAlignment w:val="baseline"/>
              <w:rPr>
                <w:rFonts w:hint="eastAsia" w:ascii="仿宋" w:hAnsi="仿宋" w:eastAsia="仿宋" w:cs="Arial"/>
                <w:b/>
                <w:bCs/>
                <w:snapToGrid w:val="0"/>
                <w:color w:val="000000" w:themeColor="text1"/>
                <w:kern w:val="0"/>
                <w:sz w:val="24"/>
                <w:szCs w:val="28"/>
                <w14:textFill>
                  <w14:solidFill>
                    <w14:schemeClr w14:val="tx1"/>
                  </w14:solidFill>
                </w14:textFill>
              </w:rPr>
            </w:pPr>
            <w:r>
              <w:rPr>
                <w:rFonts w:hint="eastAsia" w:ascii="仿宋" w:hAnsi="仿宋" w:eastAsia="仿宋" w:cs="Arial"/>
                <w:b/>
                <w:bCs/>
                <w:snapToGrid w:val="0"/>
                <w:color w:val="000000" w:themeColor="text1"/>
                <w:kern w:val="0"/>
                <w:sz w:val="24"/>
                <w:szCs w:val="28"/>
                <w14:textFill>
                  <w14:solidFill>
                    <w14:schemeClr w14:val="tx1"/>
                  </w14:solidFill>
                </w14:textFill>
              </w:rPr>
              <w:t>评审因素</w:t>
            </w:r>
          </w:p>
        </w:tc>
        <w:tc>
          <w:tcPr>
            <w:tcW w:w="4081" w:type="pct"/>
            <w:gridSpan w:val="2"/>
            <w:noWrap w:val="0"/>
            <w:vAlign w:val="center"/>
          </w:tcPr>
          <w:p w14:paraId="55857EF9">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center"/>
              <w:textAlignment w:val="baseline"/>
              <w:rPr>
                <w:rFonts w:hint="default" w:eastAsia="仿宋"/>
                <w:lang w:val="en-US" w:eastAsia="zh-CN"/>
              </w:rPr>
            </w:pPr>
            <w:r>
              <w:rPr>
                <w:rFonts w:hint="eastAsia" w:ascii="仿宋" w:hAnsi="仿宋" w:eastAsia="仿宋" w:cs="Arial"/>
                <w:b/>
                <w:bCs/>
                <w:snapToGrid w:val="0"/>
                <w:color w:val="000000" w:themeColor="text1"/>
                <w:kern w:val="0"/>
                <w:sz w:val="24"/>
                <w:szCs w:val="28"/>
                <w14:textFill>
                  <w14:solidFill>
                    <w14:schemeClr w14:val="tx1"/>
                  </w14:solidFill>
                </w14:textFill>
              </w:rPr>
              <w:t>技术评分（</w:t>
            </w:r>
            <w:r>
              <w:rPr>
                <w:rFonts w:hint="eastAsia" w:ascii="仿宋" w:hAnsi="仿宋" w:eastAsia="仿宋" w:cs="Arial"/>
                <w:b/>
                <w:bCs/>
                <w:snapToGrid w:val="0"/>
                <w:color w:val="000000" w:themeColor="text1"/>
                <w:kern w:val="0"/>
                <w:sz w:val="24"/>
                <w:szCs w:val="28"/>
                <w:lang w:val="en-US" w:eastAsia="zh-CN"/>
                <w14:textFill>
                  <w14:solidFill>
                    <w14:schemeClr w14:val="tx1"/>
                  </w14:solidFill>
                </w14:textFill>
              </w:rPr>
              <w:t>30</w:t>
            </w:r>
            <w:r>
              <w:rPr>
                <w:rFonts w:hint="eastAsia" w:ascii="仿宋" w:hAnsi="仿宋" w:eastAsia="仿宋" w:cs="Arial"/>
                <w:b/>
                <w:bCs/>
                <w:snapToGrid w:val="0"/>
                <w:color w:val="000000" w:themeColor="text1"/>
                <w:kern w:val="0"/>
                <w:sz w:val="24"/>
                <w:szCs w:val="28"/>
                <w14:textFill>
                  <w14:solidFill>
                    <w14:schemeClr w14:val="tx1"/>
                  </w14:solidFill>
                </w14:textFill>
              </w:rPr>
              <w:t>分）</w:t>
            </w:r>
          </w:p>
        </w:tc>
      </w:tr>
      <w:tr w14:paraId="202D7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 w:type="pct"/>
            <w:noWrap w:val="0"/>
            <w:vAlign w:val="center"/>
          </w:tcPr>
          <w:p w14:paraId="02A9A5BC">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center"/>
              <w:textAlignment w:val="baseline"/>
              <w:rPr>
                <w:rFonts w:hint="eastAsia" w:ascii="仿宋" w:hAnsi="仿宋" w:eastAsia="仿宋" w:cs="Arial"/>
                <w:snapToGrid w:val="0"/>
                <w:color w:val="000000" w:themeColor="text1"/>
                <w:kern w:val="0"/>
                <w:sz w:val="24"/>
                <w:szCs w:val="28"/>
                <w14:textFill>
                  <w14:solidFill>
                    <w14:schemeClr w14:val="tx1"/>
                  </w14:solidFill>
                </w14:textFill>
              </w:rPr>
            </w:pPr>
            <w:r>
              <w:rPr>
                <w:rFonts w:hint="eastAsia" w:ascii="仿宋" w:hAnsi="仿宋" w:eastAsia="仿宋" w:cs="Arial"/>
                <w:snapToGrid w:val="0"/>
                <w:color w:val="000000" w:themeColor="text1"/>
                <w:kern w:val="0"/>
                <w:sz w:val="24"/>
                <w:szCs w:val="28"/>
                <w14:textFill>
                  <w14:solidFill>
                    <w14:schemeClr w14:val="tx1"/>
                  </w14:solidFill>
                </w14:textFill>
              </w:rPr>
              <w:t>技术符合性</w:t>
            </w:r>
          </w:p>
        </w:tc>
        <w:tc>
          <w:tcPr>
            <w:tcW w:w="456" w:type="pct"/>
            <w:noWrap w:val="0"/>
            <w:vAlign w:val="center"/>
          </w:tcPr>
          <w:p w14:paraId="7D9CEC54">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center"/>
              <w:textAlignment w:val="baseline"/>
              <w:rPr>
                <w:rFonts w:hint="default" w:ascii="仿宋" w:hAnsi="仿宋" w:eastAsia="仿宋" w:cs="Arial"/>
                <w:snapToGrid w:val="0"/>
                <w:color w:val="000000" w:themeColor="text1"/>
                <w:kern w:val="0"/>
                <w:sz w:val="24"/>
                <w:szCs w:val="28"/>
                <w:lang w:val="en-US" w:eastAsia="zh-CN"/>
                <w14:textFill>
                  <w14:solidFill>
                    <w14:schemeClr w14:val="tx1"/>
                  </w14:solidFill>
                </w14:textFill>
              </w:rPr>
            </w:pP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15分</w:t>
            </w:r>
          </w:p>
        </w:tc>
        <w:tc>
          <w:tcPr>
            <w:tcW w:w="3625" w:type="pct"/>
            <w:noWrap w:val="0"/>
            <w:vAlign w:val="center"/>
          </w:tcPr>
          <w:p w14:paraId="0635184D">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left"/>
              <w:textAlignment w:val="baseline"/>
              <w:rPr>
                <w:rFonts w:hint="default" w:ascii="仿宋" w:hAnsi="仿宋" w:eastAsia="仿宋" w:cs="Arial"/>
                <w:snapToGrid w:val="0"/>
                <w:color w:val="000000" w:themeColor="text1"/>
                <w:kern w:val="0"/>
                <w:sz w:val="24"/>
                <w:szCs w:val="28"/>
                <w:lang w:val="en-US" w:eastAsia="zh-CN"/>
                <w14:textFill>
                  <w14:solidFill>
                    <w14:schemeClr w14:val="tx1"/>
                  </w14:solidFill>
                </w14:textFill>
              </w:rPr>
            </w:pPr>
            <w:r>
              <w:rPr>
                <w:rFonts w:hint="eastAsia" w:ascii="仿宋" w:hAnsi="仿宋" w:eastAsia="仿宋" w:cs="Arial"/>
                <w:snapToGrid w:val="0"/>
                <w:color w:val="000000" w:themeColor="text1"/>
                <w:kern w:val="0"/>
                <w:sz w:val="24"/>
                <w:szCs w:val="28"/>
                <w14:textFill>
                  <w14:solidFill>
                    <w14:schemeClr w14:val="tx1"/>
                  </w14:solidFill>
                </w14:textFill>
              </w:rPr>
              <w:t>供应商须完全满足</w:t>
            </w:r>
            <w:r>
              <w:rPr>
                <w:rFonts w:hint="eastAsia" w:ascii="仿宋" w:hAnsi="仿宋" w:eastAsia="仿宋" w:cs="Arial"/>
                <w:snapToGrid w:val="0"/>
                <w:color w:val="000000" w:themeColor="text1"/>
                <w:kern w:val="0"/>
                <w:sz w:val="24"/>
                <w:szCs w:val="28"/>
                <w:lang w:eastAsia="zh-CN"/>
                <w14:textFill>
                  <w14:solidFill>
                    <w14:schemeClr w14:val="tx1"/>
                  </w14:solidFill>
                </w14:textFill>
              </w:rPr>
              <w:t>竞争性</w:t>
            </w:r>
            <w:r>
              <w:rPr>
                <w:rFonts w:hint="eastAsia" w:ascii="仿宋" w:hAnsi="仿宋" w:eastAsia="仿宋" w:cs="Arial"/>
                <w:snapToGrid w:val="0"/>
                <w:color w:val="000000" w:themeColor="text1"/>
                <w:kern w:val="0"/>
                <w:sz w:val="24"/>
                <w:szCs w:val="28"/>
                <w14:textFill>
                  <w14:solidFill>
                    <w14:schemeClr w14:val="tx1"/>
                  </w14:solidFill>
                </w14:textFill>
              </w:rPr>
              <w:t>磋商文件“第五章 采购需求</w:t>
            </w:r>
            <w:r>
              <w:rPr>
                <w:rFonts w:hint="eastAsia" w:ascii="仿宋" w:hAnsi="仿宋" w:eastAsia="仿宋" w:cs="Arial"/>
                <w:snapToGrid w:val="0"/>
                <w:color w:val="000000" w:themeColor="text1"/>
                <w:kern w:val="0"/>
                <w:sz w:val="24"/>
                <w:szCs w:val="28"/>
                <w:lang w:eastAsia="zh-CN"/>
                <w14:textFill>
                  <w14:solidFill>
                    <w14:schemeClr w14:val="tx1"/>
                  </w14:solidFill>
                </w14:textFill>
              </w:rPr>
              <w:t>（二）</w:t>
            </w: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技术要</w:t>
            </w:r>
            <w:r>
              <w:rPr>
                <w:rFonts w:hint="eastAsia" w:ascii="仿宋" w:hAnsi="仿宋" w:eastAsia="仿宋" w:cs="Arial"/>
                <w:snapToGrid w:val="0"/>
                <w:color w:val="000000" w:themeColor="text1"/>
                <w:kern w:val="0"/>
                <w:sz w:val="24"/>
                <w:szCs w:val="28"/>
                <w14:textFill>
                  <w14:solidFill>
                    <w14:schemeClr w14:val="tx1"/>
                  </w14:solidFill>
                </w14:textFill>
              </w:rPr>
              <w:t>求”</w:t>
            </w: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的得15分</w:t>
            </w:r>
            <w:r>
              <w:rPr>
                <w:rFonts w:hint="eastAsia" w:ascii="仿宋" w:hAnsi="仿宋" w:eastAsia="仿宋" w:cs="Arial"/>
                <w:snapToGrid w:val="0"/>
                <w:color w:val="000000" w:themeColor="text1"/>
                <w:kern w:val="0"/>
                <w:sz w:val="24"/>
                <w:szCs w:val="28"/>
                <w14:textFill>
                  <w14:solidFill>
                    <w14:schemeClr w14:val="tx1"/>
                  </w14:solidFill>
                </w14:textFill>
              </w:rPr>
              <w:t>，其中的任意一项出现负偏离或不响应则</w:t>
            </w: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本项不得分。</w:t>
            </w:r>
          </w:p>
          <w:p w14:paraId="571CCEE6">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left"/>
              <w:textAlignment w:val="baseline"/>
              <w:rPr>
                <w:rFonts w:hint="eastAsia" w:ascii="仿宋" w:hAnsi="仿宋" w:eastAsia="仿宋" w:cs="Arial"/>
                <w:snapToGrid w:val="0"/>
                <w:color w:val="000000" w:themeColor="text1"/>
                <w:kern w:val="0"/>
                <w:sz w:val="24"/>
                <w:szCs w:val="28"/>
                <w14:textFill>
                  <w14:solidFill>
                    <w14:schemeClr w14:val="tx1"/>
                  </w14:solidFill>
                </w14:textFill>
              </w:rPr>
            </w:pPr>
            <w:r>
              <w:rPr>
                <w:rFonts w:hint="eastAsia" w:ascii="仿宋" w:hAnsi="仿宋" w:eastAsia="仿宋" w:cs="Arial"/>
                <w:b/>
                <w:bCs/>
                <w:snapToGrid w:val="0"/>
                <w:color w:val="000000" w:themeColor="text1"/>
                <w:kern w:val="0"/>
                <w:sz w:val="24"/>
                <w:szCs w:val="28"/>
                <w14:textFill>
                  <w14:solidFill>
                    <w14:schemeClr w14:val="tx1"/>
                  </w14:solidFill>
                </w14:textFill>
              </w:rPr>
              <w:t>评审依据：响应文件中服务</w:t>
            </w:r>
            <w:r>
              <w:rPr>
                <w:rFonts w:hint="eastAsia" w:ascii="仿宋" w:hAnsi="仿宋" w:eastAsia="仿宋" w:cs="Arial"/>
                <w:b/>
                <w:bCs/>
                <w:snapToGrid w:val="0"/>
                <w:color w:val="000000" w:themeColor="text1"/>
                <w:kern w:val="0"/>
                <w:sz w:val="24"/>
                <w:szCs w:val="28"/>
                <w:lang w:val="en-US" w:eastAsia="zh-CN"/>
                <w14:textFill>
                  <w14:solidFill>
                    <w14:schemeClr w14:val="tx1"/>
                  </w14:solidFill>
                </w14:textFill>
              </w:rPr>
              <w:t>要求技术</w:t>
            </w:r>
            <w:r>
              <w:rPr>
                <w:rFonts w:hint="eastAsia" w:ascii="仿宋" w:hAnsi="仿宋" w:eastAsia="仿宋" w:cs="Arial"/>
                <w:b/>
                <w:bCs/>
                <w:snapToGrid w:val="0"/>
                <w:color w:val="000000" w:themeColor="text1"/>
                <w:kern w:val="0"/>
                <w:sz w:val="24"/>
                <w:szCs w:val="28"/>
                <w14:textFill>
                  <w14:solidFill>
                    <w14:schemeClr w14:val="tx1"/>
                  </w14:solidFill>
                </w14:textFill>
              </w:rPr>
              <w:t>偏离表。</w:t>
            </w:r>
          </w:p>
        </w:tc>
      </w:tr>
      <w:tr w14:paraId="6ECB6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 w:type="pct"/>
            <w:noWrap w:val="0"/>
            <w:vAlign w:val="center"/>
          </w:tcPr>
          <w:p w14:paraId="351D6D78">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center"/>
              <w:textAlignment w:val="baseline"/>
              <w:rPr>
                <w:rFonts w:hint="default" w:ascii="仿宋" w:hAnsi="仿宋" w:eastAsia="仿宋" w:cs="Arial"/>
                <w:snapToGrid w:val="0"/>
                <w:color w:val="000000" w:themeColor="text1"/>
                <w:kern w:val="0"/>
                <w:sz w:val="24"/>
                <w:szCs w:val="28"/>
                <w:lang w:val="en-US" w:eastAsia="zh-CN"/>
                <w14:textFill>
                  <w14:solidFill>
                    <w14:schemeClr w14:val="tx1"/>
                  </w14:solidFill>
                </w14:textFill>
              </w:rPr>
            </w:pP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服务方案</w:t>
            </w:r>
          </w:p>
        </w:tc>
        <w:tc>
          <w:tcPr>
            <w:tcW w:w="456" w:type="pct"/>
            <w:noWrap w:val="0"/>
            <w:vAlign w:val="center"/>
          </w:tcPr>
          <w:p w14:paraId="235BFB92">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center"/>
              <w:textAlignment w:val="baseline"/>
              <w:rPr>
                <w:rFonts w:hint="default" w:ascii="仿宋" w:hAnsi="仿宋" w:eastAsia="仿宋" w:cs="Arial"/>
                <w:snapToGrid w:val="0"/>
                <w:color w:val="000000" w:themeColor="text1"/>
                <w:kern w:val="0"/>
                <w:sz w:val="24"/>
                <w:szCs w:val="28"/>
                <w:lang w:val="en-US" w:eastAsia="zh-CN"/>
                <w14:textFill>
                  <w14:solidFill>
                    <w14:schemeClr w14:val="tx1"/>
                  </w14:solidFill>
                </w14:textFill>
              </w:rPr>
            </w:pP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10分</w:t>
            </w:r>
          </w:p>
        </w:tc>
        <w:tc>
          <w:tcPr>
            <w:tcW w:w="3625" w:type="pct"/>
            <w:noWrap w:val="0"/>
            <w:vAlign w:val="center"/>
          </w:tcPr>
          <w:p w14:paraId="6D58199B">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left"/>
              <w:textAlignment w:val="baseline"/>
              <w:rPr>
                <w:rFonts w:hint="eastAsia" w:ascii="仿宋" w:hAnsi="仿宋" w:eastAsia="仿宋" w:cs="Arial"/>
                <w:b/>
                <w:bCs/>
                <w:snapToGrid w:val="0"/>
                <w:color w:val="000000" w:themeColor="text1"/>
                <w:kern w:val="0"/>
                <w:sz w:val="24"/>
                <w:szCs w:val="28"/>
                <w:lang w:val="en-US" w:eastAsia="zh-CN"/>
                <w14:textFill>
                  <w14:solidFill>
                    <w14:schemeClr w14:val="tx1"/>
                  </w14:solidFill>
                </w14:textFill>
              </w:rPr>
            </w:pP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供应商针对本项目提供服务方案，方案内容包含但不限于：①项目服务方案；②人员安全保障；③服务质量保障措施；④售后服务方案；⑤</w:t>
            </w:r>
            <w:r>
              <w:rPr>
                <w:rFonts w:hint="eastAsia" w:ascii="仿宋" w:hAnsi="仿宋" w:eastAsia="仿宋" w:cs="Arial"/>
                <w:snapToGrid w:val="0"/>
                <w:color w:val="000000" w:themeColor="text1"/>
                <w:kern w:val="0"/>
                <w:sz w:val="24"/>
                <w:szCs w:val="28"/>
                <w14:textFill>
                  <w14:solidFill>
                    <w14:schemeClr w14:val="tx1"/>
                  </w14:solidFill>
                </w14:textFill>
              </w:rPr>
              <w:t>日常运作（</w:t>
            </w: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包含但不限于：</w:t>
            </w:r>
            <w:r>
              <w:rPr>
                <w:rFonts w:hint="eastAsia" w:ascii="仿宋" w:hAnsi="仿宋" w:eastAsia="仿宋" w:cs="Arial"/>
                <w:snapToGrid w:val="0"/>
                <w:color w:val="000000" w:themeColor="text1"/>
                <w:kern w:val="0"/>
                <w:sz w:val="24"/>
                <w:szCs w:val="28"/>
                <w14:textFill>
                  <w14:solidFill>
                    <w14:schemeClr w14:val="tx1"/>
                  </w14:solidFill>
                </w14:textFill>
              </w:rPr>
              <w:t>接</w:t>
            </w: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单</w:t>
            </w:r>
            <w:r>
              <w:rPr>
                <w:rFonts w:hint="eastAsia" w:ascii="仿宋" w:hAnsi="仿宋" w:eastAsia="仿宋" w:cs="Arial"/>
                <w:snapToGrid w:val="0"/>
                <w:color w:val="000000" w:themeColor="text1"/>
                <w:kern w:val="0"/>
                <w:sz w:val="24"/>
                <w:szCs w:val="28"/>
                <w14:textFill>
                  <w14:solidFill>
                    <w14:schemeClr w14:val="tx1"/>
                  </w14:solidFill>
                </w14:textFill>
              </w:rPr>
              <w:t>、</w:t>
            </w: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送检</w:t>
            </w:r>
            <w:r>
              <w:rPr>
                <w:rFonts w:hint="eastAsia" w:ascii="仿宋" w:hAnsi="仿宋" w:eastAsia="仿宋" w:cs="Arial"/>
                <w:snapToGrid w:val="0"/>
                <w:color w:val="000000" w:themeColor="text1"/>
                <w:kern w:val="0"/>
                <w:sz w:val="24"/>
                <w:szCs w:val="28"/>
                <w14:textFill>
                  <w14:solidFill>
                    <w14:schemeClr w14:val="tx1"/>
                  </w14:solidFill>
                </w14:textFill>
              </w:rPr>
              <w:t>、交车、</w:t>
            </w: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等</w:t>
            </w:r>
            <w:r>
              <w:rPr>
                <w:rFonts w:hint="eastAsia" w:ascii="仿宋" w:hAnsi="仿宋" w:eastAsia="仿宋" w:cs="Arial"/>
                <w:snapToGrid w:val="0"/>
                <w:color w:val="000000" w:themeColor="text1"/>
                <w:kern w:val="0"/>
                <w:sz w:val="24"/>
                <w:szCs w:val="28"/>
                <w14:textFill>
                  <w14:solidFill>
                    <w14:schemeClr w14:val="tx1"/>
                  </w14:solidFill>
                </w14:textFill>
              </w:rPr>
              <w:t>）</w:t>
            </w: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w:t>
            </w:r>
            <w:r>
              <w:rPr>
                <w:rFonts w:hint="eastAsia" w:ascii="仿宋" w:hAnsi="仿宋" w:eastAsia="仿宋" w:cs="Arial"/>
                <w:snapToGrid w:val="0"/>
                <w:color w:val="000000" w:themeColor="text1"/>
                <w:kern w:val="0"/>
                <w:sz w:val="24"/>
                <w:szCs w:val="28"/>
                <w14:textFill>
                  <w14:solidFill>
                    <w14:schemeClr w14:val="tx1"/>
                  </w14:solidFill>
                </w14:textFill>
              </w:rPr>
              <w:t>根据提供的方案内容进行评分，每一项内容完整、符合采购需求得</w:t>
            </w: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2</w:t>
            </w:r>
            <w:r>
              <w:rPr>
                <w:rFonts w:hint="eastAsia" w:ascii="仿宋" w:hAnsi="仿宋" w:eastAsia="仿宋" w:cs="Arial"/>
                <w:snapToGrid w:val="0"/>
                <w:color w:val="000000" w:themeColor="text1"/>
                <w:kern w:val="0"/>
                <w:sz w:val="24"/>
                <w:szCs w:val="28"/>
                <w14:textFill>
                  <w14:solidFill>
                    <w14:schemeClr w14:val="tx1"/>
                  </w14:solidFill>
                </w14:textFill>
              </w:rPr>
              <w:t>分，</w:t>
            </w:r>
            <w:r>
              <w:rPr>
                <w:rFonts w:hint="eastAsia" w:ascii="仿宋" w:hAnsi="仿宋" w:eastAsia="仿宋" w:cs="Arial"/>
                <w:b/>
                <w:bCs/>
                <w:snapToGrid w:val="0"/>
                <w:color w:val="000000" w:themeColor="text1"/>
                <w:kern w:val="0"/>
                <w:sz w:val="24"/>
                <w:szCs w:val="28"/>
                <w:lang w:val="en-US" w:eastAsia="zh-CN"/>
                <w14:textFill>
                  <w14:solidFill>
                    <w14:schemeClr w14:val="tx1"/>
                  </w14:solidFill>
                </w14:textFill>
              </w:rPr>
              <w:t>本项最高得10分。</w:t>
            </w:r>
          </w:p>
          <w:p w14:paraId="15142BD9">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left"/>
              <w:textAlignment w:val="baseline"/>
              <w:rPr>
                <w:rFonts w:hint="eastAsia" w:ascii="仿宋" w:hAnsi="仿宋" w:eastAsia="仿宋" w:cs="Arial"/>
                <w:snapToGrid w:val="0"/>
                <w:color w:val="000000" w:themeColor="text1"/>
                <w:kern w:val="0"/>
                <w:sz w:val="24"/>
                <w:szCs w:val="28"/>
                <w14:textFill>
                  <w14:solidFill>
                    <w14:schemeClr w14:val="tx1"/>
                  </w14:solidFill>
                </w14:textFill>
              </w:rPr>
            </w:pPr>
            <w:r>
              <w:rPr>
                <w:rFonts w:hint="eastAsia" w:ascii="仿宋" w:hAnsi="仿宋" w:eastAsia="仿宋" w:cs="Arial"/>
                <w:b/>
                <w:bCs/>
                <w:snapToGrid w:val="0"/>
                <w:color w:val="000000" w:themeColor="text1"/>
                <w:kern w:val="0"/>
                <w:sz w:val="24"/>
                <w:szCs w:val="28"/>
                <w:lang w:val="en-US" w:eastAsia="zh-CN"/>
                <w14:textFill>
                  <w14:solidFill>
                    <w14:schemeClr w14:val="tx1"/>
                  </w14:solidFill>
                </w14:textFill>
              </w:rPr>
              <w:t>评审依据：提供服务方案并加盖单位公章，未提供不得分。</w:t>
            </w:r>
          </w:p>
        </w:tc>
      </w:tr>
      <w:tr w14:paraId="456C2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8" w:type="pct"/>
            <w:noWrap w:val="0"/>
            <w:vAlign w:val="center"/>
          </w:tcPr>
          <w:p w14:paraId="64219E25">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leftChars="0" w:right="0" w:rightChars="0"/>
              <w:jc w:val="center"/>
              <w:textAlignment w:val="baseline"/>
              <w:rPr>
                <w:rFonts w:hint="eastAsia" w:ascii="仿宋" w:hAnsi="仿宋" w:eastAsia="仿宋" w:cs="Arial"/>
                <w:snapToGrid w:val="0"/>
                <w:color w:val="000000" w:themeColor="text1"/>
                <w:kern w:val="0"/>
                <w:sz w:val="24"/>
                <w:szCs w:val="28"/>
                <w:lang w:val="en-US" w:eastAsia="zh-CN" w:bidi="ar-SA"/>
                <w14:textFill>
                  <w14:solidFill>
                    <w14:schemeClr w14:val="tx1"/>
                  </w14:solidFill>
                </w14:textFill>
              </w:rPr>
            </w:pPr>
            <w:r>
              <w:rPr>
                <w:rFonts w:hint="eastAsia" w:ascii="仿宋" w:hAnsi="仿宋" w:eastAsia="仿宋" w:cs="Arial"/>
                <w:snapToGrid w:val="0"/>
                <w:color w:val="000000" w:themeColor="text1"/>
                <w:kern w:val="0"/>
                <w:sz w:val="24"/>
                <w:szCs w:val="28"/>
                <w14:textFill>
                  <w14:solidFill>
                    <w14:schemeClr w14:val="tx1"/>
                  </w14:solidFill>
                </w14:textFill>
              </w:rPr>
              <w:t>安全责任</w:t>
            </w:r>
          </w:p>
        </w:tc>
        <w:tc>
          <w:tcPr>
            <w:tcW w:w="456" w:type="pct"/>
            <w:noWrap w:val="0"/>
            <w:vAlign w:val="center"/>
          </w:tcPr>
          <w:p w14:paraId="2DD2B055">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leftChars="0" w:right="0" w:rightChars="0"/>
              <w:jc w:val="center"/>
              <w:textAlignment w:val="baseline"/>
              <w:rPr>
                <w:rFonts w:hint="default" w:ascii="仿宋" w:hAnsi="仿宋" w:eastAsia="仿宋" w:cs="Arial"/>
                <w:snapToGrid w:val="0"/>
                <w:color w:val="000000" w:themeColor="text1"/>
                <w:kern w:val="0"/>
                <w:sz w:val="24"/>
                <w:szCs w:val="28"/>
                <w:lang w:val="en-US" w:eastAsia="zh-CN" w:bidi="ar-SA"/>
                <w14:textFill>
                  <w14:solidFill>
                    <w14:schemeClr w14:val="tx1"/>
                  </w14:solidFill>
                </w14:textFill>
              </w:rPr>
            </w:pP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5</w:t>
            </w:r>
            <w:r>
              <w:rPr>
                <w:rFonts w:hint="eastAsia" w:ascii="仿宋" w:hAnsi="仿宋" w:eastAsia="仿宋" w:cs="Arial"/>
                <w:snapToGrid w:val="0"/>
                <w:color w:val="000000" w:themeColor="text1"/>
                <w:kern w:val="0"/>
                <w:sz w:val="24"/>
                <w:szCs w:val="28"/>
                <w14:textFill>
                  <w14:solidFill>
                    <w14:schemeClr w14:val="tx1"/>
                  </w14:solidFill>
                </w14:textFill>
              </w:rPr>
              <w:t>分</w:t>
            </w:r>
          </w:p>
        </w:tc>
        <w:tc>
          <w:tcPr>
            <w:tcW w:w="3625" w:type="pct"/>
            <w:noWrap w:val="0"/>
            <w:vAlign w:val="center"/>
          </w:tcPr>
          <w:p w14:paraId="65A2EE60">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left"/>
              <w:textAlignment w:val="baseline"/>
              <w:rPr>
                <w:rFonts w:hint="eastAsia" w:ascii="仿宋" w:hAnsi="仿宋" w:eastAsia="仿宋" w:cs="Arial"/>
                <w:snapToGrid w:val="0"/>
                <w:color w:val="000000" w:themeColor="text1"/>
                <w:kern w:val="0"/>
                <w:sz w:val="24"/>
                <w:szCs w:val="28"/>
                <w14:textFill>
                  <w14:solidFill>
                    <w14:schemeClr w14:val="tx1"/>
                  </w14:solidFill>
                </w14:textFill>
              </w:rPr>
            </w:pPr>
            <w:r>
              <w:rPr>
                <w:rFonts w:hint="eastAsia" w:ascii="仿宋" w:hAnsi="仿宋" w:eastAsia="仿宋" w:cs="Arial"/>
                <w:snapToGrid w:val="0"/>
                <w:color w:val="000000" w:themeColor="text1"/>
                <w:kern w:val="0"/>
                <w:sz w:val="24"/>
                <w:szCs w:val="28"/>
                <w14:textFill>
                  <w14:solidFill>
                    <w14:schemeClr w14:val="tx1"/>
                  </w14:solidFill>
                </w14:textFill>
              </w:rPr>
              <w:t>供应商承诺严格执行并承担与项目有关的安全责任，服务过程中，服务人员的工伤风险，由成交供应商自行承担，因意外事故或安全问题引发的人身伤亡和财产损失由供应商依法承担赔偿责任</w:t>
            </w:r>
            <w:r>
              <w:rPr>
                <w:rFonts w:hint="eastAsia" w:ascii="仿宋" w:hAnsi="仿宋" w:eastAsia="仿宋" w:cs="Arial"/>
                <w:snapToGrid w:val="0"/>
                <w:color w:val="000000" w:themeColor="text1"/>
                <w:kern w:val="0"/>
                <w:sz w:val="24"/>
                <w:szCs w:val="28"/>
                <w:lang w:eastAsia="zh-CN"/>
                <w14:textFill>
                  <w14:solidFill>
                    <w14:schemeClr w14:val="tx1"/>
                  </w14:solidFill>
                </w14:textFill>
              </w:rPr>
              <w:t>，</w:t>
            </w: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满足得5分</w:t>
            </w:r>
            <w:r>
              <w:rPr>
                <w:rFonts w:hint="eastAsia" w:ascii="仿宋" w:hAnsi="仿宋" w:eastAsia="仿宋" w:cs="Arial"/>
                <w:snapToGrid w:val="0"/>
                <w:color w:val="000000" w:themeColor="text1"/>
                <w:kern w:val="0"/>
                <w:sz w:val="24"/>
                <w:szCs w:val="28"/>
                <w14:textFill>
                  <w14:solidFill>
                    <w14:schemeClr w14:val="tx1"/>
                  </w14:solidFill>
                </w14:textFill>
              </w:rPr>
              <w:t>。</w:t>
            </w:r>
          </w:p>
          <w:p w14:paraId="65F2A01A">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leftChars="0" w:right="0" w:rightChars="0"/>
              <w:jc w:val="left"/>
              <w:textAlignment w:val="baseline"/>
              <w:rPr>
                <w:rFonts w:hint="eastAsia" w:ascii="仿宋" w:hAnsi="仿宋" w:eastAsia="仿宋" w:cs="Arial"/>
                <w:snapToGrid w:val="0"/>
                <w:color w:val="000000" w:themeColor="text1"/>
                <w:kern w:val="0"/>
                <w:sz w:val="24"/>
                <w:szCs w:val="28"/>
                <w:lang w:val="en-US" w:eastAsia="zh-CN" w:bidi="ar-SA"/>
                <w14:textFill>
                  <w14:solidFill>
                    <w14:schemeClr w14:val="tx1"/>
                  </w14:solidFill>
                </w14:textFill>
              </w:rPr>
            </w:pPr>
            <w:r>
              <w:rPr>
                <w:rFonts w:hint="eastAsia" w:ascii="仿宋" w:hAnsi="仿宋" w:eastAsia="仿宋" w:cs="Arial"/>
                <w:b/>
                <w:bCs/>
                <w:snapToGrid w:val="0"/>
                <w:color w:val="000000" w:themeColor="text1"/>
                <w:kern w:val="0"/>
                <w:sz w:val="24"/>
                <w:szCs w:val="28"/>
                <w14:textFill>
                  <w14:solidFill>
                    <w14:schemeClr w14:val="tx1"/>
                  </w14:solidFill>
                </w14:textFill>
              </w:rPr>
              <w:t>评审依据：须提供承诺函（格式自拟）加盖供应商单位公章，未提供者不得分。</w:t>
            </w:r>
          </w:p>
        </w:tc>
      </w:tr>
      <w:tr w14:paraId="6A621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918" w:type="pct"/>
            <w:noWrap w:val="0"/>
            <w:vAlign w:val="center"/>
          </w:tcPr>
          <w:p w14:paraId="3563A322">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center"/>
              <w:textAlignment w:val="baseline"/>
              <w:rPr>
                <w:rFonts w:hint="eastAsia" w:ascii="仿宋" w:hAnsi="仿宋" w:eastAsia="仿宋" w:cs="Arial"/>
                <w:b/>
                <w:bCs/>
                <w:snapToGrid w:val="0"/>
                <w:color w:val="000000" w:themeColor="text1"/>
                <w:kern w:val="0"/>
                <w:sz w:val="24"/>
                <w:szCs w:val="28"/>
                <w14:textFill>
                  <w14:solidFill>
                    <w14:schemeClr w14:val="tx1"/>
                  </w14:solidFill>
                </w14:textFill>
              </w:rPr>
            </w:pPr>
            <w:r>
              <w:rPr>
                <w:rFonts w:hint="eastAsia" w:ascii="仿宋" w:hAnsi="仿宋" w:eastAsia="仿宋" w:cs="Arial"/>
                <w:b/>
                <w:bCs/>
                <w:snapToGrid w:val="0"/>
                <w:color w:val="000000" w:themeColor="text1"/>
                <w:kern w:val="0"/>
                <w:sz w:val="24"/>
                <w:szCs w:val="28"/>
                <w14:textFill>
                  <w14:solidFill>
                    <w14:schemeClr w14:val="tx1"/>
                  </w14:solidFill>
                </w14:textFill>
              </w:rPr>
              <w:t>评审因素</w:t>
            </w:r>
          </w:p>
        </w:tc>
        <w:tc>
          <w:tcPr>
            <w:tcW w:w="4081" w:type="pct"/>
            <w:gridSpan w:val="2"/>
            <w:noWrap w:val="0"/>
            <w:vAlign w:val="center"/>
          </w:tcPr>
          <w:p w14:paraId="632A8C0F">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center"/>
              <w:textAlignment w:val="baseline"/>
              <w:rPr>
                <w:rFonts w:hint="eastAsia" w:ascii="仿宋" w:hAnsi="仿宋" w:eastAsia="仿宋" w:cs="Arial"/>
                <w:b/>
                <w:bCs/>
                <w:snapToGrid w:val="0"/>
                <w:color w:val="000000" w:themeColor="text1"/>
                <w:kern w:val="0"/>
                <w:sz w:val="24"/>
                <w:szCs w:val="28"/>
                <w14:textFill>
                  <w14:solidFill>
                    <w14:schemeClr w14:val="tx1"/>
                  </w14:solidFill>
                </w14:textFill>
              </w:rPr>
            </w:pPr>
            <w:r>
              <w:rPr>
                <w:rFonts w:hint="eastAsia" w:ascii="仿宋" w:hAnsi="仿宋" w:eastAsia="仿宋" w:cs="Arial"/>
                <w:b/>
                <w:bCs/>
                <w:snapToGrid w:val="0"/>
                <w:color w:val="000000" w:themeColor="text1"/>
                <w:kern w:val="0"/>
                <w:sz w:val="24"/>
                <w:szCs w:val="28"/>
                <w14:textFill>
                  <w14:solidFill>
                    <w14:schemeClr w14:val="tx1"/>
                  </w14:solidFill>
                </w14:textFill>
              </w:rPr>
              <w:t>商务评分（</w:t>
            </w:r>
            <w:r>
              <w:rPr>
                <w:rFonts w:hint="eastAsia" w:ascii="仿宋" w:hAnsi="仿宋" w:eastAsia="仿宋" w:cs="Arial"/>
                <w:b/>
                <w:bCs/>
                <w:snapToGrid w:val="0"/>
                <w:color w:val="000000" w:themeColor="text1"/>
                <w:kern w:val="0"/>
                <w:sz w:val="24"/>
                <w:szCs w:val="28"/>
                <w:lang w:val="en-US" w:eastAsia="zh-CN"/>
                <w14:textFill>
                  <w14:solidFill>
                    <w14:schemeClr w14:val="tx1"/>
                  </w14:solidFill>
                </w14:textFill>
              </w:rPr>
              <w:t>20</w:t>
            </w:r>
            <w:r>
              <w:rPr>
                <w:rFonts w:hint="eastAsia" w:ascii="仿宋" w:hAnsi="仿宋" w:eastAsia="仿宋" w:cs="Arial"/>
                <w:b/>
                <w:bCs/>
                <w:snapToGrid w:val="0"/>
                <w:color w:val="000000" w:themeColor="text1"/>
                <w:kern w:val="0"/>
                <w:sz w:val="24"/>
                <w:szCs w:val="28"/>
                <w14:textFill>
                  <w14:solidFill>
                    <w14:schemeClr w14:val="tx1"/>
                  </w14:solidFill>
                </w14:textFill>
              </w:rPr>
              <w:t>分）</w:t>
            </w:r>
          </w:p>
        </w:tc>
      </w:tr>
      <w:tr w14:paraId="4B433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trPr>
        <w:tc>
          <w:tcPr>
            <w:tcW w:w="918" w:type="pct"/>
            <w:noWrap w:val="0"/>
            <w:vAlign w:val="center"/>
          </w:tcPr>
          <w:p w14:paraId="2DB50FAE">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center"/>
              <w:textAlignment w:val="baseline"/>
              <w:rPr>
                <w:rFonts w:hint="eastAsia" w:ascii="仿宋" w:hAnsi="仿宋" w:eastAsia="仿宋" w:cs="Arial"/>
                <w:snapToGrid w:val="0"/>
                <w:color w:val="000000" w:themeColor="text1"/>
                <w:kern w:val="0"/>
                <w:sz w:val="24"/>
                <w:szCs w:val="28"/>
                <w14:textFill>
                  <w14:solidFill>
                    <w14:schemeClr w14:val="tx1"/>
                  </w14:solidFill>
                </w14:textFill>
              </w:rPr>
            </w:pPr>
            <w:r>
              <w:rPr>
                <w:rFonts w:hint="eastAsia" w:ascii="仿宋" w:hAnsi="仿宋" w:eastAsia="仿宋" w:cs="Arial"/>
                <w:snapToGrid w:val="0"/>
                <w:color w:val="000000" w:themeColor="text1"/>
                <w:kern w:val="0"/>
                <w:sz w:val="24"/>
                <w:szCs w:val="28"/>
                <w14:textFill>
                  <w14:solidFill>
                    <w14:schemeClr w14:val="tx1"/>
                  </w14:solidFill>
                </w14:textFill>
              </w:rPr>
              <w:t>商务符合性</w:t>
            </w:r>
          </w:p>
        </w:tc>
        <w:tc>
          <w:tcPr>
            <w:tcW w:w="456" w:type="pct"/>
            <w:noWrap w:val="0"/>
            <w:vAlign w:val="center"/>
          </w:tcPr>
          <w:p w14:paraId="73A4B258">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center"/>
              <w:textAlignment w:val="baseline"/>
              <w:rPr>
                <w:rFonts w:hint="default" w:ascii="仿宋" w:hAnsi="仿宋" w:eastAsia="仿宋" w:cs="Arial"/>
                <w:snapToGrid w:val="0"/>
                <w:color w:val="000000" w:themeColor="text1"/>
                <w:kern w:val="0"/>
                <w:sz w:val="24"/>
                <w:szCs w:val="28"/>
                <w:lang w:val="en-US" w:eastAsia="zh-CN"/>
                <w14:textFill>
                  <w14:solidFill>
                    <w14:schemeClr w14:val="tx1"/>
                  </w14:solidFill>
                </w14:textFill>
              </w:rPr>
            </w:pP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10分</w:t>
            </w:r>
          </w:p>
        </w:tc>
        <w:tc>
          <w:tcPr>
            <w:tcW w:w="3625" w:type="pct"/>
            <w:noWrap w:val="0"/>
            <w:vAlign w:val="center"/>
          </w:tcPr>
          <w:p w14:paraId="46506F51">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left"/>
              <w:textAlignment w:val="baseline"/>
              <w:rPr>
                <w:rFonts w:hint="eastAsia" w:ascii="仿宋" w:hAnsi="仿宋" w:eastAsia="仿宋" w:cs="Arial"/>
                <w:snapToGrid w:val="0"/>
                <w:color w:val="000000" w:themeColor="text1"/>
                <w:kern w:val="0"/>
                <w:sz w:val="24"/>
                <w:szCs w:val="28"/>
                <w14:textFill>
                  <w14:solidFill>
                    <w14:schemeClr w14:val="tx1"/>
                  </w14:solidFill>
                </w14:textFill>
              </w:rPr>
            </w:pPr>
            <w:r>
              <w:rPr>
                <w:rFonts w:hint="eastAsia" w:ascii="仿宋" w:hAnsi="仿宋" w:eastAsia="仿宋" w:cs="Arial"/>
                <w:snapToGrid w:val="0"/>
                <w:color w:val="000000" w:themeColor="text1"/>
                <w:kern w:val="0"/>
                <w:sz w:val="24"/>
                <w:szCs w:val="28"/>
                <w14:textFill>
                  <w14:solidFill>
                    <w14:schemeClr w14:val="tx1"/>
                  </w14:solidFill>
                </w14:textFill>
              </w:rPr>
              <w:t xml:space="preserve">供应商须完全满足磋商文件“第五章 采购需求 </w:t>
            </w:r>
            <w:r>
              <w:rPr>
                <w:rFonts w:hint="eastAsia" w:ascii="仿宋" w:hAnsi="仿宋" w:eastAsia="仿宋" w:cs="Arial"/>
                <w:snapToGrid w:val="0"/>
                <w:color w:val="000000" w:themeColor="text1"/>
                <w:kern w:val="0"/>
                <w:sz w:val="24"/>
                <w:szCs w:val="28"/>
                <w:lang w:eastAsia="zh-CN"/>
                <w14:textFill>
                  <w14:solidFill>
                    <w14:schemeClr w14:val="tx1"/>
                  </w14:solidFill>
                </w14:textFill>
              </w:rPr>
              <w:t>（一）</w:t>
            </w:r>
            <w:r>
              <w:rPr>
                <w:rFonts w:hint="eastAsia" w:ascii="仿宋" w:hAnsi="仿宋" w:eastAsia="仿宋" w:cs="Arial"/>
                <w:snapToGrid w:val="0"/>
                <w:color w:val="000000" w:themeColor="text1"/>
                <w:kern w:val="0"/>
                <w:sz w:val="24"/>
                <w:szCs w:val="28"/>
                <w14:textFill>
                  <w14:solidFill>
                    <w14:schemeClr w14:val="tx1"/>
                  </w14:solidFill>
                </w14:textFill>
              </w:rPr>
              <w:t>商务</w:t>
            </w: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要求</w:t>
            </w:r>
            <w:r>
              <w:rPr>
                <w:rFonts w:hint="eastAsia" w:ascii="仿宋" w:hAnsi="仿宋" w:eastAsia="仿宋" w:cs="Arial"/>
                <w:snapToGrid w:val="0"/>
                <w:color w:val="000000" w:themeColor="text1"/>
                <w:kern w:val="0"/>
                <w:sz w:val="24"/>
                <w:szCs w:val="28"/>
                <w14:textFill>
                  <w14:solidFill>
                    <w14:schemeClr w14:val="tx1"/>
                  </w14:solidFill>
                </w14:textFill>
              </w:rPr>
              <w:t>”</w:t>
            </w: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的得10分</w:t>
            </w:r>
            <w:r>
              <w:rPr>
                <w:rFonts w:hint="eastAsia" w:ascii="仿宋" w:hAnsi="仿宋" w:eastAsia="仿宋" w:cs="Arial"/>
                <w:snapToGrid w:val="0"/>
                <w:color w:val="000000" w:themeColor="text1"/>
                <w:kern w:val="0"/>
                <w:sz w:val="24"/>
                <w:szCs w:val="28"/>
                <w14:textFill>
                  <w14:solidFill>
                    <w14:schemeClr w14:val="tx1"/>
                  </w14:solidFill>
                </w14:textFill>
              </w:rPr>
              <w:t>，其中的任意一项出现负偏离或不响应则</w:t>
            </w: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本项不得分</w:t>
            </w:r>
            <w:r>
              <w:rPr>
                <w:rFonts w:hint="eastAsia" w:ascii="仿宋" w:hAnsi="仿宋" w:eastAsia="仿宋" w:cs="Arial"/>
                <w:snapToGrid w:val="0"/>
                <w:color w:val="000000" w:themeColor="text1"/>
                <w:kern w:val="0"/>
                <w:sz w:val="24"/>
                <w:szCs w:val="28"/>
                <w14:textFill>
                  <w14:solidFill>
                    <w14:schemeClr w14:val="tx1"/>
                  </w14:solidFill>
                </w14:textFill>
              </w:rPr>
              <w:t>。</w:t>
            </w:r>
          </w:p>
          <w:p w14:paraId="25E14F53">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left"/>
              <w:textAlignment w:val="baseline"/>
              <w:rPr>
                <w:rFonts w:hint="eastAsia" w:ascii="仿宋" w:hAnsi="仿宋" w:eastAsia="仿宋" w:cs="Arial"/>
                <w:snapToGrid w:val="0"/>
                <w:color w:val="000000" w:themeColor="text1"/>
                <w:kern w:val="0"/>
                <w:sz w:val="24"/>
                <w:szCs w:val="28"/>
                <w14:textFill>
                  <w14:solidFill>
                    <w14:schemeClr w14:val="tx1"/>
                  </w14:solidFill>
                </w14:textFill>
              </w:rPr>
            </w:pPr>
            <w:r>
              <w:rPr>
                <w:rFonts w:hint="eastAsia" w:ascii="仿宋" w:hAnsi="仿宋" w:eastAsia="仿宋" w:cs="Arial"/>
                <w:b/>
                <w:bCs/>
                <w:snapToGrid w:val="0"/>
                <w:color w:val="000000" w:themeColor="text1"/>
                <w:kern w:val="0"/>
                <w:sz w:val="24"/>
                <w:szCs w:val="28"/>
                <w14:textFill>
                  <w14:solidFill>
                    <w14:schemeClr w14:val="tx1"/>
                  </w14:solidFill>
                </w14:textFill>
              </w:rPr>
              <w:t>评审依据：响应文件中提供的商务</w:t>
            </w:r>
            <w:r>
              <w:rPr>
                <w:rFonts w:hint="eastAsia" w:ascii="仿宋" w:hAnsi="仿宋" w:eastAsia="仿宋" w:cs="Arial"/>
                <w:b/>
                <w:bCs/>
                <w:snapToGrid w:val="0"/>
                <w:color w:val="000000" w:themeColor="text1"/>
                <w:kern w:val="0"/>
                <w:sz w:val="24"/>
                <w:szCs w:val="28"/>
                <w:lang w:val="en-US" w:eastAsia="zh-CN"/>
                <w14:textFill>
                  <w14:solidFill>
                    <w14:schemeClr w14:val="tx1"/>
                  </w14:solidFill>
                </w14:textFill>
              </w:rPr>
              <w:t>要求</w:t>
            </w:r>
            <w:r>
              <w:rPr>
                <w:rFonts w:hint="eastAsia" w:ascii="仿宋" w:hAnsi="仿宋" w:eastAsia="仿宋" w:cs="Arial"/>
                <w:b/>
                <w:bCs/>
                <w:snapToGrid w:val="0"/>
                <w:color w:val="000000" w:themeColor="text1"/>
                <w:kern w:val="0"/>
                <w:sz w:val="24"/>
                <w:szCs w:val="28"/>
                <w14:textFill>
                  <w14:solidFill>
                    <w14:schemeClr w14:val="tx1"/>
                  </w14:solidFill>
                </w14:textFill>
              </w:rPr>
              <w:t>响应/偏离表。</w:t>
            </w:r>
          </w:p>
        </w:tc>
      </w:tr>
      <w:tr w14:paraId="5E488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trPr>
        <w:tc>
          <w:tcPr>
            <w:tcW w:w="918" w:type="pct"/>
            <w:noWrap w:val="0"/>
            <w:vAlign w:val="center"/>
          </w:tcPr>
          <w:p w14:paraId="6815AC54">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center"/>
              <w:textAlignment w:val="baseline"/>
              <w:rPr>
                <w:rFonts w:hint="default" w:ascii="仿宋" w:hAnsi="仿宋" w:eastAsia="仿宋" w:cs="Arial"/>
                <w:snapToGrid w:val="0"/>
                <w:color w:val="000000" w:themeColor="text1"/>
                <w:kern w:val="0"/>
                <w:sz w:val="24"/>
                <w:szCs w:val="28"/>
                <w:lang w:val="en-US" w:eastAsia="zh-CN"/>
                <w14:textFill>
                  <w14:solidFill>
                    <w14:schemeClr w14:val="tx1"/>
                  </w14:solidFill>
                </w14:textFill>
              </w:rPr>
            </w:pP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团队人员</w:t>
            </w:r>
          </w:p>
        </w:tc>
        <w:tc>
          <w:tcPr>
            <w:tcW w:w="456" w:type="pct"/>
            <w:noWrap w:val="0"/>
            <w:vAlign w:val="center"/>
          </w:tcPr>
          <w:p w14:paraId="4D98DCC4">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center"/>
              <w:textAlignment w:val="baseline"/>
              <w:rPr>
                <w:rFonts w:hint="default" w:ascii="仿宋" w:hAnsi="仿宋" w:eastAsia="仿宋" w:cs="Arial"/>
                <w:snapToGrid w:val="0"/>
                <w:color w:val="000000" w:themeColor="text1"/>
                <w:kern w:val="0"/>
                <w:sz w:val="24"/>
                <w:szCs w:val="28"/>
                <w:lang w:val="en-US" w:eastAsia="zh-CN"/>
                <w14:textFill>
                  <w14:solidFill>
                    <w14:schemeClr w14:val="tx1"/>
                  </w14:solidFill>
                </w14:textFill>
              </w:rPr>
            </w:pP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5分</w:t>
            </w:r>
          </w:p>
        </w:tc>
        <w:tc>
          <w:tcPr>
            <w:tcW w:w="3625" w:type="pct"/>
            <w:noWrap w:val="0"/>
            <w:vAlign w:val="center"/>
          </w:tcPr>
          <w:p w14:paraId="036A1C11">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left"/>
              <w:textAlignment w:val="baseline"/>
              <w:rPr>
                <w:rFonts w:hint="default" w:ascii="仿宋" w:hAnsi="仿宋" w:eastAsia="仿宋" w:cs="Arial"/>
                <w:snapToGrid w:val="0"/>
                <w:color w:val="000000" w:themeColor="text1"/>
                <w:kern w:val="0"/>
                <w:sz w:val="24"/>
                <w:szCs w:val="28"/>
                <w:lang w:val="en-US" w:eastAsia="zh-CN"/>
                <w14:textFill>
                  <w14:solidFill>
                    <w14:schemeClr w14:val="tx1"/>
                  </w14:solidFill>
                </w14:textFill>
              </w:rPr>
            </w:pP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服务团队成员人数不少于5人的得3分，在此基础上每增加1人加0.5分，最多加2分。本项最高得5分。</w:t>
            </w:r>
          </w:p>
          <w:p w14:paraId="69909911">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left"/>
              <w:textAlignment w:val="baseline"/>
              <w:rPr>
                <w:rFonts w:hint="eastAsia" w:ascii="仿宋" w:hAnsi="仿宋" w:eastAsia="仿宋" w:cs="Arial"/>
                <w:snapToGrid w:val="0"/>
                <w:color w:val="000000" w:themeColor="text1"/>
                <w:kern w:val="0"/>
                <w:sz w:val="24"/>
                <w:szCs w:val="28"/>
                <w:lang w:val="en-US" w:eastAsia="zh-CN"/>
                <w14:textFill>
                  <w14:solidFill>
                    <w14:schemeClr w14:val="tx1"/>
                  </w14:solidFill>
                </w14:textFill>
              </w:rPr>
            </w:pPr>
            <w:r>
              <w:rPr>
                <w:rFonts w:hint="eastAsia" w:ascii="仿宋" w:hAnsi="仿宋" w:eastAsia="仿宋" w:cs="Arial"/>
                <w:b/>
                <w:bCs/>
                <w:snapToGrid w:val="0"/>
                <w:color w:val="000000" w:themeColor="text1"/>
                <w:kern w:val="0"/>
                <w:sz w:val="24"/>
                <w:szCs w:val="28"/>
                <w:lang w:val="en-US" w:eastAsia="zh-CN"/>
                <w14:textFill>
                  <w14:solidFill>
                    <w14:schemeClr w14:val="tx1"/>
                  </w14:solidFill>
                </w14:textFill>
              </w:rPr>
              <w:t>评审依据：提供人员名单、身份证复印件及开标前六个月内任意一个月供应商为其缴纳的社保证明并加盖单位公章，否则不得分。</w:t>
            </w:r>
          </w:p>
        </w:tc>
      </w:tr>
      <w:tr w14:paraId="39468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trPr>
        <w:tc>
          <w:tcPr>
            <w:tcW w:w="918" w:type="pct"/>
            <w:noWrap w:val="0"/>
            <w:vAlign w:val="center"/>
          </w:tcPr>
          <w:p w14:paraId="2126395E">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center"/>
              <w:textAlignment w:val="baseline"/>
              <w:rPr>
                <w:rFonts w:hint="default" w:ascii="仿宋" w:hAnsi="仿宋" w:eastAsia="仿宋" w:cs="Arial"/>
                <w:snapToGrid w:val="0"/>
                <w:color w:val="000000" w:themeColor="text1"/>
                <w:kern w:val="0"/>
                <w:sz w:val="24"/>
                <w:szCs w:val="28"/>
                <w:lang w:val="en-US" w:eastAsia="zh-CN"/>
                <w14:textFill>
                  <w14:solidFill>
                    <w14:schemeClr w14:val="tx1"/>
                  </w14:solidFill>
                </w14:textFill>
              </w:rPr>
            </w:pP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响应承诺</w:t>
            </w:r>
          </w:p>
        </w:tc>
        <w:tc>
          <w:tcPr>
            <w:tcW w:w="456" w:type="pct"/>
            <w:noWrap w:val="0"/>
            <w:vAlign w:val="center"/>
          </w:tcPr>
          <w:p w14:paraId="46C1A84D">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center"/>
              <w:textAlignment w:val="baseline"/>
              <w:rPr>
                <w:rFonts w:hint="default" w:ascii="仿宋" w:hAnsi="仿宋" w:eastAsia="仿宋" w:cs="Arial"/>
                <w:snapToGrid w:val="0"/>
                <w:color w:val="000000" w:themeColor="text1"/>
                <w:kern w:val="0"/>
                <w:sz w:val="24"/>
                <w:szCs w:val="28"/>
                <w:lang w:val="en-US" w:eastAsia="zh-CN"/>
                <w14:textFill>
                  <w14:solidFill>
                    <w14:schemeClr w14:val="tx1"/>
                  </w14:solidFill>
                </w14:textFill>
              </w:rPr>
            </w:pP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5分</w:t>
            </w:r>
          </w:p>
        </w:tc>
        <w:tc>
          <w:tcPr>
            <w:tcW w:w="3625" w:type="pct"/>
            <w:noWrap w:val="0"/>
            <w:vAlign w:val="top"/>
          </w:tcPr>
          <w:p w14:paraId="6585E1F3">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left"/>
              <w:textAlignment w:val="baseline"/>
              <w:rPr>
                <w:rFonts w:hint="eastAsia" w:ascii="仿宋" w:hAnsi="仿宋" w:eastAsia="仿宋" w:cs="Arial"/>
                <w:snapToGrid w:val="0"/>
                <w:color w:val="000000" w:themeColor="text1"/>
                <w:kern w:val="0"/>
                <w:sz w:val="24"/>
                <w:szCs w:val="28"/>
                <w:lang w:val="en-US" w:eastAsia="zh-CN"/>
                <w14:textFill>
                  <w14:solidFill>
                    <w14:schemeClr w14:val="tx1"/>
                  </w14:solidFill>
                </w14:textFill>
              </w:rPr>
            </w:pPr>
            <w:r>
              <w:rPr>
                <w:rFonts w:hint="eastAsia" w:ascii="仿宋" w:hAnsi="仿宋" w:eastAsia="仿宋" w:cs="Arial"/>
                <w:snapToGrid w:val="0"/>
                <w:color w:val="000000" w:themeColor="text1"/>
                <w:kern w:val="0"/>
                <w:sz w:val="24"/>
                <w:szCs w:val="28"/>
                <w:lang w:val="en-US" w:eastAsia="zh-CN"/>
                <w14:textFill>
                  <w14:solidFill>
                    <w14:schemeClr w14:val="tx1"/>
                  </w14:solidFill>
                </w14:textFill>
              </w:rPr>
              <w:t>供应商在接到采购人服务通知后5天内完成采购人要求事宜的得2分，每提前1天完成的加0.5分，最多加3分。</w:t>
            </w:r>
            <w:r>
              <w:rPr>
                <w:rFonts w:hint="eastAsia" w:ascii="仿宋" w:hAnsi="仿宋" w:eastAsia="仿宋" w:cs="Arial"/>
                <w:b/>
                <w:bCs/>
                <w:snapToGrid w:val="0"/>
                <w:color w:val="000000" w:themeColor="text1"/>
                <w:kern w:val="0"/>
                <w:sz w:val="24"/>
                <w:szCs w:val="28"/>
                <w:lang w:val="en-US" w:eastAsia="zh-CN"/>
                <w14:textFill>
                  <w14:solidFill>
                    <w14:schemeClr w14:val="tx1"/>
                  </w14:solidFill>
                </w14:textFill>
              </w:rPr>
              <w:t>本项最高得5分。</w:t>
            </w:r>
          </w:p>
          <w:p w14:paraId="3DC215FE">
            <w:pPr>
              <w:keepNext w:val="0"/>
              <w:keepLines w:val="0"/>
              <w:widowControl/>
              <w:suppressLineNumbers w:val="0"/>
              <w:kinsoku w:val="0"/>
              <w:autoSpaceDE w:val="0"/>
              <w:autoSpaceDN w:val="0"/>
              <w:bidi w:val="0"/>
              <w:adjustRightInd w:val="0"/>
              <w:snapToGrid w:val="0"/>
              <w:spacing w:before="0" w:beforeAutospacing="0" w:after="0" w:afterAutospacing="0" w:line="540" w:lineRule="atLeast"/>
              <w:ind w:left="0" w:right="0"/>
              <w:jc w:val="both"/>
              <w:textAlignment w:val="baseline"/>
              <w:rPr>
                <w:rFonts w:hint="default" w:ascii="仿宋" w:hAnsi="仿宋" w:eastAsia="仿宋" w:cs="Arial"/>
                <w:snapToGrid w:val="0"/>
                <w:color w:val="000000" w:themeColor="text1"/>
                <w:kern w:val="0"/>
                <w:sz w:val="24"/>
                <w:szCs w:val="28"/>
                <w:lang w:val="en-US" w:eastAsia="zh-CN"/>
                <w14:textFill>
                  <w14:solidFill>
                    <w14:schemeClr w14:val="tx1"/>
                  </w14:solidFill>
                </w14:textFill>
              </w:rPr>
            </w:pPr>
            <w:r>
              <w:rPr>
                <w:rFonts w:hint="eastAsia" w:ascii="仿宋" w:hAnsi="仿宋" w:eastAsia="仿宋" w:cs="Arial"/>
                <w:b/>
                <w:bCs/>
                <w:snapToGrid w:val="0"/>
                <w:color w:val="000000" w:themeColor="text1"/>
                <w:kern w:val="0"/>
                <w:sz w:val="24"/>
                <w:szCs w:val="28"/>
                <w:lang w:val="en-US" w:eastAsia="zh-CN"/>
                <w14:textFill>
                  <w14:solidFill>
                    <w14:schemeClr w14:val="tx1"/>
                  </w14:solidFill>
                </w14:textFill>
              </w:rPr>
              <w:t>评审依据：提供承诺函并加盖单位公章。</w:t>
            </w:r>
          </w:p>
        </w:tc>
      </w:tr>
    </w:tbl>
    <w:p w14:paraId="62CF6FCD">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44F92539">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4FD49D62">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017E88C3">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4FC545BE">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58607BD7">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63F2A77B">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1FB302FF">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287E951D">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04B7F264">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5A3803B2">
      <w:pPr>
        <w:pStyle w:val="111"/>
        <w:tabs>
          <w:tab w:val="left" w:pos="0"/>
        </w:tabs>
        <w:adjustRightInd w:val="0"/>
        <w:snapToGrid w:val="0"/>
        <w:spacing w:line="360" w:lineRule="auto"/>
        <w:ind w:firstLine="480"/>
        <w:rPr>
          <w:rFonts w:ascii="仿宋" w:hAnsi="仿宋" w:eastAsia="仿宋" w:cs="仿宋"/>
          <w:color w:val="000000"/>
          <w:sz w:val="24"/>
          <w:szCs w:val="24"/>
          <w:highlight w:val="none"/>
        </w:rPr>
      </w:pPr>
    </w:p>
    <w:p w14:paraId="65DA349A">
      <w:pPr>
        <w:pStyle w:val="3"/>
        <w:numPr>
          <w:ilvl w:val="0"/>
          <w:numId w:val="0"/>
        </w:numPr>
        <w:spacing w:before="0" w:after="0" w:line="360" w:lineRule="auto"/>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br w:type="page"/>
      </w:r>
      <w:bookmarkStart w:id="137" w:name="_Toc15254"/>
      <w:r>
        <w:rPr>
          <w:rFonts w:hint="eastAsia" w:ascii="仿宋_GB2312" w:hAnsi="Times New Roman" w:eastAsia="仿宋_GB2312" w:cs="仿宋_GB2312"/>
          <w:b/>
          <w:bCs w:val="0"/>
          <w:kern w:val="2"/>
          <w:sz w:val="32"/>
          <w:szCs w:val="32"/>
          <w:lang w:val="en-US" w:eastAsia="zh-CN" w:bidi="ar-SA"/>
        </w:rPr>
        <w:t>第四章  合同条款</w:t>
      </w:r>
      <w:bookmarkEnd w:id="137"/>
    </w:p>
    <w:p w14:paraId="554CE6FE">
      <w:pPr>
        <w:widowControl w:val="0"/>
        <w:numPr>
          <w:ilvl w:val="0"/>
          <w:numId w:val="0"/>
        </w:numPr>
        <w:jc w:val="both"/>
        <w:rPr>
          <w:rFonts w:hint="eastAsia"/>
        </w:rPr>
      </w:pPr>
    </w:p>
    <w:p w14:paraId="7292DE44">
      <w:pPr>
        <w:keepNext w:val="0"/>
        <w:keepLines w:val="0"/>
        <w:widowControl/>
        <w:suppressLineNumbers w:val="0"/>
        <w:spacing w:before="0" w:beforeAutospacing="1" w:after="0" w:afterAutospacing="1" w:line="310" w:lineRule="exact"/>
        <w:ind w:left="0" w:right="0" w:firstLine="525"/>
        <w:jc w:val="left"/>
        <w:rPr>
          <w:rFonts w:hint="eastAsia" w:ascii="仿宋_GB2312" w:hAnsi="Times New Roman" w:eastAsia="仿宋_GB2312" w:cs="仿宋_GB2312"/>
          <w:b/>
          <w:bCs w:val="0"/>
          <w:kern w:val="2"/>
          <w:sz w:val="32"/>
          <w:szCs w:val="32"/>
          <w:lang w:bidi="ar-SA"/>
        </w:rPr>
      </w:pPr>
      <w:r>
        <w:rPr>
          <w:rFonts w:hint="eastAsia" w:ascii="仿宋_GB2312" w:hAnsi="Times New Roman" w:eastAsia="仿宋_GB2312" w:cs="仿宋_GB2312"/>
          <w:b/>
          <w:bCs w:val="0"/>
          <w:kern w:val="2"/>
          <w:sz w:val="32"/>
          <w:szCs w:val="32"/>
          <w:lang w:bidi="ar-SA"/>
        </w:rPr>
        <w:t>第一条 双方的权利和义务</w:t>
      </w:r>
    </w:p>
    <w:p w14:paraId="7E3D6B50">
      <w:pPr>
        <w:keepNext w:val="0"/>
        <w:keepLines w:val="0"/>
        <w:widowControl/>
        <w:suppressLineNumbers w:val="0"/>
        <w:spacing w:before="100" w:beforeAutospacing="1" w:after="100" w:afterAutospacing="1" w:line="600" w:lineRule="exact"/>
        <w:ind w:left="0" w:right="0"/>
        <w:jc w:val="left"/>
        <w:rPr>
          <w:rFonts w:hint="default" w:ascii="仿宋_GB2312" w:hAnsi="Times New Roman" w:eastAsia="仿宋_GB2312" w:cs="仿宋_GB2312"/>
          <w:kern w:val="2"/>
          <w:sz w:val="32"/>
          <w:szCs w:val="32"/>
          <w:lang w:bidi="ar-SA"/>
        </w:rPr>
      </w:pPr>
      <w:r>
        <w:rPr>
          <w:rFonts w:hint="eastAsia" w:ascii="仿宋_GB2312" w:hAnsi="Times New Roman" w:eastAsia="仿宋_GB2312" w:cs="仿宋_GB2312"/>
          <w:kern w:val="2"/>
          <w:sz w:val="32"/>
          <w:szCs w:val="32"/>
          <w:lang w:bidi="ar-SA"/>
        </w:rPr>
        <w:t>（一） 甲方的权利和义务</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（1）甲方有权获得本合同项下乙方应提供的全部合格的服务；</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（2）甲方有权在合同期内对乙方的产品及服务进行监督；</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（3）乙方未按照合同约定履行义务的，甲方有权采取相应的措施；</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（4）甲方应按照合同约定向乙方支付合同价款；</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（5）甲方享有其它双方约定的权利、承担其它双方约定的义务。</w:t>
      </w:r>
    </w:p>
    <w:p w14:paraId="5083E96A">
      <w:pPr>
        <w:keepNext w:val="0"/>
        <w:keepLines w:val="0"/>
        <w:widowControl/>
        <w:suppressLineNumbers w:val="0"/>
        <w:spacing w:before="100" w:beforeAutospacing="1" w:after="100" w:afterAutospacing="1" w:line="600" w:lineRule="exact"/>
        <w:ind w:left="0" w:right="0"/>
        <w:jc w:val="left"/>
        <w:rPr>
          <w:rFonts w:hint="default" w:ascii="仿宋_GB2312" w:hAnsi="Times New Roman" w:eastAsia="仿宋_GB2312" w:cs="仿宋_GB2312"/>
          <w:kern w:val="2"/>
          <w:sz w:val="32"/>
          <w:szCs w:val="32"/>
          <w:lang w:bidi="ar-SA"/>
        </w:rPr>
      </w:pPr>
      <w:r>
        <w:rPr>
          <w:rFonts w:hint="eastAsia" w:ascii="仿宋_GB2312" w:hAnsi="Times New Roman" w:eastAsia="仿宋_GB2312" w:cs="仿宋_GB2312"/>
          <w:kern w:val="2"/>
          <w:sz w:val="32"/>
          <w:szCs w:val="32"/>
          <w:lang w:bidi="ar-SA"/>
        </w:rPr>
        <w:t>（</w:t>
      </w:r>
      <w:r>
        <w:rPr>
          <w:rFonts w:hint="eastAsia" w:ascii="仿宋_GB2312" w:hAnsi="Times New Roman" w:eastAsia="仿宋_GB2312" w:cs="仿宋_GB2312"/>
          <w:kern w:val="2"/>
          <w:sz w:val="32"/>
          <w:szCs w:val="32"/>
          <w:lang w:eastAsia="zh-CN" w:bidi="ar-SA"/>
        </w:rPr>
        <w:t>二</w:t>
      </w:r>
      <w:r>
        <w:rPr>
          <w:rFonts w:hint="eastAsia" w:ascii="仿宋_GB2312" w:hAnsi="Times New Roman" w:eastAsia="仿宋_GB2312" w:cs="仿宋_GB2312"/>
          <w:kern w:val="2"/>
          <w:sz w:val="32"/>
          <w:szCs w:val="32"/>
          <w:lang w:bidi="ar-SA"/>
        </w:rPr>
        <w:t>） 乙方的权利和义务</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（1）乙方有权获得甲方支付的合同价款；</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（2）乙方应按照合同约定向甲方提供全部合格的服务；</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（3）乙方应当按照合同约定的期限及要求完成项目内容；</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（5）乙方享有其它双方约定的权利、承担其它双方约定的义务。</w:t>
      </w:r>
    </w:p>
    <w:p w14:paraId="30ADB1EA">
      <w:pPr>
        <w:keepNext w:val="0"/>
        <w:keepLines w:val="0"/>
        <w:widowControl/>
        <w:suppressLineNumbers w:val="0"/>
        <w:spacing w:before="100" w:beforeAutospacing="1" w:after="100" w:afterAutospacing="1" w:line="600" w:lineRule="exact"/>
        <w:ind w:left="0" w:right="0"/>
        <w:jc w:val="center"/>
        <w:rPr>
          <w:rFonts w:ascii="仿宋_GB2312" w:hAnsi="Times New Roman" w:eastAsia="仿宋_GB2312" w:cs="仿宋_GB2312"/>
          <w:b/>
          <w:bCs/>
          <w:kern w:val="2"/>
          <w:sz w:val="32"/>
          <w:szCs w:val="32"/>
          <w:lang w:bidi="ar-SA"/>
        </w:rPr>
      </w:pPr>
      <w:r>
        <w:rPr>
          <w:rFonts w:hint="eastAsia" w:ascii="仿宋_GB2312" w:hAnsi="Times New Roman" w:eastAsia="仿宋_GB2312" w:cs="仿宋_GB2312"/>
          <w:b/>
          <w:bCs/>
          <w:kern w:val="2"/>
          <w:sz w:val="32"/>
          <w:szCs w:val="32"/>
          <w:lang w:bidi="ar-SA"/>
        </w:rPr>
        <w:t>商务部分</w:t>
      </w:r>
    </w:p>
    <w:p w14:paraId="5F19D056">
      <w:pPr>
        <w:keepNext w:val="0"/>
        <w:keepLines w:val="0"/>
        <w:widowControl/>
        <w:numPr>
          <w:ilvl w:val="0"/>
          <w:numId w:val="0"/>
        </w:numPr>
        <w:suppressLineNumbers w:val="0"/>
        <w:spacing w:before="0" w:beforeAutospacing="1" w:after="0" w:afterAutospacing="1" w:line="310" w:lineRule="exact"/>
        <w:ind w:left="525" w:leftChars="0" w:right="0" w:rightChars="0"/>
        <w:jc w:val="left"/>
        <w:rPr>
          <w:rFonts w:hint="eastAsia" w:ascii="仿宋_GB2312" w:hAnsi="Times New Roman" w:eastAsia="仿宋_GB2312" w:cs="仿宋_GB2312"/>
          <w:b/>
          <w:bCs w:val="0"/>
          <w:kern w:val="2"/>
          <w:sz w:val="32"/>
          <w:szCs w:val="32"/>
          <w:lang w:bidi="ar-SA"/>
        </w:rPr>
      </w:pPr>
      <w:r>
        <w:rPr>
          <w:rFonts w:hint="eastAsia" w:ascii="仿宋_GB2312" w:hAnsi="Times New Roman" w:eastAsia="仿宋_GB2312" w:cs="仿宋_GB2312"/>
          <w:b/>
          <w:bCs w:val="0"/>
          <w:kern w:val="2"/>
          <w:sz w:val="32"/>
          <w:szCs w:val="32"/>
          <w:lang w:eastAsia="zh-CN" w:bidi="ar-SA"/>
        </w:rPr>
        <w:t>第二条</w:t>
      </w:r>
      <w:r>
        <w:rPr>
          <w:rFonts w:hint="eastAsia" w:ascii="仿宋_GB2312" w:hAnsi="Times New Roman" w:eastAsia="仿宋_GB2312" w:cs="仿宋_GB2312"/>
          <w:b/>
          <w:bCs w:val="0"/>
          <w:kern w:val="2"/>
          <w:sz w:val="32"/>
          <w:szCs w:val="32"/>
          <w:lang w:val="en-US" w:eastAsia="zh-CN" w:bidi="ar-SA"/>
        </w:rPr>
        <w:t xml:space="preserve"> </w:t>
      </w:r>
      <w:r>
        <w:rPr>
          <w:rFonts w:hint="eastAsia" w:ascii="仿宋_GB2312" w:hAnsi="Times New Roman" w:eastAsia="仿宋_GB2312" w:cs="仿宋_GB2312"/>
          <w:b/>
          <w:bCs w:val="0"/>
          <w:kern w:val="2"/>
          <w:sz w:val="32"/>
          <w:szCs w:val="32"/>
          <w:lang w:bidi="ar-SA"/>
        </w:rPr>
        <w:t>项目内容及要求</w:t>
      </w:r>
    </w:p>
    <w:p w14:paraId="39853C9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600" w:lineRule="exact"/>
        <w:ind w:left="525" w:leftChars="0" w:right="0" w:rightChars="0"/>
        <w:jc w:val="left"/>
        <w:textAlignment w:val="auto"/>
        <w:rPr>
          <w:rFonts w:hint="default" w:ascii="仿宋_GB2312" w:hAnsi="Times New Roman" w:eastAsia="仿宋_GB2312" w:cs="仿宋_GB2312"/>
          <w:b/>
          <w:bCs w:val="0"/>
          <w:kern w:val="2"/>
          <w:sz w:val="32"/>
          <w:szCs w:val="32"/>
          <w:lang w:bidi="ar-SA"/>
        </w:rPr>
      </w:pPr>
      <w:r>
        <w:rPr>
          <w:rFonts w:hint="eastAsia" w:ascii="仿宋_GB2312" w:hAnsi="Times New Roman" w:eastAsia="仿宋_GB2312" w:cs="仿宋_GB2312"/>
          <w:kern w:val="2"/>
          <w:sz w:val="32"/>
          <w:szCs w:val="32"/>
          <w:lang w:bidi="ar-SA"/>
        </w:rPr>
        <w:t>本合同项下甲乙双方约定的项目内容及要求见本合同</w:t>
      </w:r>
      <w:r>
        <w:rPr>
          <w:rFonts w:hint="eastAsia" w:ascii="仿宋_GB2312" w:hAnsi="Times New Roman" w:eastAsia="仿宋_GB2312" w:cs="仿宋_GB2312"/>
          <w:b/>
          <w:bCs w:val="0"/>
          <w:kern w:val="2"/>
          <w:sz w:val="32"/>
          <w:szCs w:val="32"/>
          <w:lang w:bidi="ar-SA"/>
        </w:rPr>
        <w:t>【附件】。</w:t>
      </w:r>
    </w:p>
    <w:p w14:paraId="4610F08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600" w:lineRule="exact"/>
        <w:ind w:left="525" w:leftChars="0" w:right="0" w:rightChars="0"/>
        <w:jc w:val="left"/>
        <w:textAlignment w:val="auto"/>
        <w:rPr>
          <w:rFonts w:hint="eastAsia" w:ascii="仿宋_GB2312" w:hAnsi="Times New Roman" w:eastAsia="仿宋_GB2312" w:cs="仿宋_GB2312"/>
          <w:kern w:val="2"/>
          <w:sz w:val="32"/>
          <w:szCs w:val="32"/>
          <w:lang w:bidi="ar-SA"/>
        </w:rPr>
      </w:pPr>
      <w:r>
        <w:rPr>
          <w:rFonts w:hint="eastAsia" w:ascii="仿宋_GB2312" w:hAnsi="Times New Roman" w:eastAsia="仿宋_GB2312" w:cs="仿宋_GB2312"/>
          <w:b/>
          <w:bCs w:val="0"/>
          <w:kern w:val="2"/>
          <w:sz w:val="32"/>
          <w:szCs w:val="32"/>
          <w:lang w:bidi="ar-SA"/>
        </w:rPr>
        <w:t>第三条 合同价格</w:t>
      </w:r>
    </w:p>
    <w:p w14:paraId="0A99551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600" w:lineRule="exact"/>
        <w:ind w:left="527" w:leftChars="0" w:right="0" w:rightChars="0"/>
        <w:jc w:val="left"/>
        <w:textAlignment w:val="auto"/>
        <w:rPr>
          <w:rFonts w:hint="eastAsia" w:ascii="仿宋_GB2312" w:hAnsi="Times New Roman" w:eastAsia="仿宋_GB2312" w:cs="仿宋_GB2312"/>
          <w:kern w:val="2"/>
          <w:sz w:val="32"/>
          <w:szCs w:val="32"/>
          <w:lang w:bidi="ar-SA"/>
        </w:rPr>
      </w:pPr>
      <w:r>
        <w:rPr>
          <w:rFonts w:hint="eastAsia" w:ascii="仿宋_GB2312" w:hAnsi="Times New Roman" w:eastAsia="仿宋_GB2312" w:cs="仿宋_GB2312"/>
          <w:kern w:val="2"/>
          <w:sz w:val="32"/>
          <w:szCs w:val="32"/>
          <w:lang w:bidi="ar-SA"/>
        </w:rPr>
        <w:t>（一） 本合同服务费用总额为_______元（大写_______）。合同价格明细见【附件】。</w:t>
      </w:r>
    </w:p>
    <w:p w14:paraId="1B5BBFF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600" w:lineRule="exact"/>
        <w:ind w:left="527" w:leftChars="0" w:right="0" w:rightChars="0"/>
        <w:jc w:val="left"/>
        <w:textAlignment w:val="auto"/>
        <w:rPr>
          <w:rFonts w:hint="eastAsia" w:ascii="仿宋_GB2312" w:hAnsi="Times New Roman" w:eastAsia="仿宋_GB2312" w:cs="仿宋_GB2312"/>
          <w:kern w:val="2"/>
          <w:sz w:val="32"/>
          <w:szCs w:val="32"/>
          <w:lang w:bidi="ar-SA"/>
        </w:rPr>
      </w:pPr>
      <w:r>
        <w:rPr>
          <w:rFonts w:hint="eastAsia" w:ascii="仿宋_GB2312" w:hAnsi="Times New Roman" w:eastAsia="仿宋_GB2312" w:cs="仿宋_GB2312"/>
          <w:kern w:val="2"/>
          <w:sz w:val="32"/>
          <w:szCs w:val="32"/>
          <w:lang w:bidi="ar-SA"/>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41CE5C0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600" w:lineRule="exact"/>
        <w:ind w:left="527" w:leftChars="0" w:right="0" w:rightChars="0"/>
        <w:jc w:val="left"/>
        <w:textAlignment w:val="auto"/>
        <w:rPr>
          <w:rFonts w:hint="eastAsia" w:ascii="仿宋_GB2312" w:hAnsi="Times New Roman" w:eastAsia="仿宋_GB2312" w:cs="仿宋_GB2312"/>
          <w:kern w:val="2"/>
          <w:sz w:val="32"/>
          <w:szCs w:val="32"/>
          <w:lang w:bidi="ar-SA"/>
        </w:rPr>
      </w:pPr>
      <w:r>
        <w:rPr>
          <w:rFonts w:hint="eastAsia" w:ascii="仿宋_GB2312" w:hAnsi="Times New Roman" w:eastAsia="仿宋_GB2312" w:cs="仿宋_GB2312"/>
          <w:kern w:val="2"/>
          <w:sz w:val="32"/>
          <w:szCs w:val="32"/>
          <w:lang w:bidi="ar-SA"/>
        </w:rPr>
        <w:t>（三） 本合同付款安排见【附件】。</w:t>
      </w:r>
    </w:p>
    <w:p w14:paraId="7DEC47E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600" w:lineRule="exact"/>
        <w:ind w:left="527" w:leftChars="0" w:right="0" w:rightChars="0"/>
        <w:jc w:val="left"/>
        <w:textAlignment w:val="auto"/>
        <w:rPr>
          <w:rFonts w:hint="eastAsia" w:ascii="仿宋_GB2312" w:hAnsi="Times New Roman" w:eastAsia="仿宋_GB2312" w:cs="仿宋_GB2312"/>
          <w:kern w:val="2"/>
          <w:sz w:val="32"/>
          <w:szCs w:val="32"/>
          <w:lang w:bidi="ar-SA"/>
        </w:rPr>
      </w:pPr>
      <w:r>
        <w:rPr>
          <w:rFonts w:hint="eastAsia" w:ascii="仿宋_GB2312" w:hAnsi="Times New Roman" w:eastAsia="仿宋_GB2312" w:cs="仿宋_GB2312"/>
          <w:kern w:val="2"/>
          <w:sz w:val="32"/>
          <w:szCs w:val="32"/>
          <w:lang w:bidi="ar-SA"/>
        </w:rPr>
        <w:t>（四） ......</w:t>
      </w:r>
    </w:p>
    <w:p w14:paraId="653EFE04">
      <w:pPr>
        <w:keepNext w:val="0"/>
        <w:keepLines w:val="0"/>
        <w:widowControl/>
        <w:suppressLineNumbers w:val="0"/>
        <w:spacing w:before="100" w:beforeAutospacing="1" w:after="100" w:afterAutospacing="1" w:line="600" w:lineRule="exact"/>
        <w:ind w:left="0" w:right="0"/>
        <w:jc w:val="center"/>
        <w:rPr>
          <w:rFonts w:hint="eastAsia" w:ascii="仿宋_GB2312" w:hAnsi="Times New Roman" w:eastAsia="仿宋_GB2312" w:cs="仿宋_GB2312"/>
          <w:b/>
          <w:bCs/>
          <w:kern w:val="2"/>
          <w:sz w:val="32"/>
          <w:szCs w:val="32"/>
          <w:lang w:bidi="ar-SA"/>
        </w:rPr>
      </w:pPr>
      <w:r>
        <w:rPr>
          <w:rFonts w:hint="eastAsia" w:ascii="仿宋_GB2312" w:hAnsi="Times New Roman" w:eastAsia="仿宋_GB2312" w:cs="仿宋_GB2312"/>
          <w:b/>
          <w:bCs/>
          <w:kern w:val="2"/>
          <w:sz w:val="32"/>
          <w:szCs w:val="32"/>
          <w:lang w:bidi="ar-SA"/>
        </w:rPr>
        <w:t>通用部分</w:t>
      </w:r>
    </w:p>
    <w:p w14:paraId="531A0954">
      <w:pPr>
        <w:keepNext w:val="0"/>
        <w:keepLines w:val="0"/>
        <w:widowControl/>
        <w:suppressLineNumbers w:val="0"/>
        <w:spacing w:before="100" w:beforeAutospacing="1" w:after="100" w:afterAutospacing="1" w:line="600" w:lineRule="exact"/>
        <w:ind w:left="0" w:right="0"/>
        <w:jc w:val="both"/>
        <w:rPr>
          <w:rFonts w:hint="eastAsia" w:ascii="仿宋_GB2312" w:hAnsi="Times New Roman" w:eastAsia="仿宋_GB2312" w:cs="仿宋_GB2312"/>
          <w:b/>
          <w:bCs/>
          <w:kern w:val="2"/>
          <w:sz w:val="32"/>
          <w:szCs w:val="32"/>
          <w:lang w:bidi="ar-SA"/>
        </w:rPr>
      </w:pPr>
      <w:r>
        <w:rPr>
          <w:rFonts w:hint="eastAsia" w:ascii="仿宋_GB2312" w:hAnsi="Times New Roman" w:eastAsia="仿宋_GB2312" w:cs="仿宋_GB2312"/>
          <w:b/>
          <w:bCs/>
          <w:kern w:val="2"/>
          <w:sz w:val="32"/>
          <w:szCs w:val="32"/>
          <w:lang w:bidi="ar-SA"/>
        </w:rPr>
        <w:t>第四条 ......</w:t>
      </w:r>
    </w:p>
    <w:p w14:paraId="4160C3E9">
      <w:pPr>
        <w:keepNext w:val="0"/>
        <w:keepLines w:val="0"/>
        <w:widowControl/>
        <w:suppressLineNumbers w:val="0"/>
        <w:spacing w:before="100" w:beforeAutospacing="1" w:after="100" w:afterAutospacing="1" w:line="600" w:lineRule="exact"/>
        <w:ind w:left="0" w:right="0"/>
        <w:jc w:val="left"/>
        <w:rPr>
          <w:rFonts w:hint="eastAsia" w:ascii="仿宋_GB2312" w:hAnsi="Times New Roman" w:eastAsia="仿宋_GB2312" w:cs="仿宋_GB2312"/>
          <w:b/>
          <w:bCs/>
          <w:kern w:val="2"/>
          <w:sz w:val="32"/>
          <w:szCs w:val="32"/>
          <w:lang w:bidi="ar-SA"/>
        </w:rPr>
      </w:pPr>
      <w:r>
        <w:rPr>
          <w:rFonts w:hint="eastAsia" w:ascii="仿宋_GB2312" w:hAnsi="Times New Roman" w:eastAsia="仿宋_GB2312" w:cs="仿宋_GB2312"/>
          <w:b/>
          <w:bCs/>
          <w:kern w:val="2"/>
          <w:sz w:val="32"/>
          <w:szCs w:val="32"/>
          <w:lang w:bidi="ar-SA"/>
        </w:rPr>
        <w:t>第五条 数据安全</w:t>
      </w:r>
      <w:r>
        <w:rPr>
          <w:rFonts w:hint="eastAsia" w:ascii="仿宋_GB2312" w:hAnsi="Times New Roman" w:eastAsia="仿宋_GB2312" w:cs="仿宋_GB2312"/>
          <w:b/>
          <w:bCs/>
          <w:kern w:val="2"/>
          <w:sz w:val="32"/>
          <w:szCs w:val="32"/>
          <w:lang w:bidi="ar-SA"/>
        </w:rPr>
        <w:br w:type="textWrapping"/>
      </w:r>
      <w:r>
        <w:rPr>
          <w:rFonts w:hint="eastAsia" w:ascii="仿宋_GB2312" w:hAnsi="Times New Roman" w:eastAsia="仿宋_GB2312" w:cs="仿宋_GB2312"/>
          <w:b/>
          <w:bCs/>
          <w:kern w:val="2"/>
          <w:sz w:val="32"/>
          <w:szCs w:val="32"/>
          <w:lang w:bidi="ar-SA"/>
        </w:rPr>
        <w:br w:type="textWrapping"/>
      </w:r>
      <w:r>
        <w:rPr>
          <w:rFonts w:hint="eastAsia" w:ascii="仿宋_GB2312" w:hAnsi="Times New Roman" w:eastAsia="仿宋_GB2312" w:cs="仿宋_GB2312"/>
          <w:b/>
          <w:bCs/>
          <w:kern w:val="2"/>
          <w:sz w:val="32"/>
          <w:szCs w:val="32"/>
          <w:lang w:bidi="ar-SA"/>
        </w:rPr>
        <w:t>数据安全（接收外部数据和对外传输数据）</w:t>
      </w:r>
    </w:p>
    <w:p w14:paraId="623C25F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600" w:lineRule="exact"/>
        <w:ind w:left="0" w:leftChars="0" w:right="0" w:rightChars="0"/>
        <w:jc w:val="left"/>
        <w:textAlignment w:val="auto"/>
        <w:rPr>
          <w:rFonts w:hint="eastAsia" w:ascii="仿宋_GB2312" w:hAnsi="Times New Roman" w:eastAsia="仿宋_GB2312" w:cs="仿宋_GB2312"/>
          <w:kern w:val="2"/>
          <w:sz w:val="32"/>
          <w:szCs w:val="32"/>
          <w:lang w:bidi="ar-SA"/>
        </w:rPr>
      </w:pPr>
      <w:r>
        <w:rPr>
          <w:rFonts w:hint="eastAsia" w:ascii="仿宋_GB2312" w:hAnsi="Times New Roman" w:eastAsia="仿宋_GB2312" w:cs="仿宋_GB2312"/>
          <w:kern w:val="2"/>
          <w:sz w:val="32"/>
          <w:szCs w:val="32"/>
          <w:lang w:bidi="ar-SA"/>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1.乙方应妥善留存信息主体的授权文件，甲方如须对乙方的授权文件进行抽查、核查、备份时，乙方应予配合。</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3.乙方需取得信息主体在充分知情的前提下自愿、明确作出的合法有效授权。乙方与信息主体因授权、使用信息等问题引起的争议与甲方无关。</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（二）涉及非个人信息的，乙方承诺其提供数据来源的合法合规性；且不涉及第三方商业秘密且已获得数据所有权、使用权人的合法授权。</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三）涉及公开信息爬取的，乙方应承诺数据来源合法，包括：明确爬虫行为已遵循ROBOTS协议、不存在规避或破解被爬取网站反爬虫措施的行为、承诺不存在其他《中华人民共和国反不正当竞争法》等法律法规禁止的行为。</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（四）双方数据处理活动的地域限于中国境内（为本合同履行之目的，不包含香港、澳门、台湾地区），不得将数据传输至境外。</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（五）乙方应当按照合同约定使用数据，遵循最小化原则。乙方应保证数据及信息的处理(包括收集、存储、使用、加工、传输、提供、公开、删除等)的安全，防止数据及信息被篡改或丢失、泄漏。</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（六）乙方应保证数据使用不以垄断经营和不正当竞争为目的，不发生误导、欺诈、胁迫或者干扰等限制个人或者组织正当选择与决策的行为，遵循社会公德伦理。</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七）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（八）数据及信息的保存期限应符合实现本协议业务处理目的所必要的最短时间。乙方应在合作期满或终止后，及时删除各种介质上所存储的甲方提供的数据及信息。</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九）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（十）若需开展数据测试，乙方的测试环境应与生产系统隔离，未经脱敏处理不得进入测试环境。</w:t>
      </w:r>
      <w:r>
        <w:rPr>
          <w:rFonts w:hint="eastAsia" w:ascii="仿宋_GB2312" w:hAnsi="Times New Roman" w:eastAsia="仿宋_GB2312" w:cs="仿宋_GB2312"/>
          <w:b/>
          <w:bCs/>
          <w:kern w:val="2"/>
          <w:sz w:val="32"/>
          <w:szCs w:val="32"/>
          <w:lang w:bidi="ar-SA"/>
        </w:rPr>
        <w:br w:type="textWrapping"/>
      </w:r>
      <w:r>
        <w:rPr>
          <w:rFonts w:hint="eastAsia" w:ascii="仿宋_GB2312" w:hAnsi="Times New Roman" w:eastAsia="仿宋_GB2312" w:cs="仿宋_GB2312"/>
          <w:b/>
          <w:bCs/>
          <w:kern w:val="2"/>
          <w:sz w:val="32"/>
          <w:szCs w:val="32"/>
          <w:lang w:bidi="ar-SA"/>
        </w:rPr>
        <w:t>数据安全（接收外部数据）</w:t>
      </w:r>
      <w:r>
        <w:rPr>
          <w:rFonts w:hint="eastAsia" w:ascii="宋体" w:hAnsi="宋体" w:eastAsia="宋体" w:cs="宋体"/>
          <w:sz w:val="21"/>
          <w:szCs w:val="21"/>
        </w:rPr>
        <w:br w:type="textWrapping"/>
      </w:r>
      <w:r>
        <w:rPr>
          <w:rFonts w:hint="eastAsia" w:ascii="仿宋_GB2312" w:hAnsi="Times New Roman" w:eastAsia="仿宋_GB2312" w:cs="仿宋_GB2312"/>
          <w:kern w:val="2"/>
          <w:sz w:val="32"/>
          <w:szCs w:val="32"/>
          <w:lang w:bidi="ar-SA"/>
        </w:rPr>
        <w:t>（一）涉及个人信息的，乙方应承诺其已获得信息主体本人的书面授权或者法律效力等同于书面授权的其他授权方式。该授权应当明确载明信息主体同意授权乙方向甲方提供其信息，并开展数据处理活动；及转授权甲方向第三方机构_______提供其信息/或委托第三方机构_______处理其信息，并开展数据处理活动。</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1.乙方应妥善留存信息主体的授权文件，甲方如须对乙方的授权文件进行抽查、核查、备份时，乙方应予配合。</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2.乙方在获得信息主体的相关授权之前，有义务告知信息主体其对个人信息的处理目的、处理方式、个人信息种类、保存期限、行使个人信息相关权利的方式和程序，并向信息主体告知甲方的姓名、联系方式、处理目的、处理方式和个人信息的种类，取得信息主体的单独同意；涉及敏感个人信息的，还应当向信息主体告知处理敏感个人信息的必要性以及对个人权益的影响，法律、行政法规另有规定的除外。</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3.乙方需取得信息主体在充分知情的前提下自愿、明确作出的合法有效授权。乙方与信息主体因授权、使用信息等问题引起的争议与甲方无关。</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（二）涉及非个人信息的，乙方承诺其提供数据来源的合法合规性；且不涉及第三方商业秘密且已获得数据所有权、使用权人的合法授权。</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三）涉及公开信息爬取的，乙方应承诺数据来源合法，包括：明确爬虫行为已遵循ROBOTS协议、不存在规避或破解被爬取网站反爬虫措施的行为、承诺不存在其他《中华人民共和国反不正当竞争法》等法律法规禁止的行为。</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（四）双方数据处理活动的地域限于中国境内（为本合同履行之目的，不包含香港、澳门、台湾地区），不得将数据传输至境外。</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b/>
          <w:bCs/>
          <w:kern w:val="2"/>
          <w:sz w:val="32"/>
          <w:szCs w:val="32"/>
          <w:lang w:bidi="ar-SA"/>
        </w:rPr>
        <w:t>数据安全（对外传输数据）</w:t>
      </w:r>
      <w:r>
        <w:rPr>
          <w:rFonts w:hint="eastAsia" w:ascii="宋体" w:hAnsi="宋体" w:eastAsia="宋体" w:cs="宋体"/>
          <w:sz w:val="21"/>
          <w:szCs w:val="21"/>
        </w:rPr>
        <w:br w:type="textWrapping"/>
      </w:r>
      <w:r>
        <w:rPr>
          <w:rFonts w:hint="eastAsia" w:ascii="仿宋_GB2312" w:hAnsi="Times New Roman" w:eastAsia="仿宋_GB2312" w:cs="仿宋_GB2312"/>
          <w:kern w:val="2"/>
          <w:sz w:val="32"/>
          <w:szCs w:val="32"/>
          <w:lang w:bidi="ar-SA"/>
        </w:rPr>
        <w:t>（一）乙方应当按照合同约定使用数据，遵循最小化原则。乙方应保证数据及信息的处理(包括收集、存储、使用、加工、传输、提供、公开、删除等)的安全，防止数据及信息被篡改或丢失、泄漏。</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（二）乙方应保证数据使用不以垄断经营和不正当竞争为目的，不发生误导、欺诈、胁迫或者干扰等限制个人或者组织正当选择与决策的行为，遵循社会公德伦理。</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三）甲方有权对乙方处理涉及甲方业务及甲方传输的信息有关事宜进行监督。同时，乙方应建立《数据安全突发事件应急预案》，确定数据安全突发事件应急联系人。甲方所提供的数据发生安全事件后，乙方应启动应急预案进行处置，并将相关情况第一时间告知甲方。处置后两个工作日内，乙方将事件处置的评估总结和改进措施告知甲方。</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（四）数据及信息的保存期限应符合实现本协议业务处理目的所必要的最短时间。乙方应在合作期满或终止后，及时删除各种介质上所存储的甲方提供的数据及信息。</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五）对数据及信息的处理(包括收集、存储、使用、加工、传输、提供、公开、删除等)仅在中华人民共和国境内（为本合同履行之目的，不包含香港、澳门、台湾地区），除非得到甲方事先书面同意，乙方不得使用、披露、分发或流传给任何第三人，但法律、行政法规另有规定的除外。</w:t>
      </w:r>
      <w:r>
        <w:rPr>
          <w:rFonts w:hint="eastAsia" w:ascii="仿宋_GB2312" w:hAnsi="Times New Roman" w:eastAsia="仿宋_GB2312" w:cs="仿宋_GB2312"/>
          <w:kern w:val="2"/>
          <w:sz w:val="32"/>
          <w:szCs w:val="32"/>
          <w:lang w:bidi="ar-SA"/>
        </w:rPr>
        <w:br w:type="textWrapping"/>
      </w:r>
      <w:r>
        <w:rPr>
          <w:rFonts w:hint="eastAsia" w:ascii="仿宋_GB2312" w:hAnsi="Times New Roman" w:eastAsia="仿宋_GB2312" w:cs="仿宋_GB2312"/>
          <w:kern w:val="2"/>
          <w:sz w:val="32"/>
          <w:szCs w:val="32"/>
          <w:lang w:bidi="ar-SA"/>
        </w:rPr>
        <w:t>（六）若需开展数据测试，乙方的测试环境应与生产系统隔离，未经脱敏处理不得进入测试环境。</w:t>
      </w:r>
    </w:p>
    <w:p w14:paraId="7818B2FA">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3" w:firstLineChars="200"/>
        <w:jc w:val="left"/>
        <w:textAlignment w:val="auto"/>
        <w:rPr>
          <w:rFonts w:hint="eastAsia" w:ascii="仿宋_GB2312" w:hAnsi="Times New Roman" w:eastAsia="仿宋_GB2312" w:cs="仿宋_GB2312"/>
          <w:kern w:val="2"/>
          <w:sz w:val="32"/>
          <w:szCs w:val="32"/>
          <w:lang w:bidi="ar-SA"/>
        </w:rPr>
      </w:pPr>
      <w:r>
        <w:rPr>
          <w:rFonts w:hint="eastAsia" w:ascii="仿宋_GB2312" w:hAnsi="Times New Roman" w:eastAsia="仿宋_GB2312" w:cs="仿宋_GB2312"/>
          <w:b/>
          <w:bCs/>
          <w:kern w:val="2"/>
          <w:sz w:val="32"/>
          <w:szCs w:val="32"/>
          <w:lang w:bidi="ar-SA"/>
        </w:rPr>
        <w:t>第六条 双方的权利和义务</w:t>
      </w:r>
      <w:r>
        <w:rPr>
          <w:rFonts w:hint="eastAsia" w:ascii="仿宋_GB2312" w:hAnsi="Times New Roman" w:eastAsia="仿宋_GB2312" w:cs="仿宋_GB2312"/>
          <w:b/>
          <w:bCs/>
          <w:kern w:val="2"/>
          <w:sz w:val="32"/>
          <w:szCs w:val="32"/>
          <w:lang w:bidi="ar-SA"/>
        </w:rPr>
        <w:br w:type="textWrapping"/>
      </w:r>
      <w:r>
        <w:rPr>
          <w:rFonts w:hint="eastAsia" w:ascii="仿宋_GB2312" w:hAnsi="Times New Roman" w:eastAsia="仿宋_GB2312" w:cs="仿宋_GB2312"/>
          <w:b/>
          <w:bCs/>
          <w:kern w:val="2"/>
          <w:sz w:val="32"/>
          <w:szCs w:val="32"/>
          <w:lang w:bidi="ar-SA"/>
        </w:rPr>
        <w:t>双方的权利和义务</w:t>
      </w:r>
      <w:r>
        <w:rPr>
          <w:rFonts w:hint="eastAsia" w:ascii="宋体" w:hAnsi="宋体" w:eastAsia="宋体" w:cs="宋体"/>
          <w:sz w:val="21"/>
          <w:szCs w:val="21"/>
        </w:rPr>
        <w:br w:type="textWrapping"/>
      </w:r>
      <w:r>
        <w:rPr>
          <w:rFonts w:hint="eastAsia" w:ascii="仿宋_GB2312" w:hAnsi="Times New Roman" w:eastAsia="仿宋_GB2312" w:cs="仿宋_GB2312"/>
          <w:kern w:val="2"/>
          <w:sz w:val="32"/>
          <w:szCs w:val="32"/>
          <w:lang w:bidi="ar-SA"/>
        </w:rPr>
        <w:t>除本合同约定的双方的权利义务外，甲乙双方在本合同项下的其他权利和义务见【附件】的约定。</w:t>
      </w:r>
    </w:p>
    <w:p w14:paraId="398B42C0">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3" w:firstLineChars="200"/>
        <w:jc w:val="left"/>
        <w:textAlignment w:val="auto"/>
        <w:rPr>
          <w:rFonts w:hint="eastAsia" w:ascii="仿宋_GB2312" w:hAnsi="Times New Roman" w:eastAsia="仿宋_GB2312" w:cs="仿宋_GB2312"/>
          <w:kern w:val="2"/>
          <w:sz w:val="32"/>
          <w:szCs w:val="32"/>
          <w:lang w:bidi="ar-SA"/>
        </w:rPr>
      </w:pPr>
      <w:r>
        <w:rPr>
          <w:rFonts w:hint="eastAsia" w:ascii="仿宋_GB2312" w:hAnsi="Times New Roman" w:eastAsia="仿宋_GB2312" w:cs="仿宋_GB2312"/>
          <w:b/>
          <w:bCs/>
          <w:kern w:val="2"/>
          <w:sz w:val="32"/>
          <w:szCs w:val="32"/>
          <w:lang w:bidi="ar-SA"/>
        </w:rPr>
        <w:t>第七条 禁止转让</w:t>
      </w:r>
      <w:r>
        <w:rPr>
          <w:rFonts w:hint="eastAsia" w:ascii="仿宋_GB2312" w:hAnsi="Times New Roman" w:eastAsia="仿宋_GB2312" w:cs="仿宋_GB2312"/>
          <w:b/>
          <w:bCs/>
          <w:kern w:val="2"/>
          <w:sz w:val="32"/>
          <w:szCs w:val="32"/>
          <w:lang w:bidi="ar-SA"/>
        </w:rPr>
        <w:br w:type="textWrapping"/>
      </w:r>
      <w:r>
        <w:rPr>
          <w:rFonts w:hint="eastAsia" w:ascii="仿宋_GB2312" w:hAnsi="Times New Roman" w:eastAsia="仿宋_GB2312" w:cs="仿宋_GB2312"/>
          <w:b/>
          <w:bCs/>
          <w:kern w:val="2"/>
          <w:sz w:val="32"/>
          <w:szCs w:val="32"/>
          <w:lang w:bidi="ar-SA"/>
        </w:rPr>
        <w:t>禁止转让</w:t>
      </w:r>
      <w:r>
        <w:rPr>
          <w:rFonts w:hint="eastAsia" w:ascii="宋体" w:hAnsi="宋体" w:eastAsia="宋体" w:cs="宋体"/>
          <w:sz w:val="21"/>
          <w:szCs w:val="21"/>
        </w:rPr>
        <w:br w:type="textWrapping"/>
      </w:r>
      <w:r>
        <w:rPr>
          <w:rFonts w:hint="eastAsia" w:ascii="仿宋_GB2312" w:hAnsi="Times New Roman" w:eastAsia="仿宋_GB2312" w:cs="仿宋_GB2312"/>
          <w:kern w:val="2"/>
          <w:sz w:val="32"/>
          <w:szCs w:val="32"/>
          <w:lang w:bidi="ar-SA"/>
        </w:rPr>
        <w:t>未经甲方事先书面同意，乙方不得将其本合同项下之全部义务或其中一部分义务转让给第三方执行。</w:t>
      </w:r>
    </w:p>
    <w:p w14:paraId="346CE6A6">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3" w:firstLineChars="200"/>
        <w:jc w:val="left"/>
        <w:textAlignment w:val="auto"/>
        <w:rPr>
          <w:rFonts w:hint="eastAsia" w:ascii="仿宋_GB2312" w:hAnsi="Times New Roman" w:eastAsia="仿宋_GB2312" w:cs="仿宋_GB2312"/>
          <w:kern w:val="2"/>
          <w:sz w:val="32"/>
          <w:szCs w:val="32"/>
          <w:lang w:bidi="ar-SA"/>
        </w:rPr>
      </w:pPr>
      <w:r>
        <w:rPr>
          <w:rFonts w:hint="eastAsia" w:ascii="仿宋_GB2312" w:hAnsi="Times New Roman" w:eastAsia="仿宋_GB2312" w:cs="仿宋_GB2312"/>
          <w:b/>
          <w:bCs/>
          <w:kern w:val="2"/>
          <w:sz w:val="32"/>
          <w:szCs w:val="32"/>
          <w:lang w:bidi="ar-SA"/>
        </w:rPr>
        <w:t>第八条 商标使用</w:t>
      </w:r>
      <w:r>
        <w:rPr>
          <w:rFonts w:hint="eastAsia" w:ascii="仿宋_GB2312" w:hAnsi="Times New Roman" w:eastAsia="仿宋_GB2312" w:cs="仿宋_GB2312"/>
          <w:b/>
          <w:bCs/>
          <w:kern w:val="2"/>
          <w:sz w:val="32"/>
          <w:szCs w:val="32"/>
          <w:lang w:bidi="ar-SA"/>
        </w:rPr>
        <w:br w:type="textWrapping"/>
      </w:r>
      <w:r>
        <w:rPr>
          <w:rFonts w:hint="eastAsia" w:ascii="仿宋_GB2312" w:hAnsi="Times New Roman" w:eastAsia="仿宋_GB2312" w:cs="仿宋_GB2312"/>
          <w:b/>
          <w:bCs/>
          <w:kern w:val="2"/>
          <w:sz w:val="32"/>
          <w:szCs w:val="32"/>
          <w:lang w:bidi="ar-SA"/>
        </w:rPr>
        <w:t>商标使用</w:t>
      </w:r>
      <w:r>
        <w:rPr>
          <w:rFonts w:hint="eastAsia" w:ascii="宋体" w:hAnsi="宋体" w:eastAsia="宋体" w:cs="宋体"/>
          <w:sz w:val="21"/>
          <w:szCs w:val="21"/>
        </w:rPr>
        <w:br w:type="textWrapping"/>
      </w:r>
      <w:r>
        <w:rPr>
          <w:rFonts w:hint="eastAsia" w:ascii="仿宋_GB2312" w:hAnsi="Times New Roman" w:eastAsia="仿宋_GB2312" w:cs="仿宋_GB2312"/>
          <w:kern w:val="2"/>
          <w:sz w:val="32"/>
          <w:szCs w:val="32"/>
          <w:lang w:bidi="ar-SA"/>
        </w:rPr>
        <w:t>未经甲方书面许可，乙方不得将甲方的商标、公司名称、标识等用于宣传或展示。</w:t>
      </w:r>
    </w:p>
    <w:p w14:paraId="56C27D73">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3" w:firstLineChars="200"/>
        <w:jc w:val="left"/>
        <w:textAlignment w:val="auto"/>
        <w:rPr>
          <w:rFonts w:hint="eastAsia" w:ascii="仿宋_GB2312" w:hAnsi="Times New Roman" w:eastAsia="仿宋_GB2312" w:cs="仿宋_GB2312"/>
          <w:kern w:val="2"/>
          <w:sz w:val="32"/>
          <w:szCs w:val="32"/>
          <w:lang w:bidi="ar-SA"/>
        </w:rPr>
      </w:pPr>
      <w:r>
        <w:rPr>
          <w:rFonts w:hint="eastAsia" w:ascii="仿宋_GB2312" w:hAnsi="Times New Roman" w:eastAsia="仿宋_GB2312" w:cs="仿宋_GB2312"/>
          <w:b/>
          <w:bCs/>
          <w:kern w:val="2"/>
          <w:sz w:val="32"/>
          <w:szCs w:val="32"/>
          <w:lang w:bidi="ar-SA"/>
        </w:rPr>
        <w:t>第九条 违约责任</w:t>
      </w:r>
      <w:r>
        <w:rPr>
          <w:rFonts w:hint="eastAsia" w:ascii="仿宋_GB2312" w:hAnsi="Times New Roman" w:eastAsia="仿宋_GB2312" w:cs="仿宋_GB2312"/>
          <w:b/>
          <w:bCs/>
          <w:kern w:val="2"/>
          <w:sz w:val="32"/>
          <w:szCs w:val="32"/>
          <w:lang w:bidi="ar-SA"/>
        </w:rPr>
        <w:br w:type="textWrapping"/>
      </w:r>
      <w:r>
        <w:rPr>
          <w:rFonts w:hint="eastAsia" w:ascii="仿宋_GB2312" w:hAnsi="Times New Roman" w:eastAsia="仿宋_GB2312" w:cs="仿宋_GB2312"/>
          <w:b/>
          <w:bCs/>
          <w:kern w:val="2"/>
          <w:sz w:val="32"/>
          <w:szCs w:val="32"/>
          <w:lang w:bidi="ar-SA"/>
        </w:rPr>
        <w:t>违约责任</w:t>
      </w:r>
      <w:r>
        <w:rPr>
          <w:rFonts w:hint="eastAsia" w:ascii="宋体" w:hAnsi="宋体" w:eastAsia="宋体" w:cs="宋体"/>
          <w:sz w:val="21"/>
          <w:szCs w:val="21"/>
        </w:rPr>
        <w:br w:type="textWrapping"/>
      </w:r>
      <w:r>
        <w:rPr>
          <w:rFonts w:hint="eastAsia" w:ascii="仿宋_GB2312" w:hAnsi="Times New Roman" w:eastAsia="仿宋_GB2312" w:cs="仿宋_GB2312"/>
          <w:kern w:val="2"/>
          <w:sz w:val="32"/>
          <w:szCs w:val="32"/>
          <w:lang w:bidi="ar-SA"/>
        </w:rPr>
        <w:t>甲、乙任一方或双方违约的，违约一方应当向相对方承担相应的违约责任。违约责任的具体约定见【附件】。</w:t>
      </w:r>
    </w:p>
    <w:p w14:paraId="1863C3BD">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3" w:firstLineChars="200"/>
        <w:jc w:val="left"/>
        <w:textAlignment w:val="auto"/>
        <w:rPr>
          <w:rFonts w:hint="eastAsia" w:ascii="仿宋_GB2312" w:hAnsi="Times New Roman" w:eastAsia="仿宋_GB2312" w:cs="仿宋_GB2312"/>
          <w:kern w:val="2"/>
          <w:sz w:val="32"/>
          <w:szCs w:val="32"/>
          <w:lang w:bidi="ar-SA"/>
        </w:rPr>
      </w:pPr>
      <w:r>
        <w:rPr>
          <w:rFonts w:hint="eastAsia" w:ascii="仿宋_GB2312" w:hAnsi="Times New Roman" w:eastAsia="仿宋_GB2312" w:cs="仿宋_GB2312"/>
          <w:b/>
          <w:bCs/>
          <w:kern w:val="2"/>
          <w:sz w:val="32"/>
          <w:szCs w:val="32"/>
          <w:lang w:bidi="ar-SA"/>
        </w:rPr>
        <w:t>第十条 权利保证</w:t>
      </w:r>
      <w:r>
        <w:rPr>
          <w:rFonts w:hint="eastAsia" w:ascii="仿宋_GB2312" w:hAnsi="Times New Roman" w:eastAsia="仿宋_GB2312" w:cs="仿宋_GB2312"/>
          <w:b/>
          <w:bCs/>
          <w:kern w:val="2"/>
          <w:sz w:val="32"/>
          <w:szCs w:val="32"/>
          <w:lang w:bidi="ar-SA"/>
        </w:rPr>
        <w:br w:type="textWrapping"/>
      </w:r>
      <w:r>
        <w:rPr>
          <w:rFonts w:hint="eastAsia" w:ascii="仿宋_GB2312" w:hAnsi="Times New Roman" w:eastAsia="仿宋_GB2312" w:cs="仿宋_GB2312"/>
          <w:b/>
          <w:bCs/>
          <w:kern w:val="2"/>
          <w:sz w:val="32"/>
          <w:szCs w:val="32"/>
          <w:lang w:bidi="ar-SA"/>
        </w:rPr>
        <w:t>权利保证</w:t>
      </w:r>
      <w:r>
        <w:rPr>
          <w:rFonts w:hint="eastAsia" w:ascii="宋体" w:hAnsi="宋体" w:eastAsia="宋体" w:cs="宋体"/>
          <w:sz w:val="21"/>
          <w:szCs w:val="21"/>
        </w:rPr>
        <w:br w:type="textWrapping"/>
      </w:r>
      <w:r>
        <w:rPr>
          <w:rFonts w:hint="eastAsia" w:ascii="仿宋_GB2312" w:hAnsi="Times New Roman" w:eastAsia="仿宋_GB2312" w:cs="仿宋_GB2312"/>
          <w:kern w:val="2"/>
          <w:sz w:val="32"/>
          <w:szCs w:val="32"/>
          <w:lang w:bidi="ar-SA"/>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1240A0AE">
      <w:pPr>
        <w:keepNext w:val="0"/>
        <w:keepLines w:val="0"/>
        <w:widowControl/>
        <w:suppressLineNumbers w:val="0"/>
        <w:spacing w:before="0" w:beforeAutospacing="1" w:after="0" w:afterAutospacing="1" w:line="310" w:lineRule="exact"/>
        <w:ind w:left="0" w:right="0" w:firstLine="525"/>
        <w:jc w:val="left"/>
        <w:rPr>
          <w:rFonts w:hint="eastAsia" w:ascii="仿宋_GB2312" w:hAnsi="Times New Roman" w:eastAsia="仿宋_GB2312" w:cs="仿宋_GB2312"/>
          <w:b/>
          <w:bCs/>
          <w:kern w:val="2"/>
          <w:sz w:val="32"/>
          <w:szCs w:val="32"/>
          <w:lang w:bidi="ar-SA"/>
        </w:rPr>
      </w:pPr>
      <w:r>
        <w:rPr>
          <w:rFonts w:hint="eastAsia" w:ascii="仿宋_GB2312" w:hAnsi="Times New Roman" w:eastAsia="仿宋_GB2312" w:cs="仿宋_GB2312"/>
          <w:b/>
          <w:bCs/>
          <w:kern w:val="2"/>
          <w:sz w:val="32"/>
          <w:szCs w:val="32"/>
          <w:lang w:bidi="ar-SA"/>
        </w:rPr>
        <w:t>第十一条 违约责任</w:t>
      </w:r>
    </w:p>
    <w:p w14:paraId="3AD24ECD">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（一） 由于甲方原因不能按合同约定时间付款的，每延迟10个工作日，甲方按合同应付金额的_______%向乙方支付违约金。</w:t>
      </w:r>
    </w:p>
    <w:p w14:paraId="1BB17F4E">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（二） 乙方延迟交付的违约责任</w:t>
      </w:r>
      <w:r>
        <w:rPr>
          <w:rFonts w:hint="eastAsia" w:ascii="仿宋" w:hAnsi="仿宋" w:eastAsia="仿宋" w:cs="仿宋"/>
          <w:sz w:val="32"/>
          <w:szCs w:val="32"/>
        </w:rPr>
        <w:br w:type="textWrapping"/>
      </w:r>
      <w:r>
        <w:rPr>
          <w:rFonts w:hint="eastAsia" w:ascii="仿宋" w:hAnsi="仿宋" w:eastAsia="仿宋" w:cs="仿宋"/>
          <w:sz w:val="32"/>
          <w:szCs w:val="32"/>
        </w:rPr>
        <w:t>（1）由于乙方原因造成项目延迟的，每延迟10个工作日，乙方向甲方支付违约金为合同服务费用总额的_______%。</w:t>
      </w:r>
      <w:r>
        <w:rPr>
          <w:rFonts w:hint="eastAsia" w:ascii="仿宋" w:hAnsi="仿宋" w:eastAsia="仿宋" w:cs="仿宋"/>
          <w:sz w:val="32"/>
          <w:szCs w:val="32"/>
        </w:rPr>
        <w:br w:type="textWrapping"/>
      </w:r>
      <w:r>
        <w:rPr>
          <w:rFonts w:hint="eastAsia" w:ascii="仿宋" w:hAnsi="仿宋" w:eastAsia="仿宋" w:cs="仿宋"/>
          <w:sz w:val="32"/>
          <w:szCs w:val="32"/>
        </w:rPr>
        <w:t>（2）由于乙方原因造成项目迟延，经甲方催促后乙方继续延误的，甲方有权单方面解除合同，乙方应按照合同服务费用总额的_______%向甲方支付违约金，并赔偿由此引起的甲方全部损失。</w:t>
      </w:r>
    </w:p>
    <w:p w14:paraId="6D63EA78">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（三） 验收不合格并且乙方在甲方指定期限内无法完成整改、提交合格的工作成果的，乙方应向甲方支付合同服务费用总额_______%的违约金，并赔偿由此引起的甲方全部损失。</w:t>
      </w:r>
    </w:p>
    <w:p w14:paraId="247594D9">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（四） 如果乙方违反本合同约定的保密义务，乙方应向甲方支付相当于合同服务费用总额_______%的违约金，甲方受到的损失超出违约金的部分，由乙方继续承担赔偿责任。</w:t>
      </w:r>
    </w:p>
    <w:p w14:paraId="0A0ECED6">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（五） 除本合同的约定外，因乙方的违约行为给甲方造成损失的，乙方应向甲方支付相当于合同服务费用总额_______%的违约金，如甲方受到的损失超过违约金的，超出部分由乙方继续承担赔偿责任。</w:t>
      </w:r>
    </w:p>
    <w:p w14:paraId="7938076D">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（六） ......</w:t>
      </w:r>
    </w:p>
    <w:p w14:paraId="624E8443">
      <w:pPr>
        <w:keepNext w:val="0"/>
        <w:keepLines w:val="0"/>
        <w:widowControl/>
        <w:suppressLineNumbers w:val="0"/>
        <w:spacing w:before="0" w:beforeAutospacing="1" w:after="0" w:afterAutospacing="1" w:line="310" w:lineRule="exact"/>
        <w:ind w:left="0" w:right="0" w:firstLine="525"/>
        <w:jc w:val="left"/>
        <w:rPr>
          <w:rFonts w:hint="eastAsia" w:ascii="仿宋_GB2312" w:hAnsi="Times New Roman" w:eastAsia="仿宋_GB2312" w:cs="仿宋_GB2312"/>
          <w:b/>
          <w:bCs/>
          <w:kern w:val="2"/>
          <w:sz w:val="32"/>
          <w:szCs w:val="32"/>
          <w:lang w:bidi="ar-SA"/>
        </w:rPr>
      </w:pPr>
      <w:r>
        <w:rPr>
          <w:rFonts w:hint="eastAsia" w:ascii="仿宋_GB2312" w:hAnsi="Times New Roman" w:eastAsia="仿宋_GB2312" w:cs="仿宋_GB2312"/>
          <w:b/>
          <w:bCs/>
          <w:kern w:val="2"/>
          <w:sz w:val="32"/>
          <w:szCs w:val="32"/>
          <w:lang w:bidi="ar-SA"/>
        </w:rPr>
        <w:t>第十二条 保密义务</w:t>
      </w:r>
    </w:p>
    <w:p w14:paraId="61C5809B">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0E3687BA">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（二） 乙方在本合同中所受领的保密信息应及时返还甲方或在甲方监督下予以销毁。乙方擅自留存备份信息，视为违反保密约定。</w:t>
      </w:r>
    </w:p>
    <w:p w14:paraId="250FF992">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（三） 无论本合同因何种原因终止，本保密条款依然有效。</w:t>
      </w:r>
    </w:p>
    <w:p w14:paraId="7E0FA426">
      <w:pPr>
        <w:keepNext w:val="0"/>
        <w:keepLines w:val="0"/>
        <w:widowControl/>
        <w:suppressLineNumbers w:val="0"/>
        <w:spacing w:before="0" w:beforeAutospacing="1" w:after="0" w:afterAutospacing="1" w:line="310" w:lineRule="exact"/>
        <w:ind w:left="0" w:right="0" w:firstLine="525"/>
        <w:jc w:val="left"/>
        <w:rPr>
          <w:rFonts w:hint="eastAsia" w:ascii="仿宋_GB2312" w:hAnsi="Times New Roman" w:eastAsia="仿宋_GB2312" w:cs="仿宋_GB2312"/>
          <w:b/>
          <w:bCs/>
          <w:kern w:val="2"/>
          <w:sz w:val="32"/>
          <w:szCs w:val="32"/>
          <w:lang w:bidi="ar-SA"/>
        </w:rPr>
      </w:pPr>
      <w:r>
        <w:rPr>
          <w:rFonts w:hint="eastAsia" w:ascii="仿宋_GB2312" w:hAnsi="Times New Roman" w:eastAsia="仿宋_GB2312" w:cs="仿宋_GB2312"/>
          <w:b/>
          <w:bCs/>
          <w:kern w:val="2"/>
          <w:sz w:val="32"/>
          <w:szCs w:val="32"/>
          <w:lang w:bidi="ar-SA"/>
        </w:rPr>
        <w:t>第十三条 不可抗力</w:t>
      </w:r>
    </w:p>
    <w:p w14:paraId="61B8EEEA">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2346137D">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0DD688D2">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（三） 合同一方迟延履行后发生不可抗力的，不能免除其责任。</w:t>
      </w:r>
    </w:p>
    <w:p w14:paraId="4DA1D0D6">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4659023E">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3" w:firstLineChars="200"/>
        <w:jc w:val="left"/>
        <w:textAlignment w:val="auto"/>
        <w:rPr>
          <w:rFonts w:hint="eastAsia" w:ascii="仿宋" w:hAnsi="仿宋" w:eastAsia="仿宋" w:cs="仿宋"/>
          <w:sz w:val="32"/>
          <w:szCs w:val="32"/>
        </w:rPr>
      </w:pPr>
      <w:r>
        <w:rPr>
          <w:rFonts w:hint="eastAsia" w:ascii="仿宋_GB2312" w:hAnsi="Times New Roman" w:eastAsia="仿宋_GB2312" w:cs="仿宋_GB2312"/>
          <w:b/>
          <w:bCs/>
          <w:kern w:val="2"/>
          <w:sz w:val="32"/>
          <w:szCs w:val="32"/>
          <w:lang w:bidi="ar-SA"/>
        </w:rPr>
        <w:t>第十四条 合同变更</w:t>
      </w:r>
      <w:r>
        <w:rPr>
          <w:rFonts w:hint="eastAsia" w:ascii="仿宋_GB2312" w:hAnsi="Times New Roman" w:eastAsia="仿宋_GB2312" w:cs="仿宋_GB2312"/>
          <w:b/>
          <w:bCs/>
          <w:kern w:val="2"/>
          <w:sz w:val="32"/>
          <w:szCs w:val="32"/>
          <w:lang w:bidi="ar-SA"/>
        </w:rPr>
        <w:br w:type="textWrapping"/>
      </w:r>
      <w:r>
        <w:rPr>
          <w:rFonts w:hint="eastAsia" w:ascii="仿宋_GB2312" w:hAnsi="Times New Roman" w:eastAsia="仿宋_GB2312" w:cs="仿宋_GB2312"/>
          <w:b/>
          <w:bCs/>
          <w:kern w:val="2"/>
          <w:sz w:val="32"/>
          <w:szCs w:val="32"/>
          <w:lang w:bidi="ar-SA"/>
        </w:rPr>
        <w:t>合同变更</w:t>
      </w:r>
      <w:r>
        <w:rPr>
          <w:rFonts w:hint="eastAsia" w:ascii="宋体" w:hAnsi="宋体" w:eastAsia="宋体" w:cs="宋体"/>
          <w:sz w:val="21"/>
          <w:szCs w:val="21"/>
        </w:rPr>
        <w:br w:type="textWrapping"/>
      </w:r>
      <w:r>
        <w:rPr>
          <w:rFonts w:hint="eastAsia" w:ascii="仿宋" w:hAnsi="仿宋" w:eastAsia="仿宋" w:cs="仿宋"/>
          <w:sz w:val="32"/>
          <w:szCs w:val="32"/>
        </w:rPr>
        <w:t>对本合同的任何变更或补充，须经甲乙双方协商一致，并另行签订书面补充协议。</w:t>
      </w:r>
    </w:p>
    <w:p w14:paraId="470E665D">
      <w:pPr>
        <w:keepNext w:val="0"/>
        <w:keepLines w:val="0"/>
        <w:widowControl/>
        <w:suppressLineNumbers w:val="0"/>
        <w:spacing w:before="0" w:beforeAutospacing="1" w:after="0" w:afterAutospacing="1" w:line="310" w:lineRule="exact"/>
        <w:ind w:left="0" w:right="0" w:firstLine="525"/>
        <w:jc w:val="left"/>
        <w:rPr>
          <w:rFonts w:hint="eastAsia" w:ascii="仿宋_GB2312" w:hAnsi="Times New Roman" w:eastAsia="仿宋_GB2312" w:cs="仿宋_GB2312"/>
          <w:b/>
          <w:bCs/>
          <w:kern w:val="2"/>
          <w:sz w:val="32"/>
          <w:szCs w:val="32"/>
          <w:lang w:bidi="ar-SA"/>
        </w:rPr>
      </w:pPr>
      <w:r>
        <w:rPr>
          <w:rFonts w:hint="eastAsia" w:ascii="仿宋_GB2312" w:hAnsi="Times New Roman" w:eastAsia="仿宋_GB2312" w:cs="仿宋_GB2312"/>
          <w:b/>
          <w:bCs/>
          <w:kern w:val="2"/>
          <w:sz w:val="32"/>
          <w:szCs w:val="32"/>
          <w:lang w:bidi="ar-SA"/>
        </w:rPr>
        <w:t>第十五条 合同特别终止</w:t>
      </w:r>
    </w:p>
    <w:p w14:paraId="35662C6A">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（一） 甲乙双方同意在乙方出现下列情形时，甲方可以书面形式通知乙方（或者乙方的破产清算组或相关管理人）提出终止合同而不向其提供任何补偿：</w:t>
      </w:r>
      <w:r>
        <w:rPr>
          <w:rFonts w:hint="eastAsia" w:ascii="仿宋" w:hAnsi="仿宋" w:eastAsia="仿宋" w:cs="仿宋"/>
          <w:sz w:val="32"/>
          <w:szCs w:val="32"/>
        </w:rPr>
        <w:br w:type="textWrapping"/>
      </w:r>
      <w:r>
        <w:rPr>
          <w:rFonts w:hint="eastAsia" w:ascii="仿宋" w:hAnsi="仿宋" w:eastAsia="仿宋" w:cs="仿宋"/>
          <w:sz w:val="32"/>
          <w:szCs w:val="32"/>
        </w:rPr>
        <w:t>（1）乙方破产、解散（包括但不限于乙方股东会决议解散、乙方被吊销营业执照、被责令关闭、被撤销、被司法机关裁决解散等情形）；</w:t>
      </w:r>
      <w:r>
        <w:rPr>
          <w:rFonts w:hint="eastAsia" w:ascii="仿宋" w:hAnsi="仿宋" w:eastAsia="仿宋" w:cs="仿宋"/>
          <w:sz w:val="32"/>
          <w:szCs w:val="32"/>
        </w:rPr>
        <w:br w:type="textWrapping"/>
      </w:r>
      <w:r>
        <w:rPr>
          <w:rFonts w:hint="eastAsia" w:ascii="仿宋" w:hAnsi="仿宋" w:eastAsia="仿宋" w:cs="仿宋"/>
          <w:sz w:val="32"/>
          <w:szCs w:val="32"/>
        </w:rPr>
        <w:t>（2）乙方发生未经甲方书面同意的重大产权变更（包括但不限于合并、分立、注销等情形)；（如系上市公司）被勒令停止上市；以及任何原因背负重大债务导致无履行能力。</w:t>
      </w:r>
    </w:p>
    <w:p w14:paraId="1FFB1411">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（二） 如果因上述原因导致本合同终止，甲方已经采取或者将要采取任何补救措施的权利不受任何影响。</w:t>
      </w:r>
    </w:p>
    <w:p w14:paraId="7333A8D7">
      <w:pPr>
        <w:keepNext w:val="0"/>
        <w:keepLines w:val="0"/>
        <w:widowControl/>
        <w:suppressLineNumbers w:val="0"/>
        <w:spacing w:before="0" w:beforeAutospacing="1" w:after="0" w:afterAutospacing="1" w:line="310" w:lineRule="exact"/>
        <w:ind w:left="0" w:right="0" w:firstLine="525"/>
        <w:jc w:val="left"/>
        <w:rPr>
          <w:rFonts w:hint="eastAsia" w:ascii="仿宋_GB2312" w:hAnsi="Times New Roman" w:eastAsia="仿宋_GB2312" w:cs="仿宋_GB2312"/>
          <w:b/>
          <w:bCs/>
          <w:kern w:val="2"/>
          <w:sz w:val="32"/>
          <w:szCs w:val="32"/>
          <w:lang w:bidi="ar-SA"/>
        </w:rPr>
      </w:pPr>
      <w:r>
        <w:rPr>
          <w:rFonts w:hint="eastAsia" w:ascii="仿宋_GB2312" w:hAnsi="Times New Roman" w:eastAsia="仿宋_GB2312" w:cs="仿宋_GB2312"/>
          <w:b/>
          <w:bCs/>
          <w:kern w:val="2"/>
          <w:sz w:val="32"/>
          <w:szCs w:val="32"/>
          <w:lang w:bidi="ar-SA"/>
        </w:rPr>
        <w:t>第十六条 法律适用与争议解决</w:t>
      </w:r>
    </w:p>
    <w:p w14:paraId="583C909C">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（一） 本合同的订立、效力、解释、履行和争议的解决均适用中华人民共和国法律（不包括港澳台地区法律）。</w:t>
      </w:r>
    </w:p>
    <w:p w14:paraId="19803048">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 xml:space="preserve">（二） 凡因本合同引起的或与本合同有关的任何争议，双方首先应友好协商解决。协商不成的，任何一方均可向甲方所在地有管辖权的法院提起诉讼。 </w:t>
      </w:r>
    </w:p>
    <w:p w14:paraId="49BB367A">
      <w:pPr>
        <w:keepNext w:val="0"/>
        <w:keepLines w:val="0"/>
        <w:widowControl/>
        <w:suppressLineNumbers w:val="0"/>
        <w:spacing w:before="0" w:beforeAutospacing="1" w:after="0" w:afterAutospacing="1" w:line="310" w:lineRule="exact"/>
        <w:ind w:left="0" w:right="0" w:firstLine="525"/>
        <w:jc w:val="left"/>
        <w:rPr>
          <w:rFonts w:hint="eastAsia" w:ascii="仿宋_GB2312" w:hAnsi="Times New Roman" w:eastAsia="仿宋_GB2312" w:cs="仿宋_GB2312"/>
          <w:b/>
          <w:bCs/>
          <w:kern w:val="2"/>
          <w:sz w:val="32"/>
          <w:szCs w:val="32"/>
          <w:lang w:bidi="ar-SA"/>
        </w:rPr>
      </w:pPr>
      <w:r>
        <w:rPr>
          <w:rFonts w:hint="eastAsia" w:ascii="仿宋_GB2312" w:hAnsi="Times New Roman" w:eastAsia="仿宋_GB2312" w:cs="仿宋_GB2312"/>
          <w:b/>
          <w:bCs/>
          <w:kern w:val="2"/>
          <w:sz w:val="32"/>
          <w:szCs w:val="32"/>
          <w:lang w:bidi="ar-SA"/>
        </w:rPr>
        <w:t>第十七条 合同生效及其他</w:t>
      </w:r>
    </w:p>
    <w:p w14:paraId="18C28F21">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（一） 本合同经甲乙双方法定代表人或授权代表签字并加盖公章或合同专用章后生效。</w:t>
      </w:r>
    </w:p>
    <w:p w14:paraId="21A38DD5">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（二） 合同期限自_______年_______月_______日始，至_______年_______月_______日止。</w:t>
      </w:r>
    </w:p>
    <w:p w14:paraId="43607E92">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（三） 本合同一式_______份，其中正本_______份，副本_______份。甲方执_______份正本，_______份副本；乙方执_______份正本，_______份副本。</w:t>
      </w:r>
    </w:p>
    <w:p w14:paraId="007CF309">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（四） 无论本合同是否有相反约定，本合同附件（如有）作为本合同的组成部分，与本合同具有同等法律效力，当附件条款与本合同条款发生冲突时，以本合同条款为准。</w:t>
      </w:r>
    </w:p>
    <w:p w14:paraId="4CE33CE1">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03E5B6D8">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（六） 由于法律和法规、政策而导致本合同任何条款无效或无法执行，则该条款无效，但不影响剩余其他条款的效力。</w:t>
      </w:r>
    </w:p>
    <w:p w14:paraId="2DE6191D">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720" w:firstLineChars="200"/>
        <w:jc w:val="left"/>
        <w:textAlignment w:val="auto"/>
        <w:rPr>
          <w:rFonts w:hint="eastAsia" w:ascii="仿宋" w:hAnsi="仿宋" w:eastAsia="仿宋" w:cs="仿宋"/>
          <w:sz w:val="36"/>
          <w:szCs w:val="36"/>
        </w:rPr>
      </w:pPr>
      <w:r>
        <w:rPr>
          <w:rFonts w:hint="eastAsia" w:ascii="仿宋" w:hAnsi="仿宋" w:eastAsia="仿宋" w:cs="仿宋"/>
          <w:sz w:val="36"/>
          <w:szCs w:val="36"/>
        </w:rPr>
        <w:t>（七） ......</w:t>
      </w:r>
    </w:p>
    <w:p w14:paraId="1AF0C970">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3" w:firstLineChars="200"/>
        <w:jc w:val="left"/>
        <w:textAlignment w:val="auto"/>
        <w:rPr>
          <w:rFonts w:hint="eastAsia" w:ascii="仿宋_GB2312" w:hAnsi="Times New Roman" w:eastAsia="仿宋_GB2312" w:cs="仿宋_GB2312"/>
          <w:b/>
          <w:bCs/>
          <w:kern w:val="2"/>
          <w:sz w:val="32"/>
          <w:szCs w:val="32"/>
          <w:lang w:bidi="ar-SA"/>
        </w:rPr>
      </w:pPr>
      <w:r>
        <w:rPr>
          <w:rFonts w:hint="eastAsia" w:ascii="仿宋_GB2312" w:hAnsi="Times New Roman" w:eastAsia="仿宋_GB2312" w:cs="仿宋_GB2312"/>
          <w:b/>
          <w:bCs/>
          <w:kern w:val="2"/>
          <w:sz w:val="32"/>
          <w:szCs w:val="32"/>
          <w:lang w:bidi="ar-SA"/>
        </w:rPr>
        <w:t>第十八条 附件的组成</w:t>
      </w:r>
    </w:p>
    <w:p w14:paraId="092C2A58">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00" w:lineRule="exact"/>
        <w:ind w:left="0" w:right="0" w:firstLine="643" w:firstLineChars="200"/>
        <w:jc w:val="left"/>
        <w:textAlignment w:val="auto"/>
        <w:rPr>
          <w:rFonts w:hint="eastAsia" w:ascii="仿宋_GB2312" w:hAnsi="Times New Roman" w:eastAsia="仿宋_GB2312" w:cs="仿宋_GB2312"/>
          <w:b/>
          <w:bCs/>
          <w:kern w:val="2"/>
          <w:sz w:val="32"/>
          <w:szCs w:val="32"/>
          <w:lang w:bidi="ar-SA"/>
        </w:rPr>
      </w:pPr>
      <w:r>
        <w:rPr>
          <w:rFonts w:hint="eastAsia" w:ascii="仿宋_GB2312" w:hAnsi="Times New Roman" w:eastAsia="仿宋_GB2312" w:cs="仿宋_GB2312"/>
          <w:b/>
          <w:bCs/>
          <w:kern w:val="2"/>
          <w:sz w:val="32"/>
          <w:szCs w:val="32"/>
          <w:lang w:bidi="ar-SA"/>
        </w:rPr>
        <w:t>附件</w:t>
      </w:r>
    </w:p>
    <w:p w14:paraId="66566A60">
      <w:pPr>
        <w:pStyle w:val="2"/>
        <w:rPr>
          <w:rFonts w:hint="eastAsia"/>
        </w:rPr>
        <w:sectPr>
          <w:footerReference r:id="rId11" w:type="default"/>
          <w:pgSz w:w="11906" w:h="16838"/>
          <w:pgMar w:top="1417" w:right="1134" w:bottom="1134" w:left="1134" w:header="851" w:footer="992" w:gutter="0"/>
          <w:cols w:space="720" w:num="1"/>
          <w:titlePg/>
          <w:docGrid w:type="lines" w:linePitch="312" w:charSpace="0"/>
        </w:sectPr>
      </w:pPr>
    </w:p>
    <w:bookmarkEnd w:id="120"/>
    <w:bookmarkEnd w:id="121"/>
    <w:p w14:paraId="08854DA3">
      <w:pPr>
        <w:pStyle w:val="3"/>
        <w:spacing w:before="0" w:after="0"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bookmarkStart w:id="138" w:name="_Toc24143"/>
      <w:bookmarkStart w:id="139" w:name="_Toc444891347"/>
      <w:bookmarkStart w:id="140" w:name="_Toc16424"/>
      <w:bookmarkStart w:id="141" w:name="_Toc28349"/>
      <w:bookmarkStart w:id="142" w:name="_Toc24217"/>
      <w:bookmarkStart w:id="143" w:name="_Toc517281828"/>
      <w:bookmarkStart w:id="144" w:name="_Toc22083"/>
      <w:r>
        <w:rPr>
          <w:rFonts w:hint="eastAsia" w:ascii="仿宋" w:hAnsi="仿宋" w:eastAsia="仿宋" w:cs="仿宋"/>
          <w:color w:val="000000" w:themeColor="text1"/>
          <w:sz w:val="28"/>
          <w:szCs w:val="28"/>
          <w:highlight w:val="none"/>
          <w14:textFill>
            <w14:solidFill>
              <w14:schemeClr w14:val="tx1"/>
            </w14:solidFill>
          </w14:textFill>
        </w:rPr>
        <w:t xml:space="preserve">第五章 </w:t>
      </w:r>
      <w:bookmarkEnd w:id="138"/>
      <w:bookmarkEnd w:id="139"/>
      <w:bookmarkEnd w:id="140"/>
      <w:bookmarkEnd w:id="141"/>
      <w:bookmarkEnd w:id="142"/>
      <w:r>
        <w:rPr>
          <w:rFonts w:hint="eastAsia" w:ascii="仿宋" w:hAnsi="仿宋" w:eastAsia="仿宋" w:cs="仿宋"/>
          <w:color w:val="000000" w:themeColor="text1"/>
          <w:sz w:val="28"/>
          <w:szCs w:val="28"/>
          <w:highlight w:val="none"/>
          <w14:textFill>
            <w14:solidFill>
              <w14:schemeClr w14:val="tx1"/>
            </w14:solidFill>
          </w14:textFill>
        </w:rPr>
        <w:t>采购需求</w:t>
      </w:r>
      <w:bookmarkEnd w:id="143"/>
      <w:bookmarkEnd w:id="144"/>
    </w:p>
    <w:p w14:paraId="68867A2E">
      <w:pPr>
        <w:keepNext/>
        <w:keepLines w:val="0"/>
        <w:pageBreakBefore w:val="0"/>
        <w:widowControl w:val="0"/>
        <w:kinsoku/>
        <w:wordWrap/>
        <w:overflowPunct/>
        <w:topLinePunct w:val="0"/>
        <w:autoSpaceDE/>
        <w:autoSpaceDN/>
        <w:bidi w:val="0"/>
        <w:adjustRightInd/>
        <w:snapToGrid/>
        <w:spacing w:line="600" w:lineRule="exact"/>
        <w:jc w:val="both"/>
        <w:textAlignment w:val="auto"/>
        <w:outlineLvl w:val="0"/>
        <w:rPr>
          <w:rFonts w:hint="eastAsia" w:ascii="仿宋" w:hAnsi="仿宋" w:eastAsia="仿宋" w:cs="仿宋"/>
          <w:kern w:val="2"/>
          <w:sz w:val="28"/>
          <w:lang w:val="en-US" w:eastAsia="zh-CN" w:bidi="ar-SA"/>
        </w:rPr>
      </w:pPr>
      <w:r>
        <w:rPr>
          <w:rFonts w:hint="eastAsia" w:ascii="仿宋" w:hAnsi="仿宋" w:eastAsia="仿宋" w:cs="仿宋"/>
          <w:kern w:val="2"/>
          <w:sz w:val="28"/>
          <w:lang w:val="en-US" w:eastAsia="zh-CN" w:bidi="ar-SA"/>
        </w:rPr>
        <w:t>一、采购需求表</w:t>
      </w:r>
    </w:p>
    <w:p w14:paraId="2BBCD55B">
      <w:pPr>
        <w:pStyle w:val="2"/>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仿宋" w:hAnsi="仿宋" w:eastAsia="仿宋" w:cs="仿宋"/>
          <w:kern w:val="2"/>
          <w:sz w:val="28"/>
          <w:lang w:val="en-US" w:eastAsia="zh-CN" w:bidi="ar-SA"/>
        </w:rPr>
      </w:pPr>
      <w:r>
        <w:rPr>
          <w:rFonts w:hint="eastAsia" w:ascii="仿宋" w:hAnsi="仿宋" w:eastAsia="仿宋" w:cs="仿宋"/>
          <w:kern w:val="2"/>
          <w:sz w:val="28"/>
          <w:lang w:val="en-US" w:eastAsia="zh-CN" w:bidi="ar-SA"/>
        </w:rPr>
        <w:t>项目编号：</w:t>
      </w:r>
    </w:p>
    <w:p w14:paraId="1ED38252">
      <w:pPr>
        <w:rPr>
          <w:rFonts w:hint="eastAsia"/>
          <w:lang w:val="en-US" w:eastAsia="zh-CN"/>
        </w:rPr>
      </w:pP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920"/>
        <w:gridCol w:w="5980"/>
      </w:tblGrid>
      <w:tr w14:paraId="75AD173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340" w:hRule="atLeast"/>
          <w:jc w:val="center"/>
        </w:trPr>
        <w:tc>
          <w:tcPr>
            <w:tcW w:w="2920" w:type="dxa"/>
            <w:noWrap w:val="0"/>
            <w:vAlign w:val="top"/>
          </w:tcPr>
          <w:p w14:paraId="727623F3">
            <w:pPr>
              <w:spacing w:line="400" w:lineRule="exact"/>
              <w:rPr>
                <w:rFonts w:hint="eastAsia" w:ascii="仿宋" w:hAnsi="仿宋" w:eastAsia="仿宋" w:cs="仿宋"/>
                <w:sz w:val="24"/>
                <w:szCs w:val="24"/>
              </w:rPr>
            </w:pPr>
            <w:r>
              <w:rPr>
                <w:rFonts w:hint="eastAsia" w:ascii="仿宋" w:hAnsi="仿宋" w:eastAsia="仿宋" w:cs="仿宋"/>
                <w:sz w:val="24"/>
                <w:szCs w:val="24"/>
              </w:rPr>
              <mc:AlternateContent>
                <mc:Choice Requires="wpg">
                  <w:drawing>
                    <wp:anchor distT="0" distB="0" distL="114300" distR="114300" simplePos="0" relativeHeight="251665408" behindDoc="0" locked="0" layoutInCell="1" allowOverlap="1">
                      <wp:simplePos x="0" y="0"/>
                      <wp:positionH relativeFrom="column">
                        <wp:posOffset>-59055</wp:posOffset>
                      </wp:positionH>
                      <wp:positionV relativeFrom="paragraph">
                        <wp:posOffset>0</wp:posOffset>
                      </wp:positionV>
                      <wp:extent cx="1781175" cy="1479550"/>
                      <wp:effectExtent l="3175" t="3810" r="6350" b="21590"/>
                      <wp:wrapNone/>
                      <wp:docPr id="28" name="组合 28"/>
                      <wp:cNvGraphicFramePr/>
                      <a:graphic xmlns:a="http://schemas.openxmlformats.org/drawingml/2006/main">
                        <a:graphicData uri="http://schemas.microsoft.com/office/word/2010/wordprocessingGroup">
                          <wpg:wgp>
                            <wpg:cNvGrpSpPr/>
                            <wpg:grpSpPr>
                              <a:xfrm>
                                <a:off x="0" y="0"/>
                                <a:ext cx="1781175" cy="1479550"/>
                                <a:chOff x="0" y="0"/>
                                <a:chExt cx="2805" cy="2330"/>
                              </a:xfrm>
                              <a:effectLst/>
                            </wpg:grpSpPr>
                            <wps:wsp>
                              <wps:cNvPr id="21" name="直接连接符 21"/>
                              <wps:cNvCnPr/>
                              <wps:spPr>
                                <a:xfrm>
                                  <a:off x="0" y="0"/>
                                  <a:ext cx="2805" cy="2330"/>
                                </a:xfrm>
                                <a:prstGeom prst="line">
                                  <a:avLst/>
                                </a:prstGeom>
                                <a:ln w="6350" cap="flat" cmpd="sng">
                                  <a:solidFill>
                                    <a:srgbClr val="000000"/>
                                  </a:solidFill>
                                  <a:prstDash val="solid"/>
                                  <a:headEnd type="none" w="med" len="med"/>
                                  <a:tailEnd type="none" w="med" len="med"/>
                                </a:ln>
                                <a:effectLst/>
                              </wps:spPr>
                              <wps:bodyPr upright="1"/>
                            </wps:wsp>
                            <wps:wsp>
                              <wps:cNvPr id="22" name="文本框 22"/>
                              <wps:cNvSpPr txBox="1"/>
                              <wps:spPr>
                                <a:xfrm>
                                  <a:off x="1053" y="142"/>
                                  <a:ext cx="300" cy="300"/>
                                </a:xfrm>
                                <a:prstGeom prst="rect">
                                  <a:avLst/>
                                </a:prstGeom>
                                <a:noFill/>
                                <a:ln>
                                  <a:noFill/>
                                </a:ln>
                                <a:effectLst/>
                              </wps:spPr>
                              <wps:txbx>
                                <w:txbxContent>
                                  <w:p w14:paraId="17CE4BB8">
                                    <w:pPr>
                                      <w:snapToGrid w:val="0"/>
                                      <w:rPr>
                                        <w:rFonts w:hint="eastAsia" w:ascii="仿宋" w:hAnsi="仿宋" w:eastAsia="仿宋" w:cs="仿宋"/>
                                        <w:sz w:val="24"/>
                                        <w:szCs w:val="20"/>
                                      </w:rPr>
                                    </w:pPr>
                                    <w:r>
                                      <w:rPr>
                                        <w:rFonts w:hint="eastAsia" w:ascii="仿宋" w:hAnsi="仿宋" w:eastAsia="仿宋" w:cs="仿宋"/>
                                        <w:sz w:val="24"/>
                                        <w:szCs w:val="20"/>
                                      </w:rPr>
                                      <w:t>项</w:t>
                                    </w:r>
                                  </w:p>
                                </w:txbxContent>
                              </wps:txbx>
                              <wps:bodyPr wrap="square" lIns="0" tIns="0" rIns="0" bIns="0" upright="1"/>
                            </wps:wsp>
                            <wps:wsp>
                              <wps:cNvPr id="23" name="文本框 23"/>
                              <wps:cNvSpPr txBox="1"/>
                              <wps:spPr>
                                <a:xfrm>
                                  <a:off x="1468" y="487"/>
                                  <a:ext cx="300" cy="300"/>
                                </a:xfrm>
                                <a:prstGeom prst="rect">
                                  <a:avLst/>
                                </a:prstGeom>
                                <a:noFill/>
                                <a:ln>
                                  <a:noFill/>
                                </a:ln>
                                <a:effectLst/>
                              </wps:spPr>
                              <wps:txbx>
                                <w:txbxContent>
                                  <w:p w14:paraId="00380A3C">
                                    <w:pPr>
                                      <w:snapToGrid w:val="0"/>
                                      <w:rPr>
                                        <w:rFonts w:hint="eastAsia" w:ascii="仿宋" w:hAnsi="仿宋" w:eastAsia="仿宋" w:cs="仿宋"/>
                                        <w:sz w:val="24"/>
                                        <w:szCs w:val="20"/>
                                      </w:rPr>
                                    </w:pPr>
                                    <w:r>
                                      <w:rPr>
                                        <w:rFonts w:hint="eastAsia" w:ascii="仿宋" w:hAnsi="仿宋" w:eastAsia="仿宋" w:cs="仿宋"/>
                                        <w:sz w:val="24"/>
                                        <w:szCs w:val="20"/>
                                      </w:rPr>
                                      <w:t>目目</w:t>
                                    </w:r>
                                  </w:p>
                                </w:txbxContent>
                              </wps:txbx>
                              <wps:bodyPr wrap="square" lIns="0" tIns="0" rIns="0" bIns="0" upright="1"/>
                            </wps:wsp>
                            <wps:wsp>
                              <wps:cNvPr id="24" name="文本框 24"/>
                              <wps:cNvSpPr txBox="1"/>
                              <wps:spPr>
                                <a:xfrm>
                                  <a:off x="1883" y="831"/>
                                  <a:ext cx="300" cy="300"/>
                                </a:xfrm>
                                <a:prstGeom prst="rect">
                                  <a:avLst/>
                                </a:prstGeom>
                                <a:noFill/>
                                <a:ln>
                                  <a:noFill/>
                                </a:ln>
                                <a:effectLst/>
                              </wps:spPr>
                              <wps:txbx>
                                <w:txbxContent>
                                  <w:p w14:paraId="1CC52B80">
                                    <w:pPr>
                                      <w:snapToGrid w:val="0"/>
                                      <w:rPr>
                                        <w:rFonts w:hint="eastAsia" w:ascii="仿宋" w:hAnsi="仿宋" w:eastAsia="仿宋" w:cs="仿宋"/>
                                        <w:sz w:val="24"/>
                                        <w:szCs w:val="20"/>
                                      </w:rPr>
                                    </w:pPr>
                                    <w:r>
                                      <w:rPr>
                                        <w:rFonts w:hint="eastAsia" w:ascii="仿宋" w:hAnsi="仿宋" w:eastAsia="仿宋" w:cs="仿宋"/>
                                        <w:sz w:val="24"/>
                                        <w:szCs w:val="20"/>
                                      </w:rPr>
                                      <w:t>名</w:t>
                                    </w:r>
                                  </w:p>
                                </w:txbxContent>
                              </wps:txbx>
                              <wps:bodyPr wrap="square" lIns="0" tIns="0" rIns="0" bIns="0" upright="1"/>
                            </wps:wsp>
                            <wps:wsp>
                              <wps:cNvPr id="25" name="文本框 25"/>
                              <wps:cNvSpPr txBox="1"/>
                              <wps:spPr>
                                <a:xfrm>
                                  <a:off x="2298" y="1176"/>
                                  <a:ext cx="300" cy="300"/>
                                </a:xfrm>
                                <a:prstGeom prst="rect">
                                  <a:avLst/>
                                </a:prstGeom>
                                <a:noFill/>
                                <a:ln>
                                  <a:noFill/>
                                </a:ln>
                                <a:effectLst/>
                              </wps:spPr>
                              <wps:txbx>
                                <w:txbxContent>
                                  <w:p w14:paraId="2AB58B6F">
                                    <w:pPr>
                                      <w:snapToGrid w:val="0"/>
                                      <w:rPr>
                                        <w:rFonts w:hint="eastAsia" w:ascii="仿宋" w:hAnsi="仿宋" w:eastAsia="仿宋" w:cs="仿宋"/>
                                        <w:sz w:val="24"/>
                                        <w:szCs w:val="20"/>
                                      </w:rPr>
                                    </w:pPr>
                                    <w:r>
                                      <w:rPr>
                                        <w:rFonts w:hint="eastAsia" w:ascii="仿宋" w:hAnsi="仿宋" w:eastAsia="仿宋" w:cs="仿宋"/>
                                        <w:sz w:val="24"/>
                                        <w:szCs w:val="20"/>
                                      </w:rPr>
                                      <w:t>称</w:t>
                                    </w:r>
                                  </w:p>
                                </w:txbxContent>
                              </wps:txbx>
                              <wps:bodyPr wrap="square" lIns="0" tIns="0" rIns="0" bIns="0" upright="1"/>
                            </wps:wsp>
                            <wps:wsp>
                              <wps:cNvPr id="26" name="文本框 26"/>
                              <wps:cNvSpPr txBox="1"/>
                              <wps:spPr>
                                <a:xfrm>
                                  <a:off x="424" y="1004"/>
                                  <a:ext cx="300" cy="300"/>
                                </a:xfrm>
                                <a:prstGeom prst="rect">
                                  <a:avLst/>
                                </a:prstGeom>
                                <a:noFill/>
                                <a:ln>
                                  <a:noFill/>
                                </a:ln>
                                <a:effectLst/>
                              </wps:spPr>
                              <wps:txbx>
                                <w:txbxContent>
                                  <w:p w14:paraId="0E542E11">
                                    <w:pPr>
                                      <w:snapToGrid w:val="0"/>
                                      <w:rPr>
                                        <w:rFonts w:hint="eastAsia" w:ascii="仿宋" w:hAnsi="仿宋" w:eastAsia="仿宋" w:cs="仿宋"/>
                                        <w:sz w:val="24"/>
                                        <w:szCs w:val="20"/>
                                      </w:rPr>
                                    </w:pPr>
                                    <w:r>
                                      <w:rPr>
                                        <w:rFonts w:hint="eastAsia" w:ascii="仿宋" w:hAnsi="仿宋" w:eastAsia="仿宋" w:cs="仿宋"/>
                                        <w:sz w:val="24"/>
                                        <w:szCs w:val="20"/>
                                      </w:rPr>
                                      <w:t>内</w:t>
                                    </w:r>
                                  </w:p>
                                </w:txbxContent>
                              </wps:txbx>
                              <wps:bodyPr wrap="square" lIns="0" tIns="0" rIns="0" bIns="0" upright="1"/>
                            </wps:wsp>
                            <wps:wsp>
                              <wps:cNvPr id="27" name="文本框 27"/>
                              <wps:cNvSpPr txBox="1"/>
                              <wps:spPr>
                                <a:xfrm>
                                  <a:off x="1271" y="1708"/>
                                  <a:ext cx="300" cy="300"/>
                                </a:xfrm>
                                <a:prstGeom prst="rect">
                                  <a:avLst/>
                                </a:prstGeom>
                                <a:noFill/>
                                <a:ln>
                                  <a:noFill/>
                                </a:ln>
                                <a:effectLst/>
                              </wps:spPr>
                              <wps:txbx>
                                <w:txbxContent>
                                  <w:p w14:paraId="714A20CF">
                                    <w:pPr>
                                      <w:snapToGrid w:val="0"/>
                                      <w:rPr>
                                        <w:rFonts w:hint="eastAsia" w:ascii="仿宋" w:hAnsi="仿宋" w:eastAsia="仿宋" w:cs="仿宋"/>
                                        <w:sz w:val="24"/>
                                        <w:szCs w:val="20"/>
                                      </w:rPr>
                                    </w:pPr>
                                    <w:r>
                                      <w:rPr>
                                        <w:rFonts w:hint="eastAsia" w:ascii="仿宋" w:hAnsi="仿宋" w:eastAsia="仿宋" w:cs="仿宋"/>
                                        <w:sz w:val="24"/>
                                        <w:szCs w:val="20"/>
                                      </w:rPr>
                                      <w:t>容</w:t>
                                    </w:r>
                                  </w:p>
                                </w:txbxContent>
                              </wps:txbx>
                              <wps:bodyPr wrap="square" lIns="0" tIns="0" rIns="0" bIns="0" upright="1"/>
                            </wps:wsp>
                          </wpg:wgp>
                        </a:graphicData>
                      </a:graphic>
                    </wp:anchor>
                  </w:drawing>
                </mc:Choice>
                <mc:Fallback>
                  <w:pict>
                    <v:group id="_x0000_s1026" o:spid="_x0000_s1026" o:spt="203" style="position:absolute;left:0pt;margin-left:-4.65pt;margin-top:0pt;height:116.5pt;width:140.25pt;z-index:251665408;mso-width-relative:page;mso-height-relative:page;" coordsize="2805,2330" o:gfxdata="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">
                      <o:lock v:ext="edit" aspectratio="f"/>
                      <v:line id="_x0000_s1026" o:spid="_x0000_s1026" o:spt="20" style="position:absolute;left:0;top:0;height:2330;width:2805;" filled="f" stroked="t" coordsize="21600,21600" o:gfxdata="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Juyi1ugAAANsA&#10;AAAPAAAAAAAAAAEAIAAAACIAAABkcnMvZG93bnJldi54bWxQSwECFAAUAAAACACHTuJAMy8FnjsA&#10;AAA5AAAAEAAAAAAAAAABACAAAAAJAQAAZHJzL3NoYXBleG1sLnhtbFBLBQYAAAAABgAGAFsBAACz&#10;AwAAAAA=&#10;">
                        <v:fill on="f" focussize="0,0"/>
                        <v:stroke weight="0.5pt" color="#000000" joinstyle="round"/>
                        <v:imagedata o:title=""/>
                        <o:lock v:ext="edit" aspectratio="f"/>
                      </v:line>
                      <v:shape id="_x0000_s1026" o:spid="_x0000_s1026" o:spt="202" type="#_x0000_t202" style="position:absolute;left:1053;top:142;height:300;width:300;" filled="f" stroked="f" coordsize="21600,21600" o:gfxdata="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ADp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17CE4BB8">
                              <w:pPr>
                                <w:snapToGrid w:val="0"/>
                                <w:rPr>
                                  <w:rFonts w:hint="eastAsia" w:ascii="仿宋" w:hAnsi="仿宋" w:eastAsia="仿宋" w:cs="仿宋"/>
                                  <w:sz w:val="24"/>
                                  <w:szCs w:val="20"/>
                                </w:rPr>
                              </w:pPr>
                              <w:r>
                                <w:rPr>
                                  <w:rFonts w:hint="eastAsia" w:ascii="仿宋" w:hAnsi="仿宋" w:eastAsia="仿宋" w:cs="仿宋"/>
                                  <w:sz w:val="24"/>
                                  <w:szCs w:val="20"/>
                                </w:rPr>
                                <w:t>项</w:t>
                              </w:r>
                            </w:p>
                          </w:txbxContent>
                        </v:textbox>
                      </v:shape>
                      <v:shape id="_x0000_s1026" o:spid="_x0000_s1026" o:spt="202" type="#_x0000_t202" style="position:absolute;left:1468;top:487;height:300;width:300;" filled="f" stroked="f" coordsize="21600,21600" o:gfxdata="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LSlc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00380A3C">
                              <w:pPr>
                                <w:snapToGrid w:val="0"/>
                                <w:rPr>
                                  <w:rFonts w:hint="eastAsia" w:ascii="仿宋" w:hAnsi="仿宋" w:eastAsia="仿宋" w:cs="仿宋"/>
                                  <w:sz w:val="24"/>
                                  <w:szCs w:val="20"/>
                                </w:rPr>
                              </w:pPr>
                              <w:r>
                                <w:rPr>
                                  <w:rFonts w:hint="eastAsia" w:ascii="仿宋" w:hAnsi="仿宋" w:eastAsia="仿宋" w:cs="仿宋"/>
                                  <w:sz w:val="24"/>
                                  <w:szCs w:val="20"/>
                                </w:rPr>
                                <w:t>目目</w:t>
                              </w:r>
                            </w:p>
                          </w:txbxContent>
                        </v:textbox>
                      </v:shape>
                      <v:shape id="_x0000_s1026" o:spid="_x0000_s1026" o:spt="202" type="#_x0000_t202" style="position:absolute;left:1883;top:831;height:300;width:300;" filled="f" stroked="f" coordsize="21600,21600" o:gfxdata="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109B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CC52B80">
                              <w:pPr>
                                <w:snapToGrid w:val="0"/>
                                <w:rPr>
                                  <w:rFonts w:hint="eastAsia" w:ascii="仿宋" w:hAnsi="仿宋" w:eastAsia="仿宋" w:cs="仿宋"/>
                                  <w:sz w:val="24"/>
                                  <w:szCs w:val="20"/>
                                </w:rPr>
                              </w:pPr>
                              <w:r>
                                <w:rPr>
                                  <w:rFonts w:hint="eastAsia" w:ascii="仿宋" w:hAnsi="仿宋" w:eastAsia="仿宋" w:cs="仿宋"/>
                                  <w:sz w:val="24"/>
                                  <w:szCs w:val="20"/>
                                </w:rPr>
                                <w:t>名</w:t>
                              </w:r>
                            </w:p>
                          </w:txbxContent>
                        </v:textbox>
                      </v:shape>
                      <v:shape id="_x0000_s1026" o:spid="_x0000_s1026" o:spt="202" type="#_x0000_t202" style="position:absolute;left:2298;top:1176;height:300;width:300;" filled="f" stroked="f" coordsize="21600,21600" o:gfxdata="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BGYnb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AB58B6F">
                              <w:pPr>
                                <w:snapToGrid w:val="0"/>
                                <w:rPr>
                                  <w:rFonts w:hint="eastAsia" w:ascii="仿宋" w:hAnsi="仿宋" w:eastAsia="仿宋" w:cs="仿宋"/>
                                  <w:sz w:val="24"/>
                                  <w:szCs w:val="20"/>
                                </w:rPr>
                              </w:pPr>
                              <w:r>
                                <w:rPr>
                                  <w:rFonts w:hint="eastAsia" w:ascii="仿宋" w:hAnsi="仿宋" w:eastAsia="仿宋" w:cs="仿宋"/>
                                  <w:sz w:val="24"/>
                                  <w:szCs w:val="20"/>
                                </w:rPr>
                                <w:t>称</w:t>
                              </w:r>
                            </w:p>
                          </w:txbxContent>
                        </v:textbox>
                      </v:shape>
                      <v:shape id="_x0000_s1026" o:spid="_x0000_s1026" o:spt="202" type="#_x0000_t202" style="position:absolute;left:424;top:1004;height:300;width:300;" filled="f" stroked="f" coordsize="21600,21600" o:gfxdata="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wwbq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0E542E11">
                              <w:pPr>
                                <w:snapToGrid w:val="0"/>
                                <w:rPr>
                                  <w:rFonts w:hint="eastAsia" w:ascii="仿宋" w:hAnsi="仿宋" w:eastAsia="仿宋" w:cs="仿宋"/>
                                  <w:sz w:val="24"/>
                                  <w:szCs w:val="20"/>
                                </w:rPr>
                              </w:pPr>
                              <w:r>
                                <w:rPr>
                                  <w:rFonts w:hint="eastAsia" w:ascii="仿宋" w:hAnsi="仿宋" w:eastAsia="仿宋" w:cs="仿宋"/>
                                  <w:sz w:val="24"/>
                                  <w:szCs w:val="20"/>
                                </w:rPr>
                                <w:t>内</w:t>
                              </w:r>
                            </w:p>
                          </w:txbxContent>
                        </v:textbox>
                      </v:shape>
                      <v:shape id="_x0000_s1026" o:spid="_x0000_s1026" o:spt="202" type="#_x0000_t202" style="position:absolute;left:1271;top:1708;height:300;width:300;" filled="f" stroked="f" coordsize="21600,21600" o:gfxdata="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j6Nx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14A20CF">
                              <w:pPr>
                                <w:snapToGrid w:val="0"/>
                                <w:rPr>
                                  <w:rFonts w:hint="eastAsia" w:ascii="仿宋" w:hAnsi="仿宋" w:eastAsia="仿宋" w:cs="仿宋"/>
                                  <w:sz w:val="24"/>
                                  <w:szCs w:val="20"/>
                                </w:rPr>
                              </w:pPr>
                              <w:r>
                                <w:rPr>
                                  <w:rFonts w:hint="eastAsia" w:ascii="仿宋" w:hAnsi="仿宋" w:eastAsia="仿宋" w:cs="仿宋"/>
                                  <w:sz w:val="24"/>
                                  <w:szCs w:val="20"/>
                                </w:rPr>
                                <w:t>容</w:t>
                              </w:r>
                            </w:p>
                          </w:txbxContent>
                        </v:textbox>
                      </v:shape>
                    </v:group>
                  </w:pict>
                </mc:Fallback>
              </mc:AlternateContent>
            </w:r>
          </w:p>
        </w:tc>
        <w:tc>
          <w:tcPr>
            <w:tcW w:w="5980" w:type="dxa"/>
            <w:noWrap w:val="0"/>
            <w:vAlign w:val="center"/>
          </w:tcPr>
          <w:p w14:paraId="0D5C6E34">
            <w:pPr>
              <w:spacing w:line="40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人保财险景德镇市河西支公司</w:t>
            </w:r>
            <w:r>
              <w:rPr>
                <w:rFonts w:hint="eastAsia" w:ascii="仿宋" w:hAnsi="仿宋" w:eastAsia="仿宋" w:cs="仿宋"/>
                <w:sz w:val="24"/>
                <w:szCs w:val="24"/>
                <w:lang w:val="en-US" w:eastAsia="zh-CN"/>
              </w:rPr>
              <w:t>车险</w:t>
            </w:r>
            <w:r>
              <w:rPr>
                <w:rFonts w:hint="eastAsia" w:ascii="仿宋" w:hAnsi="仿宋" w:eastAsia="仿宋" w:cs="仿宋"/>
                <w:sz w:val="24"/>
                <w:szCs w:val="24"/>
                <w:lang w:eastAsia="zh-CN"/>
              </w:rPr>
              <w:t>客户增值服务（车辆安全检测、代为送检）采购项目</w:t>
            </w:r>
          </w:p>
        </w:tc>
      </w:tr>
      <w:tr w14:paraId="41DBD4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853" w:hRule="atLeast"/>
          <w:jc w:val="center"/>
        </w:trPr>
        <w:tc>
          <w:tcPr>
            <w:tcW w:w="2920" w:type="dxa"/>
            <w:noWrap w:val="0"/>
            <w:vAlign w:val="top"/>
          </w:tcPr>
          <w:p w14:paraId="629F0AE4">
            <w:pPr>
              <w:pageBreakBefore w:val="0"/>
              <w:widowControl w:val="0"/>
              <w:wordWrap/>
              <w:overflowPunct/>
              <w:topLinePunct w:val="0"/>
              <w:bidi w:val="0"/>
              <w:spacing w:before="253" w:line="219" w:lineRule="auto"/>
              <w:ind w:left="1188" w:leftChars="0"/>
              <w:rPr>
                <w:rFonts w:hint="eastAsia" w:ascii="仿宋" w:hAnsi="仿宋" w:eastAsia="仿宋" w:cs="仿宋"/>
                <w:sz w:val="24"/>
                <w:szCs w:val="24"/>
              </w:rPr>
            </w:pPr>
            <w:r>
              <w:rPr>
                <w:rFonts w:hint="eastAsia" w:ascii="仿宋" w:hAnsi="仿宋" w:eastAsia="仿宋" w:cs="仿宋"/>
                <w:color w:val="auto"/>
                <w:spacing w:val="-6"/>
                <w:sz w:val="24"/>
                <w:szCs w:val="24"/>
                <w:highlight w:val="none"/>
              </w:rPr>
              <w:t>数量</w:t>
            </w:r>
          </w:p>
        </w:tc>
        <w:tc>
          <w:tcPr>
            <w:tcW w:w="5980" w:type="dxa"/>
            <w:noWrap w:val="0"/>
            <w:vAlign w:val="center"/>
          </w:tcPr>
          <w:p w14:paraId="5AE57C3D">
            <w:pPr>
              <w:pStyle w:val="176"/>
              <w:pageBreakBefore w:val="0"/>
              <w:widowControl w:val="0"/>
              <w:wordWrap/>
              <w:overflowPunct/>
              <w:topLinePunct w:val="0"/>
              <w:bidi w:val="0"/>
              <w:jc w:val="center"/>
              <w:rPr>
                <w:rFonts w:hint="eastAsia" w:ascii="仿宋" w:hAnsi="仿宋" w:eastAsia="仿宋" w:cs="仿宋"/>
                <w:sz w:val="24"/>
                <w:szCs w:val="24"/>
                <w:lang w:val="en-US" w:eastAsia="zh-CN"/>
              </w:rPr>
            </w:pPr>
            <w:r>
              <w:rPr>
                <w:rFonts w:hint="eastAsia" w:ascii="仿宋" w:hAnsi="仿宋" w:eastAsia="仿宋" w:cs="仿宋"/>
                <w:color w:val="auto"/>
                <w:sz w:val="24"/>
                <w:szCs w:val="24"/>
                <w:highlight w:val="none"/>
                <w:lang w:val="en-US" w:eastAsia="zh-CN"/>
              </w:rPr>
              <w:t>1项</w:t>
            </w:r>
          </w:p>
        </w:tc>
      </w:tr>
      <w:tr w14:paraId="6F177EB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13" w:hRule="atLeast"/>
          <w:jc w:val="center"/>
        </w:trPr>
        <w:tc>
          <w:tcPr>
            <w:tcW w:w="2920" w:type="dxa"/>
            <w:noWrap w:val="0"/>
            <w:vAlign w:val="top"/>
          </w:tcPr>
          <w:p w14:paraId="178D00D8">
            <w:pPr>
              <w:pageBreakBefore w:val="0"/>
              <w:widowControl w:val="0"/>
              <w:wordWrap/>
              <w:overflowPunct/>
              <w:topLinePunct w:val="0"/>
              <w:bidi w:val="0"/>
              <w:spacing w:before="253" w:line="219" w:lineRule="auto"/>
              <w:ind w:left="1071" w:leftChars="0"/>
              <w:rPr>
                <w:rFonts w:hint="eastAsia" w:ascii="仿宋" w:hAnsi="仿宋" w:eastAsia="仿宋" w:cs="仿宋"/>
                <w:sz w:val="24"/>
                <w:szCs w:val="24"/>
              </w:rPr>
            </w:pPr>
            <w:r>
              <w:rPr>
                <w:rFonts w:hint="eastAsia" w:ascii="仿宋" w:hAnsi="仿宋" w:eastAsia="仿宋" w:cs="仿宋"/>
                <w:color w:val="auto"/>
                <w:spacing w:val="-5"/>
                <w:sz w:val="24"/>
                <w:szCs w:val="24"/>
                <w:highlight w:val="none"/>
                <w:lang w:val="en-US" w:eastAsia="zh-CN"/>
              </w:rPr>
              <w:t>服务</w:t>
            </w:r>
            <w:r>
              <w:rPr>
                <w:rFonts w:hint="eastAsia" w:ascii="仿宋" w:hAnsi="仿宋" w:eastAsia="仿宋" w:cs="仿宋"/>
                <w:color w:val="auto"/>
                <w:spacing w:val="-5"/>
                <w:sz w:val="24"/>
                <w:szCs w:val="24"/>
                <w:highlight w:val="none"/>
              </w:rPr>
              <w:t>期</w:t>
            </w:r>
          </w:p>
        </w:tc>
        <w:tc>
          <w:tcPr>
            <w:tcW w:w="5980" w:type="dxa"/>
            <w:noWrap w:val="0"/>
            <w:vAlign w:val="center"/>
          </w:tcPr>
          <w:p w14:paraId="7D1D4876">
            <w:pPr>
              <w:pStyle w:val="176"/>
              <w:pageBreakBefore w:val="0"/>
              <w:widowControl w:val="0"/>
              <w:wordWrap/>
              <w:overflowPunct/>
              <w:topLinePunct w:val="0"/>
              <w:bidi w:val="0"/>
              <w:jc w:val="center"/>
              <w:rPr>
                <w:rFonts w:hint="eastAsia" w:ascii="仿宋" w:hAnsi="仿宋" w:eastAsia="仿宋" w:cs="仿宋"/>
                <w:bCs/>
                <w:sz w:val="24"/>
                <w:szCs w:val="24"/>
                <w:lang w:eastAsia="zh-CN"/>
              </w:rPr>
            </w:pPr>
            <w:r>
              <w:rPr>
                <w:rFonts w:hint="eastAsia" w:ascii="仿宋" w:hAnsi="仿宋" w:eastAsia="仿宋" w:cs="仿宋"/>
                <w:color w:val="auto"/>
                <w:sz w:val="24"/>
                <w:szCs w:val="24"/>
                <w:highlight w:val="none"/>
                <w:lang w:val="en-US" w:eastAsia="zh-CN"/>
              </w:rPr>
              <w:t>2年。</w:t>
            </w:r>
          </w:p>
        </w:tc>
      </w:tr>
      <w:tr w14:paraId="3C9FC79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58" w:hRule="atLeast"/>
          <w:jc w:val="center"/>
        </w:trPr>
        <w:tc>
          <w:tcPr>
            <w:tcW w:w="2920" w:type="dxa"/>
            <w:noWrap w:val="0"/>
            <w:vAlign w:val="top"/>
          </w:tcPr>
          <w:p w14:paraId="3F125866">
            <w:pPr>
              <w:pageBreakBefore w:val="0"/>
              <w:widowControl w:val="0"/>
              <w:wordWrap/>
              <w:overflowPunct/>
              <w:topLinePunct w:val="0"/>
              <w:bidi w:val="0"/>
              <w:spacing w:before="256" w:line="219" w:lineRule="auto"/>
              <w:ind w:left="951" w:leftChars="0"/>
              <w:rPr>
                <w:rFonts w:hint="eastAsia" w:ascii="仿宋" w:hAnsi="仿宋" w:eastAsia="仿宋" w:cs="仿宋"/>
                <w:sz w:val="24"/>
                <w:szCs w:val="24"/>
                <w:lang w:val="en-US" w:eastAsia="zh-CN"/>
              </w:rPr>
            </w:pPr>
            <w:r>
              <w:rPr>
                <w:rFonts w:hint="eastAsia" w:ascii="仿宋" w:hAnsi="仿宋" w:eastAsia="仿宋" w:cs="仿宋"/>
                <w:color w:val="auto"/>
                <w:spacing w:val="-4"/>
                <w:sz w:val="24"/>
                <w:szCs w:val="24"/>
                <w:highlight w:val="none"/>
                <w:lang w:val="en-US" w:eastAsia="zh-CN"/>
              </w:rPr>
              <w:t>服务</w:t>
            </w:r>
            <w:r>
              <w:rPr>
                <w:rFonts w:hint="eastAsia" w:ascii="仿宋" w:hAnsi="仿宋" w:eastAsia="仿宋" w:cs="仿宋"/>
                <w:color w:val="auto"/>
                <w:spacing w:val="-4"/>
                <w:sz w:val="24"/>
                <w:szCs w:val="24"/>
                <w:highlight w:val="none"/>
              </w:rPr>
              <w:t>地点</w:t>
            </w:r>
          </w:p>
        </w:tc>
        <w:tc>
          <w:tcPr>
            <w:tcW w:w="5980" w:type="dxa"/>
            <w:noWrap w:val="0"/>
            <w:vAlign w:val="center"/>
          </w:tcPr>
          <w:p w14:paraId="5D60BCF6">
            <w:pPr>
              <w:pStyle w:val="176"/>
              <w:pageBreakBefore w:val="0"/>
              <w:widowControl w:val="0"/>
              <w:wordWrap/>
              <w:overflowPunct/>
              <w:topLinePunct w:val="0"/>
              <w:bidi w:val="0"/>
              <w:jc w:val="center"/>
              <w:rPr>
                <w:rFonts w:hint="eastAsia" w:ascii="仿宋" w:hAnsi="仿宋" w:eastAsia="仿宋" w:cs="仿宋"/>
                <w:sz w:val="24"/>
                <w:szCs w:val="24"/>
                <w:lang w:val="en-US" w:eastAsia="zh-CN"/>
              </w:rPr>
            </w:pPr>
            <w:r>
              <w:rPr>
                <w:rFonts w:hint="eastAsia" w:ascii="仿宋" w:hAnsi="仿宋" w:eastAsia="仿宋" w:cs="仿宋"/>
                <w:color w:val="auto"/>
                <w:sz w:val="24"/>
                <w:szCs w:val="24"/>
                <w:highlight w:val="none"/>
                <w:lang w:val="en-US" w:eastAsia="zh-CN"/>
              </w:rPr>
              <w:t>采购人指定地点</w:t>
            </w:r>
          </w:p>
        </w:tc>
      </w:tr>
      <w:tr w14:paraId="4D58E9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983" w:hRule="atLeast"/>
          <w:jc w:val="center"/>
        </w:trPr>
        <w:tc>
          <w:tcPr>
            <w:tcW w:w="2920" w:type="dxa"/>
            <w:noWrap w:val="0"/>
            <w:vAlign w:val="center"/>
          </w:tcPr>
          <w:p w14:paraId="2DFB1279">
            <w:pPr>
              <w:spacing w:line="400" w:lineRule="exact"/>
              <w:jc w:val="center"/>
              <w:rPr>
                <w:rFonts w:hint="eastAsia" w:ascii="仿宋" w:hAnsi="仿宋" w:eastAsia="仿宋" w:cs="仿宋"/>
                <w:sz w:val="24"/>
                <w:szCs w:val="24"/>
              </w:rPr>
            </w:pPr>
            <w:r>
              <w:rPr>
                <w:rFonts w:hint="eastAsia" w:ascii="仿宋" w:hAnsi="仿宋" w:eastAsia="仿宋" w:cs="仿宋"/>
                <w:sz w:val="24"/>
                <w:szCs w:val="24"/>
              </w:rPr>
              <w:t>备注</w:t>
            </w:r>
          </w:p>
        </w:tc>
        <w:tc>
          <w:tcPr>
            <w:tcW w:w="5980" w:type="dxa"/>
            <w:noWrap w:val="0"/>
            <w:vAlign w:val="center"/>
          </w:tcPr>
          <w:p w14:paraId="5A1DFB94">
            <w:pPr>
              <w:adjustRightInd w:val="0"/>
              <w:snapToGrid w:val="0"/>
              <w:spacing w:before="240" w:line="360" w:lineRule="auto"/>
              <w:ind w:firstLine="480" w:firstLineChars="200"/>
              <w:jc w:val="left"/>
              <w:rPr>
                <w:rFonts w:hint="default" w:ascii="仿宋" w:hAnsi="仿宋" w:eastAsia="仿宋" w:cs="仿宋"/>
                <w:sz w:val="24"/>
                <w:highlight w:val="none"/>
                <w:lang w:val="en-US" w:eastAsia="zh-CN"/>
              </w:rPr>
            </w:pPr>
            <w:r>
              <w:rPr>
                <w:rFonts w:hint="eastAsia" w:ascii="仿宋" w:hAnsi="仿宋" w:eastAsia="仿宋" w:cs="仿宋"/>
                <w:color w:val="auto"/>
                <w:kern w:val="2"/>
                <w:sz w:val="24"/>
                <w:szCs w:val="24"/>
                <w:lang w:val="en-US" w:eastAsia="zh-CN" w:bidi="ar"/>
              </w:rPr>
              <w:t>供应商需进行分项报价</w:t>
            </w:r>
            <w:r>
              <w:rPr>
                <w:rFonts w:hint="eastAsia" w:ascii="仿宋" w:hAnsi="仿宋" w:eastAsia="仿宋" w:cs="仿宋"/>
                <w:color w:val="auto"/>
                <w:sz w:val="24"/>
                <w:szCs w:val="24"/>
                <w:lang w:eastAsia="zh-CN"/>
              </w:rPr>
              <w:t>（车辆安全检测、车辆代为送检）</w:t>
            </w:r>
            <w:r>
              <w:rPr>
                <w:rFonts w:hint="eastAsia" w:ascii="仿宋" w:hAnsi="仿宋" w:eastAsia="仿宋" w:cs="仿宋"/>
                <w:color w:val="auto"/>
                <w:sz w:val="24"/>
                <w:highlight w:val="none"/>
                <w:lang w:val="en-US" w:eastAsia="zh-CN"/>
              </w:rPr>
              <w:t>本项目通过评审小组评审，综合得分由高到低排名为前两名的供应商入围，排名第一的供应商享受的结算额度为每年度实际产生金额的55%，排名第二的供应商享受的结算额度为每年度实际产生金额的45%，</w:t>
            </w:r>
            <w:r>
              <w:rPr>
                <w:rFonts w:hint="eastAsia" w:ascii="仿宋" w:hAnsi="仿宋" w:eastAsia="仿宋" w:cs="仿宋"/>
                <w:b w:val="0"/>
                <w:bCs w:val="0"/>
                <w:sz w:val="24"/>
                <w:highlight w:val="none"/>
                <w:lang w:val="en-US" w:eastAsia="zh-CN"/>
              </w:rPr>
              <w:t>项目不得转包和分包。</w:t>
            </w:r>
          </w:p>
          <w:p w14:paraId="65D28828">
            <w:pPr>
              <w:keepNext w:val="0"/>
              <w:keepLines w:val="0"/>
              <w:widowControl w:val="0"/>
              <w:numPr>
                <w:ilvl w:val="0"/>
                <w:numId w:val="0"/>
              </w:numPr>
              <w:suppressLineNumbers w:val="0"/>
              <w:spacing w:before="0" w:beforeAutospacing="0" w:after="0" w:afterAutospacing="0" w:line="360" w:lineRule="exact"/>
              <w:ind w:leftChars="0" w:right="0" w:rightChars="0"/>
              <w:jc w:val="both"/>
              <w:rPr>
                <w:rFonts w:hint="default" w:ascii="仿宋" w:hAnsi="仿宋" w:eastAsia="仿宋" w:cs="仿宋"/>
                <w:b/>
                <w:sz w:val="24"/>
                <w:szCs w:val="24"/>
                <w:lang w:val="en-US"/>
              </w:rPr>
            </w:pPr>
          </w:p>
        </w:tc>
      </w:tr>
    </w:tbl>
    <w:p w14:paraId="15579078">
      <w:pPr>
        <w:rPr>
          <w:rFonts w:hint="eastAsia"/>
          <w:lang w:val="en-US" w:eastAsia="zh-CN"/>
        </w:rPr>
      </w:pPr>
    </w:p>
    <w:p w14:paraId="4538E90C">
      <w:pPr>
        <w:pStyle w:val="2"/>
        <w:rPr>
          <w:rFonts w:hint="eastAsia"/>
          <w:lang w:val="en-US" w:eastAsia="zh-CN"/>
        </w:rPr>
      </w:pPr>
    </w:p>
    <w:p w14:paraId="05BEC0B7">
      <w:pPr>
        <w:rPr>
          <w:rFonts w:hint="eastAsia"/>
          <w:lang w:val="en-US" w:eastAsia="zh-CN"/>
        </w:rPr>
      </w:pPr>
    </w:p>
    <w:p w14:paraId="34364CA1">
      <w:pPr>
        <w:pStyle w:val="2"/>
        <w:rPr>
          <w:rFonts w:hint="eastAsia"/>
          <w:lang w:val="en-US" w:eastAsia="zh-CN"/>
        </w:rPr>
      </w:pPr>
    </w:p>
    <w:p w14:paraId="008CEED7">
      <w:pPr>
        <w:rPr>
          <w:rFonts w:hint="eastAsia"/>
          <w:lang w:val="en-US" w:eastAsia="zh-CN"/>
        </w:rPr>
      </w:pPr>
    </w:p>
    <w:p w14:paraId="08554BBA">
      <w:pPr>
        <w:pStyle w:val="2"/>
        <w:rPr>
          <w:rFonts w:hint="eastAsia"/>
          <w:lang w:val="en-US" w:eastAsia="zh-CN"/>
        </w:rPr>
      </w:pPr>
    </w:p>
    <w:p w14:paraId="6149E5E4">
      <w:pPr>
        <w:rPr>
          <w:rFonts w:hint="eastAsia"/>
          <w:lang w:val="en-US" w:eastAsia="zh-CN"/>
        </w:rPr>
      </w:pPr>
    </w:p>
    <w:p w14:paraId="63EB3E83">
      <w:pPr>
        <w:pStyle w:val="2"/>
        <w:rPr>
          <w:rFonts w:hint="eastAsia"/>
          <w:lang w:val="en-US" w:eastAsia="zh-CN"/>
        </w:rPr>
      </w:pPr>
    </w:p>
    <w:p w14:paraId="7E10C57C">
      <w:pPr>
        <w:rPr>
          <w:rFonts w:hint="eastAsia"/>
          <w:lang w:val="en-US" w:eastAsia="zh-CN"/>
        </w:rPr>
      </w:pPr>
    </w:p>
    <w:p w14:paraId="194FBD86">
      <w:pPr>
        <w:rPr>
          <w:rFonts w:hint="eastAsia"/>
          <w:lang w:val="en-US" w:eastAsia="zh-CN"/>
        </w:rPr>
      </w:pPr>
    </w:p>
    <w:p w14:paraId="55B80863">
      <w:pPr>
        <w:keepNext/>
        <w:widowControl w:val="0"/>
        <w:numPr>
          <w:ilvl w:val="0"/>
          <w:numId w:val="4"/>
        </w:numPr>
        <w:jc w:val="both"/>
        <w:outlineLvl w:val="0"/>
        <w:rPr>
          <w:rFonts w:hint="eastAsia" w:ascii="仿宋" w:hAnsi="仿宋" w:eastAsia="仿宋" w:cs="宋体"/>
          <w:b/>
          <w:bCs/>
          <w:snapToGrid w:val="0"/>
          <w:color w:val="000000"/>
          <w:kern w:val="0"/>
          <w:sz w:val="24"/>
          <w:szCs w:val="24"/>
          <w:lang w:val="en-US" w:eastAsia="zh-CN" w:bidi="ar-SA"/>
        </w:rPr>
      </w:pPr>
      <w:bookmarkStart w:id="145" w:name="_Toc28712"/>
      <w:r>
        <w:rPr>
          <w:rFonts w:hint="eastAsia" w:ascii="仿宋" w:hAnsi="仿宋" w:eastAsia="仿宋" w:cs="仿宋"/>
          <w:kern w:val="2"/>
          <w:sz w:val="28"/>
          <w:lang w:val="en-US" w:eastAsia="zh-CN" w:bidi="ar-SA"/>
        </w:rPr>
        <w:t>采购需求</w:t>
      </w:r>
      <w:bookmarkEnd w:id="145"/>
    </w:p>
    <w:p w14:paraId="56EF8AF3">
      <w:pPr>
        <w:keepNext w:val="0"/>
        <w:keepLines w:val="0"/>
        <w:pageBreakBefore w:val="0"/>
        <w:widowControl/>
        <w:kinsoku w:val="0"/>
        <w:wordWrap/>
        <w:overflowPunct/>
        <w:topLinePunct w:val="0"/>
        <w:autoSpaceDE w:val="0"/>
        <w:autoSpaceDN w:val="0"/>
        <w:bidi w:val="0"/>
        <w:adjustRightInd w:val="0"/>
        <w:snapToGrid w:val="0"/>
        <w:spacing w:line="540" w:lineRule="atLeast"/>
        <w:ind w:firstLine="482" w:firstLineChars="200"/>
        <w:jc w:val="left"/>
        <w:textAlignment w:val="baseline"/>
        <w:rPr>
          <w:rFonts w:hint="eastAsia" w:ascii="仿宋" w:hAnsi="仿宋" w:eastAsia="仿宋" w:cs="Arial"/>
          <w:b/>
          <w:bCs/>
          <w:snapToGrid w:val="0"/>
          <w:color w:val="000000"/>
          <w:kern w:val="0"/>
          <w:sz w:val="24"/>
          <w:szCs w:val="24"/>
          <w:lang w:val="en-US" w:eastAsia="zh-CN"/>
        </w:rPr>
      </w:pPr>
      <w:r>
        <w:rPr>
          <w:rFonts w:hint="eastAsia" w:ascii="仿宋" w:hAnsi="仿宋" w:eastAsia="仿宋" w:cs="Arial"/>
          <w:b/>
          <w:bCs/>
          <w:snapToGrid w:val="0"/>
          <w:color w:val="000000"/>
          <w:kern w:val="0"/>
          <w:sz w:val="24"/>
          <w:szCs w:val="24"/>
          <w:lang w:val="en-US" w:eastAsia="zh-CN"/>
        </w:rPr>
        <w:t>1、项目概况</w:t>
      </w:r>
    </w:p>
    <w:p w14:paraId="4E845487">
      <w:pPr>
        <w:keepNext w:val="0"/>
        <w:keepLines w:val="0"/>
        <w:pageBreakBefore w:val="0"/>
        <w:widowControl/>
        <w:kinsoku w:val="0"/>
        <w:wordWrap/>
        <w:overflowPunct/>
        <w:topLinePunct w:val="0"/>
        <w:autoSpaceDE w:val="0"/>
        <w:autoSpaceDN w:val="0"/>
        <w:bidi w:val="0"/>
        <w:adjustRightInd w:val="0"/>
        <w:snapToGrid w:val="0"/>
        <w:spacing w:line="540" w:lineRule="atLeast"/>
        <w:ind w:firstLine="482" w:firstLineChars="200"/>
        <w:jc w:val="left"/>
        <w:textAlignment w:val="baseline"/>
        <w:rPr>
          <w:rFonts w:hint="eastAsia" w:ascii="仿宋" w:hAnsi="仿宋" w:eastAsia="仿宋" w:cs="Arial"/>
          <w:b/>
          <w:bCs/>
          <w:snapToGrid w:val="0"/>
          <w:color w:val="000000"/>
          <w:kern w:val="0"/>
          <w:sz w:val="24"/>
          <w:szCs w:val="24"/>
          <w:lang w:val="en-US" w:eastAsia="zh-CN"/>
        </w:rPr>
      </w:pPr>
      <w:r>
        <w:rPr>
          <w:rFonts w:hint="eastAsia" w:ascii="仿宋" w:hAnsi="仿宋" w:eastAsia="仿宋" w:cs="Arial"/>
          <w:b/>
          <w:bCs/>
          <w:snapToGrid w:val="0"/>
          <w:color w:val="000000"/>
          <w:kern w:val="0"/>
          <w:sz w:val="24"/>
          <w:szCs w:val="24"/>
          <w:lang w:val="en-US" w:eastAsia="zh-CN"/>
        </w:rPr>
        <w:t>1.1采购背景</w:t>
      </w:r>
    </w:p>
    <w:p w14:paraId="15AF7705">
      <w:pPr>
        <w:keepNext w:val="0"/>
        <w:keepLines w:val="0"/>
        <w:pageBreakBefore w:val="0"/>
        <w:widowControl/>
        <w:kinsoku w:val="0"/>
        <w:wordWrap/>
        <w:overflowPunct/>
        <w:topLinePunct w:val="0"/>
        <w:autoSpaceDE w:val="0"/>
        <w:autoSpaceDN w:val="0"/>
        <w:bidi w:val="0"/>
        <w:adjustRightInd w:val="0"/>
        <w:snapToGrid w:val="0"/>
        <w:spacing w:line="540" w:lineRule="atLeast"/>
        <w:ind w:firstLine="480" w:firstLineChars="200"/>
        <w:jc w:val="left"/>
        <w:textAlignment w:val="baseline"/>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车险增值服务可以帮助公司提升对客户吸引度、增强客户粘性，起到稳固存量客户、扩充新保客户的作用，有助于保险公司在市场中获取差异化竞争。</w:t>
      </w:r>
    </w:p>
    <w:p w14:paraId="4A63BE97">
      <w:pPr>
        <w:keepNext/>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目前河西支公司已有2家供应商为我司提供车险增值服务，服务周期已满一年。随着我司车险保费以及客户基数增长以及增值服务使用率提升，现有2家增值服务供应商日接待量已趋近饱和，出现客户等待派单、单个车辆服务时间长的情况，为提升公司的增值服务质量，更好的满足客户需求，增加客户粘性，根据采购要求，结合车险业务承保情况，景德镇市河西支公司决定再次对客户增值服务项目进行供应商采购。</w:t>
      </w:r>
    </w:p>
    <w:p w14:paraId="08551ACB">
      <w:pPr>
        <w:keepNext/>
        <w:keepLines w:val="0"/>
        <w:pageBreakBefore w:val="0"/>
        <w:widowControl w:val="0"/>
        <w:numPr>
          <w:ilvl w:val="0"/>
          <w:numId w:val="0"/>
        </w:numPr>
        <w:kinsoku/>
        <w:wordWrap/>
        <w:overflowPunct/>
        <w:topLinePunct w:val="0"/>
        <w:autoSpaceDE/>
        <w:autoSpaceDN/>
        <w:bidi w:val="0"/>
        <w:adjustRightInd/>
        <w:snapToGrid/>
        <w:spacing w:line="360" w:lineRule="exact"/>
        <w:ind w:firstLine="482" w:firstLineChars="200"/>
        <w:jc w:val="both"/>
        <w:textAlignment w:val="auto"/>
        <w:outlineLvl w:val="0"/>
        <w:rPr>
          <w:rFonts w:hint="eastAsia" w:ascii="仿宋" w:hAnsi="仿宋" w:eastAsia="仿宋" w:cs="Arial"/>
          <w:b/>
          <w:bCs/>
          <w:snapToGrid w:val="0"/>
          <w:color w:val="000000"/>
          <w:kern w:val="0"/>
          <w:sz w:val="24"/>
          <w:szCs w:val="24"/>
          <w:lang w:val="en-US" w:eastAsia="zh-CN"/>
        </w:rPr>
      </w:pPr>
      <w:r>
        <w:rPr>
          <w:rFonts w:hint="eastAsia" w:ascii="仿宋" w:hAnsi="仿宋" w:eastAsia="仿宋" w:cs="Arial"/>
          <w:b/>
          <w:bCs/>
          <w:snapToGrid w:val="0"/>
          <w:color w:val="000000"/>
          <w:kern w:val="0"/>
          <w:sz w:val="24"/>
          <w:szCs w:val="24"/>
          <w:lang w:val="en-US" w:eastAsia="zh-CN"/>
        </w:rPr>
        <w:t>1.2采购需求</w:t>
      </w:r>
    </w:p>
    <w:p w14:paraId="2610A336">
      <w:pPr>
        <w:keepNext/>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本次采购供应商服务范围在景德镇市，拟入围2家成交供应商，为客户提供车辆安全检测以及车辆代为送检服务。</w:t>
      </w:r>
    </w:p>
    <w:p w14:paraId="6BEED669">
      <w:pPr>
        <w:keepNext/>
        <w:keepLines w:val="0"/>
        <w:pageBreakBefore w:val="0"/>
        <w:widowControl w:val="0"/>
        <w:numPr>
          <w:ilvl w:val="0"/>
          <w:numId w:val="0"/>
        </w:numPr>
        <w:kinsoku/>
        <w:wordWrap/>
        <w:overflowPunct/>
        <w:topLinePunct w:val="0"/>
        <w:autoSpaceDE/>
        <w:autoSpaceDN/>
        <w:bidi w:val="0"/>
        <w:adjustRightInd/>
        <w:snapToGrid/>
        <w:spacing w:line="360" w:lineRule="exact"/>
        <w:ind w:firstLine="482" w:firstLineChars="200"/>
        <w:jc w:val="both"/>
        <w:textAlignment w:val="auto"/>
        <w:outlineLvl w:val="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（一）商务要求</w:t>
      </w:r>
    </w:p>
    <w:p w14:paraId="5F967C3F">
      <w:pPr>
        <w:keepNext/>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jc w:val="both"/>
        <w:textAlignment w:val="auto"/>
        <w:outlineLvl w:val="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1、履约时效：本合同期限为2年</w:t>
      </w:r>
    </w:p>
    <w:p w14:paraId="1D064397">
      <w:pPr>
        <w:keepNext/>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2、供应商资质要求：</w:t>
      </w:r>
    </w:p>
    <w:p w14:paraId="4ABA4B9A">
      <w:pPr>
        <w:keepNext/>
        <w:keepLines w:val="0"/>
        <w:pageBreakBefore w:val="0"/>
        <w:widowControl w:val="0"/>
        <w:numPr>
          <w:ilvl w:val="0"/>
          <w:numId w:val="0"/>
        </w:numPr>
        <w:kinsoku/>
        <w:wordWrap/>
        <w:overflowPunct/>
        <w:topLinePunct w:val="0"/>
        <w:autoSpaceDE/>
        <w:autoSpaceDN/>
        <w:bidi w:val="0"/>
        <w:adjustRightInd/>
        <w:snapToGrid/>
        <w:spacing w:line="360" w:lineRule="exact"/>
        <w:ind w:left="479" w:leftChars="228" w:firstLine="0" w:firstLineChars="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（1）具有独立承担民事责任的能力；</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（2）具有良好的商业信誉和健全的财务会计制度；</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（3）具有履行合同所必需的设备和专业技术能力；</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（4）有依法缴纳税收和社会保障资金的良好记录；</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（5）经营状况良好，且近三年内无重大违法违规记录；</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（6）未被列入公司供应商黑名单或已不在禁入期内；</w:t>
      </w:r>
    </w:p>
    <w:p w14:paraId="205A4252">
      <w:pPr>
        <w:keepNext/>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（7）单位负责人为同一人或存在控股、管理关系的不同单位，不得参加同一标段/标包磋商响应或未划分标段/标包的同一采购项目的磋商响应；</w:t>
      </w:r>
    </w:p>
    <w:p w14:paraId="191916A5">
      <w:pPr>
        <w:keepNext/>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（8）本项目不接受联合体磋商响应。</w:t>
      </w:r>
    </w:p>
    <w:p w14:paraId="1D328696">
      <w:pPr>
        <w:keepNext/>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付款安排：本合同使用货币种类为人民币。双方采用转账方式付款。供应商按照服务清单进行结算，采购方核对无误后，采购方通知供应商开具发票,发票类型为增值税发票。供应商应承诺：在本合同期间内，收费标准均以签订合同之日确定的价格为准，中途不做任何调整。如随意调整收费标准，或者向目标客户额外收取收费标准之外的任何不合理费用，采购方有权随时终止本合同。</w:t>
      </w:r>
    </w:p>
    <w:p w14:paraId="37191E5F">
      <w:pPr>
        <w:keepNext/>
        <w:keepLines w:val="0"/>
        <w:pageBreakBefore w:val="0"/>
        <w:widowControl w:val="0"/>
        <w:numPr>
          <w:ilvl w:val="0"/>
          <w:numId w:val="0"/>
        </w:numPr>
        <w:kinsoku/>
        <w:wordWrap/>
        <w:overflowPunct/>
        <w:topLinePunct w:val="0"/>
        <w:autoSpaceDE/>
        <w:autoSpaceDN/>
        <w:bidi w:val="0"/>
        <w:adjustRightInd/>
        <w:snapToGrid/>
        <w:spacing w:line="360" w:lineRule="exact"/>
        <w:ind w:firstLine="480" w:firstLineChars="200"/>
        <w:jc w:val="both"/>
        <w:textAlignment w:val="auto"/>
        <w:outlineLvl w:val="0"/>
        <w:rPr>
          <w:rFonts w:hint="eastAsia" w:ascii="仿宋_GB2312" w:hAnsi="Calibri" w:eastAsia="仿宋_GB2312" w:cs="Times New Roman"/>
          <w:b/>
          <w:bCs/>
          <w:sz w:val="32"/>
          <w:szCs w:val="32"/>
          <w:lang w:val="en-US" w:eastAsia="zh-CN"/>
        </w:rPr>
      </w:pPr>
      <w:r>
        <w:rPr>
          <w:rFonts w:hint="eastAsia" w:ascii="仿宋" w:hAnsi="仿宋" w:eastAsia="仿宋" w:cs="仿宋"/>
          <w:kern w:val="2"/>
          <w:sz w:val="24"/>
          <w:szCs w:val="24"/>
          <w:lang w:val="en-US" w:eastAsia="zh-CN" w:bidi="ar-SA"/>
        </w:rPr>
        <w:t>4、多家入围类项目供应商使用规则：据最终得分决定排名及项目分配量，第一名分配55%、第二名45%。（排名名次根据总分来确定，若总分相同，则以价格评分的高低进行排名，若价格评分也相同，则以技术评分的高低进行排名，若技术评分也相同，则以服务评分的高低进行排名。）</w:t>
      </w:r>
    </w:p>
    <w:p w14:paraId="5563532A">
      <w:pPr>
        <w:keepNext/>
        <w:keepLines w:val="0"/>
        <w:pageBreakBefore w:val="0"/>
        <w:widowControl w:val="0"/>
        <w:numPr>
          <w:ilvl w:val="0"/>
          <w:numId w:val="0"/>
        </w:numPr>
        <w:kinsoku/>
        <w:wordWrap/>
        <w:overflowPunct/>
        <w:topLinePunct w:val="0"/>
        <w:autoSpaceDE/>
        <w:autoSpaceDN/>
        <w:bidi w:val="0"/>
        <w:adjustRightInd/>
        <w:snapToGrid/>
        <w:spacing w:line="360" w:lineRule="exact"/>
        <w:ind w:firstLine="482" w:firstLineChars="200"/>
        <w:jc w:val="both"/>
        <w:textAlignment w:val="auto"/>
        <w:outlineLvl w:val="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（二）技术要求</w:t>
      </w:r>
    </w:p>
    <w:p w14:paraId="72F9FDD6">
      <w:pPr>
        <w:keepNext/>
        <w:keepLines w:val="0"/>
        <w:pageBreakBefore w:val="0"/>
        <w:widowControl w:val="0"/>
        <w:numPr>
          <w:ilvl w:val="0"/>
          <w:numId w:val="0"/>
        </w:numPr>
        <w:kinsoku/>
        <w:wordWrap/>
        <w:overflowPunct/>
        <w:topLinePunct w:val="0"/>
        <w:autoSpaceDE/>
        <w:autoSpaceDN/>
        <w:bidi w:val="0"/>
        <w:adjustRightInd/>
        <w:snapToGrid/>
        <w:spacing w:line="360" w:lineRule="exact"/>
        <w:ind w:left="479" w:leftChars="228" w:firstLine="0" w:firstLineChars="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供应商在提供车辆安全检测及代为送检服务过程中，须严格执行以下现行有效的国家标准、行业标准及相关规范：</w:t>
      </w:r>
    </w:p>
    <w:p w14:paraId="3E75A4F7">
      <w:pPr>
        <w:keepNext/>
        <w:keepLines w:val="0"/>
        <w:pageBreakBefore w:val="0"/>
        <w:widowControl w:val="0"/>
        <w:numPr>
          <w:ilvl w:val="0"/>
          <w:numId w:val="0"/>
        </w:numPr>
        <w:kinsoku/>
        <w:wordWrap/>
        <w:overflowPunct/>
        <w:topLinePunct w:val="0"/>
        <w:autoSpaceDE/>
        <w:autoSpaceDN/>
        <w:bidi w:val="0"/>
        <w:adjustRightInd/>
        <w:snapToGrid/>
        <w:spacing w:line="360" w:lineRule="exact"/>
        <w:ind w:left="479" w:leftChars="228" w:firstLine="0" w:firstLineChars="0"/>
        <w:jc w:val="both"/>
        <w:textAlignment w:val="auto"/>
        <w:outlineLvl w:val="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1、车辆安全检测服务：</w:t>
      </w:r>
    </w:p>
    <w:p w14:paraId="79955B06">
      <w:pPr>
        <w:keepNext/>
        <w:keepLines w:val="0"/>
        <w:pageBreakBefore w:val="0"/>
        <w:widowControl w:val="0"/>
        <w:numPr>
          <w:ilvl w:val="0"/>
          <w:numId w:val="0"/>
        </w:numPr>
        <w:kinsoku/>
        <w:wordWrap/>
        <w:overflowPunct/>
        <w:topLinePunct w:val="0"/>
        <w:autoSpaceDE/>
        <w:autoSpaceDN/>
        <w:bidi w:val="0"/>
        <w:adjustRightInd/>
        <w:snapToGrid/>
        <w:spacing w:line="360" w:lineRule="exact"/>
        <w:ind w:left="479" w:leftChars="228" w:firstLine="0" w:firstLineChars="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（1）符合国家标准GB 38900-2020《机动车安全技术检验项目和方法》，标准规定了机动车安全技术检验的检验项目、检验方法、检验要求，以及检验结果判定、处置与资料存档。本标准适用于具备检验检测资质的机构对机动车进行安全技术检验，也适用于从事进口机动车检验检测的机构对入境机动车进行安全技术检验。服务期间若相关标准发生修订或更新，供应商应按最新有效版本执行，不得以标准变更为由要求调整服务价格或降低服务标准。</w:t>
      </w:r>
    </w:p>
    <w:p w14:paraId="0BBBB514">
      <w:pPr>
        <w:keepNext/>
        <w:keepLines w:val="0"/>
        <w:pageBreakBefore w:val="0"/>
        <w:widowControl w:val="0"/>
        <w:numPr>
          <w:ilvl w:val="0"/>
          <w:numId w:val="0"/>
        </w:numPr>
        <w:kinsoku/>
        <w:wordWrap/>
        <w:overflowPunct/>
        <w:topLinePunct w:val="0"/>
        <w:autoSpaceDE/>
        <w:autoSpaceDN/>
        <w:bidi w:val="0"/>
        <w:adjustRightInd/>
        <w:snapToGrid/>
        <w:spacing w:line="360" w:lineRule="exact"/>
        <w:ind w:left="479" w:leftChars="228" w:firstLine="0" w:firstLineChars="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（2）供应商须配置满足检测作业需要的车辆举升装置、检测仪器设备等，且须依法经计量检定合格并在有效期内。须按国家标准GB 38900-2020《机动车安全技术检验项目和方法》规定的方法进行检验。</w:t>
      </w:r>
    </w:p>
    <w:p w14:paraId="72843422">
      <w:pPr>
        <w:keepNext/>
        <w:keepLines w:val="0"/>
        <w:pageBreakBefore w:val="0"/>
        <w:widowControl w:val="0"/>
        <w:numPr>
          <w:ilvl w:val="0"/>
          <w:numId w:val="0"/>
        </w:numPr>
        <w:kinsoku/>
        <w:wordWrap/>
        <w:overflowPunct/>
        <w:topLinePunct w:val="0"/>
        <w:autoSpaceDE/>
        <w:autoSpaceDN/>
        <w:bidi w:val="0"/>
        <w:adjustRightInd/>
        <w:snapToGrid/>
        <w:spacing w:line="360" w:lineRule="exact"/>
        <w:ind w:left="479" w:leftChars="228" w:firstLine="0" w:firstLineChars="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（3）检测作业场地应保持清洁、有序，按功能合理划分待检区、检测作业区、已检区，满足安全作业要求。</w:t>
      </w:r>
      <w:r>
        <w:rPr>
          <w:rFonts w:hint="eastAsia" w:ascii="仿宋" w:hAnsi="仿宋" w:eastAsia="仿宋" w:cs="仿宋"/>
          <w:kern w:val="2"/>
          <w:sz w:val="24"/>
          <w:szCs w:val="24"/>
          <w:lang w:val="en-US" w:eastAsia="zh-CN" w:bidi="ar-SA"/>
        </w:rPr>
        <w:br w:type="textWrapping"/>
      </w:r>
      <w:r>
        <w:rPr>
          <w:rFonts w:hint="eastAsia" w:ascii="仿宋" w:hAnsi="仿宋" w:eastAsia="仿宋" w:cs="仿宋"/>
          <w:b/>
          <w:bCs/>
          <w:kern w:val="2"/>
          <w:sz w:val="24"/>
          <w:szCs w:val="24"/>
          <w:lang w:val="en-US" w:eastAsia="zh-CN" w:bidi="ar-SA"/>
        </w:rPr>
        <w:t xml:space="preserve"> 2、代为送检服务：</w:t>
      </w:r>
    </w:p>
    <w:p w14:paraId="6A2E6822">
      <w:pPr>
        <w:keepNext/>
        <w:keepLines w:val="0"/>
        <w:pageBreakBefore w:val="0"/>
        <w:widowControl w:val="0"/>
        <w:numPr>
          <w:ilvl w:val="0"/>
          <w:numId w:val="0"/>
        </w:numPr>
        <w:kinsoku/>
        <w:wordWrap/>
        <w:overflowPunct/>
        <w:topLinePunct w:val="0"/>
        <w:autoSpaceDE/>
        <w:autoSpaceDN/>
        <w:bidi w:val="0"/>
        <w:adjustRightInd/>
        <w:snapToGrid/>
        <w:spacing w:line="360" w:lineRule="exact"/>
        <w:ind w:left="479" w:leftChars="228" w:firstLine="0" w:firstLineChars="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（1）预约与准备：供应商负责预约检测站及检验时段，准备送检所需资料（行驶证、交强险保单等）。</w:t>
      </w:r>
    </w:p>
    <w:p w14:paraId="6A8F2C90">
      <w:pPr>
        <w:keepNext/>
        <w:keepLines w:val="0"/>
        <w:pageBreakBefore w:val="0"/>
        <w:widowControl w:val="0"/>
        <w:numPr>
          <w:ilvl w:val="0"/>
          <w:numId w:val="0"/>
        </w:numPr>
        <w:kinsoku/>
        <w:wordWrap/>
        <w:overflowPunct/>
        <w:topLinePunct w:val="0"/>
        <w:autoSpaceDE/>
        <w:autoSpaceDN/>
        <w:bidi w:val="0"/>
        <w:adjustRightInd/>
        <w:snapToGrid/>
        <w:spacing w:line="360" w:lineRule="exact"/>
        <w:ind w:left="479" w:leftChars="228" w:firstLine="0" w:firstLineChars="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（2）车辆交接：建立完善的车辆交接确认制度，送检前对车辆外观及随车物品进行确认记录，避免纠纷。</w:t>
      </w:r>
    </w:p>
    <w:p w14:paraId="3AB9E48F">
      <w:pPr>
        <w:keepNext/>
        <w:keepLines w:val="0"/>
        <w:pageBreakBefore w:val="0"/>
        <w:widowControl w:val="0"/>
        <w:numPr>
          <w:ilvl w:val="0"/>
          <w:numId w:val="0"/>
        </w:numPr>
        <w:kinsoku/>
        <w:wordWrap/>
        <w:overflowPunct/>
        <w:topLinePunct w:val="0"/>
        <w:autoSpaceDE/>
        <w:autoSpaceDN/>
        <w:bidi w:val="0"/>
        <w:adjustRightInd/>
        <w:snapToGrid/>
        <w:spacing w:line="360" w:lineRule="exact"/>
        <w:ind w:left="479" w:leftChars="228" w:firstLine="0" w:firstLineChars="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（3）送检过程：须遵守《中华人民共和国道路交通安全法》及相关交通管理规定，确保车辆行驶安全。</w:t>
      </w:r>
    </w:p>
    <w:p w14:paraId="62BD9480">
      <w:pPr>
        <w:keepNext/>
        <w:keepLines w:val="0"/>
        <w:pageBreakBefore w:val="0"/>
        <w:widowControl w:val="0"/>
        <w:numPr>
          <w:ilvl w:val="0"/>
          <w:numId w:val="0"/>
        </w:numPr>
        <w:kinsoku/>
        <w:wordWrap/>
        <w:overflowPunct/>
        <w:topLinePunct w:val="0"/>
        <w:autoSpaceDE/>
        <w:autoSpaceDN/>
        <w:bidi w:val="0"/>
        <w:adjustRightInd/>
        <w:snapToGrid/>
        <w:spacing w:line="360" w:lineRule="exact"/>
        <w:ind w:left="479" w:leftChars="228" w:firstLine="0" w:firstLineChars="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 检验跟进：跟进检验全流程，协调处理检验过程中出现的问题。如发现需维修调整项目，须及时告知委托人并征得同意后方可处理。</w:t>
      </w:r>
    </w:p>
    <w:p w14:paraId="33E8E26F">
      <w:pPr>
        <w:keepNext/>
        <w:keepLines w:val="0"/>
        <w:pageBreakBefore w:val="0"/>
        <w:widowControl w:val="0"/>
        <w:numPr>
          <w:ilvl w:val="0"/>
          <w:numId w:val="0"/>
        </w:numPr>
        <w:kinsoku/>
        <w:wordWrap/>
        <w:overflowPunct/>
        <w:topLinePunct w:val="0"/>
        <w:autoSpaceDE/>
        <w:autoSpaceDN/>
        <w:bidi w:val="0"/>
        <w:adjustRightInd/>
        <w:snapToGrid/>
        <w:spacing w:line="360" w:lineRule="exact"/>
        <w:ind w:left="479" w:leftChars="228" w:firstLine="0" w:firstLineChars="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 结果交付：取得检验合格标志及相关凭证，及时交付委托人或按采购人要求妥善处理，并完成检验结果反馈与资料存档。</w:t>
      </w:r>
    </w:p>
    <w:p w14:paraId="391B2A8F">
      <w:pPr>
        <w:keepNext/>
        <w:keepLines w:val="0"/>
        <w:pageBreakBefore w:val="0"/>
        <w:widowControl w:val="0"/>
        <w:numPr>
          <w:ilvl w:val="0"/>
          <w:numId w:val="0"/>
        </w:numPr>
        <w:kinsoku/>
        <w:wordWrap/>
        <w:overflowPunct/>
        <w:topLinePunct w:val="0"/>
        <w:autoSpaceDE/>
        <w:autoSpaceDN/>
        <w:bidi w:val="0"/>
        <w:adjustRightInd/>
        <w:snapToGrid/>
        <w:spacing w:line="360" w:lineRule="exact"/>
        <w:ind w:left="479" w:leftChars="228" w:firstLine="0" w:firstLineChars="0"/>
        <w:jc w:val="both"/>
        <w:textAlignment w:val="auto"/>
        <w:outlineLvl w:val="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（三）服务要求</w:t>
      </w:r>
    </w:p>
    <w:p w14:paraId="67B168B7">
      <w:pPr>
        <w:keepNext/>
        <w:keepLines w:val="0"/>
        <w:pageBreakBefore w:val="0"/>
        <w:widowControl w:val="0"/>
        <w:numPr>
          <w:ilvl w:val="0"/>
          <w:numId w:val="0"/>
        </w:numPr>
        <w:kinsoku/>
        <w:wordWrap/>
        <w:overflowPunct/>
        <w:topLinePunct w:val="0"/>
        <w:autoSpaceDE/>
        <w:autoSpaceDN/>
        <w:bidi w:val="0"/>
        <w:adjustRightInd/>
        <w:snapToGrid/>
        <w:spacing w:line="360" w:lineRule="exact"/>
        <w:ind w:left="479" w:leftChars="228" w:firstLine="480" w:firstLineChars="20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供应商应建立标准化的服务流程，包括：客户预约受理、车辆交接确认、检测/送检作业实施、检测报告出具、结果反馈客户等环节，确保各环节可追溯、可管控。除此之外，还应具备一下几点基本服务要求：</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 xml:space="preserve">     1、供应商须拥有专业的技术团队，熟悉车辆检测或送检流程，定期参加专业培训以提升服务水平。</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 xml:space="preserve">    2、 作业场地应保持清洁、有序，合理划分作业区域，确保服务质量及安全。</w:t>
      </w:r>
      <w:r>
        <w:rPr>
          <w:rFonts w:hint="eastAsia" w:ascii="仿宋" w:hAnsi="仿宋" w:eastAsia="仿宋" w:cs="仿宋"/>
          <w:kern w:val="2"/>
          <w:sz w:val="24"/>
          <w:szCs w:val="24"/>
          <w:lang w:val="en-US" w:eastAsia="zh-CN" w:bidi="ar-SA"/>
        </w:rPr>
        <w:br w:type="textWrapping"/>
      </w:r>
      <w:r>
        <w:rPr>
          <w:rFonts w:hint="eastAsia" w:ascii="仿宋" w:hAnsi="仿宋" w:eastAsia="仿宋" w:cs="仿宋"/>
          <w:kern w:val="2"/>
          <w:sz w:val="24"/>
          <w:szCs w:val="24"/>
          <w:lang w:val="en-US" w:eastAsia="zh-CN" w:bidi="ar-SA"/>
        </w:rPr>
        <w:t xml:space="preserve">    3、供应商须具备专业服务设备，能提供高质量服务。</w:t>
      </w:r>
    </w:p>
    <w:p w14:paraId="7380D851">
      <w:pPr>
        <w:keepNext/>
        <w:keepLines w:val="0"/>
        <w:pageBreakBefore w:val="0"/>
        <w:widowControl w:val="0"/>
        <w:numPr>
          <w:ilvl w:val="0"/>
          <w:numId w:val="0"/>
        </w:numPr>
        <w:kinsoku/>
        <w:wordWrap/>
        <w:overflowPunct/>
        <w:topLinePunct w:val="0"/>
        <w:autoSpaceDE/>
        <w:autoSpaceDN/>
        <w:bidi w:val="0"/>
        <w:adjustRightInd/>
        <w:snapToGrid/>
        <w:spacing w:line="360" w:lineRule="exact"/>
        <w:ind w:left="479" w:leftChars="228" w:firstLine="480" w:firstLineChars="20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 服务期间保证服务时效，普通车辆检测全流程≤5个工作日（自接收车辆起算） 。</w:t>
      </w:r>
    </w:p>
    <w:p w14:paraId="16D0CA22">
      <w:pPr>
        <w:keepNext/>
        <w:keepLines w:val="0"/>
        <w:pageBreakBefore w:val="0"/>
        <w:widowControl w:val="0"/>
        <w:numPr>
          <w:ilvl w:val="0"/>
          <w:numId w:val="0"/>
        </w:numPr>
        <w:kinsoku/>
        <w:wordWrap/>
        <w:overflowPunct/>
        <w:topLinePunct w:val="0"/>
        <w:autoSpaceDE/>
        <w:autoSpaceDN/>
        <w:bidi w:val="0"/>
        <w:adjustRightInd/>
        <w:snapToGrid/>
        <w:spacing w:line="360" w:lineRule="exact"/>
        <w:ind w:left="479" w:leftChars="228" w:firstLine="480" w:firstLineChars="20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5、服务质量检测报告合格率≥95%（以车管所最终审核结果为准）。</w:t>
      </w:r>
    </w:p>
    <w:p w14:paraId="67F30E02">
      <w:pPr>
        <w:keepNext/>
        <w:keepLines w:val="0"/>
        <w:pageBreakBefore w:val="0"/>
        <w:widowControl w:val="0"/>
        <w:numPr>
          <w:ilvl w:val="0"/>
          <w:numId w:val="0"/>
        </w:numPr>
        <w:kinsoku/>
        <w:wordWrap/>
        <w:overflowPunct/>
        <w:topLinePunct w:val="0"/>
        <w:autoSpaceDE/>
        <w:autoSpaceDN/>
        <w:bidi w:val="0"/>
        <w:adjustRightInd/>
        <w:snapToGrid/>
        <w:spacing w:line="360" w:lineRule="exact"/>
        <w:ind w:left="479" w:leftChars="228" w:firstLine="480" w:firstLineChars="20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6、供应商有对送检的车辆进行信息保密的义务，不得泄露车辆车牌号、车型及车辆所有人姓名、电话等身份信息 。</w:t>
      </w:r>
    </w:p>
    <w:p w14:paraId="20B713B8">
      <w:pPr>
        <w:keepNext/>
        <w:keepLines w:val="0"/>
        <w:pageBreakBefore w:val="0"/>
        <w:widowControl w:val="0"/>
        <w:numPr>
          <w:ilvl w:val="0"/>
          <w:numId w:val="0"/>
        </w:numPr>
        <w:kinsoku/>
        <w:wordWrap/>
        <w:overflowPunct/>
        <w:topLinePunct w:val="0"/>
        <w:autoSpaceDE/>
        <w:autoSpaceDN/>
        <w:bidi w:val="0"/>
        <w:adjustRightInd/>
        <w:snapToGrid/>
        <w:spacing w:line="360" w:lineRule="exact"/>
        <w:ind w:left="479" w:leftChars="228" w:firstLine="480" w:firstLineChars="200"/>
        <w:jc w:val="both"/>
        <w:textAlignment w:val="auto"/>
        <w:outlineLvl w:val="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7、不得产生因供应商服务态度或服务质量不佳而导致的投诉纠纷，若产生因上述层面所造成的纠纷，供应商需承担全额赔偿。</w:t>
      </w:r>
    </w:p>
    <w:p w14:paraId="6DE000A5">
      <w:pPr>
        <w:keepNext/>
        <w:keepLines w:val="0"/>
        <w:pageBreakBefore w:val="0"/>
        <w:widowControl w:val="0"/>
        <w:numPr>
          <w:ilvl w:val="0"/>
          <w:numId w:val="0"/>
        </w:numPr>
        <w:kinsoku/>
        <w:wordWrap/>
        <w:overflowPunct/>
        <w:topLinePunct w:val="0"/>
        <w:autoSpaceDE/>
        <w:autoSpaceDN/>
        <w:bidi w:val="0"/>
        <w:adjustRightInd/>
        <w:snapToGrid/>
        <w:spacing w:line="360" w:lineRule="exact"/>
        <w:ind w:left="479" w:leftChars="228" w:firstLine="0" w:firstLineChars="0"/>
        <w:jc w:val="both"/>
        <w:textAlignment w:val="auto"/>
        <w:outlineLvl w:val="0"/>
        <w:rPr>
          <w:rFonts w:hint="eastAsia" w:ascii="仿宋" w:hAnsi="仿宋" w:eastAsia="仿宋" w:cs="仿宋"/>
          <w:kern w:val="2"/>
          <w:sz w:val="24"/>
          <w:szCs w:val="24"/>
          <w:lang w:val="en-US" w:eastAsia="zh-CN" w:bidi="ar-SA"/>
        </w:rPr>
      </w:pPr>
    </w:p>
    <w:p w14:paraId="79FDD55A">
      <w:pPr>
        <w:pStyle w:val="3"/>
        <w:spacing w:before="0" w:after="0" w:line="360" w:lineRule="auto"/>
        <w:jc w:val="center"/>
        <w:rPr>
          <w:rFonts w:hint="eastAsia" w:ascii="仿宋" w:hAnsi="仿宋" w:eastAsia="仿宋" w:cs="仿宋"/>
          <w:color w:val="000000"/>
          <w:sz w:val="28"/>
          <w:szCs w:val="28"/>
          <w:highlight w:val="none"/>
        </w:rPr>
      </w:pPr>
      <w:bookmarkStart w:id="146" w:name="_Toc21125"/>
      <w:bookmarkStart w:id="147" w:name="_Toc444891352"/>
      <w:bookmarkStart w:id="148" w:name="_Toc517281835"/>
      <w:bookmarkStart w:id="149" w:name="_Toc11206"/>
      <w:bookmarkStart w:id="150" w:name="_Toc17141"/>
      <w:bookmarkStart w:id="151" w:name="_Toc287600128"/>
      <w:bookmarkStart w:id="152" w:name="_Toc10693"/>
      <w:r>
        <w:rPr>
          <w:rFonts w:hint="eastAsia" w:ascii="仿宋" w:hAnsi="仿宋" w:eastAsia="仿宋" w:cs="仿宋"/>
          <w:color w:val="000000"/>
          <w:sz w:val="28"/>
          <w:szCs w:val="28"/>
          <w:highlight w:val="none"/>
        </w:rPr>
        <w:br w:type="page"/>
      </w:r>
      <w:bookmarkStart w:id="153" w:name="_Toc3675"/>
      <w:r>
        <w:rPr>
          <w:rFonts w:hint="eastAsia" w:ascii="仿宋" w:hAnsi="仿宋" w:eastAsia="仿宋" w:cs="仿宋"/>
          <w:color w:val="000000"/>
          <w:sz w:val="28"/>
          <w:szCs w:val="28"/>
          <w:highlight w:val="none"/>
        </w:rPr>
        <w:t>第六章 响应文件格式</w:t>
      </w:r>
      <w:bookmarkEnd w:id="146"/>
      <w:bookmarkEnd w:id="147"/>
      <w:bookmarkEnd w:id="148"/>
      <w:bookmarkEnd w:id="149"/>
      <w:bookmarkEnd w:id="150"/>
      <w:bookmarkEnd w:id="151"/>
      <w:bookmarkEnd w:id="152"/>
      <w:bookmarkEnd w:id="153"/>
    </w:p>
    <w:p w14:paraId="0D778616">
      <w:pPr>
        <w:spacing w:line="360" w:lineRule="auto"/>
        <w:rPr>
          <w:rFonts w:hint="eastAsia" w:ascii="仿宋" w:hAnsi="仿宋" w:eastAsia="仿宋" w:cs="仿宋"/>
          <w:b/>
          <w:color w:val="000000"/>
          <w:highlight w:val="none"/>
        </w:rPr>
      </w:pPr>
      <w:r>
        <w:rPr>
          <w:rFonts w:hint="eastAsia" w:ascii="仿宋" w:hAnsi="仿宋" w:eastAsia="仿宋" w:cs="宋体"/>
          <w:b/>
          <w:color w:val="000000"/>
          <w:sz w:val="24"/>
          <w:highlight w:val="none"/>
        </w:rPr>
        <w:t>封面格式</w:t>
      </w:r>
    </w:p>
    <w:tbl>
      <w:tblPr>
        <w:tblStyle w:val="40"/>
        <w:tblW w:w="5000" w:type="pct"/>
        <w:jc w:val="center"/>
        <w:tblLayout w:type="autofit"/>
        <w:tblCellMar>
          <w:top w:w="0" w:type="dxa"/>
          <w:left w:w="108" w:type="dxa"/>
          <w:bottom w:w="0" w:type="dxa"/>
          <w:right w:w="108" w:type="dxa"/>
        </w:tblCellMar>
      </w:tblPr>
      <w:tblGrid>
        <w:gridCol w:w="9854"/>
      </w:tblGrid>
      <w:tr w14:paraId="57816612">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14:paraId="3615E0C4">
            <w:pPr>
              <w:pStyle w:val="156"/>
              <w:spacing w:before="156" w:after="312"/>
              <w:ind w:right="508"/>
              <w:jc w:val="right"/>
              <w:rPr>
                <w:rFonts w:hint="eastAsia" w:ascii="仿宋" w:hAnsi="仿宋" w:eastAsia="仿宋" w:cs="仿宋"/>
                <w:color w:val="000000"/>
                <w:sz w:val="32"/>
                <w:highlight w:val="none"/>
              </w:rPr>
            </w:pPr>
            <w:r>
              <w:rPr>
                <w:rFonts w:hint="eastAsia" w:ascii="仿宋" w:hAnsi="仿宋" w:eastAsia="仿宋" w:cs="仿宋"/>
                <w:color w:val="000000"/>
                <w:sz w:val="32"/>
                <w:highlight w:val="none"/>
              </w:rPr>
              <w:t>正本/副本</w:t>
            </w:r>
          </w:p>
          <w:p w14:paraId="090E3E67">
            <w:pPr>
              <w:pStyle w:val="156"/>
              <w:spacing w:before="156" w:after="312"/>
              <w:ind w:right="-284"/>
              <w:jc w:val="center"/>
              <w:rPr>
                <w:rFonts w:hint="eastAsia" w:ascii="仿宋" w:hAnsi="仿宋" w:eastAsia="仿宋" w:cs="仿宋"/>
                <w:color w:val="000000"/>
                <w:sz w:val="32"/>
                <w:highlight w:val="none"/>
              </w:rPr>
            </w:pPr>
            <w:r>
              <w:rPr>
                <w:rFonts w:hint="eastAsia" w:ascii="仿宋" w:hAnsi="仿宋" w:eastAsia="仿宋" w:cs="仿宋"/>
                <w:color w:val="000000"/>
                <w:sz w:val="32"/>
                <w:highlight w:val="none"/>
              </w:rPr>
              <w:t>（项目名称）项目</w:t>
            </w:r>
          </w:p>
          <w:p w14:paraId="7246EE58">
            <w:pPr>
              <w:pStyle w:val="156"/>
              <w:ind w:right="-284" w:firstLine="2240"/>
              <w:rPr>
                <w:rFonts w:hint="eastAsia" w:ascii="仿宋" w:hAnsi="仿宋" w:eastAsia="仿宋" w:cs="仿宋"/>
                <w:color w:val="000000"/>
                <w:sz w:val="28"/>
                <w:highlight w:val="none"/>
                <w:u w:val="single"/>
              </w:rPr>
            </w:pPr>
          </w:p>
          <w:p w14:paraId="09784A7F">
            <w:pPr>
              <w:pStyle w:val="156"/>
              <w:spacing w:before="624" w:after="156" w:line="160" w:lineRule="atLeast"/>
              <w:ind w:right="-284"/>
              <w:jc w:val="center"/>
              <w:rPr>
                <w:rFonts w:hint="eastAsia" w:ascii="仿宋" w:hAnsi="仿宋" w:eastAsia="仿宋" w:cs="仿宋"/>
                <w:color w:val="000000"/>
                <w:sz w:val="52"/>
                <w:highlight w:val="none"/>
              </w:rPr>
            </w:pPr>
            <w:r>
              <w:rPr>
                <w:rFonts w:hint="eastAsia" w:ascii="仿宋" w:hAnsi="仿宋" w:eastAsia="仿宋" w:cs="仿宋"/>
                <w:color w:val="000000"/>
                <w:sz w:val="52"/>
                <w:highlight w:val="none"/>
              </w:rPr>
              <w:t>磋商响应文件</w:t>
            </w:r>
          </w:p>
          <w:p w14:paraId="0EA0CB58">
            <w:pPr>
              <w:pStyle w:val="156"/>
              <w:spacing w:before="624" w:after="156" w:line="160" w:lineRule="atLeast"/>
              <w:ind w:right="-284"/>
              <w:jc w:val="center"/>
              <w:rPr>
                <w:rFonts w:hint="eastAsia" w:ascii="仿宋" w:hAnsi="仿宋" w:eastAsia="仿宋" w:cs="仿宋"/>
                <w:color w:val="000000"/>
                <w:sz w:val="52"/>
                <w:highlight w:val="none"/>
              </w:rPr>
            </w:pPr>
          </w:p>
          <w:p w14:paraId="309F9DC3">
            <w:pPr>
              <w:pStyle w:val="156"/>
              <w:spacing w:before="624" w:after="156" w:line="240" w:lineRule="atLeast"/>
              <w:jc w:val="center"/>
              <w:rPr>
                <w:rFonts w:hint="eastAsia" w:ascii="仿宋" w:hAnsi="仿宋" w:eastAsia="仿宋" w:cs="仿宋"/>
                <w:color w:val="000000"/>
                <w:sz w:val="40"/>
                <w:highlight w:val="none"/>
              </w:rPr>
            </w:pPr>
            <w:r>
              <w:rPr>
                <w:rFonts w:hint="eastAsia" w:ascii="仿宋" w:hAnsi="仿宋" w:eastAsia="仿宋" w:cs="仿宋"/>
                <w:color w:val="000000"/>
                <w:sz w:val="40"/>
                <w:highlight w:val="none"/>
              </w:rPr>
              <w:t>（商务文件/技术文件/报价文件）</w:t>
            </w:r>
          </w:p>
          <w:p w14:paraId="3951EA3F">
            <w:pPr>
              <w:pStyle w:val="156"/>
              <w:spacing w:before="1560" w:line="400" w:lineRule="atLeast"/>
              <w:ind w:right="-284" w:firstLine="2520" w:firstLineChars="1050"/>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w:t>
            </w:r>
            <w:r>
              <w:rPr>
                <w:rFonts w:hint="eastAsia" w:ascii="仿宋" w:hAnsi="仿宋" w:eastAsia="仿宋" w:cs="仿宋"/>
                <w:color w:val="000000"/>
                <w:sz w:val="24"/>
                <w:highlight w:val="none"/>
                <w:u w:val="single"/>
              </w:rPr>
              <w:t>（盖章）</w:t>
            </w:r>
          </w:p>
          <w:p w14:paraId="38CD938C">
            <w:pPr>
              <w:pStyle w:val="156"/>
              <w:spacing w:after="156" w:line="400" w:lineRule="atLeast"/>
              <w:ind w:right="-284"/>
              <w:jc w:val="center"/>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法定代表人或其委托的代理人：（签字或盖章）</w:t>
            </w:r>
          </w:p>
          <w:p w14:paraId="4435C653">
            <w:pPr>
              <w:pStyle w:val="156"/>
              <w:spacing w:after="624"/>
              <w:ind w:right="-284"/>
              <w:jc w:val="center"/>
              <w:rPr>
                <w:rFonts w:hint="eastAsia" w:ascii="仿宋" w:hAnsi="仿宋" w:eastAsia="仿宋" w:cs="仿宋"/>
                <w:color w:val="000000"/>
                <w:sz w:val="24"/>
                <w:highlight w:val="none"/>
              </w:rPr>
            </w:pPr>
          </w:p>
          <w:p w14:paraId="25E8B1A7">
            <w:pPr>
              <w:pStyle w:val="156"/>
              <w:spacing w:after="624"/>
              <w:ind w:right="-284"/>
              <w:jc w:val="center"/>
              <w:rPr>
                <w:rFonts w:hint="eastAsia" w:ascii="仿宋" w:hAnsi="仿宋" w:eastAsia="仿宋" w:cs="仿宋"/>
                <w:color w:val="000000"/>
                <w:highlight w:val="none"/>
              </w:rPr>
            </w:pPr>
            <w:r>
              <w:rPr>
                <w:rFonts w:hint="eastAsia" w:ascii="仿宋" w:hAnsi="仿宋" w:eastAsia="仿宋" w:cs="仿宋"/>
                <w:color w:val="000000"/>
                <w:sz w:val="24"/>
                <w:highlight w:val="none"/>
              </w:rPr>
              <w:t>年     月      日</w:t>
            </w:r>
          </w:p>
        </w:tc>
      </w:tr>
    </w:tbl>
    <w:p w14:paraId="79734E12">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格式：封口</w:t>
      </w:r>
    </w:p>
    <w:tbl>
      <w:tblPr>
        <w:tblStyle w:val="40"/>
        <w:tblW w:w="5000" w:type="pct"/>
        <w:tblInd w:w="0" w:type="dxa"/>
        <w:tblLayout w:type="autofit"/>
        <w:tblCellMar>
          <w:top w:w="0" w:type="dxa"/>
          <w:left w:w="108" w:type="dxa"/>
          <w:bottom w:w="0" w:type="dxa"/>
          <w:right w:w="108" w:type="dxa"/>
        </w:tblCellMar>
      </w:tblPr>
      <w:tblGrid>
        <w:gridCol w:w="9854"/>
      </w:tblGrid>
      <w:tr w14:paraId="47EB80DE">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14:paraId="7B8A2C77">
            <w:pPr>
              <w:pStyle w:val="156"/>
              <w:ind w:right="-284"/>
              <w:jc w:val="center"/>
              <w:rPr>
                <w:rFonts w:hint="eastAsia" w:ascii="仿宋" w:hAnsi="仿宋" w:eastAsia="仿宋" w:cs="仿宋"/>
                <w:b/>
                <w:color w:val="000000"/>
                <w:highlight w:val="none"/>
              </w:rPr>
            </w:pPr>
            <w:r>
              <w:rPr>
                <w:rFonts w:hint="eastAsia" w:ascii="仿宋" w:hAnsi="仿宋" w:eastAsia="仿宋" w:cs="仿宋"/>
                <w:b/>
                <w:color w:val="000000"/>
                <w:highlight w:val="none"/>
              </w:rPr>
              <w:t>-------------于年月日时分之前不准启封（公章）------------</w:t>
            </w:r>
          </w:p>
        </w:tc>
      </w:tr>
    </w:tbl>
    <w:p w14:paraId="59A411D5">
      <w:pPr>
        <w:rPr>
          <w:rFonts w:hint="eastAsia" w:ascii="仿宋" w:hAnsi="仿宋" w:eastAsia="仿宋" w:cs="仿宋"/>
          <w:color w:val="000000"/>
          <w:kern w:val="0"/>
          <w:szCs w:val="21"/>
          <w:highlight w:val="none"/>
        </w:rPr>
      </w:pPr>
    </w:p>
    <w:p w14:paraId="134DDBF9">
      <w:pPr>
        <w:pStyle w:val="4"/>
        <w:numPr>
          <w:ilvl w:val="0"/>
          <w:numId w:val="0"/>
        </w:numPr>
        <w:ind w:leftChars="0"/>
        <w:jc w:val="both"/>
        <w:rPr>
          <w:rFonts w:ascii="仿宋" w:hAnsi="仿宋" w:eastAsia="仿宋" w:cs="仿宋"/>
          <w:color w:val="000000"/>
          <w:sz w:val="24"/>
          <w:szCs w:val="24"/>
          <w:highlight w:val="none"/>
        </w:rPr>
      </w:pPr>
      <w:bookmarkStart w:id="154" w:name="_Toc3936"/>
      <w:bookmarkStart w:id="155" w:name="_Toc19910"/>
      <w:bookmarkStart w:id="156" w:name="_Toc517281836"/>
      <w:bookmarkStart w:id="157" w:name="_Toc287600131"/>
      <w:bookmarkStart w:id="158" w:name="_Toc19783362"/>
      <w:bookmarkStart w:id="159" w:name="_Toc25957"/>
      <w:bookmarkStart w:id="160" w:name="_Toc21280"/>
      <w:bookmarkStart w:id="161" w:name="_Toc11783"/>
      <w:bookmarkStart w:id="162" w:name="_Toc444891353"/>
      <w:bookmarkStart w:id="163" w:name="_Toc287600129"/>
      <w:bookmarkStart w:id="164" w:name="_Toc19783360"/>
      <w:r>
        <w:rPr>
          <w:rFonts w:ascii="仿宋" w:hAnsi="仿宋" w:eastAsia="仿宋" w:cs="仿宋"/>
          <w:color w:val="000000"/>
          <w:sz w:val="24"/>
          <w:szCs w:val="24"/>
          <w:highlight w:val="none"/>
        </w:rPr>
        <w:br w:type="page"/>
      </w:r>
      <w:bookmarkStart w:id="165" w:name="_Toc17191"/>
      <w:r>
        <w:rPr>
          <w:rFonts w:hint="eastAsia" w:ascii="仿宋" w:hAnsi="仿宋" w:eastAsia="仿宋" w:cs="仿宋"/>
          <w:color w:val="000000"/>
          <w:sz w:val="24"/>
          <w:szCs w:val="24"/>
          <w:highlight w:val="none"/>
          <w:lang w:val="en-US" w:eastAsia="zh-CN"/>
        </w:rPr>
        <w:t>一、</w:t>
      </w:r>
      <w:r>
        <w:rPr>
          <w:rFonts w:hint="eastAsia" w:ascii="仿宋" w:hAnsi="仿宋" w:eastAsia="仿宋" w:cs="仿宋"/>
          <w:color w:val="000000"/>
          <w:sz w:val="24"/>
          <w:szCs w:val="24"/>
          <w:highlight w:val="none"/>
        </w:rPr>
        <w:t>商务文件</w:t>
      </w:r>
      <w:bookmarkEnd w:id="154"/>
      <w:bookmarkEnd w:id="165"/>
    </w:p>
    <w:p w14:paraId="3434379A">
      <w:pPr>
        <w:bidi w:val="0"/>
        <w:jc w:val="center"/>
        <w:rPr>
          <w:rFonts w:hint="eastAsia"/>
        </w:rPr>
      </w:pPr>
      <w:bookmarkStart w:id="166" w:name="_Toc26744"/>
      <w:r>
        <w:rPr>
          <w:rFonts w:hint="eastAsia" w:ascii="仿宋" w:hAnsi="仿宋" w:eastAsia="仿宋" w:cs="仿宋"/>
          <w:b/>
          <w:bCs/>
          <w:sz w:val="24"/>
          <w:szCs w:val="24"/>
        </w:rPr>
        <w:t>初步评审索引表</w:t>
      </w:r>
      <w:bookmarkEnd w:id="166"/>
    </w:p>
    <w:tbl>
      <w:tblPr>
        <w:tblStyle w:val="40"/>
        <w:tblW w:w="5091"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300"/>
        <w:gridCol w:w="4217"/>
      </w:tblGrid>
      <w:tr w14:paraId="5E6DC9A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noWrap w:val="0"/>
            <w:vAlign w:val="center"/>
          </w:tcPr>
          <w:p w14:paraId="38E29001">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序号</w:t>
            </w:r>
          </w:p>
        </w:tc>
        <w:tc>
          <w:tcPr>
            <w:tcW w:w="1701" w:type="dxa"/>
            <w:noWrap w:val="0"/>
            <w:vAlign w:val="top"/>
          </w:tcPr>
          <w:p w14:paraId="289BCFA4">
            <w:pPr>
              <w:widowControl/>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b/>
                <w:color w:val="000000"/>
                <w:kern w:val="0"/>
                <w:szCs w:val="21"/>
                <w:highlight w:val="none"/>
              </w:rPr>
              <w:t>评审环节</w:t>
            </w:r>
          </w:p>
        </w:tc>
        <w:tc>
          <w:tcPr>
            <w:tcW w:w="3301" w:type="dxa"/>
            <w:noWrap w:val="0"/>
            <w:vAlign w:val="center"/>
          </w:tcPr>
          <w:p w14:paraId="417C4CD0">
            <w:pPr>
              <w:widowControl/>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评审因素</w:t>
            </w:r>
          </w:p>
        </w:tc>
        <w:tc>
          <w:tcPr>
            <w:tcW w:w="4218" w:type="dxa"/>
            <w:noWrap w:val="0"/>
            <w:vAlign w:val="center"/>
          </w:tcPr>
          <w:p w14:paraId="561A0950">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页码范围及说明</w:t>
            </w:r>
          </w:p>
        </w:tc>
      </w:tr>
      <w:tr w14:paraId="06DAF2A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14:paraId="7F3A45FB">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1701" w:type="dxa"/>
            <w:vMerge w:val="restart"/>
            <w:noWrap w:val="0"/>
            <w:vAlign w:val="center"/>
          </w:tcPr>
          <w:p w14:paraId="76CBE236">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3301" w:type="dxa"/>
            <w:noWrap w:val="0"/>
            <w:vAlign w:val="center"/>
          </w:tcPr>
          <w:p w14:paraId="40CC1E70">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供应商名称</w:t>
            </w:r>
          </w:p>
        </w:tc>
        <w:tc>
          <w:tcPr>
            <w:tcW w:w="4218" w:type="dxa"/>
            <w:noWrap w:val="0"/>
            <w:vAlign w:val="center"/>
          </w:tcPr>
          <w:p w14:paraId="3C353203">
            <w:pPr>
              <w:spacing w:before="24" w:after="24" w:line="276" w:lineRule="auto"/>
              <w:jc w:val="left"/>
              <w:rPr>
                <w:rFonts w:ascii="仿宋" w:hAnsi="仿宋" w:eastAsia="仿宋" w:cs="仿宋"/>
                <w:color w:val="000000"/>
                <w:szCs w:val="21"/>
                <w:highlight w:val="none"/>
              </w:rPr>
            </w:pPr>
            <w:r>
              <w:rPr>
                <w:rFonts w:hint="eastAsia" w:ascii="仿宋" w:hAnsi="仿宋" w:eastAsia="仿宋" w:cs="仿宋"/>
                <w:color w:val="000000"/>
                <w:szCs w:val="21"/>
                <w:highlight w:val="none"/>
              </w:rPr>
              <w:t>详见N-M页，补充说明（如有）</w:t>
            </w:r>
          </w:p>
        </w:tc>
      </w:tr>
      <w:tr w14:paraId="5718169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49C61A2C">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6003401F">
            <w:pPr>
              <w:spacing w:before="24" w:after="24" w:line="360" w:lineRule="auto"/>
              <w:jc w:val="center"/>
              <w:rPr>
                <w:rFonts w:hint="eastAsia" w:ascii="仿宋" w:hAnsi="仿宋" w:eastAsia="仿宋" w:cs="仿宋"/>
                <w:color w:val="000000"/>
                <w:szCs w:val="21"/>
                <w:highlight w:val="none"/>
              </w:rPr>
            </w:pPr>
          </w:p>
        </w:tc>
        <w:tc>
          <w:tcPr>
            <w:tcW w:w="3301" w:type="dxa"/>
            <w:noWrap w:val="0"/>
            <w:vAlign w:val="center"/>
          </w:tcPr>
          <w:p w14:paraId="569891EF">
            <w:pPr>
              <w:spacing w:before="24" w:after="24" w:line="276" w:lineRule="auto"/>
              <w:jc w:val="center"/>
              <w:rPr>
                <w:rFonts w:hint="eastAsia" w:ascii="仿宋" w:hAnsi="仿宋" w:eastAsia="仿宋" w:cs="宋体"/>
                <w:color w:val="000000"/>
                <w:kern w:val="0"/>
                <w:szCs w:val="21"/>
                <w:highlight w:val="none"/>
              </w:rPr>
            </w:pPr>
            <w:r>
              <w:rPr>
                <w:rFonts w:hint="eastAsia" w:ascii="仿宋" w:hAnsi="仿宋" w:eastAsia="仿宋" w:cs="仿宋"/>
                <w:color w:val="000000"/>
                <w:szCs w:val="21"/>
                <w:highlight w:val="none"/>
              </w:rPr>
              <w:t>法定代表人（负责人）身份证明</w:t>
            </w:r>
          </w:p>
        </w:tc>
        <w:tc>
          <w:tcPr>
            <w:tcW w:w="4218" w:type="dxa"/>
            <w:noWrap w:val="0"/>
            <w:vAlign w:val="center"/>
          </w:tcPr>
          <w:p w14:paraId="565112F5">
            <w:pPr>
              <w:pStyle w:val="137"/>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14:paraId="28705E1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128E9DE1">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2E42FBF1">
            <w:pPr>
              <w:spacing w:before="24" w:after="24" w:line="360" w:lineRule="auto"/>
              <w:jc w:val="center"/>
              <w:rPr>
                <w:rFonts w:hint="eastAsia" w:ascii="仿宋" w:hAnsi="仿宋" w:eastAsia="仿宋" w:cs="仿宋"/>
                <w:color w:val="000000"/>
                <w:szCs w:val="21"/>
                <w:highlight w:val="none"/>
              </w:rPr>
            </w:pPr>
          </w:p>
        </w:tc>
        <w:tc>
          <w:tcPr>
            <w:tcW w:w="3301" w:type="dxa"/>
            <w:noWrap w:val="0"/>
            <w:vAlign w:val="center"/>
          </w:tcPr>
          <w:p w14:paraId="60B747DB">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4218" w:type="dxa"/>
            <w:noWrap w:val="0"/>
            <w:vAlign w:val="center"/>
          </w:tcPr>
          <w:p w14:paraId="04BEB1E5">
            <w:pPr>
              <w:pStyle w:val="137"/>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14:paraId="571A0C0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47F27657">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21DB6B4C">
            <w:pPr>
              <w:spacing w:before="24" w:after="24" w:line="360" w:lineRule="auto"/>
              <w:jc w:val="center"/>
              <w:rPr>
                <w:rFonts w:hint="eastAsia" w:ascii="仿宋" w:hAnsi="仿宋" w:eastAsia="仿宋" w:cs="仿宋"/>
                <w:color w:val="000000"/>
                <w:szCs w:val="21"/>
                <w:highlight w:val="none"/>
              </w:rPr>
            </w:pPr>
          </w:p>
        </w:tc>
        <w:tc>
          <w:tcPr>
            <w:tcW w:w="3301" w:type="dxa"/>
            <w:noWrap w:val="0"/>
            <w:vAlign w:val="center"/>
          </w:tcPr>
          <w:p w14:paraId="7564164D">
            <w:pPr>
              <w:spacing w:before="24" w:after="24" w:line="276" w:lineRule="auto"/>
              <w:jc w:val="center"/>
              <w:rPr>
                <w:rFonts w:hint="eastAsia" w:ascii="仿宋" w:hAnsi="仿宋" w:eastAsia="仿宋" w:cs="宋体"/>
                <w:color w:val="000000"/>
                <w:spacing w:val="-4"/>
                <w:kern w:val="0"/>
                <w:szCs w:val="21"/>
                <w:highlight w:val="none"/>
              </w:rPr>
            </w:pPr>
            <w:r>
              <w:rPr>
                <w:rFonts w:hint="eastAsia" w:ascii="仿宋" w:hAnsi="仿宋" w:eastAsia="仿宋" w:cs="仿宋"/>
                <w:color w:val="000000"/>
                <w:szCs w:val="21"/>
                <w:highlight w:val="none"/>
              </w:rPr>
              <w:t>响应文件签字或盖章</w:t>
            </w:r>
          </w:p>
        </w:tc>
        <w:tc>
          <w:tcPr>
            <w:tcW w:w="4218" w:type="dxa"/>
            <w:noWrap w:val="0"/>
            <w:vAlign w:val="center"/>
          </w:tcPr>
          <w:p w14:paraId="79380837">
            <w:pPr>
              <w:pStyle w:val="156"/>
              <w:spacing w:before="48" w:beforeLines="20" w:after="48" w:afterLines="20" w:line="276" w:lineRule="auto"/>
              <w:rPr>
                <w:rFonts w:hint="eastAsia" w:ascii="仿宋" w:hAnsi="仿宋" w:eastAsia="仿宋" w:cs="仿宋"/>
                <w:color w:val="000000"/>
                <w:highlight w:val="none"/>
              </w:rPr>
            </w:pPr>
          </w:p>
        </w:tc>
      </w:tr>
      <w:tr w14:paraId="70CA41C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14:paraId="7B36A6A2">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1701" w:type="dxa"/>
            <w:vMerge w:val="restart"/>
            <w:noWrap w:val="0"/>
            <w:vAlign w:val="center"/>
          </w:tcPr>
          <w:p w14:paraId="09D7D120">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3301" w:type="dxa"/>
            <w:noWrap w:val="0"/>
            <w:vAlign w:val="center"/>
          </w:tcPr>
          <w:p w14:paraId="3B3E215B">
            <w:pPr>
              <w:spacing w:before="24" w:after="24" w:line="276" w:lineRule="auto"/>
              <w:jc w:val="center"/>
              <w:rPr>
                <w:rFonts w:hint="eastAsia" w:ascii="仿宋" w:hAnsi="仿宋" w:eastAsia="仿宋" w:cs="仿宋"/>
                <w:color w:val="000000"/>
                <w:szCs w:val="21"/>
                <w:highlight w:val="none"/>
              </w:rPr>
            </w:pPr>
            <w:r>
              <w:rPr>
                <w:rFonts w:hint="eastAsia" w:ascii="仿宋_GB2312" w:hAnsi="黑体" w:eastAsia="仿宋_GB2312"/>
                <w:sz w:val="32"/>
                <w:szCs w:val="32"/>
                <w:lang w:eastAsia="zh-CN"/>
              </w:rPr>
              <w:t xml:space="preserve"> </w:t>
            </w:r>
            <w:r>
              <w:rPr>
                <w:rFonts w:hint="eastAsia" w:ascii="仿宋" w:hAnsi="仿宋" w:eastAsia="仿宋" w:cs="仿宋"/>
                <w:sz w:val="21"/>
                <w:szCs w:val="21"/>
                <w:lang w:val="en-US" w:eastAsia="zh-CN"/>
              </w:rPr>
              <w:t>具有独立承担民事责任的能力</w:t>
            </w:r>
          </w:p>
        </w:tc>
        <w:tc>
          <w:tcPr>
            <w:tcW w:w="4218" w:type="dxa"/>
            <w:noWrap w:val="0"/>
            <w:vAlign w:val="center"/>
          </w:tcPr>
          <w:p w14:paraId="441E068C">
            <w:pPr>
              <w:spacing w:before="24" w:after="24" w:line="276" w:lineRule="auto"/>
              <w:jc w:val="left"/>
              <w:rPr>
                <w:rFonts w:hint="eastAsia" w:ascii="仿宋" w:hAnsi="仿宋" w:eastAsia="仿宋" w:cs="仿宋"/>
                <w:color w:val="000000"/>
                <w:szCs w:val="21"/>
                <w:highlight w:val="none"/>
              </w:rPr>
            </w:pPr>
          </w:p>
        </w:tc>
      </w:tr>
      <w:tr w14:paraId="32ABB06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7CE24292">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571D931B">
            <w:pPr>
              <w:spacing w:before="24" w:after="24" w:line="360" w:lineRule="auto"/>
              <w:jc w:val="center"/>
              <w:rPr>
                <w:rFonts w:hint="eastAsia" w:ascii="仿宋" w:hAnsi="仿宋" w:eastAsia="仿宋" w:cs="仿宋"/>
                <w:color w:val="000000"/>
                <w:szCs w:val="21"/>
                <w:highlight w:val="none"/>
              </w:rPr>
            </w:pPr>
          </w:p>
        </w:tc>
        <w:tc>
          <w:tcPr>
            <w:tcW w:w="3301" w:type="dxa"/>
            <w:noWrap w:val="0"/>
            <w:vAlign w:val="center"/>
          </w:tcPr>
          <w:p w14:paraId="19F5D920">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仿宋"/>
                <w:sz w:val="21"/>
                <w:szCs w:val="21"/>
                <w:lang w:val="en-US" w:eastAsia="zh-CN"/>
              </w:rPr>
              <w:t>具有良好的商业信誉和健全的财务会计制度</w:t>
            </w:r>
          </w:p>
        </w:tc>
        <w:tc>
          <w:tcPr>
            <w:tcW w:w="4218" w:type="dxa"/>
            <w:noWrap w:val="0"/>
            <w:vAlign w:val="center"/>
          </w:tcPr>
          <w:p w14:paraId="71E3A7FD">
            <w:pPr>
              <w:spacing w:before="24" w:after="24" w:line="276" w:lineRule="auto"/>
              <w:jc w:val="left"/>
              <w:rPr>
                <w:rFonts w:hint="eastAsia" w:ascii="仿宋" w:hAnsi="仿宋" w:eastAsia="仿宋" w:cs="仿宋"/>
                <w:color w:val="000000"/>
                <w:szCs w:val="21"/>
                <w:highlight w:val="none"/>
              </w:rPr>
            </w:pPr>
          </w:p>
        </w:tc>
      </w:tr>
      <w:tr w14:paraId="7703C56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753544D9">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3B6C5036">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14:paraId="10FFB8B7">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0"/>
                <w:szCs w:val="21"/>
                <w:highlight w:val="none"/>
              </w:rPr>
            </w:pPr>
            <w:r>
              <w:rPr>
                <w:rFonts w:hint="eastAsia" w:ascii="仿宋" w:hAnsi="仿宋" w:eastAsia="仿宋" w:cs="仿宋"/>
                <w:sz w:val="21"/>
                <w:szCs w:val="21"/>
                <w:lang w:val="en-US" w:eastAsia="zh-CN"/>
              </w:rPr>
              <w:t>具有履行合同所必需的设备和专业技术能力</w:t>
            </w:r>
          </w:p>
        </w:tc>
        <w:tc>
          <w:tcPr>
            <w:tcW w:w="4218" w:type="dxa"/>
            <w:noWrap w:val="0"/>
            <w:vAlign w:val="center"/>
          </w:tcPr>
          <w:p w14:paraId="4F1DCD2B">
            <w:pPr>
              <w:spacing w:before="24" w:after="24" w:line="276" w:lineRule="auto"/>
              <w:jc w:val="left"/>
              <w:rPr>
                <w:rFonts w:hint="eastAsia" w:ascii="仿宋" w:hAnsi="仿宋" w:eastAsia="仿宋" w:cs="仿宋"/>
                <w:color w:val="000000"/>
                <w:szCs w:val="21"/>
                <w:highlight w:val="none"/>
              </w:rPr>
            </w:pPr>
          </w:p>
        </w:tc>
      </w:tr>
      <w:tr w14:paraId="7A55526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70DA25D0">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5F1A0E9F">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14:paraId="3465AF9C">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0"/>
                <w:szCs w:val="21"/>
                <w:highlight w:val="none"/>
              </w:rPr>
            </w:pPr>
            <w:r>
              <w:rPr>
                <w:rFonts w:hint="eastAsia" w:ascii="仿宋" w:hAnsi="仿宋" w:eastAsia="仿宋" w:cs="仿宋"/>
                <w:sz w:val="21"/>
                <w:szCs w:val="21"/>
                <w:lang w:val="en-US" w:eastAsia="zh-CN"/>
              </w:rPr>
              <w:t>有依法缴纳税收和社会保障资金的良好记录</w:t>
            </w:r>
          </w:p>
        </w:tc>
        <w:tc>
          <w:tcPr>
            <w:tcW w:w="4218" w:type="dxa"/>
            <w:noWrap w:val="0"/>
            <w:vAlign w:val="center"/>
          </w:tcPr>
          <w:p w14:paraId="6AB30FAC">
            <w:pPr>
              <w:spacing w:before="24" w:after="24" w:line="276" w:lineRule="auto"/>
              <w:jc w:val="left"/>
              <w:rPr>
                <w:rFonts w:hint="eastAsia" w:ascii="仿宋" w:hAnsi="仿宋" w:eastAsia="仿宋" w:cs="仿宋"/>
                <w:color w:val="000000"/>
                <w:szCs w:val="21"/>
                <w:highlight w:val="none"/>
              </w:rPr>
            </w:pPr>
          </w:p>
        </w:tc>
      </w:tr>
      <w:tr w14:paraId="5AB764B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1983B4B3">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390AC7F8">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14:paraId="37640CBD">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FF0000"/>
                <w:kern w:val="0"/>
                <w:szCs w:val="21"/>
                <w:highlight w:val="none"/>
              </w:rPr>
            </w:pPr>
            <w:r>
              <w:rPr>
                <w:rFonts w:hint="eastAsia" w:ascii="仿宋" w:hAnsi="仿宋" w:eastAsia="仿宋" w:cs="仿宋"/>
                <w:sz w:val="21"/>
                <w:szCs w:val="21"/>
                <w:lang w:val="en-US" w:eastAsia="zh-CN"/>
              </w:rPr>
              <w:t>经营状况良好，且近三年内无重大违法违规记录</w:t>
            </w:r>
          </w:p>
        </w:tc>
        <w:tc>
          <w:tcPr>
            <w:tcW w:w="4218" w:type="dxa"/>
            <w:noWrap w:val="0"/>
            <w:vAlign w:val="center"/>
          </w:tcPr>
          <w:p w14:paraId="66A3905B">
            <w:pPr>
              <w:spacing w:before="24" w:after="24" w:line="276" w:lineRule="auto"/>
              <w:jc w:val="left"/>
              <w:rPr>
                <w:rFonts w:hint="eastAsia" w:ascii="仿宋" w:hAnsi="仿宋" w:eastAsia="仿宋" w:cs="仿宋"/>
                <w:color w:val="000000"/>
                <w:szCs w:val="21"/>
                <w:highlight w:val="none"/>
              </w:rPr>
            </w:pPr>
          </w:p>
        </w:tc>
      </w:tr>
      <w:tr w14:paraId="2C1C7EE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28B3341F">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568C1CF7">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14:paraId="37E9F682">
            <w:pPr>
              <w:keepNext w:val="0"/>
              <w:keepLines w:val="0"/>
              <w:suppressLineNumbers w:val="0"/>
              <w:spacing w:before="24" w:beforeAutospacing="0" w:after="24" w:afterAutospacing="0"/>
              <w:ind w:left="0" w:leftChars="0" w:right="0" w:rightChars="0"/>
              <w:jc w:val="center"/>
              <w:rPr>
                <w:rFonts w:ascii="仿宋" w:hAnsi="仿宋" w:eastAsia="仿宋" w:cs="仿宋"/>
                <w:color w:val="FF0000"/>
                <w:kern w:val="0"/>
                <w:szCs w:val="21"/>
                <w:highlight w:val="none"/>
              </w:rPr>
            </w:pPr>
            <w:r>
              <w:rPr>
                <w:rFonts w:hint="eastAsia" w:ascii="仿宋" w:hAnsi="仿宋" w:eastAsia="仿宋" w:cs="仿宋"/>
                <w:sz w:val="21"/>
                <w:szCs w:val="21"/>
                <w:lang w:val="en-US" w:eastAsia="zh-CN"/>
              </w:rPr>
              <w:t>未被列入公司供应商黑名单或已不在禁入期内</w:t>
            </w:r>
          </w:p>
        </w:tc>
        <w:tc>
          <w:tcPr>
            <w:tcW w:w="4218" w:type="dxa"/>
            <w:noWrap w:val="0"/>
            <w:vAlign w:val="center"/>
          </w:tcPr>
          <w:p w14:paraId="3A56FD1C">
            <w:pPr>
              <w:spacing w:before="24" w:after="24" w:line="276" w:lineRule="auto"/>
              <w:jc w:val="left"/>
              <w:rPr>
                <w:rFonts w:hint="eastAsia" w:ascii="仿宋" w:hAnsi="仿宋" w:eastAsia="仿宋" w:cs="仿宋"/>
                <w:color w:val="000000"/>
                <w:szCs w:val="21"/>
                <w:highlight w:val="none"/>
              </w:rPr>
            </w:pPr>
          </w:p>
        </w:tc>
      </w:tr>
      <w:tr w14:paraId="5484DFC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01481DF5">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14:paraId="52A30B0C">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14:paraId="1B1A497C">
            <w:pPr>
              <w:keepNext w:val="0"/>
              <w:keepLines w:val="0"/>
              <w:suppressLineNumbers w:val="0"/>
              <w:spacing w:before="24" w:beforeAutospacing="0" w:after="24" w:afterAutospacing="0"/>
              <w:ind w:left="0" w:leftChars="0" w:right="0" w:rightChars="0"/>
              <w:jc w:val="center"/>
              <w:rPr>
                <w:rFonts w:ascii="仿宋" w:hAnsi="仿宋" w:eastAsia="仿宋" w:cs="仿宋"/>
                <w:color w:val="FF0000"/>
                <w:szCs w:val="21"/>
                <w:highlight w:val="none"/>
              </w:rPr>
            </w:pPr>
            <w:r>
              <w:rPr>
                <w:rFonts w:hint="eastAsia" w:ascii="仿宋" w:hAnsi="仿宋" w:eastAsia="仿宋" w:cs="Cambria Math"/>
                <w:color w:val="000000"/>
                <w:szCs w:val="21"/>
                <w:highlight w:val="none"/>
              </w:rPr>
              <w:t>控股及管理关系</w:t>
            </w:r>
          </w:p>
        </w:tc>
        <w:tc>
          <w:tcPr>
            <w:tcW w:w="4218" w:type="dxa"/>
            <w:noWrap w:val="0"/>
            <w:vAlign w:val="center"/>
          </w:tcPr>
          <w:p w14:paraId="5F7317C9">
            <w:pPr>
              <w:spacing w:before="24" w:after="24" w:line="276" w:lineRule="auto"/>
              <w:rPr>
                <w:rFonts w:hint="eastAsia" w:ascii="仿宋" w:hAnsi="仿宋" w:eastAsia="仿宋" w:cs="仿宋"/>
                <w:color w:val="000000"/>
                <w:szCs w:val="21"/>
                <w:highlight w:val="none"/>
              </w:rPr>
            </w:pPr>
          </w:p>
        </w:tc>
      </w:tr>
      <w:tr w14:paraId="0F55B57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76607F00">
            <w:pPr>
              <w:widowControl/>
              <w:spacing w:line="360" w:lineRule="auto"/>
              <w:jc w:val="center"/>
              <w:rPr>
                <w:rFonts w:ascii="仿宋" w:hAnsi="仿宋" w:eastAsia="仿宋" w:cs="仿宋"/>
                <w:color w:val="000000"/>
                <w:kern w:val="0"/>
                <w:szCs w:val="21"/>
                <w:highlight w:val="none"/>
              </w:rPr>
            </w:pPr>
          </w:p>
        </w:tc>
        <w:tc>
          <w:tcPr>
            <w:tcW w:w="1701" w:type="dxa"/>
            <w:vMerge w:val="continue"/>
            <w:noWrap w:val="0"/>
            <w:vAlign w:val="top"/>
          </w:tcPr>
          <w:p w14:paraId="2B7AB56D">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14:paraId="06085C97">
            <w:pPr>
              <w:keepNext w:val="0"/>
              <w:keepLines w:val="0"/>
              <w:suppressLineNumbers w:val="0"/>
              <w:spacing w:before="24" w:beforeAutospacing="0" w:after="24" w:afterAutospacing="0"/>
              <w:ind w:left="0" w:leftChars="0" w:right="0" w:rightChars="0"/>
              <w:jc w:val="center"/>
              <w:rPr>
                <w:rFonts w:ascii="仿宋" w:hAnsi="仿宋" w:eastAsia="仿宋" w:cs="仿宋"/>
                <w:color w:val="FF0000"/>
                <w:kern w:val="0"/>
                <w:szCs w:val="21"/>
                <w:highlight w:val="none"/>
              </w:rPr>
            </w:pPr>
            <w:r>
              <w:rPr>
                <w:rFonts w:hint="eastAsia" w:ascii="仿宋" w:hAnsi="仿宋" w:eastAsia="仿宋" w:cs="Cambria Math"/>
                <w:color w:val="000000"/>
                <w:szCs w:val="21"/>
                <w:highlight w:val="none"/>
              </w:rPr>
              <w:t>联合体磋商</w:t>
            </w:r>
            <w:r>
              <w:rPr>
                <w:rFonts w:hint="eastAsia" w:ascii="仿宋" w:hAnsi="仿宋" w:eastAsia="仿宋" w:cs="Cambria Math"/>
                <w:color w:val="000000"/>
                <w:szCs w:val="21"/>
                <w:highlight w:val="none"/>
                <w:lang w:val="en-US" w:eastAsia="zh-CN"/>
              </w:rPr>
              <w:t>响应</w:t>
            </w:r>
          </w:p>
        </w:tc>
        <w:tc>
          <w:tcPr>
            <w:tcW w:w="4218" w:type="dxa"/>
            <w:noWrap w:val="0"/>
            <w:vAlign w:val="center"/>
          </w:tcPr>
          <w:p w14:paraId="6DA1F51F">
            <w:pPr>
              <w:spacing w:before="24" w:after="24" w:line="276" w:lineRule="auto"/>
              <w:jc w:val="left"/>
              <w:rPr>
                <w:rFonts w:hint="eastAsia" w:ascii="仿宋" w:hAnsi="仿宋" w:eastAsia="仿宋" w:cs="仿宋"/>
                <w:color w:val="000000"/>
                <w:szCs w:val="21"/>
                <w:highlight w:val="none"/>
              </w:rPr>
            </w:pPr>
          </w:p>
        </w:tc>
      </w:tr>
      <w:tr w14:paraId="3FA1162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14:paraId="04E0AEB3">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1701" w:type="dxa"/>
            <w:vMerge w:val="restart"/>
            <w:noWrap w:val="0"/>
            <w:vAlign w:val="center"/>
          </w:tcPr>
          <w:p w14:paraId="09B54745">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3301" w:type="dxa"/>
            <w:noWrap w:val="0"/>
            <w:vAlign w:val="center"/>
          </w:tcPr>
          <w:p w14:paraId="3C7E31FF">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响应函</w:t>
            </w:r>
          </w:p>
        </w:tc>
        <w:tc>
          <w:tcPr>
            <w:tcW w:w="4218" w:type="dxa"/>
            <w:noWrap w:val="0"/>
            <w:vAlign w:val="center"/>
          </w:tcPr>
          <w:p w14:paraId="7340442A">
            <w:pPr>
              <w:spacing w:before="24" w:after="24" w:line="276" w:lineRule="auto"/>
              <w:jc w:val="left"/>
              <w:rPr>
                <w:rFonts w:hint="eastAsia" w:ascii="仿宋" w:hAnsi="仿宋" w:eastAsia="仿宋" w:cs="仿宋"/>
                <w:color w:val="000000"/>
                <w:szCs w:val="21"/>
                <w:highlight w:val="none"/>
              </w:rPr>
            </w:pPr>
          </w:p>
        </w:tc>
      </w:tr>
      <w:tr w14:paraId="4C001BA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780BC29F">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633B1F56">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14:paraId="60632CC8">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供应商行为准则承诺书</w:t>
            </w:r>
          </w:p>
        </w:tc>
        <w:tc>
          <w:tcPr>
            <w:tcW w:w="4218" w:type="dxa"/>
            <w:noWrap w:val="0"/>
            <w:vAlign w:val="center"/>
          </w:tcPr>
          <w:p w14:paraId="7088CFB2">
            <w:pPr>
              <w:spacing w:before="24" w:after="24" w:line="276" w:lineRule="auto"/>
              <w:jc w:val="left"/>
              <w:rPr>
                <w:rFonts w:hint="eastAsia" w:ascii="仿宋" w:hAnsi="仿宋" w:eastAsia="仿宋" w:cs="仿宋"/>
                <w:color w:val="000000"/>
                <w:szCs w:val="21"/>
                <w:highlight w:val="none"/>
              </w:rPr>
            </w:pPr>
          </w:p>
        </w:tc>
      </w:tr>
      <w:tr w14:paraId="0995A94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1FB14391">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3C6AFDF6">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14:paraId="76C71CC2">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4218" w:type="dxa"/>
            <w:noWrap w:val="0"/>
            <w:vAlign w:val="center"/>
          </w:tcPr>
          <w:p w14:paraId="1A3D1B95">
            <w:pPr>
              <w:spacing w:before="24" w:after="24" w:line="276" w:lineRule="auto"/>
              <w:jc w:val="left"/>
              <w:rPr>
                <w:rFonts w:hint="eastAsia" w:ascii="仿宋" w:hAnsi="仿宋" w:eastAsia="仿宋" w:cs="仿宋"/>
                <w:color w:val="000000"/>
                <w:szCs w:val="21"/>
                <w:highlight w:val="none"/>
              </w:rPr>
            </w:pPr>
          </w:p>
        </w:tc>
      </w:tr>
      <w:tr w14:paraId="596605D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14:paraId="4368331A">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14:paraId="1566002C">
            <w:pPr>
              <w:spacing w:before="24" w:after="24" w:line="360" w:lineRule="auto"/>
              <w:jc w:val="center"/>
              <w:rPr>
                <w:rFonts w:hint="eastAsia" w:ascii="仿宋" w:hAnsi="仿宋" w:eastAsia="仿宋" w:cs="仿宋"/>
                <w:color w:val="000000"/>
                <w:kern w:val="0"/>
                <w:szCs w:val="21"/>
                <w:highlight w:val="none"/>
              </w:rPr>
            </w:pPr>
          </w:p>
        </w:tc>
        <w:tc>
          <w:tcPr>
            <w:tcW w:w="3301" w:type="dxa"/>
            <w:noWrap w:val="0"/>
            <w:vAlign w:val="center"/>
          </w:tcPr>
          <w:p w14:paraId="69558813">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Cambria Math"/>
                <w:color w:val="000000" w:themeColor="text1"/>
                <w:szCs w:val="21"/>
                <w:highlight w:val="none"/>
                <w14:textFill>
                  <w14:solidFill>
                    <w14:schemeClr w14:val="tx1"/>
                  </w14:solidFill>
                </w14:textFill>
              </w:rPr>
              <w:t>供应商偏离应答</w:t>
            </w:r>
          </w:p>
        </w:tc>
        <w:tc>
          <w:tcPr>
            <w:tcW w:w="4218" w:type="dxa"/>
            <w:noWrap w:val="0"/>
            <w:vAlign w:val="center"/>
          </w:tcPr>
          <w:p w14:paraId="624894CA">
            <w:pPr>
              <w:spacing w:before="24" w:after="24" w:line="276" w:lineRule="auto"/>
              <w:jc w:val="left"/>
              <w:rPr>
                <w:rFonts w:hint="eastAsia" w:ascii="仿宋" w:hAnsi="仿宋" w:eastAsia="仿宋" w:cs="仿宋"/>
                <w:color w:val="000000"/>
                <w:szCs w:val="21"/>
                <w:highlight w:val="none"/>
              </w:rPr>
            </w:pPr>
          </w:p>
        </w:tc>
      </w:tr>
    </w:tbl>
    <w:p w14:paraId="0F7B7613">
      <w:pPr>
        <w:rPr>
          <w:rFonts w:hint="eastAsia" w:ascii="宋体" w:hAnsi="宋体"/>
          <w:kern w:val="0"/>
          <w:szCs w:val="21"/>
          <w:highlight w:val="none"/>
        </w:rPr>
        <w:sectPr>
          <w:footerReference r:id="rId12" w:type="default"/>
          <w:pgSz w:w="11906" w:h="16838"/>
          <w:pgMar w:top="1417" w:right="1134" w:bottom="1134" w:left="1134" w:header="964" w:footer="964" w:gutter="0"/>
          <w:cols w:space="720" w:num="1"/>
          <w:docGrid w:linePitch="312" w:charSpace="0"/>
        </w:sectPr>
      </w:pPr>
    </w:p>
    <w:bookmarkEnd w:id="155"/>
    <w:bookmarkEnd w:id="156"/>
    <w:bookmarkEnd w:id="157"/>
    <w:bookmarkEnd w:id="158"/>
    <w:bookmarkEnd w:id="159"/>
    <w:bookmarkEnd w:id="160"/>
    <w:bookmarkEnd w:id="161"/>
    <w:bookmarkEnd w:id="162"/>
    <w:p w14:paraId="685129AC">
      <w:pPr>
        <w:bidi w:val="0"/>
        <w:jc w:val="center"/>
        <w:rPr>
          <w:rFonts w:hint="eastAsia" w:ascii="仿宋" w:hAnsi="仿宋" w:eastAsia="仿宋" w:cs="仿宋"/>
          <w:b/>
          <w:bCs/>
          <w:sz w:val="24"/>
          <w:szCs w:val="24"/>
        </w:rPr>
      </w:pPr>
      <w:bookmarkStart w:id="167" w:name="_Toc444891354"/>
      <w:bookmarkStart w:id="168" w:name="_Toc7202"/>
      <w:bookmarkStart w:id="169" w:name="_Toc27799"/>
      <w:bookmarkStart w:id="170" w:name="_Toc25121"/>
      <w:bookmarkStart w:id="171" w:name="_Toc517281837"/>
      <w:bookmarkStart w:id="172" w:name="_Toc12140"/>
      <w:r>
        <w:rPr>
          <w:rFonts w:hint="eastAsia" w:ascii="仿宋" w:hAnsi="仿宋" w:eastAsia="仿宋" w:cs="仿宋"/>
          <w:b/>
          <w:bCs/>
          <w:sz w:val="24"/>
          <w:szCs w:val="24"/>
        </w:rPr>
        <w:t>详细评审索引表</w:t>
      </w:r>
    </w:p>
    <w:tbl>
      <w:tblPr>
        <w:tblStyle w:val="4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06BF2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14:paraId="360110C0">
            <w:pPr>
              <w:widowControl/>
              <w:jc w:val="center"/>
              <w:textAlignment w:val="center"/>
              <w:rPr>
                <w:rFonts w:hint="eastAsia" w:ascii="仿宋" w:hAnsi="仿宋" w:eastAsia="仿宋" w:cs="宋体"/>
                <w:b/>
                <w:color w:val="000000"/>
                <w:szCs w:val="21"/>
                <w:highlight w:val="none"/>
              </w:rPr>
            </w:pPr>
            <w:r>
              <w:rPr>
                <w:rFonts w:hint="eastAsia" w:ascii="仿宋" w:hAnsi="仿宋" w:eastAsia="仿宋" w:cs="宋体"/>
                <w:b/>
                <w:color w:val="000000"/>
                <w:kern w:val="0"/>
                <w:szCs w:val="21"/>
                <w:highlight w:val="none"/>
                <w:lang w:bidi="ar"/>
              </w:rPr>
              <w:t>序号</w:t>
            </w:r>
          </w:p>
        </w:tc>
        <w:tc>
          <w:tcPr>
            <w:tcW w:w="1696" w:type="dxa"/>
            <w:noWrap w:val="0"/>
            <w:tcMar>
              <w:top w:w="15" w:type="dxa"/>
              <w:left w:w="15" w:type="dxa"/>
              <w:right w:w="15" w:type="dxa"/>
            </w:tcMar>
            <w:vAlign w:val="center"/>
          </w:tcPr>
          <w:p w14:paraId="5D8DF0AB">
            <w:pPr>
              <w:jc w:val="center"/>
              <w:rPr>
                <w:rFonts w:hint="eastAsia" w:ascii="仿宋" w:hAnsi="仿宋" w:eastAsia="仿宋" w:cs="宋体"/>
                <w:b/>
                <w:color w:val="000000"/>
                <w:kern w:val="0"/>
                <w:szCs w:val="21"/>
                <w:highlight w:val="none"/>
                <w:lang w:bidi="ar"/>
              </w:rPr>
            </w:pPr>
            <w:r>
              <w:rPr>
                <w:rFonts w:hint="eastAsia" w:ascii="仿宋" w:hAnsi="仿宋" w:eastAsia="仿宋" w:cs="宋体"/>
                <w:b/>
                <w:bCs/>
                <w:color w:val="000000"/>
                <w:szCs w:val="21"/>
                <w:highlight w:val="none"/>
              </w:rPr>
              <w:t>评审项</w:t>
            </w:r>
          </w:p>
        </w:tc>
        <w:tc>
          <w:tcPr>
            <w:tcW w:w="2268" w:type="dxa"/>
            <w:noWrap w:val="0"/>
            <w:vAlign w:val="top"/>
          </w:tcPr>
          <w:p w14:paraId="7729C115">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lang w:bidi="ar"/>
              </w:rPr>
              <w:t>评审因素</w:t>
            </w:r>
          </w:p>
        </w:tc>
        <w:tc>
          <w:tcPr>
            <w:tcW w:w="4820" w:type="dxa"/>
            <w:noWrap w:val="0"/>
            <w:tcMar>
              <w:top w:w="15" w:type="dxa"/>
              <w:left w:w="15" w:type="dxa"/>
              <w:right w:w="15" w:type="dxa"/>
            </w:tcMar>
            <w:vAlign w:val="center"/>
          </w:tcPr>
          <w:p w14:paraId="20BA5C18">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页码范围及说明</w:t>
            </w:r>
          </w:p>
        </w:tc>
      </w:tr>
      <w:tr w14:paraId="1E745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14:paraId="415D9C66">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1</w:t>
            </w:r>
          </w:p>
        </w:tc>
        <w:tc>
          <w:tcPr>
            <w:tcW w:w="1696" w:type="dxa"/>
            <w:vMerge w:val="restart"/>
            <w:noWrap w:val="0"/>
            <w:tcMar>
              <w:top w:w="15" w:type="dxa"/>
              <w:left w:w="15" w:type="dxa"/>
              <w:right w:w="15" w:type="dxa"/>
            </w:tcMar>
            <w:vAlign w:val="center"/>
          </w:tcPr>
          <w:p w14:paraId="7D1F6B10">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商务得分</w:t>
            </w:r>
          </w:p>
          <w:p w14:paraId="142EBB7C">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（XX分）</w:t>
            </w:r>
          </w:p>
        </w:tc>
        <w:tc>
          <w:tcPr>
            <w:tcW w:w="2268" w:type="dxa"/>
            <w:noWrap w:val="0"/>
            <w:vAlign w:val="center"/>
          </w:tcPr>
          <w:p w14:paraId="620DC144">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eastAsia="zh-CN" w:bidi="ar"/>
              </w:rPr>
              <w:t>商务符合性</w:t>
            </w:r>
            <w:r>
              <w:rPr>
                <w:rFonts w:hint="eastAsia" w:ascii="仿宋" w:hAnsi="仿宋" w:eastAsia="仿宋" w:cs="宋体"/>
                <w:color w:val="000000"/>
                <w:kern w:val="0"/>
                <w:szCs w:val="21"/>
                <w:highlight w:val="none"/>
                <w:lang w:bidi="ar"/>
              </w:rPr>
              <w:t>（XX分）</w:t>
            </w:r>
          </w:p>
        </w:tc>
        <w:tc>
          <w:tcPr>
            <w:tcW w:w="4820" w:type="dxa"/>
            <w:noWrap w:val="0"/>
            <w:tcMar>
              <w:top w:w="15" w:type="dxa"/>
              <w:left w:w="15" w:type="dxa"/>
              <w:right w:w="15" w:type="dxa"/>
            </w:tcMar>
            <w:vAlign w:val="center"/>
          </w:tcPr>
          <w:p w14:paraId="5C02A626">
            <w:pPr>
              <w:widowControl/>
              <w:adjustRightInd w:val="0"/>
              <w:snapToGrid w:val="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说明：XX</w:t>
            </w:r>
          </w:p>
          <w:p w14:paraId="731455DE">
            <w:pPr>
              <w:rPr>
                <w:rStyle w:val="117"/>
                <w:rFonts w:hint="default" w:cs="宋体"/>
                <w:color w:val="000000"/>
                <w:highlight w:val="none"/>
                <w:lang w:bidi="ar"/>
              </w:rPr>
            </w:pPr>
            <w:r>
              <w:rPr>
                <w:rFonts w:hint="eastAsia" w:ascii="仿宋" w:hAnsi="仿宋" w:eastAsia="仿宋" w:cs="宋体"/>
                <w:color w:val="000000"/>
                <w:kern w:val="0"/>
                <w:szCs w:val="21"/>
                <w:highlight w:val="none"/>
              </w:rPr>
              <w:t>详见N-M页</w:t>
            </w:r>
          </w:p>
        </w:tc>
      </w:tr>
      <w:tr w14:paraId="16142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14:paraId="010F6BB9">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2</w:t>
            </w:r>
          </w:p>
        </w:tc>
        <w:tc>
          <w:tcPr>
            <w:tcW w:w="1696" w:type="dxa"/>
            <w:vMerge w:val="continue"/>
            <w:noWrap w:val="0"/>
            <w:tcMar>
              <w:top w:w="15" w:type="dxa"/>
              <w:left w:w="15" w:type="dxa"/>
              <w:right w:w="15" w:type="dxa"/>
            </w:tcMar>
            <w:vAlign w:val="center"/>
          </w:tcPr>
          <w:p w14:paraId="61251E4F">
            <w:pPr>
              <w:widowControl/>
              <w:jc w:val="center"/>
              <w:textAlignment w:val="center"/>
              <w:rPr>
                <w:rFonts w:hint="eastAsia" w:ascii="仿宋" w:hAnsi="仿宋" w:eastAsia="仿宋" w:cs="宋体"/>
                <w:color w:val="000000"/>
                <w:kern w:val="0"/>
                <w:szCs w:val="21"/>
                <w:highlight w:val="none"/>
                <w:lang w:bidi="ar"/>
              </w:rPr>
            </w:pPr>
          </w:p>
        </w:tc>
        <w:tc>
          <w:tcPr>
            <w:tcW w:w="2268" w:type="dxa"/>
            <w:noWrap w:val="0"/>
            <w:vAlign w:val="center"/>
          </w:tcPr>
          <w:p w14:paraId="40763EFB">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eastAsia="zh-CN" w:bidi="ar"/>
              </w:rPr>
              <w:t>团队人员</w:t>
            </w:r>
            <w:r>
              <w:rPr>
                <w:rFonts w:hint="eastAsia" w:ascii="仿宋" w:hAnsi="仿宋" w:eastAsia="仿宋" w:cs="宋体"/>
                <w:color w:val="000000"/>
                <w:kern w:val="0"/>
                <w:szCs w:val="21"/>
                <w:highlight w:val="none"/>
                <w:lang w:bidi="ar"/>
              </w:rPr>
              <w:t>（XX分）</w:t>
            </w:r>
          </w:p>
        </w:tc>
        <w:tc>
          <w:tcPr>
            <w:tcW w:w="4820" w:type="dxa"/>
            <w:noWrap w:val="0"/>
            <w:tcMar>
              <w:top w:w="15" w:type="dxa"/>
              <w:left w:w="15" w:type="dxa"/>
              <w:right w:w="15" w:type="dxa"/>
            </w:tcMar>
            <w:vAlign w:val="center"/>
          </w:tcPr>
          <w:p w14:paraId="59D3CC9E">
            <w:pPr>
              <w:rPr>
                <w:rStyle w:val="117"/>
                <w:rFonts w:hint="default" w:cs="宋体"/>
                <w:color w:val="000000"/>
                <w:highlight w:val="none"/>
                <w:lang w:bidi="ar"/>
              </w:rPr>
            </w:pPr>
          </w:p>
        </w:tc>
      </w:tr>
      <w:tr w14:paraId="5EA34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14:paraId="0CBC457D">
            <w:pPr>
              <w:widowControl/>
              <w:jc w:val="center"/>
              <w:textAlignment w:val="center"/>
              <w:rPr>
                <w:rFonts w:hint="eastAsia"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3</w:t>
            </w:r>
          </w:p>
        </w:tc>
        <w:tc>
          <w:tcPr>
            <w:tcW w:w="1696" w:type="dxa"/>
            <w:vMerge w:val="continue"/>
            <w:noWrap w:val="0"/>
            <w:tcMar>
              <w:top w:w="15" w:type="dxa"/>
              <w:left w:w="15" w:type="dxa"/>
              <w:right w:w="15" w:type="dxa"/>
            </w:tcMar>
            <w:vAlign w:val="center"/>
          </w:tcPr>
          <w:p w14:paraId="2EE56019">
            <w:pPr>
              <w:widowControl/>
              <w:jc w:val="center"/>
              <w:textAlignment w:val="center"/>
              <w:rPr>
                <w:rFonts w:hint="eastAsia" w:ascii="仿宋" w:hAnsi="仿宋" w:eastAsia="仿宋" w:cs="宋体"/>
                <w:color w:val="000000"/>
                <w:kern w:val="0"/>
                <w:szCs w:val="21"/>
                <w:highlight w:val="none"/>
                <w:lang w:bidi="ar"/>
              </w:rPr>
            </w:pPr>
          </w:p>
        </w:tc>
        <w:tc>
          <w:tcPr>
            <w:tcW w:w="2268" w:type="dxa"/>
            <w:noWrap w:val="0"/>
            <w:vAlign w:val="center"/>
          </w:tcPr>
          <w:p w14:paraId="2E362DC4">
            <w:pPr>
              <w:widowControl/>
              <w:jc w:val="center"/>
              <w:textAlignment w:val="center"/>
              <w:rPr>
                <w:rFonts w:hint="default"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eastAsia="zh-CN" w:bidi="ar"/>
              </w:rPr>
              <w:t>响应承诺（</w:t>
            </w:r>
            <w:r>
              <w:rPr>
                <w:rFonts w:hint="eastAsia" w:ascii="仿宋" w:hAnsi="仿宋" w:eastAsia="仿宋" w:cs="宋体"/>
                <w:color w:val="000000"/>
                <w:kern w:val="0"/>
                <w:szCs w:val="21"/>
                <w:highlight w:val="none"/>
                <w:lang w:val="en-US" w:eastAsia="zh-CN" w:bidi="ar"/>
              </w:rPr>
              <w:t>XX分）</w:t>
            </w:r>
          </w:p>
        </w:tc>
        <w:tc>
          <w:tcPr>
            <w:tcW w:w="4820" w:type="dxa"/>
            <w:noWrap w:val="0"/>
            <w:tcMar>
              <w:top w:w="15" w:type="dxa"/>
              <w:left w:w="15" w:type="dxa"/>
              <w:right w:w="15" w:type="dxa"/>
            </w:tcMar>
            <w:vAlign w:val="center"/>
          </w:tcPr>
          <w:p w14:paraId="4857F5FE">
            <w:pPr>
              <w:rPr>
                <w:rStyle w:val="117"/>
                <w:rFonts w:hint="default" w:cs="宋体"/>
                <w:color w:val="000000"/>
                <w:highlight w:val="none"/>
                <w:lang w:bidi="ar"/>
              </w:rPr>
            </w:pPr>
          </w:p>
        </w:tc>
      </w:tr>
    </w:tbl>
    <w:p w14:paraId="061F9823">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r>
    </w:p>
    <w:p w14:paraId="33E997F9">
      <w:pPr>
        <w:pStyle w:val="5"/>
        <w:numPr>
          <w:ilvl w:val="0"/>
          <w:numId w:val="0"/>
        </w:numPr>
        <w:spacing w:before="0" w:line="440" w:lineRule="exact"/>
        <w:rPr>
          <w:rFonts w:hint="eastAsia" w:ascii="仿宋" w:hAnsi="仿宋" w:eastAsia="仿宋" w:cs="仿宋"/>
          <w:color w:val="000000"/>
          <w:sz w:val="24"/>
          <w:szCs w:val="24"/>
          <w:highlight w:val="none"/>
        </w:rPr>
      </w:pPr>
      <w:bookmarkStart w:id="173" w:name="_Toc27958"/>
      <w:r>
        <w:rPr>
          <w:rFonts w:hint="eastAsia" w:ascii="仿宋" w:hAnsi="仿宋" w:eastAsia="仿宋" w:cs="仿宋"/>
          <w:color w:val="000000"/>
          <w:sz w:val="24"/>
          <w:szCs w:val="24"/>
          <w:highlight w:val="none"/>
        </w:rPr>
        <w:t>（一）响应函</w:t>
      </w:r>
      <w:bookmarkEnd w:id="173"/>
    </w:p>
    <w:p w14:paraId="6E4C42B2">
      <w:pPr>
        <w:pStyle w:val="156"/>
        <w:spacing w:line="440" w:lineRule="exact"/>
        <w:rPr>
          <w:rFonts w:hint="eastAsia" w:ascii="仿宋" w:hAnsi="仿宋" w:eastAsia="仿宋" w:cs="Cambria Math"/>
          <w:color w:val="000000"/>
          <w:sz w:val="24"/>
          <w:szCs w:val="24"/>
          <w:highlight w:val="none"/>
          <w:u w:val="single"/>
        </w:rPr>
      </w:pPr>
      <w:r>
        <w:rPr>
          <w:rFonts w:hint="eastAsia" w:ascii="仿宋" w:hAnsi="仿宋" w:eastAsia="仿宋" w:cs="Cambria Math"/>
          <w:color w:val="000000"/>
          <w:sz w:val="24"/>
          <w:szCs w:val="24"/>
          <w:highlight w:val="none"/>
          <w:u w:val="single"/>
        </w:rPr>
        <w:t>致：</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lang w:val="en-US" w:eastAsia="zh-CN"/>
        </w:rPr>
        <w:t>采购人名称</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rPr>
        <w:t xml:space="preserve">     </w:t>
      </w:r>
    </w:p>
    <w:p w14:paraId="108254A1">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u w:val="single"/>
        </w:rPr>
        <w:t xml:space="preserve">   （供应商名称）   </w:t>
      </w:r>
      <w:r>
        <w:rPr>
          <w:rFonts w:hint="eastAsia" w:ascii="仿宋" w:hAnsi="仿宋" w:eastAsia="仿宋" w:cs="Cambria Math"/>
          <w:color w:val="000000"/>
          <w:kern w:val="0"/>
          <w:sz w:val="24"/>
          <w:highlight w:val="none"/>
        </w:rPr>
        <w:t>（以下称“我方”）已仔细研究了</w:t>
      </w:r>
      <w:r>
        <w:rPr>
          <w:rFonts w:hint="eastAsia" w:ascii="仿宋" w:hAnsi="仿宋" w:eastAsia="仿宋" w:cs="Cambria Math"/>
          <w:color w:val="000000"/>
          <w:kern w:val="0"/>
          <w:sz w:val="24"/>
          <w:highlight w:val="none"/>
          <w:u w:val="single"/>
        </w:rPr>
        <w:t xml:space="preserve"> </w:t>
      </w:r>
      <w:r>
        <w:rPr>
          <w:rFonts w:ascii="仿宋" w:hAnsi="仿宋" w:eastAsia="仿宋" w:cs="Cambria Math"/>
          <w:color w:val="000000"/>
          <w:kern w:val="0"/>
          <w:sz w:val="24"/>
          <w:highlight w:val="none"/>
          <w:u w:val="single"/>
        </w:rPr>
        <w:t xml:space="preserve"> </w:t>
      </w:r>
      <w:r>
        <w:rPr>
          <w:rFonts w:hint="eastAsia" w:ascii="仿宋" w:hAnsi="仿宋" w:eastAsia="仿宋" w:cs="Cambria Math"/>
          <w:color w:val="000000"/>
          <w:kern w:val="0"/>
          <w:sz w:val="24"/>
          <w:highlight w:val="none"/>
          <w:u w:val="single"/>
        </w:rPr>
        <w:t xml:space="preserve">（项目名称）    </w:t>
      </w:r>
      <w:r>
        <w:rPr>
          <w:rFonts w:hint="eastAsia" w:ascii="仿宋" w:hAnsi="仿宋" w:eastAsia="仿宋" w:cs="Cambria Math"/>
          <w:color w:val="000000"/>
          <w:kern w:val="0"/>
          <w:sz w:val="24"/>
          <w:highlight w:val="none"/>
        </w:rPr>
        <w:t>竞争性磋商文件的全部内容，包括澄清或者修改文件以及有关附件，我方将严格按照竞争性磋商文件要求递交符合要求的全部磋商响应文件。</w:t>
      </w:r>
    </w:p>
    <w:p w14:paraId="67F1747A">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现我方承诺如下内容：</w:t>
      </w:r>
    </w:p>
    <w:p w14:paraId="79ACD424">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 本响应函及磋商响应文件自磋商响应文件提交截止日起有效期为</w:t>
      </w:r>
      <w:r>
        <w:rPr>
          <w:rFonts w:hint="eastAsia" w:ascii="仿宋" w:hAnsi="仿宋" w:eastAsia="仿宋" w:cs="Cambria Math"/>
          <w:color w:val="000000"/>
          <w:kern w:val="0"/>
          <w:sz w:val="24"/>
          <w:highlight w:val="none"/>
          <w:u w:val="single"/>
          <w:lang w:val="en-US" w:eastAsia="zh-CN"/>
        </w:rPr>
        <w:t>XX</w:t>
      </w:r>
      <w:r>
        <w:rPr>
          <w:rFonts w:hint="eastAsia" w:ascii="仿宋" w:hAnsi="仿宋" w:eastAsia="仿宋" w:cs="Cambria Math"/>
          <w:color w:val="000000"/>
          <w:kern w:val="0"/>
          <w:sz w:val="24"/>
          <w:highlight w:val="none"/>
          <w:u w:val="single"/>
        </w:rPr>
        <w:t>天</w:t>
      </w:r>
      <w:r>
        <w:rPr>
          <w:rFonts w:hint="eastAsia" w:ascii="仿宋" w:hAnsi="仿宋" w:eastAsia="仿宋" w:cs="Cambria Math"/>
          <w:color w:val="000000"/>
          <w:kern w:val="0"/>
          <w:sz w:val="24"/>
          <w:highlight w:val="none"/>
        </w:rPr>
        <w:t>，我方承诺在响应有效期内不修改、撤销磋商响应文件。</w:t>
      </w:r>
    </w:p>
    <w:p w14:paraId="2B469EDD">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2</w:t>
      </w:r>
      <w:r>
        <w:rPr>
          <w:rFonts w:hint="eastAsia" w:ascii="仿宋" w:hAnsi="仿宋" w:eastAsia="仿宋" w:cs="Cambria Math"/>
          <w:color w:val="000000"/>
          <w:kern w:val="0"/>
          <w:sz w:val="24"/>
          <w:highlight w:val="none"/>
        </w:rPr>
        <w:t>. 我方承诺提供磋商过程中可能要求的澄清、说明、补正或者算术性错误修正确认，并同意我方提供的以上材料构成我方响应文件的组成部分。</w:t>
      </w:r>
    </w:p>
    <w:p w14:paraId="65F5519A">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3</w:t>
      </w:r>
      <w:r>
        <w:rPr>
          <w:rFonts w:hint="eastAsia" w:ascii="仿宋" w:hAnsi="仿宋" w:eastAsia="仿宋" w:cs="Cambria Math"/>
          <w:color w:val="000000"/>
          <w:kern w:val="0"/>
          <w:sz w:val="24"/>
          <w:highlight w:val="none"/>
        </w:rPr>
        <w:t>. 我方同意提供贵方可能要求的与我方响应文件有关的一切数据、资料、证明原件、证件原件，并完全理解贵方不一定接受最低价的响应。</w:t>
      </w:r>
    </w:p>
    <w:p w14:paraId="081C6946">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4</w:t>
      </w:r>
      <w:r>
        <w:rPr>
          <w:rFonts w:hint="eastAsia" w:ascii="仿宋" w:hAnsi="仿宋" w:eastAsia="仿宋" w:cs="Cambria Math"/>
          <w:color w:val="000000"/>
          <w:kern w:val="0"/>
          <w:sz w:val="24"/>
          <w:highlight w:val="none"/>
        </w:rPr>
        <w:t>．我方承诺对在本次采购活动过程中所获知贵方一切商业秘密保密，不会向任何第三方泄露，不会用于本次采购活动之外的任何其他目的。</w:t>
      </w:r>
    </w:p>
    <w:p w14:paraId="78790C26">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宋体"/>
          <w:color w:val="000000"/>
          <w:kern w:val="0"/>
          <w:sz w:val="24"/>
          <w:highlight w:val="none"/>
          <w:lang w:val="en-US" w:eastAsia="zh-CN"/>
        </w:rPr>
        <w:t>5</w:t>
      </w:r>
      <w:r>
        <w:rPr>
          <w:rFonts w:hint="eastAsia" w:ascii="仿宋" w:hAnsi="仿宋" w:eastAsia="仿宋" w:cs="宋体"/>
          <w:color w:val="000000"/>
          <w:kern w:val="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14:paraId="6931D814">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lang w:val="en-US" w:eastAsia="zh-CN"/>
        </w:rPr>
        <w:t>6</w:t>
      </w:r>
      <w:r>
        <w:rPr>
          <w:rFonts w:hint="eastAsia" w:ascii="仿宋" w:hAnsi="仿宋" w:eastAsia="仿宋" w:cs="Cambria Math"/>
          <w:color w:val="000000"/>
          <w:kern w:val="0"/>
          <w:sz w:val="24"/>
          <w:highlight w:val="none"/>
        </w:rPr>
        <w:t>. 如我方成交：</w:t>
      </w:r>
    </w:p>
    <w:p w14:paraId="5737EF9F">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（1）我方承诺在收到成交通知书后，在成交通知书规定的期限内与贵方签订合同。</w:t>
      </w:r>
    </w:p>
    <w:p w14:paraId="6F85CF14">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（2）我方承诺按照竞争性磋商文件规定递交履约保证金、支付采购代理服务费。</w:t>
      </w:r>
    </w:p>
    <w:p w14:paraId="3DDECE30">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（3）我方承诺按照竞争性磋商文件的规定及合同约定履行相关责任和义务。</w:t>
      </w:r>
    </w:p>
    <w:p w14:paraId="7792A8E7">
      <w:pPr>
        <w:widowControl/>
        <w:spacing w:line="440" w:lineRule="exact"/>
        <w:ind w:firstLine="420"/>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（4）我方在此承诺，双方合作后可开具增值税专用发票。</w:t>
      </w:r>
    </w:p>
    <w:p w14:paraId="0122C606">
      <w:pPr>
        <w:spacing w:line="440" w:lineRule="exact"/>
        <w:ind w:firstLine="4080" w:firstLineChars="1700"/>
        <w:jc w:val="right"/>
        <w:rPr>
          <w:rFonts w:ascii="仿宋" w:hAnsi="仿宋" w:eastAsia="仿宋" w:cs="仿宋"/>
          <w:color w:val="000000"/>
          <w:sz w:val="24"/>
          <w:highlight w:val="none"/>
        </w:rPr>
      </w:pPr>
    </w:p>
    <w:p w14:paraId="16D6330B">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4879F0EB">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3E39994C">
      <w:pPr>
        <w:pStyle w:val="5"/>
        <w:numPr>
          <w:ilvl w:val="0"/>
          <w:numId w:val="0"/>
        </w:numPr>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bookmarkEnd w:id="163"/>
      <w:bookmarkEnd w:id="164"/>
      <w:bookmarkEnd w:id="167"/>
      <w:bookmarkEnd w:id="168"/>
      <w:bookmarkEnd w:id="169"/>
      <w:bookmarkEnd w:id="170"/>
      <w:bookmarkEnd w:id="171"/>
      <w:bookmarkEnd w:id="172"/>
      <w:bookmarkStart w:id="174" w:name="_Toc13983"/>
      <w:r>
        <w:rPr>
          <w:rFonts w:hint="eastAsia" w:ascii="仿宋" w:hAnsi="仿宋" w:eastAsia="仿宋" w:cs="仿宋"/>
          <w:color w:val="000000"/>
          <w:sz w:val="24"/>
          <w:szCs w:val="24"/>
          <w:highlight w:val="none"/>
        </w:rPr>
        <w:t>（二）法定代表人（负责人）身份证明书</w:t>
      </w:r>
      <w:bookmarkEnd w:id="174"/>
      <w:r>
        <w:rPr>
          <w:rFonts w:hint="eastAsia" w:ascii="仿宋" w:hAnsi="仿宋" w:eastAsia="仿宋" w:cs="仿宋"/>
          <w:color w:val="000000"/>
          <w:sz w:val="24"/>
          <w:szCs w:val="24"/>
          <w:highlight w:val="none"/>
        </w:rPr>
        <w:tab/>
      </w:r>
    </w:p>
    <w:p w14:paraId="630DA897">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法定代表人（负责人）身份证明书</w:t>
      </w:r>
      <w:r>
        <w:rPr>
          <w:rFonts w:hint="eastAsia" w:ascii="仿宋" w:hAnsi="仿宋" w:eastAsia="仿宋" w:cs="仿宋"/>
          <w:b/>
          <w:color w:val="000000"/>
          <w:sz w:val="24"/>
          <w:highlight w:val="none"/>
        </w:rPr>
        <w:tab/>
      </w:r>
    </w:p>
    <w:p w14:paraId="6F97E509">
      <w:pPr>
        <w:spacing w:line="360" w:lineRule="auto"/>
        <w:rPr>
          <w:rFonts w:hint="eastAsia" w:ascii="仿宋" w:hAnsi="仿宋" w:eastAsia="仿宋" w:cs="仿宋"/>
          <w:b/>
          <w:color w:val="000000"/>
          <w:sz w:val="24"/>
          <w:highlight w:val="none"/>
        </w:rPr>
      </w:pPr>
    </w:p>
    <w:p w14:paraId="3E6A5320">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供应商名称：</w:t>
      </w:r>
      <w:r>
        <w:rPr>
          <w:rFonts w:hint="eastAsia" w:ascii="仿宋" w:hAnsi="仿宋" w:eastAsia="仿宋" w:cs="仿宋"/>
          <w:color w:val="000000"/>
          <w:kern w:val="0"/>
          <w:sz w:val="24"/>
          <w:highlight w:val="none"/>
          <w:u w:val="single"/>
        </w:rPr>
        <w:t xml:space="preserve">                         </w:t>
      </w:r>
    </w:p>
    <w:p w14:paraId="7ADC67FB">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成立时间：</w:t>
      </w:r>
      <w:r>
        <w:rPr>
          <w:rFonts w:hint="eastAsia" w:ascii="仿宋" w:hAnsi="仿宋" w:eastAsia="仿宋" w:cs="仿宋"/>
          <w:color w:val="000000"/>
          <w:kern w:val="0"/>
          <w:sz w:val="24"/>
          <w:highlight w:val="none"/>
          <w:u w:val="single"/>
        </w:rPr>
        <w:t xml:space="preserve"> </w:t>
      </w:r>
      <w:r>
        <w:rPr>
          <w:rFonts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月</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日</w:t>
      </w:r>
    </w:p>
    <w:p w14:paraId="724CC88F">
      <w:pPr>
        <w:widowControl/>
        <w:topLinePunct/>
        <w:spacing w:line="360" w:lineRule="auto"/>
        <w:rPr>
          <w:rFonts w:hint="eastAsia" w:ascii="仿宋" w:hAnsi="仿宋" w:eastAsia="仿宋" w:cs="仿宋"/>
          <w:color w:val="000000"/>
          <w:kern w:val="0"/>
          <w:sz w:val="24"/>
          <w:highlight w:val="none"/>
          <w:u w:val="single"/>
        </w:rPr>
      </w:pPr>
      <w:r>
        <w:rPr>
          <w:rFonts w:hint="eastAsia" w:ascii="仿宋" w:hAnsi="仿宋" w:eastAsia="仿宋" w:cs="仿宋"/>
          <w:color w:val="000000"/>
          <w:kern w:val="0"/>
          <w:sz w:val="24"/>
          <w:highlight w:val="none"/>
        </w:rPr>
        <w:t>姓名：</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性别：</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年龄：</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职务：</w:t>
      </w:r>
      <w:r>
        <w:rPr>
          <w:rFonts w:hint="eastAsia" w:ascii="仿宋" w:hAnsi="仿宋" w:eastAsia="仿宋" w:cs="仿宋"/>
          <w:color w:val="000000"/>
          <w:kern w:val="0"/>
          <w:sz w:val="24"/>
          <w:highlight w:val="none"/>
          <w:u w:val="single"/>
        </w:rPr>
        <w:t xml:space="preserve">         </w:t>
      </w:r>
    </w:p>
    <w:p w14:paraId="210AB336">
      <w:pPr>
        <w:widowControl/>
        <w:topLinePunct/>
        <w:spacing w:line="360" w:lineRule="auto"/>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系</w:t>
      </w:r>
      <w:r>
        <w:rPr>
          <w:rFonts w:hint="eastAsia" w:ascii="仿宋" w:hAnsi="仿宋" w:eastAsia="仿宋" w:cs="仿宋"/>
          <w:color w:val="000000"/>
          <w:kern w:val="0"/>
          <w:sz w:val="24"/>
          <w:highlight w:val="none"/>
          <w:u w:val="single"/>
        </w:rPr>
        <w:t xml:space="preserve">                   </w:t>
      </w:r>
      <w:r>
        <w:rPr>
          <w:rFonts w:hint="eastAsia" w:ascii="仿宋" w:hAnsi="仿宋" w:eastAsia="仿宋" w:cs="仿宋"/>
          <w:color w:val="000000"/>
          <w:kern w:val="0"/>
          <w:sz w:val="24"/>
          <w:highlight w:val="none"/>
        </w:rPr>
        <w:t>（供应商名称）的法定代表人</w:t>
      </w:r>
      <w:r>
        <w:rPr>
          <w:rFonts w:hint="eastAsia" w:ascii="仿宋" w:hAnsi="仿宋" w:eastAsia="仿宋" w:cs="仿宋"/>
          <w:color w:val="000000"/>
          <w:sz w:val="24"/>
          <w:highlight w:val="none"/>
        </w:rPr>
        <w:t>（负责人）</w:t>
      </w:r>
      <w:r>
        <w:rPr>
          <w:rFonts w:hint="eastAsia" w:ascii="仿宋" w:hAnsi="仿宋" w:eastAsia="仿宋" w:cs="仿宋"/>
          <w:color w:val="000000"/>
          <w:kern w:val="0"/>
          <w:sz w:val="24"/>
          <w:highlight w:val="none"/>
        </w:rPr>
        <w:t>。</w:t>
      </w:r>
    </w:p>
    <w:p w14:paraId="3CB31203">
      <w:pPr>
        <w:widowControl/>
        <w:topLinePunct/>
        <w:spacing w:line="360" w:lineRule="auto"/>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特此证明。</w:t>
      </w:r>
    </w:p>
    <w:p w14:paraId="12EDAB84">
      <w:pPr>
        <w:widowControl/>
        <w:topLinePunct/>
        <w:spacing w:line="360" w:lineRule="auto"/>
        <w:rPr>
          <w:rFonts w:ascii="仿宋" w:hAnsi="仿宋" w:eastAsia="仿宋" w:cs="仿宋"/>
          <w:color w:val="000000"/>
          <w:kern w:val="0"/>
          <w:sz w:val="24"/>
          <w:highlight w:val="none"/>
        </w:rPr>
      </w:pPr>
    </w:p>
    <w:p w14:paraId="3AB1F7AD">
      <w:pPr>
        <w:widowControl/>
        <w:spacing w:line="360" w:lineRule="auto"/>
        <w:rPr>
          <w:rFonts w:hint="eastAsia" w:ascii="仿宋" w:hAnsi="仿宋" w:eastAsia="仿宋" w:cs="仿宋"/>
          <w:b/>
          <w:bCs/>
          <w:color w:val="000000"/>
          <w:kern w:val="0"/>
          <w:sz w:val="24"/>
          <w:highlight w:val="none"/>
        </w:rPr>
      </w:pPr>
      <w:r>
        <w:rPr>
          <w:rFonts w:hint="eastAsia" w:ascii="仿宋" w:hAnsi="仿宋" w:eastAsia="仿宋" w:cs="仿宋"/>
          <w:b/>
          <w:bCs/>
          <w:color w:val="000000"/>
          <w:kern w:val="0"/>
          <w:sz w:val="24"/>
          <w:highlight w:val="none"/>
        </w:rPr>
        <w:t>附：法定代表人（负责人）身份证复印件（需同时提供正面及背面）。</w:t>
      </w:r>
    </w:p>
    <w:p w14:paraId="262B8F5F">
      <w:pPr>
        <w:widowControl/>
        <w:spacing w:line="360" w:lineRule="auto"/>
        <w:rPr>
          <w:rFonts w:hint="eastAsia" w:ascii="仿宋" w:hAnsi="仿宋" w:eastAsia="仿宋" w:cs="仿宋"/>
          <w:color w:val="000000"/>
          <w:kern w:val="0"/>
          <w:highlight w:val="none"/>
        </w:rPr>
      </w:pPr>
      <w:r>
        <w:rPr>
          <w:rFonts w:hint="eastAsia" w:ascii="仿宋" w:hAnsi="仿宋" w:eastAsia="仿宋" w:cs="仿宋"/>
          <w:color w:val="000000"/>
          <w:kern w:val="0"/>
          <w:highlight w:val="none"/>
        </w:rPr>
        <mc:AlternateContent>
          <mc:Choice Requires="wps">
            <w:drawing>
              <wp:anchor distT="0" distB="0" distL="114300" distR="114300" simplePos="0" relativeHeight="251661312"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1312;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2336"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2336;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14:paraId="69F35173">
      <w:pPr>
        <w:pStyle w:val="156"/>
        <w:spacing w:line="440" w:lineRule="atLeast"/>
        <w:ind w:firstLine="480"/>
        <w:jc w:val="left"/>
        <w:rPr>
          <w:rFonts w:hint="eastAsia" w:ascii="仿宋" w:hAnsi="仿宋" w:eastAsia="仿宋" w:cs="仿宋"/>
          <w:color w:val="000000"/>
          <w:highlight w:val="none"/>
        </w:rPr>
      </w:pPr>
    </w:p>
    <w:p w14:paraId="3F616FDD">
      <w:pPr>
        <w:pStyle w:val="156"/>
        <w:spacing w:line="440" w:lineRule="atLeast"/>
        <w:ind w:firstLine="480"/>
        <w:jc w:val="left"/>
        <w:rPr>
          <w:rFonts w:hint="eastAsia" w:ascii="仿宋" w:hAnsi="仿宋" w:eastAsia="仿宋" w:cs="仿宋"/>
          <w:color w:val="000000"/>
          <w:highlight w:val="none"/>
        </w:rPr>
      </w:pPr>
    </w:p>
    <w:p w14:paraId="69F8B4DE">
      <w:pPr>
        <w:pStyle w:val="156"/>
        <w:spacing w:line="440" w:lineRule="atLeast"/>
        <w:ind w:firstLine="480"/>
        <w:jc w:val="left"/>
        <w:rPr>
          <w:rFonts w:hint="eastAsia" w:ascii="仿宋" w:hAnsi="仿宋" w:eastAsia="仿宋" w:cs="仿宋"/>
          <w:color w:val="000000"/>
          <w:highlight w:val="none"/>
        </w:rPr>
      </w:pPr>
    </w:p>
    <w:p w14:paraId="0B08221E">
      <w:pPr>
        <w:spacing w:line="360" w:lineRule="auto"/>
        <w:ind w:firstLine="610"/>
        <w:rPr>
          <w:rFonts w:hint="eastAsia" w:ascii="仿宋" w:hAnsi="仿宋" w:eastAsia="仿宋" w:cs="仿宋"/>
          <w:color w:val="000000"/>
          <w:sz w:val="24"/>
          <w:highlight w:val="none"/>
        </w:rPr>
      </w:pPr>
    </w:p>
    <w:p w14:paraId="1F5A2E17">
      <w:pPr>
        <w:tabs>
          <w:tab w:val="left" w:pos="720"/>
          <w:tab w:val="left" w:pos="900"/>
        </w:tabs>
        <w:spacing w:line="360" w:lineRule="auto"/>
        <w:rPr>
          <w:rFonts w:hint="eastAsia" w:ascii="仿宋" w:hAnsi="仿宋" w:eastAsia="仿宋" w:cs="仿宋"/>
          <w:color w:val="000000"/>
          <w:sz w:val="24"/>
          <w:highlight w:val="none"/>
        </w:rPr>
      </w:pPr>
    </w:p>
    <w:p w14:paraId="747203C8">
      <w:pPr>
        <w:spacing w:line="440" w:lineRule="exact"/>
        <w:ind w:firstLine="4080" w:firstLineChars="1700"/>
        <w:jc w:val="right"/>
        <w:rPr>
          <w:rFonts w:hint="eastAsia" w:ascii="仿宋" w:hAnsi="仿宋" w:eastAsia="仿宋" w:cs="仿宋"/>
          <w:color w:val="000000"/>
          <w:sz w:val="24"/>
          <w:highlight w:val="none"/>
        </w:rPr>
      </w:pPr>
    </w:p>
    <w:p w14:paraId="7F3CF71E">
      <w:pPr>
        <w:wordWrap w:val="0"/>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14:paraId="6AFE89E6">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p>
    <w:p w14:paraId="5010D1DF">
      <w:pPr>
        <w:spacing w:line="440" w:lineRule="exact"/>
        <w:ind w:firstLine="4080" w:firstLineChars="1700"/>
        <w:jc w:val="right"/>
        <w:rPr>
          <w:rFonts w:ascii="仿宋" w:hAnsi="仿宋" w:eastAsia="仿宋" w:cs="仿宋"/>
          <w:color w:val="000000"/>
          <w:sz w:val="24"/>
          <w:highlight w:val="none"/>
        </w:rPr>
      </w:pPr>
      <w:r>
        <w:rPr>
          <w:rFonts w:ascii="仿宋" w:hAnsi="仿宋" w:eastAsia="仿宋" w:cs="仿宋"/>
          <w:color w:val="000000"/>
          <w:sz w:val="24"/>
          <w:highlight w:val="none"/>
        </w:rPr>
        <w:t xml:space="preserve"> </w:t>
      </w: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   </w:t>
      </w:r>
    </w:p>
    <w:p w14:paraId="5B66EE84">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46F46122">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7F92C060">
      <w:pPr>
        <w:tabs>
          <w:tab w:val="left" w:pos="720"/>
          <w:tab w:val="left" w:pos="900"/>
        </w:tabs>
        <w:spacing w:line="360" w:lineRule="auto"/>
        <w:ind w:left="1078"/>
        <w:rPr>
          <w:rFonts w:hint="eastAsia" w:ascii="仿宋" w:hAnsi="仿宋" w:eastAsia="仿宋" w:cs="仿宋"/>
          <w:color w:val="000000"/>
          <w:sz w:val="24"/>
          <w:highlight w:val="none"/>
        </w:rPr>
      </w:pPr>
    </w:p>
    <w:p w14:paraId="7745381D">
      <w:pPr>
        <w:tabs>
          <w:tab w:val="left" w:pos="720"/>
          <w:tab w:val="left" w:pos="900"/>
        </w:tabs>
        <w:spacing w:line="360" w:lineRule="auto"/>
        <w:ind w:left="1078"/>
        <w:rPr>
          <w:rFonts w:hint="eastAsia" w:ascii="仿宋" w:hAnsi="仿宋" w:eastAsia="仿宋" w:cs="仿宋"/>
          <w:color w:val="000000"/>
          <w:sz w:val="24"/>
          <w:highlight w:val="none"/>
        </w:rPr>
      </w:pPr>
    </w:p>
    <w:p w14:paraId="6AB9C024">
      <w:pPr>
        <w:pStyle w:val="5"/>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175" w:name="_Toc19783361"/>
      <w:bookmarkStart w:id="176" w:name="_Toc517281838"/>
      <w:bookmarkStart w:id="177" w:name="_Toc4426"/>
      <w:bookmarkStart w:id="178" w:name="_Toc24788"/>
      <w:bookmarkStart w:id="179" w:name="_Toc287600130"/>
      <w:bookmarkStart w:id="180" w:name="_Toc20707"/>
      <w:bookmarkStart w:id="181" w:name="_Toc444891355"/>
      <w:bookmarkStart w:id="182" w:name="_Toc5582"/>
      <w:bookmarkStart w:id="183" w:name="_Toc26267"/>
      <w:r>
        <w:rPr>
          <w:rFonts w:hint="eastAsia" w:ascii="仿宋" w:hAnsi="仿宋" w:eastAsia="仿宋" w:cs="仿宋"/>
          <w:color w:val="000000"/>
          <w:sz w:val="24"/>
          <w:szCs w:val="24"/>
          <w:highlight w:val="none"/>
        </w:rPr>
        <w:t>（三）法定代表人（负责人）授权委托书</w:t>
      </w:r>
      <w:bookmarkEnd w:id="175"/>
      <w:bookmarkEnd w:id="176"/>
      <w:bookmarkEnd w:id="177"/>
      <w:bookmarkEnd w:id="178"/>
      <w:bookmarkEnd w:id="179"/>
      <w:bookmarkEnd w:id="180"/>
      <w:bookmarkEnd w:id="181"/>
      <w:bookmarkEnd w:id="182"/>
      <w:bookmarkEnd w:id="183"/>
    </w:p>
    <w:p w14:paraId="4E269716">
      <w:pPr>
        <w:pStyle w:val="156"/>
        <w:spacing w:before="240" w:after="240" w:line="360" w:lineRule="auto"/>
        <w:jc w:val="center"/>
        <w:rPr>
          <w:rFonts w:hint="eastAsia" w:ascii="仿宋" w:hAnsi="仿宋" w:eastAsia="仿宋" w:cs="Cambria Math"/>
          <w:b/>
          <w:color w:val="000000"/>
          <w:sz w:val="24"/>
          <w:szCs w:val="24"/>
          <w:highlight w:val="none"/>
        </w:rPr>
      </w:pPr>
      <w:r>
        <w:rPr>
          <w:rFonts w:hint="eastAsia" w:ascii="仿宋" w:hAnsi="仿宋" w:eastAsia="仿宋" w:cs="Cambria Math"/>
          <w:b/>
          <w:color w:val="000000"/>
          <w:sz w:val="24"/>
          <w:szCs w:val="24"/>
          <w:highlight w:val="none"/>
        </w:rPr>
        <w:t>法定代表人（负责人）授权委托书</w:t>
      </w:r>
    </w:p>
    <w:p w14:paraId="7FDFF111">
      <w:pPr>
        <w:pStyle w:val="156"/>
        <w:topLinePunct/>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仿宋"/>
          <w:color w:val="000000"/>
          <w:sz w:val="24"/>
          <w:highlight w:val="none"/>
        </w:rPr>
        <w:t>本人</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系</w:t>
      </w:r>
      <w:r>
        <w:rPr>
          <w:rFonts w:hint="eastAsia" w:ascii="仿宋" w:hAnsi="仿宋" w:eastAsia="仿宋" w:cs="仿宋"/>
          <w:color w:val="000000"/>
          <w:sz w:val="24"/>
          <w:highlight w:val="none"/>
          <w:u w:val="single"/>
        </w:rPr>
        <w:t>（供应商名称）</w:t>
      </w:r>
      <w:r>
        <w:rPr>
          <w:rFonts w:hint="eastAsia" w:ascii="仿宋" w:hAnsi="仿宋" w:eastAsia="仿宋" w:cs="仿宋"/>
          <w:color w:val="000000"/>
          <w:sz w:val="24"/>
          <w:highlight w:val="none"/>
        </w:rPr>
        <w:t>的法定代表人</w:t>
      </w:r>
      <w:r>
        <w:rPr>
          <w:rFonts w:hint="eastAsia" w:ascii="仿宋" w:hAnsi="仿宋" w:eastAsia="仿宋" w:cs="仿宋"/>
          <w:color w:val="000000"/>
          <w:sz w:val="24"/>
          <w:szCs w:val="24"/>
          <w:highlight w:val="none"/>
        </w:rPr>
        <w:t>（负责人）</w:t>
      </w:r>
      <w:r>
        <w:rPr>
          <w:rFonts w:hint="eastAsia" w:ascii="仿宋" w:hAnsi="仿宋" w:eastAsia="仿宋" w:cs="仿宋"/>
          <w:color w:val="000000"/>
          <w:sz w:val="24"/>
          <w:highlight w:val="none"/>
        </w:rPr>
        <w:t>，现授权委托</w:t>
      </w:r>
      <w:r>
        <w:rPr>
          <w:rFonts w:hint="eastAsia" w:ascii="仿宋" w:hAnsi="仿宋" w:eastAsia="仿宋" w:cs="仿宋"/>
          <w:color w:val="000000"/>
          <w:sz w:val="24"/>
          <w:highlight w:val="none"/>
          <w:u w:val="single"/>
        </w:rPr>
        <w:t xml:space="preserve"> （姓名）</w:t>
      </w:r>
      <w:r>
        <w:rPr>
          <w:rFonts w:hint="eastAsia" w:ascii="仿宋" w:hAnsi="仿宋" w:eastAsia="仿宋" w:cs="仿宋"/>
          <w:color w:val="000000"/>
          <w:sz w:val="24"/>
          <w:highlight w:val="none"/>
        </w:rPr>
        <w:t>为我方代理人。</w:t>
      </w:r>
      <w:r>
        <w:rPr>
          <w:rFonts w:hint="eastAsia" w:ascii="仿宋" w:hAnsi="仿宋" w:eastAsia="仿宋" w:cs="Cambria Math"/>
          <w:color w:val="000000"/>
          <w:sz w:val="24"/>
          <w:szCs w:val="24"/>
          <w:highlight w:val="none"/>
        </w:rPr>
        <w:t>代理人根据授权，以我方名义签署、澄清、说明、补正、递交、撤回、修改</w:t>
      </w:r>
      <w:r>
        <w:rPr>
          <w:rFonts w:hint="eastAsia" w:ascii="仿宋" w:hAnsi="仿宋" w:eastAsia="仿宋" w:cs="Cambria Math"/>
          <w:color w:val="000000"/>
          <w:sz w:val="24"/>
          <w:szCs w:val="24"/>
          <w:highlight w:val="none"/>
          <w:u w:val="single"/>
        </w:rPr>
        <w:t>（项目名称）</w:t>
      </w:r>
      <w:r>
        <w:rPr>
          <w:rFonts w:hint="eastAsia" w:ascii="仿宋" w:hAnsi="仿宋" w:eastAsia="仿宋" w:cs="Cambria Math"/>
          <w:color w:val="000000"/>
          <w:sz w:val="24"/>
          <w:szCs w:val="24"/>
          <w:highlight w:val="none"/>
        </w:rPr>
        <w:t>磋商响应文件、签订合同和处理有关事宜，其法律后果由我方承担。</w:t>
      </w:r>
    </w:p>
    <w:p w14:paraId="5CC0ECD4">
      <w:pPr>
        <w:widowControl/>
        <w:spacing w:line="360" w:lineRule="auto"/>
        <w:ind w:firstLine="480" w:firstLineChars="200"/>
        <w:jc w:val="left"/>
        <w:rPr>
          <w:rFonts w:hint="eastAsia" w:ascii="仿宋" w:hAnsi="仿宋" w:eastAsia="仿宋" w:cs="Cambria Math"/>
          <w:color w:val="000000"/>
          <w:kern w:val="0"/>
          <w:sz w:val="24"/>
          <w:highlight w:val="none"/>
        </w:rPr>
      </w:pPr>
      <w:r>
        <w:rPr>
          <w:rFonts w:hint="eastAsia" w:ascii="仿宋" w:hAnsi="仿宋" w:eastAsia="仿宋" w:cs="Cambria Math"/>
          <w:color w:val="000000"/>
          <w:kern w:val="0"/>
          <w:sz w:val="24"/>
          <w:highlight w:val="none"/>
        </w:rPr>
        <w:t>委托期限：</w:t>
      </w:r>
      <w:r>
        <w:rPr>
          <w:rFonts w:hint="eastAsia" w:ascii="仿宋" w:hAnsi="仿宋" w:eastAsia="仿宋" w:cs="Cambria Math"/>
          <w:color w:val="000000"/>
          <w:kern w:val="0"/>
          <w:sz w:val="24"/>
          <w:highlight w:val="none"/>
          <w:u w:val="single"/>
        </w:rPr>
        <w:t xml:space="preserve"> 自</w:t>
      </w:r>
      <w:r>
        <w:rPr>
          <w:rFonts w:hint="eastAsia" w:ascii="仿宋" w:hAnsi="仿宋" w:eastAsia="仿宋" w:cs="微软雅黑"/>
          <w:color w:val="000000"/>
          <w:kern w:val="0"/>
          <w:sz w:val="24"/>
          <w:highlight w:val="none"/>
          <w:u w:val="single"/>
        </w:rPr>
        <w:t>本委托书签字盖章生效</w:t>
      </w:r>
      <w:r>
        <w:rPr>
          <w:rFonts w:hint="eastAsia" w:ascii="仿宋" w:hAnsi="仿宋" w:eastAsia="仿宋" w:cs="Cambria Math"/>
          <w:color w:val="000000"/>
          <w:kern w:val="0"/>
          <w:sz w:val="24"/>
          <w:highlight w:val="none"/>
          <w:u w:val="single"/>
        </w:rPr>
        <w:t xml:space="preserve">之日起至磋商响应有效期到期之日为止 </w:t>
      </w:r>
      <w:r>
        <w:rPr>
          <w:rFonts w:hint="eastAsia" w:ascii="仿宋" w:hAnsi="仿宋" w:eastAsia="仿宋" w:cs="Cambria Math"/>
          <w:color w:val="000000"/>
          <w:kern w:val="0"/>
          <w:sz w:val="24"/>
          <w:highlight w:val="none"/>
        </w:rPr>
        <w:t>。</w:t>
      </w:r>
    </w:p>
    <w:p w14:paraId="1D97C39F">
      <w:pPr>
        <w:pStyle w:val="156"/>
        <w:spacing w:line="360" w:lineRule="auto"/>
        <w:ind w:firstLine="480" w:firstLineChars="20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代理人无转委托权。</w:t>
      </w:r>
    </w:p>
    <w:p w14:paraId="744238B6">
      <w:pPr>
        <w:pStyle w:val="156"/>
        <w:spacing w:line="360" w:lineRule="auto"/>
        <w:ind w:firstLine="482" w:firstLineChars="200"/>
        <w:rPr>
          <w:rFonts w:ascii="仿宋" w:hAnsi="仿宋" w:eastAsia="仿宋" w:cs="Cambria Math"/>
          <w:b/>
          <w:bCs/>
          <w:color w:val="000000"/>
          <w:sz w:val="24"/>
          <w:szCs w:val="24"/>
          <w:highlight w:val="none"/>
        </w:rPr>
      </w:pPr>
    </w:p>
    <w:p w14:paraId="32568DAB">
      <w:pPr>
        <w:pStyle w:val="156"/>
        <w:spacing w:line="360" w:lineRule="auto"/>
        <w:ind w:firstLine="482" w:firstLineChars="200"/>
        <w:rPr>
          <w:rFonts w:ascii="仿宋" w:hAnsi="仿宋" w:eastAsia="仿宋" w:cs="Cambria Math"/>
          <w:color w:val="000000"/>
          <w:sz w:val="24"/>
          <w:szCs w:val="24"/>
          <w:highlight w:val="none"/>
        </w:rPr>
      </w:pPr>
      <w:r>
        <w:rPr>
          <w:rFonts w:hint="eastAsia" w:ascii="仿宋" w:hAnsi="仿宋" w:eastAsia="仿宋" w:cs="Cambria Math"/>
          <w:b/>
          <w:bCs/>
          <w:color w:val="000000"/>
          <w:sz w:val="24"/>
          <w:szCs w:val="24"/>
          <w:highlight w:val="none"/>
        </w:rPr>
        <w:t>附：委托代理人身份证复印件（需同时提供正面及背面）</w:t>
      </w:r>
      <w:r>
        <w:rPr>
          <w:rFonts w:hint="eastAsia" w:ascii="仿宋" w:hAnsi="仿宋" w:eastAsia="仿宋" w:cs="Cambria Math"/>
          <w:color w:val="000000"/>
          <w:sz w:val="24"/>
          <w:szCs w:val="24"/>
          <w:highlight w:val="none"/>
        </w:rPr>
        <w:t>。</w:t>
      </w:r>
    </w:p>
    <w:p w14:paraId="35BF65EF">
      <w:pPr>
        <w:pStyle w:val="156"/>
        <w:spacing w:line="440" w:lineRule="atLeast"/>
        <w:ind w:firstLine="480"/>
        <w:jc w:val="left"/>
        <w:rPr>
          <w:rFonts w:hint="eastAsia" w:ascii="仿宋" w:hAnsi="仿宋" w:eastAsia="仿宋" w:cs="仿宋"/>
          <w:color w:val="000000"/>
          <w:highlight w:val="none"/>
        </w:rPr>
      </w:pPr>
      <w:r>
        <w:rPr>
          <w:rFonts w:hint="eastAsia" w:ascii="仿宋" w:hAnsi="仿宋" w:eastAsia="仿宋" w:cs="仿宋"/>
          <w:color w:val="000000"/>
          <w:highlight w:val="none"/>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highlight w:val="none"/>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14:paraId="29816D8D">
      <w:pPr>
        <w:pStyle w:val="156"/>
        <w:spacing w:line="440" w:lineRule="atLeast"/>
        <w:ind w:firstLine="480"/>
        <w:jc w:val="left"/>
        <w:rPr>
          <w:rFonts w:hint="eastAsia" w:ascii="仿宋" w:hAnsi="仿宋" w:eastAsia="仿宋" w:cs="仿宋"/>
          <w:color w:val="000000"/>
          <w:highlight w:val="none"/>
        </w:rPr>
      </w:pPr>
    </w:p>
    <w:p w14:paraId="587DDB32">
      <w:pPr>
        <w:spacing w:line="360" w:lineRule="auto"/>
        <w:ind w:left="720"/>
        <w:rPr>
          <w:rFonts w:hint="eastAsia" w:ascii="仿宋" w:hAnsi="仿宋" w:eastAsia="仿宋" w:cs="仿宋"/>
          <w:b/>
          <w:color w:val="000000"/>
          <w:sz w:val="24"/>
          <w:highlight w:val="none"/>
        </w:rPr>
      </w:pPr>
    </w:p>
    <w:p w14:paraId="071CDE45">
      <w:pPr>
        <w:tabs>
          <w:tab w:val="left" w:pos="540"/>
        </w:tabs>
        <w:rPr>
          <w:rFonts w:ascii="仿宋" w:hAnsi="仿宋" w:eastAsia="仿宋" w:cs="仿宋"/>
          <w:color w:val="000000"/>
          <w:kern w:val="0"/>
          <w:szCs w:val="21"/>
          <w:highlight w:val="none"/>
        </w:rPr>
      </w:pPr>
      <w:r>
        <w:rPr>
          <w:rFonts w:hint="eastAsia" w:ascii="仿宋" w:hAnsi="仿宋" w:eastAsia="仿宋" w:cs="仿宋"/>
          <w:color w:val="000000"/>
          <w:kern w:val="0"/>
          <w:szCs w:val="21"/>
          <w:highlight w:val="none"/>
        </w:rPr>
        <w:tab/>
      </w:r>
    </w:p>
    <w:p w14:paraId="2463DE65">
      <w:pPr>
        <w:pStyle w:val="2"/>
        <w:rPr>
          <w:rFonts w:ascii="宋体" w:hAnsi="宋体"/>
          <w:kern w:val="0"/>
          <w:szCs w:val="21"/>
          <w:highlight w:val="none"/>
        </w:rPr>
      </w:pPr>
    </w:p>
    <w:p w14:paraId="713BACCF">
      <w:pPr>
        <w:pStyle w:val="2"/>
        <w:rPr>
          <w:rFonts w:ascii="宋体" w:hAnsi="宋体"/>
          <w:kern w:val="0"/>
          <w:szCs w:val="21"/>
          <w:highlight w:val="none"/>
        </w:rPr>
      </w:pPr>
    </w:p>
    <w:p w14:paraId="0E1E2335">
      <w:pPr>
        <w:pStyle w:val="2"/>
        <w:rPr>
          <w:rFonts w:ascii="宋体" w:hAnsi="宋体"/>
          <w:kern w:val="0"/>
          <w:szCs w:val="21"/>
          <w:highlight w:val="none"/>
        </w:rPr>
      </w:pPr>
    </w:p>
    <w:p w14:paraId="7B115DC1">
      <w:pPr>
        <w:spacing w:line="360" w:lineRule="auto"/>
        <w:ind w:right="420" w:firstLine="4200" w:firstLineChars="175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1AED914B">
      <w:pPr>
        <w:spacing w:line="360" w:lineRule="auto"/>
        <w:ind w:right="420" w:firstLine="3120" w:firstLineChars="13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法定代表人（负责人）：</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（签字或盖章）</w:t>
      </w:r>
    </w:p>
    <w:p w14:paraId="21ED0BE7">
      <w:pPr>
        <w:pStyle w:val="156"/>
        <w:wordWrap w:val="0"/>
        <w:spacing w:line="360" w:lineRule="auto"/>
        <w:ind w:right="105" w:firstLine="4200" w:firstLineChars="1750"/>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rPr>
        <w:t>委托代理人：</w:t>
      </w:r>
      <w:r>
        <w:rPr>
          <w:rFonts w:hint="eastAsia" w:ascii="仿宋" w:hAnsi="仿宋" w:eastAsia="仿宋" w:cs="Cambria Math"/>
          <w:color w:val="000000"/>
          <w:sz w:val="24"/>
          <w:szCs w:val="24"/>
          <w:highlight w:val="none"/>
          <w:u w:val="single"/>
        </w:rPr>
        <w:t xml:space="preserve">               </w:t>
      </w:r>
      <w:r>
        <w:rPr>
          <w:rFonts w:hint="eastAsia" w:ascii="仿宋" w:hAnsi="仿宋" w:eastAsia="仿宋" w:cs="Cambria Math"/>
          <w:color w:val="000000"/>
          <w:sz w:val="24"/>
          <w:szCs w:val="24"/>
          <w:highlight w:val="none"/>
        </w:rPr>
        <w:t>（签字</w:t>
      </w:r>
      <w:r>
        <w:rPr>
          <w:rFonts w:hint="eastAsia" w:ascii="仿宋" w:hAnsi="仿宋" w:eastAsia="仿宋" w:cs="Cambria Math"/>
          <w:color w:val="000000"/>
          <w:sz w:val="24"/>
          <w:highlight w:val="none"/>
        </w:rPr>
        <w:t>或盖章</w:t>
      </w:r>
      <w:r>
        <w:rPr>
          <w:rFonts w:hint="eastAsia" w:ascii="仿宋" w:hAnsi="仿宋" w:eastAsia="仿宋" w:cs="Cambria Math"/>
          <w:color w:val="000000"/>
          <w:sz w:val="24"/>
          <w:szCs w:val="24"/>
          <w:highlight w:val="none"/>
        </w:rPr>
        <w:t xml:space="preserve">） </w:t>
      </w:r>
    </w:p>
    <w:p w14:paraId="0AA29641">
      <w:pPr>
        <w:wordWrap w:val="0"/>
        <w:spacing w:line="360" w:lineRule="auto"/>
        <w:ind w:firstLine="4200" w:firstLineChars="1750"/>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4D8CFE4A">
      <w:pPr>
        <w:tabs>
          <w:tab w:val="left" w:pos="540"/>
        </w:tabs>
        <w:rPr>
          <w:rFonts w:hint="eastAsia" w:ascii="仿宋" w:hAnsi="仿宋" w:eastAsia="仿宋" w:cs="仿宋"/>
          <w:color w:val="000000"/>
          <w:kern w:val="0"/>
          <w:szCs w:val="21"/>
          <w:highlight w:val="none"/>
        </w:rPr>
        <w:sectPr>
          <w:pgSz w:w="11906" w:h="16838"/>
          <w:pgMar w:top="1417" w:right="1134" w:bottom="1134" w:left="1134" w:header="851" w:footer="992" w:gutter="0"/>
          <w:cols w:space="720" w:num="1"/>
          <w:titlePg/>
          <w:docGrid w:type="lines" w:linePitch="312" w:charSpace="0"/>
        </w:sectPr>
      </w:pPr>
    </w:p>
    <w:p w14:paraId="1C49DE9D">
      <w:pPr>
        <w:pStyle w:val="5"/>
        <w:numPr>
          <w:ilvl w:val="0"/>
          <w:numId w:val="0"/>
        </w:numPr>
        <w:spacing w:before="0" w:after="0" w:line="360" w:lineRule="auto"/>
        <w:rPr>
          <w:rFonts w:hint="eastAsia" w:ascii="仿宋" w:hAnsi="仿宋" w:eastAsia="仿宋" w:cs="仿宋"/>
          <w:color w:val="000000"/>
          <w:sz w:val="24"/>
          <w:szCs w:val="24"/>
          <w:highlight w:val="none"/>
        </w:rPr>
      </w:pPr>
      <w:bookmarkStart w:id="184" w:name="_Toc30551"/>
      <w:bookmarkStart w:id="185" w:name="_Toc517281841"/>
      <w:bookmarkStart w:id="186" w:name="_Toc16561"/>
      <w:bookmarkStart w:id="187" w:name="_Toc5406"/>
      <w:bookmarkStart w:id="188" w:name="_Toc444891357"/>
      <w:bookmarkStart w:id="189" w:name="_Toc11396"/>
      <w:bookmarkStart w:id="190" w:name="_Toc27026"/>
      <w:bookmarkStart w:id="191" w:name="_Toc287600132"/>
      <w:bookmarkStart w:id="192" w:name="_Toc35957216"/>
      <w:bookmarkStart w:id="193" w:name="_Toc34779120"/>
      <w:bookmarkStart w:id="194" w:name="_Toc287600135"/>
      <w:bookmarkStart w:id="195" w:name="_Toc34779170"/>
      <w:bookmarkStart w:id="196" w:name="_Toc34822258"/>
      <w:bookmarkStart w:id="197" w:name="_Toc34779216"/>
      <w:r>
        <w:rPr>
          <w:rFonts w:hint="eastAsia" w:ascii="仿宋" w:hAnsi="仿宋" w:eastAsia="仿宋" w:cs="仿宋"/>
          <w:color w:val="000000"/>
          <w:sz w:val="24"/>
          <w:szCs w:val="24"/>
          <w:highlight w:val="none"/>
        </w:rPr>
        <w:t>（四）资格证明文件</w:t>
      </w:r>
      <w:bookmarkEnd w:id="184"/>
    </w:p>
    <w:p w14:paraId="5D70E7BD">
      <w:pPr>
        <w:pStyle w:val="6"/>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1、供应商基本情况信息表</w:t>
      </w:r>
    </w:p>
    <w:p w14:paraId="0D9F7944">
      <w:pPr>
        <w:pStyle w:val="156"/>
        <w:spacing w:line="360" w:lineRule="auto"/>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3C693C10">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14:paraId="18E232BF">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14:paraId="53ED18D6">
            <w:pPr>
              <w:pStyle w:val="156"/>
              <w:topLinePunct/>
              <w:jc w:val="center"/>
              <w:rPr>
                <w:rFonts w:hint="eastAsia" w:ascii="仿宋" w:hAnsi="仿宋" w:eastAsia="仿宋" w:cs="仿宋"/>
                <w:color w:val="000000"/>
                <w:highlight w:val="none"/>
              </w:rPr>
            </w:pPr>
          </w:p>
        </w:tc>
      </w:tr>
      <w:tr w14:paraId="6757C84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23405E13">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14:paraId="18494433">
            <w:pPr>
              <w:pStyle w:val="156"/>
              <w:topLinePunct/>
              <w:jc w:val="center"/>
              <w:rPr>
                <w:rFonts w:hint="eastAsia" w:ascii="仿宋" w:hAnsi="仿宋" w:eastAsia="仿宋" w:cs="仿宋"/>
                <w:color w:val="000000"/>
                <w:highlight w:val="none"/>
              </w:rPr>
            </w:pPr>
          </w:p>
        </w:tc>
        <w:tc>
          <w:tcPr>
            <w:tcW w:w="1789" w:type="dxa"/>
            <w:tcBorders>
              <w:top w:val="single" w:color="000000" w:sz="4" w:space="0"/>
              <w:left w:val="nil"/>
              <w:bottom w:val="single" w:color="000000" w:sz="4" w:space="0"/>
              <w:right w:val="single" w:color="000000" w:sz="4" w:space="0"/>
            </w:tcBorders>
            <w:noWrap w:val="0"/>
            <w:vAlign w:val="center"/>
          </w:tcPr>
          <w:p w14:paraId="563590BC">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14:paraId="30F2256D">
            <w:pPr>
              <w:pStyle w:val="156"/>
              <w:topLinePunct/>
              <w:jc w:val="center"/>
              <w:rPr>
                <w:rFonts w:hint="eastAsia" w:ascii="仿宋" w:hAnsi="仿宋" w:eastAsia="仿宋" w:cs="仿宋"/>
                <w:color w:val="000000"/>
                <w:highlight w:val="none"/>
              </w:rPr>
            </w:pPr>
          </w:p>
        </w:tc>
      </w:tr>
      <w:tr w14:paraId="6365FDB4">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6C5304EB">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14:paraId="79A659F6">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平米</w:t>
            </w:r>
          </w:p>
        </w:tc>
        <w:tc>
          <w:tcPr>
            <w:tcW w:w="1789" w:type="dxa"/>
            <w:tcBorders>
              <w:top w:val="nil"/>
              <w:left w:val="nil"/>
              <w:bottom w:val="single" w:color="000000" w:sz="4" w:space="0"/>
              <w:right w:val="single" w:color="000000" w:sz="4" w:space="0"/>
            </w:tcBorders>
            <w:noWrap w:val="0"/>
            <w:vAlign w:val="center"/>
          </w:tcPr>
          <w:p w14:paraId="3FE7A246">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14:paraId="68FE4FD7">
            <w:pPr>
              <w:pStyle w:val="156"/>
              <w:topLinePunct/>
              <w:jc w:val="center"/>
              <w:rPr>
                <w:rFonts w:hint="eastAsia" w:ascii="仿宋" w:hAnsi="仿宋" w:eastAsia="仿宋" w:cs="仿宋"/>
                <w:color w:val="000000"/>
                <w:highlight w:val="none"/>
              </w:rPr>
            </w:pPr>
          </w:p>
        </w:tc>
      </w:tr>
      <w:tr w14:paraId="1941596F">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14:paraId="33867190">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14:paraId="3284C2DE">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联系人</w:t>
            </w:r>
          </w:p>
        </w:tc>
        <w:tc>
          <w:tcPr>
            <w:tcW w:w="2447" w:type="dxa"/>
            <w:gridSpan w:val="3"/>
            <w:tcBorders>
              <w:top w:val="nil"/>
              <w:left w:val="nil"/>
              <w:bottom w:val="single" w:color="000000" w:sz="4" w:space="0"/>
              <w:right w:val="single" w:color="000000" w:sz="4" w:space="0"/>
            </w:tcBorders>
            <w:noWrap w:val="0"/>
            <w:vAlign w:val="center"/>
          </w:tcPr>
          <w:p w14:paraId="69F1381F">
            <w:pPr>
              <w:pStyle w:val="156"/>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14:paraId="06D30BCD">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14:paraId="725F83CE">
            <w:pPr>
              <w:pStyle w:val="156"/>
              <w:topLinePunct/>
              <w:jc w:val="center"/>
              <w:rPr>
                <w:rFonts w:hint="eastAsia" w:ascii="仿宋" w:hAnsi="仿宋" w:eastAsia="仿宋" w:cs="仿宋"/>
                <w:color w:val="000000"/>
                <w:highlight w:val="none"/>
              </w:rPr>
            </w:pPr>
          </w:p>
        </w:tc>
      </w:tr>
      <w:tr w14:paraId="0F3A68F7">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14:paraId="72EF524C">
            <w:pPr>
              <w:rPr>
                <w:rFonts w:hint="eastAsia" w:ascii="仿宋" w:hAnsi="仿宋" w:eastAsia="仿宋" w:cs="仿宋"/>
                <w:color w:val="000000"/>
                <w:szCs w:val="21"/>
                <w:highlight w:val="none"/>
              </w:rPr>
            </w:pPr>
          </w:p>
        </w:tc>
        <w:tc>
          <w:tcPr>
            <w:tcW w:w="1141" w:type="dxa"/>
            <w:gridSpan w:val="2"/>
            <w:tcBorders>
              <w:top w:val="nil"/>
              <w:left w:val="nil"/>
              <w:bottom w:val="single" w:color="000000" w:sz="4" w:space="0"/>
              <w:right w:val="single" w:color="000000" w:sz="4" w:space="0"/>
            </w:tcBorders>
            <w:noWrap w:val="0"/>
            <w:vAlign w:val="center"/>
          </w:tcPr>
          <w:p w14:paraId="51A596FB">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传真</w:t>
            </w:r>
          </w:p>
        </w:tc>
        <w:tc>
          <w:tcPr>
            <w:tcW w:w="2447" w:type="dxa"/>
            <w:gridSpan w:val="3"/>
            <w:tcBorders>
              <w:top w:val="nil"/>
              <w:left w:val="nil"/>
              <w:bottom w:val="single" w:color="000000" w:sz="4" w:space="0"/>
              <w:right w:val="single" w:color="000000" w:sz="4" w:space="0"/>
            </w:tcBorders>
            <w:noWrap w:val="0"/>
            <w:vAlign w:val="center"/>
          </w:tcPr>
          <w:p w14:paraId="7790B0AB">
            <w:pPr>
              <w:pStyle w:val="156"/>
              <w:topLinePunct/>
              <w:jc w:val="center"/>
              <w:rPr>
                <w:rFonts w:hint="eastAsia" w:ascii="仿宋" w:hAnsi="仿宋" w:eastAsia="仿宋" w:cs="仿宋"/>
                <w:color w:val="000000"/>
                <w:highlight w:val="none"/>
              </w:rPr>
            </w:pPr>
          </w:p>
        </w:tc>
        <w:tc>
          <w:tcPr>
            <w:tcW w:w="1789" w:type="dxa"/>
            <w:tcBorders>
              <w:top w:val="nil"/>
              <w:left w:val="nil"/>
              <w:bottom w:val="single" w:color="000000" w:sz="4" w:space="0"/>
              <w:right w:val="single" w:color="000000" w:sz="4" w:space="0"/>
            </w:tcBorders>
            <w:noWrap w:val="0"/>
            <w:vAlign w:val="center"/>
          </w:tcPr>
          <w:p w14:paraId="4F876C22">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网址</w:t>
            </w:r>
          </w:p>
        </w:tc>
        <w:tc>
          <w:tcPr>
            <w:tcW w:w="2232" w:type="dxa"/>
            <w:gridSpan w:val="3"/>
            <w:tcBorders>
              <w:top w:val="nil"/>
              <w:left w:val="nil"/>
              <w:bottom w:val="single" w:color="000000" w:sz="4" w:space="0"/>
              <w:right w:val="single" w:color="000000" w:sz="4" w:space="0"/>
            </w:tcBorders>
            <w:noWrap w:val="0"/>
            <w:vAlign w:val="center"/>
          </w:tcPr>
          <w:p w14:paraId="2B1DB05E">
            <w:pPr>
              <w:pStyle w:val="156"/>
              <w:topLinePunct/>
              <w:jc w:val="center"/>
              <w:rPr>
                <w:rFonts w:hint="eastAsia" w:ascii="仿宋" w:hAnsi="仿宋" w:eastAsia="仿宋" w:cs="仿宋"/>
                <w:color w:val="000000"/>
                <w:highlight w:val="none"/>
              </w:rPr>
            </w:pPr>
          </w:p>
        </w:tc>
      </w:tr>
      <w:tr w14:paraId="06809A4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65830DD3">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14:paraId="422C3451">
            <w:pPr>
              <w:pStyle w:val="156"/>
              <w:topLinePunct/>
              <w:jc w:val="center"/>
              <w:rPr>
                <w:rFonts w:hint="eastAsia" w:ascii="仿宋" w:hAnsi="仿宋" w:eastAsia="仿宋" w:cs="仿宋"/>
                <w:color w:val="000000"/>
                <w:highlight w:val="none"/>
              </w:rPr>
            </w:pPr>
          </w:p>
        </w:tc>
      </w:tr>
      <w:tr w14:paraId="572678B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7809B0A">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法定代表人</w:t>
            </w:r>
          </w:p>
        </w:tc>
        <w:tc>
          <w:tcPr>
            <w:tcW w:w="775" w:type="dxa"/>
            <w:tcBorders>
              <w:top w:val="nil"/>
              <w:left w:val="nil"/>
              <w:bottom w:val="single" w:color="000000" w:sz="4" w:space="0"/>
              <w:right w:val="single" w:color="000000" w:sz="4" w:space="0"/>
            </w:tcBorders>
            <w:noWrap w:val="0"/>
            <w:vAlign w:val="center"/>
          </w:tcPr>
          <w:p w14:paraId="2ABC2F09">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14:paraId="22CA74EA">
            <w:pPr>
              <w:pStyle w:val="156"/>
              <w:topLinePunct/>
              <w:jc w:val="center"/>
              <w:rPr>
                <w:rFonts w:hint="eastAsia" w:ascii="仿宋" w:hAnsi="仿宋" w:eastAsia="仿宋" w:cs="仿宋"/>
                <w:color w:val="000000"/>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14:paraId="4751DCB5">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14:paraId="396D6270">
            <w:pPr>
              <w:pStyle w:val="156"/>
              <w:topLinePunct/>
              <w:jc w:val="center"/>
              <w:rPr>
                <w:rFonts w:hint="eastAsia" w:ascii="仿宋" w:hAnsi="仿宋" w:eastAsia="仿宋" w:cs="仿宋"/>
                <w:color w:val="000000"/>
                <w:highlight w:val="none"/>
              </w:rPr>
            </w:pPr>
          </w:p>
        </w:tc>
        <w:tc>
          <w:tcPr>
            <w:tcW w:w="985" w:type="dxa"/>
            <w:tcBorders>
              <w:top w:val="single" w:color="000000" w:sz="4" w:space="0"/>
              <w:left w:val="nil"/>
              <w:bottom w:val="single" w:color="000000" w:sz="4" w:space="0"/>
              <w:right w:val="single" w:color="000000" w:sz="4" w:space="0"/>
            </w:tcBorders>
            <w:noWrap w:val="0"/>
            <w:vAlign w:val="center"/>
          </w:tcPr>
          <w:p w14:paraId="291F9918">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14:paraId="0B88DF26">
            <w:pPr>
              <w:pStyle w:val="156"/>
              <w:topLinePunct/>
              <w:jc w:val="center"/>
              <w:rPr>
                <w:rFonts w:hint="eastAsia" w:ascii="仿宋" w:hAnsi="仿宋" w:eastAsia="仿宋" w:cs="仿宋"/>
                <w:color w:val="000000"/>
                <w:highlight w:val="none"/>
              </w:rPr>
            </w:pPr>
          </w:p>
        </w:tc>
      </w:tr>
      <w:tr w14:paraId="3A1D76A4">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42DEAF3">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技术负责人</w:t>
            </w:r>
          </w:p>
        </w:tc>
        <w:tc>
          <w:tcPr>
            <w:tcW w:w="775" w:type="dxa"/>
            <w:tcBorders>
              <w:top w:val="nil"/>
              <w:left w:val="nil"/>
              <w:bottom w:val="single" w:color="000000" w:sz="4" w:space="0"/>
              <w:right w:val="single" w:color="000000" w:sz="4" w:space="0"/>
            </w:tcBorders>
            <w:noWrap w:val="0"/>
            <w:vAlign w:val="center"/>
          </w:tcPr>
          <w:p w14:paraId="38E21924">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姓名</w:t>
            </w:r>
          </w:p>
        </w:tc>
        <w:tc>
          <w:tcPr>
            <w:tcW w:w="1345" w:type="dxa"/>
            <w:gridSpan w:val="2"/>
            <w:tcBorders>
              <w:top w:val="nil"/>
              <w:left w:val="nil"/>
              <w:bottom w:val="single" w:color="000000" w:sz="4" w:space="0"/>
              <w:right w:val="single" w:color="000000" w:sz="4" w:space="0"/>
            </w:tcBorders>
            <w:noWrap w:val="0"/>
            <w:vAlign w:val="center"/>
          </w:tcPr>
          <w:p w14:paraId="1FA3DBE1">
            <w:pPr>
              <w:pStyle w:val="156"/>
              <w:topLinePunct/>
              <w:jc w:val="center"/>
              <w:rPr>
                <w:rFonts w:hint="eastAsia" w:ascii="仿宋" w:hAnsi="仿宋" w:eastAsia="仿宋" w:cs="仿宋"/>
                <w:color w:val="000000"/>
                <w:highlight w:val="none"/>
              </w:rPr>
            </w:pPr>
          </w:p>
        </w:tc>
        <w:tc>
          <w:tcPr>
            <w:tcW w:w="1468" w:type="dxa"/>
            <w:gridSpan w:val="2"/>
            <w:tcBorders>
              <w:top w:val="nil"/>
              <w:left w:val="nil"/>
              <w:bottom w:val="single" w:color="000000" w:sz="4" w:space="0"/>
              <w:right w:val="single" w:color="000000" w:sz="4" w:space="0"/>
            </w:tcBorders>
            <w:noWrap w:val="0"/>
            <w:vAlign w:val="center"/>
          </w:tcPr>
          <w:p w14:paraId="15EA7ACD">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职称</w:t>
            </w:r>
          </w:p>
        </w:tc>
        <w:tc>
          <w:tcPr>
            <w:tcW w:w="1891" w:type="dxa"/>
            <w:gridSpan w:val="2"/>
            <w:tcBorders>
              <w:top w:val="nil"/>
              <w:left w:val="nil"/>
              <w:bottom w:val="single" w:color="000000" w:sz="4" w:space="0"/>
              <w:right w:val="single" w:color="000000" w:sz="4" w:space="0"/>
            </w:tcBorders>
            <w:noWrap w:val="0"/>
            <w:vAlign w:val="center"/>
          </w:tcPr>
          <w:p w14:paraId="10A6972F">
            <w:pPr>
              <w:pStyle w:val="156"/>
              <w:topLinePunct/>
              <w:jc w:val="center"/>
              <w:rPr>
                <w:rFonts w:hint="eastAsia" w:ascii="仿宋" w:hAnsi="仿宋" w:eastAsia="仿宋" w:cs="仿宋"/>
                <w:color w:val="000000"/>
                <w:highlight w:val="none"/>
              </w:rPr>
            </w:pPr>
          </w:p>
        </w:tc>
        <w:tc>
          <w:tcPr>
            <w:tcW w:w="985" w:type="dxa"/>
            <w:tcBorders>
              <w:top w:val="nil"/>
              <w:left w:val="nil"/>
              <w:bottom w:val="single" w:color="000000" w:sz="4" w:space="0"/>
              <w:right w:val="single" w:color="000000" w:sz="4" w:space="0"/>
            </w:tcBorders>
            <w:noWrap w:val="0"/>
            <w:vAlign w:val="center"/>
          </w:tcPr>
          <w:p w14:paraId="260B78DC">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电话</w:t>
            </w:r>
          </w:p>
        </w:tc>
        <w:tc>
          <w:tcPr>
            <w:tcW w:w="1145" w:type="dxa"/>
            <w:tcBorders>
              <w:top w:val="nil"/>
              <w:left w:val="nil"/>
              <w:bottom w:val="single" w:color="000000" w:sz="4" w:space="0"/>
              <w:right w:val="single" w:color="000000" w:sz="4" w:space="0"/>
            </w:tcBorders>
            <w:noWrap w:val="0"/>
            <w:vAlign w:val="center"/>
          </w:tcPr>
          <w:p w14:paraId="6A437226">
            <w:pPr>
              <w:pStyle w:val="156"/>
              <w:topLinePunct/>
              <w:jc w:val="center"/>
              <w:rPr>
                <w:rFonts w:hint="eastAsia" w:ascii="仿宋" w:hAnsi="仿宋" w:eastAsia="仿宋" w:cs="仿宋"/>
                <w:color w:val="000000"/>
                <w:highlight w:val="none"/>
              </w:rPr>
            </w:pPr>
          </w:p>
        </w:tc>
      </w:tr>
      <w:tr w14:paraId="40C2F66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33DBC1B">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14:paraId="36FDEB5C">
            <w:pPr>
              <w:pStyle w:val="156"/>
              <w:topLinePunct/>
              <w:jc w:val="center"/>
              <w:rPr>
                <w:rFonts w:hint="eastAsia" w:ascii="仿宋" w:hAnsi="仿宋" w:eastAsia="仿宋" w:cs="仿宋"/>
                <w:color w:val="000000"/>
                <w:highlight w:val="none"/>
              </w:rPr>
            </w:pPr>
          </w:p>
        </w:tc>
        <w:tc>
          <w:tcPr>
            <w:tcW w:w="5489" w:type="dxa"/>
            <w:gridSpan w:val="6"/>
            <w:tcBorders>
              <w:top w:val="nil"/>
              <w:left w:val="nil"/>
              <w:bottom w:val="single" w:color="000000" w:sz="4" w:space="0"/>
              <w:right w:val="single" w:color="000000" w:sz="4" w:space="0"/>
            </w:tcBorders>
            <w:noWrap w:val="0"/>
            <w:vAlign w:val="center"/>
          </w:tcPr>
          <w:p w14:paraId="45FC1007">
            <w:pPr>
              <w:pStyle w:val="156"/>
              <w:topLinePunct/>
              <w:ind w:firstLine="105"/>
              <w:jc w:val="center"/>
              <w:rPr>
                <w:rFonts w:hint="eastAsia" w:ascii="仿宋" w:hAnsi="仿宋" w:eastAsia="仿宋" w:cs="仿宋"/>
                <w:color w:val="000000"/>
                <w:highlight w:val="none"/>
              </w:rPr>
            </w:pPr>
            <w:r>
              <w:rPr>
                <w:rFonts w:hint="eastAsia" w:ascii="仿宋" w:hAnsi="仿宋" w:eastAsia="仿宋" w:cs="仿宋"/>
                <w:color w:val="000000"/>
                <w:highlight w:val="none"/>
              </w:rPr>
              <w:t>员工总人数：</w:t>
            </w:r>
          </w:p>
        </w:tc>
      </w:tr>
      <w:tr w14:paraId="16933BCB">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374EEB2E">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14:paraId="2357A29D">
            <w:pPr>
              <w:pStyle w:val="156"/>
              <w:topLinePunct/>
              <w:jc w:val="center"/>
              <w:rPr>
                <w:rFonts w:hint="eastAsia" w:ascii="仿宋" w:hAnsi="仿宋" w:eastAsia="仿宋" w:cs="仿宋"/>
                <w:color w:val="000000"/>
                <w:highlight w:val="none"/>
              </w:rPr>
            </w:pPr>
          </w:p>
        </w:tc>
        <w:tc>
          <w:tcPr>
            <w:tcW w:w="713" w:type="dxa"/>
            <w:vMerge w:val="restart"/>
            <w:tcBorders>
              <w:top w:val="nil"/>
              <w:left w:val="nil"/>
              <w:bottom w:val="single" w:color="000000" w:sz="4" w:space="0"/>
              <w:right w:val="single" w:color="000000" w:sz="4" w:space="0"/>
            </w:tcBorders>
            <w:noWrap w:val="0"/>
            <w:vAlign w:val="center"/>
          </w:tcPr>
          <w:p w14:paraId="59610CE5">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14:paraId="7F74B56B">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14:paraId="5A94CDB2">
            <w:pPr>
              <w:pStyle w:val="156"/>
              <w:topLinePunct/>
              <w:jc w:val="center"/>
              <w:rPr>
                <w:rFonts w:hint="eastAsia" w:ascii="仿宋" w:hAnsi="仿宋" w:eastAsia="仿宋" w:cs="仿宋"/>
                <w:color w:val="000000"/>
                <w:highlight w:val="none"/>
              </w:rPr>
            </w:pPr>
          </w:p>
        </w:tc>
      </w:tr>
      <w:tr w14:paraId="7D46669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AAEA654">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14:paraId="143213CD">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367DB905">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0E662F55">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14:paraId="2E55A65F">
            <w:pPr>
              <w:pStyle w:val="156"/>
              <w:topLinePunct/>
              <w:jc w:val="center"/>
              <w:rPr>
                <w:rFonts w:hint="eastAsia" w:ascii="仿宋" w:hAnsi="仿宋" w:eastAsia="仿宋" w:cs="仿宋"/>
                <w:color w:val="000000"/>
                <w:highlight w:val="none"/>
              </w:rPr>
            </w:pPr>
          </w:p>
        </w:tc>
      </w:tr>
      <w:tr w14:paraId="5AC59312">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8C927EE">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14:paraId="5216BF6D">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3E3AA146">
            <w:pPr>
              <w:rPr>
                <w:rFonts w:hint="eastAsia" w:ascii="仿宋" w:hAnsi="仿宋" w:eastAsia="仿宋" w:cs="仿宋"/>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313E3792">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14:paraId="5D1E2CAF">
            <w:pPr>
              <w:pStyle w:val="156"/>
              <w:topLinePunct/>
              <w:jc w:val="center"/>
              <w:rPr>
                <w:rFonts w:hint="eastAsia" w:ascii="仿宋" w:hAnsi="仿宋" w:eastAsia="仿宋" w:cs="仿宋"/>
                <w:color w:val="000000"/>
                <w:highlight w:val="none"/>
              </w:rPr>
            </w:pPr>
          </w:p>
        </w:tc>
      </w:tr>
      <w:tr w14:paraId="147D9A54">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98325AA">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14:paraId="15AF6265">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3F164EA7">
            <w:pPr>
              <w:rPr>
                <w:rFonts w:hint="eastAsia" w:ascii="仿宋" w:hAnsi="仿宋" w:eastAsia="仿宋" w:cs="仿宋"/>
                <w:color w:val="000000"/>
                <w:szCs w:val="21"/>
                <w:highlight w:val="none"/>
              </w:rPr>
            </w:pPr>
          </w:p>
        </w:tc>
        <w:tc>
          <w:tcPr>
            <w:tcW w:w="2646" w:type="dxa"/>
            <w:gridSpan w:val="3"/>
            <w:vMerge w:val="restart"/>
            <w:tcBorders>
              <w:top w:val="nil"/>
              <w:left w:val="nil"/>
              <w:right w:val="single" w:color="000000" w:sz="4" w:space="0"/>
            </w:tcBorders>
            <w:noWrap w:val="0"/>
            <w:vAlign w:val="center"/>
          </w:tcPr>
          <w:p w14:paraId="47E70A55">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初级职称人员</w:t>
            </w:r>
          </w:p>
        </w:tc>
        <w:tc>
          <w:tcPr>
            <w:tcW w:w="2130" w:type="dxa"/>
            <w:gridSpan w:val="2"/>
            <w:vMerge w:val="restart"/>
            <w:tcBorders>
              <w:top w:val="nil"/>
              <w:left w:val="nil"/>
              <w:right w:val="single" w:color="000000" w:sz="4" w:space="0"/>
            </w:tcBorders>
            <w:noWrap w:val="0"/>
            <w:vAlign w:val="center"/>
          </w:tcPr>
          <w:p w14:paraId="08938A70">
            <w:pPr>
              <w:pStyle w:val="156"/>
              <w:topLinePunct/>
              <w:jc w:val="center"/>
              <w:rPr>
                <w:rFonts w:hint="eastAsia" w:ascii="仿宋" w:hAnsi="仿宋" w:eastAsia="仿宋" w:cs="仿宋"/>
                <w:color w:val="000000"/>
                <w:highlight w:val="none"/>
              </w:rPr>
            </w:pPr>
          </w:p>
        </w:tc>
      </w:tr>
      <w:tr w14:paraId="06951DB7">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9953273">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账号</w:t>
            </w:r>
          </w:p>
        </w:tc>
        <w:tc>
          <w:tcPr>
            <w:tcW w:w="2120" w:type="dxa"/>
            <w:gridSpan w:val="3"/>
            <w:tcBorders>
              <w:top w:val="nil"/>
              <w:left w:val="nil"/>
              <w:bottom w:val="single" w:color="000000" w:sz="4" w:space="0"/>
              <w:right w:val="single" w:color="000000" w:sz="4" w:space="0"/>
            </w:tcBorders>
            <w:noWrap w:val="0"/>
            <w:vAlign w:val="center"/>
          </w:tcPr>
          <w:p w14:paraId="54BD5B81">
            <w:pPr>
              <w:pStyle w:val="156"/>
              <w:topLinePunct/>
              <w:jc w:val="center"/>
              <w:rPr>
                <w:rFonts w:hint="eastAsia" w:ascii="仿宋" w:hAnsi="仿宋" w:eastAsia="仿宋" w:cs="仿宋"/>
                <w:color w:val="000000"/>
                <w:highlight w:val="none"/>
              </w:rPr>
            </w:pPr>
          </w:p>
        </w:tc>
        <w:tc>
          <w:tcPr>
            <w:tcW w:w="713" w:type="dxa"/>
            <w:vMerge w:val="continue"/>
            <w:tcBorders>
              <w:top w:val="nil"/>
              <w:left w:val="nil"/>
              <w:bottom w:val="single" w:color="000000" w:sz="4" w:space="0"/>
              <w:right w:val="single" w:color="000000" w:sz="4" w:space="0"/>
            </w:tcBorders>
            <w:noWrap w:val="0"/>
            <w:vAlign w:val="center"/>
          </w:tcPr>
          <w:p w14:paraId="6E801706">
            <w:pPr>
              <w:rPr>
                <w:rFonts w:hint="eastAsia" w:ascii="仿宋" w:hAnsi="仿宋" w:eastAsia="仿宋" w:cs="仿宋"/>
                <w:color w:val="000000"/>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14:paraId="347EA1EB">
            <w:pPr>
              <w:pStyle w:val="156"/>
              <w:topLinePunct/>
              <w:jc w:val="center"/>
              <w:rPr>
                <w:rFonts w:hint="eastAsia" w:ascii="仿宋" w:hAnsi="仿宋" w:eastAsia="仿宋" w:cs="仿宋"/>
                <w:color w:val="000000"/>
                <w:highlight w:val="none"/>
              </w:rPr>
            </w:pPr>
          </w:p>
        </w:tc>
        <w:tc>
          <w:tcPr>
            <w:tcW w:w="2130" w:type="dxa"/>
            <w:gridSpan w:val="2"/>
            <w:vMerge w:val="continue"/>
            <w:tcBorders>
              <w:left w:val="nil"/>
              <w:bottom w:val="single" w:color="000000" w:sz="4" w:space="0"/>
              <w:right w:val="single" w:color="000000" w:sz="4" w:space="0"/>
            </w:tcBorders>
            <w:noWrap w:val="0"/>
            <w:vAlign w:val="center"/>
          </w:tcPr>
          <w:p w14:paraId="1F8479F0">
            <w:pPr>
              <w:pStyle w:val="156"/>
              <w:topLinePunct/>
              <w:jc w:val="center"/>
              <w:rPr>
                <w:rFonts w:hint="eastAsia" w:ascii="仿宋" w:hAnsi="仿宋" w:eastAsia="仿宋" w:cs="仿宋"/>
                <w:color w:val="000000"/>
                <w:highlight w:val="none"/>
              </w:rPr>
            </w:pPr>
          </w:p>
        </w:tc>
      </w:tr>
      <w:tr w14:paraId="1F9478A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1FF4E14A">
            <w:pPr>
              <w:pStyle w:val="156"/>
              <w:topLinePunct/>
              <w:ind w:firstLine="210"/>
              <w:jc w:val="center"/>
              <w:rPr>
                <w:rFonts w:hint="eastAsia" w:ascii="仿宋" w:hAnsi="仿宋" w:eastAsia="仿宋" w:cs="仿宋"/>
                <w:color w:val="000000"/>
                <w:highlight w:val="none"/>
              </w:rPr>
            </w:pPr>
            <w:r>
              <w:rPr>
                <w:rFonts w:hint="eastAsia" w:ascii="仿宋" w:hAnsi="仿宋" w:eastAsia="仿宋" w:cs="仿宋"/>
                <w:color w:val="000000"/>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14:paraId="4F989558">
            <w:pPr>
              <w:pStyle w:val="156"/>
              <w:topLinePunct/>
              <w:rPr>
                <w:rFonts w:hint="eastAsia" w:ascii="仿宋" w:hAnsi="仿宋" w:eastAsia="仿宋" w:cs="仿宋"/>
                <w:color w:val="000000"/>
                <w:highlight w:val="none"/>
              </w:rPr>
            </w:pPr>
          </w:p>
        </w:tc>
      </w:tr>
      <w:tr w14:paraId="25BC4428">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63F7748">
            <w:pPr>
              <w:pStyle w:val="156"/>
              <w:topLinePunct/>
              <w:jc w:val="center"/>
              <w:rPr>
                <w:rFonts w:hint="eastAsia" w:ascii="仿宋" w:hAnsi="仿宋" w:eastAsia="仿宋" w:cs="仿宋"/>
                <w:color w:val="000000"/>
                <w:highlight w:val="none"/>
              </w:rPr>
            </w:pPr>
            <w:r>
              <w:rPr>
                <w:rFonts w:hint="eastAsia" w:ascii="仿宋" w:hAnsi="仿宋" w:eastAsia="仿宋" w:cs="仿宋"/>
                <w:color w:val="000000"/>
                <w:highlight w:val="none"/>
              </w:rPr>
              <w:t>备注</w:t>
            </w:r>
          </w:p>
        </w:tc>
        <w:tc>
          <w:tcPr>
            <w:tcW w:w="7609" w:type="dxa"/>
            <w:gridSpan w:val="9"/>
            <w:tcBorders>
              <w:top w:val="nil"/>
              <w:left w:val="nil"/>
              <w:bottom w:val="single" w:color="000000" w:sz="4" w:space="0"/>
              <w:right w:val="single" w:color="000000" w:sz="4" w:space="0"/>
            </w:tcBorders>
            <w:noWrap w:val="0"/>
            <w:vAlign w:val="center"/>
          </w:tcPr>
          <w:p w14:paraId="3429678A">
            <w:pPr>
              <w:pStyle w:val="156"/>
              <w:topLinePunct/>
              <w:jc w:val="center"/>
              <w:rPr>
                <w:rFonts w:hint="eastAsia" w:ascii="仿宋" w:hAnsi="仿宋" w:eastAsia="仿宋" w:cs="仿宋"/>
                <w:color w:val="000000"/>
                <w:highlight w:val="none"/>
              </w:rPr>
            </w:pPr>
          </w:p>
        </w:tc>
      </w:tr>
    </w:tbl>
    <w:p w14:paraId="5CEC4928">
      <w:pPr>
        <w:pStyle w:val="156"/>
        <w:jc w:val="left"/>
        <w:rPr>
          <w:rFonts w:hint="eastAsia" w:ascii="仿宋" w:hAnsi="仿宋" w:eastAsia="仿宋" w:cs="仿宋"/>
          <w:b/>
          <w:color w:val="000000"/>
          <w:sz w:val="24"/>
          <w:szCs w:val="24"/>
          <w:highlight w:val="none"/>
        </w:rPr>
      </w:pPr>
      <w:r>
        <w:rPr>
          <w:rFonts w:hint="eastAsia" w:ascii="仿宋" w:hAnsi="仿宋" w:eastAsia="仿宋" w:cs="宋体"/>
          <w:b/>
          <w:color w:val="000000"/>
          <w:sz w:val="24"/>
          <w:szCs w:val="24"/>
          <w:highlight w:val="none"/>
        </w:rPr>
        <w:t>注：</w:t>
      </w:r>
      <w:r>
        <w:rPr>
          <w:rFonts w:hint="eastAsia" w:ascii="仿宋" w:hAnsi="仿宋" w:eastAsia="仿宋" w:cs="宋体"/>
          <w:b/>
          <w:color w:val="000000"/>
          <w:sz w:val="24"/>
          <w:szCs w:val="24"/>
        </w:rPr>
        <w:t>提供由工商部门核发的最新营业执照（正副本皆可）。</w:t>
      </w:r>
    </w:p>
    <w:p w14:paraId="602BA793">
      <w:pPr>
        <w:pStyle w:val="156"/>
        <w:jc w:val="left"/>
        <w:rPr>
          <w:rFonts w:hint="eastAsia" w:ascii="仿宋" w:hAnsi="仿宋" w:eastAsia="仿宋" w:cs="仿宋"/>
          <w:b/>
          <w:color w:val="000000"/>
          <w:highlight w:val="none"/>
        </w:rPr>
      </w:pPr>
    </w:p>
    <w:p w14:paraId="433D04FA">
      <w:pPr>
        <w:pStyle w:val="156"/>
        <w:jc w:val="left"/>
        <w:rPr>
          <w:rFonts w:hint="eastAsia" w:ascii="仿宋" w:hAnsi="仿宋" w:eastAsia="仿宋" w:cs="仿宋"/>
          <w:b/>
          <w:color w:val="000000"/>
          <w:highlight w:val="none"/>
          <w:lang w:eastAsia="zh-CN"/>
        </w:rPr>
      </w:pPr>
    </w:p>
    <w:p w14:paraId="6D511428">
      <w:pPr>
        <w:pStyle w:val="156"/>
        <w:jc w:val="left"/>
        <w:rPr>
          <w:rFonts w:hint="eastAsia" w:ascii="仿宋" w:hAnsi="仿宋" w:eastAsia="仿宋" w:cs="仿宋"/>
          <w:b/>
          <w:color w:val="000000"/>
          <w:highlight w:val="none"/>
          <w:lang w:eastAsia="zh-CN"/>
        </w:rPr>
      </w:pPr>
    </w:p>
    <w:p w14:paraId="7E1C652A">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3550FC0A">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38F911FE">
      <w:pPr>
        <w:pStyle w:val="6"/>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cs="仿宋"/>
          <w:color w:val="000000"/>
          <w:highlight w:val="none"/>
        </w:rPr>
        <w:br w:type="page"/>
      </w:r>
      <w:r>
        <w:rPr>
          <w:rFonts w:hint="eastAsia" w:ascii="仿宋" w:hAnsi="仿宋" w:eastAsia="仿宋" w:cs="仿宋"/>
          <w:color w:val="000000"/>
          <w:sz w:val="24"/>
          <w:szCs w:val="24"/>
          <w:highlight w:val="none"/>
          <w:lang w:val="en-US" w:eastAsia="zh-CN"/>
        </w:rPr>
        <w:t>2、</w:t>
      </w:r>
      <w:r>
        <w:rPr>
          <w:rFonts w:hint="eastAsia" w:ascii="仿宋" w:hAnsi="仿宋" w:eastAsia="仿宋" w:cs="仿宋"/>
          <w:color w:val="000000"/>
          <w:sz w:val="24"/>
          <w:szCs w:val="24"/>
          <w:highlight w:val="none"/>
        </w:rPr>
        <w:t>财务审计报告或银行资信证明</w:t>
      </w:r>
    </w:p>
    <w:p w14:paraId="189C3D8D">
      <w:pPr>
        <w:spacing w:line="360" w:lineRule="auto"/>
        <w:ind w:firstLine="480" w:firstLineChars="200"/>
        <w:textAlignment w:val="baseline"/>
        <w:rPr>
          <w:rFonts w:ascii="仿宋" w:hAnsi="仿宋" w:eastAsia="仿宋" w:cs="仿宋"/>
          <w:color w:val="000000"/>
          <w:sz w:val="24"/>
          <w:highlight w:val="none"/>
        </w:rPr>
      </w:pPr>
      <w:r>
        <w:rPr>
          <w:rFonts w:hint="eastAsia" w:ascii="仿宋" w:hAnsi="仿宋" w:eastAsia="仿宋" w:cs="仿宋"/>
          <w:color w:val="000000"/>
          <w:sz w:val="24"/>
          <w:highlight w:val="none"/>
        </w:rPr>
        <w:t>提供</w:t>
      </w:r>
      <w:r>
        <w:rPr>
          <w:rFonts w:hint="eastAsia" w:ascii="仿宋" w:hAnsi="仿宋" w:eastAsia="仿宋" w:cs="仿宋"/>
          <w:color w:val="FF0000"/>
          <w:sz w:val="24"/>
          <w:highlight w:val="none"/>
          <w:lang w:val="en-US" w:eastAsia="zh-CN"/>
        </w:rPr>
        <w:t>2025</w:t>
      </w:r>
      <w:r>
        <w:rPr>
          <w:rFonts w:hint="eastAsia" w:ascii="仿宋" w:hAnsi="仿宋" w:eastAsia="仿宋" w:cs="仿宋"/>
          <w:color w:val="000000"/>
          <w:sz w:val="24"/>
          <w:highlight w:val="none"/>
        </w:rPr>
        <w:t>年度经会计师事务所或审计机构审计的财务审计报告及财务报表（至少包含会计师事务所或审计机构签章页、资产负债表、现金流量表、损益表/利润表）或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sz w:val="24"/>
          <w:highlight w:val="none"/>
        </w:rPr>
        <w:t>响应文件递交截止日前</w:t>
      </w:r>
      <w:r>
        <w:rPr>
          <w:rFonts w:ascii="仿宋" w:hAnsi="仿宋" w:eastAsia="仿宋" w:cs="仿宋"/>
          <w:color w:val="000000"/>
          <w:sz w:val="24"/>
          <w:highlight w:val="none"/>
        </w:rPr>
        <w:t>6</w:t>
      </w:r>
      <w:r>
        <w:rPr>
          <w:rFonts w:hint="eastAsia" w:ascii="仿宋" w:hAnsi="仿宋" w:eastAsia="仿宋" w:cs="仿宋"/>
          <w:color w:val="000000"/>
          <w:sz w:val="24"/>
          <w:highlight w:val="none"/>
        </w:rPr>
        <w:t>个月内开具的银行资信证明。</w:t>
      </w:r>
      <w:r>
        <w:rPr>
          <w:rFonts w:ascii="仿宋" w:hAnsi="仿宋" w:eastAsia="仿宋" w:cs="仿宋"/>
          <w:color w:val="000000"/>
          <w:sz w:val="24"/>
          <w:highlight w:val="none"/>
        </w:rPr>
        <w:br w:type="page"/>
      </w:r>
    </w:p>
    <w:p w14:paraId="2D6BFE27">
      <w:pPr>
        <w:pStyle w:val="6"/>
        <w:numPr>
          <w:ilvl w:val="0"/>
          <w:numId w:val="0"/>
        </w:numPr>
        <w:spacing w:before="0" w:after="0" w:line="360" w:lineRule="auto"/>
        <w:rPr>
          <w:rFonts w:hint="eastAsia" w:ascii="仿宋" w:hAnsi="仿宋" w:eastAsia="仿宋" w:cs="仿宋"/>
          <w:b w:val="0"/>
          <w:bCs w:val="0"/>
          <w:color w:val="000000"/>
          <w:sz w:val="24"/>
          <w:szCs w:val="24"/>
          <w:highlight w:val="none"/>
          <w:lang w:eastAsia="zh-CN"/>
        </w:rPr>
      </w:pPr>
      <w:r>
        <w:rPr>
          <w:rFonts w:hint="eastAsia" w:ascii="仿宋" w:hAnsi="仿宋" w:eastAsia="仿宋" w:cs="仿宋"/>
          <w:color w:val="000000"/>
          <w:sz w:val="24"/>
          <w:szCs w:val="24"/>
          <w:highlight w:val="none"/>
          <w:lang w:val="en-US" w:eastAsia="zh-CN"/>
        </w:rPr>
        <w:t>3、具有履行合同所必备的设备或专业技术能力</w:t>
      </w:r>
      <w:r>
        <w:rPr>
          <w:rFonts w:hint="eastAsia" w:ascii="仿宋" w:hAnsi="仿宋" w:eastAsia="仿宋" w:cs="仿宋"/>
          <w:color w:val="000000"/>
          <w:sz w:val="24"/>
          <w:szCs w:val="24"/>
          <w:highlight w:val="none"/>
        </w:rPr>
        <w:t>同类项目实施经验</w:t>
      </w:r>
      <w:r>
        <w:rPr>
          <w:rFonts w:hint="eastAsia" w:ascii="仿宋" w:hAnsi="仿宋" w:eastAsia="仿宋" w:cs="仿宋"/>
          <w:color w:val="000000"/>
          <w:sz w:val="24"/>
          <w:szCs w:val="24"/>
          <w:highlight w:val="none"/>
          <w:lang w:eastAsia="zh-CN"/>
        </w:rPr>
        <w:t>或提供承诺函</w:t>
      </w:r>
    </w:p>
    <w:tbl>
      <w:tblPr>
        <w:tblStyle w:val="4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3"/>
        <w:gridCol w:w="1618"/>
        <w:gridCol w:w="1397"/>
      </w:tblGrid>
      <w:tr w14:paraId="0E894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14:paraId="2708C5AE">
            <w:pPr>
              <w:jc w:val="center"/>
              <w:rPr>
                <w:rFonts w:hint="eastAsia" w:ascii="仿宋" w:hAnsi="仿宋" w:eastAsia="仿宋" w:cs="仿宋"/>
                <w:b/>
                <w:szCs w:val="21"/>
                <w:highlight w:val="none"/>
              </w:rPr>
            </w:pPr>
            <w:r>
              <w:rPr>
                <w:rFonts w:hint="eastAsia" w:ascii="仿宋" w:hAnsi="仿宋" w:eastAsia="仿宋" w:cs="仿宋"/>
                <w:b/>
                <w:szCs w:val="21"/>
                <w:highlight w:val="none"/>
              </w:rPr>
              <w:t>序号</w:t>
            </w:r>
          </w:p>
        </w:tc>
        <w:tc>
          <w:tcPr>
            <w:tcW w:w="471" w:type="pct"/>
            <w:noWrap w:val="0"/>
            <w:vAlign w:val="center"/>
          </w:tcPr>
          <w:p w14:paraId="6FB70E85">
            <w:pPr>
              <w:jc w:val="center"/>
              <w:rPr>
                <w:rFonts w:hint="eastAsia" w:ascii="仿宋" w:hAnsi="仿宋" w:eastAsia="仿宋" w:cs="仿宋"/>
                <w:b/>
                <w:szCs w:val="21"/>
                <w:highlight w:val="none"/>
              </w:rPr>
            </w:pPr>
            <w:r>
              <w:rPr>
                <w:rFonts w:hint="eastAsia" w:ascii="仿宋" w:hAnsi="仿宋" w:eastAsia="仿宋" w:cs="仿宋"/>
                <w:b/>
                <w:szCs w:val="21"/>
                <w:highlight w:val="none"/>
              </w:rPr>
              <w:t>合同名称</w:t>
            </w:r>
          </w:p>
        </w:tc>
        <w:tc>
          <w:tcPr>
            <w:tcW w:w="678" w:type="pct"/>
            <w:noWrap w:val="0"/>
            <w:vAlign w:val="center"/>
          </w:tcPr>
          <w:p w14:paraId="45EC6657">
            <w:pPr>
              <w:jc w:val="center"/>
              <w:rPr>
                <w:rFonts w:hint="eastAsia" w:ascii="仿宋" w:hAnsi="仿宋" w:eastAsia="仿宋" w:cs="仿宋"/>
                <w:b/>
                <w:szCs w:val="21"/>
                <w:highlight w:val="none"/>
              </w:rPr>
            </w:pPr>
            <w:r>
              <w:rPr>
                <w:rFonts w:hint="eastAsia" w:ascii="仿宋" w:hAnsi="仿宋" w:eastAsia="仿宋" w:cs="仿宋"/>
                <w:b/>
                <w:szCs w:val="21"/>
                <w:highlight w:val="none"/>
              </w:rPr>
              <w:t>合同签订时间</w:t>
            </w:r>
          </w:p>
        </w:tc>
        <w:tc>
          <w:tcPr>
            <w:tcW w:w="645" w:type="pct"/>
            <w:noWrap w:val="0"/>
            <w:vAlign w:val="center"/>
          </w:tcPr>
          <w:p w14:paraId="60DCA69D">
            <w:pPr>
              <w:jc w:val="center"/>
              <w:rPr>
                <w:rFonts w:hint="eastAsia" w:ascii="仿宋" w:hAnsi="仿宋" w:eastAsia="仿宋" w:cs="仿宋"/>
                <w:b/>
                <w:szCs w:val="21"/>
                <w:highlight w:val="none"/>
              </w:rPr>
            </w:pPr>
            <w:r>
              <w:rPr>
                <w:rFonts w:hint="eastAsia" w:ascii="仿宋" w:hAnsi="仿宋" w:eastAsia="仿宋" w:cs="仿宋"/>
                <w:b/>
                <w:szCs w:val="21"/>
                <w:highlight w:val="none"/>
              </w:rPr>
              <w:t>采购内容</w:t>
            </w:r>
          </w:p>
        </w:tc>
        <w:tc>
          <w:tcPr>
            <w:tcW w:w="641" w:type="pct"/>
            <w:noWrap w:val="0"/>
            <w:vAlign w:val="center"/>
          </w:tcPr>
          <w:p w14:paraId="307200E1">
            <w:pPr>
              <w:jc w:val="center"/>
              <w:rPr>
                <w:rFonts w:hint="eastAsia" w:ascii="仿宋" w:hAnsi="仿宋" w:eastAsia="仿宋" w:cs="仿宋"/>
                <w:b/>
                <w:szCs w:val="21"/>
                <w:highlight w:val="none"/>
              </w:rPr>
            </w:pPr>
            <w:r>
              <w:rPr>
                <w:rFonts w:hint="eastAsia" w:ascii="仿宋" w:hAnsi="仿宋" w:eastAsia="仿宋" w:cs="仿宋"/>
                <w:b/>
                <w:szCs w:val="21"/>
                <w:highlight w:val="none"/>
              </w:rPr>
              <w:t>合同金额（万元）</w:t>
            </w:r>
          </w:p>
        </w:tc>
        <w:tc>
          <w:tcPr>
            <w:tcW w:w="565" w:type="pct"/>
            <w:noWrap w:val="0"/>
            <w:vAlign w:val="center"/>
          </w:tcPr>
          <w:p w14:paraId="118E582E">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w:t>
            </w:r>
          </w:p>
        </w:tc>
        <w:tc>
          <w:tcPr>
            <w:tcW w:w="821" w:type="pct"/>
            <w:noWrap w:val="0"/>
            <w:vAlign w:val="center"/>
          </w:tcPr>
          <w:p w14:paraId="18BD8088">
            <w:pPr>
              <w:jc w:val="center"/>
              <w:rPr>
                <w:rFonts w:hint="eastAsia" w:ascii="仿宋" w:hAnsi="仿宋" w:eastAsia="仿宋" w:cs="仿宋"/>
                <w:b/>
                <w:szCs w:val="21"/>
                <w:highlight w:val="none"/>
              </w:rPr>
            </w:pPr>
            <w:r>
              <w:rPr>
                <w:rFonts w:hint="eastAsia" w:ascii="仿宋" w:hAnsi="仿宋" w:eastAsia="仿宋" w:cs="仿宋"/>
                <w:b/>
                <w:szCs w:val="21"/>
                <w:highlight w:val="none"/>
              </w:rPr>
              <w:t>合同甲方联系人及电话</w:t>
            </w:r>
          </w:p>
        </w:tc>
        <w:tc>
          <w:tcPr>
            <w:tcW w:w="709" w:type="pct"/>
            <w:noWrap w:val="0"/>
            <w:vAlign w:val="center"/>
          </w:tcPr>
          <w:p w14:paraId="5C41F8BD">
            <w:pPr>
              <w:jc w:val="center"/>
              <w:rPr>
                <w:rFonts w:hint="eastAsia" w:ascii="仿宋" w:hAnsi="仿宋" w:eastAsia="仿宋" w:cs="仿宋"/>
                <w:b/>
                <w:szCs w:val="21"/>
                <w:highlight w:val="none"/>
              </w:rPr>
            </w:pPr>
            <w:r>
              <w:rPr>
                <w:rFonts w:hint="eastAsia" w:ascii="仿宋" w:hAnsi="仿宋" w:eastAsia="仿宋" w:cs="仿宋"/>
                <w:b/>
                <w:szCs w:val="21"/>
                <w:highlight w:val="none"/>
              </w:rPr>
              <w:t>备注</w:t>
            </w:r>
          </w:p>
        </w:tc>
      </w:tr>
      <w:tr w14:paraId="0C1E2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14:paraId="02AAF571">
            <w:pPr>
              <w:jc w:val="center"/>
              <w:rPr>
                <w:rFonts w:hint="eastAsia" w:ascii="仿宋" w:hAnsi="仿宋" w:eastAsia="仿宋" w:cs="仿宋"/>
                <w:szCs w:val="21"/>
                <w:highlight w:val="none"/>
              </w:rPr>
            </w:pPr>
          </w:p>
        </w:tc>
        <w:tc>
          <w:tcPr>
            <w:tcW w:w="471" w:type="pct"/>
            <w:noWrap w:val="0"/>
            <w:vAlign w:val="center"/>
          </w:tcPr>
          <w:p w14:paraId="67A38835">
            <w:pPr>
              <w:jc w:val="center"/>
              <w:rPr>
                <w:rFonts w:hint="eastAsia" w:ascii="仿宋" w:hAnsi="仿宋" w:eastAsia="仿宋" w:cs="仿宋"/>
                <w:szCs w:val="21"/>
                <w:highlight w:val="none"/>
              </w:rPr>
            </w:pPr>
          </w:p>
        </w:tc>
        <w:tc>
          <w:tcPr>
            <w:tcW w:w="678" w:type="pct"/>
            <w:noWrap w:val="0"/>
            <w:vAlign w:val="center"/>
          </w:tcPr>
          <w:p w14:paraId="476756DF">
            <w:pPr>
              <w:jc w:val="center"/>
              <w:rPr>
                <w:rFonts w:hint="eastAsia" w:ascii="仿宋" w:hAnsi="仿宋" w:eastAsia="仿宋" w:cs="仿宋"/>
                <w:szCs w:val="21"/>
                <w:highlight w:val="none"/>
              </w:rPr>
            </w:pPr>
          </w:p>
        </w:tc>
        <w:tc>
          <w:tcPr>
            <w:tcW w:w="645" w:type="pct"/>
            <w:noWrap w:val="0"/>
            <w:vAlign w:val="center"/>
          </w:tcPr>
          <w:p w14:paraId="4A79F7B2">
            <w:pPr>
              <w:jc w:val="center"/>
              <w:rPr>
                <w:rFonts w:hint="eastAsia" w:ascii="仿宋" w:hAnsi="仿宋" w:eastAsia="仿宋" w:cs="仿宋"/>
                <w:szCs w:val="21"/>
                <w:highlight w:val="none"/>
              </w:rPr>
            </w:pPr>
          </w:p>
        </w:tc>
        <w:tc>
          <w:tcPr>
            <w:tcW w:w="641" w:type="pct"/>
            <w:noWrap w:val="0"/>
            <w:vAlign w:val="center"/>
          </w:tcPr>
          <w:p w14:paraId="7194B26C">
            <w:pPr>
              <w:jc w:val="center"/>
              <w:rPr>
                <w:rFonts w:hint="eastAsia" w:ascii="仿宋" w:hAnsi="仿宋" w:eastAsia="仿宋" w:cs="仿宋"/>
                <w:szCs w:val="21"/>
                <w:highlight w:val="none"/>
              </w:rPr>
            </w:pPr>
          </w:p>
        </w:tc>
        <w:tc>
          <w:tcPr>
            <w:tcW w:w="565" w:type="pct"/>
            <w:noWrap w:val="0"/>
            <w:vAlign w:val="center"/>
          </w:tcPr>
          <w:p w14:paraId="20D80C7C">
            <w:pPr>
              <w:jc w:val="center"/>
              <w:rPr>
                <w:rFonts w:hint="eastAsia" w:ascii="仿宋" w:hAnsi="仿宋" w:eastAsia="仿宋" w:cs="仿宋"/>
                <w:szCs w:val="21"/>
                <w:highlight w:val="none"/>
              </w:rPr>
            </w:pPr>
          </w:p>
        </w:tc>
        <w:tc>
          <w:tcPr>
            <w:tcW w:w="821" w:type="pct"/>
            <w:noWrap w:val="0"/>
            <w:vAlign w:val="center"/>
          </w:tcPr>
          <w:p w14:paraId="4A3A0A96">
            <w:pPr>
              <w:jc w:val="center"/>
              <w:rPr>
                <w:rFonts w:hint="eastAsia" w:ascii="仿宋" w:hAnsi="仿宋" w:eastAsia="仿宋" w:cs="仿宋"/>
                <w:szCs w:val="21"/>
                <w:highlight w:val="none"/>
              </w:rPr>
            </w:pPr>
          </w:p>
        </w:tc>
        <w:tc>
          <w:tcPr>
            <w:tcW w:w="709" w:type="pct"/>
            <w:noWrap w:val="0"/>
            <w:vAlign w:val="center"/>
          </w:tcPr>
          <w:p w14:paraId="18DB46F1">
            <w:pPr>
              <w:jc w:val="center"/>
              <w:rPr>
                <w:rFonts w:hint="eastAsia" w:ascii="仿宋" w:hAnsi="仿宋" w:eastAsia="仿宋" w:cs="仿宋"/>
                <w:szCs w:val="21"/>
                <w:highlight w:val="none"/>
              </w:rPr>
            </w:pPr>
          </w:p>
        </w:tc>
      </w:tr>
      <w:tr w14:paraId="3AA9E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76610C07">
            <w:pPr>
              <w:jc w:val="center"/>
              <w:rPr>
                <w:rFonts w:hint="eastAsia" w:ascii="仿宋" w:hAnsi="仿宋" w:eastAsia="仿宋" w:cs="仿宋"/>
                <w:szCs w:val="21"/>
                <w:highlight w:val="none"/>
              </w:rPr>
            </w:pPr>
          </w:p>
          <w:p w14:paraId="6DBB7AA9">
            <w:pPr>
              <w:jc w:val="center"/>
              <w:rPr>
                <w:rFonts w:hint="eastAsia" w:ascii="仿宋" w:hAnsi="仿宋" w:eastAsia="仿宋" w:cs="仿宋"/>
                <w:szCs w:val="21"/>
                <w:highlight w:val="none"/>
              </w:rPr>
            </w:pPr>
          </w:p>
        </w:tc>
        <w:tc>
          <w:tcPr>
            <w:tcW w:w="471" w:type="pct"/>
            <w:noWrap w:val="0"/>
            <w:vAlign w:val="center"/>
          </w:tcPr>
          <w:p w14:paraId="3180F0DD">
            <w:pPr>
              <w:jc w:val="center"/>
              <w:rPr>
                <w:rFonts w:hint="eastAsia" w:ascii="仿宋" w:hAnsi="仿宋" w:eastAsia="仿宋" w:cs="仿宋"/>
                <w:szCs w:val="21"/>
                <w:highlight w:val="none"/>
              </w:rPr>
            </w:pPr>
          </w:p>
        </w:tc>
        <w:tc>
          <w:tcPr>
            <w:tcW w:w="678" w:type="pct"/>
            <w:noWrap w:val="0"/>
            <w:vAlign w:val="center"/>
          </w:tcPr>
          <w:p w14:paraId="1563DCA5">
            <w:pPr>
              <w:jc w:val="center"/>
              <w:rPr>
                <w:rFonts w:hint="eastAsia" w:ascii="仿宋" w:hAnsi="仿宋" w:eastAsia="仿宋" w:cs="仿宋"/>
                <w:szCs w:val="21"/>
                <w:highlight w:val="none"/>
              </w:rPr>
            </w:pPr>
          </w:p>
        </w:tc>
        <w:tc>
          <w:tcPr>
            <w:tcW w:w="645" w:type="pct"/>
            <w:noWrap w:val="0"/>
            <w:vAlign w:val="center"/>
          </w:tcPr>
          <w:p w14:paraId="63D14698">
            <w:pPr>
              <w:jc w:val="center"/>
              <w:rPr>
                <w:rFonts w:hint="eastAsia" w:ascii="仿宋" w:hAnsi="仿宋" w:eastAsia="仿宋" w:cs="仿宋"/>
                <w:szCs w:val="21"/>
                <w:highlight w:val="none"/>
              </w:rPr>
            </w:pPr>
          </w:p>
        </w:tc>
        <w:tc>
          <w:tcPr>
            <w:tcW w:w="641" w:type="pct"/>
            <w:noWrap w:val="0"/>
            <w:vAlign w:val="center"/>
          </w:tcPr>
          <w:p w14:paraId="39CC2327">
            <w:pPr>
              <w:jc w:val="center"/>
              <w:rPr>
                <w:rFonts w:hint="eastAsia" w:ascii="仿宋" w:hAnsi="仿宋" w:eastAsia="仿宋" w:cs="仿宋"/>
                <w:szCs w:val="21"/>
                <w:highlight w:val="none"/>
              </w:rPr>
            </w:pPr>
          </w:p>
        </w:tc>
        <w:tc>
          <w:tcPr>
            <w:tcW w:w="565" w:type="pct"/>
            <w:noWrap w:val="0"/>
            <w:vAlign w:val="center"/>
          </w:tcPr>
          <w:p w14:paraId="4030E25D">
            <w:pPr>
              <w:jc w:val="center"/>
              <w:rPr>
                <w:rFonts w:hint="eastAsia" w:ascii="仿宋" w:hAnsi="仿宋" w:eastAsia="仿宋" w:cs="仿宋"/>
                <w:szCs w:val="21"/>
                <w:highlight w:val="none"/>
              </w:rPr>
            </w:pPr>
          </w:p>
        </w:tc>
        <w:tc>
          <w:tcPr>
            <w:tcW w:w="821" w:type="pct"/>
            <w:noWrap w:val="0"/>
            <w:vAlign w:val="center"/>
          </w:tcPr>
          <w:p w14:paraId="4E53DBF8">
            <w:pPr>
              <w:jc w:val="center"/>
              <w:rPr>
                <w:rFonts w:hint="eastAsia" w:ascii="仿宋" w:hAnsi="仿宋" w:eastAsia="仿宋" w:cs="仿宋"/>
                <w:szCs w:val="21"/>
                <w:highlight w:val="none"/>
              </w:rPr>
            </w:pPr>
          </w:p>
        </w:tc>
        <w:tc>
          <w:tcPr>
            <w:tcW w:w="709" w:type="pct"/>
            <w:noWrap w:val="0"/>
            <w:vAlign w:val="center"/>
          </w:tcPr>
          <w:p w14:paraId="799E64AE">
            <w:pPr>
              <w:jc w:val="center"/>
              <w:rPr>
                <w:rFonts w:hint="eastAsia" w:ascii="仿宋" w:hAnsi="仿宋" w:eastAsia="仿宋" w:cs="仿宋"/>
                <w:szCs w:val="21"/>
                <w:highlight w:val="none"/>
              </w:rPr>
            </w:pPr>
          </w:p>
        </w:tc>
      </w:tr>
      <w:tr w14:paraId="3CB5A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1E4160FF">
            <w:pPr>
              <w:jc w:val="center"/>
              <w:rPr>
                <w:rFonts w:hint="eastAsia" w:ascii="仿宋" w:hAnsi="仿宋" w:eastAsia="仿宋" w:cs="仿宋"/>
                <w:szCs w:val="21"/>
                <w:highlight w:val="none"/>
              </w:rPr>
            </w:pPr>
          </w:p>
        </w:tc>
        <w:tc>
          <w:tcPr>
            <w:tcW w:w="471" w:type="pct"/>
            <w:noWrap w:val="0"/>
            <w:vAlign w:val="center"/>
          </w:tcPr>
          <w:p w14:paraId="79C38272">
            <w:pPr>
              <w:jc w:val="center"/>
              <w:rPr>
                <w:rFonts w:hint="eastAsia" w:ascii="仿宋" w:hAnsi="仿宋" w:eastAsia="仿宋" w:cs="仿宋"/>
                <w:szCs w:val="21"/>
                <w:highlight w:val="none"/>
              </w:rPr>
            </w:pPr>
          </w:p>
        </w:tc>
        <w:tc>
          <w:tcPr>
            <w:tcW w:w="678" w:type="pct"/>
            <w:noWrap w:val="0"/>
            <w:vAlign w:val="center"/>
          </w:tcPr>
          <w:p w14:paraId="610BBF55">
            <w:pPr>
              <w:jc w:val="center"/>
              <w:rPr>
                <w:rFonts w:hint="eastAsia" w:ascii="仿宋" w:hAnsi="仿宋" w:eastAsia="仿宋" w:cs="仿宋"/>
                <w:szCs w:val="21"/>
                <w:highlight w:val="none"/>
              </w:rPr>
            </w:pPr>
          </w:p>
        </w:tc>
        <w:tc>
          <w:tcPr>
            <w:tcW w:w="645" w:type="pct"/>
            <w:noWrap w:val="0"/>
            <w:vAlign w:val="center"/>
          </w:tcPr>
          <w:p w14:paraId="3AD5D871">
            <w:pPr>
              <w:jc w:val="center"/>
              <w:rPr>
                <w:rFonts w:hint="eastAsia" w:ascii="仿宋" w:hAnsi="仿宋" w:eastAsia="仿宋" w:cs="仿宋"/>
                <w:szCs w:val="21"/>
                <w:highlight w:val="none"/>
              </w:rPr>
            </w:pPr>
          </w:p>
        </w:tc>
        <w:tc>
          <w:tcPr>
            <w:tcW w:w="641" w:type="pct"/>
            <w:noWrap w:val="0"/>
            <w:vAlign w:val="center"/>
          </w:tcPr>
          <w:p w14:paraId="6DE9DC6C">
            <w:pPr>
              <w:jc w:val="center"/>
              <w:rPr>
                <w:rFonts w:hint="eastAsia" w:ascii="仿宋" w:hAnsi="仿宋" w:eastAsia="仿宋" w:cs="仿宋"/>
                <w:szCs w:val="21"/>
                <w:highlight w:val="none"/>
              </w:rPr>
            </w:pPr>
          </w:p>
        </w:tc>
        <w:tc>
          <w:tcPr>
            <w:tcW w:w="565" w:type="pct"/>
            <w:noWrap w:val="0"/>
            <w:vAlign w:val="center"/>
          </w:tcPr>
          <w:p w14:paraId="316ED57D">
            <w:pPr>
              <w:jc w:val="center"/>
              <w:rPr>
                <w:rFonts w:hint="eastAsia" w:ascii="仿宋" w:hAnsi="仿宋" w:eastAsia="仿宋" w:cs="仿宋"/>
                <w:szCs w:val="21"/>
                <w:highlight w:val="none"/>
              </w:rPr>
            </w:pPr>
          </w:p>
        </w:tc>
        <w:tc>
          <w:tcPr>
            <w:tcW w:w="821" w:type="pct"/>
            <w:noWrap w:val="0"/>
            <w:vAlign w:val="center"/>
          </w:tcPr>
          <w:p w14:paraId="4825EB2F">
            <w:pPr>
              <w:jc w:val="center"/>
              <w:rPr>
                <w:rFonts w:hint="eastAsia" w:ascii="仿宋" w:hAnsi="仿宋" w:eastAsia="仿宋" w:cs="仿宋"/>
                <w:szCs w:val="21"/>
                <w:highlight w:val="none"/>
              </w:rPr>
            </w:pPr>
          </w:p>
        </w:tc>
        <w:tc>
          <w:tcPr>
            <w:tcW w:w="709" w:type="pct"/>
            <w:noWrap w:val="0"/>
            <w:vAlign w:val="center"/>
          </w:tcPr>
          <w:p w14:paraId="4E21B1D2">
            <w:pPr>
              <w:jc w:val="center"/>
              <w:rPr>
                <w:rFonts w:hint="eastAsia" w:ascii="仿宋" w:hAnsi="仿宋" w:eastAsia="仿宋" w:cs="仿宋"/>
                <w:szCs w:val="21"/>
                <w:highlight w:val="none"/>
              </w:rPr>
            </w:pPr>
          </w:p>
        </w:tc>
      </w:tr>
      <w:tr w14:paraId="0DC81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14:paraId="5CC15796">
            <w:pPr>
              <w:jc w:val="center"/>
              <w:rPr>
                <w:rFonts w:hint="eastAsia" w:ascii="仿宋" w:hAnsi="仿宋" w:eastAsia="仿宋" w:cs="仿宋"/>
                <w:szCs w:val="21"/>
                <w:highlight w:val="none"/>
              </w:rPr>
            </w:pPr>
          </w:p>
        </w:tc>
        <w:tc>
          <w:tcPr>
            <w:tcW w:w="471" w:type="pct"/>
            <w:noWrap w:val="0"/>
            <w:vAlign w:val="center"/>
          </w:tcPr>
          <w:p w14:paraId="6674EB8E">
            <w:pPr>
              <w:jc w:val="center"/>
              <w:rPr>
                <w:rFonts w:hint="eastAsia" w:ascii="仿宋" w:hAnsi="仿宋" w:eastAsia="仿宋" w:cs="仿宋"/>
                <w:szCs w:val="21"/>
                <w:highlight w:val="none"/>
              </w:rPr>
            </w:pPr>
          </w:p>
        </w:tc>
        <w:tc>
          <w:tcPr>
            <w:tcW w:w="678" w:type="pct"/>
            <w:noWrap w:val="0"/>
            <w:vAlign w:val="center"/>
          </w:tcPr>
          <w:p w14:paraId="0EB8F296">
            <w:pPr>
              <w:jc w:val="center"/>
              <w:rPr>
                <w:rFonts w:hint="eastAsia" w:ascii="仿宋" w:hAnsi="仿宋" w:eastAsia="仿宋" w:cs="仿宋"/>
                <w:szCs w:val="21"/>
                <w:highlight w:val="none"/>
              </w:rPr>
            </w:pPr>
          </w:p>
        </w:tc>
        <w:tc>
          <w:tcPr>
            <w:tcW w:w="645" w:type="pct"/>
            <w:noWrap w:val="0"/>
            <w:vAlign w:val="center"/>
          </w:tcPr>
          <w:p w14:paraId="4C912ECB">
            <w:pPr>
              <w:jc w:val="center"/>
              <w:rPr>
                <w:rFonts w:hint="eastAsia" w:ascii="仿宋" w:hAnsi="仿宋" w:eastAsia="仿宋" w:cs="仿宋"/>
                <w:szCs w:val="21"/>
                <w:highlight w:val="none"/>
              </w:rPr>
            </w:pPr>
          </w:p>
        </w:tc>
        <w:tc>
          <w:tcPr>
            <w:tcW w:w="641" w:type="pct"/>
            <w:noWrap w:val="0"/>
            <w:vAlign w:val="center"/>
          </w:tcPr>
          <w:p w14:paraId="1CDCF4D4">
            <w:pPr>
              <w:jc w:val="center"/>
              <w:rPr>
                <w:rFonts w:hint="eastAsia" w:ascii="仿宋" w:hAnsi="仿宋" w:eastAsia="仿宋" w:cs="仿宋"/>
                <w:szCs w:val="21"/>
                <w:highlight w:val="none"/>
              </w:rPr>
            </w:pPr>
          </w:p>
        </w:tc>
        <w:tc>
          <w:tcPr>
            <w:tcW w:w="565" w:type="pct"/>
            <w:noWrap w:val="0"/>
            <w:vAlign w:val="center"/>
          </w:tcPr>
          <w:p w14:paraId="1082D336">
            <w:pPr>
              <w:jc w:val="center"/>
              <w:rPr>
                <w:rFonts w:hint="eastAsia" w:ascii="仿宋" w:hAnsi="仿宋" w:eastAsia="仿宋" w:cs="仿宋"/>
                <w:szCs w:val="21"/>
                <w:highlight w:val="none"/>
              </w:rPr>
            </w:pPr>
          </w:p>
        </w:tc>
        <w:tc>
          <w:tcPr>
            <w:tcW w:w="821" w:type="pct"/>
            <w:noWrap w:val="0"/>
            <w:vAlign w:val="center"/>
          </w:tcPr>
          <w:p w14:paraId="4BE65D99">
            <w:pPr>
              <w:jc w:val="center"/>
              <w:rPr>
                <w:rFonts w:hint="eastAsia" w:ascii="仿宋" w:hAnsi="仿宋" w:eastAsia="仿宋" w:cs="仿宋"/>
                <w:szCs w:val="21"/>
                <w:highlight w:val="none"/>
              </w:rPr>
            </w:pPr>
          </w:p>
        </w:tc>
        <w:tc>
          <w:tcPr>
            <w:tcW w:w="709" w:type="pct"/>
            <w:noWrap w:val="0"/>
            <w:vAlign w:val="center"/>
          </w:tcPr>
          <w:p w14:paraId="68E3E2C5">
            <w:pPr>
              <w:jc w:val="center"/>
              <w:rPr>
                <w:rFonts w:hint="eastAsia" w:ascii="仿宋" w:hAnsi="仿宋" w:eastAsia="仿宋" w:cs="仿宋"/>
                <w:szCs w:val="21"/>
                <w:highlight w:val="none"/>
              </w:rPr>
            </w:pPr>
          </w:p>
        </w:tc>
      </w:tr>
    </w:tbl>
    <w:p w14:paraId="422B80E8">
      <w:pPr>
        <w:spacing w:line="360" w:lineRule="auto"/>
        <w:jc w:val="left"/>
        <w:rPr>
          <w:rFonts w:hint="eastAsia" w:ascii="仿宋" w:hAnsi="仿宋" w:eastAsia="仿宋" w:cs="仿宋"/>
          <w:b/>
          <w:bCs/>
          <w:color w:val="000000"/>
          <w:sz w:val="24"/>
          <w:highlight w:val="none"/>
        </w:rPr>
      </w:pPr>
    </w:p>
    <w:p w14:paraId="30B08A07">
      <w:pPr>
        <w:spacing w:line="360" w:lineRule="auto"/>
        <w:jc w:val="left"/>
        <w:rPr>
          <w:rFonts w:hint="eastAsia" w:ascii="仿宋" w:hAnsi="仿宋" w:eastAsia="仿宋" w:cs="仿宋"/>
          <w:b/>
          <w:bCs/>
          <w:color w:val="000000"/>
          <w:sz w:val="24"/>
          <w:highlight w:val="none"/>
        </w:rPr>
      </w:pPr>
    </w:p>
    <w:p w14:paraId="2C29227B">
      <w:pPr>
        <w:spacing w:line="360" w:lineRule="auto"/>
        <w:jc w:val="left"/>
        <w:rPr>
          <w:rFonts w:hint="eastAsia" w:ascii="仿宋" w:hAnsi="仿宋" w:eastAsia="仿宋" w:cs="仿宋"/>
          <w:b/>
          <w:bCs/>
          <w:color w:val="000000"/>
          <w:sz w:val="24"/>
          <w:highlight w:val="none"/>
        </w:rPr>
      </w:pPr>
    </w:p>
    <w:p w14:paraId="50BE8A2A">
      <w:pPr>
        <w:spacing w:line="360" w:lineRule="auto"/>
        <w:jc w:val="left"/>
        <w:rPr>
          <w:rFonts w:hint="eastAsia" w:ascii="仿宋" w:hAnsi="仿宋" w:eastAsia="仿宋" w:cs="仿宋"/>
          <w:b/>
          <w:bCs/>
          <w:color w:val="000000"/>
          <w:sz w:val="24"/>
          <w:highlight w:val="none"/>
        </w:rPr>
      </w:pPr>
    </w:p>
    <w:p w14:paraId="2D1BE9BB">
      <w:pPr>
        <w:spacing w:line="360" w:lineRule="auto"/>
        <w:jc w:val="left"/>
        <w:rPr>
          <w:rFonts w:hint="eastAsia" w:ascii="仿宋" w:hAnsi="仿宋" w:eastAsia="仿宋" w:cs="仿宋"/>
          <w:b/>
          <w:bCs/>
          <w:color w:val="000000"/>
          <w:sz w:val="24"/>
          <w:highlight w:val="none"/>
        </w:rPr>
      </w:pPr>
    </w:p>
    <w:p w14:paraId="77FED699">
      <w:pPr>
        <w:spacing w:line="360" w:lineRule="auto"/>
        <w:jc w:val="left"/>
        <w:rPr>
          <w:rFonts w:hint="eastAsia" w:ascii="仿宋" w:hAnsi="仿宋" w:eastAsia="仿宋" w:cs="仿宋"/>
          <w:b/>
          <w:bCs/>
          <w:color w:val="000000"/>
          <w:sz w:val="24"/>
          <w:highlight w:val="none"/>
        </w:rPr>
      </w:pPr>
    </w:p>
    <w:p w14:paraId="7A84664E">
      <w:pPr>
        <w:spacing w:line="360" w:lineRule="auto"/>
        <w:jc w:val="left"/>
        <w:rPr>
          <w:rFonts w:hint="eastAsia" w:ascii="仿宋" w:hAnsi="仿宋" w:eastAsia="仿宋" w:cs="仿宋"/>
          <w:b/>
          <w:bCs/>
          <w:color w:val="000000"/>
          <w:sz w:val="24"/>
          <w:highlight w:val="none"/>
        </w:rPr>
      </w:pPr>
    </w:p>
    <w:p w14:paraId="0EEDD0BD">
      <w:pPr>
        <w:spacing w:line="360" w:lineRule="auto"/>
        <w:jc w:val="left"/>
        <w:rPr>
          <w:rFonts w:hint="eastAsia" w:ascii="仿宋" w:hAnsi="仿宋" w:eastAsia="仿宋" w:cs="仿宋"/>
          <w:b/>
          <w:bCs/>
          <w:color w:val="000000"/>
          <w:sz w:val="24"/>
          <w:highlight w:val="none"/>
        </w:rPr>
      </w:pPr>
    </w:p>
    <w:p w14:paraId="581A4C26">
      <w:pPr>
        <w:spacing w:line="360" w:lineRule="auto"/>
        <w:jc w:val="left"/>
        <w:rPr>
          <w:rFonts w:hint="eastAsia" w:ascii="仿宋" w:hAnsi="仿宋" w:eastAsia="仿宋" w:cs="仿宋"/>
          <w:b/>
          <w:bCs/>
          <w:color w:val="000000"/>
          <w:sz w:val="24"/>
          <w:highlight w:val="none"/>
        </w:rPr>
      </w:pPr>
    </w:p>
    <w:p w14:paraId="092A3165">
      <w:pPr>
        <w:spacing w:line="360" w:lineRule="auto"/>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备注：</w:t>
      </w:r>
    </w:p>
    <w:p w14:paraId="0206F7B1">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1）有效的业绩证明材料包含但不限于合同关键页复印件（合同首页、合同标的页、签署日期页及盖章页等），按照业绩表的项目名称，顺序排放每个项目的证明材料。</w:t>
      </w:r>
    </w:p>
    <w:p w14:paraId="7D119A36">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2）按照磋商公告的资格要求提供有效的实施经验证明材料，作为资格后审的评审依据。</w:t>
      </w:r>
    </w:p>
    <w:p w14:paraId="4B5E34C6">
      <w:pPr>
        <w:spacing w:line="360" w:lineRule="auto"/>
        <w:textAlignment w:val="baseline"/>
        <w:rPr>
          <w:rFonts w:hint="eastAsia" w:ascii="仿宋" w:hAnsi="仿宋" w:eastAsia="仿宋"/>
          <w:b/>
          <w:color w:val="000000"/>
          <w:sz w:val="24"/>
          <w:highlight w:val="none"/>
        </w:rPr>
      </w:pPr>
      <w:r>
        <w:rPr>
          <w:rFonts w:hint="eastAsia" w:ascii="仿宋" w:hAnsi="仿宋" w:eastAsia="仿宋"/>
          <w:b/>
          <w:color w:val="000000"/>
          <w:sz w:val="24"/>
          <w:highlight w:val="none"/>
        </w:rPr>
        <w:t>3）本业绩表及证明材料也作为详细评审中对供应商同类项目实施经验的评审及打分依据，供应商需根据详细评审标准的要求，提供符合要求的业绩证明材料。</w:t>
      </w:r>
    </w:p>
    <w:p w14:paraId="0EF37CB7">
      <w:pPr>
        <w:spacing w:line="360" w:lineRule="auto"/>
        <w:jc w:val="left"/>
        <w:rPr>
          <w:rFonts w:hint="eastAsia" w:ascii="仿宋" w:hAnsi="仿宋" w:eastAsia="仿宋" w:cs="仿宋"/>
          <w:color w:val="000000"/>
          <w:sz w:val="24"/>
          <w:highlight w:val="none"/>
        </w:rPr>
      </w:pPr>
    </w:p>
    <w:p w14:paraId="798E6DD1">
      <w:pPr>
        <w:spacing w:line="360" w:lineRule="auto"/>
        <w:ind w:firstLine="480" w:firstLineChars="200"/>
        <w:jc w:val="left"/>
        <w:rPr>
          <w:rFonts w:hint="eastAsia" w:ascii="仿宋" w:hAnsi="仿宋" w:eastAsia="仿宋" w:cs="仿宋"/>
          <w:bCs/>
          <w:color w:val="000000"/>
          <w:sz w:val="24"/>
          <w:highlight w:val="none"/>
        </w:rPr>
      </w:pPr>
    </w:p>
    <w:p w14:paraId="23496D95">
      <w:pPr>
        <w:pStyle w:val="107"/>
        <w:topLinePunct/>
        <w:adjustRightInd w:val="0"/>
        <w:snapToGrid w:val="0"/>
        <w:spacing w:line="360" w:lineRule="auto"/>
        <w:ind w:left="1575" w:firstLine="0" w:firstLineChars="0"/>
        <w:rPr>
          <w:rFonts w:hint="eastAsia" w:ascii="仿宋" w:hAnsi="仿宋" w:eastAsia="仿宋" w:cs="仿宋"/>
          <w:bCs/>
          <w:color w:val="000000"/>
          <w:sz w:val="24"/>
          <w:highlight w:val="none"/>
        </w:rPr>
      </w:pPr>
    </w:p>
    <w:p w14:paraId="11ABDCE4">
      <w:pPr>
        <w:pStyle w:val="107"/>
        <w:topLinePunct/>
        <w:adjustRightInd w:val="0"/>
        <w:snapToGrid w:val="0"/>
        <w:spacing w:line="360" w:lineRule="auto"/>
        <w:ind w:left="1575" w:firstLine="0" w:firstLineChars="0"/>
        <w:rPr>
          <w:rFonts w:hint="eastAsia" w:ascii="仿宋" w:hAnsi="仿宋" w:eastAsia="仿宋" w:cs="仿宋"/>
          <w:bCs/>
          <w:color w:val="000000"/>
          <w:sz w:val="24"/>
          <w:highlight w:val="none"/>
        </w:rPr>
      </w:pPr>
    </w:p>
    <w:p w14:paraId="36108646">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043ABCCB">
      <w:pPr>
        <w:spacing w:line="360" w:lineRule="auto"/>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410B5605">
      <w:pPr>
        <w:pStyle w:val="2"/>
        <w:rPr>
          <w:rFonts w:hint="eastAsia" w:ascii="仿宋" w:hAnsi="仿宋" w:eastAsia="仿宋" w:cs="Cambria Math"/>
          <w:color w:val="000000"/>
          <w:sz w:val="24"/>
          <w:highlight w:val="none"/>
        </w:rPr>
      </w:pPr>
    </w:p>
    <w:p w14:paraId="6F7E7691">
      <w:pPr>
        <w:pStyle w:val="6"/>
        <w:numPr>
          <w:ilvl w:val="0"/>
          <w:numId w:val="0"/>
        </w:numPr>
        <w:spacing w:before="0" w:after="0" w:line="360" w:lineRule="auto"/>
        <w:jc w:val="center"/>
        <w:rPr>
          <w:rFonts w:hint="eastAsia" w:ascii="仿宋" w:hAnsi="仿宋" w:eastAsia="仿宋" w:cs="仿宋"/>
          <w:color w:val="000000"/>
          <w:sz w:val="24"/>
          <w:szCs w:val="24"/>
          <w:highlight w:val="none"/>
          <w:lang w:val="en-US" w:eastAsia="zh-CN"/>
        </w:rPr>
      </w:pPr>
      <w:bookmarkStart w:id="198" w:name="_Toc21039"/>
      <w:bookmarkStart w:id="199" w:name="_Toc951"/>
      <w:bookmarkStart w:id="200" w:name="_Toc15732"/>
      <w:r>
        <w:rPr>
          <w:rFonts w:hint="eastAsia" w:ascii="仿宋" w:hAnsi="仿宋" w:eastAsia="仿宋" w:cs="仿宋"/>
          <w:color w:val="000000"/>
          <w:sz w:val="24"/>
          <w:szCs w:val="24"/>
          <w:highlight w:val="none"/>
          <w:lang w:val="en-US" w:eastAsia="zh-CN"/>
        </w:rPr>
        <w:t>具有履行合同所必需的设备和专业技术能力的承诺函</w:t>
      </w:r>
      <w:bookmarkEnd w:id="198"/>
      <w:bookmarkEnd w:id="199"/>
      <w:bookmarkEnd w:id="200"/>
    </w:p>
    <w:p w14:paraId="4F9D83EA">
      <w:pPr>
        <w:rPr>
          <w:lang w:eastAsia="zh-CN"/>
        </w:rPr>
      </w:pPr>
    </w:p>
    <w:p w14:paraId="3915892E">
      <w:pPr>
        <w:spacing w:line="360" w:lineRule="auto"/>
        <w:ind w:firstLine="480" w:firstLineChars="200"/>
        <w:textAlignment w:val="baseline"/>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eastAsia="zh-CN"/>
        </w:rPr>
        <w:t>致:</w:t>
      </w:r>
      <w:r>
        <w:rPr>
          <w:rFonts w:hint="eastAsia" w:ascii="仿宋" w:hAnsi="仿宋" w:eastAsia="仿宋" w:cs="仿宋"/>
          <w:color w:val="000000"/>
          <w:sz w:val="24"/>
          <w:highlight w:val="none"/>
          <w:lang w:val="en-US" w:eastAsia="zh-CN"/>
        </w:rPr>
        <w:t>_</w:t>
      </w:r>
      <w:r>
        <w:rPr>
          <w:rFonts w:hint="eastAsia" w:ascii="仿宋" w:hAnsi="仿宋" w:eastAsia="仿宋" w:cs="Cambria Math"/>
          <w:color w:val="000000"/>
          <w:sz w:val="24"/>
          <w:szCs w:val="24"/>
          <w:highlight w:val="none"/>
          <w:u w:val="single"/>
          <w:lang w:eastAsia="zh-CN"/>
        </w:rPr>
        <w:t>（</w:t>
      </w:r>
      <w:r>
        <w:rPr>
          <w:rFonts w:hint="eastAsia" w:ascii="仿宋" w:hAnsi="仿宋" w:eastAsia="仿宋" w:cs="Cambria Math"/>
          <w:color w:val="000000"/>
          <w:sz w:val="24"/>
          <w:szCs w:val="24"/>
          <w:highlight w:val="none"/>
          <w:u w:val="single"/>
          <w:lang w:val="en-US" w:eastAsia="zh-CN"/>
        </w:rPr>
        <w:t>采购人名称</w:t>
      </w:r>
      <w:r>
        <w:rPr>
          <w:rFonts w:hint="eastAsia" w:ascii="仿宋" w:hAnsi="仿宋" w:eastAsia="仿宋" w:cs="Cambria Math"/>
          <w:color w:val="000000"/>
          <w:sz w:val="24"/>
          <w:szCs w:val="24"/>
          <w:highlight w:val="none"/>
          <w:u w:val="single"/>
          <w:lang w:eastAsia="zh-CN"/>
        </w:rPr>
        <w:t>）</w:t>
      </w:r>
      <w:r>
        <w:rPr>
          <w:rFonts w:hint="eastAsia" w:ascii="仿宋" w:hAnsi="仿宋" w:eastAsia="仿宋" w:cs="仿宋"/>
          <w:color w:val="000000"/>
          <w:sz w:val="24"/>
          <w:highlight w:val="none"/>
          <w:lang w:val="en-US" w:eastAsia="zh-CN"/>
        </w:rPr>
        <w:t>___________</w:t>
      </w:r>
    </w:p>
    <w:p w14:paraId="6D95D0DC">
      <w:pPr>
        <w:pStyle w:val="13"/>
        <w:rPr>
          <w:rFonts w:hint="default"/>
          <w:lang w:val="en-US" w:eastAsia="zh-CN"/>
        </w:rPr>
      </w:pPr>
    </w:p>
    <w:p w14:paraId="703C11A8">
      <w:pPr>
        <w:spacing w:line="360" w:lineRule="auto"/>
        <w:ind w:firstLine="480" w:firstLineChars="200"/>
        <w:textAlignment w:val="baseline"/>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eastAsia="zh-CN"/>
        </w:rPr>
        <w:t>我方收到贵方招标采购文件，在完全理解该项目采购服务要求和商务要求以及其他内容后，我供应商决定参加该项目招标采购并承诺具有履行合同所必需的设备和专业技术能力。</w:t>
      </w:r>
      <w:r>
        <w:rPr>
          <w:rFonts w:hint="eastAsia" w:ascii="仿宋" w:hAnsi="仿宋" w:eastAsia="仿宋" w:cs="仿宋"/>
          <w:color w:val="000000"/>
          <w:sz w:val="24"/>
          <w:highlight w:val="none"/>
          <w:lang w:val="en-US" w:eastAsia="zh-CN"/>
        </w:rPr>
        <w:t xml:space="preserve">      </w:t>
      </w:r>
    </w:p>
    <w:p w14:paraId="70F37916">
      <w:pPr>
        <w:spacing w:line="360" w:lineRule="auto"/>
        <w:ind w:firstLine="480" w:firstLineChars="200"/>
        <w:textAlignment w:val="baseline"/>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特此承诺。</w:t>
      </w:r>
    </w:p>
    <w:p w14:paraId="7CD45273">
      <w:pPr>
        <w:spacing w:line="360" w:lineRule="auto"/>
        <w:ind w:firstLine="480" w:firstLineChars="200"/>
        <w:textAlignment w:val="baseline"/>
        <w:rPr>
          <w:rFonts w:hint="eastAsia" w:ascii="仿宋" w:hAnsi="仿宋" w:eastAsia="仿宋" w:cs="仿宋"/>
          <w:color w:val="000000"/>
          <w:sz w:val="24"/>
          <w:highlight w:val="none"/>
          <w:lang w:eastAsia="zh-CN"/>
        </w:rPr>
      </w:pPr>
    </w:p>
    <w:p w14:paraId="60C2C24E">
      <w:pPr>
        <w:spacing w:line="360" w:lineRule="auto"/>
        <w:ind w:firstLine="480" w:firstLineChars="200"/>
        <w:textAlignment w:val="baseline"/>
        <w:rPr>
          <w:rFonts w:hint="eastAsia" w:ascii="仿宋" w:hAnsi="仿宋" w:eastAsia="仿宋" w:cs="仿宋"/>
          <w:color w:val="000000"/>
          <w:sz w:val="24"/>
          <w:highlight w:val="none"/>
          <w:lang w:eastAsia="zh-CN"/>
        </w:rPr>
      </w:pPr>
    </w:p>
    <w:p w14:paraId="07CFA567">
      <w:pPr>
        <w:pStyle w:val="2"/>
        <w:spacing w:line="243" w:lineRule="auto"/>
        <w:rPr>
          <w:rFonts w:ascii="仿宋_GB2312" w:hAnsi="宋体" w:eastAsia="仿宋_GB2312" w:cs="宋体"/>
          <w:sz w:val="32"/>
          <w:szCs w:val="32"/>
          <w:lang w:eastAsia="zh-CN"/>
        </w:rPr>
      </w:pPr>
    </w:p>
    <w:p w14:paraId="619B771C">
      <w:pPr>
        <w:pStyle w:val="2"/>
        <w:spacing w:line="243" w:lineRule="auto"/>
        <w:rPr>
          <w:rFonts w:ascii="仿宋_GB2312" w:hAnsi="宋体" w:eastAsia="仿宋_GB2312" w:cs="宋体"/>
          <w:sz w:val="32"/>
          <w:szCs w:val="32"/>
          <w:lang w:eastAsia="zh-CN"/>
        </w:rPr>
      </w:pPr>
    </w:p>
    <w:p w14:paraId="6EEBE140">
      <w:pPr>
        <w:pStyle w:val="2"/>
        <w:spacing w:line="244" w:lineRule="auto"/>
        <w:rPr>
          <w:rFonts w:ascii="仿宋_GB2312" w:hAnsi="宋体" w:eastAsia="仿宋_GB2312" w:cs="宋体"/>
          <w:sz w:val="32"/>
          <w:szCs w:val="32"/>
          <w:lang w:eastAsia="zh-CN"/>
        </w:rPr>
      </w:pPr>
    </w:p>
    <w:p w14:paraId="56585273">
      <w:pPr>
        <w:pStyle w:val="2"/>
        <w:spacing w:line="244" w:lineRule="auto"/>
        <w:rPr>
          <w:rFonts w:ascii="仿宋_GB2312" w:hAnsi="宋体" w:eastAsia="仿宋_GB2312" w:cs="宋体"/>
          <w:sz w:val="32"/>
          <w:szCs w:val="32"/>
          <w:lang w:eastAsia="zh-CN"/>
        </w:rPr>
      </w:pPr>
    </w:p>
    <w:p w14:paraId="7117D89C">
      <w:pPr>
        <w:rPr>
          <w:lang w:eastAsia="zh-CN"/>
        </w:rPr>
      </w:pPr>
    </w:p>
    <w:p w14:paraId="3483EB0D">
      <w:pPr>
        <w:rPr>
          <w:lang w:eastAsia="zh-CN"/>
        </w:rPr>
      </w:pPr>
    </w:p>
    <w:p w14:paraId="545CB252">
      <w:pPr>
        <w:rPr>
          <w:lang w:eastAsia="zh-CN"/>
        </w:rPr>
      </w:pPr>
    </w:p>
    <w:p w14:paraId="402C891A">
      <w:pPr>
        <w:rPr>
          <w:rFonts w:eastAsiaTheme="minorEastAsia"/>
          <w:lang w:eastAsia="zh-CN"/>
        </w:rPr>
      </w:pPr>
    </w:p>
    <w:p w14:paraId="5D9809CA">
      <w:pPr>
        <w:pStyle w:val="13"/>
        <w:rPr>
          <w:rFonts w:eastAsiaTheme="minorEastAsia"/>
          <w:lang w:eastAsia="zh-CN"/>
        </w:rPr>
      </w:pPr>
    </w:p>
    <w:p w14:paraId="23F19A02">
      <w:pPr>
        <w:rPr>
          <w:rFonts w:eastAsiaTheme="minorEastAsia"/>
          <w:lang w:eastAsia="zh-CN"/>
        </w:rPr>
      </w:pPr>
    </w:p>
    <w:p w14:paraId="69433E0A">
      <w:pPr>
        <w:pStyle w:val="13"/>
        <w:rPr>
          <w:rFonts w:eastAsiaTheme="minorEastAsia"/>
          <w:lang w:eastAsia="zh-CN"/>
        </w:rPr>
      </w:pPr>
    </w:p>
    <w:p w14:paraId="79398EAB">
      <w:pPr>
        <w:rPr>
          <w:rFonts w:eastAsiaTheme="minorEastAsia"/>
          <w:lang w:eastAsia="zh-CN"/>
        </w:rPr>
      </w:pPr>
    </w:p>
    <w:p w14:paraId="27D92BF8">
      <w:pPr>
        <w:pStyle w:val="13"/>
        <w:rPr>
          <w:lang w:eastAsia="zh-CN"/>
        </w:rPr>
      </w:pPr>
    </w:p>
    <w:p w14:paraId="2BC6A24B">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lang w:val="en-US" w:eastAsia="zh-CN"/>
        </w:rPr>
        <w:t>供应商</w:t>
      </w:r>
      <w:r>
        <w:rPr>
          <w:rFonts w:hint="eastAsia" w:ascii="仿宋" w:hAnsi="仿宋" w:eastAsia="仿宋" w:cs="Cambria Math"/>
          <w:color w:val="000000"/>
          <w:sz w:val="24"/>
          <w:highlight w:val="none"/>
        </w:rPr>
        <w:t>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0FBEEFB1">
      <w:pPr>
        <w:spacing w:line="360" w:lineRule="auto"/>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6C33E2DA">
      <w:pPr>
        <w:pStyle w:val="6"/>
        <w:numPr>
          <w:ilvl w:val="0"/>
          <w:numId w:val="0"/>
        </w:numPr>
        <w:spacing w:before="0" w:after="0" w:line="360" w:lineRule="auto"/>
        <w:rPr>
          <w:rFonts w:hint="eastAsia" w:ascii="仿宋" w:hAnsi="仿宋" w:eastAsia="仿宋" w:cs="仿宋"/>
          <w:color w:val="000000"/>
          <w:sz w:val="24"/>
          <w:szCs w:val="24"/>
          <w:highlight w:val="none"/>
        </w:rPr>
      </w:pPr>
      <w:r>
        <w:rPr>
          <w:highlight w:val="none"/>
        </w:rPr>
        <w:br w:type="page"/>
      </w:r>
      <w:r>
        <w:rPr>
          <w:rFonts w:hint="eastAsia" w:ascii="仿宋" w:hAnsi="仿宋" w:eastAsia="仿宋" w:cs="仿宋"/>
          <w:sz w:val="24"/>
          <w:szCs w:val="24"/>
          <w:highlight w:val="none"/>
          <w:lang w:val="en-US" w:eastAsia="zh-CN"/>
        </w:rPr>
        <w:t>4、</w:t>
      </w:r>
      <w:r>
        <w:rPr>
          <w:rFonts w:hint="eastAsia" w:ascii="仿宋" w:hAnsi="仿宋" w:eastAsia="仿宋" w:cs="仿宋"/>
          <w:color w:val="000000"/>
          <w:sz w:val="24"/>
          <w:szCs w:val="24"/>
          <w:highlight w:val="none"/>
        </w:rPr>
        <w:t>税收和社保证明材料</w:t>
      </w:r>
    </w:p>
    <w:p w14:paraId="3CC0B51E">
      <w:pPr>
        <w:spacing w:line="360" w:lineRule="auto"/>
        <w:textAlignment w:val="baseline"/>
        <w:rPr>
          <w:rFonts w:hint="eastAsia" w:ascii="仿宋" w:hAnsi="仿宋" w:eastAsia="仿宋" w:cs="宋体"/>
          <w:color w:val="000000"/>
          <w:sz w:val="24"/>
          <w:highlight w:val="none"/>
        </w:rPr>
      </w:pPr>
      <w:r>
        <w:rPr>
          <w:rFonts w:hint="eastAsia" w:ascii="仿宋" w:hAnsi="仿宋" w:eastAsia="仿宋" w:cs="宋体"/>
          <w:color w:val="000000"/>
          <w:sz w:val="24"/>
          <w:highlight w:val="none"/>
        </w:rPr>
        <w:t>提供6个月任意一个月的企业税收和社会保障资金缴纳凭证。</w:t>
      </w:r>
    </w:p>
    <w:p w14:paraId="2DBC919F">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p>
    <w:p w14:paraId="3E56C6A6">
      <w:pPr>
        <w:pStyle w:val="6"/>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5、无违法违规记录查询截图</w:t>
      </w:r>
    </w:p>
    <w:p w14:paraId="5D8E8B5B">
      <w:pPr>
        <w:spacing w:line="360" w:lineRule="auto"/>
        <w:ind w:firstLine="480" w:firstLineChars="200"/>
        <w:textAlignment w:val="baseline"/>
        <w:rPr>
          <w:rStyle w:val="49"/>
        </w:rPr>
      </w:pPr>
      <w:r>
        <w:rPr>
          <w:rFonts w:hint="eastAsia" w:ascii="仿宋" w:hAnsi="仿宋" w:eastAsia="仿宋" w:cs="Cambria Math"/>
          <w:color w:val="000000"/>
          <w:sz w:val="24"/>
          <w:lang w:val="en-US" w:eastAsia="zh-CN"/>
        </w:rPr>
        <w:t>信用中国</w:t>
      </w:r>
      <w:r>
        <w:rPr>
          <w:rFonts w:hint="eastAsia" w:ascii="仿宋" w:hAnsi="仿宋" w:eastAsia="仿宋" w:cs="Cambria Math"/>
          <w:color w:val="000000"/>
          <w:sz w:val="24"/>
        </w:rPr>
        <w:t>查询网址：</w:t>
      </w:r>
      <w:r>
        <w:fldChar w:fldCharType="begin"/>
      </w:r>
      <w:r>
        <w:rPr>
          <w:rStyle w:val="49"/>
        </w:rPr>
        <w:instrText xml:space="preserve"> </w:instrText>
      </w:r>
      <w:r>
        <w:rPr>
          <w:rStyle w:val="49"/>
          <w:rFonts w:hint="eastAsia"/>
        </w:rPr>
        <w:instrText xml:space="preserve">HYPERLINK "https://www.creditchina.gov.cn/xinyongfuwu/?navPage=5"</w:instrText>
      </w:r>
      <w:r>
        <w:rPr>
          <w:rStyle w:val="49"/>
        </w:rPr>
        <w:instrText xml:space="preserve"> </w:instrText>
      </w:r>
      <w:r>
        <w:fldChar w:fldCharType="separate"/>
      </w:r>
      <w:r>
        <w:rPr>
          <w:rStyle w:val="49"/>
          <w:rFonts w:hint="eastAsia"/>
        </w:rPr>
        <w:t>https://www.creditchina.gov.cn/xinyongfuwu/?navPage=5</w:t>
      </w:r>
      <w:r>
        <w:fldChar w:fldCharType="end"/>
      </w:r>
    </w:p>
    <w:p w14:paraId="6243574C">
      <w:pPr>
        <w:spacing w:line="360" w:lineRule="auto"/>
        <w:textAlignment w:val="baseline"/>
        <w:rPr>
          <w:color w:val="333333"/>
          <w:highlight w:val="none"/>
        </w:rPr>
      </w:pPr>
      <w:r>
        <w:rPr>
          <w:rFonts w:hint="eastAsia" w:ascii="仿宋" w:hAnsi="仿宋" w:eastAsia="仿宋" w:cs="Cambria Math"/>
          <w:sz w:val="24"/>
          <w:highlight w:val="none"/>
        </w:rPr>
        <w:t>（1）失信被执行人查询截图范例：</w:t>
      </w:r>
    </w:p>
    <w:p w14:paraId="1CBCF161">
      <w:pPr>
        <w:ind w:firstLine="210" w:firstLineChars="100"/>
        <w:rPr>
          <w:highlight w:val="none"/>
        </w:rPr>
      </w:pPr>
      <w:r>
        <w:rPr>
          <w:highlight w:val="none"/>
        </w:rPr>
        <w:drawing>
          <wp:inline distT="0" distB="0" distL="114300" distR="114300">
            <wp:extent cx="5909310" cy="3769360"/>
            <wp:effectExtent l="0" t="0" r="8890" b="254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4"/>
                    <a:srcRect b="11951"/>
                    <a:stretch>
                      <a:fillRect/>
                    </a:stretch>
                  </pic:blipFill>
                  <pic:spPr>
                    <a:xfrm>
                      <a:off x="0" y="0"/>
                      <a:ext cx="5909310" cy="3769360"/>
                    </a:xfrm>
                    <a:prstGeom prst="rect">
                      <a:avLst/>
                    </a:prstGeom>
                    <a:noFill/>
                    <a:ln>
                      <a:noFill/>
                    </a:ln>
                  </pic:spPr>
                </pic:pic>
              </a:graphicData>
            </a:graphic>
          </wp:inline>
        </w:drawing>
      </w:r>
    </w:p>
    <w:p w14:paraId="59BBFAB7">
      <w:pPr>
        <w:rPr>
          <w:rFonts w:hint="eastAsia" w:ascii="仿宋" w:hAnsi="仿宋" w:eastAsia="仿宋"/>
          <w:color w:val="000000"/>
          <w:szCs w:val="21"/>
          <w:highlight w:val="none"/>
        </w:rPr>
      </w:pPr>
      <w:r>
        <w:rPr>
          <w:rFonts w:hint="eastAsia" w:ascii="仿宋" w:hAnsi="仿宋" w:eastAsia="仿宋" w:cs="Cambria Math"/>
          <w:sz w:val="24"/>
          <w:highlight w:val="none"/>
        </w:rPr>
        <w:t>（2）</w:t>
      </w:r>
      <w:r>
        <w:rPr>
          <w:rFonts w:hint="eastAsia" w:ascii="仿宋" w:hAnsi="仿宋" w:eastAsia="仿宋" w:cs="微软雅黑"/>
          <w:color w:val="000000"/>
          <w:sz w:val="24"/>
          <w:highlight w:val="none"/>
        </w:rPr>
        <w:t>重大</w:t>
      </w:r>
      <w:r>
        <w:rPr>
          <w:rFonts w:hint="eastAsia" w:ascii="仿宋" w:hAnsi="仿宋" w:eastAsia="仿宋" w:cs="仿宋"/>
          <w:color w:val="000000"/>
          <w:sz w:val="24"/>
          <w:highlight w:val="none"/>
        </w:rPr>
        <w:t>税收违法失信主体</w:t>
      </w:r>
      <w:r>
        <w:rPr>
          <w:rFonts w:hint="eastAsia" w:ascii="仿宋" w:hAnsi="仿宋" w:eastAsia="仿宋" w:cs="微软雅黑"/>
          <w:color w:val="000000"/>
          <w:sz w:val="24"/>
          <w:highlight w:val="none"/>
        </w:rPr>
        <w:t>查询截图范例：</w:t>
      </w:r>
    </w:p>
    <w:p w14:paraId="6FFF65C5">
      <w:pPr>
        <w:rPr>
          <w:rFonts w:hint="eastAsia" w:ascii="仿宋" w:hAnsi="仿宋" w:eastAsia="仿宋" w:cs="Cambria Math"/>
          <w:sz w:val="24"/>
          <w:highlight w:val="none"/>
        </w:rPr>
      </w:pPr>
      <w:r>
        <w:rPr>
          <w:rFonts w:ascii="仿宋" w:hAnsi="仿宋" w:eastAsia="仿宋"/>
          <w:color w:val="000000"/>
          <w:szCs w:val="21"/>
          <w:highlight w:val="none"/>
        </w:rPr>
        <w:drawing>
          <wp:inline distT="0" distB="0" distL="114300" distR="114300">
            <wp:extent cx="6119495" cy="3312795"/>
            <wp:effectExtent l="0" t="0" r="1905" b="1905"/>
            <wp:docPr id="7"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微信图片_20220713154746"/>
                    <pic:cNvPicPr>
                      <a:picLocks noChangeAspect="1"/>
                    </pic:cNvPicPr>
                  </pic:nvPicPr>
                  <pic:blipFill>
                    <a:blip r:embed="rId15"/>
                    <a:stretch>
                      <a:fillRect/>
                    </a:stretch>
                  </pic:blipFill>
                  <pic:spPr>
                    <a:xfrm>
                      <a:off x="0" y="0"/>
                      <a:ext cx="6119495" cy="3312795"/>
                    </a:xfrm>
                    <a:prstGeom prst="rect">
                      <a:avLst/>
                    </a:prstGeom>
                    <a:noFill/>
                    <a:ln>
                      <a:noFill/>
                    </a:ln>
                  </pic:spPr>
                </pic:pic>
              </a:graphicData>
            </a:graphic>
          </wp:inline>
        </w:drawing>
      </w:r>
    </w:p>
    <w:p w14:paraId="5EB1D0FE">
      <w:pPr>
        <w:ind w:firstLine="240" w:firstLineChars="100"/>
        <w:rPr>
          <w:rFonts w:ascii="仿宋" w:hAnsi="仿宋" w:eastAsia="仿宋" w:cs="Cambria Math"/>
          <w:sz w:val="24"/>
          <w:highlight w:val="none"/>
        </w:rPr>
      </w:pPr>
      <w:r>
        <w:rPr>
          <w:rFonts w:hint="eastAsia" w:ascii="仿宋" w:hAnsi="仿宋" w:eastAsia="仿宋" w:cs="Cambria Math"/>
          <w:sz w:val="24"/>
          <w:highlight w:val="none"/>
        </w:rPr>
        <w:t>（3）政府采购严重违法失信行为记录名单查询截图范例：</w:t>
      </w:r>
    </w:p>
    <w:p w14:paraId="2C7FC6C9">
      <w:pPr>
        <w:ind w:firstLine="210" w:firstLineChars="100"/>
        <w:rPr>
          <w:highlight w:val="none"/>
        </w:rPr>
      </w:pPr>
      <w:r>
        <w:rPr>
          <w:highlight w:val="none"/>
        </w:rP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6"/>
                    <a:stretch>
                      <a:fillRect/>
                    </a:stretch>
                  </pic:blipFill>
                  <pic:spPr>
                    <a:xfrm>
                      <a:off x="0" y="0"/>
                      <a:ext cx="5976620" cy="3242310"/>
                    </a:xfrm>
                    <a:prstGeom prst="rect">
                      <a:avLst/>
                    </a:prstGeom>
                    <a:noFill/>
                    <a:ln>
                      <a:noFill/>
                    </a:ln>
                  </pic:spPr>
                </pic:pic>
              </a:graphicData>
            </a:graphic>
          </wp:inline>
        </w:drawing>
      </w:r>
    </w:p>
    <w:p w14:paraId="6C859DC5">
      <w:pPr>
        <w:pStyle w:val="6"/>
        <w:spacing w:before="0" w:after="0" w:line="360" w:lineRule="auto"/>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br w:type="page"/>
      </w:r>
      <w:r>
        <w:rPr>
          <w:rFonts w:ascii="仿宋" w:hAnsi="仿宋" w:eastAsia="仿宋" w:cs="仿宋"/>
          <w:color w:val="000000"/>
          <w:sz w:val="24"/>
          <w:szCs w:val="24"/>
          <w:highlight w:val="none"/>
        </w:rPr>
        <w:t>6</w:t>
      </w:r>
      <w:r>
        <w:rPr>
          <w:rFonts w:hint="eastAsia" w:ascii="仿宋" w:hAnsi="仿宋" w:eastAsia="仿宋" w:cs="仿宋"/>
          <w:color w:val="000000"/>
          <w:sz w:val="24"/>
          <w:szCs w:val="24"/>
          <w:highlight w:val="none"/>
        </w:rPr>
        <w:t>、未列入供应商黑名单且未在禁入期承诺函</w:t>
      </w:r>
    </w:p>
    <w:p w14:paraId="178BC533">
      <w:pPr>
        <w:pStyle w:val="2"/>
        <w:spacing w:before="24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u w:val="single"/>
          <w:lang w:val="en-US" w:eastAsia="zh-CN"/>
        </w:rPr>
        <w:t>采购人名称</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rPr>
        <w:t>：</w:t>
      </w:r>
    </w:p>
    <w:p w14:paraId="2C10AB34">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承诺截至本项目响应文件递交截止时间，我方未被列入</w:t>
      </w:r>
      <w:r>
        <w:rPr>
          <w:rFonts w:hint="eastAsia" w:ascii="仿宋" w:hAnsi="仿宋" w:eastAsia="仿宋" w:cs="Cambria Math"/>
          <w:color w:val="000000"/>
          <w:sz w:val="24"/>
          <w:highlight w:val="none"/>
          <w:lang w:val="en-US" w:eastAsia="zh-CN"/>
        </w:rPr>
        <w:t>采购</w:t>
      </w:r>
      <w:r>
        <w:rPr>
          <w:rFonts w:hint="eastAsia" w:ascii="仿宋" w:hAnsi="仿宋" w:eastAsia="仿宋" w:cs="Cambria Math"/>
          <w:color w:val="000000"/>
          <w:sz w:val="24"/>
          <w:highlight w:val="none"/>
        </w:rPr>
        <w:t>人及其所隶属的中国人民保险各级机构的供应商黑名单且未在禁入期内。</w:t>
      </w:r>
    </w:p>
    <w:p w14:paraId="46294A46">
      <w:pPr>
        <w:pStyle w:val="2"/>
        <w:ind w:firstLine="480" w:firstLineChars="200"/>
        <w:jc w:val="both"/>
        <w:rPr>
          <w:rFonts w:ascii="仿宋" w:hAnsi="仿宋" w:eastAsia="仿宋" w:cs="Cambria Math"/>
          <w:color w:val="000000"/>
          <w:sz w:val="24"/>
          <w:highlight w:val="none"/>
        </w:rPr>
      </w:pPr>
    </w:p>
    <w:p w14:paraId="4DCF30D5">
      <w:pPr>
        <w:pStyle w:val="2"/>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特此承诺。</w:t>
      </w:r>
    </w:p>
    <w:p w14:paraId="7C4CAB54">
      <w:pPr>
        <w:pStyle w:val="126"/>
        <w:ind w:firstLine="640"/>
        <w:rPr>
          <w:rFonts w:ascii="仿宋" w:hAnsi="仿宋" w:eastAsia="仿宋"/>
          <w:highlight w:val="none"/>
        </w:rPr>
      </w:pPr>
    </w:p>
    <w:p w14:paraId="34F8E6E8">
      <w:pPr>
        <w:pStyle w:val="126"/>
        <w:ind w:firstLine="640"/>
        <w:rPr>
          <w:rFonts w:ascii="仿宋" w:hAnsi="仿宋" w:eastAsia="仿宋"/>
          <w:highlight w:val="none"/>
        </w:rPr>
      </w:pPr>
    </w:p>
    <w:p w14:paraId="3880D701">
      <w:pPr>
        <w:spacing w:line="360" w:lineRule="auto"/>
        <w:ind w:firstLine="4080" w:firstLineChars="1700"/>
        <w:jc w:val="right"/>
        <w:rPr>
          <w:rFonts w:ascii="仿宋" w:hAnsi="仿宋" w:eastAsia="仿宋" w:cs="Cambria Math"/>
          <w:color w:val="000000"/>
          <w:sz w:val="24"/>
          <w:highlight w:val="none"/>
        </w:rPr>
      </w:pPr>
    </w:p>
    <w:p w14:paraId="5F715028">
      <w:pPr>
        <w:spacing w:line="360" w:lineRule="auto"/>
        <w:ind w:firstLine="4080" w:firstLineChars="1700"/>
        <w:jc w:val="right"/>
        <w:rPr>
          <w:rFonts w:ascii="仿宋" w:hAnsi="仿宋" w:eastAsia="仿宋" w:cs="Cambria Math"/>
          <w:color w:val="000000"/>
          <w:sz w:val="24"/>
          <w:highlight w:val="none"/>
        </w:rPr>
      </w:pPr>
    </w:p>
    <w:p w14:paraId="552F07C7">
      <w:pPr>
        <w:spacing w:line="360" w:lineRule="auto"/>
        <w:ind w:firstLine="4080" w:firstLineChars="1700"/>
        <w:jc w:val="right"/>
        <w:rPr>
          <w:rFonts w:ascii="仿宋" w:hAnsi="仿宋" w:eastAsia="仿宋" w:cs="Cambria Math"/>
          <w:color w:val="000000"/>
          <w:sz w:val="24"/>
          <w:highlight w:val="none"/>
        </w:rPr>
      </w:pPr>
    </w:p>
    <w:p w14:paraId="7AA4A948">
      <w:pPr>
        <w:spacing w:line="360" w:lineRule="auto"/>
        <w:ind w:firstLine="4080" w:firstLineChars="1700"/>
        <w:jc w:val="right"/>
        <w:rPr>
          <w:rFonts w:ascii="仿宋" w:hAnsi="仿宋" w:eastAsia="仿宋" w:cs="Cambria Math"/>
          <w:color w:val="000000"/>
          <w:sz w:val="24"/>
          <w:highlight w:val="none"/>
        </w:rPr>
      </w:pPr>
    </w:p>
    <w:p w14:paraId="284D6CA8">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4BBD9F19">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43959987">
      <w:pPr>
        <w:pStyle w:val="149"/>
        <w:spacing w:line="360" w:lineRule="auto"/>
        <w:rPr>
          <w:rFonts w:hint="eastAsia" w:ascii="仿宋" w:hAnsi="仿宋" w:eastAsia="仿宋" w:cs="仿宋"/>
          <w:color w:val="000000"/>
          <w:highlight w:val="none"/>
        </w:rPr>
      </w:pPr>
      <w:r>
        <w:rPr>
          <w:rFonts w:hint="eastAsia" w:ascii="仿宋" w:hAnsi="仿宋" w:eastAsia="仿宋" w:cs="仿宋"/>
          <w:color w:val="000000"/>
          <w:szCs w:val="24"/>
          <w:highlight w:val="none"/>
        </w:rPr>
        <w:br w:type="page"/>
      </w:r>
    </w:p>
    <w:p w14:paraId="60C1FB14">
      <w:pPr>
        <w:pStyle w:val="6"/>
        <w:spacing w:before="0" w:after="0" w:line="360" w:lineRule="auto"/>
        <w:rPr>
          <w:rFonts w:hint="eastAsia" w:ascii="仿宋" w:hAnsi="仿宋" w:eastAsia="仿宋" w:cs="仿宋"/>
          <w:color w:val="000000"/>
          <w:sz w:val="24"/>
          <w:szCs w:val="24"/>
          <w:highlight w:val="none"/>
        </w:rPr>
      </w:pPr>
      <w:bookmarkStart w:id="201" w:name="_Hlk69983040"/>
      <w:r>
        <w:rPr>
          <w:rFonts w:ascii="仿宋" w:hAnsi="仿宋" w:eastAsia="仿宋" w:cs="仿宋"/>
          <w:color w:val="000000"/>
          <w:sz w:val="24"/>
          <w:szCs w:val="24"/>
          <w:highlight w:val="none"/>
        </w:rPr>
        <w:t>7</w:t>
      </w:r>
      <w:r>
        <w:rPr>
          <w:rFonts w:hint="eastAsia" w:ascii="仿宋" w:hAnsi="仿宋" w:eastAsia="仿宋" w:cs="仿宋"/>
          <w:color w:val="000000"/>
          <w:sz w:val="24"/>
          <w:szCs w:val="24"/>
          <w:highlight w:val="none"/>
        </w:rPr>
        <w:t>、供应商控股及管理关系情况申报表</w:t>
      </w:r>
    </w:p>
    <w:p w14:paraId="0DB60468">
      <w:pPr>
        <w:pStyle w:val="107"/>
        <w:spacing w:before="240" w:after="240" w:line="360" w:lineRule="auto"/>
        <w:ind w:firstLine="0" w:firstLineChars="0"/>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供应商控股及管理关系情况申报表</w:t>
      </w:r>
    </w:p>
    <w:p w14:paraId="63C60C53">
      <w:pPr>
        <w:adjustRightInd w:val="0"/>
        <w:snapToGrid w:val="0"/>
        <w:spacing w:line="360" w:lineRule="auto"/>
        <w:ind w:left="0" w:leftChars="-295" w:hanging="619" w:hangingChars="258"/>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u w:val="single"/>
          <w:lang w:val="en-US" w:eastAsia="zh-CN"/>
        </w:rPr>
        <w:t>采购</w:t>
      </w:r>
      <w:r>
        <w:rPr>
          <w:rFonts w:hint="eastAsia" w:ascii="仿宋" w:hAnsi="仿宋" w:eastAsia="仿宋" w:cs="宋体"/>
          <w:color w:val="000000"/>
          <w:sz w:val="24"/>
          <w:szCs w:val="24"/>
          <w:highlight w:val="none"/>
          <w:u w:val="single"/>
        </w:rPr>
        <w:t xml:space="preserve">人名称）  </w:t>
      </w:r>
      <w:r>
        <w:rPr>
          <w:rFonts w:hint="eastAsia" w:ascii="仿宋" w:hAnsi="仿宋" w:eastAsia="仿宋" w:cs="宋体"/>
          <w:color w:val="000000"/>
          <w:sz w:val="24"/>
          <w:szCs w:val="24"/>
          <w:highlight w:val="none"/>
        </w:rPr>
        <w:t>：</w:t>
      </w:r>
    </w:p>
    <w:p w14:paraId="3AEFDB89">
      <w:pPr>
        <w:adjustRightInd w:val="0"/>
        <w:snapToGrid w:val="0"/>
        <w:spacing w:line="360" w:lineRule="auto"/>
        <w:ind w:left="-617" w:leftChars="-294" w:right="-512" w:rightChars="-244" w:firstLine="616" w:firstLineChars="257"/>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我方参加</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（项目名称）的</w:t>
      </w:r>
      <w:r>
        <w:rPr>
          <w:rFonts w:hint="eastAsia" w:ascii="仿宋" w:hAnsi="仿宋" w:eastAsia="仿宋" w:cs="宋体"/>
          <w:color w:val="000000"/>
          <w:sz w:val="24"/>
          <w:szCs w:val="24"/>
          <w:highlight w:val="none"/>
          <w:lang w:val="en-US" w:eastAsia="zh-CN"/>
        </w:rPr>
        <w:t>磋商</w:t>
      </w:r>
      <w:r>
        <w:rPr>
          <w:rFonts w:hint="eastAsia" w:ascii="仿宋" w:hAnsi="仿宋" w:eastAsia="仿宋" w:cs="宋体"/>
          <w:color w:val="000000"/>
          <w:sz w:val="24"/>
          <w:szCs w:val="24"/>
          <w:highlight w:val="none"/>
        </w:rPr>
        <w:t>，根据法律法规维护投标公正性的相关规定，</w:t>
      </w:r>
      <w:r>
        <w:rPr>
          <w:rFonts w:hint="eastAsia" w:ascii="仿宋" w:hAnsi="仿宋" w:eastAsia="仿宋" w:cs="宋体"/>
          <w:color w:val="000000"/>
          <w:sz w:val="24"/>
          <w:szCs w:val="24"/>
          <w:highlight w:val="none"/>
          <w:lang w:val="en-US" w:eastAsia="zh-CN"/>
        </w:rPr>
        <w:t>我方与采购人之间</w:t>
      </w:r>
      <w:r>
        <w:rPr>
          <w:rFonts w:hint="eastAsia" w:ascii="仿宋" w:hAnsi="仿宋" w:eastAsia="仿宋" w:cs="宋体"/>
          <w:color w:val="auto"/>
          <w:sz w:val="24"/>
          <w:szCs w:val="24"/>
          <w:highlight w:val="none"/>
          <w:lang w:val="en-US" w:eastAsia="zh-CN"/>
        </w:rPr>
        <w:t>不存在利害关系可</w:t>
      </w:r>
      <w:r>
        <w:rPr>
          <w:rFonts w:hint="eastAsia" w:ascii="仿宋" w:hAnsi="仿宋" w:eastAsia="仿宋" w:cs="宋体"/>
          <w:color w:val="000000"/>
          <w:sz w:val="24"/>
          <w:szCs w:val="24"/>
          <w:highlight w:val="none"/>
          <w:lang w:val="en-US" w:eastAsia="zh-CN"/>
        </w:rPr>
        <w:t>能影响采购公正性的法人、其他组织或者个人，</w:t>
      </w:r>
      <w:r>
        <w:rPr>
          <w:rFonts w:hint="eastAsia" w:ascii="仿宋" w:hAnsi="仿宋" w:eastAsia="仿宋" w:cs="宋体"/>
          <w:color w:val="000000"/>
          <w:sz w:val="24"/>
          <w:szCs w:val="24"/>
          <w:highlight w:val="none"/>
        </w:rPr>
        <w:t>特就本单位控股及管理关系情况申报如下</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rPr>
        <w:t>并承担申报不实的责任</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000000"/>
          <w:sz w:val="24"/>
          <w:szCs w:val="24"/>
          <w:highlight w:val="none"/>
        </w:rPr>
        <w:t>。</w:t>
      </w:r>
    </w:p>
    <w:tbl>
      <w:tblPr>
        <w:tblStyle w:val="4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14:paraId="6CAC8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14:paraId="53410BE7">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申报人名称</w:t>
            </w:r>
          </w:p>
        </w:tc>
        <w:tc>
          <w:tcPr>
            <w:tcW w:w="7926" w:type="dxa"/>
            <w:gridSpan w:val="2"/>
            <w:noWrap w:val="0"/>
            <w:vAlign w:val="center"/>
          </w:tcPr>
          <w:p w14:paraId="4F67E9E9">
            <w:pPr>
              <w:adjustRightInd w:val="0"/>
              <w:snapToGrid w:val="0"/>
              <w:spacing w:line="440" w:lineRule="exact"/>
              <w:rPr>
                <w:rFonts w:hint="eastAsia" w:ascii="仿宋" w:hAnsi="仿宋" w:eastAsia="仿宋" w:cs="宋体"/>
                <w:color w:val="000000"/>
                <w:highlight w:val="none"/>
              </w:rPr>
            </w:pPr>
          </w:p>
        </w:tc>
      </w:tr>
      <w:tr w14:paraId="3AC3F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14:paraId="61E137A6">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法定代表人/单位负责人</w:t>
            </w:r>
          </w:p>
        </w:tc>
        <w:tc>
          <w:tcPr>
            <w:tcW w:w="2356" w:type="dxa"/>
            <w:noWrap w:val="0"/>
            <w:vAlign w:val="center"/>
          </w:tcPr>
          <w:p w14:paraId="4598FE3C">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姓    名</w:t>
            </w:r>
          </w:p>
        </w:tc>
        <w:tc>
          <w:tcPr>
            <w:tcW w:w="5570" w:type="dxa"/>
            <w:noWrap w:val="0"/>
            <w:vAlign w:val="center"/>
          </w:tcPr>
          <w:p w14:paraId="0B6DB1C0">
            <w:pPr>
              <w:adjustRightInd w:val="0"/>
              <w:snapToGrid w:val="0"/>
              <w:spacing w:line="440" w:lineRule="exact"/>
              <w:rPr>
                <w:rFonts w:hint="eastAsia" w:ascii="仿宋" w:hAnsi="仿宋" w:eastAsia="仿宋" w:cs="宋体"/>
                <w:color w:val="000000"/>
                <w:highlight w:val="none"/>
              </w:rPr>
            </w:pPr>
          </w:p>
        </w:tc>
      </w:tr>
      <w:tr w14:paraId="2353D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14:paraId="08B8C229">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14:paraId="2EA9FCA7">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身份证号</w:t>
            </w:r>
          </w:p>
        </w:tc>
        <w:tc>
          <w:tcPr>
            <w:tcW w:w="5570" w:type="dxa"/>
            <w:noWrap w:val="0"/>
            <w:vAlign w:val="center"/>
          </w:tcPr>
          <w:p w14:paraId="1FBF006D">
            <w:pPr>
              <w:adjustRightInd w:val="0"/>
              <w:snapToGrid w:val="0"/>
              <w:spacing w:line="440" w:lineRule="exact"/>
              <w:rPr>
                <w:rFonts w:hint="eastAsia" w:ascii="仿宋" w:hAnsi="仿宋" w:eastAsia="仿宋" w:cs="宋体"/>
                <w:color w:val="000000"/>
                <w:highlight w:val="none"/>
              </w:rPr>
            </w:pPr>
          </w:p>
        </w:tc>
      </w:tr>
      <w:tr w14:paraId="7F474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14:paraId="452AB878">
            <w:pPr>
              <w:adjustRightInd w:val="0"/>
              <w:snapToGrid w:val="0"/>
              <w:spacing w:line="440" w:lineRule="exact"/>
              <w:rPr>
                <w:rFonts w:hint="default" w:ascii="仿宋" w:hAnsi="仿宋" w:eastAsia="仿宋" w:cs="宋体"/>
                <w:color w:val="000000"/>
                <w:highlight w:val="none"/>
                <w:lang w:val="en-US" w:eastAsia="zh-CN"/>
              </w:rPr>
            </w:pPr>
            <w:r>
              <w:rPr>
                <w:rFonts w:hint="eastAsia" w:ascii="仿宋" w:hAnsi="仿宋" w:eastAsia="仿宋" w:cs="宋体"/>
                <w:color w:val="000000"/>
                <w:highlight w:val="none"/>
                <w:lang w:val="en-US" w:eastAsia="zh-CN"/>
              </w:rPr>
              <w:t>单位负责人为同一人单位名称</w:t>
            </w:r>
          </w:p>
        </w:tc>
        <w:tc>
          <w:tcPr>
            <w:tcW w:w="7926" w:type="dxa"/>
            <w:gridSpan w:val="2"/>
            <w:noWrap w:val="0"/>
            <w:vAlign w:val="center"/>
          </w:tcPr>
          <w:p w14:paraId="4D4A0E16">
            <w:pPr>
              <w:adjustRightInd w:val="0"/>
              <w:snapToGrid w:val="0"/>
              <w:spacing w:line="440" w:lineRule="exact"/>
              <w:rPr>
                <w:rFonts w:hint="eastAsia" w:ascii="仿宋" w:hAnsi="仿宋" w:eastAsia="仿宋" w:cs="宋体"/>
                <w:color w:val="000000"/>
                <w:highlight w:val="none"/>
              </w:rPr>
            </w:pPr>
          </w:p>
        </w:tc>
      </w:tr>
      <w:tr w14:paraId="41582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14:paraId="2DE3B3FC">
            <w:pPr>
              <w:adjustRightInd w:val="0"/>
              <w:snapToGrid w:val="0"/>
              <w:spacing w:line="440" w:lineRule="exact"/>
              <w:rPr>
                <w:rFonts w:hint="eastAsia" w:ascii="仿宋" w:hAnsi="仿宋" w:eastAsia="仿宋" w:cs="宋体"/>
                <w:color w:val="000000"/>
                <w:highlight w:val="none"/>
                <w:lang w:eastAsia="zh-CN"/>
              </w:rPr>
            </w:pP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关系</w:t>
            </w:r>
          </w:p>
        </w:tc>
        <w:tc>
          <w:tcPr>
            <w:tcW w:w="2356" w:type="dxa"/>
            <w:noWrap w:val="0"/>
            <w:vAlign w:val="center"/>
          </w:tcPr>
          <w:p w14:paraId="046B02BF">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控股股东/投资人名称及出资比例</w:t>
            </w:r>
          </w:p>
        </w:tc>
        <w:tc>
          <w:tcPr>
            <w:tcW w:w="5570" w:type="dxa"/>
            <w:noWrap w:val="0"/>
            <w:vAlign w:val="center"/>
          </w:tcPr>
          <w:p w14:paraId="6DEF3245">
            <w:pPr>
              <w:adjustRightInd w:val="0"/>
              <w:snapToGrid w:val="0"/>
              <w:spacing w:line="440" w:lineRule="exact"/>
              <w:rPr>
                <w:rFonts w:hint="eastAsia" w:ascii="仿宋" w:hAnsi="仿宋" w:eastAsia="仿宋" w:cs="宋体"/>
                <w:color w:val="000000"/>
                <w:highlight w:val="none"/>
              </w:rPr>
            </w:pPr>
          </w:p>
        </w:tc>
      </w:tr>
      <w:tr w14:paraId="6FD1A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14:paraId="3174FCD9">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14:paraId="1358CCE2">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投资</w:t>
            </w:r>
            <w:r>
              <w:rPr>
                <w:rFonts w:hint="eastAsia" w:ascii="仿宋" w:hAnsi="仿宋" w:eastAsia="仿宋" w:cs="宋体"/>
                <w:color w:val="000000"/>
                <w:highlight w:val="none"/>
                <w:lang w:val="en-US" w:eastAsia="zh-CN"/>
              </w:rPr>
              <w:t>单位</w:t>
            </w:r>
            <w:r>
              <w:rPr>
                <w:rFonts w:hint="eastAsia" w:ascii="仿宋" w:hAnsi="仿宋" w:eastAsia="仿宋" w:cs="宋体"/>
                <w:color w:val="000000"/>
                <w:highlight w:val="none"/>
              </w:rPr>
              <w:t>名称及出资比例</w:t>
            </w:r>
          </w:p>
        </w:tc>
        <w:tc>
          <w:tcPr>
            <w:tcW w:w="5570" w:type="dxa"/>
            <w:noWrap w:val="0"/>
            <w:vAlign w:val="center"/>
          </w:tcPr>
          <w:p w14:paraId="1DF3E3C3">
            <w:pPr>
              <w:adjustRightInd w:val="0"/>
              <w:snapToGrid w:val="0"/>
              <w:spacing w:line="440" w:lineRule="exact"/>
              <w:rPr>
                <w:rFonts w:hint="eastAsia" w:ascii="仿宋" w:hAnsi="仿宋" w:eastAsia="仿宋" w:cs="宋体"/>
                <w:color w:val="000000"/>
                <w:highlight w:val="none"/>
              </w:rPr>
            </w:pPr>
          </w:p>
        </w:tc>
      </w:tr>
      <w:tr w14:paraId="2C605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14:paraId="60E68F9B">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w:t>
            </w:r>
          </w:p>
        </w:tc>
        <w:tc>
          <w:tcPr>
            <w:tcW w:w="2356" w:type="dxa"/>
            <w:noWrap w:val="0"/>
            <w:vAlign w:val="center"/>
          </w:tcPr>
          <w:p w14:paraId="46E0C666">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管理关系单位名称</w:t>
            </w:r>
          </w:p>
        </w:tc>
        <w:tc>
          <w:tcPr>
            <w:tcW w:w="5570" w:type="dxa"/>
            <w:noWrap w:val="0"/>
            <w:vAlign w:val="center"/>
          </w:tcPr>
          <w:p w14:paraId="32793BD2">
            <w:pPr>
              <w:adjustRightInd w:val="0"/>
              <w:snapToGrid w:val="0"/>
              <w:spacing w:line="440" w:lineRule="exact"/>
              <w:rPr>
                <w:rFonts w:hint="eastAsia" w:ascii="仿宋" w:hAnsi="仿宋" w:eastAsia="仿宋" w:cs="宋体"/>
                <w:color w:val="000000"/>
              </w:rPr>
            </w:pPr>
          </w:p>
        </w:tc>
      </w:tr>
      <w:tr w14:paraId="49C5A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14:paraId="1D036E69">
            <w:pPr>
              <w:adjustRightInd w:val="0"/>
              <w:snapToGrid w:val="0"/>
              <w:spacing w:line="440" w:lineRule="exact"/>
              <w:rPr>
                <w:rFonts w:hint="eastAsia" w:ascii="仿宋" w:hAnsi="仿宋" w:eastAsia="仿宋" w:cs="宋体"/>
                <w:color w:val="000000"/>
              </w:rPr>
            </w:pPr>
          </w:p>
        </w:tc>
        <w:tc>
          <w:tcPr>
            <w:tcW w:w="2356" w:type="dxa"/>
            <w:noWrap w:val="0"/>
            <w:vAlign w:val="center"/>
          </w:tcPr>
          <w:p w14:paraId="334EA960">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被管理关系单位名称</w:t>
            </w:r>
          </w:p>
        </w:tc>
        <w:tc>
          <w:tcPr>
            <w:tcW w:w="5570" w:type="dxa"/>
            <w:noWrap w:val="0"/>
            <w:vAlign w:val="center"/>
          </w:tcPr>
          <w:p w14:paraId="3F6D8F72">
            <w:pPr>
              <w:adjustRightInd w:val="0"/>
              <w:snapToGrid w:val="0"/>
              <w:spacing w:line="440" w:lineRule="exact"/>
              <w:rPr>
                <w:rFonts w:hint="eastAsia" w:ascii="仿宋" w:hAnsi="仿宋" w:eastAsia="仿宋" w:cs="宋体"/>
                <w:color w:val="000000"/>
              </w:rPr>
            </w:pPr>
          </w:p>
        </w:tc>
      </w:tr>
      <w:tr w14:paraId="0C733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14:paraId="37BBBF15">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备注：</w:t>
            </w:r>
          </w:p>
        </w:tc>
      </w:tr>
    </w:tbl>
    <w:p w14:paraId="765CCD15">
      <w:pPr>
        <w:adjustRightInd w:val="0"/>
        <w:snapToGrid w:val="0"/>
        <w:spacing w:line="360" w:lineRule="auto"/>
        <w:ind w:left="0" w:leftChars="0" w:firstLine="0" w:firstLineChars="0"/>
        <w:rPr>
          <w:rFonts w:hint="eastAsia" w:ascii="仿宋" w:hAnsi="仿宋" w:eastAsia="仿宋" w:cs="宋体"/>
          <w:color w:val="000000"/>
          <w:sz w:val="24"/>
          <w:szCs w:val="24"/>
        </w:rPr>
      </w:pPr>
      <w:r>
        <w:rPr>
          <w:rFonts w:hint="eastAsia" w:ascii="仿宋" w:hAnsi="仿宋" w:eastAsia="仿宋" w:cs="宋体"/>
          <w:color w:val="000000"/>
          <w:sz w:val="24"/>
          <w:szCs w:val="24"/>
        </w:rPr>
        <w:t>注：</w:t>
      </w:r>
    </w:p>
    <w:p w14:paraId="3A7C7548">
      <w:pPr>
        <w:adjustRightInd w:val="0"/>
        <w:snapToGrid w:val="0"/>
        <w:spacing w:line="360" w:lineRule="auto"/>
        <w:ind w:left="0" w:leftChars="0" w:firstLine="0" w:firstLineChars="0"/>
        <w:rPr>
          <w:rFonts w:hint="eastAsia" w:ascii="仿宋" w:hAnsi="仿宋" w:eastAsia="仿宋" w:cs="宋体"/>
          <w:color w:val="000000"/>
          <w:sz w:val="24"/>
        </w:rPr>
      </w:pPr>
      <w:r>
        <w:rPr>
          <w:rFonts w:hint="eastAsia" w:ascii="仿宋" w:hAnsi="仿宋" w:eastAsia="仿宋" w:cs="宋体"/>
          <w:color w:val="000000"/>
          <w:sz w:val="24"/>
          <w:szCs w:val="24"/>
          <w:lang w:val="en-US" w:eastAsia="zh-CN"/>
        </w:rPr>
        <w:t>1.</w:t>
      </w:r>
      <w:r>
        <w:rPr>
          <w:rFonts w:hint="eastAsia" w:ascii="仿宋" w:hAnsi="仿宋" w:eastAsia="仿宋" w:cs="宋体"/>
          <w:color w:val="000000"/>
          <w:sz w:val="24"/>
        </w:rPr>
        <w:t>控股股东/投资人是指出资比例在50%以上，或者出资比例不足50%，但享有公司股东会/董事会控制权的投资方（含单位或者个人）</w:t>
      </w:r>
    </w:p>
    <w:p w14:paraId="5D06A8F5">
      <w:pPr>
        <w:numPr>
          <w:ilvl w:val="0"/>
          <w:numId w:val="0"/>
        </w:numPr>
        <w:adjustRightInd w:val="0"/>
        <w:snapToGrid w:val="0"/>
        <w:spacing w:line="360" w:lineRule="auto"/>
        <w:ind w:leftChars="5"/>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14:paraId="22E2343C">
      <w:pPr>
        <w:numPr>
          <w:ilvl w:val="0"/>
          <w:numId w:val="0"/>
        </w:numPr>
        <w:adjustRightInd w:val="0"/>
        <w:snapToGrid w:val="0"/>
        <w:spacing w:line="360" w:lineRule="auto"/>
        <w:rPr>
          <w:rFonts w:hint="eastAsia" w:ascii="仿宋" w:hAnsi="仿宋" w:eastAsia="仿宋" w:cs="宋体"/>
          <w:color w:val="000000"/>
          <w:sz w:val="24"/>
        </w:rPr>
      </w:pPr>
      <w:r>
        <w:rPr>
          <w:rFonts w:hint="eastAsia" w:ascii="仿宋" w:hAnsi="仿宋" w:eastAsia="仿宋" w:cs="宋体"/>
          <w:color w:val="000000"/>
          <w:sz w:val="24"/>
        </w:rPr>
        <w:t>3.如未有相关情况，请在相应栏填写“无”。</w:t>
      </w:r>
    </w:p>
    <w:p w14:paraId="7994C293">
      <w:pPr>
        <w:pStyle w:val="161"/>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14:paraId="1BDC798C">
      <w:pPr>
        <w:pStyle w:val="161"/>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3.</w:t>
      </w:r>
      <w:r>
        <w:rPr>
          <w:rFonts w:hint="eastAsia" w:ascii="仿宋" w:hAnsi="仿宋" w:eastAsia="仿宋" w:cs="宋体"/>
          <w:color w:val="000000"/>
          <w:sz w:val="24"/>
        </w:rPr>
        <w:t>如未有相关情况，请在相应栏填写“无”。</w:t>
      </w:r>
    </w:p>
    <w:p w14:paraId="317C4A94">
      <w:pPr>
        <w:spacing w:line="360" w:lineRule="auto"/>
        <w:ind w:left="480" w:hanging="480" w:hangingChars="200"/>
        <w:rPr>
          <w:rFonts w:hint="eastAsia" w:ascii="仿宋" w:hAnsi="仿宋" w:eastAsia="仿宋" w:cs="宋体"/>
          <w:color w:val="000000"/>
          <w:sz w:val="24"/>
          <w:szCs w:val="24"/>
        </w:rPr>
      </w:pPr>
    </w:p>
    <w:p w14:paraId="10A6D1D4">
      <w:pPr>
        <w:spacing w:line="360" w:lineRule="auto"/>
        <w:ind w:firstLine="4080" w:firstLineChars="1700"/>
        <w:jc w:val="righ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供应商</w:t>
      </w:r>
      <w:r>
        <w:rPr>
          <w:rFonts w:hint="eastAsia" w:ascii="仿宋" w:hAnsi="仿宋" w:eastAsia="仿宋" w:cs="宋体"/>
          <w:color w:val="000000"/>
          <w:sz w:val="24"/>
          <w:szCs w:val="24"/>
        </w:rPr>
        <w:t>名称：</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（盖章）</w:t>
      </w:r>
    </w:p>
    <w:p w14:paraId="4CBF7A24">
      <w:pPr>
        <w:spacing w:line="360" w:lineRule="auto"/>
        <w:jc w:val="right"/>
        <w:rPr>
          <w:rFonts w:hint="eastAsia" w:ascii="仿宋" w:hAnsi="仿宋" w:eastAsia="仿宋" w:cs="Cambria Math"/>
          <w:b/>
          <w:bCs/>
          <w:color w:val="000000"/>
          <w:sz w:val="24"/>
          <w:highlight w:val="none"/>
        </w:rPr>
      </w:pPr>
      <w:r>
        <w:rPr>
          <w:rFonts w:hint="eastAsia" w:ascii="仿宋" w:hAnsi="仿宋" w:eastAsia="仿宋" w:cs="宋体"/>
          <w:color w:val="000000"/>
          <w:sz w:val="24"/>
          <w:szCs w:val="24"/>
        </w:rPr>
        <w:t>日期：</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年</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月</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日</w:t>
      </w:r>
    </w:p>
    <w:p w14:paraId="766F520D">
      <w:pPr>
        <w:pStyle w:val="6"/>
        <w:numPr>
          <w:ilvl w:val="0"/>
          <w:numId w:val="0"/>
        </w:numPr>
        <w:spacing w:before="0" w:after="0"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非联合体磋商响应声明</w:t>
      </w:r>
    </w:p>
    <w:bookmarkEnd w:id="185"/>
    <w:bookmarkEnd w:id="201"/>
    <w:p w14:paraId="56BE1909">
      <w:pPr>
        <w:pStyle w:val="2"/>
        <w:spacing w:before="240"/>
        <w:rPr>
          <w:rFonts w:hint="eastAsia" w:ascii="仿宋" w:hAnsi="仿宋" w:eastAsia="仿宋" w:cs="Cambria Math"/>
          <w:b/>
          <w:bCs/>
          <w:color w:val="000000"/>
          <w:sz w:val="24"/>
          <w:highlight w:val="none"/>
        </w:rPr>
      </w:pPr>
      <w:bookmarkStart w:id="202" w:name="_Toc71192048"/>
      <w:bookmarkStart w:id="203" w:name="_Toc20195"/>
      <w:bookmarkStart w:id="204" w:name="_Toc432420841"/>
      <w:bookmarkStart w:id="205" w:name="_Toc517281859"/>
      <w:r>
        <w:rPr>
          <w:rFonts w:hint="eastAsia" w:ascii="仿宋" w:hAnsi="仿宋" w:eastAsia="仿宋" w:cs="Cambria Math"/>
          <w:b/>
          <w:bCs/>
          <w:color w:val="000000"/>
          <w:sz w:val="24"/>
          <w:highlight w:val="none"/>
        </w:rPr>
        <w:t>非联合体磋商响应声明</w:t>
      </w:r>
    </w:p>
    <w:p w14:paraId="630B2BE3">
      <w:pPr>
        <w:adjustRightInd w:val="0"/>
        <w:snapToGrid w:val="0"/>
        <w:spacing w:before="240"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lang w:val="en-US" w:eastAsia="zh-CN"/>
        </w:rPr>
        <w:t>采购人</w:t>
      </w:r>
      <w:r>
        <w:rPr>
          <w:rFonts w:hint="eastAsia" w:ascii="仿宋" w:hAnsi="仿宋" w:eastAsia="仿宋" w:cs="Cambria Math"/>
          <w:color w:val="000000"/>
          <w:sz w:val="24"/>
          <w:highlight w:val="none"/>
          <w:lang w:eastAsia="zh-CN"/>
        </w:rPr>
        <w:t>）</w:t>
      </w:r>
      <w:r>
        <w:rPr>
          <w:rFonts w:hint="eastAsia" w:ascii="仿宋" w:hAnsi="仿宋" w:eastAsia="仿宋" w:cs="Cambria Math"/>
          <w:color w:val="000000"/>
          <w:sz w:val="24"/>
          <w:highlight w:val="none"/>
        </w:rPr>
        <w:t>：</w:t>
      </w:r>
    </w:p>
    <w:p w14:paraId="500635C6">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独立参与</w:t>
      </w:r>
      <w:r>
        <w:rPr>
          <w:rFonts w:hint="eastAsia" w:ascii="仿宋" w:hAnsi="仿宋" w:eastAsia="仿宋" w:cs="Cambria Math"/>
          <w:color w:val="000000"/>
          <w:sz w:val="24"/>
          <w:highlight w:val="none"/>
          <w:u w:val="single"/>
        </w:rPr>
        <w:t xml:space="preserve">    （项目名称）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磋商响应，非联合体参与磋商响应。</w:t>
      </w:r>
      <w:r>
        <w:rPr>
          <w:rFonts w:ascii="仿宋" w:hAnsi="仿宋" w:eastAsia="仿宋" w:cs="Cambria Math"/>
          <w:color w:val="000000"/>
          <w:sz w:val="24"/>
          <w:highlight w:val="none"/>
        </w:rPr>
        <w:t xml:space="preserve"> </w:t>
      </w:r>
    </w:p>
    <w:p w14:paraId="2B65F6E4">
      <w:pPr>
        <w:pStyle w:val="2"/>
        <w:ind w:firstLine="480" w:firstLineChars="200"/>
        <w:jc w:val="both"/>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特此声明。</w:t>
      </w:r>
    </w:p>
    <w:p w14:paraId="7F197655">
      <w:pPr>
        <w:pStyle w:val="126"/>
        <w:ind w:firstLine="640"/>
        <w:rPr>
          <w:rFonts w:ascii="仿宋" w:hAnsi="仿宋" w:eastAsia="仿宋"/>
          <w:highlight w:val="none"/>
        </w:rPr>
      </w:pPr>
    </w:p>
    <w:p w14:paraId="4165025F">
      <w:pPr>
        <w:pStyle w:val="126"/>
        <w:ind w:firstLine="640"/>
        <w:rPr>
          <w:rFonts w:ascii="仿宋" w:hAnsi="仿宋" w:eastAsia="仿宋"/>
          <w:highlight w:val="none"/>
        </w:rPr>
      </w:pPr>
    </w:p>
    <w:p w14:paraId="51CCF2ED">
      <w:pPr>
        <w:pStyle w:val="126"/>
        <w:ind w:firstLine="640"/>
        <w:rPr>
          <w:rFonts w:ascii="仿宋" w:hAnsi="仿宋" w:eastAsia="仿宋"/>
          <w:highlight w:val="none"/>
        </w:rPr>
      </w:pPr>
    </w:p>
    <w:p w14:paraId="7A7ECA64">
      <w:pPr>
        <w:pStyle w:val="126"/>
        <w:ind w:firstLine="640"/>
        <w:rPr>
          <w:rFonts w:ascii="仿宋" w:hAnsi="仿宋" w:eastAsia="仿宋"/>
          <w:highlight w:val="none"/>
        </w:rPr>
      </w:pPr>
    </w:p>
    <w:p w14:paraId="2FAA50C4">
      <w:pPr>
        <w:pStyle w:val="126"/>
        <w:ind w:firstLine="640"/>
        <w:rPr>
          <w:rFonts w:ascii="仿宋" w:hAnsi="仿宋" w:eastAsia="仿宋"/>
          <w:highlight w:val="none"/>
        </w:rPr>
      </w:pPr>
    </w:p>
    <w:p w14:paraId="34B72C8F">
      <w:pPr>
        <w:pStyle w:val="126"/>
        <w:ind w:firstLine="640"/>
        <w:rPr>
          <w:rFonts w:ascii="仿宋" w:hAnsi="仿宋" w:eastAsia="仿宋"/>
          <w:highlight w:val="none"/>
        </w:rPr>
      </w:pPr>
    </w:p>
    <w:p w14:paraId="33892568">
      <w:pPr>
        <w:pStyle w:val="126"/>
        <w:ind w:firstLine="640"/>
        <w:rPr>
          <w:rFonts w:hint="eastAsia" w:ascii="仿宋" w:hAnsi="仿宋" w:eastAsia="仿宋"/>
          <w:highlight w:val="none"/>
        </w:rPr>
      </w:pPr>
    </w:p>
    <w:p w14:paraId="39C05431">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192A7CC2">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7561696D">
      <w:pPr>
        <w:rPr>
          <w:rFonts w:ascii="仿宋" w:hAnsi="仿宋" w:eastAsia="仿宋" w:cs="仿宋"/>
          <w:color w:val="000000"/>
          <w:sz w:val="24"/>
          <w:szCs w:val="24"/>
          <w:highlight w:val="none"/>
        </w:rPr>
      </w:pPr>
      <w:r>
        <w:rPr>
          <w:rFonts w:ascii="仿宋" w:hAnsi="仿宋" w:eastAsia="仿宋" w:cs="仿宋"/>
          <w:color w:val="000000"/>
          <w:sz w:val="24"/>
          <w:szCs w:val="24"/>
          <w:highlight w:val="none"/>
        </w:rPr>
        <w:br w:type="page"/>
      </w:r>
    </w:p>
    <w:p w14:paraId="43345C33">
      <w:pPr>
        <w:pStyle w:val="5"/>
        <w:numPr>
          <w:ilvl w:val="0"/>
          <w:numId w:val="0"/>
        </w:numPr>
        <w:tabs>
          <w:tab w:val="clear" w:pos="1440"/>
        </w:tabs>
        <w:spacing w:before="0" w:after="0" w:line="360" w:lineRule="auto"/>
        <w:rPr>
          <w:rFonts w:ascii="仿宋" w:hAnsi="仿宋" w:cs="宋体"/>
          <w:color w:val="000000"/>
          <w:szCs w:val="24"/>
          <w:highlight w:val="none"/>
        </w:rPr>
      </w:pPr>
      <w:bookmarkStart w:id="206" w:name="_Toc65683009"/>
      <w:bookmarkStart w:id="207" w:name="_Toc18208"/>
      <w:bookmarkStart w:id="208" w:name="_Toc144139212"/>
      <w:bookmarkStart w:id="209" w:name="_Toc15130"/>
      <w:bookmarkStart w:id="210" w:name="_Toc112068411"/>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五</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供应商</w:t>
      </w:r>
      <w:r>
        <w:rPr>
          <w:rFonts w:ascii="仿宋" w:hAnsi="仿宋" w:eastAsia="仿宋" w:cs="仿宋"/>
          <w:color w:val="000000"/>
          <w:sz w:val="24"/>
          <w:szCs w:val="24"/>
          <w:highlight w:val="none"/>
        </w:rPr>
        <w:t>须知应答偏离表</w:t>
      </w:r>
      <w:bookmarkEnd w:id="206"/>
      <w:bookmarkEnd w:id="207"/>
      <w:bookmarkEnd w:id="208"/>
      <w:bookmarkEnd w:id="209"/>
      <w:bookmarkEnd w:id="210"/>
    </w:p>
    <w:p w14:paraId="108F8BB5">
      <w:pPr>
        <w:spacing w:line="360" w:lineRule="auto"/>
        <w:jc w:val="center"/>
        <w:rPr>
          <w:rFonts w:hint="eastAsia" w:ascii="仿宋" w:hAnsi="仿宋" w:eastAsia="仿宋" w:cs="宋体"/>
          <w:b/>
          <w:bCs/>
          <w:color w:val="000000"/>
          <w:sz w:val="24"/>
          <w:highlight w:val="none"/>
        </w:rPr>
      </w:pPr>
      <w:r>
        <w:rPr>
          <w:rFonts w:hint="eastAsia" w:ascii="仿宋" w:hAnsi="仿宋" w:eastAsia="仿宋" w:cs="宋体"/>
          <w:b/>
          <w:bCs/>
          <w:color w:val="000000"/>
          <w:sz w:val="24"/>
          <w:highlight w:val="none"/>
        </w:rPr>
        <w:t>供应商须知应答偏离表</w:t>
      </w:r>
    </w:p>
    <w:p w14:paraId="20AF833C">
      <w:pPr>
        <w:spacing w:line="360" w:lineRule="auto"/>
        <w:rPr>
          <w:rFonts w:hint="eastAsia" w:ascii="仿宋" w:hAnsi="仿宋" w:eastAsia="仿宋" w:cs="宋体"/>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ascii="仿宋" w:hAnsi="仿宋" w:eastAsia="仿宋" w:cs="宋体"/>
          <w:color w:val="000000"/>
          <w:sz w:val="24"/>
          <w:highlight w:val="none"/>
        </w:rPr>
        <w:t xml:space="preserve">        </w:t>
      </w:r>
      <w:r>
        <w:rPr>
          <w:rFonts w:hint="eastAsia" w:ascii="仿宋" w:hAnsi="仿宋" w:eastAsia="仿宋" w:cs="宋体"/>
          <w:color w:val="000000"/>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026B5C1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3ADDA1DD">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序号</w:t>
            </w:r>
          </w:p>
        </w:tc>
        <w:tc>
          <w:tcPr>
            <w:tcW w:w="2285" w:type="dxa"/>
            <w:noWrap w:val="0"/>
            <w:vAlign w:val="center"/>
          </w:tcPr>
          <w:p w14:paraId="388B36F4">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条目号</w:t>
            </w:r>
          </w:p>
        </w:tc>
        <w:tc>
          <w:tcPr>
            <w:tcW w:w="2495" w:type="dxa"/>
            <w:noWrap w:val="0"/>
            <w:vAlign w:val="center"/>
          </w:tcPr>
          <w:p w14:paraId="033003D0">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原文内容</w:t>
            </w:r>
          </w:p>
        </w:tc>
        <w:tc>
          <w:tcPr>
            <w:tcW w:w="2704" w:type="dxa"/>
            <w:noWrap w:val="0"/>
            <w:vAlign w:val="center"/>
          </w:tcPr>
          <w:p w14:paraId="5C7E3DFD">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应答</w:t>
            </w:r>
          </w:p>
        </w:tc>
        <w:tc>
          <w:tcPr>
            <w:tcW w:w="1408" w:type="dxa"/>
            <w:noWrap w:val="0"/>
            <w:vAlign w:val="center"/>
          </w:tcPr>
          <w:p w14:paraId="4CB4BBCC">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说明</w:t>
            </w:r>
          </w:p>
        </w:tc>
      </w:tr>
      <w:tr w14:paraId="6B2068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10392BC0">
            <w:pPr>
              <w:spacing w:line="360" w:lineRule="auto"/>
              <w:rPr>
                <w:rFonts w:hint="eastAsia" w:ascii="仿宋" w:hAnsi="仿宋" w:eastAsia="仿宋" w:cs="宋体"/>
                <w:color w:val="000000"/>
                <w:szCs w:val="21"/>
                <w:highlight w:val="none"/>
              </w:rPr>
            </w:pPr>
          </w:p>
        </w:tc>
        <w:tc>
          <w:tcPr>
            <w:tcW w:w="2285" w:type="dxa"/>
            <w:noWrap w:val="0"/>
            <w:vAlign w:val="top"/>
          </w:tcPr>
          <w:p w14:paraId="77208BA4">
            <w:pPr>
              <w:spacing w:line="360" w:lineRule="auto"/>
              <w:rPr>
                <w:rFonts w:hint="eastAsia" w:ascii="仿宋" w:hAnsi="仿宋" w:eastAsia="仿宋" w:cs="宋体"/>
                <w:color w:val="000000"/>
                <w:szCs w:val="21"/>
                <w:highlight w:val="none"/>
              </w:rPr>
            </w:pPr>
          </w:p>
        </w:tc>
        <w:tc>
          <w:tcPr>
            <w:tcW w:w="2495" w:type="dxa"/>
            <w:noWrap w:val="0"/>
            <w:vAlign w:val="top"/>
          </w:tcPr>
          <w:p w14:paraId="327BCD15">
            <w:pPr>
              <w:spacing w:line="360" w:lineRule="auto"/>
              <w:rPr>
                <w:rFonts w:hint="eastAsia" w:ascii="仿宋" w:hAnsi="仿宋" w:eastAsia="仿宋" w:cs="宋体"/>
                <w:color w:val="000000"/>
                <w:szCs w:val="21"/>
                <w:highlight w:val="none"/>
              </w:rPr>
            </w:pPr>
          </w:p>
        </w:tc>
        <w:tc>
          <w:tcPr>
            <w:tcW w:w="2704" w:type="dxa"/>
            <w:noWrap w:val="0"/>
            <w:vAlign w:val="top"/>
          </w:tcPr>
          <w:p w14:paraId="7BF9C9FE">
            <w:pPr>
              <w:spacing w:line="360" w:lineRule="auto"/>
              <w:rPr>
                <w:rFonts w:hint="eastAsia" w:ascii="仿宋" w:hAnsi="仿宋" w:eastAsia="仿宋" w:cs="宋体"/>
                <w:color w:val="000000"/>
                <w:szCs w:val="21"/>
                <w:highlight w:val="none"/>
              </w:rPr>
            </w:pPr>
          </w:p>
        </w:tc>
        <w:tc>
          <w:tcPr>
            <w:tcW w:w="1408" w:type="dxa"/>
            <w:noWrap w:val="0"/>
            <w:vAlign w:val="top"/>
          </w:tcPr>
          <w:p w14:paraId="3CAB414E">
            <w:pPr>
              <w:spacing w:line="360" w:lineRule="auto"/>
              <w:rPr>
                <w:rFonts w:hint="eastAsia" w:ascii="仿宋" w:hAnsi="仿宋" w:eastAsia="仿宋" w:cs="宋体"/>
                <w:color w:val="000000"/>
                <w:szCs w:val="21"/>
                <w:highlight w:val="none"/>
              </w:rPr>
            </w:pPr>
          </w:p>
        </w:tc>
      </w:tr>
      <w:tr w14:paraId="6AAE97E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735665FC">
            <w:pPr>
              <w:spacing w:line="360" w:lineRule="auto"/>
              <w:rPr>
                <w:rFonts w:hint="eastAsia" w:ascii="仿宋" w:hAnsi="仿宋" w:eastAsia="仿宋" w:cs="宋体"/>
                <w:color w:val="000000"/>
                <w:szCs w:val="21"/>
                <w:highlight w:val="none"/>
              </w:rPr>
            </w:pPr>
          </w:p>
        </w:tc>
        <w:tc>
          <w:tcPr>
            <w:tcW w:w="2285" w:type="dxa"/>
            <w:noWrap w:val="0"/>
            <w:vAlign w:val="top"/>
          </w:tcPr>
          <w:p w14:paraId="00C975B1">
            <w:pPr>
              <w:spacing w:line="360" w:lineRule="auto"/>
              <w:rPr>
                <w:rFonts w:hint="eastAsia" w:ascii="仿宋" w:hAnsi="仿宋" w:eastAsia="仿宋" w:cs="宋体"/>
                <w:color w:val="000000"/>
                <w:szCs w:val="21"/>
                <w:highlight w:val="none"/>
              </w:rPr>
            </w:pPr>
          </w:p>
        </w:tc>
        <w:tc>
          <w:tcPr>
            <w:tcW w:w="2495" w:type="dxa"/>
            <w:noWrap w:val="0"/>
            <w:vAlign w:val="top"/>
          </w:tcPr>
          <w:p w14:paraId="3982BF33">
            <w:pPr>
              <w:spacing w:line="360" w:lineRule="auto"/>
              <w:rPr>
                <w:rFonts w:hint="eastAsia" w:ascii="仿宋" w:hAnsi="仿宋" w:eastAsia="仿宋" w:cs="宋体"/>
                <w:color w:val="000000"/>
                <w:szCs w:val="21"/>
                <w:highlight w:val="none"/>
              </w:rPr>
            </w:pPr>
          </w:p>
        </w:tc>
        <w:tc>
          <w:tcPr>
            <w:tcW w:w="2704" w:type="dxa"/>
            <w:noWrap w:val="0"/>
            <w:vAlign w:val="top"/>
          </w:tcPr>
          <w:p w14:paraId="4913581F">
            <w:pPr>
              <w:spacing w:line="360" w:lineRule="auto"/>
              <w:rPr>
                <w:rFonts w:hint="eastAsia" w:ascii="仿宋" w:hAnsi="仿宋" w:eastAsia="仿宋" w:cs="宋体"/>
                <w:color w:val="000000"/>
                <w:szCs w:val="21"/>
                <w:highlight w:val="none"/>
              </w:rPr>
            </w:pPr>
          </w:p>
        </w:tc>
        <w:tc>
          <w:tcPr>
            <w:tcW w:w="1408" w:type="dxa"/>
            <w:noWrap w:val="0"/>
            <w:vAlign w:val="top"/>
          </w:tcPr>
          <w:p w14:paraId="798A02C0">
            <w:pPr>
              <w:spacing w:line="360" w:lineRule="auto"/>
              <w:rPr>
                <w:rFonts w:hint="eastAsia" w:ascii="仿宋" w:hAnsi="仿宋" w:eastAsia="仿宋" w:cs="宋体"/>
                <w:color w:val="000000"/>
                <w:szCs w:val="21"/>
                <w:highlight w:val="none"/>
              </w:rPr>
            </w:pPr>
          </w:p>
        </w:tc>
      </w:tr>
      <w:tr w14:paraId="04E2389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1448D80E">
            <w:pPr>
              <w:spacing w:line="360" w:lineRule="auto"/>
              <w:rPr>
                <w:rFonts w:hint="eastAsia" w:ascii="仿宋" w:hAnsi="仿宋" w:eastAsia="仿宋" w:cs="宋体"/>
                <w:color w:val="000000"/>
                <w:szCs w:val="21"/>
                <w:highlight w:val="none"/>
              </w:rPr>
            </w:pPr>
          </w:p>
        </w:tc>
        <w:tc>
          <w:tcPr>
            <w:tcW w:w="2285" w:type="dxa"/>
            <w:noWrap w:val="0"/>
            <w:vAlign w:val="top"/>
          </w:tcPr>
          <w:p w14:paraId="70931F6F">
            <w:pPr>
              <w:spacing w:line="360" w:lineRule="auto"/>
              <w:rPr>
                <w:rFonts w:hint="eastAsia" w:ascii="仿宋" w:hAnsi="仿宋" w:eastAsia="仿宋" w:cs="宋体"/>
                <w:color w:val="000000"/>
                <w:szCs w:val="21"/>
                <w:highlight w:val="none"/>
              </w:rPr>
            </w:pPr>
          </w:p>
        </w:tc>
        <w:tc>
          <w:tcPr>
            <w:tcW w:w="2495" w:type="dxa"/>
            <w:noWrap w:val="0"/>
            <w:vAlign w:val="top"/>
          </w:tcPr>
          <w:p w14:paraId="34F50396">
            <w:pPr>
              <w:spacing w:line="360" w:lineRule="auto"/>
              <w:rPr>
                <w:rFonts w:hint="eastAsia" w:ascii="仿宋" w:hAnsi="仿宋" w:eastAsia="仿宋" w:cs="宋体"/>
                <w:color w:val="000000"/>
                <w:szCs w:val="21"/>
                <w:highlight w:val="none"/>
              </w:rPr>
            </w:pPr>
          </w:p>
        </w:tc>
        <w:tc>
          <w:tcPr>
            <w:tcW w:w="2704" w:type="dxa"/>
            <w:noWrap w:val="0"/>
            <w:vAlign w:val="top"/>
          </w:tcPr>
          <w:p w14:paraId="0DD933FE">
            <w:pPr>
              <w:spacing w:line="360" w:lineRule="auto"/>
              <w:rPr>
                <w:rFonts w:hint="eastAsia" w:ascii="仿宋" w:hAnsi="仿宋" w:eastAsia="仿宋" w:cs="宋体"/>
                <w:color w:val="000000"/>
                <w:szCs w:val="21"/>
                <w:highlight w:val="none"/>
              </w:rPr>
            </w:pPr>
          </w:p>
        </w:tc>
        <w:tc>
          <w:tcPr>
            <w:tcW w:w="1408" w:type="dxa"/>
            <w:noWrap w:val="0"/>
            <w:vAlign w:val="top"/>
          </w:tcPr>
          <w:p w14:paraId="249AB272">
            <w:pPr>
              <w:spacing w:line="360" w:lineRule="auto"/>
              <w:rPr>
                <w:rFonts w:hint="eastAsia" w:ascii="仿宋" w:hAnsi="仿宋" w:eastAsia="仿宋" w:cs="宋体"/>
                <w:color w:val="000000"/>
                <w:szCs w:val="21"/>
                <w:highlight w:val="none"/>
              </w:rPr>
            </w:pPr>
          </w:p>
        </w:tc>
      </w:tr>
      <w:tr w14:paraId="08B30D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18FEF56B">
            <w:pPr>
              <w:spacing w:line="360" w:lineRule="auto"/>
              <w:rPr>
                <w:rFonts w:hint="eastAsia" w:ascii="仿宋" w:hAnsi="仿宋" w:eastAsia="仿宋" w:cs="宋体"/>
                <w:color w:val="000000"/>
                <w:szCs w:val="21"/>
                <w:highlight w:val="none"/>
              </w:rPr>
            </w:pPr>
          </w:p>
        </w:tc>
        <w:tc>
          <w:tcPr>
            <w:tcW w:w="2285" w:type="dxa"/>
            <w:noWrap w:val="0"/>
            <w:vAlign w:val="top"/>
          </w:tcPr>
          <w:p w14:paraId="49CE1279">
            <w:pPr>
              <w:spacing w:line="360" w:lineRule="auto"/>
              <w:rPr>
                <w:rFonts w:hint="eastAsia" w:ascii="仿宋" w:hAnsi="仿宋" w:eastAsia="仿宋" w:cs="宋体"/>
                <w:color w:val="000000"/>
                <w:szCs w:val="21"/>
                <w:highlight w:val="none"/>
              </w:rPr>
            </w:pPr>
          </w:p>
        </w:tc>
        <w:tc>
          <w:tcPr>
            <w:tcW w:w="2495" w:type="dxa"/>
            <w:noWrap w:val="0"/>
            <w:vAlign w:val="top"/>
          </w:tcPr>
          <w:p w14:paraId="3065790A">
            <w:pPr>
              <w:spacing w:line="360" w:lineRule="auto"/>
              <w:rPr>
                <w:rFonts w:hint="eastAsia" w:ascii="仿宋" w:hAnsi="仿宋" w:eastAsia="仿宋" w:cs="宋体"/>
                <w:color w:val="000000"/>
                <w:szCs w:val="21"/>
                <w:highlight w:val="none"/>
              </w:rPr>
            </w:pPr>
          </w:p>
        </w:tc>
        <w:tc>
          <w:tcPr>
            <w:tcW w:w="2704" w:type="dxa"/>
            <w:noWrap w:val="0"/>
            <w:vAlign w:val="top"/>
          </w:tcPr>
          <w:p w14:paraId="29143E5F">
            <w:pPr>
              <w:spacing w:line="360" w:lineRule="auto"/>
              <w:rPr>
                <w:rFonts w:hint="eastAsia" w:ascii="仿宋" w:hAnsi="仿宋" w:eastAsia="仿宋" w:cs="宋体"/>
                <w:color w:val="000000"/>
                <w:szCs w:val="21"/>
                <w:highlight w:val="none"/>
              </w:rPr>
            </w:pPr>
          </w:p>
        </w:tc>
        <w:tc>
          <w:tcPr>
            <w:tcW w:w="1408" w:type="dxa"/>
            <w:noWrap w:val="0"/>
            <w:vAlign w:val="top"/>
          </w:tcPr>
          <w:p w14:paraId="622D82A0">
            <w:pPr>
              <w:spacing w:line="360" w:lineRule="auto"/>
              <w:rPr>
                <w:rFonts w:hint="eastAsia" w:ascii="仿宋" w:hAnsi="仿宋" w:eastAsia="仿宋" w:cs="宋体"/>
                <w:color w:val="000000"/>
                <w:szCs w:val="21"/>
                <w:highlight w:val="none"/>
              </w:rPr>
            </w:pPr>
          </w:p>
        </w:tc>
      </w:tr>
      <w:tr w14:paraId="38C0CAB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585A2A94">
            <w:pPr>
              <w:spacing w:line="360" w:lineRule="auto"/>
              <w:rPr>
                <w:rFonts w:hint="eastAsia" w:ascii="仿宋" w:hAnsi="仿宋" w:eastAsia="仿宋" w:cs="宋体"/>
                <w:color w:val="000000"/>
                <w:szCs w:val="21"/>
                <w:highlight w:val="none"/>
              </w:rPr>
            </w:pPr>
          </w:p>
        </w:tc>
        <w:tc>
          <w:tcPr>
            <w:tcW w:w="2285" w:type="dxa"/>
            <w:noWrap w:val="0"/>
            <w:vAlign w:val="top"/>
          </w:tcPr>
          <w:p w14:paraId="34C63AFA">
            <w:pPr>
              <w:spacing w:line="360" w:lineRule="auto"/>
              <w:rPr>
                <w:rFonts w:hint="eastAsia" w:ascii="仿宋" w:hAnsi="仿宋" w:eastAsia="仿宋" w:cs="宋体"/>
                <w:color w:val="000000"/>
                <w:szCs w:val="21"/>
                <w:highlight w:val="none"/>
              </w:rPr>
            </w:pPr>
          </w:p>
        </w:tc>
        <w:tc>
          <w:tcPr>
            <w:tcW w:w="2495" w:type="dxa"/>
            <w:noWrap w:val="0"/>
            <w:vAlign w:val="top"/>
          </w:tcPr>
          <w:p w14:paraId="5FC1C5C0">
            <w:pPr>
              <w:spacing w:line="360" w:lineRule="auto"/>
              <w:rPr>
                <w:rFonts w:hint="eastAsia" w:ascii="仿宋" w:hAnsi="仿宋" w:eastAsia="仿宋" w:cs="宋体"/>
                <w:color w:val="000000"/>
                <w:szCs w:val="21"/>
                <w:highlight w:val="none"/>
              </w:rPr>
            </w:pPr>
          </w:p>
        </w:tc>
        <w:tc>
          <w:tcPr>
            <w:tcW w:w="2704" w:type="dxa"/>
            <w:noWrap w:val="0"/>
            <w:vAlign w:val="top"/>
          </w:tcPr>
          <w:p w14:paraId="7B74E5C8">
            <w:pPr>
              <w:spacing w:line="360" w:lineRule="auto"/>
              <w:rPr>
                <w:rFonts w:hint="eastAsia" w:ascii="仿宋" w:hAnsi="仿宋" w:eastAsia="仿宋" w:cs="宋体"/>
                <w:color w:val="000000"/>
                <w:szCs w:val="21"/>
                <w:highlight w:val="none"/>
              </w:rPr>
            </w:pPr>
          </w:p>
        </w:tc>
        <w:tc>
          <w:tcPr>
            <w:tcW w:w="1408" w:type="dxa"/>
            <w:noWrap w:val="0"/>
            <w:vAlign w:val="top"/>
          </w:tcPr>
          <w:p w14:paraId="141A528D">
            <w:pPr>
              <w:spacing w:line="360" w:lineRule="auto"/>
              <w:rPr>
                <w:rFonts w:hint="eastAsia" w:ascii="仿宋" w:hAnsi="仿宋" w:eastAsia="仿宋" w:cs="宋体"/>
                <w:color w:val="000000"/>
                <w:szCs w:val="21"/>
                <w:highlight w:val="none"/>
              </w:rPr>
            </w:pPr>
          </w:p>
        </w:tc>
      </w:tr>
    </w:tbl>
    <w:p w14:paraId="0153C3BB">
      <w:pPr>
        <w:spacing w:line="360" w:lineRule="auto"/>
        <w:ind w:left="480" w:hanging="480" w:hangingChars="200"/>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注：所有偏离须在本表中列出，未在本偏离表中列出偏离，将视为供应商已完全接受磋商文件要求</w:t>
      </w:r>
      <w:r>
        <w:rPr>
          <w:rFonts w:hint="eastAsia" w:ascii="仿宋" w:hAnsi="仿宋" w:eastAsia="仿宋" w:cs="宋体"/>
          <w:b/>
          <w:bCs/>
          <w:color w:val="000000"/>
          <w:sz w:val="24"/>
          <w:highlight w:val="none"/>
        </w:rPr>
        <w:t>。如全部满足，在偏离表中应答“全部满足”即可。</w:t>
      </w:r>
    </w:p>
    <w:p w14:paraId="4F5F3DA5">
      <w:pPr>
        <w:spacing w:line="360" w:lineRule="auto"/>
        <w:ind w:firstLine="4080" w:firstLineChars="1700"/>
        <w:jc w:val="right"/>
        <w:rPr>
          <w:rFonts w:ascii="仿宋" w:hAnsi="仿宋" w:eastAsia="仿宋" w:cs="宋体"/>
          <w:color w:val="000000"/>
          <w:sz w:val="24"/>
          <w:highlight w:val="none"/>
        </w:rPr>
      </w:pPr>
    </w:p>
    <w:p w14:paraId="43D358CD">
      <w:pPr>
        <w:spacing w:line="360" w:lineRule="auto"/>
        <w:ind w:firstLine="4080" w:firstLineChars="1700"/>
        <w:jc w:val="right"/>
        <w:rPr>
          <w:rFonts w:ascii="仿宋" w:hAnsi="仿宋" w:eastAsia="仿宋" w:cs="宋体"/>
          <w:color w:val="000000"/>
          <w:sz w:val="24"/>
          <w:highlight w:val="none"/>
        </w:rPr>
      </w:pPr>
    </w:p>
    <w:p w14:paraId="1D649434">
      <w:pPr>
        <w:spacing w:line="360" w:lineRule="auto"/>
        <w:ind w:firstLine="4080" w:firstLineChars="1700"/>
        <w:jc w:val="right"/>
        <w:rPr>
          <w:rFonts w:ascii="仿宋" w:hAnsi="仿宋" w:eastAsia="仿宋" w:cs="宋体"/>
          <w:color w:val="000000"/>
          <w:sz w:val="24"/>
          <w:highlight w:val="none"/>
        </w:rPr>
      </w:pPr>
    </w:p>
    <w:p w14:paraId="4D99ED92">
      <w:pPr>
        <w:spacing w:line="360" w:lineRule="auto"/>
        <w:ind w:firstLine="4080" w:firstLineChars="1700"/>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14:paraId="0AF3E007">
      <w:pPr>
        <w:spacing w:line="360" w:lineRule="auto"/>
        <w:jc w:val="right"/>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p>
    <w:p w14:paraId="2B9A91E2">
      <w:pPr>
        <w:numPr>
          <w:ilvl w:val="0"/>
          <w:numId w:val="0"/>
        </w:numPr>
        <w:spacing w:line="360" w:lineRule="auto"/>
        <w:jc w:val="both"/>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lang w:val="en-US" w:eastAsia="zh-CN"/>
        </w:rPr>
        <w:t>六</w:t>
      </w:r>
      <w:r>
        <w:rPr>
          <w:rFonts w:hint="eastAsia" w:ascii="仿宋" w:hAnsi="仿宋" w:eastAsia="仿宋" w:cs="仿宋"/>
          <w:b/>
          <w:bCs/>
          <w:color w:val="000000"/>
          <w:sz w:val="24"/>
          <w:szCs w:val="24"/>
          <w:highlight w:val="none"/>
          <w:lang w:eastAsia="zh-CN"/>
        </w:rPr>
        <w:t>）</w:t>
      </w:r>
      <w:r>
        <w:rPr>
          <w:rFonts w:hint="eastAsia" w:ascii="仿宋" w:hAnsi="仿宋" w:eastAsia="仿宋" w:cs="仿宋"/>
          <w:b/>
          <w:bCs/>
          <w:color w:val="000000"/>
          <w:sz w:val="24"/>
          <w:szCs w:val="24"/>
          <w:highlight w:val="none"/>
        </w:rPr>
        <w:t>合同条款应答偏</w:t>
      </w:r>
      <w:r>
        <w:rPr>
          <w:rFonts w:ascii="仿宋" w:hAnsi="仿宋" w:eastAsia="仿宋" w:cs="仿宋"/>
          <w:b/>
          <w:bCs/>
          <w:color w:val="000000"/>
          <w:sz w:val="24"/>
          <w:szCs w:val="24"/>
          <w:highlight w:val="none"/>
        </w:rPr>
        <w:t>离表</w:t>
      </w:r>
    </w:p>
    <w:p w14:paraId="2C10C0C8">
      <w:pPr>
        <w:numPr>
          <w:ilvl w:val="0"/>
          <w:numId w:val="0"/>
        </w:numPr>
        <w:spacing w:line="360"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合同条款应答偏离表</w:t>
      </w:r>
    </w:p>
    <w:p w14:paraId="24605B1F">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72FD215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12304D8A">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序号</w:t>
            </w:r>
          </w:p>
        </w:tc>
        <w:tc>
          <w:tcPr>
            <w:tcW w:w="2285" w:type="dxa"/>
            <w:noWrap w:val="0"/>
            <w:vAlign w:val="center"/>
          </w:tcPr>
          <w:p w14:paraId="5BC8E4A4">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条目号</w:t>
            </w:r>
          </w:p>
        </w:tc>
        <w:tc>
          <w:tcPr>
            <w:tcW w:w="2495" w:type="dxa"/>
            <w:noWrap w:val="0"/>
            <w:vAlign w:val="center"/>
          </w:tcPr>
          <w:p w14:paraId="5BBC0537">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原文内容</w:t>
            </w:r>
          </w:p>
        </w:tc>
        <w:tc>
          <w:tcPr>
            <w:tcW w:w="2704" w:type="dxa"/>
            <w:noWrap w:val="0"/>
            <w:vAlign w:val="center"/>
          </w:tcPr>
          <w:p w14:paraId="008FC9C4">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应答</w:t>
            </w:r>
          </w:p>
        </w:tc>
        <w:tc>
          <w:tcPr>
            <w:tcW w:w="1408" w:type="dxa"/>
            <w:noWrap w:val="0"/>
            <w:vAlign w:val="center"/>
          </w:tcPr>
          <w:p w14:paraId="34ABBBCE">
            <w:pPr>
              <w:spacing w:line="360" w:lineRule="auto"/>
              <w:jc w:val="center"/>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说明</w:t>
            </w:r>
          </w:p>
        </w:tc>
      </w:tr>
      <w:tr w14:paraId="5D8CF79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6DAA0E38">
            <w:pPr>
              <w:spacing w:line="360" w:lineRule="auto"/>
              <w:rPr>
                <w:rFonts w:hint="eastAsia" w:ascii="仿宋" w:hAnsi="仿宋" w:eastAsia="仿宋" w:cs="Cambria Math"/>
                <w:color w:val="000000"/>
                <w:szCs w:val="21"/>
                <w:highlight w:val="none"/>
              </w:rPr>
            </w:pPr>
          </w:p>
        </w:tc>
        <w:tc>
          <w:tcPr>
            <w:tcW w:w="2285" w:type="dxa"/>
            <w:noWrap w:val="0"/>
            <w:vAlign w:val="top"/>
          </w:tcPr>
          <w:p w14:paraId="794D861E">
            <w:pPr>
              <w:spacing w:line="360" w:lineRule="auto"/>
              <w:rPr>
                <w:rFonts w:hint="eastAsia" w:ascii="仿宋" w:hAnsi="仿宋" w:eastAsia="仿宋" w:cs="Cambria Math"/>
                <w:color w:val="000000"/>
                <w:szCs w:val="21"/>
                <w:highlight w:val="none"/>
              </w:rPr>
            </w:pPr>
          </w:p>
        </w:tc>
        <w:tc>
          <w:tcPr>
            <w:tcW w:w="2495" w:type="dxa"/>
            <w:noWrap w:val="0"/>
            <w:vAlign w:val="top"/>
          </w:tcPr>
          <w:p w14:paraId="4E31A6B4">
            <w:pPr>
              <w:spacing w:line="360" w:lineRule="auto"/>
              <w:rPr>
                <w:rFonts w:hint="eastAsia" w:ascii="仿宋" w:hAnsi="仿宋" w:eastAsia="仿宋" w:cs="Cambria Math"/>
                <w:color w:val="000000"/>
                <w:szCs w:val="21"/>
                <w:highlight w:val="none"/>
              </w:rPr>
            </w:pPr>
          </w:p>
        </w:tc>
        <w:tc>
          <w:tcPr>
            <w:tcW w:w="2704" w:type="dxa"/>
            <w:noWrap w:val="0"/>
            <w:vAlign w:val="top"/>
          </w:tcPr>
          <w:p w14:paraId="2835508E">
            <w:pPr>
              <w:spacing w:line="360" w:lineRule="auto"/>
              <w:rPr>
                <w:rFonts w:hint="eastAsia" w:ascii="仿宋" w:hAnsi="仿宋" w:eastAsia="仿宋" w:cs="Cambria Math"/>
                <w:color w:val="000000"/>
                <w:szCs w:val="21"/>
                <w:highlight w:val="none"/>
              </w:rPr>
            </w:pPr>
          </w:p>
        </w:tc>
        <w:tc>
          <w:tcPr>
            <w:tcW w:w="1408" w:type="dxa"/>
            <w:noWrap w:val="0"/>
            <w:vAlign w:val="top"/>
          </w:tcPr>
          <w:p w14:paraId="721EE601">
            <w:pPr>
              <w:spacing w:line="360" w:lineRule="auto"/>
              <w:rPr>
                <w:rFonts w:hint="eastAsia" w:ascii="仿宋" w:hAnsi="仿宋" w:eastAsia="仿宋" w:cs="Cambria Math"/>
                <w:color w:val="000000"/>
                <w:szCs w:val="21"/>
                <w:highlight w:val="none"/>
              </w:rPr>
            </w:pPr>
          </w:p>
        </w:tc>
      </w:tr>
      <w:tr w14:paraId="7BF5D50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0B8A1F5C">
            <w:pPr>
              <w:spacing w:line="360" w:lineRule="auto"/>
              <w:rPr>
                <w:rFonts w:hint="eastAsia" w:ascii="仿宋" w:hAnsi="仿宋" w:eastAsia="仿宋" w:cs="Cambria Math"/>
                <w:color w:val="000000"/>
                <w:szCs w:val="21"/>
                <w:highlight w:val="none"/>
              </w:rPr>
            </w:pPr>
          </w:p>
        </w:tc>
        <w:tc>
          <w:tcPr>
            <w:tcW w:w="2285" w:type="dxa"/>
            <w:noWrap w:val="0"/>
            <w:vAlign w:val="top"/>
          </w:tcPr>
          <w:p w14:paraId="029EEAF6">
            <w:pPr>
              <w:spacing w:line="360" w:lineRule="auto"/>
              <w:rPr>
                <w:rFonts w:hint="eastAsia" w:ascii="仿宋" w:hAnsi="仿宋" w:eastAsia="仿宋" w:cs="Cambria Math"/>
                <w:color w:val="000000"/>
                <w:szCs w:val="21"/>
                <w:highlight w:val="none"/>
              </w:rPr>
            </w:pPr>
          </w:p>
        </w:tc>
        <w:tc>
          <w:tcPr>
            <w:tcW w:w="2495" w:type="dxa"/>
            <w:noWrap w:val="0"/>
            <w:vAlign w:val="top"/>
          </w:tcPr>
          <w:p w14:paraId="7D06C2C6">
            <w:pPr>
              <w:spacing w:line="360" w:lineRule="auto"/>
              <w:rPr>
                <w:rFonts w:hint="eastAsia" w:ascii="仿宋" w:hAnsi="仿宋" w:eastAsia="仿宋" w:cs="Cambria Math"/>
                <w:color w:val="000000"/>
                <w:szCs w:val="21"/>
                <w:highlight w:val="none"/>
              </w:rPr>
            </w:pPr>
          </w:p>
        </w:tc>
        <w:tc>
          <w:tcPr>
            <w:tcW w:w="2704" w:type="dxa"/>
            <w:noWrap w:val="0"/>
            <w:vAlign w:val="top"/>
          </w:tcPr>
          <w:p w14:paraId="5D6541FD">
            <w:pPr>
              <w:spacing w:line="360" w:lineRule="auto"/>
              <w:rPr>
                <w:rFonts w:hint="eastAsia" w:ascii="仿宋" w:hAnsi="仿宋" w:eastAsia="仿宋" w:cs="Cambria Math"/>
                <w:color w:val="000000"/>
                <w:szCs w:val="21"/>
                <w:highlight w:val="none"/>
              </w:rPr>
            </w:pPr>
          </w:p>
        </w:tc>
        <w:tc>
          <w:tcPr>
            <w:tcW w:w="1408" w:type="dxa"/>
            <w:noWrap w:val="0"/>
            <w:vAlign w:val="top"/>
          </w:tcPr>
          <w:p w14:paraId="6F838D8D">
            <w:pPr>
              <w:spacing w:line="360" w:lineRule="auto"/>
              <w:rPr>
                <w:rFonts w:hint="eastAsia" w:ascii="仿宋" w:hAnsi="仿宋" w:eastAsia="仿宋" w:cs="Cambria Math"/>
                <w:color w:val="000000"/>
                <w:szCs w:val="21"/>
                <w:highlight w:val="none"/>
              </w:rPr>
            </w:pPr>
          </w:p>
        </w:tc>
      </w:tr>
      <w:tr w14:paraId="1A56F8F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1611C1FD">
            <w:pPr>
              <w:spacing w:line="360" w:lineRule="auto"/>
              <w:rPr>
                <w:rFonts w:hint="eastAsia" w:ascii="仿宋" w:hAnsi="仿宋" w:eastAsia="仿宋" w:cs="Cambria Math"/>
                <w:color w:val="000000"/>
                <w:szCs w:val="21"/>
                <w:highlight w:val="none"/>
              </w:rPr>
            </w:pPr>
          </w:p>
        </w:tc>
        <w:tc>
          <w:tcPr>
            <w:tcW w:w="2285" w:type="dxa"/>
            <w:noWrap w:val="0"/>
            <w:vAlign w:val="top"/>
          </w:tcPr>
          <w:p w14:paraId="7107F61C">
            <w:pPr>
              <w:spacing w:line="360" w:lineRule="auto"/>
              <w:rPr>
                <w:rFonts w:hint="eastAsia" w:ascii="仿宋" w:hAnsi="仿宋" w:eastAsia="仿宋" w:cs="Cambria Math"/>
                <w:color w:val="000000"/>
                <w:szCs w:val="21"/>
                <w:highlight w:val="none"/>
              </w:rPr>
            </w:pPr>
          </w:p>
        </w:tc>
        <w:tc>
          <w:tcPr>
            <w:tcW w:w="2495" w:type="dxa"/>
            <w:noWrap w:val="0"/>
            <w:vAlign w:val="top"/>
          </w:tcPr>
          <w:p w14:paraId="6D98EF44">
            <w:pPr>
              <w:spacing w:line="360" w:lineRule="auto"/>
              <w:rPr>
                <w:rFonts w:hint="eastAsia" w:ascii="仿宋" w:hAnsi="仿宋" w:eastAsia="仿宋" w:cs="Cambria Math"/>
                <w:color w:val="000000"/>
                <w:szCs w:val="21"/>
                <w:highlight w:val="none"/>
              </w:rPr>
            </w:pPr>
          </w:p>
        </w:tc>
        <w:tc>
          <w:tcPr>
            <w:tcW w:w="2704" w:type="dxa"/>
            <w:noWrap w:val="0"/>
            <w:vAlign w:val="top"/>
          </w:tcPr>
          <w:p w14:paraId="7999394E">
            <w:pPr>
              <w:spacing w:line="360" w:lineRule="auto"/>
              <w:rPr>
                <w:rFonts w:hint="eastAsia" w:ascii="仿宋" w:hAnsi="仿宋" w:eastAsia="仿宋" w:cs="Cambria Math"/>
                <w:color w:val="000000"/>
                <w:szCs w:val="21"/>
                <w:highlight w:val="none"/>
              </w:rPr>
            </w:pPr>
          </w:p>
        </w:tc>
        <w:tc>
          <w:tcPr>
            <w:tcW w:w="1408" w:type="dxa"/>
            <w:noWrap w:val="0"/>
            <w:vAlign w:val="top"/>
          </w:tcPr>
          <w:p w14:paraId="4AD1BD52">
            <w:pPr>
              <w:spacing w:line="360" w:lineRule="auto"/>
              <w:rPr>
                <w:rFonts w:hint="eastAsia" w:ascii="仿宋" w:hAnsi="仿宋" w:eastAsia="仿宋" w:cs="Cambria Math"/>
                <w:color w:val="000000"/>
                <w:szCs w:val="21"/>
                <w:highlight w:val="none"/>
              </w:rPr>
            </w:pPr>
          </w:p>
        </w:tc>
      </w:tr>
      <w:tr w14:paraId="699C1AF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5367CC9C">
            <w:pPr>
              <w:spacing w:line="360" w:lineRule="auto"/>
              <w:rPr>
                <w:rFonts w:hint="eastAsia" w:ascii="仿宋" w:hAnsi="仿宋" w:eastAsia="仿宋" w:cs="Cambria Math"/>
                <w:color w:val="000000"/>
                <w:szCs w:val="21"/>
                <w:highlight w:val="none"/>
              </w:rPr>
            </w:pPr>
          </w:p>
        </w:tc>
        <w:tc>
          <w:tcPr>
            <w:tcW w:w="2285" w:type="dxa"/>
            <w:noWrap w:val="0"/>
            <w:vAlign w:val="top"/>
          </w:tcPr>
          <w:p w14:paraId="122080F4">
            <w:pPr>
              <w:spacing w:line="360" w:lineRule="auto"/>
              <w:rPr>
                <w:rFonts w:hint="eastAsia" w:ascii="仿宋" w:hAnsi="仿宋" w:eastAsia="仿宋" w:cs="Cambria Math"/>
                <w:color w:val="000000"/>
                <w:szCs w:val="21"/>
                <w:highlight w:val="none"/>
              </w:rPr>
            </w:pPr>
          </w:p>
        </w:tc>
        <w:tc>
          <w:tcPr>
            <w:tcW w:w="2495" w:type="dxa"/>
            <w:noWrap w:val="0"/>
            <w:vAlign w:val="top"/>
          </w:tcPr>
          <w:p w14:paraId="5B1C8A6F">
            <w:pPr>
              <w:spacing w:line="360" w:lineRule="auto"/>
              <w:rPr>
                <w:rFonts w:hint="eastAsia" w:ascii="仿宋" w:hAnsi="仿宋" w:eastAsia="仿宋" w:cs="Cambria Math"/>
                <w:color w:val="000000"/>
                <w:szCs w:val="21"/>
                <w:highlight w:val="none"/>
              </w:rPr>
            </w:pPr>
          </w:p>
        </w:tc>
        <w:tc>
          <w:tcPr>
            <w:tcW w:w="2704" w:type="dxa"/>
            <w:noWrap w:val="0"/>
            <w:vAlign w:val="top"/>
          </w:tcPr>
          <w:p w14:paraId="7C81D195">
            <w:pPr>
              <w:spacing w:line="360" w:lineRule="auto"/>
              <w:rPr>
                <w:rFonts w:hint="eastAsia" w:ascii="仿宋" w:hAnsi="仿宋" w:eastAsia="仿宋" w:cs="Cambria Math"/>
                <w:color w:val="000000"/>
                <w:szCs w:val="21"/>
                <w:highlight w:val="none"/>
              </w:rPr>
            </w:pPr>
          </w:p>
        </w:tc>
        <w:tc>
          <w:tcPr>
            <w:tcW w:w="1408" w:type="dxa"/>
            <w:noWrap w:val="0"/>
            <w:vAlign w:val="top"/>
          </w:tcPr>
          <w:p w14:paraId="14B21F8B">
            <w:pPr>
              <w:spacing w:line="360" w:lineRule="auto"/>
              <w:rPr>
                <w:rFonts w:hint="eastAsia" w:ascii="仿宋" w:hAnsi="仿宋" w:eastAsia="仿宋" w:cs="Cambria Math"/>
                <w:color w:val="000000"/>
                <w:szCs w:val="21"/>
                <w:highlight w:val="none"/>
              </w:rPr>
            </w:pPr>
          </w:p>
        </w:tc>
      </w:tr>
      <w:tr w14:paraId="18A077E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76296C6C">
            <w:pPr>
              <w:spacing w:line="360" w:lineRule="auto"/>
              <w:rPr>
                <w:rFonts w:hint="eastAsia" w:ascii="仿宋" w:hAnsi="仿宋" w:eastAsia="仿宋" w:cs="Cambria Math"/>
                <w:color w:val="000000"/>
                <w:szCs w:val="21"/>
                <w:highlight w:val="none"/>
              </w:rPr>
            </w:pPr>
          </w:p>
        </w:tc>
        <w:tc>
          <w:tcPr>
            <w:tcW w:w="2285" w:type="dxa"/>
            <w:noWrap w:val="0"/>
            <w:vAlign w:val="top"/>
          </w:tcPr>
          <w:p w14:paraId="2AC5405D">
            <w:pPr>
              <w:spacing w:line="360" w:lineRule="auto"/>
              <w:rPr>
                <w:rFonts w:hint="eastAsia" w:ascii="仿宋" w:hAnsi="仿宋" w:eastAsia="仿宋" w:cs="Cambria Math"/>
                <w:color w:val="000000"/>
                <w:szCs w:val="21"/>
                <w:highlight w:val="none"/>
              </w:rPr>
            </w:pPr>
          </w:p>
        </w:tc>
        <w:tc>
          <w:tcPr>
            <w:tcW w:w="2495" w:type="dxa"/>
            <w:noWrap w:val="0"/>
            <w:vAlign w:val="top"/>
          </w:tcPr>
          <w:p w14:paraId="56ED57C1">
            <w:pPr>
              <w:spacing w:line="360" w:lineRule="auto"/>
              <w:rPr>
                <w:rFonts w:hint="eastAsia" w:ascii="仿宋" w:hAnsi="仿宋" w:eastAsia="仿宋" w:cs="Cambria Math"/>
                <w:color w:val="000000"/>
                <w:szCs w:val="21"/>
                <w:highlight w:val="none"/>
              </w:rPr>
            </w:pPr>
          </w:p>
        </w:tc>
        <w:tc>
          <w:tcPr>
            <w:tcW w:w="2704" w:type="dxa"/>
            <w:noWrap w:val="0"/>
            <w:vAlign w:val="top"/>
          </w:tcPr>
          <w:p w14:paraId="34EBB445">
            <w:pPr>
              <w:spacing w:line="360" w:lineRule="auto"/>
              <w:rPr>
                <w:rFonts w:hint="eastAsia" w:ascii="仿宋" w:hAnsi="仿宋" w:eastAsia="仿宋" w:cs="Cambria Math"/>
                <w:color w:val="000000"/>
                <w:szCs w:val="21"/>
                <w:highlight w:val="none"/>
              </w:rPr>
            </w:pPr>
          </w:p>
        </w:tc>
        <w:tc>
          <w:tcPr>
            <w:tcW w:w="1408" w:type="dxa"/>
            <w:noWrap w:val="0"/>
            <w:vAlign w:val="top"/>
          </w:tcPr>
          <w:p w14:paraId="50343024">
            <w:pPr>
              <w:spacing w:line="360" w:lineRule="auto"/>
              <w:rPr>
                <w:rFonts w:hint="eastAsia" w:ascii="仿宋" w:hAnsi="仿宋" w:eastAsia="仿宋" w:cs="Cambria Math"/>
                <w:color w:val="000000"/>
                <w:szCs w:val="21"/>
                <w:highlight w:val="none"/>
              </w:rPr>
            </w:pPr>
          </w:p>
        </w:tc>
      </w:tr>
      <w:tr w14:paraId="6B05BE3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35DFD47B">
            <w:pPr>
              <w:spacing w:line="360" w:lineRule="auto"/>
              <w:rPr>
                <w:rFonts w:hint="eastAsia" w:ascii="仿宋" w:hAnsi="仿宋" w:eastAsia="仿宋" w:cs="Cambria Math"/>
                <w:color w:val="000000"/>
                <w:szCs w:val="21"/>
                <w:highlight w:val="none"/>
              </w:rPr>
            </w:pPr>
          </w:p>
        </w:tc>
        <w:tc>
          <w:tcPr>
            <w:tcW w:w="2285" w:type="dxa"/>
            <w:noWrap w:val="0"/>
            <w:vAlign w:val="top"/>
          </w:tcPr>
          <w:p w14:paraId="3540725A">
            <w:pPr>
              <w:spacing w:line="360" w:lineRule="auto"/>
              <w:rPr>
                <w:rFonts w:hint="eastAsia" w:ascii="仿宋" w:hAnsi="仿宋" w:eastAsia="仿宋" w:cs="Cambria Math"/>
                <w:color w:val="000000"/>
                <w:szCs w:val="21"/>
                <w:highlight w:val="none"/>
              </w:rPr>
            </w:pPr>
          </w:p>
        </w:tc>
        <w:tc>
          <w:tcPr>
            <w:tcW w:w="2495" w:type="dxa"/>
            <w:noWrap w:val="0"/>
            <w:vAlign w:val="top"/>
          </w:tcPr>
          <w:p w14:paraId="3E87F54A">
            <w:pPr>
              <w:spacing w:line="360" w:lineRule="auto"/>
              <w:rPr>
                <w:rFonts w:hint="eastAsia" w:ascii="仿宋" w:hAnsi="仿宋" w:eastAsia="仿宋" w:cs="Cambria Math"/>
                <w:color w:val="000000"/>
                <w:szCs w:val="21"/>
                <w:highlight w:val="none"/>
              </w:rPr>
            </w:pPr>
          </w:p>
        </w:tc>
        <w:tc>
          <w:tcPr>
            <w:tcW w:w="2704" w:type="dxa"/>
            <w:noWrap w:val="0"/>
            <w:vAlign w:val="top"/>
          </w:tcPr>
          <w:p w14:paraId="28EF7176">
            <w:pPr>
              <w:spacing w:line="360" w:lineRule="auto"/>
              <w:rPr>
                <w:rFonts w:hint="eastAsia" w:ascii="仿宋" w:hAnsi="仿宋" w:eastAsia="仿宋" w:cs="Cambria Math"/>
                <w:color w:val="000000"/>
                <w:szCs w:val="21"/>
                <w:highlight w:val="none"/>
              </w:rPr>
            </w:pPr>
          </w:p>
        </w:tc>
        <w:tc>
          <w:tcPr>
            <w:tcW w:w="1408" w:type="dxa"/>
            <w:noWrap w:val="0"/>
            <w:vAlign w:val="top"/>
          </w:tcPr>
          <w:p w14:paraId="1F105397">
            <w:pPr>
              <w:spacing w:line="360" w:lineRule="auto"/>
              <w:rPr>
                <w:rFonts w:hint="eastAsia" w:ascii="仿宋" w:hAnsi="仿宋" w:eastAsia="仿宋" w:cs="Cambria Math"/>
                <w:color w:val="000000"/>
                <w:szCs w:val="21"/>
                <w:highlight w:val="none"/>
              </w:rPr>
            </w:pPr>
          </w:p>
        </w:tc>
      </w:tr>
      <w:tr w14:paraId="7F69AF6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1DB4D2D1">
            <w:pPr>
              <w:spacing w:line="360" w:lineRule="auto"/>
              <w:rPr>
                <w:rFonts w:hint="eastAsia" w:ascii="仿宋" w:hAnsi="仿宋" w:eastAsia="仿宋" w:cs="Cambria Math"/>
                <w:color w:val="000000"/>
                <w:szCs w:val="21"/>
                <w:highlight w:val="none"/>
              </w:rPr>
            </w:pPr>
          </w:p>
        </w:tc>
        <w:tc>
          <w:tcPr>
            <w:tcW w:w="2285" w:type="dxa"/>
            <w:noWrap w:val="0"/>
            <w:vAlign w:val="top"/>
          </w:tcPr>
          <w:p w14:paraId="2E15033F">
            <w:pPr>
              <w:spacing w:line="360" w:lineRule="auto"/>
              <w:rPr>
                <w:rFonts w:hint="eastAsia" w:ascii="仿宋" w:hAnsi="仿宋" w:eastAsia="仿宋" w:cs="Cambria Math"/>
                <w:color w:val="000000"/>
                <w:szCs w:val="21"/>
                <w:highlight w:val="none"/>
              </w:rPr>
            </w:pPr>
          </w:p>
        </w:tc>
        <w:tc>
          <w:tcPr>
            <w:tcW w:w="2495" w:type="dxa"/>
            <w:noWrap w:val="0"/>
            <w:vAlign w:val="top"/>
          </w:tcPr>
          <w:p w14:paraId="453FDE3E">
            <w:pPr>
              <w:spacing w:line="360" w:lineRule="auto"/>
              <w:rPr>
                <w:rFonts w:hint="eastAsia" w:ascii="仿宋" w:hAnsi="仿宋" w:eastAsia="仿宋" w:cs="Cambria Math"/>
                <w:color w:val="000000"/>
                <w:szCs w:val="21"/>
                <w:highlight w:val="none"/>
              </w:rPr>
            </w:pPr>
          </w:p>
        </w:tc>
        <w:tc>
          <w:tcPr>
            <w:tcW w:w="2704" w:type="dxa"/>
            <w:noWrap w:val="0"/>
            <w:vAlign w:val="top"/>
          </w:tcPr>
          <w:p w14:paraId="291C3AB6">
            <w:pPr>
              <w:spacing w:line="360" w:lineRule="auto"/>
              <w:rPr>
                <w:rFonts w:hint="eastAsia" w:ascii="仿宋" w:hAnsi="仿宋" w:eastAsia="仿宋" w:cs="Cambria Math"/>
                <w:color w:val="000000"/>
                <w:szCs w:val="21"/>
                <w:highlight w:val="none"/>
              </w:rPr>
            </w:pPr>
          </w:p>
        </w:tc>
        <w:tc>
          <w:tcPr>
            <w:tcW w:w="1408" w:type="dxa"/>
            <w:noWrap w:val="0"/>
            <w:vAlign w:val="top"/>
          </w:tcPr>
          <w:p w14:paraId="47659394">
            <w:pPr>
              <w:spacing w:line="360" w:lineRule="auto"/>
              <w:rPr>
                <w:rFonts w:hint="eastAsia" w:ascii="仿宋" w:hAnsi="仿宋" w:eastAsia="仿宋" w:cs="Cambria Math"/>
                <w:color w:val="000000"/>
                <w:szCs w:val="21"/>
                <w:highlight w:val="none"/>
              </w:rPr>
            </w:pPr>
          </w:p>
        </w:tc>
      </w:tr>
      <w:tr w14:paraId="26C873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2EFB621E">
            <w:pPr>
              <w:spacing w:line="360" w:lineRule="auto"/>
              <w:rPr>
                <w:rFonts w:hint="eastAsia" w:ascii="仿宋" w:hAnsi="仿宋" w:eastAsia="仿宋" w:cs="Cambria Math"/>
                <w:color w:val="000000"/>
                <w:szCs w:val="21"/>
                <w:highlight w:val="none"/>
              </w:rPr>
            </w:pPr>
          </w:p>
        </w:tc>
        <w:tc>
          <w:tcPr>
            <w:tcW w:w="2285" w:type="dxa"/>
            <w:noWrap w:val="0"/>
            <w:vAlign w:val="top"/>
          </w:tcPr>
          <w:p w14:paraId="009280D4">
            <w:pPr>
              <w:spacing w:line="360" w:lineRule="auto"/>
              <w:rPr>
                <w:rFonts w:hint="eastAsia" w:ascii="仿宋" w:hAnsi="仿宋" w:eastAsia="仿宋" w:cs="Cambria Math"/>
                <w:color w:val="000000"/>
                <w:szCs w:val="21"/>
                <w:highlight w:val="none"/>
              </w:rPr>
            </w:pPr>
          </w:p>
        </w:tc>
        <w:tc>
          <w:tcPr>
            <w:tcW w:w="2495" w:type="dxa"/>
            <w:noWrap w:val="0"/>
            <w:vAlign w:val="top"/>
          </w:tcPr>
          <w:p w14:paraId="220F3B44">
            <w:pPr>
              <w:spacing w:line="360" w:lineRule="auto"/>
              <w:rPr>
                <w:rFonts w:hint="eastAsia" w:ascii="仿宋" w:hAnsi="仿宋" w:eastAsia="仿宋" w:cs="Cambria Math"/>
                <w:color w:val="000000"/>
                <w:szCs w:val="21"/>
                <w:highlight w:val="none"/>
              </w:rPr>
            </w:pPr>
          </w:p>
        </w:tc>
        <w:tc>
          <w:tcPr>
            <w:tcW w:w="2704" w:type="dxa"/>
            <w:noWrap w:val="0"/>
            <w:vAlign w:val="top"/>
          </w:tcPr>
          <w:p w14:paraId="420E9E7A">
            <w:pPr>
              <w:spacing w:line="360" w:lineRule="auto"/>
              <w:rPr>
                <w:rFonts w:hint="eastAsia" w:ascii="仿宋" w:hAnsi="仿宋" w:eastAsia="仿宋" w:cs="Cambria Math"/>
                <w:color w:val="000000"/>
                <w:szCs w:val="21"/>
                <w:highlight w:val="none"/>
              </w:rPr>
            </w:pPr>
          </w:p>
        </w:tc>
        <w:tc>
          <w:tcPr>
            <w:tcW w:w="1408" w:type="dxa"/>
            <w:noWrap w:val="0"/>
            <w:vAlign w:val="top"/>
          </w:tcPr>
          <w:p w14:paraId="687A6403">
            <w:pPr>
              <w:spacing w:line="360" w:lineRule="auto"/>
              <w:rPr>
                <w:rFonts w:hint="eastAsia" w:ascii="仿宋" w:hAnsi="仿宋" w:eastAsia="仿宋" w:cs="Cambria Math"/>
                <w:color w:val="000000"/>
                <w:szCs w:val="21"/>
                <w:highlight w:val="none"/>
              </w:rPr>
            </w:pPr>
          </w:p>
        </w:tc>
      </w:tr>
      <w:tr w14:paraId="78257C9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4EF33E1F">
            <w:pPr>
              <w:spacing w:line="360" w:lineRule="auto"/>
              <w:rPr>
                <w:rFonts w:hint="eastAsia" w:ascii="仿宋" w:hAnsi="仿宋" w:eastAsia="仿宋" w:cs="Cambria Math"/>
                <w:color w:val="000000"/>
                <w:szCs w:val="21"/>
                <w:highlight w:val="none"/>
              </w:rPr>
            </w:pPr>
          </w:p>
        </w:tc>
        <w:tc>
          <w:tcPr>
            <w:tcW w:w="2285" w:type="dxa"/>
            <w:noWrap w:val="0"/>
            <w:vAlign w:val="top"/>
          </w:tcPr>
          <w:p w14:paraId="5EA9BAEF">
            <w:pPr>
              <w:spacing w:line="360" w:lineRule="auto"/>
              <w:rPr>
                <w:rFonts w:hint="eastAsia" w:ascii="仿宋" w:hAnsi="仿宋" w:eastAsia="仿宋" w:cs="Cambria Math"/>
                <w:color w:val="000000"/>
                <w:szCs w:val="21"/>
                <w:highlight w:val="none"/>
              </w:rPr>
            </w:pPr>
          </w:p>
        </w:tc>
        <w:tc>
          <w:tcPr>
            <w:tcW w:w="2495" w:type="dxa"/>
            <w:noWrap w:val="0"/>
            <w:vAlign w:val="top"/>
          </w:tcPr>
          <w:p w14:paraId="56EE476E">
            <w:pPr>
              <w:spacing w:line="360" w:lineRule="auto"/>
              <w:rPr>
                <w:rFonts w:hint="eastAsia" w:ascii="仿宋" w:hAnsi="仿宋" w:eastAsia="仿宋" w:cs="Cambria Math"/>
                <w:color w:val="000000"/>
                <w:szCs w:val="21"/>
                <w:highlight w:val="none"/>
              </w:rPr>
            </w:pPr>
          </w:p>
        </w:tc>
        <w:tc>
          <w:tcPr>
            <w:tcW w:w="2704" w:type="dxa"/>
            <w:noWrap w:val="0"/>
            <w:vAlign w:val="top"/>
          </w:tcPr>
          <w:p w14:paraId="366D1AC5">
            <w:pPr>
              <w:spacing w:line="360" w:lineRule="auto"/>
              <w:rPr>
                <w:rFonts w:hint="eastAsia" w:ascii="仿宋" w:hAnsi="仿宋" w:eastAsia="仿宋" w:cs="Cambria Math"/>
                <w:color w:val="000000"/>
                <w:szCs w:val="21"/>
                <w:highlight w:val="none"/>
              </w:rPr>
            </w:pPr>
          </w:p>
        </w:tc>
        <w:tc>
          <w:tcPr>
            <w:tcW w:w="1408" w:type="dxa"/>
            <w:noWrap w:val="0"/>
            <w:vAlign w:val="top"/>
          </w:tcPr>
          <w:p w14:paraId="5BE550F5">
            <w:pPr>
              <w:spacing w:line="360" w:lineRule="auto"/>
              <w:rPr>
                <w:rFonts w:hint="eastAsia" w:ascii="仿宋" w:hAnsi="仿宋" w:eastAsia="仿宋" w:cs="Cambria Math"/>
                <w:color w:val="000000"/>
                <w:szCs w:val="21"/>
                <w:highlight w:val="none"/>
              </w:rPr>
            </w:pPr>
          </w:p>
        </w:tc>
      </w:tr>
      <w:tr w14:paraId="74A6FA6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23D71B1D">
            <w:pPr>
              <w:spacing w:line="360" w:lineRule="auto"/>
              <w:rPr>
                <w:rFonts w:hint="eastAsia" w:ascii="仿宋" w:hAnsi="仿宋" w:eastAsia="仿宋" w:cs="Cambria Math"/>
                <w:color w:val="000000"/>
                <w:szCs w:val="21"/>
                <w:highlight w:val="none"/>
              </w:rPr>
            </w:pPr>
          </w:p>
        </w:tc>
        <w:tc>
          <w:tcPr>
            <w:tcW w:w="2285" w:type="dxa"/>
            <w:noWrap w:val="0"/>
            <w:vAlign w:val="top"/>
          </w:tcPr>
          <w:p w14:paraId="758E80D3">
            <w:pPr>
              <w:spacing w:line="360" w:lineRule="auto"/>
              <w:rPr>
                <w:rFonts w:hint="eastAsia" w:ascii="仿宋" w:hAnsi="仿宋" w:eastAsia="仿宋" w:cs="Cambria Math"/>
                <w:color w:val="000000"/>
                <w:szCs w:val="21"/>
                <w:highlight w:val="none"/>
              </w:rPr>
            </w:pPr>
          </w:p>
        </w:tc>
        <w:tc>
          <w:tcPr>
            <w:tcW w:w="2495" w:type="dxa"/>
            <w:noWrap w:val="0"/>
            <w:vAlign w:val="top"/>
          </w:tcPr>
          <w:p w14:paraId="1AE1E9F8">
            <w:pPr>
              <w:spacing w:line="360" w:lineRule="auto"/>
              <w:rPr>
                <w:rFonts w:hint="eastAsia" w:ascii="仿宋" w:hAnsi="仿宋" w:eastAsia="仿宋" w:cs="Cambria Math"/>
                <w:color w:val="000000"/>
                <w:szCs w:val="21"/>
                <w:highlight w:val="none"/>
              </w:rPr>
            </w:pPr>
          </w:p>
        </w:tc>
        <w:tc>
          <w:tcPr>
            <w:tcW w:w="2704" w:type="dxa"/>
            <w:noWrap w:val="0"/>
            <w:vAlign w:val="top"/>
          </w:tcPr>
          <w:p w14:paraId="610DE671">
            <w:pPr>
              <w:spacing w:line="360" w:lineRule="auto"/>
              <w:rPr>
                <w:rFonts w:hint="eastAsia" w:ascii="仿宋" w:hAnsi="仿宋" w:eastAsia="仿宋" w:cs="Cambria Math"/>
                <w:color w:val="000000"/>
                <w:szCs w:val="21"/>
                <w:highlight w:val="none"/>
              </w:rPr>
            </w:pPr>
          </w:p>
        </w:tc>
        <w:tc>
          <w:tcPr>
            <w:tcW w:w="1408" w:type="dxa"/>
            <w:noWrap w:val="0"/>
            <w:vAlign w:val="top"/>
          </w:tcPr>
          <w:p w14:paraId="5361B5CF">
            <w:pPr>
              <w:spacing w:line="360" w:lineRule="auto"/>
              <w:rPr>
                <w:rFonts w:hint="eastAsia" w:ascii="仿宋" w:hAnsi="仿宋" w:eastAsia="仿宋" w:cs="Cambria Math"/>
                <w:color w:val="000000"/>
                <w:szCs w:val="21"/>
                <w:highlight w:val="none"/>
              </w:rPr>
            </w:pPr>
          </w:p>
        </w:tc>
      </w:tr>
    </w:tbl>
    <w:p w14:paraId="6E05D587">
      <w:pPr>
        <w:spacing w:before="240" w:line="360" w:lineRule="auto"/>
        <w:ind w:left="480" w:hanging="480" w:hangingChars="2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注：所有偏离必须在本表中列出，未在本偏离表中列出偏离，将视为供应商已完全接受竞争性磋商文件要求；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14:paraId="6616BDBD">
      <w:pPr>
        <w:spacing w:line="600" w:lineRule="exact"/>
        <w:rPr>
          <w:rFonts w:hint="eastAsia" w:ascii="仿宋" w:hAnsi="仿宋" w:eastAsia="仿宋" w:cs="仿宋"/>
          <w:color w:val="000000"/>
          <w:szCs w:val="21"/>
          <w:highlight w:val="none"/>
        </w:rPr>
      </w:pPr>
    </w:p>
    <w:p w14:paraId="47C979F3">
      <w:pPr>
        <w:spacing w:line="360" w:lineRule="auto"/>
        <w:ind w:firstLine="420"/>
        <w:jc w:val="right"/>
        <w:rPr>
          <w:rFonts w:ascii="仿宋" w:hAnsi="仿宋" w:eastAsia="仿宋" w:cs="仿宋"/>
          <w:color w:val="000000"/>
          <w:sz w:val="24"/>
          <w:highlight w:val="none"/>
        </w:rPr>
      </w:pPr>
    </w:p>
    <w:p w14:paraId="67A2FF78">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3BD30E18">
      <w:pPr>
        <w:spacing w:line="440" w:lineRule="exact"/>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040CDD0B">
      <w:pPr>
        <w:spacing w:line="360" w:lineRule="auto"/>
        <w:rPr>
          <w:rFonts w:hint="eastAsia" w:ascii="仿宋" w:hAnsi="仿宋" w:eastAsia="仿宋" w:cs="仿宋"/>
          <w:color w:val="000000"/>
          <w:highlight w:val="none"/>
          <w:u w:val="single"/>
        </w:rPr>
      </w:pPr>
    </w:p>
    <w:p w14:paraId="40419049">
      <w:pPr>
        <w:pStyle w:val="5"/>
        <w:numPr>
          <w:ilvl w:val="0"/>
          <w:numId w:val="0"/>
        </w:numPr>
        <w:spacing w:before="0" w:after="0" w:line="360" w:lineRule="auto"/>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ascii="仿宋" w:hAnsi="仿宋" w:eastAsia="仿宋" w:cs="仿宋"/>
          <w:color w:val="000000"/>
          <w:sz w:val="24"/>
          <w:szCs w:val="24"/>
          <w:highlight w:val="none"/>
        </w:rPr>
        <w:br w:type="page"/>
      </w:r>
    </w:p>
    <w:p w14:paraId="63152A72">
      <w:pPr>
        <w:pStyle w:val="5"/>
        <w:numPr>
          <w:ilvl w:val="0"/>
          <w:numId w:val="0"/>
        </w:numPr>
        <w:spacing w:before="0" w:after="0" w:line="360" w:lineRule="auto"/>
        <w:rPr>
          <w:rFonts w:hint="eastAsia" w:ascii="仿宋" w:hAnsi="仿宋" w:eastAsia="仿宋" w:cs="仿宋"/>
          <w:color w:val="000000"/>
          <w:sz w:val="24"/>
          <w:szCs w:val="24"/>
          <w:highlight w:val="none"/>
        </w:rPr>
      </w:pPr>
      <w:bookmarkStart w:id="211" w:name="_Toc17890"/>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七</w:t>
      </w:r>
      <w:r>
        <w:rPr>
          <w:rFonts w:hint="eastAsia" w:ascii="仿宋" w:hAnsi="仿宋" w:eastAsia="仿宋" w:cs="仿宋"/>
          <w:color w:val="000000"/>
          <w:sz w:val="24"/>
          <w:szCs w:val="24"/>
          <w:highlight w:val="none"/>
        </w:rPr>
        <w:t>）供应商行为准则承诺书</w:t>
      </w:r>
      <w:bookmarkEnd w:id="211"/>
    </w:p>
    <w:p w14:paraId="2AE82E1D">
      <w:pPr>
        <w:spacing w:line="240" w:lineRule="auto"/>
        <w:jc w:val="center"/>
        <w:rPr>
          <w:rFonts w:ascii="仿宋" w:hAnsi="仿宋" w:eastAsia="仿宋" w:cs="宋体"/>
          <w:b/>
          <w:bCs/>
          <w:color w:val="000000"/>
          <w:sz w:val="28"/>
          <w:szCs w:val="28"/>
          <w:highlight w:val="none"/>
        </w:rPr>
      </w:pPr>
      <w:bookmarkStart w:id="212" w:name="_Toc15599"/>
      <w:r>
        <w:rPr>
          <w:rFonts w:hint="eastAsia" w:ascii="仿宋" w:hAnsi="仿宋" w:eastAsia="仿宋" w:cs="宋体"/>
          <w:b/>
          <w:bCs/>
          <w:color w:val="000000"/>
          <w:sz w:val="28"/>
          <w:szCs w:val="28"/>
          <w:highlight w:val="none"/>
        </w:rPr>
        <w:t>供应商行为准则承诺书</w:t>
      </w:r>
    </w:p>
    <w:p w14:paraId="5E3C3A18">
      <w:pPr>
        <w:spacing w:line="360" w:lineRule="auto"/>
        <w:ind w:firstLine="480" w:firstLineChars="200"/>
        <w:rPr>
          <w:rFonts w:hint="eastAsia" w:ascii="仿宋" w:hAnsi="仿宋" w:eastAsia="仿宋" w:cs="仿宋"/>
          <w:color w:val="000000"/>
          <w:sz w:val="24"/>
        </w:rPr>
      </w:pPr>
    </w:p>
    <w:p w14:paraId="505EBCA6">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2C1BAE10">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14:paraId="25497B1F">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14:paraId="5EFF0C3C">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77A509E7">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29451F0B">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6CBBA1EF">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02AD410E">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00512CCB">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14:paraId="07723181">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14:paraId="2DC30818">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14:paraId="529206C0">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14:paraId="0EDCB6BE">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14:paraId="7C1277B3">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14:paraId="74F2545E">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3FE44BF5">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14:paraId="5251B0DC">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14:paraId="2E4C1CDC">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14:paraId="76B8868A">
      <w:pPr>
        <w:pStyle w:val="141"/>
        <w:spacing w:line="360" w:lineRule="auto"/>
        <w:ind w:firstLine="480"/>
        <w:jc w:val="both"/>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14:paraId="1DE60E21">
      <w:pPr>
        <w:pStyle w:val="5"/>
        <w:numPr>
          <w:ilvl w:val="0"/>
          <w:numId w:val="0"/>
        </w:numPr>
        <w:spacing w:before="0" w:after="0" w:line="360" w:lineRule="auto"/>
        <w:rPr>
          <w:rFonts w:ascii="仿宋" w:hAnsi="仿宋" w:cs="宋体"/>
          <w:color w:val="000000"/>
          <w:szCs w:val="24"/>
          <w:highlight w:val="none"/>
        </w:rPr>
      </w:pPr>
      <w:r>
        <w:rPr>
          <w:rFonts w:hint="eastAsia" w:ascii="仿宋" w:hAnsi="仿宋" w:eastAsia="仿宋" w:cs="仿宋"/>
          <w:color w:val="000000"/>
        </w:rPr>
        <w:br w:type="page"/>
      </w:r>
      <w:bookmarkStart w:id="213" w:name="_Toc8068"/>
      <w:r>
        <w:rPr>
          <w:rFonts w:hint="eastAsia" w:ascii="仿宋" w:hAnsi="仿宋" w:eastAsia="仿宋" w:cs="宋体"/>
          <w:bCs w:val="0"/>
          <w:color w:val="000000"/>
          <w:sz w:val="24"/>
          <w:szCs w:val="24"/>
          <w:highlight w:val="none"/>
        </w:rPr>
        <w:t>（</w:t>
      </w:r>
      <w:r>
        <w:rPr>
          <w:rFonts w:hint="eastAsia" w:ascii="仿宋" w:hAnsi="仿宋" w:eastAsia="仿宋" w:cs="宋体"/>
          <w:bCs w:val="0"/>
          <w:color w:val="000000"/>
          <w:sz w:val="24"/>
          <w:szCs w:val="24"/>
          <w:highlight w:val="none"/>
          <w:lang w:val="en-US" w:eastAsia="zh-CN"/>
        </w:rPr>
        <w:t>八</w:t>
      </w:r>
      <w:r>
        <w:rPr>
          <w:rFonts w:hint="eastAsia" w:ascii="仿宋" w:hAnsi="仿宋" w:eastAsia="仿宋" w:cs="宋体"/>
          <w:bCs w:val="0"/>
          <w:color w:val="000000"/>
          <w:sz w:val="24"/>
          <w:szCs w:val="24"/>
          <w:highlight w:val="none"/>
        </w:rPr>
        <w:t>）供应商廉洁诚信承诺书</w:t>
      </w:r>
      <w:bookmarkEnd w:id="212"/>
      <w:bookmarkEnd w:id="213"/>
    </w:p>
    <w:p w14:paraId="7495C83E">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14:paraId="4BC08F04">
      <w:pPr>
        <w:spacing w:line="360" w:lineRule="auto"/>
        <w:ind w:firstLine="480" w:firstLineChars="200"/>
        <w:rPr>
          <w:rFonts w:hint="eastAsia" w:ascii="仿宋" w:hAnsi="仿宋" w:eastAsia="仿宋" w:cs="宋体"/>
          <w:color w:val="000000"/>
          <w:sz w:val="24"/>
        </w:rPr>
      </w:pPr>
    </w:p>
    <w:p w14:paraId="5650B8B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14:paraId="336D19D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14:paraId="770F93A3">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14:paraId="5639BC4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25C2ADB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14:paraId="2C9E671A">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14:paraId="47880F1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14:paraId="20F8413F">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14:paraId="7AE809B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14:paraId="15D5F1D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14:paraId="4FDD6B4A">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14:paraId="32852AE3">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14:paraId="6D031F7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14:paraId="324F3B43">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14:paraId="5DA2AC2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14:paraId="31424ED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14:paraId="2E3BC9B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14:paraId="2F5B687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14:paraId="6347670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14:paraId="533256C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2E001DC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14:paraId="6E2BC50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14:paraId="2885EB0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14:paraId="6DFF9B0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14:paraId="76CF556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5A9237C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14:paraId="3088DBF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14:paraId="5E6BFD01">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14:paraId="27B185F2">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14:paraId="32B41A1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14:paraId="26E8D03B">
      <w:pPr>
        <w:spacing w:line="360" w:lineRule="auto"/>
        <w:ind w:firstLine="480" w:firstLineChars="200"/>
        <w:rPr>
          <w:rFonts w:hint="eastAsia" w:ascii="仿宋" w:hAnsi="仿宋" w:eastAsia="仿宋" w:cs="宋体"/>
          <w:color w:val="000000"/>
          <w:sz w:val="24"/>
        </w:rPr>
      </w:pPr>
    </w:p>
    <w:p w14:paraId="042F6DF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14:paraId="75D95C0E">
      <w:pPr>
        <w:spacing w:line="360" w:lineRule="auto"/>
        <w:ind w:firstLine="480" w:firstLineChars="200"/>
        <w:rPr>
          <w:rFonts w:hint="eastAsia" w:ascii="仿宋" w:hAnsi="仿宋" w:eastAsia="仿宋" w:cs="宋体"/>
          <w:color w:val="000000"/>
          <w:sz w:val="24"/>
        </w:rPr>
      </w:pPr>
    </w:p>
    <w:p w14:paraId="695AF58F">
      <w:pPr>
        <w:tabs>
          <w:tab w:val="left" w:pos="458"/>
        </w:tabs>
        <w:spacing w:line="360" w:lineRule="auto"/>
        <w:ind w:firstLine="3578" w:firstLineChars="1491"/>
        <w:jc w:val="right"/>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11357F04">
      <w:pPr>
        <w:spacing w:line="360" w:lineRule="auto"/>
        <w:ind w:firstLine="3578" w:firstLineChars="1491"/>
        <w:jc w:val="right"/>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14:paraId="28674A6D">
      <w:pPr>
        <w:spacing w:line="360" w:lineRule="auto"/>
        <w:ind w:firstLine="3578" w:firstLineChars="1491"/>
        <w:jc w:val="right"/>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14:paraId="3AF61144">
      <w:pPr>
        <w:spacing w:line="360" w:lineRule="auto"/>
        <w:ind w:firstLine="3578" w:firstLineChars="1491"/>
        <w:jc w:val="right"/>
        <w:rPr>
          <w:rFonts w:hint="eastAsia" w:ascii="仿宋" w:hAnsi="仿宋" w:eastAsia="仿宋" w:cs="仿宋"/>
          <w:b w:val="0"/>
          <w:bCs w:val="0"/>
          <w:color w:val="000000"/>
          <w:kern w:val="2"/>
          <w:sz w:val="24"/>
          <w:szCs w:val="24"/>
          <w:lang w:val="en-US" w:eastAsia="zh-CN" w:bidi="ar-SA"/>
        </w:rPr>
      </w:pPr>
      <w:r>
        <w:rPr>
          <w:rFonts w:hint="eastAsia" w:ascii="仿宋" w:hAnsi="仿宋" w:eastAsia="仿宋" w:cs="仿宋"/>
          <w:b w:val="0"/>
          <w:bCs w:val="0"/>
          <w:color w:val="000000"/>
          <w:kern w:val="2"/>
          <w:sz w:val="24"/>
          <w:szCs w:val="24"/>
          <w:lang w:val="en-US" w:eastAsia="zh-CN" w:bidi="ar-SA"/>
        </w:rPr>
        <w:t>日期：__________________________________</w:t>
      </w:r>
    </w:p>
    <w:p w14:paraId="1824D653">
      <w:pPr>
        <w:spacing w:line="360" w:lineRule="auto"/>
        <w:ind w:firstLine="3578" w:firstLineChars="1491"/>
        <w:jc w:val="right"/>
        <w:rPr>
          <w:rFonts w:hint="eastAsia" w:ascii="仿宋" w:hAnsi="仿宋" w:eastAsia="仿宋" w:cs="仿宋"/>
          <w:b w:val="0"/>
          <w:bCs w:val="0"/>
          <w:color w:val="000000"/>
          <w:kern w:val="2"/>
          <w:sz w:val="24"/>
          <w:szCs w:val="24"/>
          <w:lang w:val="en-US" w:eastAsia="zh-CN" w:bidi="ar-SA"/>
        </w:rPr>
      </w:pPr>
    </w:p>
    <w:p w14:paraId="4AAEFCA2">
      <w:pPr>
        <w:spacing w:line="360" w:lineRule="auto"/>
        <w:ind w:firstLine="3578" w:firstLineChars="1491"/>
        <w:jc w:val="right"/>
        <w:rPr>
          <w:rFonts w:hint="eastAsia" w:ascii="仿宋" w:hAnsi="仿宋" w:eastAsia="仿宋" w:cs="仿宋"/>
          <w:b w:val="0"/>
          <w:bCs w:val="0"/>
          <w:color w:val="000000"/>
          <w:kern w:val="2"/>
          <w:sz w:val="24"/>
          <w:szCs w:val="24"/>
          <w:lang w:val="en-US" w:eastAsia="zh-CN" w:bidi="ar-SA"/>
        </w:rPr>
      </w:pPr>
    </w:p>
    <w:p w14:paraId="47B3D0FD">
      <w:pPr>
        <w:spacing w:line="360" w:lineRule="auto"/>
        <w:ind w:firstLine="3578" w:firstLineChars="1491"/>
        <w:jc w:val="right"/>
        <w:rPr>
          <w:rFonts w:hint="eastAsia" w:ascii="仿宋" w:hAnsi="仿宋" w:eastAsia="仿宋" w:cs="仿宋"/>
          <w:b w:val="0"/>
          <w:bCs w:val="0"/>
          <w:color w:val="000000"/>
          <w:kern w:val="2"/>
          <w:sz w:val="24"/>
          <w:szCs w:val="24"/>
          <w:lang w:val="en-US" w:eastAsia="zh-CN" w:bidi="ar-SA"/>
        </w:rPr>
      </w:pPr>
    </w:p>
    <w:p w14:paraId="50375165">
      <w:pPr>
        <w:spacing w:line="360" w:lineRule="auto"/>
        <w:ind w:firstLine="3578" w:firstLineChars="1491"/>
        <w:jc w:val="right"/>
        <w:rPr>
          <w:rFonts w:hint="eastAsia" w:ascii="仿宋" w:hAnsi="仿宋" w:eastAsia="仿宋" w:cs="仿宋"/>
          <w:b w:val="0"/>
          <w:bCs w:val="0"/>
          <w:color w:val="000000"/>
          <w:kern w:val="2"/>
          <w:sz w:val="24"/>
          <w:szCs w:val="24"/>
          <w:lang w:val="en-US" w:eastAsia="zh-CN" w:bidi="ar-SA"/>
        </w:rPr>
      </w:pPr>
    </w:p>
    <w:p w14:paraId="46279CCA">
      <w:pPr>
        <w:spacing w:line="360" w:lineRule="auto"/>
        <w:ind w:firstLine="3578" w:firstLineChars="1491"/>
        <w:jc w:val="right"/>
        <w:rPr>
          <w:rFonts w:hint="eastAsia" w:ascii="仿宋" w:hAnsi="仿宋" w:eastAsia="仿宋" w:cs="仿宋"/>
          <w:b w:val="0"/>
          <w:bCs w:val="0"/>
          <w:color w:val="000000"/>
          <w:kern w:val="2"/>
          <w:sz w:val="24"/>
          <w:szCs w:val="24"/>
          <w:lang w:val="en-US" w:eastAsia="zh-CN" w:bidi="ar-SA"/>
        </w:rPr>
      </w:pPr>
    </w:p>
    <w:p w14:paraId="15C076D7">
      <w:pPr>
        <w:spacing w:line="360" w:lineRule="auto"/>
        <w:ind w:firstLine="3578" w:firstLineChars="1491"/>
        <w:jc w:val="right"/>
        <w:rPr>
          <w:rFonts w:hint="eastAsia" w:ascii="仿宋" w:hAnsi="仿宋" w:eastAsia="仿宋" w:cs="仿宋"/>
          <w:b w:val="0"/>
          <w:bCs w:val="0"/>
          <w:color w:val="000000"/>
          <w:kern w:val="2"/>
          <w:sz w:val="24"/>
          <w:szCs w:val="24"/>
          <w:lang w:val="en-US" w:eastAsia="zh-CN" w:bidi="ar-SA"/>
        </w:rPr>
      </w:pPr>
    </w:p>
    <w:p w14:paraId="30D8F5C9">
      <w:pPr>
        <w:spacing w:line="360" w:lineRule="auto"/>
        <w:ind w:firstLine="3578" w:firstLineChars="1491"/>
        <w:jc w:val="right"/>
        <w:rPr>
          <w:rFonts w:hint="eastAsia" w:ascii="仿宋" w:hAnsi="仿宋" w:eastAsia="仿宋" w:cs="仿宋"/>
          <w:b w:val="0"/>
          <w:bCs w:val="0"/>
          <w:color w:val="000000"/>
          <w:kern w:val="2"/>
          <w:sz w:val="24"/>
          <w:szCs w:val="24"/>
          <w:lang w:val="en-US" w:eastAsia="zh-CN" w:bidi="ar-SA"/>
        </w:rPr>
      </w:pPr>
    </w:p>
    <w:p w14:paraId="34A99E41">
      <w:pPr>
        <w:spacing w:line="360" w:lineRule="auto"/>
        <w:ind w:firstLine="3578" w:firstLineChars="1491"/>
        <w:jc w:val="right"/>
        <w:rPr>
          <w:rFonts w:hint="eastAsia" w:ascii="仿宋" w:hAnsi="仿宋" w:eastAsia="仿宋" w:cs="仿宋"/>
          <w:b w:val="0"/>
          <w:bCs w:val="0"/>
          <w:color w:val="000000"/>
          <w:kern w:val="2"/>
          <w:sz w:val="24"/>
          <w:szCs w:val="24"/>
          <w:lang w:val="en-US" w:eastAsia="zh-CN" w:bidi="ar-SA"/>
        </w:rPr>
      </w:pPr>
    </w:p>
    <w:p w14:paraId="157BC0A9">
      <w:pPr>
        <w:spacing w:line="360" w:lineRule="auto"/>
        <w:ind w:firstLine="3578" w:firstLineChars="1491"/>
        <w:jc w:val="right"/>
        <w:rPr>
          <w:rFonts w:hint="eastAsia" w:ascii="仿宋" w:hAnsi="仿宋" w:eastAsia="仿宋" w:cs="仿宋"/>
          <w:b w:val="0"/>
          <w:bCs w:val="0"/>
          <w:color w:val="000000"/>
          <w:kern w:val="2"/>
          <w:sz w:val="24"/>
          <w:szCs w:val="24"/>
          <w:lang w:val="en-US" w:eastAsia="zh-CN" w:bidi="ar-SA"/>
        </w:rPr>
      </w:pPr>
    </w:p>
    <w:p w14:paraId="071CFF4A">
      <w:pPr>
        <w:spacing w:line="360" w:lineRule="auto"/>
        <w:ind w:firstLine="3578" w:firstLineChars="1491"/>
        <w:jc w:val="right"/>
        <w:rPr>
          <w:rFonts w:hint="eastAsia" w:ascii="仿宋" w:hAnsi="仿宋" w:eastAsia="仿宋" w:cs="仿宋"/>
          <w:b w:val="0"/>
          <w:bCs w:val="0"/>
          <w:color w:val="000000"/>
          <w:kern w:val="2"/>
          <w:sz w:val="24"/>
          <w:szCs w:val="24"/>
          <w:lang w:val="en-US" w:eastAsia="zh-CN" w:bidi="ar-SA"/>
        </w:rPr>
      </w:pPr>
    </w:p>
    <w:p w14:paraId="144D1DCD">
      <w:pPr>
        <w:spacing w:line="360" w:lineRule="auto"/>
        <w:ind w:firstLine="3578" w:firstLineChars="1491"/>
        <w:jc w:val="right"/>
        <w:rPr>
          <w:rFonts w:hint="eastAsia" w:ascii="仿宋" w:hAnsi="仿宋" w:eastAsia="仿宋" w:cs="仿宋"/>
          <w:b w:val="0"/>
          <w:bCs w:val="0"/>
          <w:color w:val="000000"/>
          <w:kern w:val="2"/>
          <w:sz w:val="24"/>
          <w:szCs w:val="24"/>
          <w:lang w:val="en-US" w:eastAsia="zh-CN" w:bidi="ar-SA"/>
        </w:rPr>
      </w:pPr>
    </w:p>
    <w:p w14:paraId="69B77705">
      <w:pPr>
        <w:spacing w:line="360" w:lineRule="auto"/>
        <w:ind w:firstLine="3578" w:firstLineChars="1491"/>
        <w:jc w:val="right"/>
        <w:rPr>
          <w:rFonts w:hint="eastAsia" w:ascii="仿宋" w:hAnsi="仿宋" w:eastAsia="仿宋" w:cs="仿宋"/>
          <w:b w:val="0"/>
          <w:bCs w:val="0"/>
          <w:color w:val="000000"/>
          <w:kern w:val="2"/>
          <w:sz w:val="24"/>
          <w:szCs w:val="24"/>
          <w:lang w:val="en-US" w:eastAsia="zh-CN" w:bidi="ar-SA"/>
        </w:rPr>
      </w:pPr>
    </w:p>
    <w:p w14:paraId="241FC99D">
      <w:pPr>
        <w:spacing w:line="360" w:lineRule="auto"/>
        <w:ind w:firstLine="3578" w:firstLineChars="1491"/>
        <w:jc w:val="right"/>
        <w:rPr>
          <w:rFonts w:hint="eastAsia" w:ascii="仿宋" w:hAnsi="仿宋" w:eastAsia="仿宋" w:cs="仿宋"/>
          <w:b w:val="0"/>
          <w:bCs w:val="0"/>
          <w:color w:val="000000"/>
          <w:kern w:val="2"/>
          <w:sz w:val="24"/>
          <w:szCs w:val="24"/>
          <w:lang w:val="en-US" w:eastAsia="zh-CN" w:bidi="ar-SA"/>
        </w:rPr>
      </w:pPr>
    </w:p>
    <w:p w14:paraId="5340B447">
      <w:pPr>
        <w:spacing w:line="360" w:lineRule="auto"/>
        <w:ind w:firstLine="3578" w:firstLineChars="1491"/>
        <w:jc w:val="right"/>
        <w:rPr>
          <w:rFonts w:hint="eastAsia" w:ascii="仿宋" w:hAnsi="仿宋" w:eastAsia="仿宋" w:cs="仿宋"/>
          <w:b w:val="0"/>
          <w:bCs w:val="0"/>
          <w:color w:val="000000"/>
          <w:kern w:val="2"/>
          <w:sz w:val="24"/>
          <w:szCs w:val="24"/>
          <w:lang w:val="en-US" w:eastAsia="zh-CN" w:bidi="ar-SA"/>
        </w:rPr>
      </w:pPr>
    </w:p>
    <w:p w14:paraId="70258D2A">
      <w:pPr>
        <w:spacing w:line="360" w:lineRule="auto"/>
        <w:ind w:firstLine="3578" w:firstLineChars="1491"/>
        <w:jc w:val="right"/>
        <w:rPr>
          <w:rFonts w:hint="eastAsia" w:ascii="仿宋" w:hAnsi="仿宋" w:eastAsia="仿宋" w:cs="仿宋"/>
          <w:b w:val="0"/>
          <w:bCs w:val="0"/>
          <w:color w:val="000000"/>
          <w:kern w:val="2"/>
          <w:sz w:val="24"/>
          <w:szCs w:val="24"/>
          <w:lang w:val="en-US" w:eastAsia="zh-CN" w:bidi="ar-SA"/>
        </w:rPr>
      </w:pPr>
    </w:p>
    <w:p w14:paraId="10BD2368">
      <w:pPr>
        <w:spacing w:line="360" w:lineRule="auto"/>
        <w:ind w:firstLine="3578" w:firstLineChars="1491"/>
        <w:jc w:val="right"/>
        <w:rPr>
          <w:rFonts w:hint="eastAsia" w:ascii="仿宋" w:hAnsi="仿宋" w:eastAsia="仿宋" w:cs="仿宋"/>
          <w:b w:val="0"/>
          <w:bCs w:val="0"/>
          <w:color w:val="000000"/>
          <w:kern w:val="2"/>
          <w:sz w:val="24"/>
          <w:szCs w:val="24"/>
          <w:lang w:val="en-US" w:eastAsia="zh-CN" w:bidi="ar-SA"/>
        </w:rPr>
      </w:pPr>
    </w:p>
    <w:p w14:paraId="613DFA04">
      <w:pPr>
        <w:spacing w:line="360" w:lineRule="auto"/>
        <w:ind w:firstLine="3578" w:firstLineChars="1491"/>
        <w:jc w:val="right"/>
        <w:rPr>
          <w:rFonts w:hint="eastAsia" w:ascii="仿宋" w:hAnsi="仿宋" w:eastAsia="仿宋" w:cs="仿宋"/>
          <w:b w:val="0"/>
          <w:bCs w:val="0"/>
          <w:color w:val="000000"/>
          <w:kern w:val="2"/>
          <w:sz w:val="24"/>
          <w:szCs w:val="24"/>
          <w:lang w:val="en-US" w:eastAsia="zh-CN" w:bidi="ar-SA"/>
        </w:rPr>
      </w:pPr>
    </w:p>
    <w:p w14:paraId="4C60C74F">
      <w:pPr>
        <w:spacing w:line="360" w:lineRule="auto"/>
        <w:jc w:val="both"/>
        <w:rPr>
          <w:rStyle w:val="58"/>
          <w:rFonts w:hint="eastAsia" w:ascii="仿宋" w:hAnsi="仿宋" w:eastAsia="仿宋" w:cs="仿宋"/>
          <w:sz w:val="24"/>
          <w:szCs w:val="24"/>
          <w:lang w:eastAsia="zh-CN"/>
        </w:rPr>
      </w:pPr>
      <w:r>
        <w:rPr>
          <w:rStyle w:val="58"/>
          <w:rFonts w:hint="eastAsia" w:ascii="仿宋" w:hAnsi="仿宋" w:eastAsia="仿宋" w:cs="仿宋"/>
          <w:sz w:val="24"/>
          <w:szCs w:val="24"/>
        </w:rPr>
        <w:t>（</w:t>
      </w:r>
      <w:r>
        <w:rPr>
          <w:rStyle w:val="58"/>
          <w:rFonts w:hint="eastAsia" w:ascii="仿宋" w:hAnsi="仿宋" w:eastAsia="仿宋" w:cs="仿宋"/>
          <w:sz w:val="24"/>
          <w:szCs w:val="24"/>
          <w:lang w:val="en-US" w:eastAsia="zh-CN"/>
        </w:rPr>
        <w:t>九</w:t>
      </w:r>
      <w:r>
        <w:rPr>
          <w:rStyle w:val="58"/>
          <w:rFonts w:hint="eastAsia" w:ascii="仿宋" w:hAnsi="仿宋" w:eastAsia="仿宋" w:cs="仿宋"/>
          <w:sz w:val="24"/>
          <w:szCs w:val="24"/>
        </w:rPr>
        <w:t>）</w:t>
      </w:r>
      <w:r>
        <w:rPr>
          <w:rStyle w:val="58"/>
          <w:rFonts w:hint="eastAsia" w:ascii="仿宋" w:hAnsi="仿宋" w:eastAsia="仿宋" w:cs="仿宋"/>
          <w:sz w:val="24"/>
          <w:szCs w:val="24"/>
          <w:lang w:eastAsia="zh-CN"/>
        </w:rPr>
        <w:t>商务符合性材料</w:t>
      </w:r>
    </w:p>
    <w:p w14:paraId="526BAD2C">
      <w:pPr>
        <w:spacing w:line="360" w:lineRule="auto"/>
        <w:jc w:val="center"/>
        <w:rPr>
          <w:rFonts w:hint="eastAsia" w:ascii="仿宋" w:hAnsi="仿宋" w:eastAsia="仿宋" w:cs="宋体"/>
          <w:b/>
          <w:bCs/>
          <w:color w:val="000000"/>
          <w:sz w:val="24"/>
          <w:highlight w:val="none"/>
        </w:rPr>
      </w:pPr>
      <w:r>
        <w:rPr>
          <w:rFonts w:hint="eastAsia" w:ascii="仿宋" w:hAnsi="仿宋" w:eastAsia="仿宋" w:cs="宋体"/>
          <w:b/>
          <w:bCs/>
          <w:color w:val="000000"/>
          <w:sz w:val="24"/>
          <w:highlight w:val="none"/>
        </w:rPr>
        <w:t>供应商</w:t>
      </w:r>
      <w:r>
        <w:rPr>
          <w:rFonts w:hint="eastAsia" w:ascii="仿宋" w:hAnsi="仿宋" w:eastAsia="仿宋" w:cs="宋体"/>
          <w:b/>
          <w:bCs/>
          <w:color w:val="000000"/>
          <w:sz w:val="24"/>
          <w:highlight w:val="none"/>
          <w:lang w:eastAsia="zh-CN"/>
        </w:rPr>
        <w:t>满足采购需求（一）商务要求</w:t>
      </w:r>
      <w:r>
        <w:rPr>
          <w:rFonts w:hint="eastAsia" w:ascii="仿宋" w:hAnsi="仿宋" w:eastAsia="仿宋" w:cs="宋体"/>
          <w:b/>
          <w:bCs/>
          <w:color w:val="000000"/>
          <w:sz w:val="24"/>
          <w:highlight w:val="none"/>
        </w:rPr>
        <w:t>偏离表</w:t>
      </w:r>
    </w:p>
    <w:p w14:paraId="04430FA8">
      <w:pPr>
        <w:spacing w:line="360" w:lineRule="auto"/>
        <w:rPr>
          <w:rFonts w:hint="eastAsia" w:ascii="仿宋" w:hAnsi="仿宋" w:eastAsia="仿宋" w:cs="宋体"/>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ascii="仿宋" w:hAnsi="仿宋" w:eastAsia="仿宋" w:cs="宋体"/>
          <w:color w:val="000000"/>
          <w:sz w:val="24"/>
          <w:highlight w:val="none"/>
        </w:rPr>
        <w:t xml:space="preserve">        </w:t>
      </w:r>
      <w:r>
        <w:rPr>
          <w:rFonts w:hint="eastAsia" w:ascii="仿宋" w:hAnsi="仿宋" w:eastAsia="仿宋" w:cs="宋体"/>
          <w:color w:val="000000"/>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31C811E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3C5FC288">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序号</w:t>
            </w:r>
          </w:p>
        </w:tc>
        <w:tc>
          <w:tcPr>
            <w:tcW w:w="2285" w:type="dxa"/>
            <w:noWrap w:val="0"/>
            <w:vAlign w:val="center"/>
          </w:tcPr>
          <w:p w14:paraId="31EBED48">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条目号</w:t>
            </w:r>
          </w:p>
        </w:tc>
        <w:tc>
          <w:tcPr>
            <w:tcW w:w="2495" w:type="dxa"/>
            <w:noWrap w:val="0"/>
            <w:vAlign w:val="center"/>
          </w:tcPr>
          <w:p w14:paraId="6BC95E3F">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原文内容</w:t>
            </w:r>
          </w:p>
        </w:tc>
        <w:tc>
          <w:tcPr>
            <w:tcW w:w="2704" w:type="dxa"/>
            <w:noWrap w:val="0"/>
            <w:vAlign w:val="center"/>
          </w:tcPr>
          <w:p w14:paraId="2C808F9E">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应答</w:t>
            </w:r>
          </w:p>
        </w:tc>
        <w:tc>
          <w:tcPr>
            <w:tcW w:w="1408" w:type="dxa"/>
            <w:noWrap w:val="0"/>
            <w:vAlign w:val="center"/>
          </w:tcPr>
          <w:p w14:paraId="4FE8F69E">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说明</w:t>
            </w:r>
          </w:p>
        </w:tc>
      </w:tr>
      <w:tr w14:paraId="746070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55BDE7F0">
            <w:pPr>
              <w:spacing w:line="360" w:lineRule="auto"/>
              <w:rPr>
                <w:rFonts w:hint="eastAsia" w:ascii="仿宋" w:hAnsi="仿宋" w:eastAsia="仿宋" w:cs="宋体"/>
                <w:color w:val="000000"/>
                <w:szCs w:val="21"/>
                <w:highlight w:val="none"/>
              </w:rPr>
            </w:pPr>
          </w:p>
        </w:tc>
        <w:tc>
          <w:tcPr>
            <w:tcW w:w="2285" w:type="dxa"/>
            <w:noWrap w:val="0"/>
            <w:vAlign w:val="top"/>
          </w:tcPr>
          <w:p w14:paraId="672E62A9">
            <w:pPr>
              <w:spacing w:line="360" w:lineRule="auto"/>
              <w:rPr>
                <w:rFonts w:hint="eastAsia" w:ascii="仿宋" w:hAnsi="仿宋" w:eastAsia="仿宋" w:cs="宋体"/>
                <w:color w:val="000000"/>
                <w:szCs w:val="21"/>
                <w:highlight w:val="none"/>
              </w:rPr>
            </w:pPr>
          </w:p>
        </w:tc>
        <w:tc>
          <w:tcPr>
            <w:tcW w:w="2495" w:type="dxa"/>
            <w:noWrap w:val="0"/>
            <w:vAlign w:val="top"/>
          </w:tcPr>
          <w:p w14:paraId="01FD02AD">
            <w:pPr>
              <w:spacing w:line="360" w:lineRule="auto"/>
              <w:rPr>
                <w:rFonts w:hint="eastAsia" w:ascii="仿宋" w:hAnsi="仿宋" w:eastAsia="仿宋" w:cs="宋体"/>
                <w:color w:val="000000"/>
                <w:szCs w:val="21"/>
                <w:highlight w:val="none"/>
              </w:rPr>
            </w:pPr>
          </w:p>
        </w:tc>
        <w:tc>
          <w:tcPr>
            <w:tcW w:w="2704" w:type="dxa"/>
            <w:noWrap w:val="0"/>
            <w:vAlign w:val="top"/>
          </w:tcPr>
          <w:p w14:paraId="3BCD668F">
            <w:pPr>
              <w:spacing w:line="360" w:lineRule="auto"/>
              <w:rPr>
                <w:rFonts w:hint="eastAsia" w:ascii="仿宋" w:hAnsi="仿宋" w:eastAsia="仿宋" w:cs="宋体"/>
                <w:color w:val="000000"/>
                <w:szCs w:val="21"/>
                <w:highlight w:val="none"/>
              </w:rPr>
            </w:pPr>
          </w:p>
        </w:tc>
        <w:tc>
          <w:tcPr>
            <w:tcW w:w="1408" w:type="dxa"/>
            <w:noWrap w:val="0"/>
            <w:vAlign w:val="top"/>
          </w:tcPr>
          <w:p w14:paraId="65F05B96">
            <w:pPr>
              <w:spacing w:line="360" w:lineRule="auto"/>
              <w:rPr>
                <w:rFonts w:hint="eastAsia" w:ascii="仿宋" w:hAnsi="仿宋" w:eastAsia="仿宋" w:cs="宋体"/>
                <w:color w:val="000000"/>
                <w:szCs w:val="21"/>
                <w:highlight w:val="none"/>
              </w:rPr>
            </w:pPr>
          </w:p>
        </w:tc>
      </w:tr>
      <w:tr w14:paraId="471FA3D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1364E1CA">
            <w:pPr>
              <w:spacing w:line="360" w:lineRule="auto"/>
              <w:rPr>
                <w:rFonts w:hint="eastAsia" w:ascii="仿宋" w:hAnsi="仿宋" w:eastAsia="仿宋" w:cs="宋体"/>
                <w:color w:val="000000"/>
                <w:szCs w:val="21"/>
                <w:highlight w:val="none"/>
              </w:rPr>
            </w:pPr>
          </w:p>
        </w:tc>
        <w:tc>
          <w:tcPr>
            <w:tcW w:w="2285" w:type="dxa"/>
            <w:noWrap w:val="0"/>
            <w:vAlign w:val="top"/>
          </w:tcPr>
          <w:p w14:paraId="47B7F22C">
            <w:pPr>
              <w:spacing w:line="360" w:lineRule="auto"/>
              <w:rPr>
                <w:rFonts w:hint="eastAsia" w:ascii="仿宋" w:hAnsi="仿宋" w:eastAsia="仿宋" w:cs="宋体"/>
                <w:color w:val="000000"/>
                <w:szCs w:val="21"/>
                <w:highlight w:val="none"/>
              </w:rPr>
            </w:pPr>
          </w:p>
        </w:tc>
        <w:tc>
          <w:tcPr>
            <w:tcW w:w="2495" w:type="dxa"/>
            <w:noWrap w:val="0"/>
            <w:vAlign w:val="top"/>
          </w:tcPr>
          <w:p w14:paraId="55E31AD0">
            <w:pPr>
              <w:spacing w:line="360" w:lineRule="auto"/>
              <w:rPr>
                <w:rFonts w:hint="eastAsia" w:ascii="仿宋" w:hAnsi="仿宋" w:eastAsia="仿宋" w:cs="宋体"/>
                <w:color w:val="000000"/>
                <w:szCs w:val="21"/>
                <w:highlight w:val="none"/>
              </w:rPr>
            </w:pPr>
          </w:p>
        </w:tc>
        <w:tc>
          <w:tcPr>
            <w:tcW w:w="2704" w:type="dxa"/>
            <w:noWrap w:val="0"/>
            <w:vAlign w:val="top"/>
          </w:tcPr>
          <w:p w14:paraId="753E3507">
            <w:pPr>
              <w:spacing w:line="360" w:lineRule="auto"/>
              <w:rPr>
                <w:rFonts w:hint="eastAsia" w:ascii="仿宋" w:hAnsi="仿宋" w:eastAsia="仿宋" w:cs="宋体"/>
                <w:color w:val="000000"/>
                <w:szCs w:val="21"/>
                <w:highlight w:val="none"/>
              </w:rPr>
            </w:pPr>
          </w:p>
        </w:tc>
        <w:tc>
          <w:tcPr>
            <w:tcW w:w="1408" w:type="dxa"/>
            <w:noWrap w:val="0"/>
            <w:vAlign w:val="top"/>
          </w:tcPr>
          <w:p w14:paraId="15901CD7">
            <w:pPr>
              <w:spacing w:line="360" w:lineRule="auto"/>
              <w:rPr>
                <w:rFonts w:hint="eastAsia" w:ascii="仿宋" w:hAnsi="仿宋" w:eastAsia="仿宋" w:cs="宋体"/>
                <w:color w:val="000000"/>
                <w:szCs w:val="21"/>
                <w:highlight w:val="none"/>
              </w:rPr>
            </w:pPr>
          </w:p>
        </w:tc>
      </w:tr>
      <w:tr w14:paraId="795191A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065C7E91">
            <w:pPr>
              <w:spacing w:line="360" w:lineRule="auto"/>
              <w:rPr>
                <w:rFonts w:hint="eastAsia" w:ascii="仿宋" w:hAnsi="仿宋" w:eastAsia="仿宋" w:cs="宋体"/>
                <w:color w:val="000000"/>
                <w:szCs w:val="21"/>
                <w:highlight w:val="none"/>
              </w:rPr>
            </w:pPr>
          </w:p>
        </w:tc>
        <w:tc>
          <w:tcPr>
            <w:tcW w:w="2285" w:type="dxa"/>
            <w:noWrap w:val="0"/>
            <w:vAlign w:val="top"/>
          </w:tcPr>
          <w:p w14:paraId="4D7C8775">
            <w:pPr>
              <w:spacing w:line="360" w:lineRule="auto"/>
              <w:rPr>
                <w:rFonts w:hint="eastAsia" w:ascii="仿宋" w:hAnsi="仿宋" w:eastAsia="仿宋" w:cs="宋体"/>
                <w:color w:val="000000"/>
                <w:szCs w:val="21"/>
                <w:highlight w:val="none"/>
              </w:rPr>
            </w:pPr>
          </w:p>
        </w:tc>
        <w:tc>
          <w:tcPr>
            <w:tcW w:w="2495" w:type="dxa"/>
            <w:noWrap w:val="0"/>
            <w:vAlign w:val="top"/>
          </w:tcPr>
          <w:p w14:paraId="2D44E28D">
            <w:pPr>
              <w:spacing w:line="360" w:lineRule="auto"/>
              <w:rPr>
                <w:rFonts w:hint="eastAsia" w:ascii="仿宋" w:hAnsi="仿宋" w:eastAsia="仿宋" w:cs="宋体"/>
                <w:color w:val="000000"/>
                <w:szCs w:val="21"/>
                <w:highlight w:val="none"/>
              </w:rPr>
            </w:pPr>
          </w:p>
        </w:tc>
        <w:tc>
          <w:tcPr>
            <w:tcW w:w="2704" w:type="dxa"/>
            <w:noWrap w:val="0"/>
            <w:vAlign w:val="top"/>
          </w:tcPr>
          <w:p w14:paraId="7D5240E5">
            <w:pPr>
              <w:spacing w:line="360" w:lineRule="auto"/>
              <w:rPr>
                <w:rFonts w:hint="eastAsia" w:ascii="仿宋" w:hAnsi="仿宋" w:eastAsia="仿宋" w:cs="宋体"/>
                <w:color w:val="000000"/>
                <w:szCs w:val="21"/>
                <w:highlight w:val="none"/>
              </w:rPr>
            </w:pPr>
          </w:p>
        </w:tc>
        <w:tc>
          <w:tcPr>
            <w:tcW w:w="1408" w:type="dxa"/>
            <w:noWrap w:val="0"/>
            <w:vAlign w:val="top"/>
          </w:tcPr>
          <w:p w14:paraId="34743132">
            <w:pPr>
              <w:spacing w:line="360" w:lineRule="auto"/>
              <w:rPr>
                <w:rFonts w:hint="eastAsia" w:ascii="仿宋" w:hAnsi="仿宋" w:eastAsia="仿宋" w:cs="宋体"/>
                <w:color w:val="000000"/>
                <w:szCs w:val="21"/>
                <w:highlight w:val="none"/>
              </w:rPr>
            </w:pPr>
          </w:p>
        </w:tc>
      </w:tr>
      <w:tr w14:paraId="481A20D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1A6922FE">
            <w:pPr>
              <w:spacing w:line="360" w:lineRule="auto"/>
              <w:rPr>
                <w:rFonts w:hint="eastAsia" w:ascii="仿宋" w:hAnsi="仿宋" w:eastAsia="仿宋" w:cs="宋体"/>
                <w:color w:val="000000"/>
                <w:szCs w:val="21"/>
                <w:highlight w:val="none"/>
              </w:rPr>
            </w:pPr>
          </w:p>
        </w:tc>
        <w:tc>
          <w:tcPr>
            <w:tcW w:w="2285" w:type="dxa"/>
            <w:noWrap w:val="0"/>
            <w:vAlign w:val="top"/>
          </w:tcPr>
          <w:p w14:paraId="5C845BA4">
            <w:pPr>
              <w:spacing w:line="360" w:lineRule="auto"/>
              <w:rPr>
                <w:rFonts w:hint="eastAsia" w:ascii="仿宋" w:hAnsi="仿宋" w:eastAsia="仿宋" w:cs="宋体"/>
                <w:color w:val="000000"/>
                <w:szCs w:val="21"/>
                <w:highlight w:val="none"/>
              </w:rPr>
            </w:pPr>
          </w:p>
        </w:tc>
        <w:tc>
          <w:tcPr>
            <w:tcW w:w="2495" w:type="dxa"/>
            <w:noWrap w:val="0"/>
            <w:vAlign w:val="top"/>
          </w:tcPr>
          <w:p w14:paraId="38F0FBD0">
            <w:pPr>
              <w:spacing w:line="360" w:lineRule="auto"/>
              <w:rPr>
                <w:rFonts w:hint="eastAsia" w:ascii="仿宋" w:hAnsi="仿宋" w:eastAsia="仿宋" w:cs="宋体"/>
                <w:color w:val="000000"/>
                <w:szCs w:val="21"/>
                <w:highlight w:val="none"/>
              </w:rPr>
            </w:pPr>
          </w:p>
        </w:tc>
        <w:tc>
          <w:tcPr>
            <w:tcW w:w="2704" w:type="dxa"/>
            <w:noWrap w:val="0"/>
            <w:vAlign w:val="top"/>
          </w:tcPr>
          <w:p w14:paraId="7D544E52">
            <w:pPr>
              <w:spacing w:line="360" w:lineRule="auto"/>
              <w:rPr>
                <w:rFonts w:hint="eastAsia" w:ascii="仿宋" w:hAnsi="仿宋" w:eastAsia="仿宋" w:cs="宋体"/>
                <w:color w:val="000000"/>
                <w:szCs w:val="21"/>
                <w:highlight w:val="none"/>
              </w:rPr>
            </w:pPr>
          </w:p>
        </w:tc>
        <w:tc>
          <w:tcPr>
            <w:tcW w:w="1408" w:type="dxa"/>
            <w:noWrap w:val="0"/>
            <w:vAlign w:val="top"/>
          </w:tcPr>
          <w:p w14:paraId="0CCFED2B">
            <w:pPr>
              <w:spacing w:line="360" w:lineRule="auto"/>
              <w:rPr>
                <w:rFonts w:hint="eastAsia" w:ascii="仿宋" w:hAnsi="仿宋" w:eastAsia="仿宋" w:cs="宋体"/>
                <w:color w:val="000000"/>
                <w:szCs w:val="21"/>
                <w:highlight w:val="none"/>
              </w:rPr>
            </w:pPr>
          </w:p>
        </w:tc>
      </w:tr>
      <w:tr w14:paraId="377B700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71516CA9">
            <w:pPr>
              <w:spacing w:line="360" w:lineRule="auto"/>
              <w:rPr>
                <w:rFonts w:hint="eastAsia" w:ascii="仿宋" w:hAnsi="仿宋" w:eastAsia="仿宋" w:cs="宋体"/>
                <w:color w:val="000000"/>
                <w:szCs w:val="21"/>
                <w:highlight w:val="none"/>
              </w:rPr>
            </w:pPr>
          </w:p>
        </w:tc>
        <w:tc>
          <w:tcPr>
            <w:tcW w:w="2285" w:type="dxa"/>
            <w:noWrap w:val="0"/>
            <w:vAlign w:val="top"/>
          </w:tcPr>
          <w:p w14:paraId="415E6E8F">
            <w:pPr>
              <w:spacing w:line="360" w:lineRule="auto"/>
              <w:rPr>
                <w:rFonts w:hint="eastAsia" w:ascii="仿宋" w:hAnsi="仿宋" w:eastAsia="仿宋" w:cs="宋体"/>
                <w:color w:val="000000"/>
                <w:szCs w:val="21"/>
                <w:highlight w:val="none"/>
              </w:rPr>
            </w:pPr>
          </w:p>
        </w:tc>
        <w:tc>
          <w:tcPr>
            <w:tcW w:w="2495" w:type="dxa"/>
            <w:noWrap w:val="0"/>
            <w:vAlign w:val="top"/>
          </w:tcPr>
          <w:p w14:paraId="114F9357">
            <w:pPr>
              <w:spacing w:line="360" w:lineRule="auto"/>
              <w:rPr>
                <w:rFonts w:hint="eastAsia" w:ascii="仿宋" w:hAnsi="仿宋" w:eastAsia="仿宋" w:cs="宋体"/>
                <w:color w:val="000000"/>
                <w:szCs w:val="21"/>
                <w:highlight w:val="none"/>
              </w:rPr>
            </w:pPr>
          </w:p>
        </w:tc>
        <w:tc>
          <w:tcPr>
            <w:tcW w:w="2704" w:type="dxa"/>
            <w:noWrap w:val="0"/>
            <w:vAlign w:val="top"/>
          </w:tcPr>
          <w:p w14:paraId="59C8B69E">
            <w:pPr>
              <w:spacing w:line="360" w:lineRule="auto"/>
              <w:rPr>
                <w:rFonts w:hint="eastAsia" w:ascii="仿宋" w:hAnsi="仿宋" w:eastAsia="仿宋" w:cs="宋体"/>
                <w:color w:val="000000"/>
                <w:szCs w:val="21"/>
                <w:highlight w:val="none"/>
              </w:rPr>
            </w:pPr>
          </w:p>
        </w:tc>
        <w:tc>
          <w:tcPr>
            <w:tcW w:w="1408" w:type="dxa"/>
            <w:noWrap w:val="0"/>
            <w:vAlign w:val="top"/>
          </w:tcPr>
          <w:p w14:paraId="58969721">
            <w:pPr>
              <w:spacing w:line="360" w:lineRule="auto"/>
              <w:rPr>
                <w:rFonts w:hint="eastAsia" w:ascii="仿宋" w:hAnsi="仿宋" w:eastAsia="仿宋" w:cs="宋体"/>
                <w:color w:val="000000"/>
                <w:szCs w:val="21"/>
                <w:highlight w:val="none"/>
              </w:rPr>
            </w:pPr>
          </w:p>
        </w:tc>
      </w:tr>
    </w:tbl>
    <w:p w14:paraId="63339CD5">
      <w:pPr>
        <w:spacing w:line="360" w:lineRule="auto"/>
        <w:ind w:left="480" w:hanging="480" w:hangingChars="200"/>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注：所有偏离须在本表中列出，未在本偏离表中列出偏离，将视为供应商已完全接受磋商文件要求</w:t>
      </w:r>
      <w:r>
        <w:rPr>
          <w:rFonts w:hint="eastAsia" w:ascii="仿宋" w:hAnsi="仿宋" w:eastAsia="仿宋" w:cs="宋体"/>
          <w:b/>
          <w:bCs/>
          <w:color w:val="000000"/>
          <w:sz w:val="24"/>
          <w:highlight w:val="none"/>
        </w:rPr>
        <w:t>。如全部满足，在偏离表中应答“全部满足”即可。</w:t>
      </w:r>
    </w:p>
    <w:p w14:paraId="4213F3F1">
      <w:pPr>
        <w:spacing w:line="360" w:lineRule="auto"/>
        <w:ind w:firstLine="4080" w:firstLineChars="1700"/>
        <w:jc w:val="right"/>
        <w:rPr>
          <w:rFonts w:ascii="仿宋" w:hAnsi="仿宋" w:eastAsia="仿宋" w:cs="宋体"/>
          <w:color w:val="000000"/>
          <w:sz w:val="24"/>
          <w:highlight w:val="none"/>
        </w:rPr>
      </w:pPr>
    </w:p>
    <w:p w14:paraId="7FCF6FB7">
      <w:pPr>
        <w:spacing w:line="360" w:lineRule="auto"/>
        <w:ind w:firstLine="4080" w:firstLineChars="1700"/>
        <w:jc w:val="right"/>
        <w:rPr>
          <w:rFonts w:ascii="仿宋" w:hAnsi="仿宋" w:eastAsia="仿宋" w:cs="宋体"/>
          <w:color w:val="000000"/>
          <w:sz w:val="24"/>
          <w:highlight w:val="none"/>
        </w:rPr>
      </w:pPr>
    </w:p>
    <w:p w14:paraId="1894C7E1">
      <w:pPr>
        <w:spacing w:line="360" w:lineRule="auto"/>
        <w:ind w:firstLine="4080" w:firstLineChars="1700"/>
        <w:jc w:val="right"/>
        <w:rPr>
          <w:rFonts w:ascii="仿宋" w:hAnsi="仿宋" w:eastAsia="仿宋" w:cs="宋体"/>
          <w:color w:val="000000"/>
          <w:sz w:val="24"/>
          <w:highlight w:val="none"/>
        </w:rPr>
      </w:pPr>
    </w:p>
    <w:p w14:paraId="70A41566">
      <w:pPr>
        <w:spacing w:line="360" w:lineRule="auto"/>
        <w:ind w:firstLine="4080" w:firstLineChars="1700"/>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14:paraId="2F38BBEF">
      <w:pPr>
        <w:spacing w:line="360" w:lineRule="auto"/>
        <w:jc w:val="right"/>
        <w:rPr>
          <w:rFonts w:hint="eastAsia" w:ascii="仿宋" w:hAnsi="仿宋" w:eastAsia="仿宋" w:cs="宋体"/>
          <w:color w:val="000000"/>
          <w:sz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p>
    <w:p w14:paraId="2FC6F902">
      <w:pPr>
        <w:numPr>
          <w:ilvl w:val="0"/>
          <w:numId w:val="5"/>
        </w:numPr>
        <w:spacing w:line="360" w:lineRule="auto"/>
        <w:jc w:val="both"/>
        <w:rPr>
          <w:rStyle w:val="58"/>
          <w:rFonts w:hint="eastAsia" w:ascii="仿宋" w:hAnsi="仿宋" w:eastAsia="仿宋" w:cs="仿宋"/>
          <w:sz w:val="24"/>
          <w:szCs w:val="24"/>
          <w:lang w:eastAsia="zh-CN"/>
        </w:rPr>
      </w:pPr>
      <w:r>
        <w:rPr>
          <w:rStyle w:val="58"/>
          <w:rFonts w:hint="eastAsia" w:ascii="仿宋" w:hAnsi="仿宋" w:eastAsia="仿宋" w:cs="仿宋"/>
          <w:sz w:val="24"/>
          <w:szCs w:val="24"/>
          <w:lang w:eastAsia="zh-CN"/>
        </w:rPr>
        <w:t>团队人员相关材料</w:t>
      </w:r>
    </w:p>
    <w:p w14:paraId="44B3AD7D">
      <w:pPr>
        <w:pStyle w:val="6"/>
        <w:numPr>
          <w:ilvl w:val="0"/>
          <w:numId w:val="0"/>
        </w:numPr>
        <w:rPr>
          <w:rFonts w:hint="eastAsia" w:ascii="仿宋" w:hAnsi="仿宋" w:eastAsia="仿宋" w:cs="Cambria Math"/>
          <w:color w:val="000000"/>
          <w:sz w:val="24"/>
          <w:szCs w:val="24"/>
          <w:highlight w:val="none"/>
        </w:rPr>
      </w:pPr>
      <w:r>
        <w:rPr>
          <w:rFonts w:hint="eastAsia" w:ascii="仿宋" w:hAnsi="仿宋" w:eastAsia="仿宋" w:cs="Cambria Math"/>
          <w:color w:val="000000"/>
          <w:sz w:val="24"/>
          <w:szCs w:val="24"/>
          <w:highlight w:val="none"/>
          <w:lang w:val="en-US" w:eastAsia="zh-CN"/>
        </w:rPr>
        <w:t>1、</w:t>
      </w:r>
      <w:r>
        <w:rPr>
          <w:rFonts w:hint="eastAsia" w:ascii="仿宋" w:hAnsi="仿宋" w:eastAsia="仿宋" w:cs="Cambria Math"/>
          <w:color w:val="000000"/>
          <w:sz w:val="24"/>
          <w:szCs w:val="24"/>
          <w:highlight w:val="none"/>
        </w:rPr>
        <w:t>拟派服务团队成员汇总表</w:t>
      </w:r>
    </w:p>
    <w:tbl>
      <w:tblPr>
        <w:tblStyle w:val="40"/>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14:paraId="7D1F5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14:paraId="3D0F28F2">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260" w:type="dxa"/>
            <w:noWrap w:val="0"/>
            <w:vAlign w:val="center"/>
          </w:tcPr>
          <w:p w14:paraId="6D857A56">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姓名</w:t>
            </w:r>
          </w:p>
        </w:tc>
        <w:tc>
          <w:tcPr>
            <w:tcW w:w="851" w:type="dxa"/>
            <w:noWrap w:val="0"/>
            <w:vAlign w:val="center"/>
          </w:tcPr>
          <w:p w14:paraId="2D1AFBFD">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学历</w:t>
            </w:r>
          </w:p>
        </w:tc>
        <w:tc>
          <w:tcPr>
            <w:tcW w:w="980" w:type="dxa"/>
            <w:noWrap w:val="0"/>
            <w:vAlign w:val="center"/>
          </w:tcPr>
          <w:p w14:paraId="266388DD">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专业资质</w:t>
            </w:r>
          </w:p>
        </w:tc>
        <w:tc>
          <w:tcPr>
            <w:tcW w:w="992" w:type="dxa"/>
            <w:noWrap w:val="0"/>
            <w:vAlign w:val="center"/>
          </w:tcPr>
          <w:p w14:paraId="5EB64C97">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工作年限</w:t>
            </w:r>
          </w:p>
        </w:tc>
        <w:tc>
          <w:tcPr>
            <w:tcW w:w="1276" w:type="dxa"/>
            <w:noWrap w:val="0"/>
            <w:vAlign w:val="center"/>
          </w:tcPr>
          <w:p w14:paraId="5A829608">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本项目职务</w:t>
            </w:r>
          </w:p>
        </w:tc>
        <w:tc>
          <w:tcPr>
            <w:tcW w:w="1134" w:type="dxa"/>
            <w:noWrap w:val="0"/>
            <w:vAlign w:val="center"/>
          </w:tcPr>
          <w:p w14:paraId="4059C43A">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服务内容</w:t>
            </w:r>
          </w:p>
        </w:tc>
        <w:tc>
          <w:tcPr>
            <w:tcW w:w="1695" w:type="dxa"/>
            <w:noWrap w:val="0"/>
            <w:vAlign w:val="center"/>
          </w:tcPr>
          <w:p w14:paraId="6180759C">
            <w:pPr>
              <w:snapToGrid w:val="0"/>
              <w:spacing w:line="300" w:lineRule="exact"/>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同类项目实施案例</w:t>
            </w:r>
          </w:p>
        </w:tc>
      </w:tr>
      <w:tr w14:paraId="0BEE1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14:paraId="12D05D72">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w:t>
            </w:r>
          </w:p>
        </w:tc>
        <w:tc>
          <w:tcPr>
            <w:tcW w:w="1260" w:type="dxa"/>
            <w:noWrap w:val="0"/>
            <w:vAlign w:val="center"/>
          </w:tcPr>
          <w:p w14:paraId="205505F5">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14:paraId="75A8154B">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14:paraId="5426ED02">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14:paraId="3747465E">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14:paraId="641A8994">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14:paraId="4C627ACB">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14:paraId="3EDCD963">
            <w:pPr>
              <w:snapToGrid w:val="0"/>
              <w:spacing w:line="360" w:lineRule="auto"/>
              <w:jc w:val="center"/>
              <w:rPr>
                <w:rFonts w:hint="eastAsia" w:ascii="仿宋" w:hAnsi="仿宋" w:eastAsia="仿宋" w:cs="仿宋"/>
                <w:color w:val="000000"/>
                <w:szCs w:val="21"/>
                <w:highlight w:val="none"/>
              </w:rPr>
            </w:pPr>
          </w:p>
        </w:tc>
      </w:tr>
      <w:tr w14:paraId="3DA8D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5196CC06">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w:t>
            </w:r>
          </w:p>
        </w:tc>
        <w:tc>
          <w:tcPr>
            <w:tcW w:w="1260" w:type="dxa"/>
            <w:noWrap w:val="0"/>
            <w:vAlign w:val="center"/>
          </w:tcPr>
          <w:p w14:paraId="1AD1ACE8">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14:paraId="5B9362C1">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14:paraId="44EE5C9F">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14:paraId="33073A9A">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14:paraId="278F130C">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14:paraId="38A38846">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14:paraId="0D0CEFD2">
            <w:pPr>
              <w:snapToGrid w:val="0"/>
              <w:spacing w:line="360" w:lineRule="auto"/>
              <w:jc w:val="center"/>
              <w:rPr>
                <w:rFonts w:hint="eastAsia" w:ascii="仿宋" w:hAnsi="仿宋" w:eastAsia="仿宋" w:cs="仿宋"/>
                <w:color w:val="000000"/>
                <w:szCs w:val="21"/>
                <w:highlight w:val="none"/>
              </w:rPr>
            </w:pPr>
          </w:p>
        </w:tc>
      </w:tr>
      <w:tr w14:paraId="5CE7F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5D9496BF">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w:t>
            </w:r>
          </w:p>
        </w:tc>
        <w:tc>
          <w:tcPr>
            <w:tcW w:w="1260" w:type="dxa"/>
            <w:noWrap w:val="0"/>
            <w:vAlign w:val="center"/>
          </w:tcPr>
          <w:p w14:paraId="19AFED00">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14:paraId="6499C9C7">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14:paraId="7881DB5E">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14:paraId="2102EF75">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14:paraId="3241E425">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14:paraId="53CD9D37">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14:paraId="65919B80">
            <w:pPr>
              <w:snapToGrid w:val="0"/>
              <w:spacing w:line="360" w:lineRule="auto"/>
              <w:jc w:val="center"/>
              <w:rPr>
                <w:rFonts w:hint="eastAsia" w:ascii="仿宋" w:hAnsi="仿宋" w:eastAsia="仿宋" w:cs="仿宋"/>
                <w:color w:val="000000"/>
                <w:szCs w:val="21"/>
                <w:highlight w:val="none"/>
              </w:rPr>
            </w:pPr>
          </w:p>
        </w:tc>
      </w:tr>
      <w:tr w14:paraId="271B7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0C28AF7E">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w:t>
            </w:r>
          </w:p>
        </w:tc>
        <w:tc>
          <w:tcPr>
            <w:tcW w:w="1260" w:type="dxa"/>
            <w:noWrap w:val="0"/>
            <w:vAlign w:val="center"/>
          </w:tcPr>
          <w:p w14:paraId="260D8D8A">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14:paraId="240D4357">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14:paraId="71656C49">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14:paraId="5BB9AF00">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14:paraId="21B82936">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14:paraId="0CC6BD94">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14:paraId="581F48BA">
            <w:pPr>
              <w:snapToGrid w:val="0"/>
              <w:spacing w:line="360" w:lineRule="auto"/>
              <w:jc w:val="center"/>
              <w:rPr>
                <w:rFonts w:hint="eastAsia" w:ascii="仿宋" w:hAnsi="仿宋" w:eastAsia="仿宋" w:cs="仿宋"/>
                <w:color w:val="000000"/>
                <w:szCs w:val="21"/>
                <w:highlight w:val="none"/>
              </w:rPr>
            </w:pPr>
          </w:p>
        </w:tc>
      </w:tr>
      <w:tr w14:paraId="5A731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2A653414">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noWrap w:val="0"/>
            <w:vAlign w:val="center"/>
          </w:tcPr>
          <w:p w14:paraId="49319870">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14:paraId="6FB8B74C">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14:paraId="244D44AA">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14:paraId="16124C97">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14:paraId="3A4F1D75">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14:paraId="7D909643">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14:paraId="7EECF0AD">
            <w:pPr>
              <w:snapToGrid w:val="0"/>
              <w:spacing w:line="360" w:lineRule="auto"/>
              <w:jc w:val="center"/>
              <w:rPr>
                <w:rFonts w:hint="eastAsia" w:ascii="仿宋" w:hAnsi="仿宋" w:eastAsia="仿宋" w:cs="仿宋"/>
                <w:color w:val="000000"/>
                <w:szCs w:val="21"/>
                <w:highlight w:val="none"/>
              </w:rPr>
            </w:pPr>
          </w:p>
        </w:tc>
      </w:tr>
      <w:tr w14:paraId="36BF1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6056B9A2">
            <w:pPr>
              <w:snapToGrid w:val="0"/>
              <w:spacing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60" w:type="dxa"/>
            <w:noWrap w:val="0"/>
            <w:vAlign w:val="center"/>
          </w:tcPr>
          <w:p w14:paraId="293A7672">
            <w:pPr>
              <w:snapToGrid w:val="0"/>
              <w:spacing w:line="360" w:lineRule="auto"/>
              <w:jc w:val="center"/>
              <w:rPr>
                <w:rFonts w:hint="eastAsia" w:ascii="仿宋" w:hAnsi="仿宋" w:eastAsia="仿宋" w:cs="仿宋"/>
                <w:color w:val="000000"/>
                <w:szCs w:val="21"/>
                <w:highlight w:val="none"/>
              </w:rPr>
            </w:pPr>
          </w:p>
        </w:tc>
        <w:tc>
          <w:tcPr>
            <w:tcW w:w="851" w:type="dxa"/>
            <w:noWrap w:val="0"/>
            <w:vAlign w:val="top"/>
          </w:tcPr>
          <w:p w14:paraId="279B7EC3">
            <w:pPr>
              <w:snapToGrid w:val="0"/>
              <w:spacing w:line="360" w:lineRule="auto"/>
              <w:jc w:val="center"/>
              <w:rPr>
                <w:rFonts w:hint="eastAsia" w:ascii="仿宋" w:hAnsi="仿宋" w:eastAsia="仿宋" w:cs="仿宋"/>
                <w:color w:val="000000"/>
                <w:szCs w:val="21"/>
                <w:highlight w:val="none"/>
              </w:rPr>
            </w:pPr>
          </w:p>
        </w:tc>
        <w:tc>
          <w:tcPr>
            <w:tcW w:w="980" w:type="dxa"/>
            <w:noWrap w:val="0"/>
            <w:vAlign w:val="center"/>
          </w:tcPr>
          <w:p w14:paraId="76BCD9B7">
            <w:pPr>
              <w:snapToGrid w:val="0"/>
              <w:spacing w:line="360" w:lineRule="auto"/>
              <w:jc w:val="center"/>
              <w:rPr>
                <w:rFonts w:hint="eastAsia" w:ascii="仿宋" w:hAnsi="仿宋" w:eastAsia="仿宋" w:cs="仿宋"/>
                <w:color w:val="000000"/>
                <w:szCs w:val="21"/>
                <w:highlight w:val="none"/>
              </w:rPr>
            </w:pPr>
          </w:p>
        </w:tc>
        <w:tc>
          <w:tcPr>
            <w:tcW w:w="992" w:type="dxa"/>
            <w:noWrap w:val="0"/>
            <w:vAlign w:val="center"/>
          </w:tcPr>
          <w:p w14:paraId="59D76210">
            <w:pPr>
              <w:snapToGrid w:val="0"/>
              <w:spacing w:line="360" w:lineRule="auto"/>
              <w:jc w:val="center"/>
              <w:rPr>
                <w:rFonts w:hint="eastAsia" w:ascii="仿宋" w:hAnsi="仿宋" w:eastAsia="仿宋" w:cs="仿宋"/>
                <w:color w:val="000000"/>
                <w:szCs w:val="21"/>
                <w:highlight w:val="none"/>
              </w:rPr>
            </w:pPr>
          </w:p>
        </w:tc>
        <w:tc>
          <w:tcPr>
            <w:tcW w:w="1276" w:type="dxa"/>
            <w:noWrap w:val="0"/>
            <w:vAlign w:val="center"/>
          </w:tcPr>
          <w:p w14:paraId="14825BC8">
            <w:pPr>
              <w:snapToGrid w:val="0"/>
              <w:spacing w:line="360" w:lineRule="auto"/>
              <w:jc w:val="center"/>
              <w:rPr>
                <w:rFonts w:hint="eastAsia" w:ascii="仿宋" w:hAnsi="仿宋" w:eastAsia="仿宋" w:cs="仿宋"/>
                <w:color w:val="000000"/>
                <w:szCs w:val="21"/>
                <w:highlight w:val="none"/>
              </w:rPr>
            </w:pPr>
          </w:p>
        </w:tc>
        <w:tc>
          <w:tcPr>
            <w:tcW w:w="1134" w:type="dxa"/>
            <w:noWrap w:val="0"/>
            <w:vAlign w:val="center"/>
          </w:tcPr>
          <w:p w14:paraId="5DFA600B">
            <w:pPr>
              <w:snapToGrid w:val="0"/>
              <w:spacing w:line="360" w:lineRule="auto"/>
              <w:jc w:val="center"/>
              <w:rPr>
                <w:rFonts w:hint="eastAsia" w:ascii="仿宋" w:hAnsi="仿宋" w:eastAsia="仿宋" w:cs="仿宋"/>
                <w:color w:val="000000"/>
                <w:szCs w:val="21"/>
                <w:highlight w:val="none"/>
              </w:rPr>
            </w:pPr>
          </w:p>
        </w:tc>
        <w:tc>
          <w:tcPr>
            <w:tcW w:w="1695" w:type="dxa"/>
            <w:noWrap w:val="0"/>
            <w:vAlign w:val="center"/>
          </w:tcPr>
          <w:p w14:paraId="32A26A06">
            <w:pPr>
              <w:snapToGrid w:val="0"/>
              <w:spacing w:line="360" w:lineRule="auto"/>
              <w:jc w:val="center"/>
              <w:rPr>
                <w:rFonts w:hint="eastAsia" w:ascii="仿宋" w:hAnsi="仿宋" w:eastAsia="仿宋" w:cs="仿宋"/>
                <w:color w:val="000000"/>
                <w:szCs w:val="21"/>
                <w:highlight w:val="none"/>
              </w:rPr>
            </w:pPr>
          </w:p>
        </w:tc>
      </w:tr>
    </w:tbl>
    <w:p w14:paraId="3D470DC2">
      <w:pPr>
        <w:adjustRightInd w:val="0"/>
        <w:snapToGrid w:val="0"/>
        <w:spacing w:before="240" w:line="360" w:lineRule="auto"/>
        <w:ind w:firstLine="482" w:firstLineChars="200"/>
        <w:jc w:val="lef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注：需按照采购需求中的相关要求，列明本项目服务团队所有人员信息及职责分工。</w:t>
      </w:r>
    </w:p>
    <w:p w14:paraId="0EE0FDC1">
      <w:pPr>
        <w:rPr>
          <w:rFonts w:hint="eastAsia" w:ascii="仿宋" w:hAnsi="仿宋" w:eastAsia="仿宋" w:cs="仿宋"/>
          <w:color w:val="000000"/>
          <w:highlight w:val="none"/>
        </w:rPr>
      </w:pPr>
      <w:r>
        <w:rPr>
          <w:rFonts w:hint="eastAsia" w:ascii="仿宋" w:hAnsi="仿宋" w:eastAsia="仿宋" w:cs="仿宋"/>
          <w:color w:val="000000"/>
          <w:highlight w:val="none"/>
        </w:rPr>
        <w:br w:type="page"/>
      </w:r>
    </w:p>
    <w:p w14:paraId="236AB937">
      <w:pPr>
        <w:pStyle w:val="6"/>
        <w:spacing w:before="0" w:after="0"/>
        <w:rPr>
          <w:rFonts w:hint="eastAsia" w:ascii="仿宋" w:hAnsi="仿宋" w:eastAsia="仿宋" w:cs="Cambria Math"/>
          <w:color w:val="FF0000"/>
          <w:sz w:val="21"/>
          <w:szCs w:val="21"/>
          <w:highlight w:val="none"/>
          <w:lang w:eastAsia="zh-CN"/>
        </w:rPr>
      </w:pPr>
      <w:r>
        <w:rPr>
          <w:rFonts w:hint="eastAsia" w:ascii="仿宋" w:hAnsi="仿宋" w:eastAsia="仿宋" w:cs="Cambria Math"/>
          <w:color w:val="000000"/>
          <w:sz w:val="24"/>
          <w:szCs w:val="24"/>
          <w:highlight w:val="none"/>
          <w:lang w:val="en-US" w:eastAsia="zh-CN"/>
        </w:rPr>
        <w:t>2、</w:t>
      </w:r>
      <w:r>
        <w:rPr>
          <w:rFonts w:hint="eastAsia" w:ascii="仿宋" w:hAnsi="仿宋" w:eastAsia="仿宋" w:cs="Cambria Math"/>
          <w:color w:val="000000"/>
          <w:sz w:val="24"/>
          <w:szCs w:val="24"/>
          <w:highlight w:val="none"/>
        </w:rPr>
        <w:t>拟派团队成员</w:t>
      </w:r>
      <w:r>
        <w:rPr>
          <w:rFonts w:hint="eastAsia" w:ascii="仿宋" w:hAnsi="仿宋" w:eastAsia="仿宋" w:cs="Cambria Math"/>
          <w:color w:val="000000"/>
          <w:sz w:val="24"/>
          <w:szCs w:val="24"/>
          <w:highlight w:val="none"/>
          <w:lang w:eastAsia="zh-CN"/>
        </w:rPr>
        <w:t>身份证复印件及工作证明</w:t>
      </w:r>
      <w:r>
        <w:rPr>
          <w:rFonts w:hint="eastAsia" w:ascii="仿宋" w:hAnsi="仿宋" w:eastAsia="仿宋" w:cs="Cambria Math"/>
          <w:color w:val="FF0000"/>
          <w:sz w:val="21"/>
          <w:szCs w:val="21"/>
          <w:highlight w:val="none"/>
          <w:lang w:eastAsia="zh-CN"/>
        </w:rPr>
        <w:t>（工作证明各供应商格式自拟，需加盖公章）</w:t>
      </w:r>
    </w:p>
    <w:p w14:paraId="483840D4">
      <w:pPr>
        <w:spacing w:line="360" w:lineRule="auto"/>
        <w:rPr>
          <w:rFonts w:hint="eastAsia" w:ascii="仿宋" w:hAnsi="仿宋" w:eastAsia="仿宋" w:cs="仿宋"/>
          <w:color w:val="000000"/>
          <w:highlight w:val="none"/>
        </w:rPr>
      </w:pPr>
    </w:p>
    <w:p w14:paraId="52DF114B">
      <w:pPr>
        <w:rPr>
          <w:rFonts w:hint="eastAsia" w:ascii="仿宋" w:hAnsi="仿宋" w:eastAsia="仿宋" w:cs="仿宋"/>
          <w:color w:val="000000"/>
          <w:highlight w:val="none"/>
        </w:rPr>
      </w:pPr>
    </w:p>
    <w:p w14:paraId="74094CED">
      <w:pPr>
        <w:rPr>
          <w:rFonts w:hint="eastAsia" w:ascii="仿宋" w:hAnsi="仿宋" w:eastAsia="仿宋" w:cs="仿宋"/>
          <w:color w:val="000000"/>
          <w:highlight w:val="none"/>
        </w:rPr>
      </w:pPr>
      <w:r>
        <w:rPr>
          <w:rFonts w:hint="eastAsia" w:ascii="仿宋" w:hAnsi="仿宋" w:eastAsia="仿宋" w:cs="仿宋"/>
          <w:color w:val="000000"/>
          <w:highlight w:val="none"/>
        </w:rPr>
        <w:br w:type="page"/>
      </w:r>
    </w:p>
    <w:p w14:paraId="310FB950">
      <w:pPr>
        <w:pStyle w:val="2"/>
        <w:numPr>
          <w:ilvl w:val="0"/>
          <w:numId w:val="5"/>
        </w:numPr>
        <w:rPr>
          <w:rFonts w:hint="eastAsia"/>
          <w:lang w:eastAsia="zh-CN"/>
        </w:rPr>
        <w:sectPr>
          <w:pgSz w:w="11906" w:h="16838"/>
          <w:pgMar w:top="1417" w:right="1134" w:bottom="1134" w:left="1134" w:header="851" w:footer="992" w:gutter="0"/>
          <w:cols w:space="720" w:num="1"/>
          <w:titlePg/>
          <w:docGrid w:type="lines" w:linePitch="312" w:charSpace="0"/>
        </w:sectPr>
      </w:pPr>
    </w:p>
    <w:bookmarkEnd w:id="202"/>
    <w:p w14:paraId="735AA406">
      <w:pPr>
        <w:pStyle w:val="2"/>
        <w:numPr>
          <w:ilvl w:val="0"/>
          <w:numId w:val="0"/>
        </w:numPr>
        <w:jc w:val="both"/>
        <w:rPr>
          <w:rFonts w:hint="eastAsia" w:ascii="仿宋" w:hAnsi="仿宋" w:eastAsia="仿宋" w:cs="Cambria Math"/>
          <w:b w:val="0"/>
          <w:bCs w:val="0"/>
          <w:color w:val="FF0000"/>
          <w:kern w:val="2"/>
          <w:sz w:val="21"/>
          <w:szCs w:val="21"/>
          <w:highlight w:val="none"/>
          <w:lang w:val="en-US" w:eastAsia="zh-CN" w:bidi="ar-SA"/>
        </w:rPr>
      </w:pPr>
      <w:bookmarkStart w:id="214" w:name="_Toc28698"/>
      <w:r>
        <w:rPr>
          <w:rFonts w:hint="eastAsia" w:ascii="仿宋" w:hAnsi="仿宋" w:eastAsia="仿宋" w:cs="Cambria Math"/>
          <w:b/>
          <w:bCs/>
          <w:color w:val="000000"/>
          <w:kern w:val="2"/>
          <w:sz w:val="24"/>
          <w:szCs w:val="24"/>
          <w:highlight w:val="none"/>
          <w:lang w:val="en-US" w:eastAsia="zh-CN" w:bidi="ar-SA"/>
        </w:rPr>
        <w:t>（十一）响应承诺函</w:t>
      </w:r>
      <w:r>
        <w:rPr>
          <w:rFonts w:hint="eastAsia" w:ascii="仿宋" w:hAnsi="仿宋" w:eastAsia="仿宋" w:cs="Cambria Math"/>
          <w:b w:val="0"/>
          <w:bCs w:val="0"/>
          <w:color w:val="FF0000"/>
          <w:kern w:val="2"/>
          <w:sz w:val="21"/>
          <w:szCs w:val="21"/>
          <w:highlight w:val="none"/>
          <w:lang w:val="en-US" w:eastAsia="zh-CN" w:bidi="ar-SA"/>
        </w:rPr>
        <w:t>（提供时效承诺函并加盖单位公章，承诺函格式自拟）</w:t>
      </w:r>
    </w:p>
    <w:p w14:paraId="4E725E53">
      <w:pPr>
        <w:numPr>
          <w:ilvl w:val="0"/>
          <w:numId w:val="0"/>
        </w:numPr>
        <w:rPr>
          <w:rFonts w:hint="eastAsia"/>
          <w:lang w:val="en-US" w:eastAsia="zh-CN"/>
        </w:rPr>
      </w:pPr>
    </w:p>
    <w:p w14:paraId="72A5E3D6">
      <w:pPr>
        <w:pStyle w:val="2"/>
        <w:rPr>
          <w:rFonts w:hint="eastAsia"/>
          <w:lang w:val="en-US" w:eastAsia="zh-CN"/>
        </w:rPr>
      </w:pPr>
    </w:p>
    <w:p w14:paraId="138BDBFC">
      <w:pPr>
        <w:rPr>
          <w:rFonts w:hint="eastAsia"/>
          <w:lang w:val="en-US" w:eastAsia="zh-CN"/>
        </w:rPr>
      </w:pPr>
    </w:p>
    <w:p w14:paraId="575C5603">
      <w:pPr>
        <w:pStyle w:val="2"/>
        <w:rPr>
          <w:rFonts w:hint="eastAsia"/>
          <w:lang w:val="en-US" w:eastAsia="zh-CN"/>
        </w:rPr>
      </w:pPr>
    </w:p>
    <w:p w14:paraId="14D2A561">
      <w:pPr>
        <w:rPr>
          <w:rFonts w:hint="eastAsia"/>
          <w:lang w:val="en-US" w:eastAsia="zh-CN"/>
        </w:rPr>
      </w:pPr>
    </w:p>
    <w:p w14:paraId="62C09BF3">
      <w:pPr>
        <w:pStyle w:val="2"/>
        <w:rPr>
          <w:rFonts w:hint="eastAsia"/>
          <w:lang w:val="en-US" w:eastAsia="zh-CN"/>
        </w:rPr>
      </w:pPr>
    </w:p>
    <w:p w14:paraId="55F4ED95">
      <w:pPr>
        <w:rPr>
          <w:rFonts w:hint="eastAsia"/>
          <w:lang w:val="en-US" w:eastAsia="zh-CN"/>
        </w:rPr>
      </w:pPr>
    </w:p>
    <w:p w14:paraId="5107FE4E">
      <w:pPr>
        <w:pStyle w:val="2"/>
        <w:rPr>
          <w:rFonts w:hint="eastAsia"/>
          <w:lang w:val="en-US" w:eastAsia="zh-CN"/>
        </w:rPr>
      </w:pPr>
    </w:p>
    <w:p w14:paraId="543AEC79">
      <w:pPr>
        <w:rPr>
          <w:rFonts w:hint="eastAsia"/>
          <w:lang w:val="en-US" w:eastAsia="zh-CN"/>
        </w:rPr>
      </w:pPr>
    </w:p>
    <w:p w14:paraId="679CDF8A">
      <w:pPr>
        <w:pStyle w:val="2"/>
        <w:rPr>
          <w:rFonts w:hint="eastAsia"/>
          <w:lang w:val="en-US" w:eastAsia="zh-CN"/>
        </w:rPr>
      </w:pPr>
    </w:p>
    <w:p w14:paraId="0D18B769">
      <w:pPr>
        <w:rPr>
          <w:rFonts w:hint="eastAsia"/>
          <w:lang w:val="en-US" w:eastAsia="zh-CN"/>
        </w:rPr>
      </w:pPr>
    </w:p>
    <w:p w14:paraId="71E71922">
      <w:pPr>
        <w:pStyle w:val="2"/>
        <w:rPr>
          <w:rFonts w:hint="eastAsia"/>
          <w:lang w:val="en-US" w:eastAsia="zh-CN"/>
        </w:rPr>
      </w:pPr>
    </w:p>
    <w:p w14:paraId="063C72C4">
      <w:pPr>
        <w:rPr>
          <w:rFonts w:hint="eastAsia"/>
          <w:lang w:val="en-US" w:eastAsia="zh-CN"/>
        </w:rPr>
      </w:pPr>
    </w:p>
    <w:p w14:paraId="2B9B0C7E">
      <w:pPr>
        <w:pStyle w:val="2"/>
        <w:rPr>
          <w:rFonts w:hint="eastAsia"/>
          <w:lang w:val="en-US" w:eastAsia="zh-CN"/>
        </w:rPr>
      </w:pPr>
    </w:p>
    <w:p w14:paraId="271111E8">
      <w:pPr>
        <w:rPr>
          <w:rFonts w:hint="eastAsia"/>
          <w:lang w:val="en-US" w:eastAsia="zh-CN"/>
        </w:rPr>
      </w:pPr>
    </w:p>
    <w:p w14:paraId="29D5375E">
      <w:pPr>
        <w:pStyle w:val="2"/>
        <w:rPr>
          <w:rFonts w:hint="eastAsia"/>
          <w:lang w:val="en-US" w:eastAsia="zh-CN"/>
        </w:rPr>
      </w:pPr>
    </w:p>
    <w:p w14:paraId="50AD3C25">
      <w:pPr>
        <w:rPr>
          <w:rFonts w:hint="eastAsia"/>
          <w:lang w:val="en-US" w:eastAsia="zh-CN"/>
        </w:rPr>
      </w:pPr>
    </w:p>
    <w:p w14:paraId="7B2CBB4D">
      <w:pPr>
        <w:pStyle w:val="2"/>
        <w:rPr>
          <w:rFonts w:hint="eastAsia"/>
          <w:lang w:val="en-US" w:eastAsia="zh-CN"/>
        </w:rPr>
      </w:pPr>
    </w:p>
    <w:p w14:paraId="5797D328">
      <w:pPr>
        <w:rPr>
          <w:rFonts w:hint="eastAsia"/>
          <w:lang w:val="en-US" w:eastAsia="zh-CN"/>
        </w:rPr>
      </w:pPr>
    </w:p>
    <w:p w14:paraId="109DDC41">
      <w:pPr>
        <w:pStyle w:val="2"/>
        <w:rPr>
          <w:rFonts w:hint="eastAsia"/>
          <w:lang w:val="en-US" w:eastAsia="zh-CN"/>
        </w:rPr>
      </w:pPr>
    </w:p>
    <w:p w14:paraId="4E023FB8">
      <w:pPr>
        <w:rPr>
          <w:rFonts w:hint="eastAsia"/>
          <w:lang w:val="en-US" w:eastAsia="zh-CN"/>
        </w:rPr>
      </w:pPr>
    </w:p>
    <w:p w14:paraId="18B5E6F2">
      <w:pPr>
        <w:pStyle w:val="2"/>
        <w:rPr>
          <w:rFonts w:hint="eastAsia"/>
          <w:lang w:val="en-US" w:eastAsia="zh-CN"/>
        </w:rPr>
      </w:pPr>
    </w:p>
    <w:p w14:paraId="5767ED3B">
      <w:pPr>
        <w:rPr>
          <w:rFonts w:hint="eastAsia"/>
          <w:lang w:val="en-US" w:eastAsia="zh-CN"/>
        </w:rPr>
      </w:pPr>
    </w:p>
    <w:p w14:paraId="3EE32920">
      <w:pPr>
        <w:pStyle w:val="2"/>
        <w:rPr>
          <w:rFonts w:hint="eastAsia"/>
          <w:lang w:val="en-US" w:eastAsia="zh-CN"/>
        </w:rPr>
      </w:pPr>
    </w:p>
    <w:p w14:paraId="4EDD97FA">
      <w:pPr>
        <w:rPr>
          <w:rFonts w:hint="eastAsia"/>
          <w:lang w:val="en-US" w:eastAsia="zh-CN"/>
        </w:rPr>
      </w:pPr>
    </w:p>
    <w:p w14:paraId="38DA9408">
      <w:pPr>
        <w:pStyle w:val="2"/>
        <w:rPr>
          <w:rFonts w:hint="eastAsia"/>
          <w:lang w:val="en-US" w:eastAsia="zh-CN"/>
        </w:rPr>
      </w:pPr>
    </w:p>
    <w:p w14:paraId="2F41D696">
      <w:pPr>
        <w:rPr>
          <w:rFonts w:hint="eastAsia"/>
          <w:lang w:val="en-US" w:eastAsia="zh-CN"/>
        </w:rPr>
      </w:pPr>
    </w:p>
    <w:p w14:paraId="687D1FE0">
      <w:pPr>
        <w:pStyle w:val="2"/>
        <w:rPr>
          <w:rFonts w:hint="eastAsia"/>
          <w:lang w:val="en-US" w:eastAsia="zh-CN"/>
        </w:rPr>
      </w:pPr>
    </w:p>
    <w:p w14:paraId="091544AB">
      <w:pPr>
        <w:rPr>
          <w:rFonts w:hint="eastAsia"/>
          <w:lang w:val="en-US" w:eastAsia="zh-CN"/>
        </w:rPr>
      </w:pPr>
    </w:p>
    <w:p w14:paraId="0CD8751D">
      <w:pPr>
        <w:pStyle w:val="2"/>
        <w:rPr>
          <w:rFonts w:hint="eastAsia"/>
          <w:lang w:val="en-US" w:eastAsia="zh-CN"/>
        </w:rPr>
      </w:pPr>
    </w:p>
    <w:p w14:paraId="6D95DEC0">
      <w:pPr>
        <w:rPr>
          <w:rFonts w:hint="eastAsia"/>
          <w:lang w:val="en-US" w:eastAsia="zh-CN"/>
        </w:rPr>
      </w:pPr>
    </w:p>
    <w:p w14:paraId="275DA95F">
      <w:pPr>
        <w:pStyle w:val="2"/>
        <w:rPr>
          <w:rFonts w:hint="eastAsia"/>
          <w:lang w:val="en-US" w:eastAsia="zh-CN"/>
        </w:rPr>
      </w:pPr>
    </w:p>
    <w:p w14:paraId="784C1DB5">
      <w:pPr>
        <w:rPr>
          <w:rFonts w:hint="eastAsia"/>
          <w:lang w:val="en-US" w:eastAsia="zh-CN"/>
        </w:rPr>
      </w:pPr>
    </w:p>
    <w:p w14:paraId="592EA8CC">
      <w:pPr>
        <w:pStyle w:val="4"/>
        <w:ind w:firstLine="0" w:firstLineChars="0"/>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二、技术文件</w:t>
      </w:r>
      <w:bookmarkEnd w:id="203"/>
      <w:bookmarkEnd w:id="214"/>
    </w:p>
    <w:bookmarkEnd w:id="204"/>
    <w:bookmarkEnd w:id="205"/>
    <w:p w14:paraId="60219DFC">
      <w:pPr>
        <w:bidi w:val="0"/>
        <w:jc w:val="center"/>
        <w:rPr>
          <w:rFonts w:hint="eastAsia" w:ascii="仿宋" w:hAnsi="仿宋" w:eastAsia="仿宋" w:cs="仿宋"/>
          <w:b/>
          <w:bCs/>
          <w:sz w:val="24"/>
          <w:szCs w:val="24"/>
        </w:rPr>
      </w:pPr>
      <w:bookmarkStart w:id="215" w:name="_Toc30870"/>
      <w:bookmarkStart w:id="216" w:name="_Toc23108"/>
      <w:r>
        <w:rPr>
          <w:rFonts w:hint="eastAsia" w:ascii="仿宋" w:hAnsi="仿宋" w:eastAsia="仿宋" w:cs="仿宋"/>
          <w:b/>
          <w:bCs/>
          <w:sz w:val="24"/>
          <w:szCs w:val="24"/>
        </w:rPr>
        <w:t>详细评审索引表</w:t>
      </w:r>
      <w:bookmarkEnd w:id="215"/>
    </w:p>
    <w:tbl>
      <w:tblPr>
        <w:tblStyle w:val="40"/>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4EF4F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14:paraId="70E5468B">
            <w:pPr>
              <w:widowControl/>
              <w:jc w:val="center"/>
              <w:textAlignment w:val="center"/>
              <w:rPr>
                <w:rFonts w:hint="eastAsia" w:ascii="仿宋" w:hAnsi="仿宋" w:eastAsia="仿宋" w:cs="宋体"/>
                <w:b/>
                <w:color w:val="000000"/>
                <w:szCs w:val="21"/>
                <w:highlight w:val="none"/>
              </w:rPr>
            </w:pPr>
            <w:r>
              <w:rPr>
                <w:rFonts w:hint="eastAsia" w:ascii="仿宋" w:hAnsi="仿宋" w:eastAsia="仿宋" w:cs="宋体"/>
                <w:b/>
                <w:color w:val="000000"/>
                <w:kern w:val="0"/>
                <w:szCs w:val="21"/>
                <w:highlight w:val="none"/>
                <w:lang w:bidi="ar"/>
              </w:rPr>
              <w:t>序号</w:t>
            </w:r>
          </w:p>
        </w:tc>
        <w:tc>
          <w:tcPr>
            <w:tcW w:w="1696" w:type="dxa"/>
            <w:noWrap w:val="0"/>
            <w:tcMar>
              <w:top w:w="15" w:type="dxa"/>
              <w:left w:w="15" w:type="dxa"/>
              <w:right w:w="15" w:type="dxa"/>
            </w:tcMar>
            <w:vAlign w:val="center"/>
          </w:tcPr>
          <w:p w14:paraId="333D0244">
            <w:pPr>
              <w:jc w:val="center"/>
              <w:rPr>
                <w:rFonts w:hint="eastAsia" w:ascii="仿宋" w:hAnsi="仿宋" w:eastAsia="仿宋" w:cs="宋体"/>
                <w:b/>
                <w:color w:val="000000"/>
                <w:kern w:val="0"/>
                <w:szCs w:val="21"/>
                <w:highlight w:val="none"/>
                <w:lang w:bidi="ar"/>
              </w:rPr>
            </w:pPr>
            <w:r>
              <w:rPr>
                <w:rFonts w:hint="eastAsia" w:ascii="仿宋" w:hAnsi="仿宋" w:eastAsia="仿宋" w:cs="宋体"/>
                <w:b/>
                <w:bCs/>
                <w:color w:val="000000"/>
                <w:szCs w:val="21"/>
                <w:highlight w:val="none"/>
              </w:rPr>
              <w:t>评审项</w:t>
            </w:r>
          </w:p>
        </w:tc>
        <w:tc>
          <w:tcPr>
            <w:tcW w:w="2268" w:type="dxa"/>
            <w:noWrap w:val="0"/>
            <w:vAlign w:val="top"/>
          </w:tcPr>
          <w:p w14:paraId="71B8F08A">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lang w:bidi="ar"/>
              </w:rPr>
              <w:t>评审因素</w:t>
            </w:r>
          </w:p>
        </w:tc>
        <w:tc>
          <w:tcPr>
            <w:tcW w:w="4820" w:type="dxa"/>
            <w:noWrap w:val="0"/>
            <w:tcMar>
              <w:top w:w="15" w:type="dxa"/>
              <w:left w:w="15" w:type="dxa"/>
              <w:right w:w="15" w:type="dxa"/>
            </w:tcMar>
            <w:vAlign w:val="center"/>
          </w:tcPr>
          <w:p w14:paraId="35795A25">
            <w:pPr>
              <w:widowControl/>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页码范围及说明</w:t>
            </w:r>
          </w:p>
        </w:tc>
      </w:tr>
      <w:tr w14:paraId="24DFB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036C4D21">
            <w:pPr>
              <w:widowControl/>
              <w:jc w:val="center"/>
              <w:textAlignment w:val="center"/>
              <w:rPr>
                <w:rFonts w:hint="eastAsia"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1</w:t>
            </w:r>
          </w:p>
        </w:tc>
        <w:tc>
          <w:tcPr>
            <w:tcW w:w="1696" w:type="dxa"/>
            <w:vMerge w:val="restart"/>
            <w:noWrap w:val="0"/>
            <w:tcMar>
              <w:top w:w="15" w:type="dxa"/>
              <w:left w:w="15" w:type="dxa"/>
              <w:right w:w="15" w:type="dxa"/>
            </w:tcMar>
            <w:vAlign w:val="center"/>
          </w:tcPr>
          <w:p w14:paraId="486386F0">
            <w:pPr>
              <w:widowControl/>
              <w:jc w:val="center"/>
              <w:textAlignment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技术得分</w:t>
            </w:r>
          </w:p>
          <w:p w14:paraId="54D5BE55">
            <w:pPr>
              <w:widowControl/>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szCs w:val="21"/>
                <w:highlight w:val="none"/>
              </w:rPr>
              <w:t>（XX分）</w:t>
            </w:r>
          </w:p>
        </w:tc>
        <w:tc>
          <w:tcPr>
            <w:tcW w:w="2268" w:type="dxa"/>
            <w:noWrap w:val="0"/>
            <w:vAlign w:val="center"/>
          </w:tcPr>
          <w:p w14:paraId="7EC134EF">
            <w:pPr>
              <w:jc w:val="center"/>
              <w:rPr>
                <w:rFonts w:hint="eastAsia" w:ascii="仿宋" w:hAnsi="仿宋" w:eastAsia="仿宋" w:cs="宋体"/>
                <w:color w:val="000000"/>
                <w:szCs w:val="21"/>
                <w:highlight w:val="none"/>
                <w:lang w:eastAsia="zh-CN"/>
              </w:rPr>
            </w:pPr>
            <w:r>
              <w:rPr>
                <w:rFonts w:hint="eastAsia" w:ascii="仿宋" w:hAnsi="仿宋" w:eastAsia="仿宋" w:cs="宋体"/>
                <w:color w:val="000000"/>
                <w:szCs w:val="21"/>
                <w:highlight w:val="none"/>
                <w:lang w:eastAsia="zh-CN"/>
              </w:rPr>
              <w:t>技术符合性</w:t>
            </w:r>
          </w:p>
        </w:tc>
        <w:tc>
          <w:tcPr>
            <w:tcW w:w="4820" w:type="dxa"/>
            <w:noWrap w:val="0"/>
            <w:tcMar>
              <w:top w:w="15" w:type="dxa"/>
              <w:left w:w="15" w:type="dxa"/>
              <w:right w:w="15" w:type="dxa"/>
            </w:tcMar>
            <w:vAlign w:val="center"/>
          </w:tcPr>
          <w:p w14:paraId="2BA6B407">
            <w:pPr>
              <w:rPr>
                <w:rStyle w:val="117"/>
                <w:rFonts w:hint="default" w:cs="宋体"/>
                <w:color w:val="000000"/>
                <w:highlight w:val="none"/>
                <w:lang w:bidi="ar"/>
              </w:rPr>
            </w:pPr>
          </w:p>
        </w:tc>
      </w:tr>
      <w:tr w14:paraId="72409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6E45077D">
            <w:pPr>
              <w:widowControl/>
              <w:jc w:val="center"/>
              <w:textAlignment w:val="center"/>
              <w:rPr>
                <w:rFonts w:hint="eastAsia" w:ascii="仿宋" w:hAnsi="仿宋" w:eastAsia="仿宋" w:cs="宋体"/>
                <w:color w:val="000000"/>
                <w:kern w:val="0"/>
                <w:szCs w:val="21"/>
                <w:highlight w:val="none"/>
                <w:lang w:eastAsia="zh-CN" w:bidi="ar"/>
              </w:rPr>
            </w:pPr>
            <w:r>
              <w:rPr>
                <w:rFonts w:hint="eastAsia" w:ascii="仿宋" w:hAnsi="仿宋" w:eastAsia="仿宋" w:cs="宋体"/>
                <w:color w:val="000000"/>
                <w:kern w:val="0"/>
                <w:szCs w:val="21"/>
                <w:highlight w:val="none"/>
                <w:lang w:val="en-US" w:eastAsia="zh-CN" w:bidi="ar"/>
              </w:rPr>
              <w:t>2</w:t>
            </w:r>
          </w:p>
        </w:tc>
        <w:tc>
          <w:tcPr>
            <w:tcW w:w="1696" w:type="dxa"/>
            <w:vMerge w:val="continue"/>
            <w:noWrap w:val="0"/>
            <w:tcMar>
              <w:top w:w="15" w:type="dxa"/>
              <w:left w:w="15" w:type="dxa"/>
              <w:right w:w="15" w:type="dxa"/>
            </w:tcMar>
            <w:vAlign w:val="center"/>
          </w:tcPr>
          <w:p w14:paraId="40541B81">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14:paraId="52A8EACF">
            <w:pPr>
              <w:widowControl/>
              <w:jc w:val="center"/>
              <w:textAlignment w:val="center"/>
              <w:rPr>
                <w:rFonts w:hint="eastAsia" w:ascii="仿宋" w:hAnsi="仿宋" w:eastAsia="仿宋" w:cs="宋体"/>
                <w:color w:val="000000"/>
                <w:szCs w:val="21"/>
                <w:highlight w:val="none"/>
                <w:lang w:eastAsia="zh-CN"/>
              </w:rPr>
            </w:pPr>
            <w:r>
              <w:rPr>
                <w:rFonts w:hint="eastAsia" w:ascii="仿宋" w:hAnsi="仿宋" w:eastAsia="仿宋" w:cs="宋体"/>
                <w:color w:val="000000"/>
                <w:szCs w:val="21"/>
                <w:highlight w:val="none"/>
                <w:lang w:eastAsia="zh-CN"/>
              </w:rPr>
              <w:t>服务部分</w:t>
            </w:r>
          </w:p>
        </w:tc>
        <w:tc>
          <w:tcPr>
            <w:tcW w:w="4820" w:type="dxa"/>
            <w:noWrap w:val="0"/>
            <w:tcMar>
              <w:top w:w="15" w:type="dxa"/>
              <w:left w:w="15" w:type="dxa"/>
              <w:right w:w="15" w:type="dxa"/>
            </w:tcMar>
            <w:vAlign w:val="center"/>
          </w:tcPr>
          <w:p w14:paraId="2059760E">
            <w:pPr>
              <w:rPr>
                <w:rStyle w:val="117"/>
                <w:rFonts w:hint="default" w:cs="宋体"/>
                <w:color w:val="000000"/>
                <w:highlight w:val="none"/>
                <w:lang w:bidi="ar"/>
              </w:rPr>
            </w:pPr>
          </w:p>
        </w:tc>
      </w:tr>
      <w:tr w14:paraId="7384E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729" w:type="dxa"/>
            <w:noWrap w:val="0"/>
            <w:tcMar>
              <w:top w:w="15" w:type="dxa"/>
              <w:left w:w="15" w:type="dxa"/>
              <w:right w:w="15" w:type="dxa"/>
            </w:tcMar>
            <w:vAlign w:val="center"/>
          </w:tcPr>
          <w:p w14:paraId="5A9F446F">
            <w:pPr>
              <w:widowControl/>
              <w:jc w:val="center"/>
              <w:textAlignment w:val="center"/>
              <w:rPr>
                <w:rFonts w:hint="eastAsia" w:ascii="仿宋" w:hAnsi="仿宋" w:eastAsia="仿宋" w:cs="宋体"/>
                <w:color w:val="000000"/>
                <w:kern w:val="0"/>
                <w:szCs w:val="21"/>
                <w:highlight w:val="none"/>
                <w:lang w:eastAsia="zh-CN" w:bidi="ar"/>
              </w:rPr>
            </w:pPr>
            <w:r>
              <w:rPr>
                <w:rFonts w:hint="eastAsia" w:ascii="仿宋" w:hAnsi="仿宋" w:eastAsia="仿宋" w:cs="宋体"/>
                <w:color w:val="000000"/>
                <w:kern w:val="0"/>
                <w:szCs w:val="21"/>
                <w:highlight w:val="none"/>
                <w:lang w:val="en-US" w:eastAsia="zh-CN" w:bidi="ar"/>
              </w:rPr>
              <w:t>3</w:t>
            </w:r>
          </w:p>
        </w:tc>
        <w:tc>
          <w:tcPr>
            <w:tcW w:w="1696" w:type="dxa"/>
            <w:vMerge w:val="continue"/>
            <w:noWrap w:val="0"/>
            <w:tcMar>
              <w:top w:w="15" w:type="dxa"/>
              <w:left w:w="15" w:type="dxa"/>
              <w:right w:w="15" w:type="dxa"/>
            </w:tcMar>
            <w:vAlign w:val="center"/>
          </w:tcPr>
          <w:p w14:paraId="5A5EDAC2">
            <w:pPr>
              <w:widowControl/>
              <w:jc w:val="center"/>
              <w:textAlignment w:val="center"/>
              <w:rPr>
                <w:rFonts w:hint="eastAsia" w:ascii="仿宋" w:hAnsi="仿宋" w:eastAsia="仿宋" w:cs="宋体"/>
                <w:color w:val="000000"/>
                <w:szCs w:val="21"/>
                <w:highlight w:val="none"/>
              </w:rPr>
            </w:pPr>
          </w:p>
        </w:tc>
        <w:tc>
          <w:tcPr>
            <w:tcW w:w="2268" w:type="dxa"/>
            <w:noWrap w:val="0"/>
            <w:vAlign w:val="center"/>
          </w:tcPr>
          <w:p w14:paraId="4AD69C83">
            <w:pPr>
              <w:widowControl/>
              <w:jc w:val="center"/>
              <w:textAlignment w:val="center"/>
              <w:rPr>
                <w:rFonts w:hint="eastAsia" w:ascii="仿宋" w:hAnsi="仿宋" w:eastAsia="仿宋" w:cs="宋体"/>
                <w:color w:val="000000"/>
                <w:szCs w:val="21"/>
                <w:highlight w:val="none"/>
                <w:lang w:eastAsia="zh-CN"/>
              </w:rPr>
            </w:pPr>
            <w:r>
              <w:rPr>
                <w:rFonts w:hint="eastAsia" w:ascii="仿宋" w:hAnsi="仿宋" w:eastAsia="仿宋" w:cs="宋体"/>
                <w:color w:val="000000"/>
                <w:szCs w:val="21"/>
                <w:highlight w:val="none"/>
                <w:lang w:eastAsia="zh-CN"/>
              </w:rPr>
              <w:t>安全责任</w:t>
            </w:r>
          </w:p>
        </w:tc>
        <w:tc>
          <w:tcPr>
            <w:tcW w:w="4820" w:type="dxa"/>
            <w:noWrap w:val="0"/>
            <w:tcMar>
              <w:top w:w="15" w:type="dxa"/>
              <w:left w:w="15" w:type="dxa"/>
              <w:right w:w="15" w:type="dxa"/>
            </w:tcMar>
            <w:vAlign w:val="center"/>
          </w:tcPr>
          <w:p w14:paraId="42738347">
            <w:pPr>
              <w:rPr>
                <w:rStyle w:val="117"/>
                <w:rFonts w:hint="default" w:cs="宋体"/>
                <w:color w:val="000000"/>
                <w:highlight w:val="none"/>
                <w:lang w:bidi="ar"/>
              </w:rPr>
            </w:pPr>
          </w:p>
        </w:tc>
      </w:tr>
    </w:tbl>
    <w:p w14:paraId="2DC8C479">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r>
    </w:p>
    <w:p w14:paraId="7CD064D3">
      <w:pPr>
        <w:pStyle w:val="5"/>
        <w:numPr>
          <w:ilvl w:val="0"/>
          <w:numId w:val="0"/>
        </w:numPr>
        <w:spacing w:before="0" w:after="0" w:line="360" w:lineRule="auto"/>
        <w:rPr>
          <w:rFonts w:hint="eastAsia" w:ascii="仿宋" w:hAnsi="仿宋" w:eastAsia="仿宋" w:cs="仿宋"/>
          <w:color w:val="000000"/>
          <w:sz w:val="24"/>
          <w:szCs w:val="24"/>
          <w:highlight w:val="none"/>
        </w:rPr>
      </w:pPr>
      <w:bookmarkStart w:id="217" w:name="_Toc17302"/>
      <w:r>
        <w:rPr>
          <w:rFonts w:hint="eastAsia" w:ascii="仿宋" w:hAnsi="仿宋" w:eastAsia="仿宋" w:cs="仿宋"/>
          <w:color w:val="000000"/>
          <w:sz w:val="24"/>
          <w:szCs w:val="24"/>
          <w:highlight w:val="none"/>
        </w:rPr>
        <w:t>（一）采购需求应答偏离表</w:t>
      </w:r>
      <w:bookmarkEnd w:id="216"/>
      <w:bookmarkEnd w:id="217"/>
    </w:p>
    <w:p w14:paraId="1C645E28">
      <w:pPr>
        <w:spacing w:line="360" w:lineRule="auto"/>
        <w:jc w:val="center"/>
        <w:rPr>
          <w:rFonts w:hint="eastAsia" w:ascii="仿宋" w:hAnsi="仿宋" w:eastAsia="仿宋" w:cs="仿宋"/>
          <w:b/>
          <w:bCs/>
          <w:color w:val="000000"/>
          <w:sz w:val="24"/>
          <w:highlight w:val="none"/>
        </w:rPr>
      </w:pPr>
      <w:bookmarkStart w:id="218" w:name="_Toc293297544"/>
      <w:bookmarkStart w:id="219" w:name="_Toc125561188"/>
      <w:bookmarkStart w:id="220" w:name="_Toc125771198"/>
      <w:r>
        <w:rPr>
          <w:rFonts w:hint="eastAsia" w:ascii="仿宋" w:hAnsi="仿宋" w:eastAsia="仿宋" w:cs="仿宋"/>
          <w:b/>
          <w:bCs/>
          <w:color w:val="000000"/>
          <w:sz w:val="24"/>
          <w:highlight w:val="none"/>
        </w:rPr>
        <w:t>采购需求应答偏离表</w:t>
      </w:r>
      <w:bookmarkEnd w:id="218"/>
      <w:bookmarkEnd w:id="219"/>
      <w:bookmarkEnd w:id="220"/>
    </w:p>
    <w:p w14:paraId="6F2FC3A2">
      <w:pPr>
        <w:spacing w:line="360" w:lineRule="auto"/>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p>
    <w:tbl>
      <w:tblPr>
        <w:tblStyle w:val="4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14:paraId="0EDDDAA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noWrap w:val="0"/>
            <w:vAlign w:val="center"/>
          </w:tcPr>
          <w:p w14:paraId="3D0A2A17">
            <w:pPr>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序号</w:t>
            </w:r>
          </w:p>
        </w:tc>
        <w:tc>
          <w:tcPr>
            <w:tcW w:w="1154" w:type="pct"/>
            <w:tcBorders>
              <w:top w:val="double" w:color="auto" w:sz="4" w:space="0"/>
              <w:left w:val="single" w:color="auto" w:sz="4" w:space="0"/>
              <w:bottom w:val="single" w:color="auto" w:sz="4" w:space="0"/>
              <w:right w:val="single" w:color="auto" w:sz="4" w:space="0"/>
            </w:tcBorders>
            <w:noWrap w:val="0"/>
            <w:vAlign w:val="center"/>
          </w:tcPr>
          <w:p w14:paraId="621437C6">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技术偏离类型(正负偏离)</w:t>
            </w:r>
          </w:p>
        </w:tc>
        <w:tc>
          <w:tcPr>
            <w:tcW w:w="1254" w:type="pct"/>
            <w:tcBorders>
              <w:top w:val="double" w:color="auto" w:sz="4" w:space="0"/>
              <w:left w:val="single" w:color="auto" w:sz="4" w:space="0"/>
              <w:bottom w:val="single" w:color="auto" w:sz="4" w:space="0"/>
              <w:right w:val="single" w:color="auto" w:sz="4" w:space="0"/>
            </w:tcBorders>
            <w:noWrap w:val="0"/>
            <w:vAlign w:val="center"/>
          </w:tcPr>
          <w:p w14:paraId="45B7A6D9">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noWrap w:val="0"/>
            <w:vAlign w:val="center"/>
          </w:tcPr>
          <w:p w14:paraId="794CF54E">
            <w:pPr>
              <w:spacing w:line="312" w:lineRule="auto"/>
              <w:jc w:val="center"/>
              <w:rPr>
                <w:rFonts w:hint="eastAsia" w:ascii="仿宋" w:hAnsi="仿宋" w:eastAsia="仿宋" w:cs="仿宋"/>
                <w:b/>
                <w:bCs/>
                <w:color w:val="000000"/>
                <w:sz w:val="24"/>
                <w:highlight w:val="none"/>
              </w:rPr>
            </w:pPr>
            <w:r>
              <w:rPr>
                <w:rFonts w:hint="eastAsia" w:ascii="仿宋" w:hAnsi="仿宋" w:eastAsia="仿宋" w:cs="仿宋"/>
                <w:b/>
                <w:bCs/>
                <w:color w:val="000000"/>
                <w:highlight w:val="none"/>
              </w:rPr>
              <w:t>技术偏离的主要内容说明</w:t>
            </w:r>
          </w:p>
        </w:tc>
        <w:tc>
          <w:tcPr>
            <w:tcW w:w="728" w:type="pct"/>
            <w:tcBorders>
              <w:top w:val="double" w:color="auto" w:sz="4" w:space="0"/>
              <w:left w:val="single" w:color="auto" w:sz="4" w:space="0"/>
              <w:bottom w:val="single" w:color="auto" w:sz="4" w:space="0"/>
              <w:right w:val="double" w:color="auto" w:sz="4" w:space="0"/>
            </w:tcBorders>
            <w:noWrap w:val="0"/>
            <w:vAlign w:val="center"/>
          </w:tcPr>
          <w:p w14:paraId="0A19C560">
            <w:pPr>
              <w:spacing w:line="360" w:lineRule="auto"/>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备注</w:t>
            </w:r>
          </w:p>
        </w:tc>
      </w:tr>
      <w:tr w14:paraId="51E98D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7A6EBEDE">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7760FC05">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负偏离(不满足)</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5734D4F2">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37886089">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3BEDABA1">
            <w:pPr>
              <w:spacing w:line="360" w:lineRule="auto"/>
              <w:rPr>
                <w:rFonts w:hint="eastAsia" w:ascii="仿宋" w:hAnsi="仿宋" w:eastAsia="仿宋" w:cs="仿宋"/>
                <w:color w:val="000000"/>
                <w:szCs w:val="21"/>
                <w:highlight w:val="none"/>
              </w:rPr>
            </w:pPr>
          </w:p>
        </w:tc>
      </w:tr>
      <w:tr w14:paraId="21296D8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639287F4">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29B8A113">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61DC5A29">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23ADD41C">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074D40C1">
            <w:pPr>
              <w:spacing w:line="360" w:lineRule="auto"/>
              <w:rPr>
                <w:rFonts w:hint="eastAsia" w:ascii="仿宋" w:hAnsi="仿宋" w:eastAsia="仿宋" w:cs="仿宋"/>
                <w:color w:val="000000"/>
                <w:szCs w:val="21"/>
                <w:highlight w:val="none"/>
              </w:rPr>
            </w:pPr>
          </w:p>
        </w:tc>
      </w:tr>
      <w:tr w14:paraId="01A303E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4C6C2443">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5F339641">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3E6A9652">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3982084D">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4004BF1C">
            <w:pPr>
              <w:spacing w:line="360" w:lineRule="auto"/>
              <w:rPr>
                <w:rFonts w:hint="eastAsia" w:ascii="仿宋" w:hAnsi="仿宋" w:eastAsia="仿宋" w:cs="仿宋"/>
                <w:color w:val="000000"/>
                <w:szCs w:val="21"/>
                <w:highlight w:val="none"/>
              </w:rPr>
            </w:pPr>
          </w:p>
        </w:tc>
      </w:tr>
      <w:tr w14:paraId="67CB4A1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66C9A396">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3EF525FF">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54BB77B8">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62F70847">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4FDEFEDC">
            <w:pPr>
              <w:spacing w:line="360" w:lineRule="auto"/>
              <w:rPr>
                <w:rFonts w:hint="eastAsia" w:ascii="仿宋" w:hAnsi="仿宋" w:eastAsia="仿宋" w:cs="仿宋"/>
                <w:color w:val="000000"/>
                <w:szCs w:val="21"/>
                <w:highlight w:val="none"/>
              </w:rPr>
            </w:pPr>
          </w:p>
        </w:tc>
      </w:tr>
      <w:tr w14:paraId="45B5FD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135F38D8">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7774543C">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01FEE298">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27EE9D01">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783DF167">
            <w:pPr>
              <w:spacing w:line="360" w:lineRule="auto"/>
              <w:rPr>
                <w:rFonts w:hint="eastAsia" w:ascii="仿宋" w:hAnsi="仿宋" w:eastAsia="仿宋" w:cs="仿宋"/>
                <w:color w:val="000000"/>
                <w:szCs w:val="21"/>
                <w:highlight w:val="none"/>
              </w:rPr>
            </w:pPr>
          </w:p>
        </w:tc>
      </w:tr>
      <w:tr w14:paraId="52E6478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6FABF583">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14:paraId="5D1E2BD3">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46FF8AE2">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400F2D46">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35117256">
            <w:pPr>
              <w:spacing w:line="360" w:lineRule="auto"/>
              <w:rPr>
                <w:rFonts w:hint="eastAsia" w:ascii="仿宋" w:hAnsi="仿宋" w:eastAsia="仿宋" w:cs="仿宋"/>
                <w:color w:val="000000"/>
                <w:szCs w:val="21"/>
                <w:highlight w:val="none"/>
              </w:rPr>
            </w:pPr>
          </w:p>
        </w:tc>
      </w:tr>
      <w:tr w14:paraId="46315F5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6A16B78A">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26459373">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正偏离(优于)</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63D45BB5">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595762B3">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7FFB2112">
            <w:pPr>
              <w:spacing w:line="360" w:lineRule="auto"/>
              <w:rPr>
                <w:rFonts w:hint="eastAsia" w:ascii="仿宋" w:hAnsi="仿宋" w:eastAsia="仿宋" w:cs="仿宋"/>
                <w:color w:val="000000"/>
                <w:szCs w:val="21"/>
                <w:highlight w:val="none"/>
              </w:rPr>
            </w:pPr>
          </w:p>
        </w:tc>
      </w:tr>
      <w:tr w14:paraId="143E0B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09C146EA">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24CDD3C3">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05E90AAC">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2E4C29D6">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40966E13">
            <w:pPr>
              <w:spacing w:line="360" w:lineRule="auto"/>
              <w:rPr>
                <w:rFonts w:hint="eastAsia" w:ascii="仿宋" w:hAnsi="仿宋" w:eastAsia="仿宋" w:cs="仿宋"/>
                <w:color w:val="000000"/>
                <w:szCs w:val="21"/>
                <w:highlight w:val="none"/>
              </w:rPr>
            </w:pPr>
          </w:p>
        </w:tc>
      </w:tr>
      <w:tr w14:paraId="67313BF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5B1487D6">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45816724">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373C87F5">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67339BE8">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618B8DBD">
            <w:pPr>
              <w:spacing w:line="360" w:lineRule="auto"/>
              <w:rPr>
                <w:rFonts w:hint="eastAsia" w:ascii="仿宋" w:hAnsi="仿宋" w:eastAsia="仿宋" w:cs="仿宋"/>
                <w:color w:val="000000"/>
                <w:szCs w:val="21"/>
                <w:highlight w:val="none"/>
              </w:rPr>
            </w:pPr>
          </w:p>
        </w:tc>
      </w:tr>
      <w:tr w14:paraId="003BA2D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15D2E46E">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28B1EFC7">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5BAA4F9D">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64FAFF74">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29EB7A31">
            <w:pPr>
              <w:spacing w:line="360" w:lineRule="auto"/>
              <w:rPr>
                <w:rFonts w:hint="eastAsia" w:ascii="仿宋" w:hAnsi="仿宋" w:eastAsia="仿宋" w:cs="仿宋"/>
                <w:color w:val="000000"/>
                <w:szCs w:val="21"/>
                <w:highlight w:val="none"/>
              </w:rPr>
            </w:pPr>
          </w:p>
        </w:tc>
      </w:tr>
      <w:tr w14:paraId="2B0F98C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724C25BE">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14:paraId="1166FEEA">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14:paraId="2D76552D">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4972F414">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54352D16">
            <w:pPr>
              <w:spacing w:line="360" w:lineRule="auto"/>
              <w:rPr>
                <w:rFonts w:hint="eastAsia" w:ascii="仿宋" w:hAnsi="仿宋" w:eastAsia="仿宋" w:cs="仿宋"/>
                <w:color w:val="000000"/>
                <w:szCs w:val="21"/>
                <w:highlight w:val="none"/>
              </w:rPr>
            </w:pPr>
          </w:p>
        </w:tc>
      </w:tr>
      <w:tr w14:paraId="0E0720D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7FFB3C7F">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02C1732B">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31B8FAEF">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46ED7316">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4223F903">
            <w:pPr>
              <w:spacing w:line="360" w:lineRule="auto"/>
              <w:rPr>
                <w:rFonts w:hint="eastAsia" w:ascii="仿宋" w:hAnsi="仿宋" w:eastAsia="仿宋" w:cs="仿宋"/>
                <w:color w:val="000000"/>
                <w:szCs w:val="21"/>
                <w:highlight w:val="none"/>
              </w:rPr>
            </w:pPr>
          </w:p>
        </w:tc>
      </w:tr>
      <w:tr w14:paraId="6C2C8D0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14:paraId="16161862">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single" w:color="auto" w:sz="4" w:space="0"/>
              <w:right w:val="single" w:color="auto" w:sz="4" w:space="0"/>
            </w:tcBorders>
            <w:noWrap w:val="0"/>
            <w:vAlign w:val="top"/>
          </w:tcPr>
          <w:p w14:paraId="0A722B27">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single" w:color="auto" w:sz="4" w:space="0"/>
              <w:right w:val="single" w:color="auto" w:sz="4" w:space="0"/>
            </w:tcBorders>
            <w:noWrap w:val="0"/>
            <w:vAlign w:val="top"/>
          </w:tcPr>
          <w:p w14:paraId="6C04E7FC">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single" w:color="auto" w:sz="4" w:space="0"/>
              <w:right w:val="single" w:color="auto" w:sz="4" w:space="0"/>
            </w:tcBorders>
            <w:noWrap w:val="0"/>
            <w:vAlign w:val="top"/>
          </w:tcPr>
          <w:p w14:paraId="36359341">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single" w:color="auto" w:sz="4" w:space="0"/>
              <w:right w:val="double" w:color="auto" w:sz="4" w:space="0"/>
            </w:tcBorders>
            <w:noWrap w:val="0"/>
            <w:vAlign w:val="top"/>
          </w:tcPr>
          <w:p w14:paraId="46A69202">
            <w:pPr>
              <w:spacing w:line="360" w:lineRule="auto"/>
              <w:rPr>
                <w:rFonts w:hint="eastAsia" w:ascii="仿宋" w:hAnsi="仿宋" w:eastAsia="仿宋" w:cs="仿宋"/>
                <w:color w:val="000000"/>
                <w:szCs w:val="21"/>
                <w:highlight w:val="none"/>
              </w:rPr>
            </w:pPr>
          </w:p>
        </w:tc>
      </w:tr>
      <w:tr w14:paraId="625519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noWrap w:val="0"/>
            <w:vAlign w:val="top"/>
          </w:tcPr>
          <w:p w14:paraId="2205C6BA">
            <w:pPr>
              <w:spacing w:line="360" w:lineRule="auto"/>
              <w:rPr>
                <w:rFonts w:hint="eastAsia" w:ascii="仿宋" w:hAnsi="仿宋" w:eastAsia="仿宋" w:cs="仿宋"/>
                <w:color w:val="000000"/>
                <w:szCs w:val="21"/>
                <w:highlight w:val="none"/>
              </w:rPr>
            </w:pPr>
          </w:p>
        </w:tc>
        <w:tc>
          <w:tcPr>
            <w:tcW w:w="1154" w:type="pct"/>
            <w:tcBorders>
              <w:top w:val="single" w:color="auto" w:sz="4" w:space="0"/>
              <w:left w:val="single" w:color="auto" w:sz="4" w:space="0"/>
              <w:bottom w:val="double" w:color="auto" w:sz="4" w:space="0"/>
              <w:right w:val="single" w:color="auto" w:sz="4" w:space="0"/>
            </w:tcBorders>
            <w:noWrap w:val="0"/>
            <w:vAlign w:val="top"/>
          </w:tcPr>
          <w:p w14:paraId="3A489EEA">
            <w:pPr>
              <w:spacing w:line="360" w:lineRule="auto"/>
              <w:rPr>
                <w:rFonts w:hint="eastAsia" w:ascii="仿宋" w:hAnsi="仿宋" w:eastAsia="仿宋" w:cs="仿宋"/>
                <w:color w:val="000000"/>
                <w:szCs w:val="21"/>
                <w:highlight w:val="none"/>
              </w:rPr>
            </w:pPr>
          </w:p>
        </w:tc>
        <w:tc>
          <w:tcPr>
            <w:tcW w:w="1254" w:type="pct"/>
            <w:tcBorders>
              <w:top w:val="single" w:color="auto" w:sz="4" w:space="0"/>
              <w:left w:val="single" w:color="auto" w:sz="4" w:space="0"/>
              <w:bottom w:val="double" w:color="auto" w:sz="4" w:space="0"/>
              <w:right w:val="single" w:color="auto" w:sz="4" w:space="0"/>
            </w:tcBorders>
            <w:noWrap w:val="0"/>
            <w:vAlign w:val="top"/>
          </w:tcPr>
          <w:p w14:paraId="621C730D">
            <w:pPr>
              <w:spacing w:line="360" w:lineRule="auto"/>
              <w:rPr>
                <w:rFonts w:hint="eastAsia" w:ascii="仿宋" w:hAnsi="仿宋" w:eastAsia="仿宋" w:cs="仿宋"/>
                <w:color w:val="000000"/>
                <w:szCs w:val="21"/>
                <w:highlight w:val="none"/>
              </w:rPr>
            </w:pPr>
          </w:p>
        </w:tc>
        <w:tc>
          <w:tcPr>
            <w:tcW w:w="1355" w:type="pct"/>
            <w:tcBorders>
              <w:top w:val="single" w:color="auto" w:sz="4" w:space="0"/>
              <w:left w:val="single" w:color="auto" w:sz="4" w:space="0"/>
              <w:bottom w:val="double" w:color="auto" w:sz="4" w:space="0"/>
              <w:right w:val="single" w:color="auto" w:sz="4" w:space="0"/>
            </w:tcBorders>
            <w:noWrap w:val="0"/>
            <w:vAlign w:val="top"/>
          </w:tcPr>
          <w:p w14:paraId="4A2F02FD">
            <w:pPr>
              <w:spacing w:line="360" w:lineRule="auto"/>
              <w:rPr>
                <w:rFonts w:hint="eastAsia" w:ascii="仿宋" w:hAnsi="仿宋" w:eastAsia="仿宋" w:cs="仿宋"/>
                <w:color w:val="000000"/>
                <w:szCs w:val="21"/>
                <w:highlight w:val="none"/>
              </w:rPr>
            </w:pPr>
          </w:p>
        </w:tc>
        <w:tc>
          <w:tcPr>
            <w:tcW w:w="728" w:type="pct"/>
            <w:tcBorders>
              <w:top w:val="single" w:color="auto" w:sz="4" w:space="0"/>
              <w:left w:val="single" w:color="auto" w:sz="4" w:space="0"/>
              <w:bottom w:val="double" w:color="auto" w:sz="4" w:space="0"/>
              <w:right w:val="double" w:color="auto" w:sz="4" w:space="0"/>
            </w:tcBorders>
            <w:noWrap w:val="0"/>
            <w:vAlign w:val="top"/>
          </w:tcPr>
          <w:p w14:paraId="34D8CEEF">
            <w:pPr>
              <w:spacing w:line="360" w:lineRule="auto"/>
              <w:rPr>
                <w:rFonts w:hint="eastAsia" w:ascii="仿宋" w:hAnsi="仿宋" w:eastAsia="仿宋" w:cs="仿宋"/>
                <w:color w:val="000000"/>
                <w:szCs w:val="21"/>
                <w:highlight w:val="none"/>
              </w:rPr>
            </w:pPr>
          </w:p>
        </w:tc>
      </w:tr>
    </w:tbl>
    <w:p w14:paraId="234B970F">
      <w:pPr>
        <w:spacing w:before="240" w:line="360" w:lineRule="auto"/>
        <w:rPr>
          <w:rFonts w:hint="eastAsia" w:ascii="仿宋" w:hAnsi="仿宋" w:eastAsia="仿宋" w:cs="Cambria Math"/>
          <w:color w:val="000000"/>
          <w:sz w:val="24"/>
          <w:highlight w:val="none"/>
        </w:rPr>
      </w:pPr>
      <w:r>
        <w:rPr>
          <w:rFonts w:hint="eastAsia" w:ascii="仿宋" w:hAnsi="仿宋" w:eastAsia="仿宋" w:cs="仿宋"/>
          <w:color w:val="000000"/>
          <w:sz w:val="24"/>
          <w:highlight w:val="none"/>
        </w:rPr>
        <w:t>注：</w:t>
      </w:r>
      <w:r>
        <w:rPr>
          <w:rFonts w:hint="eastAsia" w:ascii="仿宋" w:hAnsi="仿宋" w:eastAsia="仿宋" w:cs="Cambria Math"/>
          <w:color w:val="000000"/>
          <w:sz w:val="24"/>
          <w:highlight w:val="none"/>
        </w:rPr>
        <w:t>对于未列出的偏离内容视同供应商已完全接受竞争性磋商文件的要求，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14:paraId="5410D1D1">
      <w:pPr>
        <w:spacing w:line="360" w:lineRule="auto"/>
        <w:ind w:left="480" w:hanging="480" w:hangingChars="200"/>
        <w:rPr>
          <w:rFonts w:hint="eastAsia" w:ascii="仿宋" w:hAnsi="仿宋" w:eastAsia="仿宋" w:cs="仿宋"/>
          <w:color w:val="000000"/>
          <w:sz w:val="24"/>
          <w:highlight w:val="none"/>
        </w:rPr>
      </w:pPr>
    </w:p>
    <w:p w14:paraId="09CB5BB8">
      <w:pPr>
        <w:spacing w:line="440" w:lineRule="exact"/>
        <w:ind w:firstLine="4080" w:firstLineChars="1700"/>
        <w:jc w:val="right"/>
        <w:rPr>
          <w:rFonts w:hint="eastAsia" w:ascii="仿宋" w:hAnsi="仿宋" w:eastAsia="仿宋" w:cs="仿宋"/>
          <w:color w:val="000000"/>
          <w:sz w:val="24"/>
          <w:highlight w:val="none"/>
        </w:rPr>
      </w:pPr>
    </w:p>
    <w:p w14:paraId="58D6E0EE">
      <w:pPr>
        <w:spacing w:line="440" w:lineRule="exact"/>
        <w:ind w:firstLine="4080" w:firstLineChars="1700"/>
        <w:jc w:val="right"/>
        <w:rPr>
          <w:rFonts w:hint="eastAsia" w:ascii="仿宋" w:hAnsi="仿宋" w:eastAsia="仿宋" w:cs="仿宋"/>
          <w:color w:val="000000"/>
          <w:sz w:val="24"/>
          <w:highlight w:val="non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（盖章）</w:t>
      </w:r>
    </w:p>
    <w:p w14:paraId="67C3BF1C">
      <w:pPr>
        <w:spacing w:line="440" w:lineRule="exact"/>
        <w:jc w:val="right"/>
        <w:rPr>
          <w:rFonts w:hint="eastAsia" w:ascii="仿宋" w:hAnsi="仿宋" w:eastAsia="仿宋" w:cs="仿宋"/>
          <w:b/>
          <w:bCs/>
          <w:color w:val="000000"/>
          <w:sz w:val="24"/>
          <w:highlight w:val="none"/>
        </w:rPr>
      </w:pPr>
      <w:r>
        <w:rPr>
          <w:rFonts w:hint="eastAsia" w:ascii="仿宋" w:hAnsi="仿宋" w:eastAsia="仿宋" w:cs="仿宋"/>
          <w:color w:val="000000"/>
          <w:sz w:val="24"/>
          <w:highlight w:val="none"/>
        </w:rPr>
        <w:t>日期：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年</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月</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日</w:t>
      </w:r>
    </w:p>
    <w:p w14:paraId="5210B5E0">
      <w:pPr>
        <w:spacing w:line="360" w:lineRule="auto"/>
        <w:rPr>
          <w:rFonts w:hint="eastAsia" w:ascii="仿宋" w:hAnsi="仿宋" w:eastAsia="仿宋" w:cs="仿宋"/>
          <w:color w:val="000000"/>
          <w:sz w:val="24"/>
          <w:highlight w:val="none"/>
        </w:rPr>
      </w:pPr>
    </w:p>
    <w:p w14:paraId="20E048C8">
      <w:pPr>
        <w:pStyle w:val="5"/>
        <w:numPr>
          <w:ilvl w:val="0"/>
          <w:numId w:val="0"/>
        </w:numPr>
        <w:spacing w:before="0" w:after="0" w:line="360" w:lineRule="auto"/>
        <w:ind w:left="1152" w:hanging="1152"/>
        <w:rPr>
          <w:rFonts w:hint="eastAsia" w:ascii="仿宋" w:hAnsi="仿宋" w:eastAsia="仿宋" w:cs="仿宋"/>
          <w:color w:val="000000"/>
          <w:sz w:val="24"/>
          <w:szCs w:val="24"/>
          <w:highlight w:val="none"/>
        </w:rPr>
      </w:pPr>
      <w:r>
        <w:rPr>
          <w:rFonts w:hint="eastAsia" w:ascii="仿宋" w:hAnsi="仿宋" w:eastAsia="仿宋" w:cs="仿宋"/>
          <w:color w:val="000000"/>
          <w:highlight w:val="none"/>
        </w:rPr>
        <w:br w:type="page"/>
      </w:r>
      <w:bookmarkStart w:id="221" w:name="_Toc8284"/>
      <w:r>
        <w:rPr>
          <w:rFonts w:hint="eastAsia" w:ascii="仿宋" w:hAnsi="仿宋" w:eastAsia="仿宋" w:cs="仿宋"/>
          <w:color w:val="000000"/>
          <w:sz w:val="24"/>
          <w:szCs w:val="24"/>
          <w:highlight w:val="none"/>
        </w:rPr>
        <w:t>（二）技术方案</w:t>
      </w:r>
      <w:bookmarkEnd w:id="221"/>
    </w:p>
    <w:p w14:paraId="0B3F0D5D">
      <w:pPr>
        <w:spacing w:line="360" w:lineRule="auto"/>
        <w:ind w:firstLine="480" w:firstLineChars="200"/>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供应商应根据采购需求的要求，提供相应的文件内容以及证明材料。 </w:t>
      </w:r>
      <w:bookmarkEnd w:id="186"/>
      <w:bookmarkEnd w:id="187"/>
      <w:bookmarkEnd w:id="188"/>
      <w:bookmarkEnd w:id="189"/>
      <w:bookmarkEnd w:id="190"/>
      <w:bookmarkEnd w:id="191"/>
      <w:bookmarkStart w:id="222" w:name="_Toc517281860"/>
      <w:bookmarkStart w:id="223" w:name="_Toc444891358"/>
      <w:r>
        <w:rPr>
          <w:rFonts w:hint="eastAsia" w:ascii="仿宋" w:hAnsi="仿宋" w:eastAsia="仿宋" w:cs="仿宋"/>
          <w:color w:val="000000"/>
          <w:sz w:val="24"/>
          <w:highlight w:val="none"/>
        </w:rPr>
        <w:br w:type="page"/>
      </w:r>
    </w:p>
    <w:p w14:paraId="5689E7E0">
      <w:pPr>
        <w:pStyle w:val="5"/>
        <w:numPr>
          <w:ilvl w:val="0"/>
          <w:numId w:val="6"/>
        </w:numPr>
        <w:spacing w:before="0" w:after="0" w:line="360" w:lineRule="auto"/>
        <w:ind w:left="1152" w:hanging="1152"/>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安全责任承诺函</w:t>
      </w:r>
    </w:p>
    <w:p w14:paraId="38DC1971">
      <w:pPr>
        <w:numPr>
          <w:ilvl w:val="0"/>
          <w:numId w:val="0"/>
        </w:numPr>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供应商应根据采购需求的要求，提供相应</w:t>
      </w:r>
      <w:r>
        <w:rPr>
          <w:rFonts w:hint="eastAsia" w:ascii="仿宋" w:hAnsi="仿宋" w:eastAsia="仿宋" w:cs="仿宋"/>
          <w:color w:val="000000"/>
          <w:sz w:val="24"/>
          <w:highlight w:val="none"/>
          <w:lang w:eastAsia="zh-CN"/>
        </w:rPr>
        <w:t>承诺函并加盖公章（格式自拟）</w:t>
      </w:r>
    </w:p>
    <w:p w14:paraId="1A578F0F">
      <w:pPr>
        <w:numPr>
          <w:ilvl w:val="0"/>
          <w:numId w:val="0"/>
        </w:numPr>
        <w:rPr>
          <w:rFonts w:hint="eastAsia" w:ascii="仿宋" w:hAnsi="仿宋" w:eastAsia="仿宋" w:cs="仿宋"/>
          <w:color w:val="000000"/>
          <w:sz w:val="24"/>
          <w:highlight w:val="none"/>
          <w:lang w:eastAsia="zh-CN"/>
        </w:rPr>
      </w:pPr>
    </w:p>
    <w:p w14:paraId="6665D019">
      <w:pPr>
        <w:numPr>
          <w:ilvl w:val="0"/>
          <w:numId w:val="0"/>
        </w:numPr>
        <w:rPr>
          <w:rFonts w:hint="eastAsia" w:ascii="仿宋" w:hAnsi="仿宋" w:eastAsia="仿宋" w:cs="仿宋"/>
          <w:color w:val="000000"/>
          <w:sz w:val="24"/>
          <w:highlight w:val="none"/>
          <w:lang w:eastAsia="zh-CN"/>
        </w:rPr>
      </w:pPr>
    </w:p>
    <w:p w14:paraId="6429CA6A">
      <w:pPr>
        <w:numPr>
          <w:ilvl w:val="0"/>
          <w:numId w:val="0"/>
        </w:numPr>
        <w:rPr>
          <w:rFonts w:hint="eastAsia" w:ascii="仿宋" w:hAnsi="仿宋" w:eastAsia="仿宋" w:cs="仿宋"/>
          <w:color w:val="000000"/>
          <w:sz w:val="24"/>
          <w:highlight w:val="none"/>
          <w:lang w:eastAsia="zh-CN"/>
        </w:rPr>
      </w:pPr>
    </w:p>
    <w:p w14:paraId="7EC719F2">
      <w:pPr>
        <w:numPr>
          <w:ilvl w:val="0"/>
          <w:numId w:val="0"/>
        </w:numPr>
        <w:rPr>
          <w:rFonts w:hint="eastAsia" w:ascii="仿宋" w:hAnsi="仿宋" w:eastAsia="仿宋" w:cs="仿宋"/>
          <w:color w:val="000000"/>
          <w:sz w:val="24"/>
          <w:highlight w:val="none"/>
          <w:lang w:eastAsia="zh-CN"/>
        </w:rPr>
      </w:pPr>
    </w:p>
    <w:p w14:paraId="7C01E23F">
      <w:pPr>
        <w:numPr>
          <w:ilvl w:val="0"/>
          <w:numId w:val="0"/>
        </w:numPr>
        <w:rPr>
          <w:rFonts w:hint="eastAsia" w:ascii="仿宋" w:hAnsi="仿宋" w:eastAsia="仿宋" w:cs="仿宋"/>
          <w:color w:val="000000"/>
          <w:sz w:val="24"/>
          <w:highlight w:val="none"/>
          <w:lang w:eastAsia="zh-CN"/>
        </w:rPr>
      </w:pPr>
    </w:p>
    <w:p w14:paraId="59B692C2">
      <w:pPr>
        <w:numPr>
          <w:ilvl w:val="0"/>
          <w:numId w:val="0"/>
        </w:numPr>
        <w:rPr>
          <w:rFonts w:hint="eastAsia" w:ascii="仿宋" w:hAnsi="仿宋" w:eastAsia="仿宋" w:cs="仿宋"/>
          <w:color w:val="000000"/>
          <w:sz w:val="24"/>
          <w:highlight w:val="none"/>
          <w:lang w:eastAsia="zh-CN"/>
        </w:rPr>
      </w:pPr>
    </w:p>
    <w:p w14:paraId="69F264AE">
      <w:pPr>
        <w:numPr>
          <w:ilvl w:val="0"/>
          <w:numId w:val="0"/>
        </w:numPr>
        <w:rPr>
          <w:rFonts w:hint="eastAsia" w:ascii="仿宋" w:hAnsi="仿宋" w:eastAsia="仿宋" w:cs="仿宋"/>
          <w:color w:val="000000"/>
          <w:sz w:val="24"/>
          <w:highlight w:val="none"/>
          <w:lang w:eastAsia="zh-CN"/>
        </w:rPr>
      </w:pPr>
    </w:p>
    <w:p w14:paraId="1ED24C31">
      <w:pPr>
        <w:numPr>
          <w:ilvl w:val="0"/>
          <w:numId w:val="0"/>
        </w:numPr>
        <w:rPr>
          <w:rFonts w:hint="eastAsia" w:ascii="仿宋" w:hAnsi="仿宋" w:eastAsia="仿宋" w:cs="仿宋"/>
          <w:color w:val="000000"/>
          <w:sz w:val="24"/>
          <w:highlight w:val="none"/>
          <w:lang w:eastAsia="zh-CN"/>
        </w:rPr>
      </w:pPr>
    </w:p>
    <w:p w14:paraId="5D6CD8AD">
      <w:pPr>
        <w:numPr>
          <w:ilvl w:val="0"/>
          <w:numId w:val="0"/>
        </w:numPr>
        <w:rPr>
          <w:rFonts w:hint="eastAsia" w:ascii="仿宋" w:hAnsi="仿宋" w:eastAsia="仿宋" w:cs="仿宋"/>
          <w:color w:val="000000"/>
          <w:sz w:val="24"/>
          <w:highlight w:val="none"/>
          <w:lang w:eastAsia="zh-CN"/>
        </w:rPr>
      </w:pPr>
    </w:p>
    <w:p w14:paraId="0A65C8FB">
      <w:pPr>
        <w:numPr>
          <w:ilvl w:val="0"/>
          <w:numId w:val="0"/>
        </w:numPr>
        <w:rPr>
          <w:rFonts w:hint="eastAsia" w:ascii="仿宋" w:hAnsi="仿宋" w:eastAsia="仿宋" w:cs="仿宋"/>
          <w:color w:val="000000"/>
          <w:sz w:val="24"/>
          <w:highlight w:val="none"/>
          <w:lang w:eastAsia="zh-CN"/>
        </w:rPr>
      </w:pPr>
    </w:p>
    <w:p w14:paraId="01A11124">
      <w:pPr>
        <w:numPr>
          <w:ilvl w:val="0"/>
          <w:numId w:val="0"/>
        </w:numPr>
        <w:rPr>
          <w:rFonts w:hint="eastAsia" w:ascii="仿宋" w:hAnsi="仿宋" w:eastAsia="仿宋" w:cs="仿宋"/>
          <w:color w:val="000000"/>
          <w:sz w:val="24"/>
          <w:highlight w:val="none"/>
          <w:lang w:eastAsia="zh-CN"/>
        </w:rPr>
      </w:pPr>
    </w:p>
    <w:p w14:paraId="36EFD49F">
      <w:pPr>
        <w:numPr>
          <w:ilvl w:val="0"/>
          <w:numId w:val="0"/>
        </w:numPr>
        <w:rPr>
          <w:rFonts w:hint="eastAsia" w:ascii="仿宋" w:hAnsi="仿宋" w:eastAsia="仿宋" w:cs="仿宋"/>
          <w:color w:val="000000"/>
          <w:sz w:val="24"/>
          <w:highlight w:val="none"/>
          <w:lang w:eastAsia="zh-CN"/>
        </w:rPr>
      </w:pPr>
    </w:p>
    <w:p w14:paraId="483C98EF">
      <w:pPr>
        <w:numPr>
          <w:ilvl w:val="0"/>
          <w:numId w:val="0"/>
        </w:numPr>
        <w:rPr>
          <w:rFonts w:hint="eastAsia" w:ascii="仿宋" w:hAnsi="仿宋" w:eastAsia="仿宋" w:cs="仿宋"/>
          <w:color w:val="000000"/>
          <w:sz w:val="24"/>
          <w:highlight w:val="none"/>
          <w:lang w:eastAsia="zh-CN"/>
        </w:rPr>
      </w:pPr>
    </w:p>
    <w:p w14:paraId="6F91F2F5">
      <w:pPr>
        <w:numPr>
          <w:ilvl w:val="0"/>
          <w:numId w:val="0"/>
        </w:numPr>
        <w:rPr>
          <w:rFonts w:hint="eastAsia" w:ascii="仿宋" w:hAnsi="仿宋" w:eastAsia="仿宋" w:cs="仿宋"/>
          <w:color w:val="000000"/>
          <w:sz w:val="24"/>
          <w:highlight w:val="none"/>
          <w:lang w:eastAsia="zh-CN"/>
        </w:rPr>
      </w:pPr>
    </w:p>
    <w:p w14:paraId="30307090">
      <w:pPr>
        <w:numPr>
          <w:ilvl w:val="0"/>
          <w:numId w:val="0"/>
        </w:numPr>
        <w:rPr>
          <w:rFonts w:hint="eastAsia" w:ascii="仿宋" w:hAnsi="仿宋" w:eastAsia="仿宋" w:cs="仿宋"/>
          <w:color w:val="000000"/>
          <w:sz w:val="24"/>
          <w:highlight w:val="none"/>
          <w:lang w:eastAsia="zh-CN"/>
        </w:rPr>
      </w:pPr>
    </w:p>
    <w:p w14:paraId="72A7C358">
      <w:pPr>
        <w:numPr>
          <w:ilvl w:val="0"/>
          <w:numId w:val="0"/>
        </w:numPr>
        <w:rPr>
          <w:rFonts w:hint="eastAsia" w:ascii="仿宋" w:hAnsi="仿宋" w:eastAsia="仿宋" w:cs="仿宋"/>
          <w:color w:val="000000"/>
          <w:sz w:val="24"/>
          <w:highlight w:val="none"/>
          <w:lang w:eastAsia="zh-CN"/>
        </w:rPr>
      </w:pPr>
    </w:p>
    <w:p w14:paraId="28ED35E0">
      <w:pPr>
        <w:numPr>
          <w:ilvl w:val="0"/>
          <w:numId w:val="0"/>
        </w:numPr>
        <w:rPr>
          <w:rFonts w:hint="eastAsia" w:ascii="仿宋" w:hAnsi="仿宋" w:eastAsia="仿宋" w:cs="仿宋"/>
          <w:color w:val="000000"/>
          <w:sz w:val="24"/>
          <w:highlight w:val="none"/>
          <w:lang w:eastAsia="zh-CN"/>
        </w:rPr>
      </w:pPr>
    </w:p>
    <w:p w14:paraId="11F396E2">
      <w:pPr>
        <w:numPr>
          <w:ilvl w:val="0"/>
          <w:numId w:val="0"/>
        </w:numPr>
        <w:rPr>
          <w:rFonts w:hint="eastAsia" w:ascii="仿宋" w:hAnsi="仿宋" w:eastAsia="仿宋" w:cs="仿宋"/>
          <w:color w:val="000000"/>
          <w:sz w:val="24"/>
          <w:highlight w:val="none"/>
          <w:lang w:eastAsia="zh-CN"/>
        </w:rPr>
      </w:pPr>
    </w:p>
    <w:p w14:paraId="2523BF64">
      <w:pPr>
        <w:numPr>
          <w:ilvl w:val="0"/>
          <w:numId w:val="0"/>
        </w:numPr>
        <w:rPr>
          <w:rFonts w:hint="eastAsia" w:ascii="仿宋" w:hAnsi="仿宋" w:eastAsia="仿宋" w:cs="仿宋"/>
          <w:color w:val="000000"/>
          <w:sz w:val="24"/>
          <w:highlight w:val="none"/>
          <w:lang w:eastAsia="zh-CN"/>
        </w:rPr>
      </w:pPr>
    </w:p>
    <w:p w14:paraId="30C77392">
      <w:pPr>
        <w:numPr>
          <w:ilvl w:val="0"/>
          <w:numId w:val="0"/>
        </w:numPr>
        <w:rPr>
          <w:rFonts w:hint="eastAsia" w:ascii="仿宋" w:hAnsi="仿宋" w:eastAsia="仿宋" w:cs="仿宋"/>
          <w:color w:val="000000"/>
          <w:sz w:val="24"/>
          <w:highlight w:val="none"/>
          <w:lang w:eastAsia="zh-CN"/>
        </w:rPr>
      </w:pPr>
    </w:p>
    <w:p w14:paraId="17647B91">
      <w:pPr>
        <w:numPr>
          <w:ilvl w:val="0"/>
          <w:numId w:val="0"/>
        </w:numPr>
        <w:rPr>
          <w:rFonts w:hint="eastAsia" w:ascii="仿宋" w:hAnsi="仿宋" w:eastAsia="仿宋" w:cs="仿宋"/>
          <w:color w:val="000000"/>
          <w:sz w:val="24"/>
          <w:highlight w:val="none"/>
          <w:lang w:eastAsia="zh-CN"/>
        </w:rPr>
      </w:pPr>
    </w:p>
    <w:p w14:paraId="558C2A06">
      <w:pPr>
        <w:numPr>
          <w:ilvl w:val="0"/>
          <w:numId w:val="0"/>
        </w:numPr>
        <w:rPr>
          <w:rFonts w:hint="eastAsia" w:ascii="仿宋" w:hAnsi="仿宋" w:eastAsia="仿宋" w:cs="仿宋"/>
          <w:color w:val="000000"/>
          <w:sz w:val="24"/>
          <w:highlight w:val="none"/>
          <w:lang w:eastAsia="zh-CN"/>
        </w:rPr>
      </w:pPr>
    </w:p>
    <w:p w14:paraId="04975CCB">
      <w:pPr>
        <w:numPr>
          <w:ilvl w:val="0"/>
          <w:numId w:val="0"/>
        </w:numPr>
        <w:rPr>
          <w:rFonts w:hint="eastAsia" w:ascii="仿宋" w:hAnsi="仿宋" w:eastAsia="仿宋" w:cs="仿宋"/>
          <w:color w:val="000000"/>
          <w:sz w:val="24"/>
          <w:highlight w:val="none"/>
          <w:lang w:eastAsia="zh-CN"/>
        </w:rPr>
      </w:pPr>
    </w:p>
    <w:p w14:paraId="57C2D9DC">
      <w:pPr>
        <w:numPr>
          <w:ilvl w:val="0"/>
          <w:numId w:val="0"/>
        </w:numPr>
        <w:rPr>
          <w:rFonts w:hint="eastAsia" w:ascii="仿宋" w:hAnsi="仿宋" w:eastAsia="仿宋" w:cs="仿宋"/>
          <w:color w:val="000000"/>
          <w:sz w:val="24"/>
          <w:highlight w:val="none"/>
          <w:lang w:eastAsia="zh-CN"/>
        </w:rPr>
      </w:pPr>
    </w:p>
    <w:p w14:paraId="25BC8187">
      <w:pPr>
        <w:numPr>
          <w:ilvl w:val="0"/>
          <w:numId w:val="0"/>
        </w:numPr>
        <w:rPr>
          <w:rFonts w:hint="eastAsia" w:ascii="仿宋" w:hAnsi="仿宋" w:eastAsia="仿宋" w:cs="仿宋"/>
          <w:color w:val="000000"/>
          <w:sz w:val="24"/>
          <w:highlight w:val="none"/>
          <w:lang w:eastAsia="zh-CN"/>
        </w:rPr>
      </w:pPr>
    </w:p>
    <w:p w14:paraId="02D2AF0A">
      <w:pPr>
        <w:numPr>
          <w:ilvl w:val="0"/>
          <w:numId w:val="0"/>
        </w:numPr>
        <w:rPr>
          <w:rFonts w:hint="eastAsia" w:ascii="仿宋" w:hAnsi="仿宋" w:eastAsia="仿宋" w:cs="仿宋"/>
          <w:color w:val="000000"/>
          <w:sz w:val="24"/>
          <w:highlight w:val="none"/>
          <w:lang w:eastAsia="zh-CN"/>
        </w:rPr>
      </w:pPr>
    </w:p>
    <w:p w14:paraId="6205FC3E">
      <w:pPr>
        <w:numPr>
          <w:ilvl w:val="0"/>
          <w:numId w:val="0"/>
        </w:numPr>
        <w:rPr>
          <w:rFonts w:hint="eastAsia" w:ascii="仿宋" w:hAnsi="仿宋" w:eastAsia="仿宋" w:cs="仿宋"/>
          <w:color w:val="000000"/>
          <w:sz w:val="24"/>
          <w:highlight w:val="none"/>
          <w:lang w:eastAsia="zh-CN"/>
        </w:rPr>
      </w:pPr>
    </w:p>
    <w:p w14:paraId="35138E4F">
      <w:pPr>
        <w:numPr>
          <w:ilvl w:val="0"/>
          <w:numId w:val="0"/>
        </w:numPr>
        <w:rPr>
          <w:rFonts w:hint="eastAsia" w:ascii="仿宋" w:hAnsi="仿宋" w:eastAsia="仿宋" w:cs="仿宋"/>
          <w:color w:val="000000"/>
          <w:sz w:val="24"/>
          <w:highlight w:val="none"/>
          <w:lang w:eastAsia="zh-CN"/>
        </w:rPr>
      </w:pPr>
    </w:p>
    <w:p w14:paraId="3CE1DCD4">
      <w:pPr>
        <w:numPr>
          <w:ilvl w:val="0"/>
          <w:numId w:val="0"/>
        </w:numPr>
        <w:rPr>
          <w:rFonts w:hint="eastAsia" w:ascii="仿宋" w:hAnsi="仿宋" w:eastAsia="仿宋" w:cs="仿宋"/>
          <w:color w:val="000000"/>
          <w:sz w:val="24"/>
          <w:highlight w:val="none"/>
          <w:lang w:eastAsia="zh-CN"/>
        </w:rPr>
      </w:pPr>
    </w:p>
    <w:p w14:paraId="44B57F89">
      <w:pPr>
        <w:numPr>
          <w:ilvl w:val="0"/>
          <w:numId w:val="0"/>
        </w:numPr>
        <w:rPr>
          <w:rFonts w:hint="eastAsia" w:ascii="仿宋" w:hAnsi="仿宋" w:eastAsia="仿宋" w:cs="仿宋"/>
          <w:color w:val="000000"/>
          <w:sz w:val="24"/>
          <w:highlight w:val="none"/>
          <w:lang w:eastAsia="zh-CN"/>
        </w:rPr>
      </w:pPr>
    </w:p>
    <w:p w14:paraId="4D5BD38A">
      <w:pPr>
        <w:numPr>
          <w:ilvl w:val="0"/>
          <w:numId w:val="0"/>
        </w:numPr>
        <w:rPr>
          <w:rFonts w:hint="eastAsia" w:ascii="仿宋" w:hAnsi="仿宋" w:eastAsia="仿宋" w:cs="仿宋"/>
          <w:color w:val="000000"/>
          <w:sz w:val="24"/>
          <w:highlight w:val="none"/>
          <w:lang w:eastAsia="zh-CN"/>
        </w:rPr>
      </w:pPr>
    </w:p>
    <w:p w14:paraId="2A5C9D99">
      <w:pPr>
        <w:numPr>
          <w:ilvl w:val="0"/>
          <w:numId w:val="0"/>
        </w:numPr>
        <w:rPr>
          <w:rFonts w:hint="eastAsia" w:ascii="仿宋" w:hAnsi="仿宋" w:eastAsia="仿宋" w:cs="仿宋"/>
          <w:color w:val="000000"/>
          <w:sz w:val="24"/>
          <w:highlight w:val="none"/>
          <w:lang w:eastAsia="zh-CN"/>
        </w:rPr>
      </w:pPr>
    </w:p>
    <w:p w14:paraId="7DFE44FD">
      <w:pPr>
        <w:numPr>
          <w:ilvl w:val="0"/>
          <w:numId w:val="0"/>
        </w:numPr>
        <w:rPr>
          <w:rFonts w:hint="eastAsia" w:ascii="仿宋" w:hAnsi="仿宋" w:eastAsia="仿宋" w:cs="仿宋"/>
          <w:color w:val="000000"/>
          <w:sz w:val="24"/>
          <w:highlight w:val="none"/>
          <w:lang w:eastAsia="zh-CN"/>
        </w:rPr>
      </w:pPr>
    </w:p>
    <w:p w14:paraId="77FB8B30">
      <w:pPr>
        <w:numPr>
          <w:ilvl w:val="0"/>
          <w:numId w:val="0"/>
        </w:numPr>
        <w:rPr>
          <w:rFonts w:hint="eastAsia" w:ascii="仿宋" w:hAnsi="仿宋" w:eastAsia="仿宋" w:cs="仿宋"/>
          <w:color w:val="000000"/>
          <w:sz w:val="24"/>
          <w:highlight w:val="none"/>
          <w:lang w:eastAsia="zh-CN"/>
        </w:rPr>
      </w:pPr>
    </w:p>
    <w:p w14:paraId="32F201C2">
      <w:pPr>
        <w:numPr>
          <w:ilvl w:val="0"/>
          <w:numId w:val="0"/>
        </w:numPr>
        <w:rPr>
          <w:rFonts w:hint="eastAsia" w:ascii="仿宋" w:hAnsi="仿宋" w:eastAsia="仿宋" w:cs="仿宋"/>
          <w:color w:val="000000"/>
          <w:sz w:val="24"/>
          <w:highlight w:val="none"/>
          <w:lang w:eastAsia="zh-CN"/>
        </w:rPr>
      </w:pPr>
    </w:p>
    <w:p w14:paraId="5DD779AC">
      <w:pPr>
        <w:numPr>
          <w:ilvl w:val="0"/>
          <w:numId w:val="0"/>
        </w:numPr>
        <w:rPr>
          <w:rFonts w:hint="eastAsia" w:ascii="仿宋" w:hAnsi="仿宋" w:eastAsia="仿宋" w:cs="仿宋"/>
          <w:color w:val="000000"/>
          <w:sz w:val="24"/>
          <w:highlight w:val="none"/>
          <w:lang w:eastAsia="zh-CN"/>
        </w:rPr>
      </w:pPr>
    </w:p>
    <w:p w14:paraId="3C65A43A">
      <w:pPr>
        <w:numPr>
          <w:ilvl w:val="0"/>
          <w:numId w:val="0"/>
        </w:numPr>
        <w:rPr>
          <w:rFonts w:hint="eastAsia" w:ascii="仿宋" w:hAnsi="仿宋" w:eastAsia="仿宋" w:cs="仿宋"/>
          <w:color w:val="000000"/>
          <w:sz w:val="24"/>
          <w:highlight w:val="none"/>
          <w:lang w:eastAsia="zh-CN"/>
        </w:rPr>
      </w:pPr>
    </w:p>
    <w:p w14:paraId="5512690E">
      <w:pPr>
        <w:numPr>
          <w:ilvl w:val="0"/>
          <w:numId w:val="0"/>
        </w:numPr>
        <w:rPr>
          <w:rFonts w:hint="eastAsia" w:ascii="仿宋" w:hAnsi="仿宋" w:eastAsia="仿宋" w:cs="仿宋"/>
          <w:color w:val="000000"/>
          <w:sz w:val="24"/>
          <w:highlight w:val="none"/>
          <w:lang w:eastAsia="zh-CN"/>
        </w:rPr>
      </w:pPr>
    </w:p>
    <w:p w14:paraId="6863DF11">
      <w:pPr>
        <w:numPr>
          <w:ilvl w:val="0"/>
          <w:numId w:val="0"/>
        </w:numPr>
        <w:rPr>
          <w:rFonts w:hint="eastAsia"/>
          <w:lang w:eastAsia="zh-CN"/>
        </w:rPr>
      </w:pPr>
      <w:r>
        <w:rPr>
          <w:rFonts w:hint="eastAsia" w:ascii="仿宋" w:hAnsi="仿宋" w:eastAsia="仿宋" w:cs="仿宋"/>
          <w:color w:val="000000"/>
          <w:sz w:val="24"/>
          <w:highlight w:val="none"/>
        </w:rPr>
        <w:t xml:space="preserve"> </w:t>
      </w:r>
    </w:p>
    <w:p w14:paraId="6CDCC475">
      <w:pPr>
        <w:rPr>
          <w:rFonts w:hint="eastAsia" w:ascii="仿宋" w:hAnsi="仿宋" w:eastAsia="仿宋" w:cs="仿宋"/>
          <w:color w:val="000000"/>
          <w:highlight w:val="none"/>
        </w:rPr>
      </w:pPr>
    </w:p>
    <w:p w14:paraId="5B647C8C">
      <w:pPr>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 </w:t>
      </w:r>
    </w:p>
    <w:bookmarkEnd w:id="192"/>
    <w:bookmarkEnd w:id="193"/>
    <w:bookmarkEnd w:id="194"/>
    <w:bookmarkEnd w:id="195"/>
    <w:bookmarkEnd w:id="196"/>
    <w:bookmarkEnd w:id="197"/>
    <w:bookmarkEnd w:id="222"/>
    <w:bookmarkEnd w:id="223"/>
    <w:p w14:paraId="7DB8BBCE">
      <w:pPr>
        <w:pStyle w:val="4"/>
        <w:ind w:firstLine="0" w:firstLineChars="0"/>
        <w:jc w:val="both"/>
        <w:rPr>
          <w:rFonts w:hint="eastAsia" w:ascii="仿宋" w:hAnsi="仿宋" w:eastAsia="仿宋" w:cs="仿宋"/>
          <w:color w:val="000000"/>
          <w:sz w:val="24"/>
          <w:szCs w:val="24"/>
          <w:highlight w:val="none"/>
        </w:rPr>
      </w:pPr>
      <w:bookmarkStart w:id="224" w:name="_Toc20443"/>
      <w:r>
        <w:rPr>
          <w:rFonts w:hint="eastAsia" w:ascii="仿宋" w:hAnsi="仿宋" w:eastAsia="仿宋" w:cs="仿宋"/>
          <w:color w:val="000000"/>
          <w:sz w:val="24"/>
          <w:szCs w:val="24"/>
          <w:highlight w:val="none"/>
        </w:rPr>
        <w:t>三、报价文件</w:t>
      </w:r>
      <w:bookmarkEnd w:id="224"/>
    </w:p>
    <w:p w14:paraId="377C373E">
      <w:pPr>
        <w:pStyle w:val="5"/>
        <w:spacing w:before="0" w:after="0" w:line="360" w:lineRule="auto"/>
        <w:ind w:firstLine="482"/>
        <w:rPr>
          <w:rFonts w:hint="eastAsia" w:ascii="仿宋" w:hAnsi="仿宋" w:eastAsia="仿宋" w:cs="仿宋"/>
          <w:color w:val="000000"/>
          <w:sz w:val="24"/>
          <w:szCs w:val="24"/>
          <w:highlight w:val="none"/>
        </w:rPr>
      </w:pPr>
      <w:bookmarkStart w:id="225" w:name="_Toc511726864"/>
      <w:bookmarkStart w:id="226" w:name="_Toc18942"/>
      <w:r>
        <w:rPr>
          <w:rFonts w:hint="eastAsia" w:ascii="仿宋" w:hAnsi="仿宋" w:eastAsia="仿宋" w:cs="仿宋"/>
          <w:color w:val="000000"/>
          <w:sz w:val="24"/>
          <w:szCs w:val="24"/>
          <w:highlight w:val="none"/>
        </w:rPr>
        <w:t>（一）报价</w:t>
      </w:r>
      <w:bookmarkEnd w:id="225"/>
      <w:r>
        <w:rPr>
          <w:rFonts w:hint="eastAsia" w:ascii="仿宋" w:hAnsi="仿宋" w:eastAsia="仿宋" w:cs="仿宋"/>
          <w:color w:val="000000"/>
          <w:sz w:val="24"/>
          <w:szCs w:val="24"/>
          <w:highlight w:val="none"/>
        </w:rPr>
        <w:t>一览表</w:t>
      </w:r>
      <w:bookmarkEnd w:id="226"/>
    </w:p>
    <w:p w14:paraId="716CBA31">
      <w:pPr>
        <w:pStyle w:val="13"/>
        <w:spacing w:line="360" w:lineRule="auto"/>
        <w:ind w:hanging="14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项目名称：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人保</w:t>
      </w:r>
      <w:r>
        <w:rPr>
          <w:rFonts w:hint="eastAsia" w:ascii="仿宋" w:hAnsi="仿宋" w:eastAsia="仿宋" w:cs="仿宋"/>
          <w:color w:val="000000" w:themeColor="text1"/>
          <w:sz w:val="24"/>
          <w:highlight w:val="none"/>
          <w:u w:val="single"/>
          <w:lang w:val="en-US" w:eastAsia="zh-CN"/>
          <w14:textFill>
            <w14:solidFill>
              <w14:schemeClr w14:val="tx1"/>
            </w14:solidFill>
          </w14:textFill>
        </w:rPr>
        <w:t>财险</w:t>
      </w:r>
      <w:r>
        <w:rPr>
          <w:rFonts w:hint="eastAsia" w:ascii="仿宋" w:hAnsi="仿宋" w:eastAsia="仿宋" w:cs="仿宋"/>
          <w:color w:val="000000" w:themeColor="text1"/>
          <w:sz w:val="24"/>
          <w:highlight w:val="none"/>
          <w:u w:val="single"/>
          <w:lang w:eastAsia="zh-CN"/>
          <w14:textFill>
            <w14:solidFill>
              <w14:schemeClr w14:val="tx1"/>
            </w14:solidFill>
          </w14:textFill>
        </w:rPr>
        <w:t>景德镇市河西支公司车险客户增值服务</w:t>
      </w:r>
      <w:r>
        <w:rPr>
          <w:rFonts w:hint="eastAsia" w:ascii="仿宋" w:hAnsi="仿宋" w:eastAsia="仿宋" w:cs="仿宋"/>
          <w:color w:val="000000" w:themeColor="text1"/>
          <w:sz w:val="24"/>
          <w:highlight w:val="none"/>
          <w:u w:val="single"/>
          <w14:textFill>
            <w14:solidFill>
              <w14:schemeClr w14:val="tx1"/>
            </w14:solidFill>
          </w14:textFill>
        </w:rPr>
        <w:t>采购项目</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4641E425">
      <w:pPr>
        <w:pStyle w:val="13"/>
        <w:spacing w:line="360" w:lineRule="auto"/>
        <w:ind w:hanging="142"/>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货币单位：</w:t>
      </w:r>
      <w:r>
        <w:rPr>
          <w:rFonts w:hint="eastAsia" w:ascii="仿宋" w:hAnsi="仿宋" w:eastAsia="仿宋" w:cs="仿宋"/>
          <w:color w:val="000000"/>
          <w:sz w:val="24"/>
          <w:szCs w:val="24"/>
          <w:highlight w:val="none"/>
          <w:u w:val="single"/>
        </w:rPr>
        <w:t xml:space="preserve"> 人民币元    </w:t>
      </w:r>
    </w:p>
    <w:p w14:paraId="64A08775">
      <w:pPr>
        <w:widowControl/>
        <w:jc w:val="center"/>
        <w:textAlignment w:val="center"/>
        <w:rPr>
          <w:rFonts w:hint="eastAsia" w:ascii="仿宋" w:hAnsi="仿宋" w:eastAsia="仿宋" w:cs="仿宋"/>
          <w:color w:val="000000"/>
          <w:kern w:val="0"/>
          <w:szCs w:val="21"/>
          <w:highlight w:val="none"/>
          <w:lang w:bidi="ar"/>
        </w:rPr>
      </w:pPr>
    </w:p>
    <w:tbl>
      <w:tblPr>
        <w:tblStyle w:val="40"/>
        <w:tblW w:w="5000" w:type="pct"/>
        <w:jc w:val="center"/>
        <w:tblLayout w:type="autofit"/>
        <w:tblCellMar>
          <w:top w:w="0" w:type="dxa"/>
          <w:left w:w="108" w:type="dxa"/>
          <w:bottom w:w="0" w:type="dxa"/>
          <w:right w:w="108" w:type="dxa"/>
        </w:tblCellMar>
      </w:tblPr>
      <w:tblGrid>
        <w:gridCol w:w="808"/>
        <w:gridCol w:w="2395"/>
        <w:gridCol w:w="2223"/>
        <w:gridCol w:w="1880"/>
        <w:gridCol w:w="1413"/>
        <w:gridCol w:w="1135"/>
      </w:tblGrid>
      <w:tr w14:paraId="40E2FC37">
        <w:tblPrEx>
          <w:tblCellMar>
            <w:top w:w="0" w:type="dxa"/>
            <w:left w:w="108" w:type="dxa"/>
            <w:bottom w:w="0" w:type="dxa"/>
            <w:right w:w="108" w:type="dxa"/>
          </w:tblCellMar>
        </w:tblPrEx>
        <w:trPr>
          <w:trHeight w:val="927" w:hRule="atLeast"/>
          <w:jc w:val="center"/>
        </w:trPr>
        <w:tc>
          <w:tcPr>
            <w:tcW w:w="410" w:type="pct"/>
            <w:tcBorders>
              <w:top w:val="single" w:color="auto" w:sz="4" w:space="0"/>
              <w:left w:val="single" w:color="auto" w:sz="4" w:space="0"/>
              <w:bottom w:val="single" w:color="auto" w:sz="4" w:space="0"/>
              <w:right w:val="single" w:color="auto" w:sz="4" w:space="0"/>
            </w:tcBorders>
            <w:noWrap w:val="0"/>
            <w:vAlign w:val="center"/>
          </w:tcPr>
          <w:p w14:paraId="4F9689F7">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序号</w:t>
            </w:r>
          </w:p>
        </w:tc>
        <w:tc>
          <w:tcPr>
            <w:tcW w:w="1215" w:type="pct"/>
            <w:tcBorders>
              <w:top w:val="single" w:color="auto" w:sz="4" w:space="0"/>
              <w:left w:val="nil"/>
              <w:bottom w:val="single" w:color="auto" w:sz="4" w:space="0"/>
              <w:right w:val="single" w:color="auto" w:sz="4" w:space="0"/>
            </w:tcBorders>
            <w:noWrap w:val="0"/>
            <w:vAlign w:val="center"/>
          </w:tcPr>
          <w:p w14:paraId="01FEAFC9">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报价内容</w:t>
            </w:r>
          </w:p>
        </w:tc>
        <w:tc>
          <w:tcPr>
            <w:tcW w:w="1128" w:type="pct"/>
            <w:tcBorders>
              <w:top w:val="single" w:color="auto" w:sz="4" w:space="0"/>
              <w:left w:val="nil"/>
              <w:bottom w:val="single" w:color="auto" w:sz="4" w:space="0"/>
              <w:right w:val="single" w:color="auto" w:sz="4" w:space="0"/>
            </w:tcBorders>
            <w:noWrap w:val="0"/>
            <w:vAlign w:val="center"/>
          </w:tcPr>
          <w:p w14:paraId="0BE1C3A5">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含税总价</w:t>
            </w:r>
            <w:r>
              <w:rPr>
                <w:rFonts w:hint="eastAsia" w:ascii="仿宋" w:hAnsi="仿宋" w:eastAsia="仿宋" w:cs="宋体"/>
                <w:b/>
                <w:color w:val="000000"/>
                <w:szCs w:val="21"/>
                <w:highlight w:val="none"/>
              </w:rPr>
              <w:t>（元）</w:t>
            </w:r>
          </w:p>
        </w:tc>
        <w:tc>
          <w:tcPr>
            <w:tcW w:w="954" w:type="pct"/>
            <w:tcBorders>
              <w:top w:val="single" w:color="auto" w:sz="4" w:space="0"/>
              <w:left w:val="single" w:color="auto" w:sz="4" w:space="0"/>
              <w:bottom w:val="single" w:color="auto" w:sz="4" w:space="0"/>
              <w:right w:val="single" w:color="auto" w:sz="4" w:space="0"/>
            </w:tcBorders>
            <w:noWrap w:val="0"/>
            <w:vAlign w:val="center"/>
          </w:tcPr>
          <w:p w14:paraId="35F75A2B">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不含税总价</w:t>
            </w:r>
            <w:r>
              <w:rPr>
                <w:rFonts w:hint="eastAsia" w:ascii="仿宋" w:hAnsi="仿宋" w:eastAsia="仿宋" w:cs="宋体"/>
                <w:b/>
                <w:color w:val="000000"/>
                <w:szCs w:val="21"/>
                <w:highlight w:val="none"/>
              </w:rPr>
              <w:t>（元）</w:t>
            </w:r>
          </w:p>
        </w:tc>
        <w:tc>
          <w:tcPr>
            <w:tcW w:w="717" w:type="pct"/>
            <w:tcBorders>
              <w:top w:val="single" w:color="auto" w:sz="4" w:space="0"/>
              <w:left w:val="single" w:color="auto" w:sz="4" w:space="0"/>
              <w:bottom w:val="single" w:color="auto" w:sz="4" w:space="0"/>
              <w:right w:val="single" w:color="auto" w:sz="4" w:space="0"/>
            </w:tcBorders>
            <w:noWrap w:val="0"/>
            <w:vAlign w:val="center"/>
          </w:tcPr>
          <w:p w14:paraId="0EDEDD9C">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税率</w:t>
            </w:r>
          </w:p>
          <w:p w14:paraId="5094FC1B">
            <w:pPr>
              <w:widowControl/>
              <w:jc w:val="center"/>
              <w:rPr>
                <w:rFonts w:hint="eastAsia" w:ascii="仿宋" w:hAnsi="仿宋" w:eastAsia="仿宋" w:cs="宋体"/>
                <w:color w:val="000000"/>
                <w:szCs w:val="21"/>
                <w:highlight w:val="none"/>
              </w:rPr>
            </w:pPr>
            <w:r>
              <w:rPr>
                <w:rFonts w:hint="eastAsia" w:ascii="仿宋" w:hAnsi="仿宋" w:eastAsia="仿宋" w:cs="宋体"/>
                <w:b/>
                <w:bCs/>
                <w:color w:val="000000"/>
                <w:kern w:val="0"/>
                <w:szCs w:val="21"/>
                <w:highlight w:val="none"/>
              </w:rPr>
              <w:t>（%）</w:t>
            </w:r>
          </w:p>
        </w:tc>
        <w:tc>
          <w:tcPr>
            <w:tcW w:w="576" w:type="pct"/>
            <w:tcBorders>
              <w:top w:val="single" w:color="auto" w:sz="4" w:space="0"/>
              <w:left w:val="single" w:color="auto" w:sz="4" w:space="0"/>
              <w:bottom w:val="single" w:color="auto" w:sz="4" w:space="0"/>
              <w:right w:val="single" w:color="auto" w:sz="4" w:space="0"/>
            </w:tcBorders>
            <w:noWrap w:val="0"/>
            <w:vAlign w:val="center"/>
          </w:tcPr>
          <w:p w14:paraId="3A0AAF2F">
            <w:pPr>
              <w:widowControl/>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备注</w:t>
            </w:r>
          </w:p>
        </w:tc>
      </w:tr>
      <w:tr w14:paraId="6DEC8E21">
        <w:tblPrEx>
          <w:tblCellMar>
            <w:top w:w="0" w:type="dxa"/>
            <w:left w:w="108" w:type="dxa"/>
            <w:bottom w:w="0" w:type="dxa"/>
            <w:right w:w="108" w:type="dxa"/>
          </w:tblCellMar>
        </w:tblPrEx>
        <w:trPr>
          <w:trHeight w:val="1409" w:hRule="atLeast"/>
          <w:jc w:val="center"/>
        </w:trPr>
        <w:tc>
          <w:tcPr>
            <w:tcW w:w="410" w:type="pct"/>
            <w:tcBorders>
              <w:top w:val="nil"/>
              <w:left w:val="single" w:color="auto" w:sz="4" w:space="0"/>
              <w:bottom w:val="nil"/>
              <w:right w:val="single" w:color="auto" w:sz="4" w:space="0"/>
            </w:tcBorders>
            <w:noWrap w:val="0"/>
            <w:vAlign w:val="center"/>
          </w:tcPr>
          <w:p w14:paraId="22F78EDA">
            <w:pPr>
              <w:widowControl/>
              <w:jc w:val="center"/>
              <w:rPr>
                <w:rFonts w:hint="eastAsia" w:ascii="仿宋" w:hAnsi="仿宋" w:eastAsia="仿宋" w:cs="宋体"/>
                <w:bCs/>
                <w:color w:val="000000"/>
                <w:kern w:val="0"/>
                <w:szCs w:val="21"/>
                <w:highlight w:val="none"/>
              </w:rPr>
            </w:pPr>
            <w:r>
              <w:rPr>
                <w:rFonts w:hint="eastAsia" w:ascii="仿宋" w:hAnsi="仿宋" w:eastAsia="仿宋" w:cs="宋体"/>
                <w:bCs/>
                <w:color w:val="000000"/>
                <w:kern w:val="0"/>
                <w:szCs w:val="21"/>
                <w:highlight w:val="none"/>
              </w:rPr>
              <w:t>1</w:t>
            </w:r>
          </w:p>
        </w:tc>
        <w:tc>
          <w:tcPr>
            <w:tcW w:w="1215" w:type="pct"/>
            <w:tcBorders>
              <w:top w:val="nil"/>
              <w:left w:val="nil"/>
              <w:bottom w:val="nil"/>
              <w:right w:val="single" w:color="auto" w:sz="4" w:space="0"/>
            </w:tcBorders>
            <w:noWrap w:val="0"/>
            <w:vAlign w:val="center"/>
          </w:tcPr>
          <w:p w14:paraId="3800212F">
            <w:pPr>
              <w:widowControl/>
              <w:jc w:val="center"/>
              <w:rPr>
                <w:rFonts w:hint="eastAsia" w:ascii="仿宋" w:hAnsi="仿宋" w:eastAsia="仿宋" w:cs="宋体"/>
                <w:bCs/>
                <w:color w:val="000000"/>
                <w:kern w:val="0"/>
                <w:szCs w:val="21"/>
                <w:highlight w:val="none"/>
              </w:rPr>
            </w:pPr>
          </w:p>
        </w:tc>
        <w:tc>
          <w:tcPr>
            <w:tcW w:w="1128" w:type="pct"/>
            <w:tcBorders>
              <w:top w:val="nil"/>
              <w:left w:val="nil"/>
              <w:bottom w:val="nil"/>
              <w:right w:val="single" w:color="auto" w:sz="4" w:space="0"/>
            </w:tcBorders>
            <w:noWrap w:val="0"/>
            <w:vAlign w:val="center"/>
          </w:tcPr>
          <w:p w14:paraId="18B07FB3">
            <w:pPr>
              <w:widowControl/>
              <w:jc w:val="center"/>
              <w:rPr>
                <w:rFonts w:hint="eastAsia" w:ascii="仿宋" w:hAnsi="仿宋" w:eastAsia="仿宋" w:cs="宋体"/>
                <w:color w:val="000000"/>
                <w:kern w:val="0"/>
                <w:szCs w:val="21"/>
                <w:highlight w:val="none"/>
              </w:rPr>
            </w:pPr>
          </w:p>
        </w:tc>
        <w:tc>
          <w:tcPr>
            <w:tcW w:w="954" w:type="pct"/>
            <w:tcBorders>
              <w:top w:val="single" w:color="auto" w:sz="4" w:space="0"/>
              <w:left w:val="single" w:color="auto" w:sz="4" w:space="0"/>
              <w:bottom w:val="single" w:color="auto" w:sz="4" w:space="0"/>
              <w:right w:val="single" w:color="auto" w:sz="4" w:space="0"/>
            </w:tcBorders>
            <w:noWrap w:val="0"/>
            <w:vAlign w:val="center"/>
          </w:tcPr>
          <w:p w14:paraId="27BB5792">
            <w:pPr>
              <w:widowControl/>
              <w:jc w:val="center"/>
              <w:rPr>
                <w:rFonts w:hint="eastAsia" w:ascii="仿宋" w:hAnsi="仿宋" w:eastAsia="仿宋" w:cs="宋体"/>
                <w:color w:val="000000"/>
                <w:kern w:val="0"/>
                <w:szCs w:val="21"/>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14:paraId="58BD2C62">
            <w:pPr>
              <w:widowControl/>
              <w:jc w:val="left"/>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 xml:space="preserve">  </w:t>
            </w:r>
          </w:p>
        </w:tc>
        <w:tc>
          <w:tcPr>
            <w:tcW w:w="576" w:type="pct"/>
            <w:tcBorders>
              <w:top w:val="single" w:color="auto" w:sz="4" w:space="0"/>
              <w:left w:val="single" w:color="auto" w:sz="4" w:space="0"/>
              <w:bottom w:val="single" w:color="auto" w:sz="4" w:space="0"/>
              <w:right w:val="single" w:color="auto" w:sz="4" w:space="0"/>
            </w:tcBorders>
            <w:noWrap w:val="0"/>
            <w:vAlign w:val="center"/>
          </w:tcPr>
          <w:p w14:paraId="42F3EE36">
            <w:pPr>
              <w:widowControl/>
              <w:jc w:val="center"/>
              <w:rPr>
                <w:rFonts w:hint="eastAsia" w:ascii="仿宋" w:hAnsi="仿宋" w:eastAsia="仿宋" w:cs="宋体"/>
                <w:color w:val="000000"/>
                <w:kern w:val="0"/>
                <w:szCs w:val="21"/>
                <w:highlight w:val="none"/>
              </w:rPr>
            </w:pPr>
          </w:p>
        </w:tc>
      </w:tr>
      <w:tr w14:paraId="32359DCF">
        <w:tblPrEx>
          <w:tblCellMar>
            <w:top w:w="0" w:type="dxa"/>
            <w:left w:w="108" w:type="dxa"/>
            <w:bottom w:w="0" w:type="dxa"/>
            <w:right w:w="108" w:type="dxa"/>
          </w:tblCellMar>
        </w:tblPrEx>
        <w:trPr>
          <w:trHeight w:val="1409" w:hRule="atLeast"/>
          <w:jc w:val="center"/>
        </w:trPr>
        <w:tc>
          <w:tcPr>
            <w:tcW w:w="410" w:type="pct"/>
            <w:tcBorders>
              <w:top w:val="nil"/>
              <w:left w:val="single" w:color="auto" w:sz="4" w:space="0"/>
              <w:bottom w:val="single" w:color="auto" w:sz="4" w:space="0"/>
              <w:right w:val="single" w:color="auto" w:sz="4" w:space="0"/>
            </w:tcBorders>
            <w:noWrap w:val="0"/>
            <w:vAlign w:val="center"/>
          </w:tcPr>
          <w:p w14:paraId="007CE2BE">
            <w:pPr>
              <w:widowControl/>
              <w:jc w:val="center"/>
              <w:rPr>
                <w:rFonts w:hint="eastAsia" w:ascii="仿宋" w:hAnsi="仿宋" w:eastAsia="仿宋" w:cs="宋体"/>
                <w:bCs/>
                <w:color w:val="000000"/>
                <w:kern w:val="0"/>
                <w:szCs w:val="21"/>
                <w:highlight w:val="none"/>
                <w:lang w:val="en-US" w:eastAsia="zh-CN"/>
              </w:rPr>
            </w:pPr>
            <w:r>
              <w:rPr>
                <w:rFonts w:hint="eastAsia" w:ascii="仿宋" w:hAnsi="仿宋" w:eastAsia="仿宋" w:cs="宋体"/>
                <w:bCs/>
                <w:color w:val="000000"/>
                <w:kern w:val="0"/>
                <w:szCs w:val="21"/>
                <w:highlight w:val="none"/>
                <w:lang w:val="en-US" w:eastAsia="zh-CN"/>
              </w:rPr>
              <w:t>2</w:t>
            </w:r>
          </w:p>
        </w:tc>
        <w:tc>
          <w:tcPr>
            <w:tcW w:w="1215" w:type="pct"/>
            <w:tcBorders>
              <w:top w:val="nil"/>
              <w:left w:val="nil"/>
              <w:bottom w:val="single" w:color="auto" w:sz="4" w:space="0"/>
              <w:right w:val="single" w:color="auto" w:sz="4" w:space="0"/>
            </w:tcBorders>
            <w:noWrap w:val="0"/>
            <w:vAlign w:val="center"/>
          </w:tcPr>
          <w:p w14:paraId="6ACDEE7F">
            <w:pPr>
              <w:widowControl/>
              <w:jc w:val="center"/>
              <w:rPr>
                <w:rFonts w:hint="eastAsia" w:ascii="仿宋" w:hAnsi="仿宋" w:eastAsia="仿宋" w:cs="宋体"/>
                <w:bCs/>
                <w:color w:val="000000"/>
                <w:kern w:val="0"/>
                <w:szCs w:val="21"/>
                <w:highlight w:val="none"/>
              </w:rPr>
            </w:pPr>
          </w:p>
        </w:tc>
        <w:tc>
          <w:tcPr>
            <w:tcW w:w="1128" w:type="pct"/>
            <w:tcBorders>
              <w:top w:val="nil"/>
              <w:left w:val="nil"/>
              <w:bottom w:val="single" w:color="auto" w:sz="4" w:space="0"/>
              <w:right w:val="single" w:color="auto" w:sz="4" w:space="0"/>
            </w:tcBorders>
            <w:noWrap w:val="0"/>
            <w:vAlign w:val="center"/>
          </w:tcPr>
          <w:p w14:paraId="40A7F80E">
            <w:pPr>
              <w:widowControl/>
              <w:jc w:val="center"/>
              <w:rPr>
                <w:rFonts w:hint="eastAsia" w:ascii="仿宋" w:hAnsi="仿宋" w:eastAsia="仿宋" w:cs="宋体"/>
                <w:color w:val="000000"/>
                <w:kern w:val="0"/>
                <w:szCs w:val="21"/>
                <w:highlight w:val="none"/>
              </w:rPr>
            </w:pPr>
          </w:p>
        </w:tc>
        <w:tc>
          <w:tcPr>
            <w:tcW w:w="954" w:type="pct"/>
            <w:tcBorders>
              <w:top w:val="single" w:color="auto" w:sz="4" w:space="0"/>
              <w:left w:val="single" w:color="auto" w:sz="4" w:space="0"/>
              <w:bottom w:val="single" w:color="auto" w:sz="4" w:space="0"/>
              <w:right w:val="single" w:color="auto" w:sz="4" w:space="0"/>
            </w:tcBorders>
            <w:noWrap w:val="0"/>
            <w:vAlign w:val="center"/>
          </w:tcPr>
          <w:p w14:paraId="2C767345">
            <w:pPr>
              <w:widowControl/>
              <w:jc w:val="center"/>
              <w:rPr>
                <w:rFonts w:hint="eastAsia" w:ascii="仿宋" w:hAnsi="仿宋" w:eastAsia="仿宋" w:cs="宋体"/>
                <w:color w:val="000000"/>
                <w:kern w:val="0"/>
                <w:szCs w:val="21"/>
                <w:highlight w:val="none"/>
              </w:rPr>
            </w:pPr>
          </w:p>
        </w:tc>
        <w:tc>
          <w:tcPr>
            <w:tcW w:w="717" w:type="pct"/>
            <w:tcBorders>
              <w:top w:val="single" w:color="auto" w:sz="4" w:space="0"/>
              <w:left w:val="single" w:color="auto" w:sz="4" w:space="0"/>
              <w:bottom w:val="single" w:color="auto" w:sz="4" w:space="0"/>
              <w:right w:val="single" w:color="auto" w:sz="4" w:space="0"/>
            </w:tcBorders>
            <w:noWrap w:val="0"/>
            <w:vAlign w:val="center"/>
          </w:tcPr>
          <w:p w14:paraId="59AAE9D6">
            <w:pPr>
              <w:widowControl/>
              <w:jc w:val="left"/>
              <w:rPr>
                <w:rFonts w:hint="eastAsia" w:ascii="仿宋" w:hAnsi="仿宋" w:eastAsia="仿宋" w:cs="宋体"/>
                <w:color w:val="000000"/>
                <w:kern w:val="0"/>
                <w:szCs w:val="21"/>
                <w:highlight w:val="none"/>
              </w:rPr>
            </w:pPr>
          </w:p>
        </w:tc>
        <w:tc>
          <w:tcPr>
            <w:tcW w:w="576" w:type="pct"/>
            <w:tcBorders>
              <w:top w:val="single" w:color="auto" w:sz="4" w:space="0"/>
              <w:left w:val="single" w:color="auto" w:sz="4" w:space="0"/>
              <w:bottom w:val="single" w:color="auto" w:sz="4" w:space="0"/>
              <w:right w:val="single" w:color="auto" w:sz="4" w:space="0"/>
            </w:tcBorders>
            <w:noWrap w:val="0"/>
            <w:vAlign w:val="center"/>
          </w:tcPr>
          <w:p w14:paraId="08E12993">
            <w:pPr>
              <w:widowControl/>
              <w:jc w:val="center"/>
              <w:rPr>
                <w:rFonts w:hint="eastAsia" w:ascii="仿宋" w:hAnsi="仿宋" w:eastAsia="仿宋" w:cs="宋体"/>
                <w:color w:val="000000"/>
                <w:kern w:val="0"/>
                <w:szCs w:val="21"/>
                <w:highlight w:val="none"/>
              </w:rPr>
            </w:pPr>
          </w:p>
        </w:tc>
      </w:tr>
    </w:tbl>
    <w:p w14:paraId="0A2D00F5">
      <w:pPr>
        <w:spacing w:line="360" w:lineRule="auto"/>
        <w:rPr>
          <w:rFonts w:ascii="仿宋" w:hAnsi="仿宋" w:eastAsia="仿宋" w:cs="仿宋"/>
          <w:bCs/>
          <w:color w:val="000000"/>
          <w:sz w:val="24"/>
          <w:highlight w:val="none"/>
        </w:rPr>
      </w:pPr>
    </w:p>
    <w:p w14:paraId="674D86C9">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备注：</w:t>
      </w:r>
    </w:p>
    <w:p w14:paraId="2FBB8A56">
      <w:pPr>
        <w:numPr>
          <w:ilvl w:val="0"/>
          <w:numId w:val="0"/>
        </w:numPr>
        <w:spacing w:line="360" w:lineRule="auto"/>
        <w:rPr>
          <w:rFonts w:hint="eastAsia" w:ascii="仿宋" w:hAnsi="仿宋" w:eastAsia="仿宋"/>
          <w:bCs/>
          <w:sz w:val="24"/>
          <w:highlight w:val="none"/>
        </w:rPr>
      </w:pPr>
      <w:r>
        <w:rPr>
          <w:rFonts w:hint="eastAsia" w:ascii="仿宋" w:hAnsi="仿宋" w:eastAsia="仿宋"/>
          <w:bCs/>
          <w:sz w:val="24"/>
          <w:highlight w:val="none"/>
          <w:lang w:val="en-US" w:eastAsia="zh-CN"/>
        </w:rPr>
        <w:t>1.</w:t>
      </w:r>
      <w:r>
        <w:rPr>
          <w:rFonts w:hint="eastAsia" w:ascii="仿宋" w:hAnsi="仿宋" w:eastAsia="仿宋"/>
          <w:bCs/>
          <w:sz w:val="24"/>
          <w:highlight w:val="none"/>
        </w:rPr>
        <w:t>本次报价精确到小数点后两位（四舍五入）。</w:t>
      </w:r>
    </w:p>
    <w:p w14:paraId="1F409E0D">
      <w:pPr>
        <w:pStyle w:val="107"/>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2.含税价=不含税价*(1+税率)，若报价与此公式不符，增值税专用发票以不含税</w:t>
      </w:r>
    </w:p>
    <w:p w14:paraId="5250729A">
      <w:pPr>
        <w:pStyle w:val="107"/>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价为准进行修正，增值税普通发票以含税价进行修正。</w:t>
      </w:r>
    </w:p>
    <w:p w14:paraId="562F1DC7">
      <w:pPr>
        <w:pStyle w:val="107"/>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3.后续如因国家税率调整，专票以不含税价不变进行调整，普票以含税价不变进行</w:t>
      </w:r>
    </w:p>
    <w:p w14:paraId="21253A56">
      <w:pPr>
        <w:pStyle w:val="107"/>
        <w:numPr>
          <w:ilvl w:val="0"/>
          <w:numId w:val="0"/>
        </w:numPr>
        <w:spacing w:line="360" w:lineRule="auto"/>
        <w:rPr>
          <w:rFonts w:hint="default"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调整。</w:t>
      </w:r>
    </w:p>
    <w:p w14:paraId="658C3665">
      <w:pPr>
        <w:spacing w:line="360" w:lineRule="auto"/>
        <w:jc w:val="both"/>
        <w:rPr>
          <w:rFonts w:hint="eastAsia" w:ascii="仿宋" w:hAnsi="仿宋" w:eastAsia="仿宋" w:cs="仿宋"/>
          <w:color w:val="000000"/>
          <w:sz w:val="24"/>
          <w:highlight w:val="none"/>
        </w:rPr>
      </w:pPr>
    </w:p>
    <w:p w14:paraId="36DDE759">
      <w:pPr>
        <w:pStyle w:val="2"/>
        <w:rPr>
          <w:rFonts w:hint="eastAsia" w:ascii="仿宋" w:hAnsi="仿宋" w:eastAsia="仿宋" w:cs="仿宋"/>
          <w:color w:val="000000"/>
          <w:sz w:val="24"/>
          <w:highlight w:val="none"/>
        </w:rPr>
      </w:pPr>
    </w:p>
    <w:p w14:paraId="14C1D71D">
      <w:pPr>
        <w:rPr>
          <w:rFonts w:hint="eastAsia" w:ascii="仿宋" w:hAnsi="仿宋" w:eastAsia="仿宋" w:cs="仿宋"/>
          <w:color w:val="000000"/>
          <w:sz w:val="24"/>
          <w:highlight w:val="none"/>
        </w:rPr>
      </w:pPr>
    </w:p>
    <w:p w14:paraId="57D8176B">
      <w:pPr>
        <w:pStyle w:val="2"/>
        <w:rPr>
          <w:rFonts w:hint="eastAsia"/>
        </w:rPr>
      </w:pPr>
    </w:p>
    <w:p w14:paraId="583D4F08">
      <w:pPr>
        <w:numPr>
          <w:ilvl w:val="0"/>
          <w:numId w:val="1"/>
        </w:numPr>
        <w:spacing w:line="440" w:lineRule="exact"/>
        <w:jc w:val="right"/>
        <w:rPr>
          <w:rFonts w:ascii="仿宋" w:hAnsi="仿宋" w:eastAsia="仿宋" w:cs="宋体"/>
          <w:color w:val="000000"/>
          <w:sz w:val="24"/>
          <w:highlight w:val="none"/>
        </w:rPr>
      </w:pPr>
      <w:bookmarkStart w:id="227" w:name="_Toc518302646"/>
      <w:bookmarkStart w:id="228" w:name="_Toc482180015"/>
      <w:bookmarkStart w:id="229" w:name="_Toc530319762"/>
      <w:bookmarkStart w:id="230" w:name="_Toc2267055"/>
      <w:bookmarkStart w:id="231" w:name="_Toc517281864"/>
      <w:bookmarkStart w:id="232" w:name="_Toc16591840"/>
    </w:p>
    <w:p w14:paraId="2916F3A3">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14:paraId="108A55EA">
      <w:pPr>
        <w:numPr>
          <w:ilvl w:val="0"/>
          <w:numId w:val="1"/>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法定代表人或其授权代理人：</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u w:val="single"/>
          <w:lang w:val="en-US" w:eastAsia="zh-CN"/>
        </w:rPr>
        <w:t xml:space="preserve">         </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（签字）</w:t>
      </w:r>
    </w:p>
    <w:p w14:paraId="29EBD263">
      <w:pPr>
        <w:numPr>
          <w:ilvl w:val="0"/>
          <w:numId w:val="1"/>
        </w:numPr>
        <w:spacing w:line="440" w:lineRule="exact"/>
        <w:jc w:val="right"/>
        <w:rPr>
          <w:rFonts w:hint="eastAsia"/>
        </w:r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bookmarkEnd w:id="227"/>
      <w:bookmarkEnd w:id="228"/>
      <w:bookmarkEnd w:id="229"/>
      <w:bookmarkEnd w:id="230"/>
      <w:bookmarkEnd w:id="231"/>
      <w:bookmarkEnd w:id="232"/>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nsolas">
    <w:panose1 w:val="020B0609020204030204"/>
    <w:charset w:val="00"/>
    <w:family w:val="modern"/>
    <w:pitch w:val="default"/>
    <w:sig w:usb0="E10002FF" w:usb1="4000FCFF" w:usb2="00000009" w:usb3="00000000" w:csb0="6000019F" w:csb1="DFD7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2FF" w:usb1="420024FF"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10006FF" w:usb1="4000205B" w:usb2="0000001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B14A9">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5AFA3">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4</w:t>
    </w:r>
    <w:r>
      <w:fldChar w:fldCharType="end"/>
    </w:r>
  </w:p>
  <w:p w14:paraId="33F191B4">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6067B">
    <w:pPr>
      <w:pStyle w:val="26"/>
      <w:framePr w:wrap="around" w:vAnchor="text" w:hAnchor="margin" w:xAlign="center" w:y="1"/>
      <w:ind w:firstLine="4500" w:firstLineChars="2500"/>
      <w:rPr>
        <w:rStyle w:val="45"/>
      </w:rPr>
    </w:pPr>
    <w:r>
      <w:fldChar w:fldCharType="begin"/>
    </w:r>
    <w:r>
      <w:rPr>
        <w:rStyle w:val="45"/>
      </w:rPr>
      <w:instrText xml:space="preserve">PAGE  </w:instrText>
    </w:r>
    <w:r>
      <w:fldChar w:fldCharType="separate"/>
    </w:r>
    <w:r>
      <w:rPr>
        <w:rStyle w:val="45"/>
      </w:rPr>
      <w:t>19</w:t>
    </w:r>
    <w:r>
      <w:fldChar w:fldCharType="end"/>
    </w:r>
  </w:p>
  <w:p w14:paraId="61FB8E0A">
    <w:pPr>
      <w:pStyle w:val="26"/>
      <w:framePr w:wrap="around" w:vAnchor="text" w:hAnchor="margin" w:xAlign="center" w:y="1"/>
      <w:rPr>
        <w:rStyle w:val="45"/>
      </w:rPr>
    </w:pPr>
  </w:p>
  <w:p w14:paraId="72D60D60">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522DA">
    <w:pPr>
      <w:pStyle w:val="2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41EA851">
                          <w:pPr>
                            <w:pStyle w:val="26"/>
                            <w:jc w:val="center"/>
                          </w:pPr>
                          <w:r>
                            <w:fldChar w:fldCharType="begin"/>
                          </w:r>
                          <w:r>
                            <w:instrText xml:space="preserve">PAGE   \* MERGEFORMAT</w:instrText>
                          </w:r>
                          <w:r>
                            <w:fldChar w:fldCharType="separate"/>
                          </w:r>
                          <w:r>
                            <w:rPr>
                              <w:lang w:val="zh-CN"/>
                            </w:rPr>
                            <w:t>2</w:t>
                          </w:r>
                          <w:r>
                            <w:fldChar w:fldCharType="end"/>
                          </w:r>
                        </w:p>
                      </w:txbxContent>
                    </wps:txbx>
                    <wps:bodyPr wrap="none" lIns="0" tIns="0" rIns="0" bIns="0" upright="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M3VLCtIBAACjAwAADgAAAAAAAAABACAAAAAi&#10;AQAAZHJzL2Uyb0RvYy54bWxQSwUGAAAAAAYABgBZAQAAZgUAAAAA&#10;">
              <v:fill on="f" focussize="0,0"/>
              <v:stroke on="f" weight="1.25pt"/>
              <v:imagedata o:title=""/>
              <o:lock v:ext="edit" aspectratio="f"/>
              <v:textbox inset="0mm,0mm,0mm,0mm" style="mso-fit-shape-to-text:t;">
                <w:txbxContent>
                  <w:p w14:paraId="041EA851">
                    <w:pPr>
                      <w:pStyle w:val="26"/>
                      <w:jc w:val="center"/>
                    </w:pPr>
                    <w:r>
                      <w:fldChar w:fldCharType="begin"/>
                    </w:r>
                    <w:r>
                      <w:instrText xml:space="preserve">PAGE   \* MERGEFORMAT</w:instrText>
                    </w:r>
                    <w:r>
                      <w:fldChar w:fldCharType="separate"/>
                    </w:r>
                    <w:r>
                      <w:rPr>
                        <w:lang w:val="zh-CN"/>
                      </w:rPr>
                      <w:t>2</w:t>
                    </w:r>
                    <w:r>
                      <w:fldChar w:fldCharType="end"/>
                    </w:r>
                  </w:p>
                </w:txbxContent>
              </v:textbox>
            </v:shape>
          </w:pict>
        </mc:Fallback>
      </mc:AlternateContent>
    </w:r>
  </w:p>
  <w:p w14:paraId="149230D5">
    <w:pPr>
      <w:pStyle w:val="2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91EB4">
    <w:pPr>
      <w:pStyle w:val="2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E0CFDD2">
                          <w:pPr>
                            <w:pStyle w:val="26"/>
                            <w:rPr>
                              <w:rStyle w:val="45"/>
                            </w:rPr>
                          </w:pPr>
                          <w:r>
                            <w:fldChar w:fldCharType="begin"/>
                          </w:r>
                          <w:r>
                            <w:rPr>
                              <w:rStyle w:val="45"/>
                            </w:rPr>
                            <w:instrText xml:space="preserve">PAGE  </w:instrText>
                          </w:r>
                          <w:r>
                            <w:fldChar w:fldCharType="separate"/>
                          </w:r>
                          <w:r>
                            <w:rPr>
                              <w:rStyle w:val="45"/>
                            </w:rPr>
                            <w:t>10</w:t>
                          </w:r>
                          <w:r>
                            <w:fldChar w:fldCharType="end"/>
                          </w:r>
                        </w:p>
                      </w:txbxContent>
                    </wps:txbx>
                    <wps:bodyPr wrap="none" lIns="0" tIns="0" rIns="0" bIns="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CzJJDB0QEAAKQDAAAOAAAAAAAAAAEAIAAAACIB&#10;AABkcnMvZTJvRG9jLnhtbFBLBQYAAAAABgAGAFkBAABlBQAAAAA=&#10;">
              <v:fill on="f" focussize="0,0"/>
              <v:stroke on="f" weight="1.25pt"/>
              <v:imagedata o:title=""/>
              <o:lock v:ext="edit" aspectratio="f"/>
              <v:textbox inset="0mm,0mm,0mm,0mm" style="mso-fit-shape-to-text:t;">
                <w:txbxContent>
                  <w:p w14:paraId="7E0CFDD2">
                    <w:pPr>
                      <w:pStyle w:val="26"/>
                      <w:rPr>
                        <w:rStyle w:val="45"/>
                      </w:rPr>
                    </w:pPr>
                    <w:r>
                      <w:fldChar w:fldCharType="begin"/>
                    </w:r>
                    <w:r>
                      <w:rPr>
                        <w:rStyle w:val="45"/>
                      </w:rPr>
                      <w:instrText xml:space="preserve">PAGE  </w:instrText>
                    </w:r>
                    <w:r>
                      <w:fldChar w:fldCharType="separate"/>
                    </w:r>
                    <w:r>
                      <w:rPr>
                        <w:rStyle w:val="45"/>
                      </w:rPr>
                      <w:t>10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2B175">
    <w:pPr>
      <w:pStyle w:val="26"/>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35CAA5">
                          <w:pPr>
                            <w:pStyle w:val="26"/>
                            <w:jc w:val="center"/>
                          </w:pPr>
                          <w:r>
                            <w:fldChar w:fldCharType="begin"/>
                          </w:r>
                          <w:r>
                            <w:instrText xml:space="preserve">PAGE   \* MERGEFORMAT</w:instrText>
                          </w:r>
                          <w:r>
                            <w:fldChar w:fldCharType="separate"/>
                          </w:r>
                          <w:r>
                            <w:rPr>
                              <w:lang w:val="zh-CN"/>
                            </w:rPr>
                            <w:t>20</w:t>
                          </w:r>
                          <w:r>
                            <w:fldChar w:fldCharType="end"/>
                          </w:r>
                        </w:p>
                      </w:txbxContent>
                    </wps:txbx>
                    <wps:bodyPr wrap="none" lIns="0" tIns="0" rIns="0" bIns="0" upright="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ZgHIsgBAACa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s3EIUe+7skW5HoR3h4RNlN5yhRF2KowjK+ym9co78ee9ZD39Up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IGYByLIAQAAmgMAAA4AAAAAAAAAAQAgAAAAHgEAAGRycy9lMm9Eb2Mu&#10;eG1sUEsFBgAAAAAGAAYAWQEAAFgFAAAAAA==&#10;">
              <v:fill on="f" focussize="0,0"/>
              <v:stroke on="f"/>
              <v:imagedata o:title=""/>
              <o:lock v:ext="edit" aspectratio="f"/>
              <v:textbox inset="0mm,0mm,0mm,0mm" style="mso-fit-shape-to-text:t;">
                <w:txbxContent>
                  <w:p w14:paraId="5135CAA5">
                    <w:pPr>
                      <w:pStyle w:val="26"/>
                      <w:jc w:val="center"/>
                    </w:pPr>
                    <w:r>
                      <w:fldChar w:fldCharType="begin"/>
                    </w:r>
                    <w:r>
                      <w:instrText xml:space="preserve">PAGE   \* MERGEFORMAT</w:instrText>
                    </w:r>
                    <w:r>
                      <w:fldChar w:fldCharType="separate"/>
                    </w:r>
                    <w:r>
                      <w:rPr>
                        <w:lang w:val="zh-CN"/>
                      </w:rPr>
                      <w:t>20</w:t>
                    </w:r>
                    <w:r>
                      <w:fldChar w:fldCharType="end"/>
                    </w:r>
                  </w:p>
                </w:txbxContent>
              </v:textbox>
            </v:shape>
          </w:pict>
        </mc:Fallback>
      </mc:AlternateContent>
    </w:r>
  </w:p>
  <w:p w14:paraId="1F5E1B72">
    <w:pPr>
      <w:pStyle w:val="2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C2244">
    <w:pPr>
      <w:pStyle w:val="26"/>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9EBB296">
                          <w:pPr>
                            <w:pStyle w:val="26"/>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YUUk/SAQAAp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bBx/Uvsv7lFoB//4QsZ3cZaowwk6FcXiZ57RoaTv+9nPW08+1&#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hRST9IBAACkAwAADgAAAAAAAAABACAAAAAi&#10;AQAAZHJzL2Uyb0RvYy54bWxQSwUGAAAAAAYABgBZAQAAZgUAAAAA&#10;">
              <v:fill on="f" focussize="0,0"/>
              <v:stroke on="f" weight="1.25pt"/>
              <v:imagedata o:title=""/>
              <o:lock v:ext="edit" aspectratio="f"/>
              <v:textbox inset="0mm,0mm,0mm,0mm" style="mso-fit-shape-to-text:t;">
                <w:txbxContent>
                  <w:p w14:paraId="49EBB296">
                    <w:pPr>
                      <w:pStyle w:val="26"/>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14:paraId="2407B5A4">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95240">
    <w:pPr>
      <w:pStyle w:val="2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2A084">
    <w:pPr>
      <w:pStyle w:val="27"/>
    </w:pPr>
    <w:r>
      <w:rPr>
        <w:rFonts w:hint="eastAsia" w:ascii="仿宋" w:hAnsi="仿宋" w:eastAsia="仿宋" w:cs="仿宋"/>
      </w:rPr>
      <w:t>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15D89">
    <w:pPr>
      <w:pStyle w:val="27"/>
      <w:rPr>
        <w:rFonts w:hint="eastAsia"/>
      </w:rPr>
    </w:pPr>
    <w:r>
      <w:rPr>
        <w:rFonts w:hint="eastAsia" w:ascii="仿宋" w:hAnsi="仿宋" w:eastAsia="仿宋" w:cs="仿宋"/>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F65D89"/>
    <w:multiLevelType w:val="singleLevel"/>
    <w:tmpl w:val="AEF65D89"/>
    <w:lvl w:ilvl="0" w:tentative="0">
      <w:start w:val="3"/>
      <w:numFmt w:val="chineseCounting"/>
      <w:suff w:val="nothing"/>
      <w:lvlText w:val="（%1）"/>
      <w:lvlJc w:val="left"/>
      <w:rPr>
        <w:rFonts w:hint="eastAsia"/>
      </w:rPr>
    </w:lvl>
  </w:abstractNum>
  <w:abstractNum w:abstractNumId="1">
    <w:nsid w:val="BDFA3FB3"/>
    <w:multiLevelType w:val="singleLevel"/>
    <w:tmpl w:val="BDFA3FB3"/>
    <w:lvl w:ilvl="0" w:tentative="0">
      <w:start w:val="10"/>
      <w:numFmt w:val="chineseCounting"/>
      <w:suff w:val="nothing"/>
      <w:lvlText w:val="（%1）"/>
      <w:lvlJc w:val="left"/>
      <w:rPr>
        <w:rFonts w:hint="eastAsia"/>
      </w:rPr>
    </w:lvl>
  </w:abstractNum>
  <w:abstractNum w:abstractNumId="2">
    <w:nsid w:val="E7B37867"/>
    <w:multiLevelType w:val="singleLevel"/>
    <w:tmpl w:val="E7B37867"/>
    <w:lvl w:ilvl="0" w:tentative="0">
      <w:start w:val="2"/>
      <w:numFmt w:val="chineseCounting"/>
      <w:suff w:val="nothing"/>
      <w:lvlText w:val="%1、"/>
      <w:lvlJc w:val="left"/>
      <w:rPr>
        <w:rFonts w:hint="eastAsia"/>
      </w:rPr>
    </w:lvl>
  </w:abstractNum>
  <w:abstractNum w:abstractNumId="3">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7"/>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4">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5">
    <w:nsid w:val="00000018"/>
    <w:multiLevelType w:val="multilevel"/>
    <w:tmpl w:val="00000018"/>
    <w:lvl w:ilvl="0" w:tentative="0">
      <w:start w:val="1"/>
      <w:numFmt w:val="decimal"/>
      <w:pStyle w:val="147"/>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12EA"/>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0D21"/>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8FF"/>
    <w:rsid w:val="000529A8"/>
    <w:rsid w:val="00052A82"/>
    <w:rsid w:val="00052D6A"/>
    <w:rsid w:val="0005362E"/>
    <w:rsid w:val="00053CA5"/>
    <w:rsid w:val="00054057"/>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3717"/>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926"/>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0F04"/>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0F7B"/>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3B9E"/>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9F5"/>
    <w:rsid w:val="00163C0D"/>
    <w:rsid w:val="001645A2"/>
    <w:rsid w:val="001645E5"/>
    <w:rsid w:val="0016486D"/>
    <w:rsid w:val="00164ABB"/>
    <w:rsid w:val="00164D56"/>
    <w:rsid w:val="00164F56"/>
    <w:rsid w:val="00165F01"/>
    <w:rsid w:val="00165F8F"/>
    <w:rsid w:val="00167491"/>
    <w:rsid w:val="00167577"/>
    <w:rsid w:val="00170537"/>
    <w:rsid w:val="001711D7"/>
    <w:rsid w:val="001717AC"/>
    <w:rsid w:val="0017240A"/>
    <w:rsid w:val="00172475"/>
    <w:rsid w:val="00172575"/>
    <w:rsid w:val="001728F3"/>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4CD"/>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437"/>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289"/>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28F3"/>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8D"/>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9B8"/>
    <w:rsid w:val="00356CB3"/>
    <w:rsid w:val="003577E5"/>
    <w:rsid w:val="00357C4F"/>
    <w:rsid w:val="00357E8E"/>
    <w:rsid w:val="00360741"/>
    <w:rsid w:val="003625E3"/>
    <w:rsid w:val="003626C3"/>
    <w:rsid w:val="00362844"/>
    <w:rsid w:val="00362AD4"/>
    <w:rsid w:val="00363CBB"/>
    <w:rsid w:val="003650C8"/>
    <w:rsid w:val="003657E1"/>
    <w:rsid w:val="00365848"/>
    <w:rsid w:val="00365D26"/>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B6087"/>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F4C"/>
    <w:rsid w:val="003D47B0"/>
    <w:rsid w:val="003D48E0"/>
    <w:rsid w:val="003D580E"/>
    <w:rsid w:val="003D5BF3"/>
    <w:rsid w:val="003D7820"/>
    <w:rsid w:val="003E0697"/>
    <w:rsid w:val="003E103D"/>
    <w:rsid w:val="003E113D"/>
    <w:rsid w:val="003E149F"/>
    <w:rsid w:val="003E1523"/>
    <w:rsid w:val="003E17B1"/>
    <w:rsid w:val="003E18A3"/>
    <w:rsid w:val="003E1E8A"/>
    <w:rsid w:val="003E1F95"/>
    <w:rsid w:val="003E255A"/>
    <w:rsid w:val="003E2D45"/>
    <w:rsid w:val="003E2DD2"/>
    <w:rsid w:val="003E45F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930"/>
    <w:rsid w:val="00414C3D"/>
    <w:rsid w:val="004154C6"/>
    <w:rsid w:val="004154E3"/>
    <w:rsid w:val="00415B40"/>
    <w:rsid w:val="00416915"/>
    <w:rsid w:val="00416E0B"/>
    <w:rsid w:val="0041716A"/>
    <w:rsid w:val="004204A7"/>
    <w:rsid w:val="004210BA"/>
    <w:rsid w:val="00421AA2"/>
    <w:rsid w:val="004222E4"/>
    <w:rsid w:val="00422C74"/>
    <w:rsid w:val="004236EA"/>
    <w:rsid w:val="00423763"/>
    <w:rsid w:val="0042535E"/>
    <w:rsid w:val="00425714"/>
    <w:rsid w:val="00425BC2"/>
    <w:rsid w:val="00425EC6"/>
    <w:rsid w:val="00427022"/>
    <w:rsid w:val="004274CA"/>
    <w:rsid w:val="00427AFF"/>
    <w:rsid w:val="00427F55"/>
    <w:rsid w:val="00430260"/>
    <w:rsid w:val="004302EC"/>
    <w:rsid w:val="004304E9"/>
    <w:rsid w:val="004313E5"/>
    <w:rsid w:val="0043197C"/>
    <w:rsid w:val="0043289E"/>
    <w:rsid w:val="00433374"/>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2B4"/>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AE9"/>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197"/>
    <w:rsid w:val="004E1439"/>
    <w:rsid w:val="004E1933"/>
    <w:rsid w:val="004E199A"/>
    <w:rsid w:val="004E1A76"/>
    <w:rsid w:val="004E1EC7"/>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B44"/>
    <w:rsid w:val="004F4C15"/>
    <w:rsid w:val="004F5285"/>
    <w:rsid w:val="004F59DE"/>
    <w:rsid w:val="004F6350"/>
    <w:rsid w:val="004F6C7D"/>
    <w:rsid w:val="004F74AA"/>
    <w:rsid w:val="004F7752"/>
    <w:rsid w:val="004F7D9E"/>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5CF"/>
    <w:rsid w:val="005228D7"/>
    <w:rsid w:val="005229B2"/>
    <w:rsid w:val="005235ED"/>
    <w:rsid w:val="005238BD"/>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75FC"/>
    <w:rsid w:val="0053781B"/>
    <w:rsid w:val="00537845"/>
    <w:rsid w:val="005407F1"/>
    <w:rsid w:val="00540BFF"/>
    <w:rsid w:val="00541086"/>
    <w:rsid w:val="00541359"/>
    <w:rsid w:val="00541AE5"/>
    <w:rsid w:val="00541B8B"/>
    <w:rsid w:val="00542378"/>
    <w:rsid w:val="00542C29"/>
    <w:rsid w:val="00542CBE"/>
    <w:rsid w:val="0054303C"/>
    <w:rsid w:val="00543A85"/>
    <w:rsid w:val="00543FD8"/>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1578"/>
    <w:rsid w:val="005615DD"/>
    <w:rsid w:val="00561CC4"/>
    <w:rsid w:val="00561D5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2A89"/>
    <w:rsid w:val="00593460"/>
    <w:rsid w:val="00594819"/>
    <w:rsid w:val="00594972"/>
    <w:rsid w:val="00594A27"/>
    <w:rsid w:val="005961FD"/>
    <w:rsid w:val="005963E3"/>
    <w:rsid w:val="005975AD"/>
    <w:rsid w:val="00597919"/>
    <w:rsid w:val="00597AB4"/>
    <w:rsid w:val="005A0E03"/>
    <w:rsid w:val="005A287D"/>
    <w:rsid w:val="005A40E3"/>
    <w:rsid w:val="005A524E"/>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88B"/>
    <w:rsid w:val="005B7992"/>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4301"/>
    <w:rsid w:val="005D45AF"/>
    <w:rsid w:val="005D461C"/>
    <w:rsid w:val="005D4C19"/>
    <w:rsid w:val="005D5734"/>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32D"/>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6F9C"/>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2DE9"/>
    <w:rsid w:val="006738FF"/>
    <w:rsid w:val="00673F7E"/>
    <w:rsid w:val="00674105"/>
    <w:rsid w:val="00675073"/>
    <w:rsid w:val="006753FF"/>
    <w:rsid w:val="00675BEA"/>
    <w:rsid w:val="00675F3B"/>
    <w:rsid w:val="00676E07"/>
    <w:rsid w:val="00677693"/>
    <w:rsid w:val="00677D78"/>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03C3"/>
    <w:rsid w:val="00731018"/>
    <w:rsid w:val="0073129A"/>
    <w:rsid w:val="00731946"/>
    <w:rsid w:val="00732805"/>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02F"/>
    <w:rsid w:val="00753ABB"/>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9F7"/>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29C"/>
    <w:rsid w:val="007B37E3"/>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7455"/>
    <w:rsid w:val="007C794A"/>
    <w:rsid w:val="007D0669"/>
    <w:rsid w:val="007D0AAB"/>
    <w:rsid w:val="007D10A5"/>
    <w:rsid w:val="007D20E6"/>
    <w:rsid w:val="007D2815"/>
    <w:rsid w:val="007D2A2F"/>
    <w:rsid w:val="007D3622"/>
    <w:rsid w:val="007D39DB"/>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105B0"/>
    <w:rsid w:val="008108FB"/>
    <w:rsid w:val="00810C3A"/>
    <w:rsid w:val="00811633"/>
    <w:rsid w:val="00811797"/>
    <w:rsid w:val="00812DBD"/>
    <w:rsid w:val="00813155"/>
    <w:rsid w:val="008136F5"/>
    <w:rsid w:val="008138C1"/>
    <w:rsid w:val="00813B69"/>
    <w:rsid w:val="00813F4E"/>
    <w:rsid w:val="00813F82"/>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287"/>
    <w:rsid w:val="008419A1"/>
    <w:rsid w:val="00841A2C"/>
    <w:rsid w:val="0084222D"/>
    <w:rsid w:val="00842CEA"/>
    <w:rsid w:val="00842DA5"/>
    <w:rsid w:val="008436AC"/>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7C1"/>
    <w:rsid w:val="008A399E"/>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A1C"/>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19"/>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DB5"/>
    <w:rsid w:val="009C3EBC"/>
    <w:rsid w:val="009C4084"/>
    <w:rsid w:val="009C457D"/>
    <w:rsid w:val="009C4A22"/>
    <w:rsid w:val="009C4B5A"/>
    <w:rsid w:val="009C4BB1"/>
    <w:rsid w:val="009C4DE2"/>
    <w:rsid w:val="009C55B9"/>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71F"/>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362E"/>
    <w:rsid w:val="00A13BF6"/>
    <w:rsid w:val="00A14335"/>
    <w:rsid w:val="00A1443D"/>
    <w:rsid w:val="00A1486C"/>
    <w:rsid w:val="00A150A5"/>
    <w:rsid w:val="00A151AE"/>
    <w:rsid w:val="00A154C7"/>
    <w:rsid w:val="00A158E3"/>
    <w:rsid w:val="00A15C25"/>
    <w:rsid w:val="00A17C20"/>
    <w:rsid w:val="00A20059"/>
    <w:rsid w:val="00A20681"/>
    <w:rsid w:val="00A206FA"/>
    <w:rsid w:val="00A20965"/>
    <w:rsid w:val="00A20D9F"/>
    <w:rsid w:val="00A20F6E"/>
    <w:rsid w:val="00A2173F"/>
    <w:rsid w:val="00A21C06"/>
    <w:rsid w:val="00A22B71"/>
    <w:rsid w:val="00A22BA3"/>
    <w:rsid w:val="00A22D20"/>
    <w:rsid w:val="00A2347A"/>
    <w:rsid w:val="00A2562A"/>
    <w:rsid w:val="00A2605C"/>
    <w:rsid w:val="00A263F5"/>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641"/>
    <w:rsid w:val="00A45A8D"/>
    <w:rsid w:val="00A45FA8"/>
    <w:rsid w:val="00A46347"/>
    <w:rsid w:val="00A463CA"/>
    <w:rsid w:val="00A46947"/>
    <w:rsid w:val="00A46EB9"/>
    <w:rsid w:val="00A50443"/>
    <w:rsid w:val="00A505D1"/>
    <w:rsid w:val="00A52D0B"/>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3E3D"/>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3DE4"/>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CB9"/>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2B66"/>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11F2"/>
    <w:rsid w:val="00C71209"/>
    <w:rsid w:val="00C71C64"/>
    <w:rsid w:val="00C71FCC"/>
    <w:rsid w:val="00C726C2"/>
    <w:rsid w:val="00C726F5"/>
    <w:rsid w:val="00C72ACF"/>
    <w:rsid w:val="00C74AA7"/>
    <w:rsid w:val="00C74C23"/>
    <w:rsid w:val="00C751AE"/>
    <w:rsid w:val="00C753B5"/>
    <w:rsid w:val="00C75A3B"/>
    <w:rsid w:val="00C760ED"/>
    <w:rsid w:val="00C76EEF"/>
    <w:rsid w:val="00C77151"/>
    <w:rsid w:val="00C77199"/>
    <w:rsid w:val="00C80BC6"/>
    <w:rsid w:val="00C80C2B"/>
    <w:rsid w:val="00C82689"/>
    <w:rsid w:val="00C82C05"/>
    <w:rsid w:val="00C8322E"/>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76A"/>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1278"/>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0C6D"/>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2963"/>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6E8"/>
    <w:rsid w:val="00D7489A"/>
    <w:rsid w:val="00D74C4E"/>
    <w:rsid w:val="00D74E9A"/>
    <w:rsid w:val="00D75306"/>
    <w:rsid w:val="00D755FC"/>
    <w:rsid w:val="00D757A2"/>
    <w:rsid w:val="00D75DDA"/>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1B7C"/>
    <w:rsid w:val="00DE2D2D"/>
    <w:rsid w:val="00DE32FC"/>
    <w:rsid w:val="00DE51B5"/>
    <w:rsid w:val="00DE592E"/>
    <w:rsid w:val="00DE5B82"/>
    <w:rsid w:val="00DE5EC9"/>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3F4F"/>
    <w:rsid w:val="00E245C8"/>
    <w:rsid w:val="00E2462D"/>
    <w:rsid w:val="00E26E10"/>
    <w:rsid w:val="00E27222"/>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375AD"/>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5247"/>
    <w:rsid w:val="00E55375"/>
    <w:rsid w:val="00E55B76"/>
    <w:rsid w:val="00E561E6"/>
    <w:rsid w:val="00E5642B"/>
    <w:rsid w:val="00E564DE"/>
    <w:rsid w:val="00E56798"/>
    <w:rsid w:val="00E56E39"/>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67A48"/>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3DEC"/>
    <w:rsid w:val="00E94519"/>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A7F36"/>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6F8"/>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3C2F"/>
    <w:rsid w:val="00F3434F"/>
    <w:rsid w:val="00F34536"/>
    <w:rsid w:val="00F345DF"/>
    <w:rsid w:val="00F34D95"/>
    <w:rsid w:val="00F3543E"/>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3994"/>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0D83"/>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6A71"/>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37ECF"/>
    <w:rsid w:val="01191F36"/>
    <w:rsid w:val="01241D66"/>
    <w:rsid w:val="014A3244"/>
    <w:rsid w:val="01A51AFF"/>
    <w:rsid w:val="01B95421"/>
    <w:rsid w:val="020B1354"/>
    <w:rsid w:val="022D32CB"/>
    <w:rsid w:val="025A55E9"/>
    <w:rsid w:val="029442A4"/>
    <w:rsid w:val="02A23766"/>
    <w:rsid w:val="02BC63B4"/>
    <w:rsid w:val="0317318F"/>
    <w:rsid w:val="034D12D4"/>
    <w:rsid w:val="035C2662"/>
    <w:rsid w:val="03637FE7"/>
    <w:rsid w:val="0376348B"/>
    <w:rsid w:val="0388663C"/>
    <w:rsid w:val="03A97929"/>
    <w:rsid w:val="03C32A6F"/>
    <w:rsid w:val="03CE20DF"/>
    <w:rsid w:val="03D57B0C"/>
    <w:rsid w:val="03FB034A"/>
    <w:rsid w:val="040E0780"/>
    <w:rsid w:val="047A6254"/>
    <w:rsid w:val="04BE1034"/>
    <w:rsid w:val="04D0480D"/>
    <w:rsid w:val="04D34B21"/>
    <w:rsid w:val="04D81D11"/>
    <w:rsid w:val="04E366BD"/>
    <w:rsid w:val="04F10A9B"/>
    <w:rsid w:val="050E1D07"/>
    <w:rsid w:val="0515460A"/>
    <w:rsid w:val="052076F5"/>
    <w:rsid w:val="053F6840"/>
    <w:rsid w:val="05525152"/>
    <w:rsid w:val="05656DAB"/>
    <w:rsid w:val="059874F0"/>
    <w:rsid w:val="059E0622"/>
    <w:rsid w:val="05CD1AD2"/>
    <w:rsid w:val="05D050F7"/>
    <w:rsid w:val="05F9607E"/>
    <w:rsid w:val="05FE2BF2"/>
    <w:rsid w:val="06402ABA"/>
    <w:rsid w:val="064E339A"/>
    <w:rsid w:val="068D6A93"/>
    <w:rsid w:val="069E6AB1"/>
    <w:rsid w:val="06A26061"/>
    <w:rsid w:val="06CE7668"/>
    <w:rsid w:val="06E00027"/>
    <w:rsid w:val="06E25B52"/>
    <w:rsid w:val="072D2162"/>
    <w:rsid w:val="073518D0"/>
    <w:rsid w:val="07354BC2"/>
    <w:rsid w:val="07442036"/>
    <w:rsid w:val="0750320D"/>
    <w:rsid w:val="079E0D8E"/>
    <w:rsid w:val="07CD7297"/>
    <w:rsid w:val="085C77EA"/>
    <w:rsid w:val="08B05320"/>
    <w:rsid w:val="08E9597F"/>
    <w:rsid w:val="08F900D1"/>
    <w:rsid w:val="08F935C9"/>
    <w:rsid w:val="09045CE0"/>
    <w:rsid w:val="09696FDD"/>
    <w:rsid w:val="096C5C89"/>
    <w:rsid w:val="097313E3"/>
    <w:rsid w:val="09771A8A"/>
    <w:rsid w:val="097A7E27"/>
    <w:rsid w:val="09813EE4"/>
    <w:rsid w:val="09A17C7A"/>
    <w:rsid w:val="09A54C50"/>
    <w:rsid w:val="09BC6028"/>
    <w:rsid w:val="09CD4DDF"/>
    <w:rsid w:val="09D35269"/>
    <w:rsid w:val="09DD448E"/>
    <w:rsid w:val="09DD6A43"/>
    <w:rsid w:val="09FD0A32"/>
    <w:rsid w:val="0A2B31CA"/>
    <w:rsid w:val="0A534AFF"/>
    <w:rsid w:val="0A5A5EB7"/>
    <w:rsid w:val="0A6F3443"/>
    <w:rsid w:val="0AAE469B"/>
    <w:rsid w:val="0AB51B2D"/>
    <w:rsid w:val="0B104CB8"/>
    <w:rsid w:val="0B107D8C"/>
    <w:rsid w:val="0B154BBD"/>
    <w:rsid w:val="0B325F44"/>
    <w:rsid w:val="0B471BC9"/>
    <w:rsid w:val="0B6866EB"/>
    <w:rsid w:val="0B7071B5"/>
    <w:rsid w:val="0B825EDB"/>
    <w:rsid w:val="0BCA3D41"/>
    <w:rsid w:val="0BCC1983"/>
    <w:rsid w:val="0C2057FC"/>
    <w:rsid w:val="0C2D66FE"/>
    <w:rsid w:val="0C5E3191"/>
    <w:rsid w:val="0C616454"/>
    <w:rsid w:val="0C764AAB"/>
    <w:rsid w:val="0C7A707B"/>
    <w:rsid w:val="0C864E88"/>
    <w:rsid w:val="0C8C7B9F"/>
    <w:rsid w:val="0C9475E1"/>
    <w:rsid w:val="0CA62E5A"/>
    <w:rsid w:val="0CB43017"/>
    <w:rsid w:val="0CD32AA0"/>
    <w:rsid w:val="0CE41E67"/>
    <w:rsid w:val="0D17585D"/>
    <w:rsid w:val="0D3E33CC"/>
    <w:rsid w:val="0D5745CD"/>
    <w:rsid w:val="0D575B85"/>
    <w:rsid w:val="0D5E04FB"/>
    <w:rsid w:val="0D607B2A"/>
    <w:rsid w:val="0D7E21C9"/>
    <w:rsid w:val="0D885EF1"/>
    <w:rsid w:val="0DA37C00"/>
    <w:rsid w:val="0DAF0AF5"/>
    <w:rsid w:val="0DDF7C6E"/>
    <w:rsid w:val="0DF317F5"/>
    <w:rsid w:val="0DF626F7"/>
    <w:rsid w:val="0DF7405B"/>
    <w:rsid w:val="0DF96E8C"/>
    <w:rsid w:val="0E183F30"/>
    <w:rsid w:val="0E1C1B02"/>
    <w:rsid w:val="0E1D2CA7"/>
    <w:rsid w:val="0E2E2851"/>
    <w:rsid w:val="0E4571B4"/>
    <w:rsid w:val="0E513A96"/>
    <w:rsid w:val="0E6A0CB4"/>
    <w:rsid w:val="0E79874A"/>
    <w:rsid w:val="0E7F55DC"/>
    <w:rsid w:val="0E824CB1"/>
    <w:rsid w:val="0E893E01"/>
    <w:rsid w:val="0EEC37BE"/>
    <w:rsid w:val="0F1555F1"/>
    <w:rsid w:val="0F22624D"/>
    <w:rsid w:val="0F5A309E"/>
    <w:rsid w:val="0F7F0CB4"/>
    <w:rsid w:val="0F864AF8"/>
    <w:rsid w:val="0F891808"/>
    <w:rsid w:val="0FD05B7C"/>
    <w:rsid w:val="0FE26F7E"/>
    <w:rsid w:val="0FF86998"/>
    <w:rsid w:val="0FFB69DA"/>
    <w:rsid w:val="0FFF9E23"/>
    <w:rsid w:val="104D2298"/>
    <w:rsid w:val="10732690"/>
    <w:rsid w:val="108A3181"/>
    <w:rsid w:val="10933928"/>
    <w:rsid w:val="10E053CE"/>
    <w:rsid w:val="10EA5F4D"/>
    <w:rsid w:val="11437F75"/>
    <w:rsid w:val="115A4A6C"/>
    <w:rsid w:val="117A67CD"/>
    <w:rsid w:val="118A5482"/>
    <w:rsid w:val="11CB154F"/>
    <w:rsid w:val="11D57FF6"/>
    <w:rsid w:val="11EC0DBF"/>
    <w:rsid w:val="11EF5B10"/>
    <w:rsid w:val="12003074"/>
    <w:rsid w:val="12042B6A"/>
    <w:rsid w:val="1283653C"/>
    <w:rsid w:val="128D0ACD"/>
    <w:rsid w:val="12934B57"/>
    <w:rsid w:val="12AF0785"/>
    <w:rsid w:val="12B5001B"/>
    <w:rsid w:val="12B74C45"/>
    <w:rsid w:val="12B97E85"/>
    <w:rsid w:val="12E02111"/>
    <w:rsid w:val="12E0359D"/>
    <w:rsid w:val="12E3158A"/>
    <w:rsid w:val="131948E0"/>
    <w:rsid w:val="13326301"/>
    <w:rsid w:val="134B49D1"/>
    <w:rsid w:val="13774559"/>
    <w:rsid w:val="13831D0F"/>
    <w:rsid w:val="13A07D1C"/>
    <w:rsid w:val="13AA6C7A"/>
    <w:rsid w:val="13AF12D1"/>
    <w:rsid w:val="13D97F0D"/>
    <w:rsid w:val="13DB77D7"/>
    <w:rsid w:val="146A774B"/>
    <w:rsid w:val="146B5DFA"/>
    <w:rsid w:val="146E33A4"/>
    <w:rsid w:val="14833540"/>
    <w:rsid w:val="14887B0E"/>
    <w:rsid w:val="14946069"/>
    <w:rsid w:val="14A93F80"/>
    <w:rsid w:val="14E145A4"/>
    <w:rsid w:val="14E20675"/>
    <w:rsid w:val="151D2E85"/>
    <w:rsid w:val="152315CE"/>
    <w:rsid w:val="153A298B"/>
    <w:rsid w:val="155C7174"/>
    <w:rsid w:val="15702ADB"/>
    <w:rsid w:val="157F4238"/>
    <w:rsid w:val="15942E62"/>
    <w:rsid w:val="15B64A00"/>
    <w:rsid w:val="15B8776F"/>
    <w:rsid w:val="15C80049"/>
    <w:rsid w:val="15DC403B"/>
    <w:rsid w:val="15FC4DAB"/>
    <w:rsid w:val="161F262E"/>
    <w:rsid w:val="16444AAD"/>
    <w:rsid w:val="164729D6"/>
    <w:rsid w:val="16623343"/>
    <w:rsid w:val="167639EE"/>
    <w:rsid w:val="16952AE1"/>
    <w:rsid w:val="16987D08"/>
    <w:rsid w:val="16B000D0"/>
    <w:rsid w:val="16C06700"/>
    <w:rsid w:val="16EF6BE0"/>
    <w:rsid w:val="16F64A51"/>
    <w:rsid w:val="1703020F"/>
    <w:rsid w:val="1712563F"/>
    <w:rsid w:val="171728C0"/>
    <w:rsid w:val="1731377E"/>
    <w:rsid w:val="173B45EA"/>
    <w:rsid w:val="175824DC"/>
    <w:rsid w:val="17684F4D"/>
    <w:rsid w:val="17A02F74"/>
    <w:rsid w:val="17A64703"/>
    <w:rsid w:val="17AF94C5"/>
    <w:rsid w:val="17D426A8"/>
    <w:rsid w:val="17D430F8"/>
    <w:rsid w:val="17F10988"/>
    <w:rsid w:val="180F222F"/>
    <w:rsid w:val="18420450"/>
    <w:rsid w:val="18932160"/>
    <w:rsid w:val="18B45502"/>
    <w:rsid w:val="1925275C"/>
    <w:rsid w:val="19325F66"/>
    <w:rsid w:val="195F03D1"/>
    <w:rsid w:val="19784F04"/>
    <w:rsid w:val="197B27AB"/>
    <w:rsid w:val="19853DFD"/>
    <w:rsid w:val="198B0A33"/>
    <w:rsid w:val="19A73E3E"/>
    <w:rsid w:val="19B377DB"/>
    <w:rsid w:val="19B63D32"/>
    <w:rsid w:val="1A03730E"/>
    <w:rsid w:val="1A143B33"/>
    <w:rsid w:val="1A2E4342"/>
    <w:rsid w:val="1A306299"/>
    <w:rsid w:val="1A3503C3"/>
    <w:rsid w:val="1A4E6FE1"/>
    <w:rsid w:val="1A627DE6"/>
    <w:rsid w:val="1A761976"/>
    <w:rsid w:val="1A7D4CCC"/>
    <w:rsid w:val="1A8E6CD5"/>
    <w:rsid w:val="1A9452B0"/>
    <w:rsid w:val="1A986C8A"/>
    <w:rsid w:val="1AB84712"/>
    <w:rsid w:val="1ACF3752"/>
    <w:rsid w:val="1AD86012"/>
    <w:rsid w:val="1AD9181C"/>
    <w:rsid w:val="1AE9346B"/>
    <w:rsid w:val="1AED79C0"/>
    <w:rsid w:val="1B0537E4"/>
    <w:rsid w:val="1B2E771E"/>
    <w:rsid w:val="1B3E2362"/>
    <w:rsid w:val="1B476529"/>
    <w:rsid w:val="1B4E3302"/>
    <w:rsid w:val="1B6212E1"/>
    <w:rsid w:val="1B77204D"/>
    <w:rsid w:val="1B857BD8"/>
    <w:rsid w:val="1B8C1890"/>
    <w:rsid w:val="1B976D3F"/>
    <w:rsid w:val="1BBF2D87"/>
    <w:rsid w:val="1BC349DE"/>
    <w:rsid w:val="1BF442EC"/>
    <w:rsid w:val="1C3F7FA6"/>
    <w:rsid w:val="1C492B76"/>
    <w:rsid w:val="1C747EF9"/>
    <w:rsid w:val="1C813E89"/>
    <w:rsid w:val="1C844B5B"/>
    <w:rsid w:val="1C86668C"/>
    <w:rsid w:val="1C8C6C33"/>
    <w:rsid w:val="1CC64637"/>
    <w:rsid w:val="1CCA25EF"/>
    <w:rsid w:val="1CCA789A"/>
    <w:rsid w:val="1CCC4A9D"/>
    <w:rsid w:val="1CD67896"/>
    <w:rsid w:val="1CE03735"/>
    <w:rsid w:val="1D3348B9"/>
    <w:rsid w:val="1D6BA2A5"/>
    <w:rsid w:val="1D70483F"/>
    <w:rsid w:val="1D760B5F"/>
    <w:rsid w:val="1D7736AA"/>
    <w:rsid w:val="1D7EDBAC"/>
    <w:rsid w:val="1DA55031"/>
    <w:rsid w:val="1DA90101"/>
    <w:rsid w:val="1DB72178"/>
    <w:rsid w:val="1DE33932"/>
    <w:rsid w:val="1DE547AB"/>
    <w:rsid w:val="1DEA3BDA"/>
    <w:rsid w:val="1DF1708C"/>
    <w:rsid w:val="1E1B3FC3"/>
    <w:rsid w:val="1E3D42AB"/>
    <w:rsid w:val="1E5805C9"/>
    <w:rsid w:val="1E5C27D9"/>
    <w:rsid w:val="1E6E8FC2"/>
    <w:rsid w:val="1E960B39"/>
    <w:rsid w:val="1EA8294E"/>
    <w:rsid w:val="1EE920F1"/>
    <w:rsid w:val="1EEDC44B"/>
    <w:rsid w:val="1EF321F1"/>
    <w:rsid w:val="1EF83469"/>
    <w:rsid w:val="1F121216"/>
    <w:rsid w:val="1F1A79F2"/>
    <w:rsid w:val="1F3C2E43"/>
    <w:rsid w:val="1F4205D3"/>
    <w:rsid w:val="1F433A78"/>
    <w:rsid w:val="1F4D0F4B"/>
    <w:rsid w:val="1F901744"/>
    <w:rsid w:val="1F983263"/>
    <w:rsid w:val="1FAF1D46"/>
    <w:rsid w:val="1FB1255F"/>
    <w:rsid w:val="1FBFA5C8"/>
    <w:rsid w:val="1FD97C09"/>
    <w:rsid w:val="1FDF48EE"/>
    <w:rsid w:val="1FE607C1"/>
    <w:rsid w:val="200927CB"/>
    <w:rsid w:val="203A0E21"/>
    <w:rsid w:val="203B04ED"/>
    <w:rsid w:val="203F229D"/>
    <w:rsid w:val="20625F75"/>
    <w:rsid w:val="2069158A"/>
    <w:rsid w:val="207364D3"/>
    <w:rsid w:val="20976B5A"/>
    <w:rsid w:val="209B4147"/>
    <w:rsid w:val="20C26C84"/>
    <w:rsid w:val="20C42294"/>
    <w:rsid w:val="20C443FE"/>
    <w:rsid w:val="20C50451"/>
    <w:rsid w:val="20D77BFC"/>
    <w:rsid w:val="210F16D9"/>
    <w:rsid w:val="210F7FBF"/>
    <w:rsid w:val="21372259"/>
    <w:rsid w:val="21694910"/>
    <w:rsid w:val="21822CFB"/>
    <w:rsid w:val="21D63963"/>
    <w:rsid w:val="21ED4624"/>
    <w:rsid w:val="22294218"/>
    <w:rsid w:val="22512901"/>
    <w:rsid w:val="2267492F"/>
    <w:rsid w:val="22A44447"/>
    <w:rsid w:val="22B346F2"/>
    <w:rsid w:val="22D05B48"/>
    <w:rsid w:val="22E006EF"/>
    <w:rsid w:val="22F00A92"/>
    <w:rsid w:val="2301712C"/>
    <w:rsid w:val="23444268"/>
    <w:rsid w:val="23B302CE"/>
    <w:rsid w:val="23D16EFC"/>
    <w:rsid w:val="23EF3232"/>
    <w:rsid w:val="2403431B"/>
    <w:rsid w:val="240A5D77"/>
    <w:rsid w:val="24142194"/>
    <w:rsid w:val="246739F8"/>
    <w:rsid w:val="24A30FBB"/>
    <w:rsid w:val="24C00E4A"/>
    <w:rsid w:val="24DB1B09"/>
    <w:rsid w:val="24E60780"/>
    <w:rsid w:val="24F43B92"/>
    <w:rsid w:val="24FF19C4"/>
    <w:rsid w:val="25041590"/>
    <w:rsid w:val="25731E80"/>
    <w:rsid w:val="257866B1"/>
    <w:rsid w:val="258F38CC"/>
    <w:rsid w:val="25A82F5B"/>
    <w:rsid w:val="25C915FC"/>
    <w:rsid w:val="260874E8"/>
    <w:rsid w:val="26124ED4"/>
    <w:rsid w:val="2632366A"/>
    <w:rsid w:val="26333878"/>
    <w:rsid w:val="26520DBA"/>
    <w:rsid w:val="26595760"/>
    <w:rsid w:val="267E7E2B"/>
    <w:rsid w:val="26B613FF"/>
    <w:rsid w:val="26C62C95"/>
    <w:rsid w:val="26C848AF"/>
    <w:rsid w:val="26CE2A68"/>
    <w:rsid w:val="26D97433"/>
    <w:rsid w:val="271C5FE7"/>
    <w:rsid w:val="27315631"/>
    <w:rsid w:val="275C465E"/>
    <w:rsid w:val="27992D3B"/>
    <w:rsid w:val="27AA2CA3"/>
    <w:rsid w:val="27B01683"/>
    <w:rsid w:val="27B8211C"/>
    <w:rsid w:val="27C82253"/>
    <w:rsid w:val="27EC4E71"/>
    <w:rsid w:val="28247BB6"/>
    <w:rsid w:val="28933CCC"/>
    <w:rsid w:val="28AE7984"/>
    <w:rsid w:val="28C80D3F"/>
    <w:rsid w:val="28D96965"/>
    <w:rsid w:val="28DE3958"/>
    <w:rsid w:val="29055F95"/>
    <w:rsid w:val="29341888"/>
    <w:rsid w:val="2945508F"/>
    <w:rsid w:val="296740FF"/>
    <w:rsid w:val="29701219"/>
    <w:rsid w:val="298E09C9"/>
    <w:rsid w:val="299E2D9B"/>
    <w:rsid w:val="29B421E7"/>
    <w:rsid w:val="29DE1DBA"/>
    <w:rsid w:val="29FB3EBB"/>
    <w:rsid w:val="29FD2F6F"/>
    <w:rsid w:val="2A0A5C85"/>
    <w:rsid w:val="2A0F28F4"/>
    <w:rsid w:val="2A0F54AF"/>
    <w:rsid w:val="2A1D03C7"/>
    <w:rsid w:val="2A2E41C8"/>
    <w:rsid w:val="2A446D64"/>
    <w:rsid w:val="2A4F5FF4"/>
    <w:rsid w:val="2A8C02FC"/>
    <w:rsid w:val="2AC12DBF"/>
    <w:rsid w:val="2AEE531A"/>
    <w:rsid w:val="2AFB6893"/>
    <w:rsid w:val="2B1C66E6"/>
    <w:rsid w:val="2B22793F"/>
    <w:rsid w:val="2B2E77B1"/>
    <w:rsid w:val="2B3C5C6D"/>
    <w:rsid w:val="2B6C4470"/>
    <w:rsid w:val="2B7D5189"/>
    <w:rsid w:val="2B8F6C63"/>
    <w:rsid w:val="2BDE868F"/>
    <w:rsid w:val="2C091874"/>
    <w:rsid w:val="2C0C2E05"/>
    <w:rsid w:val="2C187F64"/>
    <w:rsid w:val="2C2A6F85"/>
    <w:rsid w:val="2C301EDF"/>
    <w:rsid w:val="2C363D63"/>
    <w:rsid w:val="2C4A7F5F"/>
    <w:rsid w:val="2C515B6D"/>
    <w:rsid w:val="2C5F0A97"/>
    <w:rsid w:val="2C854E4C"/>
    <w:rsid w:val="2C8A3639"/>
    <w:rsid w:val="2CA8549C"/>
    <w:rsid w:val="2CC35E7E"/>
    <w:rsid w:val="2CD63D6C"/>
    <w:rsid w:val="2CF748AA"/>
    <w:rsid w:val="2D157538"/>
    <w:rsid w:val="2D2F720D"/>
    <w:rsid w:val="2D310B09"/>
    <w:rsid w:val="2D4828C3"/>
    <w:rsid w:val="2D57345B"/>
    <w:rsid w:val="2D5F3EE2"/>
    <w:rsid w:val="2D764F47"/>
    <w:rsid w:val="2DD91851"/>
    <w:rsid w:val="2DF9093A"/>
    <w:rsid w:val="2E4D6A38"/>
    <w:rsid w:val="2E9025A4"/>
    <w:rsid w:val="2EBD40A4"/>
    <w:rsid w:val="2EE158E9"/>
    <w:rsid w:val="2EF35252"/>
    <w:rsid w:val="2F080823"/>
    <w:rsid w:val="2F08776A"/>
    <w:rsid w:val="2F0D5D93"/>
    <w:rsid w:val="2F173E47"/>
    <w:rsid w:val="2F1B4932"/>
    <w:rsid w:val="2F20375F"/>
    <w:rsid w:val="2F3E632A"/>
    <w:rsid w:val="2F4F3241"/>
    <w:rsid w:val="2F6C3DCC"/>
    <w:rsid w:val="2F797671"/>
    <w:rsid w:val="2F7B3516"/>
    <w:rsid w:val="2F81674D"/>
    <w:rsid w:val="2FC25D7B"/>
    <w:rsid w:val="2FE87A6A"/>
    <w:rsid w:val="2FE91C99"/>
    <w:rsid w:val="2FF81FE9"/>
    <w:rsid w:val="2FFD154B"/>
    <w:rsid w:val="30184226"/>
    <w:rsid w:val="304D190A"/>
    <w:rsid w:val="3086347F"/>
    <w:rsid w:val="308F4B91"/>
    <w:rsid w:val="30941DB6"/>
    <w:rsid w:val="309E7091"/>
    <w:rsid w:val="30BD4B70"/>
    <w:rsid w:val="30DE49F0"/>
    <w:rsid w:val="30E20ADF"/>
    <w:rsid w:val="31104BE6"/>
    <w:rsid w:val="31107C6B"/>
    <w:rsid w:val="3135407B"/>
    <w:rsid w:val="31421084"/>
    <w:rsid w:val="31887B7C"/>
    <w:rsid w:val="31895649"/>
    <w:rsid w:val="31AD34E7"/>
    <w:rsid w:val="31B02544"/>
    <w:rsid w:val="31D2602A"/>
    <w:rsid w:val="31DB58FA"/>
    <w:rsid w:val="31E0690F"/>
    <w:rsid w:val="31E744D3"/>
    <w:rsid w:val="31F03994"/>
    <w:rsid w:val="31F06AA9"/>
    <w:rsid w:val="31FF15D2"/>
    <w:rsid w:val="32096EE3"/>
    <w:rsid w:val="32155C69"/>
    <w:rsid w:val="32535B1F"/>
    <w:rsid w:val="32830AEF"/>
    <w:rsid w:val="329945C7"/>
    <w:rsid w:val="32AE7CE7"/>
    <w:rsid w:val="32BE744E"/>
    <w:rsid w:val="32C41EAE"/>
    <w:rsid w:val="32CA0E4B"/>
    <w:rsid w:val="32CB45C8"/>
    <w:rsid w:val="32D21971"/>
    <w:rsid w:val="332E3950"/>
    <w:rsid w:val="335202DB"/>
    <w:rsid w:val="336E5F6C"/>
    <w:rsid w:val="33732317"/>
    <w:rsid w:val="33790B91"/>
    <w:rsid w:val="337B4EF0"/>
    <w:rsid w:val="3396767F"/>
    <w:rsid w:val="33A337D5"/>
    <w:rsid w:val="33F71CC8"/>
    <w:rsid w:val="33FA57B0"/>
    <w:rsid w:val="34016A86"/>
    <w:rsid w:val="34184C5D"/>
    <w:rsid w:val="34391824"/>
    <w:rsid w:val="34475E33"/>
    <w:rsid w:val="347312F7"/>
    <w:rsid w:val="34751871"/>
    <w:rsid w:val="3492234F"/>
    <w:rsid w:val="34AA0645"/>
    <w:rsid w:val="34C61DEF"/>
    <w:rsid w:val="34D349C1"/>
    <w:rsid w:val="34D65FE2"/>
    <w:rsid w:val="34DD141E"/>
    <w:rsid w:val="34EF48D4"/>
    <w:rsid w:val="34F832A2"/>
    <w:rsid w:val="353323D5"/>
    <w:rsid w:val="35767350"/>
    <w:rsid w:val="359A52D2"/>
    <w:rsid w:val="359E1B8E"/>
    <w:rsid w:val="35BE26D5"/>
    <w:rsid w:val="360006C2"/>
    <w:rsid w:val="36231CDE"/>
    <w:rsid w:val="36457F31"/>
    <w:rsid w:val="36A861E5"/>
    <w:rsid w:val="36BC6408"/>
    <w:rsid w:val="36E55AEB"/>
    <w:rsid w:val="372F3093"/>
    <w:rsid w:val="3734013D"/>
    <w:rsid w:val="373B7D1B"/>
    <w:rsid w:val="37883D9D"/>
    <w:rsid w:val="37987CE3"/>
    <w:rsid w:val="379DF0C9"/>
    <w:rsid w:val="37DA5F5D"/>
    <w:rsid w:val="37ED036A"/>
    <w:rsid w:val="37F913BE"/>
    <w:rsid w:val="37FF6BD7"/>
    <w:rsid w:val="38177FF1"/>
    <w:rsid w:val="386523B0"/>
    <w:rsid w:val="389E4DF7"/>
    <w:rsid w:val="38A230B5"/>
    <w:rsid w:val="38B5305A"/>
    <w:rsid w:val="38D63A95"/>
    <w:rsid w:val="3914125A"/>
    <w:rsid w:val="3915611C"/>
    <w:rsid w:val="39260D0B"/>
    <w:rsid w:val="397158ED"/>
    <w:rsid w:val="39724B96"/>
    <w:rsid w:val="39E37660"/>
    <w:rsid w:val="3A291850"/>
    <w:rsid w:val="3A2A56F0"/>
    <w:rsid w:val="3A347BA7"/>
    <w:rsid w:val="3A86131C"/>
    <w:rsid w:val="3A904DA0"/>
    <w:rsid w:val="3AA14CC2"/>
    <w:rsid w:val="3AC96B3C"/>
    <w:rsid w:val="3ADA7F84"/>
    <w:rsid w:val="3AE22A52"/>
    <w:rsid w:val="3AF61BD5"/>
    <w:rsid w:val="3B0A2B10"/>
    <w:rsid w:val="3B2A3A82"/>
    <w:rsid w:val="3B470C18"/>
    <w:rsid w:val="3B5269DA"/>
    <w:rsid w:val="3B9A0AD5"/>
    <w:rsid w:val="3BAA2DFB"/>
    <w:rsid w:val="3BB98257"/>
    <w:rsid w:val="3BD45B11"/>
    <w:rsid w:val="3BEB5437"/>
    <w:rsid w:val="3C195C5A"/>
    <w:rsid w:val="3C504855"/>
    <w:rsid w:val="3CA91485"/>
    <w:rsid w:val="3CC17E22"/>
    <w:rsid w:val="3CF60D2C"/>
    <w:rsid w:val="3D0A686C"/>
    <w:rsid w:val="3D833044"/>
    <w:rsid w:val="3D98639D"/>
    <w:rsid w:val="3DBD4CAC"/>
    <w:rsid w:val="3DE76D88"/>
    <w:rsid w:val="3DFDB1AE"/>
    <w:rsid w:val="3E0655B4"/>
    <w:rsid w:val="3E337FDD"/>
    <w:rsid w:val="3E5FED92"/>
    <w:rsid w:val="3E6D4856"/>
    <w:rsid w:val="3E835940"/>
    <w:rsid w:val="3E8B628D"/>
    <w:rsid w:val="3E8C18E6"/>
    <w:rsid w:val="3EBD617F"/>
    <w:rsid w:val="3ECA28FD"/>
    <w:rsid w:val="3F257157"/>
    <w:rsid w:val="3F36095C"/>
    <w:rsid w:val="3F384761"/>
    <w:rsid w:val="3F3F6505"/>
    <w:rsid w:val="3F526712"/>
    <w:rsid w:val="3F5B5216"/>
    <w:rsid w:val="3F640B0B"/>
    <w:rsid w:val="3F812A3A"/>
    <w:rsid w:val="3FD062C0"/>
    <w:rsid w:val="3FD3BFEC"/>
    <w:rsid w:val="3FE1772E"/>
    <w:rsid w:val="3FF73C14"/>
    <w:rsid w:val="3FFD8E96"/>
    <w:rsid w:val="3FFE1AF6"/>
    <w:rsid w:val="3FFE70B7"/>
    <w:rsid w:val="400B31E9"/>
    <w:rsid w:val="40141D1D"/>
    <w:rsid w:val="401B4FD8"/>
    <w:rsid w:val="40307C69"/>
    <w:rsid w:val="404D7AC8"/>
    <w:rsid w:val="40634C41"/>
    <w:rsid w:val="40791BF6"/>
    <w:rsid w:val="407B722C"/>
    <w:rsid w:val="40AB4C9D"/>
    <w:rsid w:val="40DD16D8"/>
    <w:rsid w:val="413063A6"/>
    <w:rsid w:val="41391FB6"/>
    <w:rsid w:val="4145485A"/>
    <w:rsid w:val="417530DD"/>
    <w:rsid w:val="417B40A4"/>
    <w:rsid w:val="41814A29"/>
    <w:rsid w:val="41920DF4"/>
    <w:rsid w:val="41A36DCF"/>
    <w:rsid w:val="41C06248"/>
    <w:rsid w:val="42226A27"/>
    <w:rsid w:val="425C78EF"/>
    <w:rsid w:val="425D4FF7"/>
    <w:rsid w:val="425F7C30"/>
    <w:rsid w:val="42655A33"/>
    <w:rsid w:val="42680B06"/>
    <w:rsid w:val="429F46BC"/>
    <w:rsid w:val="42A34DFA"/>
    <w:rsid w:val="42F26E0D"/>
    <w:rsid w:val="43005F1C"/>
    <w:rsid w:val="43100FE2"/>
    <w:rsid w:val="43242DC6"/>
    <w:rsid w:val="43463A91"/>
    <w:rsid w:val="439E6277"/>
    <w:rsid w:val="43A254B1"/>
    <w:rsid w:val="43B943DD"/>
    <w:rsid w:val="43BF143F"/>
    <w:rsid w:val="43F50014"/>
    <w:rsid w:val="44240C6A"/>
    <w:rsid w:val="44272CAC"/>
    <w:rsid w:val="443A54EB"/>
    <w:rsid w:val="44451BDC"/>
    <w:rsid w:val="444F6481"/>
    <w:rsid w:val="447B6726"/>
    <w:rsid w:val="449A1973"/>
    <w:rsid w:val="44F02F62"/>
    <w:rsid w:val="451A0FD3"/>
    <w:rsid w:val="45712308"/>
    <w:rsid w:val="457D2990"/>
    <w:rsid w:val="458B1522"/>
    <w:rsid w:val="45ED0241"/>
    <w:rsid w:val="460434E4"/>
    <w:rsid w:val="466B00B6"/>
    <w:rsid w:val="46706F3F"/>
    <w:rsid w:val="46742883"/>
    <w:rsid w:val="46757EF5"/>
    <w:rsid w:val="468375BE"/>
    <w:rsid w:val="46876032"/>
    <w:rsid w:val="46A87C88"/>
    <w:rsid w:val="46C96C6F"/>
    <w:rsid w:val="46FD0882"/>
    <w:rsid w:val="471513C1"/>
    <w:rsid w:val="47245012"/>
    <w:rsid w:val="472B40E0"/>
    <w:rsid w:val="473461A6"/>
    <w:rsid w:val="473D42FE"/>
    <w:rsid w:val="47793752"/>
    <w:rsid w:val="477E751F"/>
    <w:rsid w:val="47A31B07"/>
    <w:rsid w:val="47A9364D"/>
    <w:rsid w:val="47C81250"/>
    <w:rsid w:val="47C84FBA"/>
    <w:rsid w:val="47E051A9"/>
    <w:rsid w:val="47EFACDD"/>
    <w:rsid w:val="485278BE"/>
    <w:rsid w:val="487D2A9B"/>
    <w:rsid w:val="48C75219"/>
    <w:rsid w:val="48D23E7A"/>
    <w:rsid w:val="48F04FAA"/>
    <w:rsid w:val="49383A95"/>
    <w:rsid w:val="49897021"/>
    <w:rsid w:val="499B766C"/>
    <w:rsid w:val="49A85CE0"/>
    <w:rsid w:val="49BB73C2"/>
    <w:rsid w:val="49CB0635"/>
    <w:rsid w:val="49CC464E"/>
    <w:rsid w:val="49E815C6"/>
    <w:rsid w:val="4A203730"/>
    <w:rsid w:val="4A203D36"/>
    <w:rsid w:val="4A3F1F54"/>
    <w:rsid w:val="4A5943E4"/>
    <w:rsid w:val="4A6050DB"/>
    <w:rsid w:val="4A6278FA"/>
    <w:rsid w:val="4A693AF6"/>
    <w:rsid w:val="4A7FCAC4"/>
    <w:rsid w:val="4AD43451"/>
    <w:rsid w:val="4ADD07E4"/>
    <w:rsid w:val="4B4E3F99"/>
    <w:rsid w:val="4B5A348C"/>
    <w:rsid w:val="4B715FB2"/>
    <w:rsid w:val="4B8C55E8"/>
    <w:rsid w:val="4BB858C5"/>
    <w:rsid w:val="4C083C31"/>
    <w:rsid w:val="4C100B51"/>
    <w:rsid w:val="4C875D8A"/>
    <w:rsid w:val="4C88552C"/>
    <w:rsid w:val="4CD90354"/>
    <w:rsid w:val="4CE354D3"/>
    <w:rsid w:val="4D092A65"/>
    <w:rsid w:val="4D3E119B"/>
    <w:rsid w:val="4D5D5079"/>
    <w:rsid w:val="4D63426D"/>
    <w:rsid w:val="4D6F1F18"/>
    <w:rsid w:val="4D7376F9"/>
    <w:rsid w:val="4D9E38E4"/>
    <w:rsid w:val="4DC82BF0"/>
    <w:rsid w:val="4DD013FD"/>
    <w:rsid w:val="4DE577AB"/>
    <w:rsid w:val="4E7B4448"/>
    <w:rsid w:val="4EBA1CDB"/>
    <w:rsid w:val="4EDB1BC9"/>
    <w:rsid w:val="4EEB225C"/>
    <w:rsid w:val="4F103158"/>
    <w:rsid w:val="4F172AC2"/>
    <w:rsid w:val="4F1B6653"/>
    <w:rsid w:val="4F314161"/>
    <w:rsid w:val="4F3F55BB"/>
    <w:rsid w:val="4F464A5A"/>
    <w:rsid w:val="4F4C6491"/>
    <w:rsid w:val="4F5551B4"/>
    <w:rsid w:val="4F5D32A4"/>
    <w:rsid w:val="4F66062D"/>
    <w:rsid w:val="4F6B71DF"/>
    <w:rsid w:val="4F9818B4"/>
    <w:rsid w:val="4FAD051B"/>
    <w:rsid w:val="4FD46EBD"/>
    <w:rsid w:val="4FE828ED"/>
    <w:rsid w:val="501D392A"/>
    <w:rsid w:val="503D78E7"/>
    <w:rsid w:val="503D7B8D"/>
    <w:rsid w:val="506B2F52"/>
    <w:rsid w:val="507951EA"/>
    <w:rsid w:val="508F2AB3"/>
    <w:rsid w:val="50B138D1"/>
    <w:rsid w:val="50F0046A"/>
    <w:rsid w:val="50F31B7F"/>
    <w:rsid w:val="511A61BA"/>
    <w:rsid w:val="511E35F8"/>
    <w:rsid w:val="51503FA0"/>
    <w:rsid w:val="5156017D"/>
    <w:rsid w:val="51596E11"/>
    <w:rsid w:val="519B5CC2"/>
    <w:rsid w:val="51CD03C6"/>
    <w:rsid w:val="51FE7D93"/>
    <w:rsid w:val="52121DCF"/>
    <w:rsid w:val="52137423"/>
    <w:rsid w:val="521C6302"/>
    <w:rsid w:val="522105B9"/>
    <w:rsid w:val="52263BCA"/>
    <w:rsid w:val="52AF3E2F"/>
    <w:rsid w:val="52FB705C"/>
    <w:rsid w:val="5304202F"/>
    <w:rsid w:val="53155197"/>
    <w:rsid w:val="531B7C6E"/>
    <w:rsid w:val="53314D4C"/>
    <w:rsid w:val="53316789"/>
    <w:rsid w:val="53871716"/>
    <w:rsid w:val="53950C89"/>
    <w:rsid w:val="53A40CC6"/>
    <w:rsid w:val="53A43997"/>
    <w:rsid w:val="53D42EB7"/>
    <w:rsid w:val="53DE1453"/>
    <w:rsid w:val="53FF5110"/>
    <w:rsid w:val="5403502E"/>
    <w:rsid w:val="540A3EEE"/>
    <w:rsid w:val="540A6D47"/>
    <w:rsid w:val="54457077"/>
    <w:rsid w:val="544F1263"/>
    <w:rsid w:val="549D0C85"/>
    <w:rsid w:val="54EE6554"/>
    <w:rsid w:val="550C6C83"/>
    <w:rsid w:val="553E32D6"/>
    <w:rsid w:val="55583B90"/>
    <w:rsid w:val="55675C79"/>
    <w:rsid w:val="558D65E8"/>
    <w:rsid w:val="55990B54"/>
    <w:rsid w:val="55BC2E86"/>
    <w:rsid w:val="55C03CB8"/>
    <w:rsid w:val="55C624E8"/>
    <w:rsid w:val="55D94BD7"/>
    <w:rsid w:val="5625035E"/>
    <w:rsid w:val="562F0568"/>
    <w:rsid w:val="565F506B"/>
    <w:rsid w:val="566F1F39"/>
    <w:rsid w:val="56830ADF"/>
    <w:rsid w:val="56857CFC"/>
    <w:rsid w:val="569022B2"/>
    <w:rsid w:val="56BB20E5"/>
    <w:rsid w:val="56D5033D"/>
    <w:rsid w:val="56D67726"/>
    <w:rsid w:val="56FF2CC1"/>
    <w:rsid w:val="57002B8D"/>
    <w:rsid w:val="571F6FD0"/>
    <w:rsid w:val="57344DFE"/>
    <w:rsid w:val="573577BE"/>
    <w:rsid w:val="573751CA"/>
    <w:rsid w:val="57606083"/>
    <w:rsid w:val="578B0E6E"/>
    <w:rsid w:val="57A1046F"/>
    <w:rsid w:val="57B5D834"/>
    <w:rsid w:val="57B70A2F"/>
    <w:rsid w:val="57D60C34"/>
    <w:rsid w:val="57F652BC"/>
    <w:rsid w:val="5848614A"/>
    <w:rsid w:val="585D6E6C"/>
    <w:rsid w:val="588C1D68"/>
    <w:rsid w:val="58A674A5"/>
    <w:rsid w:val="58CD30A4"/>
    <w:rsid w:val="58CD382E"/>
    <w:rsid w:val="58D7418F"/>
    <w:rsid w:val="5900000F"/>
    <w:rsid w:val="590A1DA2"/>
    <w:rsid w:val="590D6489"/>
    <w:rsid w:val="59154896"/>
    <w:rsid w:val="592B5553"/>
    <w:rsid w:val="595042FB"/>
    <w:rsid w:val="59876675"/>
    <w:rsid w:val="59B961EA"/>
    <w:rsid w:val="59C9107F"/>
    <w:rsid w:val="59CE04C3"/>
    <w:rsid w:val="59FFE880"/>
    <w:rsid w:val="5A0C0158"/>
    <w:rsid w:val="5A376F91"/>
    <w:rsid w:val="5A3D0E34"/>
    <w:rsid w:val="5A4E1D0A"/>
    <w:rsid w:val="5A642481"/>
    <w:rsid w:val="5A6E0818"/>
    <w:rsid w:val="5ABE7049"/>
    <w:rsid w:val="5AC32B55"/>
    <w:rsid w:val="5AE145C9"/>
    <w:rsid w:val="5B3FD3A7"/>
    <w:rsid w:val="5B421824"/>
    <w:rsid w:val="5B695259"/>
    <w:rsid w:val="5B75772B"/>
    <w:rsid w:val="5B9E3DE4"/>
    <w:rsid w:val="5BC44CEE"/>
    <w:rsid w:val="5BDA0F82"/>
    <w:rsid w:val="5BDF4787"/>
    <w:rsid w:val="5BE106D2"/>
    <w:rsid w:val="5BFFD2DF"/>
    <w:rsid w:val="5C00697E"/>
    <w:rsid w:val="5C2F3299"/>
    <w:rsid w:val="5C37658E"/>
    <w:rsid w:val="5C405FA4"/>
    <w:rsid w:val="5C5F447C"/>
    <w:rsid w:val="5C7521D3"/>
    <w:rsid w:val="5C896574"/>
    <w:rsid w:val="5C8C3697"/>
    <w:rsid w:val="5CAC7B1C"/>
    <w:rsid w:val="5CD13E43"/>
    <w:rsid w:val="5CEF42BA"/>
    <w:rsid w:val="5D591FBD"/>
    <w:rsid w:val="5D94180E"/>
    <w:rsid w:val="5D9F27A5"/>
    <w:rsid w:val="5DC411A3"/>
    <w:rsid w:val="5DCA620A"/>
    <w:rsid w:val="5DDABCF8"/>
    <w:rsid w:val="5DDD008C"/>
    <w:rsid w:val="5DFE433A"/>
    <w:rsid w:val="5E1373C1"/>
    <w:rsid w:val="5E2D4485"/>
    <w:rsid w:val="5E6747E1"/>
    <w:rsid w:val="5E7BB97F"/>
    <w:rsid w:val="5E9641A9"/>
    <w:rsid w:val="5E97068D"/>
    <w:rsid w:val="5EB543C4"/>
    <w:rsid w:val="5EB7CDDF"/>
    <w:rsid w:val="5EB92CF5"/>
    <w:rsid w:val="5EBF6980"/>
    <w:rsid w:val="5ED30C10"/>
    <w:rsid w:val="5EDA2A7B"/>
    <w:rsid w:val="5EE16E0E"/>
    <w:rsid w:val="5F3940A0"/>
    <w:rsid w:val="5F44566E"/>
    <w:rsid w:val="5F4C554A"/>
    <w:rsid w:val="5F675369"/>
    <w:rsid w:val="5F7FF5AC"/>
    <w:rsid w:val="5F9C7872"/>
    <w:rsid w:val="5FB71F10"/>
    <w:rsid w:val="5FCF3527"/>
    <w:rsid w:val="5FEE1B61"/>
    <w:rsid w:val="5FEF467B"/>
    <w:rsid w:val="5FF11BD5"/>
    <w:rsid w:val="5FF18CEF"/>
    <w:rsid w:val="5FF508FC"/>
    <w:rsid w:val="5FFB837C"/>
    <w:rsid w:val="601531AE"/>
    <w:rsid w:val="602D4F22"/>
    <w:rsid w:val="603F2201"/>
    <w:rsid w:val="604C733B"/>
    <w:rsid w:val="605721AA"/>
    <w:rsid w:val="60AE77CA"/>
    <w:rsid w:val="60B44113"/>
    <w:rsid w:val="60C06C11"/>
    <w:rsid w:val="60E517B1"/>
    <w:rsid w:val="60EA573B"/>
    <w:rsid w:val="613F7C88"/>
    <w:rsid w:val="616816BC"/>
    <w:rsid w:val="61731648"/>
    <w:rsid w:val="617A1E26"/>
    <w:rsid w:val="61D60995"/>
    <w:rsid w:val="61E16FA2"/>
    <w:rsid w:val="61E54B40"/>
    <w:rsid w:val="622C753A"/>
    <w:rsid w:val="624F3EEF"/>
    <w:rsid w:val="62884618"/>
    <w:rsid w:val="62D70BD1"/>
    <w:rsid w:val="62E47D3E"/>
    <w:rsid w:val="62E92531"/>
    <w:rsid w:val="6341070D"/>
    <w:rsid w:val="63416D06"/>
    <w:rsid w:val="63A6157B"/>
    <w:rsid w:val="63AA21B4"/>
    <w:rsid w:val="63C3108A"/>
    <w:rsid w:val="63FC019F"/>
    <w:rsid w:val="64481AB7"/>
    <w:rsid w:val="64497B3B"/>
    <w:rsid w:val="646F08D5"/>
    <w:rsid w:val="648630F3"/>
    <w:rsid w:val="64B30F39"/>
    <w:rsid w:val="64BA7177"/>
    <w:rsid w:val="64C45F03"/>
    <w:rsid w:val="64CB5E68"/>
    <w:rsid w:val="64D5736A"/>
    <w:rsid w:val="64F851F1"/>
    <w:rsid w:val="65312228"/>
    <w:rsid w:val="65625FEC"/>
    <w:rsid w:val="656C7BC4"/>
    <w:rsid w:val="65715E5A"/>
    <w:rsid w:val="65904230"/>
    <w:rsid w:val="65930C48"/>
    <w:rsid w:val="65BF74AA"/>
    <w:rsid w:val="65C23858"/>
    <w:rsid w:val="6601087F"/>
    <w:rsid w:val="66183E19"/>
    <w:rsid w:val="66821BE2"/>
    <w:rsid w:val="66BE22A1"/>
    <w:rsid w:val="66D70B4F"/>
    <w:rsid w:val="66FF5A0E"/>
    <w:rsid w:val="67005BCA"/>
    <w:rsid w:val="6702678E"/>
    <w:rsid w:val="671C1D5F"/>
    <w:rsid w:val="671F12E9"/>
    <w:rsid w:val="673426E5"/>
    <w:rsid w:val="67812CEA"/>
    <w:rsid w:val="679D4CF3"/>
    <w:rsid w:val="679E080A"/>
    <w:rsid w:val="67EE11BE"/>
    <w:rsid w:val="681E63B1"/>
    <w:rsid w:val="683B1C26"/>
    <w:rsid w:val="6889713A"/>
    <w:rsid w:val="68DC0F3F"/>
    <w:rsid w:val="68E258A1"/>
    <w:rsid w:val="68FA6BF9"/>
    <w:rsid w:val="691463FB"/>
    <w:rsid w:val="691A565F"/>
    <w:rsid w:val="69541AD9"/>
    <w:rsid w:val="69650E2F"/>
    <w:rsid w:val="69A9488B"/>
    <w:rsid w:val="69C96177"/>
    <w:rsid w:val="69E16BE6"/>
    <w:rsid w:val="69FEEFE0"/>
    <w:rsid w:val="6A230268"/>
    <w:rsid w:val="6A457122"/>
    <w:rsid w:val="6A4D68CC"/>
    <w:rsid w:val="6A5F513A"/>
    <w:rsid w:val="6A7150A8"/>
    <w:rsid w:val="6A7401B1"/>
    <w:rsid w:val="6ABF2D94"/>
    <w:rsid w:val="6ABF4196"/>
    <w:rsid w:val="6B02331D"/>
    <w:rsid w:val="6B067187"/>
    <w:rsid w:val="6B507AEB"/>
    <w:rsid w:val="6B727905"/>
    <w:rsid w:val="6B9125CB"/>
    <w:rsid w:val="6BB93611"/>
    <w:rsid w:val="6BC35959"/>
    <w:rsid w:val="6BC610E7"/>
    <w:rsid w:val="6BE64B7B"/>
    <w:rsid w:val="6BF315F7"/>
    <w:rsid w:val="6C05168F"/>
    <w:rsid w:val="6C05463D"/>
    <w:rsid w:val="6C274259"/>
    <w:rsid w:val="6C714624"/>
    <w:rsid w:val="6C7D7121"/>
    <w:rsid w:val="6C9F23F5"/>
    <w:rsid w:val="6CBD664D"/>
    <w:rsid w:val="6CD07465"/>
    <w:rsid w:val="6CDA28F7"/>
    <w:rsid w:val="6D10711C"/>
    <w:rsid w:val="6D1771CB"/>
    <w:rsid w:val="6D2E27CF"/>
    <w:rsid w:val="6D52034D"/>
    <w:rsid w:val="6D70737B"/>
    <w:rsid w:val="6D76311A"/>
    <w:rsid w:val="6D771760"/>
    <w:rsid w:val="6D993D80"/>
    <w:rsid w:val="6DDF75FC"/>
    <w:rsid w:val="6DF90EC9"/>
    <w:rsid w:val="6E01448B"/>
    <w:rsid w:val="6E025E88"/>
    <w:rsid w:val="6E2E5E48"/>
    <w:rsid w:val="6E866386"/>
    <w:rsid w:val="6ED160AB"/>
    <w:rsid w:val="6EDB34C1"/>
    <w:rsid w:val="6F006DDA"/>
    <w:rsid w:val="6F085C5D"/>
    <w:rsid w:val="6F4F6D21"/>
    <w:rsid w:val="6F58696B"/>
    <w:rsid w:val="6F8B5C76"/>
    <w:rsid w:val="6F95673A"/>
    <w:rsid w:val="6F9673F9"/>
    <w:rsid w:val="6F9D4B96"/>
    <w:rsid w:val="6FBB755E"/>
    <w:rsid w:val="6FCD27E4"/>
    <w:rsid w:val="6FDF5A50"/>
    <w:rsid w:val="6FEE1B2C"/>
    <w:rsid w:val="7019691C"/>
    <w:rsid w:val="701D6C26"/>
    <w:rsid w:val="70216AC8"/>
    <w:rsid w:val="70392C2A"/>
    <w:rsid w:val="70745258"/>
    <w:rsid w:val="707819B0"/>
    <w:rsid w:val="709B2D07"/>
    <w:rsid w:val="709F64A5"/>
    <w:rsid w:val="70AD6346"/>
    <w:rsid w:val="70CF02ED"/>
    <w:rsid w:val="70D74AB3"/>
    <w:rsid w:val="70DA6154"/>
    <w:rsid w:val="70DD0315"/>
    <w:rsid w:val="70E95D7A"/>
    <w:rsid w:val="71136C4F"/>
    <w:rsid w:val="712E15B0"/>
    <w:rsid w:val="714D0A49"/>
    <w:rsid w:val="71673F9B"/>
    <w:rsid w:val="717520A9"/>
    <w:rsid w:val="719F0B7C"/>
    <w:rsid w:val="71CD6934"/>
    <w:rsid w:val="71EA15C0"/>
    <w:rsid w:val="71F83BE6"/>
    <w:rsid w:val="723942F4"/>
    <w:rsid w:val="723F4137"/>
    <w:rsid w:val="725737C3"/>
    <w:rsid w:val="7260622C"/>
    <w:rsid w:val="726D5A47"/>
    <w:rsid w:val="72757496"/>
    <w:rsid w:val="727B41C2"/>
    <w:rsid w:val="72C9C255"/>
    <w:rsid w:val="72E75711"/>
    <w:rsid w:val="72EB1400"/>
    <w:rsid w:val="732860A1"/>
    <w:rsid w:val="734C374E"/>
    <w:rsid w:val="73517BC9"/>
    <w:rsid w:val="73870389"/>
    <w:rsid w:val="73B44DF0"/>
    <w:rsid w:val="73F21076"/>
    <w:rsid w:val="73FBF08E"/>
    <w:rsid w:val="7417189B"/>
    <w:rsid w:val="74340A39"/>
    <w:rsid w:val="74611F1F"/>
    <w:rsid w:val="7491533F"/>
    <w:rsid w:val="74CE0A9B"/>
    <w:rsid w:val="74D22127"/>
    <w:rsid w:val="74F4555C"/>
    <w:rsid w:val="75037857"/>
    <w:rsid w:val="750D524B"/>
    <w:rsid w:val="752FE869"/>
    <w:rsid w:val="753D053B"/>
    <w:rsid w:val="755539A3"/>
    <w:rsid w:val="75556181"/>
    <w:rsid w:val="75712ACC"/>
    <w:rsid w:val="75846400"/>
    <w:rsid w:val="759871F9"/>
    <w:rsid w:val="75A44310"/>
    <w:rsid w:val="75C26102"/>
    <w:rsid w:val="75CC5A83"/>
    <w:rsid w:val="75FA4693"/>
    <w:rsid w:val="76072028"/>
    <w:rsid w:val="761A3604"/>
    <w:rsid w:val="76390E53"/>
    <w:rsid w:val="767577A0"/>
    <w:rsid w:val="768611D1"/>
    <w:rsid w:val="76A61737"/>
    <w:rsid w:val="76AC12BF"/>
    <w:rsid w:val="76BD780E"/>
    <w:rsid w:val="76BE11CF"/>
    <w:rsid w:val="76BFB7AB"/>
    <w:rsid w:val="76CEC8CE"/>
    <w:rsid w:val="76EF5CA5"/>
    <w:rsid w:val="76F463F0"/>
    <w:rsid w:val="76FAD0CD"/>
    <w:rsid w:val="7701463A"/>
    <w:rsid w:val="770D331C"/>
    <w:rsid w:val="77445FBB"/>
    <w:rsid w:val="774B2EC4"/>
    <w:rsid w:val="774FFB37"/>
    <w:rsid w:val="775B22A8"/>
    <w:rsid w:val="7761477F"/>
    <w:rsid w:val="776A7337"/>
    <w:rsid w:val="777F1553"/>
    <w:rsid w:val="77A7936F"/>
    <w:rsid w:val="77B41026"/>
    <w:rsid w:val="77B92EBE"/>
    <w:rsid w:val="77BAB242"/>
    <w:rsid w:val="77DB8DFD"/>
    <w:rsid w:val="77ED4CA7"/>
    <w:rsid w:val="77F7656E"/>
    <w:rsid w:val="78041F2B"/>
    <w:rsid w:val="782D5A55"/>
    <w:rsid w:val="78700E16"/>
    <w:rsid w:val="78787717"/>
    <w:rsid w:val="78AB6CF2"/>
    <w:rsid w:val="78C85065"/>
    <w:rsid w:val="78CB54A2"/>
    <w:rsid w:val="78F85823"/>
    <w:rsid w:val="78FF40FB"/>
    <w:rsid w:val="793122E3"/>
    <w:rsid w:val="794857A6"/>
    <w:rsid w:val="79585961"/>
    <w:rsid w:val="79614897"/>
    <w:rsid w:val="79617D09"/>
    <w:rsid w:val="79680FED"/>
    <w:rsid w:val="796F1C36"/>
    <w:rsid w:val="79BB2545"/>
    <w:rsid w:val="79C008CD"/>
    <w:rsid w:val="7A4F7B07"/>
    <w:rsid w:val="7A5101BC"/>
    <w:rsid w:val="7A640DEF"/>
    <w:rsid w:val="7A685998"/>
    <w:rsid w:val="7AC96B81"/>
    <w:rsid w:val="7AD727B2"/>
    <w:rsid w:val="7AD7A1FA"/>
    <w:rsid w:val="7ADE96DB"/>
    <w:rsid w:val="7AFD5349"/>
    <w:rsid w:val="7B063D79"/>
    <w:rsid w:val="7B0E3DF2"/>
    <w:rsid w:val="7B0F0EC6"/>
    <w:rsid w:val="7B286B9A"/>
    <w:rsid w:val="7B334FEE"/>
    <w:rsid w:val="7B3B3EC1"/>
    <w:rsid w:val="7B3F95B7"/>
    <w:rsid w:val="7B7114EB"/>
    <w:rsid w:val="7B766521"/>
    <w:rsid w:val="7B9A6B24"/>
    <w:rsid w:val="7B9A6FC5"/>
    <w:rsid w:val="7BA269EE"/>
    <w:rsid w:val="7BBB08F9"/>
    <w:rsid w:val="7BC47376"/>
    <w:rsid w:val="7BE3E32F"/>
    <w:rsid w:val="7BEB30F6"/>
    <w:rsid w:val="7BFBEFA6"/>
    <w:rsid w:val="7BFF7AEC"/>
    <w:rsid w:val="7BFFA655"/>
    <w:rsid w:val="7C00147E"/>
    <w:rsid w:val="7C0E1600"/>
    <w:rsid w:val="7C3717CE"/>
    <w:rsid w:val="7C691183"/>
    <w:rsid w:val="7C8C1B53"/>
    <w:rsid w:val="7C9537CE"/>
    <w:rsid w:val="7D0D2D49"/>
    <w:rsid w:val="7D203553"/>
    <w:rsid w:val="7D3638F1"/>
    <w:rsid w:val="7D4441A2"/>
    <w:rsid w:val="7D9948DF"/>
    <w:rsid w:val="7D9C56A0"/>
    <w:rsid w:val="7DBA0B08"/>
    <w:rsid w:val="7DC47C61"/>
    <w:rsid w:val="7DD76F8A"/>
    <w:rsid w:val="7DDB5147"/>
    <w:rsid w:val="7DDF37DC"/>
    <w:rsid w:val="7DE0F6FE"/>
    <w:rsid w:val="7E00744C"/>
    <w:rsid w:val="7E1F5D8A"/>
    <w:rsid w:val="7E27194F"/>
    <w:rsid w:val="7E53DB8D"/>
    <w:rsid w:val="7E5D471B"/>
    <w:rsid w:val="7E5D8318"/>
    <w:rsid w:val="7E93527C"/>
    <w:rsid w:val="7EA64368"/>
    <w:rsid w:val="7EA7CF43"/>
    <w:rsid w:val="7EC17537"/>
    <w:rsid w:val="7EED3DCE"/>
    <w:rsid w:val="7EFF120F"/>
    <w:rsid w:val="7EFF54EF"/>
    <w:rsid w:val="7EFFBE69"/>
    <w:rsid w:val="7F0969F7"/>
    <w:rsid w:val="7F2C38B2"/>
    <w:rsid w:val="7F4033B0"/>
    <w:rsid w:val="7F4B17C2"/>
    <w:rsid w:val="7F5AC663"/>
    <w:rsid w:val="7F63180E"/>
    <w:rsid w:val="7F65074C"/>
    <w:rsid w:val="7F6B1C88"/>
    <w:rsid w:val="7F6EDAEE"/>
    <w:rsid w:val="7F7513EC"/>
    <w:rsid w:val="7F8F6F36"/>
    <w:rsid w:val="7FA7A97F"/>
    <w:rsid w:val="7FAA5858"/>
    <w:rsid w:val="7FAF3BDF"/>
    <w:rsid w:val="7FAFC216"/>
    <w:rsid w:val="7FBB2037"/>
    <w:rsid w:val="7FBDD174"/>
    <w:rsid w:val="7FEFA79C"/>
    <w:rsid w:val="7FF8015F"/>
    <w:rsid w:val="7FF8D660"/>
    <w:rsid w:val="7FFB7CA3"/>
    <w:rsid w:val="7FFD8A9D"/>
    <w:rsid w:val="8BFDCE5E"/>
    <w:rsid w:val="8FCE4180"/>
    <w:rsid w:val="8FF94EB0"/>
    <w:rsid w:val="975F7B5B"/>
    <w:rsid w:val="9DADD699"/>
    <w:rsid w:val="9FBA7136"/>
    <w:rsid w:val="9FCF587D"/>
    <w:rsid w:val="9FD7F4D0"/>
    <w:rsid w:val="A7BE5D65"/>
    <w:rsid w:val="A9EFB07C"/>
    <w:rsid w:val="ABFB8D5C"/>
    <w:rsid w:val="ADFD5579"/>
    <w:rsid w:val="AE521328"/>
    <w:rsid w:val="AED671AF"/>
    <w:rsid w:val="AF85341E"/>
    <w:rsid w:val="AFDA5E24"/>
    <w:rsid w:val="AFFE4D39"/>
    <w:rsid w:val="B2AF928D"/>
    <w:rsid w:val="B6374D86"/>
    <w:rsid w:val="B6BB57A2"/>
    <w:rsid w:val="B75B6B07"/>
    <w:rsid w:val="B77D3DBE"/>
    <w:rsid w:val="B7A34307"/>
    <w:rsid w:val="B7DF6BCE"/>
    <w:rsid w:val="B7FE0E50"/>
    <w:rsid w:val="B814F49D"/>
    <w:rsid w:val="B97C0B21"/>
    <w:rsid w:val="BAFE2844"/>
    <w:rsid w:val="BB7F4F81"/>
    <w:rsid w:val="BCFF7F26"/>
    <w:rsid w:val="BE7F8010"/>
    <w:rsid w:val="BEDDF782"/>
    <w:rsid w:val="BEFD1EBF"/>
    <w:rsid w:val="BEFDB907"/>
    <w:rsid w:val="BF72C82F"/>
    <w:rsid w:val="BF7F50E4"/>
    <w:rsid w:val="BF8F76A8"/>
    <w:rsid w:val="CA9F1FF8"/>
    <w:rsid w:val="CBF392BA"/>
    <w:rsid w:val="CEFFE737"/>
    <w:rsid w:val="CFB32512"/>
    <w:rsid w:val="CFDB96F1"/>
    <w:rsid w:val="D3DEF757"/>
    <w:rsid w:val="D3EFD0CB"/>
    <w:rsid w:val="D4FC2746"/>
    <w:rsid w:val="D6B758C4"/>
    <w:rsid w:val="D7AE11A9"/>
    <w:rsid w:val="D7ED484E"/>
    <w:rsid w:val="D7FB917C"/>
    <w:rsid w:val="D87ABBAB"/>
    <w:rsid w:val="D89BD63B"/>
    <w:rsid w:val="DBB62C97"/>
    <w:rsid w:val="DDEB0CA7"/>
    <w:rsid w:val="DFDB03BE"/>
    <w:rsid w:val="DFF10D5D"/>
    <w:rsid w:val="DFF33081"/>
    <w:rsid w:val="DFF45A85"/>
    <w:rsid w:val="DFF916DC"/>
    <w:rsid w:val="DFFE5912"/>
    <w:rsid w:val="E1F6E432"/>
    <w:rsid w:val="E5FF3585"/>
    <w:rsid w:val="E6E73CA6"/>
    <w:rsid w:val="E76AE2C3"/>
    <w:rsid w:val="E775C37B"/>
    <w:rsid w:val="E79BBD20"/>
    <w:rsid w:val="E7D7CF31"/>
    <w:rsid w:val="EBEFFE61"/>
    <w:rsid w:val="EC6DBE59"/>
    <w:rsid w:val="EDB70AA8"/>
    <w:rsid w:val="EDBC2E8F"/>
    <w:rsid w:val="EE6FAC89"/>
    <w:rsid w:val="EF6BB7E2"/>
    <w:rsid w:val="EFEDC775"/>
    <w:rsid w:val="EFF946E3"/>
    <w:rsid w:val="F1DF50E3"/>
    <w:rsid w:val="F373B128"/>
    <w:rsid w:val="F57E6084"/>
    <w:rsid w:val="F5BC3906"/>
    <w:rsid w:val="F5CCC4D5"/>
    <w:rsid w:val="F5F5150A"/>
    <w:rsid w:val="F5F9438B"/>
    <w:rsid w:val="F6A5BAB3"/>
    <w:rsid w:val="F79BD332"/>
    <w:rsid w:val="F7BBC0E3"/>
    <w:rsid w:val="F8FDF5EE"/>
    <w:rsid w:val="F95AB7B5"/>
    <w:rsid w:val="F9FBABE3"/>
    <w:rsid w:val="FA7115EA"/>
    <w:rsid w:val="FB6F8943"/>
    <w:rsid w:val="FBDF0A69"/>
    <w:rsid w:val="FBDFEA72"/>
    <w:rsid w:val="FBF43FF7"/>
    <w:rsid w:val="FBFB3417"/>
    <w:rsid w:val="FC9688DB"/>
    <w:rsid w:val="FDB7BC72"/>
    <w:rsid w:val="FDD370EF"/>
    <w:rsid w:val="FDEFB6F8"/>
    <w:rsid w:val="FDFDFBD6"/>
    <w:rsid w:val="FDFEA3E0"/>
    <w:rsid w:val="FE770F92"/>
    <w:rsid w:val="FE7F6F82"/>
    <w:rsid w:val="FEDE21EF"/>
    <w:rsid w:val="FEF2DB58"/>
    <w:rsid w:val="FEF572BD"/>
    <w:rsid w:val="FEFFC5E7"/>
    <w:rsid w:val="FF1F7650"/>
    <w:rsid w:val="FF7EA94C"/>
    <w:rsid w:val="FFBF9885"/>
    <w:rsid w:val="FFD91E68"/>
    <w:rsid w:val="FFDF9A7C"/>
    <w:rsid w:val="FFEE4ECE"/>
    <w:rsid w:val="FFEF25B5"/>
    <w:rsid w:val="FFEF48B7"/>
    <w:rsid w:val="FFEF9705"/>
    <w:rsid w:val="FFFB66C8"/>
    <w:rsid w:val="FFFF0C42"/>
    <w:rsid w:val="FFFF27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1"/>
    <w:link w:val="56"/>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5">
    <w:name w:val="heading 3"/>
    <w:basedOn w:val="1"/>
    <w:next w:val="1"/>
    <w:link w:val="58"/>
    <w:qFormat/>
    <w:uiPriority w:val="0"/>
    <w:pPr>
      <w:numPr>
        <w:ilvl w:val="5"/>
        <w:numId w:val="1"/>
      </w:numPr>
      <w:spacing w:before="260" w:after="260" w:line="416" w:lineRule="auto"/>
      <w:outlineLvl w:val="2"/>
    </w:pPr>
    <w:rPr>
      <w:b/>
      <w:bCs/>
      <w:sz w:val="32"/>
      <w:szCs w:val="32"/>
    </w:rPr>
  </w:style>
  <w:style w:type="paragraph" w:styleId="6">
    <w:name w:val="heading 4"/>
    <w:basedOn w:val="1"/>
    <w:next w:val="1"/>
    <w:link w:val="60"/>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7">
    <w:name w:val="heading 5"/>
    <w:basedOn w:val="1"/>
    <w:next w:val="1"/>
    <w:qFormat/>
    <w:uiPriority w:val="0"/>
    <w:pPr>
      <w:keepNext/>
      <w:keepLines/>
      <w:numPr>
        <w:ilvl w:val="4"/>
        <w:numId w:val="2"/>
      </w:numPr>
      <w:adjustRightInd w:val="0"/>
      <w:spacing w:before="280" w:after="290" w:line="376" w:lineRule="atLeast"/>
      <w:textAlignment w:val="baseline"/>
      <w:outlineLvl w:val="4"/>
    </w:pPr>
    <w:rPr>
      <w:b/>
      <w:kern w:val="0"/>
      <w:sz w:val="28"/>
      <w:szCs w:val="20"/>
    </w:rPr>
  </w:style>
  <w:style w:type="paragraph" w:styleId="8">
    <w:name w:val="heading 6"/>
    <w:basedOn w:val="1"/>
    <w:next w:val="1"/>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rPr>
  </w:style>
  <w:style w:type="paragraph" w:styleId="9">
    <w:name w:val="heading 7"/>
    <w:basedOn w:val="1"/>
    <w:next w:val="1"/>
    <w:qFormat/>
    <w:uiPriority w:val="0"/>
    <w:pPr>
      <w:keepNext/>
      <w:keepLines/>
      <w:widowControl/>
      <w:numPr>
        <w:ilvl w:val="6"/>
        <w:numId w:val="1"/>
      </w:numPr>
      <w:spacing w:before="240" w:after="64" w:line="320" w:lineRule="auto"/>
      <w:jc w:val="left"/>
      <w:outlineLvl w:val="6"/>
    </w:pPr>
    <w:rPr>
      <w:b/>
      <w:bCs/>
      <w:kern w:val="0"/>
      <w:sz w:val="24"/>
    </w:rPr>
  </w:style>
  <w:style w:type="paragraph" w:styleId="10">
    <w:name w:val="heading 8"/>
    <w:basedOn w:val="1"/>
    <w:next w:val="1"/>
    <w:qFormat/>
    <w:uiPriority w:val="0"/>
    <w:pPr>
      <w:keepNext/>
      <w:keepLines/>
      <w:widowControl/>
      <w:numPr>
        <w:ilvl w:val="7"/>
        <w:numId w:val="1"/>
      </w:numPr>
      <w:spacing w:before="240" w:after="64" w:line="320" w:lineRule="auto"/>
      <w:jc w:val="left"/>
      <w:outlineLvl w:val="7"/>
    </w:pPr>
    <w:rPr>
      <w:rFonts w:ascii="Arial" w:hAnsi="Arial" w:eastAsia="黑体"/>
      <w:kern w:val="0"/>
      <w:sz w:val="24"/>
    </w:rPr>
  </w:style>
  <w:style w:type="paragraph" w:styleId="11">
    <w:name w:val="heading 9"/>
    <w:basedOn w:val="1"/>
    <w:next w:val="1"/>
    <w:link w:val="61"/>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2">
    <w:name w:val="Default Paragraph Font"/>
    <w:link w:val="43"/>
    <w:qFormat/>
    <w:uiPriority w:val="0"/>
    <w:rPr>
      <w:rFonts w:ascii="宋体" w:hAnsi="宋体"/>
      <w:kern w:val="0"/>
      <w:szCs w:val="21"/>
    </w:rPr>
  </w:style>
  <w:style w:type="table" w:default="1" w:styleId="40">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54"/>
    <w:qFormat/>
    <w:uiPriority w:val="0"/>
    <w:pPr>
      <w:jc w:val="center"/>
    </w:pPr>
    <w:rPr>
      <w:sz w:val="52"/>
    </w:rPr>
  </w:style>
  <w:style w:type="paragraph" w:styleId="12">
    <w:name w:val="toc 7"/>
    <w:basedOn w:val="1"/>
    <w:next w:val="1"/>
    <w:qFormat/>
    <w:uiPriority w:val="39"/>
    <w:pPr>
      <w:ind w:left="1260"/>
      <w:jc w:val="left"/>
    </w:pPr>
    <w:rPr>
      <w:rFonts w:ascii="Calibri" w:hAnsi="Calibri" w:cs="Calibri"/>
      <w:sz w:val="18"/>
      <w:szCs w:val="18"/>
    </w:rPr>
  </w:style>
  <w:style w:type="paragraph" w:styleId="13">
    <w:name w:val="Normal Indent"/>
    <w:basedOn w:val="1"/>
    <w:next w:val="1"/>
    <w:link w:val="59"/>
    <w:qFormat/>
    <w:uiPriority w:val="0"/>
    <w:pPr>
      <w:widowControl/>
      <w:ind w:firstLine="420"/>
      <w:jc w:val="left"/>
    </w:pPr>
    <w:rPr>
      <w:kern w:val="0"/>
      <w:sz w:val="20"/>
      <w:szCs w:val="20"/>
    </w:rPr>
  </w:style>
  <w:style w:type="paragraph" w:styleId="14">
    <w:name w:val="caption"/>
    <w:basedOn w:val="1"/>
    <w:next w:val="1"/>
    <w:qFormat/>
    <w:uiPriority w:val="0"/>
    <w:rPr>
      <w:rFonts w:ascii="Arial" w:hAnsi="Arial" w:eastAsia="黑体"/>
      <w:sz w:val="20"/>
    </w:rPr>
  </w:style>
  <w:style w:type="paragraph" w:styleId="15">
    <w:name w:val="Document Map"/>
    <w:basedOn w:val="1"/>
    <w:link w:val="62"/>
    <w:qFormat/>
    <w:uiPriority w:val="0"/>
    <w:pPr>
      <w:shd w:val="clear" w:color="auto" w:fill="000080"/>
    </w:pPr>
  </w:style>
  <w:style w:type="paragraph" w:styleId="16">
    <w:name w:val="annotation text"/>
    <w:basedOn w:val="1"/>
    <w:link w:val="63"/>
    <w:qFormat/>
    <w:uiPriority w:val="99"/>
    <w:pPr>
      <w:adjustRightInd w:val="0"/>
      <w:spacing w:line="360" w:lineRule="atLeast"/>
      <w:jc w:val="left"/>
      <w:textAlignment w:val="baseline"/>
    </w:pPr>
    <w:rPr>
      <w:kern w:val="0"/>
      <w:sz w:val="24"/>
      <w:szCs w:val="20"/>
    </w:rPr>
  </w:style>
  <w:style w:type="paragraph" w:styleId="17">
    <w:name w:val="Body Text 3"/>
    <w:basedOn w:val="1"/>
    <w:link w:val="64"/>
    <w:qFormat/>
    <w:uiPriority w:val="0"/>
    <w:pPr>
      <w:spacing w:line="440" w:lineRule="exact"/>
    </w:pPr>
    <w:rPr>
      <w:sz w:val="24"/>
    </w:rPr>
  </w:style>
  <w:style w:type="paragraph" w:styleId="18">
    <w:name w:val="Body Text Indent"/>
    <w:basedOn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5"/>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6"/>
    <w:qFormat/>
    <w:uiPriority w:val="0"/>
    <w:rPr>
      <w:sz w:val="18"/>
      <w:szCs w:val="18"/>
    </w:rPr>
  </w:style>
  <w:style w:type="paragraph" w:styleId="26">
    <w:name w:val="footer"/>
    <w:basedOn w:val="1"/>
    <w:link w:val="67"/>
    <w:qFormat/>
    <w:uiPriority w:val="99"/>
    <w:pPr>
      <w:tabs>
        <w:tab w:val="center" w:pos="4153"/>
        <w:tab w:val="right" w:pos="8306"/>
      </w:tabs>
      <w:snapToGrid w:val="0"/>
      <w:jc w:val="left"/>
    </w:pPr>
    <w:rPr>
      <w:sz w:val="18"/>
      <w:szCs w:val="18"/>
    </w:rPr>
  </w:style>
  <w:style w:type="paragraph" w:styleId="27">
    <w:name w:val="header"/>
    <w:basedOn w:val="1"/>
    <w:link w:val="68"/>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List"/>
    <w:basedOn w:val="1"/>
    <w:qFormat/>
    <w:uiPriority w:val="0"/>
    <w:pPr>
      <w:ind w:left="200" w:hanging="200" w:hangingChars="200"/>
    </w:pPr>
    <w:rPr>
      <w:szCs w:val="20"/>
    </w:rPr>
  </w:style>
  <w:style w:type="paragraph" w:styleId="31">
    <w:name w:val="toc 6"/>
    <w:basedOn w:val="1"/>
    <w:next w:val="1"/>
    <w:qFormat/>
    <w:uiPriority w:val="39"/>
    <w:pPr>
      <w:ind w:left="1050"/>
      <w:jc w:val="left"/>
    </w:pPr>
    <w:rPr>
      <w:rFonts w:ascii="Calibri" w:hAnsi="Calibri" w:cs="Calibri"/>
      <w:sz w:val="18"/>
      <w:szCs w:val="18"/>
    </w:rPr>
  </w:style>
  <w:style w:type="paragraph" w:styleId="32">
    <w:name w:val="Body Text Indent 3"/>
    <w:basedOn w:val="1"/>
    <w:qFormat/>
    <w:uiPriority w:val="0"/>
    <w:pPr>
      <w:spacing w:line="500" w:lineRule="exact"/>
      <w:ind w:firstLine="570"/>
    </w:pPr>
    <w:rPr>
      <w:rFonts w:eastAsia="黑体"/>
      <w:sz w:val="28"/>
    </w:rPr>
  </w:style>
  <w:style w:type="paragraph" w:styleId="33">
    <w:name w:val="toc 2"/>
    <w:basedOn w:val="1"/>
    <w:next w:val="1"/>
    <w:qFormat/>
    <w:uiPriority w:val="39"/>
    <w:pPr>
      <w:ind w:left="210"/>
      <w:jc w:val="left"/>
    </w:pPr>
    <w:rPr>
      <w:rFonts w:ascii="Calibri" w:hAnsi="Calibri" w:cs="Calibri"/>
      <w:smallCaps/>
      <w:sz w:val="20"/>
      <w:szCs w:val="20"/>
    </w:rPr>
  </w:style>
  <w:style w:type="paragraph" w:styleId="34">
    <w:name w:val="toc 9"/>
    <w:basedOn w:val="1"/>
    <w:next w:val="1"/>
    <w:qFormat/>
    <w:uiPriority w:val="39"/>
    <w:pPr>
      <w:ind w:left="1680"/>
      <w:jc w:val="left"/>
    </w:pPr>
    <w:rPr>
      <w:rFonts w:ascii="Calibri" w:hAnsi="Calibri" w:cs="Calibri"/>
      <w:sz w:val="18"/>
      <w:szCs w:val="18"/>
    </w:rPr>
  </w:style>
  <w:style w:type="paragraph" w:styleId="35">
    <w:name w:val="Body Text 2"/>
    <w:basedOn w:val="1"/>
    <w:qFormat/>
    <w:uiPriority w:val="0"/>
    <w:rPr>
      <w:sz w:val="28"/>
    </w:rPr>
  </w:style>
  <w:style w:type="paragraph" w:styleId="36">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7">
    <w:name w:val="Title"/>
    <w:basedOn w:val="1"/>
    <w:link w:val="69"/>
    <w:qFormat/>
    <w:uiPriority w:val="0"/>
    <w:pPr>
      <w:adjustRightInd w:val="0"/>
      <w:spacing w:before="240" w:beforeLines="0" w:after="60" w:afterLines="0" w:line="312" w:lineRule="atLeast"/>
      <w:jc w:val="center"/>
      <w:textAlignment w:val="baseline"/>
    </w:pPr>
    <w:rPr>
      <w:rFonts w:ascii="Arial" w:hAnsi="Arial"/>
      <w:b/>
      <w:kern w:val="28"/>
      <w:sz w:val="32"/>
      <w:szCs w:val="20"/>
    </w:rPr>
  </w:style>
  <w:style w:type="paragraph" w:styleId="38">
    <w:name w:val="annotation subject"/>
    <w:basedOn w:val="16"/>
    <w:next w:val="16"/>
    <w:link w:val="70"/>
    <w:qFormat/>
    <w:uiPriority w:val="0"/>
    <w:pPr>
      <w:adjustRightInd/>
      <w:spacing w:line="240" w:lineRule="auto"/>
      <w:textAlignment w:val="auto"/>
    </w:pPr>
    <w:rPr>
      <w:b/>
      <w:bCs/>
      <w:kern w:val="2"/>
      <w:sz w:val="21"/>
      <w:szCs w:val="24"/>
    </w:rPr>
  </w:style>
  <w:style w:type="paragraph" w:styleId="39">
    <w:name w:val="Body Text First Indent 2"/>
    <w:basedOn w:val="18"/>
    <w:qFormat/>
    <w:uiPriority w:val="0"/>
    <w:pPr>
      <w:ind w:firstLine="420" w:firstLineChars="200"/>
    </w:pPr>
    <w:rPr>
      <w:rFonts w:ascii="Arial" w:hAnsi="Arial"/>
      <w:snapToGrid w:val="0"/>
      <w:kern w:val="0"/>
      <w:sz w:val="20"/>
    </w:rPr>
  </w:style>
  <w:style w:type="table" w:styleId="41">
    <w:name w:val="Table Grid"/>
    <w:basedOn w:val="40"/>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Char2 Char Char Char1 Char Char Char Char Char Char Char Char1 Char1 Char Char1 Char"/>
    <w:basedOn w:val="1"/>
    <w:link w:val="42"/>
    <w:qFormat/>
    <w:uiPriority w:val="0"/>
    <w:pPr>
      <w:spacing w:line="240" w:lineRule="auto"/>
    </w:pPr>
    <w:rPr>
      <w:rFonts w:ascii="宋体" w:hAnsi="宋体"/>
      <w:kern w:val="0"/>
      <w:szCs w:val="21"/>
    </w:rPr>
  </w:style>
  <w:style w:type="character" w:styleId="44">
    <w:name w:val="Strong"/>
    <w:qFormat/>
    <w:uiPriority w:val="0"/>
    <w:rPr>
      <w:rFonts w:cs="Times New Roman"/>
      <w:b/>
    </w:rPr>
  </w:style>
  <w:style w:type="character" w:styleId="45">
    <w:name w:val="page number"/>
    <w:qFormat/>
    <w:uiPriority w:val="0"/>
  </w:style>
  <w:style w:type="character" w:styleId="46">
    <w:name w:val="FollowedHyperlink"/>
    <w:qFormat/>
    <w:uiPriority w:val="0"/>
    <w:rPr>
      <w:color w:val="333333"/>
      <w:u w:val="none"/>
    </w:rPr>
  </w:style>
  <w:style w:type="character" w:styleId="47">
    <w:name w:val="Emphasis"/>
    <w:qFormat/>
    <w:uiPriority w:val="20"/>
  </w:style>
  <w:style w:type="character" w:styleId="48">
    <w:name w:val="HTML Definition"/>
    <w:unhideWhenUsed/>
    <w:qFormat/>
    <w:uiPriority w:val="99"/>
    <w:rPr>
      <w:i/>
      <w:iCs/>
    </w:rPr>
  </w:style>
  <w:style w:type="character" w:styleId="49">
    <w:name w:val="Hyperlink"/>
    <w:qFormat/>
    <w:uiPriority w:val="99"/>
    <w:rPr>
      <w:color w:val="333333"/>
      <w:u w:val="none"/>
    </w:rPr>
  </w:style>
  <w:style w:type="character" w:styleId="50">
    <w:name w:val="HTML Code"/>
    <w:unhideWhenUsed/>
    <w:qFormat/>
    <w:uiPriority w:val="99"/>
    <w:rPr>
      <w:rFonts w:hint="default" w:ascii="Consolas" w:hAnsi="Consolas" w:eastAsia="Consolas" w:cs="Consolas"/>
      <w:color w:val="C7254E"/>
      <w:sz w:val="21"/>
      <w:szCs w:val="21"/>
      <w:shd w:val="clear" w:color="auto" w:fill="F9F2F4"/>
    </w:rPr>
  </w:style>
  <w:style w:type="character" w:styleId="51">
    <w:name w:val="annotation reference"/>
    <w:qFormat/>
    <w:uiPriority w:val="0"/>
    <w:rPr>
      <w:sz w:val="21"/>
      <w:szCs w:val="21"/>
    </w:rPr>
  </w:style>
  <w:style w:type="character" w:styleId="52">
    <w:name w:val="HTML Keyboard"/>
    <w:unhideWhenUsed/>
    <w:qFormat/>
    <w:uiPriority w:val="99"/>
    <w:rPr>
      <w:rFonts w:hint="default" w:ascii="Consolas" w:hAnsi="Consolas" w:eastAsia="Consolas" w:cs="Consolas"/>
      <w:color w:val="FFFFFF"/>
      <w:sz w:val="21"/>
      <w:szCs w:val="21"/>
      <w:shd w:val="clear" w:color="auto" w:fill="333333"/>
    </w:rPr>
  </w:style>
  <w:style w:type="character" w:styleId="53">
    <w:name w:val="HTML Sample"/>
    <w:unhideWhenUsed/>
    <w:qFormat/>
    <w:uiPriority w:val="99"/>
    <w:rPr>
      <w:rFonts w:ascii="Consolas" w:hAnsi="Consolas" w:eastAsia="Consolas" w:cs="Consolas"/>
      <w:sz w:val="21"/>
      <w:szCs w:val="21"/>
    </w:rPr>
  </w:style>
  <w:style w:type="character" w:customStyle="1" w:styleId="54">
    <w:name w:val="正文文本 字符"/>
    <w:link w:val="2"/>
    <w:qFormat/>
    <w:locked/>
    <w:uiPriority w:val="0"/>
    <w:rPr>
      <w:kern w:val="2"/>
      <w:sz w:val="52"/>
      <w:szCs w:val="24"/>
    </w:rPr>
  </w:style>
  <w:style w:type="character" w:customStyle="1" w:styleId="55">
    <w:name w:val="标题 1 字符"/>
    <w:link w:val="3"/>
    <w:qFormat/>
    <w:locked/>
    <w:uiPriority w:val="0"/>
    <w:rPr>
      <w:b/>
      <w:bCs/>
      <w:kern w:val="44"/>
      <w:sz w:val="44"/>
      <w:szCs w:val="44"/>
    </w:rPr>
  </w:style>
  <w:style w:type="character" w:customStyle="1" w:styleId="56">
    <w:name w:val="标题 2 字符"/>
    <w:link w:val="4"/>
    <w:qFormat/>
    <w:locked/>
    <w:uiPriority w:val="0"/>
    <w:rPr>
      <w:rFonts w:ascii="Arial" w:hAnsi="Arial"/>
      <w:b/>
      <w:bCs/>
      <w:color w:val="FF0000"/>
      <w:kern w:val="2"/>
      <w:sz w:val="28"/>
      <w:szCs w:val="32"/>
    </w:rPr>
  </w:style>
  <w:style w:type="paragraph" w:customStyle="1" w:styleId="57">
    <w:name w:val="标题 60"/>
    <w:basedOn w:val="8"/>
    <w:qFormat/>
    <w:uiPriority w:val="0"/>
    <w:pPr>
      <w:spacing w:line="319" w:lineRule="auto"/>
      <w:ind w:firstLine="200" w:firstLineChars="200"/>
    </w:pPr>
    <w:rPr>
      <w:b w:val="0"/>
      <w:bCs w:val="0"/>
    </w:rPr>
  </w:style>
  <w:style w:type="character" w:customStyle="1" w:styleId="58">
    <w:name w:val="标题 3 字符"/>
    <w:link w:val="5"/>
    <w:qFormat/>
    <w:uiPriority w:val="0"/>
    <w:rPr>
      <w:b/>
      <w:bCs/>
      <w:kern w:val="2"/>
      <w:sz w:val="32"/>
      <w:szCs w:val="32"/>
    </w:rPr>
  </w:style>
  <w:style w:type="character" w:customStyle="1" w:styleId="59">
    <w:name w:val="正文缩进 字符"/>
    <w:link w:val="13"/>
    <w:qFormat/>
    <w:uiPriority w:val="0"/>
  </w:style>
  <w:style w:type="character" w:customStyle="1" w:styleId="60">
    <w:name w:val="标题 4 字符"/>
    <w:link w:val="6"/>
    <w:qFormat/>
    <w:uiPriority w:val="0"/>
    <w:rPr>
      <w:rFonts w:ascii="Arial" w:hAnsi="Arial" w:eastAsia="黑体"/>
      <w:b/>
      <w:bCs/>
      <w:kern w:val="2"/>
      <w:sz w:val="28"/>
      <w:szCs w:val="28"/>
    </w:rPr>
  </w:style>
  <w:style w:type="character" w:customStyle="1" w:styleId="61">
    <w:name w:val="标题 9 字符"/>
    <w:link w:val="11"/>
    <w:qFormat/>
    <w:uiPriority w:val="0"/>
    <w:rPr>
      <w:rFonts w:ascii="Arial" w:hAnsi="Arial" w:eastAsia="黑体"/>
      <w:sz w:val="21"/>
      <w:szCs w:val="21"/>
    </w:rPr>
  </w:style>
  <w:style w:type="character" w:customStyle="1" w:styleId="62">
    <w:name w:val="文档结构图 字符"/>
    <w:link w:val="15"/>
    <w:qFormat/>
    <w:uiPriority w:val="0"/>
    <w:rPr>
      <w:kern w:val="2"/>
      <w:sz w:val="21"/>
      <w:szCs w:val="24"/>
      <w:shd w:val="clear" w:color="auto" w:fill="000080"/>
    </w:rPr>
  </w:style>
  <w:style w:type="character" w:customStyle="1" w:styleId="63">
    <w:name w:val="批注文字 字符1"/>
    <w:link w:val="16"/>
    <w:qFormat/>
    <w:locked/>
    <w:uiPriority w:val="99"/>
    <w:rPr>
      <w:sz w:val="24"/>
    </w:rPr>
  </w:style>
  <w:style w:type="character" w:customStyle="1" w:styleId="64">
    <w:name w:val="正文文本 3 字符"/>
    <w:link w:val="17"/>
    <w:qFormat/>
    <w:uiPriority w:val="0"/>
    <w:rPr>
      <w:kern w:val="2"/>
      <w:sz w:val="24"/>
      <w:szCs w:val="24"/>
    </w:rPr>
  </w:style>
  <w:style w:type="character" w:customStyle="1" w:styleId="65">
    <w:name w:val="纯文本 字符"/>
    <w:link w:val="21"/>
    <w:qFormat/>
    <w:uiPriority w:val="0"/>
    <w:rPr>
      <w:rFonts w:ascii="宋体" w:hAnsi="Courier New"/>
      <w:kern w:val="2"/>
      <w:sz w:val="21"/>
    </w:rPr>
  </w:style>
  <w:style w:type="character" w:customStyle="1" w:styleId="66">
    <w:name w:val="批注框文本 字符"/>
    <w:link w:val="25"/>
    <w:qFormat/>
    <w:locked/>
    <w:uiPriority w:val="0"/>
    <w:rPr>
      <w:kern w:val="2"/>
      <w:sz w:val="18"/>
      <w:szCs w:val="18"/>
    </w:rPr>
  </w:style>
  <w:style w:type="character" w:customStyle="1" w:styleId="67">
    <w:name w:val="页脚 字符"/>
    <w:link w:val="26"/>
    <w:qFormat/>
    <w:uiPriority w:val="99"/>
    <w:rPr>
      <w:kern w:val="2"/>
      <w:sz w:val="18"/>
      <w:szCs w:val="18"/>
    </w:rPr>
  </w:style>
  <w:style w:type="character" w:customStyle="1" w:styleId="68">
    <w:name w:val="页眉 字符"/>
    <w:link w:val="27"/>
    <w:qFormat/>
    <w:locked/>
    <w:uiPriority w:val="99"/>
    <w:rPr>
      <w:kern w:val="2"/>
      <w:sz w:val="18"/>
      <w:szCs w:val="18"/>
    </w:rPr>
  </w:style>
  <w:style w:type="character" w:customStyle="1" w:styleId="69">
    <w:name w:val="标题 字符"/>
    <w:link w:val="37"/>
    <w:qFormat/>
    <w:locked/>
    <w:uiPriority w:val="0"/>
    <w:rPr>
      <w:rFonts w:ascii="Arial" w:hAnsi="Arial"/>
      <w:b/>
      <w:kern w:val="28"/>
      <w:sz w:val="32"/>
    </w:rPr>
  </w:style>
  <w:style w:type="character" w:customStyle="1" w:styleId="70">
    <w:name w:val="批注主题 字符"/>
    <w:link w:val="38"/>
    <w:qFormat/>
    <w:locked/>
    <w:uiPriority w:val="0"/>
    <w:rPr>
      <w:b/>
      <w:bCs/>
      <w:kern w:val="2"/>
      <w:sz w:val="21"/>
      <w:szCs w:val="24"/>
    </w:rPr>
  </w:style>
  <w:style w:type="character" w:customStyle="1" w:styleId="71">
    <w:name w:val="bd-close2"/>
    <w:qFormat/>
    <w:uiPriority w:val="0"/>
    <w:rPr>
      <w:vanish/>
    </w:rPr>
  </w:style>
  <w:style w:type="character" w:customStyle="1" w:styleId="72">
    <w:name w:val="left"/>
    <w:qFormat/>
    <w:uiPriority w:val="0"/>
    <w:rPr>
      <w:color w:val="FF4700"/>
    </w:rPr>
  </w:style>
  <w:style w:type="character" w:customStyle="1" w:styleId="73">
    <w:name w:val="first-child"/>
    <w:qFormat/>
    <w:uiPriority w:val="0"/>
  </w:style>
  <w:style w:type="character" w:customStyle="1" w:styleId="74">
    <w:name w:val="bd-close"/>
    <w:qFormat/>
    <w:uiPriority w:val="0"/>
    <w:rPr>
      <w:vanish/>
    </w:rPr>
  </w:style>
  <w:style w:type="character" w:customStyle="1" w:styleId="75">
    <w:name w:val="left2"/>
    <w:qFormat/>
    <w:uiPriority w:val="0"/>
    <w:rPr>
      <w:color w:val="FF4700"/>
    </w:rPr>
  </w:style>
  <w:style w:type="character" w:customStyle="1" w:styleId="76">
    <w:name w:val="edui-clickable2"/>
    <w:qFormat/>
    <w:uiPriority w:val="0"/>
    <w:rPr>
      <w:color w:val="0000FF"/>
      <w:u w:val="single"/>
    </w:rPr>
  </w:style>
  <w:style w:type="character" w:customStyle="1" w:styleId="77">
    <w:name w:val="Footer Char"/>
    <w:qFormat/>
    <w:locked/>
    <w:uiPriority w:val="0"/>
    <w:rPr>
      <w:rFonts w:ascii="Calibri" w:hAnsi="Calibri" w:eastAsia="宋体"/>
      <w:sz w:val="18"/>
    </w:rPr>
  </w:style>
  <w:style w:type="character" w:customStyle="1" w:styleId="78">
    <w:name w:val="Header Char"/>
    <w:qFormat/>
    <w:locked/>
    <w:uiPriority w:val="0"/>
    <w:rPr>
      <w:rFonts w:ascii="Calibri" w:hAnsi="Calibri" w:eastAsia="宋体"/>
      <w:sz w:val="18"/>
    </w:rPr>
  </w:style>
  <w:style w:type="character" w:customStyle="1" w:styleId="79">
    <w:name w:val="标题2 Char"/>
    <w:link w:val="80"/>
    <w:qFormat/>
    <w:uiPriority w:val="0"/>
    <w:rPr>
      <w:rFonts w:ascii="黑体" w:hAnsi="宋体" w:cs="黑体"/>
      <w:b/>
      <w:bCs/>
      <w:sz w:val="28"/>
      <w:szCs w:val="28"/>
    </w:rPr>
  </w:style>
  <w:style w:type="paragraph" w:customStyle="1" w:styleId="80">
    <w:name w:val="标题2"/>
    <w:basedOn w:val="6"/>
    <w:next w:val="1"/>
    <w:link w:val="79"/>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81">
    <w:name w:val="中文正文、 Char Char"/>
    <w:link w:val="82"/>
    <w:qFormat/>
    <w:uiPriority w:val="0"/>
    <w:rPr>
      <w:kern w:val="2"/>
      <w:sz w:val="21"/>
      <w:szCs w:val="21"/>
    </w:rPr>
  </w:style>
  <w:style w:type="paragraph" w:customStyle="1" w:styleId="82">
    <w:name w:val="中文正文、"/>
    <w:basedOn w:val="1"/>
    <w:link w:val="81"/>
    <w:qFormat/>
    <w:uiPriority w:val="0"/>
    <w:pPr>
      <w:adjustRightInd/>
      <w:spacing w:line="360" w:lineRule="auto"/>
      <w:ind w:firstLine="420" w:firstLineChars="200"/>
    </w:pPr>
    <w:rPr>
      <w:szCs w:val="21"/>
    </w:rPr>
  </w:style>
  <w:style w:type="character" w:customStyle="1" w:styleId="83">
    <w:name w:val="批注主题 Char"/>
    <w:link w:val="84"/>
    <w:qFormat/>
    <w:locked/>
    <w:uiPriority w:val="0"/>
    <w:rPr>
      <w:b/>
      <w:sz w:val="24"/>
    </w:rPr>
  </w:style>
  <w:style w:type="paragraph" w:customStyle="1" w:styleId="84">
    <w:name w:val="批注主题1"/>
    <w:basedOn w:val="16"/>
    <w:next w:val="16"/>
    <w:link w:val="83"/>
    <w:qFormat/>
    <w:uiPriority w:val="0"/>
    <w:pPr>
      <w:adjustRightInd/>
      <w:spacing w:line="240" w:lineRule="auto"/>
      <w:textAlignment w:val="auto"/>
    </w:pPr>
    <w:rPr>
      <w:b/>
    </w:rPr>
  </w:style>
  <w:style w:type="character" w:customStyle="1" w:styleId="85">
    <w:name w:val="16"/>
    <w:qFormat/>
    <w:uiPriority w:val="0"/>
    <w:rPr>
      <w:rFonts w:hint="default" w:ascii="Times New Roman" w:hAnsi="Times New Roman" w:cs="Times New Roman"/>
    </w:rPr>
  </w:style>
  <w:style w:type="character" w:customStyle="1" w:styleId="86">
    <w:name w:val="封面标题 Char"/>
    <w:link w:val="87"/>
    <w:qFormat/>
    <w:uiPriority w:val="0"/>
    <w:rPr>
      <w:rFonts w:ascii="黑体" w:eastAsia="黑体"/>
      <w:sz w:val="52"/>
      <w:szCs w:val="52"/>
    </w:rPr>
  </w:style>
  <w:style w:type="paragraph" w:customStyle="1" w:styleId="87">
    <w:name w:val="封面标题"/>
    <w:basedOn w:val="1"/>
    <w:link w:val="86"/>
    <w:qFormat/>
    <w:uiPriority w:val="0"/>
    <w:pPr>
      <w:spacing w:line="276" w:lineRule="auto"/>
      <w:jc w:val="center"/>
    </w:pPr>
    <w:rPr>
      <w:rFonts w:ascii="黑体" w:eastAsia="黑体"/>
      <w:kern w:val="0"/>
      <w:sz w:val="52"/>
      <w:szCs w:val="52"/>
    </w:rPr>
  </w:style>
  <w:style w:type="character" w:customStyle="1" w:styleId="88">
    <w:name w:val="edui-unclickable"/>
    <w:qFormat/>
    <w:uiPriority w:val="0"/>
    <w:rPr>
      <w:color w:val="808080"/>
    </w:rPr>
  </w:style>
  <w:style w:type="character" w:customStyle="1" w:styleId="89">
    <w:name w:val="15"/>
    <w:qFormat/>
    <w:uiPriority w:val="0"/>
    <w:rPr>
      <w:rFonts w:hint="eastAsia" w:ascii="宋体" w:hAnsi="宋体" w:eastAsia="宋体"/>
      <w:sz w:val="24"/>
      <w:szCs w:val="24"/>
    </w:rPr>
  </w:style>
  <w:style w:type="character" w:customStyle="1" w:styleId="90">
    <w:name w:val="封面副标题 Char"/>
    <w:link w:val="91"/>
    <w:qFormat/>
    <w:uiPriority w:val="0"/>
    <w:rPr>
      <w:rFonts w:ascii="黑体" w:eastAsia="黑体"/>
      <w:sz w:val="28"/>
      <w:szCs w:val="28"/>
    </w:rPr>
  </w:style>
  <w:style w:type="paragraph" w:customStyle="1" w:styleId="91">
    <w:name w:val="封面副标题"/>
    <w:basedOn w:val="1"/>
    <w:link w:val="90"/>
    <w:qFormat/>
    <w:uiPriority w:val="0"/>
    <w:pPr>
      <w:spacing w:line="276" w:lineRule="auto"/>
      <w:ind w:firstLine="199" w:firstLineChars="71"/>
      <w:jc w:val="center"/>
    </w:pPr>
    <w:rPr>
      <w:rFonts w:ascii="黑体" w:eastAsia="黑体"/>
      <w:kern w:val="0"/>
      <w:sz w:val="28"/>
      <w:szCs w:val="28"/>
    </w:rPr>
  </w:style>
  <w:style w:type="character" w:customStyle="1" w:styleId="92">
    <w:name w:val="文档结构图 Char"/>
    <w:link w:val="93"/>
    <w:qFormat/>
    <w:locked/>
    <w:uiPriority w:val="0"/>
    <w:rPr>
      <w:rFonts w:ascii="宋体" w:hAnsi="Calibri"/>
      <w:sz w:val="18"/>
    </w:rPr>
  </w:style>
  <w:style w:type="paragraph" w:customStyle="1" w:styleId="93">
    <w:name w:val="文档结构图1"/>
    <w:basedOn w:val="1"/>
    <w:link w:val="92"/>
    <w:qFormat/>
    <w:uiPriority w:val="0"/>
    <w:rPr>
      <w:rFonts w:ascii="宋体" w:hAnsi="Calibri"/>
      <w:kern w:val="0"/>
      <w:sz w:val="18"/>
      <w:szCs w:val="20"/>
    </w:rPr>
  </w:style>
  <w:style w:type="character" w:customStyle="1" w:styleId="94">
    <w:name w:val="纯文本 Char"/>
    <w:qFormat/>
    <w:locked/>
    <w:uiPriority w:val="0"/>
    <w:rPr>
      <w:rFonts w:ascii="Calibri" w:hAnsi="Calibri" w:cs="Calibri"/>
    </w:rPr>
  </w:style>
  <w:style w:type="character" w:customStyle="1" w:styleId="95">
    <w:name w:val="font31"/>
    <w:qFormat/>
    <w:uiPriority w:val="0"/>
    <w:rPr>
      <w:rFonts w:hint="eastAsia" w:ascii="仿宋" w:hAnsi="仿宋" w:eastAsia="仿宋" w:cs="仿宋"/>
      <w:color w:val="000000"/>
      <w:kern w:val="0"/>
      <w:sz w:val="20"/>
      <w:szCs w:val="20"/>
      <w:u w:val="none"/>
    </w:rPr>
  </w:style>
  <w:style w:type="character" w:customStyle="1" w:styleId="96">
    <w:name w:val="button"/>
    <w:qFormat/>
    <w:uiPriority w:val="0"/>
  </w:style>
  <w:style w:type="character" w:customStyle="1" w:styleId="97">
    <w:name w:val="bd-open"/>
    <w:qFormat/>
    <w:uiPriority w:val="0"/>
  </w:style>
  <w:style w:type="character" w:customStyle="1" w:styleId="98">
    <w:name w:val="tmpztreemove_arrow"/>
    <w:qFormat/>
    <w:uiPriority w:val="0"/>
  </w:style>
  <w:style w:type="character" w:customStyle="1" w:styleId="99">
    <w:name w:val="Comment Text Char"/>
    <w:qFormat/>
    <w:locked/>
    <w:uiPriority w:val="0"/>
    <w:rPr>
      <w:rFonts w:ascii="Times New Roman" w:hAnsi="Times New Roman" w:eastAsia="宋体"/>
      <w:sz w:val="24"/>
    </w:rPr>
  </w:style>
  <w:style w:type="character" w:customStyle="1" w:styleId="100">
    <w:name w:val="A表格文字 Char"/>
    <w:link w:val="101"/>
    <w:qFormat/>
    <w:uiPriority w:val="0"/>
    <w:rPr>
      <w:rFonts w:ascii="宋体" w:hAnsi="宋体"/>
      <w:kern w:val="21"/>
      <w:sz w:val="21"/>
    </w:rPr>
  </w:style>
  <w:style w:type="paragraph" w:customStyle="1" w:styleId="101">
    <w:name w:val="A表格文字"/>
    <w:basedOn w:val="1"/>
    <w:link w:val="100"/>
    <w:qFormat/>
    <w:uiPriority w:val="0"/>
    <w:pPr>
      <w:adjustRightInd w:val="0"/>
      <w:snapToGrid w:val="0"/>
      <w:spacing w:before="40" w:after="40"/>
      <w:jc w:val="left"/>
    </w:pPr>
    <w:rPr>
      <w:rFonts w:ascii="宋体" w:hAnsi="宋体"/>
      <w:kern w:val="21"/>
      <w:szCs w:val="20"/>
    </w:rPr>
  </w:style>
  <w:style w:type="character" w:customStyle="1" w:styleId="102">
    <w:name w:val="layui-layer-tabnow"/>
    <w:qFormat/>
    <w:uiPriority w:val="0"/>
    <w:rPr>
      <w:bdr w:val="single" w:color="CCCCCC" w:sz="6" w:space="0"/>
      <w:shd w:val="clear" w:color="auto" w:fill="FFFFFF"/>
    </w:rPr>
  </w:style>
  <w:style w:type="character" w:customStyle="1" w:styleId="103">
    <w:name w:val="批注文字 Char2"/>
    <w:qFormat/>
    <w:uiPriority w:val="99"/>
    <w:rPr>
      <w:kern w:val="2"/>
      <w:sz w:val="21"/>
    </w:rPr>
  </w:style>
  <w:style w:type="character" w:customStyle="1" w:styleId="104">
    <w:name w:val="bd-open2"/>
    <w:qFormat/>
    <w:uiPriority w:val="0"/>
  </w:style>
  <w:style w:type="character" w:customStyle="1" w:styleId="105">
    <w:name w:val="font51"/>
    <w:qFormat/>
    <w:uiPriority w:val="0"/>
    <w:rPr>
      <w:rFonts w:hint="eastAsia" w:ascii="仿宋" w:hAnsi="仿宋" w:eastAsia="仿宋" w:cs="仿宋"/>
      <w:b/>
      <w:bCs/>
      <w:color w:val="000000"/>
      <w:sz w:val="21"/>
      <w:szCs w:val="21"/>
      <w:u w:val="none"/>
    </w:rPr>
  </w:style>
  <w:style w:type="character" w:customStyle="1" w:styleId="106">
    <w:name w:val="列表段落 字符"/>
    <w:link w:val="107"/>
    <w:qFormat/>
    <w:locked/>
    <w:uiPriority w:val="34"/>
    <w:rPr>
      <w:rFonts w:cs="Calibri"/>
      <w:kern w:val="2"/>
      <w:sz w:val="21"/>
      <w:szCs w:val="24"/>
    </w:rPr>
  </w:style>
  <w:style w:type="paragraph" w:styleId="107">
    <w:name w:val="List Paragraph"/>
    <w:basedOn w:val="1"/>
    <w:link w:val="106"/>
    <w:qFormat/>
    <w:uiPriority w:val="34"/>
    <w:pPr>
      <w:ind w:firstLine="420" w:firstLineChars="200"/>
    </w:pPr>
    <w:rPr>
      <w:rFonts w:ascii="Calibri" w:hAnsi="Calibri" w:cs="Calibri"/>
    </w:rPr>
  </w:style>
  <w:style w:type="character" w:customStyle="1" w:styleId="108">
    <w:name w:val="Title Char"/>
    <w:qFormat/>
    <w:locked/>
    <w:uiPriority w:val="0"/>
    <w:rPr>
      <w:rFonts w:ascii="Cambria" w:hAnsi="Cambria" w:eastAsia="宋体"/>
      <w:b/>
      <w:sz w:val="32"/>
    </w:rPr>
  </w:style>
  <w:style w:type="character" w:customStyle="1" w:styleId="109">
    <w:name w:val="批注文字 Char1"/>
    <w:qFormat/>
    <w:uiPriority w:val="0"/>
    <w:rPr>
      <w:kern w:val="2"/>
      <w:sz w:val="21"/>
    </w:rPr>
  </w:style>
  <w:style w:type="character" w:customStyle="1" w:styleId="110">
    <w:name w:val="彩色列表 - 强调文字颜色 1 Char"/>
    <w:link w:val="111"/>
    <w:qFormat/>
    <w:uiPriority w:val="34"/>
    <w:rPr>
      <w:rFonts w:ascii="Calibri" w:hAnsi="Calibri"/>
      <w:kern w:val="2"/>
      <w:sz w:val="21"/>
      <w:szCs w:val="22"/>
    </w:rPr>
  </w:style>
  <w:style w:type="paragraph" w:customStyle="1" w:styleId="111">
    <w:name w:val="彩色列表 - 强调文字颜色 11"/>
    <w:basedOn w:val="1"/>
    <w:link w:val="110"/>
    <w:qFormat/>
    <w:uiPriority w:val="34"/>
    <w:pPr>
      <w:ind w:firstLine="420" w:firstLineChars="200"/>
    </w:pPr>
    <w:rPr>
      <w:rFonts w:ascii="Calibri" w:hAnsi="Calibri"/>
      <w:szCs w:val="22"/>
    </w:rPr>
  </w:style>
  <w:style w:type="character" w:customStyle="1" w:styleId="112">
    <w:name w:val="列出段落 字符"/>
    <w:qFormat/>
    <w:uiPriority w:val="34"/>
    <w:rPr>
      <w:kern w:val="2"/>
      <w:sz w:val="21"/>
      <w:szCs w:val="24"/>
    </w:rPr>
  </w:style>
  <w:style w:type="character" w:customStyle="1" w:styleId="113">
    <w:name w:val="批注引用1"/>
    <w:qFormat/>
    <w:uiPriority w:val="0"/>
    <w:rPr>
      <w:sz w:val="21"/>
    </w:rPr>
  </w:style>
  <w:style w:type="character" w:customStyle="1" w:styleId="114">
    <w:name w:val="Balloon Text Char"/>
    <w:qFormat/>
    <w:locked/>
    <w:uiPriority w:val="0"/>
    <w:rPr>
      <w:rFonts w:ascii="Calibri" w:hAnsi="Calibri" w:eastAsia="宋体"/>
      <w:sz w:val="18"/>
    </w:rPr>
  </w:style>
  <w:style w:type="character" w:customStyle="1" w:styleId="115">
    <w:name w:val="A表格文字左对齐 Char"/>
    <w:link w:val="116"/>
    <w:qFormat/>
    <w:uiPriority w:val="0"/>
    <w:rPr>
      <w:rFonts w:ascii="宋体" w:hAnsi="宋体"/>
      <w:kern w:val="2"/>
      <w:sz w:val="21"/>
    </w:rPr>
  </w:style>
  <w:style w:type="paragraph" w:customStyle="1" w:styleId="116">
    <w:name w:val="A表格文字左对齐"/>
    <w:basedOn w:val="1"/>
    <w:link w:val="115"/>
    <w:qFormat/>
    <w:uiPriority w:val="0"/>
    <w:pPr>
      <w:adjustRightInd w:val="0"/>
      <w:spacing w:before="40" w:after="4"/>
      <w:jc w:val="left"/>
    </w:pPr>
    <w:rPr>
      <w:rFonts w:ascii="宋体" w:hAnsi="宋体"/>
      <w:szCs w:val="20"/>
    </w:rPr>
  </w:style>
  <w:style w:type="character" w:customStyle="1" w:styleId="117">
    <w:name w:val="font11"/>
    <w:qFormat/>
    <w:uiPriority w:val="0"/>
    <w:rPr>
      <w:rFonts w:hint="eastAsia" w:ascii="仿宋" w:hAnsi="仿宋" w:eastAsia="仿宋" w:cs="仿宋"/>
      <w:color w:val="FF0000"/>
      <w:sz w:val="20"/>
      <w:szCs w:val="20"/>
      <w:u w:val="none"/>
      <w:lang w:val="en-US" w:eastAsia="zh-CN" w:bidi="ar-SA"/>
    </w:rPr>
  </w:style>
  <w:style w:type="character" w:customStyle="1" w:styleId="118">
    <w:name w:val="right"/>
    <w:qFormat/>
    <w:uiPriority w:val="0"/>
  </w:style>
  <w:style w:type="character" w:customStyle="1" w:styleId="119">
    <w:name w:val="批注文字 字符"/>
    <w:qFormat/>
    <w:uiPriority w:val="99"/>
    <w:rPr>
      <w:kern w:val="2"/>
      <w:sz w:val="21"/>
    </w:rPr>
  </w:style>
  <w:style w:type="character" w:customStyle="1" w:styleId="120">
    <w:name w:val="font21"/>
    <w:qFormat/>
    <w:uiPriority w:val="0"/>
    <w:rPr>
      <w:rFonts w:hint="default" w:ascii="仿宋_GB2312" w:hAnsi="宋体" w:eastAsia="仿宋_GB2312" w:cs="仿宋_GB2312"/>
      <w:color w:val="FF0000"/>
      <w:kern w:val="0"/>
      <w:sz w:val="24"/>
      <w:szCs w:val="24"/>
      <w:u w:val="none"/>
    </w:rPr>
  </w:style>
  <w:style w:type="character" w:customStyle="1" w:styleId="121">
    <w:name w:val="日期 Char"/>
    <w:link w:val="122"/>
    <w:qFormat/>
    <w:locked/>
    <w:uiPriority w:val="0"/>
    <w:rPr>
      <w:rFonts w:ascii="Calibri" w:hAnsi="Calibri"/>
    </w:rPr>
  </w:style>
  <w:style w:type="paragraph" w:customStyle="1" w:styleId="122">
    <w:name w:val="日期1"/>
    <w:basedOn w:val="1"/>
    <w:next w:val="1"/>
    <w:link w:val="121"/>
    <w:qFormat/>
    <w:uiPriority w:val="0"/>
    <w:pPr>
      <w:ind w:left="100" w:leftChars="2500"/>
    </w:pPr>
    <w:rPr>
      <w:rFonts w:ascii="Calibri" w:hAnsi="Calibri"/>
      <w:kern w:val="0"/>
      <w:sz w:val="20"/>
      <w:szCs w:val="20"/>
    </w:rPr>
  </w:style>
  <w:style w:type="character" w:customStyle="1" w:styleId="123">
    <w:name w:val="封面合同编号 Char"/>
    <w:link w:val="124"/>
    <w:qFormat/>
    <w:uiPriority w:val="0"/>
    <w:rPr>
      <w:rFonts w:ascii="Calibri" w:hAnsi="Calibri"/>
      <w:kern w:val="2"/>
      <w:sz w:val="21"/>
      <w:szCs w:val="22"/>
    </w:rPr>
  </w:style>
  <w:style w:type="paragraph" w:customStyle="1" w:styleId="124">
    <w:name w:val="封面合同编号"/>
    <w:basedOn w:val="1"/>
    <w:link w:val="123"/>
    <w:qFormat/>
    <w:uiPriority w:val="0"/>
    <w:pPr>
      <w:spacing w:line="276" w:lineRule="auto"/>
      <w:ind w:right="1701"/>
      <w:jc w:val="right"/>
    </w:pPr>
    <w:rPr>
      <w:rFonts w:ascii="Calibri" w:hAnsi="Calibri"/>
      <w:szCs w:val="22"/>
    </w:rPr>
  </w:style>
  <w:style w:type="paragraph" w:customStyle="1" w:styleId="125">
    <w:name w:val="_Style 124"/>
    <w:unhideWhenUsed/>
    <w:qFormat/>
    <w:uiPriority w:val="99"/>
    <w:rPr>
      <w:rFonts w:ascii="Times New Roman" w:hAnsi="Times New Roman" w:eastAsia="宋体" w:cs="Times New Roman"/>
      <w:kern w:val="2"/>
      <w:sz w:val="21"/>
      <w:szCs w:val="24"/>
      <w:lang w:val="en-US" w:eastAsia="zh-CN" w:bidi="ar-SA"/>
    </w:rPr>
  </w:style>
  <w:style w:type="paragraph" w:customStyle="1" w:styleId="126">
    <w:name w:val="1正文"/>
    <w:basedOn w:val="1"/>
    <w:qFormat/>
    <w:uiPriority w:val="0"/>
    <w:pPr>
      <w:spacing w:line="560" w:lineRule="exact"/>
      <w:ind w:firstLine="200" w:firstLineChars="200"/>
    </w:pPr>
    <w:rPr>
      <w:rFonts w:eastAsia="Cambria Math"/>
      <w:sz w:val="32"/>
    </w:rPr>
  </w:style>
  <w:style w:type="paragraph" w:customStyle="1" w:styleId="12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28">
    <w:name w:val="无间隔1"/>
    <w:qFormat/>
    <w:uiPriority w:val="1"/>
    <w:rPr>
      <w:rFonts w:ascii="Times New Roman" w:hAnsi="Times New Roman" w:eastAsia="宋体" w:cs="Times New Roman"/>
      <w:sz w:val="22"/>
      <w:lang w:val="en-US" w:eastAsia="zh-CN" w:bidi="ar-SA"/>
    </w:rPr>
  </w:style>
  <w:style w:type="paragraph" w:customStyle="1" w:styleId="129">
    <w:name w:val="表格正文"/>
    <w:basedOn w:val="1"/>
    <w:qFormat/>
    <w:uiPriority w:val="0"/>
    <w:pPr>
      <w:widowControl/>
      <w:snapToGrid w:val="0"/>
      <w:spacing w:line="300" w:lineRule="auto"/>
      <w:jc w:val="left"/>
    </w:pPr>
    <w:rPr>
      <w:rFonts w:ascii="Calibri" w:hAnsi="Calibri"/>
      <w:sz w:val="24"/>
    </w:rPr>
  </w:style>
  <w:style w:type="paragraph" w:customStyle="1" w:styleId="130">
    <w:name w:val="_Style 129"/>
    <w:basedOn w:val="1"/>
    <w:next w:val="1"/>
    <w:qFormat/>
    <w:uiPriority w:val="0"/>
    <w:pPr>
      <w:pBdr>
        <w:top w:val="single" w:color="auto" w:sz="6" w:space="1"/>
      </w:pBdr>
      <w:jc w:val="center"/>
    </w:pPr>
    <w:rPr>
      <w:rFonts w:ascii="Arial" w:eastAsia="宋体"/>
      <w:vanish/>
      <w:sz w:val="16"/>
    </w:rPr>
  </w:style>
  <w:style w:type="paragraph" w:customStyle="1" w:styleId="131">
    <w:name w:val="text-only"/>
    <w:basedOn w:val="1"/>
    <w:qFormat/>
    <w:uiPriority w:val="0"/>
    <w:pPr>
      <w:pBdr>
        <w:top w:val="none" w:color="auto" w:sz="0" w:space="0"/>
        <w:left w:val="none" w:color="auto" w:sz="0" w:space="0"/>
        <w:bottom w:val="none" w:color="auto" w:sz="0" w:space="0"/>
        <w:right w:val="none" w:color="auto" w:sz="0" w:space="0"/>
      </w:pBdr>
      <w:spacing w:after="300" w:afterAutospacing="0" w:line="420" w:lineRule="atLeast"/>
      <w:jc w:val="left"/>
    </w:pPr>
    <w:rPr>
      <w:kern w:val="0"/>
      <w:lang w:val="en-US" w:eastAsia="zh-CN" w:bidi="ar"/>
    </w:rPr>
  </w:style>
  <w:style w:type="paragraph" w:customStyle="1" w:styleId="132">
    <w:name w:val="Level 2"/>
    <w:basedOn w:val="1"/>
    <w:qFormat/>
    <w:uiPriority w:val="0"/>
    <w:rPr>
      <w:rFonts w:ascii="Calibri" w:hAnsi="Calibri"/>
      <w:szCs w:val="22"/>
    </w:rPr>
  </w:style>
  <w:style w:type="paragraph" w:customStyle="1" w:styleId="133">
    <w:name w:val="列出段落2"/>
    <w:basedOn w:val="1"/>
    <w:qFormat/>
    <w:uiPriority w:val="0"/>
    <w:pPr>
      <w:ind w:firstLine="420" w:firstLineChars="200"/>
    </w:pPr>
    <w:rPr>
      <w:rFonts w:ascii="Calibri" w:hAnsi="Calibri"/>
      <w:szCs w:val="22"/>
    </w:rPr>
  </w:style>
  <w:style w:type="paragraph" w:customStyle="1" w:styleId="134">
    <w:name w:val="样式 标题 1卷标题H1章标题 1 1TITRE1L1 Heading 1h11st levelh111st...3"/>
    <w:basedOn w:val="3"/>
    <w:qFormat/>
    <w:uiPriority w:val="0"/>
    <w:pPr>
      <w:spacing w:before="120" w:after="120" w:line="360" w:lineRule="auto"/>
      <w:jc w:val="center"/>
    </w:pPr>
    <w:rPr>
      <w:rFonts w:ascii="宋体" w:hAnsi="宋体"/>
      <w:sz w:val="36"/>
      <w:szCs w:val="20"/>
    </w:rPr>
  </w:style>
  <w:style w:type="paragraph" w:customStyle="1" w:styleId="135">
    <w:name w:val="样式 样式 首行缩进:  2 字符1 + 首行缩进:  2 字符"/>
    <w:basedOn w:val="136"/>
    <w:qFormat/>
    <w:uiPriority w:val="0"/>
    <w:pPr>
      <w:ind w:firstLine="480"/>
    </w:pPr>
  </w:style>
  <w:style w:type="paragraph" w:customStyle="1" w:styleId="136">
    <w:name w:val="样式 首行缩进:  2 字符1"/>
    <w:basedOn w:val="1"/>
    <w:qFormat/>
    <w:uiPriority w:val="0"/>
    <w:pPr>
      <w:spacing w:after="0" w:line="360" w:lineRule="auto"/>
      <w:ind w:firstLine="200" w:firstLineChars="200"/>
      <w:jc w:val="both"/>
    </w:pPr>
    <w:rPr>
      <w:rFonts w:eastAsia="宋体" w:cs="Times New Roman"/>
      <w:color w:val="auto"/>
      <w:kern w:val="0"/>
      <w:sz w:val="24"/>
      <w:szCs w:val="20"/>
    </w:rPr>
  </w:style>
  <w:style w:type="paragraph" w:customStyle="1" w:styleId="137">
    <w:name w:val="正文文本 32"/>
    <w:basedOn w:val="1"/>
    <w:qFormat/>
    <w:uiPriority w:val="0"/>
    <w:pPr>
      <w:spacing w:line="312" w:lineRule="auto"/>
    </w:pPr>
    <w:rPr>
      <w:rFonts w:ascii="宋体" w:hAnsi="Times New Roman"/>
      <w:sz w:val="24"/>
      <w:szCs w:val="20"/>
    </w:rPr>
  </w:style>
  <w:style w:type="paragraph" w:customStyle="1" w:styleId="138">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39">
    <w:name w:val="Body Text 3"/>
    <w:basedOn w:val="1"/>
    <w:qFormat/>
    <w:uiPriority w:val="0"/>
    <w:rPr>
      <w:rFonts w:ascii="宋体"/>
      <w:sz w:val="24"/>
    </w:rPr>
  </w:style>
  <w:style w:type="paragraph" w:customStyle="1" w:styleId="140">
    <w:name w:val="Level 4"/>
    <w:basedOn w:val="1"/>
    <w:qFormat/>
    <w:uiPriority w:val="0"/>
    <w:pPr>
      <w:tabs>
        <w:tab w:val="left" w:pos="2440"/>
      </w:tabs>
      <w:ind w:left="2041" w:hanging="765"/>
    </w:pPr>
    <w:rPr>
      <w:rFonts w:ascii="Calibri" w:hAnsi="Calibri"/>
      <w:szCs w:val="22"/>
    </w:rPr>
  </w:style>
  <w:style w:type="paragraph" w:customStyle="1" w:styleId="141">
    <w:name w:val="1"/>
    <w:basedOn w:val="1"/>
    <w:next w:val="24"/>
    <w:qFormat/>
    <w:uiPriority w:val="0"/>
    <w:pPr>
      <w:tabs>
        <w:tab w:val="left" w:pos="3060"/>
      </w:tabs>
      <w:spacing w:line="140" w:lineRule="atLeast"/>
      <w:ind w:firstLine="560" w:firstLineChars="200"/>
    </w:pPr>
    <w:rPr>
      <w:sz w:val="28"/>
    </w:rPr>
  </w:style>
  <w:style w:type="paragraph" w:customStyle="1" w:styleId="142">
    <w:name w:val="样式 左侧:  0.74 厘米1"/>
    <w:basedOn w:val="1"/>
    <w:qFormat/>
    <w:uiPriority w:val="0"/>
    <w:pPr>
      <w:widowControl w:val="0"/>
      <w:spacing w:after="0" w:afterLines="0" w:line="240" w:lineRule="auto"/>
      <w:ind w:left="620" w:hanging="200" w:hangingChars="200"/>
      <w:jc w:val="both"/>
    </w:pPr>
    <w:rPr>
      <w:rFonts w:ascii="Times New Roman" w:hAnsi="Times New Roman" w:eastAsia="宋体" w:cs="Times New Roman"/>
      <w:color w:val="auto"/>
      <w:sz w:val="21"/>
      <w:szCs w:val="20"/>
    </w:rPr>
  </w:style>
  <w:style w:type="paragraph" w:customStyle="1" w:styleId="143">
    <w:name w:val="Char1"/>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44">
    <w:name w:val="样式 四号 首行缩进:  1厘米 行距: 1.5 倍行距"/>
    <w:basedOn w:val="1"/>
    <w:qFormat/>
    <w:uiPriority w:val="0"/>
    <w:pPr>
      <w:spacing w:line="360" w:lineRule="auto"/>
      <w:ind w:firstLine="570"/>
    </w:pPr>
    <w:rPr>
      <w:sz w:val="28"/>
      <w:szCs w:val="20"/>
    </w:rPr>
  </w:style>
  <w:style w:type="paragraph" w:customStyle="1" w:styleId="145">
    <w:name w:val="样式 标题 1 + (西文) Times New Roman (中文) 仿宋 小四 黑色 居中 左侧:  0 厘米 ..."/>
    <w:basedOn w:val="3"/>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6">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7">
    <w:name w:val="样式1"/>
    <w:basedOn w:val="1"/>
    <w:qFormat/>
    <w:uiPriority w:val="0"/>
    <w:pPr>
      <w:numPr>
        <w:ilvl w:val="0"/>
        <w:numId w:val="3"/>
      </w:numPr>
      <w:spacing w:line="360" w:lineRule="auto"/>
      <w:ind w:left="1253" w:hanging="680"/>
    </w:pPr>
    <w:rPr>
      <w:sz w:val="28"/>
      <w:szCs w:val="28"/>
    </w:rPr>
  </w:style>
  <w:style w:type="paragraph" w:customStyle="1" w:styleId="148">
    <w:name w:val="Level 1"/>
    <w:basedOn w:val="1"/>
    <w:qFormat/>
    <w:uiPriority w:val="0"/>
    <w:rPr>
      <w:rFonts w:ascii="Calibri" w:hAnsi="Calibri"/>
      <w:szCs w:val="22"/>
    </w:rPr>
  </w:style>
  <w:style w:type="paragraph" w:customStyle="1" w:styleId="149">
    <w:name w:val="p16"/>
    <w:basedOn w:val="1"/>
    <w:qFormat/>
    <w:uiPriority w:val="0"/>
    <w:pPr>
      <w:widowControl/>
    </w:pPr>
    <w:rPr>
      <w:rFonts w:ascii="宋体" w:hAnsi="宋体"/>
      <w:kern w:val="0"/>
      <w:sz w:val="24"/>
      <w:szCs w:val="20"/>
    </w:rPr>
  </w:style>
  <w:style w:type="paragraph" w:customStyle="1" w:styleId="150">
    <w:name w:val="List Paragraph1"/>
    <w:basedOn w:val="1"/>
    <w:qFormat/>
    <w:uiPriority w:val="34"/>
    <w:pPr>
      <w:ind w:firstLine="420" w:firstLineChars="200"/>
    </w:pPr>
  </w:style>
  <w:style w:type="paragraph" w:customStyle="1" w:styleId="151">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152">
    <w:name w:val="_Style 1"/>
    <w:basedOn w:val="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53">
    <w:name w:val="标题4"/>
    <w:basedOn w:val="1"/>
    <w:qFormat/>
    <w:uiPriority w:val="0"/>
    <w:pPr>
      <w:spacing w:before="156" w:beforeLines="50" w:after="156" w:afterLines="50"/>
      <w:jc w:val="left"/>
    </w:pPr>
    <w:rPr>
      <w:rFonts w:eastAsia="黑体"/>
      <w:b/>
      <w:kern w:val="0"/>
      <w:sz w:val="30"/>
    </w:rPr>
  </w:style>
  <w:style w:type="paragraph" w:customStyle="1" w:styleId="154">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5">
    <w:name w:val="列出段落1"/>
    <w:basedOn w:val="1"/>
    <w:qFormat/>
    <w:uiPriority w:val="34"/>
    <w:pPr>
      <w:ind w:firstLine="420" w:firstLineChars="200"/>
    </w:pPr>
    <w:rPr>
      <w:rFonts w:ascii="Calibri" w:hAnsi="Calibri" w:cs="Calibri"/>
      <w:szCs w:val="21"/>
    </w:rPr>
  </w:style>
  <w:style w:type="paragraph" w:customStyle="1" w:styleId="156">
    <w:name w:val="p0"/>
    <w:basedOn w:val="1"/>
    <w:qFormat/>
    <w:uiPriority w:val="0"/>
    <w:pPr>
      <w:widowControl/>
    </w:pPr>
    <w:rPr>
      <w:kern w:val="0"/>
      <w:szCs w:val="21"/>
    </w:rPr>
  </w:style>
  <w:style w:type="paragraph" w:customStyle="1" w:styleId="157">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8">
    <w:name w:val="Char Char Char Char Char Char Char Char Char Char Char Char Char Char Char"/>
    <w:basedOn w:val="1"/>
    <w:qFormat/>
    <w:uiPriority w:val="0"/>
    <w:pPr>
      <w:widowControl/>
      <w:spacing w:after="160" w:afterLines="0" w:line="240" w:lineRule="exact"/>
      <w:jc w:val="left"/>
    </w:pPr>
    <w:rPr>
      <w:szCs w:val="20"/>
    </w:rPr>
  </w:style>
  <w:style w:type="paragraph" w:customStyle="1" w:styleId="159">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0">
    <w:name w:val="_Style 12"/>
    <w:basedOn w:val="1"/>
    <w:next w:val="18"/>
    <w:qFormat/>
    <w:uiPriority w:val="0"/>
    <w:pPr>
      <w:spacing w:line="360" w:lineRule="auto"/>
      <w:ind w:firstLine="540"/>
    </w:pPr>
    <w:rPr>
      <w:sz w:val="28"/>
      <w:szCs w:val="20"/>
    </w:rPr>
  </w:style>
  <w:style w:type="paragraph" w:customStyle="1" w:styleId="161">
    <w:name w:val="_Style 160"/>
    <w:basedOn w:val="1"/>
    <w:next w:val="107"/>
    <w:qFormat/>
    <w:uiPriority w:val="0"/>
    <w:pPr>
      <w:pBdr>
        <w:bottom w:val="single" w:color="auto" w:sz="6" w:space="1"/>
      </w:pBdr>
      <w:jc w:val="center"/>
    </w:pPr>
    <w:rPr>
      <w:rFonts w:ascii="Arial" w:eastAsia="宋体"/>
      <w:vanish/>
      <w:sz w:val="16"/>
    </w:rPr>
  </w:style>
  <w:style w:type="paragraph" w:customStyle="1" w:styleId="162">
    <w:name w:val="Level 5"/>
    <w:basedOn w:val="1"/>
    <w:qFormat/>
    <w:uiPriority w:val="0"/>
    <w:pPr>
      <w:tabs>
        <w:tab w:val="left" w:pos="2552"/>
      </w:tabs>
      <w:ind w:left="2552" w:hanging="567"/>
    </w:pPr>
    <w:rPr>
      <w:rFonts w:ascii="Calibri" w:hAnsi="Calibri"/>
      <w:szCs w:val="22"/>
    </w:rPr>
  </w:style>
  <w:style w:type="paragraph" w:customStyle="1" w:styleId="163">
    <w:name w:val="样式 标题 2 +"/>
    <w:basedOn w:val="4"/>
    <w:qFormat/>
    <w:uiPriority w:val="0"/>
    <w:pPr>
      <w:numPr>
        <w:ilvl w:val="1"/>
        <w:numId w:val="0"/>
      </w:numPr>
      <w:tabs>
        <w:tab w:val="left" w:pos="652"/>
      </w:tabs>
      <w:spacing w:before="260" w:after="260" w:line="416" w:lineRule="auto"/>
      <w:ind w:left="567" w:hanging="567"/>
      <w:jc w:val="both"/>
    </w:pPr>
    <w:rPr>
      <w:rFonts w:eastAsia="黑体"/>
      <w:color w:val="auto"/>
      <w:kern w:val="0"/>
      <w:sz w:val="24"/>
    </w:rPr>
  </w:style>
  <w:style w:type="paragraph" w:customStyle="1" w:styleId="164">
    <w:name w:val="_Style 246"/>
    <w:basedOn w:val="1"/>
    <w:next w:val="150"/>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65">
    <w:name w:val="列出段落11"/>
    <w:basedOn w:val="1"/>
    <w:qFormat/>
    <w:uiPriority w:val="0"/>
    <w:pPr>
      <w:ind w:firstLine="420" w:firstLineChars="200"/>
    </w:pPr>
    <w:rPr>
      <w:rFonts w:ascii="Calibri" w:hAnsi="Calibri"/>
      <w:szCs w:val="22"/>
    </w:rPr>
  </w:style>
  <w:style w:type="paragraph" w:customStyle="1" w:styleId="166">
    <w:name w:val="Char Char Char"/>
    <w:basedOn w:val="1"/>
    <w:qFormat/>
    <w:uiPriority w:val="0"/>
  </w:style>
  <w:style w:type="paragraph" w:customStyle="1" w:styleId="167">
    <w:name w:val="表格首行"/>
    <w:basedOn w:val="1"/>
    <w:qFormat/>
    <w:uiPriority w:val="0"/>
    <w:pPr>
      <w:widowControl/>
      <w:jc w:val="center"/>
    </w:pPr>
    <w:rPr>
      <w:rFonts w:hint="eastAsia" w:ascii="宋体" w:hAnsi="宋体"/>
      <w:sz w:val="24"/>
    </w:rPr>
  </w:style>
  <w:style w:type="paragraph" w:customStyle="1" w:styleId="168">
    <w:name w:val="Level 3"/>
    <w:basedOn w:val="1"/>
    <w:qFormat/>
    <w:uiPriority w:val="0"/>
    <w:pPr>
      <w:tabs>
        <w:tab w:val="left" w:pos="2808"/>
      </w:tabs>
      <w:ind w:left="2808" w:hanging="681"/>
    </w:pPr>
    <w:rPr>
      <w:rFonts w:ascii="Calibri" w:hAnsi="Calibri"/>
      <w:szCs w:val="22"/>
    </w:rPr>
  </w:style>
  <w:style w:type="paragraph" w:customStyle="1" w:styleId="169">
    <w:name w:val="_Style 168"/>
    <w:basedOn w:val="3"/>
    <w:next w:val="1"/>
    <w:qFormat/>
    <w:uiPriority w:val="39"/>
    <w:pPr>
      <w:widowControl/>
      <w:spacing w:before="480" w:after="0" w:line="276" w:lineRule="auto"/>
      <w:jc w:val="left"/>
      <w:outlineLvl w:val="9"/>
    </w:pPr>
    <w:rPr>
      <w:rFonts w:ascii="Cambria" w:hAnsi="Cambria" w:eastAsia="宋体" w:cs="Times New Roman"/>
      <w:color w:val="365F91"/>
      <w:kern w:val="0"/>
      <w:sz w:val="28"/>
      <w:szCs w:val="28"/>
      <w:lang w:val="en-US" w:eastAsia="zh-CN"/>
    </w:rPr>
  </w:style>
  <w:style w:type="paragraph" w:customStyle="1" w:styleId="170">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1">
    <w:name w:val="Char Char Char Char"/>
    <w:basedOn w:val="1"/>
    <w:qFormat/>
    <w:uiPriority w:val="0"/>
    <w:pPr>
      <w:tabs>
        <w:tab w:val="left" w:pos="360"/>
      </w:tabs>
    </w:pPr>
    <w:rPr>
      <w:szCs w:val="20"/>
    </w:rPr>
  </w:style>
  <w:style w:type="paragraph" w:customStyle="1" w:styleId="172">
    <w:name w:val="Heading 2 + 宋体"/>
    <w:basedOn w:val="3"/>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73">
    <w:name w:val="Level 6"/>
    <w:basedOn w:val="1"/>
    <w:qFormat/>
    <w:uiPriority w:val="0"/>
    <w:pPr>
      <w:tabs>
        <w:tab w:val="left" w:pos="3289"/>
      </w:tabs>
      <w:ind w:left="3289" w:hanging="681"/>
    </w:pPr>
    <w:rPr>
      <w:rFonts w:ascii="Calibri" w:hAnsi="Calibri"/>
      <w:szCs w:val="22"/>
    </w:rPr>
  </w:style>
  <w:style w:type="paragraph" w:customStyle="1" w:styleId="174">
    <w:name w:val="正文文本 33"/>
    <w:basedOn w:val="1"/>
    <w:qFormat/>
    <w:uiPriority w:val="0"/>
    <w:rPr>
      <w:rFonts w:ascii="宋体" w:hAnsi="Times New Roman" w:cs="Times New Roman"/>
      <w:sz w:val="24"/>
    </w:rPr>
  </w:style>
  <w:style w:type="character" w:customStyle="1" w:styleId="175">
    <w:name w:val="正文缩进 字符1"/>
    <w:qFormat/>
    <w:uiPriority w:val="0"/>
  </w:style>
  <w:style w:type="paragraph" w:customStyle="1" w:styleId="176">
    <w:name w:val="Table Text"/>
    <w:basedOn w:val="1"/>
    <w:semiHidden/>
    <w:qFormat/>
    <w:uiPriority w:val="0"/>
    <w:rPr>
      <w:rFonts w:ascii="宋体" w:hAnsi="宋体" w:eastAsia="宋体" w:cs="宋体"/>
      <w:sz w:val="24"/>
      <w:szCs w:val="24"/>
      <w:lang w:val="en-US" w:eastAsia="en-US" w:bidi="ar-SA"/>
    </w:rPr>
  </w:style>
  <w:style w:type="paragraph" w:customStyle="1" w:styleId="177">
    <w:name w:val="Normal Indent1"/>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69</Pages>
  <Words>4172</Words>
  <Characters>23781</Characters>
  <Lines>198</Lines>
  <Paragraphs>55</Paragraphs>
  <TotalTime>57</TotalTime>
  <ScaleCrop>false</ScaleCrop>
  <LinksUpToDate>false</LinksUpToDate>
  <CharactersWithSpaces>27898</CharactersWithSpaces>
  <Application>WPS Office_12.8.2.21176_F1E327BC-269C-435d-A152-05C5408002CA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2024-08-25T08:50:00Z</dcterms:created>
  <dc:creator>ssz</dc:creator>
  <cp:lastModifiedBy>陈芳</cp:lastModifiedBy>
  <cp:lastPrinted>2018-07-19T11:27:00Z</cp:lastPrinted>
  <dcterms:modified xsi:type="dcterms:W3CDTF">2026-08-17T09:09:00Z</dcterms:modified>
  <dc:title>山西医科大学第一医院住院楼土建施工及安装工程招标文件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2052-12.8.2.21176</vt:lpwstr>
  </property>
  <property fmtid="{D5CDD505-2E9C-101B-9397-08002B2CF9AE}" pid="3" name="ICV">
    <vt:lpwstr>7B23810B796B421EA1D94D33D73A9857</vt:lpwstr>
  </property>
</Properties>
</file>