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720"/>
          <w:tab w:val="center" w:pos="4878"/>
          <w:tab w:val="left" w:pos="8211"/>
          <w:tab w:val="left" w:pos="8295"/>
        </w:tabs>
        <w:spacing w:before="240" w:line="360" w:lineRule="auto"/>
        <w:jc w:val="center"/>
        <w:rPr>
          <w:rFonts w:hint="eastAsia" w:ascii="仿宋" w:hAnsi="仿宋" w:eastAsia="仿宋" w:cs="仿宋"/>
          <w:b/>
          <w:color w:val="auto"/>
          <w:spacing w:val="40"/>
          <w:sz w:val="32"/>
          <w:szCs w:val="32"/>
          <w:highlight w:val="none"/>
          <w:lang w:val="en-US" w:eastAsia="zh-CN"/>
        </w:rPr>
      </w:pPr>
      <w:r>
        <w:rPr>
          <w:rFonts w:hint="eastAsia" w:ascii="仿宋" w:hAnsi="仿宋" w:eastAsia="仿宋" w:cs="仿宋"/>
          <w:b/>
          <w:color w:val="auto"/>
          <w:spacing w:val="40"/>
          <w:sz w:val="32"/>
          <w:szCs w:val="32"/>
          <w:highlight w:val="none"/>
          <w:lang w:eastAsia="zh-CN"/>
        </w:rPr>
        <w:t>人保财险四川省成都市都江堰支公司“全民保障，人保同行”小区宣传服务采购项目</w:t>
      </w:r>
    </w:p>
    <w:p>
      <w:pPr>
        <w:tabs>
          <w:tab w:val="left" w:pos="720"/>
          <w:tab w:val="center" w:pos="4878"/>
          <w:tab w:val="left" w:pos="8211"/>
          <w:tab w:val="left" w:pos="8295"/>
        </w:tabs>
        <w:spacing w:before="240" w:line="360" w:lineRule="auto"/>
        <w:jc w:val="center"/>
        <w:rPr>
          <w:rFonts w:hint="default"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eastAsia="zh-CN"/>
        </w:rPr>
        <w:t>采购项目编号：</w:t>
      </w:r>
      <w:r>
        <w:rPr>
          <w:rFonts w:hint="eastAsia" w:ascii="仿宋" w:hAnsi="仿宋" w:eastAsia="仿宋" w:cs="仿宋"/>
          <w:b/>
          <w:color w:val="auto"/>
          <w:sz w:val="28"/>
          <w:szCs w:val="28"/>
          <w:highlight w:val="none"/>
          <w:lang w:val="en-US" w:eastAsia="zh-CN"/>
        </w:rPr>
        <w:t>XM26DSPC000931</w:t>
      </w:r>
    </w:p>
    <w:p>
      <w:pPr>
        <w:jc w:val="center"/>
        <w:rPr>
          <w:rFonts w:hint="eastAsia" w:ascii="仿宋" w:hAnsi="仿宋" w:eastAsia="仿宋" w:cs="仿宋"/>
          <w:color w:val="auto"/>
          <w:sz w:val="48"/>
          <w:szCs w:val="48"/>
          <w:highlight w:val="none"/>
        </w:rPr>
      </w:pPr>
    </w:p>
    <w:p>
      <w:pPr>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t>竞</w:t>
      </w:r>
    </w:p>
    <w:p>
      <w:pPr>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t>争</w:t>
      </w:r>
    </w:p>
    <w:p>
      <w:pPr>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t>性</w:t>
      </w:r>
    </w:p>
    <w:p>
      <w:pPr>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t>磋</w:t>
      </w:r>
    </w:p>
    <w:p>
      <w:pPr>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t>商</w:t>
      </w:r>
    </w:p>
    <w:p>
      <w:pPr>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t>文</w:t>
      </w:r>
    </w:p>
    <w:p>
      <w:pPr>
        <w:jc w:val="center"/>
        <w:rPr>
          <w:rFonts w:hint="eastAsia" w:ascii="仿宋" w:hAnsi="仿宋" w:eastAsia="仿宋" w:cs="仿宋"/>
          <w:color w:val="auto"/>
          <w:highlight w:val="none"/>
        </w:rPr>
      </w:pPr>
      <w:r>
        <w:rPr>
          <w:rFonts w:hint="eastAsia" w:ascii="仿宋" w:hAnsi="仿宋" w:eastAsia="仿宋" w:cs="仿宋"/>
          <w:color w:val="auto"/>
          <w:sz w:val="72"/>
          <w:szCs w:val="72"/>
          <w:highlight w:val="none"/>
        </w:rPr>
        <w:t>件</w:t>
      </w:r>
    </w:p>
    <w:p>
      <w:pPr>
        <w:pStyle w:val="2"/>
        <w:rPr>
          <w:rFonts w:hint="eastAsia" w:ascii="仿宋" w:hAnsi="仿宋" w:eastAsia="仿宋" w:cs="仿宋"/>
          <w:color w:val="auto"/>
          <w:highlight w:val="none"/>
        </w:rPr>
      </w:pPr>
    </w:p>
    <w:p>
      <w:pPr>
        <w:tabs>
          <w:tab w:val="left" w:pos="8295"/>
        </w:tabs>
        <w:adjustRightInd w:val="0"/>
        <w:snapToGrid w:val="0"/>
        <w:spacing w:line="360" w:lineRule="auto"/>
        <w:ind w:left="17" w:right="-24" w:rightChars="-10" w:hanging="17" w:hangingChars="6"/>
        <w:jc w:val="center"/>
        <w:rPr>
          <w:rFonts w:hint="eastAsia" w:ascii="仿宋" w:hAnsi="仿宋" w:eastAsia="仿宋" w:cs="仿宋"/>
          <w:b/>
          <w:color w:val="auto"/>
          <w:kern w:val="0"/>
          <w:sz w:val="28"/>
          <w:szCs w:val="28"/>
          <w:highlight w:val="none"/>
        </w:rPr>
      </w:pPr>
    </w:p>
    <w:p>
      <w:pPr>
        <w:tabs>
          <w:tab w:val="left" w:pos="8295"/>
        </w:tabs>
        <w:adjustRightInd w:val="0"/>
        <w:snapToGrid w:val="0"/>
        <w:spacing w:line="360" w:lineRule="auto"/>
        <w:ind w:left="17" w:right="-24" w:rightChars="-10" w:hanging="17" w:hangingChars="6"/>
        <w:jc w:val="center"/>
        <w:rPr>
          <w:rFonts w:hint="eastAsia" w:ascii="仿宋" w:hAnsi="仿宋" w:eastAsia="仿宋" w:cs="仿宋"/>
          <w:b/>
          <w:color w:val="auto"/>
          <w:kern w:val="0"/>
          <w:sz w:val="28"/>
          <w:szCs w:val="28"/>
          <w:highlight w:val="none"/>
          <w:lang w:eastAsia="zh-CN"/>
        </w:rPr>
      </w:pPr>
      <w:r>
        <w:rPr>
          <w:rFonts w:hint="eastAsia" w:ascii="仿宋" w:hAnsi="仿宋" w:eastAsia="仿宋" w:cs="仿宋"/>
          <w:b/>
          <w:color w:val="auto"/>
          <w:kern w:val="0"/>
          <w:sz w:val="28"/>
          <w:szCs w:val="28"/>
          <w:highlight w:val="none"/>
        </w:rPr>
        <w:t>采购人：</w:t>
      </w:r>
      <w:r>
        <w:rPr>
          <w:rFonts w:hint="eastAsia" w:ascii="仿宋" w:hAnsi="仿宋" w:eastAsia="仿宋" w:cs="仿宋"/>
          <w:b/>
          <w:color w:val="auto"/>
          <w:kern w:val="0"/>
          <w:sz w:val="28"/>
          <w:szCs w:val="28"/>
          <w:highlight w:val="none"/>
          <w:lang w:eastAsia="zh-CN"/>
        </w:rPr>
        <w:t>中国人民财产保险股份有限公司都江堰支公司</w:t>
      </w:r>
    </w:p>
    <w:p>
      <w:pPr>
        <w:tabs>
          <w:tab w:val="left" w:pos="8295"/>
        </w:tabs>
        <w:adjustRightInd w:val="0"/>
        <w:snapToGrid w:val="0"/>
        <w:spacing w:line="360" w:lineRule="auto"/>
        <w:ind w:left="1706" w:right="-24" w:rightChars="-10" w:hanging="1706" w:hangingChars="607"/>
        <w:jc w:val="center"/>
        <w:rPr>
          <w:rFonts w:hint="eastAsia" w:ascii="仿宋" w:hAnsi="仿宋" w:eastAsia="仿宋" w:cs="仿宋"/>
          <w:b/>
          <w:color w:val="auto"/>
          <w:kern w:val="0"/>
          <w:sz w:val="28"/>
          <w:szCs w:val="28"/>
          <w:highlight w:val="none"/>
        </w:rPr>
      </w:pPr>
    </w:p>
    <w:p>
      <w:pPr>
        <w:pStyle w:val="16"/>
        <w:ind w:left="113" w:leftChars="47"/>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202</w:t>
      </w:r>
      <w:r>
        <w:rPr>
          <w:rFonts w:hint="eastAsia" w:ascii="仿宋" w:hAnsi="仿宋" w:eastAsia="仿宋" w:cs="仿宋"/>
          <w:b/>
          <w:color w:val="auto"/>
          <w:sz w:val="28"/>
          <w:szCs w:val="28"/>
          <w:highlight w:val="none"/>
          <w:lang w:val="en-US" w:eastAsia="zh-CN"/>
        </w:rPr>
        <w:t>6</w:t>
      </w:r>
      <w:r>
        <w:rPr>
          <w:rFonts w:hint="eastAsia" w:ascii="仿宋" w:hAnsi="仿宋" w:eastAsia="仿宋" w:cs="仿宋"/>
          <w:b/>
          <w:color w:val="auto"/>
          <w:sz w:val="28"/>
          <w:szCs w:val="28"/>
          <w:highlight w:val="none"/>
        </w:rPr>
        <w:t>年</w:t>
      </w:r>
      <w:r>
        <w:rPr>
          <w:rFonts w:hint="eastAsia" w:ascii="仿宋" w:hAnsi="仿宋" w:eastAsia="仿宋" w:cs="仿宋"/>
          <w:b/>
          <w:color w:val="auto"/>
          <w:sz w:val="28"/>
          <w:szCs w:val="28"/>
          <w:highlight w:val="none"/>
          <w:lang w:val="en-US" w:eastAsia="zh-CN"/>
        </w:rPr>
        <w:t>8</w:t>
      </w:r>
      <w:r>
        <w:rPr>
          <w:rFonts w:hint="eastAsia" w:ascii="仿宋" w:hAnsi="仿宋" w:eastAsia="仿宋" w:cs="仿宋"/>
          <w:b/>
          <w:color w:val="auto"/>
          <w:sz w:val="28"/>
          <w:szCs w:val="28"/>
          <w:highlight w:val="none"/>
        </w:rPr>
        <w:t>月</w:t>
      </w:r>
    </w:p>
    <w:p>
      <w:pPr>
        <w:spacing w:line="360" w:lineRule="auto"/>
        <w:jc w:val="center"/>
        <w:rPr>
          <w:rFonts w:hint="eastAsia" w:ascii="仿宋" w:hAnsi="仿宋" w:eastAsia="仿宋" w:cs="仿宋"/>
          <w:b/>
          <w:color w:val="auto"/>
          <w:sz w:val="36"/>
          <w:szCs w:val="28"/>
          <w:highlight w:val="none"/>
        </w:rPr>
        <w:sectPr>
          <w:headerReference r:id="rId4" w:type="first"/>
          <w:headerReference r:id="rId3" w:type="default"/>
          <w:pgSz w:w="11906" w:h="16838"/>
          <w:pgMar w:top="1175" w:right="1417" w:bottom="1417" w:left="1417" w:header="850" w:footer="992" w:gutter="0"/>
          <w:pgNumType w:start="1"/>
          <w:cols w:space="0" w:num="1"/>
          <w:rtlGutter w:val="0"/>
          <w:docGrid w:type="lines" w:linePitch="333" w:charSpace="0"/>
        </w:sectPr>
      </w:pPr>
    </w:p>
    <w:p>
      <w:pPr>
        <w:spacing w:line="360" w:lineRule="auto"/>
        <w:jc w:val="center"/>
        <w:rPr>
          <w:rFonts w:hint="eastAsia" w:ascii="仿宋" w:hAnsi="仿宋" w:eastAsia="仿宋" w:cs="仿宋"/>
          <w:b/>
          <w:color w:val="auto"/>
          <w:sz w:val="36"/>
          <w:szCs w:val="28"/>
          <w:highlight w:val="none"/>
        </w:rPr>
      </w:pPr>
      <w:r>
        <w:rPr>
          <w:rFonts w:hint="eastAsia" w:ascii="仿宋" w:hAnsi="仿宋" w:eastAsia="仿宋" w:cs="仿宋"/>
          <w:b/>
          <w:color w:val="auto"/>
          <w:sz w:val="36"/>
          <w:szCs w:val="28"/>
          <w:highlight w:val="none"/>
        </w:rPr>
        <w:t>目     录</w:t>
      </w:r>
    </w:p>
    <w:p>
      <w:pPr>
        <w:pStyle w:val="21"/>
        <w:tabs>
          <w:tab w:val="right" w:leader="dot" w:pos="9072"/>
        </w:tabs>
        <w:rPr>
          <w:color w:val="auto"/>
          <w:highlight w:val="none"/>
        </w:rPr>
      </w:pPr>
      <w:r>
        <w:rPr>
          <w:rFonts w:hint="eastAsia" w:ascii="仿宋" w:hAnsi="仿宋" w:eastAsia="仿宋" w:cs="仿宋"/>
          <w:b w:val="0"/>
          <w:bCs w:val="0"/>
          <w:color w:val="auto"/>
          <w:highlight w:val="none"/>
        </w:rPr>
        <w:fldChar w:fldCharType="begin"/>
      </w:r>
      <w:r>
        <w:rPr>
          <w:rFonts w:hint="eastAsia" w:ascii="仿宋" w:hAnsi="仿宋" w:eastAsia="仿宋" w:cs="仿宋"/>
          <w:b w:val="0"/>
          <w:bCs w:val="0"/>
          <w:color w:val="auto"/>
          <w:highlight w:val="none"/>
        </w:rPr>
        <w:instrText xml:space="preserve">TOC \o "1-3" \h \u </w:instrText>
      </w:r>
      <w:r>
        <w:rPr>
          <w:rFonts w:hint="eastAsia" w:ascii="仿宋" w:hAnsi="仿宋" w:eastAsia="仿宋" w:cs="仿宋"/>
          <w:b w:val="0"/>
          <w:bCs w:val="0"/>
          <w:color w:val="auto"/>
          <w:highlight w:val="none"/>
        </w:rPr>
        <w:fldChar w:fldCharType="separate"/>
      </w: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_Toc26239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8"/>
          <w:highlight w:val="none"/>
        </w:rPr>
        <w:t>第一章 竞争性磋商邀请</w:t>
      </w:r>
      <w:r>
        <w:rPr>
          <w:color w:val="auto"/>
          <w:highlight w:val="none"/>
        </w:rPr>
        <w:tab/>
      </w:r>
      <w:r>
        <w:rPr>
          <w:color w:val="auto"/>
          <w:highlight w:val="none"/>
        </w:rPr>
        <w:fldChar w:fldCharType="begin"/>
      </w:r>
      <w:r>
        <w:rPr>
          <w:color w:val="auto"/>
          <w:highlight w:val="none"/>
        </w:rPr>
        <w:instrText xml:space="preserve"> PAGEREF _Toc26239 \h </w:instrText>
      </w:r>
      <w:r>
        <w:rPr>
          <w:color w:val="auto"/>
          <w:highlight w:val="none"/>
        </w:rPr>
        <w:fldChar w:fldCharType="separate"/>
      </w:r>
      <w:r>
        <w:rPr>
          <w:color w:val="auto"/>
          <w:highlight w:val="none"/>
        </w:rPr>
        <w:t>1</w:t>
      </w:r>
      <w:r>
        <w:rPr>
          <w:color w:val="auto"/>
          <w:highlight w:val="none"/>
        </w:rPr>
        <w:fldChar w:fldCharType="end"/>
      </w:r>
      <w:r>
        <w:rPr>
          <w:rFonts w:hint="eastAsia" w:ascii="仿宋" w:hAnsi="仿宋" w:eastAsia="仿宋" w:cs="仿宋"/>
          <w:bCs w:val="0"/>
          <w:color w:val="auto"/>
          <w:highlight w:val="none"/>
        </w:rPr>
        <w:fldChar w:fldCharType="end"/>
      </w:r>
    </w:p>
    <w:p>
      <w:pPr>
        <w:pStyle w:val="25"/>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_Toc29328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一、项目概况与采购范围</w:t>
      </w:r>
      <w:r>
        <w:rPr>
          <w:color w:val="auto"/>
          <w:highlight w:val="none"/>
        </w:rPr>
        <w:tab/>
      </w:r>
      <w:r>
        <w:rPr>
          <w:color w:val="auto"/>
          <w:highlight w:val="none"/>
        </w:rPr>
        <w:fldChar w:fldCharType="begin"/>
      </w:r>
      <w:r>
        <w:rPr>
          <w:color w:val="auto"/>
          <w:highlight w:val="none"/>
        </w:rPr>
        <w:instrText xml:space="preserve"> PAGEREF _Toc29328 \h </w:instrText>
      </w:r>
      <w:r>
        <w:rPr>
          <w:color w:val="auto"/>
          <w:highlight w:val="none"/>
        </w:rPr>
        <w:fldChar w:fldCharType="separate"/>
      </w:r>
      <w:r>
        <w:rPr>
          <w:color w:val="auto"/>
          <w:highlight w:val="none"/>
        </w:rPr>
        <w:t>1</w:t>
      </w:r>
      <w:r>
        <w:rPr>
          <w:color w:val="auto"/>
          <w:highlight w:val="none"/>
        </w:rPr>
        <w:fldChar w:fldCharType="end"/>
      </w:r>
      <w:r>
        <w:rPr>
          <w:rFonts w:hint="eastAsia" w:ascii="仿宋" w:hAnsi="仿宋" w:eastAsia="仿宋" w:cs="仿宋"/>
          <w:bCs w:val="0"/>
          <w:color w:val="auto"/>
          <w:highlight w:val="none"/>
        </w:rPr>
        <w:fldChar w:fldCharType="end"/>
      </w:r>
    </w:p>
    <w:p>
      <w:pPr>
        <w:pStyle w:val="25"/>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_Toc26644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二、供应商资格要求</w:t>
      </w:r>
      <w:r>
        <w:rPr>
          <w:color w:val="auto"/>
          <w:highlight w:val="none"/>
        </w:rPr>
        <w:tab/>
      </w:r>
      <w:r>
        <w:rPr>
          <w:rFonts w:hint="eastAsia"/>
          <w:color w:val="auto"/>
          <w:highlight w:val="none"/>
          <w:lang w:val="en-US" w:eastAsia="zh-CN"/>
        </w:rPr>
        <w:t>1</w:t>
      </w:r>
      <w:r>
        <w:rPr>
          <w:rFonts w:hint="eastAsia" w:ascii="仿宋" w:hAnsi="仿宋" w:eastAsia="仿宋" w:cs="仿宋"/>
          <w:bCs w:val="0"/>
          <w:color w:val="auto"/>
          <w:highlight w:val="none"/>
        </w:rPr>
        <w:fldChar w:fldCharType="end"/>
      </w:r>
    </w:p>
    <w:p>
      <w:pPr>
        <w:pStyle w:val="25"/>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_Toc22800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三、磋商文件的获取</w:t>
      </w:r>
      <w:r>
        <w:rPr>
          <w:color w:val="auto"/>
          <w:highlight w:val="none"/>
        </w:rPr>
        <w:tab/>
      </w:r>
      <w:r>
        <w:rPr>
          <w:rFonts w:hint="eastAsia"/>
          <w:color w:val="auto"/>
          <w:highlight w:val="none"/>
          <w:lang w:val="en-US" w:eastAsia="zh-CN"/>
        </w:rPr>
        <w:t>2</w:t>
      </w:r>
      <w:r>
        <w:rPr>
          <w:rFonts w:hint="eastAsia" w:ascii="仿宋" w:hAnsi="仿宋" w:eastAsia="仿宋" w:cs="仿宋"/>
          <w:bCs w:val="0"/>
          <w:color w:val="auto"/>
          <w:highlight w:val="none"/>
        </w:rPr>
        <w:fldChar w:fldCharType="end"/>
      </w:r>
    </w:p>
    <w:p>
      <w:pPr>
        <w:pStyle w:val="25"/>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_Toc30066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四、响应文件的递交</w:t>
      </w:r>
      <w:r>
        <w:rPr>
          <w:color w:val="auto"/>
          <w:highlight w:val="none"/>
        </w:rPr>
        <w:tab/>
      </w:r>
      <w:r>
        <w:rPr>
          <w:rFonts w:hint="eastAsia"/>
          <w:color w:val="auto"/>
          <w:highlight w:val="none"/>
          <w:lang w:val="en-US" w:eastAsia="zh-CN"/>
        </w:rPr>
        <w:t>3</w:t>
      </w:r>
      <w:r>
        <w:rPr>
          <w:rFonts w:hint="eastAsia" w:ascii="仿宋" w:hAnsi="仿宋" w:eastAsia="仿宋" w:cs="仿宋"/>
          <w:bCs w:val="0"/>
          <w:color w:val="auto"/>
          <w:highlight w:val="none"/>
        </w:rPr>
        <w:fldChar w:fldCharType="end"/>
      </w:r>
    </w:p>
    <w:p>
      <w:pPr>
        <w:pStyle w:val="25"/>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_Toc26231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五、发布公告的媒介</w:t>
      </w:r>
      <w:r>
        <w:rPr>
          <w:color w:val="auto"/>
          <w:highlight w:val="none"/>
        </w:rPr>
        <w:tab/>
      </w:r>
      <w:r>
        <w:rPr>
          <w:rFonts w:hint="eastAsia"/>
          <w:color w:val="auto"/>
          <w:highlight w:val="none"/>
          <w:lang w:val="en-US" w:eastAsia="zh-CN"/>
        </w:rPr>
        <w:t>3</w:t>
      </w:r>
      <w:r>
        <w:rPr>
          <w:rFonts w:hint="eastAsia" w:ascii="仿宋" w:hAnsi="仿宋" w:eastAsia="仿宋" w:cs="仿宋"/>
          <w:bCs w:val="0"/>
          <w:color w:val="auto"/>
          <w:highlight w:val="none"/>
        </w:rPr>
        <w:fldChar w:fldCharType="end"/>
      </w:r>
    </w:p>
    <w:p>
      <w:pPr>
        <w:pStyle w:val="25"/>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_Toc17499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六、联系方式</w:t>
      </w:r>
      <w:r>
        <w:rPr>
          <w:color w:val="auto"/>
          <w:highlight w:val="none"/>
        </w:rPr>
        <w:tab/>
      </w:r>
      <w:r>
        <w:rPr>
          <w:rFonts w:hint="eastAsia"/>
          <w:color w:val="auto"/>
          <w:highlight w:val="none"/>
          <w:lang w:val="en-US" w:eastAsia="zh-CN"/>
        </w:rPr>
        <w:t>3</w:t>
      </w:r>
      <w:r>
        <w:rPr>
          <w:rFonts w:hint="eastAsia" w:ascii="仿宋" w:hAnsi="仿宋" w:eastAsia="仿宋" w:cs="仿宋"/>
          <w:bCs w:val="0"/>
          <w:color w:val="auto"/>
          <w:highlight w:val="none"/>
        </w:rPr>
        <w:fldChar w:fldCharType="end"/>
      </w:r>
    </w:p>
    <w:p>
      <w:pPr>
        <w:pStyle w:val="21"/>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_Toc19848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8"/>
          <w:highlight w:val="none"/>
        </w:rPr>
        <w:t>第二章 供应商须知</w:t>
      </w:r>
      <w:r>
        <w:rPr>
          <w:color w:val="auto"/>
          <w:highlight w:val="none"/>
        </w:rPr>
        <w:tab/>
      </w:r>
      <w:r>
        <w:rPr>
          <w:rFonts w:hint="eastAsia"/>
          <w:color w:val="auto"/>
          <w:highlight w:val="none"/>
          <w:lang w:val="en-US" w:eastAsia="zh-CN"/>
        </w:rPr>
        <w:t>4</w:t>
      </w:r>
      <w:r>
        <w:rPr>
          <w:rFonts w:hint="eastAsia" w:ascii="仿宋" w:hAnsi="仿宋" w:eastAsia="仿宋" w:cs="仿宋"/>
          <w:bCs w:val="0"/>
          <w:color w:val="auto"/>
          <w:highlight w:val="none"/>
        </w:rPr>
        <w:fldChar w:fldCharType="end"/>
      </w:r>
    </w:p>
    <w:p>
      <w:pPr>
        <w:pStyle w:val="25"/>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_Toc26720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一、供应商须知前附表</w:t>
      </w:r>
      <w:r>
        <w:rPr>
          <w:color w:val="auto"/>
          <w:highlight w:val="none"/>
        </w:rPr>
        <w:tab/>
      </w:r>
      <w:r>
        <w:rPr>
          <w:rFonts w:hint="eastAsia"/>
          <w:color w:val="auto"/>
          <w:highlight w:val="none"/>
          <w:lang w:val="en-US" w:eastAsia="zh-CN"/>
        </w:rPr>
        <w:t>4</w:t>
      </w:r>
      <w:r>
        <w:rPr>
          <w:rFonts w:hint="eastAsia" w:ascii="仿宋" w:hAnsi="仿宋" w:eastAsia="仿宋" w:cs="仿宋"/>
          <w:bCs w:val="0"/>
          <w:color w:val="auto"/>
          <w:highlight w:val="none"/>
        </w:rPr>
        <w:fldChar w:fldCharType="end"/>
      </w:r>
    </w:p>
    <w:p>
      <w:pPr>
        <w:pStyle w:val="25"/>
        <w:tabs>
          <w:tab w:val="right" w:leader="dot" w:pos="9072"/>
        </w:tabs>
        <w:rPr>
          <w:rFonts w:hint="eastAsia" w:eastAsia="仿宋"/>
          <w:color w:val="auto"/>
          <w:highlight w:val="none"/>
          <w:lang w:val="en-US" w:eastAsia="zh-CN"/>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_Toc22508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二、供应商须知正文</w:t>
      </w:r>
      <w:r>
        <w:rPr>
          <w:color w:val="auto"/>
          <w:highlight w:val="none"/>
        </w:rPr>
        <w:tab/>
      </w:r>
      <w:r>
        <w:rPr>
          <w:rFonts w:hint="eastAsia"/>
          <w:color w:val="auto"/>
          <w:highlight w:val="none"/>
          <w:lang w:val="en-US" w:eastAsia="zh-CN"/>
        </w:rPr>
        <w:t>9</w:t>
      </w:r>
      <w:r>
        <w:rPr>
          <w:rFonts w:hint="eastAsia" w:ascii="仿宋" w:hAnsi="仿宋" w:eastAsia="仿宋" w:cs="仿宋"/>
          <w:bCs w:val="0"/>
          <w:color w:val="auto"/>
          <w:highlight w:val="none"/>
        </w:rPr>
        <w:fldChar w:fldCharType="end"/>
      </w:r>
    </w:p>
    <w:p>
      <w:pPr>
        <w:pStyle w:val="21"/>
        <w:tabs>
          <w:tab w:val="right" w:leader="dot" w:pos="9072"/>
        </w:tabs>
        <w:rPr>
          <w:rFonts w:hint="eastAsia" w:eastAsia="仿宋"/>
          <w:color w:val="auto"/>
          <w:highlight w:val="none"/>
          <w:lang w:val="en-US" w:eastAsia="zh-CN"/>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_Toc21590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8"/>
          <w:highlight w:val="none"/>
        </w:rPr>
        <w:t>第三章 评审办法</w:t>
      </w:r>
      <w:r>
        <w:rPr>
          <w:color w:val="auto"/>
          <w:highlight w:val="none"/>
        </w:rPr>
        <w:tab/>
      </w:r>
      <w:r>
        <w:rPr>
          <w:rFonts w:hint="eastAsia"/>
          <w:color w:val="auto"/>
          <w:highlight w:val="none"/>
          <w:lang w:val="en-US" w:eastAsia="zh-CN"/>
        </w:rPr>
        <w:t>1</w:t>
      </w:r>
      <w:r>
        <w:rPr>
          <w:rFonts w:hint="eastAsia" w:ascii="仿宋" w:hAnsi="仿宋" w:eastAsia="仿宋" w:cs="仿宋"/>
          <w:bCs w:val="0"/>
          <w:color w:val="auto"/>
          <w:highlight w:val="none"/>
        </w:rPr>
        <w:fldChar w:fldCharType="end"/>
      </w:r>
      <w:r>
        <w:rPr>
          <w:rFonts w:hint="eastAsia" w:ascii="仿宋" w:hAnsi="仿宋" w:eastAsia="仿宋" w:cs="仿宋"/>
          <w:bCs w:val="0"/>
          <w:color w:val="auto"/>
          <w:highlight w:val="none"/>
          <w:lang w:val="en-US" w:eastAsia="zh-CN"/>
        </w:rPr>
        <w:t>6</w:t>
      </w:r>
    </w:p>
    <w:p>
      <w:pPr>
        <w:pStyle w:val="25"/>
        <w:tabs>
          <w:tab w:val="right" w:leader="dot" w:pos="9072"/>
        </w:tabs>
        <w:rPr>
          <w:rFonts w:hint="eastAsia" w:eastAsia="仿宋"/>
          <w:color w:val="auto"/>
          <w:highlight w:val="none"/>
          <w:lang w:val="en-US" w:eastAsia="zh-CN"/>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_Toc31780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一、评审程序</w:t>
      </w:r>
      <w:r>
        <w:rPr>
          <w:color w:val="auto"/>
          <w:highlight w:val="none"/>
        </w:rPr>
        <w:tab/>
      </w:r>
      <w:r>
        <w:rPr>
          <w:rFonts w:hint="eastAsia"/>
          <w:color w:val="auto"/>
          <w:highlight w:val="none"/>
          <w:lang w:val="en-US" w:eastAsia="zh-CN"/>
        </w:rPr>
        <w:t>1</w:t>
      </w:r>
      <w:r>
        <w:rPr>
          <w:rFonts w:hint="eastAsia" w:ascii="仿宋" w:hAnsi="仿宋" w:eastAsia="仿宋" w:cs="仿宋"/>
          <w:bCs w:val="0"/>
          <w:color w:val="auto"/>
          <w:highlight w:val="none"/>
        </w:rPr>
        <w:fldChar w:fldCharType="end"/>
      </w:r>
      <w:r>
        <w:rPr>
          <w:rFonts w:hint="eastAsia" w:ascii="仿宋" w:hAnsi="仿宋" w:eastAsia="仿宋" w:cs="仿宋"/>
          <w:bCs w:val="0"/>
          <w:color w:val="auto"/>
          <w:highlight w:val="none"/>
          <w:lang w:val="en-US" w:eastAsia="zh-CN"/>
        </w:rPr>
        <w:t>6</w:t>
      </w:r>
    </w:p>
    <w:p>
      <w:pPr>
        <w:pStyle w:val="25"/>
        <w:tabs>
          <w:tab w:val="right" w:leader="dot" w:pos="9072"/>
        </w:tabs>
        <w:rPr>
          <w:rFonts w:hint="eastAsia" w:eastAsia="仿宋"/>
          <w:color w:val="auto"/>
          <w:highlight w:val="none"/>
          <w:lang w:val="en-US" w:eastAsia="zh-CN"/>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_Toc3511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二、初步评审</w:t>
      </w:r>
      <w:r>
        <w:rPr>
          <w:color w:val="auto"/>
          <w:highlight w:val="none"/>
        </w:rPr>
        <w:tab/>
      </w:r>
      <w:r>
        <w:rPr>
          <w:rFonts w:hint="eastAsia"/>
          <w:color w:val="auto"/>
          <w:highlight w:val="none"/>
          <w:lang w:val="en-US" w:eastAsia="zh-CN"/>
        </w:rPr>
        <w:t>1</w:t>
      </w:r>
      <w:r>
        <w:rPr>
          <w:rFonts w:hint="eastAsia" w:ascii="仿宋" w:hAnsi="仿宋" w:eastAsia="仿宋" w:cs="仿宋"/>
          <w:bCs w:val="0"/>
          <w:color w:val="auto"/>
          <w:highlight w:val="none"/>
        </w:rPr>
        <w:fldChar w:fldCharType="end"/>
      </w:r>
      <w:r>
        <w:rPr>
          <w:rFonts w:hint="eastAsia" w:ascii="仿宋" w:hAnsi="仿宋" w:eastAsia="仿宋" w:cs="仿宋"/>
          <w:bCs w:val="0"/>
          <w:color w:val="auto"/>
          <w:highlight w:val="none"/>
          <w:lang w:val="en-US" w:eastAsia="zh-CN"/>
        </w:rPr>
        <w:t>7</w:t>
      </w:r>
    </w:p>
    <w:p>
      <w:pPr>
        <w:pStyle w:val="25"/>
        <w:tabs>
          <w:tab w:val="right" w:leader="dot" w:pos="9072"/>
        </w:tabs>
        <w:rPr>
          <w:rFonts w:hint="default" w:eastAsia="仿宋"/>
          <w:color w:val="auto"/>
          <w:highlight w:val="none"/>
          <w:lang w:val="en-US" w:eastAsia="zh-CN"/>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_Toc11771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三、详细评审</w:t>
      </w:r>
      <w:r>
        <w:rPr>
          <w:color w:val="auto"/>
          <w:highlight w:val="none"/>
        </w:rPr>
        <w:tab/>
      </w:r>
      <w:r>
        <w:rPr>
          <w:rFonts w:hint="eastAsia" w:ascii="仿宋" w:hAnsi="仿宋" w:eastAsia="仿宋" w:cs="仿宋"/>
          <w:bCs w:val="0"/>
          <w:color w:val="auto"/>
          <w:highlight w:val="none"/>
        </w:rPr>
        <w:fldChar w:fldCharType="end"/>
      </w:r>
      <w:r>
        <w:rPr>
          <w:rFonts w:hint="eastAsia" w:ascii="仿宋" w:hAnsi="仿宋" w:eastAsia="仿宋" w:cs="仿宋"/>
          <w:bCs w:val="0"/>
          <w:color w:val="auto"/>
          <w:highlight w:val="none"/>
          <w:lang w:val="en-US" w:eastAsia="zh-CN"/>
        </w:rPr>
        <w:t>19</w:t>
      </w:r>
    </w:p>
    <w:p>
      <w:pPr>
        <w:pStyle w:val="21"/>
        <w:tabs>
          <w:tab w:val="right" w:leader="dot" w:pos="9072"/>
        </w:tabs>
        <w:rPr>
          <w:rFonts w:hint="eastAsia" w:eastAsia="仿宋"/>
          <w:color w:val="auto"/>
          <w:highlight w:val="none"/>
          <w:lang w:val="en-US" w:eastAsia="zh-CN"/>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_Toc15974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8"/>
          <w:highlight w:val="none"/>
        </w:rPr>
        <w:t>第四章 合同条款</w:t>
      </w:r>
      <w:r>
        <w:rPr>
          <w:color w:val="auto"/>
          <w:highlight w:val="none"/>
        </w:rPr>
        <w:tab/>
      </w:r>
      <w:r>
        <w:rPr>
          <w:rFonts w:hint="eastAsia"/>
          <w:color w:val="auto"/>
          <w:highlight w:val="none"/>
          <w:lang w:val="en-US" w:eastAsia="zh-CN"/>
        </w:rPr>
        <w:t>2</w:t>
      </w:r>
      <w:r>
        <w:rPr>
          <w:rFonts w:hint="eastAsia" w:ascii="仿宋" w:hAnsi="仿宋" w:eastAsia="仿宋" w:cs="仿宋"/>
          <w:bCs w:val="0"/>
          <w:color w:val="auto"/>
          <w:highlight w:val="none"/>
        </w:rPr>
        <w:fldChar w:fldCharType="end"/>
      </w:r>
      <w:r>
        <w:rPr>
          <w:rFonts w:hint="eastAsia" w:ascii="仿宋" w:hAnsi="仿宋" w:eastAsia="仿宋" w:cs="仿宋"/>
          <w:bCs w:val="0"/>
          <w:color w:val="auto"/>
          <w:highlight w:val="none"/>
          <w:lang w:val="en-US" w:eastAsia="zh-CN"/>
        </w:rPr>
        <w:t>2</w:t>
      </w:r>
    </w:p>
    <w:p>
      <w:pPr>
        <w:pStyle w:val="21"/>
        <w:tabs>
          <w:tab w:val="right" w:leader="dot" w:pos="9072"/>
        </w:tabs>
        <w:rPr>
          <w:rFonts w:hint="eastAsia" w:eastAsia="仿宋"/>
          <w:color w:val="auto"/>
          <w:highlight w:val="none"/>
          <w:lang w:val="en-US" w:eastAsia="zh-CN"/>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_Toc23193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8"/>
          <w:highlight w:val="none"/>
        </w:rPr>
        <w:t>第五章 采购需求</w:t>
      </w:r>
      <w:r>
        <w:rPr>
          <w:color w:val="auto"/>
          <w:highlight w:val="none"/>
        </w:rPr>
        <w:tab/>
      </w:r>
      <w:r>
        <w:rPr>
          <w:color w:val="auto"/>
          <w:highlight w:val="none"/>
        </w:rPr>
        <w:fldChar w:fldCharType="begin"/>
      </w:r>
      <w:r>
        <w:rPr>
          <w:color w:val="auto"/>
          <w:highlight w:val="none"/>
        </w:rPr>
        <w:instrText xml:space="preserve"> PAGEREF _Toc23193 \h </w:instrText>
      </w:r>
      <w:r>
        <w:rPr>
          <w:color w:val="auto"/>
          <w:highlight w:val="none"/>
        </w:rPr>
        <w:fldChar w:fldCharType="separate"/>
      </w:r>
      <w:r>
        <w:rPr>
          <w:color w:val="auto"/>
          <w:highlight w:val="none"/>
        </w:rPr>
        <w:t>4</w:t>
      </w:r>
      <w:r>
        <w:rPr>
          <w:color w:val="auto"/>
          <w:highlight w:val="none"/>
        </w:rPr>
        <w:fldChar w:fldCharType="end"/>
      </w:r>
      <w:r>
        <w:rPr>
          <w:rFonts w:hint="eastAsia" w:ascii="仿宋" w:hAnsi="仿宋" w:eastAsia="仿宋" w:cs="仿宋"/>
          <w:bCs w:val="0"/>
          <w:color w:val="auto"/>
          <w:highlight w:val="none"/>
        </w:rPr>
        <w:fldChar w:fldCharType="end"/>
      </w:r>
      <w:r>
        <w:rPr>
          <w:rFonts w:hint="eastAsia" w:ascii="仿宋" w:hAnsi="仿宋" w:eastAsia="仿宋" w:cs="仿宋"/>
          <w:bCs w:val="0"/>
          <w:color w:val="auto"/>
          <w:highlight w:val="none"/>
          <w:lang w:val="en-US" w:eastAsia="zh-CN"/>
        </w:rPr>
        <w:t>4</w:t>
      </w:r>
    </w:p>
    <w:p>
      <w:pPr>
        <w:pStyle w:val="21"/>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_Toc5467 </w:instrText>
      </w:r>
      <w:r>
        <w:rPr>
          <w:rFonts w:hint="eastAsia" w:ascii="仿宋" w:hAnsi="仿宋" w:eastAsia="仿宋" w:cs="仿宋"/>
          <w:bCs w:val="0"/>
          <w:color w:val="auto"/>
          <w:highlight w:val="none"/>
        </w:rPr>
        <w:fldChar w:fldCharType="separate"/>
      </w:r>
      <w:r>
        <w:rPr>
          <w:rFonts w:hint="eastAsia" w:ascii="仿宋" w:hAnsi="仿宋" w:eastAsia="仿宋" w:cs="仿宋"/>
          <w:bCs/>
          <w:color w:val="auto"/>
          <w:szCs w:val="28"/>
          <w:highlight w:val="none"/>
        </w:rPr>
        <w:t>第六章 响应</w:t>
      </w:r>
      <w:r>
        <w:rPr>
          <w:rFonts w:hint="eastAsia" w:ascii="仿宋" w:hAnsi="仿宋" w:eastAsia="仿宋" w:cs="仿宋"/>
          <w:color w:val="auto"/>
          <w:szCs w:val="28"/>
          <w:highlight w:val="none"/>
        </w:rPr>
        <w:t>文件</w:t>
      </w:r>
      <w:r>
        <w:rPr>
          <w:rFonts w:hint="eastAsia" w:ascii="仿宋" w:hAnsi="仿宋" w:eastAsia="仿宋" w:cs="仿宋"/>
          <w:bCs/>
          <w:color w:val="auto"/>
          <w:szCs w:val="28"/>
          <w:highlight w:val="none"/>
        </w:rPr>
        <w:t>格式</w:t>
      </w:r>
      <w:r>
        <w:rPr>
          <w:color w:val="auto"/>
          <w:highlight w:val="none"/>
        </w:rPr>
        <w:tab/>
      </w:r>
      <w:r>
        <w:rPr>
          <w:color w:val="auto"/>
          <w:highlight w:val="none"/>
        </w:rPr>
        <w:fldChar w:fldCharType="begin"/>
      </w:r>
      <w:r>
        <w:rPr>
          <w:color w:val="auto"/>
          <w:highlight w:val="none"/>
        </w:rPr>
        <w:instrText xml:space="preserve"> PAGEREF _Toc5467 \h </w:instrText>
      </w:r>
      <w:r>
        <w:rPr>
          <w:color w:val="auto"/>
          <w:highlight w:val="none"/>
        </w:rPr>
        <w:fldChar w:fldCharType="separate"/>
      </w:r>
      <w:r>
        <w:rPr>
          <w:rFonts w:hint="eastAsia"/>
          <w:color w:val="auto"/>
          <w:highlight w:val="none"/>
          <w:lang w:val="en-US" w:eastAsia="zh-CN"/>
        </w:rPr>
        <w:t>48</w:t>
      </w:r>
      <w:r>
        <w:rPr>
          <w:color w:val="auto"/>
          <w:highlight w:val="none"/>
        </w:rPr>
        <w:fldChar w:fldCharType="end"/>
      </w:r>
      <w:r>
        <w:rPr>
          <w:rFonts w:hint="eastAsia" w:ascii="仿宋" w:hAnsi="仿宋" w:eastAsia="仿宋" w:cs="仿宋"/>
          <w:bCs w:val="0"/>
          <w:color w:val="auto"/>
          <w:highlight w:val="none"/>
        </w:rPr>
        <w:fldChar w:fldCharType="end"/>
      </w:r>
    </w:p>
    <w:p>
      <w:pPr>
        <w:pStyle w:val="25"/>
        <w:tabs>
          <w:tab w:val="right" w:leader="dot" w:pos="9072"/>
        </w:tabs>
        <w:rPr>
          <w:rFonts w:hint="eastAsia" w:eastAsia="仿宋"/>
          <w:color w:val="auto"/>
          <w:highlight w:val="none"/>
          <w:lang w:val="en-US" w:eastAsia="zh-CN"/>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_Toc14520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一、商务文件</w:t>
      </w:r>
      <w:r>
        <w:rPr>
          <w:color w:val="auto"/>
          <w:highlight w:val="none"/>
        </w:rPr>
        <w:tab/>
      </w:r>
      <w:r>
        <w:rPr>
          <w:color w:val="auto"/>
          <w:highlight w:val="none"/>
        </w:rPr>
        <w:fldChar w:fldCharType="begin"/>
      </w:r>
      <w:r>
        <w:rPr>
          <w:color w:val="auto"/>
          <w:highlight w:val="none"/>
        </w:rPr>
        <w:instrText xml:space="preserve"> PAGEREF _Toc14520 \h </w:instrText>
      </w:r>
      <w:r>
        <w:rPr>
          <w:color w:val="auto"/>
          <w:highlight w:val="none"/>
        </w:rPr>
        <w:fldChar w:fldCharType="separate"/>
      </w:r>
      <w:r>
        <w:rPr>
          <w:rFonts w:hint="eastAsia"/>
          <w:color w:val="auto"/>
          <w:highlight w:val="none"/>
          <w:lang w:val="en-US" w:eastAsia="zh-CN"/>
        </w:rPr>
        <w:t>4</w:t>
      </w:r>
      <w:r>
        <w:rPr>
          <w:color w:val="auto"/>
          <w:highlight w:val="none"/>
        </w:rPr>
        <w:fldChar w:fldCharType="end"/>
      </w:r>
      <w:r>
        <w:rPr>
          <w:rFonts w:hint="eastAsia" w:ascii="仿宋" w:hAnsi="仿宋" w:eastAsia="仿宋" w:cs="仿宋"/>
          <w:bCs w:val="0"/>
          <w:color w:val="auto"/>
          <w:highlight w:val="none"/>
        </w:rPr>
        <w:fldChar w:fldCharType="end"/>
      </w:r>
      <w:r>
        <w:rPr>
          <w:rFonts w:hint="eastAsia" w:ascii="仿宋" w:hAnsi="仿宋" w:eastAsia="仿宋" w:cs="仿宋"/>
          <w:bCs w:val="0"/>
          <w:color w:val="auto"/>
          <w:highlight w:val="none"/>
          <w:lang w:val="en-US" w:eastAsia="zh-CN"/>
        </w:rPr>
        <w:t>9</w:t>
      </w:r>
    </w:p>
    <w:p>
      <w:pPr>
        <w:pStyle w:val="25"/>
        <w:tabs>
          <w:tab w:val="right" w:leader="dot" w:pos="9072"/>
        </w:tabs>
        <w:rPr>
          <w:rFonts w:hint="eastAsia" w:eastAsia="仿宋"/>
          <w:color w:val="auto"/>
          <w:highlight w:val="none"/>
          <w:lang w:val="en-US" w:eastAsia="zh-CN"/>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_Toc14740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二、技术文件</w:t>
      </w:r>
      <w:r>
        <w:rPr>
          <w:color w:val="auto"/>
          <w:highlight w:val="none"/>
        </w:rPr>
        <w:tab/>
      </w:r>
      <w:r>
        <w:rPr>
          <w:rFonts w:hint="eastAsia"/>
          <w:color w:val="auto"/>
          <w:highlight w:val="none"/>
          <w:lang w:val="en-US" w:eastAsia="zh-CN"/>
        </w:rPr>
        <w:t>7</w:t>
      </w:r>
      <w:r>
        <w:rPr>
          <w:rFonts w:hint="eastAsia" w:ascii="仿宋" w:hAnsi="仿宋" w:eastAsia="仿宋" w:cs="仿宋"/>
          <w:bCs w:val="0"/>
          <w:color w:val="auto"/>
          <w:highlight w:val="none"/>
        </w:rPr>
        <w:fldChar w:fldCharType="end"/>
      </w:r>
      <w:r>
        <w:rPr>
          <w:rFonts w:hint="eastAsia" w:ascii="仿宋" w:hAnsi="仿宋" w:eastAsia="仿宋" w:cs="仿宋"/>
          <w:bCs w:val="0"/>
          <w:color w:val="auto"/>
          <w:highlight w:val="none"/>
          <w:lang w:val="en-US" w:eastAsia="zh-CN"/>
        </w:rPr>
        <w:t>5</w:t>
      </w:r>
    </w:p>
    <w:p>
      <w:pPr>
        <w:pStyle w:val="25"/>
        <w:tabs>
          <w:tab w:val="right" w:leader="dot" w:pos="9072"/>
        </w:tabs>
        <w:rPr>
          <w:rFonts w:hint="eastAsia" w:eastAsia="仿宋"/>
          <w:color w:val="auto"/>
          <w:highlight w:val="none"/>
          <w:lang w:val="en-US" w:eastAsia="zh-CN"/>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_Toc586 </w:instrText>
      </w:r>
      <w:r>
        <w:rPr>
          <w:rFonts w:hint="eastAsia" w:ascii="仿宋" w:hAnsi="仿宋" w:eastAsia="仿宋" w:cs="仿宋"/>
          <w:bCs w:val="0"/>
          <w:color w:val="auto"/>
          <w:highlight w:val="none"/>
        </w:rPr>
        <w:fldChar w:fldCharType="separate"/>
      </w:r>
      <w:r>
        <w:rPr>
          <w:rFonts w:hint="eastAsia" w:ascii="仿宋" w:hAnsi="仿宋" w:eastAsia="仿宋" w:cs="仿宋"/>
          <w:bCs/>
          <w:iCs/>
          <w:color w:val="auto"/>
          <w:szCs w:val="24"/>
          <w:highlight w:val="none"/>
          <w:lang w:val="en-US" w:eastAsia="zh-CN" w:bidi="ar-SA"/>
        </w:rPr>
        <w:t>三、报价文件</w:t>
      </w:r>
      <w:r>
        <w:rPr>
          <w:color w:val="auto"/>
          <w:highlight w:val="none"/>
        </w:rPr>
        <w:tab/>
      </w:r>
      <w:r>
        <w:rPr>
          <w:color w:val="auto"/>
          <w:highlight w:val="none"/>
        </w:rPr>
        <w:fldChar w:fldCharType="begin"/>
      </w:r>
      <w:r>
        <w:rPr>
          <w:color w:val="auto"/>
          <w:highlight w:val="none"/>
        </w:rPr>
        <w:instrText xml:space="preserve"> PAGEREF _Toc586 \h </w:instrText>
      </w:r>
      <w:r>
        <w:rPr>
          <w:color w:val="auto"/>
          <w:highlight w:val="none"/>
        </w:rPr>
        <w:fldChar w:fldCharType="separate"/>
      </w:r>
      <w:r>
        <w:rPr>
          <w:color w:val="auto"/>
          <w:highlight w:val="none"/>
        </w:rPr>
        <w:t>8</w:t>
      </w:r>
      <w:r>
        <w:rPr>
          <w:color w:val="auto"/>
          <w:highlight w:val="none"/>
        </w:rPr>
        <w:fldChar w:fldCharType="end"/>
      </w:r>
      <w:r>
        <w:rPr>
          <w:rFonts w:hint="eastAsia" w:ascii="仿宋" w:hAnsi="仿宋" w:eastAsia="仿宋" w:cs="仿宋"/>
          <w:bCs w:val="0"/>
          <w:color w:val="auto"/>
          <w:highlight w:val="none"/>
        </w:rPr>
        <w:fldChar w:fldCharType="end"/>
      </w:r>
      <w:r>
        <w:rPr>
          <w:rFonts w:hint="eastAsia" w:ascii="仿宋" w:hAnsi="仿宋" w:eastAsia="仿宋" w:cs="仿宋"/>
          <w:bCs w:val="0"/>
          <w:color w:val="auto"/>
          <w:highlight w:val="none"/>
          <w:lang w:val="en-US" w:eastAsia="zh-CN"/>
        </w:rPr>
        <w:t>4</w:t>
      </w:r>
    </w:p>
    <w:p>
      <w:pPr>
        <w:pStyle w:val="14"/>
        <w:tabs>
          <w:tab w:val="right" w:leader="dot" w:pos="9072"/>
        </w:tabs>
        <w:rPr>
          <w:color w:val="auto"/>
          <w:highlight w:val="none"/>
        </w:rPr>
      </w:pPr>
    </w:p>
    <w:p>
      <w:pPr>
        <w:pStyle w:val="3"/>
        <w:ind w:left="0" w:firstLine="0"/>
        <w:rPr>
          <w:rFonts w:hint="eastAsia" w:ascii="仿宋" w:hAnsi="仿宋" w:eastAsia="仿宋" w:cs="仿宋"/>
          <w:b w:val="0"/>
          <w:bCs w:val="0"/>
          <w:color w:val="auto"/>
          <w:highlight w:val="none"/>
        </w:rPr>
        <w:sectPr>
          <w:footerReference r:id="rId5" w:type="default"/>
          <w:pgSz w:w="11906" w:h="16838"/>
          <w:pgMar w:top="1417" w:right="1417" w:bottom="1417" w:left="1417" w:header="850" w:footer="992" w:gutter="0"/>
          <w:pgNumType w:fmt="decimal" w:start="1"/>
          <w:cols w:space="0" w:num="1"/>
          <w:rtlGutter w:val="0"/>
          <w:docGrid w:type="lines" w:linePitch="333" w:charSpace="0"/>
        </w:sectPr>
      </w:pPr>
      <w:r>
        <w:rPr>
          <w:rFonts w:hint="eastAsia" w:ascii="仿宋" w:hAnsi="仿宋" w:eastAsia="仿宋" w:cs="仿宋"/>
          <w:bCs w:val="0"/>
          <w:color w:val="auto"/>
          <w:highlight w:val="none"/>
        </w:rPr>
        <w:fldChar w:fldCharType="end"/>
      </w:r>
    </w:p>
    <w:p>
      <w:pPr>
        <w:pStyle w:val="3"/>
        <w:ind w:left="0" w:firstLine="0"/>
        <w:rPr>
          <w:rFonts w:hint="eastAsia" w:ascii="仿宋" w:hAnsi="仿宋" w:eastAsia="仿宋" w:cs="仿宋"/>
          <w:b w:val="0"/>
          <w:bCs w:val="0"/>
          <w:color w:val="auto"/>
          <w:kern w:val="0"/>
          <w:sz w:val="24"/>
          <w:szCs w:val="24"/>
          <w:highlight w:val="none"/>
        </w:rPr>
        <w:sectPr>
          <w:headerReference r:id="rId6" w:type="default"/>
          <w:footerReference r:id="rId7" w:type="default"/>
          <w:type w:val="continuous"/>
          <w:pgSz w:w="11906" w:h="16838"/>
          <w:pgMar w:top="1417" w:right="1417" w:bottom="1417" w:left="1417" w:header="850" w:footer="992" w:gutter="0"/>
          <w:pgNumType w:fmt="decimal"/>
          <w:cols w:space="0" w:num="1"/>
          <w:rtlGutter w:val="0"/>
          <w:docGrid w:type="lines" w:linePitch="333" w:charSpace="0"/>
        </w:sectPr>
      </w:pPr>
    </w:p>
    <w:p>
      <w:pPr>
        <w:pStyle w:val="3"/>
        <w:keepNext/>
        <w:keepLines/>
        <w:pageBreakBefore w:val="0"/>
        <w:widowControl/>
        <w:kinsoku/>
        <w:wordWrap/>
        <w:overflowPunct/>
        <w:topLinePunct w:val="0"/>
        <w:autoSpaceDE/>
        <w:autoSpaceDN/>
        <w:bidi w:val="0"/>
        <w:adjustRightInd/>
        <w:snapToGrid/>
        <w:spacing w:before="0" w:after="0"/>
        <w:ind w:left="0" w:firstLine="0"/>
        <w:textAlignment w:val="auto"/>
        <w:rPr>
          <w:rFonts w:hint="eastAsia" w:ascii="仿宋" w:hAnsi="仿宋" w:eastAsia="仿宋" w:cs="仿宋"/>
          <w:color w:val="auto"/>
          <w:sz w:val="28"/>
          <w:szCs w:val="28"/>
          <w:highlight w:val="none"/>
        </w:rPr>
      </w:pPr>
      <w:bookmarkStart w:id="0" w:name="_Toc26239"/>
      <w:bookmarkStart w:id="1" w:name="_Toc21360"/>
      <w:r>
        <w:rPr>
          <w:rFonts w:hint="eastAsia" w:ascii="仿宋" w:hAnsi="仿宋" w:eastAsia="仿宋" w:cs="仿宋"/>
          <w:color w:val="auto"/>
          <w:sz w:val="28"/>
          <w:szCs w:val="28"/>
          <w:highlight w:val="none"/>
        </w:rPr>
        <w:t>第一章 竞争性磋商邀请</w:t>
      </w:r>
      <w:bookmarkEnd w:id="0"/>
      <w:bookmarkEnd w:id="1"/>
    </w:p>
    <w:p>
      <w:pPr>
        <w:wordWrap w:val="0"/>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本项目</w:t>
      </w:r>
      <w:r>
        <w:rPr>
          <w:rFonts w:hint="eastAsia" w:ascii="仿宋" w:hAnsi="仿宋" w:eastAsia="仿宋" w:cs="仿宋"/>
          <w:color w:val="auto"/>
          <w:highlight w:val="none"/>
          <w:u w:val="single"/>
          <w:lang w:eastAsia="zh-CN"/>
        </w:rPr>
        <w:t>人保财险四川省成都市都江堰支公司“全民保障，人保同行”小区宣传服务采购项目</w:t>
      </w:r>
      <w:r>
        <w:rPr>
          <w:rFonts w:hint="eastAsia" w:ascii="仿宋" w:hAnsi="仿宋" w:eastAsia="仿宋" w:cs="仿宋"/>
          <w:color w:val="auto"/>
          <w:highlight w:val="none"/>
        </w:rPr>
        <w:t>（采购项目编号：</w:t>
      </w:r>
      <w:r>
        <w:rPr>
          <w:rFonts w:hint="eastAsia" w:ascii="仿宋" w:hAnsi="仿宋" w:eastAsia="仿宋" w:cs="仿宋"/>
          <w:color w:val="auto"/>
          <w:highlight w:val="none"/>
          <w:lang w:val="en-US" w:eastAsia="zh-CN"/>
        </w:rPr>
        <w:t>XM26DSPC000931</w:t>
      </w:r>
      <w:r>
        <w:rPr>
          <w:rFonts w:hint="eastAsia" w:ascii="仿宋" w:hAnsi="仿宋" w:eastAsia="仿宋" w:cs="仿宋"/>
          <w:color w:val="auto"/>
          <w:highlight w:val="none"/>
        </w:rPr>
        <w:t>）由</w:t>
      </w:r>
      <w:r>
        <w:rPr>
          <w:rFonts w:hint="eastAsia" w:ascii="仿宋" w:hAnsi="仿宋" w:eastAsia="仿宋" w:cs="仿宋"/>
          <w:color w:val="auto"/>
          <w:highlight w:val="none"/>
          <w:u w:val="single"/>
          <w:lang w:eastAsia="zh-CN"/>
        </w:rPr>
        <w:t>中国人民财产保险股份有限公司都江堰支公司</w:t>
      </w:r>
      <w:r>
        <w:rPr>
          <w:rFonts w:hint="eastAsia" w:ascii="仿宋" w:hAnsi="仿宋" w:eastAsia="仿宋" w:cs="仿宋"/>
          <w:color w:val="auto"/>
          <w:highlight w:val="none"/>
        </w:rPr>
        <w:t>（以下简称“采购人”）批准并落实资金，组织本项目的磋商工作，采购合同由</w:t>
      </w:r>
      <w:r>
        <w:rPr>
          <w:rFonts w:hint="eastAsia" w:ascii="仿宋" w:hAnsi="仿宋" w:eastAsia="仿宋" w:cs="仿宋"/>
          <w:color w:val="auto"/>
          <w:highlight w:val="none"/>
          <w:u w:val="single"/>
          <w:lang w:eastAsia="zh-CN"/>
        </w:rPr>
        <w:t>中国人民财产保险股份有限公司</w:t>
      </w:r>
      <w:r>
        <w:rPr>
          <w:rFonts w:hint="eastAsia" w:ascii="仿宋" w:hAnsi="仿宋" w:eastAsia="仿宋" w:cs="仿宋"/>
          <w:color w:val="auto"/>
          <w:highlight w:val="none"/>
          <w:u w:val="single"/>
          <w:lang w:val="en-US" w:eastAsia="zh-CN"/>
        </w:rPr>
        <w:t>成都市分公司</w:t>
      </w:r>
      <w:r>
        <w:rPr>
          <w:rFonts w:hint="eastAsia" w:ascii="仿宋" w:hAnsi="仿宋" w:eastAsia="仿宋" w:cs="仿宋"/>
          <w:color w:val="auto"/>
          <w:highlight w:val="none"/>
        </w:rPr>
        <w:t>（以下简称“人保财险</w:t>
      </w:r>
      <w:r>
        <w:rPr>
          <w:rFonts w:hint="eastAsia" w:ascii="仿宋" w:hAnsi="仿宋" w:eastAsia="仿宋" w:cs="仿宋"/>
          <w:color w:val="auto"/>
          <w:highlight w:val="none"/>
          <w:lang w:val="en-US" w:eastAsia="zh-CN"/>
        </w:rPr>
        <w:t>成都市分</w:t>
      </w:r>
      <w:r>
        <w:rPr>
          <w:rFonts w:hint="eastAsia" w:ascii="仿宋" w:hAnsi="仿宋" w:eastAsia="仿宋" w:cs="仿宋"/>
          <w:color w:val="auto"/>
          <w:highlight w:val="none"/>
          <w:lang w:eastAsia="zh-CN"/>
        </w:rPr>
        <w:t>公司</w:t>
      </w:r>
      <w:r>
        <w:rPr>
          <w:rFonts w:hint="eastAsia" w:ascii="仿宋" w:hAnsi="仿宋" w:eastAsia="仿宋" w:cs="仿宋"/>
          <w:color w:val="auto"/>
          <w:highlight w:val="none"/>
        </w:rPr>
        <w:t>”）根据成交结果与成交人签署。</w:t>
      </w:r>
      <w:r>
        <w:rPr>
          <w:rFonts w:hint="eastAsia" w:ascii="仿宋" w:hAnsi="仿宋" w:eastAsia="仿宋" w:cs="仿宋"/>
          <w:color w:val="auto"/>
          <w:sz w:val="24"/>
          <w:highlight w:val="none"/>
        </w:rPr>
        <w:t>现</w:t>
      </w:r>
      <w:r>
        <w:rPr>
          <w:rFonts w:hint="eastAsia" w:ascii="仿宋" w:hAnsi="仿宋" w:eastAsia="仿宋" w:cs="仿宋"/>
          <w:color w:val="auto"/>
          <w:sz w:val="24"/>
          <w:highlight w:val="none"/>
          <w:lang w:val="en-US" w:eastAsia="zh-CN"/>
        </w:rPr>
        <w:t>通过</w:t>
      </w:r>
      <w:r>
        <w:rPr>
          <w:rFonts w:hint="eastAsia" w:ascii="仿宋" w:hAnsi="仿宋" w:eastAsia="仿宋" w:cs="仿宋"/>
          <w:color w:val="auto"/>
          <w:sz w:val="24"/>
          <w:highlight w:val="none"/>
        </w:rPr>
        <w:t>竞争性磋商</w:t>
      </w:r>
      <w:r>
        <w:rPr>
          <w:rFonts w:hint="eastAsia" w:ascii="仿宋" w:hAnsi="仿宋" w:eastAsia="仿宋" w:cs="仿宋"/>
          <w:color w:val="auto"/>
          <w:sz w:val="24"/>
          <w:highlight w:val="none"/>
          <w:lang w:val="en-US" w:eastAsia="zh-CN"/>
        </w:rPr>
        <w:t>方式实施</w:t>
      </w:r>
      <w:r>
        <w:rPr>
          <w:rFonts w:hint="eastAsia" w:ascii="仿宋" w:hAnsi="仿宋" w:eastAsia="仿宋" w:cs="仿宋"/>
          <w:color w:val="auto"/>
          <w:sz w:val="24"/>
          <w:highlight w:val="none"/>
        </w:rPr>
        <w:t>，有意向且具有提供标的物能力的潜在供应商（以下简称“供应商”）可前来参与磋商响应。</w:t>
      </w:r>
      <w:r>
        <w:rPr>
          <w:rFonts w:hint="eastAsia" w:ascii="仿宋" w:hAnsi="仿宋" w:eastAsia="仿宋" w:cs="仿宋"/>
          <w:color w:val="auto"/>
          <w:highlight w:val="none"/>
        </w:rPr>
        <w:t xml:space="preserve"> </w:t>
      </w:r>
    </w:p>
    <w:p>
      <w:pPr>
        <w:pStyle w:val="4"/>
        <w:keepNext/>
        <w:keepLines/>
        <w:pageBreakBefore w:val="0"/>
        <w:widowControl w:val="0"/>
        <w:kinsoku/>
        <w:wordWrap/>
        <w:overflowPunct/>
        <w:topLinePunct w:val="0"/>
        <w:autoSpaceDE/>
        <w:autoSpaceDN/>
        <w:bidi w:val="0"/>
        <w:adjustRightInd/>
        <w:snapToGrid/>
        <w:spacing w:before="0" w:after="0"/>
        <w:jc w:val="left"/>
        <w:textAlignment w:val="auto"/>
        <w:rPr>
          <w:rFonts w:hint="eastAsia" w:ascii="仿宋" w:hAnsi="仿宋" w:eastAsia="仿宋" w:cs="仿宋"/>
          <w:color w:val="auto"/>
          <w:sz w:val="24"/>
          <w:szCs w:val="24"/>
          <w:highlight w:val="none"/>
        </w:rPr>
      </w:pPr>
      <w:bookmarkStart w:id="2" w:name="_Toc21237"/>
      <w:bookmarkStart w:id="3" w:name="_Toc29328"/>
      <w:r>
        <w:rPr>
          <w:rFonts w:hint="eastAsia" w:ascii="仿宋" w:hAnsi="仿宋" w:eastAsia="仿宋" w:cs="仿宋"/>
          <w:color w:val="auto"/>
          <w:sz w:val="24"/>
          <w:szCs w:val="24"/>
          <w:highlight w:val="none"/>
        </w:rPr>
        <w:t>一、项目概况与采购范围</w:t>
      </w:r>
      <w:bookmarkEnd w:id="2"/>
      <w:bookmarkEnd w:id="3"/>
    </w:p>
    <w:p>
      <w:pPr>
        <w:adjustRightInd w:val="0"/>
        <w:snapToGrid w:val="0"/>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1.1 项目名称：</w:t>
      </w:r>
      <w:r>
        <w:rPr>
          <w:rFonts w:hint="eastAsia" w:ascii="仿宋" w:hAnsi="仿宋" w:eastAsia="仿宋" w:cs="仿宋"/>
          <w:color w:val="auto"/>
          <w:highlight w:val="none"/>
          <w:u w:val="none"/>
          <w:lang w:eastAsia="zh-CN"/>
        </w:rPr>
        <w:t>人保财险四川省成都市都江堰支公司“全民保障，人保同行”小区宣传服务采购项目</w:t>
      </w:r>
      <w:r>
        <w:rPr>
          <w:rFonts w:hint="eastAsia" w:ascii="仿宋" w:hAnsi="仿宋" w:eastAsia="仿宋" w:cs="仿宋"/>
          <w:color w:val="auto"/>
          <w:highlight w:val="none"/>
        </w:rPr>
        <w:t>。</w:t>
      </w:r>
    </w:p>
    <w:p>
      <w:pPr>
        <w:adjustRightInd w:val="0"/>
        <w:snapToGrid w:val="0"/>
        <w:spacing w:line="360" w:lineRule="auto"/>
        <w:ind w:firstLine="480" w:firstLineChars="200"/>
        <w:rPr>
          <w:rFonts w:hint="eastAsia"/>
        </w:rPr>
      </w:pPr>
      <w:r>
        <w:rPr>
          <w:rFonts w:hint="eastAsia" w:ascii="仿宋" w:hAnsi="仿宋" w:eastAsia="仿宋" w:cs="仿宋"/>
          <w:color w:val="auto"/>
          <w:sz w:val="24"/>
          <w:highlight w:val="none"/>
        </w:rPr>
        <w:t>1.2 采购范围：本项目拟采购1家供应商提供在都江堰市公园大道1号、观凤新区东苑、观凤新区西苑、都江之春、都江堰马尔康电力干休所、北街坊合计6个小区同步开展为期60天的</w:t>
      </w:r>
      <w:r>
        <w:rPr>
          <w:rFonts w:hint="eastAsia" w:ascii="仿宋" w:hAnsi="仿宋" w:eastAsia="仿宋" w:cs="仿宋"/>
          <w:color w:val="auto"/>
          <w:sz w:val="24"/>
          <w:highlight w:val="none"/>
          <w:lang w:eastAsia="zh-CN"/>
        </w:rPr>
        <w:t>车险</w:t>
      </w:r>
      <w:r>
        <w:rPr>
          <w:rFonts w:hint="eastAsia" w:ascii="仿宋" w:hAnsi="仿宋" w:eastAsia="仿宋" w:cs="仿宋"/>
          <w:color w:val="auto"/>
          <w:sz w:val="24"/>
          <w:highlight w:val="none"/>
        </w:rPr>
        <w:t>宣传活动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具体技术要求详见第五章采购需求。</w:t>
      </w:r>
    </w:p>
    <w:p>
      <w:pPr>
        <w:adjustRightInd w:val="0"/>
        <w:snapToGrid w:val="0"/>
        <w:spacing w:line="360" w:lineRule="auto"/>
        <w:ind w:firstLine="480" w:firstLineChars="200"/>
        <w:rPr>
          <w:rFonts w:hint="eastAsia" w:ascii="仿宋" w:hAnsi="仿宋" w:eastAsia="仿宋" w:cs="仿宋"/>
          <w:color w:val="auto"/>
          <w:highlight w:val="none"/>
          <w:lang w:eastAsia="zh-CN"/>
        </w:rPr>
      </w:pPr>
      <w:r>
        <w:rPr>
          <w:rFonts w:hint="eastAsia" w:ascii="仿宋" w:hAnsi="仿宋" w:eastAsia="仿宋" w:cs="仿宋"/>
          <w:color w:val="auto"/>
          <w:highlight w:val="none"/>
        </w:rPr>
        <w:t>1.3 标包划分：本项目不划分标包</w:t>
      </w:r>
      <w:r>
        <w:rPr>
          <w:rFonts w:hint="eastAsia" w:ascii="仿宋" w:hAnsi="仿宋" w:eastAsia="仿宋" w:cs="仿宋"/>
          <w:color w:val="auto"/>
          <w:highlight w:val="none"/>
          <w:lang w:eastAsia="zh-CN"/>
        </w:rPr>
        <w:t>。</w:t>
      </w:r>
    </w:p>
    <w:p>
      <w:pPr>
        <w:adjustRightInd w:val="0"/>
        <w:snapToGrid w:val="0"/>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1.4 项目性质：服务。</w:t>
      </w:r>
    </w:p>
    <w:p>
      <w:pPr>
        <w:adjustRightInd w:val="0"/>
        <w:snapToGrid w:val="0"/>
        <w:spacing w:line="360" w:lineRule="auto"/>
        <w:ind w:firstLine="480" w:firstLineChars="200"/>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1.5</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服务</w:t>
      </w:r>
      <w:r>
        <w:rPr>
          <w:rFonts w:hint="eastAsia" w:ascii="仿宋" w:hAnsi="仿宋" w:eastAsia="仿宋" w:cs="仿宋"/>
          <w:color w:val="auto"/>
          <w:highlight w:val="none"/>
          <w:lang w:val="en-US" w:eastAsia="zh-CN"/>
        </w:rPr>
        <w:t>期限</w:t>
      </w:r>
      <w:r>
        <w:rPr>
          <w:rFonts w:hint="eastAsia" w:ascii="仿宋" w:hAnsi="仿宋" w:eastAsia="仿宋" w:cs="仿宋"/>
          <w:color w:val="auto"/>
          <w:highlight w:val="none"/>
        </w:rPr>
        <w:t>：</w:t>
      </w:r>
      <w:r>
        <w:rPr>
          <w:rFonts w:hint="eastAsia" w:ascii="仿宋" w:hAnsi="仿宋" w:eastAsia="仿宋" w:cs="仿宋"/>
          <w:color w:val="auto"/>
          <w:sz w:val="24"/>
          <w:highlight w:val="none"/>
          <w:lang w:val="en-US" w:eastAsia="zh-CN"/>
        </w:rPr>
        <w:t>60日历天</w:t>
      </w:r>
      <w:r>
        <w:rPr>
          <w:rFonts w:hint="eastAsia" w:ascii="仿宋" w:hAnsi="仿宋" w:eastAsia="仿宋" w:cs="仿宋"/>
          <w:color w:val="auto"/>
          <w:highlight w:val="none"/>
          <w:lang w:val="en-US" w:eastAsia="zh-CN"/>
        </w:rPr>
        <w:t>。</w:t>
      </w:r>
    </w:p>
    <w:p>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highlight w:val="none"/>
        </w:rPr>
        <w:t>1.6</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服务地点：</w:t>
      </w:r>
      <w:bookmarkStart w:id="4" w:name="OLE_LINK1"/>
      <w:r>
        <w:rPr>
          <w:rFonts w:hint="eastAsia" w:ascii="仿宋" w:hAnsi="仿宋" w:eastAsia="仿宋" w:cs="仿宋"/>
          <w:color w:val="auto"/>
          <w:sz w:val="24"/>
          <w:szCs w:val="24"/>
          <w:highlight w:val="none"/>
        </w:rPr>
        <w:t>采购人指定地点</w:t>
      </w:r>
      <w:bookmarkEnd w:id="4"/>
      <w:r>
        <w:rPr>
          <w:rFonts w:hint="eastAsia" w:ascii="仿宋" w:hAnsi="仿宋" w:eastAsia="仿宋" w:cs="仿宋"/>
          <w:color w:val="auto"/>
          <w:sz w:val="24"/>
          <w:szCs w:val="24"/>
          <w:highlight w:val="none"/>
        </w:rPr>
        <w:t>。</w:t>
      </w:r>
    </w:p>
    <w:p>
      <w:pPr>
        <w:adjustRightInd w:val="0"/>
        <w:snapToGrid w:val="0"/>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1.7 项目限价：项目设置总价最高限价和单价最高限价，即供应商总价报价不得高于</w:t>
      </w:r>
      <w:r>
        <w:rPr>
          <w:rFonts w:hint="eastAsia" w:ascii="仿宋" w:hAnsi="仿宋" w:eastAsia="仿宋" w:cs="仿宋"/>
          <w:color w:val="auto"/>
          <w:highlight w:val="none"/>
          <w:lang w:eastAsia="zh-CN"/>
        </w:rPr>
        <w:t>795240.00</w:t>
      </w:r>
      <w:r>
        <w:rPr>
          <w:rFonts w:hint="eastAsia" w:ascii="仿宋" w:hAnsi="仿宋" w:eastAsia="仿宋" w:cs="仿宋"/>
          <w:color w:val="auto"/>
          <w:highlight w:val="none"/>
        </w:rPr>
        <w:t>元，单价限价不得高于</w:t>
      </w:r>
      <w:r>
        <w:rPr>
          <w:rFonts w:hint="eastAsia" w:ascii="仿宋" w:hAnsi="仿宋" w:eastAsia="仿宋" w:cs="仿宋"/>
          <w:color w:val="auto"/>
          <w:highlight w:val="none"/>
          <w:lang w:val="en-US" w:eastAsia="zh-CN"/>
        </w:rPr>
        <w:t>132540.00元/个小区</w:t>
      </w:r>
      <w:r>
        <w:rPr>
          <w:rFonts w:hint="eastAsia" w:ascii="仿宋" w:hAnsi="仿宋" w:eastAsia="仿宋" w:cs="仿宋"/>
          <w:color w:val="auto"/>
          <w:highlight w:val="none"/>
        </w:rPr>
        <w:t>。</w:t>
      </w:r>
    </w:p>
    <w:p>
      <w:pPr>
        <w:pStyle w:val="4"/>
        <w:keepNext/>
        <w:keepLines/>
        <w:pageBreakBefore w:val="0"/>
        <w:widowControl w:val="0"/>
        <w:kinsoku/>
        <w:wordWrap/>
        <w:overflowPunct/>
        <w:topLinePunct w:val="0"/>
        <w:autoSpaceDE/>
        <w:autoSpaceDN/>
        <w:bidi w:val="0"/>
        <w:adjustRightInd/>
        <w:snapToGrid/>
        <w:spacing w:before="0" w:after="0"/>
        <w:jc w:val="left"/>
        <w:textAlignment w:val="auto"/>
        <w:rPr>
          <w:rFonts w:hint="eastAsia" w:ascii="仿宋" w:hAnsi="仿宋" w:eastAsia="仿宋" w:cs="仿宋"/>
          <w:color w:val="auto"/>
          <w:sz w:val="24"/>
          <w:szCs w:val="24"/>
          <w:highlight w:val="none"/>
        </w:rPr>
      </w:pPr>
      <w:bookmarkStart w:id="5" w:name="_Toc17569"/>
      <w:bookmarkStart w:id="6" w:name="_Toc26644"/>
      <w:r>
        <w:rPr>
          <w:rFonts w:hint="eastAsia" w:ascii="仿宋" w:hAnsi="仿宋" w:eastAsia="仿宋" w:cs="仿宋"/>
          <w:color w:val="auto"/>
          <w:sz w:val="24"/>
          <w:szCs w:val="24"/>
          <w:highlight w:val="none"/>
        </w:rPr>
        <w:t>二、供应商资格要求</w:t>
      </w:r>
      <w:bookmarkEnd w:id="5"/>
      <w:bookmarkEnd w:id="6"/>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2.1</w:t>
      </w:r>
      <w:r>
        <w:rPr>
          <w:rFonts w:hint="eastAsia" w:ascii="仿宋" w:hAnsi="仿宋" w:eastAsia="仿宋" w:cs="仿宋"/>
          <w:b/>
          <w:bCs/>
          <w:color w:val="auto"/>
          <w:highlight w:val="none"/>
        </w:rPr>
        <w:t>在中华人民共和国境内依法登记的法人或其他组织，具有独立承担民事责任的能力，</w:t>
      </w:r>
      <w:r>
        <w:rPr>
          <w:rFonts w:hint="eastAsia" w:ascii="仿宋" w:hAnsi="仿宋" w:eastAsia="仿宋" w:cs="仿宋"/>
          <w:color w:val="auto"/>
          <w:highlight w:val="none"/>
        </w:rPr>
        <w:t>供应商如为企业法人，须提供企业法人营业执照（复印件）；供应商如为事业单位或其他组织，须提供事业单位法人证书或登记证或组织机构代码证或其他有效证明文件（复印件）；</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2.2</w:t>
      </w:r>
      <w:r>
        <w:rPr>
          <w:rFonts w:hint="eastAsia" w:ascii="仿宋" w:hAnsi="仿宋" w:eastAsia="仿宋" w:cs="仿宋"/>
          <w:b/>
          <w:bCs/>
          <w:color w:val="auto"/>
          <w:highlight w:val="none"/>
        </w:rPr>
        <w:t>具有良好的商业信誉和健全的财务会计制度</w:t>
      </w:r>
      <w:r>
        <w:rPr>
          <w:rFonts w:hint="eastAsia" w:ascii="仿宋" w:hAnsi="仿宋" w:eastAsia="仿宋" w:cs="仿宋"/>
          <w:color w:val="auto"/>
          <w:highlight w:val="none"/>
        </w:rPr>
        <w:t>，需提供</w:t>
      </w:r>
      <w:r>
        <w:rPr>
          <w:rFonts w:hint="eastAsia" w:ascii="仿宋" w:hAnsi="仿宋" w:eastAsia="仿宋" w:cs="仿宋"/>
          <w:color w:val="auto"/>
          <w:highlight w:val="none"/>
          <w:lang w:val="en-US" w:eastAsia="zh-CN"/>
        </w:rPr>
        <w:t>2025年度</w:t>
      </w:r>
      <w:r>
        <w:rPr>
          <w:rFonts w:hint="eastAsia" w:ascii="仿宋" w:hAnsi="仿宋" w:eastAsia="仿宋" w:cs="仿宋"/>
          <w:color w:val="auto"/>
          <w:highlight w:val="none"/>
        </w:rPr>
        <w:t>经会计师事务所或审计机构审计的财务审计报告及财务报表（至少包含会计师事务所或审计机构签章页、资产负债表、现金流量表、损益表/利润表）或提供响应文件递交截止日前6个月内开具的银行资信证明。</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 xml:space="preserve">2.3 </w:t>
      </w:r>
      <w:r>
        <w:rPr>
          <w:rFonts w:hint="eastAsia" w:ascii="仿宋" w:hAnsi="仿宋" w:eastAsia="仿宋" w:cs="仿宋"/>
          <w:b/>
          <w:bCs/>
          <w:color w:val="auto"/>
          <w:highlight w:val="none"/>
        </w:rPr>
        <w:t>具有履行合同所必需的设备和专业技术能力</w:t>
      </w:r>
      <w:r>
        <w:rPr>
          <w:rFonts w:hint="eastAsia" w:ascii="仿宋" w:hAnsi="仿宋" w:eastAsia="仿宋" w:cs="仿宋"/>
          <w:color w:val="auto"/>
          <w:highlight w:val="none"/>
        </w:rPr>
        <w:t>，近三年（</w:t>
      </w:r>
      <w:r>
        <w:rPr>
          <w:rFonts w:hint="eastAsia" w:ascii="仿宋" w:hAnsi="仿宋" w:eastAsia="仿宋" w:cs="仿宋"/>
          <w:color w:val="auto"/>
          <w:highlight w:val="none"/>
          <w:lang w:val="en-US" w:eastAsia="zh-CN"/>
        </w:rPr>
        <w:t>2023</w:t>
      </w:r>
      <w:r>
        <w:rPr>
          <w:rFonts w:hint="eastAsia" w:ascii="仿宋" w:hAnsi="仿宋" w:eastAsia="仿宋" w:cs="仿宋"/>
          <w:color w:val="auto"/>
          <w:highlight w:val="none"/>
        </w:rPr>
        <w:t>年1月1日至今）应具有</w:t>
      </w:r>
      <w:r>
        <w:rPr>
          <w:rFonts w:hint="eastAsia" w:ascii="仿宋" w:hAnsi="仿宋" w:eastAsia="仿宋" w:cs="仿宋"/>
          <w:color w:val="auto"/>
          <w:highlight w:val="none"/>
          <w:lang w:val="en-US" w:eastAsia="zh-CN"/>
        </w:rPr>
        <w:t>1</w:t>
      </w:r>
      <w:r>
        <w:rPr>
          <w:rFonts w:hint="eastAsia" w:ascii="仿宋" w:hAnsi="仿宋" w:eastAsia="仿宋" w:cs="仿宋"/>
          <w:color w:val="auto"/>
          <w:highlight w:val="none"/>
        </w:rPr>
        <w:t>个同类项目实施案例</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同类项目实施案例指：宣传活动等类似案例</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，并提供符合上述要求的合同关键页作为有效的业绩证明材料。合同关键页包含但不限于合同首页、合同标的页、签署日期页及盖章页等。</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2.4</w:t>
      </w:r>
      <w:r>
        <w:rPr>
          <w:rFonts w:hint="eastAsia" w:ascii="仿宋" w:hAnsi="仿宋" w:eastAsia="仿宋" w:cs="仿宋"/>
          <w:b/>
          <w:bCs/>
          <w:color w:val="auto"/>
          <w:highlight w:val="none"/>
        </w:rPr>
        <w:t>具有依法缴纳税收和社会保障资金的良好记录</w:t>
      </w:r>
      <w:r>
        <w:rPr>
          <w:rFonts w:hint="eastAsia" w:ascii="仿宋" w:hAnsi="仿宋" w:eastAsia="仿宋" w:cs="仿宋"/>
          <w:color w:val="auto"/>
          <w:highlight w:val="none"/>
        </w:rPr>
        <w:t>，提供近6个月任意一个月的税收和社会保障资金缴纳凭证。</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sz w:val="24"/>
          <w:highlight w:val="none"/>
        </w:rPr>
        <w:t>注：依法免税或不需要缴纳社会保障资金的供应商，应提供相应文件证明其依法免税或不需要缴纳社会保障资金。</w:t>
      </w:r>
    </w:p>
    <w:p>
      <w:pPr>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2.5</w:t>
      </w:r>
      <w:r>
        <w:rPr>
          <w:rFonts w:hint="eastAsia" w:ascii="仿宋" w:hAnsi="仿宋" w:eastAsia="仿宋" w:cs="仿宋"/>
          <w:b/>
          <w:bCs/>
          <w:color w:val="auto"/>
          <w:highlight w:val="none"/>
        </w:rPr>
        <w:t>经营状况良好，且近三年内（</w:t>
      </w:r>
      <w:r>
        <w:rPr>
          <w:rFonts w:hint="eastAsia" w:ascii="仿宋" w:hAnsi="仿宋" w:eastAsia="仿宋" w:cs="仿宋"/>
          <w:b/>
          <w:bCs/>
          <w:color w:val="auto"/>
          <w:highlight w:val="none"/>
          <w:lang w:val="en-US" w:eastAsia="zh-CN"/>
        </w:rPr>
        <w:t>2023</w:t>
      </w:r>
      <w:r>
        <w:rPr>
          <w:rFonts w:hint="eastAsia" w:ascii="仿宋" w:hAnsi="仿宋" w:eastAsia="仿宋" w:cs="仿宋"/>
          <w:b/>
          <w:bCs/>
          <w:color w:val="auto"/>
          <w:highlight w:val="none"/>
        </w:rPr>
        <w:t>年1月1日至今）无违法违规记录。</w:t>
      </w:r>
      <w:r>
        <w:rPr>
          <w:rFonts w:hint="eastAsia" w:ascii="仿宋" w:hAnsi="仿宋" w:eastAsia="仿宋" w:cs="仿宋"/>
          <w:color w:val="auto"/>
          <w:highlight w:val="none"/>
        </w:rPr>
        <w:t>违法违规记录是指被“信用中国”列入失信被执行人、重大税收违法失信主体、政府采购严重违法失信行为记录名单。供应商需提供自磋商公告发布之日至响应文件递交截止之日期间对以上三项内容的查询截图。</w:t>
      </w:r>
    </w:p>
    <w:p>
      <w:pPr>
        <w:snapToGrid w:val="0"/>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信用中国查询网址：https://www.creditchina.gov.cn/xinxigongshi/</w:t>
      </w:r>
    </w:p>
    <w:p>
      <w:pPr>
        <w:snapToGrid w:val="0"/>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政府采购严重违法失信行为记录名单查询网址：</w:t>
      </w:r>
    </w:p>
    <w:p>
      <w:pPr>
        <w:snapToGrid w:val="0"/>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https://www.creditchina.gov.cn/zhuanxiangchaxun/zhengfucaigouyanzhongweifashixinmingdan/</w:t>
      </w:r>
    </w:p>
    <w:p>
      <w:pPr>
        <w:spacing w:line="360" w:lineRule="auto"/>
        <w:ind w:firstLine="480" w:firstLineChars="200"/>
        <w:textAlignment w:val="baseline"/>
        <w:rPr>
          <w:rFonts w:hint="eastAsia" w:ascii="仿宋" w:hAnsi="仿宋" w:eastAsia="仿宋" w:cs="仿宋"/>
          <w:b/>
          <w:bCs/>
          <w:color w:val="auto"/>
          <w:highlight w:val="none"/>
        </w:rPr>
      </w:pPr>
      <w:r>
        <w:rPr>
          <w:rFonts w:hint="eastAsia" w:ascii="仿宋" w:hAnsi="仿宋" w:eastAsia="仿宋" w:cs="仿宋"/>
          <w:color w:val="auto"/>
          <w:highlight w:val="none"/>
        </w:rPr>
        <w:t xml:space="preserve">2.6 </w:t>
      </w:r>
      <w:r>
        <w:rPr>
          <w:rFonts w:hint="eastAsia" w:ascii="仿宋" w:hAnsi="仿宋" w:eastAsia="仿宋" w:cs="仿宋"/>
          <w:b/>
          <w:bCs/>
          <w:color w:val="auto"/>
          <w:highlight w:val="none"/>
        </w:rPr>
        <w:t>严禁列入采购人及其所隶属的中国人民保险各级机构的供应商黑名单且在禁入期内的供应商参与采购活动。</w:t>
      </w:r>
    </w:p>
    <w:p>
      <w:pPr>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2.7单位负责人为同一人或存在控股、管理关系的不同单位，不得参加同一标段/标包磋商响应或未划分标段/标包的同一采购项目的磋商响应，需填写《供应商控股及管理关系情况申报表》。</w:t>
      </w:r>
    </w:p>
    <w:p>
      <w:pPr>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2.8本项目不接受联合体磋商响应。提供承诺函，格式详见第六章响应文件格式。</w:t>
      </w:r>
    </w:p>
    <w:p>
      <w:pPr>
        <w:pStyle w:val="2"/>
        <w:spacing w:line="360" w:lineRule="auto"/>
        <w:ind w:firstLine="480" w:firstLineChars="200"/>
        <w:rPr>
          <w:rFonts w:hint="eastAsia" w:ascii="仿宋" w:hAnsi="仿宋" w:eastAsia="仿宋" w:cs="仿宋"/>
          <w:i w:val="0"/>
          <w:iCs/>
          <w:color w:val="auto"/>
          <w:szCs w:val="32"/>
          <w:highlight w:val="none"/>
          <w:lang w:val="en-US" w:eastAsia="zh-CN"/>
        </w:rPr>
      </w:pPr>
      <w:r>
        <w:rPr>
          <w:rFonts w:hint="eastAsia" w:ascii="仿宋" w:hAnsi="仿宋" w:eastAsia="仿宋" w:cs="仿宋"/>
          <w:color w:val="auto"/>
          <w:highlight w:val="none"/>
        </w:rPr>
        <w:t>2.9</w:t>
      </w:r>
      <w:r>
        <w:rPr>
          <w:rFonts w:hint="eastAsia" w:ascii="仿宋" w:hAnsi="仿宋" w:eastAsia="仿宋" w:cs="仿宋"/>
          <w:i w:val="0"/>
          <w:iCs/>
          <w:color w:val="auto"/>
          <w:szCs w:val="32"/>
          <w:highlight w:val="none"/>
        </w:rPr>
        <w:t>特殊资质条件</w:t>
      </w:r>
      <w:r>
        <w:rPr>
          <w:rFonts w:hint="eastAsia" w:ascii="仿宋" w:hAnsi="仿宋" w:eastAsia="仿宋" w:cs="仿宋"/>
          <w:i w:val="0"/>
          <w:iCs/>
          <w:color w:val="auto"/>
          <w:szCs w:val="32"/>
          <w:highlight w:val="none"/>
          <w:lang w:eastAsia="zh-CN"/>
        </w:rPr>
        <w:t>：</w:t>
      </w:r>
      <w:r>
        <w:rPr>
          <w:rFonts w:hint="eastAsia" w:ascii="仿宋" w:hAnsi="仿宋" w:eastAsia="仿宋" w:cs="仿宋"/>
          <w:i w:val="0"/>
          <w:iCs/>
          <w:color w:val="auto"/>
          <w:szCs w:val="32"/>
          <w:highlight w:val="none"/>
          <w:lang w:val="en-US" w:eastAsia="zh-CN"/>
        </w:rPr>
        <w:t>无。</w:t>
      </w:r>
    </w:p>
    <w:p>
      <w:pPr>
        <w:pStyle w:val="4"/>
        <w:keepNext/>
        <w:keepLines/>
        <w:pageBreakBefore w:val="0"/>
        <w:widowControl w:val="0"/>
        <w:kinsoku/>
        <w:wordWrap/>
        <w:overflowPunct/>
        <w:topLinePunct w:val="0"/>
        <w:autoSpaceDE/>
        <w:autoSpaceDN/>
        <w:bidi w:val="0"/>
        <w:adjustRightInd/>
        <w:snapToGrid/>
        <w:spacing w:before="0" w:after="0"/>
        <w:jc w:val="left"/>
        <w:textAlignment w:val="auto"/>
        <w:rPr>
          <w:rFonts w:hint="eastAsia" w:ascii="仿宋" w:hAnsi="仿宋" w:eastAsia="仿宋" w:cs="仿宋"/>
          <w:color w:val="auto"/>
          <w:sz w:val="24"/>
          <w:szCs w:val="24"/>
          <w:highlight w:val="none"/>
        </w:rPr>
      </w:pPr>
      <w:bookmarkStart w:id="7" w:name="_Toc22800"/>
      <w:bookmarkStart w:id="8" w:name="_Toc2019"/>
      <w:r>
        <w:rPr>
          <w:rFonts w:hint="eastAsia" w:ascii="仿宋" w:hAnsi="仿宋" w:eastAsia="仿宋" w:cs="仿宋"/>
          <w:color w:val="auto"/>
          <w:sz w:val="24"/>
          <w:szCs w:val="24"/>
          <w:highlight w:val="none"/>
        </w:rPr>
        <w:t>三、磋商文件的获取</w:t>
      </w:r>
      <w:bookmarkEnd w:id="7"/>
      <w:bookmarkEnd w:id="8"/>
    </w:p>
    <w:p>
      <w:pPr>
        <w:pStyle w:val="67"/>
        <w:adjustRightInd w:val="0"/>
        <w:snapToGrid w:val="0"/>
        <w:ind w:firstLineChars="17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3.1磋商文件获取时间：</w:t>
      </w:r>
      <w:r>
        <w:rPr>
          <w:rFonts w:hint="eastAsia" w:ascii="仿宋" w:hAnsi="仿宋" w:eastAsia="仿宋" w:cs="仿宋"/>
          <w:b/>
          <w:color w:val="auto"/>
          <w:sz w:val="24"/>
          <w:szCs w:val="24"/>
          <w:highlight w:val="none"/>
          <w:u w:val="single"/>
        </w:rPr>
        <w:t>2026年</w:t>
      </w:r>
      <w:r>
        <w:rPr>
          <w:rFonts w:hint="eastAsia" w:ascii="仿宋" w:hAnsi="仿宋" w:eastAsia="仿宋" w:cs="仿宋"/>
          <w:b/>
          <w:color w:val="auto"/>
          <w:sz w:val="24"/>
          <w:szCs w:val="24"/>
          <w:highlight w:val="none"/>
          <w:u w:val="single"/>
          <w:lang w:val="en-US" w:eastAsia="zh-CN"/>
        </w:rPr>
        <w:t>8</w:t>
      </w:r>
      <w:r>
        <w:rPr>
          <w:rFonts w:hint="eastAsia" w:ascii="仿宋" w:hAnsi="仿宋" w:eastAsia="仿宋" w:cs="仿宋"/>
          <w:b/>
          <w:color w:val="auto"/>
          <w:sz w:val="24"/>
          <w:szCs w:val="24"/>
          <w:highlight w:val="none"/>
          <w:u w:val="single"/>
        </w:rPr>
        <w:t>月</w:t>
      </w:r>
      <w:r>
        <w:rPr>
          <w:rFonts w:hint="eastAsia" w:ascii="仿宋" w:hAnsi="仿宋" w:eastAsia="仿宋" w:cs="仿宋"/>
          <w:b/>
          <w:color w:val="auto"/>
          <w:sz w:val="24"/>
          <w:szCs w:val="24"/>
          <w:highlight w:val="none"/>
          <w:u w:val="single"/>
          <w:lang w:val="en-US" w:eastAsia="zh-CN"/>
        </w:rPr>
        <w:t>18</w:t>
      </w:r>
      <w:r>
        <w:rPr>
          <w:rFonts w:hint="eastAsia" w:ascii="仿宋" w:hAnsi="仿宋" w:eastAsia="仿宋" w:cs="仿宋"/>
          <w:b/>
          <w:color w:val="auto"/>
          <w:sz w:val="24"/>
          <w:szCs w:val="24"/>
          <w:highlight w:val="none"/>
          <w:u w:val="single"/>
        </w:rPr>
        <w:t>日至2026年</w:t>
      </w:r>
      <w:r>
        <w:rPr>
          <w:rFonts w:hint="eastAsia" w:ascii="仿宋" w:hAnsi="仿宋" w:eastAsia="仿宋" w:cs="仿宋"/>
          <w:b/>
          <w:color w:val="auto"/>
          <w:sz w:val="24"/>
          <w:szCs w:val="24"/>
          <w:highlight w:val="none"/>
          <w:u w:val="single"/>
          <w:lang w:val="en-US" w:eastAsia="zh-CN"/>
        </w:rPr>
        <w:t>8</w:t>
      </w:r>
      <w:r>
        <w:rPr>
          <w:rFonts w:hint="eastAsia" w:ascii="仿宋" w:hAnsi="仿宋" w:eastAsia="仿宋" w:cs="仿宋"/>
          <w:b/>
          <w:color w:val="auto"/>
          <w:sz w:val="24"/>
          <w:szCs w:val="24"/>
          <w:highlight w:val="none"/>
          <w:u w:val="single"/>
        </w:rPr>
        <w:t>月</w:t>
      </w:r>
      <w:r>
        <w:rPr>
          <w:rFonts w:hint="eastAsia" w:ascii="仿宋" w:hAnsi="仿宋" w:eastAsia="仿宋" w:cs="仿宋"/>
          <w:b/>
          <w:color w:val="auto"/>
          <w:sz w:val="24"/>
          <w:szCs w:val="24"/>
          <w:highlight w:val="none"/>
          <w:u w:val="single"/>
          <w:lang w:val="en-US" w:eastAsia="zh-CN"/>
        </w:rPr>
        <w:t>20</w:t>
      </w:r>
      <w:r>
        <w:rPr>
          <w:rFonts w:hint="eastAsia" w:ascii="仿宋" w:hAnsi="仿宋" w:eastAsia="仿宋" w:cs="仿宋"/>
          <w:b/>
          <w:color w:val="auto"/>
          <w:sz w:val="24"/>
          <w:szCs w:val="24"/>
          <w:highlight w:val="none"/>
          <w:u w:val="single"/>
        </w:rPr>
        <w:t>日，</w:t>
      </w:r>
      <w:r>
        <w:rPr>
          <w:rFonts w:hint="eastAsia" w:ascii="仿宋" w:hAnsi="仿宋" w:eastAsia="仿宋" w:cs="仿宋"/>
          <w:color w:val="auto"/>
          <w:sz w:val="24"/>
          <w:szCs w:val="24"/>
          <w:highlight w:val="none"/>
        </w:rPr>
        <w:t>上午</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时至</w:t>
      </w:r>
      <w:r>
        <w:rPr>
          <w:rFonts w:hint="eastAsia" w:ascii="仿宋" w:hAnsi="仿宋" w:eastAsia="仿宋" w:cs="仿宋"/>
          <w:color w:val="auto"/>
          <w:sz w:val="24"/>
          <w:szCs w:val="24"/>
          <w:highlight w:val="none"/>
          <w:lang w:val="en-US" w:eastAsia="zh-CN"/>
        </w:rPr>
        <w:t>12</w:t>
      </w:r>
      <w:r>
        <w:rPr>
          <w:rFonts w:hint="eastAsia" w:ascii="仿宋" w:hAnsi="仿宋" w:eastAsia="仿宋" w:cs="仿宋"/>
          <w:color w:val="auto"/>
          <w:sz w:val="24"/>
          <w:szCs w:val="24"/>
          <w:highlight w:val="none"/>
        </w:rPr>
        <w:t>时，下午</w:t>
      </w:r>
      <w:r>
        <w:rPr>
          <w:rFonts w:hint="eastAsia" w:ascii="仿宋" w:hAnsi="仿宋" w:eastAsia="仿宋" w:cs="仿宋"/>
          <w:color w:val="auto"/>
          <w:sz w:val="24"/>
          <w:szCs w:val="24"/>
          <w:highlight w:val="none"/>
          <w:lang w:val="en-US" w:eastAsia="zh-CN"/>
        </w:rPr>
        <w:t>14</w:t>
      </w:r>
      <w:r>
        <w:rPr>
          <w:rFonts w:hint="eastAsia" w:ascii="仿宋" w:hAnsi="仿宋" w:eastAsia="仿宋" w:cs="仿宋"/>
          <w:color w:val="auto"/>
          <w:sz w:val="24"/>
          <w:szCs w:val="24"/>
          <w:highlight w:val="none"/>
        </w:rPr>
        <w:t>时至</w:t>
      </w:r>
      <w:r>
        <w:rPr>
          <w:rFonts w:hint="eastAsia" w:ascii="仿宋" w:hAnsi="仿宋" w:eastAsia="仿宋" w:cs="仿宋"/>
          <w:color w:val="auto"/>
          <w:sz w:val="24"/>
          <w:szCs w:val="24"/>
          <w:highlight w:val="none"/>
          <w:lang w:val="en-US" w:eastAsia="zh-CN"/>
        </w:rPr>
        <w:t>17</w:t>
      </w:r>
      <w:r>
        <w:rPr>
          <w:rFonts w:hint="eastAsia" w:ascii="仿宋" w:hAnsi="仿宋" w:eastAsia="仿宋" w:cs="仿宋"/>
          <w:color w:val="auto"/>
          <w:sz w:val="24"/>
          <w:szCs w:val="24"/>
          <w:highlight w:val="none"/>
        </w:rPr>
        <w:t>时（北京时间，下同）。</w:t>
      </w:r>
    </w:p>
    <w:p>
      <w:pPr>
        <w:pStyle w:val="11"/>
        <w:snapToGrid w:val="0"/>
        <w:spacing w:line="360" w:lineRule="auto"/>
        <w:ind w:firstLine="480" w:firstLineChars="200"/>
        <w:jc w:val="both"/>
        <w:rPr>
          <w:rFonts w:hint="eastAsia" w:ascii="仿宋" w:hAnsi="仿宋" w:eastAsia="仿宋" w:cs="仿宋"/>
          <w:color w:val="auto"/>
          <w:sz w:val="24"/>
          <w:highlight w:val="none"/>
        </w:rPr>
      </w:pPr>
      <w:bookmarkStart w:id="9" w:name="_Toc32115"/>
      <w:r>
        <w:rPr>
          <w:rFonts w:hint="eastAsia" w:ascii="仿宋" w:hAnsi="仿宋" w:eastAsia="仿宋" w:cs="仿宋"/>
          <w:color w:val="auto"/>
          <w:sz w:val="24"/>
          <w:highlight w:val="none"/>
        </w:rPr>
        <w:t>3.2 拟报名参加本项目的供应商，在人保集团人保e采官网（https://ec.picc.com/）上完成注册并报名登记后（人保e采官网注册咨询电话010-60649137），请通过“人保e采”外网门户获取磋商文件。（按照各采购人获取文件要求如实填写）</w:t>
      </w:r>
    </w:p>
    <w:p>
      <w:pPr>
        <w:pStyle w:val="4"/>
        <w:keepNext/>
        <w:keepLines/>
        <w:pageBreakBefore w:val="0"/>
        <w:widowControl w:val="0"/>
        <w:kinsoku/>
        <w:wordWrap/>
        <w:overflowPunct/>
        <w:topLinePunct w:val="0"/>
        <w:autoSpaceDE/>
        <w:autoSpaceDN/>
        <w:bidi w:val="0"/>
        <w:adjustRightInd/>
        <w:snapToGrid/>
        <w:spacing w:before="0" w:after="0"/>
        <w:jc w:val="left"/>
        <w:textAlignment w:val="auto"/>
        <w:rPr>
          <w:rFonts w:hint="eastAsia" w:ascii="仿宋" w:hAnsi="仿宋" w:eastAsia="仿宋" w:cs="仿宋"/>
          <w:color w:val="auto"/>
          <w:sz w:val="24"/>
          <w:szCs w:val="24"/>
          <w:highlight w:val="none"/>
        </w:rPr>
      </w:pPr>
      <w:bookmarkStart w:id="10" w:name="_Toc30066"/>
      <w:r>
        <w:rPr>
          <w:rFonts w:hint="eastAsia" w:ascii="仿宋" w:hAnsi="仿宋" w:eastAsia="仿宋" w:cs="仿宋"/>
          <w:color w:val="auto"/>
          <w:sz w:val="24"/>
          <w:szCs w:val="24"/>
          <w:highlight w:val="none"/>
        </w:rPr>
        <w:t>四、响应文件的递交</w:t>
      </w:r>
      <w:bookmarkEnd w:id="9"/>
      <w:bookmarkEnd w:id="10"/>
    </w:p>
    <w:p>
      <w:pPr>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4.1响应文件递交截止时间：</w:t>
      </w:r>
      <w:r>
        <w:rPr>
          <w:rFonts w:hint="eastAsia" w:ascii="仿宋" w:hAnsi="仿宋" w:eastAsia="仿宋" w:cs="仿宋"/>
          <w:b/>
          <w:bCs/>
          <w:color w:val="auto"/>
          <w:highlight w:val="none"/>
          <w:u w:val="single"/>
        </w:rPr>
        <w:t>2026年</w:t>
      </w:r>
      <w:r>
        <w:rPr>
          <w:rFonts w:hint="eastAsia" w:ascii="仿宋" w:hAnsi="仿宋" w:eastAsia="仿宋" w:cs="仿宋"/>
          <w:b/>
          <w:bCs/>
          <w:color w:val="auto"/>
          <w:highlight w:val="none"/>
          <w:u w:val="single"/>
          <w:lang w:val="en-US" w:eastAsia="zh-CN"/>
        </w:rPr>
        <w:t>8</w:t>
      </w:r>
      <w:r>
        <w:rPr>
          <w:rFonts w:hint="eastAsia" w:ascii="仿宋" w:hAnsi="仿宋" w:eastAsia="仿宋" w:cs="仿宋"/>
          <w:b/>
          <w:bCs/>
          <w:color w:val="auto"/>
          <w:highlight w:val="none"/>
          <w:u w:val="single"/>
        </w:rPr>
        <w:t>月</w:t>
      </w:r>
      <w:r>
        <w:rPr>
          <w:rFonts w:hint="eastAsia" w:ascii="仿宋" w:hAnsi="仿宋" w:eastAsia="仿宋" w:cs="仿宋"/>
          <w:b/>
          <w:bCs/>
          <w:color w:val="auto"/>
          <w:highlight w:val="none"/>
          <w:u w:val="single"/>
          <w:lang w:val="en-US" w:eastAsia="zh-CN"/>
        </w:rPr>
        <w:t>26</w:t>
      </w:r>
      <w:r>
        <w:rPr>
          <w:rFonts w:hint="eastAsia" w:ascii="仿宋" w:hAnsi="仿宋" w:eastAsia="仿宋" w:cs="仿宋"/>
          <w:b/>
          <w:bCs/>
          <w:color w:val="auto"/>
          <w:highlight w:val="none"/>
          <w:u w:val="single"/>
        </w:rPr>
        <w:t>日</w:t>
      </w:r>
      <w:r>
        <w:rPr>
          <w:rFonts w:hint="eastAsia" w:ascii="仿宋" w:hAnsi="仿宋" w:eastAsia="仿宋" w:cs="仿宋"/>
          <w:b/>
          <w:bCs/>
          <w:color w:val="auto"/>
          <w:highlight w:val="none"/>
          <w:u w:val="single"/>
          <w:lang w:val="en-US" w:eastAsia="zh-CN"/>
        </w:rPr>
        <w:t>14</w:t>
      </w:r>
      <w:r>
        <w:rPr>
          <w:rFonts w:hint="eastAsia" w:ascii="仿宋" w:hAnsi="仿宋" w:eastAsia="仿宋" w:cs="仿宋"/>
          <w:b/>
          <w:bCs/>
          <w:color w:val="auto"/>
          <w:highlight w:val="none"/>
          <w:u w:val="single"/>
        </w:rPr>
        <w:t>时</w:t>
      </w:r>
      <w:r>
        <w:rPr>
          <w:rFonts w:hint="eastAsia" w:ascii="仿宋" w:hAnsi="仿宋" w:eastAsia="仿宋" w:cs="仿宋"/>
          <w:b/>
          <w:bCs/>
          <w:color w:val="auto"/>
          <w:highlight w:val="none"/>
          <w:u w:val="single"/>
          <w:lang w:val="en-US" w:eastAsia="zh-CN"/>
        </w:rPr>
        <w:t>00</w:t>
      </w:r>
      <w:r>
        <w:rPr>
          <w:rFonts w:hint="eastAsia" w:ascii="仿宋" w:hAnsi="仿宋" w:eastAsia="仿宋" w:cs="仿宋"/>
          <w:b/>
          <w:bCs/>
          <w:color w:val="auto"/>
          <w:highlight w:val="none"/>
          <w:u w:val="single"/>
        </w:rPr>
        <w:t>分00秒</w:t>
      </w:r>
      <w:r>
        <w:rPr>
          <w:rFonts w:hint="eastAsia" w:ascii="仿宋" w:hAnsi="仿宋" w:eastAsia="仿宋" w:cs="仿宋"/>
          <w:color w:val="auto"/>
          <w:highlight w:val="none"/>
        </w:rPr>
        <w:t>。</w:t>
      </w:r>
    </w:p>
    <w:p>
      <w:pPr>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4.2响应文件的递交：</w:t>
      </w:r>
      <w:r>
        <w:rPr>
          <w:rFonts w:hint="eastAsia" w:ascii="仿宋" w:hAnsi="仿宋" w:eastAsia="仿宋" w:cs="仿宋"/>
          <w:color w:val="auto"/>
          <w:sz w:val="24"/>
          <w:highlight w:val="none"/>
        </w:rPr>
        <w:t>须现场递交至成都市都江堰市都江堰大道207号</w:t>
      </w:r>
      <w:r>
        <w:rPr>
          <w:rFonts w:hint="eastAsia" w:ascii="仿宋" w:hAnsi="仿宋" w:eastAsia="仿宋" w:cs="仿宋"/>
          <w:color w:val="auto"/>
          <w:highlight w:val="none"/>
        </w:rPr>
        <w:t>中国人民财产保险股份有限公司都江堰支公司</w:t>
      </w:r>
      <w:r>
        <w:rPr>
          <w:rFonts w:hint="eastAsia" w:ascii="仿宋" w:hAnsi="仿宋" w:eastAsia="仿宋" w:cs="仿宋"/>
          <w:color w:val="auto"/>
          <w:highlight w:val="none"/>
          <w:lang w:val="en-US" w:eastAsia="zh-CN"/>
        </w:rPr>
        <w:t>6楼</w:t>
      </w:r>
      <w:r>
        <w:rPr>
          <w:rFonts w:hint="eastAsia" w:ascii="仿宋" w:hAnsi="仿宋" w:eastAsia="仿宋" w:cs="仿宋"/>
          <w:color w:val="auto"/>
          <w:sz w:val="24"/>
          <w:highlight w:val="none"/>
          <w:lang w:val="en-US" w:eastAsia="zh-CN"/>
        </w:rPr>
        <w:t>会议室</w:t>
      </w:r>
      <w:r>
        <w:rPr>
          <w:rFonts w:hint="eastAsia" w:ascii="仿宋" w:hAnsi="仿宋" w:eastAsia="仿宋" w:cs="仿宋"/>
          <w:color w:val="auto"/>
          <w:sz w:val="24"/>
          <w:highlight w:val="none"/>
        </w:rPr>
        <w:t>，</w:t>
      </w:r>
      <w:r>
        <w:rPr>
          <w:rFonts w:hint="eastAsia" w:ascii="仿宋" w:hAnsi="仿宋" w:eastAsia="仿宋" w:cs="仿宋"/>
          <w:b/>
          <w:bCs/>
          <w:color w:val="auto"/>
          <w:highlight w:val="none"/>
        </w:rPr>
        <w:t>逾期送达或者未送达指定地点或者未按照磋商文件要求封装的纸质响应文件不予接收。</w:t>
      </w:r>
    </w:p>
    <w:p>
      <w:pPr>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4</w:t>
      </w:r>
      <w:r>
        <w:rPr>
          <w:rFonts w:hint="eastAsia" w:ascii="仿宋" w:hAnsi="仿宋" w:eastAsia="仿宋" w:cs="仿宋"/>
          <w:color w:val="auto"/>
          <w:kern w:val="2"/>
          <w:highlight w:val="none"/>
        </w:rPr>
        <w:t>.3本项目将于上述同一时间、地点进行磋商，采购人邀请供应商代</w:t>
      </w:r>
      <w:bookmarkStart w:id="229" w:name="_GoBack"/>
      <w:bookmarkEnd w:id="229"/>
      <w:r>
        <w:rPr>
          <w:rFonts w:hint="eastAsia" w:ascii="仿宋" w:hAnsi="仿宋" w:eastAsia="仿宋" w:cs="仿宋"/>
          <w:color w:val="auto"/>
          <w:kern w:val="2"/>
          <w:highlight w:val="none"/>
        </w:rPr>
        <w:t>表准时参加。</w:t>
      </w:r>
    </w:p>
    <w:p>
      <w:pPr>
        <w:spacing w:line="360" w:lineRule="auto"/>
        <w:ind w:firstLine="480" w:firstLineChars="200"/>
        <w:textAlignment w:val="baseline"/>
        <w:rPr>
          <w:rFonts w:hint="eastAsia" w:ascii="仿宋" w:hAnsi="仿宋" w:eastAsia="仿宋" w:cs="仿宋"/>
          <w:b/>
          <w:bCs/>
          <w:color w:val="auto"/>
          <w:highlight w:val="none"/>
        </w:rPr>
      </w:pPr>
      <w:r>
        <w:rPr>
          <w:rFonts w:hint="eastAsia" w:ascii="仿宋" w:hAnsi="仿宋" w:eastAsia="仿宋" w:cs="仿宋"/>
          <w:color w:val="auto"/>
          <w:highlight w:val="none"/>
        </w:rPr>
        <w:t>4</w:t>
      </w:r>
      <w:r>
        <w:rPr>
          <w:rFonts w:hint="eastAsia" w:ascii="仿宋" w:hAnsi="仿宋" w:eastAsia="仿宋" w:cs="仿宋"/>
          <w:color w:val="auto"/>
          <w:kern w:val="2"/>
          <w:highlight w:val="none"/>
        </w:rPr>
        <w:t>.4</w:t>
      </w:r>
      <w:r>
        <w:rPr>
          <w:rFonts w:hint="eastAsia" w:ascii="仿宋" w:hAnsi="仿宋" w:eastAsia="仿宋" w:cs="仿宋"/>
          <w:b/>
          <w:bCs/>
          <w:color w:val="auto"/>
          <w:kern w:val="2"/>
          <w:highlight w:val="none"/>
        </w:rPr>
        <w:t>出现以下情形之一时，采购人不予接收</w:t>
      </w:r>
      <w:r>
        <w:rPr>
          <w:rFonts w:hint="eastAsia" w:ascii="仿宋" w:hAnsi="仿宋" w:eastAsia="仿宋" w:cs="仿宋"/>
          <w:b/>
          <w:bCs/>
          <w:color w:val="auto"/>
          <w:kern w:val="2"/>
          <w:highlight w:val="none"/>
          <w:lang w:val="en-US" w:eastAsia="zh-CN"/>
        </w:rPr>
        <w:t>响应</w:t>
      </w:r>
      <w:r>
        <w:rPr>
          <w:rFonts w:hint="eastAsia" w:ascii="仿宋" w:hAnsi="仿宋" w:eastAsia="仿宋" w:cs="仿宋"/>
          <w:b/>
          <w:bCs/>
          <w:color w:val="auto"/>
          <w:kern w:val="2"/>
          <w:highlight w:val="none"/>
        </w:rPr>
        <w:t>文件：</w:t>
      </w:r>
    </w:p>
    <w:p>
      <w:pPr>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4</w:t>
      </w:r>
      <w:r>
        <w:rPr>
          <w:rFonts w:hint="eastAsia" w:ascii="仿宋" w:hAnsi="仿宋" w:eastAsia="仿宋" w:cs="仿宋"/>
          <w:color w:val="auto"/>
          <w:kern w:val="2"/>
          <w:highlight w:val="none"/>
        </w:rPr>
        <w:t>.4.1 逾期送达或者未送达指定地点的；</w:t>
      </w:r>
    </w:p>
    <w:p>
      <w:pPr>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4</w:t>
      </w:r>
      <w:r>
        <w:rPr>
          <w:rFonts w:hint="eastAsia" w:ascii="仿宋" w:hAnsi="仿宋" w:eastAsia="仿宋" w:cs="仿宋"/>
          <w:color w:val="auto"/>
          <w:kern w:val="2"/>
          <w:highlight w:val="none"/>
        </w:rPr>
        <w:t>.4.2 未按照响应文件要求密封的；</w:t>
      </w:r>
    </w:p>
    <w:p>
      <w:pPr>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4</w:t>
      </w:r>
      <w:r>
        <w:rPr>
          <w:rFonts w:hint="eastAsia" w:ascii="仿宋" w:hAnsi="仿宋" w:eastAsia="仿宋" w:cs="仿宋"/>
          <w:color w:val="auto"/>
          <w:kern w:val="2"/>
          <w:highlight w:val="none"/>
        </w:rPr>
        <w:t>.4.3 未按照磋商邀请要求获取磋商文件的。</w:t>
      </w:r>
    </w:p>
    <w:p>
      <w:pPr>
        <w:pStyle w:val="4"/>
        <w:keepNext/>
        <w:keepLines/>
        <w:pageBreakBefore w:val="0"/>
        <w:widowControl w:val="0"/>
        <w:kinsoku/>
        <w:wordWrap/>
        <w:overflowPunct/>
        <w:topLinePunct w:val="0"/>
        <w:autoSpaceDE/>
        <w:autoSpaceDN/>
        <w:bidi w:val="0"/>
        <w:adjustRightInd/>
        <w:snapToGrid/>
        <w:spacing w:before="0" w:after="0"/>
        <w:jc w:val="left"/>
        <w:textAlignment w:val="auto"/>
        <w:rPr>
          <w:rFonts w:hint="eastAsia" w:ascii="仿宋" w:hAnsi="仿宋" w:eastAsia="仿宋" w:cs="仿宋"/>
          <w:color w:val="auto"/>
          <w:sz w:val="24"/>
          <w:szCs w:val="24"/>
          <w:highlight w:val="none"/>
        </w:rPr>
      </w:pPr>
      <w:bookmarkStart w:id="11" w:name="_Toc874"/>
      <w:bookmarkStart w:id="12" w:name="_Toc26231"/>
      <w:r>
        <w:rPr>
          <w:rFonts w:hint="eastAsia" w:ascii="仿宋" w:hAnsi="仿宋" w:eastAsia="仿宋" w:cs="仿宋"/>
          <w:color w:val="auto"/>
          <w:sz w:val="24"/>
          <w:szCs w:val="24"/>
          <w:highlight w:val="none"/>
        </w:rPr>
        <w:t>五、发布公告的媒介</w:t>
      </w:r>
      <w:bookmarkEnd w:id="11"/>
      <w:bookmarkEnd w:id="12"/>
    </w:p>
    <w:p>
      <w:pPr>
        <w:keepNext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本项目磋商公告同时在</w:t>
      </w:r>
      <w:r>
        <w:rPr>
          <w:rFonts w:hint="eastAsia" w:ascii="仿宋" w:hAnsi="仿宋" w:eastAsia="仿宋" w:cs="仿宋"/>
          <w:color w:val="auto"/>
          <w:highlight w:val="none"/>
          <w:u w:val="single"/>
        </w:rPr>
        <w:t>“人保e采”外网门户（https://ec.picc.com）、金采网</w:t>
      </w:r>
      <w:r>
        <w:rPr>
          <w:rFonts w:hint="eastAsia" w:ascii="仿宋" w:hAnsi="仿宋" w:eastAsia="仿宋" w:cs="仿宋"/>
          <w:color w:val="auto"/>
          <w:highlight w:val="none"/>
          <w:u w:val="single"/>
          <w:lang w:eastAsia="zh-CN"/>
        </w:rPr>
        <w:t>（</w:t>
      </w:r>
      <w:r>
        <w:rPr>
          <w:rFonts w:hint="eastAsia" w:ascii="仿宋" w:hAnsi="仿宋" w:eastAsia="仿宋" w:cs="仿宋"/>
          <w:color w:val="auto"/>
          <w:highlight w:val="none"/>
          <w:u w:val="single"/>
        </w:rPr>
        <w:t>www.cfcpn.com</w:t>
      </w:r>
      <w:r>
        <w:rPr>
          <w:rFonts w:hint="eastAsia" w:ascii="仿宋" w:hAnsi="仿宋" w:eastAsia="仿宋" w:cs="仿宋"/>
          <w:color w:val="auto"/>
          <w:highlight w:val="none"/>
          <w:u w:val="single"/>
          <w:lang w:eastAsia="zh-CN"/>
        </w:rPr>
        <w:t>）</w:t>
      </w:r>
      <w:r>
        <w:rPr>
          <w:rFonts w:hint="eastAsia" w:ascii="仿宋" w:hAnsi="仿宋" w:eastAsia="仿宋" w:cs="仿宋"/>
          <w:color w:val="auto"/>
          <w:highlight w:val="none"/>
        </w:rPr>
        <w:t>上发布，</w:t>
      </w:r>
      <w:r>
        <w:rPr>
          <w:rFonts w:hint="eastAsia" w:ascii="仿宋" w:hAnsi="仿宋" w:eastAsia="仿宋" w:cs="仿宋"/>
          <w:color w:val="auto"/>
          <w:sz w:val="24"/>
          <w:highlight w:val="none"/>
        </w:rPr>
        <w:t>除上述外，</w:t>
      </w:r>
      <w:r>
        <w:rPr>
          <w:rFonts w:hint="eastAsia" w:ascii="仿宋" w:hAnsi="仿宋" w:eastAsia="仿宋" w:cs="仿宋"/>
          <w:color w:val="auto"/>
          <w:sz w:val="24"/>
          <w:highlight w:val="none"/>
          <w:lang w:eastAsia="zh-CN"/>
        </w:rPr>
        <w:t>采购人</w:t>
      </w:r>
      <w:r>
        <w:rPr>
          <w:rFonts w:hint="eastAsia" w:ascii="仿宋" w:hAnsi="仿宋" w:eastAsia="仿宋" w:cs="仿宋"/>
          <w:color w:val="auto"/>
          <w:sz w:val="24"/>
          <w:highlight w:val="none"/>
        </w:rPr>
        <w:t>不在其他任何网站、论坛等媒介上发布任何采购信息，其他任何媒介上转载的、以</w:t>
      </w:r>
      <w:r>
        <w:rPr>
          <w:rFonts w:hint="eastAsia" w:ascii="仿宋" w:hAnsi="仿宋" w:eastAsia="仿宋" w:cs="仿宋"/>
          <w:color w:val="auto"/>
          <w:sz w:val="24"/>
          <w:highlight w:val="none"/>
          <w:lang w:eastAsia="zh-CN"/>
        </w:rPr>
        <w:t>采购人</w:t>
      </w:r>
      <w:r>
        <w:rPr>
          <w:rFonts w:hint="eastAsia" w:ascii="仿宋" w:hAnsi="仿宋" w:eastAsia="仿宋" w:cs="仿宋"/>
          <w:color w:val="auto"/>
          <w:sz w:val="24"/>
          <w:highlight w:val="none"/>
        </w:rPr>
        <w:t>为采购主体的采购信息均为非法转载，均为无效。对于非法转载、篡改采购公告信息的组织或个人，</w:t>
      </w:r>
      <w:r>
        <w:rPr>
          <w:rFonts w:hint="eastAsia" w:ascii="仿宋" w:hAnsi="仿宋" w:eastAsia="仿宋" w:cs="仿宋"/>
          <w:color w:val="auto"/>
          <w:sz w:val="24"/>
          <w:highlight w:val="none"/>
          <w:lang w:eastAsia="zh-CN"/>
        </w:rPr>
        <w:t>采购人</w:t>
      </w:r>
      <w:r>
        <w:rPr>
          <w:rFonts w:hint="eastAsia" w:ascii="仿宋" w:hAnsi="仿宋" w:eastAsia="仿宋" w:cs="仿宋"/>
          <w:color w:val="auto"/>
          <w:sz w:val="24"/>
          <w:highlight w:val="none"/>
        </w:rPr>
        <w:t>保留追究其法律责任的权利。</w:t>
      </w:r>
    </w:p>
    <w:p>
      <w:pPr>
        <w:pStyle w:val="4"/>
        <w:keepNext w:val="0"/>
        <w:keepLines/>
        <w:pageBreakBefore w:val="0"/>
        <w:widowControl w:val="0"/>
        <w:kinsoku/>
        <w:wordWrap/>
        <w:overflowPunct/>
        <w:topLinePunct w:val="0"/>
        <w:autoSpaceDE/>
        <w:autoSpaceDN/>
        <w:bidi w:val="0"/>
        <w:adjustRightInd/>
        <w:snapToGrid/>
        <w:spacing w:before="0" w:after="0"/>
        <w:jc w:val="left"/>
        <w:textAlignment w:val="auto"/>
        <w:rPr>
          <w:rFonts w:hint="eastAsia" w:ascii="仿宋" w:hAnsi="仿宋" w:eastAsia="仿宋" w:cs="仿宋"/>
          <w:color w:val="auto"/>
          <w:sz w:val="24"/>
          <w:szCs w:val="24"/>
          <w:highlight w:val="none"/>
        </w:rPr>
      </w:pPr>
      <w:bookmarkStart w:id="13" w:name="_Toc30596"/>
      <w:bookmarkStart w:id="14" w:name="_Toc17499"/>
      <w:r>
        <w:rPr>
          <w:rFonts w:hint="eastAsia" w:ascii="仿宋" w:hAnsi="仿宋" w:eastAsia="仿宋" w:cs="仿宋"/>
          <w:color w:val="auto"/>
          <w:sz w:val="24"/>
          <w:szCs w:val="24"/>
          <w:highlight w:val="none"/>
        </w:rPr>
        <w:t>六、联系方式</w:t>
      </w:r>
      <w:bookmarkEnd w:id="13"/>
      <w:bookmarkEnd w:id="14"/>
    </w:p>
    <w:p>
      <w:pPr>
        <w:keepNext w:val="0"/>
        <w:pageBreakBefore w:val="0"/>
        <w:widowControl w:val="0"/>
        <w:tabs>
          <w:tab w:val="left" w:pos="-105"/>
          <w:tab w:val="left" w:pos="420"/>
          <w:tab w:val="left" w:pos="630"/>
          <w:tab w:val="left" w:pos="1155"/>
          <w:tab w:val="left" w:pos="1890"/>
          <w:tab w:val="left" w:pos="3150"/>
          <w:tab w:val="left" w:pos="3780"/>
        </w:tabs>
        <w:kinsoku/>
        <w:wordWrap/>
        <w:overflowPunct/>
        <w:topLinePunct w:val="0"/>
        <w:autoSpaceDE/>
        <w:autoSpaceDN/>
        <w:bidi w:val="0"/>
        <w:adjustRightInd/>
        <w:spacing w:line="360" w:lineRule="auto"/>
        <w:ind w:firstLine="422" w:firstLineChars="175"/>
        <w:rPr>
          <w:rFonts w:hint="eastAsia" w:ascii="仿宋" w:hAnsi="仿宋" w:eastAsia="仿宋" w:cs="仿宋"/>
          <w:b/>
          <w:bCs/>
          <w:color w:val="auto"/>
          <w:highlight w:val="none"/>
        </w:rPr>
      </w:pPr>
      <w:r>
        <w:rPr>
          <w:rFonts w:hint="eastAsia" w:ascii="仿宋" w:hAnsi="仿宋" w:eastAsia="仿宋" w:cs="仿宋"/>
          <w:b/>
          <w:bCs/>
          <w:color w:val="auto"/>
          <w:highlight w:val="none"/>
        </w:rPr>
        <w:t>采购人：</w:t>
      </w:r>
      <w:r>
        <w:rPr>
          <w:rFonts w:hint="eastAsia" w:ascii="仿宋" w:hAnsi="仿宋" w:eastAsia="仿宋" w:cs="仿宋"/>
          <w:b/>
          <w:bCs/>
          <w:color w:val="auto"/>
          <w:highlight w:val="none"/>
          <w:lang w:eastAsia="zh-CN"/>
        </w:rPr>
        <w:t>中国人民财产保险股份有限公司都江堰支公司</w:t>
      </w:r>
    </w:p>
    <w:p>
      <w:pPr>
        <w:keepNext w:val="0"/>
        <w:pageBreakBefore w:val="0"/>
        <w:widowControl w:val="0"/>
        <w:kinsoku/>
        <w:wordWrap/>
        <w:overflowPunct/>
        <w:topLinePunct w:val="0"/>
        <w:autoSpaceDE/>
        <w:autoSpaceDN/>
        <w:bidi w:val="0"/>
        <w:adjustRightInd/>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地址：成都市</w:t>
      </w:r>
      <w:r>
        <w:rPr>
          <w:rFonts w:hint="eastAsia" w:ascii="仿宋" w:hAnsi="仿宋" w:eastAsia="仿宋" w:cs="仿宋"/>
          <w:color w:val="auto"/>
          <w:highlight w:val="none"/>
          <w:lang w:eastAsia="zh-CN"/>
        </w:rPr>
        <w:t>都江堰市都江堰大道</w:t>
      </w:r>
      <w:r>
        <w:rPr>
          <w:rFonts w:hint="eastAsia" w:ascii="仿宋" w:hAnsi="仿宋" w:eastAsia="仿宋" w:cs="仿宋"/>
          <w:color w:val="auto"/>
          <w:highlight w:val="none"/>
          <w:lang w:val="en-US" w:eastAsia="zh-CN"/>
        </w:rPr>
        <w:t>207号</w:t>
      </w:r>
    </w:p>
    <w:p>
      <w:pPr>
        <w:keepNext w:val="0"/>
        <w:pageBreakBefore w:val="0"/>
        <w:widowControl w:val="0"/>
        <w:kinsoku/>
        <w:wordWrap/>
        <w:overflowPunct/>
        <w:topLinePunct w:val="0"/>
        <w:autoSpaceDE/>
        <w:autoSpaceDN/>
        <w:bidi w:val="0"/>
        <w:adjustRightInd/>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联系人：邓女士</w:t>
      </w:r>
    </w:p>
    <w:p>
      <w:pPr>
        <w:keepNext w:val="0"/>
        <w:pageBreakBefore w:val="0"/>
        <w:widowControl w:val="0"/>
        <w:kinsoku/>
        <w:wordWrap/>
        <w:overflowPunct/>
        <w:topLinePunct w:val="0"/>
        <w:autoSpaceDE/>
        <w:autoSpaceDN/>
        <w:bidi w:val="0"/>
        <w:adjustRightInd/>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电话：028-87133311</w:t>
      </w:r>
    </w:p>
    <w:p>
      <w:pPr>
        <w:pStyle w:val="2"/>
        <w:rPr>
          <w:rFonts w:hint="eastAsia" w:ascii="仿宋" w:hAnsi="仿宋" w:eastAsia="仿宋" w:cs="仿宋"/>
          <w:color w:val="auto"/>
          <w:highlight w:val="none"/>
        </w:rPr>
      </w:pPr>
    </w:p>
    <w:p>
      <w:pPr>
        <w:spacing w:line="360" w:lineRule="auto"/>
        <w:ind w:firstLine="480" w:firstLineChars="200"/>
        <w:jc w:val="right"/>
        <w:textAlignment w:val="baseline"/>
        <w:rPr>
          <w:rFonts w:hint="eastAsia" w:ascii="仿宋" w:hAnsi="仿宋" w:eastAsia="仿宋" w:cs="仿宋"/>
          <w:color w:val="auto"/>
          <w:highlight w:val="none"/>
        </w:rPr>
      </w:pPr>
    </w:p>
    <w:p>
      <w:pPr>
        <w:snapToGrid w:val="0"/>
        <w:spacing w:line="360" w:lineRule="auto"/>
        <w:ind w:firstLine="480" w:firstLineChars="200"/>
        <w:jc w:val="right"/>
        <w:textAlignment w:val="baseline"/>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采购人：</w:t>
      </w:r>
      <w:r>
        <w:rPr>
          <w:rFonts w:hint="eastAsia" w:ascii="仿宋" w:hAnsi="仿宋" w:eastAsia="仿宋" w:cs="仿宋"/>
          <w:color w:val="auto"/>
          <w:sz w:val="24"/>
          <w:highlight w:val="none"/>
          <w:lang w:eastAsia="zh-CN"/>
        </w:rPr>
        <w:t>中国人民财产保险股份有限公司都江堰支公司</w:t>
      </w:r>
    </w:p>
    <w:p>
      <w:pPr>
        <w:snapToGrid w:val="0"/>
        <w:spacing w:line="360" w:lineRule="auto"/>
        <w:ind w:firstLine="480" w:firstLineChars="200"/>
        <w:jc w:val="right"/>
        <w:textAlignment w:val="baseline"/>
        <w:rPr>
          <w:rFonts w:hint="eastAsia" w:ascii="仿宋" w:hAnsi="仿宋" w:eastAsia="仿宋" w:cs="仿宋"/>
          <w:color w:val="auto"/>
          <w:highlight w:val="none"/>
        </w:rPr>
      </w:pPr>
      <w:r>
        <w:rPr>
          <w:rFonts w:hint="eastAsia" w:ascii="仿宋" w:hAnsi="仿宋" w:eastAsia="仿宋" w:cs="仿宋"/>
          <w:color w:val="auto"/>
          <w:sz w:val="24"/>
          <w:highlight w:val="none"/>
          <w:lang w:val="en-US" w:eastAsia="zh-CN"/>
        </w:rPr>
        <w:t>2026</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rPr>
        <w:t>月</w:t>
      </w:r>
    </w:p>
    <w:p>
      <w:pPr>
        <w:rPr>
          <w:rFonts w:hint="eastAsia" w:ascii="仿宋" w:hAnsi="仿宋" w:eastAsia="仿宋" w:cs="仿宋"/>
          <w:color w:val="auto"/>
          <w:sz w:val="28"/>
          <w:szCs w:val="28"/>
          <w:highlight w:val="none"/>
        </w:rPr>
      </w:pPr>
      <w:bookmarkStart w:id="15" w:name="_Toc16027"/>
      <w:r>
        <w:rPr>
          <w:rFonts w:hint="eastAsia" w:ascii="仿宋" w:hAnsi="仿宋" w:eastAsia="仿宋" w:cs="仿宋"/>
          <w:color w:val="auto"/>
          <w:sz w:val="28"/>
          <w:szCs w:val="28"/>
          <w:highlight w:val="none"/>
        </w:rPr>
        <w:br w:type="page"/>
      </w:r>
    </w:p>
    <w:p>
      <w:pPr>
        <w:pStyle w:val="3"/>
        <w:keepNext/>
        <w:keepLines/>
        <w:pageBreakBefore w:val="0"/>
        <w:widowControl/>
        <w:kinsoku/>
        <w:wordWrap/>
        <w:overflowPunct/>
        <w:topLinePunct w:val="0"/>
        <w:autoSpaceDE/>
        <w:autoSpaceDN/>
        <w:bidi w:val="0"/>
        <w:adjustRightInd/>
        <w:snapToGrid/>
        <w:spacing w:before="0" w:after="0"/>
        <w:ind w:left="0" w:firstLine="0"/>
        <w:textAlignment w:val="auto"/>
        <w:rPr>
          <w:rFonts w:hint="eastAsia" w:ascii="仿宋" w:hAnsi="仿宋" w:eastAsia="仿宋" w:cs="仿宋"/>
          <w:color w:val="auto"/>
          <w:sz w:val="28"/>
          <w:szCs w:val="28"/>
          <w:highlight w:val="none"/>
        </w:rPr>
      </w:pPr>
      <w:bookmarkStart w:id="16" w:name="_Toc19848"/>
      <w:r>
        <w:rPr>
          <w:rFonts w:hint="eastAsia" w:ascii="仿宋" w:hAnsi="仿宋" w:eastAsia="仿宋" w:cs="仿宋"/>
          <w:color w:val="auto"/>
          <w:sz w:val="28"/>
          <w:szCs w:val="28"/>
          <w:highlight w:val="none"/>
        </w:rPr>
        <w:t>第二章 供应商须知</w:t>
      </w:r>
      <w:bookmarkEnd w:id="15"/>
      <w:bookmarkEnd w:id="16"/>
    </w:p>
    <w:p>
      <w:pPr>
        <w:pStyle w:val="4"/>
        <w:adjustRightInd w:val="0"/>
        <w:snapToGrid w:val="0"/>
        <w:spacing w:before="0" w:after="0"/>
        <w:rPr>
          <w:rFonts w:hint="eastAsia" w:ascii="仿宋" w:hAnsi="仿宋" w:eastAsia="仿宋" w:cs="仿宋"/>
          <w:color w:val="auto"/>
          <w:sz w:val="24"/>
          <w:szCs w:val="24"/>
          <w:highlight w:val="none"/>
        </w:rPr>
      </w:pPr>
      <w:bookmarkStart w:id="17" w:name="_Toc26720"/>
      <w:r>
        <w:rPr>
          <w:rFonts w:hint="eastAsia" w:ascii="仿宋" w:hAnsi="仿宋" w:eastAsia="仿宋" w:cs="仿宋"/>
          <w:color w:val="auto"/>
          <w:sz w:val="24"/>
          <w:szCs w:val="24"/>
          <w:highlight w:val="none"/>
        </w:rPr>
        <w:t>一、供应商须知前附表</w:t>
      </w:r>
      <w:bookmarkEnd w:id="17"/>
    </w:p>
    <w:tbl>
      <w:tblPr>
        <w:tblStyle w:val="30"/>
        <w:tblW w:w="93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634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  目</w:t>
            </w:r>
          </w:p>
        </w:tc>
        <w:tc>
          <w:tcPr>
            <w:tcW w:w="6347"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采购范围</w:t>
            </w:r>
          </w:p>
        </w:tc>
        <w:tc>
          <w:tcPr>
            <w:tcW w:w="6347"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详见</w:t>
            </w:r>
            <w:r>
              <w:rPr>
                <w:rFonts w:hint="eastAsia" w:ascii="仿宋" w:hAnsi="仿宋" w:eastAsia="仿宋" w:cs="仿宋"/>
                <w:color w:val="auto"/>
                <w:sz w:val="24"/>
                <w:szCs w:val="24"/>
                <w:highlight w:val="none"/>
                <w:u w:val="single"/>
              </w:rPr>
              <w:t>第一章 竞争性磋商邀请“一、项目概况与采购范围”</w:t>
            </w:r>
            <w:r>
              <w:rPr>
                <w:rFonts w:hint="eastAsia" w:ascii="仿宋" w:hAnsi="仿宋" w:eastAsia="仿宋" w:cs="仿宋"/>
                <w:color w:val="auto"/>
                <w:sz w:val="24"/>
                <w:szCs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资格审查方式及供应商应具备的资格条件</w:t>
            </w:r>
          </w:p>
        </w:tc>
        <w:tc>
          <w:tcPr>
            <w:tcW w:w="6347"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资格后审，详见</w:t>
            </w:r>
            <w:r>
              <w:rPr>
                <w:rFonts w:hint="eastAsia" w:ascii="仿宋" w:hAnsi="仿宋" w:eastAsia="仿宋" w:cs="仿宋"/>
                <w:color w:val="auto"/>
                <w:sz w:val="24"/>
                <w:szCs w:val="24"/>
                <w:highlight w:val="none"/>
                <w:u w:val="single"/>
              </w:rPr>
              <w:t>“二、供应商资格要求”</w:t>
            </w:r>
            <w:r>
              <w:rPr>
                <w:rFonts w:hint="eastAsia" w:ascii="仿宋" w:hAnsi="仿宋" w:eastAsia="仿宋" w:cs="仿宋"/>
                <w:color w:val="auto"/>
                <w:sz w:val="24"/>
                <w:szCs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★磋商文件实质性要求的标识</w:t>
            </w:r>
          </w:p>
        </w:tc>
        <w:tc>
          <w:tcPr>
            <w:tcW w:w="6347"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磋商文件中标识“★”条款、注明“磋商响应将被否决”、“对其响应做否决处理”等的条款</w:t>
            </w:r>
            <w:r>
              <w:rPr>
                <w:rFonts w:hint="eastAsia" w:ascii="仿宋" w:hAnsi="仿宋" w:eastAsia="仿宋" w:cs="仿宋"/>
                <w:color w:val="auto"/>
                <w:sz w:val="24"/>
                <w:szCs w:val="24"/>
                <w:highlight w:val="none"/>
              </w:rPr>
              <w:t>，均为实质性条款，</w:t>
            </w:r>
            <w:r>
              <w:rPr>
                <w:rFonts w:hint="eastAsia" w:ascii="仿宋" w:hAnsi="仿宋" w:eastAsia="仿宋" w:cs="仿宋"/>
                <w:b/>
                <w:color w:val="auto"/>
                <w:sz w:val="24"/>
                <w:szCs w:val="24"/>
                <w:highlight w:val="none"/>
              </w:rPr>
              <w:t>不满足任意一项实质性条款的响应将被否决。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响应文件的组成</w:t>
            </w:r>
          </w:p>
        </w:tc>
        <w:tc>
          <w:tcPr>
            <w:tcW w:w="6347" w:type="dxa"/>
            <w:tcMar>
              <w:top w:w="0" w:type="dxa"/>
              <w:left w:w="85" w:type="dxa"/>
              <w:bottom w:w="0" w:type="dxa"/>
              <w:right w:w="85" w:type="dxa"/>
            </w:tcMar>
            <w:vAlign w:val="center"/>
          </w:tcPr>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响应文件按照以下架构顺序编制：</w:t>
            </w:r>
          </w:p>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一、商务文件</w:t>
            </w:r>
          </w:p>
          <w:p>
            <w:pPr>
              <w:pStyle w:val="63"/>
              <w:keepNext w:val="0"/>
              <w:keepLines w:val="0"/>
              <w:pageBreakBefore w:val="0"/>
              <w:widowControl w:val="0"/>
              <w:suppressLineNumbers w:val="0"/>
              <w:kinsoku/>
              <w:wordWrap/>
              <w:overflowPunct/>
              <w:autoSpaceDE w:val="0"/>
              <w:autoSpaceDN w:val="0"/>
              <w:bidi w:val="0"/>
              <w:spacing w:before="62" w:beforeLines="20" w:beforeAutospacing="0" w:after="62" w:afterLines="20" w:afterAutospacing="0" w:line="300" w:lineRule="auto"/>
              <w:ind w:left="0" w:right="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初步评审索引表</w:t>
            </w:r>
          </w:p>
          <w:p>
            <w:pPr>
              <w:pStyle w:val="63"/>
              <w:keepNext w:val="0"/>
              <w:keepLines w:val="0"/>
              <w:pageBreakBefore w:val="0"/>
              <w:widowControl w:val="0"/>
              <w:suppressLineNumbers w:val="0"/>
              <w:kinsoku/>
              <w:wordWrap/>
              <w:overflowPunct/>
              <w:autoSpaceDE w:val="0"/>
              <w:autoSpaceDN w:val="0"/>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详细评审索引表</w:t>
            </w:r>
          </w:p>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（一）响应函</w:t>
            </w:r>
          </w:p>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（二）法定代表人（负责人）身份证明</w:t>
            </w:r>
          </w:p>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（三）法定代表人（负责人）授权委托书</w:t>
            </w:r>
          </w:p>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（四）资格证明文件</w:t>
            </w:r>
          </w:p>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（五）供应商须知应答偏离表</w:t>
            </w:r>
          </w:p>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（六）合同条款应答偏离表</w:t>
            </w:r>
          </w:p>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（七）供应商行为准则承诺书</w:t>
            </w:r>
          </w:p>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（八）供应商廉洁诚信承诺书</w:t>
            </w:r>
          </w:p>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（九）</w:t>
            </w:r>
            <w:r>
              <w:rPr>
                <w:rFonts w:hint="eastAsia" w:ascii="仿宋" w:hAnsi="仿宋" w:eastAsia="仿宋" w:cs="仿宋"/>
                <w:bCs w:val="0"/>
                <w:color w:val="auto"/>
                <w:sz w:val="24"/>
                <w:szCs w:val="24"/>
                <w:highlight w:val="none"/>
              </w:rPr>
              <w:t>信息安全采购要求承诺函</w:t>
            </w:r>
          </w:p>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（十）</w:t>
            </w:r>
            <w:r>
              <w:rPr>
                <w:rFonts w:hint="eastAsia" w:ascii="仿宋" w:hAnsi="仿宋" w:eastAsia="仿宋" w:cs="仿宋"/>
                <w:color w:val="auto"/>
                <w:sz w:val="24"/>
                <w:szCs w:val="24"/>
                <w:highlight w:val="none"/>
              </w:rPr>
              <w:t>其他材料（如有）</w:t>
            </w:r>
          </w:p>
          <w:p>
            <w:pPr>
              <w:pStyle w:val="63"/>
              <w:keepNext w:val="0"/>
              <w:keepLines w:val="0"/>
              <w:pageBreakBefore w:val="0"/>
              <w:widowControl w:val="0"/>
              <w:suppressLineNumbers w:val="0"/>
              <w:kinsoku/>
              <w:wordWrap/>
              <w:overflowPunct/>
              <w:autoSpaceDE w:val="0"/>
              <w:autoSpaceDN w:val="0"/>
              <w:bidi w:val="0"/>
              <w:spacing w:before="62" w:beforeLines="20" w:beforeAutospacing="0" w:after="62" w:afterLines="20" w:afterAutospacing="0" w:line="300" w:lineRule="auto"/>
              <w:ind w:left="0" w:right="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二、技术文件</w:t>
            </w:r>
          </w:p>
          <w:p>
            <w:pPr>
              <w:pStyle w:val="63"/>
              <w:keepNext w:val="0"/>
              <w:keepLines w:val="0"/>
              <w:pageBreakBefore w:val="0"/>
              <w:widowControl w:val="0"/>
              <w:suppressLineNumbers w:val="0"/>
              <w:kinsoku/>
              <w:wordWrap/>
              <w:overflowPunct/>
              <w:autoSpaceDE w:val="0"/>
              <w:autoSpaceDN w:val="0"/>
              <w:bidi w:val="0"/>
              <w:spacing w:before="62" w:beforeLines="20" w:beforeAutospacing="0" w:after="62" w:afterLines="20" w:afterAutospacing="0" w:line="300" w:lineRule="auto"/>
              <w:ind w:left="0" w:right="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详细评审索引表</w:t>
            </w:r>
          </w:p>
          <w:p>
            <w:pPr>
              <w:pStyle w:val="63"/>
              <w:keepNext w:val="0"/>
              <w:keepLines w:val="0"/>
              <w:pageBreakBefore w:val="0"/>
              <w:widowControl w:val="0"/>
              <w:suppressLineNumbers w:val="0"/>
              <w:kinsoku/>
              <w:wordWrap/>
              <w:overflowPunct/>
              <w:autoSpaceDE w:val="0"/>
              <w:autoSpaceDN w:val="0"/>
              <w:bidi w:val="0"/>
              <w:spacing w:before="62" w:beforeLines="20" w:beforeAutospacing="0" w:after="62" w:afterLines="20" w:afterAutospacing="0" w:line="300" w:lineRule="auto"/>
              <w:ind w:left="0" w:right="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（一）采购需求应答偏离表</w:t>
            </w:r>
          </w:p>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w:t>
            </w:r>
            <w:r>
              <w:rPr>
                <w:rFonts w:hint="eastAsia" w:ascii="仿宋" w:hAnsi="仿宋" w:eastAsia="仿宋" w:cs="仿宋"/>
                <w:color w:val="auto"/>
                <w:sz w:val="24"/>
                <w:szCs w:val="24"/>
                <w:highlight w:val="none"/>
              </w:rPr>
              <w:t>总体服务方案</w:t>
            </w:r>
          </w:p>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w:t>
            </w:r>
            <w:r>
              <w:rPr>
                <w:rFonts w:hint="eastAsia" w:ascii="仿宋" w:hAnsi="仿宋" w:eastAsia="仿宋" w:cs="仿宋"/>
                <w:color w:val="auto"/>
                <w:sz w:val="24"/>
                <w:szCs w:val="24"/>
                <w:highlight w:val="none"/>
              </w:rPr>
              <w:t>应急处理预案</w:t>
            </w:r>
          </w:p>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（四）资源投入方案</w:t>
            </w:r>
          </w:p>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（五）拟派服务团队成员汇总表</w:t>
            </w:r>
          </w:p>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（六）增值服务</w:t>
            </w:r>
          </w:p>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七</w:t>
            </w:r>
            <w:r>
              <w:rPr>
                <w:rFonts w:hint="eastAsia" w:ascii="仿宋" w:hAnsi="仿宋" w:eastAsia="仿宋" w:cs="仿宋"/>
                <w:color w:val="auto"/>
                <w:sz w:val="24"/>
                <w:szCs w:val="24"/>
                <w:highlight w:val="none"/>
              </w:rPr>
              <w:t>）其他材料（如有）</w:t>
            </w:r>
          </w:p>
          <w:p>
            <w:pPr>
              <w:pStyle w:val="63"/>
              <w:keepNext w:val="0"/>
              <w:keepLines w:val="0"/>
              <w:pageBreakBefore w:val="0"/>
              <w:widowControl w:val="0"/>
              <w:suppressLineNumbers w:val="0"/>
              <w:kinsoku/>
              <w:wordWrap/>
              <w:overflowPunct/>
              <w:autoSpaceDE w:val="0"/>
              <w:autoSpaceDN w:val="0"/>
              <w:bidi w:val="0"/>
              <w:spacing w:before="62" w:beforeLines="20" w:beforeAutospacing="0" w:after="62" w:afterLines="20" w:afterAutospacing="0" w:line="300" w:lineRule="auto"/>
              <w:ind w:left="0" w:right="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三、报价文件</w:t>
            </w:r>
          </w:p>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（一）报价一览表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5</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响应文件的递交</w:t>
            </w:r>
          </w:p>
        </w:tc>
        <w:tc>
          <w:tcPr>
            <w:tcW w:w="6347" w:type="dxa"/>
            <w:tcMar>
              <w:top w:w="0" w:type="dxa"/>
              <w:left w:w="85" w:type="dxa"/>
              <w:bottom w:w="0" w:type="dxa"/>
              <w:right w:w="85" w:type="dxa"/>
            </w:tcMar>
            <w:vAlign w:val="center"/>
          </w:tcPr>
          <w:p>
            <w:pPr>
              <w:pStyle w:val="6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详见</w:t>
            </w:r>
            <w:r>
              <w:rPr>
                <w:rFonts w:hint="eastAsia" w:ascii="仿宋" w:hAnsi="仿宋" w:eastAsia="仿宋" w:cs="仿宋"/>
                <w:color w:val="auto"/>
                <w:sz w:val="24"/>
                <w:szCs w:val="24"/>
                <w:highlight w:val="none"/>
                <w:u w:val="single"/>
              </w:rPr>
              <w:t>第一章 竞争性磋商邀请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6</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★响应文件的盖章或签字要求</w:t>
            </w:r>
          </w:p>
        </w:tc>
        <w:tc>
          <w:tcPr>
            <w:tcW w:w="6347" w:type="dxa"/>
            <w:tcMar>
              <w:top w:w="0" w:type="dxa"/>
              <w:left w:w="85" w:type="dxa"/>
              <w:bottom w:w="0" w:type="dxa"/>
              <w:right w:w="85" w:type="dxa"/>
            </w:tcMar>
            <w:vAlign w:val="center"/>
          </w:tcPr>
          <w:p>
            <w:pPr>
              <w:pStyle w:val="70"/>
              <w:keepNext w:val="0"/>
              <w:keepLines w:val="0"/>
              <w:pageBreakBefore w:val="0"/>
              <w:widowControl w:val="0"/>
              <w:suppressLineNumbers w:val="0"/>
              <w:kinsoku/>
              <w:wordWrap/>
              <w:overflowPunct/>
              <w:topLine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（1）《法定代表人（负责人）身份证明》的落款处应加盖公章。</w:t>
            </w:r>
          </w:p>
          <w:p>
            <w:pPr>
              <w:pStyle w:val="70"/>
              <w:keepNext w:val="0"/>
              <w:keepLines w:val="0"/>
              <w:pageBreakBefore w:val="0"/>
              <w:widowControl w:val="0"/>
              <w:suppressLineNumbers w:val="0"/>
              <w:kinsoku/>
              <w:wordWrap/>
              <w:overflowPunct/>
              <w:topLine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（2）《法定代表人（负责人）授权委托书》的落款处应加盖公章</w:t>
            </w:r>
            <w:r>
              <w:rPr>
                <w:rFonts w:hint="eastAsia" w:ascii="仿宋" w:hAnsi="仿宋" w:eastAsia="仿宋" w:cs="仿宋"/>
                <w:b/>
                <w:color w:val="auto"/>
                <w:sz w:val="24"/>
                <w:szCs w:val="24"/>
                <w:highlight w:val="none"/>
              </w:rPr>
              <w:t>并由</w:t>
            </w:r>
            <w:r>
              <w:rPr>
                <w:rFonts w:hint="eastAsia" w:ascii="仿宋" w:hAnsi="仿宋" w:eastAsia="仿宋" w:cs="仿宋"/>
                <w:color w:val="auto"/>
                <w:sz w:val="24"/>
                <w:szCs w:val="24"/>
                <w:highlight w:val="none"/>
              </w:rPr>
              <w:t>法定代表人（负责人）</w:t>
            </w:r>
            <w:r>
              <w:rPr>
                <w:rFonts w:hint="eastAsia" w:ascii="仿宋" w:hAnsi="仿宋" w:eastAsia="仿宋" w:cs="仿宋"/>
                <w:b/>
                <w:color w:val="auto"/>
                <w:sz w:val="24"/>
                <w:szCs w:val="24"/>
                <w:highlight w:val="none"/>
              </w:rPr>
              <w:t>和</w:t>
            </w:r>
            <w:r>
              <w:rPr>
                <w:rFonts w:hint="eastAsia" w:ascii="仿宋" w:hAnsi="仿宋" w:eastAsia="仿宋" w:cs="仿宋"/>
                <w:color w:val="auto"/>
                <w:sz w:val="24"/>
                <w:szCs w:val="24"/>
                <w:highlight w:val="none"/>
              </w:rPr>
              <w:t>其委托代理人</w:t>
            </w:r>
            <w:r>
              <w:rPr>
                <w:rFonts w:hint="eastAsia" w:ascii="仿宋" w:hAnsi="仿宋" w:eastAsia="仿宋" w:cs="仿宋"/>
                <w:b/>
                <w:color w:val="auto"/>
                <w:sz w:val="24"/>
                <w:szCs w:val="24"/>
                <w:highlight w:val="none"/>
              </w:rPr>
              <w:t>双方</w:t>
            </w:r>
            <w:r>
              <w:rPr>
                <w:rFonts w:hint="eastAsia" w:ascii="仿宋" w:hAnsi="仿宋" w:eastAsia="仿宋" w:cs="仿宋"/>
                <w:color w:val="auto"/>
                <w:sz w:val="24"/>
                <w:szCs w:val="24"/>
                <w:highlight w:val="none"/>
              </w:rPr>
              <w:t>签字。</w:t>
            </w:r>
          </w:p>
          <w:p>
            <w:pPr>
              <w:pStyle w:val="70"/>
              <w:keepNext w:val="0"/>
              <w:keepLines w:val="0"/>
              <w:pageBreakBefore w:val="0"/>
              <w:widowControl w:val="0"/>
              <w:suppressLineNumbers w:val="0"/>
              <w:kinsoku/>
              <w:wordWrap/>
              <w:overflowPunct/>
              <w:topLine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（3）响应文件格式中其他有落款的文件，</w:t>
            </w:r>
            <w:r>
              <w:rPr>
                <w:rFonts w:hint="eastAsia" w:ascii="仿宋" w:hAnsi="仿宋" w:eastAsia="仿宋" w:cs="仿宋"/>
                <w:b/>
                <w:color w:val="auto"/>
                <w:sz w:val="24"/>
                <w:szCs w:val="24"/>
                <w:highlight w:val="none"/>
              </w:rPr>
              <w:t>均需</w:t>
            </w:r>
            <w:r>
              <w:rPr>
                <w:rFonts w:hint="eastAsia" w:ascii="仿宋" w:hAnsi="仿宋" w:eastAsia="仿宋" w:cs="仿宋"/>
                <w:color w:val="auto"/>
                <w:sz w:val="24"/>
                <w:szCs w:val="24"/>
                <w:highlight w:val="none"/>
              </w:rPr>
              <w:t>加盖公章。</w:t>
            </w:r>
          </w:p>
          <w:p>
            <w:pPr>
              <w:pStyle w:val="6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（4）响应文件的所有签字处均指手写签字</w:t>
            </w:r>
            <w:r>
              <w:rPr>
                <w:rFonts w:hint="eastAsia" w:ascii="仿宋" w:hAnsi="仿宋" w:eastAsia="仿宋" w:cs="仿宋"/>
                <w:b/>
                <w:color w:val="auto"/>
                <w:sz w:val="24"/>
                <w:szCs w:val="24"/>
                <w:highlight w:val="none"/>
              </w:rPr>
              <w:t>或</w:t>
            </w:r>
            <w:r>
              <w:rPr>
                <w:rFonts w:hint="eastAsia" w:ascii="仿宋" w:hAnsi="仿宋" w:eastAsia="仿宋" w:cs="仿宋"/>
                <w:color w:val="auto"/>
                <w:sz w:val="24"/>
                <w:szCs w:val="24"/>
                <w:highlight w:val="none"/>
              </w:rPr>
              <w:t>签名章/印章</w:t>
            </w:r>
            <w:r>
              <w:rPr>
                <w:rFonts w:hint="eastAsia" w:ascii="仿宋" w:hAnsi="仿宋" w:eastAsia="仿宋" w:cs="仿宋"/>
                <w:b/>
                <w:bCs/>
                <w:color w:val="auto"/>
                <w:sz w:val="24"/>
                <w:szCs w:val="24"/>
                <w:highlight w:val="none"/>
              </w:rPr>
              <w:t>或</w:t>
            </w:r>
            <w:r>
              <w:rPr>
                <w:rFonts w:hint="eastAsia" w:ascii="仿宋" w:hAnsi="仿宋" w:eastAsia="仿宋" w:cs="仿宋"/>
                <w:color w:val="auto"/>
                <w:sz w:val="24"/>
                <w:szCs w:val="24"/>
                <w:highlight w:val="none"/>
              </w:rPr>
              <w:t>CA签名章，</w:t>
            </w:r>
            <w:r>
              <w:rPr>
                <w:rFonts w:hint="eastAsia" w:ascii="仿宋" w:hAnsi="仿宋" w:eastAsia="仿宋" w:cs="仿宋"/>
                <w:b/>
                <w:color w:val="auto"/>
                <w:sz w:val="24"/>
                <w:szCs w:val="24"/>
                <w:highlight w:val="none"/>
              </w:rPr>
              <w:t>不得</w:t>
            </w:r>
            <w:r>
              <w:rPr>
                <w:rFonts w:hint="eastAsia" w:ascii="仿宋" w:hAnsi="仿宋" w:eastAsia="仿宋" w:cs="仿宋"/>
                <w:color w:val="auto"/>
                <w:sz w:val="24"/>
                <w:szCs w:val="24"/>
                <w:highlight w:val="none"/>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pStyle w:val="39"/>
              <w:keepNext w:val="0"/>
              <w:keepLines w:val="0"/>
              <w:pageBreakBefore w:val="0"/>
              <w:widowControl w:val="0"/>
              <w:suppressLineNumbers w:val="0"/>
              <w:kinsoku/>
              <w:wordWrap/>
              <w:overflowPunct/>
              <w:bidi w:val="0"/>
              <w:snapToGrid w:val="0"/>
              <w:spacing w:before="0" w:beforeAutospacing="0" w:after="0" w:afterAutospacing="0" w:line="300" w:lineRule="auto"/>
              <w:ind w:left="111" w:right="113"/>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7</w:t>
            </w:r>
          </w:p>
        </w:tc>
        <w:tc>
          <w:tcPr>
            <w:tcW w:w="1841" w:type="dxa"/>
            <w:tcMar>
              <w:top w:w="0" w:type="dxa"/>
              <w:left w:w="85" w:type="dxa"/>
              <w:bottom w:w="0" w:type="dxa"/>
              <w:right w:w="85" w:type="dxa"/>
            </w:tcMar>
            <w:vAlign w:val="center"/>
          </w:tcPr>
          <w:p>
            <w:pPr>
              <w:pStyle w:val="39"/>
              <w:keepNext w:val="0"/>
              <w:keepLines w:val="0"/>
              <w:pageBreakBefore w:val="0"/>
              <w:widowControl w:val="0"/>
              <w:suppressLineNumbers w:val="0"/>
              <w:kinsoku/>
              <w:wordWrap/>
              <w:overflowPunct/>
              <w:bidi w:val="0"/>
              <w:snapToGrid w:val="0"/>
              <w:spacing w:before="0" w:beforeAutospacing="0" w:after="0" w:afterAutospacing="0" w:line="300" w:lineRule="auto"/>
              <w:ind w:left="114" w:right="1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★磋商响应有效期</w:t>
            </w:r>
          </w:p>
        </w:tc>
        <w:tc>
          <w:tcPr>
            <w:tcW w:w="6347" w:type="dxa"/>
            <w:tcMar>
              <w:top w:w="0" w:type="dxa"/>
              <w:left w:w="85" w:type="dxa"/>
              <w:bottom w:w="0" w:type="dxa"/>
              <w:right w:w="85" w:type="dxa"/>
            </w:tcMar>
            <w:vAlign w:val="center"/>
          </w:tcPr>
          <w:p>
            <w:pPr>
              <w:pStyle w:val="39"/>
              <w:keepNext w:val="0"/>
              <w:keepLines w:val="0"/>
              <w:pageBreakBefore w:val="0"/>
              <w:widowControl w:val="0"/>
              <w:suppressLineNumbers w:val="0"/>
              <w:kinsoku/>
              <w:wordWrap/>
              <w:overflowPunct/>
              <w:bidi w:val="0"/>
              <w:snapToGrid w:val="0"/>
              <w:spacing w:before="0" w:beforeAutospacing="0" w:after="0" w:afterAutospacing="0" w:line="300" w:lineRule="auto"/>
              <w:ind w:left="103" w:right="-18"/>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磋商响应有效期：</w:t>
            </w:r>
            <w:r>
              <w:rPr>
                <w:rFonts w:hint="eastAsia" w:ascii="仿宋" w:hAnsi="仿宋" w:eastAsia="仿宋" w:cs="仿宋"/>
                <w:color w:val="auto"/>
                <w:sz w:val="24"/>
                <w:szCs w:val="24"/>
                <w:highlight w:val="none"/>
                <w:u w:val="single"/>
                <w:lang w:val="en-US" w:eastAsia="zh-CN"/>
              </w:rPr>
              <w:t>180</w:t>
            </w:r>
            <w:r>
              <w:rPr>
                <w:rFonts w:hint="eastAsia" w:ascii="仿宋" w:hAnsi="仿宋" w:eastAsia="仿宋" w:cs="仿宋"/>
                <w:color w:val="auto"/>
                <w:sz w:val="24"/>
                <w:szCs w:val="24"/>
                <w:highlight w:val="none"/>
                <w:u w:val="single"/>
                <w:lang w:eastAsia="zh-CN"/>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pStyle w:val="39"/>
              <w:keepNext w:val="0"/>
              <w:keepLines w:val="0"/>
              <w:pageBreakBefore w:val="0"/>
              <w:widowControl w:val="0"/>
              <w:suppressLineNumbers w:val="0"/>
              <w:kinsoku/>
              <w:wordWrap/>
              <w:overflowPunct/>
              <w:bidi w:val="0"/>
              <w:snapToGrid w:val="0"/>
              <w:spacing w:before="0" w:beforeAutospacing="0" w:after="0" w:afterAutospacing="0" w:line="300" w:lineRule="auto"/>
              <w:ind w:left="111" w:right="113"/>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8</w:t>
            </w:r>
          </w:p>
        </w:tc>
        <w:tc>
          <w:tcPr>
            <w:tcW w:w="1841" w:type="dxa"/>
            <w:tcMar>
              <w:top w:w="0" w:type="dxa"/>
              <w:left w:w="85" w:type="dxa"/>
              <w:bottom w:w="0" w:type="dxa"/>
              <w:right w:w="85" w:type="dxa"/>
            </w:tcMar>
            <w:vAlign w:val="center"/>
          </w:tcPr>
          <w:p>
            <w:pPr>
              <w:pStyle w:val="39"/>
              <w:keepNext w:val="0"/>
              <w:keepLines w:val="0"/>
              <w:pageBreakBefore w:val="0"/>
              <w:widowControl w:val="0"/>
              <w:suppressLineNumbers w:val="0"/>
              <w:kinsoku/>
              <w:wordWrap/>
              <w:overflowPunct/>
              <w:bidi w:val="0"/>
              <w:snapToGrid w:val="0"/>
              <w:spacing w:before="0" w:beforeAutospacing="0" w:after="0" w:afterAutospacing="0" w:line="300" w:lineRule="auto"/>
              <w:ind w:left="114" w:right="1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响应文件份数</w:t>
            </w:r>
          </w:p>
        </w:tc>
        <w:tc>
          <w:tcPr>
            <w:tcW w:w="6347" w:type="dxa"/>
            <w:tcMar>
              <w:top w:w="0" w:type="dxa"/>
              <w:left w:w="85" w:type="dxa"/>
              <w:bottom w:w="0" w:type="dxa"/>
              <w:right w:w="85" w:type="dxa"/>
            </w:tcMar>
            <w:vAlign w:val="center"/>
          </w:tcPr>
          <w:p>
            <w:pPr>
              <w:pStyle w:val="39"/>
              <w:keepNext w:val="0"/>
              <w:keepLines w:val="0"/>
              <w:pageBreakBefore w:val="0"/>
              <w:widowControl w:val="0"/>
              <w:suppressLineNumbers w:val="0"/>
              <w:kinsoku/>
              <w:wordWrap/>
              <w:overflowPunct/>
              <w:bidi w:val="0"/>
              <w:snapToGrid w:val="0"/>
              <w:spacing w:before="0" w:beforeAutospacing="0" w:after="0" w:afterAutospacing="0" w:line="300" w:lineRule="auto"/>
              <w:ind w:left="103" w:right="-18"/>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电子文件</w:t>
            </w:r>
            <w:r>
              <w:rPr>
                <w:rFonts w:hint="eastAsia" w:ascii="仿宋" w:hAnsi="仿宋" w:eastAsia="仿宋" w:cs="仿宋"/>
                <w:color w:val="auto"/>
                <w:sz w:val="24"/>
                <w:szCs w:val="24"/>
                <w:highlight w:val="none"/>
                <w:u w:val="single"/>
                <w:lang w:eastAsia="zh-CN"/>
              </w:rPr>
              <w:t>1</w:t>
            </w:r>
            <w:r>
              <w:rPr>
                <w:rFonts w:hint="eastAsia" w:ascii="仿宋" w:hAnsi="仿宋" w:eastAsia="仿宋" w:cs="仿宋"/>
                <w:color w:val="auto"/>
                <w:sz w:val="24"/>
                <w:szCs w:val="24"/>
                <w:highlight w:val="none"/>
                <w:lang w:eastAsia="zh-CN"/>
              </w:rPr>
              <w:t>份（</w:t>
            </w:r>
            <w:r>
              <w:rPr>
                <w:rFonts w:hint="eastAsia" w:ascii="仿宋" w:hAnsi="仿宋" w:eastAsia="仿宋" w:cs="仿宋"/>
                <w:color w:val="auto"/>
                <w:sz w:val="24"/>
                <w:szCs w:val="24"/>
                <w:highlight w:val="none"/>
              </w:rPr>
              <w:t>U盘，应包括响应文件所有内容，包含Microsoft Word版本和签字盖章后的PDF扫描版两个文件</w:t>
            </w:r>
            <w:r>
              <w:rPr>
                <w:rFonts w:hint="eastAsia" w:ascii="仿宋" w:hAnsi="仿宋" w:eastAsia="仿宋" w:cs="仿宋"/>
                <w:color w:val="auto"/>
                <w:sz w:val="24"/>
                <w:szCs w:val="24"/>
                <w:highlight w:val="none"/>
                <w:lang w:eastAsia="zh-CN"/>
              </w:rPr>
              <w:t>）；纸质文件正本</w:t>
            </w:r>
            <w:r>
              <w:rPr>
                <w:rFonts w:hint="eastAsia" w:ascii="仿宋" w:hAnsi="仿宋" w:eastAsia="仿宋" w:cs="仿宋"/>
                <w:color w:val="auto"/>
                <w:sz w:val="24"/>
                <w:szCs w:val="24"/>
                <w:highlight w:val="none"/>
                <w:u w:val="single"/>
                <w:lang w:eastAsia="zh-CN"/>
              </w:rPr>
              <w:t xml:space="preserve"> 1 </w:t>
            </w:r>
            <w:r>
              <w:rPr>
                <w:rFonts w:hint="eastAsia" w:ascii="仿宋" w:hAnsi="仿宋" w:eastAsia="仿宋" w:cs="仿宋"/>
                <w:color w:val="auto"/>
                <w:sz w:val="24"/>
                <w:szCs w:val="24"/>
                <w:highlight w:val="none"/>
                <w:lang w:eastAsia="zh-CN"/>
              </w:rPr>
              <w:t>份，副本</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lang w:val="en-US" w:eastAsia="zh-CN"/>
              </w:rPr>
              <w:t>1</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份</w:t>
            </w:r>
            <w:r>
              <w:rPr>
                <w:rFonts w:hint="eastAsia" w:ascii="仿宋" w:hAnsi="仿宋" w:eastAsia="仿宋" w:cs="仿宋"/>
                <w:color w:val="auto"/>
                <w:sz w:val="24"/>
                <w:szCs w:val="24"/>
                <w:highlight w:val="none"/>
                <w:lang w:val="zh-CN" w:eastAsia="zh-CN"/>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pStyle w:val="39"/>
              <w:keepNext w:val="0"/>
              <w:keepLines w:val="0"/>
              <w:pageBreakBefore w:val="0"/>
              <w:widowControl w:val="0"/>
              <w:suppressLineNumbers w:val="0"/>
              <w:kinsoku/>
              <w:wordWrap/>
              <w:overflowPunct/>
              <w:bidi w:val="0"/>
              <w:snapToGrid w:val="0"/>
              <w:spacing w:before="0" w:beforeAutospacing="0" w:after="0" w:afterAutospacing="0" w:line="300" w:lineRule="auto"/>
              <w:ind w:left="111" w:right="113"/>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9</w:t>
            </w:r>
          </w:p>
        </w:tc>
        <w:tc>
          <w:tcPr>
            <w:tcW w:w="1841" w:type="dxa"/>
            <w:tcMar>
              <w:top w:w="0" w:type="dxa"/>
              <w:left w:w="85" w:type="dxa"/>
              <w:bottom w:w="0" w:type="dxa"/>
              <w:right w:w="85" w:type="dxa"/>
            </w:tcMar>
            <w:vAlign w:val="center"/>
          </w:tcPr>
          <w:p>
            <w:pPr>
              <w:pStyle w:val="39"/>
              <w:keepNext w:val="0"/>
              <w:keepLines w:val="0"/>
              <w:pageBreakBefore w:val="0"/>
              <w:widowControl w:val="0"/>
              <w:suppressLineNumbers w:val="0"/>
              <w:kinsoku/>
              <w:wordWrap/>
              <w:overflowPunct/>
              <w:bidi w:val="0"/>
              <w:snapToGrid w:val="0"/>
              <w:spacing w:before="0" w:beforeAutospacing="0" w:after="0" w:afterAutospacing="0" w:line="300" w:lineRule="auto"/>
              <w:ind w:left="114" w:right="1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磋商响应报价</w:t>
            </w:r>
          </w:p>
        </w:tc>
        <w:tc>
          <w:tcPr>
            <w:tcW w:w="6347" w:type="dxa"/>
            <w:tcMar>
              <w:top w:w="0" w:type="dxa"/>
              <w:left w:w="85" w:type="dxa"/>
              <w:bottom w:w="0" w:type="dxa"/>
              <w:right w:w="85" w:type="dxa"/>
            </w:tcMar>
            <w:vAlign w:val="center"/>
          </w:tcPr>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1）供应商应结合自身实力与经验、市场价格竞争及合同实施风险等因素进行综合考虑进行报价。</w:t>
            </w:r>
          </w:p>
          <w:p>
            <w:pPr>
              <w:pStyle w:val="39"/>
              <w:keepNext w:val="0"/>
              <w:keepLines w:val="0"/>
              <w:pageBreakBefore w:val="0"/>
              <w:widowControl w:val="0"/>
              <w:suppressLineNumbers w:val="0"/>
              <w:kinsoku/>
              <w:wordWrap/>
              <w:overflowPunct/>
              <w:bidi w:val="0"/>
              <w:snapToGrid w:val="0"/>
              <w:spacing w:before="0" w:beforeAutospacing="0" w:after="0" w:afterAutospacing="0" w:line="300" w:lineRule="auto"/>
              <w:ind w:left="0" w:right="-18"/>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（2）磋商小组将视磋商情况决定是否进行多轮次报价，供应商</w:t>
            </w:r>
            <w:r>
              <w:rPr>
                <w:rFonts w:hint="eastAsia" w:ascii="仿宋" w:hAnsi="仿宋" w:eastAsia="仿宋" w:cs="仿宋"/>
                <w:color w:val="auto"/>
                <w:sz w:val="24"/>
                <w:szCs w:val="24"/>
                <w:highlight w:val="none"/>
                <w:u w:val="single"/>
                <w:lang w:eastAsia="zh-CN"/>
              </w:rPr>
              <w:t>最后一轮磋商提交的报价</w:t>
            </w:r>
            <w:r>
              <w:rPr>
                <w:rFonts w:hint="eastAsia" w:ascii="仿宋" w:hAnsi="仿宋" w:eastAsia="仿宋" w:cs="仿宋"/>
                <w:color w:val="auto"/>
                <w:sz w:val="24"/>
                <w:szCs w:val="24"/>
                <w:highlight w:val="none"/>
                <w:lang w:eastAsia="zh-CN"/>
              </w:rPr>
              <w:t>将作为该供应商的</w:t>
            </w:r>
            <w:r>
              <w:rPr>
                <w:rFonts w:hint="eastAsia" w:ascii="仿宋" w:hAnsi="仿宋" w:eastAsia="仿宋" w:cs="仿宋"/>
                <w:b/>
                <w:bCs/>
                <w:color w:val="auto"/>
                <w:sz w:val="24"/>
                <w:szCs w:val="24"/>
                <w:highlight w:val="none"/>
                <w:lang w:eastAsia="zh-CN"/>
              </w:rPr>
              <w:t>最终报价</w:t>
            </w:r>
            <w:r>
              <w:rPr>
                <w:rFonts w:hint="eastAsia" w:ascii="仿宋" w:hAnsi="仿宋" w:eastAsia="仿宋" w:cs="仿宋"/>
                <w:color w:val="auto"/>
                <w:sz w:val="24"/>
                <w:szCs w:val="24"/>
                <w:highlight w:val="none"/>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pStyle w:val="39"/>
              <w:keepNext w:val="0"/>
              <w:keepLines w:val="0"/>
              <w:pageBreakBefore w:val="0"/>
              <w:widowControl w:val="0"/>
              <w:suppressLineNumbers w:val="0"/>
              <w:kinsoku w:val="0"/>
              <w:wordWrap/>
              <w:overflowPunct w:val="0"/>
              <w:topLinePunct w:val="0"/>
              <w:autoSpaceDE/>
              <w:autoSpaceDN/>
              <w:bidi w:val="0"/>
              <w:adjustRightInd/>
              <w:snapToGrid w:val="0"/>
              <w:spacing w:before="0" w:beforeAutospacing="0" w:after="0" w:afterAutospacing="0" w:line="300" w:lineRule="auto"/>
              <w:ind w:left="111" w:right="113"/>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1841" w:type="dxa"/>
            <w:tcMar>
              <w:top w:w="0" w:type="dxa"/>
              <w:left w:w="85" w:type="dxa"/>
              <w:bottom w:w="0" w:type="dxa"/>
              <w:right w:w="85" w:type="dxa"/>
            </w:tcMar>
            <w:vAlign w:val="center"/>
          </w:tcPr>
          <w:p>
            <w:pPr>
              <w:pStyle w:val="39"/>
              <w:keepNext w:val="0"/>
              <w:keepLines w:val="0"/>
              <w:pageBreakBefore w:val="0"/>
              <w:widowControl w:val="0"/>
              <w:suppressLineNumbers w:val="0"/>
              <w:kinsoku w:val="0"/>
              <w:wordWrap/>
              <w:overflowPunct w:val="0"/>
              <w:topLinePunct w:val="0"/>
              <w:autoSpaceDE/>
              <w:autoSpaceDN/>
              <w:bidi w:val="0"/>
              <w:adjustRightInd/>
              <w:snapToGrid w:val="0"/>
              <w:spacing w:before="0" w:beforeAutospacing="0" w:after="0" w:afterAutospacing="0" w:line="300" w:lineRule="auto"/>
              <w:ind w:left="114" w:right="114"/>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纸质响应文件的装订、密封和标记</w:t>
            </w:r>
          </w:p>
        </w:tc>
        <w:tc>
          <w:tcPr>
            <w:tcW w:w="6347" w:type="dxa"/>
            <w:tcMar>
              <w:top w:w="0" w:type="dxa"/>
              <w:left w:w="85" w:type="dxa"/>
              <w:bottom w:w="0" w:type="dxa"/>
              <w:right w:w="85" w:type="dxa"/>
            </w:tcMar>
            <w:vAlign w:val="center"/>
          </w:tcPr>
          <w:p>
            <w:pPr>
              <w:keepNext w:val="0"/>
              <w:keepLines w:val="0"/>
              <w:pageBreakBefore w:val="0"/>
              <w:widowControl w:val="0"/>
              <w:suppressLineNumbers w:val="0"/>
              <w:kinsoku w:val="0"/>
              <w:wordWrap/>
              <w:overflowPunct w:val="0"/>
              <w:topLinePunct w:val="0"/>
              <w:autoSpaceDE/>
              <w:autoSpaceDN/>
              <w:bidi w:val="0"/>
              <w:adjustRightInd/>
              <w:spacing w:before="0" w:beforeAutospacing="0" w:after="0" w:afterAutospacing="0" w:line="300" w:lineRule="auto"/>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（1）采用A4纸胶装，双面打印，密封粘接缝隙加盖供应商公章或由法定代表人（负责人）或其委托代理人签字，并分别在右上角标明“正本”和“副本”字样。</w:t>
            </w:r>
          </w:p>
          <w:p>
            <w:pPr>
              <w:keepNext w:val="0"/>
              <w:keepLines w:val="0"/>
              <w:pageBreakBefore w:val="0"/>
              <w:widowControl w:val="0"/>
              <w:suppressLineNumbers w:val="0"/>
              <w:kinsoku w:val="0"/>
              <w:wordWrap/>
              <w:overflowPunct w:val="0"/>
              <w:topLinePunct w:val="0"/>
              <w:autoSpaceDE/>
              <w:autoSpaceDN/>
              <w:bidi w:val="0"/>
              <w:adjustRightInd/>
              <w:spacing w:before="0" w:beforeAutospacing="0" w:after="0" w:afterAutospacing="0" w:line="300" w:lineRule="auto"/>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响应文件需加盖骑缝章。未按要求密封的</w:t>
            </w:r>
            <w:r>
              <w:rPr>
                <w:rFonts w:hint="eastAsia" w:ascii="仿宋" w:hAnsi="仿宋" w:eastAsia="仿宋" w:cs="仿宋"/>
                <w:color w:val="auto"/>
                <w:sz w:val="24"/>
                <w:szCs w:val="24"/>
                <w:highlight w:val="none"/>
                <w:lang w:eastAsia="zh-Hans"/>
              </w:rPr>
              <w:t>纸质</w:t>
            </w:r>
            <w:r>
              <w:rPr>
                <w:rFonts w:hint="eastAsia" w:ascii="仿宋" w:hAnsi="仿宋" w:eastAsia="仿宋" w:cs="仿宋"/>
                <w:color w:val="auto"/>
                <w:sz w:val="24"/>
                <w:szCs w:val="24"/>
                <w:highlight w:val="none"/>
              </w:rPr>
              <w:t>响应文件不予接收。</w:t>
            </w:r>
          </w:p>
          <w:p>
            <w:pPr>
              <w:keepNext w:val="0"/>
              <w:keepLines w:val="0"/>
              <w:pageBreakBefore w:val="0"/>
              <w:widowControl w:val="0"/>
              <w:suppressLineNumbers w:val="0"/>
              <w:kinsoku w:val="0"/>
              <w:wordWrap/>
              <w:overflowPunct w:val="0"/>
              <w:topLinePunct w:val="0"/>
              <w:autoSpaceDE/>
              <w:autoSpaceDN/>
              <w:bidi w:val="0"/>
              <w:adjustRightInd/>
              <w:spacing w:before="0" w:beforeAutospacing="0" w:after="0" w:afterAutospacing="0" w:line="300" w:lineRule="auto"/>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（2）外层包封具体样式如下：</w:t>
            </w:r>
          </w:p>
          <w:p>
            <w:pPr>
              <w:pStyle w:val="39"/>
              <w:keepNext w:val="0"/>
              <w:keepLines w:val="0"/>
              <w:pageBreakBefore w:val="0"/>
              <w:widowControl w:val="0"/>
              <w:suppressLineNumbers w:val="0"/>
              <w:kinsoku w:val="0"/>
              <w:wordWrap/>
              <w:overflowPunct w:val="0"/>
              <w:topLinePunct w:val="0"/>
              <w:autoSpaceDE/>
              <w:autoSpaceDN/>
              <w:bidi w:val="0"/>
              <w:adjustRightInd/>
              <w:snapToGrid w:val="0"/>
              <w:spacing w:before="0" w:beforeAutospacing="0" w:after="0" w:afterAutospacing="0" w:line="300" w:lineRule="auto"/>
              <w:ind w:left="103" w:right="2739"/>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mc:AlternateContent>
                <mc:Choice Requires="wps">
                  <w:drawing>
                    <wp:inline distT="0" distB="0" distL="114300" distR="114300">
                      <wp:extent cx="3504565" cy="2552700"/>
                      <wp:effectExtent l="5080" t="4445" r="14605" b="14605"/>
                      <wp:docPr id="1" name="文本框 3"/>
                      <wp:cNvGraphicFramePr/>
                      <a:graphic xmlns:a="http://schemas.openxmlformats.org/drawingml/2006/main">
                        <a:graphicData uri="http://schemas.microsoft.com/office/word/2010/wordprocessingShape">
                          <wps:wsp>
                            <wps:cNvSpPr txBox="1">
                              <a:spLocks noRot="1"/>
                            </wps:cNvSpPr>
                            <wps:spPr>
                              <a:xfrm>
                                <a:off x="0" y="0"/>
                                <a:ext cx="3504565" cy="255270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noAutofit/>
                            </wps:bodyPr>
                          </wps:wsp>
                        </a:graphicData>
                      </a:graphic>
                    </wp:inline>
                  </w:drawing>
                </mc:Choice>
                <mc:Fallback>
                  <w:pict>
                    <v:shape id="文本框 3" o:spid="_x0000_s1026" o:spt="202" type="#_x0000_t202" style="height:201pt;width:275.95pt;" fillcolor="#FFFFFF" filled="t" stroked="t" coordsize="21600,21600" o:gfxdata="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iOx9n1gAAAAUBAAAPAAAAAAAAAAEAIAAAACIAAABkcnMvZG93bnJldi54bWxQ&#10;SwECFAAUAAAACACHTuJAJh6+UTICAACCBAAADgAAAAAAAAABACAAAAAlAQAAZHJzL2Uyb0RvYy54&#10;bWxQSwUGAAAAAAYABgBZAQAAyQUAAAAA&#10;">
                      <v:fill on="t" focussize="0,0"/>
                      <v:stroke color="#000000" joinstyle="miter"/>
                      <v:imagedata o:title=""/>
                      <o:lock v:ext="edit" rotation="t" aspectratio="f"/>
                      <v:textbo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pStyle w:val="39"/>
              <w:keepNext w:val="0"/>
              <w:keepLines w:val="0"/>
              <w:pageBreakBefore w:val="0"/>
              <w:widowControl w:val="0"/>
              <w:suppressLineNumbers w:val="0"/>
              <w:kinsoku/>
              <w:wordWrap/>
              <w:overflowPunct/>
              <w:bidi w:val="0"/>
              <w:snapToGrid w:val="0"/>
              <w:spacing w:before="0" w:beforeAutospacing="0" w:after="0" w:afterAutospacing="0" w:line="300" w:lineRule="auto"/>
              <w:ind w:left="111" w:right="11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77" w:leftChars="32" w:right="132" w:rightChars="55" w:firstLine="67" w:firstLineChars="2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组建磋商小组</w:t>
            </w:r>
          </w:p>
        </w:tc>
        <w:tc>
          <w:tcPr>
            <w:tcW w:w="6347" w:type="dxa"/>
            <w:tcMar>
              <w:top w:w="0" w:type="dxa"/>
              <w:left w:w="85" w:type="dxa"/>
              <w:bottom w:w="0" w:type="dxa"/>
              <w:right w:w="85" w:type="dxa"/>
            </w:tcMar>
            <w:vAlign w:val="center"/>
          </w:tcPr>
          <w:p>
            <w:pPr>
              <w:keepNext w:val="0"/>
              <w:keepLines w:val="0"/>
              <w:pageBreakBefore w:val="0"/>
              <w:widowControl w:val="0"/>
              <w:suppressLineNumbers w:val="0"/>
              <w:kinsoku/>
              <w:wordWrap/>
              <w:overflowPunct/>
              <w:autoSpaceDE w:val="0"/>
              <w:autoSpaceDN w:val="0"/>
              <w:bidi w:val="0"/>
              <w:adjustRightInd w:val="0"/>
              <w:spacing w:before="0" w:beforeAutospacing="0" w:after="0" w:afterAutospacing="0" w:line="300" w:lineRule="auto"/>
              <w:ind w:left="146" w:leftChars="61" w:right="0" w:firstLine="2"/>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本项目磋商小组成员人数为</w:t>
            </w:r>
            <w:r>
              <w:rPr>
                <w:rFonts w:hint="eastAsia" w:ascii="仿宋" w:hAnsi="仿宋" w:eastAsia="仿宋" w:cs="仿宋"/>
                <w:color w:val="auto"/>
                <w:sz w:val="24"/>
                <w:szCs w:val="24"/>
                <w:highlight w:val="none"/>
                <w:u w:val="single"/>
                <w:lang w:val="en-US" w:eastAsia="zh-CN"/>
              </w:rPr>
              <w:t>3</w:t>
            </w:r>
            <w:r>
              <w:rPr>
                <w:rFonts w:hint="eastAsia" w:ascii="仿宋" w:hAnsi="仿宋" w:eastAsia="仿宋" w:cs="仿宋"/>
                <w:color w:val="auto"/>
                <w:sz w:val="24"/>
                <w:szCs w:val="24"/>
                <w:highlight w:val="none"/>
                <w:u w:val="single"/>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pStyle w:val="39"/>
              <w:keepNext w:val="0"/>
              <w:keepLines w:val="0"/>
              <w:pageBreakBefore w:val="0"/>
              <w:widowControl w:val="0"/>
              <w:suppressLineNumbers w:val="0"/>
              <w:kinsoku/>
              <w:wordWrap/>
              <w:overflowPunct/>
              <w:bidi w:val="0"/>
              <w:snapToGrid w:val="0"/>
              <w:spacing w:before="0" w:beforeAutospacing="0" w:after="0" w:afterAutospacing="0" w:line="300" w:lineRule="auto"/>
              <w:ind w:left="111" w:right="11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77" w:leftChars="32" w:right="132" w:rightChars="55" w:firstLine="67" w:firstLineChars="2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磋商程序及方式</w:t>
            </w:r>
          </w:p>
        </w:tc>
        <w:tc>
          <w:tcPr>
            <w:tcW w:w="6347" w:type="dxa"/>
            <w:tcMar>
              <w:top w:w="0" w:type="dxa"/>
              <w:left w:w="85" w:type="dxa"/>
              <w:bottom w:w="0" w:type="dxa"/>
              <w:right w:w="85" w:type="dxa"/>
            </w:tcMar>
            <w:vAlign w:val="center"/>
          </w:tcPr>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（1）磋商小组将与通过初步评审的有效供应商按照</w:t>
            </w:r>
            <w:r>
              <w:rPr>
                <w:rFonts w:hint="eastAsia" w:ascii="仿宋" w:hAnsi="仿宋" w:eastAsia="仿宋" w:cs="仿宋"/>
                <w:color w:val="auto"/>
                <w:sz w:val="24"/>
                <w:szCs w:val="24"/>
                <w:highlight w:val="none"/>
                <w:u w:val="single"/>
              </w:rPr>
              <w:t>供应商随机抽取顺序</w:t>
            </w:r>
            <w:r>
              <w:rPr>
                <w:rFonts w:hint="eastAsia" w:ascii="仿宋" w:hAnsi="仿宋" w:eastAsia="仿宋" w:cs="仿宋"/>
                <w:color w:val="auto"/>
                <w:sz w:val="24"/>
                <w:szCs w:val="24"/>
                <w:highlight w:val="none"/>
              </w:rPr>
              <w:t>逐一进行磋商，供应商至少应派法定代表人或其授权委托人准时参会。</w:t>
            </w:r>
          </w:p>
          <w:p>
            <w:pPr>
              <w:keepNext w:val="0"/>
              <w:keepLines w:val="0"/>
              <w:pageBreakBefore w:val="0"/>
              <w:widowControl w:val="0"/>
              <w:suppressLineNumbers w:val="0"/>
              <w:kinsoku/>
              <w:wordWrap/>
              <w:overflowPunct/>
              <w:autoSpaceDE w:val="0"/>
              <w:autoSpaceDN w:val="0"/>
              <w:bidi w:val="0"/>
              <w:adjustRightInd w:val="0"/>
              <w:spacing w:before="0" w:beforeAutospacing="0" w:after="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磋商小组有权要求供应商对响应文件中含义不明确、同类问题表述不一致或者有明显文字和计算错误的内容等进行澄清、说明或更正。第一轮磋商结束后，供应商提交第一轮报价及磋商小组要求提供的其他文件，磋商小组将视具体情况决定是否进行多轮磋商及报价。最后一轮磋商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pStyle w:val="39"/>
              <w:keepNext w:val="0"/>
              <w:keepLines w:val="0"/>
              <w:pageBreakBefore w:val="0"/>
              <w:widowControl w:val="0"/>
              <w:suppressLineNumbers w:val="0"/>
              <w:kinsoku/>
              <w:wordWrap/>
              <w:overflowPunct/>
              <w:bidi w:val="0"/>
              <w:snapToGrid w:val="0"/>
              <w:spacing w:before="0" w:beforeAutospacing="0" w:after="0" w:afterAutospacing="0" w:line="300" w:lineRule="auto"/>
              <w:ind w:left="111" w:right="11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77" w:leftChars="32" w:right="132" w:rightChars="55" w:firstLine="67" w:firstLineChars="2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磋商内容</w:t>
            </w:r>
          </w:p>
        </w:tc>
        <w:tc>
          <w:tcPr>
            <w:tcW w:w="6347" w:type="dxa"/>
            <w:tcMar>
              <w:top w:w="0" w:type="dxa"/>
              <w:left w:w="85" w:type="dxa"/>
              <w:bottom w:w="0" w:type="dxa"/>
              <w:right w:w="85" w:type="dxa"/>
            </w:tcMar>
            <w:vAlign w:val="center"/>
          </w:tcPr>
          <w:p>
            <w:pPr>
              <w:keepNext w:val="0"/>
              <w:keepLines w:val="0"/>
              <w:pageBreakBefore w:val="0"/>
              <w:widowControl w:val="0"/>
              <w:suppressLineNumbers w:val="0"/>
              <w:kinsoku/>
              <w:wordWrap/>
              <w:overflowPunct/>
              <w:autoSpaceDE w:val="0"/>
              <w:autoSpaceDN w:val="0"/>
              <w:bidi w:val="0"/>
              <w:adjustRightInd w:val="0"/>
              <w:spacing w:before="0" w:beforeAutospacing="0" w:after="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包含但不仅限于报价、企业综合实力、同类业绩、总体服务方案、</w:t>
            </w:r>
            <w:r>
              <w:rPr>
                <w:rFonts w:hint="eastAsia" w:ascii="仿宋" w:hAnsi="仿宋" w:eastAsia="仿宋" w:cs="仿宋"/>
                <w:color w:val="auto"/>
                <w:sz w:val="24"/>
                <w:szCs w:val="24"/>
                <w:highlight w:val="none"/>
                <w:lang w:val="en-US" w:eastAsia="zh-CN"/>
              </w:rPr>
              <w:t>应急处理预案、资源投入方案</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团队配备、</w:t>
            </w:r>
            <w:r>
              <w:rPr>
                <w:rFonts w:hint="eastAsia" w:ascii="仿宋" w:hAnsi="仿宋" w:eastAsia="仿宋" w:cs="仿宋"/>
                <w:color w:val="auto"/>
                <w:sz w:val="24"/>
                <w:szCs w:val="24"/>
                <w:highlight w:val="none"/>
              </w:rPr>
              <w:t>增值服务等。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pStyle w:val="39"/>
              <w:keepNext w:val="0"/>
              <w:keepLines w:val="0"/>
              <w:pageBreakBefore w:val="0"/>
              <w:widowControl w:val="0"/>
              <w:suppressLineNumbers w:val="0"/>
              <w:kinsoku/>
              <w:wordWrap/>
              <w:overflowPunct/>
              <w:bidi w:val="0"/>
              <w:snapToGrid w:val="0"/>
              <w:spacing w:before="0" w:beforeAutospacing="0" w:after="0" w:afterAutospacing="0" w:line="300" w:lineRule="auto"/>
              <w:ind w:left="111" w:right="11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77" w:leftChars="32" w:right="132" w:rightChars="55" w:firstLine="67" w:firstLineChars="2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成交候选人推荐原则</w:t>
            </w:r>
          </w:p>
        </w:tc>
        <w:tc>
          <w:tcPr>
            <w:tcW w:w="6347" w:type="dxa"/>
            <w:tcMar>
              <w:top w:w="0" w:type="dxa"/>
              <w:left w:w="85" w:type="dxa"/>
              <w:bottom w:w="0" w:type="dxa"/>
              <w:right w:w="85" w:type="dxa"/>
            </w:tcMar>
            <w:vAlign w:val="center"/>
          </w:tcPr>
          <w:p>
            <w:pPr>
              <w:keepNext w:val="0"/>
              <w:keepLines w:val="0"/>
              <w:pageBreakBefore w:val="0"/>
              <w:widowControl w:val="0"/>
              <w:suppressLineNumbers w:val="0"/>
              <w:kinsoku/>
              <w:wordWrap/>
              <w:overflowPunct/>
              <w:autoSpaceDE w:val="0"/>
              <w:autoSpaceDN w:val="0"/>
              <w:bidi w:val="0"/>
              <w:adjustRightInd w:val="0"/>
              <w:spacing w:before="0" w:beforeAutospacing="0" w:after="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磋商小组根据有效供应商综合得分由高至低排出的名次，顺序推荐</w:t>
            </w:r>
            <w:r>
              <w:rPr>
                <w:rFonts w:hint="eastAsia" w:ascii="仿宋" w:hAnsi="仿宋" w:eastAsia="仿宋" w:cs="仿宋"/>
                <w:color w:val="auto"/>
                <w:sz w:val="24"/>
                <w:szCs w:val="24"/>
                <w:highlight w:val="none"/>
                <w:u w:val="single"/>
              </w:rPr>
              <w:t>综合得分前</w:t>
            </w:r>
            <w:r>
              <w:rPr>
                <w:rFonts w:hint="eastAsia" w:ascii="仿宋" w:hAnsi="仿宋" w:eastAsia="仿宋" w:cs="仿宋"/>
                <w:color w:val="auto"/>
                <w:sz w:val="24"/>
                <w:szCs w:val="24"/>
                <w:highlight w:val="none"/>
                <w:u w:val="single"/>
                <w:lang w:val="en-US" w:eastAsia="zh-CN"/>
              </w:rPr>
              <w:t>3</w:t>
            </w:r>
            <w:r>
              <w:rPr>
                <w:rFonts w:hint="eastAsia" w:ascii="仿宋" w:hAnsi="仿宋" w:eastAsia="仿宋" w:cs="仿宋"/>
                <w:color w:val="auto"/>
                <w:sz w:val="24"/>
                <w:szCs w:val="24"/>
                <w:highlight w:val="none"/>
                <w:u w:val="single"/>
              </w:rPr>
              <w:t>名</w:t>
            </w:r>
            <w:r>
              <w:rPr>
                <w:rFonts w:hint="eastAsia" w:ascii="仿宋" w:hAnsi="仿宋" w:eastAsia="仿宋" w:cs="仿宋"/>
                <w:color w:val="auto"/>
                <w:sz w:val="24"/>
                <w:szCs w:val="24"/>
                <w:highlight w:val="none"/>
              </w:rPr>
              <w:t>为成交候选人。综合得分相同时，价格得分高者排名优先；价格得分也相同时，</w:t>
            </w:r>
            <w:r>
              <w:rPr>
                <w:rFonts w:hint="eastAsia" w:ascii="仿宋" w:hAnsi="仿宋" w:eastAsia="仿宋" w:cs="仿宋"/>
                <w:color w:val="auto"/>
                <w:sz w:val="24"/>
                <w:szCs w:val="24"/>
                <w:highlight w:val="none"/>
                <w:u w:val="single"/>
              </w:rPr>
              <w:t>技术</w:t>
            </w:r>
            <w:r>
              <w:rPr>
                <w:rFonts w:hint="eastAsia" w:ascii="仿宋" w:hAnsi="仿宋" w:eastAsia="仿宋" w:cs="仿宋"/>
                <w:color w:val="auto"/>
                <w:sz w:val="24"/>
                <w:szCs w:val="24"/>
                <w:highlight w:val="none"/>
              </w:rPr>
              <w:t>得分高者排名优先。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pStyle w:val="39"/>
              <w:keepNext w:val="0"/>
              <w:keepLines w:val="0"/>
              <w:pageBreakBefore w:val="0"/>
              <w:widowControl w:val="0"/>
              <w:suppressLineNumbers w:val="0"/>
              <w:kinsoku/>
              <w:wordWrap/>
              <w:overflowPunct/>
              <w:bidi w:val="0"/>
              <w:snapToGrid w:val="0"/>
              <w:spacing w:before="0" w:beforeAutospacing="0" w:after="0" w:afterAutospacing="0" w:line="300" w:lineRule="auto"/>
              <w:ind w:left="111" w:right="11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77" w:leftChars="32" w:right="132" w:rightChars="55" w:firstLine="67" w:firstLineChars="2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成交人数量</w:t>
            </w:r>
          </w:p>
        </w:tc>
        <w:tc>
          <w:tcPr>
            <w:tcW w:w="6347" w:type="dxa"/>
            <w:tcMar>
              <w:top w:w="0" w:type="dxa"/>
              <w:left w:w="85" w:type="dxa"/>
              <w:bottom w:w="0" w:type="dxa"/>
              <w:right w:w="85" w:type="dxa"/>
            </w:tcMar>
            <w:vAlign w:val="center"/>
          </w:tcPr>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成交人数量：</w:t>
            </w:r>
            <w:r>
              <w:rPr>
                <w:rFonts w:hint="eastAsia" w:ascii="仿宋" w:hAnsi="仿宋" w:eastAsia="仿宋" w:cs="仿宋"/>
                <w:color w:val="auto"/>
                <w:sz w:val="24"/>
                <w:szCs w:val="24"/>
                <w:highlight w:val="none"/>
                <w:u w:val="single"/>
              </w:rPr>
              <w:t>1家</w:t>
            </w:r>
          </w:p>
          <w:p>
            <w:pPr>
              <w:keepNext w:val="0"/>
              <w:keepLines w:val="0"/>
              <w:pageBreakBefore w:val="0"/>
              <w:widowControl w:val="0"/>
              <w:suppressLineNumbers w:val="0"/>
              <w:kinsoku/>
              <w:wordWrap/>
              <w:overflowPunct/>
              <w:autoSpaceDE w:val="0"/>
              <w:autoSpaceDN w:val="0"/>
              <w:bidi w:val="0"/>
              <w:adjustRightInd w:val="0"/>
              <w:spacing w:before="0" w:beforeAutospacing="0" w:after="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采购人根据成交候选人名单，确定排名第一的成交候选人</w:t>
            </w:r>
            <w:r>
              <w:rPr>
                <w:rFonts w:hint="eastAsia" w:ascii="仿宋" w:hAnsi="仿宋" w:eastAsia="仿宋" w:cs="仿宋"/>
                <w:color w:val="auto"/>
                <w:sz w:val="24"/>
                <w:szCs w:val="24"/>
                <w:highlight w:val="none"/>
                <w:u w:val="none"/>
              </w:rPr>
              <w:t>为成交人。</w:t>
            </w:r>
            <w:r>
              <w:rPr>
                <w:rFonts w:hint="eastAsia" w:ascii="仿宋" w:hAnsi="仿宋" w:eastAsia="仿宋" w:cs="仿宋"/>
                <w:color w:val="auto"/>
                <w:sz w:val="24"/>
                <w:szCs w:val="24"/>
                <w:highlight w:val="none"/>
                <w:u w:val="single"/>
              </w:rPr>
              <w:t>综合排名第一</w:t>
            </w:r>
            <w:r>
              <w:rPr>
                <w:rFonts w:hint="eastAsia" w:ascii="仿宋" w:hAnsi="仿宋" w:eastAsia="仿宋" w:cs="仿宋"/>
                <w:color w:val="auto"/>
                <w:sz w:val="24"/>
                <w:szCs w:val="24"/>
                <w:highlight w:val="none"/>
              </w:rPr>
              <w:t>成交候选人放弃成交、因不可抗力不能履行合同、不按照磋商文件要求提交履约保证金、存在重大经营或法律风险、被查实存在影响采购结果的违法行为等情形，采购人按照磋商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pStyle w:val="39"/>
              <w:keepNext w:val="0"/>
              <w:keepLines w:val="0"/>
              <w:pageBreakBefore w:val="0"/>
              <w:widowControl w:val="0"/>
              <w:suppressLineNumbers w:val="0"/>
              <w:kinsoku/>
              <w:wordWrap/>
              <w:overflowPunct/>
              <w:bidi w:val="0"/>
              <w:snapToGrid w:val="0"/>
              <w:spacing w:before="0" w:beforeAutospacing="0" w:after="0" w:afterAutospacing="0" w:line="300" w:lineRule="auto"/>
              <w:ind w:left="111" w:right="11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77" w:leftChars="32" w:right="132" w:rightChars="55" w:firstLine="67" w:firstLineChars="2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履约保证金</w:t>
            </w:r>
          </w:p>
        </w:tc>
        <w:tc>
          <w:tcPr>
            <w:tcW w:w="6347" w:type="dxa"/>
            <w:tcMar>
              <w:top w:w="0" w:type="dxa"/>
              <w:left w:w="85" w:type="dxa"/>
              <w:bottom w:w="0" w:type="dxa"/>
              <w:right w:w="85" w:type="dxa"/>
            </w:tcMar>
            <w:vAlign w:val="center"/>
          </w:tcPr>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□收取，形式及比例：</w:t>
            </w:r>
          </w:p>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pStyle w:val="39"/>
              <w:keepNext w:val="0"/>
              <w:keepLines w:val="0"/>
              <w:pageBreakBefore w:val="0"/>
              <w:widowControl w:val="0"/>
              <w:suppressLineNumbers w:val="0"/>
              <w:kinsoku/>
              <w:wordWrap/>
              <w:overflowPunct/>
              <w:bidi w:val="0"/>
              <w:snapToGrid w:val="0"/>
              <w:spacing w:before="0" w:beforeAutospacing="0" w:after="0" w:afterAutospacing="0" w:line="300" w:lineRule="auto"/>
              <w:ind w:left="111" w:right="11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77" w:leftChars="32" w:right="132" w:rightChars="55" w:firstLine="67" w:firstLineChars="2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合同签署</w:t>
            </w:r>
          </w:p>
        </w:tc>
        <w:tc>
          <w:tcPr>
            <w:tcW w:w="6347" w:type="dxa"/>
            <w:tcMar>
              <w:top w:w="0" w:type="dxa"/>
              <w:left w:w="85" w:type="dxa"/>
              <w:bottom w:w="0" w:type="dxa"/>
              <w:right w:w="85" w:type="dxa"/>
            </w:tcMar>
            <w:vAlign w:val="center"/>
          </w:tcPr>
          <w:p>
            <w:pPr>
              <w:keepNext w:val="0"/>
              <w:keepLines w:val="0"/>
              <w:pageBreakBefore w:val="0"/>
              <w:widowControl w:val="0"/>
              <w:suppressLineNumbers w:val="0"/>
              <w:kinsoku/>
              <w:wordWrap/>
              <w:overflowPunct/>
              <w:autoSpaceDE w:val="0"/>
              <w:autoSpaceDN w:val="0"/>
              <w:bidi w:val="0"/>
              <w:adjustRightInd w:val="0"/>
              <w:spacing w:before="0" w:beforeAutospacing="0" w:after="0" w:afterAutospacing="0" w:line="300" w:lineRule="auto"/>
              <w:ind w:left="0" w:right="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项目采购人为</w:t>
            </w:r>
            <w:r>
              <w:rPr>
                <w:rFonts w:hint="eastAsia" w:ascii="仿宋" w:hAnsi="仿宋" w:eastAsia="仿宋" w:cs="仿宋"/>
                <w:color w:val="auto"/>
                <w:sz w:val="24"/>
                <w:szCs w:val="24"/>
                <w:highlight w:val="none"/>
                <w:lang w:eastAsia="zh-CN"/>
              </w:rPr>
              <w:t>中国人民财产保险股份有限公司都江堰支公司，采购合同由中国人民财产保险股份有限公司成都市分公司（以下简称“人保财险成都市分公司”）根据成交结果与成交人签署。</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adjustRightInd w:val="0"/>
              <w:snapToGrid w:val="0"/>
              <w:spacing w:before="0" w:beforeAutospacing="0" w:after="0" w:afterAutospacing="0" w:line="30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18</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adjustRightInd w:val="0"/>
              <w:snapToGrid w:val="0"/>
              <w:spacing w:before="0" w:beforeAutospacing="0" w:after="0" w:afterAutospacing="0" w:line="300" w:lineRule="auto"/>
              <w:ind w:left="41" w:leftChars="17"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采购预算</w:t>
            </w:r>
          </w:p>
        </w:tc>
        <w:tc>
          <w:tcPr>
            <w:tcW w:w="6347" w:type="dxa"/>
            <w:tcMar>
              <w:top w:w="0" w:type="dxa"/>
              <w:left w:w="85" w:type="dxa"/>
              <w:bottom w:w="0" w:type="dxa"/>
              <w:right w:w="85" w:type="dxa"/>
            </w:tcMar>
            <w:vAlign w:val="center"/>
          </w:tcPr>
          <w:p>
            <w:pPr>
              <w:pStyle w:val="63"/>
              <w:keepNext w:val="0"/>
              <w:keepLines w:val="0"/>
              <w:pageBreakBefore w:val="0"/>
              <w:widowControl w:val="0"/>
              <w:suppressLineNumbers w:val="0"/>
              <w:kinsoku/>
              <w:wordWrap/>
              <w:overflowPunct/>
              <w:bidi w:val="0"/>
              <w:snapToGrid w:val="0"/>
              <w:spacing w:before="0" w:beforeAutospacing="0" w:after="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本项目采购预算为</w:t>
            </w:r>
            <w:r>
              <w:rPr>
                <w:rFonts w:hint="eastAsia" w:ascii="仿宋" w:hAnsi="仿宋" w:eastAsia="仿宋" w:cs="仿宋"/>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795240.00元</w:t>
            </w:r>
            <w:r>
              <w:rPr>
                <w:rFonts w:hint="eastAsia" w:ascii="仿宋" w:hAnsi="仿宋" w:eastAsia="仿宋" w:cs="仿宋"/>
                <w:color w:val="auto"/>
                <w:sz w:val="24"/>
                <w:szCs w:val="24"/>
                <w:highlight w:val="none"/>
              </w:rPr>
              <w:t>。</w:t>
            </w:r>
          </w:p>
          <w:p>
            <w:pPr>
              <w:keepNext w:val="0"/>
              <w:keepLines w:val="0"/>
              <w:pageBreakBefore w:val="0"/>
              <w:widowControl w:val="0"/>
              <w:suppressLineNumbers w:val="0"/>
              <w:kinsoku/>
              <w:wordWrap/>
              <w:overflowPunct/>
              <w:autoSpaceDE w:val="0"/>
              <w:autoSpaceDN w:val="0"/>
              <w:bidi w:val="0"/>
              <w:adjustRightInd w:val="0"/>
              <w:snapToGrid w:val="0"/>
              <w:spacing w:before="0" w:beforeAutospacing="0" w:after="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本采购预算为各供应商报价参考，不作为实际结算金额，最终以实际发生的金额为准。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adjustRightInd w:val="0"/>
              <w:snapToGrid w:val="0"/>
              <w:spacing w:before="0" w:beforeAutospacing="0" w:after="0" w:afterAutospacing="0" w:line="30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19</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adjustRightInd w:val="0"/>
              <w:snapToGrid w:val="0"/>
              <w:spacing w:before="0" w:beforeAutospacing="0" w:after="0" w:afterAutospacing="0" w:line="300" w:lineRule="auto"/>
              <w:ind w:left="41" w:leftChars="17"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★最高限价</w:t>
            </w:r>
          </w:p>
        </w:tc>
        <w:tc>
          <w:tcPr>
            <w:tcW w:w="6347" w:type="dxa"/>
            <w:tcMar>
              <w:top w:w="0" w:type="dxa"/>
              <w:left w:w="85" w:type="dxa"/>
              <w:bottom w:w="0" w:type="dxa"/>
              <w:right w:w="85" w:type="dxa"/>
            </w:tcMar>
            <w:vAlign w:val="center"/>
          </w:tcPr>
          <w:p>
            <w:pPr>
              <w:keepNext w:val="0"/>
              <w:keepLines w:val="0"/>
              <w:pageBreakBefore w:val="0"/>
              <w:widowControl w:val="0"/>
              <w:suppressLineNumbers w:val="0"/>
              <w:kinsoku/>
              <w:wordWrap/>
              <w:overflowPunct/>
              <w:autoSpaceDE w:val="0"/>
              <w:autoSpaceDN w:val="0"/>
              <w:bidi w:val="0"/>
              <w:adjustRightInd w:val="0"/>
              <w:snapToGrid w:val="0"/>
              <w:spacing w:before="0" w:beforeAutospacing="0" w:after="0" w:afterAutospacing="0" w:line="300" w:lineRule="auto"/>
              <w:ind w:left="0" w:righ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本项目</w:t>
            </w:r>
            <w:r>
              <w:rPr>
                <w:rFonts w:hint="eastAsia" w:ascii="仿宋" w:hAnsi="仿宋" w:eastAsia="仿宋" w:cs="仿宋"/>
                <w:color w:val="auto"/>
                <w:sz w:val="24"/>
                <w:szCs w:val="24"/>
                <w:highlight w:val="none"/>
                <w:lang w:val="en-US" w:eastAsia="zh-CN"/>
              </w:rPr>
              <w:t>设置最高限价，具体如下：</w:t>
            </w:r>
          </w:p>
          <w:p>
            <w:pPr>
              <w:keepNext w:val="0"/>
              <w:keepLines w:val="0"/>
              <w:pageBreakBefore w:val="0"/>
              <w:widowControl w:val="0"/>
              <w:numPr>
                <w:ilvl w:val="0"/>
                <w:numId w:val="3"/>
              </w:numPr>
              <w:suppressLineNumbers w:val="0"/>
              <w:kinsoku/>
              <w:wordWrap/>
              <w:overflowPunct/>
              <w:autoSpaceDE w:val="0"/>
              <w:autoSpaceDN w:val="0"/>
              <w:bidi w:val="0"/>
              <w:adjustRightInd w:val="0"/>
              <w:snapToGrid w:val="0"/>
              <w:spacing w:before="0" w:beforeAutospacing="0" w:after="0" w:afterAutospacing="0" w:line="300" w:lineRule="auto"/>
              <w:ind w:left="0" w:right="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总价最高限价：795240.00元</w:t>
            </w:r>
          </w:p>
          <w:p>
            <w:pPr>
              <w:pStyle w:val="2"/>
              <w:keepNext w:val="0"/>
              <w:keepLines w:val="0"/>
              <w:widowControl/>
              <w:numPr>
                <w:ilvl w:val="0"/>
                <w:numId w:val="3"/>
              </w:numPr>
              <w:suppressLineNumbers w:val="0"/>
              <w:spacing w:before="0" w:beforeAutospacing="0" w:afterAutospacing="0"/>
              <w:ind w:left="0" w:right="0"/>
              <w:rPr>
                <w:rFonts w:hint="eastAsia"/>
              </w:rPr>
            </w:pPr>
            <w:r>
              <w:rPr>
                <w:rFonts w:hint="eastAsia" w:ascii="仿宋" w:hAnsi="仿宋" w:eastAsia="仿宋" w:cs="仿宋"/>
                <w:b/>
                <w:bCs/>
                <w:color w:val="auto"/>
                <w:sz w:val="24"/>
                <w:szCs w:val="24"/>
                <w:highlight w:val="none"/>
                <w:lang w:val="en-US" w:eastAsia="zh-CN"/>
              </w:rPr>
              <w:t>单价最高限价</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132540.00元/个小区</w:t>
            </w:r>
            <w:r>
              <w:rPr>
                <w:rFonts w:hint="eastAsia" w:ascii="仿宋" w:hAnsi="仿宋" w:eastAsia="仿宋" w:cs="仿宋"/>
                <w:b/>
                <w:bCs/>
                <w:color w:val="auto"/>
                <w:sz w:val="24"/>
                <w:szCs w:val="24"/>
                <w:highlight w:val="none"/>
              </w:rPr>
              <w:t>。</w:t>
            </w:r>
          </w:p>
          <w:p>
            <w:pPr>
              <w:keepNext w:val="0"/>
              <w:keepLines w:val="0"/>
              <w:pageBreakBefore w:val="0"/>
              <w:widowControl w:val="0"/>
              <w:suppressLineNumbers w:val="0"/>
              <w:kinsoku/>
              <w:wordWrap/>
              <w:overflowPunct/>
              <w:autoSpaceDE w:val="0"/>
              <w:autoSpaceDN w:val="0"/>
              <w:bidi w:val="0"/>
              <w:adjustRightInd w:val="0"/>
              <w:snapToGrid w:val="0"/>
              <w:spacing w:before="0" w:beforeAutospacing="0" w:after="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响应报价</w:t>
            </w:r>
            <w:r>
              <w:rPr>
                <w:rFonts w:hint="eastAsia" w:ascii="仿宋" w:hAnsi="仿宋" w:eastAsia="仿宋" w:cs="仿宋"/>
                <w:color w:val="auto"/>
                <w:spacing w:val="-4"/>
                <w:sz w:val="24"/>
                <w:szCs w:val="24"/>
                <w:highlight w:val="none"/>
                <w:lang w:val="en-US" w:eastAsia="zh-CN"/>
              </w:rPr>
              <w:t>的总价或单价</w:t>
            </w:r>
            <w:r>
              <w:rPr>
                <w:rFonts w:hint="eastAsia" w:ascii="仿宋" w:hAnsi="仿宋" w:eastAsia="仿宋" w:cs="仿宋"/>
                <w:color w:val="auto"/>
                <w:spacing w:val="-4"/>
                <w:sz w:val="24"/>
                <w:szCs w:val="24"/>
                <w:highlight w:val="none"/>
              </w:rPr>
              <w:t>高于</w:t>
            </w:r>
            <w:r>
              <w:rPr>
                <w:rFonts w:hint="eastAsia" w:ascii="仿宋" w:hAnsi="仿宋" w:eastAsia="仿宋" w:cs="仿宋"/>
                <w:color w:val="auto"/>
                <w:spacing w:val="-4"/>
                <w:sz w:val="24"/>
                <w:szCs w:val="24"/>
                <w:highlight w:val="none"/>
                <w:lang w:val="en-US" w:eastAsia="zh-CN"/>
              </w:rPr>
              <w:t>对应</w:t>
            </w:r>
            <w:r>
              <w:rPr>
                <w:rFonts w:hint="eastAsia" w:ascii="仿宋" w:hAnsi="仿宋" w:eastAsia="仿宋" w:cs="仿宋"/>
                <w:color w:val="auto"/>
                <w:spacing w:val="-4"/>
                <w:sz w:val="24"/>
                <w:szCs w:val="24"/>
                <w:highlight w:val="none"/>
              </w:rPr>
              <w:t>最高限价的，</w:t>
            </w:r>
            <w:r>
              <w:rPr>
                <w:rFonts w:hint="eastAsia" w:ascii="仿宋" w:hAnsi="仿宋" w:eastAsia="仿宋" w:cs="仿宋"/>
                <w:b/>
                <w:color w:val="auto"/>
                <w:spacing w:val="-4"/>
                <w:sz w:val="24"/>
                <w:szCs w:val="24"/>
                <w:highlight w:val="none"/>
              </w:rPr>
              <w:t>其响应将被否决。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adjustRightInd w:val="0"/>
              <w:snapToGrid w:val="0"/>
              <w:spacing w:before="0" w:beforeAutospacing="0" w:after="0" w:afterAutospacing="0" w:line="30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adjustRightInd w:val="0"/>
              <w:snapToGrid w:val="0"/>
              <w:spacing w:before="0" w:beforeAutospacing="0" w:after="0" w:afterAutospacing="0" w:line="300" w:lineRule="auto"/>
              <w:ind w:left="41" w:leftChars="17"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低于成本价不正当竞争预防措施</w:t>
            </w:r>
          </w:p>
        </w:tc>
        <w:tc>
          <w:tcPr>
            <w:tcW w:w="6347" w:type="dxa"/>
            <w:tcMar>
              <w:top w:w="0" w:type="dxa"/>
              <w:left w:w="85" w:type="dxa"/>
              <w:bottom w:w="0" w:type="dxa"/>
              <w:right w:w="85" w:type="dxa"/>
            </w:tcMar>
            <w:vAlign w:val="center"/>
          </w:tcPr>
          <w:p>
            <w:pPr>
              <w:pStyle w:val="37"/>
              <w:keepNext w:val="0"/>
              <w:keepLines w:val="0"/>
              <w:pageBreakBefore w:val="0"/>
              <w:widowControl w:val="0"/>
              <w:suppressLineNumbers w:val="0"/>
              <w:kinsoku/>
              <w:wordWrap/>
              <w:overflowPunct/>
              <w:bidi w:val="0"/>
              <w:snapToGrid w:val="0"/>
              <w:spacing w:before="0" w:beforeAutospacing="0" w:after="0" w:afterAutospacing="0" w:line="300" w:lineRule="auto"/>
              <w:ind w:left="0" w:right="120" w:rightChars="5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1.在评审过程中，出现下列情形之一的，磋商小组应当启动低于成本响应审查程序： </w:t>
            </w:r>
          </w:p>
          <w:p>
            <w:pPr>
              <w:pStyle w:val="37"/>
              <w:keepNext w:val="0"/>
              <w:keepLines w:val="0"/>
              <w:pageBreakBefore w:val="0"/>
              <w:widowControl w:val="0"/>
              <w:suppressLineNumbers w:val="0"/>
              <w:kinsoku/>
              <w:wordWrap/>
              <w:overflowPunct/>
              <w:bidi w:val="0"/>
              <w:snapToGrid w:val="0"/>
              <w:spacing w:before="0" w:beforeAutospacing="0" w:after="0" w:afterAutospacing="0" w:line="300" w:lineRule="auto"/>
              <w:ind w:left="0" w:right="120" w:rightChars="5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（1）响应报价低于全部通过符合性审查供应商响应报价平均值65%的，即响应报价＜全部通过符合性审查供应商响应报价平均值×65%；</w:t>
            </w:r>
          </w:p>
          <w:p>
            <w:pPr>
              <w:pStyle w:val="37"/>
              <w:keepNext w:val="0"/>
              <w:keepLines w:val="0"/>
              <w:pageBreakBefore w:val="0"/>
              <w:widowControl w:val="0"/>
              <w:suppressLineNumbers w:val="0"/>
              <w:kinsoku/>
              <w:wordWrap/>
              <w:overflowPunct/>
              <w:bidi w:val="0"/>
              <w:snapToGrid w:val="0"/>
              <w:spacing w:before="0" w:beforeAutospacing="0" w:after="0" w:afterAutospacing="0" w:line="300" w:lineRule="auto"/>
              <w:ind w:left="0" w:right="120" w:rightChars="5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（2）响应报价低于通过符合性审查的次低报价供应商响应报价65%的，即响应报价＜通过符合性审查的次低报价供应商响应报价×65%；</w:t>
            </w:r>
          </w:p>
          <w:p>
            <w:pPr>
              <w:pStyle w:val="37"/>
              <w:keepNext w:val="0"/>
              <w:keepLines w:val="0"/>
              <w:pageBreakBefore w:val="0"/>
              <w:widowControl w:val="0"/>
              <w:suppressLineNumbers w:val="0"/>
              <w:kinsoku/>
              <w:wordWrap/>
              <w:overflowPunct/>
              <w:bidi w:val="0"/>
              <w:snapToGrid w:val="0"/>
              <w:spacing w:before="0" w:beforeAutospacing="0" w:after="0" w:afterAutospacing="0" w:line="300" w:lineRule="auto"/>
              <w:ind w:left="0" w:right="120" w:rightChars="5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（3）响应报价低于采购项目最高限价65%的，即响应报价＜采购项目最高限价×65%；</w:t>
            </w:r>
          </w:p>
          <w:p>
            <w:pPr>
              <w:pStyle w:val="37"/>
              <w:keepNext w:val="0"/>
              <w:keepLines w:val="0"/>
              <w:pageBreakBefore w:val="0"/>
              <w:widowControl w:val="0"/>
              <w:suppressLineNumbers w:val="0"/>
              <w:kinsoku/>
              <w:wordWrap/>
              <w:overflowPunct/>
              <w:bidi w:val="0"/>
              <w:snapToGrid w:val="0"/>
              <w:spacing w:before="0" w:beforeAutospacing="0" w:after="0" w:afterAutospacing="0" w:line="300" w:lineRule="auto"/>
              <w:ind w:left="0" w:right="120" w:rightChars="5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（4）磋商小组基于专业判断，认为供应商报价过低、有可能影响产品质量或者不能诚信履约的其他情形。</w:t>
            </w:r>
          </w:p>
          <w:p>
            <w:pPr>
              <w:pStyle w:val="37"/>
              <w:keepNext w:val="0"/>
              <w:keepLines w:val="0"/>
              <w:pageBreakBefore w:val="0"/>
              <w:widowControl w:val="0"/>
              <w:suppressLineNumbers w:val="0"/>
              <w:kinsoku/>
              <w:wordWrap/>
              <w:overflowPunct/>
              <w:bidi w:val="0"/>
              <w:snapToGrid w:val="0"/>
              <w:spacing w:before="0" w:beforeAutospacing="0" w:after="0" w:afterAutospacing="0" w:line="300" w:lineRule="auto"/>
              <w:ind w:left="0" w:right="120" w:rightChars="5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2.磋商小组启动低于成本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 </w:t>
            </w:r>
          </w:p>
          <w:p>
            <w:pPr>
              <w:pStyle w:val="37"/>
              <w:keepNext w:val="0"/>
              <w:keepLines w:val="0"/>
              <w:pageBreakBefore w:val="0"/>
              <w:widowControl w:val="0"/>
              <w:suppressLineNumbers w:val="0"/>
              <w:kinsoku/>
              <w:wordWrap/>
              <w:overflowPunct/>
              <w:bidi w:val="0"/>
              <w:snapToGrid w:val="0"/>
              <w:spacing w:before="0" w:beforeAutospacing="0" w:after="0" w:afterAutospacing="0" w:line="300" w:lineRule="auto"/>
              <w:ind w:left="0" w:right="120" w:rightChars="5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 </w:t>
            </w:r>
          </w:p>
          <w:p>
            <w:pPr>
              <w:pStyle w:val="37"/>
              <w:keepNext w:val="0"/>
              <w:keepLines w:val="0"/>
              <w:pageBreakBefore w:val="0"/>
              <w:widowControl w:val="0"/>
              <w:suppressLineNumbers w:val="0"/>
              <w:kinsoku/>
              <w:wordWrap/>
              <w:overflowPunct/>
              <w:bidi w:val="0"/>
              <w:snapToGrid w:val="0"/>
              <w:spacing w:before="0" w:beforeAutospacing="0" w:after="0" w:afterAutospacing="0" w:line="300" w:lineRule="auto"/>
              <w:ind w:left="0" w:right="120" w:rightChars="5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采购人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 </w:t>
            </w:r>
          </w:p>
          <w:p>
            <w:pPr>
              <w:pStyle w:val="37"/>
              <w:keepNext w:val="0"/>
              <w:keepLines w:val="0"/>
              <w:pageBreakBefore w:val="0"/>
              <w:widowControl w:val="0"/>
              <w:suppressLineNumbers w:val="0"/>
              <w:kinsoku/>
              <w:wordWrap/>
              <w:overflowPunct/>
              <w:bidi w:val="0"/>
              <w:snapToGrid w:val="0"/>
              <w:spacing w:before="0" w:beforeAutospacing="0" w:after="0" w:afterAutospacing="0" w:line="300" w:lineRule="auto"/>
              <w:ind w:left="0" w:right="120" w:rightChars="5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低于成本响应审查的启动原因、审查意见和审查结果应当在评审报告中记录，并随供应商提供的相关书面说明及证明材料，以及磋商小组有关互联网浏览、查询历史一并归档。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adjustRightInd w:val="0"/>
              <w:snapToGrid w:val="0"/>
              <w:spacing w:before="0" w:beforeAutospacing="0" w:after="0" w:afterAutospacing="0" w:line="30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adjustRightInd w:val="0"/>
              <w:snapToGrid w:val="0"/>
              <w:spacing w:before="0" w:beforeAutospacing="0" w:after="0" w:afterAutospacing="0" w:line="300" w:lineRule="auto"/>
              <w:ind w:left="41" w:leftChars="17"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其他说明</w:t>
            </w:r>
          </w:p>
        </w:tc>
        <w:tc>
          <w:tcPr>
            <w:tcW w:w="6347" w:type="dxa"/>
            <w:tcMar>
              <w:top w:w="0" w:type="dxa"/>
              <w:left w:w="85" w:type="dxa"/>
              <w:bottom w:w="0" w:type="dxa"/>
              <w:right w:w="85" w:type="dxa"/>
            </w:tcMar>
            <w:vAlign w:val="center"/>
          </w:tcPr>
          <w:p>
            <w:pPr>
              <w:keepNext w:val="0"/>
              <w:keepLines w:val="0"/>
              <w:pageBreakBefore w:val="0"/>
              <w:widowControl w:val="0"/>
              <w:suppressLineNumbers w:val="0"/>
              <w:kinsoku/>
              <w:wordWrap/>
              <w:overflowPunct/>
              <w:autoSpaceDE w:val="0"/>
              <w:autoSpaceDN w:val="0"/>
              <w:bidi w:val="0"/>
              <w:adjustRightInd w:val="0"/>
              <w:snapToGrid w:val="0"/>
              <w:spacing w:before="0" w:beforeAutospacing="0" w:after="0" w:afterAutospacing="0" w:line="300" w:lineRule="auto"/>
              <w:ind w:left="0" w:right="0"/>
              <w:rPr>
                <w:rFonts w:hint="eastAsia" w:ascii="仿宋" w:hAnsi="仿宋" w:eastAsia="仿宋" w:cs="仿宋"/>
                <w:bCs/>
                <w:snapToGrid w:val="0"/>
                <w:color w:val="auto"/>
                <w:sz w:val="24"/>
                <w:szCs w:val="24"/>
                <w:highlight w:val="none"/>
              </w:rPr>
            </w:pPr>
            <w:r>
              <w:rPr>
                <w:rFonts w:hint="eastAsia" w:ascii="仿宋" w:hAnsi="仿宋" w:eastAsia="仿宋" w:cs="仿宋"/>
                <w:bCs/>
                <w:snapToGrid w:val="0"/>
                <w:color w:val="auto"/>
                <w:sz w:val="24"/>
                <w:szCs w:val="24"/>
                <w:highlight w:val="none"/>
              </w:rPr>
              <w:t>1、本项目采购方式为竞争性磋商，供应商法定代表人或其授权委托人递交响应文件后须在现场等候磋商，磋商程序及方式详见本章第</w:t>
            </w:r>
            <w:r>
              <w:rPr>
                <w:rFonts w:hint="eastAsia" w:ascii="仿宋" w:hAnsi="仿宋" w:eastAsia="仿宋" w:cs="仿宋"/>
                <w:bCs/>
                <w:snapToGrid w:val="0"/>
                <w:color w:val="auto"/>
                <w:sz w:val="24"/>
                <w:szCs w:val="24"/>
                <w:highlight w:val="none"/>
                <w:lang w:val="en-US" w:eastAsia="zh-CN"/>
              </w:rPr>
              <w:t>12</w:t>
            </w:r>
            <w:r>
              <w:rPr>
                <w:rFonts w:hint="eastAsia" w:ascii="仿宋" w:hAnsi="仿宋" w:eastAsia="仿宋" w:cs="仿宋"/>
                <w:bCs/>
                <w:snapToGrid w:val="0"/>
                <w:color w:val="auto"/>
                <w:sz w:val="24"/>
                <w:szCs w:val="24"/>
                <w:highlight w:val="none"/>
              </w:rPr>
              <w:t>条相关规定，请供应商代表合理安排时间。</w:t>
            </w:r>
          </w:p>
          <w:p>
            <w:pPr>
              <w:pStyle w:val="37"/>
              <w:keepNext w:val="0"/>
              <w:keepLines w:val="0"/>
              <w:pageBreakBefore w:val="0"/>
              <w:widowControl w:val="0"/>
              <w:suppressLineNumbers w:val="0"/>
              <w:kinsoku/>
              <w:wordWrap/>
              <w:overflowPunct/>
              <w:bidi w:val="0"/>
              <w:snapToGrid w:val="0"/>
              <w:spacing w:before="0" w:beforeAutospacing="0" w:after="0" w:afterAutospacing="0" w:line="300" w:lineRule="auto"/>
              <w:ind w:left="0" w:right="120" w:rightChars="5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2、本次采购为企业采购行为，非政府采购行为，其适用的法律法规、规章、制度与政府采购不同；供应商应按照竞争性磋商文件规定以及列明的相关法律法规参与本次磋商，自行承担因对采购性质认知偏差所引发的一切责任。</w:t>
            </w:r>
          </w:p>
        </w:tc>
      </w:tr>
    </w:tbl>
    <w:p>
      <w:pPr>
        <w:spacing w:line="360" w:lineRule="auto"/>
        <w:jc w:val="center"/>
        <w:rPr>
          <w:rFonts w:hint="eastAsia" w:ascii="仿宋" w:hAnsi="仿宋" w:eastAsia="仿宋" w:cs="仿宋"/>
          <w:color w:val="auto"/>
          <w:highlight w:val="none"/>
        </w:rPr>
      </w:pPr>
      <w:r>
        <w:rPr>
          <w:rFonts w:hint="eastAsia" w:ascii="仿宋" w:hAnsi="仿宋" w:eastAsia="仿宋" w:cs="仿宋"/>
          <w:b/>
          <w:color w:val="auto"/>
          <w:sz w:val="24"/>
          <w:highlight w:val="none"/>
        </w:rPr>
        <w:t>本须知前附表是对供应商须知正文的具体补充和修改，如有矛盾，以本前附表为准。</w:t>
      </w:r>
    </w:p>
    <w:p>
      <w:pPr>
        <w:rPr>
          <w:rFonts w:hint="eastAsia" w:ascii="仿宋" w:hAnsi="仿宋" w:eastAsia="仿宋" w:cs="仿宋"/>
          <w:color w:val="auto"/>
          <w:sz w:val="24"/>
          <w:szCs w:val="24"/>
          <w:highlight w:val="none"/>
        </w:rPr>
      </w:pPr>
      <w:bookmarkStart w:id="18" w:name="_Toc444891336"/>
      <w:bookmarkStart w:id="19" w:name="_Toc517281816"/>
      <w:bookmarkStart w:id="20" w:name="_Toc6047"/>
      <w:bookmarkStart w:id="21" w:name="_Toc20514"/>
      <w:bookmarkStart w:id="22" w:name="_Toc27232"/>
      <w:bookmarkStart w:id="23" w:name="_Toc11071"/>
      <w:bookmarkStart w:id="24" w:name="_Toc19783313"/>
      <w:bookmarkStart w:id="25" w:name="_Toc287600118"/>
      <w:bookmarkStart w:id="26" w:name="_Toc22508"/>
      <w:bookmarkStart w:id="27" w:name="_Toc27220"/>
      <w:r>
        <w:rPr>
          <w:rFonts w:hint="eastAsia" w:ascii="仿宋" w:hAnsi="仿宋" w:eastAsia="仿宋" w:cs="仿宋"/>
          <w:color w:val="auto"/>
          <w:sz w:val="24"/>
          <w:szCs w:val="24"/>
          <w:highlight w:val="none"/>
        </w:rPr>
        <w:br w:type="page"/>
      </w:r>
    </w:p>
    <w:p>
      <w:pPr>
        <w:pStyle w:val="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二、供应商须知</w:t>
      </w:r>
      <w:bookmarkEnd w:id="18"/>
      <w:bookmarkEnd w:id="19"/>
      <w:bookmarkEnd w:id="20"/>
      <w:bookmarkEnd w:id="21"/>
      <w:bookmarkEnd w:id="22"/>
      <w:bookmarkEnd w:id="23"/>
      <w:bookmarkEnd w:id="24"/>
      <w:bookmarkEnd w:id="25"/>
      <w:r>
        <w:rPr>
          <w:rFonts w:hint="eastAsia" w:ascii="仿宋" w:hAnsi="仿宋" w:eastAsia="仿宋" w:cs="仿宋"/>
          <w:color w:val="auto"/>
          <w:sz w:val="24"/>
          <w:szCs w:val="24"/>
          <w:highlight w:val="none"/>
        </w:rPr>
        <w:t>正文</w:t>
      </w:r>
      <w:bookmarkEnd w:id="26"/>
      <w:bookmarkEnd w:id="27"/>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firstLine="0"/>
        <w:jc w:val="both"/>
        <w:textAlignment w:val="auto"/>
        <w:rPr>
          <w:rFonts w:hint="eastAsia" w:ascii="仿宋" w:hAnsi="仿宋" w:eastAsia="仿宋" w:cs="仿宋"/>
          <w:color w:val="auto"/>
          <w:sz w:val="24"/>
          <w:szCs w:val="24"/>
          <w:highlight w:val="none"/>
        </w:rPr>
      </w:pPr>
      <w:bookmarkStart w:id="28" w:name="_Toc517281817"/>
      <w:bookmarkStart w:id="29" w:name="_Toc287600119"/>
      <w:bookmarkStart w:id="30" w:name="_Toc3678"/>
      <w:bookmarkStart w:id="31" w:name="_Toc444891337"/>
      <w:bookmarkStart w:id="32" w:name="_Toc19783314"/>
      <w:bookmarkStart w:id="33" w:name="_Toc11851"/>
      <w:bookmarkStart w:id="34" w:name="_Toc16441"/>
      <w:bookmarkStart w:id="35" w:name="_Toc431"/>
      <w:bookmarkStart w:id="36" w:name="_Toc22969"/>
      <w:bookmarkStart w:id="37" w:name="_Toc24449"/>
      <w:bookmarkStart w:id="38" w:name="_Toc6681"/>
      <w:r>
        <w:rPr>
          <w:rFonts w:hint="eastAsia" w:ascii="仿宋" w:hAnsi="仿宋" w:eastAsia="仿宋" w:cs="仿宋"/>
          <w:color w:val="auto"/>
          <w:sz w:val="24"/>
          <w:szCs w:val="24"/>
          <w:highlight w:val="none"/>
        </w:rPr>
        <w:t>（一）总 则</w:t>
      </w:r>
      <w:bookmarkEnd w:id="28"/>
      <w:bookmarkEnd w:id="29"/>
      <w:bookmarkEnd w:id="30"/>
      <w:bookmarkEnd w:id="31"/>
      <w:bookmarkEnd w:id="32"/>
      <w:bookmarkEnd w:id="33"/>
      <w:bookmarkEnd w:id="34"/>
      <w:bookmarkEnd w:id="35"/>
      <w:bookmarkEnd w:id="36"/>
      <w:bookmarkEnd w:id="37"/>
      <w:bookmarkEnd w:id="38"/>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1.项目说明</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本项目按照中华人民共和国有关法律、行政法规和部门规章以及采购人的采购管理制度，通过竞争性磋商方式确定签约供应商。</w:t>
      </w:r>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2.采购范围</w:t>
      </w:r>
    </w:p>
    <w:p>
      <w:pPr>
        <w:keepNext w:val="0"/>
        <w:keepLines w:val="0"/>
        <w:pageBreakBefore w:val="0"/>
        <w:widowControl w:val="0"/>
        <w:tabs>
          <w:tab w:val="left" w:pos="3150"/>
          <w:tab w:val="left" w:pos="3780"/>
        </w:tabs>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bCs/>
          <w:color w:val="auto"/>
          <w:highlight w:val="none"/>
        </w:rPr>
      </w:pPr>
      <w:r>
        <w:rPr>
          <w:rFonts w:hint="eastAsia" w:ascii="仿宋" w:hAnsi="仿宋" w:eastAsia="仿宋" w:cs="仿宋"/>
          <w:color w:val="auto"/>
          <w:highlight w:val="none"/>
          <w:u w:val="single"/>
        </w:rPr>
        <w:t>详见本须知前附表</w:t>
      </w:r>
      <w:r>
        <w:rPr>
          <w:rFonts w:hint="eastAsia" w:ascii="仿宋" w:hAnsi="仿宋" w:eastAsia="仿宋" w:cs="仿宋"/>
          <w:color w:val="auto"/>
          <w:highlight w:val="none"/>
          <w:u w:val="single"/>
          <w:lang w:val="en-US" w:eastAsia="zh-CN"/>
        </w:rPr>
        <w:t>第1条</w:t>
      </w:r>
      <w:r>
        <w:rPr>
          <w:rFonts w:hint="eastAsia" w:ascii="仿宋" w:hAnsi="仿宋" w:eastAsia="仿宋" w:cs="仿宋"/>
          <w:color w:val="auto"/>
          <w:highlight w:val="none"/>
        </w:rPr>
        <w:t>，</w:t>
      </w:r>
      <w:r>
        <w:rPr>
          <w:rFonts w:hint="eastAsia" w:ascii="仿宋" w:hAnsi="仿宋" w:eastAsia="仿宋" w:cs="仿宋"/>
          <w:bCs/>
          <w:color w:val="auto"/>
          <w:highlight w:val="none"/>
        </w:rPr>
        <w:t>详细内容详见第五章采购需求。</w:t>
      </w:r>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3.资金来源</w:t>
      </w:r>
    </w:p>
    <w:p>
      <w:pPr>
        <w:keepNext w:val="0"/>
        <w:keepLines w:val="0"/>
        <w:pageBreakBefore w:val="0"/>
        <w:widowControl w:val="0"/>
        <w:tabs>
          <w:tab w:val="left" w:pos="3150"/>
          <w:tab w:val="left" w:pos="3780"/>
        </w:tabs>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资金来源于采购人或其子公司（含分支机构）自筹（比例100%），且资金已落实。</w:t>
      </w:r>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4.资格审查</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资格后审：是指在首次响应文件递交截止时间后由磋商小组根据磋商文件的规定对供应商进行的资格审查。采购人应当在磋商文件中详细规定资格审查标准和方法，资格后审一般包括资格要求、其他业绩要求、审查标准和方法。本项目资格审查方式、供应商应具备的资格条件</w:t>
      </w:r>
      <w:r>
        <w:rPr>
          <w:rFonts w:hint="eastAsia" w:ascii="仿宋" w:hAnsi="仿宋" w:eastAsia="仿宋" w:cs="仿宋"/>
          <w:color w:val="auto"/>
          <w:highlight w:val="none"/>
          <w:u w:val="single"/>
        </w:rPr>
        <w:t>详见本须知前附表</w:t>
      </w:r>
      <w:r>
        <w:rPr>
          <w:rFonts w:hint="eastAsia" w:ascii="仿宋" w:hAnsi="仿宋" w:eastAsia="仿宋" w:cs="仿宋"/>
          <w:color w:val="auto"/>
          <w:highlight w:val="none"/>
          <w:u w:val="single"/>
          <w:lang w:val="en-US" w:eastAsia="zh-CN"/>
        </w:rPr>
        <w:t>第2条</w:t>
      </w:r>
      <w:r>
        <w:rPr>
          <w:rFonts w:hint="eastAsia" w:ascii="仿宋" w:hAnsi="仿宋" w:eastAsia="仿宋" w:cs="仿宋"/>
          <w:color w:val="auto"/>
          <w:highlight w:val="none"/>
          <w:u w:val="single"/>
        </w:rPr>
        <w:t>。</w:t>
      </w:r>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5.磋商响应费用</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textAlignment w:val="baseline"/>
        <w:rPr>
          <w:rFonts w:hint="eastAsia" w:ascii="仿宋" w:hAnsi="仿宋" w:eastAsia="仿宋" w:cs="仿宋"/>
          <w:color w:val="auto"/>
          <w:highlight w:val="none"/>
        </w:rPr>
      </w:pPr>
      <w:r>
        <w:rPr>
          <w:rFonts w:hint="eastAsia" w:ascii="仿宋" w:hAnsi="仿宋" w:eastAsia="仿宋" w:cs="仿宋"/>
          <w:color w:val="auto"/>
          <w:highlight w:val="none"/>
        </w:rPr>
        <w:t>不论结果如何，供应商自行承担所有准备和参与本次磋商响应的有关费用。</w:t>
      </w:r>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textAlignment w:val="auto"/>
        <w:rPr>
          <w:rFonts w:hint="eastAsia" w:ascii="仿宋" w:hAnsi="仿宋" w:eastAsia="仿宋" w:cs="仿宋"/>
          <w:color w:val="auto"/>
          <w:sz w:val="24"/>
          <w:szCs w:val="24"/>
          <w:highlight w:val="none"/>
        </w:rPr>
      </w:pPr>
      <w:bookmarkStart w:id="39" w:name="_Toc5255"/>
      <w:bookmarkStart w:id="40" w:name="_Toc287600120"/>
      <w:bookmarkStart w:id="41" w:name="_Toc10975"/>
      <w:bookmarkStart w:id="42" w:name="_Toc517281818"/>
      <w:bookmarkStart w:id="43" w:name="_Toc17099"/>
      <w:bookmarkStart w:id="44" w:name="_Toc25513"/>
      <w:bookmarkStart w:id="45" w:name="_Toc24246"/>
      <w:bookmarkStart w:id="46" w:name="_Toc19783315"/>
      <w:bookmarkStart w:id="47" w:name="_Toc444891338"/>
      <w:bookmarkStart w:id="48" w:name="_Toc3016"/>
      <w:bookmarkStart w:id="49" w:name="_Toc14164"/>
      <w:r>
        <w:rPr>
          <w:rFonts w:hint="eastAsia" w:ascii="仿宋" w:hAnsi="仿宋" w:eastAsia="仿宋" w:cs="仿宋"/>
          <w:color w:val="auto"/>
          <w:sz w:val="24"/>
          <w:szCs w:val="24"/>
          <w:highlight w:val="none"/>
        </w:rPr>
        <w:t>（二）磋商文件</w:t>
      </w:r>
      <w:bookmarkEnd w:id="39"/>
      <w:bookmarkEnd w:id="40"/>
      <w:bookmarkEnd w:id="41"/>
      <w:bookmarkEnd w:id="42"/>
      <w:bookmarkEnd w:id="43"/>
      <w:bookmarkEnd w:id="44"/>
      <w:bookmarkEnd w:id="45"/>
      <w:bookmarkEnd w:id="46"/>
      <w:bookmarkEnd w:id="47"/>
      <w:bookmarkEnd w:id="48"/>
      <w:bookmarkEnd w:id="49"/>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6.磋商文件的组成</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6.1磋商文件包括下列内容：</w:t>
      </w:r>
    </w:p>
    <w:p>
      <w:pPr>
        <w:pStyle w:val="16"/>
        <w:keepNext w:val="0"/>
        <w:keepLines w:val="0"/>
        <w:pageBreakBefore w:val="0"/>
        <w:widowControl w:val="0"/>
        <w:kinsoku w:val="0"/>
        <w:wordWrap/>
        <w:overflowPunct/>
        <w:topLinePunct/>
        <w:autoSpaceDE w:val="0"/>
        <w:autoSpaceDN w:val="0"/>
        <w:bidi w:val="0"/>
        <w:adjustRightInd w:val="0"/>
        <w:snapToGrid w:val="0"/>
        <w:spacing w:line="360" w:lineRule="auto"/>
        <w:ind w:left="0" w:leftChars="0" w:right="0" w:firstLine="480" w:firstLineChars="200"/>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第一章 竞争性</w:t>
      </w: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rPr>
        <w:t>邀请</w:t>
      </w:r>
    </w:p>
    <w:p>
      <w:pPr>
        <w:pStyle w:val="16"/>
        <w:keepNext w:val="0"/>
        <w:keepLines w:val="0"/>
        <w:pageBreakBefore w:val="0"/>
        <w:widowControl w:val="0"/>
        <w:kinsoku w:val="0"/>
        <w:wordWrap/>
        <w:overflowPunct/>
        <w:topLinePunct/>
        <w:autoSpaceDE w:val="0"/>
        <w:autoSpaceDN w:val="0"/>
        <w:bidi w:val="0"/>
        <w:adjustRightInd w:val="0"/>
        <w:snapToGrid w:val="0"/>
        <w:spacing w:line="360" w:lineRule="auto"/>
        <w:ind w:left="0" w:leftChars="0" w:right="0" w:firstLine="480" w:firstLineChars="200"/>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第二章 供应商须知</w:t>
      </w:r>
    </w:p>
    <w:p>
      <w:pPr>
        <w:pStyle w:val="16"/>
        <w:keepNext w:val="0"/>
        <w:keepLines w:val="0"/>
        <w:pageBreakBefore w:val="0"/>
        <w:widowControl w:val="0"/>
        <w:kinsoku w:val="0"/>
        <w:wordWrap/>
        <w:overflowPunct/>
        <w:topLinePunct/>
        <w:autoSpaceDE w:val="0"/>
        <w:autoSpaceDN w:val="0"/>
        <w:bidi w:val="0"/>
        <w:adjustRightInd w:val="0"/>
        <w:snapToGrid w:val="0"/>
        <w:spacing w:line="360" w:lineRule="auto"/>
        <w:ind w:left="0" w:leftChars="0" w:right="0" w:firstLine="480" w:firstLineChars="200"/>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第三章 评审办法</w:t>
      </w:r>
    </w:p>
    <w:p>
      <w:pPr>
        <w:pStyle w:val="16"/>
        <w:keepNext w:val="0"/>
        <w:keepLines w:val="0"/>
        <w:pageBreakBefore w:val="0"/>
        <w:widowControl w:val="0"/>
        <w:kinsoku w:val="0"/>
        <w:wordWrap/>
        <w:overflowPunct/>
        <w:topLinePunct/>
        <w:autoSpaceDE w:val="0"/>
        <w:autoSpaceDN w:val="0"/>
        <w:bidi w:val="0"/>
        <w:adjustRightInd w:val="0"/>
        <w:snapToGrid w:val="0"/>
        <w:spacing w:line="360" w:lineRule="auto"/>
        <w:ind w:left="0" w:leftChars="0" w:right="0" w:firstLine="480" w:firstLineChars="200"/>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第四章 合同格式</w:t>
      </w:r>
    </w:p>
    <w:p>
      <w:pPr>
        <w:keepNext w:val="0"/>
        <w:keepLines w:val="0"/>
        <w:pageBreakBefore w:val="0"/>
        <w:widowControl w:val="0"/>
        <w:tabs>
          <w:tab w:val="left" w:pos="540"/>
          <w:tab w:val="left" w:pos="720"/>
        </w:tabs>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第五章 采购需求</w:t>
      </w:r>
    </w:p>
    <w:p>
      <w:pPr>
        <w:keepNext w:val="0"/>
        <w:keepLines w:val="0"/>
        <w:pageBreakBefore w:val="0"/>
        <w:widowControl w:val="0"/>
        <w:tabs>
          <w:tab w:val="left" w:pos="540"/>
          <w:tab w:val="left" w:pos="720"/>
        </w:tabs>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第六章 响应文件格式</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6.2采购人在磋商文件中以显著的方式标明实质性要求、条件以及不满足实质性要求和条件的响应文件将被否决的提示。实质性标识方式和具体要求</w:t>
      </w:r>
      <w:r>
        <w:rPr>
          <w:rFonts w:hint="eastAsia" w:ascii="仿宋" w:hAnsi="仿宋" w:eastAsia="仿宋" w:cs="仿宋"/>
          <w:color w:val="auto"/>
          <w:highlight w:val="none"/>
          <w:u w:val="single"/>
        </w:rPr>
        <w:t>见本须知前附表</w:t>
      </w:r>
      <w:r>
        <w:rPr>
          <w:rFonts w:hint="eastAsia" w:ascii="仿宋" w:hAnsi="仿宋" w:eastAsia="仿宋" w:cs="仿宋"/>
          <w:color w:val="auto"/>
          <w:highlight w:val="none"/>
          <w:u w:val="single"/>
          <w:lang w:val="en-US" w:eastAsia="zh-CN"/>
        </w:rPr>
        <w:t>第3条</w:t>
      </w:r>
      <w:r>
        <w:rPr>
          <w:rFonts w:hint="eastAsia" w:ascii="仿宋" w:hAnsi="仿宋" w:eastAsia="仿宋" w:cs="仿宋"/>
          <w:color w:val="auto"/>
          <w:highlight w:val="none"/>
        </w:rPr>
        <w:t>。</w:t>
      </w:r>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7.磋商文件的修改</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7.1在响应文件递交截止时间前，无论出于何种原因，采购人可主动地或在解答供应商要求澄清的问题时对磋商文件进行修改。</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7.2供应商有权要求采购人对磋商文件中的有关问题进行答疑、澄清。</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7.3供应商对磋商文件如有疑问,应在首次响应文件递交截止时间前按磋商文件中的联系方式，通知采购人。采购人将视情况采用适当方式予以澄清或以书面形式予以答复。供应商在收到上述通知后，应立即向采购人回复确认。供应商将被视为编制响应文件时已考虑了上述修改。</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7.4对于磋商文件的修改，如影响供应商响应文件编制的，采购人应推迟响应文件递交截止日期，并以书面或邮件形式通知所有已获取磋商文件的供应商。</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7.5任何对磋商文件的澄清均为磋商文件的组成部分，并具有同等的法律效力。如磋商文件的澄清与磋商文件有矛盾，以日期后的为准。</w:t>
      </w:r>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8.磋商响应预备会</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textAlignment w:val="baseline"/>
        <w:rPr>
          <w:rFonts w:hint="eastAsia" w:ascii="仿宋" w:hAnsi="仿宋" w:eastAsia="仿宋" w:cs="仿宋"/>
          <w:color w:val="auto"/>
          <w:highlight w:val="none"/>
          <w:u w:val="single"/>
        </w:rPr>
      </w:pPr>
      <w:r>
        <w:rPr>
          <w:rFonts w:hint="eastAsia" w:ascii="仿宋" w:hAnsi="仿宋" w:eastAsia="仿宋" w:cs="仿宋"/>
          <w:color w:val="auto"/>
          <w:highlight w:val="none"/>
        </w:rPr>
        <w:t>采购人认为必要时，将召开磋商响应预备会(答疑会)，公开解答潜在供应商对磋商文件提出的疑问。</w:t>
      </w:r>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textAlignment w:val="auto"/>
        <w:rPr>
          <w:rFonts w:hint="eastAsia" w:ascii="仿宋" w:hAnsi="仿宋" w:eastAsia="仿宋" w:cs="仿宋"/>
          <w:color w:val="auto"/>
          <w:sz w:val="24"/>
          <w:szCs w:val="24"/>
          <w:highlight w:val="none"/>
        </w:rPr>
      </w:pPr>
      <w:bookmarkStart w:id="50" w:name="_Toc517281819"/>
      <w:bookmarkStart w:id="51" w:name="_Toc29887"/>
      <w:bookmarkStart w:id="52" w:name="_Toc31141"/>
      <w:bookmarkStart w:id="53" w:name="_Toc287600121"/>
      <w:bookmarkStart w:id="54" w:name="_Toc16985"/>
      <w:bookmarkStart w:id="55" w:name="_Toc14308"/>
      <w:bookmarkStart w:id="56" w:name="_Toc27642"/>
      <w:bookmarkStart w:id="57" w:name="_Toc444891339"/>
      <w:bookmarkStart w:id="58" w:name="_Toc13691"/>
      <w:bookmarkStart w:id="59" w:name="_Toc19783316"/>
      <w:bookmarkStart w:id="60" w:name="_Toc27563"/>
      <w:r>
        <w:rPr>
          <w:rFonts w:hint="eastAsia" w:ascii="仿宋" w:hAnsi="仿宋" w:eastAsia="仿宋" w:cs="仿宋"/>
          <w:color w:val="auto"/>
          <w:sz w:val="24"/>
          <w:szCs w:val="24"/>
          <w:highlight w:val="none"/>
        </w:rPr>
        <w:t>（三）响应文件</w:t>
      </w:r>
      <w:bookmarkEnd w:id="50"/>
      <w:bookmarkEnd w:id="51"/>
      <w:bookmarkEnd w:id="52"/>
      <w:bookmarkEnd w:id="53"/>
      <w:bookmarkEnd w:id="54"/>
      <w:bookmarkEnd w:id="55"/>
      <w:bookmarkEnd w:id="56"/>
      <w:bookmarkEnd w:id="57"/>
      <w:bookmarkEnd w:id="58"/>
      <w:bookmarkEnd w:id="59"/>
      <w:bookmarkEnd w:id="60"/>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9.响应文件的组成</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供应商应当按照供应商须知前附表的要求制作并提交响应文件，具体组成</w:t>
      </w:r>
      <w:r>
        <w:rPr>
          <w:rFonts w:hint="eastAsia" w:ascii="仿宋" w:hAnsi="仿宋" w:eastAsia="仿宋" w:cs="仿宋"/>
          <w:color w:val="auto"/>
          <w:highlight w:val="none"/>
          <w:u w:val="single"/>
        </w:rPr>
        <w:t>见本须知前附表</w:t>
      </w:r>
      <w:r>
        <w:rPr>
          <w:rFonts w:hint="eastAsia" w:ascii="仿宋" w:hAnsi="仿宋" w:eastAsia="仿宋" w:cs="仿宋"/>
          <w:color w:val="auto"/>
          <w:highlight w:val="none"/>
          <w:u w:val="single"/>
          <w:lang w:val="en-US" w:eastAsia="zh-CN"/>
        </w:rPr>
        <w:t xml:space="preserve">第4条 </w:t>
      </w:r>
      <w:r>
        <w:rPr>
          <w:rFonts w:hint="eastAsia" w:ascii="仿宋" w:hAnsi="仿宋" w:eastAsia="仿宋" w:cs="仿宋"/>
          <w:color w:val="auto"/>
          <w:highlight w:val="none"/>
        </w:rPr>
        <w:t>。</w:t>
      </w:r>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10.响应文件的编制</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10.1 供应商应当按照磋商文件的要求编制响应文件，并对其提交的响应文件的真实性、合法性承担法律责任。响应文件应当对磋商文件提出的实质性要求和条件作出响应。 </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10.2 供应商应认真阅读磋商文件中所有的事项、格式、条款和技术规范等。供应商没有按照磋商文件要求递交全部资料，或者供应商没有对磋商文件在各方面都作出实质性响应是供应商的风险，并可能导致其磋商响应被否决。 </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10.3 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磋商文件中要求进行解释或提出建议的除外）。</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10.4 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磋商文件中要求进行解释或提出建议的除外）。</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10.5 供应商提交的响应文件以及供应商与采购人就有关磋商的所有往来函电均应使用中文。供应商提交的证明文件和印刷的文献可以使用另一种语言，但相应内容应当译成中文，在解释响应文件时以中文译本为准。</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u w:val="single"/>
        </w:rPr>
      </w:pPr>
      <w:r>
        <w:rPr>
          <w:rFonts w:hint="eastAsia" w:ascii="仿宋" w:hAnsi="仿宋" w:eastAsia="仿宋" w:cs="仿宋"/>
          <w:color w:val="auto"/>
          <w:highlight w:val="none"/>
        </w:rPr>
        <w:t>10.6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1" w:name="_Hlk173250545"/>
      <w:r>
        <w:rPr>
          <w:rFonts w:hint="eastAsia" w:ascii="仿宋" w:hAnsi="仿宋" w:eastAsia="仿宋" w:cs="仿宋"/>
          <w:color w:val="auto"/>
          <w:highlight w:val="none"/>
        </w:rPr>
        <w:t>盖章或者签字另有要求的，</w:t>
      </w:r>
      <w:r>
        <w:rPr>
          <w:rFonts w:hint="eastAsia" w:ascii="仿宋" w:hAnsi="仿宋" w:eastAsia="仿宋" w:cs="仿宋"/>
          <w:color w:val="auto"/>
          <w:highlight w:val="none"/>
          <w:u w:val="single"/>
        </w:rPr>
        <w:t>见本须知前附表</w:t>
      </w:r>
      <w:r>
        <w:rPr>
          <w:rFonts w:hint="eastAsia" w:ascii="仿宋" w:hAnsi="仿宋" w:eastAsia="仿宋" w:cs="仿宋"/>
          <w:color w:val="auto"/>
          <w:highlight w:val="none"/>
          <w:u w:val="single"/>
          <w:lang w:val="en-US" w:eastAsia="zh-CN"/>
        </w:rPr>
        <w:t>第6条</w:t>
      </w:r>
      <w:r>
        <w:rPr>
          <w:rFonts w:hint="eastAsia" w:ascii="仿宋" w:hAnsi="仿宋" w:eastAsia="仿宋" w:cs="仿宋"/>
          <w:color w:val="auto"/>
          <w:highlight w:val="none"/>
          <w:u w:val="single"/>
        </w:rPr>
        <w:t>。</w:t>
      </w:r>
    </w:p>
    <w:bookmarkEnd w:id="61"/>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10.7除工程规范另有规定外，响应文件使用的度量衡单位，均采用中华人民共和国法定计量单位。</w:t>
      </w:r>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11.磋商响应报价</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供应商应当根据磋商文件要求进行报价，供应商应当报出符合磋商文件要求的拟提供货物或服务的单价、总价、费率、税率等内容，采购人不接受供应商的任何低于成本报价的不正当竞争方式，其他报价要求</w:t>
      </w:r>
      <w:r>
        <w:rPr>
          <w:rFonts w:hint="eastAsia" w:ascii="仿宋" w:hAnsi="仿宋" w:eastAsia="仿宋" w:cs="仿宋"/>
          <w:color w:val="auto"/>
          <w:highlight w:val="none"/>
          <w:u w:val="single"/>
        </w:rPr>
        <w:t>见本须知前附表</w:t>
      </w:r>
      <w:r>
        <w:rPr>
          <w:rFonts w:hint="eastAsia" w:ascii="仿宋" w:hAnsi="仿宋" w:eastAsia="仿宋" w:cs="仿宋"/>
          <w:color w:val="auto"/>
          <w:highlight w:val="none"/>
          <w:u w:val="single"/>
          <w:lang w:val="en-US" w:eastAsia="zh-CN"/>
        </w:rPr>
        <w:t>第9条及第21条</w:t>
      </w:r>
      <w:r>
        <w:rPr>
          <w:rFonts w:hint="eastAsia" w:ascii="仿宋" w:hAnsi="仿宋" w:eastAsia="仿宋" w:cs="仿宋"/>
          <w:color w:val="auto"/>
          <w:highlight w:val="none"/>
        </w:rPr>
        <w:t>。</w:t>
      </w:r>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12.磋商响应有效期</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12.1 磋商响应有效期从响应文件递交截止之日起算，具体时间</w:t>
      </w:r>
      <w:r>
        <w:rPr>
          <w:rFonts w:hint="eastAsia" w:ascii="仿宋" w:hAnsi="仿宋" w:eastAsia="仿宋" w:cs="仿宋"/>
          <w:color w:val="auto"/>
          <w:highlight w:val="none"/>
          <w:u w:val="single"/>
        </w:rPr>
        <w:t>见本须知前附表</w:t>
      </w:r>
      <w:r>
        <w:rPr>
          <w:rFonts w:hint="eastAsia" w:ascii="仿宋" w:hAnsi="仿宋" w:eastAsia="仿宋" w:cs="仿宋"/>
          <w:color w:val="auto"/>
          <w:highlight w:val="none"/>
          <w:u w:val="single"/>
          <w:lang w:val="en-US" w:eastAsia="zh-CN"/>
        </w:rPr>
        <w:t>第7条</w:t>
      </w:r>
      <w:r>
        <w:rPr>
          <w:rFonts w:hint="eastAsia" w:ascii="仿宋" w:hAnsi="仿宋" w:eastAsia="仿宋" w:cs="仿宋"/>
          <w:color w:val="auto"/>
          <w:highlight w:val="none"/>
        </w:rPr>
        <w:t>，在此期间，供应商不得要求撤销或修改其响应文件。供应商承诺的磋商响应有效期必须不短于磋商文件规定的磋商响应有效期，否则将构成对磋商文件的非实质性响应，磋商响应将被否决。</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12.2 在原磋商响应有效期结束前，出现特殊情况的，采购人可以书面形式要求所有供应商延长磋商响应有效期。供应商同意延长的，不得要求或被允许修改其响应文件的实质性内容。供应商拒绝延长的，其磋商响应失效。</w:t>
      </w:r>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13.响应文件的式样、密封和标记</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13.1 供应商应当编制一份响应文件“正本”和</w:t>
      </w:r>
      <w:r>
        <w:rPr>
          <w:rFonts w:hint="eastAsia" w:ascii="仿宋" w:hAnsi="仿宋" w:eastAsia="仿宋" w:cs="仿宋"/>
          <w:color w:val="auto"/>
          <w:highlight w:val="none"/>
          <w:u w:val="single"/>
          <w:lang w:val="en-US" w:eastAsia="zh-CN"/>
        </w:rPr>
        <w:t>见</w:t>
      </w:r>
      <w:r>
        <w:rPr>
          <w:rFonts w:hint="eastAsia" w:ascii="仿宋" w:hAnsi="仿宋" w:eastAsia="仿宋" w:cs="仿宋"/>
          <w:color w:val="auto"/>
          <w:highlight w:val="none"/>
          <w:u w:val="single"/>
        </w:rPr>
        <w:t>本须知前附表</w:t>
      </w:r>
      <w:r>
        <w:rPr>
          <w:rFonts w:hint="eastAsia" w:ascii="仿宋" w:hAnsi="仿宋" w:eastAsia="仿宋" w:cs="仿宋"/>
          <w:color w:val="auto"/>
          <w:highlight w:val="none"/>
          <w:u w:val="single"/>
          <w:lang w:val="en-US" w:eastAsia="zh-CN"/>
        </w:rPr>
        <w:t>第8条</w:t>
      </w:r>
      <w:r>
        <w:rPr>
          <w:rFonts w:hint="eastAsia" w:ascii="仿宋" w:hAnsi="仿宋" w:eastAsia="仿宋" w:cs="仿宋"/>
          <w:color w:val="auto"/>
          <w:highlight w:val="none"/>
        </w:rPr>
        <w:t>所述份数的“副本”和“电子版”，副本为正本复印件。纸质版文件与电子版文件不一致时，以</w:t>
      </w:r>
      <w:r>
        <w:rPr>
          <w:rFonts w:hint="eastAsia" w:ascii="仿宋" w:hAnsi="仿宋" w:eastAsia="仿宋" w:cs="仿宋"/>
          <w:b/>
          <w:bCs/>
          <w:color w:val="auto"/>
          <w:highlight w:val="none"/>
          <w:lang w:eastAsia="zh-Hans"/>
        </w:rPr>
        <w:t>纸质版</w:t>
      </w:r>
      <w:r>
        <w:rPr>
          <w:rFonts w:hint="eastAsia" w:ascii="仿宋" w:hAnsi="仿宋" w:eastAsia="仿宋" w:cs="仿宋"/>
          <w:color w:val="auto"/>
          <w:highlight w:val="none"/>
        </w:rPr>
        <w:t xml:space="preserve">文件为准，电子招投标项目，按照相关法律法规执行;响应文件正本与副本不一致时，以正本为准。 </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13.2 每份纸质文件响应文件的正本、副本应当分别装订，并于封面上明确标明“正本”“副本”字样。具体要求</w:t>
      </w:r>
      <w:r>
        <w:rPr>
          <w:rFonts w:hint="eastAsia" w:ascii="仿宋" w:hAnsi="仿宋" w:eastAsia="仿宋" w:cs="仿宋"/>
          <w:color w:val="auto"/>
          <w:highlight w:val="none"/>
          <w:u w:val="single"/>
          <w:lang w:val="en-US" w:eastAsia="zh-CN"/>
        </w:rPr>
        <w:t>见</w:t>
      </w:r>
      <w:r>
        <w:rPr>
          <w:rFonts w:hint="eastAsia" w:ascii="仿宋" w:hAnsi="仿宋" w:eastAsia="仿宋" w:cs="仿宋"/>
          <w:color w:val="auto"/>
          <w:highlight w:val="none"/>
          <w:u w:val="single"/>
        </w:rPr>
        <w:t>本须知前附表</w:t>
      </w:r>
      <w:r>
        <w:rPr>
          <w:rFonts w:hint="eastAsia" w:ascii="仿宋" w:hAnsi="仿宋" w:eastAsia="仿宋" w:cs="仿宋"/>
          <w:color w:val="auto"/>
          <w:highlight w:val="none"/>
          <w:u w:val="single"/>
          <w:lang w:val="en-US" w:eastAsia="zh-CN"/>
        </w:rPr>
        <w:t>第10条</w:t>
      </w:r>
      <w:r>
        <w:rPr>
          <w:rFonts w:hint="eastAsia" w:ascii="仿宋" w:hAnsi="仿宋" w:eastAsia="仿宋" w:cs="仿宋"/>
          <w:color w:val="auto"/>
          <w:highlight w:val="none"/>
        </w:rPr>
        <w:t>。</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13.3 对于磋商文件中提及的原件或复印件要求，照片件、扫描件、影印件、截图件等与其具有同等效力（磋商文件有特殊要求的除外）。</w:t>
      </w:r>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textAlignment w:val="auto"/>
        <w:rPr>
          <w:rFonts w:hint="eastAsia" w:ascii="仿宋" w:hAnsi="仿宋" w:eastAsia="仿宋" w:cs="仿宋"/>
          <w:color w:val="auto"/>
          <w:sz w:val="24"/>
          <w:szCs w:val="24"/>
          <w:highlight w:val="none"/>
        </w:rPr>
      </w:pPr>
      <w:bookmarkStart w:id="62" w:name="_Toc7129"/>
      <w:bookmarkStart w:id="63" w:name="_Toc444891340"/>
      <w:bookmarkStart w:id="64" w:name="_Toc517281820"/>
      <w:bookmarkStart w:id="65" w:name="_Toc21600"/>
      <w:bookmarkStart w:id="66" w:name="_Toc287600122"/>
      <w:bookmarkStart w:id="67" w:name="_Toc4155"/>
      <w:bookmarkStart w:id="68" w:name="_Toc18673"/>
      <w:bookmarkStart w:id="69" w:name="_Toc19783317"/>
      <w:bookmarkStart w:id="70" w:name="_Toc14726"/>
      <w:bookmarkStart w:id="71" w:name="_Toc17865"/>
      <w:bookmarkStart w:id="72" w:name="_Toc11675"/>
      <w:r>
        <w:rPr>
          <w:rFonts w:hint="eastAsia" w:ascii="仿宋" w:hAnsi="仿宋" w:eastAsia="仿宋" w:cs="仿宋"/>
          <w:color w:val="auto"/>
          <w:sz w:val="24"/>
          <w:szCs w:val="24"/>
          <w:highlight w:val="none"/>
        </w:rPr>
        <w:t>（四）响应文件的</w:t>
      </w:r>
      <w:bookmarkEnd w:id="62"/>
      <w:bookmarkEnd w:id="63"/>
      <w:bookmarkEnd w:id="64"/>
      <w:bookmarkEnd w:id="65"/>
      <w:bookmarkEnd w:id="66"/>
      <w:bookmarkEnd w:id="67"/>
      <w:bookmarkEnd w:id="68"/>
      <w:bookmarkEnd w:id="69"/>
      <w:bookmarkEnd w:id="70"/>
      <w:r>
        <w:rPr>
          <w:rFonts w:hint="eastAsia" w:ascii="仿宋" w:hAnsi="仿宋" w:eastAsia="仿宋" w:cs="仿宋"/>
          <w:color w:val="auto"/>
          <w:sz w:val="24"/>
          <w:szCs w:val="24"/>
          <w:highlight w:val="none"/>
        </w:rPr>
        <w:t>递交</w:t>
      </w:r>
      <w:bookmarkEnd w:id="71"/>
      <w:bookmarkEnd w:id="72"/>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14.响应文件的递交</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14.1供应商应按</w:t>
      </w:r>
      <w:r>
        <w:rPr>
          <w:rFonts w:hint="eastAsia" w:ascii="仿宋" w:hAnsi="仿宋" w:eastAsia="仿宋" w:cs="仿宋"/>
          <w:color w:val="auto"/>
          <w:highlight w:val="none"/>
          <w:u w:val="single"/>
          <w:lang w:val="en-US" w:eastAsia="zh-CN"/>
        </w:rPr>
        <w:t>见</w:t>
      </w:r>
      <w:r>
        <w:rPr>
          <w:rFonts w:hint="eastAsia" w:ascii="仿宋" w:hAnsi="仿宋" w:eastAsia="仿宋" w:cs="仿宋"/>
          <w:color w:val="auto"/>
          <w:highlight w:val="none"/>
          <w:u w:val="single"/>
        </w:rPr>
        <w:t>本须知前附表</w:t>
      </w:r>
      <w:r>
        <w:rPr>
          <w:rFonts w:hint="eastAsia" w:ascii="仿宋" w:hAnsi="仿宋" w:eastAsia="仿宋" w:cs="仿宋"/>
          <w:color w:val="auto"/>
          <w:highlight w:val="none"/>
          <w:u w:val="single"/>
          <w:lang w:val="en-US" w:eastAsia="zh-CN"/>
        </w:rPr>
        <w:t>第5条</w:t>
      </w:r>
      <w:r>
        <w:rPr>
          <w:rFonts w:hint="eastAsia" w:ascii="仿宋" w:hAnsi="仿宋" w:eastAsia="仿宋" w:cs="仿宋"/>
          <w:color w:val="auto"/>
          <w:highlight w:val="none"/>
        </w:rPr>
        <w:t>规定的时间、方式递交响应文件。</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b/>
          <w:bCs/>
          <w:color w:val="auto"/>
          <w:highlight w:val="none"/>
        </w:rPr>
      </w:pPr>
      <w:r>
        <w:rPr>
          <w:rFonts w:hint="eastAsia" w:ascii="仿宋" w:hAnsi="仿宋" w:eastAsia="仿宋" w:cs="仿宋"/>
          <w:color w:val="auto"/>
          <w:highlight w:val="none"/>
        </w:rPr>
        <w:t>14.2出现下列情形之一时，</w:t>
      </w:r>
      <w:r>
        <w:rPr>
          <w:rFonts w:hint="eastAsia" w:ascii="仿宋" w:hAnsi="仿宋" w:eastAsia="仿宋" w:cs="仿宋"/>
          <w:b/>
          <w:bCs/>
          <w:color w:val="auto"/>
          <w:highlight w:val="none"/>
        </w:rPr>
        <w:t>响应文件不予接收或已经递交的响应文件无效；</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（1）电子响应文件逾期递交的；</w:t>
      </w:r>
      <w:r>
        <w:rPr>
          <w:rFonts w:hint="eastAsia" w:ascii="仿宋" w:hAnsi="仿宋" w:eastAsia="仿宋" w:cs="仿宋"/>
          <w:i/>
          <w:color w:val="auto"/>
          <w:sz w:val="24"/>
          <w:highlight w:val="none"/>
        </w:rPr>
        <w:t>（本项目不适用）</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（2）纸质响应文件逾期递交或者未送达指定地点或者未按照磋商文件要求封装的；</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（3）未按磋商公告或者响应公告书要求获得本项目磋商文件的。</w:t>
      </w:r>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15.响应文件的修改、撤回和撤销</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textAlignment w:val="auto"/>
        <w:rPr>
          <w:rFonts w:hint="eastAsia" w:ascii="仿宋" w:hAnsi="仿宋" w:eastAsia="仿宋" w:cs="仿宋"/>
          <w:color w:val="auto"/>
          <w:highlight w:val="none"/>
        </w:rPr>
      </w:pPr>
      <w:r>
        <w:rPr>
          <w:rFonts w:hint="eastAsia" w:ascii="仿宋" w:hAnsi="仿宋" w:eastAsia="仿宋" w:cs="仿宋"/>
          <w:color w:val="auto"/>
          <w:highlight w:val="none"/>
        </w:rPr>
        <w:t>15.1</w:t>
      </w:r>
      <w:r>
        <w:rPr>
          <w:rFonts w:hint="eastAsia" w:ascii="仿宋" w:hAnsi="仿宋" w:eastAsia="仿宋" w:cs="仿宋"/>
          <w:color w:val="auto"/>
          <w:spacing w:val="-4"/>
          <w:highlight w:val="none"/>
        </w:rPr>
        <w:t>在</w:t>
      </w:r>
      <w:r>
        <w:rPr>
          <w:rFonts w:hint="eastAsia" w:ascii="仿宋" w:hAnsi="仿宋" w:eastAsia="仿宋" w:cs="仿宋"/>
          <w:color w:val="auto"/>
          <w:highlight w:val="none"/>
        </w:rPr>
        <w:t>磋商文件</w:t>
      </w:r>
      <w:r>
        <w:rPr>
          <w:rFonts w:hint="eastAsia" w:ascii="仿宋" w:hAnsi="仿宋" w:eastAsia="仿宋" w:cs="仿宋"/>
          <w:color w:val="auto"/>
          <w:spacing w:val="-4"/>
          <w:highlight w:val="none"/>
        </w:rPr>
        <w:t>规定的</w:t>
      </w:r>
      <w:r>
        <w:rPr>
          <w:rFonts w:hint="eastAsia" w:ascii="仿宋" w:hAnsi="仿宋" w:eastAsia="仿宋" w:cs="仿宋"/>
          <w:color w:val="auto"/>
          <w:highlight w:val="none"/>
        </w:rPr>
        <w:t>响应文件</w:t>
      </w:r>
      <w:r>
        <w:rPr>
          <w:rFonts w:hint="eastAsia" w:ascii="仿宋" w:hAnsi="仿宋" w:eastAsia="仿宋" w:cs="仿宋"/>
          <w:color w:val="auto"/>
          <w:spacing w:val="-4"/>
          <w:highlight w:val="none"/>
        </w:rPr>
        <w:t>递交截止时间前，</w:t>
      </w:r>
      <w:r>
        <w:rPr>
          <w:rFonts w:hint="eastAsia" w:ascii="仿宋" w:hAnsi="仿宋" w:eastAsia="仿宋" w:cs="仿宋"/>
          <w:color w:val="auto"/>
          <w:highlight w:val="none"/>
        </w:rPr>
        <w:t>可以补充、修改或撤回已提交的响应文件。补充、修改的内容为响应文件的组成部分，应当在响应文件递交截止时间前按照磋商文件的规定进行递交。</w:t>
      </w:r>
    </w:p>
    <w:p>
      <w:pPr>
        <w:pStyle w:val="2"/>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80" w:firstLineChars="200"/>
        <w:jc w:val="both"/>
        <w:textAlignment w:val="auto"/>
        <w:rPr>
          <w:rFonts w:hint="eastAsia" w:ascii="仿宋" w:hAnsi="仿宋" w:eastAsia="仿宋" w:cs="仿宋"/>
          <w:color w:val="auto"/>
          <w:highlight w:val="none"/>
        </w:rPr>
      </w:pPr>
      <w:bookmarkStart w:id="73" w:name="_Toc246996202"/>
      <w:bookmarkStart w:id="74" w:name="_Toc152042334"/>
      <w:bookmarkStart w:id="75" w:name="_Toc334766948"/>
      <w:bookmarkStart w:id="76" w:name="_Toc247085716"/>
      <w:bookmarkStart w:id="77" w:name="_Toc332188194"/>
      <w:bookmarkStart w:id="78" w:name="_Toc144974526"/>
      <w:bookmarkStart w:id="79" w:name="_Toc152045558"/>
      <w:bookmarkStart w:id="80" w:name="_Toc246996945"/>
      <w:bookmarkStart w:id="81" w:name="_Toc179632576"/>
      <w:bookmarkStart w:id="82" w:name="_Toc326223561"/>
      <w:r>
        <w:rPr>
          <w:rFonts w:hint="eastAsia" w:ascii="仿宋" w:hAnsi="仿宋" w:eastAsia="仿宋" w:cs="仿宋"/>
          <w:color w:val="auto"/>
          <w:highlight w:val="none"/>
        </w:rPr>
        <w:t>15.2</w:t>
      </w:r>
      <w:bookmarkEnd w:id="73"/>
      <w:bookmarkEnd w:id="74"/>
      <w:bookmarkEnd w:id="75"/>
      <w:bookmarkEnd w:id="76"/>
      <w:bookmarkEnd w:id="77"/>
      <w:bookmarkEnd w:id="78"/>
      <w:bookmarkEnd w:id="79"/>
      <w:bookmarkEnd w:id="80"/>
      <w:bookmarkEnd w:id="81"/>
      <w:bookmarkEnd w:id="82"/>
      <w:r>
        <w:rPr>
          <w:rFonts w:hint="eastAsia" w:ascii="仿宋" w:hAnsi="仿宋" w:eastAsia="仿宋" w:cs="仿宋"/>
          <w:color w:val="auto"/>
          <w:highlight w:val="none"/>
        </w:rPr>
        <w:t xml:space="preserve"> 响应文件递交截止时间后，供应商在响应有效期内撤销其响应文件，磋商保证金不予退还。</w:t>
      </w:r>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textAlignment w:val="auto"/>
        <w:rPr>
          <w:rFonts w:hint="eastAsia" w:ascii="仿宋" w:hAnsi="仿宋" w:eastAsia="仿宋" w:cs="仿宋"/>
          <w:color w:val="auto"/>
          <w:sz w:val="24"/>
          <w:szCs w:val="24"/>
          <w:highlight w:val="none"/>
        </w:rPr>
      </w:pPr>
      <w:bookmarkStart w:id="83" w:name="_Toc444891341"/>
      <w:bookmarkStart w:id="84" w:name="_Toc20741"/>
      <w:bookmarkStart w:id="85" w:name="_Toc11361"/>
      <w:bookmarkStart w:id="86" w:name="_Toc287600123"/>
      <w:bookmarkStart w:id="87" w:name="_Toc2055"/>
      <w:bookmarkStart w:id="88" w:name="_Toc12367"/>
      <w:bookmarkStart w:id="89" w:name="_Toc2636"/>
      <w:bookmarkStart w:id="90" w:name="_Toc30466"/>
      <w:bookmarkStart w:id="91" w:name="_Toc12797"/>
      <w:bookmarkStart w:id="92" w:name="_Toc517281821"/>
      <w:r>
        <w:rPr>
          <w:rFonts w:hint="eastAsia" w:ascii="仿宋" w:hAnsi="仿宋" w:eastAsia="仿宋" w:cs="仿宋"/>
          <w:color w:val="auto"/>
          <w:sz w:val="24"/>
          <w:szCs w:val="24"/>
          <w:highlight w:val="none"/>
        </w:rPr>
        <w:t>（五）竞争性磋商和评审</w:t>
      </w:r>
      <w:bookmarkEnd w:id="83"/>
      <w:bookmarkEnd w:id="84"/>
      <w:bookmarkEnd w:id="85"/>
      <w:bookmarkEnd w:id="86"/>
      <w:bookmarkEnd w:id="87"/>
      <w:bookmarkEnd w:id="88"/>
      <w:bookmarkEnd w:id="89"/>
      <w:bookmarkEnd w:id="90"/>
      <w:bookmarkEnd w:id="91"/>
      <w:bookmarkEnd w:id="92"/>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textAlignment w:val="auto"/>
        <w:rPr>
          <w:rFonts w:hint="eastAsia" w:ascii="仿宋" w:hAnsi="仿宋" w:eastAsia="仿宋" w:cs="仿宋"/>
          <w:color w:val="auto"/>
          <w:sz w:val="24"/>
          <w:szCs w:val="24"/>
          <w:highlight w:val="none"/>
        </w:rPr>
      </w:pPr>
      <w:bookmarkStart w:id="93" w:name="_Toc234223229"/>
      <w:bookmarkStart w:id="94" w:name="_Toc234223227"/>
      <w:r>
        <w:rPr>
          <w:rFonts w:hint="eastAsia" w:ascii="仿宋" w:hAnsi="仿宋" w:eastAsia="仿宋" w:cs="仿宋"/>
          <w:color w:val="auto"/>
          <w:sz w:val="24"/>
          <w:szCs w:val="24"/>
          <w:highlight w:val="none"/>
        </w:rPr>
        <w:t>16.组建</w:t>
      </w:r>
      <w:bookmarkEnd w:id="93"/>
      <w:r>
        <w:rPr>
          <w:rFonts w:hint="eastAsia" w:ascii="仿宋" w:hAnsi="仿宋" w:eastAsia="仿宋" w:cs="仿宋"/>
          <w:color w:val="auto"/>
          <w:sz w:val="24"/>
          <w:szCs w:val="24"/>
          <w:highlight w:val="none"/>
        </w:rPr>
        <w:t>磋商小组</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textAlignment w:val="auto"/>
        <w:rPr>
          <w:rFonts w:hint="eastAsia" w:ascii="仿宋" w:hAnsi="仿宋" w:eastAsia="仿宋" w:cs="仿宋"/>
          <w:color w:val="auto"/>
          <w:highlight w:val="none"/>
        </w:rPr>
      </w:pPr>
      <w:r>
        <w:rPr>
          <w:rFonts w:hint="eastAsia" w:ascii="仿宋" w:hAnsi="仿宋" w:eastAsia="仿宋" w:cs="仿宋"/>
          <w:color w:val="auto"/>
          <w:highlight w:val="none"/>
        </w:rPr>
        <w:t>16.1采购人依照企业采购管理制度的相关规定组建磋商小组，具体人数见</w:t>
      </w:r>
      <w:r>
        <w:rPr>
          <w:rFonts w:hint="eastAsia" w:ascii="仿宋" w:hAnsi="仿宋" w:eastAsia="仿宋" w:cs="仿宋"/>
          <w:color w:val="auto"/>
          <w:highlight w:val="none"/>
          <w:u w:val="single"/>
        </w:rPr>
        <w:t>本须知前附表</w:t>
      </w:r>
      <w:r>
        <w:rPr>
          <w:rFonts w:hint="eastAsia" w:ascii="仿宋" w:hAnsi="仿宋" w:eastAsia="仿宋" w:cs="仿宋"/>
          <w:color w:val="auto"/>
          <w:highlight w:val="none"/>
          <w:u w:val="single"/>
          <w:lang w:val="en-US" w:eastAsia="zh-CN"/>
        </w:rPr>
        <w:t>第11条</w:t>
      </w:r>
      <w:r>
        <w:rPr>
          <w:rFonts w:hint="eastAsia" w:ascii="仿宋" w:hAnsi="仿宋" w:eastAsia="仿宋" w:cs="仿宋"/>
          <w:color w:val="auto"/>
          <w:highlight w:val="none"/>
        </w:rPr>
        <w:t>，磋商小组成员名单在成交结果确定前保密。</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textAlignment w:val="auto"/>
        <w:rPr>
          <w:rFonts w:hint="eastAsia" w:ascii="仿宋" w:hAnsi="仿宋" w:eastAsia="仿宋" w:cs="仿宋"/>
          <w:color w:val="auto"/>
          <w:highlight w:val="none"/>
        </w:rPr>
      </w:pPr>
      <w:r>
        <w:rPr>
          <w:rFonts w:hint="eastAsia" w:ascii="仿宋" w:hAnsi="仿宋" w:eastAsia="仿宋" w:cs="仿宋"/>
          <w:color w:val="auto"/>
          <w:highlight w:val="none"/>
        </w:rPr>
        <w:t>16.2磋商小组成员应当按照客观、公正、审慎的原则，根据磋商文件规定的评审程序、评审方法和评审标准进行独立评审。</w:t>
      </w:r>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bookmarkStart w:id="95" w:name="_Toc234223228"/>
      <w:r>
        <w:rPr>
          <w:rFonts w:hint="eastAsia" w:ascii="仿宋" w:hAnsi="仿宋" w:eastAsia="仿宋" w:cs="仿宋"/>
          <w:color w:val="auto"/>
          <w:sz w:val="24"/>
          <w:szCs w:val="24"/>
          <w:highlight w:val="none"/>
        </w:rPr>
        <w:t>17.初步评审</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17.1磋商小组按照第三章评审办法中初步评审的内容及要求，对响应文件进行初步评审。未通过初步评审的供应商，其磋商响应将被否决，不进入详细评审等后续环节。</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17.2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b/>
          <w:bCs/>
          <w:color w:val="auto"/>
          <w:highlight w:val="none"/>
        </w:rPr>
      </w:pPr>
      <w:r>
        <w:rPr>
          <w:rFonts w:hint="eastAsia" w:ascii="仿宋" w:hAnsi="仿宋" w:eastAsia="仿宋" w:cs="仿宋"/>
          <w:color w:val="auto"/>
          <w:highlight w:val="none"/>
        </w:rPr>
        <w:t>17.3磋商小组对供应商递交的澄清、说明或补正有疑问的，可以要求供应商进一步澄清、说明或者补正，直至满足磋商小组的要求。拒不按要求进行澄清、说明或者补正的供应商</w:t>
      </w:r>
      <w:r>
        <w:rPr>
          <w:rFonts w:hint="eastAsia" w:ascii="仿宋" w:hAnsi="仿宋" w:eastAsia="仿宋" w:cs="仿宋"/>
          <w:b/>
          <w:bCs/>
          <w:color w:val="auto"/>
          <w:highlight w:val="none"/>
        </w:rPr>
        <w:t>，磋商小组有权对其响应做否决处理。</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17.4磋商小组必要时可以要求供应商提交有关证明和证件的原件，以便核验。拒不按要求提供原件的供应商，</w:t>
      </w:r>
      <w:r>
        <w:rPr>
          <w:rFonts w:hint="eastAsia" w:ascii="仿宋" w:hAnsi="仿宋" w:eastAsia="仿宋" w:cs="仿宋"/>
          <w:b/>
          <w:bCs/>
          <w:color w:val="auto"/>
          <w:highlight w:val="none"/>
        </w:rPr>
        <w:t>磋商小组有权对其响应做否决处理。</w:t>
      </w:r>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18.磋商程序</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u w:val="single"/>
        </w:rPr>
      </w:pPr>
      <w:r>
        <w:rPr>
          <w:rFonts w:hint="eastAsia" w:ascii="仿宋" w:hAnsi="仿宋" w:eastAsia="仿宋" w:cs="仿宋"/>
          <w:color w:val="auto"/>
          <w:highlight w:val="none"/>
        </w:rPr>
        <w:t>18.1磋商小组所有成员应当集中与通过初步评审的单一供应商分别进行磋商，并给予所有参加磋商的供应商平等的磋商机会。供应商磋商顺序、磋商形式以及其他要求等</w:t>
      </w:r>
      <w:r>
        <w:rPr>
          <w:rFonts w:hint="eastAsia" w:ascii="仿宋" w:hAnsi="仿宋" w:eastAsia="仿宋" w:cs="仿宋"/>
          <w:color w:val="auto"/>
          <w:highlight w:val="none"/>
          <w:u w:val="single"/>
        </w:rPr>
        <w:t>本须知前附表</w:t>
      </w:r>
      <w:r>
        <w:rPr>
          <w:rFonts w:hint="eastAsia" w:ascii="仿宋" w:hAnsi="仿宋" w:eastAsia="仿宋" w:cs="仿宋"/>
          <w:color w:val="auto"/>
          <w:highlight w:val="none"/>
          <w:u w:val="single"/>
          <w:lang w:val="en-US" w:eastAsia="zh-CN"/>
        </w:rPr>
        <w:t>第12条</w:t>
      </w:r>
      <w:r>
        <w:rPr>
          <w:rFonts w:hint="eastAsia" w:ascii="仿宋" w:hAnsi="仿宋" w:eastAsia="仿宋" w:cs="仿宋"/>
          <w:color w:val="auto"/>
          <w:highlight w:val="none"/>
          <w:u w:val="single"/>
        </w:rPr>
        <w:t>。</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18.2磋商小组与供应商就磋商文件中的价格、商务内容、技术内容或有待供应商进一步明确的内容等进行一对一磋商，并要求实质性响应的供应商提交最终报价。具体磋商内容详见</w:t>
      </w:r>
      <w:r>
        <w:rPr>
          <w:rFonts w:hint="eastAsia" w:ascii="仿宋" w:hAnsi="仿宋" w:eastAsia="仿宋" w:cs="仿宋"/>
          <w:color w:val="auto"/>
          <w:highlight w:val="none"/>
          <w:u w:val="single"/>
        </w:rPr>
        <w:t>本须知前附表</w:t>
      </w:r>
      <w:r>
        <w:rPr>
          <w:rFonts w:hint="eastAsia" w:ascii="仿宋" w:hAnsi="仿宋" w:eastAsia="仿宋" w:cs="仿宋"/>
          <w:color w:val="auto"/>
          <w:highlight w:val="none"/>
          <w:u w:val="single"/>
          <w:lang w:val="en-US" w:eastAsia="zh-CN"/>
        </w:rPr>
        <w:t>第13条</w:t>
      </w:r>
      <w:r>
        <w:rPr>
          <w:rFonts w:hint="eastAsia" w:ascii="仿宋" w:hAnsi="仿宋" w:eastAsia="仿宋" w:cs="仿宋"/>
          <w:color w:val="auto"/>
          <w:highlight w:val="none"/>
        </w:rPr>
        <w:t>。</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18.3磋商过程中可能实质性变动的内容：供应商报价及服务方案、承诺。采购需求中的商务、服务要求以及合同草案条款等。实质性变动的内容，须经磋商小组提出，最终涉及变动事项，供应商应授权代表人进行最终确认，签字或盖章有效。</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18.</w:t>
      </w:r>
      <w:r>
        <w:rPr>
          <w:rFonts w:hint="eastAsia" w:ascii="仿宋" w:hAnsi="仿宋" w:eastAsia="仿宋" w:cs="仿宋"/>
          <w:color w:val="auto"/>
          <w:highlight w:val="none"/>
          <w:lang w:val="en-US" w:eastAsia="zh-CN"/>
        </w:rPr>
        <w:t>4</w:t>
      </w:r>
      <w:r>
        <w:rPr>
          <w:rFonts w:hint="eastAsia" w:ascii="仿宋" w:hAnsi="仿宋" w:eastAsia="仿宋" w:cs="仿宋"/>
          <w:color w:val="auto"/>
          <w:highlight w:val="none"/>
        </w:rPr>
        <w:t>磋商小组可视情况要求供应商进行多轮磋商及报价。磋商中，任何一方不得向第三方透露与磋商有关的任何信息。</w:t>
      </w:r>
    </w:p>
    <w:bookmarkEnd w:id="95"/>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18.</w:t>
      </w:r>
      <w:r>
        <w:rPr>
          <w:rFonts w:hint="eastAsia" w:ascii="仿宋" w:hAnsi="仿宋" w:eastAsia="仿宋" w:cs="仿宋"/>
          <w:color w:val="auto"/>
          <w:highlight w:val="none"/>
          <w:lang w:val="en-US" w:eastAsia="zh-CN"/>
        </w:rPr>
        <w:t>5</w:t>
      </w:r>
      <w:r>
        <w:rPr>
          <w:rFonts w:hint="eastAsia" w:ascii="仿宋" w:hAnsi="仿宋" w:eastAsia="仿宋" w:cs="仿宋"/>
          <w:color w:val="auto"/>
          <w:highlight w:val="none"/>
        </w:rPr>
        <w:t>各轮报价有算术错误的，磋商小组按照以下原则对报价进行修正，修正的价格经供应商书面确认后具有约束力。供应商不接受或不确认修正后价格的，磋商小组</w:t>
      </w:r>
      <w:r>
        <w:rPr>
          <w:rFonts w:hint="eastAsia" w:ascii="仿宋" w:hAnsi="仿宋" w:eastAsia="仿宋" w:cs="仿宋"/>
          <w:b/>
          <w:bCs/>
          <w:color w:val="auto"/>
          <w:highlight w:val="none"/>
        </w:rPr>
        <w:t>应当否决其响应</w:t>
      </w:r>
      <w:r>
        <w:rPr>
          <w:rFonts w:hint="eastAsia" w:ascii="仿宋" w:hAnsi="仿宋" w:eastAsia="仿宋" w:cs="仿宋"/>
          <w:color w:val="auto"/>
          <w:highlight w:val="none"/>
        </w:rPr>
        <w:t>。</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（1）大写金额与小写金额不一致的，以大写金额为准；</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（2）总价金额与根据单价计算出的结果不一致的，以单价金额为准修正总价，但单价金额小数点有明显错误的除外。</w:t>
      </w:r>
    </w:p>
    <w:bookmarkEnd w:id="94"/>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19.详细评审</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19.1磋商小组采用综合评分法对提交最终报价的供应商的响应文件及其最终报价进行综合评分。综合评分法，是指响应文件满足磋商文件全部实质性要求且按评审因素的量化指标评审得分最高的供应商为成交候选人的评审方法。磋商文件中没有规定的评审标准不得作为评审依据。</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19.2发生以下情形之一的，原则上做终止采购处理：</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（1）出现影响采购公正的违法、违规行为的；</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（2）成交候选人报价超过预算金额，采购需求方无法解决的；</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（3）成交人为N家（1≤N＜3）的项目，有效供应商少于2N家（不含本数）；成交人为N家（N≥3）的项目，有效供应商少于1.5N家（不含本数）； </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（4）因重大变故，采购任务取消。</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19.3成交候选人推荐原则</w:t>
      </w:r>
      <w:r>
        <w:rPr>
          <w:rFonts w:hint="eastAsia" w:ascii="仿宋" w:hAnsi="仿宋" w:eastAsia="仿宋" w:cs="仿宋"/>
          <w:color w:val="auto"/>
          <w:highlight w:val="none"/>
          <w:u w:val="single"/>
        </w:rPr>
        <w:t>详见本须知前附表</w:t>
      </w:r>
      <w:r>
        <w:rPr>
          <w:rFonts w:hint="eastAsia" w:ascii="仿宋" w:hAnsi="仿宋" w:eastAsia="仿宋" w:cs="仿宋"/>
          <w:color w:val="auto"/>
          <w:highlight w:val="none"/>
          <w:u w:val="single"/>
          <w:lang w:val="en-US" w:eastAsia="zh-CN"/>
        </w:rPr>
        <w:t>第14条</w:t>
      </w:r>
      <w:r>
        <w:rPr>
          <w:rFonts w:hint="eastAsia" w:ascii="仿宋" w:hAnsi="仿宋" w:eastAsia="仿宋" w:cs="仿宋"/>
          <w:color w:val="auto"/>
          <w:highlight w:val="none"/>
        </w:rPr>
        <w:t>。成交候选人的经营、财务状况发生较大变化或者存在违法行为，采购人认为可能影响其履约能力的，应当在发出成交通知书前由原磋商小组会按照磋商文件规定的标准和方法审查确认。</w:t>
      </w:r>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20．特别声明</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20.1供应商提供虚假材料或文件的，自动丧失参加资格。</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20.2供应商未在响应文件中提及和承诺，但又未明确书面提出异议的事项，按本磋商磋商邀请函的有关要求执行。</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20.3供应商不应将本次采购理解为政府采购与招标。</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20.4供应商没有按规定时间和内容提供材料的，视为放弃。</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20.5磋商文件及附件之著作权受中国法律保护，所有文件仅限于供应商参加本次采购磋商使用，任何用于其他目的之复制或引用均应事先获得采购方书面许可。</w:t>
      </w:r>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21．确定成交供应商</w:t>
      </w:r>
    </w:p>
    <w:p>
      <w:pPr>
        <w:pStyle w:val="2"/>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2"/>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（1）成交候选供应商存在违法、违纪行为的；</w:t>
      </w:r>
    </w:p>
    <w:p>
      <w:pPr>
        <w:pStyle w:val="2"/>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（2）成交候选供应商因不可抗力、社会经济形势发生重大变化、破产、重组等原因确定无法履行采购合同的；</w:t>
      </w:r>
    </w:p>
    <w:p>
      <w:pPr>
        <w:pStyle w:val="2"/>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（3）成交候选供应商书面自愿放弃成交，且无其他非法目的的；</w:t>
      </w:r>
    </w:p>
    <w:p>
      <w:pPr>
        <w:pStyle w:val="2"/>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（4）成交候选供应商在提交响应文件截止时间后撤回响应文件的；</w:t>
      </w:r>
    </w:p>
    <w:p>
      <w:pPr>
        <w:pStyle w:val="2"/>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（5）成交候选供应商在响应文件中提供虚假材料的；</w:t>
      </w:r>
    </w:p>
    <w:p>
      <w:pPr>
        <w:pStyle w:val="2"/>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（6）除因不可抗力或磋商文件认可的情形以外，成交供应商不与采购人签订合同的；</w:t>
      </w:r>
    </w:p>
    <w:p>
      <w:pPr>
        <w:pStyle w:val="2"/>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（7）成交候选供应商与采购人或者其他供应商恶意串通的；</w:t>
      </w:r>
    </w:p>
    <w:p>
      <w:pPr>
        <w:pStyle w:val="2"/>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（8）成交供应商在签订合同时向采购人提出附加条件或要求变更实质性合同条款的；</w:t>
      </w:r>
    </w:p>
    <w:p>
      <w:pPr>
        <w:pStyle w:val="2"/>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80" w:firstLineChars="200"/>
        <w:jc w:val="both"/>
        <w:rPr>
          <w:rFonts w:hint="eastAsia" w:ascii="仿宋" w:hAnsi="仿宋" w:eastAsia="仿宋" w:cs="仿宋"/>
          <w:color w:val="auto"/>
          <w:highlight w:val="none"/>
          <w:lang w:bidi="ar"/>
        </w:rPr>
      </w:pPr>
      <w:r>
        <w:rPr>
          <w:rFonts w:hint="eastAsia" w:ascii="仿宋" w:hAnsi="仿宋" w:eastAsia="仿宋" w:cs="仿宋"/>
          <w:color w:val="auto"/>
          <w:highlight w:val="none"/>
        </w:rPr>
        <w:t>（9）</w:t>
      </w:r>
      <w:r>
        <w:rPr>
          <w:rFonts w:hint="eastAsia" w:ascii="仿宋" w:hAnsi="仿宋" w:eastAsia="仿宋" w:cs="仿宋"/>
          <w:color w:val="auto"/>
          <w:highlight w:val="none"/>
          <w:lang w:bidi="ar"/>
        </w:rPr>
        <w:t>供应商有恶意欺诈、弄虚作假、围标串标、哄抬标价、徇私行贿等法律法规中所列违规行为的；</w:t>
      </w:r>
    </w:p>
    <w:p>
      <w:pPr>
        <w:pStyle w:val="2"/>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80" w:firstLineChars="200"/>
        <w:jc w:val="both"/>
        <w:rPr>
          <w:rFonts w:hint="eastAsia" w:ascii="仿宋" w:hAnsi="仿宋" w:eastAsia="仿宋" w:cs="仿宋"/>
          <w:color w:val="auto"/>
          <w:highlight w:val="none"/>
          <w:lang w:bidi="ar"/>
        </w:rPr>
      </w:pPr>
      <w:r>
        <w:rPr>
          <w:rFonts w:hint="eastAsia" w:ascii="仿宋" w:hAnsi="仿宋" w:eastAsia="仿宋" w:cs="仿宋"/>
          <w:color w:val="auto"/>
          <w:highlight w:val="none"/>
          <w:lang w:bidi="ar"/>
        </w:rPr>
        <w:t>（10）成交供应商不按照磋商文件要求提交履约保证金的；</w:t>
      </w:r>
    </w:p>
    <w:p>
      <w:pPr>
        <w:pStyle w:val="2"/>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（11）其他不应确定成交供应商的情形。</w:t>
      </w:r>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textAlignment w:val="auto"/>
        <w:rPr>
          <w:rFonts w:hint="eastAsia" w:ascii="仿宋" w:hAnsi="仿宋" w:eastAsia="仿宋" w:cs="仿宋"/>
          <w:color w:val="auto"/>
          <w:sz w:val="24"/>
          <w:szCs w:val="24"/>
          <w:highlight w:val="none"/>
        </w:rPr>
      </w:pPr>
      <w:bookmarkStart w:id="96" w:name="_Toc5129"/>
      <w:bookmarkStart w:id="97" w:name="_Toc16781"/>
      <w:bookmarkStart w:id="98" w:name="_Toc28031"/>
      <w:bookmarkStart w:id="99" w:name="_Toc234223231"/>
      <w:bookmarkStart w:id="100" w:name="_Toc2322"/>
      <w:bookmarkStart w:id="101" w:name="_Toc9911"/>
      <w:bookmarkStart w:id="102" w:name="_Toc444891342"/>
      <w:bookmarkStart w:id="103" w:name="_Toc13936"/>
      <w:bookmarkStart w:id="104" w:name="_Toc517281822"/>
      <w:bookmarkStart w:id="105" w:name="_Toc287600124"/>
      <w:bookmarkStart w:id="106" w:name="_Toc19451"/>
      <w:r>
        <w:rPr>
          <w:rFonts w:hint="eastAsia" w:ascii="仿宋" w:hAnsi="仿宋" w:eastAsia="仿宋" w:cs="仿宋"/>
          <w:color w:val="auto"/>
          <w:sz w:val="24"/>
          <w:szCs w:val="24"/>
          <w:highlight w:val="none"/>
        </w:rPr>
        <w:t>（六）授予合同</w:t>
      </w:r>
      <w:bookmarkEnd w:id="96"/>
      <w:bookmarkEnd w:id="97"/>
      <w:bookmarkEnd w:id="98"/>
      <w:bookmarkEnd w:id="99"/>
      <w:bookmarkEnd w:id="100"/>
      <w:bookmarkEnd w:id="101"/>
      <w:bookmarkEnd w:id="102"/>
      <w:bookmarkEnd w:id="103"/>
      <w:bookmarkEnd w:id="104"/>
      <w:bookmarkEnd w:id="105"/>
      <w:bookmarkEnd w:id="106"/>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bookmarkStart w:id="107" w:name="_Toc234223232"/>
      <w:r>
        <w:rPr>
          <w:rFonts w:hint="eastAsia" w:ascii="仿宋" w:hAnsi="仿宋" w:eastAsia="仿宋" w:cs="仿宋"/>
          <w:color w:val="auto"/>
          <w:sz w:val="24"/>
          <w:szCs w:val="24"/>
          <w:highlight w:val="none"/>
        </w:rPr>
        <w:t>22.确定</w:t>
      </w:r>
      <w:bookmarkEnd w:id="107"/>
      <w:r>
        <w:rPr>
          <w:rFonts w:hint="eastAsia" w:ascii="仿宋" w:hAnsi="仿宋" w:eastAsia="仿宋" w:cs="仿宋"/>
          <w:color w:val="auto"/>
          <w:sz w:val="24"/>
          <w:szCs w:val="24"/>
          <w:highlight w:val="none"/>
        </w:rPr>
        <w:t>成交人</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23.1采购人依据磋商小组推荐的成交候选人名单确定成交人，成交人数量</w:t>
      </w:r>
      <w:r>
        <w:rPr>
          <w:rFonts w:hint="eastAsia" w:ascii="仿宋" w:hAnsi="仿宋" w:eastAsia="仿宋" w:cs="仿宋"/>
          <w:color w:val="auto"/>
          <w:highlight w:val="none"/>
          <w:u w:val="single"/>
        </w:rPr>
        <w:t>见本须知前附表</w:t>
      </w:r>
      <w:r>
        <w:rPr>
          <w:rFonts w:hint="eastAsia" w:ascii="仿宋" w:hAnsi="仿宋" w:eastAsia="仿宋" w:cs="仿宋"/>
          <w:color w:val="auto"/>
          <w:highlight w:val="none"/>
          <w:u w:val="single"/>
          <w:lang w:val="en-US" w:eastAsia="zh-CN"/>
        </w:rPr>
        <w:t>第15条</w:t>
      </w:r>
      <w:r>
        <w:rPr>
          <w:rFonts w:hint="eastAsia" w:ascii="仿宋" w:hAnsi="仿宋" w:eastAsia="仿宋" w:cs="仿宋"/>
          <w:color w:val="auto"/>
          <w:highlight w:val="none"/>
        </w:rPr>
        <w:t>。</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23.2成交人确定后，采购人应当向成交人发出成交通知书。成交通知书对采购人和成交人均具有法律效力。成交人收到成交通知书后放弃成交的，应当承担法律责任。</w:t>
      </w:r>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23.签订合同</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23.1采购人与成交人按照磋商文件和成交人的响应文件订立书面合同。合同的标的、价款、质量、履行期限等主要条款应当与磋商文件和成交人的响应文件的内容一致。</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23.2 成交人无正当理由不与采购人订立合同，在签订合同时向采购人提出附加条件，将取消其成交资格。给采购人造成损失的，成交人应当予以赔偿。</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23.3磋商文件要求成交人提交履约保证金的，成交人应当按照</w:t>
      </w:r>
      <w:r>
        <w:rPr>
          <w:rFonts w:hint="eastAsia" w:ascii="仿宋" w:hAnsi="仿宋" w:eastAsia="仿宋" w:cs="仿宋"/>
          <w:color w:val="auto"/>
          <w:highlight w:val="none"/>
          <w:u w:val="single"/>
        </w:rPr>
        <w:t>本须知前附表</w:t>
      </w:r>
      <w:r>
        <w:rPr>
          <w:rFonts w:hint="eastAsia" w:ascii="仿宋" w:hAnsi="仿宋" w:eastAsia="仿宋" w:cs="仿宋"/>
          <w:color w:val="auto"/>
          <w:highlight w:val="none"/>
          <w:u w:val="single"/>
          <w:lang w:val="en-US" w:eastAsia="zh-CN"/>
        </w:rPr>
        <w:t>第16条</w:t>
      </w:r>
      <w:r>
        <w:rPr>
          <w:rFonts w:hint="eastAsia" w:ascii="仿宋" w:hAnsi="仿宋" w:eastAsia="仿宋" w:cs="仿宋"/>
          <w:color w:val="auto"/>
          <w:highlight w:val="none"/>
        </w:rPr>
        <w:t>要求的金额和方式递交。成交人如不按要求提交履约保证金，将取消其成交资格。</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23.4成交供应商不履行与采购人订立的合同的，履约保证金不予退还，给采购人造成的损失超过履约保证金数额的，还应当对超过部分予以赔偿；没有提交履约保证金的，应当对采购人的损失承担赔偿责任。</w:t>
      </w:r>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textAlignment w:val="auto"/>
        <w:rPr>
          <w:rFonts w:hint="eastAsia" w:ascii="仿宋" w:hAnsi="仿宋" w:eastAsia="仿宋" w:cs="仿宋"/>
          <w:color w:val="auto"/>
          <w:sz w:val="24"/>
          <w:szCs w:val="24"/>
          <w:highlight w:val="none"/>
        </w:rPr>
      </w:pPr>
      <w:bookmarkStart w:id="108" w:name="_Toc2638"/>
      <w:bookmarkStart w:id="109" w:name="_Toc24830"/>
      <w:bookmarkStart w:id="110" w:name="_Toc14533"/>
      <w:bookmarkStart w:id="111" w:name="_Toc234223235"/>
      <w:r>
        <w:rPr>
          <w:rFonts w:hint="eastAsia" w:ascii="仿宋" w:hAnsi="仿宋" w:eastAsia="仿宋" w:cs="仿宋"/>
          <w:color w:val="auto"/>
          <w:sz w:val="24"/>
          <w:szCs w:val="24"/>
          <w:highlight w:val="none"/>
        </w:rPr>
        <w:t>（七）其他</w:t>
      </w:r>
      <w:bookmarkEnd w:id="108"/>
      <w:bookmarkEnd w:id="109"/>
      <w:bookmarkEnd w:id="110"/>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lang w:val="en-US" w:eastAsia="zh-CN"/>
        </w:rPr>
        <w:t>24</w:t>
      </w:r>
      <w:r>
        <w:rPr>
          <w:rFonts w:hint="eastAsia" w:ascii="仿宋" w:hAnsi="仿宋" w:eastAsia="仿宋" w:cs="仿宋"/>
          <w:bCs w:val="0"/>
          <w:color w:val="auto"/>
          <w:sz w:val="24"/>
          <w:szCs w:val="24"/>
          <w:highlight w:val="none"/>
        </w:rPr>
        <w:t>.采购代理服务费</w:t>
      </w:r>
      <w:bookmarkEnd w:id="111"/>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详见</w:t>
      </w:r>
      <w:r>
        <w:rPr>
          <w:rFonts w:hint="eastAsia" w:ascii="仿宋" w:hAnsi="仿宋" w:eastAsia="仿宋" w:cs="仿宋"/>
          <w:color w:val="auto"/>
          <w:sz w:val="24"/>
          <w:highlight w:val="none"/>
          <w:u w:val="single"/>
        </w:rPr>
        <w:t>本须知前附表</w:t>
      </w:r>
      <w:r>
        <w:rPr>
          <w:rFonts w:hint="eastAsia" w:ascii="仿宋" w:hAnsi="仿宋" w:eastAsia="仿宋" w:cs="仿宋"/>
          <w:color w:val="auto"/>
          <w:sz w:val="24"/>
          <w:highlight w:val="none"/>
          <w:u w:val="single"/>
          <w:lang w:val="en-US" w:eastAsia="zh-CN"/>
        </w:rPr>
        <w:t>第18条</w:t>
      </w:r>
      <w:r>
        <w:rPr>
          <w:rFonts w:hint="eastAsia" w:ascii="仿宋" w:hAnsi="仿宋" w:eastAsia="仿宋" w:cs="仿宋"/>
          <w:color w:val="auto"/>
          <w:sz w:val="24"/>
          <w:highlight w:val="none"/>
        </w:rPr>
        <w:t>。</w:t>
      </w:r>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lang w:val="en-US" w:eastAsia="zh-CN"/>
        </w:rPr>
        <w:t>25</w:t>
      </w:r>
      <w:r>
        <w:rPr>
          <w:rFonts w:hint="eastAsia" w:ascii="仿宋" w:hAnsi="仿宋" w:eastAsia="仿宋" w:cs="仿宋"/>
          <w:bCs w:val="0"/>
          <w:color w:val="auto"/>
          <w:sz w:val="24"/>
          <w:szCs w:val="24"/>
          <w:highlight w:val="none"/>
        </w:rPr>
        <w:t>.其他情况</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详见</w:t>
      </w:r>
      <w:r>
        <w:rPr>
          <w:rFonts w:hint="eastAsia" w:ascii="仿宋" w:hAnsi="仿宋" w:eastAsia="仿宋" w:cs="仿宋"/>
          <w:color w:val="auto"/>
          <w:sz w:val="24"/>
          <w:highlight w:val="none"/>
          <w:u w:val="single"/>
        </w:rPr>
        <w:t>本须知前附表</w:t>
      </w:r>
      <w:r>
        <w:rPr>
          <w:rFonts w:hint="eastAsia" w:ascii="仿宋" w:hAnsi="仿宋" w:eastAsia="仿宋" w:cs="仿宋"/>
          <w:color w:val="auto"/>
          <w:sz w:val="24"/>
          <w:highlight w:val="none"/>
          <w:u w:val="single"/>
          <w:lang w:val="en-US" w:eastAsia="zh-CN"/>
        </w:rPr>
        <w:t>第22条</w:t>
      </w:r>
      <w:r>
        <w:rPr>
          <w:rFonts w:hint="eastAsia" w:ascii="仿宋" w:hAnsi="仿宋" w:eastAsia="仿宋" w:cs="仿宋"/>
          <w:color w:val="auto"/>
          <w:sz w:val="24"/>
          <w:highlight w:val="none"/>
          <w:u w:val="single"/>
          <w:lang w:eastAsia="zh-CN"/>
        </w:rPr>
        <w:t>。</w:t>
      </w:r>
      <w:bookmarkStart w:id="112" w:name="_Toc10670"/>
      <w:bookmarkStart w:id="113" w:name="_Toc8109"/>
    </w:p>
    <w:p>
      <w:pPr>
        <w:spacing w:line="360" w:lineRule="auto"/>
        <w:jc w:val="left"/>
        <w:rPr>
          <w:rFonts w:hint="eastAsia" w:ascii="仿宋" w:hAnsi="仿宋" w:eastAsia="仿宋" w:cs="仿宋"/>
          <w:color w:val="auto"/>
          <w:sz w:val="24"/>
          <w:highlight w:val="none"/>
          <w:u w:val="single"/>
          <w:lang w:eastAsia="zh-CN"/>
        </w:rPr>
      </w:pP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pPr>
        <w:pStyle w:val="3"/>
        <w:keepNext/>
        <w:keepLines/>
        <w:pageBreakBefore w:val="0"/>
        <w:widowControl/>
        <w:kinsoku/>
        <w:wordWrap/>
        <w:overflowPunct/>
        <w:topLinePunct w:val="0"/>
        <w:autoSpaceDE/>
        <w:autoSpaceDN/>
        <w:bidi w:val="0"/>
        <w:adjustRightInd/>
        <w:snapToGrid/>
        <w:spacing w:before="0" w:after="0"/>
        <w:ind w:left="0" w:firstLine="0"/>
        <w:textAlignment w:val="auto"/>
        <w:rPr>
          <w:rFonts w:hint="eastAsia" w:ascii="仿宋" w:hAnsi="仿宋" w:eastAsia="仿宋" w:cs="仿宋"/>
          <w:color w:val="auto"/>
          <w:sz w:val="28"/>
          <w:szCs w:val="28"/>
          <w:highlight w:val="none"/>
        </w:rPr>
      </w:pPr>
      <w:bookmarkStart w:id="114" w:name="_Toc21590"/>
      <w:r>
        <w:rPr>
          <w:rFonts w:hint="eastAsia" w:ascii="仿宋" w:hAnsi="仿宋" w:eastAsia="仿宋" w:cs="仿宋"/>
          <w:color w:val="auto"/>
          <w:sz w:val="28"/>
          <w:szCs w:val="28"/>
          <w:highlight w:val="none"/>
        </w:rPr>
        <w:t>第三章 评审办法</w:t>
      </w:r>
      <w:bookmarkEnd w:id="112"/>
      <w:bookmarkEnd w:id="114"/>
    </w:p>
    <w:p>
      <w:pPr>
        <w:pStyle w:val="4"/>
        <w:keepNext/>
        <w:keepLines/>
        <w:pageBreakBefore w:val="0"/>
        <w:widowControl w:val="0"/>
        <w:kinsoku/>
        <w:wordWrap/>
        <w:overflowPunct/>
        <w:topLinePunct w:val="0"/>
        <w:autoSpaceDE/>
        <w:autoSpaceDN/>
        <w:bidi w:val="0"/>
        <w:adjustRightInd/>
        <w:snapToGrid/>
        <w:spacing w:before="0" w:after="0"/>
        <w:jc w:val="left"/>
        <w:textAlignment w:val="auto"/>
        <w:rPr>
          <w:rFonts w:hint="eastAsia" w:ascii="仿宋" w:hAnsi="仿宋" w:eastAsia="仿宋" w:cs="仿宋"/>
          <w:color w:val="auto"/>
          <w:sz w:val="24"/>
          <w:szCs w:val="24"/>
          <w:highlight w:val="none"/>
        </w:rPr>
      </w:pPr>
      <w:bookmarkStart w:id="115" w:name="_Toc444891344"/>
      <w:bookmarkStart w:id="116" w:name="_Toc31780"/>
      <w:bookmarkStart w:id="117" w:name="_Toc7201"/>
      <w:bookmarkStart w:id="118" w:name="_Toc517281825"/>
      <w:bookmarkStart w:id="119" w:name="_Toc227057964"/>
      <w:bookmarkStart w:id="120" w:name="_Toc226969358"/>
      <w:r>
        <w:rPr>
          <w:rFonts w:hint="eastAsia" w:ascii="仿宋" w:hAnsi="仿宋" w:eastAsia="仿宋" w:cs="仿宋"/>
          <w:color w:val="auto"/>
          <w:sz w:val="24"/>
          <w:szCs w:val="24"/>
          <w:highlight w:val="none"/>
        </w:rPr>
        <w:t>一、评审程序</w:t>
      </w:r>
      <w:bookmarkEnd w:id="115"/>
      <w:bookmarkEnd w:id="116"/>
      <w:bookmarkEnd w:id="117"/>
      <w:bookmarkEnd w:id="118"/>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磋商小组对响应文件中的相关内容进行评审。评审按照以下程序进行：</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1.熟悉磋商文件；</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2.对响应文件进行初步评审，检查响应文件是否满足磋商文件的初审要求；初步评审中不符合评审标准的，将做否决磋商响应处理；</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3.供应商有以下情形之一的，磋商小组应当否决其磋商响应：</w:t>
      </w:r>
    </w:p>
    <w:p>
      <w:pPr>
        <w:spacing w:line="360" w:lineRule="auto"/>
        <w:ind w:firstLine="420" w:firstLineChars="175"/>
        <w:jc w:val="left"/>
        <w:rPr>
          <w:rFonts w:hint="eastAsia" w:ascii="仿宋" w:hAnsi="仿宋" w:eastAsia="仿宋" w:cs="仿宋"/>
          <w:color w:val="auto"/>
          <w:highlight w:val="none"/>
        </w:rPr>
      </w:pPr>
      <w:r>
        <w:rPr>
          <w:rFonts w:hint="eastAsia" w:ascii="仿宋" w:hAnsi="仿宋" w:eastAsia="仿宋" w:cs="仿宋"/>
          <w:color w:val="auto"/>
          <w:highlight w:val="none"/>
        </w:rPr>
        <w:t>（1）按照磋商公告要求已经递交电子响应文件，但未按要求递交纸质响应文件；</w:t>
      </w:r>
      <w:r>
        <w:rPr>
          <w:rFonts w:hint="eastAsia" w:ascii="仿宋" w:hAnsi="仿宋" w:eastAsia="仿宋" w:cs="仿宋"/>
          <w:i/>
          <w:iCs/>
          <w:color w:val="auto"/>
          <w:kern w:val="0"/>
          <w:sz w:val="24"/>
          <w:highlight w:val="none"/>
        </w:rPr>
        <w:t>（本项目不适用）</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（2）响应文件未经供应商盖章和单位负责人签字；</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（3）允许联合体响应的，联合体没有递交共同响应协议；</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（4）不符合国家或者磋商文件规定的资格条件；</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（5）同一供应商提交两个以上不同的响应文件或者响应报价，但磋商文件要求提交备选文件的除外；</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（6）最终报价低于成本或者高于磋商文件设定的最高投标限价；</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 xml:space="preserve">（7）响应文件未对磋商文件的实质性要求和条件作出响应； </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（8）供应商有串通投标、弄虚作假、行贿等违法行为；</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（9）不接受或不确认因算术性错误进行的价格修正；</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（10）响应文件附有采购人不能接受的条件；</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（11）不符合磋商文件中规定的其他实质性要求。</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4.初步评审</w:t>
      </w:r>
      <w:r>
        <w:rPr>
          <w:rFonts w:hint="eastAsia" w:ascii="仿宋" w:hAnsi="仿宋" w:eastAsia="仿宋" w:cs="仿宋"/>
          <w:color w:val="auto"/>
          <w:highlight w:val="none"/>
          <w:lang w:val="zh-CN"/>
        </w:rPr>
        <w:t>内容允许在磋商过程中按磋商小组规定的时间内补充，若未在规定时间内补充则将导致响应无效。</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5.通过初步评审的供应商分别进行磋商；</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6.通过初步评审的供应商进行最终报价；</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7.通过初步评审的响应文件进行详细评审及打分；</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8.按照综合评分由高到低的次序推荐成交候选人，提交评审结果，评审结果应包含评审情况说明、排名次序、推荐成交候选人名单及其他说明事项。</w:t>
      </w:r>
    </w:p>
    <w:p>
      <w:pPr>
        <w:pStyle w:val="4"/>
        <w:jc w:val="left"/>
        <w:rPr>
          <w:rFonts w:hint="eastAsia" w:ascii="仿宋" w:hAnsi="仿宋" w:eastAsia="仿宋" w:cs="仿宋"/>
          <w:color w:val="auto"/>
          <w:sz w:val="24"/>
          <w:szCs w:val="24"/>
          <w:highlight w:val="none"/>
        </w:rPr>
      </w:pPr>
      <w:bookmarkStart w:id="121" w:name="_Toc444891345"/>
      <w:bookmarkStart w:id="122" w:name="_Toc517281826"/>
      <w:r>
        <w:rPr>
          <w:rFonts w:hint="eastAsia" w:ascii="仿宋" w:hAnsi="仿宋" w:eastAsia="仿宋" w:cs="仿宋"/>
          <w:color w:val="auto"/>
          <w:sz w:val="24"/>
          <w:szCs w:val="24"/>
          <w:highlight w:val="none"/>
        </w:rPr>
        <w:br w:type="page"/>
      </w:r>
      <w:bookmarkStart w:id="123" w:name="_Toc3511"/>
      <w:bookmarkStart w:id="124" w:name="_Toc32019"/>
      <w:r>
        <w:rPr>
          <w:rFonts w:hint="eastAsia" w:ascii="仿宋" w:hAnsi="仿宋" w:eastAsia="仿宋" w:cs="仿宋"/>
          <w:color w:val="auto"/>
          <w:sz w:val="24"/>
          <w:szCs w:val="24"/>
          <w:highlight w:val="none"/>
        </w:rPr>
        <w:t>二、初步评审</w:t>
      </w:r>
      <w:bookmarkEnd w:id="121"/>
      <w:bookmarkEnd w:id="122"/>
      <w:bookmarkEnd w:id="123"/>
      <w:bookmarkEnd w:id="124"/>
    </w:p>
    <w:bookmarkEnd w:id="119"/>
    <w:bookmarkEnd w:id="120"/>
    <w:tbl>
      <w:tblPr>
        <w:tblStyle w:val="30"/>
        <w:tblW w:w="9288" w:type="dxa"/>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
      <w:tblGrid>
        <w:gridCol w:w="857"/>
        <w:gridCol w:w="1680"/>
        <w:gridCol w:w="2750"/>
        <w:gridCol w:w="4001"/>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857"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168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评审环节</w:t>
            </w: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评审因素</w:t>
            </w:r>
          </w:p>
        </w:tc>
        <w:tc>
          <w:tcPr>
            <w:tcW w:w="4001"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restart"/>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680" w:type="dxa"/>
            <w:vMerge w:val="restart"/>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形式评审标准</w:t>
            </w: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供应商名称</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pacing w:val="-4"/>
                <w:sz w:val="24"/>
                <w:szCs w:val="24"/>
                <w:highlight w:val="none"/>
              </w:rPr>
            </w:pPr>
            <w:r>
              <w:rPr>
                <w:rFonts w:hint="eastAsia" w:ascii="仿宋" w:hAnsi="仿宋" w:eastAsia="仿宋" w:cs="仿宋"/>
                <w:color w:val="auto"/>
                <w:sz w:val="24"/>
                <w:szCs w:val="24"/>
                <w:highlight w:val="none"/>
              </w:rPr>
              <w:t>法定代表人（负责人）身份证明</w:t>
            </w:r>
          </w:p>
        </w:tc>
        <w:tc>
          <w:tcPr>
            <w:tcW w:w="4001" w:type="dxa"/>
            <w:tcMar>
              <w:top w:w="0" w:type="dxa"/>
              <w:left w:w="85" w:type="dxa"/>
              <w:bottom w:w="0" w:type="dxa"/>
              <w:right w:w="85" w:type="dxa"/>
            </w:tcMar>
            <w:vAlign w:val="center"/>
          </w:tcPr>
          <w:p>
            <w:pPr>
              <w:pStyle w:val="75"/>
              <w:keepNext w:val="0"/>
              <w:keepLines w:val="0"/>
              <w:suppressLineNumbers w:val="0"/>
              <w:topLinePunct/>
              <w:snapToGrid w:val="0"/>
              <w:spacing w:before="0" w:beforeAutospacing="0" w:after="0" w:afterAutospacing="0"/>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1、提供法定代表人（负责人）身份证复印件。</w:t>
            </w:r>
          </w:p>
          <w:p>
            <w:pPr>
              <w:pStyle w:val="74"/>
              <w:keepNext w:val="0"/>
              <w:keepLines w:val="0"/>
              <w:suppressLineNumbers w:val="0"/>
              <w:tabs>
                <w:tab w:val="left" w:pos="630"/>
              </w:tabs>
              <w:topLinePunct/>
              <w:snapToGrid w:val="0"/>
              <w:spacing w:before="62" w:beforeLines="20" w:beforeAutospacing="0" w:after="62" w:afterLines="20"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法定代表人（负责人）授权委托书</w:t>
            </w:r>
          </w:p>
        </w:tc>
        <w:tc>
          <w:tcPr>
            <w:tcW w:w="4001" w:type="dxa"/>
            <w:tcMar>
              <w:top w:w="0" w:type="dxa"/>
              <w:left w:w="85" w:type="dxa"/>
              <w:bottom w:w="0" w:type="dxa"/>
              <w:right w:w="85" w:type="dxa"/>
            </w:tcMar>
            <w:vAlign w:val="center"/>
          </w:tcPr>
          <w:p>
            <w:pPr>
              <w:pStyle w:val="75"/>
              <w:keepNext w:val="0"/>
              <w:keepLines w:val="0"/>
              <w:suppressLineNumbers w:val="0"/>
              <w:topLinePunct/>
              <w:snapToGrid w:val="0"/>
              <w:spacing w:before="0" w:beforeAutospacing="0" w:after="0"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1、提供委托代理人身份证复印件。</w:t>
            </w:r>
          </w:p>
          <w:p>
            <w:pPr>
              <w:pStyle w:val="75"/>
              <w:keepNext w:val="0"/>
              <w:keepLines w:val="0"/>
              <w:suppressLineNumbers w:val="0"/>
              <w:topLinePunct/>
              <w:snapToGrid w:val="0"/>
              <w:spacing w:before="0" w:beforeAutospacing="0" w:after="0"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2、落款</w:t>
            </w:r>
            <w:r>
              <w:rPr>
                <w:rFonts w:hint="eastAsia" w:ascii="仿宋" w:hAnsi="仿宋" w:eastAsia="仿宋" w:cs="仿宋"/>
                <w:bCs/>
                <w:color w:val="auto"/>
                <w:sz w:val="24"/>
                <w:szCs w:val="24"/>
                <w:highlight w:val="none"/>
              </w:rPr>
              <w:t>加盖公章</w:t>
            </w:r>
            <w:r>
              <w:rPr>
                <w:rFonts w:hint="eastAsia" w:ascii="仿宋" w:hAnsi="仿宋" w:eastAsia="仿宋" w:cs="仿宋"/>
                <w:b/>
                <w:bCs/>
                <w:color w:val="auto"/>
                <w:sz w:val="24"/>
                <w:szCs w:val="24"/>
                <w:highlight w:val="none"/>
              </w:rPr>
              <w:t>并由</w:t>
            </w:r>
            <w:r>
              <w:rPr>
                <w:rFonts w:hint="eastAsia" w:ascii="仿宋" w:hAnsi="仿宋" w:eastAsia="仿宋" w:cs="仿宋"/>
                <w:color w:val="auto"/>
                <w:sz w:val="24"/>
                <w:szCs w:val="24"/>
                <w:highlight w:val="none"/>
              </w:rPr>
              <w:t>法定代表人（负责人）签字</w:t>
            </w:r>
            <w:r>
              <w:rPr>
                <w:rFonts w:hint="eastAsia" w:ascii="仿宋" w:hAnsi="仿宋" w:eastAsia="仿宋" w:cs="仿宋"/>
                <w:b/>
                <w:bCs/>
                <w:color w:val="auto"/>
                <w:sz w:val="24"/>
                <w:szCs w:val="24"/>
                <w:highlight w:val="none"/>
              </w:rPr>
              <w:t>和</w:t>
            </w:r>
            <w:r>
              <w:rPr>
                <w:rFonts w:hint="eastAsia" w:ascii="仿宋" w:hAnsi="仿宋" w:eastAsia="仿宋" w:cs="仿宋"/>
                <w:color w:val="auto"/>
                <w:sz w:val="24"/>
                <w:szCs w:val="24"/>
                <w:highlight w:val="none"/>
              </w:rPr>
              <w:t>其委托代理人</w:t>
            </w:r>
            <w:r>
              <w:rPr>
                <w:rFonts w:hint="eastAsia" w:ascii="仿宋" w:hAnsi="仿宋" w:eastAsia="仿宋" w:cs="仿宋"/>
                <w:b/>
                <w:bCs/>
                <w:color w:val="auto"/>
                <w:sz w:val="24"/>
                <w:szCs w:val="24"/>
                <w:highlight w:val="none"/>
              </w:rPr>
              <w:t>双方</w:t>
            </w:r>
            <w:r>
              <w:rPr>
                <w:rFonts w:hint="eastAsia" w:ascii="仿宋" w:hAnsi="仿宋" w:eastAsia="仿宋" w:cs="仿宋"/>
                <w:bCs/>
                <w:color w:val="auto"/>
                <w:sz w:val="24"/>
                <w:szCs w:val="24"/>
                <w:highlight w:val="none"/>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响应文件签字或盖章</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1、上述两款以外的响应文件格式中有落款的文件，</w:t>
            </w:r>
            <w:r>
              <w:rPr>
                <w:rFonts w:hint="eastAsia" w:ascii="仿宋" w:hAnsi="仿宋" w:eastAsia="仿宋" w:cs="仿宋"/>
                <w:b/>
                <w:color w:val="auto"/>
                <w:sz w:val="24"/>
                <w:szCs w:val="24"/>
                <w:highlight w:val="none"/>
              </w:rPr>
              <w:t>均需</w:t>
            </w:r>
            <w:r>
              <w:rPr>
                <w:rFonts w:hint="eastAsia" w:ascii="仿宋" w:hAnsi="仿宋" w:eastAsia="仿宋" w:cs="仿宋"/>
                <w:color w:val="auto"/>
                <w:sz w:val="24"/>
                <w:szCs w:val="24"/>
                <w:highlight w:val="none"/>
              </w:rPr>
              <w:t>加盖公章</w:t>
            </w:r>
            <w:r>
              <w:rPr>
                <w:rFonts w:hint="eastAsia" w:ascii="仿宋" w:hAnsi="仿宋" w:eastAsia="仿宋" w:cs="仿宋"/>
                <w:b/>
                <w:color w:val="auto"/>
                <w:sz w:val="24"/>
                <w:szCs w:val="24"/>
                <w:highlight w:val="none"/>
              </w:rPr>
              <w:t>或</w:t>
            </w:r>
            <w:r>
              <w:rPr>
                <w:rFonts w:hint="eastAsia" w:ascii="仿宋" w:hAnsi="仿宋" w:eastAsia="仿宋" w:cs="仿宋"/>
                <w:color w:val="auto"/>
                <w:sz w:val="24"/>
                <w:szCs w:val="24"/>
                <w:highlight w:val="none"/>
              </w:rPr>
              <w:t>由法定代表人（负责人）签字</w:t>
            </w:r>
            <w:r>
              <w:rPr>
                <w:rFonts w:hint="eastAsia" w:ascii="仿宋" w:hAnsi="仿宋" w:eastAsia="仿宋" w:cs="仿宋"/>
                <w:b/>
                <w:color w:val="auto"/>
                <w:sz w:val="24"/>
                <w:szCs w:val="24"/>
                <w:highlight w:val="none"/>
              </w:rPr>
              <w:t>或</w:t>
            </w:r>
            <w:r>
              <w:rPr>
                <w:rFonts w:hint="eastAsia" w:ascii="仿宋" w:hAnsi="仿宋" w:eastAsia="仿宋" w:cs="仿宋"/>
                <w:color w:val="auto"/>
                <w:sz w:val="24"/>
                <w:szCs w:val="24"/>
                <w:highlight w:val="none"/>
              </w:rPr>
              <w:t>其委托代理人签字。</w:t>
            </w:r>
          </w:p>
          <w:p>
            <w:pPr>
              <w:pStyle w:val="63"/>
              <w:keepNext w:val="0"/>
              <w:keepLines w:val="0"/>
              <w:widowControl/>
              <w:suppressLineNumbers w:val="0"/>
              <w:snapToGrid w:val="0"/>
              <w:spacing w:before="62" w:beforeLines="20" w:beforeAutospacing="0" w:after="62" w:afterLines="20"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2、响应文件的所有签字处均指手写签字</w:t>
            </w:r>
            <w:r>
              <w:rPr>
                <w:rFonts w:hint="eastAsia" w:ascii="仿宋" w:hAnsi="仿宋" w:eastAsia="仿宋" w:cs="仿宋"/>
                <w:b/>
                <w:color w:val="auto"/>
                <w:sz w:val="24"/>
                <w:szCs w:val="24"/>
                <w:highlight w:val="none"/>
              </w:rPr>
              <w:t>或</w:t>
            </w:r>
            <w:r>
              <w:rPr>
                <w:rFonts w:hint="eastAsia" w:ascii="仿宋" w:hAnsi="仿宋" w:eastAsia="仿宋" w:cs="仿宋"/>
                <w:color w:val="auto"/>
                <w:sz w:val="24"/>
                <w:szCs w:val="24"/>
                <w:highlight w:val="none"/>
              </w:rPr>
              <w:t>签名章/印章</w:t>
            </w:r>
            <w:r>
              <w:rPr>
                <w:rFonts w:hint="eastAsia" w:ascii="仿宋" w:hAnsi="仿宋" w:eastAsia="仿宋" w:cs="仿宋"/>
                <w:b/>
                <w:bCs/>
                <w:color w:val="auto"/>
                <w:sz w:val="24"/>
                <w:szCs w:val="24"/>
                <w:highlight w:val="none"/>
              </w:rPr>
              <w:t>或</w:t>
            </w:r>
            <w:r>
              <w:rPr>
                <w:rFonts w:hint="eastAsia" w:ascii="仿宋" w:hAnsi="仿宋" w:eastAsia="仿宋" w:cs="仿宋"/>
                <w:color w:val="auto"/>
                <w:sz w:val="24"/>
                <w:szCs w:val="24"/>
                <w:highlight w:val="none"/>
              </w:rPr>
              <w:t>CA签名章，</w:t>
            </w:r>
            <w:r>
              <w:rPr>
                <w:rFonts w:hint="eastAsia" w:ascii="仿宋" w:hAnsi="仿宋" w:eastAsia="仿宋" w:cs="仿宋"/>
                <w:b/>
                <w:color w:val="auto"/>
                <w:sz w:val="24"/>
                <w:szCs w:val="24"/>
                <w:highlight w:val="none"/>
              </w:rPr>
              <w:t>不得</w:t>
            </w:r>
            <w:r>
              <w:rPr>
                <w:rFonts w:hint="eastAsia" w:ascii="仿宋" w:hAnsi="仿宋" w:eastAsia="仿宋" w:cs="仿宋"/>
                <w:color w:val="auto"/>
                <w:sz w:val="24"/>
                <w:szCs w:val="24"/>
                <w:highlight w:val="none"/>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restart"/>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1680" w:type="dxa"/>
            <w:vMerge w:val="restart"/>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资格评审标准</w:t>
            </w: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在中华人民共和国境内依法登记的法人或其他组织，具有独立承担民事责任的能力</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符合第一章“竞争性磋商邀请”规定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具有良好的商业信誉和健全的财务会计制度</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符合第一章“竞争性磋商邀请”规定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具有履行合同所必需的设备和专业技术能力</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符合第一章“竞争性磋商邀请”规定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具有依法缴纳税收和社会保障资金的良好记录</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符合第一章“竞争性磋商邀请”规定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经营状况良好，且近三年内（2023年1月1日至今）无违法违规记录</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符合第一章“竞争性磋商邀请”规定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未被</w:t>
            </w:r>
            <w:r>
              <w:rPr>
                <w:rFonts w:hint="eastAsia" w:ascii="仿宋" w:hAnsi="仿宋" w:eastAsia="仿宋" w:cs="仿宋"/>
                <w:color w:val="auto"/>
                <w:sz w:val="24"/>
                <w:szCs w:val="24"/>
                <w:highlight w:val="none"/>
              </w:rPr>
              <w:t>列入采购人及其所隶属的中国人民保险各级机构的供应商黑名单且在禁入期内</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符合第一章“竞争性磋商邀请”规定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控股管理关系</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符合第一章“竞争性磋商邀请”规定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非联合体</w:t>
            </w:r>
            <w:r>
              <w:rPr>
                <w:rFonts w:hint="eastAsia" w:ascii="仿宋" w:hAnsi="仿宋" w:eastAsia="仿宋" w:cs="仿宋"/>
                <w:color w:val="auto"/>
                <w:sz w:val="24"/>
                <w:szCs w:val="24"/>
                <w:highlight w:val="none"/>
                <w:lang w:val="en-US" w:eastAsia="zh-CN"/>
              </w:rPr>
              <w:t>响应</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符合第一章“竞争性磋商邀请”规定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特殊资质条件</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符合第一章“竞争性磋商邀请”规定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restart"/>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680" w:type="dxa"/>
            <w:vMerge w:val="restart"/>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响应性评审标准</w:t>
            </w: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响应函</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除填写双方名称、项目名称外，未修改原文内容。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供应商行为准则承诺书</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供应商廉洁诚信承诺书</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供应商偏离应答</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《供应商须知应答偏离表》、《合同条款应答偏离表》、《采购需求应答偏离表》》进行了符合第二章“供应商须知”的应答</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bookmarkStart w:id="125" w:name="_Toc25550"/>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其他实质性响应情况</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磋商文件中标识“★”条款、注明“磋商响应将被否决”、“对其响应做否决处理”等的条款，均为实质性条款，不满足任意一项实质性条款的响应将被否决。</w:t>
            </w:r>
          </w:p>
        </w:tc>
      </w:tr>
    </w:tbl>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pPr>
        <w:pStyle w:val="4"/>
        <w:keepNext w:val="0"/>
        <w:keepLines w:val="0"/>
        <w:pageBreakBefore w:val="0"/>
        <w:widowControl w:val="0"/>
        <w:kinsoku/>
        <w:wordWrap/>
        <w:overflowPunct/>
        <w:topLinePunct w:val="0"/>
        <w:autoSpaceDE w:val="0"/>
        <w:autoSpaceDN w:val="0"/>
        <w:bidi w:val="0"/>
        <w:adjustRightInd w:val="0"/>
        <w:snapToGrid w:val="0"/>
        <w:spacing w:before="0" w:after="0"/>
        <w:ind w:right="0"/>
        <w:jc w:val="both"/>
        <w:textAlignment w:val="auto"/>
        <w:rPr>
          <w:rFonts w:hint="eastAsia" w:ascii="仿宋" w:hAnsi="仿宋" w:eastAsia="仿宋" w:cs="仿宋"/>
          <w:color w:val="auto"/>
          <w:sz w:val="24"/>
          <w:szCs w:val="24"/>
          <w:highlight w:val="none"/>
        </w:rPr>
      </w:pPr>
      <w:bookmarkStart w:id="126" w:name="_Toc11771"/>
      <w:r>
        <w:rPr>
          <w:rFonts w:hint="eastAsia" w:ascii="仿宋" w:hAnsi="仿宋" w:eastAsia="仿宋" w:cs="仿宋"/>
          <w:color w:val="auto"/>
          <w:sz w:val="24"/>
          <w:szCs w:val="24"/>
          <w:highlight w:val="none"/>
        </w:rPr>
        <w:t>三、详细评审</w:t>
      </w:r>
      <w:bookmarkEnd w:id="125"/>
      <w:bookmarkEnd w:id="126"/>
    </w:p>
    <w:p>
      <w:pPr>
        <w:pStyle w:val="2"/>
        <w:keepNext w:val="0"/>
        <w:keepLines w:val="0"/>
        <w:pageBreakBefore w:val="0"/>
        <w:widowControl w:val="0"/>
        <w:kinsoku/>
        <w:wordWrap/>
        <w:overflowPunct/>
        <w:topLinePunct w:val="0"/>
        <w:autoSpaceDE w:val="0"/>
        <w:autoSpaceDN w:val="0"/>
        <w:bidi w:val="0"/>
        <w:adjustRightInd w:val="0"/>
        <w:snapToGrid w:val="0"/>
        <w:spacing w:after="0" w:line="360" w:lineRule="auto"/>
        <w:ind w:left="0" w:right="0" w:firstLine="480" w:firstLineChars="200"/>
        <w:jc w:val="both"/>
        <w:textAlignment w:val="auto"/>
        <w:rPr>
          <w:rFonts w:hint="eastAsia" w:ascii="仿宋" w:hAnsi="仿宋" w:eastAsia="仿宋" w:cs="仿宋"/>
          <w:color w:val="auto"/>
          <w:highlight w:val="none"/>
        </w:rPr>
      </w:pPr>
      <w:r>
        <w:rPr>
          <w:rFonts w:hint="eastAsia" w:ascii="仿宋" w:hAnsi="仿宋" w:eastAsia="仿宋" w:cs="仿宋"/>
          <w:color w:val="auto"/>
          <w:highlight w:val="none"/>
        </w:rPr>
        <w:t>3.1本项目采用综合评分法</w:t>
      </w:r>
    </w:p>
    <w:p>
      <w:pPr>
        <w:pStyle w:val="2"/>
        <w:keepNext w:val="0"/>
        <w:keepLines w:val="0"/>
        <w:pageBreakBefore w:val="0"/>
        <w:widowControl w:val="0"/>
        <w:kinsoku/>
        <w:wordWrap/>
        <w:overflowPunct/>
        <w:topLinePunct w:val="0"/>
        <w:autoSpaceDE w:val="0"/>
        <w:autoSpaceDN w:val="0"/>
        <w:bidi w:val="0"/>
        <w:adjustRightInd w:val="0"/>
        <w:snapToGrid w:val="0"/>
        <w:spacing w:after="0" w:line="360" w:lineRule="auto"/>
        <w:ind w:left="0" w:right="0" w:firstLine="480" w:firstLineChars="200"/>
        <w:jc w:val="both"/>
        <w:textAlignment w:val="auto"/>
        <w:rPr>
          <w:rFonts w:hint="eastAsia" w:ascii="仿宋" w:hAnsi="仿宋" w:eastAsia="仿宋" w:cs="仿宋"/>
          <w:color w:val="auto"/>
          <w:highlight w:val="none"/>
        </w:rPr>
      </w:pPr>
      <w:r>
        <w:rPr>
          <w:rFonts w:hint="eastAsia" w:ascii="仿宋" w:hAnsi="仿宋" w:eastAsia="仿宋" w:cs="仿宋"/>
          <w:color w:val="auto"/>
          <w:highlight w:val="none"/>
        </w:rPr>
        <w:t>3.2 评分明细：</w:t>
      </w:r>
    </w:p>
    <w:p>
      <w:pPr>
        <w:pStyle w:val="2"/>
        <w:keepNext w:val="0"/>
        <w:keepLines w:val="0"/>
        <w:pageBreakBefore w:val="0"/>
        <w:widowControl w:val="0"/>
        <w:kinsoku/>
        <w:wordWrap/>
        <w:overflowPunct/>
        <w:topLinePunct w:val="0"/>
        <w:autoSpaceDE w:val="0"/>
        <w:autoSpaceDN w:val="0"/>
        <w:bidi w:val="0"/>
        <w:adjustRightInd w:val="0"/>
        <w:snapToGrid w:val="0"/>
        <w:spacing w:after="0" w:line="360" w:lineRule="auto"/>
        <w:ind w:left="0" w:right="0" w:firstLine="480" w:firstLineChars="200"/>
        <w:jc w:val="both"/>
        <w:textAlignment w:val="auto"/>
        <w:rPr>
          <w:rFonts w:hint="eastAsia" w:ascii="仿宋" w:hAnsi="仿宋" w:eastAsia="仿宋" w:cs="仿宋"/>
          <w:color w:val="auto"/>
          <w:highlight w:val="none"/>
        </w:rPr>
      </w:pPr>
      <w:r>
        <w:rPr>
          <w:rFonts w:hint="eastAsia" w:ascii="仿宋" w:hAnsi="仿宋" w:eastAsia="仿宋" w:cs="仿宋"/>
          <w:color w:val="auto"/>
          <w:highlight w:val="none"/>
        </w:rPr>
        <w:t>采购评审标准由项目</w:t>
      </w:r>
      <w:r>
        <w:rPr>
          <w:rFonts w:hint="eastAsia" w:ascii="仿宋" w:hAnsi="仿宋" w:eastAsia="仿宋" w:cs="仿宋"/>
          <w:i w:val="0"/>
          <w:iCs/>
          <w:color w:val="auto"/>
          <w:szCs w:val="32"/>
          <w:highlight w:val="none"/>
        </w:rPr>
        <w:t>最终报价、</w:t>
      </w:r>
      <w:r>
        <w:rPr>
          <w:rFonts w:hint="eastAsia" w:ascii="仿宋" w:hAnsi="仿宋" w:eastAsia="仿宋" w:cs="仿宋"/>
          <w:i w:val="0"/>
          <w:iCs/>
          <w:color w:val="auto"/>
          <w:szCs w:val="32"/>
          <w:highlight w:val="none"/>
          <w:lang w:val="en-US" w:eastAsia="zh-CN"/>
        </w:rPr>
        <w:t>商务部分、技术部分</w:t>
      </w:r>
      <w:r>
        <w:rPr>
          <w:rFonts w:hint="eastAsia" w:ascii="仿宋" w:hAnsi="仿宋" w:eastAsia="仿宋" w:cs="仿宋"/>
          <w:color w:val="auto"/>
          <w:highlight w:val="none"/>
        </w:rPr>
        <w:t>三项标准构成，评审专家将依据磋商邀请文件要求，结合项目最终报价表、</w:t>
      </w:r>
      <w:r>
        <w:rPr>
          <w:rFonts w:hint="eastAsia" w:ascii="仿宋" w:hAnsi="仿宋" w:eastAsia="仿宋" w:cs="仿宋"/>
          <w:i w:val="0"/>
          <w:iCs/>
          <w:color w:val="auto"/>
          <w:szCs w:val="32"/>
          <w:highlight w:val="none"/>
          <w:lang w:val="en-US" w:eastAsia="zh-CN"/>
        </w:rPr>
        <w:t>商务部分、技术部分</w:t>
      </w:r>
      <w:r>
        <w:rPr>
          <w:rFonts w:hint="eastAsia" w:ascii="仿宋" w:hAnsi="仿宋" w:eastAsia="仿宋" w:cs="仿宋"/>
          <w:color w:val="auto"/>
          <w:highlight w:val="none"/>
        </w:rPr>
        <w:t>等情况进行评分。各有效供应商的综合得分为各评审专家所评分值的算术平均值，若总得分相同，以价格得分高者排序在先。将把合同授予被确定为实质上响应磋商文件要求且评标得分最高的供应商。</w:t>
      </w:r>
    </w:p>
    <w:p>
      <w:pPr>
        <w:pStyle w:val="2"/>
        <w:keepNext w:val="0"/>
        <w:keepLines w:val="0"/>
        <w:pageBreakBefore w:val="0"/>
        <w:widowControl w:val="0"/>
        <w:kinsoku/>
        <w:wordWrap/>
        <w:overflowPunct/>
        <w:topLinePunct w:val="0"/>
        <w:autoSpaceDE w:val="0"/>
        <w:autoSpaceDN w:val="0"/>
        <w:bidi w:val="0"/>
        <w:adjustRightInd w:val="0"/>
        <w:snapToGrid w:val="0"/>
        <w:spacing w:after="0" w:line="360" w:lineRule="auto"/>
        <w:ind w:left="0" w:right="0" w:firstLine="480" w:firstLineChars="200"/>
        <w:jc w:val="both"/>
        <w:textAlignment w:val="auto"/>
        <w:rPr>
          <w:rFonts w:hint="eastAsia" w:ascii="仿宋" w:hAnsi="仿宋" w:eastAsia="仿宋" w:cs="仿宋"/>
          <w:color w:val="auto"/>
          <w:highlight w:val="none"/>
        </w:rPr>
      </w:pPr>
      <w:r>
        <w:rPr>
          <w:rFonts w:hint="eastAsia" w:ascii="仿宋" w:hAnsi="仿宋" w:eastAsia="仿宋" w:cs="仿宋"/>
          <w:color w:val="auto"/>
          <w:highlight w:val="none"/>
        </w:rPr>
        <w:t>评审标准如下：</w:t>
      </w:r>
    </w:p>
    <w:tbl>
      <w:tblPr>
        <w:tblStyle w:val="30"/>
        <w:tblW w:w="98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9"/>
        <w:gridCol w:w="697"/>
        <w:gridCol w:w="829"/>
        <w:gridCol w:w="1007"/>
        <w:gridCol w:w="66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669"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序号</w:t>
            </w:r>
          </w:p>
        </w:tc>
        <w:tc>
          <w:tcPr>
            <w:tcW w:w="1526" w:type="dxa"/>
            <w:gridSpan w:val="2"/>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评分项目</w:t>
            </w:r>
          </w:p>
        </w:tc>
        <w:tc>
          <w:tcPr>
            <w:tcW w:w="1007"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分值</w:t>
            </w:r>
          </w:p>
        </w:tc>
        <w:tc>
          <w:tcPr>
            <w:tcW w:w="6612"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9" w:type="dxa"/>
            <w:tcMar>
              <w:top w:w="0" w:type="dxa"/>
              <w:left w:w="85" w:type="dxa"/>
              <w:bottom w:w="0" w:type="dxa"/>
              <w:right w:w="85" w:type="dxa"/>
            </w:tcMar>
            <w:vAlign w:val="center"/>
          </w:tcPr>
          <w:p>
            <w:pPr>
              <w:keepNext w:val="0"/>
              <w:keepLines w:val="0"/>
              <w:widowControl/>
              <w:numPr>
                <w:ilvl w:val="0"/>
                <w:numId w:val="4"/>
              </w:numPr>
              <w:suppressLineNumbers w:val="0"/>
              <w:autoSpaceDE w:val="0"/>
              <w:autoSpaceDN w:val="0"/>
              <w:adjustRightInd w:val="0"/>
              <w:snapToGrid w:val="0"/>
              <w:spacing w:before="0" w:beforeAutospacing="0" w:after="0" w:afterAutospacing="0" w:line="300" w:lineRule="auto"/>
              <w:ind w:right="0"/>
              <w:jc w:val="center"/>
              <w:rPr>
                <w:rFonts w:hint="eastAsia" w:ascii="仿宋" w:hAnsi="仿宋" w:eastAsia="仿宋" w:cs="仿宋"/>
                <w:color w:val="auto"/>
                <w:sz w:val="21"/>
                <w:szCs w:val="21"/>
                <w:highlight w:val="none"/>
                <w:lang w:val="zh-CN"/>
              </w:rPr>
            </w:pPr>
          </w:p>
        </w:tc>
        <w:tc>
          <w:tcPr>
            <w:tcW w:w="697"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价格部分</w:t>
            </w:r>
            <w:r>
              <w:rPr>
                <w:rFonts w:hint="eastAsia" w:ascii="仿宋" w:hAnsi="仿宋" w:eastAsia="仿宋" w:cs="仿宋"/>
                <w:color w:val="auto"/>
                <w:sz w:val="21"/>
                <w:szCs w:val="21"/>
                <w:highlight w:val="none"/>
                <w:lang w:val="en-US" w:eastAsia="zh-CN"/>
              </w:rPr>
              <w:t>40</w:t>
            </w:r>
            <w:r>
              <w:rPr>
                <w:rFonts w:hint="eastAsia" w:ascii="仿宋" w:hAnsi="仿宋" w:eastAsia="仿宋" w:cs="仿宋"/>
                <w:color w:val="auto"/>
                <w:sz w:val="21"/>
                <w:szCs w:val="21"/>
                <w:highlight w:val="none"/>
              </w:rPr>
              <w:t>%</w:t>
            </w:r>
          </w:p>
        </w:tc>
        <w:tc>
          <w:tcPr>
            <w:tcW w:w="829"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报价</w:t>
            </w:r>
          </w:p>
        </w:tc>
        <w:tc>
          <w:tcPr>
            <w:tcW w:w="1007"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40</w:t>
            </w:r>
            <w:r>
              <w:rPr>
                <w:rFonts w:hint="eastAsia" w:ascii="仿宋" w:hAnsi="仿宋" w:eastAsia="仿宋" w:cs="仿宋"/>
                <w:color w:val="auto"/>
                <w:sz w:val="21"/>
                <w:szCs w:val="21"/>
                <w:highlight w:val="none"/>
              </w:rPr>
              <w:t>分</w:t>
            </w:r>
          </w:p>
        </w:tc>
        <w:tc>
          <w:tcPr>
            <w:tcW w:w="6612"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评分法中的价格分采用低价优先法计算，即满足</w:t>
            </w:r>
            <w:r>
              <w:rPr>
                <w:rFonts w:hint="eastAsia" w:ascii="仿宋" w:hAnsi="仿宋" w:eastAsia="仿宋" w:cs="仿宋"/>
                <w:b w:val="0"/>
                <w:bCs w:val="0"/>
                <w:color w:val="auto"/>
                <w:sz w:val="21"/>
                <w:szCs w:val="21"/>
                <w:highlight w:val="none"/>
                <w:lang w:val="en-US" w:eastAsia="zh-CN"/>
              </w:rPr>
              <w:t>磋商</w:t>
            </w:r>
            <w:r>
              <w:rPr>
                <w:rFonts w:hint="eastAsia" w:ascii="仿宋" w:hAnsi="仿宋" w:eastAsia="仿宋" w:cs="仿宋"/>
                <w:b w:val="0"/>
                <w:bCs w:val="0"/>
                <w:color w:val="auto"/>
                <w:sz w:val="21"/>
                <w:szCs w:val="21"/>
                <w:highlight w:val="none"/>
              </w:rPr>
              <w:t>文件要求且最低的评审价格为评标基准价，等于评标基准价得</w:t>
            </w:r>
            <w:r>
              <w:rPr>
                <w:rFonts w:hint="eastAsia" w:ascii="仿宋" w:hAnsi="仿宋" w:eastAsia="仿宋" w:cs="仿宋"/>
                <w:b w:val="0"/>
                <w:bCs w:val="0"/>
                <w:color w:val="auto"/>
                <w:sz w:val="21"/>
                <w:szCs w:val="21"/>
                <w:highlight w:val="none"/>
                <w:lang w:val="en-US" w:eastAsia="zh-CN"/>
              </w:rPr>
              <w:t>40</w:t>
            </w:r>
            <w:r>
              <w:rPr>
                <w:rFonts w:hint="eastAsia" w:ascii="仿宋" w:hAnsi="仿宋" w:eastAsia="仿宋" w:cs="仿宋"/>
                <w:b w:val="0"/>
                <w:bCs w:val="0"/>
                <w:color w:val="auto"/>
                <w:sz w:val="21"/>
                <w:szCs w:val="21"/>
                <w:highlight w:val="none"/>
              </w:rPr>
              <w:t>分。其他供应商的价格分统一按照下列公式计算，精确到小数点后两位：</w:t>
            </w:r>
          </w:p>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供应商报价得分＝（评标基准价/评审价格）×</w:t>
            </w:r>
            <w:r>
              <w:rPr>
                <w:rFonts w:hint="eastAsia" w:ascii="仿宋" w:hAnsi="仿宋" w:eastAsia="仿宋" w:cs="仿宋"/>
                <w:b w:val="0"/>
                <w:bCs w:val="0"/>
                <w:color w:val="auto"/>
                <w:sz w:val="21"/>
                <w:szCs w:val="21"/>
                <w:highlight w:val="none"/>
                <w:lang w:val="en-US" w:eastAsia="zh-CN"/>
              </w:rPr>
              <w:t>40</w:t>
            </w:r>
            <w:r>
              <w:rPr>
                <w:rFonts w:hint="eastAsia" w:ascii="仿宋" w:hAnsi="仿宋" w:eastAsia="仿宋" w:cs="仿宋"/>
                <w:b w:val="0"/>
                <w:bCs w:val="0"/>
                <w:color w:val="auto"/>
                <w:sz w:val="21"/>
                <w:szCs w:val="21"/>
                <w:highlight w:val="none"/>
              </w:rPr>
              <w:t>；</w:t>
            </w:r>
          </w:p>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注：评审价格按照如下方式定义：</w:t>
            </w:r>
          </w:p>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lang w:val="en-US" w:eastAsia="zh-CN"/>
              </w:rPr>
              <w:t>1</w:t>
            </w: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rPr>
              <w:t>对于承诺提供增值税专用发票的供应商，评审价格即不含税</w:t>
            </w:r>
            <w:r>
              <w:rPr>
                <w:rFonts w:hint="eastAsia" w:ascii="仿宋" w:hAnsi="仿宋" w:eastAsia="仿宋" w:cs="仿宋"/>
                <w:b/>
                <w:bCs/>
                <w:color w:val="auto"/>
                <w:sz w:val="21"/>
                <w:szCs w:val="21"/>
                <w:highlight w:val="none"/>
                <w:lang w:eastAsia="zh-CN"/>
              </w:rPr>
              <w:t>的</w:t>
            </w:r>
            <w:r>
              <w:rPr>
                <w:rFonts w:hint="eastAsia" w:ascii="仿宋" w:hAnsi="仿宋" w:eastAsia="仿宋" w:cs="仿宋"/>
                <w:b/>
                <w:bCs/>
                <w:color w:val="auto"/>
                <w:sz w:val="21"/>
                <w:szCs w:val="21"/>
                <w:highlight w:val="none"/>
                <w:lang w:val="en-US" w:eastAsia="zh-CN"/>
              </w:rPr>
              <w:t>响应</w:t>
            </w:r>
            <w:r>
              <w:rPr>
                <w:rFonts w:hint="eastAsia" w:ascii="仿宋" w:hAnsi="仿宋" w:eastAsia="仿宋" w:cs="仿宋"/>
                <w:b/>
                <w:bCs/>
                <w:color w:val="auto"/>
                <w:sz w:val="21"/>
                <w:szCs w:val="21"/>
                <w:highlight w:val="none"/>
              </w:rPr>
              <w:t>总价净价；</w:t>
            </w:r>
          </w:p>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lang w:val="en-US" w:eastAsia="zh-CN"/>
              </w:rPr>
              <w:t>2</w:t>
            </w: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rPr>
              <w:t>对于不能提供增值税专用发票的供应商，评审价格是含税的</w:t>
            </w:r>
            <w:r>
              <w:rPr>
                <w:rFonts w:hint="eastAsia" w:ascii="仿宋" w:hAnsi="仿宋" w:eastAsia="仿宋" w:cs="仿宋"/>
                <w:b/>
                <w:bCs/>
                <w:color w:val="auto"/>
                <w:sz w:val="21"/>
                <w:szCs w:val="21"/>
                <w:highlight w:val="none"/>
                <w:lang w:val="en-US" w:eastAsia="zh-CN"/>
              </w:rPr>
              <w:t>响应</w:t>
            </w:r>
            <w:r>
              <w:rPr>
                <w:rFonts w:hint="eastAsia" w:ascii="仿宋" w:hAnsi="仿宋" w:eastAsia="仿宋" w:cs="仿宋"/>
                <w:b/>
                <w:bCs/>
                <w:color w:val="auto"/>
                <w:sz w:val="21"/>
                <w:szCs w:val="21"/>
                <w:highlight w:val="none"/>
              </w:rPr>
              <w:t>总价</w:t>
            </w:r>
            <w:r>
              <w:rPr>
                <w:rFonts w:hint="eastAsia" w:ascii="仿宋" w:hAnsi="仿宋" w:eastAsia="仿宋" w:cs="仿宋"/>
                <w:b/>
                <w:bCs/>
                <w:color w:val="auto"/>
                <w:sz w:val="21"/>
                <w:szCs w:val="21"/>
                <w:highlight w:val="none"/>
                <w:lang w:eastAsia="zh-CN"/>
              </w:rPr>
              <w:t>；</w:t>
            </w:r>
          </w:p>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lang w:val="en-US" w:eastAsia="zh-CN"/>
              </w:rPr>
              <w:t>3</w:t>
            </w: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rPr>
              <w:t>报价得分最终结果四舍五入保留小数点后两位。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9" w:type="dxa"/>
            <w:vMerge w:val="restart"/>
            <w:tcMar>
              <w:top w:w="0" w:type="dxa"/>
              <w:left w:w="85" w:type="dxa"/>
              <w:bottom w:w="0" w:type="dxa"/>
              <w:right w:w="85" w:type="dxa"/>
            </w:tcMar>
            <w:vAlign w:val="center"/>
          </w:tcPr>
          <w:p>
            <w:pPr>
              <w:keepNext w:val="0"/>
              <w:keepLines w:val="0"/>
              <w:widowControl/>
              <w:numPr>
                <w:ilvl w:val="0"/>
                <w:numId w:val="4"/>
              </w:numPr>
              <w:suppressLineNumbers w:val="0"/>
              <w:autoSpaceDE w:val="0"/>
              <w:autoSpaceDN w:val="0"/>
              <w:adjustRightInd w:val="0"/>
              <w:snapToGrid w:val="0"/>
              <w:spacing w:before="0" w:beforeAutospacing="0" w:after="0" w:afterAutospacing="0" w:line="300" w:lineRule="auto"/>
              <w:ind w:right="0"/>
              <w:jc w:val="center"/>
              <w:rPr>
                <w:rFonts w:hint="eastAsia" w:ascii="仿宋" w:hAnsi="仿宋" w:eastAsia="仿宋" w:cs="仿宋"/>
                <w:color w:val="auto"/>
                <w:sz w:val="21"/>
                <w:szCs w:val="21"/>
                <w:highlight w:val="none"/>
                <w:lang w:val="zh-CN"/>
              </w:rPr>
            </w:pPr>
          </w:p>
        </w:tc>
        <w:tc>
          <w:tcPr>
            <w:tcW w:w="697" w:type="dxa"/>
            <w:vMerge w:val="restart"/>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商务部分</w:t>
            </w:r>
          </w:p>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10</w:t>
            </w:r>
            <w:r>
              <w:rPr>
                <w:rFonts w:hint="eastAsia" w:ascii="仿宋" w:hAnsi="仿宋" w:eastAsia="仿宋" w:cs="仿宋"/>
                <w:color w:val="auto"/>
                <w:sz w:val="21"/>
                <w:szCs w:val="21"/>
                <w:highlight w:val="none"/>
              </w:rPr>
              <w:t>%</w:t>
            </w:r>
          </w:p>
        </w:tc>
        <w:tc>
          <w:tcPr>
            <w:tcW w:w="829"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企业综合实力</w:t>
            </w:r>
          </w:p>
        </w:tc>
        <w:tc>
          <w:tcPr>
            <w:tcW w:w="1007"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分</w:t>
            </w:r>
          </w:p>
        </w:tc>
        <w:tc>
          <w:tcPr>
            <w:tcW w:w="6612"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leftChars="0" w:right="0" w:rightChars="0"/>
              <w:rPr>
                <w:rFonts w:hint="eastAsia" w:ascii="仿宋" w:hAnsi="仿宋" w:eastAsia="仿宋" w:cs="仿宋"/>
                <w:color w:val="auto"/>
                <w:kern w:val="0"/>
                <w:sz w:val="21"/>
                <w:szCs w:val="21"/>
                <w:highlight w:val="none"/>
                <w:lang w:bidi="ar"/>
              </w:rPr>
            </w:pPr>
            <w:r>
              <w:rPr>
                <w:rFonts w:hint="eastAsia" w:ascii="仿宋" w:hAnsi="仿宋" w:eastAsia="仿宋" w:cs="仿宋"/>
                <w:color w:val="auto"/>
                <w:kern w:val="0"/>
                <w:sz w:val="21"/>
                <w:szCs w:val="21"/>
                <w:highlight w:val="none"/>
                <w:lang w:bidi="ar"/>
              </w:rPr>
              <w:t>根据</w:t>
            </w:r>
            <w:r>
              <w:rPr>
                <w:rFonts w:hint="eastAsia" w:ascii="仿宋" w:hAnsi="仿宋" w:eastAsia="仿宋" w:cs="仿宋"/>
                <w:color w:val="auto"/>
                <w:kern w:val="0"/>
                <w:sz w:val="21"/>
                <w:szCs w:val="21"/>
                <w:highlight w:val="none"/>
                <w:lang w:val="en-US" w:eastAsia="zh-CN" w:bidi="ar"/>
              </w:rPr>
              <w:t>供应商</w:t>
            </w:r>
            <w:r>
              <w:rPr>
                <w:rFonts w:hint="eastAsia" w:ascii="仿宋" w:hAnsi="仿宋" w:eastAsia="仿宋" w:cs="仿宋"/>
                <w:color w:val="auto"/>
                <w:kern w:val="0"/>
                <w:sz w:val="21"/>
                <w:szCs w:val="21"/>
                <w:highlight w:val="none"/>
                <w:lang w:bidi="ar"/>
              </w:rPr>
              <w:t>财务状况（营业收入、净利润）、信誉状况、人员储备等情况进行横向比较评分（需提供相应证明材料），评价为优得4-5分，较优得2-3分，一般得0-1分。</w:t>
            </w:r>
          </w:p>
          <w:p>
            <w:pPr>
              <w:keepNext w:val="0"/>
              <w:keepLines w:val="0"/>
              <w:widowControl/>
              <w:suppressLineNumbers w:val="0"/>
              <w:snapToGrid w:val="0"/>
              <w:spacing w:before="0" w:beforeAutospacing="0" w:after="0" w:afterAutospacing="0" w:line="300" w:lineRule="auto"/>
              <w:ind w:left="0" w:leftChars="0" w:right="0" w:rightChars="0"/>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注：提供相关证明资料并加盖供应商单位公章。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9" w:type="dxa"/>
            <w:vMerge w:val="continue"/>
            <w:tcMar>
              <w:top w:w="0" w:type="dxa"/>
              <w:left w:w="85" w:type="dxa"/>
              <w:bottom w:w="0" w:type="dxa"/>
              <w:right w:w="85" w:type="dxa"/>
            </w:tcMar>
            <w:vAlign w:val="center"/>
          </w:tcPr>
          <w:p>
            <w:pPr>
              <w:keepNext w:val="0"/>
              <w:keepLines w:val="0"/>
              <w:widowControl/>
              <w:suppressLineNumbers w:val="0"/>
              <w:autoSpaceDE w:val="0"/>
              <w:autoSpaceDN w:val="0"/>
              <w:adjustRightInd w:val="0"/>
              <w:snapToGrid w:val="0"/>
              <w:spacing w:before="0" w:beforeAutospacing="0" w:after="0" w:afterAutospacing="0" w:line="300" w:lineRule="auto"/>
              <w:ind w:left="0" w:right="0"/>
              <w:jc w:val="center"/>
              <w:rPr>
                <w:rFonts w:hint="eastAsia" w:ascii="仿宋" w:hAnsi="仿宋" w:eastAsia="仿宋" w:cs="仿宋"/>
                <w:color w:val="auto"/>
                <w:sz w:val="21"/>
                <w:szCs w:val="21"/>
                <w:highlight w:val="none"/>
                <w:lang w:val="zh-CN"/>
              </w:rPr>
            </w:pPr>
          </w:p>
        </w:tc>
        <w:tc>
          <w:tcPr>
            <w:tcW w:w="69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rPr>
            </w:pPr>
          </w:p>
        </w:tc>
        <w:tc>
          <w:tcPr>
            <w:tcW w:w="829"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both"/>
              <w:textAlignment w:val="center"/>
              <w:rPr>
                <w:rFonts w:hint="eastAsia" w:ascii="仿宋" w:hAnsi="仿宋" w:eastAsia="仿宋" w:cs="仿宋"/>
                <w:color w:val="auto"/>
                <w:sz w:val="21"/>
                <w:szCs w:val="21"/>
                <w:highlight w:val="none"/>
              </w:rPr>
            </w:pPr>
          </w:p>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同类业绩</w:t>
            </w:r>
          </w:p>
        </w:tc>
        <w:tc>
          <w:tcPr>
            <w:tcW w:w="1007"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rPr>
            </w:pPr>
          </w:p>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分</w:t>
            </w:r>
          </w:p>
        </w:tc>
        <w:tc>
          <w:tcPr>
            <w:tcW w:w="6612"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除资格业绩外，供应商2023年1月1日至今每具有1个同类项目实施案例（同类项目实施案例指：</w:t>
            </w:r>
            <w:r>
              <w:rPr>
                <w:rFonts w:hint="eastAsia" w:ascii="仿宋" w:hAnsi="仿宋" w:eastAsia="仿宋" w:cs="仿宋"/>
                <w:b w:val="0"/>
                <w:bCs w:val="0"/>
                <w:color w:val="auto"/>
                <w:sz w:val="21"/>
                <w:szCs w:val="21"/>
                <w:highlight w:val="none"/>
                <w:lang w:val="en-US" w:eastAsia="zh-CN"/>
              </w:rPr>
              <w:t>宣传投放或活动宣传</w:t>
            </w:r>
            <w:r>
              <w:rPr>
                <w:rFonts w:hint="eastAsia" w:ascii="仿宋" w:hAnsi="仿宋" w:eastAsia="仿宋" w:cs="仿宋"/>
                <w:color w:val="auto"/>
                <w:sz w:val="21"/>
                <w:szCs w:val="21"/>
                <w:highlight w:val="none"/>
                <w:lang w:val="en-US" w:eastAsia="zh-CN"/>
              </w:rPr>
              <w:t>等类似案例）的得1分，本项最多得5分。</w:t>
            </w:r>
          </w:p>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注：</w:t>
            </w:r>
            <w:r>
              <w:rPr>
                <w:rFonts w:hint="eastAsia" w:ascii="仿宋" w:hAnsi="仿宋" w:eastAsia="仿宋" w:cs="仿宋"/>
                <w:b/>
                <w:bCs/>
                <w:color w:val="auto"/>
                <w:sz w:val="21"/>
                <w:szCs w:val="21"/>
                <w:highlight w:val="none"/>
              </w:rPr>
              <w:t>（1）以上业绩需提供服务合同复印件，</w:t>
            </w:r>
            <w:r>
              <w:rPr>
                <w:rFonts w:hint="eastAsia" w:ascii="仿宋" w:hAnsi="仿宋" w:eastAsia="仿宋" w:cs="仿宋"/>
                <w:b/>
                <w:bCs/>
                <w:color w:val="auto"/>
                <w:sz w:val="21"/>
                <w:szCs w:val="21"/>
                <w:highlight w:val="none"/>
                <w:lang w:val="en-US" w:eastAsia="zh-CN"/>
              </w:rPr>
              <w:t>业绩时间以服务合同签订时间为准，合同扫描件中应包含关键页（包括但不限于合同首页、合同金额、服务内容、签字盖章等）；供应商和同一业主签订的多个独立实施案例</w:t>
            </w:r>
            <w:r>
              <w:rPr>
                <w:rFonts w:hint="eastAsia" w:ascii="仿宋" w:hAnsi="仿宋" w:eastAsia="仿宋" w:cs="仿宋"/>
                <w:b/>
                <w:bCs/>
                <w:color w:val="auto"/>
                <w:sz w:val="21"/>
                <w:szCs w:val="21"/>
                <w:highlight w:val="none"/>
              </w:rPr>
              <w:t>服务合同</w:t>
            </w:r>
            <w:r>
              <w:rPr>
                <w:rFonts w:hint="eastAsia" w:ascii="仿宋" w:hAnsi="仿宋" w:eastAsia="仿宋" w:cs="仿宋"/>
                <w:b/>
                <w:bCs/>
                <w:color w:val="auto"/>
                <w:sz w:val="21"/>
                <w:szCs w:val="21"/>
                <w:highlight w:val="none"/>
                <w:lang w:val="en-US" w:eastAsia="zh-CN"/>
              </w:rPr>
              <w:t>可分别计分。</w:t>
            </w:r>
          </w:p>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color w:val="auto"/>
                <w:kern w:val="0"/>
                <w:sz w:val="21"/>
                <w:szCs w:val="21"/>
                <w:highlight w:val="none"/>
                <w:lang w:bidi="ar"/>
              </w:rPr>
            </w:pPr>
            <w:r>
              <w:rPr>
                <w:rFonts w:hint="eastAsia" w:ascii="仿宋" w:hAnsi="仿宋" w:eastAsia="仿宋" w:cs="仿宋"/>
                <w:b/>
                <w:bCs/>
                <w:color w:val="auto"/>
                <w:sz w:val="21"/>
                <w:szCs w:val="21"/>
                <w:highlight w:val="none"/>
              </w:rPr>
              <w:t>（2）未按以上要求提供资料或提供资料不全的，视为无效。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9" w:type="dxa"/>
            <w:vMerge w:val="restart"/>
            <w:tcMar>
              <w:top w:w="0" w:type="dxa"/>
              <w:left w:w="85" w:type="dxa"/>
              <w:bottom w:w="0" w:type="dxa"/>
              <w:right w:w="85" w:type="dxa"/>
            </w:tcMar>
            <w:vAlign w:val="center"/>
          </w:tcPr>
          <w:p>
            <w:pPr>
              <w:keepNext w:val="0"/>
              <w:keepLines w:val="0"/>
              <w:widowControl/>
              <w:numPr>
                <w:ilvl w:val="0"/>
                <w:numId w:val="4"/>
              </w:numPr>
              <w:suppressLineNumbers w:val="0"/>
              <w:autoSpaceDE w:val="0"/>
              <w:autoSpaceDN w:val="0"/>
              <w:adjustRightInd w:val="0"/>
              <w:snapToGrid w:val="0"/>
              <w:spacing w:before="0" w:beforeAutospacing="0" w:after="0" w:afterAutospacing="0" w:line="300" w:lineRule="auto"/>
              <w:ind w:right="0"/>
              <w:jc w:val="center"/>
              <w:rPr>
                <w:rFonts w:hint="eastAsia" w:ascii="仿宋" w:hAnsi="仿宋" w:eastAsia="仿宋" w:cs="仿宋"/>
                <w:color w:val="auto"/>
                <w:sz w:val="21"/>
                <w:szCs w:val="21"/>
                <w:highlight w:val="none"/>
                <w:lang w:val="zh-CN"/>
              </w:rPr>
            </w:pPr>
          </w:p>
        </w:tc>
        <w:tc>
          <w:tcPr>
            <w:tcW w:w="697" w:type="dxa"/>
            <w:vMerge w:val="restart"/>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技术部分</w:t>
            </w:r>
          </w:p>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50</w:t>
            </w:r>
            <w:r>
              <w:rPr>
                <w:rFonts w:hint="eastAsia" w:ascii="仿宋" w:hAnsi="仿宋" w:eastAsia="仿宋" w:cs="仿宋"/>
                <w:color w:val="auto"/>
                <w:sz w:val="21"/>
                <w:szCs w:val="21"/>
                <w:highlight w:val="none"/>
              </w:rPr>
              <w:t>%</w:t>
            </w:r>
          </w:p>
        </w:tc>
        <w:tc>
          <w:tcPr>
            <w:tcW w:w="829"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leftChars="0" w:right="0" w:rightChars="0"/>
              <w:jc w:val="center"/>
              <w:textAlignment w:val="center"/>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sz w:val="21"/>
                <w:szCs w:val="21"/>
                <w:highlight w:val="none"/>
              </w:rPr>
              <w:t>总体服务方案</w:t>
            </w:r>
          </w:p>
        </w:tc>
        <w:tc>
          <w:tcPr>
            <w:tcW w:w="1007"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leftChars="0" w:right="0" w:rightChars="0"/>
              <w:jc w:val="center"/>
              <w:textAlignment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10</w:t>
            </w:r>
            <w:r>
              <w:rPr>
                <w:rFonts w:hint="eastAsia" w:ascii="仿宋" w:hAnsi="仿宋" w:eastAsia="仿宋" w:cs="仿宋"/>
                <w:color w:val="auto"/>
                <w:sz w:val="21"/>
                <w:szCs w:val="21"/>
                <w:highlight w:val="none"/>
              </w:rPr>
              <w:t>分</w:t>
            </w:r>
          </w:p>
        </w:tc>
        <w:tc>
          <w:tcPr>
            <w:tcW w:w="6612"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rPr>
                <w:rFonts w:hint="default" w:ascii="仿宋" w:hAnsi="仿宋" w:eastAsia="仿宋" w:cs="仿宋"/>
                <w:color w:val="auto"/>
                <w:sz w:val="21"/>
                <w:szCs w:val="21"/>
                <w:highlight w:val="none"/>
              </w:rPr>
            </w:pPr>
            <w:r>
              <w:rPr>
                <w:rFonts w:hint="eastAsia" w:ascii="仿宋" w:hAnsi="仿宋" w:eastAsia="仿宋" w:cs="仿宋"/>
                <w:color w:val="auto"/>
                <w:sz w:val="21"/>
                <w:szCs w:val="21"/>
                <w:highlight w:val="none"/>
              </w:rPr>
              <w:t>根据供应商对本项目的理解（内容包括但不限于：服务流程设计、服务保障、投放策略、落地执行流程、质量监控机制）的完整性、全面性以及对需求响应的契合度等方面进行综合评审。</w:t>
            </w:r>
          </w:p>
          <w:p>
            <w:pPr>
              <w:keepNext w:val="0"/>
              <w:keepLines w:val="0"/>
              <w:widowControl/>
              <w:suppressLineNumbers w:val="0"/>
              <w:snapToGrid w:val="0"/>
              <w:spacing w:before="0" w:beforeAutospacing="0" w:after="0" w:afterAutospacing="0" w:line="300" w:lineRule="auto"/>
              <w:ind w:left="0" w:right="0"/>
              <w:rPr>
                <w:rFonts w:hint="default" w:ascii="仿宋" w:hAnsi="仿宋" w:eastAsia="仿宋" w:cs="仿宋"/>
                <w:color w:val="auto"/>
                <w:sz w:val="21"/>
                <w:szCs w:val="21"/>
                <w:highlight w:val="none"/>
              </w:rPr>
            </w:pPr>
            <w:r>
              <w:rPr>
                <w:rFonts w:hint="eastAsia" w:ascii="仿宋" w:hAnsi="仿宋" w:eastAsia="仿宋" w:cs="仿宋"/>
                <w:color w:val="auto"/>
                <w:sz w:val="21"/>
                <w:szCs w:val="21"/>
                <w:highlight w:val="none"/>
              </w:rPr>
              <w:t>（1）优（8-10分）：项目理解分析准确深入，工作目标清晰、具备有针对性的实施路径，各阶段工作内容阐述完整、能提出完善可行的具体工作方式方法，国家、地方政策分析透彻、能为项目实施提出有效策略，与本项目需求契合度高；</w:t>
            </w:r>
          </w:p>
          <w:p>
            <w:pPr>
              <w:keepNext w:val="0"/>
              <w:keepLines w:val="0"/>
              <w:widowControl/>
              <w:suppressLineNumbers w:val="0"/>
              <w:snapToGrid w:val="0"/>
              <w:spacing w:before="0" w:beforeAutospacing="0" w:after="0" w:afterAutospacing="0" w:line="300" w:lineRule="auto"/>
              <w:ind w:left="0" w:right="0"/>
              <w:rPr>
                <w:rFonts w:hint="default" w:ascii="仿宋" w:hAnsi="仿宋" w:eastAsia="仿宋" w:cs="仿宋"/>
                <w:color w:val="auto"/>
                <w:sz w:val="21"/>
                <w:szCs w:val="21"/>
                <w:highlight w:val="none"/>
              </w:rPr>
            </w:pPr>
            <w:r>
              <w:rPr>
                <w:rFonts w:hint="eastAsia" w:ascii="仿宋" w:hAnsi="仿宋" w:eastAsia="仿宋" w:cs="仿宋"/>
                <w:color w:val="auto"/>
                <w:sz w:val="21"/>
                <w:szCs w:val="21"/>
                <w:highlight w:val="none"/>
              </w:rPr>
              <w:t>（2）较优（5-7分）：项目理解分析要素完整、但深度欠缺，工作目标方向准确、但量化不足，工作内容阐述较完整、提出的工作方式方法关键环节欠缺，国家、地方政策引用准确、但缺乏指导实施的策略，与本项目需求契合度较高；</w:t>
            </w:r>
          </w:p>
          <w:p>
            <w:pPr>
              <w:keepNext w:val="0"/>
              <w:keepLines w:val="0"/>
              <w:widowControl/>
              <w:suppressLineNumbers w:val="0"/>
              <w:snapToGrid w:val="0"/>
              <w:spacing w:before="0" w:beforeAutospacing="0" w:after="0" w:afterAutospacing="0" w:line="300" w:lineRule="auto"/>
              <w:ind w:left="0" w:right="0"/>
              <w:rPr>
                <w:rFonts w:hint="default" w:ascii="仿宋" w:hAnsi="仿宋" w:eastAsia="仿宋" w:cs="仿宋"/>
                <w:color w:val="auto"/>
                <w:sz w:val="21"/>
                <w:szCs w:val="21"/>
                <w:highlight w:val="none"/>
              </w:rPr>
            </w:pPr>
            <w:r>
              <w:rPr>
                <w:rFonts w:hint="eastAsia" w:ascii="仿宋" w:hAnsi="仿宋" w:eastAsia="仿宋" w:cs="仿宋"/>
                <w:color w:val="auto"/>
                <w:sz w:val="21"/>
                <w:szCs w:val="21"/>
                <w:highlight w:val="none"/>
              </w:rPr>
              <w:t>（3）一般（2-4分）：项目理解分析仅满足基本框架要求，存在部分缺失，工作目标描述笼统、缺乏可行性，工作内容阐述空洞、内容堆砌无逻辑性、可操作性差，与项目需求契合度低；</w:t>
            </w:r>
          </w:p>
          <w:p>
            <w:pPr>
              <w:keepNext w:val="0"/>
              <w:keepLines w:val="0"/>
              <w:widowControl/>
              <w:suppressLineNumbers w:val="0"/>
              <w:snapToGrid w:val="0"/>
              <w:spacing w:before="0" w:beforeAutospacing="0" w:after="0" w:afterAutospacing="0" w:line="300" w:lineRule="auto"/>
              <w:ind w:left="0" w:leftChars="0" w:right="0" w:rightChars="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（4）差（0-1分）：内容严重缺失、仅有标题或大纲内容，逻辑矛盾或脱离实际、不具备可行性，套用其他项目内容，未响应项目需求或与项目需求明显冲突。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9" w:type="dxa"/>
            <w:vMerge w:val="continue"/>
            <w:tcMar>
              <w:top w:w="0" w:type="dxa"/>
              <w:left w:w="85" w:type="dxa"/>
              <w:bottom w:w="0" w:type="dxa"/>
              <w:right w:w="85" w:type="dxa"/>
            </w:tcMar>
            <w:vAlign w:val="center"/>
          </w:tcPr>
          <w:p>
            <w:pPr>
              <w:keepNext w:val="0"/>
              <w:keepLines w:val="0"/>
              <w:widowControl/>
              <w:suppressLineNumbers w:val="0"/>
              <w:autoSpaceDE w:val="0"/>
              <w:autoSpaceDN w:val="0"/>
              <w:adjustRightInd w:val="0"/>
              <w:snapToGrid w:val="0"/>
              <w:spacing w:before="0" w:beforeAutospacing="0" w:after="0" w:afterAutospacing="0" w:line="300" w:lineRule="auto"/>
              <w:ind w:left="0" w:right="0"/>
              <w:jc w:val="center"/>
              <w:rPr>
                <w:rFonts w:hint="eastAsia" w:ascii="仿宋" w:hAnsi="仿宋" w:eastAsia="仿宋" w:cs="仿宋"/>
                <w:color w:val="auto"/>
                <w:sz w:val="21"/>
                <w:szCs w:val="21"/>
                <w:highlight w:val="none"/>
                <w:lang w:val="zh-CN"/>
              </w:rPr>
            </w:pPr>
          </w:p>
        </w:tc>
        <w:tc>
          <w:tcPr>
            <w:tcW w:w="69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lang w:val="en-US" w:eastAsia="zh-CN"/>
              </w:rPr>
            </w:pPr>
          </w:p>
        </w:tc>
        <w:tc>
          <w:tcPr>
            <w:tcW w:w="829"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leftChars="0" w:right="0" w:rightChars="0"/>
              <w:jc w:val="center"/>
              <w:textAlignment w:val="center"/>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sz w:val="21"/>
                <w:szCs w:val="21"/>
                <w:highlight w:val="none"/>
              </w:rPr>
              <w:t>应急处理预案</w:t>
            </w:r>
          </w:p>
        </w:tc>
        <w:tc>
          <w:tcPr>
            <w:tcW w:w="1007"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leftChars="0" w:right="0" w:rightChars="0"/>
              <w:jc w:val="center"/>
              <w:textAlignment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10分</w:t>
            </w:r>
          </w:p>
        </w:tc>
        <w:tc>
          <w:tcPr>
            <w:tcW w:w="6612"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rPr>
                <w:rFonts w:hint="default" w:ascii="仿宋" w:hAnsi="仿宋" w:eastAsia="仿宋" w:cs="仿宋"/>
                <w:color w:val="auto"/>
                <w:sz w:val="21"/>
                <w:szCs w:val="21"/>
                <w:highlight w:val="none"/>
              </w:rPr>
            </w:pPr>
            <w:r>
              <w:rPr>
                <w:rFonts w:hint="eastAsia" w:ascii="仿宋" w:hAnsi="仿宋" w:eastAsia="仿宋" w:cs="仿宋"/>
                <w:color w:val="auto"/>
                <w:sz w:val="21"/>
                <w:szCs w:val="21"/>
                <w:highlight w:val="none"/>
              </w:rPr>
              <w:t>根据供应商针对本项目编制的应急处理预案（内容包括但不限于：自然灾害处理，重大社会活动处理，设备突发故障等各类意外情形处理）完整性、全面性、可行性以及对需求响应的契合度等方面进行综合评审。</w:t>
            </w:r>
          </w:p>
          <w:p>
            <w:pPr>
              <w:keepNext w:val="0"/>
              <w:keepLines w:val="0"/>
              <w:widowControl/>
              <w:suppressLineNumbers w:val="0"/>
              <w:snapToGrid w:val="0"/>
              <w:spacing w:before="0" w:beforeAutospacing="0" w:after="0" w:afterAutospacing="0" w:line="300" w:lineRule="auto"/>
              <w:ind w:left="0" w:right="0"/>
              <w:rPr>
                <w:rFonts w:hint="default" w:ascii="仿宋" w:hAnsi="仿宋" w:eastAsia="仿宋" w:cs="仿宋"/>
                <w:color w:val="auto"/>
                <w:sz w:val="21"/>
                <w:szCs w:val="21"/>
                <w:highlight w:val="none"/>
              </w:rPr>
            </w:pPr>
            <w:r>
              <w:rPr>
                <w:rFonts w:hint="eastAsia" w:ascii="仿宋" w:hAnsi="仿宋" w:eastAsia="仿宋" w:cs="仿宋"/>
                <w:color w:val="auto"/>
                <w:sz w:val="21"/>
                <w:szCs w:val="21"/>
                <w:highlight w:val="none"/>
              </w:rPr>
              <w:t>（1）优（8-10分）：方案内容完整、全面、无缺失，工作流程清晰、逻辑严密，计划完善明确、具备可操作性，各项措施内容完善、科学合理、契合项目需求；</w:t>
            </w:r>
          </w:p>
          <w:p>
            <w:pPr>
              <w:keepNext w:val="0"/>
              <w:keepLines w:val="0"/>
              <w:widowControl/>
              <w:suppressLineNumbers w:val="0"/>
              <w:snapToGrid w:val="0"/>
              <w:spacing w:before="0" w:beforeAutospacing="0" w:after="0" w:afterAutospacing="0" w:line="300" w:lineRule="auto"/>
              <w:ind w:left="0" w:right="0"/>
              <w:rPr>
                <w:rFonts w:hint="default" w:ascii="仿宋" w:hAnsi="仿宋" w:eastAsia="仿宋" w:cs="仿宋"/>
                <w:color w:val="auto"/>
                <w:sz w:val="21"/>
                <w:szCs w:val="21"/>
                <w:highlight w:val="none"/>
              </w:rPr>
            </w:pPr>
            <w:r>
              <w:rPr>
                <w:rFonts w:hint="eastAsia" w:ascii="仿宋" w:hAnsi="仿宋" w:eastAsia="仿宋" w:cs="仿宋"/>
                <w:color w:val="auto"/>
                <w:sz w:val="21"/>
                <w:szCs w:val="21"/>
                <w:highlight w:val="none"/>
              </w:rPr>
              <w:t>（2）较优（5-7分）：方案内容基本完整、覆盖全部方案内容、但存在细节缺失，工作流程基本清晰、但关键环节描述较模糊，计划较完善、具备一定的可操作性，各项措施内容基本完整、具备合理性、具备一定的可行性、较为契合项目需求；</w:t>
            </w:r>
          </w:p>
          <w:p>
            <w:pPr>
              <w:keepNext w:val="0"/>
              <w:keepLines w:val="0"/>
              <w:widowControl/>
              <w:suppressLineNumbers w:val="0"/>
              <w:snapToGrid w:val="0"/>
              <w:spacing w:before="0" w:beforeAutospacing="0" w:after="0" w:afterAutospacing="0" w:line="300" w:lineRule="auto"/>
              <w:ind w:left="0" w:right="0"/>
              <w:rPr>
                <w:rFonts w:hint="default" w:ascii="仿宋" w:hAnsi="仿宋" w:eastAsia="仿宋" w:cs="仿宋"/>
                <w:color w:val="auto"/>
                <w:sz w:val="21"/>
                <w:szCs w:val="21"/>
                <w:highlight w:val="none"/>
              </w:rPr>
            </w:pPr>
            <w:r>
              <w:rPr>
                <w:rFonts w:hint="eastAsia" w:ascii="仿宋" w:hAnsi="仿宋" w:eastAsia="仿宋" w:cs="仿宋"/>
                <w:color w:val="auto"/>
                <w:sz w:val="21"/>
                <w:szCs w:val="21"/>
                <w:highlight w:val="none"/>
              </w:rPr>
              <w:t>（3）一般（2-4分）：方案内容仅满足基本框架要求，存在部分缺失，工作流程描述笼统、缺乏可行性，各项措施基本为原则性声明、没有具体实施路径或说明，与项目需求契合度低；</w:t>
            </w:r>
          </w:p>
          <w:p>
            <w:pPr>
              <w:keepNext w:val="0"/>
              <w:keepLines w:val="0"/>
              <w:widowControl/>
              <w:suppressLineNumbers w:val="0"/>
              <w:snapToGrid w:val="0"/>
              <w:spacing w:before="0" w:beforeAutospacing="0" w:after="0" w:afterAutospacing="0" w:line="300" w:lineRule="auto"/>
              <w:ind w:left="0" w:leftChars="0" w:right="0" w:rightChars="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（4）差（0-1分）：方案内容严重缺失、仅有标题或大纲内容，逻辑矛盾或脱离实际、不具备可行性，套用其他项目内容，未响应项目需求或与项目需求明显冲突。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9" w:type="dxa"/>
            <w:vMerge w:val="continue"/>
            <w:tcMar>
              <w:top w:w="0" w:type="dxa"/>
              <w:left w:w="85" w:type="dxa"/>
              <w:bottom w:w="0" w:type="dxa"/>
              <w:right w:w="85" w:type="dxa"/>
            </w:tcMar>
            <w:vAlign w:val="center"/>
          </w:tcPr>
          <w:p>
            <w:pPr>
              <w:keepNext w:val="0"/>
              <w:keepLines w:val="0"/>
              <w:widowControl/>
              <w:suppressLineNumbers w:val="0"/>
              <w:autoSpaceDE w:val="0"/>
              <w:autoSpaceDN w:val="0"/>
              <w:adjustRightInd w:val="0"/>
              <w:snapToGrid w:val="0"/>
              <w:spacing w:before="0" w:beforeAutospacing="0" w:after="0" w:afterAutospacing="0" w:line="300" w:lineRule="auto"/>
              <w:ind w:left="0" w:right="0"/>
              <w:jc w:val="center"/>
              <w:rPr>
                <w:rFonts w:hint="eastAsia" w:ascii="仿宋" w:hAnsi="仿宋" w:eastAsia="仿宋" w:cs="仿宋"/>
                <w:color w:val="auto"/>
                <w:sz w:val="21"/>
                <w:szCs w:val="21"/>
                <w:highlight w:val="none"/>
                <w:lang w:val="zh-CN"/>
              </w:rPr>
            </w:pPr>
          </w:p>
        </w:tc>
        <w:tc>
          <w:tcPr>
            <w:tcW w:w="69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lang w:val="en-US" w:eastAsia="zh-CN"/>
              </w:rPr>
            </w:pPr>
          </w:p>
        </w:tc>
        <w:tc>
          <w:tcPr>
            <w:tcW w:w="829"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leftChars="0" w:right="0" w:rightChars="0"/>
              <w:jc w:val="center"/>
              <w:textAlignment w:val="center"/>
              <w:rPr>
                <w:rFonts w:hint="eastAsia" w:ascii="仿宋" w:hAnsi="仿宋" w:eastAsia="仿宋" w:cs="仿宋"/>
                <w:color w:val="auto"/>
                <w:sz w:val="21"/>
                <w:szCs w:val="21"/>
                <w:highlight w:val="none"/>
                <w:lang w:val="en-US"/>
              </w:rPr>
            </w:pPr>
            <w:r>
              <w:rPr>
                <w:rFonts w:hint="eastAsia" w:ascii="仿宋" w:hAnsi="仿宋" w:eastAsia="仿宋" w:cs="仿宋"/>
                <w:color w:val="auto"/>
                <w:kern w:val="2"/>
                <w:sz w:val="21"/>
                <w:szCs w:val="21"/>
                <w:highlight w:val="none"/>
                <w:lang w:val="en-US" w:eastAsia="zh-CN" w:bidi="ar"/>
              </w:rPr>
              <w:t>资源投入方案</w:t>
            </w:r>
          </w:p>
        </w:tc>
        <w:tc>
          <w:tcPr>
            <w:tcW w:w="1007"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leftChars="0" w:right="0" w:rightChars="0"/>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10分</w:t>
            </w:r>
          </w:p>
        </w:tc>
        <w:tc>
          <w:tcPr>
            <w:tcW w:w="6612"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根据供应商针对本项目制定的资源投入方案进行评分，方案包括但不限于宣传物料的设计与制作质量、活动推广的渠道及覆盖面等内容。对供应商提供的方案完善性、全面性以及和项目匹配性等方面进行综合评审。</w:t>
            </w:r>
          </w:p>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（1）优（8-10分）：方案内容完整、全面、无缺失，工作流程清晰、逻辑严密，计划完善明确、具备可操作性，各项措施内容完善、科学合理、契合项目需求；</w:t>
            </w:r>
          </w:p>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较优（5-7分）：方案内容基本完整、覆盖全部方案内容、但存在细节缺失，工作流程基本清晰、但关键环节描述较模糊，计划较完善、具备一定的可操作性，各项措施内容基本完整、具备合理性、具备一定的可行性、较为契合项目需求；</w:t>
            </w:r>
          </w:p>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（3）一般（2-4分）：方案内容仅满足基本框架要求，存在部分缺失，工作流程描述笼统、缺乏可行性，各项措施基本为原则性声明、没有具体实施路径或说明，与项目需求契合度低；</w:t>
            </w:r>
          </w:p>
          <w:p>
            <w:pPr>
              <w:keepNext w:val="0"/>
              <w:keepLines w:val="0"/>
              <w:widowControl/>
              <w:suppressLineNumbers w:val="0"/>
              <w:snapToGrid w:val="0"/>
              <w:spacing w:before="0" w:beforeAutospacing="0" w:after="0" w:afterAutospacing="0" w:line="300" w:lineRule="auto"/>
              <w:ind w:left="0" w:leftChars="0" w:right="0" w:rightChars="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（4）差（0-1分）：方案内容严重缺失、仅有标题或大纲内容，逻辑矛盾或脱离实际、不具备可行性，套用其他项目内容，未响应项目需求或与项目需求明显冲突。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9" w:type="dxa"/>
            <w:vMerge w:val="continue"/>
            <w:tcMar>
              <w:top w:w="0" w:type="dxa"/>
              <w:left w:w="85" w:type="dxa"/>
              <w:bottom w:w="0" w:type="dxa"/>
              <w:right w:w="85" w:type="dxa"/>
            </w:tcMar>
            <w:vAlign w:val="center"/>
          </w:tcPr>
          <w:p>
            <w:pPr>
              <w:keepNext w:val="0"/>
              <w:keepLines w:val="0"/>
              <w:widowControl/>
              <w:suppressLineNumbers w:val="0"/>
              <w:autoSpaceDE w:val="0"/>
              <w:autoSpaceDN w:val="0"/>
              <w:adjustRightInd w:val="0"/>
              <w:snapToGrid w:val="0"/>
              <w:spacing w:before="0" w:beforeAutospacing="0" w:after="0" w:afterAutospacing="0" w:line="300" w:lineRule="auto"/>
              <w:ind w:left="0" w:right="0"/>
              <w:jc w:val="center"/>
              <w:rPr>
                <w:rFonts w:hint="eastAsia" w:ascii="仿宋" w:hAnsi="仿宋" w:eastAsia="仿宋" w:cs="仿宋"/>
                <w:color w:val="auto"/>
                <w:sz w:val="21"/>
                <w:szCs w:val="21"/>
                <w:highlight w:val="none"/>
                <w:lang w:val="zh-CN"/>
              </w:rPr>
            </w:pPr>
          </w:p>
        </w:tc>
        <w:tc>
          <w:tcPr>
            <w:tcW w:w="69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lang w:val="en-US" w:eastAsia="zh-CN"/>
              </w:rPr>
            </w:pPr>
          </w:p>
        </w:tc>
        <w:tc>
          <w:tcPr>
            <w:tcW w:w="829"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leftChars="0" w:right="0" w:rightChars="0"/>
              <w:jc w:val="center"/>
              <w:textAlignment w:val="center"/>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sz w:val="21"/>
                <w:szCs w:val="21"/>
                <w:highlight w:val="none"/>
                <w:lang w:val="en-US" w:eastAsia="zh-CN"/>
              </w:rPr>
              <w:t>团队配备</w:t>
            </w:r>
          </w:p>
        </w:tc>
        <w:tc>
          <w:tcPr>
            <w:tcW w:w="1007"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leftChars="0" w:right="0" w:rightChars="0"/>
              <w:jc w:val="center"/>
              <w:textAlignment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10分</w:t>
            </w:r>
          </w:p>
        </w:tc>
        <w:tc>
          <w:tcPr>
            <w:tcW w:w="6612" w:type="dxa"/>
            <w:tcMar>
              <w:top w:w="0" w:type="dxa"/>
              <w:left w:w="85" w:type="dxa"/>
              <w:bottom w:w="0" w:type="dxa"/>
              <w:right w:w="85" w:type="dxa"/>
            </w:tcMar>
            <w:vAlign w:val="center"/>
          </w:tcPr>
          <w:p>
            <w:pPr>
              <w:keepNext w:val="0"/>
              <w:keepLines w:val="0"/>
              <w:widowControl w:val="0"/>
              <w:numPr>
                <w:ilvl w:val="0"/>
                <w:numId w:val="0"/>
              </w:numPr>
              <w:suppressLineNumbers w:val="0"/>
              <w:snapToGrid w:val="0"/>
              <w:spacing w:before="0" w:beforeAutospacing="0" w:after="0" w:afterAutospacing="0" w:line="300" w:lineRule="auto"/>
              <w:ind w:left="0" w:right="0" w:rightChars="0"/>
              <w:jc w:val="both"/>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1、供应商拟派往本项目的项目负责人具有相关工作经验的（相关工作经验指：宣传投放或活动宣传等类似案例），每满1年得2分，本项最高得6分。工作经验以供应商书面承诺为准。</w:t>
            </w:r>
          </w:p>
          <w:p>
            <w:pPr>
              <w:keepNext w:val="0"/>
              <w:keepLines w:val="0"/>
              <w:widowControl w:val="0"/>
              <w:suppressLineNumbers w:val="0"/>
              <w:snapToGrid w:val="0"/>
              <w:spacing w:before="0" w:beforeAutospacing="0" w:after="0" w:afterAutospacing="0" w:line="300" w:lineRule="auto"/>
              <w:ind w:left="0" w:right="0"/>
              <w:jc w:val="both"/>
              <w:rPr>
                <w:rFonts w:hint="eastAsia" w:ascii="仿宋" w:hAnsi="仿宋" w:eastAsia="仿宋" w:cs="仿宋"/>
                <w:b/>
                <w:bCs/>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注：供应商提供项目负责人身份证复印件；供应商</w:t>
            </w:r>
            <w:r>
              <w:rPr>
                <w:rFonts w:hint="eastAsia" w:ascii="仿宋" w:hAnsi="仿宋" w:eastAsia="仿宋" w:cs="仿宋"/>
                <w:b/>
                <w:bCs/>
                <w:color w:val="auto"/>
                <w:kern w:val="2"/>
                <w:sz w:val="21"/>
                <w:szCs w:val="21"/>
                <w:highlight w:val="none"/>
                <w:lang w:val="en-US" w:eastAsia="zh-CN" w:bidi="ar"/>
              </w:rPr>
              <w:t>为其缴纳的最近1个月的有效社保证明材料复印件</w:t>
            </w:r>
            <w:r>
              <w:rPr>
                <w:rFonts w:hint="eastAsia" w:ascii="仿宋" w:hAnsi="仿宋" w:eastAsia="仿宋" w:cs="仿宋"/>
                <w:b/>
                <w:bCs/>
                <w:color w:val="auto"/>
                <w:kern w:val="0"/>
                <w:sz w:val="21"/>
                <w:szCs w:val="21"/>
                <w:highlight w:val="none"/>
                <w:lang w:val="en-US" w:eastAsia="zh-CN" w:bidi="ar"/>
              </w:rPr>
              <w:t>或劳动合同复印件；工作经验书面承诺。以上材料均需加盖供应商单位公章。</w:t>
            </w:r>
          </w:p>
          <w:p>
            <w:pPr>
              <w:keepNext w:val="0"/>
              <w:keepLines w:val="0"/>
              <w:widowControl w:val="0"/>
              <w:suppressLineNumbers w:val="0"/>
              <w:snapToGrid w:val="0"/>
              <w:spacing w:before="0" w:beforeAutospacing="0" w:after="0" w:afterAutospacing="0" w:line="300" w:lineRule="auto"/>
              <w:ind w:left="0" w:right="0"/>
              <w:jc w:val="both"/>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bidi="ar"/>
              </w:rPr>
              <w:t>2、根据供应商拟派往本项目的项目团队人员（包括但不限于策划类人员、文案编制类人员、设计类人员、运维类人员等）配备，职责分工，教育背景、工作经验、技术能力等横向对比。</w:t>
            </w:r>
          </w:p>
          <w:p>
            <w:pPr>
              <w:keepNext w:val="0"/>
              <w:keepLines w:val="0"/>
              <w:widowControl w:val="0"/>
              <w:suppressLineNumbers w:val="0"/>
              <w:snapToGrid w:val="0"/>
              <w:spacing w:before="0" w:beforeAutospacing="0" w:after="0" w:afterAutospacing="0" w:line="300" w:lineRule="auto"/>
              <w:ind w:left="0" w:leftChars="0" w:right="0" w:rightChars="0"/>
              <w:jc w:val="both"/>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评价为优得3-4分，较优得1-2分，一般得0分。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9" w:type="dxa"/>
            <w:vMerge w:val="continue"/>
            <w:tcMar>
              <w:top w:w="0" w:type="dxa"/>
              <w:left w:w="85" w:type="dxa"/>
              <w:bottom w:w="0" w:type="dxa"/>
              <w:right w:w="85" w:type="dxa"/>
            </w:tcMar>
            <w:vAlign w:val="center"/>
          </w:tcPr>
          <w:p>
            <w:pPr>
              <w:keepNext w:val="0"/>
              <w:keepLines w:val="0"/>
              <w:widowControl/>
              <w:suppressLineNumbers w:val="0"/>
              <w:autoSpaceDE w:val="0"/>
              <w:autoSpaceDN w:val="0"/>
              <w:adjustRightInd w:val="0"/>
              <w:snapToGrid w:val="0"/>
              <w:spacing w:before="0" w:beforeAutospacing="0" w:after="0" w:afterAutospacing="0" w:line="300" w:lineRule="auto"/>
              <w:ind w:left="0" w:right="0"/>
              <w:jc w:val="center"/>
              <w:rPr>
                <w:rFonts w:hint="eastAsia" w:ascii="仿宋" w:hAnsi="仿宋" w:eastAsia="仿宋" w:cs="仿宋"/>
                <w:color w:val="auto"/>
                <w:sz w:val="21"/>
                <w:szCs w:val="21"/>
                <w:highlight w:val="none"/>
                <w:lang w:val="zh-CN"/>
              </w:rPr>
            </w:pPr>
          </w:p>
        </w:tc>
        <w:tc>
          <w:tcPr>
            <w:tcW w:w="69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rPr>
            </w:pPr>
          </w:p>
        </w:tc>
        <w:tc>
          <w:tcPr>
            <w:tcW w:w="829"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leftChars="0" w:right="0" w:rightChars="0"/>
              <w:jc w:val="center"/>
              <w:textAlignment w:val="center"/>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增值服务</w:t>
            </w:r>
          </w:p>
        </w:tc>
        <w:tc>
          <w:tcPr>
            <w:tcW w:w="1007"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leftChars="0" w:right="0" w:rightChars="0"/>
              <w:jc w:val="center"/>
              <w:textAlignment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10分</w:t>
            </w:r>
          </w:p>
        </w:tc>
        <w:tc>
          <w:tcPr>
            <w:tcW w:w="6612" w:type="dxa"/>
            <w:tcMar>
              <w:top w:w="0" w:type="dxa"/>
              <w:left w:w="85" w:type="dxa"/>
              <w:bottom w:w="0" w:type="dxa"/>
              <w:right w:w="85" w:type="dxa"/>
            </w:tcMar>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根据对项目需求的理解，提供增值服务方案，对增值服务与本项目需求契合度，方案完整性等方面进行评价。</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（1）优（8-10分）：增值服务方案紧密契合项目需求，具备可操作性，且能够有效提升项目实施效率与成果质量，方案内容全面，步骤清晰，具备较强的落地执行价值；</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（2）较优（5-7分）：增值服务方案部分契合项目需求，有一定操作性，但在细节完善性或执行路径上存在改进空间；</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（3）一般（2-4分）：增值服务方案与项目需求匹配度一般，部分内容存在偏差，可操作性较弱；</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（4）差（0-1分）：方案与项目需求脱节，缺乏可操作性，难以对项目形成实质支撑。</w:t>
            </w:r>
          </w:p>
        </w:tc>
      </w:tr>
      <w:bookmarkEnd w:id="113"/>
    </w:tbl>
    <w:p>
      <w:pPr>
        <w:rPr>
          <w:rFonts w:hint="eastAsia" w:ascii="仿宋" w:hAnsi="仿宋" w:eastAsia="仿宋" w:cs="仿宋"/>
          <w:color w:val="auto"/>
          <w:sz w:val="28"/>
          <w:szCs w:val="28"/>
          <w:highlight w:val="none"/>
        </w:rPr>
      </w:pPr>
      <w:bookmarkStart w:id="127" w:name="_Toc4181"/>
      <w:r>
        <w:rPr>
          <w:rFonts w:hint="eastAsia" w:ascii="仿宋" w:hAnsi="仿宋" w:eastAsia="仿宋" w:cs="仿宋"/>
          <w:color w:val="auto"/>
          <w:sz w:val="28"/>
          <w:szCs w:val="28"/>
          <w:highlight w:val="none"/>
        </w:rPr>
        <w:br w:type="page"/>
      </w:r>
    </w:p>
    <w:p>
      <w:pPr>
        <w:pStyle w:val="3"/>
        <w:keepNext/>
        <w:keepLines/>
        <w:pageBreakBefore w:val="0"/>
        <w:widowControl/>
        <w:kinsoku/>
        <w:wordWrap/>
        <w:overflowPunct/>
        <w:topLinePunct w:val="0"/>
        <w:autoSpaceDE/>
        <w:autoSpaceDN/>
        <w:bidi w:val="0"/>
        <w:adjustRightInd/>
        <w:snapToGrid/>
        <w:spacing w:before="0" w:after="0" w:line="360" w:lineRule="auto"/>
        <w:ind w:left="0" w:firstLine="0"/>
        <w:textAlignment w:val="auto"/>
        <w:rPr>
          <w:rFonts w:hint="eastAsia" w:ascii="仿宋" w:hAnsi="仿宋" w:eastAsia="仿宋" w:cs="仿宋"/>
          <w:color w:val="auto"/>
          <w:sz w:val="28"/>
          <w:szCs w:val="28"/>
          <w:highlight w:val="none"/>
        </w:rPr>
      </w:pPr>
      <w:bookmarkStart w:id="128" w:name="_Toc15974"/>
      <w:r>
        <w:rPr>
          <w:rFonts w:hint="eastAsia" w:ascii="仿宋" w:hAnsi="仿宋" w:eastAsia="仿宋" w:cs="仿宋"/>
          <w:color w:val="auto"/>
          <w:sz w:val="28"/>
          <w:szCs w:val="28"/>
          <w:highlight w:val="none"/>
        </w:rPr>
        <w:t>第四章 合同条款</w:t>
      </w:r>
      <w:bookmarkEnd w:id="128"/>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甲方：中国人民财产保险股份有限公司成都市分公司</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地址：成都市武侯区老马路7号</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乙方：</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地址：</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鉴于：</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本合同双方当事人（1）均为依照中华人民共和国法律成立并有效存续的独立民事主体，（2）并且已经获得签署本合同的相应授权，（3）具备履行本合同所必须的资质和条件。为保障双方的合法权益，根据《中华人民共和国民法典》、《中华人民共和国广告法》及相关法律法规的规定,甲、乙双方在平等互利、协商一致的基础上，就甲方委托乙方提供约定服务事宜达成协议如下，以资共同遵照执行。</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widowControl w:val="0"/>
        <w:spacing w:line="600" w:lineRule="exact"/>
        <w:jc w:val="center"/>
        <w:rPr>
          <w:rFonts w:hint="eastAsia" w:ascii="仿宋_GB2312" w:hAnsi="Calibri" w:eastAsia="仿宋_GB2312" w:cs="仿宋_GB2312"/>
          <w:b/>
          <w:bCs/>
          <w:color w:val="000000"/>
          <w:kern w:val="0"/>
          <w:sz w:val="32"/>
          <w:szCs w:val="32"/>
        </w:rPr>
      </w:pPr>
      <w:r>
        <w:rPr>
          <w:rFonts w:hint="eastAsia" w:ascii="仿宋_GB2312" w:hAnsi="Calibri" w:eastAsia="仿宋_GB2312" w:cs="仿宋_GB2312"/>
          <w:b/>
          <w:bCs/>
          <w:color w:val="000000"/>
          <w:kern w:val="0"/>
          <w:sz w:val="32"/>
          <w:szCs w:val="32"/>
        </w:rPr>
        <w:t>商务部分</w:t>
      </w:r>
    </w:p>
    <w:p>
      <w:pPr>
        <w:widowControl w:val="0"/>
        <w:numPr>
          <w:ilvl w:val="0"/>
          <w:numId w:val="5"/>
        </w:numPr>
        <w:spacing w:line="600" w:lineRule="exact"/>
        <w:ind w:left="960" w:hanging="843" w:hangingChars="300"/>
        <w:jc w:val="left"/>
        <w:rPr>
          <w:rFonts w:hint="eastAsia" w:ascii="仿宋_GB2312" w:hAnsi="Calibri" w:eastAsia="仿宋_GB2312" w:cs="仿宋_GB2312"/>
          <w:b/>
          <w:bCs/>
          <w:color w:val="000000"/>
          <w:kern w:val="0"/>
          <w:sz w:val="28"/>
          <w:szCs w:val="28"/>
        </w:rPr>
      </w:pPr>
      <w:r>
        <w:rPr>
          <w:rFonts w:hint="eastAsia" w:ascii="仿宋_GB2312" w:hAnsi="Calibri" w:eastAsia="仿宋_GB2312" w:cs="仿宋_GB2312"/>
          <w:b/>
          <w:bCs/>
          <w:color w:val="000000"/>
          <w:kern w:val="0"/>
          <w:sz w:val="28"/>
          <w:szCs w:val="28"/>
        </w:rPr>
        <w:t>项目内容及要求</w:t>
      </w:r>
    </w:p>
    <w:p>
      <w:pPr>
        <w:keepNext w:val="0"/>
        <w:keepLines w:val="0"/>
        <w:widowControl/>
        <w:suppressLineNumbers w:val="0"/>
        <w:spacing w:before="100" w:beforeAutospacing="1" w:after="100" w:afterAutospacing="1" w:line="600" w:lineRule="exact"/>
        <w:ind w:right="0" w:firstLine="560" w:firstLineChars="200"/>
        <w:jc w:val="left"/>
        <w:rPr>
          <w:rFonts w:hint="eastAsia" w:ascii="宋体" w:hAnsi="宋体" w:eastAsia="宋体" w:cs="宋体"/>
          <w:kern w:val="0"/>
          <w:sz w:val="28"/>
          <w:szCs w:val="28"/>
        </w:rPr>
      </w:pPr>
      <w:r>
        <w:rPr>
          <w:rFonts w:hint="eastAsia" w:ascii="宋体" w:hAnsi="宋体" w:eastAsia="宋体" w:cs="宋体"/>
          <w:kern w:val="0"/>
          <w:sz w:val="28"/>
          <w:szCs w:val="28"/>
        </w:rPr>
        <w:t>本合同项下甲乙双方约定的项目内容及要求见本合同【附件】。</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仿宋_GB2312" w:hAnsi="Calibri" w:eastAsia="仿宋_GB2312" w:cs="仿宋_GB2312"/>
          <w:b/>
          <w:bCs w:val="0"/>
          <w:color w:val="000000"/>
          <w:kern w:val="0"/>
          <w:sz w:val="28"/>
          <w:szCs w:val="28"/>
        </w:rPr>
        <w:t>第二条 服务方案及验收</w:t>
      </w:r>
      <w:r>
        <w:rPr>
          <w:rFonts w:hint="eastAsia" w:ascii="宋体" w:hAnsi="宋体" w:eastAsia="宋体" w:cs="宋体"/>
          <w:kern w:val="0"/>
          <w:sz w:val="28"/>
          <w:szCs w:val="28"/>
        </w:rPr>
        <w:t xml:space="preserve">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双方约定的服务方案详见本合同【附件】。</w:t>
      </w:r>
    </w:p>
    <w:p>
      <w:pPr>
        <w:widowControl w:val="0"/>
        <w:spacing w:line="600" w:lineRule="exact"/>
        <w:jc w:val="left"/>
        <w:rPr>
          <w:rFonts w:hint="eastAsia" w:ascii="仿宋_GB2312" w:hAnsi="Calibri" w:eastAsia="仿宋_GB2312" w:cs="仿宋_GB2312"/>
          <w:b/>
          <w:bCs w:val="0"/>
          <w:color w:val="000000"/>
          <w:kern w:val="0"/>
          <w:sz w:val="28"/>
          <w:szCs w:val="28"/>
        </w:rPr>
      </w:pPr>
      <w:r>
        <w:rPr>
          <w:rFonts w:hint="eastAsia" w:ascii="仿宋_GB2312" w:hAnsi="Calibri" w:eastAsia="仿宋_GB2312" w:cs="仿宋_GB2312"/>
          <w:b/>
          <w:bCs w:val="0"/>
          <w:color w:val="000000"/>
          <w:kern w:val="0"/>
          <w:sz w:val="28"/>
          <w:szCs w:val="28"/>
        </w:rPr>
        <w:t>第三条 合同价格</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（一） 本合同总价款为</w:t>
      </w:r>
      <w:r>
        <w:rPr>
          <w:rFonts w:hint="eastAsia" w:ascii="宋体" w:hAnsi="宋体" w:cs="宋体"/>
          <w:kern w:val="0"/>
          <w:sz w:val="28"/>
          <w:szCs w:val="28"/>
          <w:lang w:val="en-US" w:eastAsia="zh-CN"/>
        </w:rPr>
        <w:t>________</w:t>
      </w:r>
      <w:r>
        <w:rPr>
          <w:rFonts w:hint="eastAsia" w:ascii="宋体" w:hAnsi="宋体" w:eastAsia="宋体" w:cs="宋体"/>
          <w:kern w:val="0"/>
          <w:sz w:val="28"/>
          <w:szCs w:val="28"/>
        </w:rPr>
        <w:t>元（大写：</w:t>
      </w:r>
      <w:r>
        <w:rPr>
          <w:rFonts w:hint="eastAsia" w:ascii="宋体" w:hAnsi="宋体" w:cs="宋体"/>
          <w:kern w:val="0"/>
          <w:sz w:val="28"/>
          <w:szCs w:val="28"/>
          <w:lang w:val="en-US" w:eastAsia="zh-CN"/>
        </w:rPr>
        <w:t>________</w:t>
      </w:r>
      <w:r>
        <w:rPr>
          <w:rFonts w:hint="eastAsia" w:ascii="宋体" w:hAnsi="宋体" w:eastAsia="宋体" w:cs="宋体"/>
          <w:kern w:val="0"/>
          <w:sz w:val="28"/>
          <w:szCs w:val="28"/>
        </w:rPr>
        <w:t>）。合同价格明细见【附件】。</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（二） 乙方因提供本合同项下服务所发生的一切费用和税费，已包括在前款约定的费用当中；除双方另有书面约定外，甲方不再就乙方提供本合同项下的服务向乙方另行支付任何其它费用。</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（三） 本合同付款安排见【附件】。</w:t>
      </w:r>
    </w:p>
    <w:p>
      <w:pPr>
        <w:widowControl w:val="0"/>
        <w:spacing w:line="600" w:lineRule="exact"/>
        <w:jc w:val="left"/>
        <w:rPr>
          <w:rFonts w:hint="eastAsia" w:ascii="仿宋_GB2312" w:hAnsi="Calibri" w:eastAsia="仿宋_GB2312" w:cs="仿宋_GB2312"/>
          <w:b/>
          <w:bCs w:val="0"/>
          <w:color w:val="000000"/>
          <w:kern w:val="0"/>
          <w:sz w:val="28"/>
          <w:szCs w:val="28"/>
        </w:rPr>
      </w:pPr>
      <w:r>
        <w:rPr>
          <w:rFonts w:hint="eastAsia" w:ascii="仿宋_GB2312" w:hAnsi="Calibri" w:eastAsia="仿宋_GB2312" w:cs="仿宋_GB2312"/>
          <w:b/>
          <w:bCs w:val="0"/>
          <w:color w:val="000000"/>
          <w:kern w:val="0"/>
          <w:sz w:val="28"/>
          <w:szCs w:val="28"/>
        </w:rPr>
        <w:t xml:space="preserve">第四条 双方的权利和义务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除本合同约定的双方的权利义务外，甲乙双方在本合同项下的其他权利和义务见【附件】的约定。</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仿宋_GB2312" w:hAnsi="Calibri" w:eastAsia="仿宋_GB2312" w:cs="仿宋_GB2312"/>
          <w:b/>
          <w:bCs w:val="0"/>
          <w:color w:val="000000"/>
          <w:kern w:val="0"/>
          <w:sz w:val="28"/>
          <w:szCs w:val="28"/>
        </w:rPr>
        <w:t>第五条 违约责任</w:t>
      </w:r>
      <w:r>
        <w:rPr>
          <w:rFonts w:hint="eastAsia" w:ascii="宋体" w:hAnsi="宋体" w:eastAsia="宋体" w:cs="宋体"/>
          <w:kern w:val="0"/>
          <w:sz w:val="28"/>
          <w:szCs w:val="28"/>
        </w:rPr>
        <w:t xml:space="preserve">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甲、乙任一方或双方违约的，违约一方应当向相对方承担相应的违约责任。违约责任的具体约定见【附件】。</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widowControl w:val="0"/>
        <w:spacing w:line="600" w:lineRule="exact"/>
        <w:jc w:val="center"/>
        <w:rPr>
          <w:rFonts w:hint="eastAsia" w:ascii="仿宋_GB2312" w:hAnsi="Calibri" w:eastAsia="仿宋_GB2312" w:cs="仿宋_GB2312"/>
          <w:b/>
          <w:bCs/>
          <w:color w:val="000000"/>
          <w:kern w:val="0"/>
          <w:sz w:val="32"/>
          <w:szCs w:val="32"/>
        </w:rPr>
      </w:pPr>
      <w:r>
        <w:rPr>
          <w:rFonts w:hint="eastAsia" w:ascii="仿宋_GB2312" w:hAnsi="Calibri" w:eastAsia="仿宋_GB2312" w:cs="仿宋_GB2312"/>
          <w:b/>
          <w:bCs/>
          <w:color w:val="000000"/>
          <w:kern w:val="0"/>
          <w:sz w:val="32"/>
          <w:szCs w:val="32"/>
        </w:rPr>
        <w:t>通用部分</w:t>
      </w:r>
    </w:p>
    <w:p>
      <w:pPr>
        <w:widowControl w:val="0"/>
        <w:spacing w:line="600" w:lineRule="exact"/>
        <w:jc w:val="left"/>
        <w:rPr>
          <w:rFonts w:hint="eastAsia" w:ascii="仿宋_GB2312" w:hAnsi="Calibri" w:eastAsia="仿宋_GB2312" w:cs="仿宋_GB2312"/>
          <w:b/>
          <w:bCs w:val="0"/>
          <w:color w:val="000000"/>
          <w:kern w:val="0"/>
          <w:sz w:val="28"/>
          <w:szCs w:val="28"/>
        </w:rPr>
      </w:pPr>
      <w:r>
        <w:rPr>
          <w:rFonts w:hint="eastAsia" w:ascii="仿宋_GB2312" w:hAnsi="Calibri" w:eastAsia="仿宋_GB2312" w:cs="仿宋_GB2312"/>
          <w:b/>
          <w:bCs w:val="0"/>
          <w:color w:val="000000"/>
          <w:kern w:val="0"/>
          <w:sz w:val="28"/>
          <w:szCs w:val="28"/>
        </w:rPr>
        <w:t>第六条 双方的权利和义务</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（一） 甲方的权利和义务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（1）甲方有权获得本合同项下乙方应提供的全部合格的服务；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（2）甲方有权在合同期内对乙方的服务进行监督；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（3）乙方未按照合同约定履行义务的，甲方有权采取相应的措施；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（4）甲方应按照合同约定向乙方支付合同价款；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（5）甲方对其提供的样本、稿件本身及其内容的真实性、合法性、知识产权的独立性等承担全部责任，所提供样本、稿件引起的纠纷、争议及相关损失由甲方自行承担；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6）乙方提供的每个阶段的工作成果须经过甲方的确认，确认以后的工作成果乙方不得擅自修改。甲方有权根据服务需求对乙方的服务内容随时提出修改要求，但应及时以书面形式通知乙方，乙方收到通知后的当天应按新的内容执行；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（7）甲方享有其它双方约定的权利、承担其它双方约定的义务。</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（二） 乙方的权利和义务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（1）乙方有权获得甲方支付的合同价款；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（2）乙方应按照合同约定向甲方提供全部合格的服务；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（3）乙方应按照合同约定履行相应的维护和保修或其他后续义务；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（4）乙方必须遵守甲方制定的各项服务标准、工作流程及各项要求；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（5）乙方应当按照甲方提出的变更需求及时调整和完善服务内容；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（6）乙方服务团队成员有</w:t>
      </w:r>
      <w:r>
        <w:rPr>
          <w:rFonts w:hint="eastAsia" w:ascii="宋体" w:hAnsi="宋体" w:cs="宋体"/>
          <w:kern w:val="0"/>
          <w:sz w:val="28"/>
          <w:szCs w:val="28"/>
          <w:lang w:val="en-US" w:eastAsia="zh-CN"/>
        </w:rPr>
        <w:t>______</w:t>
      </w:r>
      <w:r>
        <w:rPr>
          <w:rFonts w:hint="eastAsia" w:ascii="宋体" w:hAnsi="宋体" w:eastAsia="宋体" w:cs="宋体"/>
          <w:kern w:val="0"/>
          <w:sz w:val="28"/>
          <w:szCs w:val="28"/>
        </w:rPr>
        <w:t xml:space="preserve">，乙方人员如需变更应提前两周与甲方协调并取得同意；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（7）乙方承担由于自身或合作施工单位由于服务效果与服务设计方案偏差原因造成的损失；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（8）乙方享有其它双方约定的权利、承担其它双方约定的义务。</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仿宋_GB2312" w:hAnsi="Calibri" w:eastAsia="仿宋_GB2312" w:cs="仿宋_GB2312"/>
          <w:b/>
          <w:bCs w:val="0"/>
          <w:color w:val="000000"/>
          <w:kern w:val="0"/>
          <w:sz w:val="28"/>
          <w:szCs w:val="28"/>
        </w:rPr>
        <w:t>第七条 禁止转让</w:t>
      </w:r>
      <w:r>
        <w:rPr>
          <w:rFonts w:hint="eastAsia" w:ascii="宋体" w:hAnsi="宋体" w:eastAsia="宋体" w:cs="宋体"/>
          <w:kern w:val="0"/>
          <w:sz w:val="28"/>
          <w:szCs w:val="28"/>
        </w:rPr>
        <w:t xml:space="preserve">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未经甲方事先书面同意，乙方不得将其本合同项下之全部义务或其中一部分义务转让给第三方执行。</w:t>
      </w:r>
    </w:p>
    <w:p>
      <w:pPr>
        <w:widowControl w:val="0"/>
        <w:spacing w:line="600" w:lineRule="exact"/>
        <w:jc w:val="left"/>
        <w:rPr>
          <w:rFonts w:hint="eastAsia" w:ascii="仿宋_GB2312" w:hAnsi="Calibri" w:eastAsia="仿宋_GB2312" w:cs="仿宋_GB2312"/>
          <w:b/>
          <w:bCs w:val="0"/>
          <w:color w:val="000000"/>
          <w:kern w:val="0"/>
          <w:sz w:val="28"/>
          <w:szCs w:val="28"/>
        </w:rPr>
      </w:pPr>
      <w:r>
        <w:rPr>
          <w:rFonts w:hint="eastAsia" w:ascii="仿宋_GB2312" w:hAnsi="Calibri" w:eastAsia="仿宋_GB2312" w:cs="仿宋_GB2312"/>
          <w:b/>
          <w:bCs w:val="0"/>
          <w:color w:val="000000"/>
          <w:kern w:val="0"/>
          <w:sz w:val="28"/>
          <w:szCs w:val="28"/>
        </w:rPr>
        <w:t>第八条 知识产权保障及权利保证</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（一） 知识产权保障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1）乙方根据本合同或在本合同履行过程中专门为甲方或根据甲方提供的有关资料而产生的任何创意、设计、宣传资料等作品（包括但不限于任何图案、图像、配音、配乐、文字、专题片语、卡通人物形象、FLASH等，无论最终是否被甲方选用），其知识产权和其他权益全部归甲方所有，甲方可以不受限制地进行使用或许可第三方使用。未经甲方事先书面许可，乙方不得为本合同之外的任何目的、以任何形式自行使用或许可任何第三方使用。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2）甲方授权乙方为本合同约定的目的在本合同履行过程中使用其提供的企业名称、企业标识、业务标识、商标等。乙方保证正确、合理地使用上述名称、标识、商标等，保证不擅自改动、歪曲其整体形象和组成部分，保证不为本合同之外的任何目的或在本合同履行完毕以后、以任何形式自行使用或擅自许可任何第三方使用。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3）甲方根据本合同向乙方提供的宣传资料和其中所包含的创意、设计、图形、图片、文字等素材，其知识产权和其他权益全部归甲方所有，未经甲方事先书面许可，乙方不得为本合同之外的任何目的或在本合同履行完毕以后、以任何形式自行使用或擅自许可任何第三方使用。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（4）本合同因履行完毕、解除或不可抗力等终止之日起3日内，乙方应将甲方提供的所有信息和资料移交甲方，并且自终止之日起不得继续使用或擅自许可任何第三方使用甲方提供的所有信息和资料。</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（二） 乙方确保甲方不因签署本合同、接受或使用本合同中约定的事项而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widowControl w:val="0"/>
        <w:spacing w:line="600" w:lineRule="exact"/>
        <w:jc w:val="left"/>
        <w:rPr>
          <w:rFonts w:hint="eastAsia" w:ascii="宋体" w:hAnsi="宋体" w:eastAsia="宋体" w:cs="宋体"/>
          <w:kern w:val="0"/>
          <w:sz w:val="28"/>
          <w:szCs w:val="28"/>
        </w:rPr>
      </w:pPr>
      <w:r>
        <w:rPr>
          <w:rFonts w:hint="eastAsia" w:ascii="仿宋_GB2312" w:hAnsi="Calibri" w:eastAsia="仿宋_GB2312" w:cs="仿宋_GB2312"/>
          <w:b/>
          <w:bCs w:val="0"/>
          <w:color w:val="000000"/>
          <w:kern w:val="0"/>
          <w:sz w:val="28"/>
          <w:szCs w:val="28"/>
        </w:rPr>
        <w:t>第九条 违约责任</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（一） 如果由于甲方原因延迟付款，每延迟一天，甲方应按照应付合同价款的</w:t>
      </w:r>
      <w:r>
        <w:rPr>
          <w:rFonts w:hint="eastAsia" w:ascii="宋体" w:hAnsi="宋体" w:eastAsia="宋体" w:cs="宋体"/>
          <w:kern w:val="0"/>
          <w:sz w:val="28"/>
          <w:szCs w:val="28"/>
          <w:u w:val="single"/>
        </w:rPr>
        <w:t>0.01%</w:t>
      </w:r>
      <w:r>
        <w:rPr>
          <w:rFonts w:hint="eastAsia" w:ascii="宋体" w:hAnsi="宋体" w:eastAsia="宋体" w:cs="宋体"/>
          <w:kern w:val="0"/>
          <w:sz w:val="28"/>
          <w:szCs w:val="28"/>
        </w:rPr>
        <w:t>向乙方支付违约金。</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（二） 如果乙方未按合同约定的时间、地点、内容、质量要求等提供服务，每延迟一天，应支付违约金</w:t>
      </w:r>
      <w:r>
        <w:rPr>
          <w:rFonts w:hint="eastAsia" w:ascii="宋体" w:hAnsi="宋体" w:eastAsia="宋体" w:cs="宋体"/>
          <w:kern w:val="0"/>
          <w:sz w:val="28"/>
          <w:szCs w:val="28"/>
          <w:u w:val="single"/>
        </w:rPr>
        <w:t>1000</w:t>
      </w:r>
      <w:r>
        <w:rPr>
          <w:rFonts w:hint="eastAsia" w:ascii="宋体" w:hAnsi="宋体" w:eastAsia="宋体" w:cs="宋体"/>
          <w:kern w:val="0"/>
          <w:sz w:val="28"/>
          <w:szCs w:val="28"/>
        </w:rPr>
        <w:t>元。乙方迟延提供服务，并不免除乙方应当按照合同继续提供服务的义务。如果乙方延迟</w:t>
      </w:r>
      <w:r>
        <w:rPr>
          <w:rFonts w:hint="eastAsia" w:ascii="宋体" w:hAnsi="宋体" w:eastAsia="宋体" w:cs="宋体"/>
          <w:kern w:val="0"/>
          <w:sz w:val="28"/>
          <w:szCs w:val="28"/>
          <w:u w:val="single"/>
        </w:rPr>
        <w:t>5</w:t>
      </w:r>
      <w:r>
        <w:rPr>
          <w:rFonts w:hint="eastAsia" w:ascii="宋体" w:hAnsi="宋体" w:eastAsia="宋体" w:cs="宋体"/>
          <w:kern w:val="0"/>
          <w:sz w:val="28"/>
          <w:szCs w:val="28"/>
        </w:rPr>
        <w:t>天仍不能按照合同约定提供服务的，甲方有权解除合同。甲方有权从未付合同价款中扣除乙方延迟履行合同义务的违约金，不足部分，乙方应予以补足。</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（三） 因违约而解除合同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（1）如乙方服务团队负责人发生变更或核心服务团队发生重大变化，乙方未能及时书面告知甲方造成服务水平下降，或变更后人员资质不符合甲方要求的，甲方有权即时解除本合同。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（2）如乙方未经甲方书面许可，以甲方名义向媒体或其他第三方进行任何商业行为的，甲方有权即时解除本合同。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（3）因乙方延迟履行合同义务或因其他违约行为导致甲方解除合同的，乙方应向甲方支付本合同价款总额</w:t>
      </w:r>
      <w:r>
        <w:rPr>
          <w:rFonts w:hint="eastAsia" w:ascii="宋体" w:hAnsi="宋体" w:eastAsia="宋体" w:cs="宋体"/>
          <w:kern w:val="0"/>
          <w:sz w:val="28"/>
          <w:szCs w:val="28"/>
          <w:u w:val="single"/>
        </w:rPr>
        <w:t>10%</w:t>
      </w:r>
      <w:r>
        <w:rPr>
          <w:rFonts w:hint="eastAsia" w:ascii="宋体" w:hAnsi="宋体" w:eastAsia="宋体" w:cs="宋体"/>
          <w:kern w:val="0"/>
          <w:sz w:val="28"/>
          <w:szCs w:val="28"/>
        </w:rPr>
        <w:t>的违约金，如违约金不足以弥补甲方损失的，超出部分由乙方继续承担赔偿责任。</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（四） 如果乙方违反本合同约定的保密义务，乙方应向甲方支付相当于本合同总价款</w:t>
      </w:r>
      <w:r>
        <w:rPr>
          <w:rFonts w:hint="eastAsia" w:ascii="宋体" w:hAnsi="宋体" w:eastAsia="宋体" w:cs="宋体"/>
          <w:kern w:val="0"/>
          <w:sz w:val="28"/>
          <w:szCs w:val="28"/>
          <w:u w:val="single"/>
        </w:rPr>
        <w:t>10%</w:t>
      </w:r>
      <w:r>
        <w:rPr>
          <w:rFonts w:hint="eastAsia" w:ascii="宋体" w:hAnsi="宋体" w:eastAsia="宋体" w:cs="宋体"/>
          <w:kern w:val="0"/>
          <w:sz w:val="28"/>
          <w:szCs w:val="28"/>
        </w:rPr>
        <w:t>的违约金，甲方受到的损失超出违约金的部分，由乙方继续承担赔偿责任。</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（五） 除本合同的约定外，因乙方的违约行为给甲方造成损失的，乙方应向甲方支付相当于本合同总价款</w:t>
      </w:r>
      <w:r>
        <w:rPr>
          <w:rFonts w:hint="eastAsia" w:ascii="宋体" w:hAnsi="宋体" w:eastAsia="宋体" w:cs="宋体"/>
          <w:kern w:val="0"/>
          <w:sz w:val="28"/>
          <w:szCs w:val="28"/>
          <w:u w:val="single"/>
        </w:rPr>
        <w:t>10%</w:t>
      </w:r>
      <w:r>
        <w:rPr>
          <w:rFonts w:hint="eastAsia" w:ascii="宋体" w:hAnsi="宋体" w:eastAsia="宋体" w:cs="宋体"/>
          <w:kern w:val="0"/>
          <w:sz w:val="28"/>
          <w:szCs w:val="28"/>
        </w:rPr>
        <w:t>的违约金，如甲方受到的损失超过违约金的，超出部分由乙方继续承担赔偿责任。</w:t>
      </w:r>
    </w:p>
    <w:p>
      <w:pPr>
        <w:widowControl w:val="0"/>
        <w:spacing w:line="600" w:lineRule="exact"/>
        <w:jc w:val="left"/>
        <w:rPr>
          <w:rFonts w:hint="eastAsia" w:ascii="仿宋_GB2312" w:hAnsi="Calibri" w:eastAsia="仿宋_GB2312" w:cs="仿宋_GB2312"/>
          <w:b/>
          <w:bCs w:val="0"/>
          <w:color w:val="000000"/>
          <w:kern w:val="0"/>
          <w:sz w:val="28"/>
          <w:szCs w:val="28"/>
        </w:rPr>
      </w:pPr>
      <w:r>
        <w:rPr>
          <w:rFonts w:hint="eastAsia" w:ascii="仿宋_GB2312" w:hAnsi="Calibri" w:eastAsia="仿宋_GB2312" w:cs="仿宋_GB2312"/>
          <w:b/>
          <w:bCs w:val="0"/>
          <w:color w:val="000000"/>
          <w:kern w:val="0"/>
          <w:sz w:val="28"/>
          <w:szCs w:val="28"/>
        </w:rPr>
        <w:t>第十条 保密义务</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（二） 乙方在本合同中所受领的保密信息应及时返还甲方或在甲方监督下予以销毁。乙方擅自留存备份信息，视为违反保密约定。</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（三） 无论本合同因何种原因终止，本保密条款依然有效。</w:t>
      </w:r>
    </w:p>
    <w:p>
      <w:pPr>
        <w:widowControl w:val="0"/>
        <w:spacing w:line="600" w:lineRule="exact"/>
        <w:jc w:val="left"/>
        <w:rPr>
          <w:rFonts w:hint="eastAsia" w:ascii="仿宋_GB2312" w:hAnsi="Calibri" w:eastAsia="仿宋_GB2312" w:cs="仿宋_GB2312"/>
          <w:b/>
          <w:bCs w:val="0"/>
          <w:color w:val="000000"/>
          <w:kern w:val="0"/>
          <w:sz w:val="28"/>
          <w:szCs w:val="28"/>
        </w:rPr>
      </w:pPr>
      <w:r>
        <w:rPr>
          <w:rFonts w:hint="eastAsia" w:ascii="仿宋_GB2312" w:hAnsi="Calibri" w:eastAsia="仿宋_GB2312" w:cs="仿宋_GB2312"/>
          <w:b/>
          <w:bCs w:val="0"/>
          <w:color w:val="000000"/>
          <w:kern w:val="0"/>
          <w:sz w:val="28"/>
          <w:szCs w:val="28"/>
        </w:rPr>
        <w:t>第十一条 不可抗力</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（三） 合同一方迟延履行后发生不可抗力的，不能免除其责任。</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仿宋_GB2312" w:hAnsi="Calibri" w:eastAsia="仿宋_GB2312" w:cs="仿宋_GB2312"/>
          <w:b/>
          <w:bCs w:val="0"/>
          <w:color w:val="000000"/>
          <w:kern w:val="0"/>
          <w:sz w:val="28"/>
          <w:szCs w:val="28"/>
        </w:rPr>
        <w:t>第十二条 合同变更</w:t>
      </w:r>
      <w:r>
        <w:rPr>
          <w:rFonts w:hint="eastAsia" w:ascii="宋体" w:hAnsi="宋体" w:eastAsia="宋体" w:cs="宋体"/>
          <w:kern w:val="0"/>
          <w:sz w:val="28"/>
          <w:szCs w:val="28"/>
        </w:rPr>
        <w:t xml:space="preserve">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对本合同的任何变更或补充，须经甲乙双方协商一致，并另行签订书面补充协议。</w:t>
      </w:r>
    </w:p>
    <w:p>
      <w:pPr>
        <w:widowControl w:val="0"/>
        <w:spacing w:line="600" w:lineRule="exact"/>
        <w:jc w:val="left"/>
        <w:rPr>
          <w:rFonts w:hint="eastAsia" w:ascii="仿宋_GB2312" w:hAnsi="Calibri" w:eastAsia="仿宋_GB2312" w:cs="仿宋_GB2312"/>
          <w:b/>
          <w:bCs w:val="0"/>
          <w:color w:val="000000"/>
          <w:kern w:val="0"/>
          <w:sz w:val="28"/>
          <w:szCs w:val="28"/>
        </w:rPr>
      </w:pPr>
      <w:r>
        <w:rPr>
          <w:rFonts w:hint="eastAsia" w:ascii="仿宋_GB2312" w:hAnsi="Calibri" w:eastAsia="仿宋_GB2312" w:cs="仿宋_GB2312"/>
          <w:b/>
          <w:bCs w:val="0"/>
          <w:color w:val="000000"/>
          <w:kern w:val="0"/>
          <w:sz w:val="28"/>
          <w:szCs w:val="28"/>
        </w:rPr>
        <w:t>第十三条 合同特别终止</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（一） 甲乙双方同意在乙方出现下列情形时，甲方可以书面形式通知乙方（或者乙方的破产清算组或相关管理人）提出终止合同而不向其提供任何补偿：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（1）乙方破产、解散（包括但不限于乙方股东会决议解散、乙方被吊销营业执照、被责令关闭、被撤销、被司法机关裁决解散等情形）；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（二） 如果因上述原因导致本合同终止，甲方已经采取或者将要采取任何补救措施的权利不受任何影响。</w:t>
      </w:r>
    </w:p>
    <w:p>
      <w:pPr>
        <w:widowControl w:val="0"/>
        <w:spacing w:line="600" w:lineRule="exact"/>
        <w:jc w:val="left"/>
        <w:rPr>
          <w:rFonts w:hint="eastAsia" w:ascii="仿宋_GB2312" w:hAnsi="Calibri" w:eastAsia="仿宋_GB2312" w:cs="仿宋_GB2312"/>
          <w:b/>
          <w:bCs w:val="0"/>
          <w:color w:val="000000"/>
          <w:kern w:val="0"/>
          <w:sz w:val="28"/>
          <w:szCs w:val="28"/>
        </w:rPr>
      </w:pPr>
      <w:r>
        <w:rPr>
          <w:rFonts w:hint="eastAsia" w:ascii="仿宋_GB2312" w:hAnsi="Calibri" w:eastAsia="仿宋_GB2312" w:cs="仿宋_GB2312"/>
          <w:b/>
          <w:bCs w:val="0"/>
          <w:color w:val="000000"/>
          <w:kern w:val="0"/>
          <w:sz w:val="28"/>
          <w:szCs w:val="28"/>
        </w:rPr>
        <w:t>第十四条 法律适用与争议解决</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（一） 本合同的订立、效力、解释、履行和争议的解决均适用中华人民共和国法律（不包括港澳台地区法律）。</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（二） 凡因本合同引起的或与本合同有关的任何争议，双方首先应友好协商解决。协商不成的，任何一方均可向甲方所在地有管辖权的法院提起诉讼。 </w:t>
      </w:r>
    </w:p>
    <w:p>
      <w:pPr>
        <w:widowControl w:val="0"/>
        <w:spacing w:line="600" w:lineRule="exact"/>
        <w:jc w:val="left"/>
        <w:rPr>
          <w:rFonts w:hint="eastAsia" w:ascii="仿宋_GB2312" w:hAnsi="Calibri" w:eastAsia="仿宋_GB2312" w:cs="仿宋_GB2312"/>
          <w:b/>
          <w:bCs w:val="0"/>
          <w:color w:val="000000"/>
          <w:kern w:val="0"/>
          <w:sz w:val="28"/>
          <w:szCs w:val="28"/>
        </w:rPr>
      </w:pPr>
      <w:r>
        <w:rPr>
          <w:rFonts w:hint="eastAsia" w:ascii="仿宋_GB2312" w:hAnsi="Calibri" w:eastAsia="仿宋_GB2312" w:cs="仿宋_GB2312"/>
          <w:b/>
          <w:bCs w:val="0"/>
          <w:color w:val="000000"/>
          <w:kern w:val="0"/>
          <w:sz w:val="28"/>
          <w:szCs w:val="28"/>
        </w:rPr>
        <w:t>第十五条 合同生效及其他</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（一） 本合同经甲乙双方法定代表人或授权代表签字并加盖公章或合同专用章后生效。</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（二） 本合同一式四份，其中正本两份，副本两份。甲方执一份正本，一份副本；乙方执一份正本，一份副本。</w:t>
      </w:r>
    </w:p>
    <w:p>
      <w:pPr>
        <w:widowControl w:val="0"/>
        <w:spacing w:line="600" w:lineRule="exact"/>
        <w:jc w:val="left"/>
        <w:rPr>
          <w:rFonts w:hint="eastAsia" w:ascii="宋体" w:hAnsi="宋体" w:eastAsia="宋体" w:cs="宋体"/>
          <w:kern w:val="0"/>
          <w:sz w:val="28"/>
          <w:szCs w:val="28"/>
        </w:rPr>
      </w:pPr>
      <w:r>
        <w:rPr>
          <w:rFonts w:hint="eastAsia" w:ascii="仿宋_GB2312" w:hAnsi="Calibri" w:eastAsia="仿宋_GB2312" w:cs="仿宋_GB2312"/>
          <w:b/>
          <w:bCs w:val="0"/>
          <w:color w:val="000000"/>
          <w:kern w:val="0"/>
          <w:sz w:val="28"/>
          <w:szCs w:val="28"/>
        </w:rPr>
        <w:t>第十六条 合同效力</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（一）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（三） 由于法律和法规、政策而导致本合同任何条款无效或无法执行，则该条款无效，但不影响剩余其他条款的效力。</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第十七条 附件的组成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附件</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兹证明，各方于      年       月       日签订本合同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甲方（盖章）：中国人民财产保险股份有限公司成都市分公司</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法定代表人/授权代表（签字）：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乙方（盖章）：</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法定代表人/授权代表（签字）： </w:t>
      </w:r>
    </w:p>
    <w:p>
      <w:pPr>
        <w:rPr>
          <w:rFonts w:hint="eastAsia" w:ascii="宋体" w:hAnsi="宋体" w:eastAsia="宋体" w:cs="宋体"/>
          <w:kern w:val="0"/>
          <w:sz w:val="28"/>
          <w:szCs w:val="28"/>
        </w:rPr>
      </w:pPr>
    </w:p>
    <w:p>
      <w:pPr>
        <w:rPr>
          <w:rFonts w:hint="eastAsia" w:ascii="宋体" w:hAnsi="宋体" w:eastAsia="宋体" w:cs="宋体"/>
          <w:kern w:val="0"/>
          <w:sz w:val="28"/>
          <w:szCs w:val="28"/>
        </w:rPr>
      </w:pPr>
    </w:p>
    <w:p>
      <w:pPr>
        <w:rPr>
          <w:rFonts w:hint="eastAsia" w:ascii="宋体" w:hAnsi="宋体" w:eastAsia="宋体" w:cs="宋体"/>
          <w:kern w:val="0"/>
          <w:sz w:val="28"/>
          <w:szCs w:val="28"/>
        </w:rPr>
      </w:pPr>
    </w:p>
    <w:p>
      <w:pPr>
        <w:rPr>
          <w:rFonts w:hint="eastAsia" w:ascii="宋体" w:hAnsi="宋体" w:eastAsia="宋体" w:cs="宋体"/>
          <w:kern w:val="0"/>
          <w:sz w:val="28"/>
          <w:szCs w:val="28"/>
        </w:rPr>
      </w:pPr>
    </w:p>
    <w:p>
      <w:pPr>
        <w:rPr>
          <w:rFonts w:hint="eastAsia" w:ascii="宋体" w:hAnsi="宋体" w:eastAsia="宋体" w:cs="宋体"/>
          <w:kern w:val="0"/>
          <w:sz w:val="28"/>
          <w:szCs w:val="28"/>
        </w:rPr>
      </w:pPr>
    </w:p>
    <w:p>
      <w:pPr>
        <w:rPr>
          <w:rFonts w:hint="eastAsia" w:ascii="宋体" w:hAnsi="宋体" w:eastAsia="宋体" w:cs="宋体"/>
          <w:kern w:val="0"/>
          <w:sz w:val="28"/>
          <w:szCs w:val="28"/>
        </w:rPr>
      </w:pPr>
    </w:p>
    <w:p>
      <w:pPr>
        <w:rPr>
          <w:rFonts w:hint="eastAsia" w:ascii="宋体" w:hAnsi="宋体" w:eastAsia="宋体" w:cs="宋体"/>
          <w:kern w:val="0"/>
          <w:sz w:val="28"/>
          <w:szCs w:val="28"/>
        </w:rPr>
      </w:pPr>
    </w:p>
    <w:p>
      <w:pPr>
        <w:pStyle w:val="2"/>
        <w:rPr>
          <w:rFonts w:hint="eastAsia"/>
        </w:rPr>
      </w:pPr>
    </w:p>
    <w:p>
      <w:pPr>
        <w:rPr>
          <w:rFonts w:hint="eastAsia"/>
        </w:rPr>
      </w:pPr>
    </w:p>
    <w:p>
      <w:pPr>
        <w:snapToGrid w:val="0"/>
        <w:spacing w:line="360" w:lineRule="auto"/>
        <w:rPr>
          <w:rFonts w:hint="eastAsia" w:ascii="楷体" w:hAnsi="楷体" w:eastAsia="楷体"/>
          <w:b/>
          <w:szCs w:val="24"/>
        </w:rPr>
      </w:pPr>
      <w:r>
        <w:rPr>
          <w:rFonts w:hint="eastAsia" w:ascii="楷体" w:hAnsi="楷体" w:eastAsia="楷体"/>
          <w:b/>
          <w:szCs w:val="24"/>
        </w:rPr>
        <w:br w:type="page"/>
      </w:r>
    </w:p>
    <w:p>
      <w:pPr>
        <w:snapToGrid w:val="0"/>
        <w:spacing w:line="360" w:lineRule="auto"/>
        <w:rPr>
          <w:rFonts w:ascii="楷体" w:hAnsi="楷体" w:eastAsia="楷体"/>
          <w:b/>
          <w:szCs w:val="24"/>
        </w:rPr>
      </w:pPr>
      <w:r>
        <w:rPr>
          <w:rFonts w:hint="eastAsia" w:ascii="楷体" w:hAnsi="楷体" w:eastAsia="楷体"/>
          <w:b/>
          <w:szCs w:val="24"/>
        </w:rPr>
        <w:t>附件</w:t>
      </w:r>
      <w:r>
        <w:rPr>
          <w:rFonts w:hint="eastAsia" w:ascii="楷体" w:hAnsi="楷体" w:eastAsia="楷体"/>
          <w:b/>
          <w:szCs w:val="24"/>
          <w:lang w:val="en-US" w:eastAsia="zh-CN"/>
        </w:rPr>
        <w:t>一</w:t>
      </w:r>
      <w:r>
        <w:rPr>
          <w:rFonts w:hint="eastAsia" w:ascii="楷体" w:hAnsi="楷体" w:eastAsia="楷体"/>
          <w:b/>
          <w:szCs w:val="24"/>
        </w:rPr>
        <w:t>：</w:t>
      </w:r>
    </w:p>
    <w:p>
      <w:pPr>
        <w:snapToGrid w:val="0"/>
        <w:spacing w:line="360" w:lineRule="auto"/>
        <w:jc w:val="center"/>
        <w:rPr>
          <w:rFonts w:ascii="楷体" w:hAnsi="楷体" w:eastAsia="楷体"/>
          <w:b/>
          <w:color w:val="000000"/>
          <w:szCs w:val="24"/>
        </w:rPr>
      </w:pPr>
      <w:r>
        <w:rPr>
          <w:rFonts w:hint="eastAsia" w:ascii="楷体" w:hAnsi="楷体" w:eastAsia="楷体"/>
          <w:b/>
          <w:color w:val="000000"/>
          <w:szCs w:val="24"/>
        </w:rPr>
        <w:t>项目内容</w:t>
      </w:r>
      <w:r>
        <w:rPr>
          <w:rFonts w:hint="eastAsia" w:ascii="楷体" w:hAnsi="楷体" w:eastAsia="楷体"/>
          <w:b/>
          <w:color w:val="000000"/>
          <w:szCs w:val="24"/>
          <w:lang w:val="en-US" w:eastAsia="zh-CN"/>
        </w:rPr>
        <w:t>和</w:t>
      </w:r>
      <w:r>
        <w:rPr>
          <w:rFonts w:hint="eastAsia" w:ascii="楷体" w:hAnsi="楷体" w:eastAsia="楷体"/>
          <w:b/>
          <w:color w:val="000000"/>
          <w:szCs w:val="24"/>
        </w:rPr>
        <w:t>要求</w:t>
      </w:r>
      <w:r>
        <w:rPr>
          <w:rFonts w:hint="eastAsia" w:ascii="楷体" w:hAnsi="楷体" w:eastAsia="楷体"/>
          <w:b/>
          <w:color w:val="000000"/>
          <w:szCs w:val="24"/>
          <w:lang w:val="en-US" w:eastAsia="zh-CN"/>
        </w:rPr>
        <w:t>及</w:t>
      </w:r>
      <w:r>
        <w:rPr>
          <w:rFonts w:hint="eastAsia" w:ascii="楷体" w:hAnsi="楷体" w:eastAsia="楷体"/>
          <w:b/>
          <w:color w:val="000000"/>
          <w:szCs w:val="24"/>
        </w:rPr>
        <w:t>服务方案</w:t>
      </w:r>
      <w:r>
        <w:rPr>
          <w:rFonts w:hint="eastAsia" w:ascii="楷体" w:hAnsi="楷体" w:eastAsia="楷体"/>
          <w:b/>
          <w:color w:val="000000"/>
          <w:szCs w:val="24"/>
          <w:lang w:val="en-US" w:eastAsia="zh-CN"/>
        </w:rPr>
        <w:t>和</w:t>
      </w:r>
      <w:r>
        <w:rPr>
          <w:rFonts w:hint="eastAsia" w:ascii="楷体" w:hAnsi="楷体" w:eastAsia="楷体"/>
          <w:b/>
          <w:color w:val="000000"/>
          <w:szCs w:val="24"/>
        </w:rPr>
        <w:t>验收</w:t>
      </w:r>
    </w:p>
    <w:p>
      <w:pPr>
        <w:snapToGrid w:val="0"/>
        <w:spacing w:line="360" w:lineRule="auto"/>
        <w:jc w:val="center"/>
        <w:rPr>
          <w:rFonts w:ascii="楷体" w:hAnsi="楷体" w:eastAsia="楷体"/>
          <w:b/>
          <w:szCs w:val="24"/>
        </w:rPr>
      </w:pPr>
    </w:p>
    <w:p>
      <w:pPr>
        <w:pStyle w:val="91"/>
        <w:numPr>
          <w:ilvl w:val="0"/>
          <w:numId w:val="0"/>
        </w:numPr>
        <w:snapToGrid w:val="0"/>
        <w:spacing w:line="360" w:lineRule="auto"/>
        <w:rPr>
          <w:rFonts w:ascii="楷体" w:hAnsi="楷体" w:eastAsia="楷体" w:cs="Arial"/>
          <w:szCs w:val="24"/>
          <w:u w:val="single"/>
        </w:rPr>
      </w:pPr>
      <w:r>
        <w:rPr>
          <w:rFonts w:hint="eastAsia" w:ascii="楷体" w:hAnsi="楷体" w:eastAsia="楷体"/>
          <w:szCs w:val="24"/>
        </w:rPr>
        <w:t xml:space="preserve">1. </w:t>
      </w:r>
      <w:r>
        <w:rPr>
          <w:rFonts w:hint="eastAsia" w:ascii="楷体" w:hAnsi="楷体" w:eastAsia="楷体" w:cs="Arial"/>
          <w:szCs w:val="24"/>
        </w:rPr>
        <w:t>双方约定的</w:t>
      </w:r>
      <w:r>
        <w:rPr>
          <w:rFonts w:hint="eastAsia" w:ascii="楷体" w:hAnsi="楷体" w:eastAsia="楷体" w:cs="Arial"/>
          <w:szCs w:val="24"/>
          <w:lang w:val="en-US" w:eastAsia="zh-CN"/>
        </w:rPr>
        <w:t>宣传</w:t>
      </w:r>
      <w:r>
        <w:rPr>
          <w:rFonts w:hint="eastAsia" w:ascii="楷体" w:hAnsi="楷体" w:eastAsia="楷体" w:cs="Arial"/>
          <w:szCs w:val="24"/>
        </w:rPr>
        <w:t>方案为：</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楷体" w:hAnsi="楷体" w:eastAsia="楷体" w:cs="Arial"/>
          <w:color w:val="000000"/>
          <w:szCs w:val="24"/>
        </w:rPr>
      </w:pPr>
      <w:r>
        <w:rPr>
          <w:rFonts w:hint="eastAsia" w:ascii="楷体" w:hAnsi="楷体" w:eastAsia="楷体" w:cs="Arial"/>
          <w:color w:val="000000"/>
          <w:szCs w:val="24"/>
        </w:rPr>
        <w:t>1.</w:t>
      </w:r>
      <w:r>
        <w:rPr>
          <w:rFonts w:hint="eastAsia" w:ascii="楷体" w:hAnsi="楷体" w:eastAsia="楷体" w:cs="Arial"/>
          <w:color w:val="000000"/>
          <w:szCs w:val="24"/>
          <w:lang w:val="en-US" w:eastAsia="zh-CN"/>
        </w:rPr>
        <w:t>1</w:t>
      </w:r>
      <w:r>
        <w:rPr>
          <w:rFonts w:hint="eastAsia" w:ascii="楷体" w:hAnsi="楷体" w:eastAsia="楷体" w:cs="Arial"/>
          <w:color w:val="000000"/>
          <w:szCs w:val="24"/>
        </w:rPr>
        <w:t>乙方根据甲方的要求对</w:t>
      </w:r>
      <w:r>
        <w:rPr>
          <w:rFonts w:hint="eastAsia" w:ascii="楷体" w:hAnsi="楷体" w:eastAsia="楷体" w:cs="Arial"/>
          <w:color w:val="000000"/>
          <w:szCs w:val="24"/>
          <w:lang w:val="en-US" w:eastAsia="zh-CN"/>
        </w:rPr>
        <w:t>保险产品</w:t>
      </w:r>
      <w:r>
        <w:rPr>
          <w:rFonts w:hint="eastAsia" w:ascii="楷体" w:hAnsi="楷体" w:eastAsia="楷体" w:cs="Arial"/>
          <w:color w:val="000000"/>
          <w:szCs w:val="24"/>
        </w:rPr>
        <w:t>服务宣传物料进行</w:t>
      </w:r>
      <w:r>
        <w:rPr>
          <w:rFonts w:hint="eastAsia" w:ascii="楷体" w:hAnsi="楷体" w:eastAsia="楷体" w:cs="Arial"/>
          <w:color w:val="000000"/>
          <w:szCs w:val="24"/>
          <w:lang w:val="en-US" w:eastAsia="zh-CN"/>
        </w:rPr>
        <w:t>设</w:t>
      </w:r>
      <w:r>
        <w:rPr>
          <w:rFonts w:hint="eastAsia" w:ascii="楷体" w:hAnsi="楷体" w:eastAsia="楷体" w:cs="Arial"/>
          <w:color w:val="000000"/>
          <w:szCs w:val="24"/>
        </w:rPr>
        <w:t>计、印刷、投放。</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lang w:val="en-US" w:eastAsia="zh-CN"/>
        </w:rPr>
      </w:pPr>
      <w:r>
        <w:rPr>
          <w:rFonts w:hint="eastAsia" w:ascii="楷体" w:hAnsi="楷体" w:eastAsia="楷体" w:cs="Arial"/>
          <w:color w:val="000000"/>
          <w:szCs w:val="24"/>
          <w:lang w:val="en-US" w:eastAsia="zh-CN"/>
        </w:rPr>
        <w:t>1</w:t>
      </w:r>
      <w:r>
        <w:rPr>
          <w:rFonts w:hint="eastAsia" w:ascii="楷体" w:hAnsi="楷体" w:eastAsia="楷体" w:cs="Arial"/>
          <w:color w:val="000000"/>
          <w:szCs w:val="24"/>
          <w:lang w:eastAsia="zh-CN"/>
        </w:rPr>
        <w:t>.</w:t>
      </w:r>
      <w:r>
        <w:rPr>
          <w:rFonts w:hint="eastAsia" w:ascii="楷体" w:hAnsi="楷体" w:eastAsia="楷体" w:cs="Arial"/>
          <w:color w:val="000000"/>
          <w:szCs w:val="24"/>
          <w:lang w:val="en-US" w:eastAsia="zh-CN"/>
        </w:rPr>
        <w:t>2</w:t>
      </w:r>
      <w:r>
        <w:rPr>
          <w:rFonts w:hint="eastAsia" w:ascii="楷体" w:hAnsi="楷体" w:eastAsia="楷体" w:cs="Arial"/>
          <w:color w:val="000000"/>
          <w:szCs w:val="24"/>
          <w:lang w:eastAsia="zh-CN"/>
        </w:rPr>
        <w:t>投放渠道：甲方根据本</w:t>
      </w:r>
      <w:r>
        <w:rPr>
          <w:rFonts w:hint="eastAsia" w:ascii="楷体" w:hAnsi="楷体" w:eastAsia="楷体" w:cs="Arial"/>
          <w:color w:val="000000"/>
          <w:szCs w:val="24"/>
          <w:lang w:val="en-US" w:eastAsia="zh-CN"/>
        </w:rPr>
        <w:t>合同</w:t>
      </w:r>
      <w:r>
        <w:rPr>
          <w:rFonts w:hint="eastAsia" w:ascii="楷体" w:hAnsi="楷体" w:eastAsia="楷体" w:cs="Arial"/>
          <w:color w:val="000000"/>
          <w:szCs w:val="24"/>
          <w:lang w:eastAsia="zh-CN"/>
        </w:rPr>
        <w:t>委托乙方在都江堰市都江堰市公园大道1号、观凤新区东苑、观凤新区西苑、都江之春、都江堰马尔康电力干休所、北街坊合计6个小区</w:t>
      </w:r>
      <w:r>
        <w:rPr>
          <w:rFonts w:hint="eastAsia" w:ascii="楷体" w:hAnsi="楷体" w:eastAsia="楷体" w:cs="Arial"/>
          <w:color w:val="000000"/>
          <w:szCs w:val="24"/>
          <w:lang w:val="en-US" w:eastAsia="zh-CN"/>
        </w:rPr>
        <w:t>开展地推宣传活动，</w:t>
      </w:r>
      <w:r>
        <w:rPr>
          <w:rFonts w:hint="eastAsia" w:ascii="楷体" w:hAnsi="楷体" w:eastAsia="楷体" w:cs="Arial"/>
          <w:color w:val="000000"/>
          <w:szCs w:val="24"/>
          <w:lang w:eastAsia="zh-CN"/>
        </w:rPr>
        <w:t>发布甲方相关</w:t>
      </w:r>
      <w:r>
        <w:rPr>
          <w:rFonts w:hint="eastAsia" w:ascii="楷体" w:hAnsi="楷体" w:eastAsia="楷体" w:cs="Arial"/>
          <w:color w:val="000000"/>
          <w:szCs w:val="24"/>
          <w:u w:val="single"/>
          <w:lang w:val="en-US" w:eastAsia="zh-CN"/>
        </w:rPr>
        <w:t>车险</w:t>
      </w:r>
      <w:r>
        <w:rPr>
          <w:rFonts w:hint="eastAsia" w:ascii="楷体" w:hAnsi="楷体" w:eastAsia="楷体" w:cs="Arial"/>
          <w:color w:val="000000"/>
          <w:szCs w:val="24"/>
          <w:u w:val="none"/>
          <w:lang w:eastAsia="zh-CN"/>
        </w:rPr>
        <w:t>宣传推广服务内容</w:t>
      </w:r>
      <w:r>
        <w:rPr>
          <w:rFonts w:hint="eastAsia" w:ascii="楷体" w:hAnsi="楷体" w:eastAsia="楷体" w:cs="Arial"/>
          <w:color w:val="000000"/>
          <w:szCs w:val="24"/>
        </w:rPr>
        <w:t>。</w:t>
      </w:r>
    </w:p>
    <w:p>
      <w:pPr>
        <w:pStyle w:val="50"/>
        <w:keepNext w:val="0"/>
        <w:keepLines w:val="0"/>
        <w:pageBreakBefore w:val="0"/>
        <w:widowControl w:val="0"/>
        <w:kinsoku/>
        <w:wordWrap/>
        <w:overflowPunct/>
        <w:topLinePunct w:val="0"/>
        <w:autoSpaceDE/>
        <w:autoSpaceDN/>
        <w:bidi w:val="0"/>
        <w:adjustRightInd/>
        <w:spacing w:line="360" w:lineRule="auto"/>
        <w:ind w:left="0" w:leftChars="0" w:firstLine="0" w:firstLineChars="0"/>
        <w:textAlignment w:val="auto"/>
        <w:rPr>
          <w:rFonts w:hint="eastAsia" w:ascii="楷体" w:hAnsi="楷体" w:eastAsia="楷体" w:cs="Arial"/>
          <w:sz w:val="24"/>
          <w:szCs w:val="24"/>
          <w:lang w:val="en-US" w:eastAsia="zh-CN" w:bidi="ar-SA"/>
        </w:rPr>
      </w:pPr>
      <w:r>
        <w:rPr>
          <w:rFonts w:hint="eastAsia" w:ascii="楷体" w:hAnsi="楷体" w:eastAsia="楷体" w:cs="Arial"/>
          <w:sz w:val="24"/>
          <w:szCs w:val="24"/>
          <w:lang w:val="en-US" w:eastAsia="zh-CN" w:bidi="ar-SA"/>
        </w:rPr>
        <w:t>1.3本合同总金额为：</w:t>
      </w:r>
      <w:r>
        <w:rPr>
          <w:rFonts w:hint="eastAsia" w:ascii="楷体" w:hAnsi="楷体" w:eastAsia="楷体" w:cs="Arial"/>
          <w:sz w:val="24"/>
          <w:szCs w:val="24"/>
          <w:u w:val="single"/>
          <w:lang w:val="en-US" w:eastAsia="zh-CN" w:bidi="ar-SA"/>
        </w:rPr>
        <w:t>********</w:t>
      </w:r>
      <w:r>
        <w:rPr>
          <w:rFonts w:hint="eastAsia" w:ascii="楷体" w:hAnsi="楷体" w:eastAsia="楷体" w:cs="Arial"/>
          <w:sz w:val="24"/>
          <w:szCs w:val="24"/>
          <w:lang w:val="en-US" w:eastAsia="zh-CN" w:bidi="ar-SA"/>
        </w:rPr>
        <w:t>元，大写：</w:t>
      </w:r>
      <w:r>
        <w:rPr>
          <w:rFonts w:hint="eastAsia" w:ascii="楷体" w:hAnsi="楷体" w:eastAsia="楷体" w:cs="Arial"/>
          <w:sz w:val="24"/>
          <w:szCs w:val="24"/>
          <w:u w:val="single"/>
          <w:lang w:val="en-US" w:eastAsia="zh-CN" w:bidi="ar-SA"/>
        </w:rPr>
        <w:t>********</w:t>
      </w:r>
      <w:r>
        <w:rPr>
          <w:rFonts w:hint="eastAsia" w:ascii="楷体" w:hAnsi="楷体" w:eastAsia="楷体" w:cs="Arial"/>
          <w:sz w:val="24"/>
          <w:szCs w:val="24"/>
          <w:lang w:val="en-US" w:eastAsia="zh-CN" w:bidi="ar-SA"/>
        </w:rPr>
        <w:t>。本合同单价：</w:t>
      </w:r>
      <w:r>
        <w:rPr>
          <w:rFonts w:hint="eastAsia" w:ascii="楷体" w:hAnsi="楷体" w:eastAsia="楷体" w:cs="Arial"/>
          <w:sz w:val="24"/>
          <w:szCs w:val="24"/>
          <w:u w:val="single"/>
          <w:lang w:val="en-US" w:eastAsia="zh-CN" w:bidi="ar-SA"/>
        </w:rPr>
        <w:t>********</w:t>
      </w:r>
      <w:r>
        <w:rPr>
          <w:rFonts w:hint="eastAsia" w:ascii="楷体" w:hAnsi="楷体" w:eastAsia="楷体" w:cs="Arial"/>
          <w:sz w:val="24"/>
          <w:szCs w:val="24"/>
          <w:lang w:val="en-US" w:eastAsia="zh-CN" w:bidi="ar-SA"/>
        </w:rPr>
        <w:t>元/个小区，大写：</w:t>
      </w:r>
      <w:r>
        <w:rPr>
          <w:rFonts w:hint="eastAsia" w:ascii="楷体" w:hAnsi="楷体" w:eastAsia="楷体" w:cs="Arial"/>
          <w:sz w:val="24"/>
          <w:szCs w:val="24"/>
          <w:u w:val="single"/>
          <w:lang w:val="en-US" w:eastAsia="zh-CN" w:bidi="ar-SA"/>
        </w:rPr>
        <w:t>*********</w:t>
      </w:r>
      <w:r>
        <w:rPr>
          <w:rFonts w:hint="eastAsia" w:ascii="楷体" w:hAnsi="楷体" w:eastAsia="楷体" w:cs="Arial"/>
          <w:sz w:val="24"/>
          <w:szCs w:val="24"/>
          <w:lang w:val="en-US" w:eastAsia="zh-CN" w:bidi="ar-SA"/>
        </w:rPr>
        <w:t>。</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ascii="楷体" w:hAnsi="楷体" w:eastAsia="楷体" w:cs="Arial"/>
          <w:sz w:val="24"/>
          <w:szCs w:val="24"/>
          <w:lang w:val="en-US" w:eastAsia="zh-CN" w:bidi="ar-SA"/>
        </w:rPr>
      </w:pPr>
      <w:r>
        <w:rPr>
          <w:rFonts w:hint="eastAsia" w:ascii="楷体" w:hAnsi="楷体" w:eastAsia="楷体" w:cs="Arial"/>
          <w:sz w:val="24"/>
          <w:szCs w:val="24"/>
          <w:lang w:val="en-US" w:eastAsia="zh-CN" w:bidi="ar-SA"/>
        </w:rPr>
        <w:t>1.4乙方给甲方提供增值税专用发票，乙方为</w:t>
      </w:r>
      <w:r>
        <w:rPr>
          <w:rFonts w:hint="eastAsia" w:ascii="楷体" w:hAnsi="楷体" w:eastAsia="楷体" w:cs="Arial"/>
          <w:sz w:val="24"/>
          <w:szCs w:val="24"/>
          <w:u w:val="single"/>
          <w:lang w:val="en-US" w:eastAsia="zh-CN" w:bidi="ar-SA"/>
        </w:rPr>
        <w:t>小规模/一般纳税人</w:t>
      </w:r>
      <w:r>
        <w:rPr>
          <w:rFonts w:hint="eastAsia" w:ascii="楷体" w:hAnsi="楷体" w:eastAsia="楷体" w:cs="Arial"/>
          <w:sz w:val="24"/>
          <w:szCs w:val="24"/>
          <w:lang w:val="en-US" w:eastAsia="zh-CN" w:bidi="ar-SA"/>
        </w:rPr>
        <w:t>，发票税率为</w:t>
      </w:r>
      <w:r>
        <w:rPr>
          <w:rFonts w:hint="eastAsia" w:ascii="楷体" w:hAnsi="楷体" w:eastAsia="楷体" w:cs="Arial"/>
          <w:sz w:val="24"/>
          <w:szCs w:val="24"/>
          <w:u w:val="single"/>
          <w:lang w:val="en-US" w:eastAsia="zh-CN" w:bidi="ar-SA"/>
        </w:rPr>
        <w:t>*%</w:t>
      </w:r>
      <w:r>
        <w:rPr>
          <w:rFonts w:hint="default" w:ascii="楷体" w:hAnsi="楷体" w:eastAsia="楷体" w:cs="Arial"/>
          <w:sz w:val="24"/>
          <w:szCs w:val="24"/>
          <w:lang w:val="en-US" w:eastAsia="zh-CN" w:bidi="ar-SA"/>
        </w:rPr>
        <w:t>,</w:t>
      </w:r>
      <w:r>
        <w:rPr>
          <w:rFonts w:hint="eastAsia" w:ascii="楷体" w:hAnsi="楷体" w:eastAsia="楷体" w:cs="Arial"/>
          <w:sz w:val="24"/>
          <w:szCs w:val="24"/>
          <w:lang w:val="en-US" w:eastAsia="zh-CN" w:bidi="ar-SA"/>
        </w:rPr>
        <w:t>后期以国家税收标准为准。本合同不含税总金额为：</w:t>
      </w:r>
      <w:r>
        <w:rPr>
          <w:rFonts w:hint="eastAsia" w:ascii="楷体" w:hAnsi="楷体" w:eastAsia="楷体" w:cs="Arial"/>
          <w:sz w:val="24"/>
          <w:szCs w:val="24"/>
          <w:u w:val="single"/>
          <w:lang w:val="en-US" w:eastAsia="zh-CN" w:bidi="ar-SA"/>
        </w:rPr>
        <w:t>*******</w:t>
      </w:r>
      <w:r>
        <w:rPr>
          <w:rFonts w:hint="eastAsia" w:ascii="楷体" w:hAnsi="楷体" w:eastAsia="楷体" w:cs="Arial"/>
          <w:sz w:val="24"/>
          <w:szCs w:val="24"/>
          <w:lang w:val="en-US" w:eastAsia="zh-CN" w:bidi="ar-SA"/>
        </w:rPr>
        <w:t>元，大写：</w:t>
      </w:r>
      <w:r>
        <w:rPr>
          <w:rFonts w:hint="eastAsia" w:ascii="楷体" w:hAnsi="楷体" w:eastAsia="楷体" w:cs="Arial"/>
          <w:sz w:val="24"/>
          <w:szCs w:val="24"/>
          <w:u w:val="single"/>
          <w:lang w:val="en-US" w:eastAsia="zh-CN" w:bidi="ar-SA"/>
        </w:rPr>
        <w:t>********</w:t>
      </w:r>
      <w:r>
        <w:rPr>
          <w:rFonts w:hint="eastAsia" w:ascii="楷体" w:hAnsi="楷体" w:eastAsia="楷体" w:cs="Arial"/>
          <w:sz w:val="24"/>
          <w:szCs w:val="24"/>
          <w:lang w:val="en-US" w:eastAsia="zh-CN" w:bidi="ar-SA"/>
        </w:rPr>
        <w:t>。不含税单价为：</w:t>
      </w:r>
      <w:r>
        <w:rPr>
          <w:rFonts w:hint="eastAsia" w:ascii="楷体" w:hAnsi="楷体" w:eastAsia="楷体" w:cs="Arial"/>
          <w:sz w:val="24"/>
          <w:szCs w:val="24"/>
          <w:u w:val="single"/>
          <w:lang w:val="en-US" w:eastAsia="zh-CN" w:bidi="ar-SA"/>
        </w:rPr>
        <w:t>*****</w:t>
      </w:r>
      <w:r>
        <w:rPr>
          <w:rFonts w:hint="eastAsia" w:ascii="楷体" w:hAnsi="楷体" w:eastAsia="楷体" w:cs="Arial"/>
          <w:sz w:val="24"/>
          <w:szCs w:val="24"/>
          <w:lang w:val="en-US" w:eastAsia="zh-CN" w:bidi="ar-SA"/>
        </w:rPr>
        <w:t>元/个小区，大写：</w:t>
      </w:r>
      <w:r>
        <w:rPr>
          <w:rFonts w:hint="eastAsia" w:ascii="楷体" w:hAnsi="楷体" w:eastAsia="楷体" w:cs="Arial"/>
          <w:sz w:val="24"/>
          <w:szCs w:val="24"/>
          <w:u w:val="single"/>
          <w:lang w:val="en-US" w:eastAsia="zh-CN" w:bidi="ar-SA"/>
        </w:rPr>
        <w:t>*********</w:t>
      </w:r>
      <w:r>
        <w:rPr>
          <w:rFonts w:hint="eastAsia" w:ascii="楷体" w:hAnsi="楷体" w:eastAsia="楷体" w:cs="Arial"/>
          <w:sz w:val="24"/>
          <w:szCs w:val="24"/>
          <w:lang w:val="en-US" w:eastAsia="zh-CN" w:bidi="ar-SA"/>
        </w:rPr>
        <w:t>。</w:t>
      </w:r>
    </w:p>
    <w:p>
      <w:pPr>
        <w:pStyle w:val="50"/>
        <w:keepNext w:val="0"/>
        <w:keepLines w:val="0"/>
        <w:pageBreakBefore w:val="0"/>
        <w:widowControl w:val="0"/>
        <w:kinsoku/>
        <w:wordWrap/>
        <w:overflowPunct/>
        <w:topLinePunct w:val="0"/>
        <w:autoSpaceDE/>
        <w:autoSpaceDN/>
        <w:bidi w:val="0"/>
        <w:adjustRightInd/>
        <w:spacing w:line="360" w:lineRule="auto"/>
        <w:ind w:left="0" w:leftChars="0" w:firstLine="0" w:firstLineChars="0"/>
        <w:textAlignment w:val="auto"/>
        <w:rPr>
          <w:rFonts w:hint="default" w:ascii="楷体" w:hAnsi="楷体" w:eastAsia="楷体" w:cs="Arial"/>
          <w:sz w:val="24"/>
          <w:szCs w:val="24"/>
          <w:lang w:val="en-US" w:eastAsia="zh-CN" w:bidi="ar-SA"/>
        </w:rPr>
      </w:pPr>
      <w:r>
        <w:rPr>
          <w:rFonts w:hint="default" w:ascii="楷体" w:hAnsi="楷体" w:eastAsia="楷体" w:cs="Arial"/>
          <w:sz w:val="24"/>
          <w:szCs w:val="24"/>
          <w:lang w:val="en-US" w:eastAsia="zh-CN" w:bidi="ar-SA"/>
        </w:rPr>
        <w:t>1.</w:t>
      </w:r>
      <w:r>
        <w:rPr>
          <w:rFonts w:hint="eastAsia" w:ascii="楷体" w:hAnsi="楷体" w:eastAsia="楷体" w:cs="Arial"/>
          <w:sz w:val="24"/>
          <w:szCs w:val="24"/>
          <w:lang w:val="en-US" w:eastAsia="zh-CN" w:bidi="ar-SA"/>
        </w:rPr>
        <w:t>5本合同有效期自</w:t>
      </w:r>
      <w:r>
        <w:rPr>
          <w:rFonts w:hint="eastAsia" w:ascii="楷体" w:hAnsi="楷体" w:eastAsia="楷体" w:cs="Arial"/>
          <w:sz w:val="24"/>
          <w:szCs w:val="24"/>
          <w:u w:val="single"/>
          <w:lang w:val="en-US" w:eastAsia="zh-CN" w:bidi="ar-SA"/>
        </w:rPr>
        <w:t>****年**月**日</w:t>
      </w:r>
      <w:r>
        <w:rPr>
          <w:rFonts w:hint="eastAsia" w:ascii="楷体" w:hAnsi="楷体" w:eastAsia="楷体" w:cs="Arial"/>
          <w:sz w:val="24"/>
          <w:szCs w:val="24"/>
          <w:lang w:val="en-US" w:eastAsia="zh-CN" w:bidi="ar-SA"/>
        </w:rPr>
        <w:t>起至</w:t>
      </w:r>
      <w:r>
        <w:rPr>
          <w:rFonts w:hint="eastAsia" w:ascii="楷体" w:hAnsi="楷体" w:eastAsia="楷体" w:cs="Arial"/>
          <w:sz w:val="24"/>
          <w:szCs w:val="24"/>
          <w:u w:val="single"/>
          <w:lang w:val="en-US" w:eastAsia="zh-CN" w:bidi="ar-SA"/>
        </w:rPr>
        <w:t>****年**月**日</w:t>
      </w:r>
      <w:r>
        <w:rPr>
          <w:rFonts w:hint="eastAsia" w:ascii="楷体" w:hAnsi="楷体" w:eastAsia="楷体" w:cs="Arial"/>
          <w:sz w:val="24"/>
          <w:szCs w:val="24"/>
          <w:lang w:val="en-US" w:eastAsia="zh-CN" w:bidi="ar-SA"/>
        </w:rPr>
        <w:t>止。</w:t>
      </w:r>
    </w:p>
    <w:p>
      <w:pPr>
        <w:keepNext w:val="0"/>
        <w:keepLines w:val="0"/>
        <w:pageBreakBefore w:val="0"/>
        <w:widowControl w:val="0"/>
        <w:numPr>
          <w:ilvl w:val="0"/>
          <w:numId w:val="6"/>
        </w:numPr>
        <w:kinsoku/>
        <w:wordWrap/>
        <w:overflowPunct/>
        <w:topLinePunct w:val="0"/>
        <w:autoSpaceDE/>
        <w:autoSpaceDN/>
        <w:bidi w:val="0"/>
        <w:adjustRightInd/>
        <w:snapToGrid w:val="0"/>
        <w:spacing w:line="360" w:lineRule="auto"/>
        <w:textAlignment w:val="auto"/>
        <w:rPr>
          <w:rFonts w:hint="eastAsia" w:ascii="楷体" w:hAnsi="楷体" w:eastAsia="楷体" w:cs="Arial"/>
          <w:sz w:val="24"/>
          <w:szCs w:val="24"/>
          <w:lang w:val="en-US" w:eastAsia="zh-CN" w:bidi="ar-SA"/>
        </w:rPr>
      </w:pPr>
      <w:r>
        <w:rPr>
          <w:rFonts w:hint="eastAsia" w:ascii="楷体" w:hAnsi="楷体" w:eastAsia="楷体" w:cs="Arial"/>
          <w:sz w:val="24"/>
          <w:szCs w:val="24"/>
          <w:lang w:val="en-US" w:eastAsia="zh-CN" w:bidi="ar-SA"/>
        </w:rPr>
        <w:t>投放完毕后，乙方向甲方提供水印照片、视频、结算验收单、点位清单等作为宣传推广服务已完成的依据。甲方须在接到通知后</w:t>
      </w:r>
      <w:r>
        <w:rPr>
          <w:rFonts w:hint="eastAsia" w:ascii="楷体" w:hAnsi="楷体" w:eastAsia="楷体" w:cs="Arial"/>
          <w:sz w:val="24"/>
          <w:szCs w:val="24"/>
          <w:u w:val="single"/>
          <w:lang w:val="en-US" w:eastAsia="zh-CN" w:bidi="ar-SA"/>
        </w:rPr>
        <w:t xml:space="preserve">  10  </w:t>
      </w:r>
      <w:r>
        <w:rPr>
          <w:rFonts w:hint="eastAsia" w:ascii="楷体" w:hAnsi="楷体" w:eastAsia="楷体" w:cs="Arial"/>
          <w:sz w:val="24"/>
          <w:szCs w:val="24"/>
          <w:lang w:val="en-US" w:eastAsia="zh-CN" w:bidi="ar-SA"/>
        </w:rPr>
        <w:t>天内验收完毕并签字确认。</w:t>
      </w:r>
    </w:p>
    <w:p>
      <w:pPr>
        <w:snapToGrid w:val="0"/>
        <w:spacing w:line="360" w:lineRule="auto"/>
        <w:rPr>
          <w:rFonts w:hint="eastAsia" w:ascii="楷体" w:hAnsi="楷体" w:eastAsia="楷体"/>
          <w:b/>
          <w:szCs w:val="24"/>
        </w:rPr>
      </w:pPr>
      <w:r>
        <w:rPr>
          <w:rFonts w:hint="eastAsia" w:ascii="楷体" w:hAnsi="楷体" w:eastAsia="楷体"/>
          <w:b/>
          <w:szCs w:val="24"/>
        </w:rPr>
        <w:br w:type="page"/>
      </w:r>
    </w:p>
    <w:p>
      <w:pPr>
        <w:snapToGrid w:val="0"/>
        <w:spacing w:line="360" w:lineRule="auto"/>
        <w:rPr>
          <w:rFonts w:ascii="楷体" w:hAnsi="楷体" w:eastAsia="楷体"/>
          <w:b/>
          <w:szCs w:val="24"/>
        </w:rPr>
      </w:pPr>
      <w:r>
        <w:rPr>
          <w:rFonts w:hint="eastAsia" w:ascii="楷体" w:hAnsi="楷体" w:eastAsia="楷体"/>
          <w:b/>
          <w:szCs w:val="24"/>
        </w:rPr>
        <w:t>附件</w:t>
      </w:r>
      <w:r>
        <w:rPr>
          <w:rFonts w:hint="eastAsia" w:ascii="楷体" w:hAnsi="楷体" w:eastAsia="楷体"/>
          <w:b/>
          <w:szCs w:val="24"/>
          <w:lang w:val="en-US" w:eastAsia="zh-CN"/>
        </w:rPr>
        <w:t>二</w:t>
      </w:r>
      <w:r>
        <w:rPr>
          <w:rFonts w:hint="eastAsia" w:ascii="楷体" w:hAnsi="楷体" w:eastAsia="楷体"/>
          <w:b/>
          <w:szCs w:val="24"/>
        </w:rPr>
        <w:t>：</w:t>
      </w:r>
    </w:p>
    <w:p>
      <w:pPr>
        <w:snapToGrid w:val="0"/>
        <w:spacing w:line="360" w:lineRule="auto"/>
        <w:jc w:val="center"/>
        <w:rPr>
          <w:rFonts w:ascii="楷体" w:hAnsi="楷体" w:eastAsia="楷体"/>
          <w:b/>
          <w:szCs w:val="24"/>
        </w:rPr>
      </w:pPr>
      <w:r>
        <w:rPr>
          <w:rFonts w:hint="eastAsia" w:ascii="楷体" w:hAnsi="楷体" w:eastAsia="楷体"/>
          <w:b/>
          <w:szCs w:val="24"/>
        </w:rPr>
        <w:t>付款</w:t>
      </w:r>
    </w:p>
    <w:p>
      <w:pPr>
        <w:snapToGrid w:val="0"/>
        <w:spacing w:line="360" w:lineRule="auto"/>
        <w:rPr>
          <w:rFonts w:ascii="楷体" w:hAnsi="楷体" w:eastAsia="楷体"/>
          <w:szCs w:val="24"/>
        </w:rPr>
      </w:pPr>
    </w:p>
    <w:p>
      <w:pPr>
        <w:pStyle w:val="91"/>
        <w:numPr>
          <w:ilvl w:val="0"/>
          <w:numId w:val="0"/>
        </w:numPr>
        <w:snapToGrid w:val="0"/>
        <w:spacing w:line="360" w:lineRule="auto"/>
        <w:rPr>
          <w:rFonts w:hint="eastAsia" w:ascii="楷体" w:hAnsi="楷体" w:eastAsia="楷体" w:cs="Times New Roman"/>
          <w:szCs w:val="24"/>
        </w:rPr>
      </w:pPr>
      <w:r>
        <w:rPr>
          <w:rFonts w:hint="eastAsia" w:ascii="楷体" w:hAnsi="楷体" w:eastAsia="楷体" w:cs="Times New Roman"/>
          <w:szCs w:val="24"/>
        </w:rPr>
        <w:t>1. 本合同使用货币种类为人民币。</w:t>
      </w:r>
    </w:p>
    <w:p>
      <w:pPr>
        <w:pStyle w:val="91"/>
        <w:numPr>
          <w:ilvl w:val="0"/>
          <w:numId w:val="0"/>
        </w:numPr>
        <w:snapToGrid w:val="0"/>
        <w:spacing w:line="360" w:lineRule="auto"/>
        <w:rPr>
          <w:rFonts w:hint="eastAsia" w:ascii="楷体" w:hAnsi="楷体" w:eastAsia="楷体" w:cs="Times New Roman"/>
          <w:szCs w:val="24"/>
        </w:rPr>
      </w:pPr>
      <w:r>
        <w:rPr>
          <w:rFonts w:hint="eastAsia" w:ascii="楷体" w:hAnsi="楷体" w:eastAsia="楷体" w:cs="Times New Roman"/>
          <w:szCs w:val="24"/>
        </w:rPr>
        <w:t>2. 付款方式：转账。双方采用转账方式付款的，甲方应向乙方以下账户进行付费：</w:t>
      </w:r>
    </w:p>
    <w:p>
      <w:pPr>
        <w:pStyle w:val="91"/>
        <w:numPr>
          <w:ilvl w:val="0"/>
          <w:numId w:val="0"/>
        </w:numPr>
        <w:snapToGrid w:val="0"/>
        <w:spacing w:line="360" w:lineRule="auto"/>
        <w:rPr>
          <w:rFonts w:hint="default" w:ascii="楷体" w:hAnsi="楷体" w:eastAsia="楷体" w:cs="Times New Roman"/>
          <w:szCs w:val="24"/>
          <w:lang w:val="en-US" w:eastAsia="zh-CN"/>
        </w:rPr>
      </w:pPr>
      <w:r>
        <w:rPr>
          <w:rFonts w:hint="eastAsia" w:ascii="楷体" w:hAnsi="楷体" w:eastAsia="楷体" w:cs="Times New Roman"/>
          <w:szCs w:val="24"/>
        </w:rPr>
        <w:t>乙方：</w:t>
      </w:r>
    </w:p>
    <w:p>
      <w:pPr>
        <w:pStyle w:val="91"/>
        <w:numPr>
          <w:ilvl w:val="0"/>
          <w:numId w:val="0"/>
        </w:numPr>
        <w:snapToGrid w:val="0"/>
        <w:spacing w:line="360" w:lineRule="auto"/>
        <w:rPr>
          <w:rFonts w:hint="default" w:ascii="楷体" w:hAnsi="楷体" w:eastAsia="楷体" w:cs="Times New Roman"/>
          <w:szCs w:val="24"/>
          <w:lang w:val="en-US" w:eastAsia="zh-CN"/>
        </w:rPr>
      </w:pPr>
      <w:r>
        <w:rPr>
          <w:rFonts w:hint="eastAsia" w:ascii="楷体" w:hAnsi="楷体" w:eastAsia="楷体" w:cs="Times New Roman"/>
          <w:szCs w:val="24"/>
        </w:rPr>
        <w:t>开户行：</w:t>
      </w:r>
    </w:p>
    <w:p>
      <w:pPr>
        <w:pStyle w:val="91"/>
        <w:numPr>
          <w:ilvl w:val="0"/>
          <w:numId w:val="0"/>
        </w:numPr>
        <w:snapToGrid w:val="0"/>
        <w:spacing w:line="360" w:lineRule="auto"/>
        <w:rPr>
          <w:rFonts w:hint="default" w:ascii="楷体" w:hAnsi="楷体" w:eastAsia="楷体" w:cs="Times New Roman"/>
          <w:szCs w:val="24"/>
          <w:lang w:val="en-US" w:eastAsia="zh-CN"/>
        </w:rPr>
      </w:pPr>
      <w:r>
        <w:rPr>
          <w:rFonts w:hint="eastAsia" w:ascii="楷体" w:hAnsi="楷体" w:eastAsia="楷体" w:cs="Times New Roman"/>
          <w:szCs w:val="24"/>
        </w:rPr>
        <w:t xml:space="preserve">账户名称： </w:t>
      </w:r>
    </w:p>
    <w:p>
      <w:pPr>
        <w:pStyle w:val="91"/>
        <w:numPr>
          <w:ilvl w:val="0"/>
          <w:numId w:val="0"/>
        </w:numPr>
        <w:snapToGrid w:val="0"/>
        <w:spacing w:line="360" w:lineRule="auto"/>
        <w:rPr>
          <w:rFonts w:hint="eastAsia" w:ascii="楷体" w:hAnsi="楷体" w:eastAsia="楷体" w:cs="Times New Roman"/>
          <w:szCs w:val="24"/>
          <w:lang w:val="en-US" w:eastAsia="zh-CN"/>
        </w:rPr>
      </w:pPr>
      <w:r>
        <w:rPr>
          <w:rFonts w:hint="eastAsia" w:ascii="楷体" w:hAnsi="楷体" w:eastAsia="楷体" w:cs="Times New Roman"/>
          <w:szCs w:val="24"/>
        </w:rPr>
        <w:t>账号：</w:t>
      </w:r>
    </w:p>
    <w:p>
      <w:pPr>
        <w:pStyle w:val="91"/>
        <w:numPr>
          <w:ilvl w:val="0"/>
          <w:numId w:val="0"/>
        </w:numPr>
        <w:snapToGrid w:val="0"/>
        <w:spacing w:line="360" w:lineRule="auto"/>
        <w:rPr>
          <w:rFonts w:ascii="楷体" w:hAnsi="楷体" w:eastAsia="楷体"/>
          <w:szCs w:val="24"/>
        </w:rPr>
      </w:pPr>
      <w:r>
        <w:rPr>
          <w:rFonts w:hint="eastAsia" w:ascii="楷体" w:hAnsi="楷体" w:eastAsia="楷体" w:cs="Times New Roman"/>
          <w:szCs w:val="24"/>
        </w:rPr>
        <w:t>乙方如需改变上述账户，应提前10日以书面通知甲方。</w:t>
      </w:r>
    </w:p>
    <w:p>
      <w:pPr>
        <w:snapToGrid w:val="0"/>
        <w:spacing w:line="360" w:lineRule="auto"/>
        <w:rPr>
          <w:rFonts w:ascii="楷体" w:hAnsi="楷体" w:eastAsia="楷体"/>
          <w:color w:val="000000"/>
          <w:szCs w:val="24"/>
        </w:rPr>
      </w:pPr>
      <w:r>
        <w:rPr>
          <w:rFonts w:hint="eastAsia" w:ascii="楷体" w:hAnsi="楷体" w:eastAsia="楷体"/>
          <w:color w:val="000000"/>
          <w:szCs w:val="24"/>
        </w:rPr>
        <w:t>3. 付款安排</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楷体" w:hAnsi="楷体" w:eastAsia="楷体"/>
          <w:color w:val="000000"/>
          <w:szCs w:val="24"/>
          <w:lang w:val="en-US" w:eastAsia="zh-CN"/>
        </w:rPr>
      </w:pPr>
      <w:r>
        <w:rPr>
          <w:rFonts w:hint="eastAsia" w:ascii="楷体" w:hAnsi="楷体" w:eastAsia="楷体"/>
          <w:color w:val="000000"/>
          <w:szCs w:val="24"/>
          <w:lang w:val="en-US" w:eastAsia="zh-CN"/>
        </w:rPr>
        <w:t>3.1结算周期：相关费用根据乙方向甲方提供的水印照片、视频、结算验收单、点位清单、合规的增值税专用发票，经甲方验收合格并签字确认后，按单个小区实际发生额不定期结算。</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楷体_GB2312" w:hAnsi="宋体" w:eastAsia="楷体_GB2312"/>
          <w:lang w:val="en-US" w:eastAsia="zh-CN"/>
        </w:rPr>
      </w:pPr>
      <w:r>
        <w:rPr>
          <w:rFonts w:hint="eastAsia" w:ascii="楷体_GB2312" w:hAnsi="宋体" w:eastAsia="楷体_GB2312"/>
          <w:lang w:val="en-US" w:eastAsia="zh-CN"/>
        </w:rPr>
        <w:t>3.2支付流程：我方在收到乙方提供的足额有效增值税专用发票（税率：</w:t>
      </w:r>
      <w:r>
        <w:rPr>
          <w:rFonts w:hint="eastAsia" w:ascii="楷体_GB2312" w:hAnsi="宋体" w:eastAsia="楷体_GB2312"/>
          <w:u w:val="single"/>
          <w:lang w:val="en-US" w:eastAsia="zh-CN"/>
        </w:rPr>
        <w:t xml:space="preserve">  </w:t>
      </w:r>
      <w:r>
        <w:rPr>
          <w:rFonts w:hint="eastAsia" w:ascii="楷体_GB2312" w:hAnsi="宋体" w:eastAsia="楷体_GB2312"/>
          <w:lang w:val="en-US" w:eastAsia="zh-CN"/>
        </w:rPr>
        <w:t>%）后30个工作日内，按约定付款方式支付对应的费用。</w:t>
      </w:r>
    </w:p>
    <w:p>
      <w:pPr>
        <w:numPr>
          <w:ilvl w:val="0"/>
          <w:numId w:val="7"/>
        </w:numPr>
        <w:snapToGrid w:val="0"/>
        <w:spacing w:line="360" w:lineRule="auto"/>
        <w:rPr>
          <w:rFonts w:hint="eastAsia" w:ascii="楷体_GB2312" w:hAnsi="宋体" w:eastAsia="楷体_GB2312"/>
        </w:rPr>
      </w:pPr>
      <w:r>
        <w:rPr>
          <w:rFonts w:hint="eastAsia" w:ascii="楷体_GB2312" w:hAnsi="宋体" w:eastAsia="楷体_GB2312"/>
        </w:rPr>
        <w:t>增值税专用发票的相关约定</w:t>
      </w:r>
    </w:p>
    <w:p>
      <w:pPr>
        <w:snapToGrid w:val="0"/>
        <w:spacing w:line="360" w:lineRule="auto"/>
        <w:rPr>
          <w:rFonts w:hint="eastAsia" w:ascii="楷体_GB2312" w:hAnsi="宋体" w:eastAsia="楷体_GB2312"/>
        </w:rPr>
      </w:pPr>
      <w:r>
        <w:rPr>
          <w:rFonts w:hint="eastAsia" w:ascii="楷体_GB2312" w:hAnsi="宋体" w:eastAsia="楷体_GB2312"/>
          <w:lang w:val="en-US" w:eastAsia="zh-CN"/>
        </w:rPr>
        <w:t>4.1</w:t>
      </w:r>
      <w:r>
        <w:rPr>
          <w:rFonts w:hint="eastAsia" w:ascii="楷体_GB2312" w:hAnsi="宋体" w:eastAsia="楷体_GB2312"/>
        </w:rPr>
        <w:t xml:space="preserve">乙方应向甲方开具增值税专用发票，甲方开票信息如下： </w:t>
      </w:r>
    </w:p>
    <w:p>
      <w:pPr>
        <w:snapToGrid w:val="0"/>
        <w:spacing w:line="360" w:lineRule="auto"/>
        <w:rPr>
          <w:rFonts w:hint="eastAsia" w:ascii="楷体_GB2312" w:hAnsi="宋体" w:eastAsia="楷体_GB2312"/>
        </w:rPr>
      </w:pPr>
      <w:r>
        <w:rPr>
          <w:rFonts w:hint="eastAsia" w:ascii="楷体_GB2312" w:hAnsi="宋体" w:eastAsia="楷体_GB2312"/>
        </w:rPr>
        <w:t>公司名称：中国人民财产保险股份有限公司成都市分公司</w:t>
      </w:r>
    </w:p>
    <w:p>
      <w:pPr>
        <w:snapToGrid w:val="0"/>
        <w:spacing w:line="360" w:lineRule="auto"/>
        <w:rPr>
          <w:rFonts w:hint="eastAsia" w:ascii="楷体_GB2312" w:hAnsi="宋体" w:eastAsia="楷体_GB2312"/>
        </w:rPr>
      </w:pPr>
      <w:r>
        <w:rPr>
          <w:rFonts w:hint="eastAsia" w:ascii="楷体_GB2312" w:hAnsi="宋体" w:eastAsia="楷体_GB2312"/>
        </w:rPr>
        <w:t>纳税识别号：</w:t>
      </w:r>
      <w:r>
        <w:rPr>
          <w:rFonts w:hint="eastAsia" w:ascii="楷体_GB2312" w:hAnsi="宋体" w:eastAsia="楷体_GB2312"/>
          <w:u w:val="single"/>
        </w:rPr>
        <w:t>915101009019512765</w:t>
      </w:r>
    </w:p>
    <w:p>
      <w:pPr>
        <w:snapToGrid w:val="0"/>
        <w:spacing w:line="360" w:lineRule="auto"/>
        <w:rPr>
          <w:rFonts w:hint="eastAsia" w:ascii="楷体_GB2312" w:hAnsi="宋体" w:eastAsia="楷体_GB2312"/>
        </w:rPr>
      </w:pPr>
      <w:r>
        <w:rPr>
          <w:rFonts w:hint="eastAsia" w:ascii="楷体_GB2312" w:hAnsi="宋体" w:eastAsia="楷体_GB2312"/>
        </w:rPr>
        <w:t>银行账号：</w:t>
      </w:r>
      <w:r>
        <w:rPr>
          <w:rFonts w:hint="eastAsia" w:ascii="楷体_GB2312" w:hAnsi="宋体" w:eastAsia="楷体_GB2312"/>
          <w:u w:val="single"/>
        </w:rPr>
        <w:t>4402298019100356150</w:t>
      </w:r>
    </w:p>
    <w:p>
      <w:pPr>
        <w:snapToGrid w:val="0"/>
        <w:spacing w:line="360" w:lineRule="auto"/>
        <w:rPr>
          <w:rFonts w:hint="eastAsia" w:ascii="楷体_GB2312" w:hAnsi="宋体" w:eastAsia="楷体_GB2312"/>
          <w:u w:val="single"/>
        </w:rPr>
      </w:pPr>
      <w:r>
        <w:rPr>
          <w:rFonts w:hint="eastAsia" w:ascii="楷体_GB2312" w:hAnsi="宋体" w:eastAsia="楷体_GB2312"/>
        </w:rPr>
        <w:t>开户银行：</w:t>
      </w:r>
      <w:r>
        <w:rPr>
          <w:rFonts w:hint="eastAsia" w:ascii="楷体_GB2312" w:hAnsi="宋体" w:eastAsia="楷体_GB2312"/>
          <w:u w:val="single"/>
        </w:rPr>
        <w:t>中国工商银行股份有限公司成都东大支行营业室</w:t>
      </w:r>
    </w:p>
    <w:p>
      <w:pPr>
        <w:snapToGrid w:val="0"/>
        <w:spacing w:line="360" w:lineRule="auto"/>
        <w:rPr>
          <w:rFonts w:hint="eastAsia" w:ascii="楷体_GB2312" w:hAnsi="宋体" w:eastAsia="楷体_GB2312"/>
        </w:rPr>
      </w:pPr>
      <w:r>
        <w:rPr>
          <w:rFonts w:hint="eastAsia" w:ascii="楷体_GB2312" w:hAnsi="宋体" w:eastAsia="楷体_GB2312"/>
        </w:rPr>
        <w:t>开票地址：</w:t>
      </w:r>
      <w:r>
        <w:rPr>
          <w:rFonts w:hint="eastAsia" w:ascii="楷体_GB2312" w:hAnsi="宋体" w:eastAsia="楷体_GB2312"/>
          <w:u w:val="single"/>
        </w:rPr>
        <w:t>成都市武侯区老马路7号</w:t>
      </w:r>
    </w:p>
    <w:p>
      <w:pPr>
        <w:snapToGrid w:val="0"/>
        <w:spacing w:line="360" w:lineRule="auto"/>
        <w:rPr>
          <w:rFonts w:hint="eastAsia" w:ascii="楷体_GB2312" w:hAnsi="宋体" w:eastAsia="楷体_GB2312"/>
        </w:rPr>
      </w:pPr>
      <w:r>
        <w:rPr>
          <w:rFonts w:hint="eastAsia" w:ascii="楷体_GB2312" w:hAnsi="宋体" w:eastAsia="楷体_GB2312"/>
        </w:rPr>
        <w:t>开票电话：</w:t>
      </w:r>
      <w:r>
        <w:rPr>
          <w:rFonts w:hint="eastAsia" w:ascii="楷体_GB2312" w:hAnsi="宋体" w:eastAsia="楷体_GB2312"/>
          <w:u w:val="single"/>
        </w:rPr>
        <w:t>028-85445626</w:t>
      </w:r>
    </w:p>
    <w:p>
      <w:pPr>
        <w:snapToGrid w:val="0"/>
        <w:spacing w:line="360" w:lineRule="auto"/>
        <w:rPr>
          <w:rFonts w:hint="eastAsia" w:ascii="楷体_GB2312" w:hAnsi="宋体" w:eastAsia="楷体_GB2312"/>
        </w:rPr>
      </w:pPr>
      <w:r>
        <w:rPr>
          <w:rFonts w:hint="eastAsia" w:ascii="楷体_GB2312" w:hAnsi="宋体" w:eastAsia="楷体_GB2312"/>
          <w:lang w:val="en-US" w:eastAsia="zh-CN"/>
        </w:rPr>
        <w:t>4.2</w:t>
      </w:r>
      <w:r>
        <w:rPr>
          <w:rFonts w:hint="eastAsia" w:ascii="楷体_GB2312" w:hAnsi="宋体" w:eastAsia="楷体_GB2312"/>
        </w:rPr>
        <w:t>乙方同时向甲方公司及其分支机构提供产品及服务的，双方应在合同中约定甲方的分支机构和对应的价款。乙方应分别对清单中的费用承担方开具相应金额的增值税专用发票；</w:t>
      </w:r>
    </w:p>
    <w:p>
      <w:pPr>
        <w:snapToGrid w:val="0"/>
        <w:spacing w:line="360" w:lineRule="auto"/>
        <w:rPr>
          <w:rFonts w:hint="eastAsia" w:ascii="楷体_GB2312" w:hAnsi="宋体" w:eastAsia="楷体_GB2312"/>
        </w:rPr>
      </w:pPr>
      <w:r>
        <w:rPr>
          <w:rFonts w:hint="eastAsia" w:ascii="楷体_GB2312" w:hAnsi="宋体" w:eastAsia="楷体_GB2312"/>
          <w:lang w:val="en-US" w:eastAsia="zh-CN"/>
        </w:rPr>
        <w:t>4.3</w:t>
      </w:r>
      <w:r>
        <w:rPr>
          <w:rFonts w:hint="eastAsia" w:ascii="楷体_GB2312" w:hAnsi="宋体" w:eastAsia="楷体_GB2312"/>
        </w:rPr>
        <w:t xml:space="preserve">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不得低于（即必须大于或等于）甲方已经支付的价税合计款项； </w:t>
      </w:r>
    </w:p>
    <w:p>
      <w:pPr>
        <w:snapToGrid w:val="0"/>
        <w:spacing w:line="360" w:lineRule="auto"/>
        <w:rPr>
          <w:rFonts w:hint="eastAsia" w:ascii="楷体_GB2312" w:hAnsi="宋体" w:eastAsia="楷体_GB2312"/>
        </w:rPr>
      </w:pPr>
      <w:r>
        <w:rPr>
          <w:rFonts w:hint="eastAsia" w:ascii="楷体_GB2312" w:hAnsi="宋体" w:eastAsia="楷体_GB2312"/>
          <w:lang w:val="en-US" w:eastAsia="zh-CN"/>
        </w:rPr>
        <w:t>4.4</w:t>
      </w:r>
      <w:r>
        <w:rPr>
          <w:rFonts w:hint="eastAsia" w:ascii="楷体_GB2312" w:hAnsi="宋体" w:eastAsia="楷体_GB2312"/>
        </w:rPr>
        <w:t>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snapToGrid w:val="0"/>
        <w:spacing w:line="360" w:lineRule="auto"/>
        <w:rPr>
          <w:rFonts w:hint="eastAsia" w:ascii="楷体_GB2312" w:hAnsi="宋体" w:eastAsia="楷体_GB2312"/>
        </w:rPr>
      </w:pPr>
      <w:r>
        <w:rPr>
          <w:rFonts w:hint="eastAsia" w:ascii="楷体_GB2312" w:hAnsi="宋体" w:eastAsia="楷体_GB2312"/>
          <w:lang w:val="en-US" w:eastAsia="zh-CN"/>
        </w:rPr>
        <w:t>4.5</w:t>
      </w:r>
      <w:r>
        <w:rPr>
          <w:rFonts w:hint="eastAsia" w:ascii="楷体_GB2312" w:hAnsi="宋体" w:eastAsia="楷体_GB2312"/>
        </w:rPr>
        <w:t>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snapToGrid w:val="0"/>
        <w:spacing w:line="360" w:lineRule="auto"/>
        <w:rPr>
          <w:rFonts w:hint="eastAsia" w:ascii="楷体_GB2312" w:hAnsi="宋体" w:eastAsia="楷体_GB2312"/>
        </w:rPr>
      </w:pPr>
      <w:r>
        <w:rPr>
          <w:rFonts w:hint="eastAsia" w:ascii="楷体_GB2312" w:hAnsi="宋体" w:eastAsia="楷体_GB2312"/>
          <w:lang w:val="en-US" w:eastAsia="zh-CN"/>
        </w:rPr>
        <w:t>4.6</w:t>
      </w:r>
      <w:r>
        <w:rPr>
          <w:rFonts w:hint="eastAsia" w:ascii="楷体_GB2312" w:hAnsi="宋体" w:eastAsia="楷体_GB2312"/>
        </w:rPr>
        <w:t>为保证取得的发票可以及时并成功获得抵扣，乙方开具的增值税专用发票送达并经甲方签收后，若发生丢失，乙方应积极协助甲方，按照相关税收法规和文件的规定提供相应资料，并确保甲方顺利获得抵扣；</w:t>
      </w:r>
    </w:p>
    <w:p>
      <w:pPr>
        <w:snapToGrid w:val="0"/>
        <w:spacing w:line="360" w:lineRule="auto"/>
        <w:rPr>
          <w:rFonts w:hint="eastAsia" w:ascii="楷体_GB2312" w:hAnsi="宋体" w:eastAsia="楷体_GB2312"/>
          <w:lang w:val="en-US" w:eastAsia="zh-CN"/>
        </w:rPr>
      </w:pPr>
      <w:r>
        <w:rPr>
          <w:rFonts w:hint="eastAsia" w:ascii="楷体_GB2312" w:hAnsi="宋体" w:eastAsia="楷体_GB2312"/>
          <w:lang w:val="en-US" w:eastAsia="zh-CN"/>
        </w:rPr>
        <w:t>4.7</w:t>
      </w:r>
      <w:r>
        <w:rPr>
          <w:rFonts w:hint="eastAsia" w:ascii="楷体_GB2312" w:hAnsi="宋体" w:eastAsia="楷体_GB2312"/>
        </w:rPr>
        <w:t>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w:t>
      </w:r>
      <w:r>
        <w:rPr>
          <w:rFonts w:hint="eastAsia" w:ascii="楷体_GB2312" w:hAnsi="宋体" w:eastAsia="楷体_GB2312"/>
          <w:lang w:val="en-US" w:eastAsia="zh-CN"/>
        </w:rPr>
        <w:t>提供。</w:t>
      </w:r>
    </w:p>
    <w:p>
      <w:pPr>
        <w:snapToGrid w:val="0"/>
        <w:spacing w:line="360" w:lineRule="auto"/>
        <w:rPr>
          <w:rFonts w:hint="eastAsia" w:ascii="楷体" w:hAnsi="楷体" w:eastAsia="楷体"/>
          <w:b/>
          <w:color w:val="000000"/>
          <w:szCs w:val="24"/>
        </w:rPr>
      </w:pPr>
      <w:r>
        <w:rPr>
          <w:rFonts w:hint="eastAsia" w:ascii="楷体" w:hAnsi="楷体" w:eastAsia="楷体"/>
          <w:b/>
          <w:color w:val="000000"/>
          <w:szCs w:val="24"/>
        </w:rPr>
        <w:br w:type="page"/>
      </w:r>
    </w:p>
    <w:p>
      <w:pPr>
        <w:snapToGrid w:val="0"/>
        <w:spacing w:line="360" w:lineRule="auto"/>
        <w:rPr>
          <w:rFonts w:hint="eastAsia" w:ascii="楷体" w:hAnsi="楷体" w:eastAsia="楷体"/>
          <w:b/>
          <w:color w:val="000000"/>
          <w:szCs w:val="24"/>
        </w:rPr>
      </w:pPr>
      <w:r>
        <w:rPr>
          <w:rFonts w:hint="eastAsia" w:ascii="楷体" w:hAnsi="楷体" w:eastAsia="楷体"/>
          <w:b/>
          <w:color w:val="000000"/>
          <w:szCs w:val="24"/>
        </w:rPr>
        <w:t>附件</w:t>
      </w:r>
      <w:r>
        <w:rPr>
          <w:rFonts w:hint="eastAsia" w:ascii="楷体" w:hAnsi="楷体" w:eastAsia="楷体"/>
          <w:b/>
          <w:color w:val="000000"/>
          <w:szCs w:val="24"/>
          <w:lang w:val="en-US" w:eastAsia="zh-CN"/>
        </w:rPr>
        <w:t>三：</w:t>
      </w:r>
    </w:p>
    <w:p>
      <w:pPr>
        <w:snapToGrid w:val="0"/>
        <w:spacing w:line="360" w:lineRule="auto"/>
        <w:jc w:val="center"/>
        <w:rPr>
          <w:rFonts w:hint="eastAsia" w:ascii="楷体" w:hAnsi="楷体" w:eastAsia="楷体"/>
          <w:b/>
          <w:color w:val="000000"/>
          <w:szCs w:val="24"/>
        </w:rPr>
      </w:pPr>
      <w:r>
        <w:rPr>
          <w:rFonts w:hint="eastAsia" w:ascii="楷体" w:hAnsi="楷体" w:eastAsia="楷体"/>
          <w:b/>
          <w:color w:val="000000"/>
          <w:szCs w:val="24"/>
        </w:rPr>
        <w:t>违约条款</w:t>
      </w:r>
    </w:p>
    <w:p>
      <w:pPr>
        <w:snapToGrid w:val="0"/>
        <w:spacing w:line="360" w:lineRule="auto"/>
        <w:ind w:firstLine="480" w:firstLineChars="200"/>
        <w:rPr>
          <w:rFonts w:hint="eastAsia" w:ascii="楷体_GB2312" w:hAnsi="宋体" w:eastAsia="楷体_GB2312"/>
          <w:color w:val="000000"/>
        </w:rPr>
      </w:pPr>
    </w:p>
    <w:p>
      <w:pPr>
        <w:snapToGrid w:val="0"/>
        <w:spacing w:line="360" w:lineRule="auto"/>
        <w:ind w:firstLine="480" w:firstLineChars="200"/>
        <w:rPr>
          <w:rFonts w:hint="eastAsia" w:ascii="楷体_GB2312" w:hAnsi="宋体" w:eastAsia="楷体_GB2312"/>
          <w:color w:val="000000"/>
        </w:rPr>
      </w:pPr>
      <w:r>
        <w:rPr>
          <w:rFonts w:hint="eastAsia" w:ascii="楷体_GB2312" w:hAnsi="宋体" w:eastAsia="楷体_GB2312"/>
          <w:color w:val="000000"/>
        </w:rPr>
        <w:t>详见正文部分。具体</w:t>
      </w:r>
      <w:r>
        <w:rPr>
          <w:rFonts w:hint="eastAsia" w:ascii="楷体_GB2312" w:hAnsi="宋体" w:eastAsia="楷体_GB2312"/>
          <w:color w:val="000000"/>
          <w:lang w:val="en-US" w:eastAsia="zh-CN"/>
        </w:rPr>
        <w:t>以</w:t>
      </w:r>
      <w:r>
        <w:rPr>
          <w:rFonts w:hint="eastAsia" w:ascii="楷体_GB2312" w:hAnsi="宋体" w:eastAsia="楷体_GB2312"/>
          <w:color w:val="000000"/>
        </w:rPr>
        <w:t>正文通用部分为准。</w:t>
      </w:r>
    </w:p>
    <w:p>
      <w:pPr>
        <w:snapToGrid w:val="0"/>
        <w:spacing w:line="360" w:lineRule="auto"/>
        <w:rPr>
          <w:rFonts w:hint="eastAsia" w:ascii="楷体" w:hAnsi="楷体" w:eastAsia="楷体"/>
          <w:b/>
          <w:szCs w:val="24"/>
        </w:rPr>
      </w:pPr>
      <w:r>
        <w:rPr>
          <w:rFonts w:hint="eastAsia" w:ascii="楷体" w:hAnsi="楷体" w:eastAsia="楷体"/>
          <w:b/>
          <w:szCs w:val="24"/>
        </w:rPr>
        <w:br w:type="page"/>
      </w:r>
    </w:p>
    <w:p>
      <w:pPr>
        <w:snapToGrid w:val="0"/>
        <w:spacing w:line="360" w:lineRule="auto"/>
        <w:rPr>
          <w:rFonts w:ascii="楷体" w:hAnsi="楷体" w:eastAsia="楷体"/>
          <w:b/>
          <w:szCs w:val="24"/>
        </w:rPr>
      </w:pPr>
      <w:r>
        <w:rPr>
          <w:rFonts w:hint="eastAsia" w:ascii="楷体" w:hAnsi="楷体" w:eastAsia="楷体"/>
          <w:b/>
          <w:szCs w:val="24"/>
        </w:rPr>
        <w:t>附件</w:t>
      </w:r>
      <w:r>
        <w:rPr>
          <w:rFonts w:hint="eastAsia" w:ascii="楷体" w:hAnsi="楷体" w:eastAsia="楷体"/>
          <w:b/>
          <w:szCs w:val="24"/>
          <w:lang w:val="en-US" w:eastAsia="zh-CN"/>
        </w:rPr>
        <w:t>四</w:t>
      </w:r>
      <w:r>
        <w:rPr>
          <w:rFonts w:hint="eastAsia" w:ascii="楷体" w:hAnsi="楷体" w:eastAsia="楷体"/>
          <w:b/>
          <w:szCs w:val="24"/>
        </w:rPr>
        <w:t>：</w:t>
      </w:r>
    </w:p>
    <w:p>
      <w:pPr>
        <w:snapToGrid w:val="0"/>
        <w:spacing w:line="360" w:lineRule="auto"/>
        <w:jc w:val="center"/>
        <w:rPr>
          <w:rFonts w:hint="eastAsia" w:ascii="楷体" w:hAnsi="楷体" w:eastAsia="楷体"/>
          <w:b/>
          <w:color w:val="000000"/>
          <w:szCs w:val="24"/>
          <w:lang w:val="en-US"/>
        </w:rPr>
      </w:pPr>
      <w:r>
        <w:rPr>
          <w:rFonts w:hint="eastAsia" w:ascii="楷体" w:hAnsi="楷体" w:eastAsia="楷体"/>
          <w:b/>
          <w:color w:val="000000"/>
          <w:szCs w:val="24"/>
          <w:lang w:val="en-US" w:eastAsia="zh-CN"/>
        </w:rPr>
        <w:t>廉洁诚信协议</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第一条  总则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1.3本协议所称相关主体，对任何一方而言，包括但不限于以下单位或者个人：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（1）一方或其关联方之工作人员；</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（2）受一方委托办理相关事务的单位或者个人；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（3）利用职权或者影响力影响交易的单位或者个人；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（4）前述相关人员的亲属；</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（5）与前述相关主体存在利害关系的其他单位或者人员。</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乙方相关主体实施违反本协议约定之行为的，均应视为乙方实施行为。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第二条  商业贿赂</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2.1本协议所称商业贿赂，是指乙方或乙方相关主体为获取或意图获取交易机会或者竞争优势，采用财物或者其他形式贿赂甲方或甲方相关主体的行为。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2.3本条第1款所称其他形式，包括但不限于：</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（1）以任何方式实施商业贿赂或违规提供回扣、折扣、宴请与游玩活动或其他不正当利益；</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（2）为甲方或甲方相关主体安排有可能影响公平、公正交易的宴请、健身、娱乐等活动；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（3）为甲方或甲方相关主体投资入股、个人借款或买卖股票、债券等提供方便；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（4）为甲方或甲方相关主体购买或装修住房、婚丧嫁娶、配偶子女上学或工作安排以及出国出境、旅游等提供方便；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（5）违反规定为甲方或甲方相关主体在乙方相关企业工作、挂名兼职、合伙经营、介绍承揽业务等提供方便；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（6）向甲方或甲方相关主体提供借款、融资、担保等；</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（7）给予或承诺给予其不正当利益的其他行为；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（8）其他违反国家法律法规或商业道德准则的影响公正交易的行为。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第三条  回扣</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3.1本协议所称回扣，是指乙方促成合作时在账外暗中以现金、实物或者其他方式退给甲方或甲方相关主体一定比例的商品或服务价款。</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3.3乙方在账外暗中给予甲方相关主体回扣的，视为实施商业贿赂行为。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第四条  折扣</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4.2乙方提供的商品或服务，可以以明示方式给予甲方折扣。乙方给予甲方折扣的，必须在采购协议中予以明确并如实入账。</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4.3本条第1款所称如实入账，是指根据采购或合作协议约定的金额和支付方式，在依法设立的反映甲方生产经营活动收支的财务账上按照财务会计制度规定明确如实记载。</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4.4乙方违反本条约定的，视为实施商业贿赂行为。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第五条  宴请与游玩活动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5.2乙方不得为甲方相关主体提供各种形式的旅游、健身、KTV、酒吧、按摩、赌博、色情等娱乐休闲活动。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5.3乙方违反本条约定的，视为实施商业贿赂行为。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第六条  禁止行为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双方一致同意双方或双方相关主体的如下行为是应当禁止的营私舞弊或腐败行为：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6.1甲方及甲方相关主体向乙方索要或收受财物或其他形式的财产性利益、非财产性利益。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6.2乙方及乙方相关主体向甲方或甲方相关主体提供财物或其他形式的财产性利益、非财产性利益，包括但不限于：</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（1）报销甲方相关主体的私人费用；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（2）提供超过宴请标准的宴请或娱乐活动；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（3）介绍甲方相关主体亲友到乙方处工作；</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（4）提出、邀请或事实上接受甲方相关主体在乙方参股或参与乙方经营活动；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（5）组织或向甲方相关主体提供旅游等代偿活动利益；</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（6）向甲方相关主体提供借款、融资、担保等；</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（7）给予或承诺给予甲方相关主体不正当利益的其他行为；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（8）其他违反本协议约定、国家法律法规或商业道德准则的影响公正交易的行为。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第七条  乙方承诺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乙方承诺在双方的商务接洽、合同关系、交易过程中遵守如下要求：</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7.1 避免利害关系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7.2 恪守廉洁自律原则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7.3 恪守诚实信用原则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7.3.2严格遵守向甲方做出的承诺、双方签署的合同、协议和备忘录等，确保产品质量和服务质量，不隐瞒任何可能对甲方利益造成影响的信息，积极配合甲方的审计。</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7.3.3严格遵守甲方的供应商行为准则、合作协议、保密承诺书等政策文件中的相关规定。</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7.3.4严格遵守甲方的品牌管理的相关规定，未经甲方授权不擅自使用甲方字样、授权合作伙伴等类似容易对外产生混淆的字样。</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7.3.5严格遵守国家相关法律法规及甲方的管理规定，不参与任何违法活动。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7.3.6承诺实事求是，不对内部或社会传递任何虚假信息，严格遵守保密协议，不透露任何甲方的商业机密。</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7.3.7未经甲方同意，不向任何新闻媒体、第三方述及有关甲方工作人员恪守商业道德方面的评价、信息。</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7.4 确保信息公开透明</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7.4.1主动向甲方披露与采购项目相关的信息，包括乙方真实情况、产品价格、技术参数、服务团队信息、履约情况等。</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7.4.2不利用非法手段向甲方及甲方相关主体打探有关涉及甲方及甲方相关主体的商业秘密、人员信息、采购信息等。</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7.5 积极配合监督举报</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7.5.2如乙方有知悉或怀疑甲方相关主体有违反上述约定的，应及时采取措施并有权向甲方纪检部门举报。甲方会对所有信息提供者及所提供的全部资料严格保密。</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7.6 加强内部廉洁管理</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7.6.1加强内部管理：加强对员工的廉洁教育和培训，提高员工的道德素质和法律意识，建立健全内部管理制度，确保员工行为的合规性和廉洁性。</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7.6.2设立监督机制：通过专门的监督机构或人员，对乙方的业务活动进行实时监督，确保员工行为的合规性。</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7.6.3建立举报制度：鼓励员工积极举报违规行为，对举报人予以保护并给予奖励。</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第八条  违约责任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8.1若甲方人员违反本协议第六条规定的，按照甲方内部管理权限，依据有关法律和规定给予处分或组织处理，涉嫌犯罪的，移交司法机关追究刑事责任。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8.2如乙方违反本协议任何约定或承诺，甲方有权依据甲方采购管理、供应商管理和采购文件相关要求，对乙方进行严肃处理，相关处罚结果记入供应商诚信档案。</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8.3 如乙方违反本协议任何约定或承诺，</w:t>
      </w:r>
      <w:r>
        <w:rPr>
          <w:rFonts w:hint="eastAsia" w:ascii="楷体" w:hAnsi="楷体" w:eastAsia="楷体" w:cs="楷体"/>
          <w:b/>
          <w:bCs/>
          <w:kern w:val="2"/>
          <w:sz w:val="24"/>
          <w:szCs w:val="24"/>
          <w:lang w:val="en-US" w:eastAsia="zh-CN" w:bidi="ar"/>
        </w:rPr>
        <w:t>甲方及甲方子公司有权根据情节严重程度选择单方全面终止与乙方的合同及合作，且无需承担任何责任。乙方给甲方造成损失的，甲方有权要求乙方承担全部赔偿责任。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8.4</w:t>
      </w:r>
      <w:r>
        <w:rPr>
          <w:rFonts w:hint="eastAsia" w:ascii="楷体" w:hAnsi="楷体" w:eastAsia="楷体" w:cs="楷体"/>
          <w:b/>
          <w:bCs/>
          <w:kern w:val="2"/>
          <w:sz w:val="24"/>
          <w:szCs w:val="24"/>
          <w:lang w:val="en-US" w:eastAsia="zh-CN" w:bidi="ar"/>
        </w:rPr>
        <w:t>甲方及甲方子公司按照前述条款要求乙方承担赔偿责任的，</w:t>
      </w:r>
      <w:r>
        <w:rPr>
          <w:rFonts w:hint="eastAsia" w:ascii="楷体" w:hAnsi="楷体" w:eastAsia="楷体" w:cs="楷体"/>
          <w:kern w:val="2"/>
          <w:sz w:val="24"/>
          <w:szCs w:val="24"/>
          <w:lang w:val="en-US" w:eastAsia="zh-CN" w:bidi="ar"/>
        </w:rPr>
        <w:t>乙方应于甲方发出赔偿通知之日起【10】个工作日内支付，如未及时支付，甲方及甲方子公司有权从主合同款项中直接扣除。</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8.5乙方知悉并同意，对于上述情形的处理甲方有完全的判断权和自主权。</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第九条  附则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9.1本协议的标题及各条款的标题仅为检索方便而设置，具体内容应当以各条款的具体规定为准，而不应参考该标题进行解释。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pPr>
      <w:r>
        <w:rPr>
          <w:rFonts w:hint="eastAsia" w:ascii="楷体" w:hAnsi="楷体" w:eastAsia="楷体" w:cs="楷体"/>
          <w:kern w:val="2"/>
          <w:sz w:val="24"/>
          <w:szCs w:val="24"/>
          <w:lang w:val="en-US" w:eastAsia="zh-CN" w:bidi="ar"/>
        </w:rPr>
        <w:t>9.5本协议长期有效。</w:t>
      </w:r>
    </w:p>
    <w:p>
      <w:pPr>
        <w:keepNext w:val="0"/>
        <w:keepLines w:val="0"/>
        <w:widowControl w:val="0"/>
        <w:suppressLineNumbers w:val="0"/>
        <w:spacing w:before="312" w:beforeLines="100" w:beforeAutospacing="0" w:after="312" w:afterLines="100" w:afterAutospacing="0" w:line="300" w:lineRule="auto"/>
        <w:ind w:right="0"/>
        <w:jc w:val="both"/>
      </w:pP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pPr>
        <w:pStyle w:val="3"/>
        <w:keepNext/>
        <w:keepLines/>
        <w:pageBreakBefore w:val="0"/>
        <w:widowControl/>
        <w:kinsoku/>
        <w:wordWrap/>
        <w:overflowPunct/>
        <w:topLinePunct w:val="0"/>
        <w:autoSpaceDE/>
        <w:autoSpaceDN/>
        <w:bidi w:val="0"/>
        <w:adjustRightInd/>
        <w:snapToGrid/>
        <w:spacing w:before="0" w:after="0"/>
        <w:ind w:left="0" w:firstLine="0"/>
        <w:textAlignment w:val="auto"/>
        <w:rPr>
          <w:rFonts w:hint="eastAsia" w:ascii="仿宋" w:hAnsi="仿宋" w:eastAsia="仿宋" w:cs="仿宋"/>
          <w:color w:val="auto"/>
          <w:sz w:val="28"/>
          <w:szCs w:val="28"/>
          <w:highlight w:val="none"/>
        </w:rPr>
      </w:pPr>
      <w:bookmarkStart w:id="129" w:name="_Toc23193"/>
      <w:r>
        <w:rPr>
          <w:rFonts w:hint="eastAsia" w:ascii="仿宋" w:hAnsi="仿宋" w:eastAsia="仿宋" w:cs="仿宋"/>
          <w:color w:val="auto"/>
          <w:sz w:val="28"/>
          <w:szCs w:val="28"/>
          <w:highlight w:val="none"/>
        </w:rPr>
        <w:t>第五章 采购</w:t>
      </w:r>
      <w:bookmarkEnd w:id="127"/>
      <w:r>
        <w:rPr>
          <w:rFonts w:hint="eastAsia" w:ascii="仿宋" w:hAnsi="仿宋" w:eastAsia="仿宋" w:cs="仿宋"/>
          <w:color w:val="auto"/>
          <w:sz w:val="28"/>
          <w:szCs w:val="28"/>
          <w:highlight w:val="none"/>
        </w:rPr>
        <w:t>需求</w:t>
      </w:r>
      <w:bookmarkEnd w:id="129"/>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一、项目名称</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人保财险四川省成都市都江堰支公司“全民保障，人保同行”小区宣传服务采购项目</w:t>
      </w:r>
      <w:r>
        <w:rPr>
          <w:rFonts w:hint="eastAsia" w:ascii="仿宋" w:hAnsi="仿宋" w:eastAsia="仿宋" w:cs="仿宋"/>
          <w:b w:val="0"/>
          <w:bCs w:val="0"/>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二、项目概况</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本项目拟在都江堰市公园大道1号、观凤新区东苑、观凤新区西苑、都江之春、都江堰马尔康电力干休所、北街坊合计6个小区同步开展为期60天的车险宣传活动。通过下沉小区常态化开展续保提醒，直面终端车主开展维护工作，有效降低存量车险客户流失率，稳固支公司车险基础保费规模，减少客户流失带来的缺口。开辟小区直客全新获客渠道，针对小区新车上牌、车辆过户、同业投保客户进行精准开发，摆脱对传统合作渠道的单一依赖。构建形成“传统合作渠道+小区自有直客渠道”多元化业务布局，使渠道结构更加均衡合理，有效抵御同业竞争带来的经营波动。自主沉淀小区私域客户资源，稳定客户资源，持续赋能后续业务拓展，大幅提升支公司在都江堰本地车险市场占有率。现采购一家具备相应能力的供应商进行该活动服务。</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★三、服务内容及要求</w:t>
      </w:r>
    </w:p>
    <w:p>
      <w:pPr>
        <w:keepNext w:val="0"/>
        <w:keepLines w:val="0"/>
        <w:pageBreakBefore w:val="0"/>
        <w:widowControl w:val="0"/>
        <w:numPr>
          <w:ilvl w:val="0"/>
          <w:numId w:val="8"/>
        </w:numPr>
        <w:kinsoku/>
        <w:wordWrap/>
        <w:overflowPunct/>
        <w:topLinePunct w:val="0"/>
        <w:autoSpaceDE/>
        <w:autoSpaceDN/>
        <w:bidi w:val="0"/>
        <w:adjustRightInd w:val="0"/>
        <w:snapToGrid w:val="0"/>
        <w:spacing w:line="360" w:lineRule="auto"/>
        <w:ind w:left="0" w:leftChars="0" w:right="0" w:rightChars="0" w:firstLine="482" w:firstLineChars="200"/>
        <w:jc w:val="left"/>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服务内容</w:t>
      </w:r>
    </w:p>
    <w:p>
      <w:pPr>
        <w:pStyle w:val="2"/>
        <w:numPr>
          <w:ilvl w:val="0"/>
          <w:numId w:val="9"/>
        </w:numPr>
        <w:ind w:firstLine="480" w:firstLineChars="20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val="en-US" w:eastAsia="zh-CN"/>
        </w:rPr>
        <w:t>服务区域：本次采购服务区域为</w:t>
      </w:r>
      <w:r>
        <w:rPr>
          <w:rFonts w:hint="eastAsia" w:ascii="仿宋" w:hAnsi="仿宋" w:eastAsia="仿宋" w:cs="仿宋"/>
          <w:color w:val="auto"/>
          <w:sz w:val="24"/>
          <w:szCs w:val="24"/>
          <w:highlight w:val="none"/>
          <w:lang w:val="en-US" w:eastAsia="zh-CN" w:bidi="ar-SA"/>
        </w:rPr>
        <w:t>都江堰市公园大道1号、观凤新区东苑、观凤新区西苑、都江之春、都江堰马尔康电力干休所、北街坊合计6个小区。</w:t>
      </w:r>
    </w:p>
    <w:p>
      <w:pPr>
        <w:pStyle w:val="2"/>
        <w:numPr>
          <w:ilvl w:val="0"/>
          <w:numId w:val="9"/>
        </w:numPr>
        <w:ind w:firstLine="480" w:firstLineChars="20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服务期限  </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default" w:ascii="仿宋" w:hAnsi="仿宋" w:eastAsia="仿宋" w:cs="仿宋"/>
          <w:b w:val="0"/>
          <w:bCs w:val="0"/>
          <w:color w:val="auto"/>
          <w:sz w:val="24"/>
          <w:szCs w:val="24"/>
          <w:highlight w:val="none"/>
        </w:rPr>
      </w:pPr>
      <w:r>
        <w:rPr>
          <w:rFonts w:hint="default" w:ascii="仿宋" w:hAnsi="仿宋" w:eastAsia="仿宋" w:cs="仿宋"/>
          <w:b w:val="0"/>
          <w:bCs w:val="0"/>
          <w:color w:val="auto"/>
          <w:sz w:val="24"/>
          <w:szCs w:val="24"/>
          <w:highlight w:val="none"/>
        </w:rPr>
        <w:t>本次采购服务具体起止日期以合同约定为准，总服务期限为</w:t>
      </w:r>
      <w:r>
        <w:rPr>
          <w:rFonts w:hint="eastAsia" w:ascii="仿宋" w:hAnsi="仿宋" w:eastAsia="仿宋" w:cs="仿宋"/>
          <w:b w:val="0"/>
          <w:bCs w:val="0"/>
          <w:color w:val="auto"/>
          <w:sz w:val="24"/>
          <w:szCs w:val="24"/>
          <w:highlight w:val="none"/>
          <w:lang w:val="en-US" w:eastAsia="zh-CN"/>
        </w:rPr>
        <w:t>60日历天</w:t>
      </w:r>
      <w:r>
        <w:rPr>
          <w:rFonts w:hint="default" w:ascii="仿宋" w:hAnsi="仿宋" w:eastAsia="仿宋" w:cs="仿宋"/>
          <w:b w:val="0"/>
          <w:bCs w:val="0"/>
          <w:color w:val="auto"/>
          <w:sz w:val="24"/>
          <w:szCs w:val="24"/>
          <w:highlight w:val="none"/>
        </w:rPr>
        <w:t>。如遇极端天气等不可抗力导致当日无法开展宣传的，供应商需提前1个工作日书面报备采购人，经同意后顺延服务时间。</w:t>
      </w:r>
    </w:p>
    <w:p>
      <w:pPr>
        <w:pStyle w:val="2"/>
        <w:numPr>
          <w:ilvl w:val="0"/>
          <w:numId w:val="9"/>
        </w:numPr>
        <w:ind w:firstLine="480" w:firstLineChars="20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服务内容</w:t>
      </w:r>
    </w:p>
    <w:p>
      <w:pPr>
        <w:pStyle w:val="2"/>
        <w:numPr>
          <w:ilvl w:val="-1"/>
          <w:numId w:val="0"/>
        </w:numPr>
        <w:ind w:firstLine="480" w:firstLineChars="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3.1 阵地化宣传执行</w:t>
      </w:r>
    </w:p>
    <w:p>
      <w:pPr>
        <w:widowControl w:val="0"/>
        <w:adjustRightInd w:val="0"/>
        <w:snapToGrid w:val="0"/>
        <w:spacing w:line="360" w:lineRule="auto"/>
        <w:ind w:firstLine="480" w:firstLineChars="200"/>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w:t>
      </w:r>
      <w:r>
        <w:rPr>
          <w:rFonts w:hint="default" w:ascii="仿宋" w:hAnsi="仿宋" w:eastAsia="仿宋" w:cs="仿宋"/>
          <w:b w:val="0"/>
          <w:bCs w:val="0"/>
          <w:color w:val="auto"/>
          <w:sz w:val="24"/>
          <w:szCs w:val="24"/>
          <w:highlight w:val="none"/>
          <w:lang w:val="en-US" w:eastAsia="zh-CN"/>
        </w:rPr>
        <w:t>每日驻点时长不得少于8小时，</w:t>
      </w:r>
      <w:r>
        <w:rPr>
          <w:rFonts w:hint="default" w:ascii="仿宋" w:hAnsi="仿宋" w:eastAsia="仿宋" w:cs="仿宋"/>
          <w:color w:val="auto"/>
          <w:highlight w:val="none"/>
        </w:rPr>
        <w:t>具体时段可根据</w:t>
      </w:r>
      <w:r>
        <w:rPr>
          <w:rFonts w:hint="eastAsia" w:ascii="仿宋" w:hAnsi="仿宋" w:eastAsia="仿宋" w:cs="仿宋"/>
          <w:color w:val="auto"/>
          <w:highlight w:val="none"/>
          <w:lang w:val="en-US" w:eastAsia="zh-CN"/>
        </w:rPr>
        <w:t>小</w:t>
      </w:r>
      <w:r>
        <w:rPr>
          <w:rFonts w:hint="default" w:ascii="仿宋" w:hAnsi="仿宋" w:eastAsia="仿宋" w:cs="仿宋"/>
          <w:color w:val="auto"/>
          <w:highlight w:val="none"/>
        </w:rPr>
        <w:t>区居民作息灵活调整，如避开午休高温时段</w:t>
      </w:r>
      <w:r>
        <w:rPr>
          <w:rFonts w:hint="eastAsia" w:ascii="仿宋" w:hAnsi="仿宋" w:eastAsia="仿宋" w:cs="仿宋"/>
          <w:color w:val="auto"/>
          <w:highlight w:val="none"/>
          <w:lang w:eastAsia="zh-CN"/>
        </w:rPr>
        <w:t>。</w:t>
      </w:r>
      <w:r>
        <w:rPr>
          <w:rFonts w:hint="default" w:ascii="仿宋" w:hAnsi="仿宋" w:eastAsia="仿宋" w:cs="仿宋"/>
          <w:b w:val="0"/>
          <w:bCs w:val="0"/>
          <w:color w:val="auto"/>
          <w:sz w:val="24"/>
          <w:szCs w:val="24"/>
          <w:highlight w:val="none"/>
          <w:lang w:val="en-US" w:eastAsia="zh-CN"/>
        </w:rPr>
        <w:t>除固定站点外，宣传人员需每日在</w:t>
      </w:r>
      <w:r>
        <w:rPr>
          <w:rFonts w:hint="default" w:ascii="仿宋" w:hAnsi="仿宋" w:eastAsia="仿宋" w:cs="仿宋"/>
          <w:b w:val="0"/>
          <w:bCs w:val="0"/>
          <w:color w:val="auto"/>
          <w:sz w:val="24"/>
          <w:szCs w:val="24"/>
          <w:highlight w:val="none"/>
        </w:rPr>
        <w:t>各</w:t>
      </w:r>
      <w:r>
        <w:rPr>
          <w:rFonts w:hint="eastAsia" w:ascii="仿宋" w:hAnsi="仿宋" w:eastAsia="仿宋" w:cs="仿宋"/>
          <w:b w:val="0"/>
          <w:bCs w:val="0"/>
          <w:color w:val="auto"/>
          <w:sz w:val="24"/>
          <w:szCs w:val="24"/>
          <w:highlight w:val="none"/>
          <w:lang w:eastAsia="zh-CN"/>
        </w:rPr>
        <w:t>小区</w:t>
      </w:r>
      <w:r>
        <w:rPr>
          <w:rFonts w:hint="default" w:ascii="仿宋" w:hAnsi="仿宋" w:eastAsia="仿宋" w:cs="仿宋"/>
          <w:b w:val="0"/>
          <w:bCs w:val="0"/>
          <w:color w:val="auto"/>
          <w:sz w:val="24"/>
          <w:szCs w:val="24"/>
          <w:highlight w:val="none"/>
        </w:rPr>
        <w:t>及其周边2公里半径内</w:t>
      </w:r>
      <w:r>
        <w:rPr>
          <w:rFonts w:hint="default" w:ascii="仿宋" w:hAnsi="仿宋" w:eastAsia="仿宋" w:cs="仿宋"/>
          <w:b w:val="0"/>
          <w:bCs w:val="0"/>
          <w:color w:val="auto"/>
          <w:sz w:val="24"/>
          <w:szCs w:val="24"/>
          <w:highlight w:val="none"/>
          <w:lang w:val="en-US" w:eastAsia="zh-CN"/>
        </w:rPr>
        <w:t>进行流动宣传，</w:t>
      </w:r>
      <w:r>
        <w:rPr>
          <w:rFonts w:hint="eastAsia" w:ascii="仿宋" w:hAnsi="仿宋" w:eastAsia="仿宋" w:cs="仿宋"/>
          <w:b w:val="0"/>
          <w:bCs w:val="0"/>
          <w:color w:val="auto"/>
          <w:sz w:val="24"/>
          <w:szCs w:val="24"/>
          <w:highlight w:val="none"/>
          <w:lang w:val="en-US" w:eastAsia="zh-CN"/>
        </w:rPr>
        <w:t>延伸</w:t>
      </w:r>
      <w:r>
        <w:rPr>
          <w:rFonts w:hint="default" w:ascii="仿宋" w:hAnsi="仿宋" w:eastAsia="仿宋" w:cs="仿宋"/>
          <w:b w:val="0"/>
          <w:bCs w:val="0"/>
          <w:color w:val="auto"/>
          <w:sz w:val="24"/>
          <w:szCs w:val="24"/>
          <w:highlight w:val="none"/>
          <w:lang w:val="en-US" w:eastAsia="zh-CN"/>
        </w:rPr>
        <w:t>宣传触角</w:t>
      </w:r>
      <w:r>
        <w:rPr>
          <w:rFonts w:hint="eastAsia" w:ascii="仿宋" w:hAnsi="仿宋" w:eastAsia="仿宋" w:cs="仿宋"/>
          <w:b w:val="0"/>
          <w:bCs w:val="0"/>
          <w:color w:val="auto"/>
          <w:sz w:val="24"/>
          <w:szCs w:val="24"/>
          <w:highlight w:val="none"/>
          <w:lang w:val="en-US" w:eastAsia="zh-CN"/>
        </w:rPr>
        <w:t>。</w:t>
      </w:r>
    </w:p>
    <w:p>
      <w:pPr>
        <w:widowControl w:val="0"/>
        <w:adjustRightInd w:val="0"/>
        <w:snapToGrid w:val="0"/>
        <w:spacing w:line="360" w:lineRule="auto"/>
        <w:ind w:firstLine="480" w:firstLineChars="200"/>
        <w:outlineLvl w:val="9"/>
        <w:rPr>
          <w:rFonts w:hint="eastAsia" w:eastAsia="仿宋"/>
          <w:lang w:val="en-US" w:eastAsia="zh-CN"/>
        </w:rPr>
      </w:pP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color w:val="auto"/>
          <w:highlight w:val="none"/>
        </w:rPr>
        <w:t>每日开业前完成折叠展架、门型展架的规范摆放，确保画面朝外、无遮挡、无污损；</w:t>
      </w:r>
      <w:r>
        <w:rPr>
          <w:rFonts w:hint="eastAsia" w:ascii="仿宋" w:hAnsi="仿宋" w:eastAsia="仿宋" w:cs="仿宋"/>
          <w:color w:val="auto"/>
          <w:highlight w:val="none"/>
          <w:lang w:eastAsia="zh-CN"/>
        </w:rPr>
        <w:t>宣传结束</w:t>
      </w:r>
      <w:r>
        <w:rPr>
          <w:rFonts w:hint="eastAsia" w:ascii="仿宋" w:hAnsi="仿宋" w:eastAsia="仿宋" w:cs="仿宋"/>
          <w:color w:val="auto"/>
          <w:highlight w:val="none"/>
        </w:rPr>
        <w:t>后负责回收保管，防止遗失或人为破坏</w:t>
      </w:r>
      <w:r>
        <w:rPr>
          <w:rFonts w:hint="eastAsia" w:ascii="仿宋" w:hAnsi="仿宋" w:eastAsia="仿宋" w:cs="仿宋"/>
          <w:color w:val="auto"/>
          <w:highlight w:val="none"/>
          <w:lang w:val="en-US" w:eastAsia="zh-CN"/>
        </w:rPr>
        <w:t>.</w:t>
      </w:r>
    </w:p>
    <w:p>
      <w:pPr>
        <w:pStyle w:val="2"/>
        <w:numPr>
          <w:ilvl w:val="-1"/>
          <w:numId w:val="0"/>
        </w:numPr>
        <w:ind w:firstLine="480" w:firstLineChars="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3.2  标准化宣传</w:t>
      </w:r>
    </w:p>
    <w:p>
      <w:pPr>
        <w:widowControl w:val="0"/>
        <w:adjustRightInd w:val="0"/>
        <w:snapToGrid w:val="0"/>
        <w:spacing w:line="360" w:lineRule="auto"/>
        <w:ind w:firstLine="480" w:firstLineChars="200"/>
        <w:outlineLvl w:val="9"/>
        <w:rPr>
          <w:rFonts w:hint="default"/>
          <w:lang w:val="en-US" w:eastAsia="zh-CN"/>
        </w:rPr>
      </w:pPr>
      <w:r>
        <w:rPr>
          <w:rFonts w:hint="eastAsia" w:ascii="仿宋" w:hAnsi="仿宋" w:eastAsia="仿宋" w:cs="仿宋"/>
          <w:color w:val="auto"/>
          <w:highlight w:val="none"/>
        </w:rPr>
        <w:t>供应商须配备专职地推宣传团队</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宣传人员并非</w:t>
      </w:r>
      <w:r>
        <w:rPr>
          <w:rFonts w:hint="eastAsia" w:ascii="仿宋" w:hAnsi="仿宋" w:eastAsia="仿宋" w:cs="仿宋"/>
          <w:b w:val="0"/>
          <w:bCs w:val="0"/>
          <w:color w:val="auto"/>
          <w:sz w:val="24"/>
          <w:szCs w:val="24"/>
          <w:highlight w:val="none"/>
        </w:rPr>
        <w:t>单纯“发传单”，必须使用采购人审核通过的统一宣传话术，重点讲解人保在</w:t>
      </w:r>
      <w:r>
        <w:rPr>
          <w:rFonts w:hint="eastAsia" w:ascii="仿宋" w:hAnsi="仿宋" w:eastAsia="仿宋" w:cs="仿宋"/>
          <w:b w:val="0"/>
          <w:bCs w:val="0"/>
          <w:color w:val="auto"/>
          <w:sz w:val="24"/>
          <w:szCs w:val="24"/>
          <w:highlight w:val="none"/>
          <w:lang w:val="en-US" w:eastAsia="zh-CN"/>
        </w:rPr>
        <w:t>投保政策、</w:t>
      </w:r>
      <w:r>
        <w:rPr>
          <w:rFonts w:hint="eastAsia" w:ascii="仿宋" w:hAnsi="仿宋" w:eastAsia="仿宋" w:cs="仿宋"/>
          <w:b w:val="0"/>
          <w:bCs w:val="0"/>
          <w:color w:val="auto"/>
          <w:sz w:val="24"/>
          <w:szCs w:val="24"/>
          <w:highlight w:val="none"/>
        </w:rPr>
        <w:t>理赔速度等方面的差异化优势。</w:t>
      </w:r>
    </w:p>
    <w:p>
      <w:pPr>
        <w:pStyle w:val="2"/>
        <w:numPr>
          <w:ilvl w:val="-1"/>
          <w:numId w:val="0"/>
        </w:numPr>
        <w:ind w:firstLine="480" w:firstLineChars="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3.3  舆情监测与应急处理</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遇民众咨询或投诉，需耐心解释，化解矛盾。如遇重大客户投诉、媒体采访或突发公共事件，须在第一时间（30分钟内）上报采购人，不得擅自表态或处理。</w:t>
      </w:r>
    </w:p>
    <w:p>
      <w:pPr>
        <w:pStyle w:val="2"/>
        <w:numPr>
          <w:ilvl w:val="0"/>
          <w:numId w:val="0"/>
        </w:numPr>
        <w:ind w:firstLine="480"/>
        <w:rPr>
          <w:rFonts w:hint="eastAsia" w:ascii="仿宋" w:hAnsi="仿宋" w:eastAsia="仿宋" w:cs="仿宋"/>
          <w:color w:val="auto"/>
          <w:highlight w:val="none"/>
        </w:rPr>
      </w:pPr>
      <w:r>
        <w:rPr>
          <w:rFonts w:hint="eastAsia" w:ascii="仿宋" w:hAnsi="仿宋" w:eastAsia="仿宋" w:cs="仿宋"/>
          <w:color w:val="auto"/>
          <w:highlight w:val="none"/>
        </w:rPr>
        <w:t>3.</w:t>
      </w:r>
      <w:r>
        <w:rPr>
          <w:rFonts w:hint="eastAsia" w:ascii="仿宋" w:hAnsi="仿宋" w:eastAsia="仿宋" w:cs="仿宋"/>
          <w:color w:val="auto"/>
          <w:highlight w:val="none"/>
          <w:lang w:val="en-US" w:eastAsia="zh-CN"/>
        </w:rPr>
        <w:t>4</w:t>
      </w:r>
      <w:r>
        <w:rPr>
          <w:rFonts w:hint="eastAsia" w:ascii="仿宋" w:hAnsi="仿宋" w:eastAsia="仿宋" w:cs="仿宋"/>
          <w:color w:val="auto"/>
          <w:highlight w:val="none"/>
        </w:rPr>
        <w:t>具体各</w:t>
      </w:r>
      <w:r>
        <w:rPr>
          <w:rFonts w:hint="eastAsia" w:ascii="仿宋" w:hAnsi="仿宋" w:eastAsia="仿宋" w:cs="仿宋"/>
          <w:color w:val="auto"/>
          <w:highlight w:val="none"/>
          <w:lang w:eastAsia="zh-CN"/>
        </w:rPr>
        <w:t>小区</w:t>
      </w:r>
      <w:r>
        <w:rPr>
          <w:rFonts w:hint="eastAsia" w:ascii="仿宋" w:hAnsi="仿宋" w:eastAsia="仿宋" w:cs="仿宋"/>
          <w:color w:val="auto"/>
          <w:highlight w:val="none"/>
        </w:rPr>
        <w:t>服务内容详见下表：</w:t>
      </w:r>
    </w:p>
    <w:tbl>
      <w:tblPr>
        <w:tblStyle w:val="30"/>
        <w:tblW w:w="903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69"/>
        <w:gridCol w:w="1234"/>
        <w:gridCol w:w="2213"/>
        <w:gridCol w:w="1148"/>
        <w:gridCol w:w="1064"/>
        <w:gridCol w:w="1404"/>
        <w:gridCol w:w="14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6" w:hRule="atLeast"/>
        </w:trPr>
        <w:tc>
          <w:tcPr>
            <w:tcW w:w="5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r>
              <w:rPr>
                <w:rFonts w:hint="eastAsia" w:ascii="仿宋_GB2312" w:hAnsi="仿宋_GB2312" w:eastAsia="仿宋_GB2312" w:cs="仿宋_GB2312"/>
                <w:b/>
                <w:bCs/>
                <w:i w:val="0"/>
                <w:iCs w:val="0"/>
                <w:color w:val="000000"/>
                <w:kern w:val="0"/>
                <w:sz w:val="21"/>
                <w:szCs w:val="21"/>
                <w:u w:val="none"/>
                <w:lang w:val="en-US" w:eastAsia="zh-CN" w:bidi="ar"/>
              </w:rPr>
              <w:t>序号</w:t>
            </w:r>
          </w:p>
        </w:tc>
        <w:tc>
          <w:tcPr>
            <w:tcW w:w="1234"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r>
              <w:rPr>
                <w:rFonts w:hint="eastAsia" w:ascii="仿宋_GB2312" w:hAnsi="仿宋_GB2312" w:eastAsia="仿宋_GB2312" w:cs="仿宋_GB2312"/>
                <w:b/>
                <w:bCs/>
                <w:i w:val="0"/>
                <w:iCs w:val="0"/>
                <w:color w:val="000000"/>
                <w:kern w:val="0"/>
                <w:sz w:val="21"/>
                <w:szCs w:val="21"/>
                <w:u w:val="none"/>
                <w:lang w:val="en-US" w:eastAsia="zh-CN" w:bidi="ar"/>
              </w:rPr>
              <w:t>项目名称</w:t>
            </w:r>
          </w:p>
        </w:tc>
        <w:tc>
          <w:tcPr>
            <w:tcW w:w="2213"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r>
              <w:rPr>
                <w:rFonts w:hint="eastAsia" w:ascii="仿宋_GB2312" w:hAnsi="仿宋_GB2312" w:eastAsia="仿宋_GB2312" w:cs="仿宋_GB2312"/>
                <w:b/>
                <w:bCs/>
                <w:i w:val="0"/>
                <w:iCs w:val="0"/>
                <w:color w:val="000000"/>
                <w:kern w:val="0"/>
                <w:sz w:val="21"/>
                <w:szCs w:val="21"/>
                <w:u w:val="none"/>
                <w:lang w:val="en-US" w:eastAsia="zh-CN" w:bidi="ar"/>
              </w:rPr>
              <w:t>项目说明（每个小区）</w:t>
            </w:r>
          </w:p>
        </w:tc>
        <w:tc>
          <w:tcPr>
            <w:tcW w:w="114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r>
              <w:rPr>
                <w:rFonts w:hint="eastAsia" w:ascii="仿宋_GB2312" w:hAnsi="仿宋_GB2312" w:eastAsia="仿宋_GB2312" w:cs="仿宋_GB2312"/>
                <w:b/>
                <w:bCs/>
                <w:i w:val="0"/>
                <w:iCs w:val="0"/>
                <w:color w:val="000000"/>
                <w:kern w:val="0"/>
                <w:sz w:val="21"/>
                <w:szCs w:val="21"/>
                <w:u w:val="none"/>
                <w:lang w:val="en-US" w:eastAsia="zh-CN" w:bidi="ar"/>
              </w:rPr>
              <w:t>活动时间</w:t>
            </w:r>
          </w:p>
        </w:tc>
        <w:tc>
          <w:tcPr>
            <w:tcW w:w="1064" w:type="dxa"/>
            <w:tcBorders>
              <w:top w:val="single" w:color="000000" w:sz="4" w:space="0"/>
              <w:left w:val="nil"/>
              <w:bottom w:val="single" w:color="000000"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r>
              <w:rPr>
                <w:rFonts w:hint="eastAsia" w:ascii="仿宋_GB2312" w:hAnsi="仿宋_GB2312" w:eastAsia="仿宋_GB2312" w:cs="仿宋_GB2312"/>
                <w:b/>
                <w:bCs/>
                <w:i w:val="0"/>
                <w:iCs w:val="0"/>
                <w:color w:val="000000"/>
                <w:kern w:val="0"/>
                <w:sz w:val="21"/>
                <w:szCs w:val="21"/>
                <w:u w:val="none"/>
                <w:lang w:val="en-US" w:eastAsia="zh-CN" w:bidi="ar"/>
              </w:rPr>
              <w:t>小区数量（个）</w:t>
            </w:r>
          </w:p>
        </w:tc>
        <w:tc>
          <w:tcPr>
            <w:tcW w:w="140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kern w:val="0"/>
                <w:sz w:val="21"/>
                <w:szCs w:val="21"/>
                <w:u w:val="none"/>
                <w:lang w:val="en-US" w:eastAsia="zh-CN" w:bidi="ar"/>
              </w:rPr>
            </w:pPr>
            <w:r>
              <w:rPr>
                <w:rFonts w:hint="eastAsia" w:ascii="仿宋_GB2312" w:hAnsi="仿宋_GB2312" w:eastAsia="仿宋_GB2312" w:cs="仿宋_GB2312"/>
                <w:b/>
                <w:bCs/>
                <w:i w:val="0"/>
                <w:iCs w:val="0"/>
                <w:color w:val="000000"/>
                <w:kern w:val="0"/>
                <w:sz w:val="21"/>
                <w:szCs w:val="21"/>
                <w:u w:val="none"/>
                <w:lang w:val="en-US" w:eastAsia="zh-CN" w:bidi="ar"/>
              </w:rPr>
              <w:t>每个小区含税单价（元）</w:t>
            </w:r>
          </w:p>
        </w:tc>
        <w:tc>
          <w:tcPr>
            <w:tcW w:w="140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r>
              <w:rPr>
                <w:rFonts w:hint="eastAsia" w:ascii="仿宋_GB2312" w:hAnsi="仿宋_GB2312" w:eastAsia="仿宋_GB2312" w:cs="仿宋_GB2312"/>
                <w:b/>
                <w:bCs/>
                <w:color w:val="000000"/>
                <w:sz w:val="21"/>
                <w:szCs w:val="21"/>
                <w:u w:val="none"/>
                <w:lang w:bidi="ar"/>
              </w:rPr>
              <w:t>含税总合计金额（元）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1" w:hRule="atLeast"/>
        </w:trPr>
        <w:tc>
          <w:tcPr>
            <w:tcW w:w="569"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r>
              <w:rPr>
                <w:rFonts w:hint="eastAsia" w:ascii="仿宋_GB2312" w:hAnsi="仿宋_GB2312" w:eastAsia="仿宋_GB2312" w:cs="仿宋_GB2312"/>
                <w:b/>
                <w:bCs/>
                <w:i w:val="0"/>
                <w:iCs w:val="0"/>
                <w:color w:val="000000"/>
                <w:kern w:val="0"/>
                <w:sz w:val="21"/>
                <w:szCs w:val="21"/>
                <w:u w:val="none"/>
                <w:lang w:val="en-US" w:eastAsia="zh-CN" w:bidi="ar"/>
              </w:rPr>
              <w:t>1</w:t>
            </w:r>
          </w:p>
        </w:tc>
        <w:tc>
          <w:tcPr>
            <w:tcW w:w="1234"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r>
              <w:rPr>
                <w:rFonts w:hint="eastAsia" w:ascii="仿宋_GB2312" w:hAnsi="仿宋_GB2312" w:eastAsia="仿宋_GB2312" w:cs="仿宋_GB2312"/>
                <w:b/>
                <w:bCs/>
                <w:i w:val="0"/>
                <w:iCs w:val="0"/>
                <w:color w:val="000000"/>
                <w:kern w:val="0"/>
                <w:sz w:val="21"/>
                <w:szCs w:val="21"/>
                <w:u w:val="none"/>
                <w:lang w:val="en-US" w:eastAsia="zh-CN" w:bidi="ar"/>
              </w:rPr>
              <w:t>推广费用（人工）</w:t>
            </w:r>
          </w:p>
        </w:tc>
        <w:tc>
          <w:tcPr>
            <w:tcW w:w="2213"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r>
              <w:rPr>
                <w:rFonts w:hint="eastAsia" w:ascii="仿宋_GB2312" w:hAnsi="仿宋_GB2312" w:eastAsia="仿宋_GB2312" w:cs="仿宋_GB2312"/>
                <w:b/>
                <w:bCs/>
                <w:i w:val="0"/>
                <w:iCs w:val="0"/>
                <w:color w:val="000000"/>
                <w:kern w:val="0"/>
                <w:sz w:val="21"/>
                <w:szCs w:val="21"/>
                <w:u w:val="none"/>
                <w:lang w:val="en-US" w:eastAsia="zh-CN" w:bidi="ar"/>
              </w:rPr>
              <w:t>发放传单进行宣传（每天4人）</w:t>
            </w:r>
          </w:p>
        </w:tc>
        <w:tc>
          <w:tcPr>
            <w:tcW w:w="1148"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r>
              <w:rPr>
                <w:rFonts w:hint="eastAsia" w:ascii="仿宋_GB2312" w:hAnsi="仿宋_GB2312" w:eastAsia="仿宋_GB2312" w:cs="仿宋_GB2312"/>
                <w:b/>
                <w:bCs/>
                <w:i w:val="0"/>
                <w:iCs w:val="0"/>
                <w:color w:val="000000"/>
                <w:kern w:val="0"/>
                <w:sz w:val="21"/>
                <w:szCs w:val="21"/>
                <w:u w:val="none"/>
                <w:lang w:val="en-US" w:eastAsia="zh-CN" w:bidi="ar"/>
              </w:rPr>
              <w:t>60天</w:t>
            </w:r>
          </w:p>
        </w:tc>
        <w:tc>
          <w:tcPr>
            <w:tcW w:w="1064" w:type="dxa"/>
            <w:tcBorders>
              <w:top w:val="nil"/>
              <w:left w:val="nil"/>
              <w:bottom w:val="single" w:color="000000"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r>
              <w:rPr>
                <w:rFonts w:hint="eastAsia" w:ascii="仿宋_GB2312" w:hAnsi="仿宋_GB2312" w:eastAsia="仿宋_GB2312" w:cs="仿宋_GB2312"/>
                <w:b/>
                <w:bCs/>
                <w:i w:val="0"/>
                <w:iCs w:val="0"/>
                <w:color w:val="000000"/>
                <w:kern w:val="0"/>
                <w:sz w:val="21"/>
                <w:szCs w:val="21"/>
                <w:u w:val="none"/>
                <w:lang w:val="en-US" w:eastAsia="zh-CN" w:bidi="ar"/>
              </w:rPr>
              <w:t>6</w:t>
            </w:r>
          </w:p>
        </w:tc>
        <w:tc>
          <w:tcPr>
            <w:tcW w:w="140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kern w:val="0"/>
                <w:sz w:val="21"/>
                <w:szCs w:val="21"/>
                <w:u w:val="none"/>
                <w:lang w:val="en-US" w:eastAsia="zh-CN" w:bidi="ar"/>
              </w:rPr>
            </w:pPr>
            <w:r>
              <w:rPr>
                <w:rFonts w:hint="eastAsia" w:ascii="仿宋_GB2312" w:hAnsi="仿宋_GB2312" w:eastAsia="仿宋_GB2312" w:cs="仿宋_GB2312"/>
                <w:b/>
                <w:bCs/>
                <w:i w:val="0"/>
                <w:iCs w:val="0"/>
                <w:color w:val="000000"/>
                <w:kern w:val="0"/>
                <w:sz w:val="21"/>
                <w:szCs w:val="21"/>
                <w:u w:val="none"/>
                <w:lang w:val="en-US" w:eastAsia="zh-CN" w:bidi="ar"/>
              </w:rPr>
              <w:t>132540.00</w:t>
            </w:r>
          </w:p>
        </w:tc>
        <w:tc>
          <w:tcPr>
            <w:tcW w:w="1404" w:type="dxa"/>
            <w:vMerge w:val="restart"/>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lang w:val="en-US" w:eastAsia="zh-CN"/>
              </w:rPr>
            </w:pPr>
            <w:r>
              <w:rPr>
                <w:rFonts w:hint="eastAsia" w:ascii="仿宋_GB2312" w:hAnsi="仿宋_GB2312" w:eastAsia="仿宋_GB2312" w:cs="仿宋_GB2312"/>
                <w:b/>
                <w:bCs/>
                <w:i w:val="0"/>
                <w:iCs w:val="0"/>
                <w:color w:val="000000"/>
                <w:sz w:val="21"/>
                <w:szCs w:val="21"/>
                <w:u w:val="none"/>
                <w:lang w:val="en-US" w:eastAsia="zh-CN"/>
              </w:rPr>
              <w:t>795240.00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1" w:hRule="atLeast"/>
        </w:trPr>
        <w:tc>
          <w:tcPr>
            <w:tcW w:w="569"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r>
              <w:rPr>
                <w:rFonts w:hint="eastAsia" w:ascii="仿宋_GB2312" w:hAnsi="仿宋_GB2312" w:eastAsia="仿宋_GB2312" w:cs="仿宋_GB2312"/>
                <w:b/>
                <w:bCs/>
                <w:i w:val="0"/>
                <w:iCs w:val="0"/>
                <w:color w:val="000000"/>
                <w:kern w:val="0"/>
                <w:sz w:val="21"/>
                <w:szCs w:val="21"/>
                <w:u w:val="none"/>
                <w:lang w:val="en-US" w:eastAsia="zh-CN" w:bidi="ar"/>
              </w:rPr>
              <w:t>2</w:t>
            </w:r>
          </w:p>
        </w:tc>
        <w:tc>
          <w:tcPr>
            <w:tcW w:w="1234"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r>
              <w:rPr>
                <w:rFonts w:hint="eastAsia" w:ascii="仿宋_GB2312" w:hAnsi="仿宋_GB2312" w:eastAsia="仿宋_GB2312" w:cs="仿宋_GB2312"/>
                <w:b/>
                <w:bCs/>
                <w:i w:val="0"/>
                <w:iCs w:val="0"/>
                <w:color w:val="000000"/>
                <w:kern w:val="0"/>
                <w:sz w:val="21"/>
                <w:szCs w:val="21"/>
                <w:u w:val="none"/>
                <w:lang w:val="en-US" w:eastAsia="zh-CN" w:bidi="ar"/>
              </w:rPr>
              <w:t>宣传单印刷</w:t>
            </w:r>
          </w:p>
        </w:tc>
        <w:tc>
          <w:tcPr>
            <w:tcW w:w="2213"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r>
              <w:rPr>
                <w:rFonts w:hint="eastAsia" w:ascii="仿宋_GB2312" w:hAnsi="仿宋_GB2312" w:eastAsia="仿宋_GB2312" w:cs="仿宋_GB2312"/>
                <w:b/>
                <w:bCs/>
                <w:i w:val="0"/>
                <w:iCs w:val="0"/>
                <w:color w:val="000000"/>
                <w:kern w:val="0"/>
                <w:sz w:val="21"/>
                <w:szCs w:val="21"/>
                <w:u w:val="none"/>
                <w:lang w:val="en-US" w:eastAsia="zh-CN" w:bidi="ar"/>
              </w:rPr>
              <w:t>宣传单（DM单）（每天800份）</w:t>
            </w:r>
          </w:p>
        </w:tc>
        <w:tc>
          <w:tcPr>
            <w:tcW w:w="1148"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r>
              <w:rPr>
                <w:rFonts w:hint="eastAsia" w:ascii="仿宋_GB2312" w:hAnsi="仿宋_GB2312" w:eastAsia="仿宋_GB2312" w:cs="仿宋_GB2312"/>
                <w:b/>
                <w:bCs/>
                <w:i w:val="0"/>
                <w:iCs w:val="0"/>
                <w:color w:val="000000"/>
                <w:kern w:val="0"/>
                <w:sz w:val="21"/>
                <w:szCs w:val="21"/>
                <w:u w:val="none"/>
                <w:lang w:val="en-US" w:eastAsia="zh-CN" w:bidi="ar"/>
              </w:rPr>
              <w:t>60天</w:t>
            </w:r>
          </w:p>
        </w:tc>
        <w:tc>
          <w:tcPr>
            <w:tcW w:w="1064" w:type="dxa"/>
            <w:tcBorders>
              <w:top w:val="nil"/>
              <w:left w:val="nil"/>
              <w:bottom w:val="single" w:color="000000"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r>
              <w:rPr>
                <w:rFonts w:hint="eastAsia" w:ascii="仿宋_GB2312" w:hAnsi="仿宋_GB2312" w:eastAsia="仿宋_GB2312" w:cs="仿宋_GB2312"/>
                <w:b/>
                <w:bCs/>
                <w:i w:val="0"/>
                <w:iCs w:val="0"/>
                <w:color w:val="000000"/>
                <w:kern w:val="0"/>
                <w:sz w:val="21"/>
                <w:szCs w:val="21"/>
                <w:u w:val="none"/>
                <w:lang w:val="en-US" w:eastAsia="zh-CN" w:bidi="ar"/>
              </w:rPr>
              <w:t>6</w:t>
            </w:r>
          </w:p>
        </w:tc>
        <w:tc>
          <w:tcPr>
            <w:tcW w:w="140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kern w:val="0"/>
                <w:sz w:val="21"/>
                <w:szCs w:val="21"/>
                <w:u w:val="none"/>
                <w:lang w:val="en-US" w:eastAsia="zh-CN" w:bidi="ar"/>
              </w:rPr>
            </w:pPr>
          </w:p>
        </w:tc>
        <w:tc>
          <w:tcPr>
            <w:tcW w:w="1404" w:type="dxa"/>
            <w:vMerge w:val="continue"/>
            <w:tcBorders>
              <w:left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87" w:hRule="atLeast"/>
        </w:trPr>
        <w:tc>
          <w:tcPr>
            <w:tcW w:w="569"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r>
              <w:rPr>
                <w:rFonts w:hint="eastAsia" w:ascii="仿宋_GB2312" w:hAnsi="仿宋_GB2312" w:eastAsia="仿宋_GB2312" w:cs="仿宋_GB2312"/>
                <w:b/>
                <w:bCs/>
                <w:i w:val="0"/>
                <w:iCs w:val="0"/>
                <w:color w:val="000000"/>
                <w:kern w:val="0"/>
                <w:sz w:val="21"/>
                <w:szCs w:val="21"/>
                <w:u w:val="none"/>
                <w:lang w:val="en-US" w:eastAsia="zh-CN" w:bidi="ar"/>
              </w:rPr>
              <w:t>3</w:t>
            </w:r>
          </w:p>
        </w:tc>
        <w:tc>
          <w:tcPr>
            <w:tcW w:w="1234"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r>
              <w:rPr>
                <w:rFonts w:hint="eastAsia" w:ascii="仿宋_GB2312" w:hAnsi="仿宋_GB2312" w:eastAsia="仿宋_GB2312" w:cs="仿宋_GB2312"/>
                <w:b/>
                <w:bCs/>
                <w:i w:val="0"/>
                <w:iCs w:val="0"/>
                <w:color w:val="000000"/>
                <w:kern w:val="0"/>
                <w:sz w:val="21"/>
                <w:szCs w:val="21"/>
                <w:u w:val="none"/>
                <w:lang w:val="en-US" w:eastAsia="zh-CN" w:bidi="ar"/>
              </w:rPr>
              <w:t>门型展架</w:t>
            </w:r>
          </w:p>
        </w:tc>
        <w:tc>
          <w:tcPr>
            <w:tcW w:w="2213"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r>
              <w:rPr>
                <w:rFonts w:hint="eastAsia" w:ascii="仿宋_GB2312" w:hAnsi="仿宋_GB2312" w:eastAsia="仿宋_GB2312" w:cs="仿宋_GB2312"/>
                <w:b/>
                <w:bCs/>
                <w:i w:val="0"/>
                <w:iCs w:val="0"/>
                <w:color w:val="000000"/>
                <w:kern w:val="0"/>
                <w:sz w:val="21"/>
                <w:szCs w:val="21"/>
                <w:u w:val="none"/>
                <w:lang w:val="en-US" w:eastAsia="zh-CN" w:bidi="ar"/>
              </w:rPr>
              <w:t>门型展架（180*80CM）（首次投放两套，仅投放一次，后期不再进行物料更换）</w:t>
            </w:r>
          </w:p>
        </w:tc>
        <w:tc>
          <w:tcPr>
            <w:tcW w:w="1148"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r>
              <w:rPr>
                <w:rFonts w:hint="eastAsia" w:ascii="仿宋_GB2312" w:hAnsi="仿宋_GB2312" w:eastAsia="仿宋_GB2312" w:cs="仿宋_GB2312"/>
                <w:b/>
                <w:bCs/>
                <w:i w:val="0"/>
                <w:iCs w:val="0"/>
                <w:color w:val="000000"/>
                <w:kern w:val="0"/>
                <w:sz w:val="21"/>
                <w:szCs w:val="21"/>
                <w:u w:val="none"/>
                <w:lang w:val="en-US" w:eastAsia="zh-CN" w:bidi="ar"/>
              </w:rPr>
              <w:t>60天</w:t>
            </w:r>
          </w:p>
        </w:tc>
        <w:tc>
          <w:tcPr>
            <w:tcW w:w="1064" w:type="dxa"/>
            <w:tcBorders>
              <w:top w:val="nil"/>
              <w:left w:val="nil"/>
              <w:bottom w:val="single" w:color="000000"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r>
              <w:rPr>
                <w:rFonts w:hint="eastAsia" w:ascii="仿宋_GB2312" w:hAnsi="仿宋_GB2312" w:eastAsia="仿宋_GB2312" w:cs="仿宋_GB2312"/>
                <w:b/>
                <w:bCs/>
                <w:i w:val="0"/>
                <w:iCs w:val="0"/>
                <w:color w:val="000000"/>
                <w:kern w:val="0"/>
                <w:sz w:val="21"/>
                <w:szCs w:val="21"/>
                <w:u w:val="none"/>
                <w:lang w:val="en-US" w:eastAsia="zh-CN" w:bidi="ar"/>
              </w:rPr>
              <w:t>6</w:t>
            </w:r>
          </w:p>
        </w:tc>
        <w:tc>
          <w:tcPr>
            <w:tcW w:w="140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kern w:val="0"/>
                <w:sz w:val="21"/>
                <w:szCs w:val="21"/>
                <w:u w:val="none"/>
                <w:lang w:val="en-US" w:eastAsia="zh-CN" w:bidi="ar"/>
              </w:rPr>
            </w:pPr>
          </w:p>
        </w:tc>
        <w:tc>
          <w:tcPr>
            <w:tcW w:w="1404" w:type="dxa"/>
            <w:vMerge w:val="continue"/>
            <w:tcBorders>
              <w:left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21" w:hRule="atLeast"/>
        </w:trPr>
        <w:tc>
          <w:tcPr>
            <w:tcW w:w="569"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r>
              <w:rPr>
                <w:rFonts w:hint="eastAsia" w:ascii="仿宋_GB2312" w:hAnsi="仿宋_GB2312" w:eastAsia="仿宋_GB2312" w:cs="仿宋_GB2312"/>
                <w:b/>
                <w:bCs/>
                <w:i w:val="0"/>
                <w:iCs w:val="0"/>
                <w:color w:val="000000"/>
                <w:kern w:val="0"/>
                <w:sz w:val="21"/>
                <w:szCs w:val="21"/>
                <w:u w:val="none"/>
                <w:lang w:val="en-US" w:eastAsia="zh-CN" w:bidi="ar"/>
              </w:rPr>
              <w:t>4</w:t>
            </w:r>
          </w:p>
        </w:tc>
        <w:tc>
          <w:tcPr>
            <w:tcW w:w="1234"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r>
              <w:rPr>
                <w:rFonts w:hint="eastAsia" w:ascii="仿宋_GB2312" w:hAnsi="仿宋_GB2312" w:eastAsia="仿宋_GB2312" w:cs="仿宋_GB2312"/>
                <w:b/>
                <w:bCs/>
                <w:i w:val="0"/>
                <w:iCs w:val="0"/>
                <w:color w:val="000000"/>
                <w:kern w:val="0"/>
                <w:sz w:val="21"/>
                <w:szCs w:val="21"/>
                <w:u w:val="none"/>
                <w:lang w:val="en-US" w:eastAsia="zh-CN" w:bidi="ar"/>
              </w:rPr>
              <w:t>折叠展架</w:t>
            </w:r>
          </w:p>
        </w:tc>
        <w:tc>
          <w:tcPr>
            <w:tcW w:w="2213" w:type="dxa"/>
            <w:tcBorders>
              <w:top w:val="nil"/>
              <w:left w:val="nil"/>
              <w:bottom w:val="nil"/>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r>
              <w:rPr>
                <w:rFonts w:hint="eastAsia" w:ascii="仿宋_GB2312" w:hAnsi="仿宋_GB2312" w:eastAsia="仿宋_GB2312" w:cs="仿宋_GB2312"/>
                <w:b/>
                <w:bCs/>
                <w:i w:val="0"/>
                <w:iCs w:val="0"/>
                <w:color w:val="000000"/>
                <w:kern w:val="0"/>
                <w:sz w:val="21"/>
                <w:szCs w:val="21"/>
                <w:u w:val="none"/>
                <w:lang w:val="en-US" w:eastAsia="zh-CN" w:bidi="ar"/>
              </w:rPr>
              <w:t>折叠展架（80*60CM）（首次投放两套，仅投放一次，后期不再进行物料更换）</w:t>
            </w:r>
          </w:p>
        </w:tc>
        <w:tc>
          <w:tcPr>
            <w:tcW w:w="1148"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r>
              <w:rPr>
                <w:rFonts w:hint="eastAsia" w:ascii="仿宋_GB2312" w:hAnsi="仿宋_GB2312" w:eastAsia="仿宋_GB2312" w:cs="仿宋_GB2312"/>
                <w:b/>
                <w:bCs/>
                <w:i w:val="0"/>
                <w:iCs w:val="0"/>
                <w:color w:val="000000"/>
                <w:kern w:val="0"/>
                <w:sz w:val="21"/>
                <w:szCs w:val="21"/>
                <w:u w:val="none"/>
                <w:lang w:val="en-US" w:eastAsia="zh-CN" w:bidi="ar"/>
              </w:rPr>
              <w:t>60天</w:t>
            </w:r>
          </w:p>
        </w:tc>
        <w:tc>
          <w:tcPr>
            <w:tcW w:w="1064" w:type="dxa"/>
            <w:tcBorders>
              <w:top w:val="nil"/>
              <w:left w:val="nil"/>
              <w:bottom w:val="single" w:color="000000"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r>
              <w:rPr>
                <w:rFonts w:hint="eastAsia" w:ascii="仿宋_GB2312" w:hAnsi="仿宋_GB2312" w:eastAsia="仿宋_GB2312" w:cs="仿宋_GB2312"/>
                <w:b/>
                <w:bCs/>
                <w:i w:val="0"/>
                <w:iCs w:val="0"/>
                <w:color w:val="000000"/>
                <w:kern w:val="0"/>
                <w:sz w:val="21"/>
                <w:szCs w:val="21"/>
                <w:u w:val="none"/>
                <w:lang w:val="en-US" w:eastAsia="zh-CN" w:bidi="ar"/>
              </w:rPr>
              <w:t>6</w:t>
            </w:r>
          </w:p>
        </w:tc>
        <w:tc>
          <w:tcPr>
            <w:tcW w:w="140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kern w:val="0"/>
                <w:sz w:val="21"/>
                <w:szCs w:val="21"/>
                <w:u w:val="none"/>
                <w:lang w:val="en-US" w:eastAsia="zh-CN" w:bidi="ar"/>
              </w:rPr>
            </w:pPr>
          </w:p>
        </w:tc>
        <w:tc>
          <w:tcPr>
            <w:tcW w:w="1404" w:type="dxa"/>
            <w:vMerge w:val="continue"/>
            <w:tcBorders>
              <w:left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1" w:hRule="atLeast"/>
        </w:trPr>
        <w:tc>
          <w:tcPr>
            <w:tcW w:w="569"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r>
              <w:rPr>
                <w:rFonts w:hint="eastAsia" w:ascii="仿宋_GB2312" w:hAnsi="仿宋_GB2312" w:eastAsia="仿宋_GB2312" w:cs="仿宋_GB2312"/>
                <w:b/>
                <w:bCs/>
                <w:i w:val="0"/>
                <w:iCs w:val="0"/>
                <w:color w:val="000000"/>
                <w:kern w:val="0"/>
                <w:sz w:val="21"/>
                <w:szCs w:val="21"/>
                <w:u w:val="none"/>
                <w:lang w:val="en-US" w:eastAsia="zh-CN" w:bidi="ar"/>
              </w:rPr>
              <w:t>5</w:t>
            </w:r>
          </w:p>
        </w:tc>
        <w:tc>
          <w:tcPr>
            <w:tcW w:w="1234" w:type="dxa"/>
            <w:tcBorders>
              <w:top w:val="nil"/>
              <w:left w:val="nil"/>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r>
              <w:rPr>
                <w:rFonts w:hint="eastAsia" w:ascii="仿宋_GB2312" w:hAnsi="仿宋_GB2312" w:eastAsia="仿宋_GB2312" w:cs="仿宋_GB2312"/>
                <w:b/>
                <w:bCs/>
                <w:i w:val="0"/>
                <w:iCs w:val="0"/>
                <w:color w:val="000000"/>
                <w:kern w:val="0"/>
                <w:sz w:val="21"/>
                <w:szCs w:val="21"/>
                <w:u w:val="none"/>
                <w:lang w:val="en-US" w:eastAsia="zh-CN" w:bidi="ar"/>
              </w:rPr>
              <w:t>布展费及维护费</w:t>
            </w:r>
          </w:p>
        </w:tc>
        <w:tc>
          <w:tcPr>
            <w:tcW w:w="22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r>
              <w:rPr>
                <w:rFonts w:hint="eastAsia" w:ascii="仿宋_GB2312" w:hAnsi="仿宋_GB2312" w:eastAsia="仿宋_GB2312" w:cs="仿宋_GB2312"/>
                <w:b/>
                <w:bCs/>
                <w:i w:val="0"/>
                <w:iCs w:val="0"/>
                <w:color w:val="000000"/>
                <w:kern w:val="0"/>
                <w:sz w:val="21"/>
                <w:szCs w:val="21"/>
                <w:u w:val="none"/>
                <w:lang w:val="en-US" w:eastAsia="zh-CN" w:bidi="ar"/>
              </w:rPr>
              <w:t>宣传物料的摆放、布置及维护</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r>
              <w:rPr>
                <w:rFonts w:hint="eastAsia" w:ascii="仿宋_GB2312" w:hAnsi="仿宋_GB2312" w:eastAsia="仿宋_GB2312" w:cs="仿宋_GB2312"/>
                <w:b/>
                <w:bCs/>
                <w:i w:val="0"/>
                <w:iCs w:val="0"/>
                <w:color w:val="000000"/>
                <w:kern w:val="0"/>
                <w:sz w:val="21"/>
                <w:szCs w:val="21"/>
                <w:u w:val="none"/>
                <w:lang w:val="en-US" w:eastAsia="zh-CN" w:bidi="ar"/>
              </w:rPr>
              <w:t>60天</w:t>
            </w:r>
          </w:p>
        </w:tc>
        <w:tc>
          <w:tcPr>
            <w:tcW w:w="1064"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r>
              <w:rPr>
                <w:rFonts w:hint="eastAsia" w:ascii="仿宋_GB2312" w:hAnsi="仿宋_GB2312" w:eastAsia="仿宋_GB2312" w:cs="仿宋_GB2312"/>
                <w:b/>
                <w:bCs/>
                <w:i w:val="0"/>
                <w:iCs w:val="0"/>
                <w:color w:val="000000"/>
                <w:kern w:val="0"/>
                <w:sz w:val="21"/>
                <w:szCs w:val="21"/>
                <w:u w:val="none"/>
                <w:lang w:val="en-US" w:eastAsia="zh-CN" w:bidi="ar"/>
              </w:rPr>
              <w:t>6</w:t>
            </w:r>
          </w:p>
        </w:tc>
        <w:tc>
          <w:tcPr>
            <w:tcW w:w="140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kern w:val="0"/>
                <w:sz w:val="21"/>
                <w:szCs w:val="21"/>
                <w:u w:val="none"/>
                <w:lang w:val="en-US" w:eastAsia="zh-CN" w:bidi="ar"/>
              </w:rPr>
            </w:pPr>
          </w:p>
        </w:tc>
        <w:tc>
          <w:tcPr>
            <w:tcW w:w="1404" w:type="dxa"/>
            <w:vMerge w:val="continue"/>
            <w:tcBorders>
              <w:left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1" w:hRule="atLeast"/>
        </w:trPr>
        <w:tc>
          <w:tcPr>
            <w:tcW w:w="569"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r>
              <w:rPr>
                <w:rFonts w:hint="eastAsia" w:ascii="仿宋_GB2312" w:hAnsi="仿宋_GB2312" w:eastAsia="仿宋_GB2312" w:cs="仿宋_GB2312"/>
                <w:b/>
                <w:bCs/>
                <w:i w:val="0"/>
                <w:iCs w:val="0"/>
                <w:color w:val="000000"/>
                <w:kern w:val="0"/>
                <w:sz w:val="21"/>
                <w:szCs w:val="21"/>
                <w:u w:val="none"/>
                <w:lang w:val="en-US" w:eastAsia="zh-CN" w:bidi="ar"/>
              </w:rPr>
              <w:t>6</w:t>
            </w:r>
          </w:p>
        </w:tc>
        <w:tc>
          <w:tcPr>
            <w:tcW w:w="1234"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r>
              <w:rPr>
                <w:rFonts w:hint="eastAsia" w:ascii="仿宋_GB2312" w:hAnsi="仿宋_GB2312" w:eastAsia="仿宋_GB2312" w:cs="仿宋_GB2312"/>
                <w:b/>
                <w:bCs/>
                <w:i w:val="0"/>
                <w:iCs w:val="0"/>
                <w:color w:val="000000"/>
                <w:kern w:val="0"/>
                <w:sz w:val="21"/>
                <w:szCs w:val="21"/>
                <w:u w:val="none"/>
                <w:lang w:val="en-US" w:eastAsia="zh-CN" w:bidi="ar"/>
              </w:rPr>
              <w:t>运输费</w:t>
            </w:r>
          </w:p>
        </w:tc>
        <w:tc>
          <w:tcPr>
            <w:tcW w:w="2213" w:type="dxa"/>
            <w:tcBorders>
              <w:top w:val="nil"/>
              <w:left w:val="single" w:color="000000" w:sz="4" w:space="0"/>
              <w:bottom w:val="single" w:color="auto" w:sz="4" w:space="0"/>
              <w:right w:val="nil"/>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r>
              <w:rPr>
                <w:rFonts w:hint="eastAsia" w:ascii="仿宋_GB2312" w:hAnsi="仿宋_GB2312" w:eastAsia="仿宋_GB2312" w:cs="仿宋_GB2312"/>
                <w:b/>
                <w:bCs/>
                <w:i w:val="0"/>
                <w:iCs w:val="0"/>
                <w:color w:val="000000"/>
                <w:kern w:val="0"/>
                <w:sz w:val="21"/>
                <w:szCs w:val="21"/>
                <w:u w:val="none"/>
                <w:lang w:val="en-US" w:eastAsia="zh-CN" w:bidi="ar"/>
              </w:rPr>
              <w:t>每天往返的车辆、运输、装卸</w:t>
            </w:r>
          </w:p>
        </w:tc>
        <w:tc>
          <w:tcPr>
            <w:tcW w:w="1148"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r>
              <w:rPr>
                <w:rFonts w:hint="eastAsia" w:ascii="仿宋_GB2312" w:hAnsi="仿宋_GB2312" w:eastAsia="仿宋_GB2312" w:cs="仿宋_GB2312"/>
                <w:b/>
                <w:bCs/>
                <w:i w:val="0"/>
                <w:iCs w:val="0"/>
                <w:color w:val="000000"/>
                <w:kern w:val="0"/>
                <w:sz w:val="21"/>
                <w:szCs w:val="21"/>
                <w:u w:val="none"/>
                <w:lang w:val="en-US" w:eastAsia="zh-CN" w:bidi="ar"/>
              </w:rPr>
              <w:t>60天</w:t>
            </w:r>
          </w:p>
        </w:tc>
        <w:tc>
          <w:tcPr>
            <w:tcW w:w="1064" w:type="dxa"/>
            <w:tcBorders>
              <w:top w:val="single" w:color="000000" w:sz="4" w:space="0"/>
              <w:left w:val="single" w:color="000000"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r>
              <w:rPr>
                <w:rFonts w:hint="eastAsia" w:ascii="仿宋_GB2312" w:hAnsi="仿宋_GB2312" w:eastAsia="仿宋_GB2312" w:cs="仿宋_GB2312"/>
                <w:b/>
                <w:bCs/>
                <w:i w:val="0"/>
                <w:iCs w:val="0"/>
                <w:color w:val="000000"/>
                <w:kern w:val="0"/>
                <w:sz w:val="21"/>
                <w:szCs w:val="21"/>
                <w:u w:val="none"/>
                <w:lang w:val="en-US" w:eastAsia="zh-CN" w:bidi="ar"/>
              </w:rPr>
              <w:t>6</w:t>
            </w:r>
          </w:p>
        </w:tc>
        <w:tc>
          <w:tcPr>
            <w:tcW w:w="140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kern w:val="0"/>
                <w:sz w:val="21"/>
                <w:szCs w:val="21"/>
                <w:u w:val="none"/>
                <w:lang w:val="en-US" w:eastAsia="zh-CN" w:bidi="ar"/>
              </w:rPr>
            </w:pPr>
          </w:p>
        </w:tc>
        <w:tc>
          <w:tcPr>
            <w:tcW w:w="1404"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9" w:hRule="atLeast"/>
        </w:trPr>
        <w:tc>
          <w:tcPr>
            <w:tcW w:w="569" w:type="dxa"/>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r>
              <w:rPr>
                <w:rFonts w:hint="eastAsia" w:ascii="仿宋_GB2312" w:hAnsi="仿宋_GB2312" w:eastAsia="仿宋_GB2312" w:cs="仿宋_GB2312"/>
                <w:b/>
                <w:bCs/>
                <w:i w:val="0"/>
                <w:iCs w:val="0"/>
                <w:color w:val="000000"/>
                <w:kern w:val="0"/>
                <w:sz w:val="21"/>
                <w:szCs w:val="21"/>
                <w:u w:val="none"/>
                <w:lang w:val="en-US" w:eastAsia="zh-CN" w:bidi="ar"/>
              </w:rPr>
              <w:t>7</w:t>
            </w:r>
          </w:p>
        </w:tc>
        <w:tc>
          <w:tcPr>
            <w:tcW w:w="1234"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r>
              <w:rPr>
                <w:rFonts w:hint="eastAsia" w:ascii="仿宋_GB2312" w:hAnsi="仿宋_GB2312" w:eastAsia="仿宋_GB2312" w:cs="仿宋_GB2312"/>
                <w:b/>
                <w:bCs/>
                <w:i w:val="0"/>
                <w:iCs w:val="0"/>
                <w:color w:val="000000"/>
                <w:kern w:val="0"/>
                <w:sz w:val="21"/>
                <w:szCs w:val="21"/>
                <w:u w:val="none"/>
                <w:lang w:val="en-US" w:eastAsia="zh-CN" w:bidi="ar"/>
              </w:rPr>
              <w:t>场地费</w:t>
            </w:r>
          </w:p>
        </w:tc>
        <w:tc>
          <w:tcPr>
            <w:tcW w:w="2213"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r>
              <w:rPr>
                <w:rFonts w:hint="eastAsia" w:ascii="仿宋_GB2312" w:hAnsi="仿宋_GB2312" w:eastAsia="仿宋_GB2312" w:cs="仿宋_GB2312"/>
                <w:b/>
                <w:bCs/>
                <w:i w:val="0"/>
                <w:iCs w:val="0"/>
                <w:color w:val="000000"/>
                <w:kern w:val="0"/>
                <w:sz w:val="21"/>
                <w:szCs w:val="21"/>
                <w:u w:val="none"/>
                <w:lang w:val="en-US" w:eastAsia="zh-CN" w:bidi="ar"/>
              </w:rPr>
              <w:t>场地使用费用</w:t>
            </w:r>
          </w:p>
        </w:tc>
        <w:tc>
          <w:tcPr>
            <w:tcW w:w="1148"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r>
              <w:rPr>
                <w:rFonts w:hint="eastAsia" w:ascii="仿宋_GB2312" w:hAnsi="仿宋_GB2312" w:eastAsia="仿宋_GB2312" w:cs="仿宋_GB2312"/>
                <w:b/>
                <w:bCs/>
                <w:i w:val="0"/>
                <w:iCs w:val="0"/>
                <w:color w:val="000000"/>
                <w:kern w:val="0"/>
                <w:sz w:val="21"/>
                <w:szCs w:val="21"/>
                <w:u w:val="none"/>
                <w:lang w:val="en-US" w:eastAsia="zh-CN" w:bidi="ar"/>
              </w:rPr>
              <w:t>60天</w:t>
            </w:r>
          </w:p>
        </w:tc>
        <w:tc>
          <w:tcPr>
            <w:tcW w:w="1064" w:type="dxa"/>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r>
              <w:rPr>
                <w:rFonts w:hint="eastAsia" w:ascii="仿宋_GB2312" w:hAnsi="仿宋_GB2312" w:eastAsia="仿宋_GB2312" w:cs="仿宋_GB2312"/>
                <w:b/>
                <w:bCs/>
                <w:i w:val="0"/>
                <w:iCs w:val="0"/>
                <w:color w:val="000000"/>
                <w:kern w:val="0"/>
                <w:sz w:val="21"/>
                <w:szCs w:val="21"/>
                <w:u w:val="none"/>
                <w:lang w:val="en-US" w:eastAsia="zh-CN" w:bidi="ar"/>
              </w:rPr>
              <w:t>6</w:t>
            </w:r>
          </w:p>
        </w:tc>
        <w:tc>
          <w:tcPr>
            <w:tcW w:w="140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kern w:val="0"/>
                <w:sz w:val="21"/>
                <w:szCs w:val="21"/>
                <w:u w:val="none"/>
                <w:lang w:val="en-US" w:eastAsia="zh-CN" w:bidi="ar"/>
              </w:rPr>
            </w:pPr>
          </w:p>
        </w:tc>
        <w:tc>
          <w:tcPr>
            <w:tcW w:w="140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1"/>
                <w:szCs w:val="21"/>
                <w:u w:val="none"/>
              </w:rPr>
            </w:pPr>
          </w:p>
        </w:tc>
      </w:tr>
    </w:tbl>
    <w:p>
      <w:pPr>
        <w:pStyle w:val="2"/>
        <w:numPr>
          <w:ilvl w:val="0"/>
          <w:numId w:val="0"/>
        </w:numPr>
        <w:ind w:firstLine="480"/>
        <w:rPr>
          <w:rFonts w:hint="eastAsia" w:ascii="仿宋" w:hAnsi="仿宋" w:eastAsia="仿宋" w:cs="仿宋"/>
          <w:color w:val="auto"/>
          <w:highlight w:val="none"/>
        </w:rPr>
      </w:pPr>
    </w:p>
    <w:p>
      <w:pPr>
        <w:pStyle w:val="2"/>
        <w:numPr>
          <w:ilvl w:val="0"/>
          <w:numId w:val="8"/>
        </w:numPr>
        <w:ind w:firstLine="480" w:firstLineChars="20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服务要求</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1、人员配置要求：每个小区配置4名</w:t>
      </w:r>
      <w:r>
        <w:rPr>
          <w:rFonts w:hint="eastAsia" w:ascii="仿宋" w:hAnsi="仿宋" w:eastAsia="仿宋" w:cs="仿宋"/>
          <w:b w:val="0"/>
          <w:bCs w:val="0"/>
          <w:color w:val="auto"/>
          <w:sz w:val="24"/>
          <w:szCs w:val="24"/>
          <w:highlight w:val="none"/>
        </w:rPr>
        <w:t>驻场人员进行每日专职</w:t>
      </w:r>
      <w:r>
        <w:rPr>
          <w:rFonts w:hint="eastAsia" w:ascii="仿宋" w:hAnsi="仿宋" w:eastAsia="仿宋" w:cs="仿宋"/>
          <w:b w:val="0"/>
          <w:bCs w:val="0"/>
          <w:color w:val="auto"/>
          <w:sz w:val="24"/>
          <w:szCs w:val="24"/>
          <w:highlight w:val="none"/>
          <w:lang w:val="en-US" w:eastAsia="zh-CN"/>
        </w:rPr>
        <w:t>宣传，需熟悉车险产品知识、客群沟通技巧，可独立解答理赔、投保相关问题；团队人员保持相对稳定，原则上不得变动，如因离职或重大疾病等原因发生变动的，应按采购人要求流程报批，且更换的人员应当满足采购文件要求。</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color w:val="auto"/>
          <w:highlight w:val="none"/>
        </w:rPr>
      </w:pP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color w:val="auto"/>
          <w:highlight w:val="none"/>
        </w:rPr>
        <w:t>供应商须建立完善的突发事件应对预案，涵盖恶劣天气、设备故障、群众投诉、安全事故等情况。接到事故通报后，响应时间不得超过2小时；一般性问题（如展架倒塌、物料破损等）须在4小时内完成修复或更换；重大事件（如人身伤害、群体纠纷等）须在48小时内妥善处置完毕，并向采购人书面汇报处理结果。</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color w:val="auto"/>
          <w:highlight w:val="none"/>
        </w:rPr>
      </w:pPr>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color w:val="auto"/>
          <w:highlight w:val="none"/>
        </w:rPr>
        <w:t>采购方不定期派员巡查各宣传点位，检查执行情况和服务质量；对发现的问题提出整改意见，供应商须在24小时内反馈整改措施。供应商负责所有宣传物料的日常巡检与维护，保持整洁完好；出现污损、褪色、丢失等情况应及时补换，确保宣传效果持续稳定。</w:t>
      </w:r>
    </w:p>
    <w:p>
      <w:pPr>
        <w:widowControl w:val="0"/>
        <w:adjustRightInd w:val="0"/>
        <w:snapToGrid w:val="0"/>
        <w:spacing w:line="360" w:lineRule="auto"/>
        <w:ind w:firstLine="480" w:firstLineChars="200"/>
        <w:outlineLvl w:val="9"/>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4、</w:t>
      </w:r>
      <w:r>
        <w:rPr>
          <w:rFonts w:hint="eastAsia" w:ascii="仿宋" w:hAnsi="仿宋" w:eastAsia="仿宋" w:cs="仿宋"/>
          <w:color w:val="auto"/>
          <w:highlight w:val="none"/>
        </w:rPr>
        <w:t>供应商应针对自然灾害、重大社会活动、设备突发故障等各类意外情形，制定完备的应急处置预案。遇突发状况时，需第一时间启动预案，采取有效措施保障广告正常展示；若因政策调整、场地管制等不可抗力因素导致投放计划需变更，供应商应在获知信息后1小时内主动与采购人沟通，协商调整方案并高效执行。</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5、供应商应确保所有项目文件、数据及资料均得到妥善保存，避免遗失。</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供应商须确保宣传投放的全部流程符合市容管理等相关法律法规要求；因供应商违规操作引发的行政处罚、纠纷索赔等责任，均由供应商独自承担。供应商须承诺，在本项目提供服务期间，供应商应为所有指派工作人员的安全负责。采购人不承担任何责任。</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7、其他服务要求</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（1）供应商具备投放</w:t>
      </w:r>
      <w:r>
        <w:rPr>
          <w:rFonts w:hint="eastAsia" w:ascii="仿宋" w:hAnsi="仿宋" w:eastAsia="仿宋" w:cs="仿宋"/>
          <w:b w:val="0"/>
          <w:bCs w:val="0"/>
          <w:color w:val="auto"/>
          <w:sz w:val="24"/>
          <w:szCs w:val="24"/>
          <w:highlight w:val="none"/>
          <w:lang w:val="en-US" w:eastAsia="zh-CN"/>
        </w:rPr>
        <w:t>小区物业</w:t>
      </w:r>
      <w:r>
        <w:rPr>
          <w:rFonts w:hint="eastAsia" w:ascii="仿宋" w:hAnsi="仿宋" w:eastAsia="仿宋" w:cs="仿宋"/>
          <w:b w:val="0"/>
          <w:bCs w:val="0"/>
          <w:color w:val="auto"/>
          <w:sz w:val="24"/>
          <w:szCs w:val="24"/>
          <w:highlight w:val="none"/>
        </w:rPr>
        <w:t>的场地宣传许可授权。成交供应商应在成交通知书发放后、正式合同签订前，向采购人完整提交</w:t>
      </w:r>
      <w:r>
        <w:rPr>
          <w:rFonts w:hint="eastAsia" w:ascii="仿宋" w:hAnsi="仿宋" w:eastAsia="仿宋" w:cs="仿宋"/>
          <w:b w:val="0"/>
          <w:bCs w:val="0"/>
          <w:color w:val="auto"/>
          <w:sz w:val="24"/>
          <w:szCs w:val="24"/>
          <w:highlight w:val="none"/>
          <w:lang w:val="en-US" w:eastAsia="zh-CN"/>
        </w:rPr>
        <w:t>6个小区物业</w:t>
      </w:r>
      <w:r>
        <w:rPr>
          <w:rFonts w:hint="eastAsia" w:ascii="仿宋" w:hAnsi="仿宋" w:eastAsia="仿宋" w:cs="仿宋"/>
          <w:b w:val="0"/>
          <w:bCs w:val="0"/>
          <w:color w:val="auto"/>
          <w:sz w:val="24"/>
          <w:szCs w:val="24"/>
          <w:highlight w:val="none"/>
        </w:rPr>
        <w:t>出具</w:t>
      </w:r>
      <w:r>
        <w:rPr>
          <w:rFonts w:hint="eastAsia" w:ascii="仿宋" w:hAnsi="仿宋" w:eastAsia="仿宋" w:cs="仿宋"/>
          <w:b w:val="0"/>
          <w:bCs w:val="0"/>
          <w:color w:val="auto"/>
          <w:sz w:val="24"/>
          <w:szCs w:val="24"/>
          <w:highlight w:val="none"/>
          <w:lang w:val="en-US" w:eastAsia="zh-CN"/>
        </w:rPr>
        <w:t>的</w:t>
      </w:r>
      <w:r>
        <w:rPr>
          <w:rFonts w:hint="eastAsia" w:ascii="仿宋" w:hAnsi="仿宋" w:eastAsia="仿宋" w:cs="仿宋"/>
          <w:b w:val="0"/>
          <w:bCs w:val="0"/>
          <w:color w:val="auto"/>
          <w:sz w:val="24"/>
          <w:szCs w:val="24"/>
          <w:highlight w:val="none"/>
        </w:rPr>
        <w:t>加盖公章的场地宣传授权书</w:t>
      </w:r>
      <w:r>
        <w:rPr>
          <w:rFonts w:hint="eastAsia" w:ascii="仿宋" w:hAnsi="仿宋" w:eastAsia="仿宋" w:cs="仿宋"/>
          <w:b w:val="0"/>
          <w:bCs w:val="0"/>
          <w:color w:val="auto"/>
          <w:sz w:val="24"/>
          <w:szCs w:val="24"/>
          <w:highlight w:val="none"/>
          <w:lang w:eastAsia="zh-CN"/>
        </w:rPr>
        <w:t>，确保能在规定时间内开展宣传服务工作。</w:t>
      </w:r>
      <w:r>
        <w:rPr>
          <w:rFonts w:hint="eastAsia" w:ascii="仿宋" w:hAnsi="仿宋" w:eastAsia="仿宋" w:cs="仿宋"/>
          <w:b w:val="0"/>
          <w:bCs w:val="0"/>
          <w:color w:val="auto"/>
          <w:sz w:val="24"/>
          <w:szCs w:val="24"/>
          <w:highlight w:val="none"/>
          <w:lang w:val="en-US" w:eastAsia="zh-CN"/>
        </w:rPr>
        <w:t>响应文件中，</w:t>
      </w:r>
      <w:r>
        <w:rPr>
          <w:rFonts w:hint="eastAsia" w:ascii="仿宋" w:hAnsi="仿宋" w:eastAsia="仿宋" w:cs="仿宋"/>
          <w:b w:val="0"/>
          <w:bCs w:val="0"/>
          <w:color w:val="auto"/>
          <w:sz w:val="24"/>
          <w:szCs w:val="24"/>
          <w:highlight w:val="none"/>
        </w:rPr>
        <w:t>供应商须提供承诺函并加盖供应商单位公章，承诺函参考格式详见第六章“响应文件格式”</w:t>
      </w:r>
      <w:r>
        <w:rPr>
          <w:rFonts w:hint="eastAsia" w:ascii="仿宋" w:hAnsi="仿宋" w:eastAsia="仿宋" w:cs="仿宋"/>
          <w:b w:val="0"/>
          <w:bCs w:val="0"/>
          <w:color w:val="auto"/>
          <w:sz w:val="24"/>
          <w:szCs w:val="24"/>
          <w:highlight w:val="none"/>
          <w:lang w:eastAsia="zh-CN"/>
        </w:rPr>
        <w:t>，若未提供承诺函的，按无效响应处理;若提供承诺函但成交后未在规定时间内取得授权或许可等，导致无法按采购人要求进行履约的，视为虚假响应，其成交资格将被取消，且被纳入采购人及其所隶属的中国人民保险各级机构的供应商黑名单</w:t>
      </w:r>
      <w:r>
        <w:rPr>
          <w:rFonts w:hint="eastAsia" w:ascii="仿宋" w:hAnsi="仿宋" w:eastAsia="仿宋" w:cs="仿宋"/>
          <w:b w:val="0"/>
          <w:bCs w:val="0"/>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（2）验收/考核标准</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投放完毕后供应商需提供相应带水印的照片、视频、结算验收单、点位清单等作为投放佐证。</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★四、商务要求</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1、服务时间：</w:t>
      </w:r>
      <w:r>
        <w:rPr>
          <w:rFonts w:hint="eastAsia" w:ascii="仿宋" w:hAnsi="仿宋" w:eastAsia="仿宋" w:cs="仿宋"/>
          <w:b w:val="0"/>
          <w:bCs w:val="0"/>
          <w:color w:val="auto"/>
          <w:sz w:val="24"/>
          <w:szCs w:val="24"/>
          <w:highlight w:val="none"/>
          <w:lang w:eastAsia="zh-CN"/>
        </w:rPr>
        <w:t>60日历天</w:t>
      </w:r>
      <w:r>
        <w:rPr>
          <w:rFonts w:hint="eastAsia" w:ascii="仿宋" w:hAnsi="仿宋" w:eastAsia="仿宋" w:cs="仿宋"/>
          <w:b w:val="0"/>
          <w:bCs w:val="0"/>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2、服务地点：采购人指定地点。</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color w:val="auto"/>
          <w:highlight w:val="none"/>
        </w:rPr>
      </w:pPr>
      <w:r>
        <w:rPr>
          <w:rFonts w:hint="eastAsia" w:ascii="仿宋" w:hAnsi="仿宋" w:eastAsia="仿宋" w:cs="仿宋"/>
          <w:color w:val="auto"/>
          <w:highlight w:val="none"/>
        </w:rPr>
        <w:t>3、质量要求：达到国家或行业现行合格标准和磋商文件要求。</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color w:val="auto"/>
          <w:highlight w:val="none"/>
        </w:rPr>
        <w:t>4、结算及付款方式：详见第四章“合同条款”附件二“付款”。</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color w:val="auto"/>
          <w:sz w:val="24"/>
          <w:highlight w:val="none"/>
          <w:lang w:val="en-US" w:eastAsia="zh-CN"/>
        </w:rPr>
        <w:t>五</w:t>
      </w:r>
      <w:r>
        <w:rPr>
          <w:rFonts w:hint="eastAsia" w:ascii="仿宋" w:hAnsi="仿宋" w:eastAsia="仿宋" w:cs="仿宋"/>
          <w:b/>
          <w:color w:val="auto"/>
          <w:sz w:val="24"/>
          <w:highlight w:val="none"/>
        </w:rPr>
        <w:t>、报价说明</w:t>
      </w:r>
    </w:p>
    <w:p>
      <w:pPr>
        <w:keepNext w:val="0"/>
        <w:keepLines w:val="0"/>
        <w:pageBreakBefore w:val="0"/>
        <w:widowControl w:val="0"/>
        <w:kinsoku/>
        <w:wordWrap/>
        <w:overflowPunct/>
        <w:topLinePunct w:val="0"/>
        <w:autoSpaceDE/>
        <w:autoSpaceDN/>
        <w:bidi w:val="0"/>
        <w:snapToGrid w:val="0"/>
        <w:spacing w:line="360" w:lineRule="auto"/>
        <w:ind w:firstLine="480" w:firstLineChars="20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供应商依据项目实际情况进行报价，本次采购报价要求：</w:t>
      </w:r>
    </w:p>
    <w:p>
      <w:pPr>
        <w:keepNext w:val="0"/>
        <w:keepLines w:val="0"/>
        <w:pageBreakBefore w:val="0"/>
        <w:widowControl w:val="0"/>
        <w:kinsoku/>
        <w:wordWrap/>
        <w:overflowPunct/>
        <w:topLinePunct w:val="0"/>
        <w:autoSpaceDE/>
        <w:autoSpaceDN/>
        <w:bidi w:val="0"/>
        <w:snapToGrid w:val="0"/>
        <w:spacing w:line="360" w:lineRule="auto"/>
        <w:ind w:firstLine="470" w:firstLineChars="196"/>
        <w:textAlignment w:val="auto"/>
        <w:rPr>
          <w:rFonts w:hint="eastAsia" w:ascii="仿宋" w:hAnsi="仿宋" w:eastAsia="仿宋" w:cs="仿宋"/>
          <w:color w:val="auto"/>
          <w:sz w:val="24"/>
          <w:highlight w:val="none"/>
        </w:rPr>
      </w:pPr>
      <w:r>
        <w:rPr>
          <w:rFonts w:hint="eastAsia" w:ascii="仿宋" w:hAnsi="仿宋" w:eastAsia="仿宋" w:cs="仿宋"/>
          <w:bCs/>
          <w:color w:val="auto"/>
          <w:sz w:val="24"/>
          <w:highlight w:val="none"/>
        </w:rPr>
        <w:t>1、本项目响应报价为</w:t>
      </w:r>
      <w:r>
        <w:rPr>
          <w:rFonts w:hint="eastAsia" w:ascii="仿宋" w:hAnsi="仿宋" w:eastAsia="仿宋" w:cs="仿宋"/>
          <w:bCs/>
          <w:color w:val="auto"/>
          <w:sz w:val="24"/>
          <w:highlight w:val="none"/>
          <w:lang w:eastAsia="zh-CN"/>
        </w:rPr>
        <w:t>综合</w:t>
      </w:r>
      <w:r>
        <w:rPr>
          <w:rFonts w:hint="eastAsia" w:ascii="仿宋" w:hAnsi="仿宋" w:eastAsia="仿宋" w:cs="仿宋"/>
          <w:bCs/>
          <w:color w:val="auto"/>
          <w:sz w:val="24"/>
          <w:highlight w:val="none"/>
          <w:lang w:val="en-US" w:eastAsia="zh-CN"/>
        </w:rPr>
        <w:t>总价</w:t>
      </w:r>
      <w:r>
        <w:rPr>
          <w:rFonts w:hint="eastAsia" w:ascii="仿宋" w:hAnsi="仿宋" w:eastAsia="仿宋" w:cs="仿宋"/>
          <w:bCs/>
          <w:color w:val="auto"/>
          <w:sz w:val="24"/>
          <w:highlight w:val="none"/>
        </w:rPr>
        <w:t>，响应报价</w:t>
      </w:r>
      <w:r>
        <w:rPr>
          <w:rFonts w:hint="eastAsia" w:ascii="仿宋" w:hAnsi="仿宋" w:eastAsia="仿宋" w:cs="仿宋"/>
          <w:color w:val="auto"/>
          <w:sz w:val="24"/>
          <w:highlight w:val="none"/>
        </w:rPr>
        <w:t>是供应商响应</w:t>
      </w: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rPr>
        <w:t>项目要求的全部工作内容的价格体现，包括所需的成本、税金、利润、管</w:t>
      </w:r>
      <w:r>
        <w:rPr>
          <w:rFonts w:hint="eastAsia" w:ascii="仿宋" w:hAnsi="仿宋" w:eastAsia="仿宋" w:cs="仿宋"/>
          <w:bCs/>
          <w:color w:val="auto"/>
          <w:sz w:val="24"/>
          <w:highlight w:val="none"/>
        </w:rPr>
        <w:t>理、风险、保险</w:t>
      </w:r>
      <w:r>
        <w:rPr>
          <w:rFonts w:hint="eastAsia" w:ascii="仿宋" w:hAnsi="仿宋" w:eastAsia="仿宋" w:cs="仿宋"/>
          <w:color w:val="auto"/>
          <w:sz w:val="24"/>
          <w:highlight w:val="none"/>
        </w:rPr>
        <w:t>等一切费用。合同执行期间，成交价将不作调整。</w:t>
      </w:r>
    </w:p>
    <w:p>
      <w:pPr>
        <w:keepNext w:val="0"/>
        <w:keepLines w:val="0"/>
        <w:pageBreakBefore w:val="0"/>
        <w:widowControl w:val="0"/>
        <w:kinsoku/>
        <w:wordWrap/>
        <w:overflowPunct/>
        <w:topLinePunct w:val="0"/>
        <w:autoSpaceDE/>
        <w:autoSpaceDN/>
        <w:bidi w:val="0"/>
        <w:snapToGrid w:val="0"/>
        <w:spacing w:line="360" w:lineRule="auto"/>
        <w:ind w:firstLine="470" w:firstLineChars="196"/>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2、供应商应对各种足以影响响应报价的现场因素有充分了解，任何因忽略或误解现场情况而导致项目成本增加而提出的申请将会被拒绝。</w:t>
      </w:r>
    </w:p>
    <w:p>
      <w:pPr>
        <w:keepNext w:val="0"/>
        <w:keepLines w:val="0"/>
        <w:pageBreakBefore w:val="0"/>
        <w:widowControl w:val="0"/>
        <w:kinsoku/>
        <w:wordWrap/>
        <w:overflowPunct/>
        <w:topLinePunct w:val="0"/>
        <w:autoSpaceDE/>
        <w:autoSpaceDN/>
        <w:bidi w:val="0"/>
        <w:snapToGrid w:val="0"/>
        <w:spacing w:line="360" w:lineRule="auto"/>
        <w:ind w:firstLine="470" w:firstLineChars="196"/>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3、本次报价以人民币为币种，响应报价只允许有一个报价，任何有选择的报价将不予接受</w:t>
      </w:r>
      <w:r>
        <w:rPr>
          <w:rFonts w:hint="eastAsia" w:ascii="仿宋" w:hAnsi="仿宋" w:eastAsia="仿宋" w:cs="仿宋"/>
          <w:color w:val="auto"/>
          <w:sz w:val="24"/>
          <w:highlight w:val="none"/>
          <w:lang w:eastAsia="zh-CN"/>
        </w:rPr>
        <w:t>。</w:t>
      </w:r>
    </w:p>
    <w:p>
      <w:pPr>
        <w:keepNext w:val="0"/>
        <w:keepLines w:val="0"/>
        <w:pageBreakBefore w:val="0"/>
        <w:widowControl w:val="0"/>
        <w:kinsoku/>
        <w:wordWrap/>
        <w:overflowPunct/>
        <w:topLinePunct w:val="0"/>
        <w:autoSpaceDE/>
        <w:autoSpaceDN/>
        <w:bidi w:val="0"/>
        <w:snapToGrid w:val="0"/>
        <w:spacing w:line="360" w:lineRule="auto"/>
        <w:ind w:firstLine="470" w:firstLineChars="196"/>
        <w:textAlignment w:val="auto"/>
        <w:rPr>
          <w:rFonts w:hint="eastAsia" w:ascii="仿宋" w:hAnsi="仿宋" w:eastAsia="仿宋" w:cs="仿宋"/>
          <w:color w:val="auto"/>
          <w:sz w:val="24"/>
          <w:highlight w:val="none"/>
        </w:rPr>
      </w:pPr>
    </w:p>
    <w:p>
      <w:pPr>
        <w:keepNext w:val="0"/>
        <w:keepLines w:val="0"/>
        <w:pageBreakBefore w:val="0"/>
        <w:widowControl w:val="0"/>
        <w:kinsoku/>
        <w:wordWrap/>
        <w:overflowPunct/>
        <w:topLinePunct w:val="0"/>
        <w:autoSpaceDE/>
        <w:autoSpaceDN/>
        <w:bidi w:val="0"/>
        <w:snapToGrid w:val="0"/>
        <w:spacing w:line="360" w:lineRule="auto"/>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注：（1）本章带“</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”的条款为实质性条款，供应商必须全部满足，不得有负偏离，否则按无效响应处理。</w:t>
      </w:r>
    </w:p>
    <w:p>
      <w:pPr>
        <w:keepNext w:val="0"/>
        <w:keepLines w:val="0"/>
        <w:pageBreakBefore w:val="0"/>
        <w:widowControl w:val="0"/>
        <w:kinsoku/>
        <w:wordWrap/>
        <w:overflowPunct/>
        <w:topLinePunct w:val="0"/>
        <w:autoSpaceDE/>
        <w:autoSpaceDN/>
        <w:bidi w:val="0"/>
        <w:snapToGrid w:val="0"/>
        <w:spacing w:line="360" w:lineRule="auto"/>
        <w:ind w:firstLine="482" w:firstLineChars="200"/>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（2）本章带“</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”的条款，如“</w:t>
      </w:r>
      <w:r>
        <w:rPr>
          <w:rFonts w:hint="eastAsia" w:ascii="仿宋" w:hAnsi="仿宋" w:eastAsia="仿宋" w:cs="仿宋"/>
          <w:b/>
          <w:bCs/>
          <w:color w:val="auto"/>
          <w:sz w:val="24"/>
          <w:szCs w:val="24"/>
          <w:highlight w:val="none"/>
        </w:rPr>
        <w:t>三、服务内容及要求</w:t>
      </w:r>
      <w:r>
        <w:rPr>
          <w:rFonts w:hint="eastAsia" w:ascii="仿宋" w:hAnsi="仿宋" w:eastAsia="仿宋" w:cs="仿宋"/>
          <w:b/>
          <w:color w:val="auto"/>
          <w:sz w:val="24"/>
          <w:highlight w:val="none"/>
        </w:rPr>
        <w:t>”是指</w:t>
      </w:r>
      <w:r>
        <w:rPr>
          <w:rFonts w:hint="eastAsia" w:ascii="仿宋" w:hAnsi="仿宋" w:eastAsia="仿宋" w:cs="仿宋"/>
          <w:b/>
          <w:color w:val="auto"/>
          <w:sz w:val="24"/>
          <w:highlight w:val="none"/>
          <w:lang w:eastAsia="zh-CN"/>
        </w:rPr>
        <w:t>该</w:t>
      </w:r>
      <w:r>
        <w:rPr>
          <w:rFonts w:hint="eastAsia" w:ascii="仿宋" w:hAnsi="仿宋" w:eastAsia="仿宋" w:cs="仿宋"/>
          <w:b/>
          <w:color w:val="auto"/>
          <w:sz w:val="24"/>
          <w:highlight w:val="none"/>
        </w:rPr>
        <w:t>条“</w:t>
      </w:r>
      <w:r>
        <w:rPr>
          <w:rFonts w:hint="eastAsia" w:ascii="仿宋" w:hAnsi="仿宋" w:eastAsia="仿宋" w:cs="仿宋"/>
          <w:b/>
          <w:bCs/>
          <w:color w:val="auto"/>
          <w:sz w:val="24"/>
          <w:szCs w:val="24"/>
          <w:highlight w:val="none"/>
        </w:rPr>
        <w:t>服务内容及要求</w:t>
      </w:r>
      <w:r>
        <w:rPr>
          <w:rFonts w:hint="eastAsia" w:ascii="仿宋" w:hAnsi="仿宋" w:eastAsia="仿宋" w:cs="仿宋"/>
          <w:b/>
          <w:color w:val="auto"/>
          <w:sz w:val="24"/>
          <w:highlight w:val="none"/>
        </w:rPr>
        <w:t>”中的所有子项要求，以此类推。</w:t>
      </w:r>
    </w:p>
    <w:p>
      <w:pPr>
        <w:keepNext w:val="0"/>
        <w:keepLines w:val="0"/>
        <w:pageBreakBefore w:val="0"/>
        <w:widowControl w:val="0"/>
        <w:kinsoku/>
        <w:wordWrap/>
        <w:overflowPunct/>
        <w:topLinePunct w:val="0"/>
        <w:autoSpaceDE/>
        <w:autoSpaceDN/>
        <w:bidi w:val="0"/>
        <w:snapToGrid w:val="0"/>
        <w:spacing w:line="360" w:lineRule="auto"/>
        <w:ind w:firstLine="482" w:firstLineChars="200"/>
        <w:textAlignment w:val="auto"/>
        <w:rPr>
          <w:rFonts w:hint="eastAsia" w:ascii="仿宋" w:hAnsi="仿宋" w:eastAsia="仿宋" w:cs="仿宋"/>
          <w:color w:val="auto"/>
          <w:highlight w:val="none"/>
        </w:rPr>
      </w:pPr>
      <w:r>
        <w:rPr>
          <w:rFonts w:hint="eastAsia" w:ascii="仿宋" w:hAnsi="仿宋" w:eastAsia="仿宋" w:cs="仿宋"/>
          <w:b/>
          <w:color w:val="auto"/>
          <w:sz w:val="24"/>
          <w:highlight w:val="none"/>
        </w:rPr>
        <w:t>（3）本章中明确要求</w:t>
      </w:r>
      <w:r>
        <w:rPr>
          <w:rFonts w:hint="eastAsia" w:ascii="仿宋" w:hAnsi="仿宋" w:eastAsia="仿宋" w:cs="仿宋"/>
          <w:b/>
          <w:color w:val="auto"/>
          <w:sz w:val="24"/>
          <w:highlight w:val="none"/>
          <w:lang w:val="en-US" w:eastAsia="zh-CN"/>
        </w:rPr>
        <w:t>磋商响应</w:t>
      </w:r>
      <w:r>
        <w:rPr>
          <w:rFonts w:hint="eastAsia" w:ascii="仿宋" w:hAnsi="仿宋" w:eastAsia="仿宋" w:cs="仿宋"/>
          <w:b/>
          <w:color w:val="auto"/>
          <w:sz w:val="24"/>
          <w:highlight w:val="none"/>
        </w:rPr>
        <w:t>时提供证明材料的，应按要求提供，未提供的视为负偏离按无效响应处理；未明确要求</w:t>
      </w:r>
      <w:r>
        <w:rPr>
          <w:rFonts w:hint="eastAsia" w:ascii="仿宋" w:hAnsi="仿宋" w:eastAsia="仿宋" w:cs="仿宋"/>
          <w:b/>
          <w:color w:val="auto"/>
          <w:sz w:val="24"/>
          <w:highlight w:val="none"/>
          <w:lang w:val="en-US" w:eastAsia="zh-CN"/>
        </w:rPr>
        <w:t>磋商响应</w:t>
      </w:r>
      <w:r>
        <w:rPr>
          <w:rFonts w:hint="eastAsia" w:ascii="仿宋" w:hAnsi="仿宋" w:eastAsia="仿宋" w:cs="仿宋"/>
          <w:b/>
          <w:color w:val="auto"/>
          <w:sz w:val="24"/>
          <w:highlight w:val="none"/>
        </w:rPr>
        <w:t>时提供证明材料的，以商务条款和服务条款响应偏离表中的响应为准</w:t>
      </w:r>
      <w:r>
        <w:rPr>
          <w:rFonts w:hint="eastAsia" w:ascii="仿宋" w:hAnsi="仿宋" w:eastAsia="仿宋" w:cs="仿宋"/>
          <w:b/>
          <w:color w:val="auto"/>
          <w:sz w:val="24"/>
          <w:highlight w:val="none"/>
          <w:lang w:eastAsia="zh-CN"/>
        </w:rPr>
        <w:t>。</w:t>
      </w:r>
    </w:p>
    <w:p>
      <w:pPr>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rPr>
          <w:rFonts w:hint="eastAsia" w:ascii="仿宋" w:hAnsi="仿宋" w:eastAsia="仿宋" w:cs="仿宋"/>
          <w:b/>
          <w:bCs/>
          <w:color w:val="auto"/>
          <w:sz w:val="28"/>
          <w:szCs w:val="28"/>
          <w:highlight w:val="none"/>
        </w:rPr>
      </w:pPr>
      <w:bookmarkStart w:id="130" w:name="_Toc3675"/>
      <w:bookmarkStart w:id="131" w:name="_Toc9891"/>
      <w:r>
        <w:rPr>
          <w:rFonts w:hint="eastAsia" w:ascii="仿宋" w:hAnsi="仿宋" w:eastAsia="仿宋" w:cs="仿宋"/>
          <w:b/>
          <w:bCs/>
          <w:color w:val="auto"/>
          <w:sz w:val="28"/>
          <w:szCs w:val="28"/>
          <w:highlight w:val="none"/>
        </w:rPr>
        <w:br w:type="page"/>
      </w:r>
    </w:p>
    <w:p>
      <w:pPr>
        <w:pStyle w:val="3"/>
        <w:keepNext/>
        <w:keepLines/>
        <w:pageBreakBefore w:val="0"/>
        <w:widowControl/>
        <w:kinsoku/>
        <w:wordWrap/>
        <w:overflowPunct/>
        <w:topLinePunct w:val="0"/>
        <w:autoSpaceDE/>
        <w:autoSpaceDN/>
        <w:bidi w:val="0"/>
        <w:adjustRightInd/>
        <w:snapToGrid/>
        <w:spacing w:before="0" w:after="0"/>
        <w:ind w:left="0" w:firstLine="0"/>
        <w:textAlignment w:val="auto"/>
        <w:rPr>
          <w:rFonts w:hint="eastAsia" w:ascii="仿宋" w:hAnsi="仿宋" w:eastAsia="仿宋" w:cs="仿宋"/>
          <w:b/>
          <w:bCs/>
          <w:color w:val="auto"/>
          <w:sz w:val="28"/>
          <w:szCs w:val="28"/>
          <w:highlight w:val="none"/>
        </w:rPr>
      </w:pPr>
      <w:bookmarkStart w:id="132" w:name="_Toc5467"/>
      <w:r>
        <w:rPr>
          <w:rFonts w:hint="eastAsia" w:ascii="仿宋" w:hAnsi="仿宋" w:eastAsia="仿宋" w:cs="仿宋"/>
          <w:b/>
          <w:bCs/>
          <w:color w:val="auto"/>
          <w:sz w:val="28"/>
          <w:szCs w:val="28"/>
          <w:highlight w:val="none"/>
        </w:rPr>
        <w:t>第六章 响应</w:t>
      </w:r>
      <w:r>
        <w:rPr>
          <w:rFonts w:hint="eastAsia" w:ascii="仿宋" w:hAnsi="仿宋" w:eastAsia="仿宋" w:cs="仿宋"/>
          <w:color w:val="auto"/>
          <w:sz w:val="28"/>
          <w:szCs w:val="28"/>
          <w:highlight w:val="none"/>
        </w:rPr>
        <w:t>文件</w:t>
      </w:r>
      <w:r>
        <w:rPr>
          <w:rFonts w:hint="eastAsia" w:ascii="仿宋" w:hAnsi="仿宋" w:eastAsia="仿宋" w:cs="仿宋"/>
          <w:b/>
          <w:bCs/>
          <w:color w:val="auto"/>
          <w:sz w:val="28"/>
          <w:szCs w:val="28"/>
          <w:highlight w:val="none"/>
        </w:rPr>
        <w:t>格式</w:t>
      </w:r>
      <w:bookmarkEnd w:id="130"/>
      <w:bookmarkEnd w:id="132"/>
    </w:p>
    <w:p>
      <w:pP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封面格式</w:t>
      </w:r>
    </w:p>
    <w:tbl>
      <w:tblPr>
        <w:tblStyle w:val="30"/>
        <w:tblW w:w="9288" w:type="dxa"/>
        <w:jc w:val="center"/>
        <w:tblLayout w:type="fixed"/>
        <w:tblCellMar>
          <w:top w:w="0" w:type="dxa"/>
          <w:left w:w="108" w:type="dxa"/>
          <w:bottom w:w="0" w:type="dxa"/>
          <w:right w:w="108" w:type="dxa"/>
        </w:tblCellMar>
      </w:tblPr>
      <w:tblGrid>
        <w:gridCol w:w="9288"/>
      </w:tblGrid>
      <w:tr>
        <w:tblPrEx>
          <w:tblCellMar>
            <w:top w:w="0" w:type="dxa"/>
            <w:left w:w="108" w:type="dxa"/>
            <w:bottom w:w="0" w:type="dxa"/>
            <w:right w:w="108" w:type="dxa"/>
          </w:tblCellMar>
        </w:tblPrEx>
        <w:trPr>
          <w:trHeight w:val="9173" w:hRule="atLeast"/>
          <w:jc w:val="center"/>
        </w:trPr>
        <w:tc>
          <w:tcPr>
            <w:tcW w:w="9288" w:type="dxa"/>
            <w:tcBorders>
              <w:top w:val="single" w:color="000000" w:sz="4" w:space="0"/>
              <w:left w:val="single" w:color="000000" w:sz="4" w:space="0"/>
              <w:bottom w:val="single" w:color="000000" w:sz="4" w:space="0"/>
              <w:right w:val="single" w:color="000000" w:sz="4" w:space="0"/>
            </w:tcBorders>
          </w:tcPr>
          <w:p>
            <w:pPr>
              <w:pStyle w:val="63"/>
              <w:keepNext w:val="0"/>
              <w:keepLines w:val="0"/>
              <w:widowControl/>
              <w:suppressLineNumbers w:val="0"/>
              <w:spacing w:before="156" w:beforeAutospacing="0" w:after="312" w:afterAutospacing="0"/>
              <w:ind w:left="0" w:right="508"/>
              <w:jc w:val="right"/>
              <w:rPr>
                <w:rFonts w:hint="eastAsia" w:ascii="仿宋" w:hAnsi="仿宋" w:eastAsia="仿宋" w:cs="仿宋"/>
                <w:color w:val="auto"/>
                <w:sz w:val="32"/>
                <w:highlight w:val="none"/>
              </w:rPr>
            </w:pPr>
            <w:r>
              <w:rPr>
                <w:rFonts w:hint="eastAsia" w:ascii="仿宋" w:hAnsi="仿宋" w:eastAsia="仿宋" w:cs="仿宋"/>
                <w:color w:val="auto"/>
                <w:sz w:val="32"/>
                <w:highlight w:val="none"/>
              </w:rPr>
              <w:t>正本/副本</w:t>
            </w:r>
          </w:p>
          <w:p>
            <w:pPr>
              <w:pStyle w:val="63"/>
              <w:keepNext w:val="0"/>
              <w:keepLines w:val="0"/>
              <w:widowControl/>
              <w:suppressLineNumbers w:val="0"/>
              <w:spacing w:before="156" w:beforeAutospacing="0" w:after="312" w:afterAutospacing="0"/>
              <w:ind w:left="0" w:right="-284"/>
              <w:jc w:val="center"/>
              <w:rPr>
                <w:rFonts w:hint="eastAsia" w:ascii="仿宋" w:hAnsi="仿宋" w:eastAsia="仿宋" w:cs="仿宋"/>
                <w:color w:val="auto"/>
                <w:sz w:val="32"/>
                <w:highlight w:val="none"/>
              </w:rPr>
            </w:pPr>
            <w:r>
              <w:rPr>
                <w:rFonts w:hint="eastAsia" w:ascii="仿宋" w:hAnsi="仿宋" w:eastAsia="仿宋" w:cs="仿宋"/>
                <w:color w:val="auto"/>
                <w:sz w:val="32"/>
                <w:highlight w:val="none"/>
              </w:rPr>
              <w:t>（项目名称）项目</w:t>
            </w:r>
          </w:p>
          <w:p>
            <w:pPr>
              <w:pStyle w:val="63"/>
              <w:keepNext w:val="0"/>
              <w:keepLines w:val="0"/>
              <w:widowControl/>
              <w:suppressLineNumbers w:val="0"/>
              <w:spacing w:before="624" w:beforeAutospacing="0" w:after="156" w:afterAutospacing="0" w:line="160" w:lineRule="atLeast"/>
              <w:ind w:left="0" w:right="-284"/>
              <w:jc w:val="center"/>
              <w:rPr>
                <w:rFonts w:hint="eastAsia" w:ascii="仿宋" w:hAnsi="仿宋" w:eastAsia="仿宋" w:cs="仿宋"/>
                <w:color w:val="auto"/>
                <w:sz w:val="52"/>
                <w:highlight w:val="none"/>
              </w:rPr>
            </w:pPr>
            <w:r>
              <w:rPr>
                <w:rFonts w:hint="eastAsia" w:ascii="仿宋" w:hAnsi="仿宋" w:eastAsia="仿宋" w:cs="仿宋"/>
                <w:color w:val="auto"/>
                <w:sz w:val="52"/>
                <w:highlight w:val="none"/>
              </w:rPr>
              <w:t>磋商响应文件</w:t>
            </w:r>
          </w:p>
          <w:p>
            <w:pPr>
              <w:pStyle w:val="63"/>
              <w:keepNext w:val="0"/>
              <w:keepLines w:val="0"/>
              <w:widowControl/>
              <w:suppressLineNumbers w:val="0"/>
              <w:spacing w:before="624" w:beforeAutospacing="0" w:after="156" w:afterAutospacing="0" w:line="240" w:lineRule="atLeast"/>
              <w:ind w:left="0" w:right="0"/>
              <w:jc w:val="center"/>
              <w:rPr>
                <w:rFonts w:hint="eastAsia" w:ascii="仿宋" w:hAnsi="仿宋" w:eastAsia="仿宋" w:cs="仿宋"/>
                <w:color w:val="auto"/>
                <w:sz w:val="40"/>
                <w:highlight w:val="none"/>
              </w:rPr>
            </w:pPr>
            <w:r>
              <w:rPr>
                <w:rFonts w:hint="eastAsia" w:ascii="仿宋" w:hAnsi="仿宋" w:eastAsia="仿宋" w:cs="仿宋"/>
                <w:color w:val="auto"/>
                <w:sz w:val="40"/>
                <w:highlight w:val="none"/>
              </w:rPr>
              <w:t>（商务文件/技术文件/报价文件）</w:t>
            </w:r>
          </w:p>
          <w:p>
            <w:pPr>
              <w:pStyle w:val="6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283" w:firstLine="2520" w:firstLineChars="1050"/>
              <w:textAlignment w:val="auto"/>
              <w:rPr>
                <w:rFonts w:hint="eastAsia" w:ascii="仿宋" w:hAnsi="仿宋" w:eastAsia="仿宋" w:cs="仿宋"/>
                <w:color w:val="auto"/>
                <w:sz w:val="24"/>
                <w:highlight w:val="none"/>
              </w:rPr>
            </w:pPr>
          </w:p>
          <w:p>
            <w:pPr>
              <w:pStyle w:val="6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283" w:firstLine="2520" w:firstLineChars="1050"/>
              <w:textAlignment w:val="auto"/>
              <w:rPr>
                <w:rFonts w:hint="eastAsia" w:ascii="仿宋" w:hAnsi="仿宋" w:eastAsia="仿宋" w:cs="仿宋"/>
                <w:color w:val="auto"/>
                <w:sz w:val="24"/>
                <w:highlight w:val="none"/>
              </w:rPr>
            </w:pPr>
          </w:p>
          <w:p>
            <w:pPr>
              <w:pStyle w:val="6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leftChars="0" w:right="-283" w:firstLine="0" w:firstLineChars="0"/>
              <w:jc w:val="center"/>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供应商：</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盖章）</w:t>
            </w:r>
          </w:p>
          <w:p>
            <w:pPr>
              <w:pStyle w:val="6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283" w:firstLine="2520" w:firstLineChars="1050"/>
              <w:textAlignment w:val="auto"/>
              <w:rPr>
                <w:rFonts w:hint="eastAsia" w:ascii="仿宋" w:hAnsi="仿宋" w:eastAsia="仿宋" w:cs="仿宋"/>
                <w:color w:val="auto"/>
                <w:sz w:val="24"/>
                <w:highlight w:val="none"/>
                <w:u w:val="single"/>
              </w:rPr>
            </w:pPr>
          </w:p>
          <w:p>
            <w:pPr>
              <w:pStyle w:val="6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283"/>
              <w:jc w:val="center"/>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法定代表人或其委托的代理人：</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（签字或盖章）</w:t>
            </w:r>
          </w:p>
          <w:p>
            <w:pPr>
              <w:pStyle w:val="63"/>
              <w:keepNext w:val="0"/>
              <w:keepLines w:val="0"/>
              <w:widowControl/>
              <w:suppressLineNumbers w:val="0"/>
              <w:spacing w:before="0" w:beforeAutospacing="0" w:after="624" w:afterAutospacing="0"/>
              <w:ind w:left="0" w:right="-284"/>
              <w:jc w:val="center"/>
              <w:rPr>
                <w:rFonts w:hint="eastAsia" w:ascii="仿宋" w:hAnsi="仿宋" w:eastAsia="仿宋" w:cs="仿宋"/>
                <w:color w:val="auto"/>
                <w:sz w:val="24"/>
                <w:highlight w:val="none"/>
              </w:rPr>
            </w:pPr>
          </w:p>
          <w:p>
            <w:pPr>
              <w:pStyle w:val="63"/>
              <w:keepNext w:val="0"/>
              <w:keepLines w:val="0"/>
              <w:widowControl/>
              <w:suppressLineNumbers w:val="0"/>
              <w:spacing w:before="0" w:beforeAutospacing="0" w:after="624" w:afterAutospacing="0"/>
              <w:ind w:left="0" w:right="-284"/>
              <w:jc w:val="center"/>
              <w:rPr>
                <w:rFonts w:hint="eastAsia" w:ascii="仿宋" w:hAnsi="仿宋" w:eastAsia="仿宋" w:cs="仿宋"/>
                <w:color w:val="auto"/>
                <w:highlight w:val="none"/>
              </w:rPr>
            </w:pPr>
            <w:r>
              <w:rPr>
                <w:rFonts w:hint="eastAsia" w:ascii="仿宋" w:hAnsi="仿宋" w:eastAsia="仿宋" w:cs="仿宋"/>
                <w:color w:val="auto"/>
                <w:sz w:val="24"/>
                <w:highlight w:val="none"/>
              </w:rPr>
              <w:t>年     月    日</w:t>
            </w:r>
          </w:p>
        </w:tc>
      </w:tr>
    </w:tbl>
    <w:p>
      <w:pPr>
        <w:rPr>
          <w:rFonts w:hint="eastAsia" w:ascii="仿宋" w:hAnsi="仿宋" w:eastAsia="仿宋" w:cs="仿宋"/>
          <w:b/>
          <w:color w:val="auto"/>
          <w:highlight w:val="none"/>
        </w:rPr>
      </w:pPr>
      <w:r>
        <w:rPr>
          <w:rFonts w:hint="eastAsia" w:ascii="仿宋" w:hAnsi="仿宋" w:eastAsia="仿宋" w:cs="仿宋"/>
          <w:b/>
          <w:color w:val="auto"/>
          <w:highlight w:val="none"/>
        </w:rPr>
        <w:t>格式：封口</w:t>
      </w:r>
    </w:p>
    <w:tbl>
      <w:tblPr>
        <w:tblStyle w:val="30"/>
        <w:tblW w:w="9288" w:type="dxa"/>
        <w:tblInd w:w="0" w:type="dxa"/>
        <w:tblLayout w:type="fixed"/>
        <w:tblCellMar>
          <w:top w:w="0" w:type="dxa"/>
          <w:left w:w="108" w:type="dxa"/>
          <w:bottom w:w="0" w:type="dxa"/>
          <w:right w:w="108" w:type="dxa"/>
        </w:tblCellMar>
      </w:tblPr>
      <w:tblGrid>
        <w:gridCol w:w="9288"/>
      </w:tblGrid>
      <w:tr>
        <w:tblPrEx>
          <w:tblCellMar>
            <w:top w:w="0" w:type="dxa"/>
            <w:left w:w="108" w:type="dxa"/>
            <w:bottom w:w="0" w:type="dxa"/>
            <w:right w:w="108" w:type="dxa"/>
          </w:tblCellMar>
        </w:tblPrEx>
        <w:trPr>
          <w:trHeight w:val="1503" w:hRule="atLeast"/>
        </w:trPr>
        <w:tc>
          <w:tcPr>
            <w:tcW w:w="9288" w:type="dxa"/>
            <w:tcBorders>
              <w:top w:val="single" w:color="000000" w:sz="4" w:space="0"/>
              <w:left w:val="single" w:color="000000" w:sz="4" w:space="0"/>
              <w:bottom w:val="single" w:color="000000" w:sz="4" w:space="0"/>
              <w:right w:val="single" w:color="000000" w:sz="4" w:space="0"/>
            </w:tcBorders>
            <w:vAlign w:val="center"/>
          </w:tcPr>
          <w:p>
            <w:pPr>
              <w:pStyle w:val="63"/>
              <w:keepNext w:val="0"/>
              <w:keepLines w:val="0"/>
              <w:widowControl/>
              <w:suppressLineNumbers w:val="0"/>
              <w:spacing w:before="0" w:beforeAutospacing="0" w:after="0" w:afterAutospacing="0"/>
              <w:ind w:left="0" w:right="-284"/>
              <w:jc w:val="center"/>
              <w:rPr>
                <w:rFonts w:hint="eastAsia" w:ascii="仿宋" w:hAnsi="仿宋" w:eastAsia="仿宋" w:cs="仿宋"/>
                <w:b/>
                <w:color w:val="auto"/>
                <w:highlight w:val="none"/>
              </w:rPr>
            </w:pPr>
            <w:r>
              <w:rPr>
                <w:rFonts w:hint="eastAsia" w:ascii="仿宋" w:hAnsi="仿宋" w:eastAsia="仿宋" w:cs="仿宋"/>
                <w:b/>
                <w:color w:val="auto"/>
                <w:highlight w:val="none"/>
              </w:rPr>
              <w:t>-------------于年月日时分之前不准启封（公章）------------</w:t>
            </w:r>
          </w:p>
        </w:tc>
      </w:tr>
    </w:tbl>
    <w:p>
      <w:pPr>
        <w:rPr>
          <w:rFonts w:hint="eastAsia" w:ascii="仿宋" w:hAnsi="仿宋" w:eastAsia="仿宋" w:cs="仿宋"/>
          <w:color w:val="auto"/>
          <w:szCs w:val="21"/>
          <w:highlight w:val="none"/>
        </w:rPr>
      </w:pPr>
    </w:p>
    <w:p>
      <w:pPr>
        <w:pStyle w:val="4"/>
        <w:jc w:val="both"/>
        <w:rPr>
          <w:rFonts w:hint="eastAsia" w:ascii="仿宋" w:hAnsi="仿宋" w:eastAsia="仿宋" w:cs="仿宋"/>
          <w:color w:val="auto"/>
          <w:sz w:val="24"/>
          <w:szCs w:val="24"/>
          <w:highlight w:val="none"/>
        </w:rPr>
      </w:pPr>
      <w:bookmarkStart w:id="133" w:name="_Toc3936"/>
      <w:bookmarkStart w:id="134" w:name="_Toc517281836"/>
      <w:bookmarkStart w:id="135" w:name="_Toc287600131"/>
      <w:bookmarkStart w:id="136" w:name="_Toc11783"/>
      <w:bookmarkStart w:id="137" w:name="_Toc25957"/>
      <w:bookmarkStart w:id="138" w:name="_Toc21280"/>
      <w:bookmarkStart w:id="139" w:name="_Toc444891353"/>
      <w:bookmarkStart w:id="140" w:name="_Toc19910"/>
      <w:bookmarkStart w:id="141" w:name="_Toc19783362"/>
      <w:bookmarkStart w:id="142" w:name="_Toc19783360"/>
      <w:bookmarkStart w:id="143" w:name="_Toc287600129"/>
      <w:r>
        <w:rPr>
          <w:rFonts w:hint="eastAsia" w:ascii="仿宋" w:hAnsi="仿宋" w:eastAsia="仿宋" w:cs="仿宋"/>
          <w:color w:val="auto"/>
          <w:sz w:val="24"/>
          <w:szCs w:val="24"/>
          <w:highlight w:val="none"/>
        </w:rPr>
        <w:br w:type="page"/>
      </w:r>
      <w:bookmarkStart w:id="144" w:name="_Toc17191"/>
      <w:bookmarkStart w:id="145" w:name="_Toc14520"/>
      <w:r>
        <w:rPr>
          <w:rFonts w:hint="eastAsia" w:ascii="仿宋" w:hAnsi="仿宋" w:eastAsia="仿宋" w:cs="仿宋"/>
          <w:color w:val="auto"/>
          <w:sz w:val="24"/>
          <w:szCs w:val="24"/>
          <w:highlight w:val="none"/>
        </w:rPr>
        <w:t>一、商务文件</w:t>
      </w:r>
      <w:bookmarkEnd w:id="133"/>
      <w:bookmarkEnd w:id="144"/>
      <w:bookmarkEnd w:id="145"/>
    </w:p>
    <w:p>
      <w:pPr>
        <w:jc w:val="center"/>
        <w:rPr>
          <w:rFonts w:hint="eastAsia" w:ascii="仿宋" w:hAnsi="仿宋" w:eastAsia="仿宋" w:cs="仿宋"/>
          <w:color w:val="auto"/>
          <w:highlight w:val="none"/>
        </w:rPr>
      </w:pPr>
      <w:bookmarkStart w:id="146" w:name="_Toc26744"/>
      <w:r>
        <w:rPr>
          <w:rFonts w:hint="eastAsia" w:ascii="仿宋" w:hAnsi="仿宋" w:eastAsia="仿宋" w:cs="仿宋"/>
          <w:b/>
          <w:bCs/>
          <w:color w:val="auto"/>
          <w:highlight w:val="none"/>
        </w:rPr>
        <w:t>初步评审索引表</w:t>
      </w:r>
      <w:bookmarkEnd w:id="146"/>
    </w:p>
    <w:tbl>
      <w:tblPr>
        <w:tblStyle w:val="30"/>
        <w:tblW w:w="9459" w:type="dxa"/>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
      <w:tblGrid>
        <w:gridCol w:w="788"/>
        <w:gridCol w:w="1609"/>
        <w:gridCol w:w="3310"/>
        <w:gridCol w:w="3752"/>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b/>
                <w:color w:val="auto"/>
                <w:sz w:val="22"/>
                <w:szCs w:val="22"/>
                <w:highlight w:val="none"/>
              </w:rPr>
              <w:t>序号</w:t>
            </w:r>
          </w:p>
        </w:tc>
        <w:tc>
          <w:tcPr>
            <w:tcW w:w="1609" w:type="dxa"/>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b/>
                <w:color w:val="auto"/>
                <w:sz w:val="22"/>
                <w:szCs w:val="22"/>
                <w:highlight w:val="none"/>
              </w:rPr>
              <w:t>评审环节</w:t>
            </w:r>
          </w:p>
        </w:tc>
        <w:tc>
          <w:tcPr>
            <w:tcW w:w="3310" w:type="dxa"/>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b/>
                <w:color w:val="auto"/>
                <w:sz w:val="22"/>
                <w:szCs w:val="22"/>
                <w:highlight w:val="none"/>
              </w:rPr>
              <w:t>评审因素</w:t>
            </w:r>
          </w:p>
        </w:tc>
        <w:tc>
          <w:tcPr>
            <w:tcW w:w="3752"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b/>
                <w:color w:val="auto"/>
                <w:sz w:val="22"/>
                <w:szCs w:val="22"/>
                <w:highlight w:val="none"/>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restart"/>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p>
        </w:tc>
        <w:tc>
          <w:tcPr>
            <w:tcW w:w="1609" w:type="dxa"/>
            <w:vMerge w:val="restart"/>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形式评审标准</w:t>
            </w:r>
          </w:p>
        </w:tc>
        <w:tc>
          <w:tcPr>
            <w:tcW w:w="3310"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供应商名称</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法定代表人（负责人）身份证明</w:t>
            </w:r>
          </w:p>
        </w:tc>
        <w:tc>
          <w:tcPr>
            <w:tcW w:w="3752" w:type="dxa"/>
            <w:vAlign w:val="center"/>
          </w:tcPr>
          <w:p>
            <w:pPr>
              <w:keepNext w:val="0"/>
              <w:keepLines w:val="0"/>
              <w:widowControl/>
              <w:suppressLineNumbers w:val="0"/>
              <w:topLinePunct/>
              <w:spacing w:before="48" w:beforeLines="20" w:beforeAutospacing="0" w:after="48" w:afterLines="20"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法定代表人（负责人）授权委托书</w:t>
            </w:r>
          </w:p>
        </w:tc>
        <w:tc>
          <w:tcPr>
            <w:tcW w:w="3752" w:type="dxa"/>
            <w:vAlign w:val="center"/>
          </w:tcPr>
          <w:p>
            <w:pPr>
              <w:keepNext w:val="0"/>
              <w:keepLines w:val="0"/>
              <w:widowControl/>
              <w:suppressLineNumbers w:val="0"/>
              <w:topLinePunct/>
              <w:spacing w:before="48" w:beforeLines="20" w:beforeAutospacing="0" w:after="48" w:afterLines="20"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auto"/>
                <w:spacing w:val="-4"/>
                <w:sz w:val="22"/>
                <w:szCs w:val="22"/>
                <w:highlight w:val="none"/>
              </w:rPr>
            </w:pPr>
            <w:r>
              <w:rPr>
                <w:rFonts w:hint="eastAsia" w:ascii="仿宋" w:hAnsi="仿宋" w:eastAsia="仿宋" w:cs="仿宋"/>
                <w:color w:val="auto"/>
                <w:sz w:val="22"/>
                <w:szCs w:val="22"/>
                <w:highlight w:val="none"/>
              </w:rPr>
              <w:t>响应文件签字或盖章</w:t>
            </w:r>
          </w:p>
        </w:tc>
        <w:tc>
          <w:tcPr>
            <w:tcW w:w="3752" w:type="dxa"/>
            <w:vAlign w:val="center"/>
          </w:tcPr>
          <w:p>
            <w:pPr>
              <w:keepNext w:val="0"/>
              <w:keepLines w:val="0"/>
              <w:widowControl/>
              <w:suppressLineNumbers w:val="0"/>
              <w:spacing w:before="48" w:beforeLines="20" w:beforeAutospacing="0" w:after="48" w:afterLines="20"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restart"/>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w:t>
            </w:r>
          </w:p>
        </w:tc>
        <w:tc>
          <w:tcPr>
            <w:tcW w:w="1609" w:type="dxa"/>
            <w:vMerge w:val="restart"/>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资格评审标准</w:t>
            </w:r>
          </w:p>
        </w:tc>
        <w:tc>
          <w:tcPr>
            <w:tcW w:w="3310" w:type="dxa"/>
            <w:vAlign w:val="center"/>
          </w:tcPr>
          <w:p>
            <w:pPr>
              <w:keepNext w:val="0"/>
              <w:keepLines w:val="0"/>
              <w:widowControl/>
              <w:suppressLineNumbers w:val="0"/>
              <w:spacing w:before="24" w:beforeAutospacing="0" w:after="24" w:afterAutospacing="0"/>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具有独立承担民事责任的能力</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具有良好的商业信誉和健全的财务会计制度</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供应商应具有履行合同所必需的设备和专业技术能力</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具有依法缴纳税收和社会保障资金的良好记录</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近三年内无违法违规记录</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未被纳入采购人及其所隶属的中国人民保险各级机构的供应商黑名单</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控股管理关系</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ind w:left="0" w:right="0"/>
              <w:jc w:val="cente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非联合体</w:t>
            </w:r>
            <w:r>
              <w:rPr>
                <w:rFonts w:hint="eastAsia" w:ascii="仿宋" w:hAnsi="仿宋" w:eastAsia="仿宋" w:cs="仿宋"/>
                <w:color w:val="auto"/>
                <w:sz w:val="22"/>
                <w:szCs w:val="22"/>
                <w:highlight w:val="none"/>
                <w:lang w:val="en-US" w:eastAsia="zh-CN"/>
              </w:rPr>
              <w:t>响应</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restart"/>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w:t>
            </w:r>
          </w:p>
        </w:tc>
        <w:tc>
          <w:tcPr>
            <w:tcW w:w="1609" w:type="dxa"/>
            <w:vMerge w:val="restart"/>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响应性评审标准</w:t>
            </w:r>
          </w:p>
        </w:tc>
        <w:tc>
          <w:tcPr>
            <w:tcW w:w="3310"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响应函</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供应商行为准则承诺书</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供应商廉洁诚信承诺书</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供应商偏离应答</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信息安全采购要求承诺函</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其他实质性响应情况</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bl>
    <w:p>
      <w:pPr>
        <w:rPr>
          <w:rFonts w:hint="eastAsia" w:ascii="仿宋" w:hAnsi="仿宋" w:eastAsia="仿宋" w:cs="仿宋"/>
          <w:color w:val="auto"/>
          <w:szCs w:val="21"/>
          <w:highlight w:val="none"/>
        </w:rPr>
        <w:sectPr>
          <w:footerReference r:id="rId8" w:type="default"/>
          <w:pgSz w:w="11906" w:h="16838"/>
          <w:pgMar w:top="1417" w:right="1417" w:bottom="1417" w:left="1417" w:header="850" w:footer="992" w:gutter="0"/>
          <w:pgNumType w:fmt="decimal" w:start="1"/>
          <w:cols w:space="0" w:num="1"/>
          <w:rtlGutter w:val="0"/>
          <w:docGrid w:type="lines" w:linePitch="333" w:charSpace="0"/>
        </w:sectPr>
      </w:pPr>
    </w:p>
    <w:bookmarkEnd w:id="134"/>
    <w:bookmarkEnd w:id="135"/>
    <w:bookmarkEnd w:id="136"/>
    <w:bookmarkEnd w:id="137"/>
    <w:bookmarkEnd w:id="138"/>
    <w:bookmarkEnd w:id="139"/>
    <w:bookmarkEnd w:id="140"/>
    <w:bookmarkEnd w:id="141"/>
    <w:p>
      <w:pPr>
        <w:jc w:val="center"/>
        <w:rPr>
          <w:rFonts w:hint="eastAsia" w:ascii="仿宋" w:hAnsi="仿宋" w:eastAsia="仿宋" w:cs="仿宋"/>
          <w:b/>
          <w:bCs/>
          <w:color w:val="auto"/>
          <w:highlight w:val="none"/>
        </w:rPr>
      </w:pPr>
      <w:bookmarkStart w:id="147" w:name="_Toc25121"/>
      <w:bookmarkStart w:id="148" w:name="_Toc12140"/>
      <w:bookmarkStart w:id="149" w:name="_Toc7202"/>
      <w:bookmarkStart w:id="150" w:name="_Toc444891354"/>
      <w:bookmarkStart w:id="151" w:name="_Toc517281837"/>
      <w:bookmarkStart w:id="152" w:name="_Toc27799"/>
      <w:r>
        <w:rPr>
          <w:rFonts w:hint="eastAsia" w:ascii="仿宋" w:hAnsi="仿宋" w:eastAsia="仿宋" w:cs="仿宋"/>
          <w:b/>
          <w:bCs/>
          <w:color w:val="auto"/>
          <w:highlight w:val="none"/>
        </w:rPr>
        <w:t>详细评审索引表</w:t>
      </w:r>
    </w:p>
    <w:tbl>
      <w:tblPr>
        <w:tblStyle w:val="30"/>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29" w:type="dxa"/>
            <w:tcMar>
              <w:top w:w="15" w:type="dxa"/>
              <w:left w:w="85" w:type="dxa"/>
              <w:right w:w="8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lang w:bidi="ar"/>
              </w:rPr>
              <w:t>序号</w:t>
            </w:r>
          </w:p>
        </w:tc>
        <w:tc>
          <w:tcPr>
            <w:tcW w:w="1696" w:type="dxa"/>
            <w:tcMar>
              <w:top w:w="15" w:type="dxa"/>
              <w:left w:w="85" w:type="dxa"/>
              <w:right w:w="85" w:type="dxa"/>
            </w:tcMar>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Cs w:val="21"/>
                <w:highlight w:val="none"/>
                <w:lang w:bidi="ar"/>
              </w:rPr>
            </w:pPr>
            <w:r>
              <w:rPr>
                <w:rFonts w:hint="eastAsia" w:ascii="仿宋" w:hAnsi="仿宋" w:eastAsia="仿宋" w:cs="仿宋"/>
                <w:b/>
                <w:bCs/>
                <w:color w:val="auto"/>
                <w:szCs w:val="21"/>
                <w:highlight w:val="none"/>
              </w:rPr>
              <w:t>评审项</w:t>
            </w:r>
          </w:p>
        </w:tc>
        <w:tc>
          <w:tcPr>
            <w:tcW w:w="2268" w:type="dxa"/>
            <w:tcMar>
              <w:left w:w="85" w:type="dxa"/>
              <w:right w:w="85" w:type="dxa"/>
            </w:tcMa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lang w:bidi="ar"/>
              </w:rPr>
              <w:t>评审因素</w:t>
            </w:r>
          </w:p>
        </w:tc>
        <w:tc>
          <w:tcPr>
            <w:tcW w:w="4820" w:type="dxa"/>
            <w:tcMar>
              <w:top w:w="15" w:type="dxa"/>
              <w:left w:w="85" w:type="dxa"/>
              <w:right w:w="85" w:type="dxa"/>
            </w:tcMar>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29" w:type="dxa"/>
            <w:tcMar>
              <w:top w:w="15" w:type="dxa"/>
              <w:left w:w="85" w:type="dxa"/>
              <w:right w:w="8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1</w:t>
            </w:r>
          </w:p>
        </w:tc>
        <w:tc>
          <w:tcPr>
            <w:tcW w:w="1696" w:type="dxa"/>
            <w:vMerge w:val="restart"/>
            <w:tcMar>
              <w:top w:w="15" w:type="dxa"/>
              <w:left w:w="85" w:type="dxa"/>
              <w:right w:w="8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商务得分</w:t>
            </w:r>
          </w:p>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w:t>
            </w:r>
            <w:r>
              <w:rPr>
                <w:rFonts w:hint="eastAsia" w:ascii="仿宋" w:hAnsi="仿宋" w:eastAsia="仿宋" w:cs="仿宋"/>
                <w:color w:val="auto"/>
                <w:szCs w:val="21"/>
                <w:highlight w:val="none"/>
                <w:lang w:val="en-US" w:eastAsia="zh-CN" w:bidi="ar"/>
              </w:rPr>
              <w:t>10</w:t>
            </w:r>
            <w:r>
              <w:rPr>
                <w:rFonts w:hint="eastAsia" w:ascii="仿宋" w:hAnsi="仿宋" w:eastAsia="仿宋" w:cs="仿宋"/>
                <w:color w:val="auto"/>
                <w:szCs w:val="21"/>
                <w:highlight w:val="none"/>
                <w:lang w:bidi="ar"/>
              </w:rPr>
              <w:t>分）</w:t>
            </w:r>
          </w:p>
        </w:tc>
        <w:tc>
          <w:tcPr>
            <w:tcW w:w="2268" w:type="dxa"/>
            <w:tcMar>
              <w:left w:w="85" w:type="dxa"/>
              <w:right w:w="8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val="en-US" w:eastAsia="zh-CN" w:bidi="ar"/>
              </w:rPr>
              <w:t>企业</w:t>
            </w:r>
            <w:r>
              <w:rPr>
                <w:rFonts w:hint="eastAsia" w:ascii="仿宋" w:hAnsi="仿宋" w:eastAsia="仿宋" w:cs="仿宋"/>
                <w:color w:val="auto"/>
                <w:szCs w:val="21"/>
                <w:highlight w:val="none"/>
                <w:lang w:bidi="ar"/>
              </w:rPr>
              <w:t>综合实力</w:t>
            </w:r>
          </w:p>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w:t>
            </w:r>
            <w:r>
              <w:rPr>
                <w:rFonts w:hint="eastAsia" w:ascii="仿宋" w:hAnsi="仿宋" w:eastAsia="仿宋" w:cs="仿宋"/>
                <w:color w:val="auto"/>
                <w:szCs w:val="21"/>
                <w:highlight w:val="none"/>
                <w:lang w:val="en-US" w:eastAsia="zh-CN" w:bidi="ar"/>
              </w:rPr>
              <w:t>5</w:t>
            </w:r>
            <w:r>
              <w:rPr>
                <w:rFonts w:hint="eastAsia" w:ascii="仿宋" w:hAnsi="仿宋" w:eastAsia="仿宋" w:cs="仿宋"/>
                <w:color w:val="auto"/>
                <w:szCs w:val="21"/>
                <w:highlight w:val="none"/>
                <w:lang w:bidi="ar"/>
              </w:rPr>
              <w:t>分）</w:t>
            </w:r>
          </w:p>
        </w:tc>
        <w:tc>
          <w:tcPr>
            <w:tcW w:w="4820" w:type="dxa"/>
            <w:tcMar>
              <w:top w:w="15" w:type="dxa"/>
              <w:left w:w="85" w:type="dxa"/>
              <w:right w:w="85" w:type="dxa"/>
            </w:tcMar>
            <w:vAlign w:val="center"/>
          </w:tcPr>
          <w:p>
            <w:pPr>
              <w:keepNext w:val="0"/>
              <w:keepLines w:val="0"/>
              <w:widowControl/>
              <w:suppressLineNumbers w:val="0"/>
              <w:adjustRightInd w:val="0"/>
              <w:snapToGrid w:val="0"/>
              <w:spacing w:before="0" w:beforeAutospacing="0" w:after="0" w:afterAutospacing="0"/>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说明：XX</w:t>
            </w:r>
          </w:p>
          <w:p>
            <w:pPr>
              <w:keepNext w:val="0"/>
              <w:keepLines w:val="0"/>
              <w:widowControl/>
              <w:suppressLineNumbers w:val="0"/>
              <w:spacing w:before="0" w:beforeAutospacing="0" w:after="0" w:afterAutospacing="0"/>
              <w:ind w:left="0" w:right="0"/>
              <w:rPr>
                <w:rStyle w:val="77"/>
                <w:rFonts w:hint="eastAsia" w:ascii="仿宋" w:hAnsi="仿宋" w:eastAsia="仿宋" w:cs="仿宋"/>
                <w:color w:val="auto"/>
                <w:highlight w:val="none"/>
                <w:lang w:bidi="ar"/>
              </w:rPr>
            </w:pPr>
            <w:r>
              <w:rPr>
                <w:rFonts w:hint="eastAsia" w:ascii="仿宋" w:hAnsi="仿宋" w:eastAsia="仿宋" w:cs="仿宋"/>
                <w:color w:val="auto"/>
                <w:szCs w:val="21"/>
                <w:highlight w:val="none"/>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29" w:type="dxa"/>
            <w:tcMar>
              <w:top w:w="15" w:type="dxa"/>
              <w:left w:w="85" w:type="dxa"/>
              <w:right w:w="8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2</w:t>
            </w:r>
          </w:p>
        </w:tc>
        <w:tc>
          <w:tcPr>
            <w:tcW w:w="1696" w:type="dxa"/>
            <w:vMerge w:val="continue"/>
            <w:tcMar>
              <w:top w:w="15" w:type="dxa"/>
              <w:left w:w="85" w:type="dxa"/>
              <w:right w:w="8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Cs w:val="21"/>
                <w:highlight w:val="none"/>
                <w:lang w:bidi="ar"/>
              </w:rPr>
            </w:pPr>
          </w:p>
        </w:tc>
        <w:tc>
          <w:tcPr>
            <w:tcW w:w="2268" w:type="dxa"/>
            <w:tcMar>
              <w:left w:w="85" w:type="dxa"/>
              <w:right w:w="8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同类业绩</w:t>
            </w:r>
          </w:p>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w:t>
            </w:r>
            <w:r>
              <w:rPr>
                <w:rFonts w:hint="eastAsia" w:ascii="仿宋" w:hAnsi="仿宋" w:eastAsia="仿宋" w:cs="仿宋"/>
                <w:color w:val="auto"/>
                <w:szCs w:val="21"/>
                <w:highlight w:val="none"/>
                <w:lang w:val="en-US" w:eastAsia="zh-CN" w:bidi="ar"/>
              </w:rPr>
              <w:t>5</w:t>
            </w:r>
            <w:r>
              <w:rPr>
                <w:rFonts w:hint="eastAsia" w:ascii="仿宋" w:hAnsi="仿宋" w:eastAsia="仿宋" w:cs="仿宋"/>
                <w:color w:val="auto"/>
                <w:szCs w:val="21"/>
                <w:highlight w:val="none"/>
                <w:lang w:bidi="ar"/>
              </w:rPr>
              <w:t>分）</w:t>
            </w:r>
          </w:p>
        </w:tc>
        <w:tc>
          <w:tcPr>
            <w:tcW w:w="4820" w:type="dxa"/>
            <w:tcMar>
              <w:top w:w="15" w:type="dxa"/>
              <w:left w:w="85" w:type="dxa"/>
              <w:right w:w="85" w:type="dxa"/>
            </w:tcMar>
            <w:vAlign w:val="center"/>
          </w:tcPr>
          <w:p>
            <w:pPr>
              <w:keepNext w:val="0"/>
              <w:keepLines w:val="0"/>
              <w:widowControl/>
              <w:suppressLineNumbers w:val="0"/>
              <w:adjustRightInd w:val="0"/>
              <w:snapToGrid w:val="0"/>
              <w:spacing w:before="0" w:beforeAutospacing="0" w:after="0" w:afterAutospacing="0"/>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说明：XX</w:t>
            </w:r>
          </w:p>
          <w:p>
            <w:pPr>
              <w:keepNext w:val="0"/>
              <w:keepLines w:val="0"/>
              <w:widowControl/>
              <w:suppressLineNumbers w:val="0"/>
              <w:spacing w:before="0" w:beforeAutospacing="0" w:after="0" w:afterAutospacing="0"/>
              <w:ind w:left="0" w:right="0"/>
              <w:rPr>
                <w:rStyle w:val="77"/>
                <w:rFonts w:hint="eastAsia" w:ascii="仿宋" w:hAnsi="仿宋" w:eastAsia="仿宋" w:cs="仿宋"/>
                <w:color w:val="auto"/>
                <w:highlight w:val="none"/>
                <w:lang w:bidi="ar"/>
              </w:rPr>
            </w:pPr>
            <w:r>
              <w:rPr>
                <w:rFonts w:hint="eastAsia" w:ascii="仿宋" w:hAnsi="仿宋" w:eastAsia="仿宋" w:cs="仿宋"/>
                <w:color w:val="auto"/>
                <w:szCs w:val="21"/>
                <w:highlight w:val="none"/>
              </w:rPr>
              <w:t>详见N-M页</w:t>
            </w:r>
          </w:p>
        </w:tc>
      </w:tr>
    </w:tbl>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pPr>
        <w:pStyle w:val="5"/>
        <w:spacing w:before="0" w:line="440" w:lineRule="exact"/>
        <w:rPr>
          <w:rFonts w:hint="eastAsia" w:ascii="仿宋" w:hAnsi="仿宋" w:eastAsia="仿宋" w:cs="仿宋"/>
          <w:color w:val="auto"/>
          <w:sz w:val="24"/>
          <w:szCs w:val="24"/>
          <w:highlight w:val="none"/>
        </w:rPr>
      </w:pPr>
      <w:bookmarkStart w:id="153" w:name="_Toc22825"/>
      <w:bookmarkStart w:id="154" w:name="_Toc27958"/>
      <w:r>
        <w:rPr>
          <w:rFonts w:hint="eastAsia" w:ascii="仿宋" w:hAnsi="仿宋" w:eastAsia="仿宋" w:cs="仿宋"/>
          <w:color w:val="auto"/>
          <w:sz w:val="24"/>
          <w:szCs w:val="24"/>
          <w:highlight w:val="none"/>
        </w:rPr>
        <w:t>（一）响应函</w:t>
      </w:r>
      <w:bookmarkEnd w:id="153"/>
      <w:bookmarkEnd w:id="154"/>
    </w:p>
    <w:p>
      <w:pPr>
        <w:pStyle w:val="63"/>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致：（采购人名称）     </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u w:val="single"/>
        </w:rPr>
        <w:t xml:space="preserve">   （供应商名称）   </w:t>
      </w:r>
      <w:r>
        <w:rPr>
          <w:rFonts w:hint="eastAsia" w:ascii="仿宋" w:hAnsi="仿宋" w:eastAsia="仿宋" w:cs="仿宋"/>
          <w:color w:val="auto"/>
          <w:highlight w:val="none"/>
        </w:rPr>
        <w:t>（以下称“我方”）已仔细研究了</w:t>
      </w:r>
      <w:r>
        <w:rPr>
          <w:rFonts w:hint="eastAsia" w:ascii="仿宋" w:hAnsi="仿宋" w:eastAsia="仿宋" w:cs="仿宋"/>
          <w:color w:val="auto"/>
          <w:highlight w:val="none"/>
          <w:u w:val="single"/>
        </w:rPr>
        <w:t xml:space="preserve">  （项目名称）    </w:t>
      </w:r>
      <w:r>
        <w:rPr>
          <w:rFonts w:hint="eastAsia" w:ascii="仿宋" w:hAnsi="仿宋" w:eastAsia="仿宋" w:cs="仿宋"/>
          <w:color w:val="auto"/>
          <w:highlight w:val="none"/>
        </w:rPr>
        <w:t>竞争性磋商文件的全部内容，包括澄清或者修改文件以及有关附件，我方将严格按照竞争性磋商文件要求递交符合要求的全部磋商响应文件。</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现我方承诺如下内容：</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1. 本响应函及磋商响应文件自磋商响应文件提交截止日起有效期为</w:t>
      </w:r>
      <w:r>
        <w:rPr>
          <w:rFonts w:hint="eastAsia" w:ascii="仿宋" w:hAnsi="仿宋" w:eastAsia="仿宋" w:cs="仿宋"/>
          <w:color w:val="auto"/>
          <w:highlight w:val="none"/>
          <w:u w:val="single"/>
        </w:rPr>
        <w:t>180天</w:t>
      </w:r>
      <w:r>
        <w:rPr>
          <w:rFonts w:hint="eastAsia" w:ascii="仿宋" w:hAnsi="仿宋" w:eastAsia="仿宋" w:cs="仿宋"/>
          <w:color w:val="auto"/>
          <w:highlight w:val="none"/>
        </w:rPr>
        <w:t>，我方承诺在响应有效期内不修改、撤销磋商响应文件。</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2. 我方承诺提供磋商过程中可能要求的澄清、说明、补正或者算术性错误修正确认，并同意我方提供的以上材料构成我方响应文件的组成部分。</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3. 我方同意提供贵方可能要求的与我方响应文件有关的一切数据、资料、证明原件、证件原件，并完全理解贵方不一定接受最低价的响应。</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4．我方承诺对在本次采购活动过程中所获知贵方一切商业秘密保密，不会向任何第三方泄露，不会用于本次采购活动之外的任何其他目的。</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5．我方承诺对所递交的响应文件及有关材料的真实性、合法性、完整性、准确性承担法律责任。如有弄虚作假、串通投标、行贿等违法违规行为，将承担相应的法律责任，并赔偿由此给贵方造成的一切损失。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6. 如我方成交：</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（1）我方承诺在收到成交通知书后，在成交通知书规定的期限内与贵方签订合同。</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（2）我方承诺按照竞争性磋商文件规定递交履约保证金。</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（3）我方承诺按照竞争性磋商文件的规定及合同约定履行相关责任和义务。</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（4）我方在此承诺，双方合作后可开具增值税专用发票。</w:t>
      </w:r>
    </w:p>
    <w:p>
      <w:pPr>
        <w:spacing w:line="440" w:lineRule="exact"/>
        <w:ind w:firstLine="4080" w:firstLineChars="1700"/>
        <w:jc w:val="right"/>
        <w:rPr>
          <w:rFonts w:hint="eastAsia" w:ascii="仿宋" w:hAnsi="仿宋" w:eastAsia="仿宋" w:cs="仿宋"/>
          <w:color w:val="auto"/>
          <w:highlight w:val="none"/>
        </w:rPr>
      </w:pPr>
    </w:p>
    <w:p>
      <w:pPr>
        <w:spacing w:line="440" w:lineRule="exact"/>
        <w:ind w:firstLine="408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440" w:lineRule="exact"/>
        <w:jc w:val="right"/>
        <w:rPr>
          <w:rFonts w:hint="eastAsia"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pStyle w:val="5"/>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bookmarkEnd w:id="142"/>
      <w:bookmarkEnd w:id="143"/>
      <w:bookmarkEnd w:id="147"/>
      <w:bookmarkEnd w:id="148"/>
      <w:bookmarkEnd w:id="149"/>
      <w:bookmarkEnd w:id="150"/>
      <w:bookmarkEnd w:id="151"/>
      <w:bookmarkEnd w:id="152"/>
      <w:bookmarkStart w:id="155" w:name="_Toc13983"/>
      <w:bookmarkStart w:id="156" w:name="_Toc2027"/>
      <w:r>
        <w:rPr>
          <w:rFonts w:hint="eastAsia" w:ascii="仿宋" w:hAnsi="仿宋" w:eastAsia="仿宋" w:cs="仿宋"/>
          <w:color w:val="auto"/>
          <w:sz w:val="24"/>
          <w:szCs w:val="24"/>
          <w:highlight w:val="none"/>
        </w:rPr>
        <w:t>（二）法定代表人（负责人）身份证明书</w:t>
      </w:r>
      <w:bookmarkEnd w:id="155"/>
      <w:bookmarkEnd w:id="156"/>
      <w:r>
        <w:rPr>
          <w:rFonts w:hint="eastAsia" w:ascii="仿宋" w:hAnsi="仿宋" w:eastAsia="仿宋" w:cs="仿宋"/>
          <w:color w:val="auto"/>
          <w:sz w:val="24"/>
          <w:szCs w:val="24"/>
          <w:highlight w:val="none"/>
        </w:rPr>
        <w:tab/>
      </w:r>
    </w:p>
    <w:p>
      <w:pPr>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法定代表人（负责人）身份证明书</w:t>
      </w:r>
      <w:r>
        <w:rPr>
          <w:rFonts w:hint="eastAsia" w:ascii="仿宋" w:hAnsi="仿宋" w:eastAsia="仿宋" w:cs="仿宋"/>
          <w:b/>
          <w:color w:val="auto"/>
          <w:highlight w:val="none"/>
        </w:rPr>
        <w:tab/>
      </w:r>
    </w:p>
    <w:p>
      <w:pPr>
        <w:spacing w:line="360" w:lineRule="auto"/>
        <w:rPr>
          <w:rFonts w:hint="eastAsia" w:ascii="仿宋" w:hAnsi="仿宋" w:eastAsia="仿宋" w:cs="仿宋"/>
          <w:b/>
          <w:color w:val="auto"/>
          <w:highlight w:val="none"/>
        </w:rPr>
      </w:pPr>
    </w:p>
    <w:p>
      <w:pPr>
        <w:topLinePunct/>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成立时间：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topLinePunct/>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姓名：</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性别：</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年龄：</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职务：</w:t>
      </w:r>
      <w:r>
        <w:rPr>
          <w:rFonts w:hint="eastAsia" w:ascii="仿宋" w:hAnsi="仿宋" w:eastAsia="仿宋" w:cs="仿宋"/>
          <w:color w:val="auto"/>
          <w:highlight w:val="none"/>
          <w:u w:val="single"/>
        </w:rPr>
        <w:t xml:space="preserve">         </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系</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（供应商名称）的法定代表人（负责人）。</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特此证明。</w:t>
      </w:r>
    </w:p>
    <w:p>
      <w:pPr>
        <w:topLinePunct/>
        <w:spacing w:line="360" w:lineRule="auto"/>
        <w:rPr>
          <w:rFonts w:hint="eastAsia" w:ascii="仿宋" w:hAnsi="仿宋" w:eastAsia="仿宋" w:cs="仿宋"/>
          <w:color w:val="auto"/>
          <w:highlight w:val="none"/>
        </w:rPr>
      </w:pPr>
    </w:p>
    <w:p>
      <w:pPr>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附：法定代表人（负责人）身份证复印件（需同时提供正面及背面）。</w:t>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2336;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auto"/>
          <w:highlight w:val="none"/>
        </w:rPr>
        <mc:AlternateContent>
          <mc:Choice Requires="wps">
            <w:drawing>
              <wp:anchor distT="0" distB="0" distL="114300" distR="114300" simplePos="0" relativeHeight="251663360"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3360;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63"/>
        <w:spacing w:line="440" w:lineRule="atLeast"/>
        <w:ind w:firstLine="480"/>
        <w:jc w:val="left"/>
        <w:rPr>
          <w:rFonts w:hint="eastAsia" w:ascii="仿宋" w:hAnsi="仿宋" w:eastAsia="仿宋" w:cs="仿宋"/>
          <w:color w:val="auto"/>
          <w:highlight w:val="none"/>
        </w:rPr>
      </w:pPr>
    </w:p>
    <w:p>
      <w:pPr>
        <w:pStyle w:val="63"/>
        <w:spacing w:line="440" w:lineRule="atLeast"/>
        <w:ind w:firstLine="480"/>
        <w:jc w:val="left"/>
        <w:rPr>
          <w:rFonts w:hint="eastAsia" w:ascii="仿宋" w:hAnsi="仿宋" w:eastAsia="仿宋" w:cs="仿宋"/>
          <w:color w:val="auto"/>
          <w:highlight w:val="none"/>
        </w:rPr>
      </w:pPr>
    </w:p>
    <w:p>
      <w:pPr>
        <w:pStyle w:val="63"/>
        <w:spacing w:line="440" w:lineRule="atLeast"/>
        <w:ind w:firstLine="480"/>
        <w:jc w:val="left"/>
        <w:rPr>
          <w:rFonts w:hint="eastAsia" w:ascii="仿宋" w:hAnsi="仿宋" w:eastAsia="仿宋" w:cs="仿宋"/>
          <w:color w:val="auto"/>
          <w:highlight w:val="none"/>
        </w:rPr>
      </w:pPr>
    </w:p>
    <w:p>
      <w:pPr>
        <w:spacing w:line="360" w:lineRule="auto"/>
        <w:ind w:firstLine="610"/>
        <w:rPr>
          <w:rFonts w:hint="eastAsia" w:ascii="仿宋" w:hAnsi="仿宋" w:eastAsia="仿宋" w:cs="仿宋"/>
          <w:color w:val="auto"/>
          <w:highlight w:val="none"/>
        </w:rPr>
      </w:pPr>
    </w:p>
    <w:p>
      <w:pPr>
        <w:tabs>
          <w:tab w:val="left" w:pos="720"/>
          <w:tab w:val="left" w:pos="900"/>
        </w:tabs>
        <w:spacing w:line="360" w:lineRule="auto"/>
        <w:rPr>
          <w:rFonts w:hint="eastAsia" w:ascii="仿宋" w:hAnsi="仿宋" w:eastAsia="仿宋" w:cs="仿宋"/>
          <w:color w:val="auto"/>
          <w:highlight w:val="none"/>
        </w:rPr>
      </w:pPr>
    </w:p>
    <w:p>
      <w:pPr>
        <w:spacing w:line="440" w:lineRule="exact"/>
        <w:ind w:firstLine="4080" w:firstLineChars="1700"/>
        <w:jc w:val="right"/>
        <w:rPr>
          <w:rFonts w:hint="eastAsia" w:ascii="仿宋" w:hAnsi="仿宋" w:eastAsia="仿宋" w:cs="仿宋"/>
          <w:color w:val="auto"/>
          <w:highlight w:val="none"/>
        </w:rPr>
      </w:pPr>
    </w:p>
    <w:p>
      <w:pPr>
        <w:wordWrap w:val="0"/>
        <w:spacing w:line="440" w:lineRule="exact"/>
        <w:ind w:firstLine="408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 xml:space="preserve">   </w:t>
      </w:r>
    </w:p>
    <w:p>
      <w:pPr>
        <w:spacing w:line="440" w:lineRule="exact"/>
        <w:ind w:firstLine="408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 xml:space="preserve">    </w:t>
      </w:r>
    </w:p>
    <w:p>
      <w:pPr>
        <w:spacing w:line="440" w:lineRule="exact"/>
        <w:ind w:firstLine="408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 xml:space="preserve">     </w:t>
      </w:r>
    </w:p>
    <w:p>
      <w:pPr>
        <w:spacing w:line="440" w:lineRule="exact"/>
        <w:ind w:firstLine="408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440" w:lineRule="exact"/>
        <w:jc w:val="right"/>
        <w:rPr>
          <w:rFonts w:hint="eastAsia"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tabs>
          <w:tab w:val="left" w:pos="720"/>
          <w:tab w:val="left" w:pos="900"/>
        </w:tabs>
        <w:spacing w:line="360" w:lineRule="auto"/>
        <w:ind w:left="1078"/>
        <w:rPr>
          <w:rFonts w:hint="eastAsia" w:ascii="仿宋" w:hAnsi="仿宋" w:eastAsia="仿宋" w:cs="仿宋"/>
          <w:color w:val="auto"/>
          <w:highlight w:val="none"/>
        </w:rPr>
      </w:pPr>
    </w:p>
    <w:p>
      <w:pPr>
        <w:tabs>
          <w:tab w:val="left" w:pos="720"/>
          <w:tab w:val="left" w:pos="900"/>
        </w:tabs>
        <w:spacing w:line="360" w:lineRule="auto"/>
        <w:ind w:left="1078"/>
        <w:rPr>
          <w:rFonts w:hint="eastAsia" w:ascii="仿宋" w:hAnsi="仿宋" w:eastAsia="仿宋" w:cs="仿宋"/>
          <w:color w:val="auto"/>
          <w:highlight w:val="none"/>
        </w:rPr>
      </w:pPr>
    </w:p>
    <w:p>
      <w:pPr>
        <w:pStyle w:val="5"/>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br w:type="page"/>
      </w:r>
      <w:bookmarkStart w:id="157" w:name="_Toc287600130"/>
      <w:bookmarkStart w:id="158" w:name="_Toc444891355"/>
      <w:bookmarkStart w:id="159" w:name="_Toc4426"/>
      <w:bookmarkStart w:id="160" w:name="_Toc19783361"/>
      <w:bookmarkStart w:id="161" w:name="_Toc26267"/>
      <w:bookmarkStart w:id="162" w:name="_Toc517281838"/>
      <w:bookmarkStart w:id="163" w:name="_Toc5582"/>
      <w:bookmarkStart w:id="164" w:name="_Toc24788"/>
      <w:bookmarkStart w:id="165" w:name="_Toc20707"/>
      <w:bookmarkStart w:id="166" w:name="_Toc31823"/>
      <w:r>
        <w:rPr>
          <w:rFonts w:hint="eastAsia" w:ascii="仿宋" w:hAnsi="仿宋" w:eastAsia="仿宋" w:cs="仿宋"/>
          <w:color w:val="auto"/>
          <w:sz w:val="24"/>
          <w:szCs w:val="24"/>
          <w:highlight w:val="none"/>
        </w:rPr>
        <w:t>（三）法定代表人（负责人）授权委托书</w:t>
      </w:r>
      <w:bookmarkEnd w:id="157"/>
      <w:bookmarkEnd w:id="158"/>
      <w:bookmarkEnd w:id="159"/>
      <w:bookmarkEnd w:id="160"/>
      <w:bookmarkEnd w:id="161"/>
      <w:bookmarkEnd w:id="162"/>
      <w:bookmarkEnd w:id="163"/>
      <w:bookmarkEnd w:id="164"/>
      <w:bookmarkEnd w:id="165"/>
      <w:bookmarkEnd w:id="166"/>
    </w:p>
    <w:p>
      <w:pPr>
        <w:pStyle w:val="63"/>
        <w:spacing w:before="240" w:after="240"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法定代表人（负责人）授权委托书</w:t>
      </w:r>
    </w:p>
    <w:p>
      <w:pPr>
        <w:pStyle w:val="63"/>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本人</w:t>
      </w:r>
      <w:r>
        <w:rPr>
          <w:rFonts w:hint="eastAsia" w:ascii="仿宋" w:hAnsi="仿宋" w:eastAsia="仿宋" w:cs="仿宋"/>
          <w:color w:val="auto"/>
          <w:sz w:val="24"/>
          <w:highlight w:val="none"/>
          <w:u w:val="single"/>
        </w:rPr>
        <w:t xml:space="preserve"> （姓名）</w:t>
      </w:r>
      <w:r>
        <w:rPr>
          <w:rFonts w:hint="eastAsia" w:ascii="仿宋" w:hAnsi="仿宋" w:eastAsia="仿宋" w:cs="仿宋"/>
          <w:color w:val="auto"/>
          <w:sz w:val="24"/>
          <w:highlight w:val="none"/>
        </w:rPr>
        <w:t>系</w:t>
      </w:r>
      <w:r>
        <w:rPr>
          <w:rFonts w:hint="eastAsia" w:ascii="仿宋" w:hAnsi="仿宋" w:eastAsia="仿宋" w:cs="仿宋"/>
          <w:color w:val="auto"/>
          <w:sz w:val="24"/>
          <w:highlight w:val="none"/>
          <w:u w:val="single"/>
        </w:rPr>
        <w:t>（供应商名称）</w:t>
      </w:r>
      <w:r>
        <w:rPr>
          <w:rFonts w:hint="eastAsia" w:ascii="仿宋" w:hAnsi="仿宋" w:eastAsia="仿宋" w:cs="仿宋"/>
          <w:color w:val="auto"/>
          <w:sz w:val="24"/>
          <w:highlight w:val="none"/>
        </w:rPr>
        <w:t>的法定代表人</w:t>
      </w:r>
      <w:r>
        <w:rPr>
          <w:rFonts w:hint="eastAsia" w:ascii="仿宋" w:hAnsi="仿宋" w:eastAsia="仿宋" w:cs="仿宋"/>
          <w:color w:val="auto"/>
          <w:sz w:val="24"/>
          <w:szCs w:val="24"/>
          <w:highlight w:val="none"/>
        </w:rPr>
        <w:t>（负责人）</w:t>
      </w:r>
      <w:r>
        <w:rPr>
          <w:rFonts w:hint="eastAsia" w:ascii="仿宋" w:hAnsi="仿宋" w:eastAsia="仿宋" w:cs="仿宋"/>
          <w:color w:val="auto"/>
          <w:sz w:val="24"/>
          <w:highlight w:val="none"/>
        </w:rPr>
        <w:t>，现授权委托</w:t>
      </w:r>
      <w:r>
        <w:rPr>
          <w:rFonts w:hint="eastAsia" w:ascii="仿宋" w:hAnsi="仿宋" w:eastAsia="仿宋" w:cs="仿宋"/>
          <w:color w:val="auto"/>
          <w:sz w:val="24"/>
          <w:highlight w:val="none"/>
          <w:u w:val="single"/>
        </w:rPr>
        <w:t xml:space="preserve"> （姓名）</w:t>
      </w:r>
      <w:r>
        <w:rPr>
          <w:rFonts w:hint="eastAsia" w:ascii="仿宋" w:hAnsi="仿宋" w:eastAsia="仿宋" w:cs="仿宋"/>
          <w:color w:val="auto"/>
          <w:sz w:val="24"/>
          <w:highlight w:val="none"/>
        </w:rPr>
        <w:t>为我方代理人。</w:t>
      </w:r>
      <w:r>
        <w:rPr>
          <w:rFonts w:hint="eastAsia" w:ascii="仿宋" w:hAnsi="仿宋" w:eastAsia="仿宋" w:cs="仿宋"/>
          <w:color w:val="auto"/>
          <w:sz w:val="24"/>
          <w:szCs w:val="24"/>
          <w:highlight w:val="none"/>
        </w:rPr>
        <w:t>代理人根据授权，以我方名义签署、澄清、说明、补正、递交、撤回、修改</w:t>
      </w:r>
      <w:r>
        <w:rPr>
          <w:rFonts w:hint="eastAsia" w:ascii="仿宋" w:hAnsi="仿宋" w:eastAsia="仿宋" w:cs="仿宋"/>
          <w:color w:val="auto"/>
          <w:sz w:val="24"/>
          <w:szCs w:val="24"/>
          <w:highlight w:val="none"/>
          <w:u w:val="single"/>
        </w:rPr>
        <w:t>（项目名称）</w:t>
      </w:r>
      <w:r>
        <w:rPr>
          <w:rFonts w:hint="eastAsia" w:ascii="仿宋" w:hAnsi="仿宋" w:eastAsia="仿宋" w:cs="仿宋"/>
          <w:color w:val="auto"/>
          <w:sz w:val="24"/>
          <w:szCs w:val="24"/>
          <w:highlight w:val="none"/>
        </w:rPr>
        <w:t>磋商响应文件、签订合同和处理有关事宜，其法律后果由我方承担。</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委托期限：</w:t>
      </w:r>
      <w:r>
        <w:rPr>
          <w:rFonts w:hint="eastAsia" w:ascii="仿宋" w:hAnsi="仿宋" w:eastAsia="仿宋" w:cs="仿宋"/>
          <w:color w:val="auto"/>
          <w:highlight w:val="none"/>
          <w:u w:val="single"/>
        </w:rPr>
        <w:t xml:space="preserve"> 自本委托书签字盖章生效之日起至磋商响应有效期到期之日为止 </w:t>
      </w:r>
      <w:r>
        <w:rPr>
          <w:rFonts w:hint="eastAsia" w:ascii="仿宋" w:hAnsi="仿宋" w:eastAsia="仿宋" w:cs="仿宋"/>
          <w:color w:val="auto"/>
          <w:highlight w:val="none"/>
        </w:rPr>
        <w:t>。</w:t>
      </w:r>
    </w:p>
    <w:p>
      <w:pPr>
        <w:pStyle w:val="63"/>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代理人无转委托权。</w:t>
      </w:r>
    </w:p>
    <w:p>
      <w:pPr>
        <w:pStyle w:val="63"/>
        <w:spacing w:line="360" w:lineRule="auto"/>
        <w:ind w:firstLine="482" w:firstLineChars="200"/>
        <w:rPr>
          <w:rFonts w:hint="eastAsia" w:ascii="仿宋" w:hAnsi="仿宋" w:eastAsia="仿宋" w:cs="仿宋"/>
          <w:b/>
          <w:bCs/>
          <w:color w:val="auto"/>
          <w:sz w:val="24"/>
          <w:szCs w:val="24"/>
          <w:highlight w:val="none"/>
        </w:rPr>
      </w:pPr>
    </w:p>
    <w:p>
      <w:pPr>
        <w:pStyle w:val="63"/>
        <w:spacing w:line="360" w:lineRule="auto"/>
        <w:ind w:firstLine="482" w:firstLineChars="20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附：委托代理人身份证复印件（需同时提供正面及背面）</w:t>
      </w:r>
      <w:r>
        <w:rPr>
          <w:rFonts w:hint="eastAsia" w:ascii="仿宋" w:hAnsi="仿宋" w:eastAsia="仿宋" w:cs="仿宋"/>
          <w:color w:val="auto"/>
          <w:sz w:val="24"/>
          <w:szCs w:val="24"/>
          <w:highlight w:val="none"/>
        </w:rPr>
        <w:t>。</w:t>
      </w:r>
    </w:p>
    <w:p>
      <w:pPr>
        <w:pStyle w:val="63"/>
        <w:spacing w:line="440" w:lineRule="atLeast"/>
        <w:ind w:firstLine="480"/>
        <w:jc w:val="left"/>
        <w:rPr>
          <w:rFonts w:hint="eastAsia" w:ascii="仿宋" w:hAnsi="仿宋" w:eastAsia="仿宋" w:cs="仿宋"/>
          <w:color w:val="auto"/>
          <w:highlight w:val="none"/>
        </w:rPr>
      </w:pPr>
      <w:r>
        <w:rPr>
          <w:rFonts w:hint="eastAsia" w:ascii="仿宋" w:hAnsi="仿宋" w:eastAsia="仿宋" w:cs="仿宋"/>
          <w:color w:val="auto"/>
          <w:highlight w:val="none"/>
        </w:rPr>
        <mc:AlternateContent>
          <mc:Choice Requires="wps">
            <w:drawing>
              <wp:anchor distT="0" distB="0" distL="114300" distR="114300" simplePos="0" relativeHeight="251664384"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45pt;height:152.35pt;width:220.7pt;z-index:251664384;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iCzsvYAAAACAEAAA8AAAAAAAAAAQAg&#10;AAAAIgAAAGRycy9kb3ducmV2LnhtbFBLAQIUABQAAAAIAIdO4kBekOb5DgIAAC8EAAAOAAAAAAAA&#10;AAEAIAAAACcBAABkcnMvZTJvRG9jLnhtbFBLBQYAAAAABgAGAFkBAACnBQAAAAA=&#10;">
                <v:fill on="t" focussize="0,0"/>
                <v:stroke weight="1.25pt" color="#739CC3" joinstyle="miter"/>
                <v:imagedata o:title=""/>
                <o:lock v:ext="edit" aspectratio="f"/>
              </v:rect>
            </w:pict>
          </mc:Fallback>
        </mc:AlternateContent>
      </w:r>
      <w:r>
        <w:rPr>
          <w:rFonts w:hint="eastAsia" w:ascii="仿宋" w:hAnsi="仿宋" w:eastAsia="仿宋" w:cs="仿宋"/>
          <w:color w:val="auto"/>
          <w:highlight w:val="none"/>
        </w:rPr>
        <mc:AlternateContent>
          <mc:Choice Requires="wps">
            <w:drawing>
              <wp:anchor distT="0" distB="0" distL="114300" distR="114300" simplePos="0" relativeHeight="251665408"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45pt;margin-top:4.45pt;height:152.35pt;width:220.7pt;z-index:251665408;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sLTHM2AAAAAkBAAAPAAAAAAAAAAEAIAAA&#10;ACIAAABkcnMvZG93bnJldi54bWxQSwECFAAUAAAACACHTuJAJSsH7QwCAAAvBAAADgAAAAAAAAAB&#10;ACAAAAAnAQAAZHJzL2Uyb0RvYy54bWxQSwUGAAAAAAYABgBZAQAApQUAAAAA&#10;">
                <v:fill on="t" focussize="0,0"/>
                <v:stroke weight="1.25pt" color="#739CC3" joinstyle="miter"/>
                <v:imagedata o:title=""/>
                <o:lock v:ext="edit" aspectratio="f"/>
              </v:rect>
            </w:pict>
          </mc:Fallback>
        </mc:AlternateContent>
      </w:r>
    </w:p>
    <w:p>
      <w:pPr>
        <w:pStyle w:val="63"/>
        <w:spacing w:line="440" w:lineRule="atLeast"/>
        <w:ind w:firstLine="480"/>
        <w:jc w:val="left"/>
        <w:rPr>
          <w:rFonts w:hint="eastAsia" w:ascii="仿宋" w:hAnsi="仿宋" w:eastAsia="仿宋" w:cs="仿宋"/>
          <w:color w:val="auto"/>
          <w:highlight w:val="none"/>
        </w:rPr>
      </w:pPr>
    </w:p>
    <w:p>
      <w:pPr>
        <w:spacing w:line="360" w:lineRule="auto"/>
        <w:ind w:left="720"/>
        <w:rPr>
          <w:rFonts w:hint="eastAsia" w:ascii="仿宋" w:hAnsi="仿宋" w:eastAsia="仿宋" w:cs="仿宋"/>
          <w:b/>
          <w:color w:val="auto"/>
          <w:highlight w:val="none"/>
        </w:rPr>
      </w:pPr>
    </w:p>
    <w:p>
      <w:pPr>
        <w:tabs>
          <w:tab w:val="left" w:pos="540"/>
        </w:tabs>
        <w:rPr>
          <w:rFonts w:hint="eastAsia" w:ascii="仿宋" w:hAnsi="仿宋" w:eastAsia="仿宋" w:cs="仿宋"/>
          <w:color w:val="auto"/>
          <w:szCs w:val="21"/>
          <w:highlight w:val="none"/>
        </w:rPr>
      </w:pPr>
      <w:r>
        <w:rPr>
          <w:rFonts w:hint="eastAsia" w:ascii="仿宋" w:hAnsi="仿宋" w:eastAsia="仿宋" w:cs="仿宋"/>
          <w:color w:val="auto"/>
          <w:szCs w:val="21"/>
          <w:highlight w:val="none"/>
        </w:rPr>
        <w:tab/>
      </w:r>
    </w:p>
    <w:p>
      <w:pPr>
        <w:pStyle w:val="2"/>
        <w:rPr>
          <w:rFonts w:hint="eastAsia" w:ascii="仿宋" w:hAnsi="仿宋" w:eastAsia="仿宋" w:cs="仿宋"/>
          <w:color w:val="auto"/>
          <w:szCs w:val="21"/>
          <w:highlight w:val="none"/>
        </w:rPr>
      </w:pPr>
    </w:p>
    <w:p>
      <w:pPr>
        <w:pStyle w:val="2"/>
        <w:rPr>
          <w:rFonts w:hint="eastAsia" w:ascii="仿宋" w:hAnsi="仿宋" w:eastAsia="仿宋" w:cs="仿宋"/>
          <w:color w:val="auto"/>
          <w:szCs w:val="21"/>
          <w:highlight w:val="none"/>
        </w:rPr>
      </w:pPr>
    </w:p>
    <w:p>
      <w:pPr>
        <w:pStyle w:val="2"/>
        <w:rPr>
          <w:rFonts w:hint="eastAsia" w:ascii="仿宋" w:hAnsi="仿宋" w:eastAsia="仿宋" w:cs="仿宋"/>
          <w:color w:val="auto"/>
          <w:szCs w:val="21"/>
          <w:highlight w:val="none"/>
        </w:rPr>
      </w:pPr>
    </w:p>
    <w:p>
      <w:pPr>
        <w:spacing w:line="360" w:lineRule="auto"/>
        <w:ind w:right="420" w:firstLine="4200" w:firstLineChars="1750"/>
        <w:rPr>
          <w:rFonts w:hint="eastAsia" w:ascii="仿宋" w:hAnsi="仿宋" w:eastAsia="仿宋" w:cs="仿宋"/>
          <w:color w:val="auto"/>
          <w:highlight w:val="none"/>
        </w:rPr>
      </w:pPr>
    </w:p>
    <w:p>
      <w:pPr>
        <w:spacing w:line="360" w:lineRule="auto"/>
        <w:ind w:right="420" w:firstLine="4200" w:firstLineChars="1750"/>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360" w:lineRule="auto"/>
        <w:ind w:right="420"/>
        <w:jc w:val="right"/>
        <w:rPr>
          <w:rFonts w:hint="eastAsia" w:ascii="仿宋" w:hAnsi="仿宋" w:eastAsia="仿宋" w:cs="仿宋"/>
          <w:color w:val="auto"/>
          <w:highlight w:val="none"/>
        </w:rPr>
      </w:pPr>
      <w:r>
        <w:rPr>
          <w:rFonts w:hint="eastAsia" w:ascii="仿宋" w:hAnsi="仿宋" w:eastAsia="仿宋" w:cs="仿宋"/>
          <w:color w:val="auto"/>
          <w:highlight w:val="none"/>
        </w:rPr>
        <w:t>法定代表人（负责人）：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（签字或盖章）</w:t>
      </w:r>
    </w:p>
    <w:p>
      <w:pPr>
        <w:pStyle w:val="63"/>
        <w:wordWrap w:val="0"/>
        <w:spacing w:line="360" w:lineRule="auto"/>
        <w:ind w:right="105" w:firstLine="4200" w:firstLineChars="17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（签字</w:t>
      </w:r>
      <w:r>
        <w:rPr>
          <w:rFonts w:hint="eastAsia" w:ascii="仿宋" w:hAnsi="仿宋" w:eastAsia="仿宋" w:cs="仿宋"/>
          <w:color w:val="auto"/>
          <w:sz w:val="24"/>
          <w:highlight w:val="none"/>
        </w:rPr>
        <w:t>或盖章</w:t>
      </w:r>
      <w:r>
        <w:rPr>
          <w:rFonts w:hint="eastAsia" w:ascii="仿宋" w:hAnsi="仿宋" w:eastAsia="仿宋" w:cs="仿宋"/>
          <w:color w:val="auto"/>
          <w:sz w:val="24"/>
          <w:szCs w:val="24"/>
          <w:highlight w:val="none"/>
        </w:rPr>
        <w:t xml:space="preserve">） </w:t>
      </w:r>
    </w:p>
    <w:p>
      <w:pPr>
        <w:wordWrap w:val="0"/>
        <w:spacing w:line="360" w:lineRule="auto"/>
        <w:ind w:firstLine="4200" w:firstLineChars="1750"/>
        <w:rPr>
          <w:rFonts w:hint="eastAsia"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tabs>
          <w:tab w:val="left" w:pos="540"/>
        </w:tabs>
        <w:rPr>
          <w:rFonts w:hint="eastAsia" w:ascii="仿宋" w:hAnsi="仿宋" w:eastAsia="仿宋" w:cs="仿宋"/>
          <w:color w:val="auto"/>
          <w:szCs w:val="21"/>
          <w:highlight w:val="none"/>
        </w:rPr>
        <w:sectPr>
          <w:pgSz w:w="11906" w:h="16838"/>
          <w:pgMar w:top="1417" w:right="1417" w:bottom="1417" w:left="1417" w:header="850" w:footer="992" w:gutter="0"/>
          <w:pgNumType w:fmt="decimal"/>
          <w:cols w:space="0" w:num="1"/>
          <w:rtlGutter w:val="0"/>
          <w:docGrid w:type="lines" w:linePitch="333" w:charSpace="0"/>
        </w:sectPr>
      </w:pPr>
    </w:p>
    <w:p>
      <w:pPr>
        <w:pStyle w:val="5"/>
        <w:spacing w:before="0" w:after="0" w:line="360" w:lineRule="auto"/>
        <w:rPr>
          <w:rFonts w:hint="eastAsia" w:ascii="仿宋" w:hAnsi="仿宋" w:eastAsia="仿宋" w:cs="仿宋"/>
          <w:color w:val="auto"/>
          <w:sz w:val="24"/>
          <w:szCs w:val="24"/>
          <w:highlight w:val="none"/>
        </w:rPr>
      </w:pPr>
      <w:bookmarkStart w:id="167" w:name="_Toc19033"/>
      <w:bookmarkStart w:id="168" w:name="_Toc30551"/>
      <w:bookmarkStart w:id="169" w:name="_Toc517281841"/>
      <w:r>
        <w:rPr>
          <w:rFonts w:hint="eastAsia" w:ascii="仿宋" w:hAnsi="仿宋" w:eastAsia="仿宋" w:cs="仿宋"/>
          <w:color w:val="auto"/>
          <w:sz w:val="24"/>
          <w:szCs w:val="24"/>
          <w:highlight w:val="none"/>
        </w:rPr>
        <w:t>（四）资格证明文件</w:t>
      </w:r>
      <w:bookmarkEnd w:id="167"/>
      <w:bookmarkEnd w:id="168"/>
    </w:p>
    <w:p>
      <w:pPr>
        <w:pStyle w:val="6"/>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1、供应商基本情况信息表</w:t>
      </w:r>
    </w:p>
    <w:p>
      <w:pPr>
        <w:pStyle w:val="63"/>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供应商基本情况信息表</w:t>
      </w:r>
    </w:p>
    <w:tbl>
      <w:tblPr>
        <w:tblStyle w:val="30"/>
        <w:tblW w:w="9852" w:type="dxa"/>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注册地址</w:t>
            </w:r>
          </w:p>
        </w:tc>
        <w:tc>
          <w:tcPr>
            <w:tcW w:w="3588" w:type="dxa"/>
            <w:gridSpan w:val="5"/>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1789" w:type="dxa"/>
            <w:tcBorders>
              <w:top w:val="single" w:color="000000" w:sz="4" w:space="0"/>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rPr>
              <w:t>公司办公场所</w:t>
            </w:r>
            <w:r>
              <w:rPr>
                <w:rFonts w:hint="eastAsia" w:ascii="仿宋" w:hAnsi="仿宋" w:eastAsia="仿宋" w:cs="仿宋"/>
                <w:color w:val="auto"/>
                <w:highlight w:val="none"/>
                <w:lang w:eastAsia="zh-CN"/>
              </w:rPr>
              <w:t>面积</w:t>
            </w:r>
          </w:p>
        </w:tc>
        <w:tc>
          <w:tcPr>
            <w:tcW w:w="3588" w:type="dxa"/>
            <w:gridSpan w:val="5"/>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平</w:t>
            </w:r>
            <w:r>
              <w:rPr>
                <w:rFonts w:hint="eastAsia" w:ascii="仿宋" w:hAnsi="仿宋" w:eastAsia="仿宋" w:cs="仿宋"/>
                <w:color w:val="auto"/>
                <w:highlight w:val="none"/>
                <w:lang w:eastAsia="zh-CN"/>
              </w:rPr>
              <w:t>方</w:t>
            </w:r>
            <w:r>
              <w:rPr>
                <w:rFonts w:hint="eastAsia" w:ascii="仿宋" w:hAnsi="仿宋" w:eastAsia="仿宋" w:cs="仿宋"/>
                <w:color w:val="auto"/>
                <w:highlight w:val="none"/>
              </w:rPr>
              <w:t>米</w:t>
            </w:r>
          </w:p>
        </w:tc>
        <w:tc>
          <w:tcPr>
            <w:tcW w:w="1789" w:type="dxa"/>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办事处地址</w:t>
            </w:r>
          </w:p>
        </w:tc>
        <w:tc>
          <w:tcPr>
            <w:tcW w:w="2232" w:type="dxa"/>
            <w:gridSpan w:val="3"/>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联系方式</w:t>
            </w:r>
          </w:p>
        </w:tc>
        <w:tc>
          <w:tcPr>
            <w:tcW w:w="1141" w:type="dxa"/>
            <w:gridSpan w:val="2"/>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联系人</w:t>
            </w:r>
          </w:p>
        </w:tc>
        <w:tc>
          <w:tcPr>
            <w:tcW w:w="2447" w:type="dxa"/>
            <w:gridSpan w:val="3"/>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1789" w:type="dxa"/>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szCs w:val="21"/>
                <w:highlight w:val="none"/>
              </w:rPr>
            </w:pPr>
          </w:p>
        </w:tc>
        <w:tc>
          <w:tcPr>
            <w:tcW w:w="1141" w:type="dxa"/>
            <w:gridSpan w:val="2"/>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传真</w:t>
            </w:r>
          </w:p>
        </w:tc>
        <w:tc>
          <w:tcPr>
            <w:tcW w:w="2447" w:type="dxa"/>
            <w:gridSpan w:val="3"/>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1789" w:type="dxa"/>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网址</w:t>
            </w:r>
          </w:p>
        </w:tc>
        <w:tc>
          <w:tcPr>
            <w:tcW w:w="2232" w:type="dxa"/>
            <w:gridSpan w:val="3"/>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组织结构</w:t>
            </w:r>
          </w:p>
        </w:tc>
        <w:tc>
          <w:tcPr>
            <w:tcW w:w="7609" w:type="dxa"/>
            <w:gridSpan w:val="9"/>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法定代表人</w:t>
            </w:r>
          </w:p>
        </w:tc>
        <w:tc>
          <w:tcPr>
            <w:tcW w:w="775" w:type="dxa"/>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1468" w:type="dxa"/>
            <w:gridSpan w:val="2"/>
            <w:tcBorders>
              <w:top w:val="single" w:color="000000" w:sz="4" w:space="0"/>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985" w:type="dxa"/>
            <w:tcBorders>
              <w:top w:val="single" w:color="000000" w:sz="4" w:space="0"/>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电话</w:t>
            </w:r>
          </w:p>
        </w:tc>
        <w:tc>
          <w:tcPr>
            <w:tcW w:w="1145" w:type="dxa"/>
            <w:tcBorders>
              <w:top w:val="single" w:color="000000" w:sz="4" w:space="0"/>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技术负责人</w:t>
            </w:r>
          </w:p>
        </w:tc>
        <w:tc>
          <w:tcPr>
            <w:tcW w:w="775" w:type="dxa"/>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姓名</w:t>
            </w:r>
          </w:p>
        </w:tc>
        <w:tc>
          <w:tcPr>
            <w:tcW w:w="1345" w:type="dxa"/>
            <w:gridSpan w:val="2"/>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1468" w:type="dxa"/>
            <w:gridSpan w:val="2"/>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职称</w:t>
            </w:r>
          </w:p>
        </w:tc>
        <w:tc>
          <w:tcPr>
            <w:tcW w:w="1891" w:type="dxa"/>
            <w:gridSpan w:val="2"/>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985" w:type="dxa"/>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电话</w:t>
            </w:r>
          </w:p>
        </w:tc>
        <w:tc>
          <w:tcPr>
            <w:tcW w:w="1145" w:type="dxa"/>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成立时间</w:t>
            </w:r>
          </w:p>
        </w:tc>
        <w:tc>
          <w:tcPr>
            <w:tcW w:w="2120" w:type="dxa"/>
            <w:gridSpan w:val="3"/>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5489" w:type="dxa"/>
            <w:gridSpan w:val="6"/>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firstLine="105"/>
              <w:jc w:val="center"/>
              <w:rPr>
                <w:rFonts w:hint="eastAsia" w:ascii="仿宋" w:hAnsi="仿宋" w:eastAsia="仿宋" w:cs="仿宋"/>
                <w:color w:val="auto"/>
                <w:highlight w:val="none"/>
              </w:rPr>
            </w:pPr>
            <w:r>
              <w:rPr>
                <w:rFonts w:hint="eastAsia" w:ascii="仿宋" w:hAnsi="仿宋" w:eastAsia="仿宋" w:cs="仿宋"/>
                <w:color w:val="auto"/>
                <w:highlight w:val="none"/>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企业资质等级</w:t>
            </w:r>
          </w:p>
        </w:tc>
        <w:tc>
          <w:tcPr>
            <w:tcW w:w="2120" w:type="dxa"/>
            <w:gridSpan w:val="3"/>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713" w:type="dxa"/>
            <w:vMerge w:val="restart"/>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营业执照号</w:t>
            </w:r>
          </w:p>
        </w:tc>
        <w:tc>
          <w:tcPr>
            <w:tcW w:w="2120" w:type="dxa"/>
            <w:gridSpan w:val="3"/>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szCs w:val="21"/>
                <w:highlight w:val="none"/>
              </w:rPr>
            </w:pPr>
          </w:p>
        </w:tc>
        <w:tc>
          <w:tcPr>
            <w:tcW w:w="2646" w:type="dxa"/>
            <w:gridSpan w:val="3"/>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高级职称人员</w:t>
            </w:r>
          </w:p>
        </w:tc>
        <w:tc>
          <w:tcPr>
            <w:tcW w:w="2130" w:type="dxa"/>
            <w:gridSpan w:val="2"/>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注册资金</w:t>
            </w:r>
          </w:p>
        </w:tc>
        <w:tc>
          <w:tcPr>
            <w:tcW w:w="2120" w:type="dxa"/>
            <w:gridSpan w:val="3"/>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szCs w:val="21"/>
                <w:highlight w:val="none"/>
              </w:rPr>
            </w:pPr>
          </w:p>
        </w:tc>
        <w:tc>
          <w:tcPr>
            <w:tcW w:w="2646" w:type="dxa"/>
            <w:gridSpan w:val="3"/>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中级职称人员</w:t>
            </w:r>
          </w:p>
        </w:tc>
        <w:tc>
          <w:tcPr>
            <w:tcW w:w="2130" w:type="dxa"/>
            <w:gridSpan w:val="2"/>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开户银行</w:t>
            </w:r>
          </w:p>
        </w:tc>
        <w:tc>
          <w:tcPr>
            <w:tcW w:w="2120" w:type="dxa"/>
            <w:gridSpan w:val="3"/>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szCs w:val="21"/>
                <w:highlight w:val="none"/>
              </w:rPr>
            </w:pPr>
          </w:p>
        </w:tc>
        <w:tc>
          <w:tcPr>
            <w:tcW w:w="2646" w:type="dxa"/>
            <w:gridSpan w:val="3"/>
            <w:vMerge w:val="restart"/>
            <w:tcBorders>
              <w:top w:val="nil"/>
              <w:left w:val="nil"/>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初级职称人员</w:t>
            </w:r>
          </w:p>
        </w:tc>
        <w:tc>
          <w:tcPr>
            <w:tcW w:w="2130" w:type="dxa"/>
            <w:gridSpan w:val="2"/>
            <w:vMerge w:val="restart"/>
            <w:tcBorders>
              <w:top w:val="nil"/>
              <w:left w:val="nil"/>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账号</w:t>
            </w:r>
          </w:p>
        </w:tc>
        <w:tc>
          <w:tcPr>
            <w:tcW w:w="2120" w:type="dxa"/>
            <w:gridSpan w:val="3"/>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szCs w:val="21"/>
                <w:highlight w:val="none"/>
              </w:rPr>
            </w:pPr>
          </w:p>
        </w:tc>
        <w:tc>
          <w:tcPr>
            <w:tcW w:w="2646" w:type="dxa"/>
            <w:gridSpan w:val="3"/>
            <w:vMerge w:val="continue"/>
            <w:tcBorders>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2130" w:type="dxa"/>
            <w:gridSpan w:val="2"/>
            <w:vMerge w:val="continue"/>
            <w:tcBorders>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firstLine="210"/>
              <w:jc w:val="center"/>
              <w:rPr>
                <w:rFonts w:hint="eastAsia" w:ascii="仿宋" w:hAnsi="仿宋" w:eastAsia="仿宋" w:cs="仿宋"/>
                <w:color w:val="auto"/>
                <w:highlight w:val="none"/>
              </w:rPr>
            </w:pPr>
            <w:r>
              <w:rPr>
                <w:rFonts w:hint="eastAsia" w:ascii="仿宋" w:hAnsi="仿宋" w:eastAsia="仿宋" w:cs="仿宋"/>
                <w:color w:val="auto"/>
                <w:highlight w:val="none"/>
              </w:rPr>
              <w:t>经营范围</w:t>
            </w:r>
          </w:p>
        </w:tc>
        <w:tc>
          <w:tcPr>
            <w:tcW w:w="7609" w:type="dxa"/>
            <w:gridSpan w:val="9"/>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备注</w:t>
            </w:r>
          </w:p>
        </w:tc>
        <w:tc>
          <w:tcPr>
            <w:tcW w:w="7609" w:type="dxa"/>
            <w:gridSpan w:val="9"/>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bl>
    <w:p>
      <w:pPr>
        <w:pStyle w:val="63"/>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注：提供由工商部门核发的最新营业执照（正副本皆可）。</w:t>
      </w:r>
    </w:p>
    <w:p>
      <w:pPr>
        <w:pStyle w:val="63"/>
        <w:jc w:val="left"/>
        <w:rPr>
          <w:rFonts w:hint="eastAsia" w:ascii="仿宋" w:hAnsi="仿宋" w:eastAsia="仿宋" w:cs="仿宋"/>
          <w:b/>
          <w:color w:val="auto"/>
          <w:highlight w:val="none"/>
        </w:rPr>
      </w:pPr>
    </w:p>
    <w:p>
      <w:pPr>
        <w:pStyle w:val="63"/>
        <w:jc w:val="left"/>
        <w:rPr>
          <w:rFonts w:hint="eastAsia" w:ascii="仿宋" w:hAnsi="仿宋" w:eastAsia="仿宋" w:cs="仿宋"/>
          <w:b/>
          <w:color w:val="auto"/>
          <w:highlight w:val="none"/>
        </w:rPr>
      </w:pPr>
    </w:p>
    <w:p>
      <w:pPr>
        <w:pStyle w:val="63"/>
        <w:jc w:val="left"/>
        <w:rPr>
          <w:rFonts w:hint="eastAsia" w:ascii="仿宋" w:hAnsi="仿宋" w:eastAsia="仿宋" w:cs="仿宋"/>
          <w:b/>
          <w:color w:val="auto"/>
          <w:highlight w:val="none"/>
        </w:rPr>
      </w:pPr>
    </w:p>
    <w:p>
      <w:pPr>
        <w:spacing w:line="360" w:lineRule="auto"/>
        <w:ind w:firstLine="408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360" w:lineRule="auto"/>
        <w:jc w:val="right"/>
        <w:rPr>
          <w:rFonts w:hint="eastAsia"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pStyle w:val="6"/>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br w:type="page"/>
      </w:r>
      <w:r>
        <w:rPr>
          <w:rFonts w:hint="eastAsia" w:ascii="仿宋" w:hAnsi="仿宋" w:eastAsia="仿宋" w:cs="仿宋"/>
          <w:color w:val="auto"/>
          <w:sz w:val="24"/>
          <w:szCs w:val="24"/>
          <w:highlight w:val="none"/>
        </w:rPr>
        <w:t>2、财务审计报告或银行资信证明</w:t>
      </w:r>
    </w:p>
    <w:p>
      <w:pPr>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提供</w:t>
      </w:r>
      <w:r>
        <w:rPr>
          <w:rFonts w:hint="eastAsia" w:ascii="仿宋" w:hAnsi="仿宋" w:eastAsia="仿宋" w:cs="仿宋"/>
          <w:color w:val="auto"/>
          <w:highlight w:val="none"/>
          <w:lang w:val="en-US" w:eastAsia="zh-CN"/>
        </w:rPr>
        <w:t>2025年度</w:t>
      </w:r>
      <w:r>
        <w:rPr>
          <w:rFonts w:hint="eastAsia" w:ascii="仿宋" w:hAnsi="仿宋" w:eastAsia="仿宋" w:cs="仿宋"/>
          <w:color w:val="auto"/>
          <w:highlight w:val="none"/>
        </w:rPr>
        <w:t>经会计师事务所或审计机构审计的财务审计报告及财务报表（至少包含会计师事务所或审计机构签章页、资产负债表、现金流量表、损益表/利润表）或响应文件递交截止日前6个月内开具的银行资信证明。</w:t>
      </w:r>
    </w:p>
    <w:p>
      <w:pPr>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br w:type="page"/>
      </w:r>
    </w:p>
    <w:p>
      <w:pPr>
        <w:pStyle w:val="6"/>
        <w:spacing w:before="0"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rPr>
        <w:t>3、同类项目实施经验</w:t>
      </w:r>
      <w:r>
        <w:rPr>
          <w:rFonts w:hint="eastAsia" w:ascii="仿宋" w:hAnsi="仿宋" w:eastAsia="仿宋" w:cs="仿宋"/>
          <w:b w:val="0"/>
          <w:bCs w:val="0"/>
          <w:color w:val="auto"/>
          <w:sz w:val="24"/>
          <w:szCs w:val="24"/>
          <w:highlight w:val="none"/>
        </w:rPr>
        <w:t xml:space="preserve"> </w:t>
      </w:r>
    </w:p>
    <w:tbl>
      <w:tblPr>
        <w:tblStyle w:val="30"/>
        <w:tblW w:w="92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9"/>
        <w:gridCol w:w="874"/>
        <w:gridCol w:w="1260"/>
        <w:gridCol w:w="1197"/>
        <w:gridCol w:w="1192"/>
        <w:gridCol w:w="1049"/>
        <w:gridCol w:w="1524"/>
        <w:gridCol w:w="13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86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87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合同名称</w:t>
            </w:r>
          </w:p>
        </w:tc>
        <w:tc>
          <w:tcPr>
            <w:tcW w:w="1260"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合同签订时间</w:t>
            </w:r>
          </w:p>
        </w:tc>
        <w:tc>
          <w:tcPr>
            <w:tcW w:w="1197"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采购内容</w:t>
            </w:r>
          </w:p>
        </w:tc>
        <w:tc>
          <w:tcPr>
            <w:tcW w:w="1192"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合同金额（万元）</w:t>
            </w:r>
          </w:p>
        </w:tc>
        <w:tc>
          <w:tcPr>
            <w:tcW w:w="104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合同甲方</w:t>
            </w:r>
          </w:p>
        </w:tc>
        <w:tc>
          <w:tcPr>
            <w:tcW w:w="152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合同甲方联系人及电话</w:t>
            </w:r>
          </w:p>
        </w:tc>
        <w:tc>
          <w:tcPr>
            <w:tcW w:w="1316"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6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87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260"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7"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2"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04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52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316"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6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87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260"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7"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2"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04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52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316"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6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87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260"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7"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2"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04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52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316"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6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87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260"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7"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2"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04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52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316"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6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87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260"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7"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2"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04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52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316"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6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87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260"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7"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2"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04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52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316"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6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87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260"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7"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2"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04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52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316"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6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87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260"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7"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2"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04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52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316"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r>
    </w:tbl>
    <w:p>
      <w:pPr>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备注：</w:t>
      </w:r>
    </w:p>
    <w:p>
      <w:pPr>
        <w:spacing w:line="360" w:lineRule="auto"/>
        <w:textAlignment w:val="baseline"/>
        <w:rPr>
          <w:rFonts w:hint="eastAsia" w:ascii="仿宋" w:hAnsi="仿宋" w:eastAsia="仿宋" w:cs="仿宋"/>
          <w:b/>
          <w:color w:val="auto"/>
          <w:highlight w:val="none"/>
        </w:rPr>
      </w:pPr>
      <w:r>
        <w:rPr>
          <w:rFonts w:hint="eastAsia" w:ascii="仿宋" w:hAnsi="仿宋" w:eastAsia="仿宋" w:cs="仿宋"/>
          <w:b/>
          <w:color w:val="auto"/>
          <w:highlight w:val="none"/>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hint="eastAsia" w:ascii="仿宋" w:hAnsi="仿宋" w:eastAsia="仿宋" w:cs="仿宋"/>
          <w:b/>
          <w:color w:val="auto"/>
          <w:highlight w:val="none"/>
        </w:rPr>
      </w:pPr>
      <w:r>
        <w:rPr>
          <w:rFonts w:hint="eastAsia" w:ascii="仿宋" w:hAnsi="仿宋" w:eastAsia="仿宋" w:cs="仿宋"/>
          <w:b/>
          <w:color w:val="auto"/>
          <w:highlight w:val="none"/>
        </w:rPr>
        <w:t>2）按照磋商公告的资格要求提供有效的实施经验证明材料，作为资格后审的评审依据。</w:t>
      </w:r>
    </w:p>
    <w:p>
      <w:pPr>
        <w:spacing w:line="360" w:lineRule="auto"/>
        <w:textAlignment w:val="baseline"/>
        <w:rPr>
          <w:rFonts w:hint="eastAsia" w:ascii="仿宋" w:hAnsi="仿宋" w:eastAsia="仿宋" w:cs="仿宋"/>
          <w:b/>
          <w:color w:val="auto"/>
          <w:highlight w:val="none"/>
        </w:rPr>
      </w:pPr>
      <w:r>
        <w:rPr>
          <w:rFonts w:hint="eastAsia" w:ascii="仿宋" w:hAnsi="仿宋" w:eastAsia="仿宋" w:cs="仿宋"/>
          <w:b/>
          <w:color w:val="auto"/>
          <w:highlight w:val="none"/>
        </w:rPr>
        <w:t>3）本业绩表及证明材料也作为详细评审中对供应商同类项目实施经验的评审及打分依据，供应商需根据详细评审标准的要求，提供符合要求的业绩证明材料。</w:t>
      </w:r>
    </w:p>
    <w:p>
      <w:pPr>
        <w:spacing w:line="360" w:lineRule="auto"/>
        <w:rPr>
          <w:rFonts w:hint="eastAsia" w:ascii="仿宋" w:hAnsi="仿宋" w:eastAsia="仿宋" w:cs="仿宋"/>
          <w:color w:val="auto"/>
          <w:highlight w:val="none"/>
        </w:rPr>
      </w:pPr>
    </w:p>
    <w:p>
      <w:pPr>
        <w:spacing w:line="360" w:lineRule="auto"/>
        <w:ind w:firstLine="480" w:firstLineChars="200"/>
        <w:rPr>
          <w:rFonts w:hint="eastAsia" w:ascii="仿宋" w:hAnsi="仿宋" w:eastAsia="仿宋" w:cs="仿宋"/>
          <w:bCs/>
          <w:color w:val="auto"/>
          <w:highlight w:val="none"/>
        </w:rPr>
      </w:pPr>
    </w:p>
    <w:p>
      <w:pPr>
        <w:pStyle w:val="53"/>
        <w:topLinePunct/>
        <w:adjustRightInd w:val="0"/>
        <w:snapToGrid w:val="0"/>
        <w:spacing w:line="360" w:lineRule="auto"/>
        <w:ind w:left="1575" w:firstLine="0" w:firstLineChars="0"/>
        <w:rPr>
          <w:rFonts w:hint="eastAsia" w:ascii="仿宋" w:hAnsi="仿宋" w:eastAsia="仿宋" w:cs="仿宋"/>
          <w:bCs/>
          <w:color w:val="auto"/>
          <w:highlight w:val="none"/>
        </w:rPr>
      </w:pPr>
    </w:p>
    <w:p>
      <w:pPr>
        <w:pStyle w:val="53"/>
        <w:topLinePunct/>
        <w:adjustRightInd w:val="0"/>
        <w:snapToGrid w:val="0"/>
        <w:spacing w:line="360" w:lineRule="auto"/>
        <w:ind w:left="1575" w:firstLine="0" w:firstLineChars="0"/>
        <w:rPr>
          <w:rFonts w:hint="eastAsia" w:ascii="仿宋" w:hAnsi="仿宋" w:eastAsia="仿宋" w:cs="仿宋"/>
          <w:bCs/>
          <w:color w:val="auto"/>
          <w:highlight w:val="none"/>
        </w:rPr>
      </w:pPr>
    </w:p>
    <w:p>
      <w:pPr>
        <w:spacing w:line="360" w:lineRule="auto"/>
        <w:ind w:firstLine="408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360" w:lineRule="auto"/>
        <w:jc w:val="right"/>
        <w:rPr>
          <w:rFonts w:hint="eastAsia"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pStyle w:val="6"/>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br w:type="page"/>
      </w:r>
      <w:r>
        <w:rPr>
          <w:rFonts w:hint="eastAsia" w:ascii="仿宋" w:hAnsi="仿宋" w:eastAsia="仿宋" w:cs="仿宋"/>
          <w:color w:val="auto"/>
          <w:sz w:val="24"/>
          <w:szCs w:val="24"/>
          <w:highlight w:val="none"/>
        </w:rPr>
        <w:t>4、税收和社保证明材料</w:t>
      </w:r>
    </w:p>
    <w:p>
      <w:pPr>
        <w:spacing w:line="360" w:lineRule="auto"/>
        <w:textAlignment w:val="baseline"/>
        <w:rPr>
          <w:rFonts w:hint="eastAsia" w:ascii="仿宋" w:hAnsi="仿宋" w:eastAsia="仿宋" w:cs="仿宋"/>
          <w:color w:val="auto"/>
          <w:highlight w:val="none"/>
        </w:rPr>
      </w:pPr>
      <w:r>
        <w:rPr>
          <w:rFonts w:hint="eastAsia" w:ascii="仿宋" w:hAnsi="仿宋" w:eastAsia="仿宋" w:cs="仿宋"/>
          <w:color w:val="auto"/>
          <w:highlight w:val="none"/>
        </w:rPr>
        <w:t>提供</w:t>
      </w:r>
      <w:r>
        <w:rPr>
          <w:rFonts w:hint="eastAsia" w:ascii="仿宋" w:hAnsi="仿宋" w:eastAsia="仿宋" w:cs="仿宋"/>
          <w:color w:val="auto"/>
          <w:highlight w:val="none"/>
          <w:lang w:eastAsia="zh-CN"/>
        </w:rPr>
        <w:t>近</w:t>
      </w:r>
      <w:r>
        <w:rPr>
          <w:rFonts w:hint="eastAsia" w:ascii="仿宋" w:hAnsi="仿宋" w:eastAsia="仿宋" w:cs="仿宋"/>
          <w:color w:val="auto"/>
          <w:highlight w:val="none"/>
        </w:rPr>
        <w:t>6个月任意一个月的企业税收和社会保障资金缴纳凭证。</w:t>
      </w:r>
    </w:p>
    <w:p>
      <w:pPr>
        <w:pStyle w:val="2"/>
        <w:rPr>
          <w:rFonts w:hint="eastAsia" w:ascii="仿宋" w:hAnsi="仿宋" w:eastAsia="仿宋" w:cs="仿宋"/>
          <w:color w:val="auto"/>
          <w:highlight w:val="none"/>
        </w:rPr>
      </w:pPr>
    </w:p>
    <w:p>
      <w:pPr>
        <w:rPr>
          <w:rFonts w:hint="eastAsia" w:ascii="仿宋" w:hAnsi="仿宋" w:eastAsia="仿宋" w:cs="仿宋"/>
          <w:color w:val="auto"/>
          <w:highlight w:val="none"/>
        </w:rPr>
      </w:pPr>
      <w:r>
        <w:rPr>
          <w:rFonts w:hint="eastAsia" w:ascii="仿宋" w:hAnsi="仿宋" w:eastAsia="仿宋" w:cs="仿宋"/>
          <w:color w:val="auto"/>
          <w:highlight w:val="none"/>
        </w:rPr>
        <w:br w:type="page"/>
      </w:r>
    </w:p>
    <w:p>
      <w:pPr>
        <w:pStyle w:val="6"/>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5、无违法违规记录查询截图</w:t>
      </w:r>
    </w:p>
    <w:p>
      <w:pPr>
        <w:snapToGrid w:val="0"/>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信用中国查询网址：https://www.creditchina.gov.cn/xinxigongshi/</w:t>
      </w:r>
    </w:p>
    <w:p>
      <w:pPr>
        <w:snapToGrid w:val="0"/>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政府采购严重违法失信行为记录名单查询网址：</w:t>
      </w:r>
    </w:p>
    <w:p>
      <w:pPr>
        <w:snapToGrid w:val="0"/>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https://www.creditchina.gov.cn/zhuanxiangchaxun/zhengfucaigouyanzhongweifashixinmingdan/</w:t>
      </w:r>
    </w:p>
    <w:p>
      <w:pPr>
        <w:spacing w:line="360" w:lineRule="auto"/>
        <w:textAlignment w:val="baseline"/>
        <w:rPr>
          <w:rFonts w:hint="eastAsia" w:ascii="仿宋" w:hAnsi="仿宋" w:eastAsia="仿宋" w:cs="仿宋"/>
          <w:color w:val="auto"/>
          <w:highlight w:val="none"/>
        </w:rPr>
      </w:pPr>
      <w:r>
        <w:rPr>
          <w:rFonts w:hint="eastAsia" w:ascii="仿宋" w:hAnsi="仿宋" w:eastAsia="仿宋" w:cs="仿宋"/>
          <w:color w:val="auto"/>
          <w:highlight w:val="none"/>
        </w:rPr>
        <w:t>（1）失信被执行人查询截图范例：</w:t>
      </w:r>
    </w:p>
    <w:p>
      <w:pPr>
        <w:jc w:val="center"/>
        <w:rPr>
          <w:rFonts w:hint="eastAsia" w:ascii="仿宋" w:hAnsi="仿宋" w:eastAsia="仿宋" w:cs="仿宋"/>
          <w:color w:val="auto"/>
          <w:highlight w:val="none"/>
        </w:rPr>
      </w:pPr>
      <w:r>
        <w:rPr>
          <w:rFonts w:hint="eastAsia" w:ascii="仿宋" w:hAnsi="仿宋" w:eastAsia="仿宋" w:cs="仿宋"/>
          <w:color w:val="auto"/>
          <w:highlight w:val="none"/>
        </w:rPr>
        <w:drawing>
          <wp:inline distT="0" distB="0" distL="114300" distR="114300">
            <wp:extent cx="5822315" cy="3012440"/>
            <wp:effectExtent l="0" t="0" r="6985"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2"/>
                    <a:stretch>
                      <a:fillRect/>
                    </a:stretch>
                  </pic:blipFill>
                  <pic:spPr>
                    <a:xfrm>
                      <a:off x="0" y="0"/>
                      <a:ext cx="5822315" cy="3012440"/>
                    </a:xfrm>
                    <a:prstGeom prst="rect">
                      <a:avLst/>
                    </a:prstGeom>
                  </pic:spPr>
                </pic:pic>
              </a:graphicData>
            </a:graphic>
          </wp:inline>
        </w:drawing>
      </w:r>
    </w:p>
    <w:p>
      <w:pPr>
        <w:rPr>
          <w:rFonts w:hint="eastAsia" w:ascii="仿宋" w:hAnsi="仿宋" w:eastAsia="仿宋" w:cs="仿宋"/>
          <w:color w:val="auto"/>
          <w:szCs w:val="21"/>
          <w:highlight w:val="none"/>
        </w:rPr>
      </w:pPr>
      <w:r>
        <w:rPr>
          <w:rFonts w:hint="eastAsia" w:ascii="仿宋" w:hAnsi="仿宋" w:eastAsia="仿宋" w:cs="仿宋"/>
          <w:color w:val="auto"/>
          <w:highlight w:val="none"/>
        </w:rPr>
        <w:t>（2）重大税收违法失信主体查询截图范例：</w:t>
      </w:r>
    </w:p>
    <w:p>
      <w:pPr>
        <w:jc w:val="center"/>
        <w:rPr>
          <w:rFonts w:hint="eastAsia" w:ascii="仿宋" w:hAnsi="仿宋" w:eastAsia="仿宋" w:cs="仿宋"/>
          <w:color w:val="auto"/>
          <w:highlight w:val="none"/>
        </w:rPr>
      </w:pPr>
      <w:r>
        <w:rPr>
          <w:rFonts w:hint="eastAsia" w:ascii="仿宋" w:hAnsi="仿宋" w:eastAsia="仿宋" w:cs="仿宋"/>
          <w:color w:val="auto"/>
          <w:szCs w:val="21"/>
          <w:highlight w:val="none"/>
        </w:rPr>
        <w:drawing>
          <wp:inline distT="0" distB="0" distL="114300" distR="114300">
            <wp:extent cx="5835015" cy="3030855"/>
            <wp:effectExtent l="0" t="0" r="13335" b="17145"/>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3"/>
                    <a:stretch>
                      <a:fillRect/>
                    </a:stretch>
                  </pic:blipFill>
                  <pic:spPr>
                    <a:xfrm>
                      <a:off x="0" y="0"/>
                      <a:ext cx="5835015" cy="3030855"/>
                    </a:xfrm>
                    <a:prstGeom prst="rect">
                      <a:avLst/>
                    </a:prstGeom>
                  </pic:spPr>
                </pic:pic>
              </a:graphicData>
            </a:graphic>
          </wp:inline>
        </w:drawing>
      </w:r>
    </w:p>
    <w:p>
      <w:pPr>
        <w:rPr>
          <w:rFonts w:hint="eastAsia" w:ascii="仿宋" w:hAnsi="仿宋" w:eastAsia="仿宋" w:cs="仿宋"/>
          <w:color w:val="auto"/>
          <w:highlight w:val="none"/>
        </w:rPr>
      </w:pPr>
      <w:r>
        <w:rPr>
          <w:rFonts w:hint="eastAsia" w:ascii="仿宋" w:hAnsi="仿宋" w:eastAsia="仿宋" w:cs="仿宋"/>
          <w:color w:val="auto"/>
          <w:highlight w:val="none"/>
        </w:rPr>
        <w:br w:type="page"/>
      </w:r>
    </w:p>
    <w:p>
      <w:pPr>
        <w:ind w:firstLine="240" w:firstLineChars="100"/>
        <w:rPr>
          <w:rFonts w:hint="eastAsia" w:ascii="仿宋" w:hAnsi="仿宋" w:eastAsia="仿宋" w:cs="仿宋"/>
          <w:color w:val="auto"/>
          <w:highlight w:val="none"/>
        </w:rPr>
      </w:pPr>
      <w:r>
        <w:rPr>
          <w:rFonts w:hint="eastAsia" w:ascii="仿宋" w:hAnsi="仿宋" w:eastAsia="仿宋" w:cs="仿宋"/>
          <w:color w:val="auto"/>
          <w:highlight w:val="none"/>
        </w:rPr>
        <w:t>（3）政府采购严重违法失信行为记录名单查询截图范例：</w:t>
      </w:r>
    </w:p>
    <w:p>
      <w:pPr>
        <w:jc w:val="center"/>
        <w:rPr>
          <w:rFonts w:hint="eastAsia" w:ascii="仿宋" w:hAnsi="仿宋" w:eastAsia="仿宋" w:cs="仿宋"/>
          <w:color w:val="auto"/>
          <w:highlight w:val="none"/>
        </w:rPr>
      </w:pPr>
      <w:r>
        <w:rPr>
          <w:rFonts w:hint="eastAsia" w:ascii="仿宋" w:hAnsi="仿宋" w:eastAsia="仿宋" w:cs="仿宋"/>
          <w:color w:val="auto"/>
          <w:highlight w:val="none"/>
        </w:rPr>
        <w:drawing>
          <wp:inline distT="0" distB="0" distL="114300" distR="114300">
            <wp:extent cx="5594985" cy="2898775"/>
            <wp:effectExtent l="0" t="0" r="5715" b="1587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4"/>
                    <a:stretch>
                      <a:fillRect/>
                    </a:stretch>
                  </pic:blipFill>
                  <pic:spPr>
                    <a:xfrm>
                      <a:off x="0" y="0"/>
                      <a:ext cx="5594985" cy="2898775"/>
                    </a:xfrm>
                    <a:prstGeom prst="rect">
                      <a:avLst/>
                    </a:prstGeom>
                  </pic:spPr>
                </pic:pic>
              </a:graphicData>
            </a:graphic>
          </wp:inline>
        </w:drawing>
      </w:r>
    </w:p>
    <w:p>
      <w:pPr>
        <w:pStyle w:val="6"/>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r>
        <w:rPr>
          <w:rFonts w:hint="eastAsia" w:ascii="仿宋" w:hAnsi="仿宋" w:eastAsia="仿宋" w:cs="仿宋"/>
          <w:color w:val="auto"/>
          <w:sz w:val="24"/>
          <w:szCs w:val="24"/>
          <w:highlight w:val="none"/>
        </w:rPr>
        <w:t>6、未列入供应商黑名单且未在禁入期承诺函</w:t>
      </w:r>
    </w:p>
    <w:p>
      <w:pPr>
        <w:pStyle w:val="2"/>
        <w:spacing w:before="240"/>
        <w:jc w:val="both"/>
        <w:rPr>
          <w:rFonts w:hint="eastAsia" w:ascii="仿宋" w:hAnsi="仿宋" w:eastAsia="仿宋" w:cs="仿宋"/>
          <w:color w:val="auto"/>
          <w:highlight w:val="none"/>
        </w:rPr>
      </w:pPr>
      <w:r>
        <w:rPr>
          <w:rFonts w:hint="eastAsia" w:ascii="仿宋" w:hAnsi="仿宋" w:eastAsia="仿宋" w:cs="仿宋"/>
          <w:color w:val="auto"/>
          <w:highlight w:val="none"/>
        </w:rPr>
        <w:t>致：</w:t>
      </w:r>
      <w:r>
        <w:rPr>
          <w:rFonts w:hint="eastAsia" w:ascii="仿宋" w:hAnsi="仿宋" w:eastAsia="仿宋" w:cs="仿宋"/>
          <w:color w:val="auto"/>
          <w:highlight w:val="none"/>
          <w:u w:val="single"/>
        </w:rPr>
        <w:t>（采购人名称）</w:t>
      </w:r>
      <w:r>
        <w:rPr>
          <w:rFonts w:hint="eastAsia" w:ascii="仿宋" w:hAnsi="仿宋" w:eastAsia="仿宋" w:cs="仿宋"/>
          <w:color w:val="auto"/>
          <w:highlight w:val="none"/>
        </w:rPr>
        <w:t>：</w:t>
      </w:r>
    </w:p>
    <w:p>
      <w:pPr>
        <w:adjustRightInd w:val="0"/>
        <w:snapToGrid w:val="0"/>
        <w:spacing w:before="240"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我方</w:t>
      </w:r>
      <w:r>
        <w:rPr>
          <w:rFonts w:hint="eastAsia" w:ascii="仿宋" w:hAnsi="仿宋" w:eastAsia="仿宋" w:cs="仿宋"/>
          <w:color w:val="auto"/>
          <w:highlight w:val="none"/>
          <w:u w:val="single"/>
        </w:rPr>
        <w:t xml:space="preserve">      （供应商名称）      </w:t>
      </w:r>
      <w:r>
        <w:rPr>
          <w:rFonts w:hint="eastAsia" w:ascii="仿宋" w:hAnsi="仿宋" w:eastAsia="仿宋" w:cs="仿宋"/>
          <w:color w:val="auto"/>
          <w:highlight w:val="none"/>
        </w:rPr>
        <w:t>承诺截至本项目响应文件递交截止时间，我方未被列入采购人及其所隶属的中国人民保险各级机构的供应商黑名单且未在禁入期内。</w:t>
      </w:r>
    </w:p>
    <w:p>
      <w:pPr>
        <w:pStyle w:val="2"/>
        <w:ind w:firstLine="480" w:firstLineChars="200"/>
        <w:jc w:val="both"/>
        <w:rPr>
          <w:rFonts w:hint="eastAsia" w:ascii="仿宋" w:hAnsi="仿宋" w:eastAsia="仿宋" w:cs="仿宋"/>
          <w:color w:val="auto"/>
          <w:highlight w:val="none"/>
        </w:rPr>
      </w:pPr>
    </w:p>
    <w:p>
      <w:pPr>
        <w:pStyle w:val="2"/>
        <w:ind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特此承诺。</w:t>
      </w:r>
    </w:p>
    <w:p>
      <w:pPr>
        <w:pStyle w:val="78"/>
        <w:ind w:firstLine="640"/>
        <w:rPr>
          <w:rFonts w:hint="eastAsia" w:ascii="仿宋" w:hAnsi="仿宋" w:eastAsia="仿宋" w:cs="仿宋"/>
          <w:color w:val="auto"/>
          <w:highlight w:val="none"/>
        </w:rPr>
      </w:pPr>
    </w:p>
    <w:p>
      <w:pPr>
        <w:pStyle w:val="78"/>
        <w:ind w:firstLine="640"/>
        <w:rPr>
          <w:rFonts w:hint="eastAsia" w:ascii="仿宋" w:hAnsi="仿宋" w:eastAsia="仿宋" w:cs="仿宋"/>
          <w:color w:val="auto"/>
          <w:highlight w:val="none"/>
        </w:rPr>
      </w:pPr>
    </w:p>
    <w:p>
      <w:pPr>
        <w:spacing w:line="360" w:lineRule="auto"/>
        <w:ind w:firstLine="4080" w:firstLineChars="1700"/>
        <w:jc w:val="right"/>
        <w:rPr>
          <w:rFonts w:hint="eastAsia" w:ascii="仿宋" w:hAnsi="仿宋" w:eastAsia="仿宋" w:cs="仿宋"/>
          <w:color w:val="auto"/>
          <w:highlight w:val="none"/>
        </w:rPr>
      </w:pPr>
    </w:p>
    <w:p>
      <w:pPr>
        <w:spacing w:line="360" w:lineRule="auto"/>
        <w:ind w:firstLine="4080" w:firstLineChars="1700"/>
        <w:jc w:val="right"/>
        <w:rPr>
          <w:rFonts w:hint="eastAsia" w:ascii="仿宋" w:hAnsi="仿宋" w:eastAsia="仿宋" w:cs="仿宋"/>
          <w:color w:val="auto"/>
          <w:highlight w:val="none"/>
        </w:rPr>
      </w:pPr>
    </w:p>
    <w:p>
      <w:pPr>
        <w:spacing w:line="360" w:lineRule="auto"/>
        <w:ind w:firstLine="4080" w:firstLineChars="1700"/>
        <w:jc w:val="right"/>
        <w:rPr>
          <w:rFonts w:hint="eastAsia" w:ascii="仿宋" w:hAnsi="仿宋" w:eastAsia="仿宋" w:cs="仿宋"/>
          <w:color w:val="auto"/>
          <w:highlight w:val="none"/>
        </w:rPr>
      </w:pPr>
    </w:p>
    <w:p>
      <w:pPr>
        <w:spacing w:line="360" w:lineRule="auto"/>
        <w:ind w:firstLine="4080" w:firstLineChars="1700"/>
        <w:jc w:val="right"/>
        <w:rPr>
          <w:rFonts w:hint="eastAsia" w:ascii="仿宋" w:hAnsi="仿宋" w:eastAsia="仿宋" w:cs="仿宋"/>
          <w:color w:val="auto"/>
          <w:highlight w:val="none"/>
        </w:rPr>
      </w:pPr>
    </w:p>
    <w:p>
      <w:pPr>
        <w:spacing w:line="360" w:lineRule="auto"/>
        <w:ind w:firstLine="408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360" w:lineRule="auto"/>
        <w:jc w:val="center"/>
        <w:rPr>
          <w:rFonts w:hint="eastAsia" w:ascii="仿宋" w:hAnsi="仿宋" w:eastAsia="仿宋" w:cs="仿宋"/>
          <w:b/>
          <w:bCs/>
          <w:color w:val="auto"/>
          <w:highlight w:val="none"/>
        </w:rPr>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pStyle w:val="68"/>
        <w:spacing w:line="360" w:lineRule="auto"/>
        <w:rPr>
          <w:rFonts w:hint="eastAsia" w:ascii="仿宋" w:hAnsi="仿宋" w:eastAsia="仿宋" w:cs="仿宋"/>
          <w:color w:val="auto"/>
          <w:highlight w:val="none"/>
        </w:rPr>
      </w:pPr>
      <w:r>
        <w:rPr>
          <w:rFonts w:hint="eastAsia" w:ascii="仿宋" w:hAnsi="仿宋" w:eastAsia="仿宋" w:cs="仿宋"/>
          <w:color w:val="auto"/>
          <w:szCs w:val="24"/>
          <w:highlight w:val="none"/>
        </w:rPr>
        <w:br w:type="page"/>
      </w:r>
    </w:p>
    <w:p>
      <w:pPr>
        <w:pStyle w:val="6"/>
        <w:spacing w:before="0" w:after="0" w:line="360" w:lineRule="auto"/>
        <w:rPr>
          <w:rFonts w:hint="eastAsia" w:ascii="仿宋" w:hAnsi="仿宋" w:eastAsia="仿宋" w:cs="仿宋"/>
          <w:color w:val="auto"/>
          <w:sz w:val="24"/>
          <w:szCs w:val="24"/>
          <w:highlight w:val="none"/>
        </w:rPr>
      </w:pPr>
      <w:bookmarkStart w:id="170" w:name="_Hlk69983040"/>
      <w:r>
        <w:rPr>
          <w:rFonts w:hint="eastAsia" w:ascii="仿宋" w:hAnsi="仿宋" w:eastAsia="仿宋" w:cs="仿宋"/>
          <w:color w:val="auto"/>
          <w:sz w:val="24"/>
          <w:szCs w:val="24"/>
          <w:highlight w:val="none"/>
        </w:rPr>
        <w:t>7、供应商控股及管理关系情况申报表</w:t>
      </w:r>
    </w:p>
    <w:p>
      <w:pPr>
        <w:pStyle w:val="53"/>
        <w:spacing w:before="240" w:after="240" w:line="360" w:lineRule="auto"/>
        <w:ind w:firstLine="0" w:firstLineChars="0"/>
        <w:jc w:val="center"/>
        <w:rPr>
          <w:rFonts w:hint="eastAsia" w:ascii="仿宋" w:hAnsi="仿宋" w:eastAsia="仿宋" w:cs="仿宋"/>
          <w:b/>
          <w:color w:val="auto"/>
          <w:highlight w:val="none"/>
        </w:rPr>
      </w:pPr>
      <w:r>
        <w:rPr>
          <w:rFonts w:hint="eastAsia" w:ascii="仿宋" w:hAnsi="仿宋" w:eastAsia="仿宋" w:cs="仿宋"/>
          <w:b/>
          <w:color w:val="auto"/>
          <w:highlight w:val="none"/>
        </w:rPr>
        <w:t>供应商控股及管理关系情况申报表</w:t>
      </w:r>
    </w:p>
    <w:p>
      <w:pPr>
        <w:adjustRightInd w:val="0"/>
        <w:snapToGrid w:val="0"/>
        <w:spacing w:line="360" w:lineRule="auto"/>
        <w:ind w:left="0" w:leftChars="0" w:firstLine="88" w:firstLineChars="37"/>
        <w:rPr>
          <w:rFonts w:hint="eastAsia" w:ascii="仿宋" w:hAnsi="仿宋" w:eastAsia="仿宋" w:cs="仿宋"/>
          <w:color w:val="auto"/>
          <w:highlight w:val="none"/>
        </w:rPr>
      </w:pPr>
      <w:r>
        <w:rPr>
          <w:rFonts w:hint="eastAsia" w:ascii="仿宋" w:hAnsi="仿宋" w:eastAsia="仿宋" w:cs="仿宋"/>
          <w:color w:val="auto"/>
          <w:highlight w:val="none"/>
        </w:rPr>
        <w:t>致：</w:t>
      </w:r>
      <w:r>
        <w:rPr>
          <w:rFonts w:hint="eastAsia" w:ascii="仿宋" w:hAnsi="仿宋" w:eastAsia="仿宋" w:cs="仿宋"/>
          <w:color w:val="auto"/>
          <w:highlight w:val="none"/>
          <w:u w:val="single"/>
        </w:rPr>
        <w:t xml:space="preserve">  （采购人名称）  </w:t>
      </w:r>
      <w:r>
        <w:rPr>
          <w:rFonts w:hint="eastAsia" w:ascii="仿宋" w:hAnsi="仿宋" w:eastAsia="仿宋" w:cs="仿宋"/>
          <w:color w:val="auto"/>
          <w:highlight w:val="none"/>
        </w:rPr>
        <w:t>：</w:t>
      </w:r>
    </w:p>
    <w:p>
      <w:pPr>
        <w:adjustRightInd w:val="0"/>
        <w:snapToGrid w:val="0"/>
        <w:spacing w:line="360" w:lineRule="auto"/>
        <w:ind w:left="0" w:leftChars="0" w:firstLine="566" w:firstLineChars="236"/>
        <w:rPr>
          <w:rFonts w:hint="eastAsia" w:ascii="仿宋" w:hAnsi="仿宋" w:eastAsia="仿宋" w:cs="仿宋"/>
          <w:color w:val="auto"/>
          <w:highlight w:val="none"/>
        </w:rPr>
      </w:pPr>
      <w:r>
        <w:rPr>
          <w:rFonts w:hint="eastAsia" w:ascii="仿宋" w:hAnsi="仿宋" w:eastAsia="仿宋" w:cs="仿宋"/>
          <w:color w:val="auto"/>
          <w:highlight w:val="none"/>
        </w:rPr>
        <w:t>我方参加</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项目名称）的磋商，根据法律法规维护投标公正性的相关规定，我方与采购人之间不存在利害关系可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30"/>
        <w:tblW w:w="92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0"/>
        <w:gridCol w:w="2851"/>
        <w:gridCol w:w="43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2000"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申报人名称</w:t>
            </w:r>
          </w:p>
        </w:tc>
        <w:tc>
          <w:tcPr>
            <w:tcW w:w="7239" w:type="dxa"/>
            <w:gridSpan w:val="2"/>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2000" w:type="dxa"/>
            <w:vMerge w:val="restart"/>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法定代表人/单位负责人</w:t>
            </w:r>
          </w:p>
        </w:tc>
        <w:tc>
          <w:tcPr>
            <w:tcW w:w="2851"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姓    名</w:t>
            </w:r>
          </w:p>
        </w:tc>
        <w:tc>
          <w:tcPr>
            <w:tcW w:w="4388"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2000" w:type="dxa"/>
            <w:vMerge w:val="continue"/>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p>
        </w:tc>
        <w:tc>
          <w:tcPr>
            <w:tcW w:w="2851"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身份证号</w:t>
            </w:r>
          </w:p>
        </w:tc>
        <w:tc>
          <w:tcPr>
            <w:tcW w:w="4388"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2000"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单位负责人为同一人单位名称</w:t>
            </w:r>
          </w:p>
        </w:tc>
        <w:tc>
          <w:tcPr>
            <w:tcW w:w="7239" w:type="dxa"/>
            <w:gridSpan w:val="2"/>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2000" w:type="dxa"/>
            <w:vMerge w:val="restart"/>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控股关系</w:t>
            </w:r>
          </w:p>
        </w:tc>
        <w:tc>
          <w:tcPr>
            <w:tcW w:w="2851"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控股股东/投资人名称及出资比例</w:t>
            </w:r>
          </w:p>
        </w:tc>
        <w:tc>
          <w:tcPr>
            <w:tcW w:w="4388"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2000" w:type="dxa"/>
            <w:vMerge w:val="continue"/>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p>
        </w:tc>
        <w:tc>
          <w:tcPr>
            <w:tcW w:w="2851"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被控股/被投资单位名称及出资比例</w:t>
            </w:r>
          </w:p>
        </w:tc>
        <w:tc>
          <w:tcPr>
            <w:tcW w:w="4388"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2000" w:type="dxa"/>
            <w:vMerge w:val="restart"/>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管理关系</w:t>
            </w:r>
          </w:p>
        </w:tc>
        <w:tc>
          <w:tcPr>
            <w:tcW w:w="2851"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管理关系单位名称</w:t>
            </w:r>
          </w:p>
        </w:tc>
        <w:tc>
          <w:tcPr>
            <w:tcW w:w="4388"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2000" w:type="dxa"/>
            <w:vMerge w:val="continue"/>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p>
        </w:tc>
        <w:tc>
          <w:tcPr>
            <w:tcW w:w="2851"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被管理关系单位名称</w:t>
            </w:r>
          </w:p>
        </w:tc>
        <w:tc>
          <w:tcPr>
            <w:tcW w:w="4388"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9239" w:type="dxa"/>
            <w:gridSpan w:val="3"/>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备注：</w:t>
            </w:r>
          </w:p>
        </w:tc>
      </w:tr>
    </w:tbl>
    <w:p>
      <w:pPr>
        <w:adjustRightInd w:val="0"/>
        <w:snapToGrid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注：</w:t>
      </w:r>
    </w:p>
    <w:p>
      <w:pPr>
        <w:adjustRightInd w:val="0"/>
        <w:snapToGrid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1.控股股东/投资人是指出资比例在50%以上，或者出资比例不足50%，但享有公司股东会/董事会控制权的投资方（含单位或者个人）</w:t>
      </w:r>
    </w:p>
    <w:p>
      <w:pPr>
        <w:adjustRightInd w:val="0"/>
        <w:snapToGrid w:val="0"/>
        <w:spacing w:line="360" w:lineRule="auto"/>
        <w:ind w:left="12" w:leftChars="5"/>
        <w:rPr>
          <w:rFonts w:hint="eastAsia" w:ascii="仿宋" w:hAnsi="仿宋" w:eastAsia="仿宋" w:cs="仿宋"/>
          <w:color w:val="auto"/>
          <w:highlight w:val="none"/>
        </w:rPr>
      </w:pPr>
      <w:r>
        <w:rPr>
          <w:rFonts w:hint="eastAsia" w:ascii="仿宋" w:hAnsi="仿宋" w:eastAsia="仿宋" w:cs="仿宋"/>
          <w:color w:val="auto"/>
          <w:highlight w:val="none"/>
        </w:rPr>
        <w:t xml:space="preserve">2.管理关系单位是指与不具有出资持股关系的其他单位之间存在管理与被管理关系的单位； </w:t>
      </w:r>
    </w:p>
    <w:p>
      <w:pPr>
        <w:adjustRightInd w:val="0"/>
        <w:snapToGrid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3.如未有相关情况，请在相应栏填写“无”。</w:t>
      </w:r>
    </w:p>
    <w:p>
      <w:pPr>
        <w:spacing w:line="360" w:lineRule="auto"/>
        <w:ind w:firstLine="408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360" w:lineRule="auto"/>
        <w:jc w:val="right"/>
        <w:rPr>
          <w:rFonts w:hint="eastAsia"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pStyle w:val="6"/>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8、非联合体磋商响应声明</w:t>
      </w:r>
    </w:p>
    <w:bookmarkEnd w:id="169"/>
    <w:bookmarkEnd w:id="170"/>
    <w:p>
      <w:pPr>
        <w:pStyle w:val="2"/>
        <w:spacing w:before="240"/>
        <w:rPr>
          <w:rFonts w:hint="eastAsia" w:ascii="仿宋" w:hAnsi="仿宋" w:eastAsia="仿宋" w:cs="仿宋"/>
          <w:b/>
          <w:bCs/>
          <w:color w:val="auto"/>
          <w:highlight w:val="none"/>
        </w:rPr>
      </w:pPr>
      <w:bookmarkStart w:id="171" w:name="_Toc71192048"/>
      <w:r>
        <w:rPr>
          <w:rFonts w:hint="eastAsia" w:ascii="仿宋" w:hAnsi="仿宋" w:eastAsia="仿宋" w:cs="仿宋"/>
          <w:b/>
          <w:bCs/>
          <w:color w:val="auto"/>
          <w:highlight w:val="none"/>
        </w:rPr>
        <w:t>非联合体磋商响应声明</w:t>
      </w:r>
    </w:p>
    <w:p>
      <w:pPr>
        <w:adjustRightInd w:val="0"/>
        <w:snapToGrid w:val="0"/>
        <w:spacing w:before="240" w:line="360" w:lineRule="auto"/>
        <w:rPr>
          <w:rFonts w:hint="eastAsia" w:ascii="仿宋" w:hAnsi="仿宋" w:eastAsia="仿宋" w:cs="仿宋"/>
          <w:color w:val="auto"/>
          <w:highlight w:val="none"/>
        </w:rPr>
      </w:pPr>
      <w:r>
        <w:rPr>
          <w:rFonts w:hint="eastAsia" w:ascii="仿宋" w:hAnsi="仿宋" w:eastAsia="仿宋" w:cs="仿宋"/>
          <w:color w:val="auto"/>
          <w:highlight w:val="none"/>
        </w:rPr>
        <w:t>致：（采购人）：</w:t>
      </w:r>
    </w:p>
    <w:p>
      <w:pPr>
        <w:adjustRightInd w:val="0"/>
        <w:snapToGrid w:val="0"/>
        <w:spacing w:before="240"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我方</w:t>
      </w:r>
      <w:r>
        <w:rPr>
          <w:rFonts w:hint="eastAsia" w:ascii="仿宋" w:hAnsi="仿宋" w:eastAsia="仿宋" w:cs="仿宋"/>
          <w:color w:val="auto"/>
          <w:highlight w:val="none"/>
          <w:u w:val="single"/>
        </w:rPr>
        <w:t xml:space="preserve">      （供应商名称）   </w:t>
      </w:r>
      <w:r>
        <w:rPr>
          <w:rFonts w:hint="eastAsia" w:ascii="仿宋" w:hAnsi="仿宋" w:eastAsia="仿宋" w:cs="仿宋"/>
          <w:color w:val="auto"/>
          <w:highlight w:val="none"/>
        </w:rPr>
        <w:t>独立参与</w:t>
      </w:r>
      <w:r>
        <w:rPr>
          <w:rFonts w:hint="eastAsia" w:ascii="仿宋" w:hAnsi="仿宋" w:eastAsia="仿宋" w:cs="仿宋"/>
          <w:color w:val="auto"/>
          <w:highlight w:val="none"/>
          <w:u w:val="single"/>
        </w:rPr>
        <w:t xml:space="preserve">    （项目名称）  </w:t>
      </w:r>
      <w:r>
        <w:rPr>
          <w:rFonts w:hint="eastAsia" w:ascii="仿宋" w:hAnsi="仿宋" w:eastAsia="仿宋" w:cs="仿宋"/>
          <w:color w:val="auto"/>
          <w:highlight w:val="none"/>
        </w:rPr>
        <w:t xml:space="preserve">磋商响应，非联合体参与磋商响应。 </w:t>
      </w:r>
    </w:p>
    <w:p>
      <w:pPr>
        <w:pStyle w:val="2"/>
        <w:ind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特此声明。</w:t>
      </w:r>
    </w:p>
    <w:p>
      <w:pPr>
        <w:pStyle w:val="78"/>
        <w:ind w:firstLine="640"/>
        <w:rPr>
          <w:rFonts w:hint="eastAsia" w:ascii="仿宋" w:hAnsi="仿宋" w:eastAsia="仿宋" w:cs="仿宋"/>
          <w:color w:val="auto"/>
          <w:highlight w:val="none"/>
        </w:rPr>
      </w:pPr>
    </w:p>
    <w:p>
      <w:pPr>
        <w:pStyle w:val="78"/>
        <w:ind w:firstLine="640"/>
        <w:rPr>
          <w:rFonts w:hint="eastAsia" w:ascii="仿宋" w:hAnsi="仿宋" w:eastAsia="仿宋" w:cs="仿宋"/>
          <w:color w:val="auto"/>
          <w:highlight w:val="none"/>
        </w:rPr>
      </w:pPr>
    </w:p>
    <w:p>
      <w:pPr>
        <w:pStyle w:val="78"/>
        <w:ind w:firstLine="640"/>
        <w:rPr>
          <w:rFonts w:hint="eastAsia" w:ascii="仿宋" w:hAnsi="仿宋" w:eastAsia="仿宋" w:cs="仿宋"/>
          <w:color w:val="auto"/>
          <w:highlight w:val="none"/>
        </w:rPr>
      </w:pPr>
    </w:p>
    <w:p>
      <w:pPr>
        <w:pStyle w:val="78"/>
        <w:ind w:firstLine="640"/>
        <w:rPr>
          <w:rFonts w:hint="eastAsia" w:ascii="仿宋" w:hAnsi="仿宋" w:eastAsia="仿宋" w:cs="仿宋"/>
          <w:color w:val="auto"/>
          <w:highlight w:val="none"/>
        </w:rPr>
      </w:pPr>
    </w:p>
    <w:p>
      <w:pPr>
        <w:pStyle w:val="78"/>
        <w:ind w:firstLine="640"/>
        <w:rPr>
          <w:rFonts w:hint="eastAsia" w:ascii="仿宋" w:hAnsi="仿宋" w:eastAsia="仿宋" w:cs="仿宋"/>
          <w:color w:val="auto"/>
          <w:highlight w:val="none"/>
        </w:rPr>
      </w:pPr>
    </w:p>
    <w:p>
      <w:pPr>
        <w:pStyle w:val="78"/>
        <w:ind w:firstLine="640"/>
        <w:rPr>
          <w:rFonts w:hint="eastAsia" w:ascii="仿宋" w:hAnsi="仿宋" w:eastAsia="仿宋" w:cs="仿宋"/>
          <w:color w:val="auto"/>
          <w:highlight w:val="none"/>
        </w:rPr>
      </w:pPr>
    </w:p>
    <w:p>
      <w:pPr>
        <w:pStyle w:val="78"/>
        <w:ind w:firstLine="640"/>
        <w:rPr>
          <w:rFonts w:hint="eastAsia" w:ascii="仿宋" w:hAnsi="仿宋" w:eastAsia="仿宋" w:cs="仿宋"/>
          <w:color w:val="auto"/>
          <w:highlight w:val="none"/>
        </w:rPr>
      </w:pPr>
    </w:p>
    <w:p>
      <w:pPr>
        <w:spacing w:line="360" w:lineRule="auto"/>
        <w:ind w:firstLine="408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360" w:lineRule="auto"/>
        <w:jc w:val="right"/>
        <w:rPr>
          <w:rFonts w:hint="eastAsia"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rPr>
          <w:rFonts w:hint="eastAsia" w:ascii="仿宋" w:hAnsi="仿宋" w:eastAsia="仿宋" w:cs="仿宋"/>
          <w:color w:val="auto"/>
          <w:sz w:val="24"/>
          <w:szCs w:val="24"/>
          <w:highlight w:val="none"/>
        </w:rPr>
      </w:pPr>
      <w:bookmarkStart w:id="172" w:name="_Toc15130"/>
      <w:bookmarkStart w:id="173" w:name="_Toc144139212"/>
      <w:bookmarkStart w:id="174" w:name="_Toc112068411"/>
      <w:bookmarkStart w:id="175" w:name="_Toc18208"/>
      <w:bookmarkStart w:id="176" w:name="_Toc65683009"/>
      <w:r>
        <w:rPr>
          <w:rFonts w:hint="eastAsia" w:ascii="仿宋" w:hAnsi="仿宋" w:eastAsia="仿宋" w:cs="仿宋"/>
          <w:color w:val="auto"/>
          <w:sz w:val="24"/>
          <w:szCs w:val="24"/>
          <w:highlight w:val="none"/>
        </w:rPr>
        <w:br w:type="page"/>
      </w:r>
    </w:p>
    <w:p>
      <w:pPr>
        <w:pStyle w:val="5"/>
        <w:spacing w:before="0" w:after="0" w:line="360" w:lineRule="auto"/>
        <w:rPr>
          <w:rFonts w:hint="eastAsia" w:ascii="仿宋" w:hAnsi="仿宋" w:eastAsia="仿宋" w:cs="仿宋"/>
          <w:color w:val="auto"/>
          <w:szCs w:val="24"/>
          <w:highlight w:val="none"/>
        </w:rPr>
      </w:pPr>
      <w:bookmarkStart w:id="177" w:name="_Toc5904"/>
      <w:r>
        <w:rPr>
          <w:rFonts w:hint="eastAsia" w:ascii="仿宋" w:hAnsi="仿宋" w:eastAsia="仿宋" w:cs="仿宋"/>
          <w:color w:val="auto"/>
          <w:sz w:val="24"/>
          <w:szCs w:val="24"/>
          <w:highlight w:val="none"/>
        </w:rPr>
        <w:t>（五）供应商须知应答偏离表</w:t>
      </w:r>
      <w:bookmarkEnd w:id="172"/>
      <w:bookmarkEnd w:id="173"/>
      <w:bookmarkEnd w:id="174"/>
      <w:bookmarkEnd w:id="175"/>
      <w:bookmarkEnd w:id="176"/>
      <w:bookmarkEnd w:id="177"/>
    </w:p>
    <w:p>
      <w:pPr>
        <w:spacing w:line="360" w:lineRule="auto"/>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供应商须知应答偏离表</w:t>
      </w:r>
    </w:p>
    <w:p>
      <w:pPr>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w:t>
      </w:r>
    </w:p>
    <w:tbl>
      <w:tblPr>
        <w:tblStyle w:val="30"/>
        <w:tblW w:w="9358"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2171"/>
        <w:gridCol w:w="2371"/>
        <w:gridCol w:w="2570"/>
        <w:gridCol w:w="133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08"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2171"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条目号</w:t>
            </w:r>
          </w:p>
        </w:tc>
        <w:tc>
          <w:tcPr>
            <w:tcW w:w="2371"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原文内容</w:t>
            </w:r>
          </w:p>
        </w:tc>
        <w:tc>
          <w:tcPr>
            <w:tcW w:w="2570"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应答</w:t>
            </w:r>
          </w:p>
        </w:tc>
        <w:tc>
          <w:tcPr>
            <w:tcW w:w="1338"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08"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71"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71"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70"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38"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08"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71"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71"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70"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38"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08"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71"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71"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70"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38"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08"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71"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71"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70"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38"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08"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71"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71"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70"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38"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bl>
    <w:p>
      <w:pPr>
        <w:spacing w:line="360" w:lineRule="auto"/>
        <w:ind w:left="480" w:hanging="480" w:hangingChars="200"/>
        <w:rPr>
          <w:rFonts w:hint="eastAsia" w:ascii="仿宋" w:hAnsi="仿宋" w:eastAsia="仿宋" w:cs="仿宋"/>
          <w:b/>
          <w:bCs/>
          <w:color w:val="auto"/>
          <w:highlight w:val="none"/>
        </w:rPr>
      </w:pPr>
      <w:r>
        <w:rPr>
          <w:rFonts w:hint="eastAsia" w:ascii="仿宋" w:hAnsi="仿宋" w:eastAsia="仿宋" w:cs="仿宋"/>
          <w:color w:val="auto"/>
          <w:highlight w:val="none"/>
        </w:rPr>
        <w:t>注：所有偏离须在本表中列出，未在本偏离表中列出偏离，将视为供应商已完全接受磋商文件要求</w:t>
      </w:r>
      <w:r>
        <w:rPr>
          <w:rFonts w:hint="eastAsia" w:ascii="仿宋" w:hAnsi="仿宋" w:eastAsia="仿宋" w:cs="仿宋"/>
          <w:b/>
          <w:bCs/>
          <w:color w:val="auto"/>
          <w:highlight w:val="none"/>
        </w:rPr>
        <w:t>。如全部满足，在偏离表中应答“全部满足”即可。</w:t>
      </w:r>
    </w:p>
    <w:p>
      <w:pPr>
        <w:spacing w:line="360" w:lineRule="auto"/>
        <w:ind w:firstLine="4080" w:firstLineChars="1700"/>
        <w:jc w:val="right"/>
        <w:rPr>
          <w:rFonts w:hint="eastAsia" w:ascii="仿宋" w:hAnsi="仿宋" w:eastAsia="仿宋" w:cs="仿宋"/>
          <w:color w:val="auto"/>
          <w:highlight w:val="none"/>
        </w:rPr>
      </w:pPr>
    </w:p>
    <w:p>
      <w:pPr>
        <w:spacing w:line="360" w:lineRule="auto"/>
        <w:ind w:firstLine="4080" w:firstLineChars="1700"/>
        <w:jc w:val="right"/>
        <w:rPr>
          <w:rFonts w:hint="eastAsia" w:ascii="仿宋" w:hAnsi="仿宋" w:eastAsia="仿宋" w:cs="仿宋"/>
          <w:color w:val="auto"/>
          <w:highlight w:val="none"/>
        </w:rPr>
      </w:pPr>
    </w:p>
    <w:p>
      <w:pPr>
        <w:spacing w:line="360" w:lineRule="auto"/>
        <w:ind w:firstLine="4080" w:firstLineChars="1700"/>
        <w:jc w:val="right"/>
        <w:rPr>
          <w:rFonts w:hint="eastAsia" w:ascii="仿宋" w:hAnsi="仿宋" w:eastAsia="仿宋" w:cs="仿宋"/>
          <w:color w:val="auto"/>
          <w:highlight w:val="none"/>
        </w:rPr>
      </w:pPr>
    </w:p>
    <w:p>
      <w:pPr>
        <w:spacing w:line="360" w:lineRule="auto"/>
        <w:ind w:firstLine="408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360" w:lineRule="auto"/>
        <w:jc w:val="right"/>
        <w:rPr>
          <w:rFonts w:hint="eastAsia" w:ascii="仿宋" w:hAnsi="仿宋" w:eastAsia="仿宋" w:cs="仿宋"/>
          <w:color w:val="auto"/>
          <w:highlight w:val="none"/>
        </w:rPr>
        <w:sectPr>
          <w:pgSz w:w="11906" w:h="16838"/>
          <w:pgMar w:top="1417" w:right="1417" w:bottom="1417" w:left="1417" w:header="850" w:footer="992" w:gutter="0"/>
          <w:pgNumType w:fmt="decimal"/>
          <w:cols w:space="0" w:num="1"/>
          <w:rtlGutter w:val="0"/>
          <w:docGrid w:type="lines" w:linePitch="333" w:charSpace="0"/>
        </w:sect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pStyle w:val="5"/>
        <w:spacing w:before="0" w:after="0" w:line="360" w:lineRule="auto"/>
        <w:rPr>
          <w:rFonts w:hint="eastAsia" w:ascii="仿宋" w:hAnsi="仿宋" w:eastAsia="仿宋" w:cs="仿宋"/>
          <w:color w:val="auto"/>
          <w:sz w:val="24"/>
          <w:szCs w:val="24"/>
          <w:highlight w:val="none"/>
        </w:rPr>
      </w:pPr>
      <w:bookmarkStart w:id="178" w:name="_Toc8983"/>
      <w:r>
        <w:rPr>
          <w:rFonts w:hint="eastAsia" w:ascii="仿宋" w:hAnsi="仿宋" w:eastAsia="仿宋" w:cs="仿宋"/>
          <w:color w:val="auto"/>
          <w:sz w:val="24"/>
          <w:szCs w:val="24"/>
          <w:highlight w:val="none"/>
        </w:rPr>
        <w:t>（六）合同条款应答偏离表</w:t>
      </w:r>
      <w:bookmarkEnd w:id="178"/>
    </w:p>
    <w:p>
      <w:pPr>
        <w:spacing w:line="360" w:lineRule="auto"/>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合同条款应答偏离表</w:t>
      </w:r>
    </w:p>
    <w:p>
      <w:pPr>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w:t>
      </w:r>
    </w:p>
    <w:tbl>
      <w:tblPr>
        <w:tblStyle w:val="30"/>
        <w:tblW w:w="9537"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6"/>
        <w:gridCol w:w="2213"/>
        <w:gridCol w:w="2416"/>
        <w:gridCol w:w="2619"/>
        <w:gridCol w:w="1363"/>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926"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2213"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条目号</w:t>
            </w:r>
          </w:p>
        </w:tc>
        <w:tc>
          <w:tcPr>
            <w:tcW w:w="2416"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原文内容</w:t>
            </w:r>
          </w:p>
        </w:tc>
        <w:tc>
          <w:tcPr>
            <w:tcW w:w="2619"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应答</w:t>
            </w:r>
          </w:p>
        </w:tc>
        <w:tc>
          <w:tcPr>
            <w:tcW w:w="1363"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92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21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41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619"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6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92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21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41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619"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6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92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21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41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619"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6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92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21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41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619"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6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92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21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41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619"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6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92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21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41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619"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6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92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21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41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619"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6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92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21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41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619"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6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92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21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41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619"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6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92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21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41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619"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6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bl>
    <w:p>
      <w:pPr>
        <w:spacing w:before="240" w:line="360" w:lineRule="auto"/>
        <w:ind w:left="480" w:hanging="480" w:hangingChars="200"/>
        <w:rPr>
          <w:rFonts w:hint="eastAsia" w:ascii="仿宋" w:hAnsi="仿宋" w:eastAsia="仿宋" w:cs="仿宋"/>
          <w:color w:val="auto"/>
          <w:highlight w:val="none"/>
        </w:rPr>
      </w:pPr>
      <w:r>
        <w:rPr>
          <w:rFonts w:hint="eastAsia" w:ascii="仿宋" w:hAnsi="仿宋" w:eastAsia="仿宋" w:cs="仿宋"/>
          <w:color w:val="auto"/>
          <w:highlight w:val="none"/>
        </w:rPr>
        <w:t>注：所有偏离必须在本表中列出，未在本偏离表中列出偏离，将视为供应商已完全接受竞争性磋商文件要求；</w:t>
      </w:r>
      <w:r>
        <w:rPr>
          <w:rFonts w:hint="eastAsia" w:ascii="仿宋" w:hAnsi="仿宋" w:eastAsia="仿宋" w:cs="仿宋"/>
          <w:b/>
          <w:bCs/>
          <w:color w:val="auto"/>
          <w:highlight w:val="none"/>
        </w:rPr>
        <w:t>如全部满足，在偏离表中应答“全部满足”即可</w:t>
      </w:r>
      <w:r>
        <w:rPr>
          <w:rFonts w:hint="eastAsia" w:ascii="仿宋" w:hAnsi="仿宋" w:eastAsia="仿宋" w:cs="仿宋"/>
          <w:color w:val="auto"/>
          <w:highlight w:val="none"/>
        </w:rPr>
        <w:t>。</w:t>
      </w:r>
    </w:p>
    <w:p>
      <w:pPr>
        <w:spacing w:line="600" w:lineRule="exact"/>
        <w:rPr>
          <w:rFonts w:hint="eastAsia" w:ascii="仿宋" w:hAnsi="仿宋" w:eastAsia="仿宋" w:cs="仿宋"/>
          <w:color w:val="auto"/>
          <w:szCs w:val="21"/>
          <w:highlight w:val="none"/>
        </w:rPr>
      </w:pPr>
    </w:p>
    <w:p>
      <w:pPr>
        <w:spacing w:line="360" w:lineRule="auto"/>
        <w:ind w:firstLine="420"/>
        <w:jc w:val="right"/>
        <w:rPr>
          <w:rFonts w:hint="eastAsia" w:ascii="仿宋" w:hAnsi="仿宋" w:eastAsia="仿宋" w:cs="仿宋"/>
          <w:color w:val="auto"/>
          <w:highlight w:val="none"/>
        </w:rPr>
      </w:pPr>
    </w:p>
    <w:p>
      <w:pPr>
        <w:spacing w:line="440" w:lineRule="exact"/>
        <w:ind w:firstLine="408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440" w:lineRule="exact"/>
        <w:jc w:val="right"/>
        <w:rPr>
          <w:rFonts w:hint="eastAsia"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spacing w:line="360" w:lineRule="auto"/>
        <w:rPr>
          <w:rFonts w:hint="eastAsia" w:ascii="仿宋" w:hAnsi="仿宋" w:eastAsia="仿宋" w:cs="仿宋"/>
          <w:color w:val="auto"/>
          <w:highlight w:val="none"/>
          <w:u w:val="single"/>
        </w:rPr>
      </w:pPr>
    </w:p>
    <w:p>
      <w:pPr>
        <w:pStyle w:val="5"/>
        <w:spacing w:before="0" w:after="0" w:line="360" w:lineRule="auto"/>
        <w:rPr>
          <w:rFonts w:hint="eastAsia" w:ascii="仿宋" w:hAnsi="仿宋" w:eastAsia="仿宋" w:cs="仿宋"/>
          <w:color w:val="auto"/>
          <w:sz w:val="24"/>
          <w:highlight w:val="none"/>
        </w:rPr>
        <w:sectPr>
          <w:pgSz w:w="11906" w:h="16838"/>
          <w:pgMar w:top="1417" w:right="1417" w:bottom="1417" w:left="1417" w:header="850" w:footer="992" w:gutter="0"/>
          <w:pgNumType w:fmt="decimal"/>
          <w:cols w:space="0" w:num="1"/>
          <w:rtlGutter w:val="0"/>
          <w:docGrid w:type="lines" w:linePitch="333" w:charSpace="0"/>
        </w:sectPr>
      </w:pPr>
    </w:p>
    <w:p>
      <w:pPr>
        <w:pStyle w:val="5"/>
        <w:spacing w:before="0" w:after="0" w:line="360" w:lineRule="auto"/>
        <w:rPr>
          <w:rFonts w:hint="eastAsia" w:ascii="仿宋" w:hAnsi="仿宋" w:eastAsia="仿宋" w:cs="仿宋"/>
          <w:color w:val="auto"/>
          <w:sz w:val="24"/>
          <w:szCs w:val="24"/>
          <w:highlight w:val="none"/>
        </w:rPr>
      </w:pPr>
      <w:bookmarkStart w:id="179" w:name="_Toc17890"/>
      <w:bookmarkStart w:id="180" w:name="_Toc9321"/>
      <w:r>
        <w:rPr>
          <w:rFonts w:hint="eastAsia" w:ascii="仿宋" w:hAnsi="仿宋" w:eastAsia="仿宋" w:cs="仿宋"/>
          <w:color w:val="auto"/>
          <w:sz w:val="24"/>
          <w:szCs w:val="24"/>
          <w:highlight w:val="none"/>
        </w:rPr>
        <w:t>（七）供应商行为准则承诺书</w:t>
      </w:r>
      <w:bookmarkEnd w:id="179"/>
      <w:bookmarkEnd w:id="180"/>
    </w:p>
    <w:p>
      <w:pPr>
        <w:jc w:val="center"/>
        <w:rPr>
          <w:rFonts w:hint="eastAsia" w:ascii="仿宋" w:hAnsi="仿宋" w:eastAsia="仿宋" w:cs="仿宋"/>
          <w:b/>
          <w:bCs/>
          <w:color w:val="auto"/>
          <w:sz w:val="28"/>
          <w:szCs w:val="28"/>
          <w:highlight w:val="none"/>
        </w:rPr>
      </w:pPr>
      <w:bookmarkStart w:id="181" w:name="_Toc15599"/>
      <w:r>
        <w:rPr>
          <w:rFonts w:hint="eastAsia" w:ascii="仿宋" w:hAnsi="仿宋" w:eastAsia="仿宋" w:cs="仿宋"/>
          <w:b/>
          <w:bCs/>
          <w:color w:val="auto"/>
          <w:sz w:val="28"/>
          <w:szCs w:val="28"/>
          <w:highlight w:val="none"/>
        </w:rPr>
        <w:t>供应商行为准则承诺书</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hint="eastAsia" w:ascii="仿宋" w:hAnsi="仿宋" w:eastAsia="仿宋" w:cs="仿宋"/>
          <w:color w:val="auto"/>
          <w:highlight w:val="none"/>
        </w:rPr>
      </w:pPr>
      <w:r>
        <w:rPr>
          <w:rFonts w:hint="eastAsia" w:ascii="仿宋" w:hAnsi="仿宋" w:eastAsia="仿宋" w:cs="仿宋"/>
          <w:color w:val="auto"/>
          <w:highlight w:val="none"/>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hint="eastAsia" w:ascii="仿宋" w:hAnsi="仿宋" w:eastAsia="仿宋" w:cs="仿宋"/>
          <w:color w:val="auto"/>
          <w:highlight w:val="none"/>
        </w:rPr>
      </w:pPr>
      <w:r>
        <w:rPr>
          <w:rFonts w:hint="eastAsia" w:ascii="仿宋" w:hAnsi="仿宋" w:eastAsia="仿宋" w:cs="仿宋"/>
          <w:color w:val="auto"/>
          <w:highlight w:val="none"/>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仿宋" w:hAnsi="仿宋" w:eastAsia="仿宋" w:cs="仿宋"/>
          <w:color w:val="auto"/>
          <w:highlight w:val="none"/>
        </w:rPr>
      </w:pPr>
      <w:r>
        <w:rPr>
          <w:rFonts w:hint="eastAsia" w:ascii="仿宋" w:hAnsi="仿宋" w:eastAsia="仿宋" w:cs="仿宋"/>
          <w:color w:val="auto"/>
          <w:highlight w:val="none"/>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仿宋" w:hAnsi="仿宋" w:eastAsia="仿宋" w:cs="仿宋"/>
          <w:color w:val="auto"/>
          <w:highlight w:val="none"/>
        </w:rPr>
      </w:pPr>
      <w:r>
        <w:rPr>
          <w:rFonts w:hint="eastAsia" w:ascii="仿宋" w:hAnsi="仿宋" w:eastAsia="仿宋" w:cs="仿宋"/>
          <w:color w:val="auto"/>
          <w:highlight w:val="none"/>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hint="eastAsia" w:ascii="仿宋" w:hAnsi="仿宋" w:eastAsia="仿宋" w:cs="仿宋"/>
          <w:color w:val="auto"/>
          <w:highlight w:val="none"/>
        </w:rPr>
      </w:pPr>
      <w:r>
        <w:rPr>
          <w:rFonts w:hint="eastAsia" w:ascii="仿宋" w:hAnsi="仿宋" w:eastAsia="仿宋" w:cs="仿宋"/>
          <w:color w:val="auto"/>
          <w:highlight w:val="none"/>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hint="eastAsia" w:ascii="仿宋" w:hAnsi="仿宋" w:eastAsia="仿宋" w:cs="仿宋"/>
          <w:color w:val="auto"/>
          <w:highlight w:val="none"/>
        </w:rPr>
      </w:pPr>
      <w:r>
        <w:rPr>
          <w:rFonts w:hint="eastAsia" w:ascii="仿宋" w:hAnsi="仿宋" w:eastAsia="仿宋" w:cs="仿宋"/>
          <w:color w:val="auto"/>
          <w:highlight w:val="none"/>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八、供应商承诺遵守中国人民保险有关采购管理和供应商管理的相关规定、履行相应义务。</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九、供应商参与中国人民保险采购过程中，将认真阅读并理解邀请文件的内容，并保证严格保密文件内容，不泄露中国人民保险任何信息。</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十三、采购过程中涉及函件往来的，使用供应商以下地址及联系方式：</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公司名称（全称、盖章）：________________</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法定代表人（负责人）姓名、职务：__________________</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邮编：__________地址：__________________</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电话：__________传真：__________________</w:t>
      </w:r>
    </w:p>
    <w:p>
      <w:pPr>
        <w:pStyle w:val="79"/>
        <w:spacing w:line="360" w:lineRule="auto"/>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法定代表人（负责人）或授权代表签字：______________</w:t>
      </w:r>
    </w:p>
    <w:p>
      <w:pPr>
        <w:pStyle w:val="5"/>
        <w:spacing w:before="0" w:after="0" w:line="360" w:lineRule="auto"/>
        <w:rPr>
          <w:rFonts w:hint="eastAsia" w:ascii="仿宋" w:hAnsi="仿宋" w:eastAsia="仿宋" w:cs="仿宋"/>
          <w:color w:val="auto"/>
          <w:szCs w:val="24"/>
          <w:highlight w:val="none"/>
        </w:rPr>
      </w:pPr>
      <w:r>
        <w:rPr>
          <w:rFonts w:hint="eastAsia" w:ascii="仿宋" w:hAnsi="仿宋" w:eastAsia="仿宋" w:cs="仿宋"/>
          <w:color w:val="auto"/>
          <w:highlight w:val="none"/>
        </w:rPr>
        <w:br w:type="page"/>
      </w:r>
      <w:bookmarkStart w:id="182" w:name="_Toc8068"/>
      <w:bookmarkStart w:id="183" w:name="_Toc31860"/>
      <w:r>
        <w:rPr>
          <w:rFonts w:hint="eastAsia" w:ascii="仿宋" w:hAnsi="仿宋" w:eastAsia="仿宋" w:cs="仿宋"/>
          <w:bCs w:val="0"/>
          <w:color w:val="auto"/>
          <w:sz w:val="24"/>
          <w:szCs w:val="24"/>
          <w:highlight w:val="none"/>
        </w:rPr>
        <w:t>（八）供应商廉洁诚信承诺书</w:t>
      </w:r>
      <w:bookmarkEnd w:id="181"/>
      <w:bookmarkEnd w:id="182"/>
      <w:bookmarkEnd w:id="183"/>
    </w:p>
    <w:p>
      <w:pPr>
        <w:spacing w:line="600" w:lineRule="exac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供应商廉洁诚信承诺书</w:t>
      </w:r>
    </w:p>
    <w:p>
      <w:pPr>
        <w:spacing w:line="360" w:lineRule="auto"/>
        <w:ind w:firstLine="480" w:firstLineChars="200"/>
        <w:rPr>
          <w:rFonts w:hint="eastAsia" w:ascii="仿宋" w:hAnsi="仿宋" w:eastAsia="仿宋" w:cs="仿宋"/>
          <w:color w:val="auto"/>
          <w:highlight w:val="none"/>
        </w:rPr>
      </w:pP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为维护公平竞争的市场秩序和公正透明的商业环境，保证与中国人民保险集团公司、各子公司以及各级分支机构（以下简称“中国人民保险”）合作项目的顺利进行，我方作为参与中国人民保险采购活动的供应商，深知采购廉洁诚信的重要性。为防止各类谋取不正当利益的违法违规违纪行为的发生，我方自愿加强有关人员廉洁从业管理，恪守商业道德。在与中国人民保险的合作过程中郑重承诺如下：</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一、遵守法律法规承诺。我们将严格遵守《中华人民共和国反不正当竞争法》《关于禁止商业贿赂行为的暂行规定》等国家法律法规和中国人民保险采购管理、供应商管理相关制度要求，坚决不从事任何违法违规违纪行为。</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二、避免利害关系承诺。我们将在采购过程中主动申报与中国人民保险及相关主体的关联及利害关系，包括我们的相关主体与中国人民保险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三、廉洁自律承诺。我们坚决不以任何形式为获取或意图获取交易机会、竞争优势或谋取不正当利益而向中国人民保险或相关主体实施商业贿赂或营私舞弊行为，包括但不限于：</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（1）以任何方式实施商业贿赂或违规提供金钱、实物、回扣、折扣、宴请与游玩活动或其他不正当利益；</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（2）为其安排有可能影响公平、公正交易的宴请、健身、娱乐等活动；</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（3）为其投资入股、个人借款或买卖股票、债券等提供方便；</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（4）为其购买或装修住房、婚丧嫁娶、配偶子女上学或工作安排以及出国出境、旅游等提供方便；</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（5）违反规定为其在我方相关企业工作、挂名兼职、合伙经营、介绍承揽业务等提供方便；</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（6）向其提供借款、融资、担保等；</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（7）给予或承诺给予其不正当利益的其他行为；</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（8）其他违反国家法律法规或商业道德准则的影响公正交易的行为。</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我们也不会以任何方式向中国人民保险或相关主体索要金钱、实物等不正当利益，或收受中国人保或相关主体给予的金钱、实物等不正当利益。</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四、诚实信用承诺。我们坚决不进行任何违背诚实信用原则的行为，包括但不限于：</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出借、转让资质证书；</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伙同他人串标、围标或非法排挤竞争对手；</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（4）隐瞒任何可能对贵方利益造成影响的信息，不配合贵方的审计。</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六、加强内部管理承诺。为了实现以上承诺要求，我们将积极配合采取以下措施，不断加强自身内部管理：</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（2）设立监督机制：通过专门的监督机构或人员，对我方的业务活动进行实时监督，确保员工行为的合规性；</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（3）建立举报制度：鼓励员工积极举报违规行为，对举报人予以保护并给予奖励。</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七、配合监督承诺。我们将积极配合中国人民保险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八、如违反上述承诺，我方自愿承担以下法律责任：</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（1）如我方及我方工作人员违反本承诺书承诺，中国人民保险有权依据其采购管理、供应商管理和采购文件相关要求，对我方进行严肃处理，相关处罚结果记入供应商诚信档案；</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（2）如我方及我方工作人员违反本承诺书承诺，中国人民保险及其子公司等所有关联主体有权限制或取消我方在中国人民保险参与采购项目的资格；</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（3）如我方及我方工作人员违反本承诺书承诺，中国人民保险及其子公司等所有关联主体有权选择单方全面终止与我方的合同及合作而无需承担任何责任；</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4）如我方及我方工作人员违反本承诺书承诺，除承担前述（1）（2）（3）项责任外，中国人民保险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仿宋" w:hAnsi="仿宋" w:eastAsia="仿宋" w:cs="仿宋"/>
          <w:color w:val="auto"/>
          <w:highlight w:val="none"/>
        </w:rPr>
      </w:pP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本承诺书自承诺方签字和盖章之日起生效。如我方成功中选中国人民保险采购项目，将按中国人民保险管理要求签署廉洁诚信协议作为采购合同附件，并严格遵守协议相关条款。</w:t>
      </w:r>
    </w:p>
    <w:p>
      <w:pPr>
        <w:spacing w:line="360" w:lineRule="auto"/>
        <w:ind w:firstLine="480" w:firstLineChars="200"/>
        <w:rPr>
          <w:rFonts w:hint="eastAsia" w:ascii="仿宋" w:hAnsi="仿宋" w:eastAsia="仿宋" w:cs="仿宋"/>
          <w:color w:val="auto"/>
          <w:highlight w:val="none"/>
        </w:rPr>
      </w:pPr>
    </w:p>
    <w:p>
      <w:pPr>
        <w:tabs>
          <w:tab w:val="left" w:pos="458"/>
        </w:tabs>
        <w:spacing w:line="360" w:lineRule="auto"/>
        <w:ind w:firstLine="3578" w:firstLineChars="1491"/>
        <w:rPr>
          <w:rFonts w:hint="eastAsia" w:ascii="仿宋" w:hAnsi="仿宋" w:eastAsia="仿宋" w:cs="仿宋"/>
          <w:color w:val="auto"/>
          <w:highlight w:val="none"/>
        </w:rPr>
      </w:pPr>
      <w:r>
        <w:rPr>
          <w:rFonts w:hint="eastAsia" w:ascii="仿宋" w:hAnsi="仿宋" w:eastAsia="仿宋" w:cs="仿宋"/>
          <w:color w:val="auto"/>
          <w:highlight w:val="none"/>
        </w:rPr>
        <w:t>公司名称（全称、盖章）：________________</w:t>
      </w:r>
    </w:p>
    <w:p>
      <w:pPr>
        <w:spacing w:line="360" w:lineRule="auto"/>
        <w:ind w:firstLine="3578" w:firstLineChars="1491"/>
        <w:rPr>
          <w:rFonts w:hint="eastAsia" w:ascii="仿宋" w:hAnsi="仿宋" w:eastAsia="仿宋" w:cs="仿宋"/>
          <w:color w:val="auto"/>
          <w:highlight w:val="none"/>
        </w:rPr>
      </w:pPr>
      <w:r>
        <w:rPr>
          <w:rFonts w:hint="eastAsia" w:ascii="仿宋" w:hAnsi="仿宋" w:eastAsia="仿宋" w:cs="仿宋"/>
          <w:color w:val="auto"/>
          <w:highlight w:val="none"/>
        </w:rPr>
        <w:t>法定代表人姓名、职务：__________________</w:t>
      </w:r>
    </w:p>
    <w:p>
      <w:pPr>
        <w:spacing w:line="360" w:lineRule="auto"/>
        <w:ind w:firstLine="3578" w:firstLineChars="1491"/>
        <w:rPr>
          <w:rFonts w:hint="eastAsia" w:ascii="仿宋" w:hAnsi="仿宋" w:eastAsia="仿宋" w:cs="仿宋"/>
          <w:color w:val="auto"/>
          <w:highlight w:val="none"/>
        </w:rPr>
      </w:pPr>
      <w:r>
        <w:rPr>
          <w:rFonts w:hint="eastAsia" w:ascii="仿宋" w:hAnsi="仿宋" w:eastAsia="仿宋" w:cs="仿宋"/>
          <w:color w:val="auto"/>
          <w:highlight w:val="none"/>
        </w:rPr>
        <w:t>法定代表人或授权代表签字：______________</w:t>
      </w:r>
    </w:p>
    <w:p>
      <w:pPr>
        <w:spacing w:line="360" w:lineRule="auto"/>
        <w:ind w:firstLine="3578" w:firstLineChars="1491"/>
        <w:rPr>
          <w:rFonts w:hint="eastAsia" w:ascii="仿宋" w:hAnsi="仿宋" w:eastAsia="仿宋" w:cs="仿宋"/>
          <w:color w:val="auto"/>
          <w:highlight w:val="none"/>
        </w:rPr>
      </w:pPr>
      <w:r>
        <w:rPr>
          <w:rFonts w:hint="eastAsia" w:ascii="仿宋" w:hAnsi="仿宋" w:eastAsia="仿宋" w:cs="仿宋"/>
          <w:color w:val="auto"/>
          <w:highlight w:val="none"/>
        </w:rPr>
        <w:t>日期：__________________________________</w:t>
      </w:r>
      <w:r>
        <w:rPr>
          <w:rFonts w:hint="eastAsia" w:ascii="仿宋" w:hAnsi="仿宋" w:eastAsia="仿宋" w:cs="仿宋"/>
          <w:color w:val="auto"/>
          <w:highlight w:val="none"/>
        </w:rPr>
        <w:br w:type="page"/>
      </w:r>
    </w:p>
    <w:p>
      <w:pPr>
        <w:pStyle w:val="5"/>
        <w:spacing w:before="0" w:after="0" w:line="360" w:lineRule="auto"/>
        <w:rPr>
          <w:rFonts w:hint="eastAsia" w:ascii="仿宋" w:hAnsi="仿宋" w:eastAsia="仿宋" w:cs="仿宋"/>
          <w:color w:val="auto"/>
          <w:szCs w:val="24"/>
          <w:highlight w:val="none"/>
        </w:rPr>
      </w:pPr>
      <w:bookmarkStart w:id="184" w:name="_Toc15296"/>
      <w:r>
        <w:rPr>
          <w:rFonts w:hint="eastAsia" w:ascii="仿宋" w:hAnsi="仿宋" w:eastAsia="仿宋" w:cs="仿宋"/>
          <w:bCs w:val="0"/>
          <w:color w:val="auto"/>
          <w:sz w:val="24"/>
          <w:szCs w:val="24"/>
          <w:highlight w:val="none"/>
        </w:rPr>
        <w:t>（九）信息安全采购要求承诺函</w:t>
      </w:r>
      <w:bookmarkEnd w:id="184"/>
    </w:p>
    <w:p>
      <w:pPr>
        <w:jc w:val="center"/>
        <w:rPr>
          <w:rFonts w:hint="eastAsia" w:ascii="仿宋" w:hAnsi="仿宋" w:eastAsia="仿宋" w:cs="仿宋"/>
          <w:b/>
          <w:color w:val="auto"/>
          <w:highlight w:val="none"/>
        </w:rPr>
      </w:pPr>
    </w:p>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信息安全采购要求承诺函</w:t>
      </w:r>
    </w:p>
    <w:p>
      <w:pPr>
        <w:rPr>
          <w:rFonts w:hint="eastAsia" w:ascii="仿宋" w:hAnsi="仿宋" w:eastAsia="仿宋" w:cs="仿宋"/>
          <w:color w:val="auto"/>
          <w:highlight w:val="none"/>
        </w:rPr>
      </w:pPr>
    </w:p>
    <w:p>
      <w:pPr>
        <w:adjustRightInd w:val="0"/>
        <w:snapToGrid w:val="0"/>
        <w:spacing w:line="360" w:lineRule="auto"/>
        <w:rPr>
          <w:rFonts w:hint="eastAsia" w:ascii="仿宋" w:hAnsi="仿宋" w:eastAsia="仿宋" w:cs="仿宋"/>
          <w:color w:val="auto"/>
          <w:highlight w:val="none"/>
          <w:lang w:eastAsia="zh-CN"/>
        </w:rPr>
      </w:pPr>
      <w:r>
        <w:rPr>
          <w:rFonts w:hint="eastAsia" w:ascii="仿宋" w:hAnsi="仿宋" w:eastAsia="仿宋" w:cs="仿宋"/>
          <w:color w:val="auto"/>
          <w:highlight w:val="none"/>
        </w:rPr>
        <w:t>致：</w:t>
      </w:r>
      <w:r>
        <w:rPr>
          <w:rFonts w:hint="eastAsia" w:ascii="仿宋" w:hAnsi="仿宋" w:eastAsia="仿宋" w:cs="仿宋"/>
          <w:color w:val="auto"/>
          <w:highlight w:val="none"/>
          <w:lang w:eastAsia="zh-CN"/>
        </w:rPr>
        <w:t>中国人民财产保险股份有限公司都江堰支公司</w:t>
      </w:r>
    </w:p>
    <w:p>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提供产品或服务时，未经</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书面许可，不会利用提供产品或服务的便利条件获取</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任何数据，并向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承诺：（1）不会控制或操纵</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系统及设备；（2）不会利用</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对</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产品或服务的使用，谋取任何不正当利益；（3）任何情况下（包括但不限于政治、外交等因素），都不会中断向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提供产品或服务。</w:t>
      </w:r>
    </w:p>
    <w:p>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2.根据实际情况，</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在A\B两项之间择一承诺</w:t>
      </w:r>
    </w:p>
    <w:p>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A</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提供的产品或服务，不需要任何外国实体提供技术支持。</w:t>
      </w:r>
    </w:p>
    <w:p>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B</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提供的产品或服务需要[（外国实体名称）]提供技术支持，</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承诺，该[（外国实体名称）]此前从未出现过按照外国政府要求，中断对外技术支持的先例，并承诺</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与</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签订本合同后，该[（外国实体名称）]会按照本协议要求提供相应的技术支持。</w:t>
      </w:r>
    </w:p>
    <w:p>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3.根据实际情况，</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在A\B两项之间择一承诺</w:t>
      </w:r>
    </w:p>
    <w:p>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A</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提供的产品或服务，不涉及任何外国实体拥有或者控制的知识产权，包括但不限于专利权、软件著作权以及其他知识产权。</w:t>
      </w:r>
    </w:p>
    <w:p>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B</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提供的产品或服务，涉及[（外国实体名称）]拥有或者控制的知识产权，包括专利/软件著作权/其他知识产权等，</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在向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提供的产品或服务中使用该知识产权已获得[（外国实体名称）]授权同意，授权期限自本合同签署之日起计算不少于10年（授权书附后）。</w:t>
      </w:r>
    </w:p>
    <w:p>
      <w:pPr>
        <w:numPr>
          <w:ilvl w:val="0"/>
          <w:numId w:val="10"/>
        </w:numPr>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承诺，已经采取合理、必要的措施和手段，确保其向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提供的产品或服务，在设计、研发、制造、销售等各个环节，以及其与上下游供应商之间的合作，不会发生任何影响</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履行本合同的风险。</w:t>
      </w:r>
    </w:p>
    <w:p>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5.</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承诺，所提供的产品及其部件可以从多个国家或地区获得，其中任一国家或地区拒绝向</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供货，</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可以从其他国家/地区获得同等质量的替代品，不会因此影响</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履行本合同约定的义务。</w:t>
      </w:r>
    </w:p>
    <w:p>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6.</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提供的产品或服务具有运行维护以及二次开发的中文版技术资料，</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同意向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提供上述技术资料。</w:t>
      </w:r>
    </w:p>
    <w:p>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如</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出现任一违反上述承诺的情况，</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有权向</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收取合同金额3倍的违约金，如该违约金不足以弥补</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的损失，</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有权要求</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继续赔偿。</w:t>
      </w:r>
    </w:p>
    <w:p>
      <w:pPr>
        <w:spacing w:line="360" w:lineRule="auto"/>
        <w:rPr>
          <w:rFonts w:hint="eastAsia" w:ascii="仿宋" w:hAnsi="仿宋" w:eastAsia="仿宋" w:cs="仿宋"/>
          <w:color w:val="auto"/>
          <w:highlight w:val="none"/>
        </w:rPr>
      </w:pPr>
    </w:p>
    <w:p>
      <w:pPr>
        <w:spacing w:line="360" w:lineRule="auto"/>
        <w:rPr>
          <w:rFonts w:hint="eastAsia" w:ascii="仿宋" w:hAnsi="仿宋" w:eastAsia="仿宋" w:cs="仿宋"/>
          <w:color w:val="auto"/>
          <w:highlight w:val="none"/>
        </w:rPr>
      </w:pPr>
    </w:p>
    <w:p>
      <w:pPr>
        <w:tabs>
          <w:tab w:val="left" w:pos="5580"/>
        </w:tabs>
        <w:spacing w:before="120" w:line="22" w:lineRule="atLeast"/>
        <w:rPr>
          <w:rFonts w:hint="eastAsia" w:ascii="仿宋" w:hAnsi="仿宋" w:eastAsia="仿宋" w:cs="仿宋"/>
          <w:color w:val="auto"/>
          <w:highlight w:val="none"/>
        </w:rPr>
      </w:pP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 xml:space="preserve">名称（盖章）：                       </w:t>
      </w:r>
    </w:p>
    <w:p>
      <w:pPr>
        <w:tabs>
          <w:tab w:val="left" w:pos="5580"/>
        </w:tabs>
        <w:spacing w:before="120" w:line="22" w:lineRule="atLeast"/>
        <w:rPr>
          <w:rFonts w:hint="eastAsia" w:ascii="仿宋" w:hAnsi="仿宋" w:eastAsia="仿宋" w:cs="仿宋"/>
          <w:color w:val="auto"/>
          <w:highlight w:val="none"/>
        </w:rPr>
      </w:pP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授权代表(签字):</w:t>
      </w:r>
      <w:r>
        <w:rPr>
          <w:rFonts w:hint="eastAsia" w:ascii="仿宋" w:hAnsi="仿宋" w:eastAsia="仿宋" w:cs="仿宋"/>
          <w:color w:val="auto"/>
          <w:highlight w:val="none"/>
        </w:rPr>
        <w:tab/>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日期：</w:t>
      </w:r>
    </w:p>
    <w:p>
      <w:pPr>
        <w:spacing w:line="360" w:lineRule="auto"/>
        <w:ind w:firstLine="4790" w:firstLineChars="1491"/>
        <w:rPr>
          <w:rStyle w:val="60"/>
          <w:rFonts w:hint="eastAsia" w:ascii="仿宋" w:hAnsi="仿宋" w:eastAsia="仿宋" w:cs="仿宋"/>
          <w:color w:val="auto"/>
          <w:highlight w:val="none"/>
        </w:rPr>
      </w:pPr>
    </w:p>
    <w:p>
      <w:pPr>
        <w:spacing w:line="360" w:lineRule="auto"/>
        <w:ind w:firstLine="4790" w:firstLineChars="1491"/>
        <w:rPr>
          <w:rStyle w:val="60"/>
          <w:rFonts w:hint="eastAsia" w:ascii="仿宋" w:hAnsi="仿宋" w:eastAsia="仿宋" w:cs="仿宋"/>
          <w:color w:val="auto"/>
          <w:highlight w:val="none"/>
        </w:rPr>
      </w:pPr>
    </w:p>
    <w:p>
      <w:pPr>
        <w:spacing w:line="360" w:lineRule="auto"/>
        <w:ind w:firstLine="4790" w:firstLineChars="1491"/>
        <w:rPr>
          <w:rStyle w:val="60"/>
          <w:rFonts w:hint="eastAsia" w:ascii="仿宋" w:hAnsi="仿宋" w:eastAsia="仿宋" w:cs="仿宋"/>
          <w:color w:val="auto"/>
          <w:highlight w:val="none"/>
        </w:rPr>
      </w:pPr>
    </w:p>
    <w:p>
      <w:pPr>
        <w:spacing w:line="360" w:lineRule="auto"/>
        <w:ind w:firstLine="4790" w:firstLineChars="1491"/>
        <w:rPr>
          <w:rStyle w:val="60"/>
          <w:rFonts w:hint="eastAsia" w:ascii="仿宋" w:hAnsi="仿宋" w:eastAsia="仿宋" w:cs="仿宋"/>
          <w:color w:val="auto"/>
          <w:highlight w:val="none"/>
        </w:rPr>
      </w:pPr>
    </w:p>
    <w:p>
      <w:pPr>
        <w:spacing w:line="360" w:lineRule="auto"/>
        <w:ind w:firstLine="4790" w:firstLineChars="1491"/>
        <w:rPr>
          <w:rStyle w:val="60"/>
          <w:rFonts w:hint="eastAsia" w:ascii="仿宋" w:hAnsi="仿宋" w:eastAsia="仿宋" w:cs="仿宋"/>
          <w:color w:val="auto"/>
          <w:highlight w:val="none"/>
        </w:rPr>
      </w:pPr>
    </w:p>
    <w:p>
      <w:pPr>
        <w:spacing w:line="360" w:lineRule="auto"/>
        <w:ind w:firstLine="4790" w:firstLineChars="1491"/>
        <w:rPr>
          <w:rStyle w:val="60"/>
          <w:rFonts w:hint="eastAsia" w:ascii="仿宋" w:hAnsi="仿宋" w:eastAsia="仿宋" w:cs="仿宋"/>
          <w:color w:val="auto"/>
          <w:highlight w:val="none"/>
        </w:rPr>
      </w:pPr>
    </w:p>
    <w:p>
      <w:pPr>
        <w:spacing w:line="360" w:lineRule="auto"/>
        <w:ind w:firstLine="4790" w:firstLineChars="1491"/>
        <w:rPr>
          <w:rStyle w:val="60"/>
          <w:rFonts w:hint="eastAsia" w:ascii="仿宋" w:hAnsi="仿宋" w:eastAsia="仿宋" w:cs="仿宋"/>
          <w:color w:val="auto"/>
          <w:highlight w:val="none"/>
        </w:rPr>
      </w:pPr>
    </w:p>
    <w:p>
      <w:pPr>
        <w:spacing w:line="360" w:lineRule="auto"/>
        <w:ind w:firstLine="4790" w:firstLineChars="1491"/>
        <w:rPr>
          <w:rStyle w:val="60"/>
          <w:rFonts w:hint="eastAsia" w:ascii="仿宋" w:hAnsi="仿宋" w:eastAsia="仿宋" w:cs="仿宋"/>
          <w:color w:val="auto"/>
          <w:highlight w:val="none"/>
        </w:rPr>
      </w:pPr>
    </w:p>
    <w:p>
      <w:pPr>
        <w:spacing w:line="360" w:lineRule="auto"/>
        <w:ind w:firstLine="4790" w:firstLineChars="1491"/>
        <w:rPr>
          <w:rStyle w:val="60"/>
          <w:rFonts w:hint="eastAsia" w:ascii="仿宋" w:hAnsi="仿宋" w:eastAsia="仿宋" w:cs="仿宋"/>
          <w:color w:val="auto"/>
          <w:highlight w:val="none"/>
        </w:rPr>
      </w:pPr>
    </w:p>
    <w:p>
      <w:pPr>
        <w:spacing w:line="360" w:lineRule="auto"/>
        <w:ind w:firstLine="4790" w:firstLineChars="1491"/>
        <w:rPr>
          <w:rStyle w:val="60"/>
          <w:rFonts w:hint="eastAsia" w:ascii="仿宋" w:hAnsi="仿宋" w:eastAsia="仿宋" w:cs="仿宋"/>
          <w:color w:val="auto"/>
          <w:highlight w:val="none"/>
        </w:rPr>
      </w:pPr>
    </w:p>
    <w:p>
      <w:pPr>
        <w:spacing w:line="360" w:lineRule="auto"/>
        <w:ind w:firstLine="4790" w:firstLineChars="1491"/>
        <w:rPr>
          <w:rStyle w:val="60"/>
          <w:rFonts w:hint="eastAsia" w:ascii="仿宋" w:hAnsi="仿宋" w:eastAsia="仿宋" w:cs="仿宋"/>
          <w:color w:val="auto"/>
          <w:highlight w:val="none"/>
        </w:rPr>
      </w:pPr>
    </w:p>
    <w:p>
      <w:pPr>
        <w:spacing w:line="360" w:lineRule="auto"/>
        <w:rPr>
          <w:rStyle w:val="60"/>
          <w:rFonts w:hint="eastAsia" w:ascii="仿宋" w:hAnsi="仿宋" w:eastAsia="仿宋" w:cs="仿宋"/>
          <w:color w:val="auto"/>
          <w:highlight w:val="none"/>
        </w:rPr>
      </w:pP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p>
    <w:p>
      <w:pPr>
        <w:pStyle w:val="5"/>
        <w:spacing w:before="0" w:after="0" w:line="360" w:lineRule="auto"/>
        <w:rPr>
          <w:rFonts w:hint="eastAsia" w:ascii="仿宋" w:hAnsi="仿宋" w:eastAsia="仿宋" w:cs="仿宋"/>
          <w:bCs w:val="0"/>
          <w:color w:val="auto"/>
          <w:sz w:val="21"/>
          <w:szCs w:val="24"/>
          <w:highlight w:val="none"/>
        </w:rPr>
      </w:pPr>
      <w:bookmarkStart w:id="185" w:name="_Toc21821"/>
      <w:r>
        <w:rPr>
          <w:rFonts w:hint="eastAsia" w:ascii="仿宋" w:hAnsi="仿宋" w:eastAsia="仿宋" w:cs="仿宋"/>
          <w:color w:val="auto"/>
          <w:sz w:val="24"/>
          <w:highlight w:val="none"/>
        </w:rPr>
        <w:t>（十）其他材料</w:t>
      </w:r>
      <w:bookmarkEnd w:id="185"/>
    </w:p>
    <w:p>
      <w:pPr>
        <w:numPr>
          <w:ilvl w:val="0"/>
          <w:numId w:val="0"/>
        </w:numPr>
        <w:spacing w:before="0" w:after="0" w:line="360" w:lineRule="auto"/>
        <w:ind w:firstLine="480" w:firstLineChars="200"/>
        <w:outlineLvl w:val="9"/>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1、承诺函</w:t>
      </w:r>
    </w:p>
    <w:p>
      <w:pPr>
        <w:pStyle w:val="2"/>
        <w:spacing w:before="240"/>
        <w:jc w:val="center"/>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承诺函</w:t>
      </w:r>
    </w:p>
    <w:p>
      <w:pPr>
        <w:keepNext w:val="0"/>
        <w:keepLines w:val="0"/>
        <w:pageBreakBefore w:val="0"/>
        <w:widowControl/>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color w:val="auto"/>
          <w:highlight w:val="none"/>
        </w:rPr>
      </w:pPr>
      <w:r>
        <w:rPr>
          <w:rFonts w:hint="eastAsia" w:ascii="仿宋" w:hAnsi="仿宋" w:eastAsia="仿宋" w:cs="仿宋"/>
          <w:color w:val="auto"/>
          <w:highlight w:val="none"/>
        </w:rPr>
        <w:t>致：</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rPr>
        <w:t>（采购人</w:t>
      </w:r>
      <w:r>
        <w:rPr>
          <w:rFonts w:hint="eastAsia" w:ascii="仿宋" w:hAnsi="仿宋" w:eastAsia="仿宋" w:cs="仿宋"/>
          <w:color w:val="auto"/>
          <w:highlight w:val="none"/>
          <w:lang w:val="en-US" w:eastAsia="zh-CN"/>
        </w:rPr>
        <w:t>名称</w:t>
      </w:r>
      <w:r>
        <w:rPr>
          <w:rFonts w:hint="eastAsia" w:ascii="仿宋" w:hAnsi="仿宋" w:eastAsia="仿宋" w:cs="仿宋"/>
          <w:color w:val="auto"/>
          <w:highlight w:val="none"/>
        </w:rPr>
        <w:t>）</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仿宋" w:hAnsi="仿宋" w:eastAsia="仿宋" w:cs="仿宋"/>
          <w:color w:val="auto"/>
          <w:highlight w:val="none"/>
          <w:u w:val="none"/>
          <w:lang w:val="en-US" w:eastAsia="zh-CN"/>
        </w:rPr>
      </w:pPr>
      <w:r>
        <w:rPr>
          <w:rFonts w:hint="eastAsia" w:ascii="仿宋" w:hAnsi="仿宋" w:eastAsia="仿宋" w:cs="仿宋"/>
          <w:color w:val="auto"/>
          <w:highlight w:val="none"/>
        </w:rPr>
        <w:t>我方</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none"/>
        </w:rPr>
        <w:t>（供应商名称）</w:t>
      </w:r>
      <w:r>
        <w:rPr>
          <w:rFonts w:hint="eastAsia" w:ascii="仿宋" w:hAnsi="仿宋" w:eastAsia="仿宋" w:cs="仿宋"/>
          <w:color w:val="auto"/>
          <w:highlight w:val="none"/>
          <w:u w:val="none"/>
          <w:lang w:val="en-US" w:eastAsia="zh-CN"/>
        </w:rPr>
        <w:t>自愿参加本项目</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none"/>
          <w:lang w:val="en-US" w:eastAsia="zh-CN"/>
        </w:rPr>
        <w:t>（项目名称）的响应，就在本项目所述宣传服务开展的小区取得授权的相关事宜承诺如下：</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 w:hAnsi="仿宋" w:eastAsia="仿宋" w:cs="仿宋"/>
          <w:color w:val="auto"/>
          <w:highlight w:val="none"/>
        </w:rPr>
      </w:pPr>
      <w:r>
        <w:rPr>
          <w:rFonts w:hint="eastAsia" w:ascii="仿宋" w:hAnsi="仿宋" w:eastAsia="仿宋" w:cs="仿宋"/>
          <w:color w:val="auto"/>
          <w:sz w:val="24"/>
          <w:szCs w:val="24"/>
          <w:highlight w:val="none"/>
          <w:lang w:val="en-US" w:eastAsia="zh-CN" w:bidi="ar-SA"/>
        </w:rPr>
        <w:t>1、</w:t>
      </w:r>
      <w:r>
        <w:rPr>
          <w:rFonts w:hint="eastAsia" w:ascii="仿宋" w:hAnsi="仿宋" w:eastAsia="仿宋" w:cs="仿宋"/>
          <w:color w:val="auto"/>
          <w:highlight w:val="none"/>
          <w:u w:val="none"/>
          <w:lang w:val="en-US" w:eastAsia="zh-CN"/>
        </w:rPr>
        <w:t>若我方有幸成为成交人时，将在成交通知书发放后、正式合同签订前，向采购人完整提交6个小区所属物业出具的加盖公章的场地宣传授权书（授权范围、有效期须覆盖本项目宣传需求）</w:t>
      </w:r>
      <w:r>
        <w:rPr>
          <w:rFonts w:hint="eastAsia" w:ascii="仿宋" w:hAnsi="仿宋" w:eastAsia="仿宋" w:cs="仿宋"/>
          <w:color w:val="auto"/>
          <w:highlight w:val="none"/>
        </w:rPr>
        <w:t xml:space="preserve">。 </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2、若我方逾期未能提交授权或提供的授权文件不符合要求的，采购人有权取消我方的成交资格，并确定</w:t>
      </w:r>
      <w:r>
        <w:rPr>
          <w:rFonts w:hint="eastAsia" w:ascii="仿宋" w:hAnsi="仿宋" w:eastAsia="仿宋" w:cs="仿宋"/>
          <w:color w:val="auto"/>
          <w:sz w:val="24"/>
          <w:szCs w:val="24"/>
          <w:highlight w:val="none"/>
          <w:lang w:val="en-US" w:eastAsia="zh-CN" w:bidi="ar-SA"/>
        </w:rPr>
        <w:t>其他</w:t>
      </w:r>
      <w:r>
        <w:rPr>
          <w:rFonts w:hint="eastAsia" w:ascii="仿宋" w:hAnsi="仿宋" w:eastAsia="仿宋" w:cs="仿宋"/>
          <w:color w:val="auto"/>
          <w:highlight w:val="none"/>
          <w:lang w:val="en-US" w:eastAsia="zh-CN"/>
        </w:rPr>
        <w:t>成交候选人为成交人或重新采购，</w:t>
      </w:r>
      <w:r>
        <w:rPr>
          <w:rFonts w:hint="eastAsia" w:ascii="仿宋" w:hAnsi="仿宋" w:eastAsia="仿宋" w:cs="仿宋"/>
          <w:color w:val="auto"/>
          <w:highlight w:val="none"/>
        </w:rPr>
        <w:t>由此造成的损失及责任由我方自行承担，与采购人无关</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且承担</w:t>
      </w:r>
      <w:r>
        <w:rPr>
          <w:rFonts w:hint="eastAsia" w:ascii="仿宋" w:hAnsi="仿宋" w:eastAsia="仿宋" w:cs="仿宋"/>
          <w:color w:val="auto"/>
          <w:highlight w:val="none"/>
        </w:rPr>
        <w:t>被纳入采购人及其所隶属的中国人民保险各级机构的供应商黑名单</w:t>
      </w:r>
      <w:r>
        <w:rPr>
          <w:rFonts w:hint="eastAsia" w:ascii="仿宋" w:hAnsi="仿宋" w:eastAsia="仿宋" w:cs="仿宋"/>
          <w:color w:val="auto"/>
          <w:highlight w:val="none"/>
          <w:lang w:val="en-US" w:eastAsia="zh-CN"/>
        </w:rPr>
        <w:t>的责任。</w:t>
      </w:r>
    </w:p>
    <w:p>
      <w:pPr>
        <w:pStyle w:val="2"/>
        <w:keepNext w:val="0"/>
        <w:keepLines w:val="0"/>
        <w:pageBreakBefore w:val="0"/>
        <w:widowControl/>
        <w:kinsoku/>
        <w:wordWrap/>
        <w:overflowPunct/>
        <w:topLinePunct w:val="0"/>
        <w:autoSpaceDE/>
        <w:autoSpaceDN/>
        <w:bidi w:val="0"/>
        <w:spacing w:after="0" w:line="360" w:lineRule="auto"/>
        <w:ind w:firstLine="480" w:firstLineChars="200"/>
        <w:jc w:val="both"/>
        <w:textAlignment w:val="auto"/>
        <w:rPr>
          <w:rFonts w:hint="eastAsia" w:ascii="仿宋" w:hAnsi="仿宋" w:eastAsia="仿宋" w:cs="仿宋"/>
          <w:color w:val="auto"/>
          <w:highlight w:val="none"/>
        </w:rPr>
      </w:pPr>
      <w:r>
        <w:rPr>
          <w:rFonts w:hint="eastAsia" w:ascii="仿宋" w:hAnsi="仿宋" w:eastAsia="仿宋" w:cs="仿宋"/>
          <w:color w:val="auto"/>
          <w:highlight w:val="none"/>
        </w:rPr>
        <w:t>特此</w:t>
      </w:r>
      <w:r>
        <w:rPr>
          <w:rFonts w:hint="eastAsia" w:ascii="仿宋" w:hAnsi="仿宋" w:eastAsia="仿宋" w:cs="仿宋"/>
          <w:color w:val="auto"/>
          <w:highlight w:val="none"/>
          <w:lang w:val="en-US" w:eastAsia="zh-CN"/>
        </w:rPr>
        <w:t>承诺</w:t>
      </w:r>
      <w:r>
        <w:rPr>
          <w:rFonts w:hint="eastAsia" w:ascii="仿宋" w:hAnsi="仿宋" w:eastAsia="仿宋" w:cs="仿宋"/>
          <w:color w:val="auto"/>
          <w:highlight w:val="none"/>
        </w:rPr>
        <w:t>。</w:t>
      </w:r>
    </w:p>
    <w:p>
      <w:pPr>
        <w:pStyle w:val="78"/>
        <w:ind w:firstLine="640"/>
        <w:rPr>
          <w:rFonts w:hint="eastAsia" w:ascii="仿宋" w:hAnsi="仿宋" w:eastAsia="仿宋" w:cs="仿宋"/>
          <w:color w:val="auto"/>
          <w:highlight w:val="none"/>
        </w:rPr>
      </w:pPr>
    </w:p>
    <w:p>
      <w:pPr>
        <w:pStyle w:val="78"/>
        <w:ind w:firstLine="640"/>
        <w:rPr>
          <w:rFonts w:hint="eastAsia" w:ascii="仿宋" w:hAnsi="仿宋" w:eastAsia="仿宋" w:cs="仿宋"/>
          <w:color w:val="auto"/>
          <w:highlight w:val="none"/>
        </w:rPr>
      </w:pPr>
    </w:p>
    <w:p>
      <w:pPr>
        <w:pStyle w:val="78"/>
        <w:ind w:firstLine="640"/>
        <w:rPr>
          <w:rFonts w:hint="eastAsia" w:ascii="仿宋" w:hAnsi="仿宋" w:eastAsia="仿宋" w:cs="仿宋"/>
          <w:color w:val="auto"/>
          <w:highlight w:val="none"/>
        </w:rPr>
      </w:pPr>
    </w:p>
    <w:p>
      <w:pPr>
        <w:spacing w:line="360" w:lineRule="auto"/>
        <w:ind w:firstLine="408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wordWrap w:val="0"/>
        <w:spacing w:line="360" w:lineRule="auto"/>
        <w:ind w:firstLine="4080" w:firstLineChars="1700"/>
        <w:jc w:val="righ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授权代表(签字):</w:t>
      </w:r>
      <w:r>
        <w:rPr>
          <w:rFonts w:hint="eastAsia" w:ascii="仿宋" w:hAnsi="仿宋" w:eastAsia="仿宋" w:cs="仿宋"/>
          <w:color w:val="auto"/>
          <w:highlight w:val="none"/>
          <w:lang w:val="en-US" w:eastAsia="zh-CN"/>
        </w:rPr>
        <w:t xml:space="preserve">              </w:t>
      </w:r>
    </w:p>
    <w:p>
      <w:pPr>
        <w:spacing w:line="360" w:lineRule="auto"/>
        <w:jc w:val="right"/>
        <w:rPr>
          <w:rFonts w:hint="eastAsia"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spacing w:line="360" w:lineRule="auto"/>
        <w:jc w:val="both"/>
        <w:rPr>
          <w:rFonts w:hint="eastAsia" w:ascii="仿宋" w:hAnsi="仿宋" w:eastAsia="仿宋" w:cs="仿宋"/>
          <w:color w:val="auto"/>
          <w:highlight w:val="none"/>
          <w:lang w:val="en-US" w:eastAsia="zh-CN"/>
        </w:rPr>
      </w:pPr>
    </w:p>
    <w:p>
      <w:pPr>
        <w:spacing w:line="360" w:lineRule="auto"/>
        <w:jc w:val="both"/>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注：以上承诺仅为参考格式，供应商可根据自身情况另行提供，但供应商另行提供的承诺不满足评审要求的，责任由供应商自行承担。</w:t>
      </w:r>
    </w:p>
    <w:p>
      <w:pPr>
        <w:rPr>
          <w:rFonts w:hint="eastAsia" w:ascii="仿宋" w:hAnsi="仿宋" w:eastAsia="仿宋" w:cs="仿宋"/>
          <w:b w:val="0"/>
          <w:bCs w:val="0"/>
          <w:color w:val="auto"/>
          <w:sz w:val="24"/>
          <w:szCs w:val="24"/>
          <w:highlight w:val="none"/>
          <w:lang w:val="en-US" w:eastAsia="zh-CN"/>
        </w:rPr>
      </w:pPr>
    </w:p>
    <w:p>
      <w:pPr>
        <w:rPr>
          <w:rFonts w:hint="eastAsia" w:ascii="仿宋" w:hAnsi="仿宋" w:eastAsia="仿宋" w:cs="仿宋"/>
          <w:b w:val="0"/>
          <w:bCs w:val="0"/>
          <w:color w:val="auto"/>
          <w:sz w:val="24"/>
          <w:szCs w:val="24"/>
          <w:highlight w:val="none"/>
          <w:lang w:val="en-US" w:eastAsia="zh-CN"/>
        </w:rPr>
      </w:pPr>
    </w:p>
    <w:p>
      <w:pPr>
        <w:rPr>
          <w:rFonts w:hint="eastAsia" w:ascii="仿宋" w:hAnsi="仿宋" w:eastAsia="仿宋" w:cs="仿宋"/>
          <w:b w:val="0"/>
          <w:bCs w:val="0"/>
          <w:color w:val="auto"/>
          <w:sz w:val="24"/>
          <w:szCs w:val="24"/>
          <w:highlight w:val="none"/>
          <w:lang w:val="en-US" w:eastAsia="zh-CN"/>
        </w:rPr>
      </w:pPr>
    </w:p>
    <w:p>
      <w:pPr>
        <w:rPr>
          <w:rFonts w:hint="eastAsia" w:ascii="仿宋" w:hAnsi="仿宋" w:eastAsia="仿宋" w:cs="仿宋"/>
          <w:b w:val="0"/>
          <w:bCs w:val="0"/>
          <w:color w:val="auto"/>
          <w:sz w:val="24"/>
          <w:szCs w:val="24"/>
          <w:highlight w:val="none"/>
          <w:lang w:val="en-US" w:eastAsia="zh-CN"/>
        </w:rPr>
      </w:pPr>
    </w:p>
    <w:p>
      <w:pPr>
        <w:rPr>
          <w:rFonts w:hint="eastAsia" w:ascii="仿宋" w:hAnsi="仿宋" w:eastAsia="仿宋" w:cs="仿宋"/>
          <w:b w:val="0"/>
          <w:bCs w:val="0"/>
          <w:color w:val="auto"/>
          <w:sz w:val="24"/>
          <w:szCs w:val="24"/>
          <w:highlight w:val="none"/>
          <w:lang w:val="en-US" w:eastAsia="zh-CN"/>
        </w:rPr>
      </w:pPr>
    </w:p>
    <w:p>
      <w:pPr>
        <w:rPr>
          <w:rFonts w:hint="eastAsia" w:ascii="仿宋" w:hAnsi="仿宋" w:eastAsia="仿宋" w:cs="仿宋"/>
          <w:b w:val="0"/>
          <w:bCs w:val="0"/>
          <w:color w:val="auto"/>
          <w:sz w:val="24"/>
          <w:szCs w:val="24"/>
          <w:highlight w:val="none"/>
          <w:lang w:val="en-US" w:eastAsia="zh-CN"/>
        </w:rPr>
      </w:pPr>
    </w:p>
    <w:p>
      <w:pPr>
        <w:rPr>
          <w:rFonts w:hint="eastAsia" w:ascii="仿宋" w:hAnsi="仿宋" w:eastAsia="仿宋" w:cs="仿宋"/>
          <w:b w:val="0"/>
          <w:bCs w:val="0"/>
          <w:color w:val="auto"/>
          <w:sz w:val="24"/>
          <w:szCs w:val="24"/>
          <w:highlight w:val="none"/>
          <w:lang w:val="en-US" w:eastAsia="zh-CN"/>
        </w:rPr>
      </w:pPr>
    </w:p>
    <w:p>
      <w:pPr>
        <w:spacing w:line="360" w:lineRule="auto"/>
        <w:rPr>
          <w:rFonts w:hint="eastAsia" w:ascii="仿宋" w:hAnsi="仿宋" w:eastAsia="仿宋" w:cs="仿宋"/>
          <w:b/>
          <w:bCs/>
          <w:color w:val="auto"/>
          <w:kern w:val="2"/>
          <w:sz w:val="24"/>
          <w:szCs w:val="32"/>
          <w:highlight w:val="none"/>
          <w:lang w:val="en-US" w:eastAsia="zh-CN" w:bidi="ar-SA"/>
        </w:rPr>
      </w:pPr>
    </w:p>
    <w:p>
      <w:pPr>
        <w:spacing w:line="360" w:lineRule="auto"/>
        <w:rPr>
          <w:rFonts w:hint="eastAsia" w:ascii="仿宋" w:hAnsi="仿宋" w:eastAsia="仿宋" w:cs="仿宋"/>
          <w:color w:val="auto"/>
          <w:szCs w:val="21"/>
          <w:highlight w:val="none"/>
          <w:lang w:val="en-US" w:eastAsia="zh-CN"/>
        </w:rPr>
        <w:sectPr>
          <w:pgSz w:w="11906" w:h="16838"/>
          <w:pgMar w:top="1417" w:right="1417" w:bottom="1417" w:left="1417" w:header="850" w:footer="992" w:gutter="0"/>
          <w:pgNumType w:fmt="decimal"/>
          <w:cols w:space="0" w:num="1"/>
          <w:rtlGutter w:val="0"/>
          <w:docGrid w:type="lines" w:linePitch="333" w:charSpace="0"/>
        </w:sectPr>
      </w:pP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供应商认为需提供的其他材料</w:t>
      </w:r>
      <w:r>
        <w:rPr>
          <w:rFonts w:hint="eastAsia" w:ascii="仿宋" w:hAnsi="仿宋" w:eastAsia="仿宋" w:cs="仿宋"/>
          <w:color w:val="auto"/>
          <w:highlight w:val="none"/>
        </w:rPr>
        <w:t>。</w:t>
      </w:r>
    </w:p>
    <w:bookmarkEnd w:id="171"/>
    <w:p>
      <w:pPr>
        <w:pStyle w:val="4"/>
        <w:jc w:val="both"/>
        <w:rPr>
          <w:rFonts w:hint="eastAsia" w:ascii="仿宋" w:hAnsi="仿宋" w:eastAsia="仿宋" w:cs="仿宋"/>
          <w:color w:val="auto"/>
          <w:sz w:val="24"/>
          <w:szCs w:val="24"/>
          <w:highlight w:val="none"/>
        </w:rPr>
      </w:pPr>
      <w:bookmarkStart w:id="186" w:name="_Toc14740"/>
      <w:bookmarkStart w:id="187" w:name="_Toc28698"/>
      <w:r>
        <w:rPr>
          <w:rFonts w:hint="eastAsia" w:ascii="仿宋" w:hAnsi="仿宋" w:eastAsia="仿宋" w:cs="仿宋"/>
          <w:color w:val="auto"/>
          <w:sz w:val="24"/>
          <w:szCs w:val="24"/>
          <w:highlight w:val="none"/>
        </w:rPr>
        <w:t>二、技术文件</w:t>
      </w:r>
      <w:bookmarkEnd w:id="186"/>
      <w:bookmarkEnd w:id="187"/>
    </w:p>
    <w:p>
      <w:pPr>
        <w:jc w:val="center"/>
        <w:rPr>
          <w:rFonts w:hint="eastAsia" w:ascii="仿宋" w:hAnsi="仿宋" w:eastAsia="仿宋" w:cs="仿宋"/>
          <w:b/>
          <w:bCs/>
          <w:color w:val="auto"/>
          <w:highlight w:val="none"/>
        </w:rPr>
      </w:pPr>
      <w:bookmarkStart w:id="188" w:name="_Toc30870"/>
      <w:bookmarkStart w:id="189" w:name="_Toc23108"/>
      <w:r>
        <w:rPr>
          <w:rFonts w:hint="eastAsia" w:ascii="仿宋" w:hAnsi="仿宋" w:eastAsia="仿宋" w:cs="仿宋"/>
          <w:b/>
          <w:bCs/>
          <w:color w:val="auto"/>
          <w:highlight w:val="none"/>
        </w:rPr>
        <w:t>详细评审索引表</w:t>
      </w:r>
      <w:bookmarkEnd w:id="188"/>
    </w:p>
    <w:tbl>
      <w:tblPr>
        <w:tblStyle w:val="30"/>
        <w:tblW w:w="91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0"/>
        <w:gridCol w:w="1629"/>
        <w:gridCol w:w="2179"/>
        <w:gridCol w:w="46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6" w:hRule="atLeast"/>
          <w:jc w:val="center"/>
        </w:trPr>
        <w:tc>
          <w:tcPr>
            <w:tcW w:w="700" w:type="dxa"/>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lang w:bidi="ar"/>
              </w:rPr>
              <w:t>序号</w:t>
            </w:r>
          </w:p>
        </w:tc>
        <w:tc>
          <w:tcPr>
            <w:tcW w:w="1629" w:type="dxa"/>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 w:val="22"/>
                <w:szCs w:val="22"/>
                <w:highlight w:val="none"/>
                <w:lang w:bidi="ar"/>
              </w:rPr>
            </w:pPr>
            <w:r>
              <w:rPr>
                <w:rFonts w:hint="eastAsia" w:ascii="仿宋" w:hAnsi="仿宋" w:eastAsia="仿宋" w:cs="仿宋"/>
                <w:b/>
                <w:bCs/>
                <w:color w:val="auto"/>
                <w:sz w:val="22"/>
                <w:szCs w:val="22"/>
                <w:highlight w:val="none"/>
              </w:rPr>
              <w:t>评审项</w:t>
            </w:r>
          </w:p>
        </w:tc>
        <w:tc>
          <w:tcPr>
            <w:tcW w:w="2179" w:type="dxa"/>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lang w:bidi="ar"/>
              </w:rPr>
              <w:t>评审因素</w:t>
            </w:r>
          </w:p>
        </w:tc>
        <w:tc>
          <w:tcPr>
            <w:tcW w:w="4631" w:type="dxa"/>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jc w:val="center"/>
        </w:trPr>
        <w:tc>
          <w:tcPr>
            <w:tcW w:w="700" w:type="dxa"/>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2"/>
                <w:szCs w:val="22"/>
                <w:highlight w:val="none"/>
                <w:lang w:eastAsia="zh-CN" w:bidi="ar"/>
              </w:rPr>
            </w:pPr>
            <w:r>
              <w:rPr>
                <w:rFonts w:hint="eastAsia" w:ascii="仿宋" w:hAnsi="仿宋" w:eastAsia="仿宋" w:cs="仿宋"/>
                <w:color w:val="auto"/>
                <w:sz w:val="22"/>
                <w:szCs w:val="22"/>
                <w:highlight w:val="none"/>
                <w:lang w:val="en-US" w:eastAsia="zh-CN" w:bidi="ar"/>
              </w:rPr>
              <w:t>1</w:t>
            </w:r>
          </w:p>
        </w:tc>
        <w:tc>
          <w:tcPr>
            <w:tcW w:w="1629" w:type="dxa"/>
            <w:vMerge w:val="restart"/>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技术得分</w:t>
            </w:r>
          </w:p>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2"/>
                <w:szCs w:val="22"/>
                <w:highlight w:val="none"/>
                <w:lang w:bidi="ar"/>
              </w:rPr>
            </w:pP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en-US" w:eastAsia="zh-CN"/>
              </w:rPr>
              <w:t>50</w:t>
            </w:r>
            <w:r>
              <w:rPr>
                <w:rFonts w:hint="eastAsia" w:ascii="仿宋" w:hAnsi="仿宋" w:eastAsia="仿宋" w:cs="仿宋"/>
                <w:color w:val="auto"/>
                <w:sz w:val="22"/>
                <w:szCs w:val="22"/>
                <w:highlight w:val="none"/>
              </w:rPr>
              <w:t>分）</w:t>
            </w:r>
          </w:p>
        </w:tc>
        <w:tc>
          <w:tcPr>
            <w:tcW w:w="2179" w:type="dxa"/>
            <w:vAlign w:val="center"/>
          </w:tcPr>
          <w:p>
            <w:pPr>
              <w:keepNext w:val="0"/>
              <w:keepLines w:val="0"/>
              <w:widowControl/>
              <w:suppressLineNumbers w:val="0"/>
              <w:snapToGrid w:val="0"/>
              <w:spacing w:before="0" w:beforeAutospacing="0" w:after="0" w:afterAutospacing="0" w:line="300" w:lineRule="auto"/>
              <w:ind w:left="0" w:leftChars="0" w:right="0" w:rightChars="0"/>
              <w:jc w:val="center"/>
              <w:textAlignment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总体服务方案</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10分</w:t>
            </w:r>
            <w:r>
              <w:rPr>
                <w:rFonts w:hint="eastAsia" w:ascii="仿宋" w:hAnsi="仿宋" w:eastAsia="仿宋" w:cs="仿宋"/>
                <w:color w:val="auto"/>
                <w:sz w:val="22"/>
                <w:szCs w:val="22"/>
                <w:highlight w:val="none"/>
                <w:lang w:eastAsia="zh-CN"/>
              </w:rPr>
              <w:t>）</w:t>
            </w:r>
          </w:p>
        </w:tc>
        <w:tc>
          <w:tcPr>
            <w:tcW w:w="4631" w:type="dxa"/>
            <w:tcMar>
              <w:top w:w="15" w:type="dxa"/>
              <w:left w:w="15" w:type="dxa"/>
              <w:right w:w="15" w:type="dxa"/>
            </w:tcMar>
            <w:vAlign w:val="center"/>
          </w:tcPr>
          <w:p>
            <w:pPr>
              <w:keepNext w:val="0"/>
              <w:keepLines w:val="0"/>
              <w:widowControl/>
              <w:suppressLineNumbers w:val="0"/>
              <w:adjustRightInd w:val="0"/>
              <w:snapToGrid w:val="0"/>
              <w:spacing w:before="0" w:beforeAutospacing="0" w:after="0" w:afterAutospacing="0"/>
              <w:ind w:left="0" w:right="0"/>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说明：XX</w:t>
            </w:r>
          </w:p>
          <w:p>
            <w:pPr>
              <w:keepNext w:val="0"/>
              <w:keepLines w:val="0"/>
              <w:widowControl/>
              <w:suppressLineNumbers w:val="0"/>
              <w:spacing w:before="0" w:beforeAutospacing="0" w:after="0" w:afterAutospacing="0"/>
              <w:ind w:left="0" w:leftChars="0" w:right="0" w:rightChars="0"/>
              <w:rPr>
                <w:rStyle w:val="77"/>
                <w:rFonts w:hint="eastAsia" w:ascii="仿宋" w:hAnsi="仿宋" w:eastAsia="仿宋" w:cs="仿宋"/>
                <w:color w:val="auto"/>
                <w:sz w:val="22"/>
                <w:szCs w:val="22"/>
                <w:highlight w:val="none"/>
                <w:lang w:bidi="ar"/>
              </w:rPr>
            </w:pPr>
            <w:r>
              <w:rPr>
                <w:rFonts w:hint="eastAsia" w:ascii="仿宋" w:hAnsi="仿宋" w:eastAsia="仿宋" w:cs="仿宋"/>
                <w:color w:val="auto"/>
                <w:kern w:val="0"/>
                <w:sz w:val="22"/>
                <w:szCs w:val="22"/>
                <w:highlight w:val="none"/>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jc w:val="center"/>
        </w:trPr>
        <w:tc>
          <w:tcPr>
            <w:tcW w:w="700" w:type="dxa"/>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2"/>
                <w:szCs w:val="22"/>
                <w:highlight w:val="none"/>
                <w:lang w:eastAsia="zh-CN" w:bidi="ar"/>
              </w:rPr>
            </w:pPr>
            <w:r>
              <w:rPr>
                <w:rFonts w:hint="eastAsia" w:ascii="仿宋" w:hAnsi="仿宋" w:eastAsia="仿宋" w:cs="仿宋"/>
                <w:color w:val="auto"/>
                <w:sz w:val="22"/>
                <w:szCs w:val="22"/>
                <w:highlight w:val="none"/>
                <w:lang w:val="en-US" w:eastAsia="zh-CN" w:bidi="ar"/>
              </w:rPr>
              <w:t>2</w:t>
            </w:r>
          </w:p>
        </w:tc>
        <w:tc>
          <w:tcPr>
            <w:tcW w:w="1629" w:type="dxa"/>
            <w:vMerge w:val="continue"/>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2"/>
                <w:szCs w:val="22"/>
                <w:highlight w:val="none"/>
              </w:rPr>
            </w:pPr>
          </w:p>
        </w:tc>
        <w:tc>
          <w:tcPr>
            <w:tcW w:w="2179" w:type="dxa"/>
            <w:vAlign w:val="center"/>
          </w:tcPr>
          <w:p>
            <w:pPr>
              <w:keepNext w:val="0"/>
              <w:keepLines w:val="0"/>
              <w:widowControl/>
              <w:suppressLineNumbers w:val="0"/>
              <w:snapToGrid w:val="0"/>
              <w:spacing w:before="0" w:beforeAutospacing="0" w:after="0" w:afterAutospacing="0" w:line="300" w:lineRule="auto"/>
              <w:ind w:left="0" w:leftChars="0" w:right="0" w:rightChars="0"/>
              <w:jc w:val="center"/>
              <w:textAlignment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应急处理预案</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10分</w:t>
            </w:r>
            <w:r>
              <w:rPr>
                <w:rFonts w:hint="eastAsia" w:ascii="仿宋" w:hAnsi="仿宋" w:eastAsia="仿宋" w:cs="仿宋"/>
                <w:color w:val="auto"/>
                <w:sz w:val="22"/>
                <w:szCs w:val="22"/>
                <w:highlight w:val="none"/>
                <w:lang w:eastAsia="zh-CN"/>
              </w:rPr>
              <w:t>）</w:t>
            </w:r>
          </w:p>
        </w:tc>
        <w:tc>
          <w:tcPr>
            <w:tcW w:w="4631" w:type="dxa"/>
            <w:tcMar>
              <w:top w:w="15" w:type="dxa"/>
              <w:left w:w="15" w:type="dxa"/>
              <w:right w:w="15" w:type="dxa"/>
            </w:tcMar>
            <w:vAlign w:val="center"/>
          </w:tcPr>
          <w:p>
            <w:pPr>
              <w:keepNext w:val="0"/>
              <w:keepLines w:val="0"/>
              <w:widowControl/>
              <w:suppressLineNumbers w:val="0"/>
              <w:adjustRightInd w:val="0"/>
              <w:snapToGrid w:val="0"/>
              <w:spacing w:before="0" w:beforeAutospacing="0" w:after="0" w:afterAutospacing="0"/>
              <w:ind w:left="0" w:right="0"/>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说明：XX</w:t>
            </w:r>
          </w:p>
          <w:p>
            <w:pPr>
              <w:keepNext w:val="0"/>
              <w:keepLines w:val="0"/>
              <w:widowControl/>
              <w:suppressLineNumbers w:val="0"/>
              <w:spacing w:before="0" w:beforeAutospacing="0" w:after="0" w:afterAutospacing="0"/>
              <w:ind w:left="0" w:leftChars="0" w:right="0" w:rightChars="0"/>
              <w:rPr>
                <w:rStyle w:val="77"/>
                <w:rFonts w:hint="eastAsia" w:ascii="仿宋" w:hAnsi="仿宋" w:eastAsia="仿宋" w:cs="仿宋"/>
                <w:color w:val="auto"/>
                <w:sz w:val="22"/>
                <w:szCs w:val="22"/>
                <w:highlight w:val="none"/>
                <w:lang w:bidi="ar"/>
              </w:rPr>
            </w:pPr>
            <w:r>
              <w:rPr>
                <w:rFonts w:hint="eastAsia" w:ascii="仿宋" w:hAnsi="仿宋" w:eastAsia="仿宋" w:cs="仿宋"/>
                <w:color w:val="auto"/>
                <w:kern w:val="0"/>
                <w:sz w:val="22"/>
                <w:szCs w:val="22"/>
                <w:highlight w:val="none"/>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jc w:val="center"/>
        </w:trPr>
        <w:tc>
          <w:tcPr>
            <w:tcW w:w="700" w:type="dxa"/>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3</w:t>
            </w:r>
          </w:p>
        </w:tc>
        <w:tc>
          <w:tcPr>
            <w:tcW w:w="1629" w:type="dxa"/>
            <w:vMerge w:val="continue"/>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2"/>
                <w:szCs w:val="22"/>
                <w:highlight w:val="none"/>
              </w:rPr>
            </w:pPr>
          </w:p>
        </w:tc>
        <w:tc>
          <w:tcPr>
            <w:tcW w:w="2179" w:type="dxa"/>
            <w:vAlign w:val="center"/>
          </w:tcPr>
          <w:p>
            <w:pPr>
              <w:keepNext w:val="0"/>
              <w:keepLines w:val="0"/>
              <w:widowControl/>
              <w:suppressLineNumbers w:val="0"/>
              <w:snapToGrid w:val="0"/>
              <w:spacing w:before="0" w:beforeAutospacing="0" w:after="0" w:afterAutospacing="0" w:line="300" w:lineRule="auto"/>
              <w:ind w:left="0" w:leftChars="0" w:right="0" w:rightChars="0"/>
              <w:jc w:val="center"/>
              <w:textAlignment w:val="center"/>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en-US" w:eastAsia="zh-CN"/>
              </w:rPr>
              <w:t>资源投入方案</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10分</w:t>
            </w:r>
            <w:r>
              <w:rPr>
                <w:rFonts w:hint="eastAsia" w:ascii="仿宋" w:hAnsi="仿宋" w:eastAsia="仿宋" w:cs="仿宋"/>
                <w:color w:val="auto"/>
                <w:sz w:val="22"/>
                <w:szCs w:val="22"/>
                <w:highlight w:val="none"/>
                <w:lang w:eastAsia="zh-CN"/>
              </w:rPr>
              <w:t>）</w:t>
            </w:r>
          </w:p>
        </w:tc>
        <w:tc>
          <w:tcPr>
            <w:tcW w:w="4631" w:type="dxa"/>
            <w:tcMar>
              <w:top w:w="15" w:type="dxa"/>
              <w:left w:w="15" w:type="dxa"/>
              <w:right w:w="15" w:type="dxa"/>
            </w:tcMar>
            <w:vAlign w:val="center"/>
          </w:tcPr>
          <w:p>
            <w:pPr>
              <w:keepNext w:val="0"/>
              <w:keepLines w:val="0"/>
              <w:widowControl/>
              <w:suppressLineNumbers w:val="0"/>
              <w:adjustRightInd w:val="0"/>
              <w:snapToGrid w:val="0"/>
              <w:spacing w:before="0" w:beforeAutospacing="0" w:after="0" w:afterAutospacing="0"/>
              <w:ind w:left="0" w:right="0"/>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说明：XX</w:t>
            </w:r>
          </w:p>
          <w:p>
            <w:pPr>
              <w:keepNext w:val="0"/>
              <w:keepLines w:val="0"/>
              <w:widowControl/>
              <w:suppressLineNumbers w:val="0"/>
              <w:spacing w:before="0" w:beforeAutospacing="0" w:after="0" w:afterAutospacing="0"/>
              <w:ind w:left="0" w:leftChars="0" w:right="0" w:rightChars="0"/>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jc w:val="center"/>
        </w:trPr>
        <w:tc>
          <w:tcPr>
            <w:tcW w:w="700" w:type="dxa"/>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4</w:t>
            </w:r>
          </w:p>
        </w:tc>
        <w:tc>
          <w:tcPr>
            <w:tcW w:w="1629" w:type="dxa"/>
            <w:vMerge w:val="continue"/>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2"/>
                <w:szCs w:val="22"/>
                <w:highlight w:val="none"/>
              </w:rPr>
            </w:pPr>
          </w:p>
        </w:tc>
        <w:tc>
          <w:tcPr>
            <w:tcW w:w="2179" w:type="dxa"/>
            <w:vAlign w:val="center"/>
          </w:tcPr>
          <w:p>
            <w:pPr>
              <w:keepNext w:val="0"/>
              <w:keepLines w:val="0"/>
              <w:widowControl/>
              <w:suppressLineNumbers w:val="0"/>
              <w:snapToGrid w:val="0"/>
              <w:spacing w:before="0" w:beforeAutospacing="0" w:after="0" w:afterAutospacing="0" w:line="300" w:lineRule="auto"/>
              <w:ind w:left="0" w:leftChars="0" w:right="0" w:rightChars="0"/>
              <w:jc w:val="center"/>
              <w:textAlignment w:val="center"/>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eastAsia="zh-CN"/>
              </w:rPr>
              <w:t>团队配备（</w:t>
            </w:r>
            <w:r>
              <w:rPr>
                <w:rFonts w:hint="eastAsia" w:ascii="仿宋" w:hAnsi="仿宋" w:eastAsia="仿宋" w:cs="仿宋"/>
                <w:color w:val="auto"/>
                <w:sz w:val="22"/>
                <w:szCs w:val="22"/>
                <w:highlight w:val="none"/>
                <w:lang w:val="en-US" w:eastAsia="zh-CN"/>
              </w:rPr>
              <w:t>10分</w:t>
            </w:r>
            <w:r>
              <w:rPr>
                <w:rFonts w:hint="eastAsia" w:ascii="仿宋" w:hAnsi="仿宋" w:eastAsia="仿宋" w:cs="仿宋"/>
                <w:color w:val="auto"/>
                <w:sz w:val="22"/>
                <w:szCs w:val="22"/>
                <w:highlight w:val="none"/>
                <w:lang w:eastAsia="zh-CN"/>
              </w:rPr>
              <w:t>）</w:t>
            </w:r>
          </w:p>
        </w:tc>
        <w:tc>
          <w:tcPr>
            <w:tcW w:w="4631" w:type="dxa"/>
            <w:tcMar>
              <w:top w:w="15" w:type="dxa"/>
              <w:left w:w="15" w:type="dxa"/>
              <w:right w:w="15" w:type="dxa"/>
            </w:tcMar>
            <w:vAlign w:val="center"/>
          </w:tcPr>
          <w:p>
            <w:pPr>
              <w:keepNext w:val="0"/>
              <w:keepLines w:val="0"/>
              <w:widowControl/>
              <w:suppressLineNumbers w:val="0"/>
              <w:adjustRightInd w:val="0"/>
              <w:snapToGrid w:val="0"/>
              <w:spacing w:before="0" w:beforeAutospacing="0" w:after="0" w:afterAutospacing="0"/>
              <w:ind w:left="0" w:right="0"/>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说明：XX</w:t>
            </w:r>
          </w:p>
          <w:p>
            <w:pPr>
              <w:keepNext w:val="0"/>
              <w:keepLines w:val="0"/>
              <w:widowControl/>
              <w:suppressLineNumbers w:val="0"/>
              <w:spacing w:before="0" w:beforeAutospacing="0" w:after="0" w:afterAutospacing="0"/>
              <w:ind w:left="0" w:leftChars="0" w:right="0" w:rightChars="0"/>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atLeast"/>
          <w:jc w:val="center"/>
        </w:trPr>
        <w:tc>
          <w:tcPr>
            <w:tcW w:w="700" w:type="dxa"/>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5</w:t>
            </w:r>
          </w:p>
        </w:tc>
        <w:tc>
          <w:tcPr>
            <w:tcW w:w="1629" w:type="dxa"/>
            <w:vMerge w:val="continue"/>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2"/>
                <w:szCs w:val="22"/>
                <w:highlight w:val="none"/>
              </w:rPr>
            </w:pPr>
          </w:p>
        </w:tc>
        <w:tc>
          <w:tcPr>
            <w:tcW w:w="2179" w:type="dxa"/>
            <w:vAlign w:val="center"/>
          </w:tcPr>
          <w:p>
            <w:pPr>
              <w:keepNext w:val="0"/>
              <w:keepLines w:val="0"/>
              <w:widowControl/>
              <w:suppressLineNumbers w:val="0"/>
              <w:snapToGrid w:val="0"/>
              <w:spacing w:before="0" w:beforeAutospacing="0" w:after="0" w:afterAutospacing="0" w:line="300" w:lineRule="auto"/>
              <w:ind w:left="0" w:leftChars="0" w:right="0" w:rightChars="0"/>
              <w:jc w:val="center"/>
              <w:textAlignment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增值服务</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10分</w:t>
            </w:r>
            <w:r>
              <w:rPr>
                <w:rFonts w:hint="eastAsia" w:ascii="仿宋" w:hAnsi="仿宋" w:eastAsia="仿宋" w:cs="仿宋"/>
                <w:color w:val="auto"/>
                <w:sz w:val="22"/>
                <w:szCs w:val="22"/>
                <w:highlight w:val="none"/>
                <w:lang w:eastAsia="zh-CN"/>
              </w:rPr>
              <w:t>）</w:t>
            </w:r>
          </w:p>
        </w:tc>
        <w:tc>
          <w:tcPr>
            <w:tcW w:w="4631" w:type="dxa"/>
            <w:tcMar>
              <w:top w:w="15" w:type="dxa"/>
              <w:left w:w="15" w:type="dxa"/>
              <w:right w:w="15" w:type="dxa"/>
            </w:tcMar>
            <w:vAlign w:val="center"/>
          </w:tcPr>
          <w:p>
            <w:pPr>
              <w:keepNext w:val="0"/>
              <w:keepLines w:val="0"/>
              <w:widowControl/>
              <w:suppressLineNumbers w:val="0"/>
              <w:adjustRightInd w:val="0"/>
              <w:snapToGrid w:val="0"/>
              <w:spacing w:before="0" w:beforeAutospacing="0" w:after="0" w:afterAutospacing="0"/>
              <w:ind w:left="0" w:right="0"/>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说明：XX</w:t>
            </w:r>
          </w:p>
          <w:p>
            <w:pPr>
              <w:keepNext w:val="0"/>
              <w:keepLines w:val="0"/>
              <w:widowControl/>
              <w:suppressLineNumbers w:val="0"/>
              <w:spacing w:before="0" w:beforeAutospacing="0" w:after="0" w:afterAutospacing="0"/>
              <w:ind w:left="0" w:right="0"/>
              <w:rPr>
                <w:rStyle w:val="77"/>
                <w:rFonts w:hint="eastAsia" w:ascii="仿宋" w:hAnsi="仿宋" w:eastAsia="仿宋" w:cs="仿宋"/>
                <w:color w:val="auto"/>
                <w:sz w:val="22"/>
                <w:szCs w:val="22"/>
                <w:highlight w:val="none"/>
                <w:lang w:bidi="ar"/>
              </w:rPr>
            </w:pPr>
            <w:r>
              <w:rPr>
                <w:rFonts w:hint="eastAsia" w:ascii="仿宋" w:hAnsi="仿宋" w:eastAsia="仿宋" w:cs="仿宋"/>
                <w:color w:val="auto"/>
                <w:kern w:val="0"/>
                <w:sz w:val="22"/>
                <w:szCs w:val="22"/>
                <w:highlight w:val="none"/>
              </w:rPr>
              <w:t>详见N-M页</w:t>
            </w:r>
          </w:p>
        </w:tc>
      </w:tr>
    </w:tbl>
    <w:p>
      <w:pPr>
        <w:rPr>
          <w:rFonts w:hint="eastAsia" w:ascii="仿宋" w:hAnsi="仿宋" w:eastAsia="仿宋" w:cs="仿宋"/>
          <w:color w:val="auto"/>
          <w:highlight w:val="none"/>
        </w:rPr>
      </w:pPr>
      <w:r>
        <w:rPr>
          <w:rFonts w:hint="eastAsia" w:ascii="仿宋" w:hAnsi="仿宋" w:eastAsia="仿宋" w:cs="仿宋"/>
          <w:color w:val="auto"/>
          <w:highlight w:val="none"/>
        </w:rPr>
        <w:br w:type="page"/>
      </w:r>
    </w:p>
    <w:p>
      <w:pPr>
        <w:pStyle w:val="5"/>
        <w:spacing w:before="0" w:after="0" w:line="360" w:lineRule="auto"/>
        <w:rPr>
          <w:rFonts w:hint="eastAsia" w:ascii="仿宋" w:hAnsi="仿宋" w:eastAsia="仿宋" w:cs="仿宋"/>
          <w:color w:val="auto"/>
          <w:sz w:val="24"/>
          <w:szCs w:val="24"/>
          <w:highlight w:val="none"/>
        </w:rPr>
      </w:pPr>
      <w:bookmarkStart w:id="190" w:name="_Toc17302"/>
      <w:bookmarkStart w:id="191" w:name="_Toc5465"/>
      <w:r>
        <w:rPr>
          <w:rFonts w:hint="eastAsia" w:ascii="仿宋" w:hAnsi="仿宋" w:eastAsia="仿宋" w:cs="仿宋"/>
          <w:color w:val="auto"/>
          <w:sz w:val="24"/>
          <w:szCs w:val="24"/>
          <w:highlight w:val="none"/>
        </w:rPr>
        <w:t>（一）采购需求应答偏离表</w:t>
      </w:r>
      <w:bookmarkEnd w:id="189"/>
      <w:bookmarkEnd w:id="190"/>
      <w:bookmarkEnd w:id="191"/>
    </w:p>
    <w:p>
      <w:pPr>
        <w:spacing w:line="360" w:lineRule="auto"/>
        <w:jc w:val="center"/>
        <w:rPr>
          <w:rFonts w:hint="eastAsia" w:ascii="仿宋" w:hAnsi="仿宋" w:eastAsia="仿宋" w:cs="仿宋"/>
          <w:b/>
          <w:bCs/>
          <w:color w:val="auto"/>
          <w:highlight w:val="none"/>
        </w:rPr>
      </w:pPr>
      <w:bookmarkStart w:id="192" w:name="_Toc125771198"/>
      <w:bookmarkStart w:id="193" w:name="_Toc293297544"/>
      <w:bookmarkStart w:id="194" w:name="_Toc125561188"/>
      <w:r>
        <w:rPr>
          <w:rFonts w:hint="eastAsia" w:ascii="仿宋" w:hAnsi="仿宋" w:eastAsia="仿宋" w:cs="仿宋"/>
          <w:b/>
          <w:bCs/>
          <w:color w:val="auto"/>
          <w:highlight w:val="none"/>
        </w:rPr>
        <w:t>采购需求应答偏离表</w:t>
      </w:r>
      <w:bookmarkEnd w:id="192"/>
      <w:bookmarkEnd w:id="193"/>
      <w:bookmarkEnd w:id="194"/>
    </w:p>
    <w:p>
      <w:pPr>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w:t>
      </w:r>
    </w:p>
    <w:tbl>
      <w:tblPr>
        <w:tblStyle w:val="30"/>
        <w:tblW w:w="9281"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
        <w:gridCol w:w="2142"/>
        <w:gridCol w:w="2328"/>
        <w:gridCol w:w="2515"/>
        <w:gridCol w:w="1351"/>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45" w:type="dxa"/>
            <w:tcBorders>
              <w:top w:val="double" w:color="auto" w:sz="4" w:space="0"/>
              <w:left w:val="doub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2142" w:type="dxa"/>
            <w:tcBorders>
              <w:top w:val="doub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12" w:lineRule="auto"/>
              <w:ind w:left="0" w:right="0"/>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技术偏离类型(正负偏离)</w:t>
            </w:r>
          </w:p>
        </w:tc>
        <w:tc>
          <w:tcPr>
            <w:tcW w:w="2328" w:type="dxa"/>
            <w:tcBorders>
              <w:top w:val="doub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12" w:lineRule="auto"/>
              <w:ind w:left="0" w:right="0"/>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技术偏离的文档章节号及页号</w:t>
            </w:r>
          </w:p>
        </w:tc>
        <w:tc>
          <w:tcPr>
            <w:tcW w:w="2515" w:type="dxa"/>
            <w:tcBorders>
              <w:top w:val="doub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12" w:lineRule="auto"/>
              <w:ind w:left="0" w:right="0"/>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技术偏离的主要内容说明</w:t>
            </w:r>
          </w:p>
        </w:tc>
        <w:tc>
          <w:tcPr>
            <w:tcW w:w="1351" w:type="dxa"/>
            <w:tcBorders>
              <w:top w:val="double" w:color="auto" w:sz="4" w:space="0"/>
              <w:left w:val="single" w:color="auto" w:sz="4" w:space="0"/>
              <w:bottom w:val="single" w:color="auto" w:sz="4" w:space="0"/>
              <w:right w:val="doub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负偏离(不满足)</w:t>
            </w: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8"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正偏离(优于)</w:t>
            </w: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8"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8"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9"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45" w:type="dxa"/>
            <w:tcBorders>
              <w:top w:val="single" w:color="auto" w:sz="4" w:space="0"/>
              <w:left w:val="double" w:color="auto" w:sz="4" w:space="0"/>
              <w:bottom w:val="doub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doub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28" w:type="dxa"/>
            <w:tcBorders>
              <w:top w:val="single" w:color="auto" w:sz="4" w:space="0"/>
              <w:left w:val="single" w:color="auto" w:sz="4" w:space="0"/>
              <w:bottom w:val="doub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doub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doub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bl>
    <w:p>
      <w:pPr>
        <w:spacing w:before="240" w:line="360" w:lineRule="auto"/>
        <w:rPr>
          <w:rFonts w:hint="eastAsia" w:ascii="仿宋" w:hAnsi="仿宋" w:eastAsia="仿宋" w:cs="仿宋"/>
          <w:color w:val="auto"/>
          <w:highlight w:val="none"/>
        </w:rPr>
      </w:pPr>
      <w:r>
        <w:rPr>
          <w:rFonts w:hint="eastAsia" w:ascii="仿宋" w:hAnsi="仿宋" w:eastAsia="仿宋" w:cs="仿宋"/>
          <w:color w:val="auto"/>
          <w:highlight w:val="none"/>
        </w:rPr>
        <w:t>注：对于未列出的偏离内容视同供应商已完全接受竞争性磋商文件的要求，</w:t>
      </w:r>
      <w:r>
        <w:rPr>
          <w:rFonts w:hint="eastAsia" w:ascii="仿宋" w:hAnsi="仿宋" w:eastAsia="仿宋" w:cs="仿宋"/>
          <w:b/>
          <w:bCs/>
          <w:color w:val="auto"/>
          <w:highlight w:val="none"/>
        </w:rPr>
        <w:t>如全部满足，在偏离表中应答“全部满足”即可</w:t>
      </w:r>
      <w:r>
        <w:rPr>
          <w:rFonts w:hint="eastAsia" w:ascii="仿宋" w:hAnsi="仿宋" w:eastAsia="仿宋" w:cs="仿宋"/>
          <w:color w:val="auto"/>
          <w:highlight w:val="none"/>
        </w:rPr>
        <w:t>。</w:t>
      </w:r>
    </w:p>
    <w:p>
      <w:pPr>
        <w:spacing w:line="360" w:lineRule="auto"/>
        <w:ind w:left="480" w:hanging="480" w:hangingChars="200"/>
        <w:rPr>
          <w:rFonts w:hint="eastAsia" w:ascii="仿宋" w:hAnsi="仿宋" w:eastAsia="仿宋" w:cs="仿宋"/>
          <w:color w:val="auto"/>
          <w:highlight w:val="none"/>
        </w:rPr>
      </w:pPr>
    </w:p>
    <w:p>
      <w:pPr>
        <w:spacing w:line="440" w:lineRule="exact"/>
        <w:ind w:firstLine="4080" w:firstLineChars="1700"/>
        <w:jc w:val="right"/>
        <w:rPr>
          <w:rFonts w:hint="eastAsia" w:ascii="仿宋" w:hAnsi="仿宋" w:eastAsia="仿宋" w:cs="仿宋"/>
          <w:color w:val="auto"/>
          <w:highlight w:val="none"/>
        </w:rPr>
      </w:pPr>
    </w:p>
    <w:p>
      <w:pPr>
        <w:spacing w:line="440" w:lineRule="exact"/>
        <w:ind w:firstLine="408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440" w:lineRule="exact"/>
        <w:jc w:val="right"/>
        <w:rPr>
          <w:rFonts w:hint="eastAsia"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spacing w:line="360" w:lineRule="auto"/>
        <w:rPr>
          <w:rFonts w:hint="eastAsia" w:ascii="仿宋" w:hAnsi="仿宋" w:eastAsia="仿宋" w:cs="仿宋"/>
          <w:color w:val="auto"/>
          <w:highlight w:val="none"/>
        </w:rPr>
      </w:pPr>
    </w:p>
    <w:p>
      <w:pPr>
        <w:pStyle w:val="5"/>
        <w:spacing w:before="0" w:after="0" w:line="360" w:lineRule="auto"/>
        <w:outlineLvl w:val="2"/>
        <w:rPr>
          <w:rFonts w:hint="eastAsia" w:ascii="仿宋" w:hAnsi="仿宋" w:eastAsia="仿宋" w:cs="仿宋"/>
          <w:color w:val="auto"/>
          <w:szCs w:val="24"/>
          <w:highlight w:val="none"/>
          <w:lang w:val="en-US" w:eastAsia="zh-CN"/>
        </w:rPr>
      </w:pPr>
      <w:bookmarkStart w:id="195" w:name="_Toc8284"/>
      <w:r>
        <w:rPr>
          <w:rFonts w:hint="eastAsia" w:ascii="仿宋" w:hAnsi="仿宋" w:eastAsia="仿宋" w:cs="仿宋"/>
          <w:color w:val="auto"/>
          <w:sz w:val="24"/>
          <w:szCs w:val="24"/>
          <w:highlight w:val="none"/>
          <w:lang w:bidi="ar"/>
        </w:rPr>
        <w:br w:type="page"/>
      </w:r>
      <w:bookmarkEnd w:id="195"/>
      <w:bookmarkStart w:id="196" w:name="_Toc5372"/>
      <w:bookmarkStart w:id="197" w:name="_Toc22047"/>
      <w:bookmarkStart w:id="198" w:name="_Toc313"/>
      <w:bookmarkStart w:id="199" w:name="_Toc30807"/>
      <w:bookmarkStart w:id="200" w:name="_Toc19384"/>
      <w:bookmarkStart w:id="201" w:name="_Toc517281860"/>
      <w:bookmarkStart w:id="202" w:name="_Toc444891358"/>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二</w:t>
      </w:r>
      <w:r>
        <w:rPr>
          <w:rFonts w:hint="eastAsia" w:ascii="仿宋" w:hAnsi="仿宋" w:eastAsia="仿宋" w:cs="仿宋"/>
          <w:color w:val="auto"/>
          <w:sz w:val="24"/>
          <w:szCs w:val="24"/>
          <w:highlight w:val="none"/>
        </w:rPr>
        <w:t>）</w:t>
      </w:r>
      <w:bookmarkEnd w:id="196"/>
      <w:bookmarkEnd w:id="197"/>
      <w:bookmarkEnd w:id="198"/>
      <w:bookmarkEnd w:id="199"/>
      <w:r>
        <w:rPr>
          <w:rFonts w:hint="eastAsia" w:ascii="仿宋" w:hAnsi="仿宋" w:eastAsia="仿宋" w:cs="仿宋"/>
          <w:color w:val="auto"/>
          <w:sz w:val="24"/>
          <w:szCs w:val="24"/>
          <w:highlight w:val="none"/>
          <w:lang w:val="en-US" w:eastAsia="zh-CN"/>
        </w:rPr>
        <w:t>总体服务方案</w:t>
      </w:r>
    </w:p>
    <w:p>
      <w:pPr>
        <w:spacing w:line="360" w:lineRule="auto"/>
        <w:ind w:firstLine="480" w:firstLineChars="200"/>
        <w:rPr>
          <w:rFonts w:hint="eastAsia" w:ascii="仿宋" w:hAnsi="仿宋" w:eastAsia="仿宋" w:cs="仿宋"/>
          <w:color w:val="auto"/>
          <w:highlight w:val="none"/>
          <w:lang w:bidi="ar"/>
        </w:rPr>
      </w:pPr>
      <w:r>
        <w:rPr>
          <w:rFonts w:hint="eastAsia" w:ascii="仿宋" w:hAnsi="仿宋" w:eastAsia="仿宋" w:cs="仿宋"/>
          <w:color w:val="auto"/>
          <w:highlight w:val="none"/>
          <w:lang w:bidi="ar"/>
        </w:rPr>
        <w:t>在充分响应采购需求各项要求的基础上，编制总体服务方案，并提供采购需求要求的证书、资质、承诺等材料（如有要求时）。</w:t>
      </w:r>
    </w:p>
    <w:p>
      <w:pPr>
        <w:spacing w:line="360" w:lineRule="auto"/>
        <w:ind w:firstLine="480" w:firstLineChars="200"/>
        <w:rPr>
          <w:rFonts w:hint="eastAsia" w:ascii="仿宋" w:hAnsi="仿宋" w:eastAsia="仿宋" w:cs="仿宋"/>
          <w:color w:val="auto"/>
          <w:highlight w:val="none"/>
          <w:lang w:bidi="ar"/>
        </w:rPr>
      </w:pPr>
      <w:r>
        <w:rPr>
          <w:rFonts w:hint="eastAsia" w:ascii="仿宋" w:hAnsi="仿宋" w:eastAsia="仿宋" w:cs="仿宋"/>
          <w:color w:val="auto"/>
          <w:highlight w:val="none"/>
          <w:lang w:bidi="ar"/>
        </w:rPr>
        <w:t>总体服务方案包括但不限于服务流程设计、服务保障、投放策略、落地执行流程、质量监控机制等内容。</w:t>
      </w:r>
    </w:p>
    <w:p>
      <w:pPr>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br w:type="page"/>
      </w:r>
    </w:p>
    <w:p>
      <w:pPr>
        <w:pStyle w:val="5"/>
        <w:spacing w:before="0" w:after="0" w:line="360" w:lineRule="auto"/>
        <w:outlineLvl w:val="2"/>
        <w:rPr>
          <w:rFonts w:hint="eastAsia" w:ascii="仿宋" w:hAnsi="仿宋" w:eastAsia="仿宋" w:cs="仿宋"/>
          <w:color w:val="auto"/>
          <w:szCs w:val="24"/>
          <w:highlight w:val="none"/>
          <w:lang w:val="en-US" w:eastAsia="zh-CN"/>
        </w:rPr>
      </w:pPr>
      <w:bookmarkStart w:id="203" w:name="_Toc18045"/>
      <w:bookmarkStart w:id="204" w:name="_Toc3134"/>
      <w:bookmarkStart w:id="205" w:name="_Toc21263"/>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三</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应急处理预案</w:t>
      </w:r>
      <w:bookmarkEnd w:id="203"/>
      <w:bookmarkEnd w:id="204"/>
      <w:bookmarkEnd w:id="205"/>
    </w:p>
    <w:p>
      <w:pPr>
        <w:spacing w:line="360" w:lineRule="auto"/>
        <w:ind w:firstLine="480" w:firstLineChars="200"/>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在充分响应采购需求各项要求的基础上，编制应急处理预案，并提供采购需求要求的证书、资质、承诺等材料（如有要求时）。</w:t>
      </w:r>
    </w:p>
    <w:p>
      <w:pPr>
        <w:spacing w:before="0" w:after="0"/>
        <w:ind w:left="0" w:firstLine="480" w:firstLineChars="200"/>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应急处理预案包括但不限于自然灾害处理，重大社会活动处理，设备突发故障等各类意外情形处理。</w:t>
      </w:r>
      <w:r>
        <w:rPr>
          <w:rFonts w:hint="eastAsia" w:ascii="仿宋" w:hAnsi="仿宋" w:eastAsia="仿宋" w:cs="仿宋"/>
          <w:color w:val="auto"/>
          <w:sz w:val="24"/>
          <w:highlight w:val="none"/>
          <w:lang w:bidi="ar"/>
        </w:rPr>
        <w:br w:type="page"/>
      </w:r>
    </w:p>
    <w:bookmarkEnd w:id="200"/>
    <w:p>
      <w:pPr>
        <w:pStyle w:val="5"/>
        <w:spacing w:before="0" w:after="0" w:line="360" w:lineRule="auto"/>
        <w:outlineLvl w:val="2"/>
        <w:rPr>
          <w:rFonts w:hint="eastAsia" w:ascii="仿宋" w:hAnsi="仿宋" w:eastAsia="仿宋" w:cs="仿宋"/>
          <w:color w:val="auto"/>
          <w:szCs w:val="24"/>
          <w:highlight w:val="none"/>
          <w:lang w:val="en-US" w:eastAsia="zh-CN"/>
        </w:rPr>
      </w:pPr>
      <w:bookmarkStart w:id="206" w:name="_Toc21990"/>
      <w:bookmarkStart w:id="207" w:name="_Toc21377"/>
      <w:bookmarkStart w:id="208" w:name="_Toc25217"/>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四</w:t>
      </w:r>
      <w:r>
        <w:rPr>
          <w:rFonts w:hint="eastAsia" w:ascii="仿宋" w:hAnsi="仿宋" w:eastAsia="仿宋" w:cs="仿宋"/>
          <w:color w:val="auto"/>
          <w:sz w:val="24"/>
          <w:szCs w:val="24"/>
          <w:highlight w:val="none"/>
        </w:rPr>
        <w:t>）</w:t>
      </w:r>
      <w:bookmarkEnd w:id="206"/>
      <w:bookmarkEnd w:id="207"/>
      <w:bookmarkEnd w:id="208"/>
      <w:r>
        <w:rPr>
          <w:rFonts w:hint="eastAsia" w:ascii="仿宋" w:hAnsi="仿宋" w:eastAsia="仿宋" w:cs="仿宋"/>
          <w:color w:val="auto"/>
          <w:sz w:val="24"/>
          <w:szCs w:val="24"/>
          <w:highlight w:val="none"/>
          <w:lang w:val="en-US" w:eastAsia="zh-CN"/>
        </w:rPr>
        <w:t>资源投入方案</w:t>
      </w:r>
    </w:p>
    <w:p>
      <w:pPr>
        <w:spacing w:line="360" w:lineRule="auto"/>
        <w:ind w:firstLine="480" w:firstLineChars="200"/>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在充分响应采购需求各项要求的基础上，编制资源投入方案，并提供采购需求要求的证书、资质、承诺等材料（如有要求时）。</w:t>
      </w:r>
    </w:p>
    <w:p>
      <w:pPr>
        <w:spacing w:line="360" w:lineRule="auto"/>
        <w:ind w:firstLine="480" w:firstLineChars="200"/>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资源投入方案包括但不限于：宣传物料的设计与制作质量、活动推广的渠道及覆盖面等内容。</w:t>
      </w:r>
    </w:p>
    <w:p>
      <w:pPr>
        <w:spacing w:line="360" w:lineRule="auto"/>
        <w:ind w:firstLine="480" w:firstLineChars="200"/>
        <w:rPr>
          <w:rFonts w:hint="eastAsia" w:ascii="仿宋" w:hAnsi="仿宋" w:eastAsia="仿宋" w:cs="仿宋"/>
          <w:color w:val="auto"/>
          <w:sz w:val="24"/>
          <w:highlight w:val="none"/>
          <w:lang w:bidi="ar"/>
        </w:rPr>
      </w:pPr>
    </w:p>
    <w:p>
      <w:pP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br w:type="page"/>
      </w:r>
    </w:p>
    <w:p>
      <w:pPr>
        <w:pStyle w:val="5"/>
        <w:spacing w:before="0" w:after="0" w:line="360" w:lineRule="auto"/>
        <w:rPr>
          <w:rFonts w:hint="eastAsia" w:ascii="仿宋" w:hAnsi="仿宋" w:eastAsia="仿宋" w:cs="仿宋"/>
          <w:color w:val="auto"/>
          <w:sz w:val="24"/>
          <w:szCs w:val="24"/>
          <w:highlight w:val="none"/>
        </w:rPr>
      </w:pPr>
      <w:bookmarkStart w:id="209" w:name="_Toc4101"/>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五）</w:t>
      </w:r>
      <w:r>
        <w:rPr>
          <w:rFonts w:hint="eastAsia" w:ascii="仿宋" w:hAnsi="仿宋" w:eastAsia="仿宋" w:cs="仿宋"/>
          <w:color w:val="auto"/>
          <w:sz w:val="24"/>
          <w:szCs w:val="24"/>
          <w:highlight w:val="none"/>
        </w:rPr>
        <w:t>拟派服务团队成员汇总表</w:t>
      </w:r>
      <w:bookmarkEnd w:id="209"/>
    </w:p>
    <w:tbl>
      <w:tblPr>
        <w:tblStyle w:val="30"/>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vAlign w:val="center"/>
          </w:tcPr>
          <w:p>
            <w:pPr>
              <w:keepNext w:val="0"/>
              <w:keepLines w:val="0"/>
              <w:widowControl/>
              <w:suppressLineNumbers w:val="0"/>
              <w:snapToGrid w:val="0"/>
              <w:spacing w:before="0" w:beforeAutospacing="0" w:after="0" w:afterAutospacing="0" w:line="300" w:lineRule="exact"/>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1260" w:type="dxa"/>
            <w:vAlign w:val="center"/>
          </w:tcPr>
          <w:p>
            <w:pPr>
              <w:keepNext w:val="0"/>
              <w:keepLines w:val="0"/>
              <w:widowControl/>
              <w:suppressLineNumbers w:val="0"/>
              <w:snapToGrid w:val="0"/>
              <w:spacing w:before="0" w:beforeAutospacing="0" w:after="0" w:afterAutospacing="0" w:line="300" w:lineRule="exact"/>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姓名</w:t>
            </w:r>
          </w:p>
        </w:tc>
        <w:tc>
          <w:tcPr>
            <w:tcW w:w="851" w:type="dxa"/>
            <w:vAlign w:val="center"/>
          </w:tcPr>
          <w:p>
            <w:pPr>
              <w:keepNext w:val="0"/>
              <w:keepLines w:val="0"/>
              <w:widowControl/>
              <w:suppressLineNumbers w:val="0"/>
              <w:snapToGrid w:val="0"/>
              <w:spacing w:before="0" w:beforeAutospacing="0" w:after="0" w:afterAutospacing="0" w:line="300" w:lineRule="exact"/>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学历</w:t>
            </w:r>
          </w:p>
        </w:tc>
        <w:tc>
          <w:tcPr>
            <w:tcW w:w="980" w:type="dxa"/>
            <w:vAlign w:val="center"/>
          </w:tcPr>
          <w:p>
            <w:pPr>
              <w:keepNext w:val="0"/>
              <w:keepLines w:val="0"/>
              <w:widowControl/>
              <w:suppressLineNumbers w:val="0"/>
              <w:snapToGrid w:val="0"/>
              <w:spacing w:before="0" w:beforeAutospacing="0" w:after="0" w:afterAutospacing="0" w:line="300" w:lineRule="exact"/>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专业资质</w:t>
            </w:r>
          </w:p>
        </w:tc>
        <w:tc>
          <w:tcPr>
            <w:tcW w:w="992" w:type="dxa"/>
            <w:vAlign w:val="center"/>
          </w:tcPr>
          <w:p>
            <w:pPr>
              <w:keepNext w:val="0"/>
              <w:keepLines w:val="0"/>
              <w:widowControl/>
              <w:suppressLineNumbers w:val="0"/>
              <w:snapToGrid w:val="0"/>
              <w:spacing w:before="0" w:beforeAutospacing="0" w:after="0" w:afterAutospacing="0" w:line="300" w:lineRule="exact"/>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工作年限</w:t>
            </w:r>
          </w:p>
        </w:tc>
        <w:tc>
          <w:tcPr>
            <w:tcW w:w="1276" w:type="dxa"/>
            <w:vAlign w:val="center"/>
          </w:tcPr>
          <w:p>
            <w:pPr>
              <w:keepNext w:val="0"/>
              <w:keepLines w:val="0"/>
              <w:widowControl/>
              <w:suppressLineNumbers w:val="0"/>
              <w:snapToGrid w:val="0"/>
              <w:spacing w:before="0" w:beforeAutospacing="0" w:after="0" w:afterAutospacing="0" w:line="300" w:lineRule="exact"/>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本项目职务</w:t>
            </w:r>
          </w:p>
        </w:tc>
        <w:tc>
          <w:tcPr>
            <w:tcW w:w="1134" w:type="dxa"/>
            <w:vAlign w:val="center"/>
          </w:tcPr>
          <w:p>
            <w:pPr>
              <w:keepNext w:val="0"/>
              <w:keepLines w:val="0"/>
              <w:widowControl/>
              <w:suppressLineNumbers w:val="0"/>
              <w:snapToGrid w:val="0"/>
              <w:spacing w:before="0" w:beforeAutospacing="0" w:after="0" w:afterAutospacing="0" w:line="300" w:lineRule="exact"/>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服务内容</w:t>
            </w:r>
          </w:p>
        </w:tc>
        <w:tc>
          <w:tcPr>
            <w:tcW w:w="1695" w:type="dxa"/>
            <w:vAlign w:val="center"/>
          </w:tcPr>
          <w:p>
            <w:pPr>
              <w:keepNext w:val="0"/>
              <w:keepLines w:val="0"/>
              <w:widowControl/>
              <w:suppressLineNumbers w:val="0"/>
              <w:snapToGrid w:val="0"/>
              <w:spacing w:before="0" w:beforeAutospacing="0" w:after="0" w:afterAutospacing="0" w:line="300" w:lineRule="exact"/>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同类项目实施案例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126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851" w:type="dxa"/>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8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92"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276"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134"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695"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126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851" w:type="dxa"/>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8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92"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276"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134"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695"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w:t>
            </w:r>
          </w:p>
        </w:tc>
        <w:tc>
          <w:tcPr>
            <w:tcW w:w="126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851" w:type="dxa"/>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8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92"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276"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134"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695"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4</w:t>
            </w:r>
          </w:p>
        </w:tc>
        <w:tc>
          <w:tcPr>
            <w:tcW w:w="126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851" w:type="dxa"/>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8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92"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276"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134"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695"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26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851" w:type="dxa"/>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8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92"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276"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134"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695"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26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851" w:type="dxa"/>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8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92"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276"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134"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695"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r>
    </w:tbl>
    <w:p>
      <w:pPr>
        <w:adjustRightInd w:val="0"/>
        <w:snapToGrid w:val="0"/>
        <w:spacing w:before="240" w:line="360" w:lineRule="auto"/>
        <w:ind w:firstLine="482" w:firstLineChars="200"/>
        <w:rPr>
          <w:rFonts w:hint="eastAsia" w:ascii="仿宋" w:hAnsi="仿宋" w:eastAsia="仿宋" w:cs="仿宋"/>
          <w:b/>
          <w:bCs/>
          <w:color w:val="auto"/>
          <w:highlight w:val="none"/>
        </w:rPr>
      </w:pPr>
      <w:r>
        <w:rPr>
          <w:rFonts w:hint="eastAsia" w:ascii="仿宋" w:hAnsi="仿宋" w:eastAsia="仿宋" w:cs="仿宋"/>
          <w:b/>
          <w:bCs/>
          <w:color w:val="auto"/>
          <w:highlight w:val="none"/>
        </w:rPr>
        <w:t>注：需按照采购需求</w:t>
      </w:r>
      <w:r>
        <w:rPr>
          <w:rFonts w:hint="eastAsia" w:ascii="仿宋" w:hAnsi="仿宋" w:eastAsia="仿宋" w:cs="仿宋"/>
          <w:b/>
          <w:bCs/>
          <w:color w:val="auto"/>
          <w:highlight w:val="none"/>
          <w:lang w:val="en-US" w:eastAsia="zh-CN"/>
        </w:rPr>
        <w:t>和详细评分</w:t>
      </w:r>
      <w:r>
        <w:rPr>
          <w:rFonts w:hint="eastAsia" w:ascii="仿宋" w:hAnsi="仿宋" w:eastAsia="仿宋" w:cs="仿宋"/>
          <w:b/>
          <w:bCs/>
          <w:color w:val="auto"/>
          <w:highlight w:val="none"/>
        </w:rPr>
        <w:t>中的相关要求，列明本项目服务团队所有人员信息及职责分工。</w:t>
      </w:r>
    </w:p>
    <w:p>
      <w:pPr>
        <w:rPr>
          <w:rFonts w:hint="eastAsia" w:ascii="仿宋" w:hAnsi="仿宋" w:eastAsia="仿宋" w:cs="仿宋"/>
          <w:color w:val="auto"/>
          <w:highlight w:val="none"/>
        </w:rPr>
      </w:pPr>
      <w:r>
        <w:rPr>
          <w:rFonts w:hint="eastAsia" w:ascii="仿宋" w:hAnsi="仿宋" w:eastAsia="仿宋" w:cs="仿宋"/>
          <w:color w:val="auto"/>
          <w:highlight w:val="none"/>
        </w:rPr>
        <w:br w:type="page"/>
      </w:r>
    </w:p>
    <w:p>
      <w:pPr>
        <w:pStyle w:val="6"/>
        <w:spacing w:before="0" w:after="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5.1</w:t>
      </w:r>
      <w:r>
        <w:rPr>
          <w:rFonts w:hint="eastAsia" w:ascii="仿宋" w:hAnsi="仿宋" w:eastAsia="仿宋" w:cs="仿宋"/>
          <w:color w:val="auto"/>
          <w:sz w:val="24"/>
          <w:szCs w:val="24"/>
          <w:highlight w:val="none"/>
        </w:rPr>
        <w:t>拟派团队成员简历表</w:t>
      </w:r>
    </w:p>
    <w:tbl>
      <w:tblPr>
        <w:tblStyle w:val="30"/>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姓  名</w:t>
            </w:r>
          </w:p>
        </w:tc>
        <w:tc>
          <w:tcPr>
            <w:tcW w:w="1680" w:type="dxa"/>
            <w:gridSpan w:val="3"/>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highlight w:val="none"/>
              </w:rPr>
            </w:pPr>
          </w:p>
        </w:tc>
        <w:tc>
          <w:tcPr>
            <w:tcW w:w="945" w:type="dxa"/>
            <w:gridSpan w:val="2"/>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r>
              <w:rPr>
                <w:rFonts w:hint="eastAsia" w:ascii="仿宋" w:hAnsi="仿宋" w:eastAsia="仿宋" w:cs="仿宋"/>
                <w:color w:val="auto"/>
                <w:highlight w:val="none"/>
              </w:rPr>
              <w:t>性 别</w:t>
            </w:r>
          </w:p>
        </w:tc>
        <w:tc>
          <w:tcPr>
            <w:tcW w:w="945" w:type="dxa"/>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1854" w:type="dxa"/>
            <w:gridSpan w:val="2"/>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r>
              <w:rPr>
                <w:rFonts w:hint="eastAsia" w:ascii="仿宋" w:hAnsi="仿宋" w:eastAsia="仿宋" w:cs="仿宋"/>
                <w:color w:val="auto"/>
                <w:highlight w:val="none"/>
              </w:rPr>
              <w:t>出 生 日 期</w:t>
            </w:r>
          </w:p>
        </w:tc>
        <w:tc>
          <w:tcPr>
            <w:tcW w:w="2694" w:type="dxa"/>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r>
              <w:rPr>
                <w:rFonts w:hint="eastAsia" w:ascii="仿宋" w:hAnsi="仿宋" w:eastAsia="仿宋" w:cs="仿宋"/>
                <w:color w:val="auto"/>
                <w:highlight w:val="none"/>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r>
              <w:rPr>
                <w:rFonts w:hint="eastAsia" w:ascii="仿宋" w:hAnsi="仿宋" w:eastAsia="仿宋" w:cs="仿宋"/>
                <w:color w:val="auto"/>
                <w:highlight w:val="none"/>
              </w:rPr>
              <w:t>毕业院校及专业</w:t>
            </w:r>
          </w:p>
        </w:tc>
        <w:tc>
          <w:tcPr>
            <w:tcW w:w="3570" w:type="dxa"/>
            <w:gridSpan w:val="6"/>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1854" w:type="dxa"/>
            <w:gridSpan w:val="2"/>
            <w:vAlign w:val="center"/>
          </w:tcPr>
          <w:p>
            <w:pPr>
              <w:keepNext w:val="0"/>
              <w:keepLines w:val="0"/>
              <w:widowControl/>
              <w:suppressLineNumbers w:val="0"/>
              <w:spacing w:before="0" w:beforeAutospacing="0" w:after="0" w:afterAutospacing="0"/>
              <w:ind w:left="-18" w:right="0"/>
              <w:jc w:val="center"/>
              <w:rPr>
                <w:rFonts w:hint="eastAsia" w:ascii="仿宋" w:hAnsi="仿宋" w:eastAsia="仿宋" w:cs="仿宋"/>
                <w:color w:val="auto"/>
                <w:highlight w:val="none"/>
              </w:rPr>
            </w:pPr>
            <w:r>
              <w:rPr>
                <w:rFonts w:hint="eastAsia" w:ascii="仿宋" w:hAnsi="仿宋" w:eastAsia="仿宋" w:cs="仿宋"/>
                <w:color w:val="auto"/>
                <w:highlight w:val="none"/>
              </w:rPr>
              <w:t>学历</w:t>
            </w:r>
          </w:p>
        </w:tc>
        <w:tc>
          <w:tcPr>
            <w:tcW w:w="2694" w:type="dxa"/>
            <w:vAlign w:val="center"/>
          </w:tcPr>
          <w:p>
            <w:pPr>
              <w:keepNext w:val="0"/>
              <w:keepLines w:val="0"/>
              <w:widowControl/>
              <w:suppressLineNumbers w:val="0"/>
              <w:spacing w:before="0" w:beforeAutospacing="0" w:after="0" w:afterAutospacing="0"/>
              <w:ind w:left="45" w:right="0"/>
              <w:rPr>
                <w:rFonts w:hint="eastAsia" w:ascii="仿宋" w:hAnsi="仿宋" w:eastAsia="仿宋" w:cs="仿宋"/>
                <w:color w:val="auto"/>
                <w:highlight w:val="none"/>
              </w:rPr>
            </w:pPr>
            <w:r>
              <w:rPr>
                <w:rFonts w:hint="eastAsia" w:ascii="仿宋" w:hAnsi="仿宋" w:eastAsia="仿宋" w:cs="仿宋"/>
                <w:color w:val="auto"/>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工作年限</w:t>
            </w:r>
          </w:p>
        </w:tc>
        <w:tc>
          <w:tcPr>
            <w:tcW w:w="1974" w:type="dxa"/>
            <w:gridSpan w:val="2"/>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2835" w:type="dxa"/>
            <w:gridSpan w:val="4"/>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为供应商服务时间</w:t>
            </w:r>
          </w:p>
        </w:tc>
        <w:tc>
          <w:tcPr>
            <w:tcW w:w="2694" w:type="dxa"/>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专业资质</w:t>
            </w:r>
          </w:p>
        </w:tc>
        <w:tc>
          <w:tcPr>
            <w:tcW w:w="1974" w:type="dxa"/>
            <w:gridSpan w:val="2"/>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2835" w:type="dxa"/>
            <w:gridSpan w:val="4"/>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在本项目中的职务</w:t>
            </w:r>
          </w:p>
        </w:tc>
        <w:tc>
          <w:tcPr>
            <w:tcW w:w="2694" w:type="dxa"/>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9498" w:type="dxa"/>
            <w:gridSpan w:val="10"/>
            <w:vAlign w:val="center"/>
          </w:tcPr>
          <w:p>
            <w:pPr>
              <w:keepNext w:val="0"/>
              <w:keepLines w:val="0"/>
              <w:widowControl/>
              <w:suppressLineNumbers w:val="0"/>
              <w:spacing w:before="0" w:beforeAutospacing="0" w:after="0" w:afterAutospacing="0"/>
              <w:ind w:left="0" w:right="0" w:firstLine="3360" w:firstLineChars="1400"/>
              <w:rPr>
                <w:rFonts w:hint="eastAsia" w:ascii="仿宋" w:hAnsi="仿宋" w:eastAsia="仿宋" w:cs="仿宋"/>
                <w:color w:val="auto"/>
                <w:highlight w:val="none"/>
              </w:rPr>
            </w:pPr>
            <w:r>
              <w:rPr>
                <w:rFonts w:hint="eastAsia" w:ascii="仿宋" w:hAnsi="仿宋" w:eastAsia="仿宋" w:cs="仿宋"/>
                <w:color w:val="auto"/>
                <w:highlight w:val="none"/>
              </w:rPr>
              <w:t>服    务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r>
              <w:rPr>
                <w:rFonts w:hint="eastAsia" w:ascii="仿宋" w:hAnsi="仿宋" w:eastAsia="仿宋" w:cs="仿宋"/>
                <w:color w:val="auto"/>
                <w:highlight w:val="none"/>
              </w:rPr>
              <w:t xml:space="preserve">                          主  要  经  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时   间</w:t>
            </w:r>
          </w:p>
        </w:tc>
        <w:tc>
          <w:tcPr>
            <w:tcW w:w="4536" w:type="dxa"/>
            <w:gridSpan w:val="6"/>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同类项目名称及简要描述</w:t>
            </w:r>
          </w:p>
        </w:tc>
        <w:tc>
          <w:tcPr>
            <w:tcW w:w="3261" w:type="dxa"/>
            <w:gridSpan w:val="2"/>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该项目中职务及工作职责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4536" w:type="dxa"/>
            <w:gridSpan w:val="6"/>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3261" w:type="dxa"/>
            <w:gridSpan w:val="2"/>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4536" w:type="dxa"/>
            <w:gridSpan w:val="6"/>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3261" w:type="dxa"/>
            <w:gridSpan w:val="2"/>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4536" w:type="dxa"/>
            <w:gridSpan w:val="6"/>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3261" w:type="dxa"/>
            <w:gridSpan w:val="2"/>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gridSpan w:val="2"/>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4536" w:type="dxa"/>
            <w:gridSpan w:val="6"/>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3261" w:type="dxa"/>
            <w:gridSpan w:val="2"/>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r>
    </w:tbl>
    <w:p>
      <w:pPr>
        <w:spacing w:before="240"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注：</w:t>
      </w:r>
    </w:p>
    <w:p>
      <w:pP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1、需随此表附上团队成员的身份证、毕业证、专业资质证书、同类项目实施经验证明等材料。</w:t>
      </w:r>
    </w:p>
    <w:p>
      <w:pP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2、“先附简历、再附材料”为一个人员的完整材料，人员简历排放顺序需与人员汇总表一致。</w:t>
      </w:r>
    </w:p>
    <w:p>
      <w:pPr>
        <w:spacing w:line="360" w:lineRule="auto"/>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bookmarkStart w:id="210" w:name="_Toc11543"/>
      <w:bookmarkStart w:id="211" w:name="_Toc32558"/>
      <w:bookmarkStart w:id="212" w:name="_Toc20365"/>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pPr>
        <w:pStyle w:val="5"/>
        <w:spacing w:before="0" w:after="0" w:line="360" w:lineRule="auto"/>
        <w:rPr>
          <w:rFonts w:hint="eastAsia" w:ascii="仿宋" w:hAnsi="仿宋" w:eastAsia="仿宋" w:cs="仿宋"/>
          <w:color w:val="auto"/>
          <w:sz w:val="24"/>
          <w:szCs w:val="24"/>
          <w:highlight w:val="none"/>
          <w:lang w:val="en-US" w:eastAsia="zh-CN"/>
        </w:rPr>
      </w:pPr>
      <w:bookmarkStart w:id="213" w:name="_Toc26624"/>
      <w:r>
        <w:rPr>
          <w:rFonts w:hint="eastAsia" w:ascii="仿宋" w:hAnsi="仿宋" w:eastAsia="仿宋" w:cs="仿宋"/>
          <w:color w:val="auto"/>
          <w:sz w:val="24"/>
          <w:szCs w:val="24"/>
          <w:highlight w:val="none"/>
          <w:lang w:val="en-US" w:eastAsia="zh-CN"/>
        </w:rPr>
        <w:t>（六）增值服务</w:t>
      </w:r>
      <w:bookmarkEnd w:id="210"/>
      <w:bookmarkEnd w:id="213"/>
    </w:p>
    <w:bookmarkEnd w:id="211"/>
    <w:p>
      <w:pPr>
        <w:spacing w:line="360" w:lineRule="auto"/>
        <w:ind w:firstLine="480" w:firstLineChars="200"/>
        <w:rPr>
          <w:rFonts w:hint="eastAsia" w:ascii="仿宋" w:hAnsi="仿宋" w:eastAsia="仿宋" w:cs="仿宋"/>
          <w:color w:val="auto"/>
          <w:sz w:val="24"/>
          <w:szCs w:val="24"/>
          <w:highlight w:val="none"/>
        </w:rPr>
      </w:pPr>
      <w:bookmarkStart w:id="214" w:name="_Toc3636"/>
      <w:bookmarkStart w:id="215" w:name="_Toc23178"/>
      <w:r>
        <w:rPr>
          <w:rFonts w:hint="eastAsia" w:ascii="仿宋" w:hAnsi="仿宋" w:eastAsia="仿宋" w:cs="仿宋"/>
          <w:color w:val="auto"/>
          <w:sz w:val="24"/>
          <w:szCs w:val="24"/>
          <w:highlight w:val="none"/>
        </w:rPr>
        <w:t>供应商需根据详细评审要求，自行提供相关材料。</w:t>
      </w:r>
      <w:bookmarkEnd w:id="214"/>
      <w:bookmarkEnd w:id="215"/>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bookmarkEnd w:id="201"/>
    <w:bookmarkEnd w:id="202"/>
    <w:p>
      <w:pPr>
        <w:pStyle w:val="5"/>
        <w:numPr>
          <w:ilvl w:val="0"/>
          <w:numId w:val="0"/>
        </w:numPr>
        <w:spacing w:before="0" w:after="0" w:line="360" w:lineRule="auto"/>
        <w:rPr>
          <w:rFonts w:hint="eastAsia" w:ascii="仿宋" w:hAnsi="仿宋" w:eastAsia="仿宋" w:cs="仿宋"/>
          <w:color w:val="auto"/>
          <w:sz w:val="24"/>
          <w:szCs w:val="24"/>
          <w:highlight w:val="none"/>
        </w:rPr>
      </w:pPr>
      <w:bookmarkStart w:id="216" w:name="_Toc10795"/>
      <w:r>
        <w:rPr>
          <w:rFonts w:hint="eastAsia" w:ascii="仿宋" w:hAnsi="仿宋" w:eastAsia="仿宋" w:cs="仿宋"/>
          <w:b/>
          <w:bCs/>
          <w:color w:val="auto"/>
          <w:sz w:val="24"/>
          <w:szCs w:val="24"/>
          <w:highlight w:val="none"/>
          <w:lang w:val="en-US" w:eastAsia="zh-CN" w:bidi="ar-SA"/>
        </w:rPr>
        <w:t>（七）</w:t>
      </w:r>
      <w:r>
        <w:rPr>
          <w:rFonts w:hint="eastAsia" w:ascii="仿宋" w:hAnsi="仿宋" w:eastAsia="仿宋" w:cs="仿宋"/>
          <w:color w:val="auto"/>
          <w:sz w:val="24"/>
          <w:szCs w:val="24"/>
          <w:highlight w:val="none"/>
        </w:rPr>
        <w:t>其他材料</w:t>
      </w:r>
      <w:bookmarkEnd w:id="212"/>
      <w:bookmarkEnd w:id="216"/>
      <w:r>
        <w:rPr>
          <w:rFonts w:hint="eastAsia" w:ascii="仿宋" w:hAnsi="仿宋" w:eastAsia="仿宋" w:cs="仿宋"/>
          <w:color w:val="auto"/>
          <w:sz w:val="24"/>
          <w:szCs w:val="24"/>
          <w:highlight w:val="none"/>
        </w:rPr>
        <w:t>（如有）</w:t>
      </w:r>
    </w:p>
    <w:p>
      <w:pPr>
        <w:numPr>
          <w:ilvl w:val="0"/>
          <w:numId w:val="0"/>
        </w:numPr>
        <w:spacing w:before="0" w:after="0"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供应商认为需提供的其他材料</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color w:val="auto"/>
          <w:sz w:val="24"/>
          <w:szCs w:val="24"/>
          <w:highlight w:val="none"/>
        </w:rPr>
        <w:br w:type="page"/>
      </w:r>
      <w:bookmarkStart w:id="217" w:name="_Toc20443"/>
    </w:p>
    <w:p>
      <w:pPr>
        <w:numPr>
          <w:ilvl w:val="0"/>
          <w:numId w:val="0"/>
        </w:numPr>
        <w:spacing w:before="0" w:after="0" w:line="360" w:lineRule="auto"/>
        <w:outlineLvl w:val="1"/>
        <w:rPr>
          <w:rFonts w:hint="eastAsia" w:ascii="仿宋" w:hAnsi="仿宋" w:eastAsia="仿宋" w:cs="仿宋"/>
          <w:color w:val="auto"/>
          <w:sz w:val="24"/>
          <w:szCs w:val="24"/>
          <w:highlight w:val="none"/>
        </w:rPr>
      </w:pPr>
      <w:bookmarkStart w:id="218" w:name="_Toc586"/>
      <w:r>
        <w:rPr>
          <w:rFonts w:hint="eastAsia" w:ascii="仿宋" w:hAnsi="仿宋" w:eastAsia="仿宋" w:cs="仿宋"/>
          <w:b/>
          <w:bCs/>
          <w:iCs/>
          <w:color w:val="auto"/>
          <w:sz w:val="24"/>
          <w:szCs w:val="24"/>
          <w:highlight w:val="none"/>
          <w:lang w:val="en-US" w:eastAsia="zh-CN" w:bidi="ar-SA"/>
        </w:rPr>
        <w:t>三、报价文件</w:t>
      </w:r>
      <w:bookmarkEnd w:id="217"/>
      <w:bookmarkEnd w:id="218"/>
    </w:p>
    <w:p>
      <w:pPr>
        <w:pStyle w:val="5"/>
        <w:spacing w:before="0" w:after="0" w:line="360" w:lineRule="auto"/>
        <w:ind w:firstLine="482"/>
        <w:jc w:val="center"/>
        <w:rPr>
          <w:rFonts w:hint="eastAsia" w:ascii="仿宋" w:hAnsi="仿宋" w:eastAsia="仿宋" w:cs="仿宋"/>
          <w:color w:val="auto"/>
          <w:sz w:val="24"/>
          <w:szCs w:val="24"/>
          <w:highlight w:val="none"/>
        </w:rPr>
      </w:pPr>
      <w:bookmarkStart w:id="219" w:name="_Toc511726864"/>
      <w:bookmarkStart w:id="220" w:name="_Toc18942"/>
      <w:bookmarkStart w:id="221" w:name="_Toc26427"/>
      <w:r>
        <w:rPr>
          <w:rFonts w:hint="eastAsia" w:ascii="仿宋" w:hAnsi="仿宋" w:eastAsia="仿宋" w:cs="仿宋"/>
          <w:color w:val="auto"/>
          <w:sz w:val="24"/>
          <w:szCs w:val="24"/>
          <w:highlight w:val="none"/>
        </w:rPr>
        <w:t>（一）报价</w:t>
      </w:r>
      <w:bookmarkEnd w:id="219"/>
      <w:r>
        <w:rPr>
          <w:rFonts w:hint="eastAsia" w:ascii="仿宋" w:hAnsi="仿宋" w:eastAsia="仿宋" w:cs="仿宋"/>
          <w:color w:val="auto"/>
          <w:sz w:val="24"/>
          <w:szCs w:val="24"/>
          <w:highlight w:val="none"/>
        </w:rPr>
        <w:t>一览表</w:t>
      </w:r>
      <w:bookmarkEnd w:id="220"/>
      <w:bookmarkEnd w:id="221"/>
    </w:p>
    <w:p>
      <w:pPr>
        <w:pStyle w:val="11"/>
        <w:spacing w:line="360" w:lineRule="auto"/>
        <w:ind w:hanging="14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u w:val="single"/>
          <w:lang w:val="en-US" w:eastAsia="zh-CN"/>
        </w:rPr>
        <w:t>人保财险四川省成都市都江堰支公司“全民保障，人保同行”小区宣传服务采购项目</w:t>
      </w:r>
      <w:r>
        <w:rPr>
          <w:rFonts w:hint="eastAsia" w:ascii="仿宋" w:hAnsi="仿宋" w:eastAsia="仿宋" w:cs="仿宋"/>
          <w:color w:val="auto"/>
          <w:sz w:val="24"/>
          <w:szCs w:val="24"/>
          <w:highlight w:val="none"/>
        </w:rPr>
        <w:t xml:space="preserve">  </w:t>
      </w:r>
    </w:p>
    <w:p>
      <w:pPr>
        <w:pStyle w:val="11"/>
        <w:spacing w:line="360" w:lineRule="auto"/>
        <w:ind w:hanging="142"/>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货币单位：</w:t>
      </w:r>
      <w:r>
        <w:rPr>
          <w:rFonts w:hint="eastAsia" w:ascii="仿宋" w:hAnsi="仿宋" w:eastAsia="仿宋" w:cs="仿宋"/>
          <w:color w:val="auto"/>
          <w:sz w:val="24"/>
          <w:szCs w:val="24"/>
          <w:highlight w:val="none"/>
          <w:u w:val="single"/>
        </w:rPr>
        <w:t xml:space="preserve"> 人民币元    </w:t>
      </w:r>
    </w:p>
    <w:tbl>
      <w:tblPr>
        <w:tblStyle w:val="30"/>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4"/>
        <w:gridCol w:w="3017"/>
        <w:gridCol w:w="1545"/>
        <w:gridCol w:w="203"/>
        <w:gridCol w:w="1545"/>
        <w:gridCol w:w="1748"/>
        <w:gridCol w:w="13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blHeader/>
          <w:jc w:val="center"/>
        </w:trPr>
        <w:tc>
          <w:tcPr>
            <w:tcW w:w="314" w:type="dxa"/>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t>序号</w:t>
            </w:r>
          </w:p>
        </w:tc>
        <w:tc>
          <w:tcPr>
            <w:tcW w:w="3017" w:type="dxa"/>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t>报价内容</w:t>
            </w:r>
          </w:p>
        </w:tc>
        <w:tc>
          <w:tcPr>
            <w:tcW w:w="1545" w:type="dxa"/>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b/>
                <w:color w:val="auto"/>
                <w:sz w:val="24"/>
                <w:szCs w:val="21"/>
                <w:highlight w:val="none"/>
                <w:lang w:val="en-US" w:eastAsia="zh-CN"/>
              </w:rPr>
            </w:pPr>
            <w:r>
              <w:rPr>
                <w:rFonts w:hint="eastAsia" w:ascii="仿宋" w:hAnsi="仿宋" w:eastAsia="仿宋" w:cs="仿宋"/>
                <w:b/>
                <w:color w:val="auto"/>
                <w:sz w:val="24"/>
                <w:szCs w:val="21"/>
                <w:highlight w:val="none"/>
                <w:lang w:val="en-US" w:eastAsia="zh-CN"/>
              </w:rPr>
              <w:t>小区数量</w:t>
            </w:r>
          </w:p>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b/>
                <w:color w:val="auto"/>
                <w:sz w:val="24"/>
                <w:szCs w:val="21"/>
                <w:highlight w:val="none"/>
                <w:lang w:val="en-US" w:eastAsia="zh-CN"/>
              </w:rPr>
            </w:pPr>
            <w:r>
              <w:rPr>
                <w:rFonts w:hint="eastAsia" w:ascii="仿宋" w:hAnsi="仿宋" w:eastAsia="仿宋" w:cs="仿宋"/>
                <w:b/>
                <w:color w:val="auto"/>
                <w:sz w:val="24"/>
                <w:szCs w:val="21"/>
                <w:highlight w:val="none"/>
                <w:lang w:val="en-US" w:eastAsia="zh-CN"/>
              </w:rPr>
              <w:t>（个）</w:t>
            </w:r>
          </w:p>
        </w:tc>
        <w:tc>
          <w:tcPr>
            <w:tcW w:w="1748" w:type="dxa"/>
            <w:gridSpan w:val="2"/>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default" w:ascii="仿宋" w:hAnsi="仿宋" w:eastAsia="仿宋" w:cs="仿宋"/>
                <w:b/>
                <w:color w:val="auto"/>
                <w:szCs w:val="21"/>
                <w:highlight w:val="none"/>
              </w:rPr>
            </w:pPr>
            <w:r>
              <w:rPr>
                <w:rFonts w:hint="eastAsia" w:ascii="仿宋" w:hAnsi="仿宋" w:eastAsia="仿宋" w:cs="仿宋"/>
                <w:b/>
                <w:color w:val="auto"/>
                <w:szCs w:val="21"/>
                <w:highlight w:val="none"/>
              </w:rPr>
              <w:t>含税单价</w:t>
            </w:r>
          </w:p>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b/>
                <w:color w:val="auto"/>
                <w:sz w:val="24"/>
                <w:szCs w:val="21"/>
                <w:highlight w:val="none"/>
                <w:lang w:val="en-US" w:eastAsia="zh-CN"/>
              </w:rPr>
            </w:pPr>
            <w:r>
              <w:rPr>
                <w:rFonts w:hint="eastAsia" w:ascii="仿宋" w:hAnsi="仿宋" w:eastAsia="仿宋" w:cs="仿宋"/>
                <w:b/>
                <w:color w:val="auto"/>
                <w:szCs w:val="21"/>
                <w:highlight w:val="none"/>
              </w:rPr>
              <w:t>（元/</w:t>
            </w:r>
            <w:r>
              <w:rPr>
                <w:rFonts w:hint="eastAsia" w:ascii="仿宋" w:hAnsi="仿宋" w:eastAsia="仿宋" w:cs="仿宋"/>
                <w:b/>
                <w:color w:val="auto"/>
                <w:szCs w:val="21"/>
                <w:highlight w:val="none"/>
                <w:lang w:val="en-US" w:eastAsia="zh-CN"/>
              </w:rPr>
              <w:t>个小区</w:t>
            </w:r>
            <w:r>
              <w:rPr>
                <w:rFonts w:hint="eastAsia" w:ascii="仿宋" w:hAnsi="仿宋" w:eastAsia="仿宋" w:cs="仿宋"/>
                <w:b/>
                <w:color w:val="auto"/>
                <w:szCs w:val="21"/>
                <w:highlight w:val="none"/>
              </w:rPr>
              <w:t>）</w:t>
            </w:r>
          </w:p>
        </w:tc>
        <w:tc>
          <w:tcPr>
            <w:tcW w:w="1748" w:type="dxa"/>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b/>
                <w:color w:val="auto"/>
                <w:sz w:val="24"/>
                <w:szCs w:val="21"/>
                <w:highlight w:val="none"/>
                <w:lang w:val="en-US" w:eastAsia="zh-CN"/>
              </w:rPr>
            </w:pPr>
            <w:r>
              <w:rPr>
                <w:rFonts w:hint="eastAsia" w:ascii="仿宋" w:hAnsi="仿宋" w:eastAsia="仿宋" w:cs="仿宋"/>
                <w:b/>
                <w:color w:val="auto"/>
                <w:sz w:val="24"/>
                <w:szCs w:val="21"/>
                <w:highlight w:val="none"/>
                <w:lang w:val="en-US" w:eastAsia="zh-CN"/>
              </w:rPr>
              <w:t>不含税总价</w:t>
            </w:r>
          </w:p>
          <w:p>
            <w:pPr>
              <w:keepNext w:val="0"/>
              <w:keepLines w:val="0"/>
              <w:widowControl/>
              <w:suppressLineNumbers w:val="0"/>
              <w:snapToGrid w:val="0"/>
              <w:spacing w:before="0" w:beforeAutospacing="0" w:after="0" w:afterAutospacing="0"/>
              <w:ind w:left="0" w:leftChars="0" w:right="0" w:rightChars="0" w:firstLine="0" w:firstLineChars="0"/>
              <w:jc w:val="center"/>
              <w:rPr>
                <w:rFonts w:hint="default" w:ascii="仿宋" w:hAnsi="仿宋" w:eastAsia="仿宋" w:cs="仿宋"/>
                <w:b/>
                <w:color w:val="auto"/>
                <w:sz w:val="24"/>
                <w:szCs w:val="21"/>
                <w:highlight w:val="none"/>
                <w:lang w:val="en-US" w:eastAsia="zh-CN"/>
              </w:rPr>
            </w:pPr>
            <w:r>
              <w:rPr>
                <w:rFonts w:hint="eastAsia" w:ascii="仿宋" w:hAnsi="仿宋" w:eastAsia="仿宋" w:cs="仿宋"/>
                <w:b/>
                <w:color w:val="auto"/>
                <w:sz w:val="24"/>
                <w:szCs w:val="21"/>
                <w:highlight w:val="none"/>
                <w:lang w:val="en-US" w:eastAsia="zh-CN"/>
              </w:rPr>
              <w:t>（元）</w:t>
            </w:r>
          </w:p>
        </w:tc>
        <w:tc>
          <w:tcPr>
            <w:tcW w:w="1306" w:type="dxa"/>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t>含税</w:t>
            </w:r>
            <w:r>
              <w:rPr>
                <w:rFonts w:hint="eastAsia" w:ascii="仿宋" w:hAnsi="仿宋" w:eastAsia="仿宋" w:cs="仿宋"/>
                <w:b/>
                <w:bCs/>
                <w:color w:val="auto"/>
                <w:sz w:val="24"/>
                <w:szCs w:val="21"/>
                <w:highlight w:val="none"/>
                <w:lang w:val="en-US" w:eastAsia="zh-CN"/>
              </w:rPr>
              <w:t>总价</w:t>
            </w:r>
          </w:p>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b/>
                <w:bCs/>
                <w:color w:val="auto"/>
                <w:sz w:val="24"/>
                <w:szCs w:val="21"/>
                <w:highlight w:val="none"/>
              </w:rPr>
            </w:pPr>
            <w:r>
              <w:rPr>
                <w:rFonts w:hint="eastAsia" w:ascii="仿宋" w:hAnsi="仿宋" w:eastAsia="仿宋" w:cs="仿宋"/>
                <w:b/>
                <w:color w:val="auto"/>
                <w:sz w:val="24"/>
                <w:szCs w:val="21"/>
                <w:highlight w:val="none"/>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6" w:hRule="atLeast"/>
          <w:jc w:val="center"/>
        </w:trPr>
        <w:tc>
          <w:tcPr>
            <w:tcW w:w="314" w:type="dxa"/>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w:t>
            </w:r>
          </w:p>
        </w:tc>
        <w:tc>
          <w:tcPr>
            <w:tcW w:w="3017" w:type="dxa"/>
            <w:vAlign w:val="center"/>
          </w:tcPr>
          <w:p>
            <w:pPr>
              <w:keepNext w:val="0"/>
              <w:keepLines w:val="0"/>
              <w:widowControl/>
              <w:suppressLineNumbers w:val="0"/>
              <w:snapToGrid w:val="0"/>
              <w:spacing w:before="0" w:beforeAutospacing="0" w:after="0" w:afterAutospacing="0"/>
              <w:ind w:left="0" w:leftChars="0" w:right="0" w:rightChars="0" w:firstLine="0" w:firstLineChars="0"/>
              <w:jc w:val="lef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eastAsia="zh-CN"/>
              </w:rPr>
              <w:t>人保财险四川省成都市都江堰支公司“全民保障，人保同行”小区宣传服务采购项目</w:t>
            </w:r>
          </w:p>
        </w:tc>
        <w:tc>
          <w:tcPr>
            <w:tcW w:w="1545" w:type="dxa"/>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6</w:t>
            </w:r>
          </w:p>
        </w:tc>
        <w:tc>
          <w:tcPr>
            <w:tcW w:w="1748" w:type="dxa"/>
            <w:gridSpan w:val="2"/>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color w:val="auto"/>
                <w:szCs w:val="21"/>
                <w:highlight w:val="none"/>
              </w:rPr>
            </w:pPr>
          </w:p>
        </w:tc>
        <w:tc>
          <w:tcPr>
            <w:tcW w:w="1748" w:type="dxa"/>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color w:val="auto"/>
                <w:szCs w:val="21"/>
                <w:highlight w:val="none"/>
              </w:rPr>
            </w:pPr>
          </w:p>
        </w:tc>
        <w:tc>
          <w:tcPr>
            <w:tcW w:w="1306" w:type="dxa"/>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5079" w:type="dxa"/>
            <w:gridSpan w:val="4"/>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增值税发票类型</w:t>
            </w:r>
          </w:p>
        </w:tc>
        <w:tc>
          <w:tcPr>
            <w:tcW w:w="4599" w:type="dxa"/>
            <w:gridSpan w:val="3"/>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color w:val="auto"/>
                <w:szCs w:val="21"/>
                <w:highlight w:val="none"/>
              </w:rPr>
            </w:pPr>
            <w:r>
              <w:rPr>
                <w:rFonts w:hint="eastAsia" w:ascii="仿宋" w:hAnsi="仿宋" w:eastAsia="仿宋" w:cs="仿宋"/>
                <w:b/>
                <w:bCs/>
                <w:color w:val="auto"/>
                <w:szCs w:val="21"/>
                <w:highlight w:val="none"/>
                <w:lang w:val="en-US" w:eastAsia="zh-CN"/>
              </w:rPr>
              <w:t>□增值税专用发票  □增值税普通发票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5079" w:type="dxa"/>
            <w:gridSpan w:val="4"/>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增值税税率</w:t>
            </w:r>
          </w:p>
        </w:tc>
        <w:tc>
          <w:tcPr>
            <w:tcW w:w="4599" w:type="dxa"/>
            <w:gridSpan w:val="3"/>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default" w:ascii="仿宋" w:hAnsi="仿宋" w:eastAsia="仿宋" w:cs="仿宋"/>
                <w:color w:val="auto"/>
                <w:szCs w:val="21"/>
                <w:highlight w:val="none"/>
                <w:lang w:val="en-US" w:eastAsia="zh-CN"/>
              </w:rPr>
            </w:pPr>
            <w:r>
              <w:rPr>
                <w:rFonts w:hint="eastAsia" w:ascii="仿宋" w:hAnsi="仿宋" w:eastAsia="仿宋" w:cs="仿宋"/>
                <w:b/>
                <w:bCs/>
                <w:color w:val="auto"/>
                <w:szCs w:val="21"/>
                <w:highlight w:val="none"/>
                <w:lang w:val="en-US" w:eastAsia="zh-CN"/>
              </w:rPr>
              <w:t>XX%</w:t>
            </w:r>
          </w:p>
        </w:tc>
      </w:tr>
    </w:tbl>
    <w:p>
      <w:pPr>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t>备注：</w:t>
      </w:r>
    </w:p>
    <w:p>
      <w:pPr>
        <w:spacing w:line="360" w:lineRule="auto"/>
        <w:jc w:val="both"/>
        <w:rPr>
          <w:rFonts w:hint="eastAsia" w:ascii="仿宋" w:hAnsi="仿宋" w:eastAsia="仿宋" w:cs="仿宋"/>
          <w:bCs/>
          <w:color w:val="auto"/>
          <w:highlight w:val="none"/>
        </w:rPr>
      </w:pPr>
      <w:r>
        <w:rPr>
          <w:rFonts w:hint="eastAsia" w:ascii="仿宋" w:hAnsi="仿宋" w:eastAsia="仿宋" w:cs="仿宋"/>
          <w:bCs/>
          <w:color w:val="auto"/>
          <w:highlight w:val="none"/>
        </w:rPr>
        <w:t>1.本次报价精确到小数点后两位（四舍五入）。</w:t>
      </w:r>
    </w:p>
    <w:p>
      <w:pPr>
        <w:pStyle w:val="53"/>
        <w:spacing w:line="360" w:lineRule="auto"/>
        <w:ind w:firstLine="0" w:firstLineChars="0"/>
        <w:jc w:val="both"/>
        <w:rPr>
          <w:rFonts w:hint="eastAsia" w:ascii="仿宋" w:hAnsi="仿宋" w:eastAsia="仿宋" w:cs="仿宋"/>
          <w:bCs/>
          <w:color w:val="auto"/>
          <w:highlight w:val="none"/>
        </w:rPr>
      </w:pPr>
      <w:r>
        <w:rPr>
          <w:rFonts w:hint="eastAsia" w:ascii="仿宋" w:hAnsi="仿宋" w:eastAsia="仿宋" w:cs="仿宋"/>
          <w:bCs/>
          <w:color w:val="auto"/>
          <w:highlight w:val="none"/>
        </w:rPr>
        <w:t>2.含税价=不含税价*(1+税率)，若报价与此公式不符，增值税专用发票以不含税价为准进行修正，增值税普通发票以含税价进行修正。</w:t>
      </w:r>
    </w:p>
    <w:p>
      <w:pPr>
        <w:pStyle w:val="53"/>
        <w:spacing w:line="360" w:lineRule="auto"/>
        <w:ind w:firstLine="0" w:firstLineChars="0"/>
        <w:jc w:val="both"/>
        <w:rPr>
          <w:rFonts w:hint="default" w:ascii="仿宋" w:hAnsi="仿宋" w:eastAsia="仿宋" w:cs="仿宋"/>
          <w:bCs/>
          <w:color w:val="auto"/>
          <w:highlight w:val="none"/>
          <w:lang w:val="en-US" w:eastAsia="zh-CN"/>
        </w:rPr>
      </w:pPr>
      <w:r>
        <w:rPr>
          <w:rFonts w:hint="eastAsia" w:ascii="仿宋" w:hAnsi="仿宋" w:eastAsia="仿宋" w:cs="仿宋"/>
          <w:bCs/>
          <w:color w:val="auto"/>
          <w:highlight w:val="none"/>
          <w:lang w:val="en-US" w:eastAsia="zh-CN"/>
        </w:rPr>
        <w:t>3.不含税总价=不含税单价*数量；含税总价=含税单价*数量。</w:t>
      </w:r>
    </w:p>
    <w:p>
      <w:pPr>
        <w:pStyle w:val="53"/>
        <w:spacing w:line="360" w:lineRule="auto"/>
        <w:ind w:firstLine="0" w:firstLineChars="0"/>
        <w:jc w:val="both"/>
        <w:rPr>
          <w:rFonts w:hint="eastAsia" w:ascii="仿宋" w:hAnsi="仿宋" w:eastAsia="仿宋" w:cs="仿宋"/>
          <w:bCs/>
          <w:color w:val="auto"/>
          <w:highlight w:val="none"/>
        </w:rPr>
      </w:pPr>
      <w:r>
        <w:rPr>
          <w:rFonts w:hint="eastAsia" w:ascii="仿宋" w:hAnsi="仿宋" w:eastAsia="仿宋" w:cs="仿宋"/>
          <w:bCs/>
          <w:color w:val="auto"/>
          <w:highlight w:val="none"/>
        </w:rPr>
        <w:t>3.后续如因国家税率调整，专票以不含税价不变进行调整，普票以含税价不变进行调整。</w:t>
      </w:r>
    </w:p>
    <w:p>
      <w:pPr>
        <w:spacing w:line="360" w:lineRule="auto"/>
        <w:rPr>
          <w:rFonts w:hint="eastAsia" w:ascii="仿宋" w:hAnsi="仿宋" w:eastAsia="仿宋" w:cs="仿宋"/>
          <w:color w:val="auto"/>
          <w:highlight w:val="none"/>
        </w:rPr>
      </w:pPr>
    </w:p>
    <w:p>
      <w:pPr>
        <w:widowControl w:val="0"/>
        <w:numPr>
          <w:ilvl w:val="0"/>
          <w:numId w:val="1"/>
        </w:numPr>
        <w:spacing w:line="440" w:lineRule="exact"/>
        <w:jc w:val="right"/>
        <w:rPr>
          <w:rFonts w:hint="eastAsia" w:ascii="仿宋" w:hAnsi="仿宋" w:eastAsia="仿宋" w:cs="仿宋"/>
          <w:color w:val="auto"/>
          <w:highlight w:val="none"/>
        </w:rPr>
      </w:pPr>
      <w:bookmarkStart w:id="222" w:name="_Toc517281864"/>
      <w:bookmarkStart w:id="223" w:name="_Toc518302646"/>
      <w:bookmarkStart w:id="224" w:name="_Toc2267055"/>
      <w:bookmarkStart w:id="225" w:name="_Toc16591840"/>
      <w:bookmarkStart w:id="226" w:name="_Toc482180015"/>
      <w:bookmarkStart w:id="227" w:name="_Toc530319762"/>
    </w:p>
    <w:p>
      <w:pPr>
        <w:widowControl w:val="0"/>
        <w:numPr>
          <w:ilvl w:val="0"/>
          <w:numId w:val="1"/>
        </w:numPr>
        <w:spacing w:line="440" w:lineRule="exact"/>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widowControl w:val="0"/>
        <w:numPr>
          <w:ilvl w:val="0"/>
          <w:numId w:val="1"/>
        </w:numPr>
        <w:spacing w:line="440" w:lineRule="exact"/>
        <w:jc w:val="right"/>
        <w:rPr>
          <w:rFonts w:hint="eastAsia" w:ascii="仿宋" w:hAnsi="仿宋" w:eastAsia="仿宋" w:cs="仿宋"/>
          <w:color w:val="auto"/>
          <w:highlight w:val="none"/>
        </w:rPr>
      </w:pPr>
      <w:r>
        <w:rPr>
          <w:rFonts w:hint="eastAsia" w:ascii="仿宋" w:hAnsi="仿宋" w:eastAsia="仿宋" w:cs="仿宋"/>
          <w:color w:val="auto"/>
          <w:highlight w:val="none"/>
        </w:rPr>
        <w:t>法定代表人或其授权代理人：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（签字）</w:t>
      </w:r>
    </w:p>
    <w:p>
      <w:pPr>
        <w:keepNext w:val="0"/>
        <w:keepLines w:val="0"/>
        <w:pageBreakBefore w:val="0"/>
        <w:widowControl w:val="0"/>
        <w:tabs>
          <w:tab w:val="left" w:pos="4265"/>
        </w:tabs>
        <w:kinsoku/>
        <w:wordWrap/>
        <w:overflowPunct/>
        <w:topLinePunct w:val="0"/>
        <w:autoSpaceDE/>
        <w:autoSpaceDN/>
        <w:bidi w:val="0"/>
        <w:adjustRightInd/>
        <w:snapToGrid/>
        <w:spacing w:before="0" w:after="0" w:line="560" w:lineRule="exact"/>
        <w:ind w:left="0" w:hanging="362" w:hangingChars="151"/>
        <w:jc w:val="righ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日期：</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年</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月</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日</w:t>
      </w:r>
      <w:bookmarkEnd w:id="131"/>
      <w:bookmarkEnd w:id="222"/>
      <w:bookmarkEnd w:id="223"/>
      <w:bookmarkEnd w:id="224"/>
      <w:bookmarkEnd w:id="225"/>
      <w:bookmarkEnd w:id="226"/>
      <w:bookmarkEnd w:id="227"/>
    </w:p>
    <w:p>
      <w:pPr>
        <w:pStyle w:val="5"/>
        <w:spacing w:before="0" w:after="0" w:line="360" w:lineRule="auto"/>
        <w:ind w:firstLine="482"/>
        <w:jc w:val="center"/>
        <w:rPr>
          <w:rFonts w:hint="eastAsia" w:ascii="仿宋" w:hAnsi="仿宋" w:eastAsia="仿宋" w:cs="仿宋"/>
          <w:color w:val="auto"/>
          <w:sz w:val="24"/>
          <w:szCs w:val="24"/>
          <w:highlight w:val="none"/>
        </w:rPr>
      </w:pPr>
      <w:bookmarkStart w:id="228" w:name="_Toc21084"/>
    </w:p>
    <w:p>
      <w:pPr>
        <w:pStyle w:val="5"/>
        <w:spacing w:before="0" w:after="0" w:line="360" w:lineRule="auto"/>
        <w:ind w:firstLine="482"/>
        <w:jc w:val="center"/>
        <w:rPr>
          <w:rFonts w:hint="eastAsia" w:ascii="仿宋" w:hAnsi="仿宋" w:eastAsia="仿宋" w:cs="仿宋"/>
          <w:color w:val="auto"/>
          <w:sz w:val="24"/>
          <w:szCs w:val="24"/>
          <w:highlight w:val="none"/>
        </w:rPr>
      </w:pPr>
    </w:p>
    <w:p>
      <w:pPr>
        <w:pStyle w:val="5"/>
        <w:spacing w:before="0" w:after="0" w:line="360" w:lineRule="auto"/>
        <w:jc w:val="both"/>
        <w:rPr>
          <w:rFonts w:hint="eastAsia" w:ascii="仿宋" w:hAnsi="仿宋" w:eastAsia="仿宋" w:cs="仿宋"/>
          <w:color w:val="auto"/>
          <w:sz w:val="24"/>
          <w:szCs w:val="24"/>
          <w:highlight w:val="none"/>
        </w:rPr>
      </w:pPr>
    </w:p>
    <w:bookmarkEnd w:id="228"/>
    <w:p>
      <w:pPr>
        <w:rPr>
          <w:rFonts w:hint="eastAsia" w:ascii="仿宋" w:hAnsi="仿宋" w:eastAsia="仿宋" w:cs="仿宋"/>
          <w:b w:val="0"/>
          <w:bCs w:val="0"/>
          <w:color w:val="auto"/>
          <w:sz w:val="24"/>
          <w:szCs w:val="24"/>
          <w:highlight w:val="none"/>
        </w:rPr>
      </w:pPr>
    </w:p>
    <w:sectPr>
      <w:headerReference r:id="rId9" w:type="default"/>
      <w:footerReference r:id="rId10" w:type="default"/>
      <w:pgSz w:w="11906" w:h="16838"/>
      <w:pgMar w:top="1417" w:right="1417" w:bottom="1417" w:left="1417" w:header="850" w:footer="992" w:gutter="0"/>
      <w:pgNumType w:fmt="decimal"/>
      <w:cols w:space="0" w:num="1"/>
      <w:rtlGutter w:val="0"/>
      <w:docGrid w:type="lines" w:linePitch="33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0002A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楷体">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9"/>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9"/>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rPr>
        <w:u w:val="none"/>
      </w:rPr>
    </w:pPr>
    <w:r>
      <w:rPr>
        <w:rFonts w:hint="eastAsia" w:ascii="仿宋" w:hAnsi="仿宋" w:eastAsia="仿宋" w:cs="仿宋"/>
        <w:color w:val="auto"/>
        <w:u w:val="none"/>
        <w:lang w:eastAsia="zh-CN"/>
      </w:rPr>
      <w:t>人保财险四川省成都市都江堰支公司“全民保障，人保同行”小区宣传服务采购项目</w:t>
    </w:r>
    <w:r>
      <w:rPr>
        <w:rFonts w:hint="eastAsia" w:ascii="仿宋" w:hAnsi="仿宋" w:eastAsia="仿宋" w:cs="仿宋"/>
        <w:u w:val="none"/>
      </w:rPr>
      <w:t>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rPr>
        <w:rFonts w:hint="eastAsia" w:ascii="仿宋" w:hAnsi="仿宋" w:eastAsia="仿宋" w:cs="仿宋"/>
        <w:color w:val="auto"/>
        <w:highlight w:val="none"/>
        <w:u w:val="none"/>
        <w:lang w:eastAsia="zh-CN"/>
      </w:rPr>
    </w:pPr>
    <w:r>
      <w:rPr>
        <w:rFonts w:hint="eastAsia" w:ascii="仿宋" w:hAnsi="仿宋" w:eastAsia="仿宋" w:cs="仿宋"/>
        <w:color w:val="auto"/>
        <w:highlight w:val="none"/>
        <w:u w:val="none"/>
        <w:lang w:eastAsia="zh-CN"/>
      </w:rPr>
      <w:t>人保财险四川省成都市都江堰支公司“全民保障，人保同行”小区宣传服务采购项目</w:t>
    </w:r>
  </w:p>
  <w:p>
    <w:pPr>
      <w:pStyle w:val="20"/>
      <w:rPr>
        <w:rFonts w:hint="eastAsia" w:ascii="仿宋" w:hAnsi="仿宋" w:eastAsia="仿宋" w:cs="仿宋"/>
      </w:rPr>
    </w:pPr>
    <w:r>
      <w:rPr>
        <w:rFonts w:hint="eastAsia" w:ascii="仿宋" w:hAnsi="仿宋" w:eastAsia="仿宋" w:cs="仿宋"/>
        <w:lang w:eastAsia="zh-CN"/>
      </w:rPr>
      <w:t>竞争性</w:t>
    </w:r>
    <w:r>
      <w:rPr>
        <w:rFonts w:hint="eastAsia" w:ascii="仿宋" w:hAnsi="仿宋" w:eastAsia="仿宋" w:cs="仿宋"/>
      </w:rPr>
      <w:t>磋商文件</w:t>
    </w: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E8FE7C"/>
    <w:multiLevelType w:val="singleLevel"/>
    <w:tmpl w:val="A8E8FE7C"/>
    <w:lvl w:ilvl="0" w:tentative="0">
      <w:start w:val="1"/>
      <w:numFmt w:val="decimal"/>
      <w:suff w:val="nothing"/>
      <w:lvlText w:val="（%1）"/>
      <w:lvlJc w:val="left"/>
    </w:lvl>
  </w:abstractNum>
  <w:abstractNum w:abstractNumId="1">
    <w:nsid w:val="B0D18CEA"/>
    <w:multiLevelType w:val="singleLevel"/>
    <w:tmpl w:val="B0D18CEA"/>
    <w:lvl w:ilvl="0" w:tentative="0">
      <w:start w:val="1"/>
      <w:numFmt w:val="decimal"/>
      <w:suff w:val="nothing"/>
      <w:lvlText w:val="%1、"/>
      <w:lvlJc w:val="left"/>
    </w:lvl>
  </w:abstractNum>
  <w:abstractNum w:abstractNumId="2">
    <w:nsid w:val="C57117EC"/>
    <w:multiLevelType w:val="singleLevel"/>
    <w:tmpl w:val="C57117EC"/>
    <w:lvl w:ilvl="0" w:tentative="0">
      <w:start w:val="4"/>
      <w:numFmt w:val="decimal"/>
      <w:suff w:val="space"/>
      <w:lvlText w:val="%1."/>
      <w:lvlJc w:val="left"/>
    </w:lvl>
  </w:abstractNum>
  <w:abstractNum w:abstractNumId="3">
    <w:nsid w:val="CF3DD56A"/>
    <w:multiLevelType w:val="singleLevel"/>
    <w:tmpl w:val="CF3DD56A"/>
    <w:lvl w:ilvl="0" w:tentative="0">
      <w:start w:val="2"/>
      <w:numFmt w:val="decimal"/>
      <w:suff w:val="space"/>
      <w:lvlText w:val="%1."/>
      <w:lvlJc w:val="left"/>
    </w:lvl>
  </w:abstractNum>
  <w:abstractNum w:abstractNumId="4">
    <w:nsid w:val="D591FB42"/>
    <w:multiLevelType w:val="singleLevel"/>
    <w:tmpl w:val="D591FB42"/>
    <w:lvl w:ilvl="0" w:tentative="0">
      <w:start w:val="4"/>
      <w:numFmt w:val="decimal"/>
      <w:suff w:val="space"/>
      <w:lvlText w:val="%1."/>
      <w:lvlJc w:val="left"/>
    </w:lvl>
  </w:abstractNum>
  <w:abstractNum w:abstractNumId="5">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6">
    <w:nsid w:val="15A918CB"/>
    <w:multiLevelType w:val="multilevel"/>
    <w:tmpl w:val="15A918CB"/>
    <w:lvl w:ilvl="0" w:tentative="0">
      <w:start w:val="1"/>
      <w:numFmt w:val="decimal"/>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5D4608AD"/>
    <w:multiLevelType w:val="multilevel"/>
    <w:tmpl w:val="5D4608AD"/>
    <w:lvl w:ilvl="0" w:tentative="0">
      <w:start w:val="1"/>
      <w:numFmt w:val="chineseCountingThousand"/>
      <w:pStyle w:val="55"/>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abstractNum w:abstractNumId="8">
    <w:nsid w:val="7042A4AD"/>
    <w:multiLevelType w:val="singleLevel"/>
    <w:tmpl w:val="7042A4AD"/>
    <w:lvl w:ilvl="0" w:tentative="0">
      <w:start w:val="1"/>
      <w:numFmt w:val="chineseCounting"/>
      <w:suff w:val="space"/>
      <w:lvlText w:val="第%1条"/>
      <w:lvlJc w:val="left"/>
      <w:rPr>
        <w:rFonts w:hint="eastAsia"/>
      </w:rPr>
    </w:lvl>
  </w:abstractNum>
  <w:abstractNum w:abstractNumId="9">
    <w:nsid w:val="73271B62"/>
    <w:multiLevelType w:val="singleLevel"/>
    <w:tmpl w:val="73271B62"/>
    <w:lvl w:ilvl="0" w:tentative="0">
      <w:start w:val="1"/>
      <w:numFmt w:val="chineseCounting"/>
      <w:suff w:val="nothing"/>
      <w:lvlText w:val="（%1）"/>
      <w:lvlJc w:val="left"/>
      <w:rPr>
        <w:rFonts w:hint="eastAsia"/>
      </w:rPr>
    </w:lvl>
  </w:abstractNum>
  <w:num w:numId="1">
    <w:abstractNumId w:val="5"/>
  </w:num>
  <w:num w:numId="2">
    <w:abstractNumId w:val="7"/>
  </w:num>
  <w:num w:numId="3">
    <w:abstractNumId w:val="0"/>
  </w:num>
  <w:num w:numId="4">
    <w:abstractNumId w:val="6"/>
  </w:num>
  <w:num w:numId="5">
    <w:abstractNumId w:val="8"/>
  </w:num>
  <w:num w:numId="6">
    <w:abstractNumId w:val="3"/>
  </w:num>
  <w:num w:numId="7">
    <w:abstractNumId w:val="4"/>
  </w:num>
  <w:num w:numId="8">
    <w:abstractNumId w:val="9"/>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attachedTemplate r:id="rId1"/>
  <w:documentProtection w:enforcement="0"/>
  <w:defaultTabStop w:val="420"/>
  <w:drawingGridHorizontalSpacing w:val="240"/>
  <w:drawingGridVerticalSpacing w:val="167"/>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0B08"/>
    <w:rsid w:val="0003271C"/>
    <w:rsid w:val="00032BC1"/>
    <w:rsid w:val="00036E66"/>
    <w:rsid w:val="00036EC4"/>
    <w:rsid w:val="00037399"/>
    <w:rsid w:val="00037A1C"/>
    <w:rsid w:val="00046575"/>
    <w:rsid w:val="000503A9"/>
    <w:rsid w:val="000514BA"/>
    <w:rsid w:val="00053A41"/>
    <w:rsid w:val="00055B72"/>
    <w:rsid w:val="000612DD"/>
    <w:rsid w:val="000621BC"/>
    <w:rsid w:val="00063CBA"/>
    <w:rsid w:val="000668AF"/>
    <w:rsid w:val="000701FC"/>
    <w:rsid w:val="00070E95"/>
    <w:rsid w:val="00071E6A"/>
    <w:rsid w:val="00074628"/>
    <w:rsid w:val="0007615C"/>
    <w:rsid w:val="00077638"/>
    <w:rsid w:val="000805C8"/>
    <w:rsid w:val="00084636"/>
    <w:rsid w:val="000877E5"/>
    <w:rsid w:val="00087EAE"/>
    <w:rsid w:val="0009102D"/>
    <w:rsid w:val="00091A25"/>
    <w:rsid w:val="000928E9"/>
    <w:rsid w:val="00093909"/>
    <w:rsid w:val="00094D27"/>
    <w:rsid w:val="0009798B"/>
    <w:rsid w:val="000A1566"/>
    <w:rsid w:val="000A3236"/>
    <w:rsid w:val="000B0226"/>
    <w:rsid w:val="000B236A"/>
    <w:rsid w:val="000C066D"/>
    <w:rsid w:val="000C16C0"/>
    <w:rsid w:val="000C5A44"/>
    <w:rsid w:val="000C6058"/>
    <w:rsid w:val="000C7AB0"/>
    <w:rsid w:val="000C7E52"/>
    <w:rsid w:val="000D4DCA"/>
    <w:rsid w:val="000D718B"/>
    <w:rsid w:val="000E01B4"/>
    <w:rsid w:val="000E13CF"/>
    <w:rsid w:val="000E4913"/>
    <w:rsid w:val="000F08D0"/>
    <w:rsid w:val="000F0B6C"/>
    <w:rsid w:val="000F197A"/>
    <w:rsid w:val="000F29A7"/>
    <w:rsid w:val="000F61FB"/>
    <w:rsid w:val="000F6280"/>
    <w:rsid w:val="000F7453"/>
    <w:rsid w:val="0010302B"/>
    <w:rsid w:val="001077DE"/>
    <w:rsid w:val="0011186D"/>
    <w:rsid w:val="00111940"/>
    <w:rsid w:val="00111A81"/>
    <w:rsid w:val="001124F4"/>
    <w:rsid w:val="001166CC"/>
    <w:rsid w:val="0012321E"/>
    <w:rsid w:val="00124BC3"/>
    <w:rsid w:val="00130AE0"/>
    <w:rsid w:val="00132769"/>
    <w:rsid w:val="00142437"/>
    <w:rsid w:val="00143790"/>
    <w:rsid w:val="00147A0D"/>
    <w:rsid w:val="00147BA4"/>
    <w:rsid w:val="00151287"/>
    <w:rsid w:val="0015241B"/>
    <w:rsid w:val="0015677D"/>
    <w:rsid w:val="00157822"/>
    <w:rsid w:val="001624C4"/>
    <w:rsid w:val="001710A5"/>
    <w:rsid w:val="00171A30"/>
    <w:rsid w:val="001748ED"/>
    <w:rsid w:val="00174D8C"/>
    <w:rsid w:val="0018109E"/>
    <w:rsid w:val="00182053"/>
    <w:rsid w:val="00182D8C"/>
    <w:rsid w:val="00187A6C"/>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02E15"/>
    <w:rsid w:val="002032E5"/>
    <w:rsid w:val="00210EDE"/>
    <w:rsid w:val="00211367"/>
    <w:rsid w:val="002154D7"/>
    <w:rsid w:val="0021748F"/>
    <w:rsid w:val="002203C8"/>
    <w:rsid w:val="002212FB"/>
    <w:rsid w:val="0022160E"/>
    <w:rsid w:val="00226E0F"/>
    <w:rsid w:val="00227100"/>
    <w:rsid w:val="00227D8C"/>
    <w:rsid w:val="00230768"/>
    <w:rsid w:val="0023388E"/>
    <w:rsid w:val="002350D7"/>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5B7A"/>
    <w:rsid w:val="00297C77"/>
    <w:rsid w:val="002A6534"/>
    <w:rsid w:val="002B012C"/>
    <w:rsid w:val="002B1029"/>
    <w:rsid w:val="002B1848"/>
    <w:rsid w:val="002B2F24"/>
    <w:rsid w:val="002B322F"/>
    <w:rsid w:val="002B3E41"/>
    <w:rsid w:val="002B40A0"/>
    <w:rsid w:val="002B62F9"/>
    <w:rsid w:val="002B76F6"/>
    <w:rsid w:val="002C1073"/>
    <w:rsid w:val="002C1604"/>
    <w:rsid w:val="002C4718"/>
    <w:rsid w:val="002C6095"/>
    <w:rsid w:val="002C75B7"/>
    <w:rsid w:val="002D123C"/>
    <w:rsid w:val="002D3476"/>
    <w:rsid w:val="002E1A19"/>
    <w:rsid w:val="002E2440"/>
    <w:rsid w:val="002E312B"/>
    <w:rsid w:val="002E3225"/>
    <w:rsid w:val="002E4C43"/>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1332"/>
    <w:rsid w:val="00321D05"/>
    <w:rsid w:val="003240C9"/>
    <w:rsid w:val="003256CE"/>
    <w:rsid w:val="003302E3"/>
    <w:rsid w:val="00331575"/>
    <w:rsid w:val="00332497"/>
    <w:rsid w:val="0034260D"/>
    <w:rsid w:val="00342DBB"/>
    <w:rsid w:val="0034443F"/>
    <w:rsid w:val="00345C1D"/>
    <w:rsid w:val="00346D6A"/>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3E50"/>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E2133"/>
    <w:rsid w:val="003E244E"/>
    <w:rsid w:val="003E2C5C"/>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373D"/>
    <w:rsid w:val="004964FF"/>
    <w:rsid w:val="00497645"/>
    <w:rsid w:val="004B0CE3"/>
    <w:rsid w:val="004B30C0"/>
    <w:rsid w:val="004B3E83"/>
    <w:rsid w:val="004B48A8"/>
    <w:rsid w:val="004B4B3B"/>
    <w:rsid w:val="004B7FD0"/>
    <w:rsid w:val="004C1A93"/>
    <w:rsid w:val="004C1AA9"/>
    <w:rsid w:val="004C5F4C"/>
    <w:rsid w:val="004C6169"/>
    <w:rsid w:val="004D1595"/>
    <w:rsid w:val="004D2726"/>
    <w:rsid w:val="004D33F5"/>
    <w:rsid w:val="004D44E4"/>
    <w:rsid w:val="004D4FA3"/>
    <w:rsid w:val="004D59CA"/>
    <w:rsid w:val="004D5A00"/>
    <w:rsid w:val="004D704A"/>
    <w:rsid w:val="004E3240"/>
    <w:rsid w:val="004E3BC1"/>
    <w:rsid w:val="004E6D4B"/>
    <w:rsid w:val="004E7F72"/>
    <w:rsid w:val="004E7FD7"/>
    <w:rsid w:val="004F05DA"/>
    <w:rsid w:val="004F399D"/>
    <w:rsid w:val="004F520F"/>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7EA4"/>
    <w:rsid w:val="00545294"/>
    <w:rsid w:val="00545B0D"/>
    <w:rsid w:val="00545FE6"/>
    <w:rsid w:val="00552CB1"/>
    <w:rsid w:val="0055725D"/>
    <w:rsid w:val="00560198"/>
    <w:rsid w:val="00564BF3"/>
    <w:rsid w:val="00565783"/>
    <w:rsid w:val="0056658A"/>
    <w:rsid w:val="0057086B"/>
    <w:rsid w:val="00570905"/>
    <w:rsid w:val="00572529"/>
    <w:rsid w:val="005757A0"/>
    <w:rsid w:val="005765FC"/>
    <w:rsid w:val="00580F47"/>
    <w:rsid w:val="0058139C"/>
    <w:rsid w:val="00583880"/>
    <w:rsid w:val="00584A9A"/>
    <w:rsid w:val="00584CA7"/>
    <w:rsid w:val="005949DB"/>
    <w:rsid w:val="005A64FC"/>
    <w:rsid w:val="005A6B5B"/>
    <w:rsid w:val="005B45BD"/>
    <w:rsid w:val="005C0257"/>
    <w:rsid w:val="005C3C4A"/>
    <w:rsid w:val="005C4EA1"/>
    <w:rsid w:val="005D0B01"/>
    <w:rsid w:val="005D197D"/>
    <w:rsid w:val="005D2196"/>
    <w:rsid w:val="005D2D45"/>
    <w:rsid w:val="005D5BB6"/>
    <w:rsid w:val="005E2105"/>
    <w:rsid w:val="005E3E84"/>
    <w:rsid w:val="005E4A86"/>
    <w:rsid w:val="005E5A74"/>
    <w:rsid w:val="005E619A"/>
    <w:rsid w:val="005E7C58"/>
    <w:rsid w:val="005F5572"/>
    <w:rsid w:val="006167C0"/>
    <w:rsid w:val="00622835"/>
    <w:rsid w:val="006329BA"/>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40A"/>
    <w:rsid w:val="006876A9"/>
    <w:rsid w:val="00690D0F"/>
    <w:rsid w:val="006920D4"/>
    <w:rsid w:val="0069245E"/>
    <w:rsid w:val="006A5E39"/>
    <w:rsid w:val="006B0296"/>
    <w:rsid w:val="006B15D2"/>
    <w:rsid w:val="006B2924"/>
    <w:rsid w:val="006B46F8"/>
    <w:rsid w:val="006B4F75"/>
    <w:rsid w:val="006B53EF"/>
    <w:rsid w:val="006C0520"/>
    <w:rsid w:val="006C05B5"/>
    <w:rsid w:val="006C24FF"/>
    <w:rsid w:val="006C6911"/>
    <w:rsid w:val="006C769E"/>
    <w:rsid w:val="006D0CFC"/>
    <w:rsid w:val="006D47D8"/>
    <w:rsid w:val="006D4AD5"/>
    <w:rsid w:val="006D60A8"/>
    <w:rsid w:val="006D7C85"/>
    <w:rsid w:val="006E06E9"/>
    <w:rsid w:val="006E4078"/>
    <w:rsid w:val="006E6E3A"/>
    <w:rsid w:val="006E7BDD"/>
    <w:rsid w:val="006F4970"/>
    <w:rsid w:val="00700783"/>
    <w:rsid w:val="00704B38"/>
    <w:rsid w:val="0070502E"/>
    <w:rsid w:val="007151C7"/>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E5ACA"/>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8BE"/>
    <w:rsid w:val="008E248F"/>
    <w:rsid w:val="008E432B"/>
    <w:rsid w:val="008F4903"/>
    <w:rsid w:val="008F51C8"/>
    <w:rsid w:val="008F5577"/>
    <w:rsid w:val="009002D1"/>
    <w:rsid w:val="0090092E"/>
    <w:rsid w:val="0090164F"/>
    <w:rsid w:val="00903AF2"/>
    <w:rsid w:val="0090412B"/>
    <w:rsid w:val="00913557"/>
    <w:rsid w:val="0091464B"/>
    <w:rsid w:val="009231A0"/>
    <w:rsid w:val="00924025"/>
    <w:rsid w:val="009243B2"/>
    <w:rsid w:val="00925554"/>
    <w:rsid w:val="00925C5B"/>
    <w:rsid w:val="0093020F"/>
    <w:rsid w:val="00932525"/>
    <w:rsid w:val="009342E3"/>
    <w:rsid w:val="009353B8"/>
    <w:rsid w:val="00944A25"/>
    <w:rsid w:val="009450F9"/>
    <w:rsid w:val="00951326"/>
    <w:rsid w:val="0095619D"/>
    <w:rsid w:val="00956C38"/>
    <w:rsid w:val="00957946"/>
    <w:rsid w:val="00960CA0"/>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313A"/>
    <w:rsid w:val="009E7C8F"/>
    <w:rsid w:val="009F3FDC"/>
    <w:rsid w:val="009F530E"/>
    <w:rsid w:val="00A02097"/>
    <w:rsid w:val="00A0368D"/>
    <w:rsid w:val="00A05A38"/>
    <w:rsid w:val="00A06563"/>
    <w:rsid w:val="00A14215"/>
    <w:rsid w:val="00A15766"/>
    <w:rsid w:val="00A15DD5"/>
    <w:rsid w:val="00A16700"/>
    <w:rsid w:val="00A17C01"/>
    <w:rsid w:val="00A34427"/>
    <w:rsid w:val="00A40435"/>
    <w:rsid w:val="00A43BEF"/>
    <w:rsid w:val="00A47D16"/>
    <w:rsid w:val="00A5480D"/>
    <w:rsid w:val="00A568CA"/>
    <w:rsid w:val="00A604FD"/>
    <w:rsid w:val="00A608C6"/>
    <w:rsid w:val="00A6333F"/>
    <w:rsid w:val="00A7018D"/>
    <w:rsid w:val="00A74469"/>
    <w:rsid w:val="00A74B0B"/>
    <w:rsid w:val="00A750B7"/>
    <w:rsid w:val="00A76250"/>
    <w:rsid w:val="00A76BEB"/>
    <w:rsid w:val="00A84125"/>
    <w:rsid w:val="00A9373F"/>
    <w:rsid w:val="00A963F0"/>
    <w:rsid w:val="00A973F6"/>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B000CD"/>
    <w:rsid w:val="00B01288"/>
    <w:rsid w:val="00B021FB"/>
    <w:rsid w:val="00B04762"/>
    <w:rsid w:val="00B05F75"/>
    <w:rsid w:val="00B071AD"/>
    <w:rsid w:val="00B100CC"/>
    <w:rsid w:val="00B10ABB"/>
    <w:rsid w:val="00B1140C"/>
    <w:rsid w:val="00B13BAD"/>
    <w:rsid w:val="00B13CEF"/>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883"/>
    <w:rsid w:val="00B53B8D"/>
    <w:rsid w:val="00B55293"/>
    <w:rsid w:val="00B55F0D"/>
    <w:rsid w:val="00B571F1"/>
    <w:rsid w:val="00B6171E"/>
    <w:rsid w:val="00B62399"/>
    <w:rsid w:val="00B650E1"/>
    <w:rsid w:val="00B67BBE"/>
    <w:rsid w:val="00B70816"/>
    <w:rsid w:val="00B82185"/>
    <w:rsid w:val="00B84CB5"/>
    <w:rsid w:val="00B85D82"/>
    <w:rsid w:val="00B86818"/>
    <w:rsid w:val="00B92434"/>
    <w:rsid w:val="00B926BF"/>
    <w:rsid w:val="00B94F15"/>
    <w:rsid w:val="00B960A6"/>
    <w:rsid w:val="00B968E8"/>
    <w:rsid w:val="00BA25AB"/>
    <w:rsid w:val="00BA3DAB"/>
    <w:rsid w:val="00BA7590"/>
    <w:rsid w:val="00BB2934"/>
    <w:rsid w:val="00BB67B5"/>
    <w:rsid w:val="00BB6BF1"/>
    <w:rsid w:val="00BB7F1C"/>
    <w:rsid w:val="00BC1F20"/>
    <w:rsid w:val="00BC2646"/>
    <w:rsid w:val="00BC4B15"/>
    <w:rsid w:val="00BD04A2"/>
    <w:rsid w:val="00BD56FB"/>
    <w:rsid w:val="00BD7376"/>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0EB7"/>
    <w:rsid w:val="00C42206"/>
    <w:rsid w:val="00C44670"/>
    <w:rsid w:val="00C45E55"/>
    <w:rsid w:val="00C54CDF"/>
    <w:rsid w:val="00C55C56"/>
    <w:rsid w:val="00C60CEB"/>
    <w:rsid w:val="00C6128C"/>
    <w:rsid w:val="00C62DB3"/>
    <w:rsid w:val="00C64B67"/>
    <w:rsid w:val="00C7789A"/>
    <w:rsid w:val="00C83097"/>
    <w:rsid w:val="00C8351F"/>
    <w:rsid w:val="00C83AD9"/>
    <w:rsid w:val="00C84318"/>
    <w:rsid w:val="00C84C4C"/>
    <w:rsid w:val="00C94094"/>
    <w:rsid w:val="00CA01C9"/>
    <w:rsid w:val="00CA1898"/>
    <w:rsid w:val="00CA301B"/>
    <w:rsid w:val="00CA5F79"/>
    <w:rsid w:val="00CA62B3"/>
    <w:rsid w:val="00CA747D"/>
    <w:rsid w:val="00CB3501"/>
    <w:rsid w:val="00CB756C"/>
    <w:rsid w:val="00CC3153"/>
    <w:rsid w:val="00CC3585"/>
    <w:rsid w:val="00CC38E5"/>
    <w:rsid w:val="00CC73F9"/>
    <w:rsid w:val="00CD04A4"/>
    <w:rsid w:val="00CD28F6"/>
    <w:rsid w:val="00CD5E82"/>
    <w:rsid w:val="00CD6873"/>
    <w:rsid w:val="00CE4358"/>
    <w:rsid w:val="00CE69B5"/>
    <w:rsid w:val="00CF6A36"/>
    <w:rsid w:val="00CF7333"/>
    <w:rsid w:val="00D0693B"/>
    <w:rsid w:val="00D12946"/>
    <w:rsid w:val="00D12FE7"/>
    <w:rsid w:val="00D159C3"/>
    <w:rsid w:val="00D211FF"/>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1C93"/>
    <w:rsid w:val="00D824D8"/>
    <w:rsid w:val="00D8270A"/>
    <w:rsid w:val="00D82C74"/>
    <w:rsid w:val="00D84F1E"/>
    <w:rsid w:val="00D85A47"/>
    <w:rsid w:val="00D9149E"/>
    <w:rsid w:val="00D9404F"/>
    <w:rsid w:val="00D965C9"/>
    <w:rsid w:val="00D96C53"/>
    <w:rsid w:val="00DA0B50"/>
    <w:rsid w:val="00DA3027"/>
    <w:rsid w:val="00DA7B35"/>
    <w:rsid w:val="00DB3608"/>
    <w:rsid w:val="00DB4DB3"/>
    <w:rsid w:val="00DB5243"/>
    <w:rsid w:val="00DC148C"/>
    <w:rsid w:val="00DC1FF4"/>
    <w:rsid w:val="00DC2665"/>
    <w:rsid w:val="00DC4847"/>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2213"/>
    <w:rsid w:val="00E22291"/>
    <w:rsid w:val="00E2300D"/>
    <w:rsid w:val="00E27477"/>
    <w:rsid w:val="00E36296"/>
    <w:rsid w:val="00E37279"/>
    <w:rsid w:val="00E377D5"/>
    <w:rsid w:val="00E43585"/>
    <w:rsid w:val="00E44C9F"/>
    <w:rsid w:val="00E451EE"/>
    <w:rsid w:val="00E461B9"/>
    <w:rsid w:val="00E55953"/>
    <w:rsid w:val="00E572B2"/>
    <w:rsid w:val="00E572B3"/>
    <w:rsid w:val="00E60026"/>
    <w:rsid w:val="00E611F8"/>
    <w:rsid w:val="00E62CD5"/>
    <w:rsid w:val="00E6311C"/>
    <w:rsid w:val="00E727B9"/>
    <w:rsid w:val="00E752BD"/>
    <w:rsid w:val="00E820B2"/>
    <w:rsid w:val="00E868CE"/>
    <w:rsid w:val="00E87D78"/>
    <w:rsid w:val="00E917E3"/>
    <w:rsid w:val="00E91FC5"/>
    <w:rsid w:val="00E92EBE"/>
    <w:rsid w:val="00E935C3"/>
    <w:rsid w:val="00E93A49"/>
    <w:rsid w:val="00E93C2C"/>
    <w:rsid w:val="00E947A1"/>
    <w:rsid w:val="00E9614E"/>
    <w:rsid w:val="00EA4726"/>
    <w:rsid w:val="00EA61C2"/>
    <w:rsid w:val="00EA730A"/>
    <w:rsid w:val="00EB164C"/>
    <w:rsid w:val="00EB1ABF"/>
    <w:rsid w:val="00EB7B9E"/>
    <w:rsid w:val="00EC1428"/>
    <w:rsid w:val="00EC1645"/>
    <w:rsid w:val="00EC507E"/>
    <w:rsid w:val="00EC61CE"/>
    <w:rsid w:val="00ED19E4"/>
    <w:rsid w:val="00ED2FC1"/>
    <w:rsid w:val="00ED459E"/>
    <w:rsid w:val="00EE1639"/>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437F5"/>
    <w:rsid w:val="00F4733D"/>
    <w:rsid w:val="00F53E3D"/>
    <w:rsid w:val="00F569A6"/>
    <w:rsid w:val="00F57249"/>
    <w:rsid w:val="00F57E4C"/>
    <w:rsid w:val="00F6223E"/>
    <w:rsid w:val="00F633EE"/>
    <w:rsid w:val="00F63848"/>
    <w:rsid w:val="00F66DC5"/>
    <w:rsid w:val="00F718E6"/>
    <w:rsid w:val="00F71A5F"/>
    <w:rsid w:val="00F75A9C"/>
    <w:rsid w:val="00F75C63"/>
    <w:rsid w:val="00F7650F"/>
    <w:rsid w:val="00F77664"/>
    <w:rsid w:val="00F7776D"/>
    <w:rsid w:val="00F8104E"/>
    <w:rsid w:val="00F81B7E"/>
    <w:rsid w:val="00F83910"/>
    <w:rsid w:val="00F83C11"/>
    <w:rsid w:val="00F872F0"/>
    <w:rsid w:val="00F873FB"/>
    <w:rsid w:val="00F905D9"/>
    <w:rsid w:val="00F91373"/>
    <w:rsid w:val="00F95C0F"/>
    <w:rsid w:val="00F97D7E"/>
    <w:rsid w:val="00FA213F"/>
    <w:rsid w:val="00FA781C"/>
    <w:rsid w:val="00FB3865"/>
    <w:rsid w:val="00FB3C02"/>
    <w:rsid w:val="00FB7FB9"/>
    <w:rsid w:val="00FC1EC8"/>
    <w:rsid w:val="00FC30AC"/>
    <w:rsid w:val="00FC4A95"/>
    <w:rsid w:val="00FD0E97"/>
    <w:rsid w:val="00FD74E7"/>
    <w:rsid w:val="00FE0692"/>
    <w:rsid w:val="00FE4408"/>
    <w:rsid w:val="00FE64F5"/>
    <w:rsid w:val="00FF0618"/>
    <w:rsid w:val="00FF2378"/>
    <w:rsid w:val="00FF4004"/>
    <w:rsid w:val="00FF6580"/>
    <w:rsid w:val="017D4F5C"/>
    <w:rsid w:val="018B48B2"/>
    <w:rsid w:val="022B49CF"/>
    <w:rsid w:val="023F09F5"/>
    <w:rsid w:val="030A3116"/>
    <w:rsid w:val="03CA6EF6"/>
    <w:rsid w:val="04342A95"/>
    <w:rsid w:val="0451425B"/>
    <w:rsid w:val="04AD1251"/>
    <w:rsid w:val="0569312B"/>
    <w:rsid w:val="06127533"/>
    <w:rsid w:val="06CA5CAD"/>
    <w:rsid w:val="07852DBD"/>
    <w:rsid w:val="07D22C0D"/>
    <w:rsid w:val="07FFFCBB"/>
    <w:rsid w:val="08062DC9"/>
    <w:rsid w:val="08197909"/>
    <w:rsid w:val="096C02DC"/>
    <w:rsid w:val="09876007"/>
    <w:rsid w:val="0A141145"/>
    <w:rsid w:val="0A396144"/>
    <w:rsid w:val="0A594E81"/>
    <w:rsid w:val="0ACB4877"/>
    <w:rsid w:val="0AD61B81"/>
    <w:rsid w:val="0B100735"/>
    <w:rsid w:val="0B787AA7"/>
    <w:rsid w:val="0C544AF3"/>
    <w:rsid w:val="0C905A4F"/>
    <w:rsid w:val="0D637759"/>
    <w:rsid w:val="0DA620C8"/>
    <w:rsid w:val="0DD46DAD"/>
    <w:rsid w:val="0E337958"/>
    <w:rsid w:val="0E6E07F7"/>
    <w:rsid w:val="0EF53FEB"/>
    <w:rsid w:val="0F632971"/>
    <w:rsid w:val="0FDF1E09"/>
    <w:rsid w:val="102B2696"/>
    <w:rsid w:val="10BB33AB"/>
    <w:rsid w:val="11B61B63"/>
    <w:rsid w:val="11E27A9D"/>
    <w:rsid w:val="12375BEF"/>
    <w:rsid w:val="123A1DF6"/>
    <w:rsid w:val="12A945B3"/>
    <w:rsid w:val="13B40768"/>
    <w:rsid w:val="13D73308"/>
    <w:rsid w:val="143F42F3"/>
    <w:rsid w:val="14D72CBF"/>
    <w:rsid w:val="15B17473"/>
    <w:rsid w:val="15D31197"/>
    <w:rsid w:val="17334565"/>
    <w:rsid w:val="174165D4"/>
    <w:rsid w:val="175120CE"/>
    <w:rsid w:val="175C3770"/>
    <w:rsid w:val="178772D7"/>
    <w:rsid w:val="17EC6540"/>
    <w:rsid w:val="17FC4CE9"/>
    <w:rsid w:val="18146217"/>
    <w:rsid w:val="18215304"/>
    <w:rsid w:val="18331893"/>
    <w:rsid w:val="19332BB1"/>
    <w:rsid w:val="1A7E74B6"/>
    <w:rsid w:val="1AA933C8"/>
    <w:rsid w:val="1B59521E"/>
    <w:rsid w:val="1C3817FF"/>
    <w:rsid w:val="1D237383"/>
    <w:rsid w:val="1D9C7C92"/>
    <w:rsid w:val="1E915F33"/>
    <w:rsid w:val="1F26058A"/>
    <w:rsid w:val="1F4A50B8"/>
    <w:rsid w:val="1F5171F9"/>
    <w:rsid w:val="1F674BA3"/>
    <w:rsid w:val="1F9C76EA"/>
    <w:rsid w:val="21CF5E73"/>
    <w:rsid w:val="22AE576B"/>
    <w:rsid w:val="22D3568B"/>
    <w:rsid w:val="232457F5"/>
    <w:rsid w:val="23AC2413"/>
    <w:rsid w:val="24CF4FC0"/>
    <w:rsid w:val="250509A0"/>
    <w:rsid w:val="25EA55A2"/>
    <w:rsid w:val="25F0087E"/>
    <w:rsid w:val="263D3CD3"/>
    <w:rsid w:val="26451B58"/>
    <w:rsid w:val="26722306"/>
    <w:rsid w:val="26B97F35"/>
    <w:rsid w:val="26F16EC0"/>
    <w:rsid w:val="28307A4C"/>
    <w:rsid w:val="289D183B"/>
    <w:rsid w:val="292532D4"/>
    <w:rsid w:val="293618B4"/>
    <w:rsid w:val="2967543A"/>
    <w:rsid w:val="29A46D10"/>
    <w:rsid w:val="2A2F0444"/>
    <w:rsid w:val="2A582AC2"/>
    <w:rsid w:val="2AB67977"/>
    <w:rsid w:val="2D2F71A3"/>
    <w:rsid w:val="2DF81ACA"/>
    <w:rsid w:val="2E3461D7"/>
    <w:rsid w:val="2EE82F7B"/>
    <w:rsid w:val="2F6F6167"/>
    <w:rsid w:val="2F971030"/>
    <w:rsid w:val="2FD00080"/>
    <w:rsid w:val="2FE10F66"/>
    <w:rsid w:val="3003038E"/>
    <w:rsid w:val="30213B78"/>
    <w:rsid w:val="30BB48BF"/>
    <w:rsid w:val="30C67313"/>
    <w:rsid w:val="30D90532"/>
    <w:rsid w:val="313B051E"/>
    <w:rsid w:val="31546876"/>
    <w:rsid w:val="31D35D1B"/>
    <w:rsid w:val="31D53C4D"/>
    <w:rsid w:val="31DF3B17"/>
    <w:rsid w:val="34281EA6"/>
    <w:rsid w:val="34425E22"/>
    <w:rsid w:val="34A277E4"/>
    <w:rsid w:val="34A80388"/>
    <w:rsid w:val="34B61D84"/>
    <w:rsid w:val="34C621BF"/>
    <w:rsid w:val="34DF4721"/>
    <w:rsid w:val="35453974"/>
    <w:rsid w:val="35D20C0D"/>
    <w:rsid w:val="362C1207"/>
    <w:rsid w:val="365C313C"/>
    <w:rsid w:val="375A0A6C"/>
    <w:rsid w:val="37915A99"/>
    <w:rsid w:val="379C5062"/>
    <w:rsid w:val="37AC3824"/>
    <w:rsid w:val="37FFF9AC"/>
    <w:rsid w:val="38144BC2"/>
    <w:rsid w:val="397D76E1"/>
    <w:rsid w:val="39BD17BE"/>
    <w:rsid w:val="3A073C5D"/>
    <w:rsid w:val="3B603487"/>
    <w:rsid w:val="3B6E533A"/>
    <w:rsid w:val="3B727A68"/>
    <w:rsid w:val="3B7B2140"/>
    <w:rsid w:val="3BBD3BCC"/>
    <w:rsid w:val="3BE70C49"/>
    <w:rsid w:val="3BFCA6C5"/>
    <w:rsid w:val="3C201383"/>
    <w:rsid w:val="3C2B67C0"/>
    <w:rsid w:val="3C33583B"/>
    <w:rsid w:val="3C466917"/>
    <w:rsid w:val="3FBE6810"/>
    <w:rsid w:val="40F0234E"/>
    <w:rsid w:val="40F47F9D"/>
    <w:rsid w:val="43170D51"/>
    <w:rsid w:val="43361206"/>
    <w:rsid w:val="453C5167"/>
    <w:rsid w:val="454C21C0"/>
    <w:rsid w:val="45621A6B"/>
    <w:rsid w:val="46113B91"/>
    <w:rsid w:val="468E5DE5"/>
    <w:rsid w:val="46E32794"/>
    <w:rsid w:val="48D507A7"/>
    <w:rsid w:val="495A0EC9"/>
    <w:rsid w:val="49B87627"/>
    <w:rsid w:val="49DF094D"/>
    <w:rsid w:val="4AC047B0"/>
    <w:rsid w:val="4B8270B7"/>
    <w:rsid w:val="4B9E5030"/>
    <w:rsid w:val="4CB81EBA"/>
    <w:rsid w:val="4D060080"/>
    <w:rsid w:val="4D627C17"/>
    <w:rsid w:val="4E85204E"/>
    <w:rsid w:val="4EFB714D"/>
    <w:rsid w:val="4F3E5FD3"/>
    <w:rsid w:val="4FC86F73"/>
    <w:rsid w:val="4FDE4A5B"/>
    <w:rsid w:val="503C6883"/>
    <w:rsid w:val="50CA4969"/>
    <w:rsid w:val="51BF3DA2"/>
    <w:rsid w:val="51D50B14"/>
    <w:rsid w:val="51EC1975"/>
    <w:rsid w:val="530A61AE"/>
    <w:rsid w:val="535F74DE"/>
    <w:rsid w:val="54A23C02"/>
    <w:rsid w:val="54C52ABE"/>
    <w:rsid w:val="54DC4246"/>
    <w:rsid w:val="54FF7BFE"/>
    <w:rsid w:val="559A04AA"/>
    <w:rsid w:val="55D44082"/>
    <w:rsid w:val="55EB3BF7"/>
    <w:rsid w:val="55FE463F"/>
    <w:rsid w:val="56257777"/>
    <w:rsid w:val="56D539BF"/>
    <w:rsid w:val="56F562F3"/>
    <w:rsid w:val="57960E73"/>
    <w:rsid w:val="57C5167C"/>
    <w:rsid w:val="59045036"/>
    <w:rsid w:val="5AE1183E"/>
    <w:rsid w:val="5B0D0EAD"/>
    <w:rsid w:val="5B7D6727"/>
    <w:rsid w:val="5B9A01BB"/>
    <w:rsid w:val="5BEA73A9"/>
    <w:rsid w:val="5BF75166"/>
    <w:rsid w:val="5C5D0552"/>
    <w:rsid w:val="5C6519EA"/>
    <w:rsid w:val="5CE65705"/>
    <w:rsid w:val="5CFB7A99"/>
    <w:rsid w:val="5D54268C"/>
    <w:rsid w:val="5D7B279B"/>
    <w:rsid w:val="5DEDE907"/>
    <w:rsid w:val="5E7F4FE5"/>
    <w:rsid w:val="5EE221E9"/>
    <w:rsid w:val="5EF60F64"/>
    <w:rsid w:val="5F07503B"/>
    <w:rsid w:val="5F133202"/>
    <w:rsid w:val="601953AD"/>
    <w:rsid w:val="614427BA"/>
    <w:rsid w:val="61706E67"/>
    <w:rsid w:val="617F70AA"/>
    <w:rsid w:val="61B535D8"/>
    <w:rsid w:val="61C55405"/>
    <w:rsid w:val="623116DB"/>
    <w:rsid w:val="62B83ACD"/>
    <w:rsid w:val="62E96ED1"/>
    <w:rsid w:val="63936F88"/>
    <w:rsid w:val="63C909C6"/>
    <w:rsid w:val="64D051A2"/>
    <w:rsid w:val="65302F12"/>
    <w:rsid w:val="659B47BF"/>
    <w:rsid w:val="65A72538"/>
    <w:rsid w:val="65CB4FB4"/>
    <w:rsid w:val="66E56D5F"/>
    <w:rsid w:val="66F77DE6"/>
    <w:rsid w:val="67822461"/>
    <w:rsid w:val="67B02E2B"/>
    <w:rsid w:val="67B101D9"/>
    <w:rsid w:val="67E76388"/>
    <w:rsid w:val="682D3F85"/>
    <w:rsid w:val="690B0E96"/>
    <w:rsid w:val="692A66CC"/>
    <w:rsid w:val="6936651F"/>
    <w:rsid w:val="699F1D2E"/>
    <w:rsid w:val="69FA1D9C"/>
    <w:rsid w:val="69FE3833"/>
    <w:rsid w:val="6A86202C"/>
    <w:rsid w:val="6AB52DA3"/>
    <w:rsid w:val="6AD71461"/>
    <w:rsid w:val="6AEA1359"/>
    <w:rsid w:val="6AFB3992"/>
    <w:rsid w:val="6B220808"/>
    <w:rsid w:val="6B233090"/>
    <w:rsid w:val="6B2F50E5"/>
    <w:rsid w:val="6B4C44A1"/>
    <w:rsid w:val="6B766D2A"/>
    <w:rsid w:val="6D535020"/>
    <w:rsid w:val="6EFD9B10"/>
    <w:rsid w:val="700415E6"/>
    <w:rsid w:val="716C7649"/>
    <w:rsid w:val="72174B07"/>
    <w:rsid w:val="72BD6D69"/>
    <w:rsid w:val="73F41B31"/>
    <w:rsid w:val="74384DA3"/>
    <w:rsid w:val="746305B1"/>
    <w:rsid w:val="74862811"/>
    <w:rsid w:val="7492574D"/>
    <w:rsid w:val="74A354F3"/>
    <w:rsid w:val="75003A21"/>
    <w:rsid w:val="75132DA4"/>
    <w:rsid w:val="754352A1"/>
    <w:rsid w:val="7575047A"/>
    <w:rsid w:val="76273D8F"/>
    <w:rsid w:val="7637387F"/>
    <w:rsid w:val="765B1BF9"/>
    <w:rsid w:val="767F4922"/>
    <w:rsid w:val="770E38E2"/>
    <w:rsid w:val="772B54F6"/>
    <w:rsid w:val="77426252"/>
    <w:rsid w:val="779A56C5"/>
    <w:rsid w:val="77BE3830"/>
    <w:rsid w:val="780160F6"/>
    <w:rsid w:val="78367D07"/>
    <w:rsid w:val="78A91105"/>
    <w:rsid w:val="78D12489"/>
    <w:rsid w:val="7913570D"/>
    <w:rsid w:val="792E3438"/>
    <w:rsid w:val="79EC7197"/>
    <w:rsid w:val="7B9A7E7E"/>
    <w:rsid w:val="7BB35E76"/>
    <w:rsid w:val="7C8D7298"/>
    <w:rsid w:val="7C8E4AC1"/>
    <w:rsid w:val="7D9B0297"/>
    <w:rsid w:val="7DCB1268"/>
    <w:rsid w:val="7E221091"/>
    <w:rsid w:val="7E4B05E8"/>
    <w:rsid w:val="7EF665DB"/>
    <w:rsid w:val="7F294AFF"/>
    <w:rsid w:val="7F7CE2EF"/>
    <w:rsid w:val="7F842F5E"/>
    <w:rsid w:val="7FB24061"/>
    <w:rsid w:val="7FF69AA2"/>
    <w:rsid w:val="9FFD44BE"/>
    <w:rsid w:val="CFF345A3"/>
    <w:rsid w:val="E7FF76AB"/>
    <w:rsid w:val="F2BF00CA"/>
    <w:rsid w:val="F7FAFC4E"/>
    <w:rsid w:val="FF7B29DC"/>
    <w:rsid w:val="FFB78F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qFormat="1" w:unhideWhenUsed="0" w:uiPriority="99" w:semiHidden="0" w:name="Body Text"/>
    <w:lsdException w:qFormat="1"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3">
    <w:name w:val="heading 1"/>
    <w:basedOn w:val="1"/>
    <w:next w:val="1"/>
    <w:link w:val="41"/>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4">
    <w:name w:val="heading 2"/>
    <w:basedOn w:val="1"/>
    <w:next w:val="1"/>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60"/>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61"/>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6"/>
    <w:basedOn w:val="1"/>
    <w:next w:val="1"/>
    <w:link w:val="82"/>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8">
    <w:name w:val="heading 7"/>
    <w:basedOn w:val="1"/>
    <w:next w:val="1"/>
    <w:link w:val="83"/>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9">
    <w:name w:val="heading 8"/>
    <w:basedOn w:val="1"/>
    <w:next w:val="1"/>
    <w:link w:val="84"/>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0">
    <w:name w:val="heading 9"/>
    <w:basedOn w:val="1"/>
    <w:next w:val="1"/>
    <w:link w:val="85"/>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2">
    <w:name w:val="Default Paragraph Font"/>
    <w:unhideWhenUsed/>
    <w:qFormat/>
    <w:uiPriority w:val="1"/>
  </w:style>
  <w:style w:type="table" w:default="1" w:styleId="30">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link w:val="64"/>
    <w:qFormat/>
    <w:uiPriority w:val="99"/>
    <w:pPr>
      <w:spacing w:after="120"/>
    </w:pPr>
  </w:style>
  <w:style w:type="paragraph" w:styleId="11">
    <w:name w:val="Normal Indent"/>
    <w:basedOn w:val="1"/>
    <w:link w:val="57"/>
    <w:qFormat/>
    <w:uiPriority w:val="0"/>
    <w:pPr>
      <w:widowControl w:val="0"/>
      <w:ind w:firstLine="420"/>
      <w:jc w:val="both"/>
    </w:pPr>
    <w:rPr>
      <w:rFonts w:ascii="Calibri" w:hAnsi="Calibri" w:eastAsia="宋体" w:cs="Times New Roman"/>
      <w:sz w:val="20"/>
      <w:szCs w:val="20"/>
    </w:rPr>
  </w:style>
  <w:style w:type="paragraph" w:styleId="12">
    <w:name w:val="annotation text"/>
    <w:basedOn w:val="1"/>
    <w:link w:val="51"/>
    <w:qFormat/>
    <w:uiPriority w:val="99"/>
  </w:style>
  <w:style w:type="paragraph" w:styleId="13">
    <w:name w:val="Body Text Indent"/>
    <w:basedOn w:val="1"/>
    <w:link w:val="56"/>
    <w:unhideWhenUsed/>
    <w:qFormat/>
    <w:uiPriority w:val="0"/>
    <w:pPr>
      <w:spacing w:after="120"/>
      <w:ind w:left="420" w:leftChars="200"/>
    </w:pPr>
  </w:style>
  <w:style w:type="paragraph" w:styleId="14">
    <w:name w:val="toc 3"/>
    <w:basedOn w:val="1"/>
    <w:next w:val="1"/>
    <w:unhideWhenUsed/>
    <w:qFormat/>
    <w:uiPriority w:val="39"/>
    <w:pPr>
      <w:ind w:left="840" w:leftChars="400"/>
    </w:pPr>
  </w:style>
  <w:style w:type="paragraph" w:styleId="15">
    <w:name w:val="Plain Text"/>
    <w:basedOn w:val="1"/>
    <w:link w:val="47"/>
    <w:qFormat/>
    <w:uiPriority w:val="0"/>
    <w:pPr>
      <w:widowControl w:val="0"/>
      <w:jc w:val="both"/>
    </w:pPr>
    <w:rPr>
      <w:rFonts w:ascii="宋体" w:hAnsi="Courier New" w:eastAsia="宋体" w:cs="Times New Roman"/>
      <w:snapToGrid w:val="0"/>
      <w:kern w:val="10"/>
      <w:sz w:val="28"/>
      <w:szCs w:val="20"/>
    </w:rPr>
  </w:style>
  <w:style w:type="paragraph" w:styleId="16">
    <w:name w:val="Date"/>
    <w:basedOn w:val="1"/>
    <w:next w:val="1"/>
    <w:link w:val="46"/>
    <w:qFormat/>
    <w:uiPriority w:val="0"/>
    <w:pPr>
      <w:widowControl w:val="0"/>
      <w:ind w:left="100" w:leftChars="2500"/>
      <w:jc w:val="both"/>
    </w:pPr>
    <w:rPr>
      <w:rFonts w:ascii="Times New Roman" w:hAnsi="Times New Roman" w:eastAsia="宋体" w:cs="Times New Roman"/>
      <w:kern w:val="2"/>
      <w:sz w:val="21"/>
    </w:rPr>
  </w:style>
  <w:style w:type="paragraph" w:styleId="17">
    <w:name w:val="Body Text Indent 2"/>
    <w:basedOn w:val="1"/>
    <w:link w:val="81"/>
    <w:unhideWhenUsed/>
    <w:qFormat/>
    <w:uiPriority w:val="0"/>
    <w:pPr>
      <w:spacing w:after="120" w:line="480" w:lineRule="auto"/>
      <w:ind w:left="420" w:leftChars="200"/>
    </w:pPr>
  </w:style>
  <w:style w:type="paragraph" w:styleId="18">
    <w:name w:val="Balloon Text"/>
    <w:basedOn w:val="1"/>
    <w:link w:val="45"/>
    <w:qFormat/>
    <w:uiPriority w:val="0"/>
    <w:rPr>
      <w:sz w:val="18"/>
      <w:szCs w:val="18"/>
    </w:rPr>
  </w:style>
  <w:style w:type="paragraph" w:styleId="19">
    <w:name w:val="footer"/>
    <w:basedOn w:val="1"/>
    <w:link w:val="71"/>
    <w:qFormat/>
    <w:uiPriority w:val="99"/>
    <w:pPr>
      <w:tabs>
        <w:tab w:val="center" w:pos="4153"/>
        <w:tab w:val="right" w:pos="8306"/>
      </w:tabs>
      <w:snapToGrid w:val="0"/>
    </w:pPr>
    <w:rPr>
      <w:sz w:val="18"/>
      <w:szCs w:val="18"/>
    </w:rPr>
  </w:style>
  <w:style w:type="paragraph" w:styleId="20">
    <w:name w:val="header"/>
    <w:basedOn w:val="1"/>
    <w:link w:val="73"/>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pPr>
    <w:rPr>
      <w:b/>
      <w:bCs/>
      <w:caps/>
      <w:szCs w:val="20"/>
    </w:rPr>
  </w:style>
  <w:style w:type="paragraph" w:styleId="22">
    <w:name w:val="Subtitle"/>
    <w:basedOn w:val="1"/>
    <w:next w:val="1"/>
    <w:link w:val="49"/>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3">
    <w:name w:val="toc 6"/>
    <w:basedOn w:val="1"/>
    <w:next w:val="1"/>
    <w:qFormat/>
    <w:uiPriority w:val="39"/>
    <w:pPr>
      <w:widowControl w:val="0"/>
      <w:ind w:left="1050"/>
    </w:pPr>
    <w:rPr>
      <w:rFonts w:ascii="Calibri" w:hAnsi="Calibri" w:eastAsia="宋体" w:cs="Calibri"/>
      <w:kern w:val="2"/>
      <w:sz w:val="18"/>
      <w:szCs w:val="18"/>
    </w:rPr>
  </w:style>
  <w:style w:type="paragraph" w:styleId="24">
    <w:name w:val="Body Text Indent 3"/>
    <w:basedOn w:val="1"/>
    <w:qFormat/>
    <w:uiPriority w:val="0"/>
    <w:pPr>
      <w:snapToGrid w:val="0"/>
      <w:spacing w:line="580" w:lineRule="exact"/>
      <w:ind w:firstLine="560" w:firstLineChars="200"/>
    </w:pPr>
    <w:rPr>
      <w:rFonts w:ascii="仿宋_GB2312" w:hAnsi="Calibri" w:eastAsia="仿宋_GB2312" w:cs="Times New Roman"/>
      <w:sz w:val="28"/>
      <w:szCs w:val="28"/>
      <w:lang w:val="zh-CN"/>
    </w:rPr>
  </w:style>
  <w:style w:type="paragraph" w:styleId="25">
    <w:name w:val="toc 2"/>
    <w:basedOn w:val="1"/>
    <w:next w:val="1"/>
    <w:unhideWhenUsed/>
    <w:qFormat/>
    <w:uiPriority w:val="39"/>
    <w:pPr>
      <w:ind w:left="420" w:leftChars="200"/>
    </w:pPr>
  </w:style>
  <w:style w:type="paragraph" w:styleId="26">
    <w:name w:val="HTML Preformatted"/>
    <w:basedOn w:val="1"/>
    <w:link w:val="59"/>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7">
    <w:name w:val="Normal (Web)"/>
    <w:basedOn w:val="1"/>
    <w:unhideWhenUsed/>
    <w:qFormat/>
    <w:uiPriority w:val="99"/>
    <w:pPr>
      <w:spacing w:before="100" w:beforeAutospacing="1" w:after="100" w:afterAutospacing="1"/>
    </w:pPr>
    <w:rPr>
      <w:rFonts w:ascii="宋体" w:hAnsi="宋体" w:eastAsia="宋体" w:cs="Times New Roman"/>
    </w:rPr>
  </w:style>
  <w:style w:type="paragraph" w:styleId="28">
    <w:name w:val="Title"/>
    <w:basedOn w:val="1"/>
    <w:next w:val="1"/>
    <w:link w:val="48"/>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9">
    <w:name w:val="annotation subject"/>
    <w:basedOn w:val="12"/>
    <w:next w:val="12"/>
    <w:link w:val="52"/>
    <w:qFormat/>
    <w:uiPriority w:val="0"/>
    <w:rPr>
      <w:b/>
      <w:bCs/>
    </w:rPr>
  </w:style>
  <w:style w:type="table" w:styleId="31">
    <w:name w:val="Table Grid"/>
    <w:basedOn w:val="30"/>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Strong"/>
    <w:basedOn w:val="32"/>
    <w:qFormat/>
    <w:uiPriority w:val="0"/>
    <w:rPr>
      <w:b/>
    </w:rPr>
  </w:style>
  <w:style w:type="character" w:styleId="34">
    <w:name w:val="page number"/>
    <w:basedOn w:val="32"/>
    <w:qFormat/>
    <w:uiPriority w:val="0"/>
  </w:style>
  <w:style w:type="character" w:styleId="35">
    <w:name w:val="Hyperlink"/>
    <w:qFormat/>
    <w:uiPriority w:val="99"/>
    <w:rPr>
      <w:color w:val="333333"/>
      <w:u w:val="none"/>
    </w:rPr>
  </w:style>
  <w:style w:type="character" w:styleId="36">
    <w:name w:val="annotation reference"/>
    <w:qFormat/>
    <w:uiPriority w:val="0"/>
    <w:rPr>
      <w:sz w:val="21"/>
    </w:rPr>
  </w:style>
  <w:style w:type="paragraph" w:customStyle="1" w:styleId="37">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8">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9">
    <w:name w:val="Table Paragraph"/>
    <w:basedOn w:val="1"/>
    <w:qFormat/>
    <w:uiPriority w:val="1"/>
    <w:pPr>
      <w:widowControl w:val="0"/>
    </w:pPr>
    <w:rPr>
      <w:rFonts w:ascii="宋体" w:hAnsi="宋体" w:cs="宋体"/>
      <w:sz w:val="22"/>
      <w:szCs w:val="22"/>
      <w:lang w:eastAsia="en-US"/>
    </w:rPr>
  </w:style>
  <w:style w:type="paragraph" w:customStyle="1" w:styleId="40">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41">
    <w:name w:val="标题 1 Char"/>
    <w:link w:val="3"/>
    <w:qFormat/>
    <w:uiPriority w:val="0"/>
    <w:rPr>
      <w:rFonts w:ascii="华文中宋" w:hAnsi="华文中宋" w:eastAsia="华文中宋"/>
      <w:b/>
      <w:bCs/>
      <w:color w:val="000000"/>
      <w:kern w:val="44"/>
      <w:sz w:val="32"/>
      <w:szCs w:val="32"/>
    </w:rPr>
  </w:style>
  <w:style w:type="paragraph" w:customStyle="1" w:styleId="42">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3">
    <w:name w:val="标题新"/>
    <w:basedOn w:val="4"/>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4">
    <w:name w:val="Unresolved Mention"/>
    <w:basedOn w:val="32"/>
    <w:unhideWhenUsed/>
    <w:qFormat/>
    <w:uiPriority w:val="99"/>
    <w:rPr>
      <w:color w:val="808080"/>
      <w:shd w:val="clear" w:color="auto" w:fill="E6E6E6"/>
    </w:rPr>
  </w:style>
  <w:style w:type="character" w:customStyle="1" w:styleId="45">
    <w:name w:val="批注框文本 Char"/>
    <w:basedOn w:val="32"/>
    <w:link w:val="18"/>
    <w:qFormat/>
    <w:uiPriority w:val="0"/>
    <w:rPr>
      <w:sz w:val="18"/>
      <w:szCs w:val="18"/>
    </w:rPr>
  </w:style>
  <w:style w:type="character" w:customStyle="1" w:styleId="46">
    <w:name w:val="日期 Char"/>
    <w:basedOn w:val="32"/>
    <w:link w:val="16"/>
    <w:qFormat/>
    <w:uiPriority w:val="0"/>
    <w:rPr>
      <w:rFonts w:ascii="Times New Roman" w:hAnsi="Times New Roman"/>
      <w:kern w:val="2"/>
      <w:sz w:val="21"/>
      <w:szCs w:val="24"/>
    </w:rPr>
  </w:style>
  <w:style w:type="character" w:customStyle="1" w:styleId="47">
    <w:name w:val="纯文本 Char"/>
    <w:basedOn w:val="32"/>
    <w:link w:val="15"/>
    <w:qFormat/>
    <w:uiPriority w:val="0"/>
    <w:rPr>
      <w:rFonts w:ascii="宋体" w:hAnsi="Courier New"/>
      <w:snapToGrid w:val="0"/>
      <w:kern w:val="10"/>
      <w:sz w:val="28"/>
    </w:rPr>
  </w:style>
  <w:style w:type="character" w:customStyle="1" w:styleId="48">
    <w:name w:val="标题 Char"/>
    <w:basedOn w:val="32"/>
    <w:link w:val="28"/>
    <w:qFormat/>
    <w:uiPriority w:val="10"/>
    <w:rPr>
      <w:rFonts w:ascii="Cambria" w:hAnsi="Cambria"/>
      <w:b/>
      <w:bCs/>
      <w:kern w:val="2"/>
      <w:sz w:val="32"/>
      <w:szCs w:val="32"/>
    </w:rPr>
  </w:style>
  <w:style w:type="character" w:customStyle="1" w:styleId="49">
    <w:name w:val="副标题 Char"/>
    <w:basedOn w:val="32"/>
    <w:link w:val="22"/>
    <w:qFormat/>
    <w:uiPriority w:val="0"/>
    <w:rPr>
      <w:rFonts w:ascii="等线 Light" w:hAnsi="等线 Light"/>
      <w:b/>
      <w:bCs/>
      <w:kern w:val="28"/>
      <w:sz w:val="24"/>
      <w:szCs w:val="32"/>
    </w:rPr>
  </w:style>
  <w:style w:type="paragraph" w:customStyle="1" w:styleId="50">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51">
    <w:name w:val="批注文字 Char"/>
    <w:basedOn w:val="32"/>
    <w:link w:val="12"/>
    <w:qFormat/>
    <w:uiPriority w:val="99"/>
    <w:rPr>
      <w:rFonts w:asciiTheme="minorHAnsi" w:hAnsiTheme="minorHAnsi" w:eastAsiaTheme="minorEastAsia" w:cstheme="minorBidi"/>
      <w:sz w:val="24"/>
      <w:szCs w:val="24"/>
    </w:rPr>
  </w:style>
  <w:style w:type="character" w:customStyle="1" w:styleId="52">
    <w:name w:val="批注主题 Char"/>
    <w:basedOn w:val="51"/>
    <w:link w:val="29"/>
    <w:qFormat/>
    <w:uiPriority w:val="0"/>
    <w:rPr>
      <w:rFonts w:asciiTheme="minorHAnsi" w:hAnsiTheme="minorHAnsi" w:eastAsiaTheme="minorEastAsia" w:cstheme="minorBidi"/>
      <w:b/>
      <w:bCs/>
      <w:sz w:val="24"/>
      <w:szCs w:val="24"/>
    </w:rPr>
  </w:style>
  <w:style w:type="paragraph" w:customStyle="1" w:styleId="53">
    <w:name w:val="List Paragraph"/>
    <w:basedOn w:val="1"/>
    <w:link w:val="76"/>
    <w:unhideWhenUsed/>
    <w:qFormat/>
    <w:uiPriority w:val="34"/>
    <w:pPr>
      <w:ind w:firstLine="420" w:firstLineChars="200"/>
    </w:pPr>
  </w:style>
  <w:style w:type="paragraph" w:customStyle="1" w:styleId="54">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5">
    <w:name w:val="多级自动编号"/>
    <w:basedOn w:val="54"/>
    <w:qFormat/>
    <w:uiPriority w:val="0"/>
    <w:pPr>
      <w:numPr>
        <w:ilvl w:val="0"/>
        <w:numId w:val="2"/>
      </w:numPr>
    </w:pPr>
  </w:style>
  <w:style w:type="character" w:customStyle="1" w:styleId="56">
    <w:name w:val="正文文本缩进 Char"/>
    <w:basedOn w:val="32"/>
    <w:link w:val="13"/>
    <w:semiHidden/>
    <w:qFormat/>
    <w:uiPriority w:val="0"/>
    <w:rPr>
      <w:rFonts w:asciiTheme="minorHAnsi" w:hAnsiTheme="minorHAnsi" w:eastAsiaTheme="minorEastAsia" w:cstheme="minorBidi"/>
      <w:sz w:val="24"/>
      <w:szCs w:val="24"/>
    </w:rPr>
  </w:style>
  <w:style w:type="character" w:customStyle="1" w:styleId="57">
    <w:name w:val="正文缩进 Char"/>
    <w:link w:val="11"/>
    <w:qFormat/>
    <w:locked/>
    <w:uiPriority w:val="0"/>
  </w:style>
  <w:style w:type="paragraph" w:customStyle="1" w:styleId="58">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9">
    <w:name w:val="HTML 预设格式 Char"/>
    <w:basedOn w:val="32"/>
    <w:link w:val="26"/>
    <w:semiHidden/>
    <w:qFormat/>
    <w:uiPriority w:val="0"/>
    <w:rPr>
      <w:rFonts w:ascii="Arial" w:hAnsi="Arial"/>
      <w:sz w:val="21"/>
      <w:szCs w:val="21"/>
    </w:rPr>
  </w:style>
  <w:style w:type="character" w:customStyle="1" w:styleId="60">
    <w:name w:val="标题 3 Char"/>
    <w:basedOn w:val="32"/>
    <w:link w:val="5"/>
    <w:qFormat/>
    <w:uiPriority w:val="0"/>
    <w:rPr>
      <w:rFonts w:asciiTheme="minorHAnsi" w:hAnsiTheme="minorHAnsi" w:eastAsiaTheme="minorEastAsia" w:cstheme="minorBidi"/>
      <w:b/>
      <w:bCs/>
      <w:sz w:val="32"/>
      <w:szCs w:val="32"/>
    </w:rPr>
  </w:style>
  <w:style w:type="character" w:customStyle="1" w:styleId="61">
    <w:name w:val="标题 4 Char"/>
    <w:basedOn w:val="32"/>
    <w:link w:val="6"/>
    <w:qFormat/>
    <w:uiPriority w:val="0"/>
    <w:rPr>
      <w:rFonts w:asciiTheme="majorHAnsi" w:hAnsiTheme="majorHAnsi" w:eastAsiaTheme="majorEastAsia" w:cstheme="majorBidi"/>
      <w:b/>
      <w:bCs/>
      <w:sz w:val="28"/>
      <w:szCs w:val="28"/>
    </w:rPr>
  </w:style>
  <w:style w:type="paragraph" w:customStyle="1" w:styleId="62">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3">
    <w:name w:val="p0"/>
    <w:basedOn w:val="1"/>
    <w:qFormat/>
    <w:uiPriority w:val="0"/>
    <w:pPr>
      <w:jc w:val="both"/>
    </w:pPr>
    <w:rPr>
      <w:rFonts w:ascii="宋体" w:hAnsi="宋体" w:eastAsia="宋体" w:cs="宋体"/>
      <w:sz w:val="21"/>
      <w:szCs w:val="21"/>
    </w:rPr>
  </w:style>
  <w:style w:type="character" w:customStyle="1" w:styleId="64">
    <w:name w:val="正文文本 Char"/>
    <w:basedOn w:val="32"/>
    <w:link w:val="2"/>
    <w:qFormat/>
    <w:uiPriority w:val="99"/>
    <w:rPr>
      <w:rFonts w:asciiTheme="minorHAnsi" w:hAnsiTheme="minorHAnsi" w:eastAsiaTheme="minorEastAsia" w:cstheme="minorBidi"/>
      <w:sz w:val="24"/>
      <w:szCs w:val="24"/>
    </w:rPr>
  </w:style>
  <w:style w:type="paragraph" w:customStyle="1" w:styleId="65">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6">
    <w:name w:val="中文正文、 Char Char"/>
    <w:link w:val="67"/>
    <w:qFormat/>
    <w:uiPriority w:val="0"/>
    <w:rPr>
      <w:kern w:val="2"/>
      <w:sz w:val="21"/>
      <w:szCs w:val="21"/>
    </w:rPr>
  </w:style>
  <w:style w:type="paragraph" w:customStyle="1" w:styleId="67">
    <w:name w:val="中文正文、"/>
    <w:basedOn w:val="1"/>
    <w:link w:val="66"/>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8">
    <w:name w:val="p16"/>
    <w:basedOn w:val="1"/>
    <w:qFormat/>
    <w:uiPriority w:val="0"/>
    <w:pPr>
      <w:jc w:val="both"/>
    </w:pPr>
    <w:rPr>
      <w:rFonts w:ascii="宋体" w:hAnsi="宋体" w:eastAsia="宋体" w:cs="Times New Roman"/>
      <w:szCs w:val="20"/>
    </w:rPr>
  </w:style>
  <w:style w:type="character" w:customStyle="1" w:styleId="69">
    <w:name w:val="纯文本 Char1"/>
    <w:qFormat/>
    <w:uiPriority w:val="0"/>
    <w:rPr>
      <w:rFonts w:ascii="宋体" w:hAnsi="Courier New"/>
      <w:kern w:val="2"/>
      <w:sz w:val="21"/>
    </w:rPr>
  </w:style>
  <w:style w:type="paragraph" w:customStyle="1" w:styleId="70">
    <w:name w:val="正文文本 31"/>
    <w:basedOn w:val="1"/>
    <w:qFormat/>
    <w:uiPriority w:val="0"/>
    <w:pPr>
      <w:widowControl w:val="0"/>
      <w:jc w:val="both"/>
    </w:pPr>
    <w:rPr>
      <w:rFonts w:ascii="宋体" w:hAnsi="Times New Roman" w:eastAsia="宋体" w:cs="Times New Roman"/>
      <w:kern w:val="2"/>
    </w:rPr>
  </w:style>
  <w:style w:type="character" w:customStyle="1" w:styleId="71">
    <w:name w:val="页脚 Char"/>
    <w:link w:val="19"/>
    <w:qFormat/>
    <w:uiPriority w:val="99"/>
    <w:rPr>
      <w:rFonts w:asciiTheme="minorHAnsi" w:hAnsiTheme="minorHAnsi" w:eastAsiaTheme="minorEastAsia" w:cstheme="minorBidi"/>
      <w:sz w:val="18"/>
      <w:szCs w:val="18"/>
    </w:rPr>
  </w:style>
  <w:style w:type="character" w:customStyle="1" w:styleId="72">
    <w:name w:val="15"/>
    <w:qFormat/>
    <w:uiPriority w:val="0"/>
    <w:rPr>
      <w:rFonts w:hint="eastAsia" w:ascii="宋体" w:hAnsi="宋体" w:eastAsia="宋体"/>
      <w:sz w:val="24"/>
      <w:szCs w:val="24"/>
    </w:rPr>
  </w:style>
  <w:style w:type="character" w:customStyle="1" w:styleId="73">
    <w:name w:val="页眉 Char"/>
    <w:basedOn w:val="32"/>
    <w:link w:val="20"/>
    <w:qFormat/>
    <w:uiPriority w:val="99"/>
    <w:rPr>
      <w:rFonts w:asciiTheme="minorHAnsi" w:hAnsiTheme="minorHAnsi" w:eastAsiaTheme="minorEastAsia" w:cstheme="minorBidi"/>
      <w:sz w:val="18"/>
      <w:szCs w:val="18"/>
    </w:rPr>
  </w:style>
  <w:style w:type="paragraph" w:customStyle="1" w:styleId="74">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5">
    <w:name w:val="正文文本 33"/>
    <w:basedOn w:val="1"/>
    <w:qFormat/>
    <w:uiPriority w:val="0"/>
    <w:pPr>
      <w:widowControl w:val="0"/>
      <w:jc w:val="both"/>
    </w:pPr>
    <w:rPr>
      <w:rFonts w:ascii="宋体" w:hAnsi="Times New Roman" w:eastAsia="宋体" w:cs="Times New Roman"/>
      <w:kern w:val="2"/>
    </w:rPr>
  </w:style>
  <w:style w:type="character" w:customStyle="1" w:styleId="76">
    <w:name w:val="列出段落 Char"/>
    <w:link w:val="53"/>
    <w:qFormat/>
    <w:locked/>
    <w:uiPriority w:val="34"/>
    <w:rPr>
      <w:rFonts w:asciiTheme="minorHAnsi" w:hAnsiTheme="minorHAnsi" w:eastAsiaTheme="minorEastAsia" w:cstheme="minorBidi"/>
      <w:sz w:val="24"/>
      <w:szCs w:val="24"/>
    </w:rPr>
  </w:style>
  <w:style w:type="character" w:customStyle="1" w:styleId="77">
    <w:name w:val="font11"/>
    <w:qFormat/>
    <w:uiPriority w:val="0"/>
    <w:rPr>
      <w:rFonts w:hint="eastAsia" w:ascii="仿宋" w:hAnsi="仿宋" w:eastAsia="仿宋" w:cs="仿宋"/>
      <w:color w:val="FF0000"/>
      <w:sz w:val="20"/>
      <w:szCs w:val="20"/>
      <w:u w:val="none"/>
      <w:lang w:val="en-US" w:eastAsia="zh-CN" w:bidi="ar-SA"/>
    </w:rPr>
  </w:style>
  <w:style w:type="paragraph" w:customStyle="1" w:styleId="78">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9">
    <w:name w:val="1"/>
    <w:basedOn w:val="1"/>
    <w:next w:val="17"/>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80">
    <w:name w:val="_Style 160"/>
    <w:basedOn w:val="1"/>
    <w:next w:val="53"/>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81">
    <w:name w:val="正文文本缩进 2 Char"/>
    <w:basedOn w:val="32"/>
    <w:link w:val="17"/>
    <w:semiHidden/>
    <w:qFormat/>
    <w:uiPriority w:val="0"/>
    <w:rPr>
      <w:rFonts w:asciiTheme="minorHAnsi" w:hAnsiTheme="minorHAnsi" w:eastAsiaTheme="minorEastAsia" w:cstheme="minorBidi"/>
      <w:sz w:val="24"/>
      <w:szCs w:val="24"/>
    </w:rPr>
  </w:style>
  <w:style w:type="character" w:customStyle="1" w:styleId="82">
    <w:name w:val="标题 6 Char"/>
    <w:basedOn w:val="32"/>
    <w:link w:val="7"/>
    <w:qFormat/>
    <w:uiPriority w:val="0"/>
    <w:rPr>
      <w:rFonts w:ascii="Arial" w:hAnsi="Arial" w:eastAsia="黑体"/>
      <w:b/>
      <w:bCs/>
      <w:sz w:val="24"/>
      <w:szCs w:val="24"/>
    </w:rPr>
  </w:style>
  <w:style w:type="character" w:customStyle="1" w:styleId="83">
    <w:name w:val="标题 7 Char"/>
    <w:basedOn w:val="32"/>
    <w:link w:val="8"/>
    <w:qFormat/>
    <w:uiPriority w:val="0"/>
    <w:rPr>
      <w:rFonts w:ascii="Times New Roman" w:hAnsi="Times New Roman"/>
      <w:b/>
      <w:bCs/>
      <w:sz w:val="24"/>
      <w:szCs w:val="24"/>
    </w:rPr>
  </w:style>
  <w:style w:type="character" w:customStyle="1" w:styleId="84">
    <w:name w:val="标题 8 Char"/>
    <w:basedOn w:val="32"/>
    <w:link w:val="9"/>
    <w:qFormat/>
    <w:uiPriority w:val="0"/>
    <w:rPr>
      <w:rFonts w:ascii="Arial" w:hAnsi="Arial" w:eastAsia="黑体"/>
      <w:sz w:val="24"/>
      <w:szCs w:val="24"/>
    </w:rPr>
  </w:style>
  <w:style w:type="character" w:customStyle="1" w:styleId="85">
    <w:name w:val="标题 9 Char"/>
    <w:basedOn w:val="32"/>
    <w:link w:val="10"/>
    <w:qFormat/>
    <w:uiPriority w:val="0"/>
    <w:rPr>
      <w:rFonts w:ascii="Arial" w:hAnsi="Arial" w:eastAsia="黑体"/>
      <w:sz w:val="21"/>
      <w:szCs w:val="21"/>
    </w:rPr>
  </w:style>
  <w:style w:type="paragraph" w:customStyle="1" w:styleId="86">
    <w:name w:val="列出段落1"/>
    <w:basedOn w:val="1"/>
    <w:qFormat/>
    <w:uiPriority w:val="99"/>
    <w:pPr>
      <w:ind w:firstLine="420" w:firstLineChars="200"/>
    </w:pPr>
    <w:rPr>
      <w:rFonts w:ascii="Calibri" w:hAnsi="Calibri" w:cs="Calibri"/>
      <w:szCs w:val="21"/>
    </w:rPr>
  </w:style>
  <w:style w:type="paragraph" w:customStyle="1" w:styleId="87">
    <w:name w:val="Table Text"/>
    <w:basedOn w:val="1"/>
    <w:semiHidden/>
    <w:qFormat/>
    <w:uiPriority w:val="0"/>
    <w:rPr>
      <w:rFonts w:ascii="宋体" w:hAnsi="宋体" w:eastAsia="宋体" w:cs="宋体"/>
      <w:sz w:val="24"/>
      <w:szCs w:val="24"/>
      <w:lang w:val="en-US" w:eastAsia="en-US" w:bidi="ar-SA"/>
    </w:rPr>
  </w:style>
  <w:style w:type="table" w:customStyle="1" w:styleId="88">
    <w:name w:val="Table Normal"/>
    <w:unhideWhenUsed/>
    <w:qFormat/>
    <w:uiPriority w:val="0"/>
    <w:tblPr>
      <w:tblCellMar>
        <w:top w:w="0" w:type="dxa"/>
        <w:left w:w="0" w:type="dxa"/>
        <w:bottom w:w="0" w:type="dxa"/>
        <w:right w:w="0" w:type="dxa"/>
      </w:tblCellMar>
    </w:tblPr>
  </w:style>
  <w:style w:type="paragraph" w:customStyle="1" w:styleId="89">
    <w:name w:val="Plain Text"/>
    <w:basedOn w:val="1"/>
    <w:qFormat/>
    <w:uiPriority w:val="0"/>
    <w:rPr>
      <w:rFonts w:ascii="宋体" w:hAnsi="Courier New" w:eastAsia="宋体"/>
      <w:kern w:val="0"/>
      <w:sz w:val="21"/>
      <w:szCs w:val="21"/>
    </w:rPr>
  </w:style>
  <w:style w:type="paragraph" w:customStyle="1" w:styleId="90">
    <w:name w:val="_Style 4"/>
    <w:basedOn w:val="1"/>
    <w:qFormat/>
    <w:uiPriority w:val="99"/>
    <w:pPr>
      <w:ind w:firstLine="420" w:firstLineChars="200"/>
    </w:pPr>
  </w:style>
  <w:style w:type="paragraph" w:customStyle="1" w:styleId="91">
    <w:name w:val="_Style 3"/>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3.jpeg"/><Relationship Id="rId13" Type="http://schemas.openxmlformats.org/officeDocument/2006/relationships/image" Target="media/image2.jpeg"/><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home\picc\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Company>Lenovo</Company>
  <Pages>91</Pages>
  <Words>15042</Words>
  <Characters>15800</Characters>
  <Lines>187</Lines>
  <Paragraphs>52</Paragraphs>
  <TotalTime>49</TotalTime>
  <ScaleCrop>false</ScaleCrop>
  <LinksUpToDate>false</LinksUpToDate>
  <CharactersWithSpaces>15900</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2025-10-15T10:43:00Z</dcterms:created>
  <dc:creator>Administrator</dc:creator>
  <cp:lastModifiedBy>picc</cp:lastModifiedBy>
  <cp:lastPrinted>2019-12-03T17:03:00Z</cp:lastPrinted>
  <dcterms:modified xsi:type="dcterms:W3CDTF">2026-08-17T10:03:14Z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FB647ADE41854982967B5195EB596C4D</vt:lpwstr>
  </property>
  <property fmtid="{D5CDD505-2E9C-101B-9397-08002B2CF9AE}" pid="4" name="KSOTemplateDocerSaveRecord">
    <vt:lpwstr>eyJoZGlkIjoiMWIyOTY3MGUyNGM5NTYyNjE5Y2Q3YTliMzc4N2MzNjAiLCJ1c2VySWQiOiIxNDczMjc2NzcwIn0=</vt:lpwstr>
  </property>
</Properties>
</file>