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rPr>
          <w:b/>
          <w:i/>
          <w:color w:val="C00000"/>
        </w:rPr>
      </w:pPr>
    </w:p>
    <w:p>
      <w:pPr>
        <w:jc w:val="center"/>
        <w:rPr>
          <w:rFonts w:hint="eastAsia" w:asciiTheme="majorEastAsia" w:hAnsiTheme="majorEastAsia" w:eastAsiaTheme="majorEastAsia" w:cstheme="majorEastAsia"/>
          <w:b/>
          <w:bCs w:val="0"/>
          <w:i w:val="0"/>
          <w:iCs w:val="0"/>
          <w:caps w:val="0"/>
          <w:color w:val="333333"/>
          <w:spacing w:val="0"/>
          <w:sz w:val="32"/>
          <w:szCs w:val="32"/>
          <w:shd w:val="clear" w:fill="FFFFFF"/>
        </w:rPr>
      </w:pPr>
      <w:r>
        <w:rPr>
          <w:rFonts w:hint="eastAsia" w:asciiTheme="majorEastAsia" w:hAnsiTheme="majorEastAsia" w:eastAsiaTheme="majorEastAsia" w:cstheme="majorEastAsia"/>
          <w:b/>
          <w:bCs w:val="0"/>
          <w:sz w:val="32"/>
          <w:szCs w:val="32"/>
        </w:rPr>
        <w:t>关于</w:t>
      </w:r>
      <w:r>
        <w:rPr>
          <w:rFonts w:hint="eastAsia" w:asciiTheme="majorEastAsia" w:hAnsiTheme="majorEastAsia" w:eastAsiaTheme="majorEastAsia" w:cstheme="majorEastAsia"/>
          <w:b/>
          <w:bCs w:val="0"/>
          <w:i w:val="0"/>
          <w:iCs w:val="0"/>
          <w:caps w:val="0"/>
          <w:color w:val="333333"/>
          <w:spacing w:val="0"/>
          <w:sz w:val="32"/>
          <w:szCs w:val="32"/>
          <w:shd w:val="clear" w:fill="FFFFFF"/>
        </w:rPr>
        <w:t>人保财险四川省雅安市分公司雨城、名山 、宝兴、</w:t>
      </w:r>
    </w:p>
    <w:p>
      <w:pPr>
        <w:jc w:val="center"/>
        <w:rPr>
          <w:rFonts w:hint="eastAsia" w:asciiTheme="majorEastAsia" w:hAnsiTheme="majorEastAsia" w:eastAsiaTheme="majorEastAsia" w:cstheme="majorEastAsia"/>
          <w:b/>
          <w:bCs w:val="0"/>
          <w:i w:val="0"/>
          <w:iCs w:val="0"/>
          <w:caps w:val="0"/>
          <w:color w:val="333333"/>
          <w:spacing w:val="0"/>
          <w:sz w:val="32"/>
          <w:szCs w:val="32"/>
          <w:shd w:val="clear" w:fill="FFFFFF"/>
        </w:rPr>
      </w:pPr>
      <w:r>
        <w:rPr>
          <w:rFonts w:hint="eastAsia" w:asciiTheme="majorEastAsia" w:hAnsiTheme="majorEastAsia" w:eastAsiaTheme="majorEastAsia" w:cstheme="majorEastAsia"/>
          <w:b/>
          <w:bCs w:val="0"/>
          <w:i w:val="0"/>
          <w:iCs w:val="0"/>
          <w:caps w:val="0"/>
          <w:color w:val="333333"/>
          <w:spacing w:val="0"/>
          <w:sz w:val="32"/>
          <w:szCs w:val="32"/>
          <w:shd w:val="clear" w:fill="FFFFFF"/>
        </w:rPr>
        <w:t>天全支公司出租车顶灯车险宣传服务采购项目</w:t>
      </w:r>
    </w:p>
    <w:p>
      <w:pPr>
        <w:jc w:val="center"/>
        <w:rPr>
          <w:rFonts w:hint="eastAsia" w:asciiTheme="majorEastAsia" w:hAnsiTheme="majorEastAsia" w:eastAsiaTheme="majorEastAsia" w:cstheme="majorEastAsia"/>
          <w:b/>
          <w:bCs w:val="0"/>
          <w:sz w:val="32"/>
          <w:szCs w:val="32"/>
        </w:rPr>
      </w:pPr>
      <w:r>
        <w:rPr>
          <w:rFonts w:hint="eastAsia" w:asciiTheme="majorEastAsia" w:hAnsiTheme="majorEastAsia" w:eastAsiaTheme="majorEastAsia" w:cstheme="majorEastAsia"/>
          <w:b/>
          <w:bCs w:val="0"/>
          <w:sz w:val="32"/>
          <w:szCs w:val="32"/>
        </w:rPr>
        <w:t>拟采用单一来源方式采购的公示</w:t>
      </w:r>
    </w:p>
    <w:p>
      <w:pPr>
        <w:adjustRightInd w:val="0"/>
        <w:snapToGrid w:val="0"/>
        <w:spacing w:line="360" w:lineRule="auto"/>
        <w:ind w:firstLine="420" w:firstLineChars="200"/>
        <w:jc w:val="left"/>
      </w:pPr>
    </w:p>
    <w:p>
      <w:pPr>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ascii="仿宋_GB2312" w:hAnsi="仿宋" w:eastAsia="仿宋_GB2312"/>
          <w:sz w:val="32"/>
          <w:szCs w:val="32"/>
        </w:rPr>
      </w:pPr>
      <w:r>
        <w:rPr>
          <w:rFonts w:hint="eastAsia" w:ascii="仿宋_GB2312" w:hAnsi="仿宋" w:eastAsia="仿宋_GB2312"/>
          <w:sz w:val="32"/>
          <w:szCs w:val="32"/>
        </w:rPr>
        <w:t>根据中国人民保险集团和中国人民财产保险股份有限公司采购管理相关制度规定，现将相关单一来源采购内容公示如下：</w:t>
      </w:r>
    </w:p>
    <w:p>
      <w:pPr>
        <w:pStyle w:val="10"/>
        <w:keepNext w:val="0"/>
        <w:keepLines w:val="0"/>
        <w:pageBreakBefore w:val="0"/>
        <w:numPr>
          <w:numId w:val="0"/>
        </w:numPr>
        <w:kinsoku/>
        <w:wordWrap/>
        <w:overflowPunct/>
        <w:topLinePunct w:val="0"/>
        <w:autoSpaceDE/>
        <w:autoSpaceDN/>
        <w:bidi w:val="0"/>
        <w:adjustRightInd w:val="0"/>
        <w:snapToGrid w:val="0"/>
        <w:spacing w:line="360" w:lineRule="auto"/>
        <w:ind w:firstLine="643" w:firstLineChars="200"/>
        <w:jc w:val="left"/>
        <w:textAlignment w:val="auto"/>
        <w:rPr>
          <w:rFonts w:hint="eastAsia" w:ascii="仿宋" w:hAnsi="仿宋" w:eastAsia="仿宋" w:cs="仿宋"/>
          <w:sz w:val="30"/>
          <w:szCs w:val="30"/>
        </w:rPr>
      </w:pPr>
      <w:r>
        <w:rPr>
          <w:rFonts w:hint="eastAsia" w:ascii="黑体" w:hAnsi="黑体" w:eastAsia="黑体"/>
          <w:b/>
          <w:sz w:val="32"/>
          <w:szCs w:val="32"/>
          <w:lang w:val="en-US" w:eastAsia="zh-CN"/>
        </w:rPr>
        <w:t>一、</w:t>
      </w:r>
      <w:r>
        <w:rPr>
          <w:rFonts w:hint="eastAsia" w:ascii="黑体" w:hAnsi="黑体" w:eastAsia="黑体"/>
          <w:b/>
          <w:sz w:val="32"/>
          <w:szCs w:val="32"/>
        </w:rPr>
        <w:t>项目名称：</w:t>
      </w:r>
      <w:r>
        <w:rPr>
          <w:rFonts w:hint="eastAsia" w:ascii="仿宋" w:hAnsi="仿宋" w:eastAsia="仿宋" w:cs="仿宋"/>
          <w:i w:val="0"/>
          <w:iCs w:val="0"/>
          <w:caps w:val="0"/>
          <w:color w:val="333333"/>
          <w:spacing w:val="0"/>
          <w:sz w:val="30"/>
          <w:szCs w:val="30"/>
          <w:shd w:val="clear" w:fill="FFFFFF"/>
        </w:rPr>
        <w:t>人保财险四川省雅安市分公司雨城、名山 、</w:t>
      </w:r>
      <w:bookmarkStart w:id="0" w:name="_GoBack"/>
      <w:bookmarkEnd w:id="0"/>
      <w:r>
        <w:rPr>
          <w:rFonts w:hint="eastAsia" w:ascii="仿宋" w:hAnsi="仿宋" w:eastAsia="仿宋" w:cs="仿宋"/>
          <w:i w:val="0"/>
          <w:iCs w:val="0"/>
          <w:caps w:val="0"/>
          <w:color w:val="333333"/>
          <w:spacing w:val="0"/>
          <w:sz w:val="30"/>
          <w:szCs w:val="30"/>
          <w:shd w:val="clear" w:fill="FFFFFF"/>
        </w:rPr>
        <w:t>宝兴、天全支公司出租车顶灯车险宣传服务采购项目</w:t>
      </w:r>
    </w:p>
    <w:p>
      <w:pPr>
        <w:keepNext w:val="0"/>
        <w:keepLines w:val="0"/>
        <w:pageBreakBefore w:val="0"/>
        <w:widowControl/>
        <w:kinsoku/>
        <w:wordWrap/>
        <w:overflowPunct/>
        <w:topLinePunct w:val="0"/>
        <w:autoSpaceDE/>
        <w:autoSpaceDN/>
        <w:bidi w:val="0"/>
        <w:spacing w:line="360" w:lineRule="auto"/>
        <w:ind w:firstLine="643" w:firstLineChars="200"/>
        <w:jc w:val="left"/>
        <w:textAlignment w:val="auto"/>
        <w:rPr>
          <w:rFonts w:hint="default" w:ascii="仿宋" w:hAnsi="仿宋" w:eastAsia="仿宋" w:cs="仿宋"/>
          <w:b/>
          <w:sz w:val="32"/>
          <w:szCs w:val="32"/>
          <w:lang w:val="en-US" w:eastAsia="zh-CN"/>
        </w:rPr>
      </w:pPr>
      <w:r>
        <w:rPr>
          <w:rFonts w:hint="eastAsia" w:ascii="黑体" w:hAnsi="黑体" w:eastAsia="黑体"/>
          <w:b/>
          <w:sz w:val="32"/>
          <w:szCs w:val="32"/>
          <w:lang w:val="en-US" w:eastAsia="zh-CN"/>
        </w:rPr>
        <w:t>二、</w:t>
      </w:r>
      <w:r>
        <w:rPr>
          <w:rFonts w:ascii="黑体" w:hAnsi="黑体" w:eastAsia="黑体"/>
          <w:b/>
          <w:sz w:val="32"/>
          <w:szCs w:val="32"/>
        </w:rPr>
        <w:t>采购需求</w:t>
      </w:r>
      <w:r>
        <w:rPr>
          <w:rFonts w:hint="eastAsia" w:ascii="黑体" w:hAnsi="黑体" w:eastAsia="黑体"/>
          <w:b/>
          <w:sz w:val="32"/>
          <w:szCs w:val="32"/>
        </w:rPr>
        <w:t>：</w:t>
      </w:r>
      <w:r>
        <w:rPr>
          <w:rFonts w:hint="eastAsia" w:ascii="仿宋_GB2312" w:hAnsi="宋体" w:eastAsia="仿宋_GB2312" w:cs="宋体"/>
          <w:kern w:val="0"/>
          <w:sz w:val="32"/>
          <w:szCs w:val="32"/>
        </w:rPr>
        <w:t>本项目拟采购一家广告</w:t>
      </w:r>
      <w:r>
        <w:rPr>
          <w:rFonts w:hint="eastAsia" w:ascii="仿宋_GB2312" w:hAnsi="宋体" w:eastAsia="仿宋_GB2312" w:cs="宋体"/>
          <w:kern w:val="0"/>
          <w:sz w:val="32"/>
          <w:szCs w:val="32"/>
          <w:lang w:val="en-US" w:eastAsia="zh-CN"/>
        </w:rPr>
        <w:t>服务商，</w:t>
      </w:r>
      <w:r>
        <w:rPr>
          <w:rFonts w:hint="eastAsia" w:ascii="仿宋_GB2312" w:hAnsi="宋体" w:eastAsia="仿宋_GB2312" w:cs="宋体"/>
          <w:kern w:val="0"/>
          <w:sz w:val="32"/>
          <w:szCs w:val="32"/>
        </w:rPr>
        <w:t>提供</w:t>
      </w:r>
      <w:r>
        <w:rPr>
          <w:rFonts w:hint="eastAsia" w:ascii="仿宋_GB2312" w:hAnsi="宋体" w:eastAsia="仿宋_GB2312" w:cs="宋体"/>
          <w:kern w:val="0"/>
          <w:sz w:val="32"/>
          <w:szCs w:val="32"/>
          <w:lang w:val="en-US" w:eastAsia="zh-CN"/>
        </w:rPr>
        <w:t>为期</w:t>
      </w:r>
      <w:r>
        <w:rPr>
          <w:rFonts w:hint="eastAsia" w:ascii="仿宋_GB2312" w:hAnsi="宋体" w:eastAsia="仿宋_GB2312" w:cs="宋体"/>
          <w:kern w:val="0"/>
          <w:sz w:val="32"/>
          <w:szCs w:val="32"/>
        </w:rPr>
        <w:t>一年</w:t>
      </w:r>
      <w:r>
        <w:rPr>
          <w:rFonts w:hint="eastAsia" w:ascii="仿宋_GB2312" w:hAnsi="宋体" w:eastAsia="仿宋_GB2312" w:cs="宋体"/>
          <w:kern w:val="0"/>
          <w:sz w:val="32"/>
          <w:szCs w:val="32"/>
          <w:lang w:val="en-US" w:eastAsia="zh-CN"/>
        </w:rPr>
        <w:t>的</w:t>
      </w:r>
      <w:r>
        <w:rPr>
          <w:rFonts w:hint="eastAsia" w:ascii="仿宋_GB2312" w:hAnsi="宋体" w:eastAsia="仿宋_GB2312" w:cs="宋体"/>
          <w:kern w:val="0"/>
          <w:sz w:val="32"/>
          <w:szCs w:val="32"/>
        </w:rPr>
        <w:t>出租车顶灯车险宣传广告投放服务</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lang w:val="en-US" w:eastAsia="zh-CN"/>
        </w:rPr>
        <w:t>覆盖雨城、名山、宝兴和天全全域</w:t>
      </w:r>
      <w:r>
        <w:rPr>
          <w:rFonts w:hint="eastAsia" w:ascii="仿宋_GB2312" w:hAnsi="宋体" w:eastAsia="仿宋_GB2312" w:cs="宋体"/>
          <w:kern w:val="0"/>
          <w:sz w:val="32"/>
          <w:szCs w:val="32"/>
        </w:rPr>
        <w:t xml:space="preserve">。出租车顶灯的宣传授权、宣传物料等由广告公司提供，出租车顶灯宣传主题与文案由甲方提供，包含但不限于：“爱车投保，认准人民保险”、“车险选人保，出行没烦恼” </w:t>
      </w:r>
      <w:r>
        <w:rPr>
          <w:rFonts w:hint="eastAsia" w:ascii="仿宋_GB2312" w:hAnsi="宋体" w:eastAsia="仿宋_GB2312" w:cs="宋体"/>
          <w:kern w:val="0"/>
          <w:sz w:val="32"/>
          <w:szCs w:val="32"/>
          <w:lang w:val="en-US" w:eastAsia="zh-CN"/>
        </w:rPr>
        <w:t>。播放标准：</w:t>
      </w:r>
      <w:r>
        <w:rPr>
          <w:rFonts w:hint="eastAsia" w:ascii="仿宋" w:hAnsi="仿宋" w:eastAsia="仿宋" w:cs="宋体"/>
          <w:sz w:val="32"/>
          <w:szCs w:val="32"/>
          <w:lang w:val="en-US" w:eastAsia="zh-CN"/>
        </w:rPr>
        <w:t>雨城</w:t>
      </w:r>
      <w:r>
        <w:rPr>
          <w:rFonts w:hint="eastAsia" w:ascii="仿宋" w:hAnsi="仿宋" w:eastAsia="仿宋" w:cs="宋体"/>
          <w:sz w:val="32"/>
          <w:szCs w:val="32"/>
        </w:rPr>
        <w:t>出租车顶灯每天每台车滚动播放</w:t>
      </w:r>
      <w:r>
        <w:rPr>
          <w:rFonts w:hint="eastAsia" w:ascii="仿宋" w:hAnsi="仿宋" w:eastAsia="仿宋" w:cs="宋体"/>
          <w:sz w:val="32"/>
          <w:szCs w:val="32"/>
          <w:lang w:val="en-US" w:eastAsia="zh-CN"/>
        </w:rPr>
        <w:t>384</w:t>
      </w:r>
      <w:r>
        <w:rPr>
          <w:rFonts w:hint="eastAsia" w:ascii="仿宋" w:hAnsi="仿宋" w:eastAsia="仿宋" w:cs="宋体"/>
          <w:sz w:val="32"/>
          <w:szCs w:val="32"/>
        </w:rPr>
        <w:t>次</w:t>
      </w:r>
      <w:r>
        <w:rPr>
          <w:rFonts w:hint="eastAsia" w:ascii="仿宋" w:hAnsi="仿宋" w:eastAsia="仿宋" w:cs="宋体"/>
          <w:sz w:val="32"/>
          <w:szCs w:val="32"/>
          <w:lang w:eastAsia="zh-CN"/>
        </w:rPr>
        <w:t>，</w:t>
      </w:r>
      <w:r>
        <w:rPr>
          <w:rFonts w:hint="eastAsia" w:ascii="仿宋" w:hAnsi="仿宋" w:eastAsia="仿宋" w:cs="宋体"/>
          <w:sz w:val="32"/>
          <w:szCs w:val="32"/>
        </w:rPr>
        <w:t>每次播放</w:t>
      </w:r>
      <w:r>
        <w:rPr>
          <w:rFonts w:hint="eastAsia" w:ascii="仿宋" w:hAnsi="仿宋" w:eastAsia="仿宋" w:cs="宋体"/>
          <w:sz w:val="32"/>
          <w:szCs w:val="32"/>
          <w:lang w:val="en-US" w:eastAsia="zh-CN"/>
        </w:rPr>
        <w:t>时长15</w:t>
      </w:r>
      <w:r>
        <w:rPr>
          <w:rFonts w:hint="eastAsia" w:ascii="仿宋" w:hAnsi="仿宋" w:eastAsia="仿宋" w:cs="宋体"/>
          <w:sz w:val="32"/>
          <w:szCs w:val="32"/>
        </w:rPr>
        <w:t>秒,每天</w:t>
      </w:r>
      <w:r>
        <w:rPr>
          <w:rFonts w:hint="eastAsia" w:ascii="仿宋" w:hAnsi="仿宋" w:eastAsia="仿宋" w:cs="宋体"/>
          <w:sz w:val="32"/>
          <w:szCs w:val="32"/>
          <w:lang w:val="en-US" w:eastAsia="zh-CN"/>
        </w:rPr>
        <w:t>每台</w:t>
      </w:r>
      <w:r>
        <w:rPr>
          <w:rFonts w:hint="eastAsia" w:ascii="仿宋" w:hAnsi="仿宋" w:eastAsia="仿宋" w:cs="宋体"/>
          <w:sz w:val="32"/>
          <w:szCs w:val="32"/>
        </w:rPr>
        <w:t>宣传播放时长</w:t>
      </w:r>
      <w:r>
        <w:rPr>
          <w:rFonts w:hint="eastAsia" w:ascii="仿宋" w:hAnsi="仿宋" w:eastAsia="仿宋" w:cs="宋体"/>
          <w:sz w:val="32"/>
          <w:szCs w:val="32"/>
          <w:lang w:val="en-US" w:eastAsia="zh-CN"/>
        </w:rPr>
        <w:t>为1.6小时；</w:t>
      </w:r>
      <w:r>
        <w:rPr>
          <w:rFonts w:hint="eastAsia" w:ascii="仿宋_GB2312" w:hAnsi="宋体" w:eastAsia="仿宋_GB2312" w:cs="宋体"/>
          <w:kern w:val="0"/>
          <w:sz w:val="32"/>
          <w:szCs w:val="32"/>
          <w:lang w:val="en-US" w:eastAsia="zh-CN"/>
        </w:rPr>
        <w:t>名山、宝兴和天全</w:t>
      </w:r>
      <w:r>
        <w:rPr>
          <w:rFonts w:hint="eastAsia" w:ascii="仿宋" w:hAnsi="仿宋" w:eastAsia="仿宋" w:cs="宋体"/>
          <w:sz w:val="32"/>
          <w:szCs w:val="32"/>
        </w:rPr>
        <w:t>出租车顶灯每天每台车滚动播放</w:t>
      </w:r>
      <w:r>
        <w:rPr>
          <w:rFonts w:hint="eastAsia" w:ascii="仿宋" w:hAnsi="仿宋" w:eastAsia="仿宋" w:cs="宋体"/>
          <w:sz w:val="32"/>
          <w:szCs w:val="32"/>
          <w:lang w:val="en-US" w:eastAsia="zh-CN"/>
        </w:rPr>
        <w:t>576</w:t>
      </w:r>
      <w:r>
        <w:rPr>
          <w:rFonts w:hint="eastAsia" w:ascii="仿宋" w:hAnsi="仿宋" w:eastAsia="仿宋" w:cs="宋体"/>
          <w:sz w:val="32"/>
          <w:szCs w:val="32"/>
        </w:rPr>
        <w:t>次，每次播放</w:t>
      </w:r>
      <w:r>
        <w:rPr>
          <w:rFonts w:hint="eastAsia" w:ascii="仿宋" w:hAnsi="仿宋" w:eastAsia="仿宋" w:cs="宋体"/>
          <w:sz w:val="32"/>
          <w:szCs w:val="32"/>
          <w:lang w:val="en-US" w:eastAsia="zh-CN"/>
        </w:rPr>
        <w:t>时长15</w:t>
      </w:r>
      <w:r>
        <w:rPr>
          <w:rFonts w:hint="eastAsia" w:ascii="仿宋" w:hAnsi="仿宋" w:eastAsia="仿宋" w:cs="宋体"/>
          <w:sz w:val="32"/>
          <w:szCs w:val="32"/>
        </w:rPr>
        <w:t>秒,每天</w:t>
      </w:r>
      <w:r>
        <w:rPr>
          <w:rFonts w:hint="eastAsia" w:ascii="仿宋" w:hAnsi="仿宋" w:eastAsia="仿宋" w:cs="宋体"/>
          <w:sz w:val="32"/>
          <w:szCs w:val="32"/>
          <w:lang w:val="en-US" w:eastAsia="zh-CN"/>
        </w:rPr>
        <w:t>每台</w:t>
      </w:r>
      <w:r>
        <w:rPr>
          <w:rFonts w:hint="eastAsia" w:ascii="仿宋" w:hAnsi="仿宋" w:eastAsia="仿宋" w:cs="宋体"/>
          <w:sz w:val="32"/>
          <w:szCs w:val="32"/>
        </w:rPr>
        <w:t>宣传播放时长</w:t>
      </w:r>
      <w:r>
        <w:rPr>
          <w:rFonts w:hint="eastAsia" w:ascii="仿宋" w:hAnsi="仿宋" w:eastAsia="仿宋" w:cs="宋体"/>
          <w:sz w:val="32"/>
          <w:szCs w:val="32"/>
          <w:lang w:val="en-US" w:eastAsia="zh-CN"/>
        </w:rPr>
        <w:t>为2.4</w:t>
      </w:r>
      <w:r>
        <w:rPr>
          <w:rFonts w:hint="eastAsia" w:ascii="仿宋" w:hAnsi="仿宋" w:eastAsia="仿宋" w:cs="宋体"/>
          <w:sz w:val="32"/>
          <w:szCs w:val="32"/>
        </w:rPr>
        <w:t>小时</w:t>
      </w:r>
      <w:r>
        <w:rPr>
          <w:rFonts w:hint="eastAsia" w:ascii="仿宋" w:hAnsi="仿宋" w:eastAsia="仿宋" w:cs="宋体"/>
          <w:sz w:val="32"/>
          <w:szCs w:val="32"/>
          <w:lang w:eastAsia="zh-CN"/>
        </w:rPr>
        <w:t>。</w:t>
      </w:r>
      <w:r>
        <w:rPr>
          <w:rFonts w:hint="eastAsia" w:ascii="仿宋" w:hAnsi="仿宋" w:eastAsia="仿宋" w:cs="仿宋"/>
          <w:sz w:val="32"/>
          <w:szCs w:val="32"/>
          <w:lang w:val="en-US" w:eastAsia="zh-CN"/>
        </w:rPr>
        <w:t>出租车需求量：雨城448台、名山60台、宝兴30台、天全20台。</w:t>
      </w:r>
    </w:p>
    <w:p>
      <w:pPr>
        <w:keepNext w:val="0"/>
        <w:keepLines w:val="0"/>
        <w:pageBreakBefore w:val="0"/>
        <w:kinsoku/>
        <w:wordWrap/>
        <w:overflowPunct/>
        <w:topLinePunct w:val="0"/>
        <w:autoSpaceDE/>
        <w:autoSpaceDN/>
        <w:bidi w:val="0"/>
        <w:spacing w:line="360" w:lineRule="auto"/>
        <w:ind w:firstLine="643" w:firstLineChars="200"/>
        <w:jc w:val="left"/>
        <w:textAlignment w:val="auto"/>
        <w:rPr>
          <w:rFonts w:ascii="仿宋_GB2312" w:hAnsi="仿宋_GB2312" w:eastAsia="仿宋_GB2312" w:cs="仿宋_GB2312"/>
          <w:sz w:val="32"/>
          <w:szCs w:val="32"/>
        </w:rPr>
      </w:pPr>
      <w:r>
        <w:rPr>
          <w:rFonts w:hint="eastAsia" w:ascii="黑体" w:hAnsi="黑体" w:eastAsia="黑体"/>
          <w:b/>
          <w:sz w:val="32"/>
          <w:szCs w:val="32"/>
        </w:rPr>
        <w:t>三、单一来源供应商：</w:t>
      </w:r>
      <w:r>
        <w:rPr>
          <w:rFonts w:hint="eastAsia" w:ascii="仿宋_GB2312" w:hAnsi="仿宋_GB2312" w:eastAsia="仿宋_GB2312" w:cs="仿宋_GB2312"/>
          <w:sz w:val="32"/>
          <w:szCs w:val="32"/>
        </w:rPr>
        <w:t>雅安启创佳传媒有限公司</w:t>
      </w:r>
    </w:p>
    <w:p>
      <w:pPr>
        <w:keepNext w:val="0"/>
        <w:keepLines w:val="0"/>
        <w:pageBreakBefore w:val="0"/>
        <w:kinsoku/>
        <w:wordWrap/>
        <w:overflowPunct/>
        <w:topLinePunct w:val="0"/>
        <w:autoSpaceDE/>
        <w:autoSpaceDN/>
        <w:bidi w:val="0"/>
        <w:adjustRightInd w:val="0"/>
        <w:snapToGrid w:val="0"/>
        <w:spacing w:line="360" w:lineRule="auto"/>
        <w:ind w:firstLine="643" w:firstLineChars="200"/>
        <w:jc w:val="left"/>
        <w:textAlignment w:val="auto"/>
        <w:rPr>
          <w:rFonts w:ascii="仿宋_GB2312" w:hAnsi="仿宋" w:eastAsia="仿宋_GB2312"/>
          <w:sz w:val="32"/>
          <w:szCs w:val="32"/>
        </w:rPr>
      </w:pPr>
      <w:r>
        <w:rPr>
          <w:rFonts w:hint="eastAsia" w:ascii="黑体" w:hAnsi="黑体" w:eastAsia="黑体"/>
          <w:b/>
          <w:sz w:val="32"/>
          <w:szCs w:val="32"/>
        </w:rPr>
        <w:t>四、公示期限：</w:t>
      </w:r>
      <w:r>
        <w:rPr>
          <w:rFonts w:hint="eastAsia" w:ascii="仿宋_GB2312" w:hAnsi="仿宋" w:eastAsia="仿宋_GB2312"/>
          <w:sz w:val="32"/>
          <w:szCs w:val="32"/>
        </w:rPr>
        <w:t>自公示发布之日起3日。</w:t>
      </w:r>
    </w:p>
    <w:p>
      <w:pPr>
        <w:keepNext w:val="0"/>
        <w:keepLines w:val="0"/>
        <w:pageBreakBefore w:val="0"/>
        <w:kinsoku/>
        <w:wordWrap/>
        <w:overflowPunct/>
        <w:topLinePunct w:val="0"/>
        <w:autoSpaceDE/>
        <w:autoSpaceDN/>
        <w:bidi w:val="0"/>
        <w:adjustRightInd w:val="0"/>
        <w:snapToGrid w:val="0"/>
        <w:spacing w:line="360" w:lineRule="auto"/>
        <w:ind w:firstLine="643" w:firstLineChars="200"/>
        <w:jc w:val="left"/>
        <w:textAlignment w:val="auto"/>
        <w:rPr>
          <w:rFonts w:hint="eastAsia" w:ascii="仿宋_GB2312" w:hAnsi="仿宋" w:eastAsia="黑体"/>
          <w:sz w:val="32"/>
          <w:szCs w:val="32"/>
          <w:lang w:val="en-US" w:eastAsia="zh-CN"/>
        </w:rPr>
      </w:pPr>
      <w:r>
        <w:rPr>
          <w:rFonts w:hint="eastAsia" w:ascii="黑体" w:hAnsi="黑体" w:eastAsia="黑体"/>
          <w:b/>
          <w:sz w:val="32"/>
          <w:szCs w:val="32"/>
        </w:rPr>
        <w:t>五、联系人及联系方式：</w:t>
      </w:r>
      <w:r>
        <w:rPr>
          <w:rFonts w:hint="eastAsia" w:ascii="仿宋_GB2312" w:hAnsi="仿宋" w:eastAsia="仿宋_GB2312"/>
          <w:sz w:val="32"/>
          <w:szCs w:val="32"/>
          <w:lang w:val="en-US" w:eastAsia="zh-CN"/>
        </w:rPr>
        <w:t>李德明</w:t>
      </w:r>
    </w:p>
    <w:p>
      <w:pPr>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hint="default" w:ascii="仿宋_GB2312" w:hAnsi="仿宋" w:eastAsia="仿宋_GB2312"/>
          <w:sz w:val="32"/>
          <w:szCs w:val="32"/>
          <w:lang w:val="en-US" w:eastAsia="zh-CN"/>
        </w:rPr>
      </w:pPr>
      <w:r>
        <w:rPr>
          <w:rFonts w:hint="eastAsia" w:ascii="仿宋_GB2312" w:hAnsi="仿宋" w:eastAsia="仿宋_GB2312"/>
          <w:sz w:val="32"/>
          <w:szCs w:val="32"/>
        </w:rPr>
        <w:t>联系电话：</w:t>
      </w:r>
      <w:r>
        <w:rPr>
          <w:rFonts w:hint="eastAsia" w:ascii="仿宋_GB2312" w:hAnsi="仿宋" w:eastAsia="仿宋_GB2312"/>
          <w:sz w:val="32"/>
          <w:szCs w:val="32"/>
          <w:lang w:val="en-US" w:eastAsia="zh-CN"/>
        </w:rPr>
        <w:t>0835-2239284   13568745940</w:t>
      </w:r>
    </w:p>
    <w:p>
      <w:pPr>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ascii="仿宋_GB2312" w:hAnsi="仿宋" w:eastAsia="仿宋_GB2312"/>
          <w:sz w:val="32"/>
          <w:szCs w:val="32"/>
        </w:rPr>
      </w:pPr>
      <w:r>
        <w:rPr>
          <w:rFonts w:hint="eastAsia" w:ascii="仿宋_GB2312" w:hAnsi="仿宋" w:eastAsia="仿宋_GB2312"/>
          <w:sz w:val="32"/>
          <w:szCs w:val="32"/>
        </w:rPr>
        <w:t>联系邮箱：</w:t>
      </w:r>
      <w:r>
        <w:rPr>
          <w:rFonts w:ascii="宋体" w:hAnsi="宋体" w:eastAsia="宋体" w:cs="宋体"/>
          <w:sz w:val="30"/>
          <w:szCs w:val="30"/>
        </w:rPr>
        <w:t>lideming03@sic.picc.com.cn</w:t>
      </w:r>
    </w:p>
    <w:p>
      <w:pPr>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ascii="仿宋_GB2312" w:hAnsi="仿宋" w:eastAsia="仿宋_GB2312"/>
          <w:sz w:val="32"/>
          <w:szCs w:val="32"/>
        </w:rPr>
      </w:pPr>
      <w:r>
        <w:rPr>
          <w:rFonts w:hint="eastAsia" w:ascii="仿宋_GB2312" w:hAnsi="仿宋" w:eastAsia="仿宋_GB2312"/>
          <w:sz w:val="32"/>
          <w:szCs w:val="32"/>
        </w:rPr>
        <w:t>任何单位或个人如对以上项目采用单一来源采购方式有异议，请在公示期间以书面形式进行反馈。</w:t>
      </w:r>
    </w:p>
    <w:p>
      <w:pPr>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ascii="仿宋_GB2312" w:hAnsi="仿宋" w:eastAsia="仿宋_GB2312"/>
          <w:sz w:val="32"/>
          <w:szCs w:val="32"/>
        </w:rPr>
      </w:pPr>
    </w:p>
    <w:p>
      <w:pPr>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ascii="仿宋_GB2312" w:hAnsi="仿宋" w:eastAsia="仿宋_GB2312"/>
          <w:sz w:val="32"/>
          <w:szCs w:val="32"/>
        </w:rPr>
      </w:pP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中国人民财产保险股份有限公司</w:t>
      </w:r>
    </w:p>
    <w:p>
      <w:pPr>
        <w:keepNext w:val="0"/>
        <w:keepLines w:val="0"/>
        <w:pageBreakBefore w:val="0"/>
        <w:kinsoku/>
        <w:wordWrap/>
        <w:overflowPunct/>
        <w:topLinePunct w:val="0"/>
        <w:autoSpaceDE/>
        <w:autoSpaceDN/>
        <w:bidi w:val="0"/>
        <w:adjustRightInd w:val="0"/>
        <w:snapToGrid w:val="0"/>
        <w:spacing w:line="360" w:lineRule="auto"/>
        <w:ind w:firstLine="640" w:firstLineChars="200"/>
        <w:jc w:val="left"/>
        <w:textAlignment w:val="auto"/>
        <w:rPr>
          <w:rFonts w:ascii="仿宋_GB2312" w:hAnsi="仿宋" w:eastAsia="仿宋_GB2312"/>
          <w:sz w:val="32"/>
          <w:szCs w:val="32"/>
        </w:rPr>
      </w:pP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lang w:val="en-US" w:eastAsia="zh-CN"/>
        </w:rPr>
        <w:t>雅安市</w:t>
      </w:r>
      <w:r>
        <w:rPr>
          <w:rFonts w:ascii="仿宋_GB2312" w:hAnsi="仿宋" w:eastAsia="仿宋_GB2312"/>
          <w:sz w:val="32"/>
          <w:szCs w:val="32"/>
        </w:rPr>
        <w:t>公司</w:t>
      </w:r>
    </w:p>
    <w:p>
      <w:pPr>
        <w:adjustRightInd w:val="0"/>
        <w:snapToGrid w:val="0"/>
        <w:spacing w:line="360" w:lineRule="auto"/>
        <w:ind w:firstLine="4960" w:firstLineChars="1550"/>
        <w:jc w:val="left"/>
        <w:rPr>
          <w:rFonts w:ascii="仿宋_GB2312" w:hAnsi="仿宋" w:eastAsia="仿宋_GB2312"/>
          <w:sz w:val="32"/>
          <w:szCs w:val="32"/>
        </w:rPr>
      </w:pPr>
      <w:r>
        <w:rPr>
          <w:rFonts w:hint="eastAsia" w:ascii="仿宋_GB2312" w:hAnsi="仿宋" w:eastAsia="仿宋_GB2312"/>
          <w:sz w:val="32"/>
          <w:szCs w:val="32"/>
          <w:lang w:val="en-US" w:eastAsia="zh-CN"/>
        </w:rPr>
        <w:t>2026</w:t>
      </w:r>
      <w:r>
        <w:rPr>
          <w:rFonts w:hint="eastAsia" w:ascii="仿宋_GB2312" w:hAnsi="仿宋" w:eastAsia="仿宋_GB2312"/>
          <w:sz w:val="32"/>
          <w:szCs w:val="32"/>
        </w:rPr>
        <w:t>年</w:t>
      </w:r>
      <w:r>
        <w:rPr>
          <w:rFonts w:hint="eastAsia" w:ascii="仿宋_GB2312" w:hAnsi="仿宋" w:eastAsia="仿宋_GB2312"/>
          <w:sz w:val="32"/>
          <w:szCs w:val="32"/>
          <w:lang w:val="en-US" w:eastAsia="zh-CN"/>
        </w:rPr>
        <w:t>8</w:t>
      </w:r>
      <w:r>
        <w:rPr>
          <w:rFonts w:hint="eastAsia" w:ascii="仿宋_GB2312" w:hAnsi="仿宋" w:eastAsia="仿宋_GB2312"/>
          <w:sz w:val="32"/>
          <w:szCs w:val="32"/>
        </w:rPr>
        <w:t>月</w:t>
      </w:r>
      <w:r>
        <w:rPr>
          <w:rFonts w:hint="eastAsia" w:ascii="仿宋_GB2312" w:hAnsi="仿宋" w:eastAsia="仿宋_GB2312"/>
          <w:sz w:val="32"/>
          <w:szCs w:val="32"/>
          <w:lang w:val="en-US" w:eastAsia="zh-CN"/>
        </w:rPr>
        <w:t>24</w:t>
      </w:r>
      <w:r>
        <w:rPr>
          <w:rFonts w:hint="eastAsia" w:ascii="仿宋_GB2312" w:hAnsi="仿宋" w:eastAsia="仿宋_GB2312"/>
          <w:sz w:val="32"/>
          <w:szCs w:val="32"/>
        </w:rPr>
        <w:t>日</w:t>
      </w:r>
    </w:p>
    <w:p>
      <w:pPr>
        <w:jc w:val="left"/>
        <w:rPr>
          <w:i/>
          <w:color w:val="C00000"/>
          <w:sz w:val="28"/>
          <w:szCs w:val="28"/>
          <w:lang w:val="en-GB"/>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MT Extra">
    <w:panose1 w:val="05050102010205020202"/>
    <w:charset w:val="00"/>
    <w:family w:val="auto"/>
    <w:pitch w:val="default"/>
    <w:sig w:usb0="80000000" w:usb1="00000000" w:usb2="00000000" w:usb3="00000000" w:csb0="00000000" w:csb1="00000000"/>
  </w:font>
  <w:font w:name="Palatino Linotype">
    <w:panose1 w:val="02040502050505030304"/>
    <w:charset w:val="00"/>
    <w:family w:val="auto"/>
    <w:pitch w:val="default"/>
    <w:sig w:usb0="E0000287" w:usb1="40000013" w:usb2="00000000" w:usb3="00000000" w:csb0="2000019F" w:csb1="00000000"/>
  </w:font>
  <w:font w:name="Microsoft Yi Baiti">
    <w:panose1 w:val="03000500000000000000"/>
    <w:charset w:val="00"/>
    <w:family w:val="auto"/>
    <w:pitch w:val="default"/>
    <w:sig w:usb0="80000003" w:usb1="00010402" w:usb2="00080002"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3F6415"/>
    <w:rsid w:val="00435E94"/>
    <w:rsid w:val="004A19DD"/>
    <w:rsid w:val="005962E6"/>
    <w:rsid w:val="00677DA3"/>
    <w:rsid w:val="006A637F"/>
    <w:rsid w:val="00730D87"/>
    <w:rsid w:val="00774144"/>
    <w:rsid w:val="007E5BC6"/>
    <w:rsid w:val="008D4FBE"/>
    <w:rsid w:val="0098000F"/>
    <w:rsid w:val="009D1EAC"/>
    <w:rsid w:val="009D254A"/>
    <w:rsid w:val="009F4400"/>
    <w:rsid w:val="00B03077"/>
    <w:rsid w:val="00B266C0"/>
    <w:rsid w:val="00B71FE0"/>
    <w:rsid w:val="00BF7B09"/>
    <w:rsid w:val="00C034A4"/>
    <w:rsid w:val="00C9436C"/>
    <w:rsid w:val="00CC2DD7"/>
    <w:rsid w:val="00CF1C88"/>
    <w:rsid w:val="00D522FC"/>
    <w:rsid w:val="00E308F5"/>
    <w:rsid w:val="00E64709"/>
    <w:rsid w:val="00F56490"/>
    <w:rsid w:val="1EB02D1A"/>
    <w:rsid w:val="722D32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uiPriority w:val="99"/>
    <w:rPr>
      <w:color w:val="0000FF" w:themeColor="hyperlink"/>
      <w:u w:val="single"/>
      <w14:textFill>
        <w14:solidFill>
          <w14:schemeClr w14:val="hlink"/>
        </w14:solidFill>
      </w14:textFill>
    </w:rPr>
  </w:style>
  <w:style w:type="character" w:customStyle="1" w:styleId="7">
    <w:name w:val="页眉 Char"/>
    <w:basedOn w:val="5"/>
    <w:link w:val="3"/>
    <w:uiPriority w:val="99"/>
    <w:rPr>
      <w:sz w:val="18"/>
      <w:szCs w:val="18"/>
    </w:rPr>
  </w:style>
  <w:style w:type="character" w:customStyle="1" w:styleId="8">
    <w:name w:val="页脚 Char"/>
    <w:basedOn w:val="5"/>
    <w:link w:val="2"/>
    <w:uiPriority w:val="99"/>
    <w:rPr>
      <w:sz w:val="18"/>
      <w:szCs w:val="18"/>
    </w:rPr>
  </w:style>
  <w:style w:type="paragraph" w:customStyle="1" w:styleId="9">
    <w:name w:val="Defaul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1</Pages>
  <Words>64</Words>
  <Characters>366</Characters>
  <Lines>3</Lines>
  <Paragraphs>1</Paragraphs>
  <TotalTime>4</TotalTime>
  <ScaleCrop>false</ScaleCrop>
  <LinksUpToDate>false</LinksUpToDate>
  <CharactersWithSpaces>429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李德明</cp:lastModifiedBy>
  <dcterms:modified xsi:type="dcterms:W3CDTF">2026-08-24T03:45:10Z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AC210E4D47B744568DE7657BEF01F5A7</vt:lpwstr>
  </property>
</Properties>
</file>