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6454F6">
      <w:pPr>
        <w:keepNext/>
        <w:keepLines/>
        <w:widowControl w:val="0"/>
        <w:spacing w:before="0" w:after="0" w:line="360" w:lineRule="auto"/>
        <w:jc w:val="center"/>
        <w:outlineLvl w:val="0"/>
        <w:rPr>
          <w:rFonts w:hint="eastAsia" w:ascii="仿宋" w:hAnsi="仿宋" w:eastAsia="仿宋" w:cs="仿宋"/>
          <w:b/>
          <w:bCs/>
          <w:kern w:val="44"/>
          <w:sz w:val="28"/>
          <w:szCs w:val="28"/>
          <w:highlight w:val="none"/>
          <w:lang w:val="en-US" w:eastAsia="zh-CN" w:bidi="ar-SA"/>
        </w:rPr>
      </w:pPr>
      <w:bookmarkStart w:id="0" w:name="_Toc23498"/>
      <w:bookmarkStart w:id="1" w:name="_Hlk200459316"/>
      <w:r>
        <w:rPr>
          <w:rFonts w:hint="eastAsia" w:ascii="仿宋" w:hAnsi="仿宋" w:eastAsia="仿宋" w:cs="仿宋"/>
          <w:b/>
          <w:bCs/>
          <w:kern w:val="44"/>
          <w:sz w:val="28"/>
          <w:szCs w:val="28"/>
          <w:highlight w:val="none"/>
          <w:lang w:val="en-US" w:eastAsia="zh-CN" w:bidi="ar-SA"/>
        </w:rPr>
        <w:t>人保财险南宁市分公司本部工会2026-2027年节日慰问品项目采购</w:t>
      </w:r>
      <w:bookmarkStart w:id="12" w:name="_GoBack"/>
      <w:bookmarkEnd w:id="12"/>
      <w:r>
        <w:rPr>
          <w:rFonts w:hint="eastAsia" w:ascii="仿宋" w:hAnsi="仿宋" w:eastAsia="仿宋" w:cs="仿宋"/>
          <w:b/>
          <w:bCs/>
          <w:kern w:val="44"/>
          <w:sz w:val="28"/>
          <w:szCs w:val="28"/>
          <w:highlight w:val="none"/>
          <w:lang w:val="en-US" w:eastAsia="zh-CN" w:bidi="ar-SA"/>
        </w:rPr>
        <w:t>竞争性磋商公告</w:t>
      </w:r>
      <w:bookmarkEnd w:id="0"/>
    </w:p>
    <w:p w14:paraId="3B6154DF">
      <w:pPr>
        <w:adjustRightInd w:val="0"/>
        <w:snapToGrid w:val="0"/>
        <w:spacing w:line="36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本项目</w:t>
      </w:r>
      <w:r>
        <w:rPr>
          <w:rFonts w:hint="default" w:ascii="仿宋" w:hAnsi="仿宋" w:eastAsia="仿宋" w:cs="仿宋"/>
          <w:sz w:val="24"/>
          <w:highlight w:val="none"/>
          <w:u w:val="single"/>
          <w:lang w:val="en-US" w:eastAsia="zh-CN"/>
        </w:rPr>
        <w:t>人保财险南宁市分公司本部工会2026-2027年节日慰问品项目采购</w:t>
      </w:r>
      <w:r>
        <w:rPr>
          <w:rFonts w:hint="eastAsia" w:ascii="仿宋" w:hAnsi="仿宋" w:eastAsia="仿宋" w:cs="仿宋"/>
          <w:sz w:val="24"/>
          <w:highlight w:val="none"/>
        </w:rPr>
        <w:t>（项目编号：</w:t>
      </w:r>
      <w:r>
        <w:rPr>
          <w:rFonts w:hint="default" w:ascii="仿宋" w:hAnsi="仿宋" w:eastAsia="仿宋" w:cs="仿宋"/>
          <w:sz w:val="24"/>
          <w:highlight w:val="none"/>
          <w:lang w:val="en-US" w:eastAsia="zh-CN"/>
        </w:rPr>
        <w:t>GXTFZB-2026-JK-07030</w:t>
      </w:r>
      <w:r>
        <w:rPr>
          <w:rFonts w:hint="eastAsia" w:ascii="仿宋" w:hAnsi="仿宋" w:eastAsia="仿宋" w:cs="仿宋"/>
          <w:sz w:val="24"/>
          <w:highlight w:val="none"/>
        </w:rPr>
        <w:t>）由</w:t>
      </w:r>
      <w:r>
        <w:rPr>
          <w:rFonts w:hint="default" w:ascii="仿宋" w:hAnsi="仿宋" w:eastAsia="仿宋" w:cs="仿宋"/>
          <w:sz w:val="24"/>
          <w:highlight w:val="none"/>
          <w:u w:val="single"/>
          <w:lang w:val="en-US" w:eastAsia="zh-CN"/>
        </w:rPr>
        <w:t>中国人民财产保险股份有限公司南宁市分公司工会委员会</w:t>
      </w:r>
      <w:r>
        <w:rPr>
          <w:rFonts w:hint="eastAsia" w:ascii="仿宋" w:hAnsi="仿宋" w:eastAsia="仿宋" w:cs="仿宋"/>
          <w:sz w:val="24"/>
          <w:highlight w:val="none"/>
        </w:rPr>
        <w:t>（以下简称“采购人”）批准并落实资金，组织本项目的磋商工作。现委托</w:t>
      </w:r>
      <w:r>
        <w:rPr>
          <w:rFonts w:hint="default" w:ascii="仿宋" w:hAnsi="仿宋" w:eastAsia="仿宋" w:cs="仿宋"/>
          <w:sz w:val="24"/>
          <w:highlight w:val="none"/>
          <w:u w:val="single"/>
          <w:lang w:val="en-US"/>
        </w:rPr>
        <w:t>广西壮族自治区通信产业服务有限公司</w:t>
      </w:r>
      <w:r>
        <w:rPr>
          <w:rFonts w:hint="eastAsia" w:ascii="仿宋" w:hAnsi="仿宋" w:eastAsia="仿宋" w:cs="仿宋"/>
          <w:sz w:val="24"/>
          <w:highlight w:val="none"/>
        </w:rPr>
        <w:t>（以下简称“采购代理机构”）进行公开竞争性磋商，有意向且具有提供标的物能力的潜在供应商（以下简称“供应商”）可前来参与磋商响应。</w:t>
      </w:r>
    </w:p>
    <w:p w14:paraId="271B3E00">
      <w:pPr>
        <w:keepNext/>
        <w:keepLines/>
        <w:widowControl w:val="0"/>
        <w:adjustRightInd w:val="0"/>
        <w:snapToGrid w:val="0"/>
        <w:spacing w:line="360" w:lineRule="auto"/>
        <w:ind w:left="368" w:leftChars="175" w:firstLine="0" w:firstLineChars="0"/>
        <w:jc w:val="left"/>
        <w:outlineLvl w:val="1"/>
        <w:rPr>
          <w:rFonts w:hint="eastAsia" w:ascii="仿宋" w:hAnsi="仿宋" w:eastAsia="仿宋" w:cs="仿宋"/>
          <w:b/>
          <w:bCs/>
          <w:color w:val="auto"/>
          <w:kern w:val="2"/>
          <w:sz w:val="24"/>
          <w:szCs w:val="24"/>
          <w:highlight w:val="none"/>
          <w:lang w:val="en-US" w:eastAsia="zh-CN" w:bidi="ar-SA"/>
        </w:rPr>
      </w:pPr>
      <w:bookmarkStart w:id="2" w:name="_Toc26963"/>
      <w:r>
        <w:rPr>
          <w:rFonts w:hint="eastAsia" w:ascii="仿宋" w:hAnsi="仿宋" w:eastAsia="仿宋" w:cs="仿宋"/>
          <w:b/>
          <w:bCs/>
          <w:color w:val="auto"/>
          <w:kern w:val="2"/>
          <w:sz w:val="24"/>
          <w:szCs w:val="24"/>
          <w:highlight w:val="none"/>
          <w:lang w:val="en-US" w:eastAsia="zh-CN" w:bidi="ar-SA"/>
        </w:rPr>
        <w:t>一、项目概况与采购范围</w:t>
      </w:r>
      <w:bookmarkEnd w:id="2"/>
    </w:p>
    <w:p w14:paraId="72A3E688">
      <w:pPr>
        <w:adjustRightInd w:val="0"/>
        <w:snapToGrid w:val="0"/>
        <w:spacing w:line="360" w:lineRule="auto"/>
        <w:ind w:firstLine="480" w:firstLineChars="200"/>
        <w:textAlignment w:val="baseline"/>
        <w:rPr>
          <w:rFonts w:hint="eastAsia" w:ascii="仿宋" w:hAnsi="仿宋" w:eastAsia="仿宋" w:cs="仿宋"/>
          <w:sz w:val="24"/>
          <w:highlight w:val="none"/>
        </w:rPr>
      </w:pPr>
      <w:bookmarkStart w:id="3" w:name="_Hlk77264910"/>
      <w:r>
        <w:rPr>
          <w:rFonts w:hint="eastAsia" w:ascii="仿宋" w:hAnsi="仿宋" w:eastAsia="仿宋" w:cs="仿宋"/>
          <w:sz w:val="24"/>
          <w:highlight w:val="none"/>
        </w:rPr>
        <w:t>1.1项目名称：人保财险南宁市分公司本部工会2026-2027年节日慰问品项目采购</w:t>
      </w:r>
    </w:p>
    <w:p w14:paraId="241F5AF0">
      <w:pPr>
        <w:adjustRightInd w:val="0"/>
        <w:snapToGrid w:val="0"/>
        <w:spacing w:line="36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1.2项目编号：GXTFZB-2026-JK-07030</w:t>
      </w:r>
    </w:p>
    <w:p w14:paraId="76882B24">
      <w:pPr>
        <w:adjustRightInd w:val="0"/>
        <w:snapToGrid w:val="0"/>
        <w:spacing w:line="36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1.3采购范围：拟选定1家供应商，为采购人提供周期为一年的工会节日慰问品、提货券，具体技术要求详见第五章采购需求。</w:t>
      </w:r>
    </w:p>
    <w:p w14:paraId="5C7FB34E">
      <w:pPr>
        <w:adjustRightInd w:val="0"/>
        <w:snapToGrid w:val="0"/>
        <w:spacing w:line="36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1.4项目预算：48万元（含税）（具体以实际结算为准）。</w:t>
      </w:r>
    </w:p>
    <w:p w14:paraId="54A9A3E5">
      <w:pPr>
        <w:adjustRightInd w:val="0"/>
        <w:snapToGrid w:val="0"/>
        <w:spacing w:line="36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1.5标包划分：本项目不划分标包。</w:t>
      </w:r>
    </w:p>
    <w:p w14:paraId="08614DAE">
      <w:pPr>
        <w:adjustRightInd w:val="0"/>
        <w:snapToGrid w:val="0"/>
        <w:spacing w:line="36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1.6项目性质：物资采购。</w:t>
      </w:r>
    </w:p>
    <w:p w14:paraId="015245C3">
      <w:pPr>
        <w:adjustRightInd w:val="0"/>
        <w:snapToGrid w:val="0"/>
        <w:spacing w:line="36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1.7合同期限：自合同签订之日起1年。</w:t>
      </w:r>
    </w:p>
    <w:p w14:paraId="7AE100FE">
      <w:pPr>
        <w:adjustRightInd w:val="0"/>
        <w:snapToGrid w:val="0"/>
        <w:spacing w:line="36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1.8服务地点：广西壮族自治区南宁市采购人指定地点。</w:t>
      </w:r>
    </w:p>
    <w:bookmarkEnd w:id="3"/>
    <w:p w14:paraId="1C43B321">
      <w:pPr>
        <w:keepNext/>
        <w:keepLines/>
        <w:widowControl w:val="0"/>
        <w:adjustRightInd w:val="0"/>
        <w:snapToGrid w:val="0"/>
        <w:spacing w:line="360" w:lineRule="auto"/>
        <w:ind w:left="368" w:leftChars="175" w:firstLine="0" w:firstLineChars="0"/>
        <w:jc w:val="left"/>
        <w:outlineLvl w:val="1"/>
        <w:rPr>
          <w:rFonts w:hint="eastAsia" w:ascii="仿宋" w:hAnsi="仿宋" w:eastAsia="仿宋" w:cs="仿宋"/>
          <w:b/>
          <w:bCs/>
          <w:color w:val="auto"/>
          <w:kern w:val="2"/>
          <w:sz w:val="24"/>
          <w:szCs w:val="24"/>
          <w:highlight w:val="none"/>
          <w:lang w:val="en-US" w:eastAsia="zh-CN" w:bidi="ar-SA"/>
        </w:rPr>
      </w:pPr>
      <w:bookmarkStart w:id="4" w:name="_Toc6748"/>
      <w:r>
        <w:rPr>
          <w:rFonts w:hint="eastAsia" w:ascii="仿宋" w:hAnsi="仿宋" w:eastAsia="仿宋" w:cs="仿宋"/>
          <w:b/>
          <w:bCs/>
          <w:color w:val="auto"/>
          <w:kern w:val="2"/>
          <w:sz w:val="24"/>
          <w:szCs w:val="24"/>
          <w:highlight w:val="none"/>
          <w:lang w:val="en-US" w:eastAsia="zh-CN" w:bidi="ar-SA"/>
        </w:rPr>
        <w:t>二、供应商资格要求</w:t>
      </w:r>
      <w:bookmarkEnd w:id="4"/>
    </w:p>
    <w:p w14:paraId="4FD90A6E">
      <w:pPr>
        <w:adjustRightInd w:val="0"/>
        <w:snapToGrid w:val="0"/>
        <w:spacing w:line="360" w:lineRule="auto"/>
        <w:ind w:firstLine="420" w:firstLineChars="175"/>
        <w:textAlignment w:val="baseline"/>
        <w:rPr>
          <w:rFonts w:hint="eastAsia" w:ascii="仿宋" w:hAnsi="仿宋" w:eastAsia="仿宋" w:cs="仿宋"/>
          <w:sz w:val="24"/>
          <w:highlight w:val="none"/>
        </w:rPr>
      </w:pPr>
      <w:bookmarkStart w:id="5" w:name="_Hlk69456964"/>
      <w:r>
        <w:rPr>
          <w:rFonts w:hint="eastAsia" w:ascii="仿宋" w:hAnsi="仿宋" w:eastAsia="仿宋" w:cs="仿宋"/>
          <w:sz w:val="24"/>
          <w:highlight w:val="none"/>
        </w:rPr>
        <w:t>2.1在中华人民共和国境内依法登记的法人或其他组织（如个人独资企业、合伙企业、个体工商户等），具有独立承担民事责任的能力，合法运作并独立于采购人和采购代理机构，需提供合法有效的营业执照或者事业单位法人证书或者执业许可证复印件；</w:t>
      </w:r>
    </w:p>
    <w:p w14:paraId="37B93A23">
      <w:pPr>
        <w:adjustRightInd w:val="0"/>
        <w:snapToGrid w:val="0"/>
        <w:spacing w:line="360" w:lineRule="auto"/>
        <w:ind w:firstLine="420" w:firstLineChars="175"/>
        <w:textAlignment w:val="baseline"/>
        <w:rPr>
          <w:rFonts w:hint="eastAsia" w:ascii="仿宋" w:hAnsi="仿宋" w:eastAsia="仿宋" w:cs="仿宋"/>
          <w:sz w:val="24"/>
          <w:highlight w:val="none"/>
        </w:rPr>
      </w:pPr>
      <w:r>
        <w:rPr>
          <w:rFonts w:hint="eastAsia" w:ascii="仿宋" w:hAnsi="仿宋" w:eastAsia="仿宋" w:cs="仿宋"/>
          <w:sz w:val="24"/>
          <w:highlight w:val="none"/>
        </w:rPr>
        <w:t>2.2具有良好的商业信誉和健全的财务会计制度。(备注：提供以下任意一种证明材料：1.提供2024或2025年度财务状况报告或者首次响应文件递交截止时间前6个月内开具的银行资信证明（除开具银行明确表示复印无效的，资信证明可为复印件）；2.提供供应商承诺函。)</w:t>
      </w:r>
    </w:p>
    <w:p w14:paraId="5D268C60">
      <w:pPr>
        <w:adjustRightInd w:val="0"/>
        <w:snapToGrid w:val="0"/>
        <w:spacing w:line="360" w:lineRule="auto"/>
        <w:ind w:firstLine="420" w:firstLineChars="175"/>
        <w:textAlignment w:val="baseline"/>
        <w:rPr>
          <w:rFonts w:hint="eastAsia" w:ascii="仿宋" w:hAnsi="仿宋" w:eastAsia="仿宋" w:cs="仿宋"/>
          <w:sz w:val="24"/>
          <w:highlight w:val="none"/>
        </w:rPr>
      </w:pPr>
      <w:r>
        <w:rPr>
          <w:rFonts w:hint="eastAsia" w:ascii="仿宋" w:hAnsi="仿宋" w:eastAsia="仿宋" w:cs="仿宋"/>
          <w:sz w:val="24"/>
          <w:highlight w:val="none"/>
        </w:rPr>
        <w:t>2.3具有依法缴纳税收和社会保障资金的良好记录。（备注：提供以下任意一种证明材料：1.提供近6个月任意一个月的税收和社会保障资金缴纳凭证；2.提供供应商承诺函。）</w:t>
      </w:r>
    </w:p>
    <w:p w14:paraId="5B7897FB">
      <w:pPr>
        <w:adjustRightInd w:val="0"/>
        <w:snapToGrid w:val="0"/>
        <w:spacing w:line="360" w:lineRule="auto"/>
        <w:ind w:firstLine="420" w:firstLineChars="175"/>
        <w:textAlignment w:val="baseline"/>
        <w:rPr>
          <w:rFonts w:hint="eastAsia" w:ascii="仿宋" w:hAnsi="仿宋" w:eastAsia="仿宋" w:cs="仿宋"/>
          <w:sz w:val="24"/>
          <w:highlight w:val="none"/>
        </w:rPr>
      </w:pPr>
      <w:r>
        <w:rPr>
          <w:rFonts w:hint="eastAsia" w:ascii="仿宋" w:hAnsi="仿宋" w:eastAsia="仿宋" w:cs="仿宋"/>
          <w:sz w:val="24"/>
          <w:highlight w:val="none"/>
        </w:rPr>
        <w:t>2.4供应商应经营状况良好，且近三年内（2023年1月1日至今）无违法违规记录。供应商如为企业法人或个人独资企业，提供自公告发布之日至文件递交截止之日在信用中国未被列入失信被执行人、重大税收违法失信主体、政府采购严重违法失信行为记录名单的三个查询截图。供应商如为个体工商户，提供自公告发布之日至文件递交截止之日在国家企业信用信息公示系统未被列入行政处罚信息、经营异常信息的两个查询截图。</w:t>
      </w:r>
    </w:p>
    <w:p w14:paraId="4509052D">
      <w:pPr>
        <w:adjustRightInd w:val="0"/>
        <w:snapToGrid w:val="0"/>
        <w:spacing w:line="360" w:lineRule="auto"/>
        <w:ind w:firstLine="420" w:firstLineChars="175"/>
        <w:textAlignment w:val="baseline"/>
        <w:rPr>
          <w:rFonts w:hint="eastAsia" w:ascii="仿宋" w:hAnsi="仿宋" w:eastAsia="仿宋" w:cs="仿宋"/>
          <w:sz w:val="24"/>
          <w:highlight w:val="none"/>
        </w:rPr>
      </w:pPr>
      <w:r>
        <w:rPr>
          <w:rFonts w:hint="eastAsia" w:ascii="仿宋" w:hAnsi="仿宋" w:eastAsia="仿宋" w:cs="仿宋"/>
          <w:sz w:val="24"/>
          <w:highlight w:val="none"/>
        </w:rPr>
        <w:t>2.5根据《中国人民保险集团供应商管理办法》规定，严禁列入中国人民保险集团黑名单且在禁入期内的供应商参与采购活动。</w:t>
      </w:r>
    </w:p>
    <w:p w14:paraId="3FA22E45">
      <w:pPr>
        <w:adjustRightInd w:val="0"/>
        <w:snapToGrid w:val="0"/>
        <w:spacing w:line="360" w:lineRule="auto"/>
        <w:ind w:firstLine="420" w:firstLineChars="175"/>
        <w:textAlignment w:val="baseline"/>
        <w:rPr>
          <w:rFonts w:hint="eastAsia" w:ascii="仿宋" w:hAnsi="仿宋" w:eastAsia="仿宋" w:cs="仿宋"/>
          <w:sz w:val="24"/>
          <w:highlight w:val="none"/>
        </w:rPr>
      </w:pPr>
      <w:r>
        <w:rPr>
          <w:rFonts w:hint="eastAsia" w:ascii="仿宋" w:hAnsi="仿宋" w:eastAsia="仿宋" w:cs="仿宋"/>
          <w:sz w:val="24"/>
          <w:highlight w:val="none"/>
        </w:rPr>
        <w:t>2.6单位负责人为同一人或存在控股、管理关系的不同单位，不得参加同一标段/标包响应或未划分标段/标包的同一采购项目的响应，需填写《供应商控股及管理关系情况申报表》。</w:t>
      </w:r>
    </w:p>
    <w:p w14:paraId="2C109D77">
      <w:pPr>
        <w:adjustRightInd w:val="0"/>
        <w:snapToGrid w:val="0"/>
        <w:spacing w:line="360" w:lineRule="auto"/>
        <w:ind w:firstLine="420" w:firstLineChars="175"/>
        <w:textAlignment w:val="baseline"/>
        <w:rPr>
          <w:rFonts w:hint="eastAsia" w:ascii="仿宋" w:hAnsi="仿宋" w:eastAsia="仿宋" w:cs="仿宋"/>
          <w:sz w:val="24"/>
          <w:highlight w:val="none"/>
          <w:lang w:eastAsia="zh-CN"/>
        </w:rPr>
      </w:pPr>
      <w:r>
        <w:rPr>
          <w:rFonts w:hint="eastAsia" w:ascii="仿宋" w:hAnsi="仿宋" w:eastAsia="仿宋" w:cs="仿宋"/>
          <w:sz w:val="24"/>
          <w:highlight w:val="none"/>
        </w:rPr>
        <w:t>2.7供应商在近三年内参与人保财险及下属机构招标项目中无以下记录：因自身原因放弃采购项目中标的、因自身原因违约或中止合同的</w:t>
      </w:r>
      <w:r>
        <w:rPr>
          <w:rFonts w:hint="eastAsia" w:ascii="仿宋" w:hAnsi="仿宋" w:eastAsia="仿宋" w:cs="仿宋"/>
          <w:sz w:val="24"/>
          <w:highlight w:val="none"/>
          <w:lang w:eastAsia="zh-CN"/>
        </w:rPr>
        <w:t>。</w:t>
      </w:r>
    </w:p>
    <w:p w14:paraId="66DB181F">
      <w:pPr>
        <w:adjustRightInd w:val="0"/>
        <w:snapToGrid w:val="0"/>
        <w:spacing w:line="360" w:lineRule="auto"/>
        <w:ind w:firstLine="420" w:firstLineChars="175"/>
        <w:textAlignment w:val="baseline"/>
        <w:rPr>
          <w:rFonts w:hint="eastAsia" w:ascii="仿宋" w:hAnsi="仿宋" w:eastAsia="仿宋" w:cs="仿宋"/>
          <w:sz w:val="24"/>
          <w:highlight w:val="none"/>
        </w:rPr>
      </w:pPr>
      <w:r>
        <w:rPr>
          <w:rFonts w:hint="eastAsia" w:ascii="仿宋" w:hAnsi="仿宋" w:eastAsia="仿宋" w:cs="仿宋"/>
          <w:sz w:val="24"/>
          <w:highlight w:val="none"/>
        </w:rPr>
        <w:t>2.8本项目不接受联合体响应。</w:t>
      </w:r>
    </w:p>
    <w:p w14:paraId="2D4B3E3F">
      <w:pPr>
        <w:adjustRightInd w:val="0"/>
        <w:snapToGrid w:val="0"/>
        <w:spacing w:line="360" w:lineRule="auto"/>
        <w:ind w:firstLine="420" w:firstLineChars="175"/>
        <w:textAlignment w:val="baseline"/>
        <w:rPr>
          <w:rFonts w:hint="eastAsia" w:ascii="仿宋" w:hAnsi="仿宋" w:eastAsia="仿宋" w:cs="仿宋"/>
          <w:sz w:val="24"/>
          <w:highlight w:val="none"/>
        </w:rPr>
      </w:pPr>
      <w:r>
        <w:rPr>
          <w:rFonts w:hint="eastAsia" w:ascii="仿宋" w:hAnsi="仿宋" w:eastAsia="仿宋" w:cs="仿宋"/>
          <w:sz w:val="24"/>
          <w:highlight w:val="none"/>
        </w:rPr>
        <w:t>2.9供应商具备合法有效的食品经营许可证。（提供有效证书复印件）。</w:t>
      </w:r>
    </w:p>
    <w:p w14:paraId="1F47815D">
      <w:pPr>
        <w:keepNext/>
        <w:keepLines/>
        <w:widowControl w:val="0"/>
        <w:adjustRightInd w:val="0"/>
        <w:snapToGrid w:val="0"/>
        <w:spacing w:line="360" w:lineRule="auto"/>
        <w:ind w:left="368" w:leftChars="175" w:firstLine="0" w:firstLineChars="0"/>
        <w:jc w:val="left"/>
        <w:outlineLvl w:val="1"/>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8"/>
          <w:szCs w:val="28"/>
          <w:highlight w:val="none"/>
          <w:lang w:val="en-US" w:eastAsia="zh-CN" w:bidi="ar-SA"/>
        </w:rPr>
        <w:t xml:space="preserve"> </w:t>
      </w:r>
      <w:bookmarkEnd w:id="5"/>
      <w:bookmarkStart w:id="6" w:name="_Toc12033"/>
      <w:r>
        <w:rPr>
          <w:rFonts w:hint="eastAsia" w:ascii="仿宋" w:hAnsi="仿宋" w:eastAsia="仿宋" w:cs="仿宋"/>
          <w:b/>
          <w:bCs/>
          <w:color w:val="auto"/>
          <w:kern w:val="2"/>
          <w:sz w:val="24"/>
          <w:szCs w:val="24"/>
          <w:highlight w:val="none"/>
          <w:lang w:val="en-US" w:eastAsia="zh-CN" w:bidi="ar-SA"/>
        </w:rPr>
        <w:t>三、资格审查方法</w:t>
      </w:r>
      <w:bookmarkEnd w:id="6"/>
    </w:p>
    <w:p w14:paraId="4E07BDD4">
      <w:pPr>
        <w:adjustRightInd w:val="0"/>
        <w:snapToGrid w:val="0"/>
        <w:spacing w:line="36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本项目将进行资格后审，资格审查方法为合格制，资格审查标准和内容见竞争性磋商文件第三章评审办法。未通过资格后审的供应商，磋商响应文件将被否决，不进入磋商、评审等后续环节。</w:t>
      </w:r>
    </w:p>
    <w:p w14:paraId="5881DF3C">
      <w:pPr>
        <w:keepNext/>
        <w:keepLines/>
        <w:widowControl w:val="0"/>
        <w:adjustRightInd w:val="0"/>
        <w:snapToGrid w:val="0"/>
        <w:spacing w:line="360" w:lineRule="auto"/>
        <w:ind w:left="368" w:leftChars="175" w:firstLine="0" w:firstLineChars="0"/>
        <w:jc w:val="left"/>
        <w:outlineLvl w:val="1"/>
        <w:rPr>
          <w:rFonts w:hint="eastAsia" w:ascii="仿宋" w:hAnsi="仿宋" w:eastAsia="仿宋" w:cs="仿宋"/>
          <w:b/>
          <w:bCs/>
          <w:color w:val="auto"/>
          <w:kern w:val="2"/>
          <w:sz w:val="24"/>
          <w:szCs w:val="24"/>
          <w:highlight w:val="none"/>
          <w:lang w:val="en-US" w:eastAsia="zh-CN" w:bidi="ar-SA"/>
        </w:rPr>
      </w:pPr>
      <w:bookmarkStart w:id="7" w:name="_Toc7108"/>
      <w:r>
        <w:rPr>
          <w:rFonts w:hint="eastAsia" w:ascii="仿宋" w:hAnsi="仿宋" w:eastAsia="仿宋" w:cs="仿宋"/>
          <w:b/>
          <w:bCs/>
          <w:color w:val="auto"/>
          <w:kern w:val="2"/>
          <w:sz w:val="24"/>
          <w:szCs w:val="24"/>
          <w:highlight w:val="none"/>
          <w:lang w:val="en-US" w:eastAsia="zh-CN" w:bidi="ar-SA"/>
        </w:rPr>
        <w:t>四、竞争性磋商文件的获取</w:t>
      </w:r>
      <w:bookmarkEnd w:id="7"/>
    </w:p>
    <w:p w14:paraId="5D1B87EB">
      <w:pPr>
        <w:adjustRightInd w:val="0"/>
        <w:snapToGrid w:val="0"/>
        <w:spacing w:line="36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4.1</w:t>
      </w:r>
      <w:r>
        <w:rPr>
          <w:rFonts w:hint="eastAsia" w:ascii="仿宋" w:hAnsi="仿宋" w:eastAsia="仿宋" w:cs="仿宋"/>
          <w:sz w:val="24"/>
          <w:highlight w:val="none"/>
          <w:lang w:eastAsia="zh-CN"/>
        </w:rPr>
        <w:t>竞争性磋商文件</w:t>
      </w:r>
      <w:r>
        <w:rPr>
          <w:rFonts w:hint="eastAsia" w:ascii="仿宋" w:hAnsi="仿宋" w:eastAsia="仿宋" w:cs="仿宋"/>
          <w:sz w:val="24"/>
          <w:highlight w:val="none"/>
        </w:rPr>
        <w:t>获取时间：</w:t>
      </w:r>
      <w:r>
        <w:rPr>
          <w:rFonts w:hint="eastAsia" w:ascii="仿宋" w:hAnsi="仿宋" w:eastAsia="仿宋" w:cs="仿宋"/>
          <w:color w:val="FF0000"/>
          <w:sz w:val="24"/>
          <w:highlight w:val="none"/>
        </w:rPr>
        <w:t>2026年</w:t>
      </w:r>
      <w:r>
        <w:rPr>
          <w:rFonts w:hint="default" w:ascii="仿宋" w:hAnsi="仿宋" w:eastAsia="仿宋" w:cs="仿宋"/>
          <w:color w:val="FF0000"/>
          <w:sz w:val="24"/>
          <w:highlight w:val="none"/>
          <w:lang w:val="en-US"/>
        </w:rPr>
        <w:t>8</w:t>
      </w:r>
      <w:r>
        <w:rPr>
          <w:rFonts w:hint="eastAsia" w:ascii="仿宋" w:hAnsi="仿宋" w:eastAsia="仿宋" w:cs="仿宋"/>
          <w:color w:val="FF0000"/>
          <w:sz w:val="24"/>
          <w:highlight w:val="none"/>
        </w:rPr>
        <w:t>月</w:t>
      </w:r>
      <w:r>
        <w:rPr>
          <w:rFonts w:hint="default" w:ascii="仿宋" w:hAnsi="仿宋" w:eastAsia="仿宋" w:cs="仿宋"/>
          <w:color w:val="FF0000"/>
          <w:sz w:val="24"/>
          <w:highlight w:val="none"/>
          <w:lang w:val="en-US"/>
        </w:rPr>
        <w:t>25</w:t>
      </w:r>
      <w:r>
        <w:rPr>
          <w:rFonts w:hint="eastAsia" w:ascii="仿宋" w:hAnsi="仿宋" w:eastAsia="仿宋" w:cs="仿宋"/>
          <w:color w:val="FF0000"/>
          <w:sz w:val="24"/>
          <w:highlight w:val="none"/>
        </w:rPr>
        <w:t>日至2026年</w:t>
      </w:r>
      <w:r>
        <w:rPr>
          <w:rFonts w:hint="default" w:ascii="仿宋" w:hAnsi="仿宋" w:eastAsia="仿宋" w:cs="仿宋"/>
          <w:color w:val="FF0000"/>
          <w:sz w:val="24"/>
          <w:highlight w:val="none"/>
          <w:lang w:val="en-US"/>
        </w:rPr>
        <w:t>8</w:t>
      </w:r>
      <w:r>
        <w:rPr>
          <w:rFonts w:hint="eastAsia" w:ascii="仿宋" w:hAnsi="仿宋" w:eastAsia="仿宋" w:cs="仿宋"/>
          <w:color w:val="FF0000"/>
          <w:sz w:val="24"/>
          <w:highlight w:val="none"/>
        </w:rPr>
        <w:t>月</w:t>
      </w:r>
      <w:r>
        <w:rPr>
          <w:rFonts w:hint="default" w:ascii="仿宋" w:hAnsi="仿宋" w:eastAsia="仿宋" w:cs="仿宋"/>
          <w:color w:val="FF0000"/>
          <w:sz w:val="24"/>
          <w:highlight w:val="none"/>
          <w:lang w:val="en-US"/>
        </w:rPr>
        <w:t>28</w:t>
      </w:r>
      <w:r>
        <w:rPr>
          <w:rFonts w:hint="eastAsia" w:ascii="仿宋" w:hAnsi="仿宋" w:eastAsia="仿宋" w:cs="仿宋"/>
          <w:color w:val="FF0000"/>
          <w:sz w:val="24"/>
          <w:highlight w:val="none"/>
        </w:rPr>
        <w:t>日，上午8时30分至12时00分，下午14时30分至15时30分（北京时间，下同）。</w:t>
      </w:r>
    </w:p>
    <w:p w14:paraId="449288BB">
      <w:pPr>
        <w:adjustRightInd w:val="0"/>
        <w:snapToGrid w:val="0"/>
        <w:spacing w:line="36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4.</w:t>
      </w:r>
      <w:r>
        <w:rPr>
          <w:rFonts w:hint="default" w:ascii="仿宋" w:hAnsi="仿宋" w:eastAsia="仿宋" w:cs="仿宋"/>
          <w:sz w:val="24"/>
          <w:highlight w:val="none"/>
          <w:lang w:val="en-US"/>
        </w:rPr>
        <w:t>2</w:t>
      </w:r>
      <w:r>
        <w:rPr>
          <w:rFonts w:hint="eastAsia" w:ascii="仿宋" w:hAnsi="仿宋" w:eastAsia="仿宋" w:cs="仿宋"/>
          <w:sz w:val="24"/>
          <w:highlight w:val="none"/>
        </w:rPr>
        <w:t>拟报名参加本项目的供应商，报名时需提供：①法定代表人（单位负责人）身份证明书及身份证或法定代表人授权书（格式自拟）及被授权人身份证；②标书费缴费凭证；将以上资料加盖单位公章并将扫描件发送到指定邮箱报名。报名邮箱：gxtfzb@163.com（备注：“项目名称+单位名称+联系方式+邮箱”，可简写）。报名资料审核通过后，</w:t>
      </w:r>
      <w:r>
        <w:rPr>
          <w:rFonts w:hint="eastAsia" w:ascii="仿宋" w:hAnsi="仿宋" w:eastAsia="仿宋" w:cs="仿宋"/>
          <w:sz w:val="24"/>
          <w:highlight w:val="none"/>
          <w:lang w:eastAsia="zh-CN"/>
        </w:rPr>
        <w:t>竞争性磋商文件</w:t>
      </w:r>
      <w:r>
        <w:rPr>
          <w:rFonts w:hint="eastAsia" w:ascii="仿宋" w:hAnsi="仿宋" w:eastAsia="仿宋" w:cs="仿宋"/>
          <w:sz w:val="24"/>
          <w:highlight w:val="none"/>
        </w:rPr>
        <w:t>通过邮箱发送。报名不成功或未获取到完整资料的，导致响应资格被否决的，自行承担责任。</w:t>
      </w:r>
    </w:p>
    <w:p w14:paraId="0342EF7D">
      <w:pPr>
        <w:adjustRightInd w:val="0"/>
        <w:snapToGrid w:val="0"/>
        <w:spacing w:line="36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4.</w:t>
      </w:r>
      <w:r>
        <w:rPr>
          <w:rFonts w:hint="default" w:ascii="仿宋" w:hAnsi="仿宋" w:eastAsia="仿宋" w:cs="仿宋"/>
          <w:sz w:val="24"/>
          <w:highlight w:val="none"/>
          <w:lang w:val="en-US"/>
        </w:rPr>
        <w:t>3</w:t>
      </w:r>
      <w:r>
        <w:rPr>
          <w:rFonts w:hint="eastAsia" w:ascii="仿宋" w:hAnsi="仿宋" w:eastAsia="仿宋" w:cs="仿宋"/>
          <w:sz w:val="24"/>
          <w:highlight w:val="none"/>
          <w:lang w:eastAsia="zh-CN"/>
        </w:rPr>
        <w:t>竞争性磋商文件</w:t>
      </w:r>
      <w:r>
        <w:rPr>
          <w:rFonts w:hint="eastAsia" w:ascii="仿宋" w:hAnsi="仿宋" w:eastAsia="仿宋" w:cs="仿宋"/>
          <w:sz w:val="24"/>
          <w:highlight w:val="none"/>
        </w:rPr>
        <w:t>每套售价：300元，售后不退。缴费时应注明项目名称、编号或包件号，在</w:t>
      </w:r>
      <w:r>
        <w:rPr>
          <w:rFonts w:hint="eastAsia" w:ascii="仿宋" w:hAnsi="仿宋" w:eastAsia="仿宋" w:cs="仿宋"/>
          <w:sz w:val="24"/>
          <w:highlight w:val="none"/>
          <w:lang w:eastAsia="zh-CN"/>
        </w:rPr>
        <w:t>竞争性磋商文件</w:t>
      </w:r>
      <w:r>
        <w:rPr>
          <w:rFonts w:hint="eastAsia" w:ascii="仿宋" w:hAnsi="仿宋" w:eastAsia="仿宋" w:cs="仿宋"/>
          <w:sz w:val="24"/>
          <w:highlight w:val="none"/>
        </w:rPr>
        <w:t>获取截止时间前未提供有效缴费凭证的，视为未购买</w:t>
      </w:r>
      <w:r>
        <w:rPr>
          <w:rFonts w:hint="eastAsia" w:ascii="仿宋" w:hAnsi="仿宋" w:eastAsia="仿宋" w:cs="仿宋"/>
          <w:sz w:val="24"/>
          <w:highlight w:val="none"/>
          <w:lang w:eastAsia="zh-CN"/>
        </w:rPr>
        <w:t>竞争性磋商文件</w:t>
      </w:r>
      <w:r>
        <w:rPr>
          <w:rFonts w:hint="eastAsia" w:ascii="仿宋" w:hAnsi="仿宋" w:eastAsia="仿宋" w:cs="仿宋"/>
          <w:sz w:val="24"/>
          <w:highlight w:val="none"/>
        </w:rPr>
        <w:t>。标书费指定账户：</w:t>
      </w:r>
    </w:p>
    <w:p w14:paraId="76FDBAE7">
      <w:pPr>
        <w:adjustRightInd w:val="0"/>
        <w:snapToGrid w:val="0"/>
        <w:spacing w:line="36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户    名：广西壮族自治区通信产业服务有限公司招标中心</w:t>
      </w:r>
    </w:p>
    <w:p w14:paraId="0DEF36B3">
      <w:pPr>
        <w:adjustRightInd w:val="0"/>
        <w:snapToGrid w:val="0"/>
        <w:spacing w:line="36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开户银行：中国建设银行股份有限公司南宁大学路支行</w:t>
      </w:r>
    </w:p>
    <w:p w14:paraId="1DF3564E">
      <w:pPr>
        <w:adjustRightInd w:val="0"/>
        <w:snapToGrid w:val="0"/>
        <w:spacing w:line="36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账    号：45050160485100001383-0007</w:t>
      </w:r>
    </w:p>
    <w:p w14:paraId="6E3577A4">
      <w:pPr>
        <w:adjustRightInd w:val="0"/>
        <w:snapToGrid w:val="0"/>
        <w:spacing w:line="36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联 行 号：105611048375</w:t>
      </w:r>
    </w:p>
    <w:p w14:paraId="4850CF01">
      <w:pPr>
        <w:keepNext/>
        <w:keepLines/>
        <w:widowControl w:val="0"/>
        <w:adjustRightInd w:val="0"/>
        <w:snapToGrid w:val="0"/>
        <w:spacing w:line="360" w:lineRule="auto"/>
        <w:ind w:left="368" w:leftChars="175" w:firstLine="0" w:firstLineChars="0"/>
        <w:jc w:val="left"/>
        <w:outlineLvl w:val="1"/>
        <w:rPr>
          <w:rFonts w:hint="eastAsia" w:ascii="仿宋" w:hAnsi="仿宋" w:eastAsia="仿宋" w:cs="仿宋"/>
          <w:b/>
          <w:bCs/>
          <w:color w:val="auto"/>
          <w:kern w:val="2"/>
          <w:sz w:val="24"/>
          <w:szCs w:val="24"/>
          <w:highlight w:val="none"/>
          <w:lang w:val="en-US" w:eastAsia="zh-CN" w:bidi="ar-SA"/>
        </w:rPr>
      </w:pPr>
      <w:bookmarkStart w:id="8" w:name="_Toc12184"/>
      <w:r>
        <w:rPr>
          <w:rFonts w:hint="eastAsia" w:ascii="仿宋" w:hAnsi="仿宋" w:eastAsia="仿宋" w:cs="仿宋"/>
          <w:b/>
          <w:bCs/>
          <w:color w:val="auto"/>
          <w:kern w:val="2"/>
          <w:sz w:val="24"/>
          <w:szCs w:val="24"/>
          <w:highlight w:val="none"/>
          <w:lang w:val="en-US" w:eastAsia="zh-CN" w:bidi="ar-SA"/>
        </w:rPr>
        <w:t>五、磋商响应文件的递交</w:t>
      </w:r>
      <w:bookmarkEnd w:id="8"/>
    </w:p>
    <w:p w14:paraId="787373F5">
      <w:pPr>
        <w:adjustRightInd w:val="0"/>
        <w:snapToGrid w:val="0"/>
        <w:spacing w:line="360" w:lineRule="auto"/>
        <w:ind w:firstLine="480" w:firstLineChars="200"/>
        <w:textAlignment w:val="baseline"/>
        <w:rPr>
          <w:rFonts w:hint="eastAsia" w:ascii="仿宋" w:hAnsi="仿宋" w:eastAsia="仿宋" w:cs="仿宋"/>
          <w:color w:val="FF0000"/>
          <w:sz w:val="24"/>
          <w:highlight w:val="none"/>
        </w:rPr>
      </w:pPr>
      <w:r>
        <w:rPr>
          <w:rFonts w:hint="eastAsia" w:ascii="仿宋" w:hAnsi="仿宋" w:eastAsia="仿宋" w:cs="仿宋"/>
          <w:color w:val="FF0000"/>
          <w:sz w:val="24"/>
          <w:highlight w:val="none"/>
        </w:rPr>
        <w:t>5.1响应文件递交截止时间：2026年</w:t>
      </w:r>
      <w:r>
        <w:rPr>
          <w:rFonts w:hint="default" w:ascii="仿宋" w:hAnsi="仿宋" w:eastAsia="仿宋" w:cs="仿宋"/>
          <w:color w:val="FF0000"/>
          <w:sz w:val="24"/>
          <w:highlight w:val="none"/>
          <w:lang w:val="en-US"/>
        </w:rPr>
        <w:t>9</w:t>
      </w:r>
      <w:r>
        <w:rPr>
          <w:rFonts w:hint="eastAsia" w:ascii="仿宋" w:hAnsi="仿宋" w:eastAsia="仿宋" w:cs="仿宋"/>
          <w:color w:val="FF0000"/>
          <w:sz w:val="24"/>
          <w:highlight w:val="none"/>
        </w:rPr>
        <w:t>月</w:t>
      </w:r>
      <w:r>
        <w:rPr>
          <w:rFonts w:hint="default" w:ascii="仿宋" w:hAnsi="仿宋" w:eastAsia="仿宋" w:cs="仿宋"/>
          <w:color w:val="FF0000"/>
          <w:sz w:val="24"/>
          <w:highlight w:val="none"/>
          <w:lang w:val="en-US"/>
        </w:rPr>
        <w:t>2</w:t>
      </w:r>
      <w:r>
        <w:rPr>
          <w:rFonts w:hint="eastAsia" w:ascii="仿宋" w:hAnsi="仿宋" w:eastAsia="仿宋" w:cs="仿宋"/>
          <w:color w:val="FF0000"/>
          <w:sz w:val="24"/>
          <w:highlight w:val="none"/>
        </w:rPr>
        <w:t>日09时30分00秒。</w:t>
      </w:r>
    </w:p>
    <w:p w14:paraId="51DBCB3B">
      <w:pPr>
        <w:adjustRightInd w:val="0"/>
        <w:snapToGrid w:val="0"/>
        <w:spacing w:line="360" w:lineRule="auto"/>
        <w:ind w:firstLine="480" w:firstLineChars="200"/>
        <w:textAlignment w:val="baseline"/>
        <w:rPr>
          <w:rFonts w:hint="default" w:ascii="仿宋" w:hAnsi="仿宋" w:eastAsia="仿宋" w:cs="仿宋"/>
          <w:sz w:val="24"/>
          <w:highlight w:val="none"/>
          <w:lang w:val="en-US" w:eastAsia="zh-CN"/>
        </w:rPr>
      </w:pPr>
      <w:r>
        <w:rPr>
          <w:rFonts w:hint="eastAsia" w:ascii="仿宋" w:hAnsi="仿宋" w:eastAsia="仿宋" w:cs="仿宋"/>
          <w:color w:val="FF0000"/>
          <w:sz w:val="24"/>
          <w:highlight w:val="none"/>
        </w:rPr>
        <w:t>5.2响应文件的递交：广西南宁市青秀区金湖北路52-1号东方曼哈顿20楼2001会议室</w:t>
      </w:r>
      <w:r>
        <w:rPr>
          <w:rFonts w:hint="eastAsia" w:ascii="仿宋" w:hAnsi="仿宋" w:eastAsia="仿宋" w:cs="仿宋"/>
          <w:sz w:val="24"/>
          <w:highlight w:val="none"/>
        </w:rPr>
        <w:t>，逾期送达或者未送达指定地点或者未按照</w:t>
      </w:r>
      <w:r>
        <w:rPr>
          <w:rFonts w:hint="eastAsia" w:ascii="仿宋" w:hAnsi="仿宋" w:eastAsia="仿宋" w:cs="仿宋"/>
          <w:sz w:val="24"/>
          <w:highlight w:val="none"/>
          <w:lang w:val="en-US" w:eastAsia="zh-CN"/>
        </w:rPr>
        <w:t>竞争性磋商</w:t>
      </w:r>
      <w:r>
        <w:rPr>
          <w:rFonts w:hint="eastAsia" w:ascii="仿宋" w:hAnsi="仿宋" w:eastAsia="仿宋" w:cs="仿宋"/>
          <w:sz w:val="24"/>
          <w:highlight w:val="none"/>
        </w:rPr>
        <w:t>文件要求封装的纸质响应文件不予接收。</w:t>
      </w:r>
    </w:p>
    <w:p w14:paraId="55677591">
      <w:pPr>
        <w:adjustRightInd w:val="0"/>
        <w:snapToGrid w:val="0"/>
        <w:spacing w:line="36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5.3 出现以下情形之一时，磋商响应文件将不予接收：</w:t>
      </w:r>
    </w:p>
    <w:p w14:paraId="50AEA67E">
      <w:pPr>
        <w:adjustRightInd w:val="0"/>
        <w:snapToGrid w:val="0"/>
        <w:spacing w:line="36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5.3.1逾期送达或者未送达指定地点的；</w:t>
      </w:r>
    </w:p>
    <w:p w14:paraId="4CBBC1E0">
      <w:pPr>
        <w:adjustRightInd w:val="0"/>
        <w:snapToGrid w:val="0"/>
        <w:spacing w:line="36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5.3.2未按照竞争性磋商文件要求密封的；</w:t>
      </w:r>
    </w:p>
    <w:p w14:paraId="621E1EAD">
      <w:pPr>
        <w:adjustRightInd w:val="0"/>
        <w:snapToGrid w:val="0"/>
        <w:spacing w:line="36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5.3.3未按照竞争性磋商公告要求获取竞争性磋商文件的。</w:t>
      </w:r>
    </w:p>
    <w:p w14:paraId="4AFB3D00">
      <w:pPr>
        <w:keepNext/>
        <w:keepLines/>
        <w:widowControl w:val="0"/>
        <w:adjustRightInd w:val="0"/>
        <w:snapToGrid w:val="0"/>
        <w:spacing w:line="360" w:lineRule="auto"/>
        <w:ind w:left="368" w:leftChars="175" w:firstLine="0" w:firstLineChars="0"/>
        <w:jc w:val="left"/>
        <w:outlineLvl w:val="1"/>
        <w:rPr>
          <w:rFonts w:hint="eastAsia" w:ascii="仿宋" w:hAnsi="仿宋" w:eastAsia="仿宋" w:cs="仿宋"/>
          <w:b/>
          <w:bCs/>
          <w:color w:val="auto"/>
          <w:kern w:val="2"/>
          <w:sz w:val="24"/>
          <w:szCs w:val="24"/>
          <w:highlight w:val="none"/>
          <w:lang w:val="en-US" w:eastAsia="zh-CN" w:bidi="ar-SA"/>
        </w:rPr>
      </w:pPr>
      <w:bookmarkStart w:id="9" w:name="_Toc5940"/>
      <w:r>
        <w:rPr>
          <w:rFonts w:hint="eastAsia" w:ascii="仿宋" w:hAnsi="仿宋" w:eastAsia="仿宋" w:cs="仿宋"/>
          <w:b/>
          <w:bCs/>
          <w:color w:val="auto"/>
          <w:kern w:val="2"/>
          <w:sz w:val="24"/>
          <w:szCs w:val="24"/>
          <w:highlight w:val="none"/>
          <w:lang w:val="en-US" w:eastAsia="zh-CN" w:bidi="ar-SA"/>
        </w:rPr>
        <w:t>六、发布公告的媒介</w:t>
      </w:r>
      <w:bookmarkEnd w:id="9"/>
    </w:p>
    <w:p w14:paraId="7B763255">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本项目</w:t>
      </w:r>
      <w:r>
        <w:rPr>
          <w:rFonts w:hint="eastAsia" w:ascii="仿宋" w:hAnsi="仿宋" w:eastAsia="仿宋" w:cs="仿宋"/>
          <w:sz w:val="24"/>
          <w:highlight w:val="none"/>
          <w:lang w:eastAsia="zh-CN"/>
        </w:rPr>
        <w:t>竞争性磋商公告</w:t>
      </w:r>
      <w:r>
        <w:rPr>
          <w:rFonts w:hint="eastAsia" w:ascii="仿宋" w:hAnsi="仿宋" w:eastAsia="仿宋" w:cs="仿宋"/>
          <w:sz w:val="24"/>
          <w:highlight w:val="none"/>
        </w:rPr>
        <w:t>仅同时在</w:t>
      </w:r>
      <w:r>
        <w:rPr>
          <w:rFonts w:hint="eastAsia" w:ascii="仿宋" w:hAnsi="仿宋" w:eastAsia="仿宋" w:cs="仿宋"/>
          <w:color w:val="FF0000"/>
          <w:sz w:val="24"/>
          <w:highlight w:val="none"/>
        </w:rPr>
        <w:t>“人保e采”外网门户（https：//ec.picc.com/）、</w:t>
      </w:r>
      <w:r>
        <w:rPr>
          <w:rFonts w:hint="eastAsia" w:ascii="仿宋" w:hAnsi="仿宋" w:eastAsia="仿宋" w:cs="仿宋"/>
          <w:sz w:val="24"/>
          <w:highlight w:val="none"/>
        </w:rPr>
        <w:t>中国招标投标公共服务平台（http://bulletin.cebpubservice.com）、中国采购与招标网（www.chinabidding.com.cn）、金采网（www.cfcpn.com）上发布，除上述外，采购人/采购代理机构不在其他任何网站、论坛等媒介上发布任何采购信息，其他任何媒介上转载的、以采购人/采购代理机构为采购主体的采购信息均为非法转载，均为无效。对于非法转载、篡改采购公告信息的组织或个人，采购人/采购代理机构保留追究其法律责任的权利。</w:t>
      </w:r>
    </w:p>
    <w:p w14:paraId="021955E9">
      <w:pPr>
        <w:keepNext/>
        <w:keepLines/>
        <w:widowControl w:val="0"/>
        <w:adjustRightInd w:val="0"/>
        <w:snapToGrid w:val="0"/>
        <w:spacing w:line="360" w:lineRule="auto"/>
        <w:ind w:left="368" w:leftChars="175" w:firstLine="0" w:firstLineChars="0"/>
        <w:jc w:val="left"/>
        <w:outlineLvl w:val="1"/>
        <w:rPr>
          <w:rFonts w:hint="eastAsia" w:ascii="仿宋" w:hAnsi="仿宋" w:eastAsia="仿宋" w:cs="仿宋"/>
          <w:b/>
          <w:bCs/>
          <w:color w:val="auto"/>
          <w:kern w:val="2"/>
          <w:sz w:val="24"/>
          <w:szCs w:val="24"/>
          <w:highlight w:val="none"/>
          <w:lang w:val="en-US" w:eastAsia="zh-CN" w:bidi="ar-SA"/>
        </w:rPr>
      </w:pPr>
      <w:bookmarkStart w:id="10" w:name="_Toc8906"/>
      <w:r>
        <w:rPr>
          <w:rFonts w:hint="eastAsia" w:ascii="仿宋" w:hAnsi="仿宋" w:eastAsia="仿宋" w:cs="仿宋"/>
          <w:b/>
          <w:bCs/>
          <w:color w:val="auto"/>
          <w:kern w:val="2"/>
          <w:sz w:val="24"/>
          <w:szCs w:val="24"/>
          <w:highlight w:val="none"/>
          <w:lang w:val="en-US" w:eastAsia="zh-CN" w:bidi="ar-SA"/>
        </w:rPr>
        <w:t>七、联系方式</w:t>
      </w:r>
      <w:bookmarkEnd w:id="10"/>
    </w:p>
    <w:p w14:paraId="7F6BA3D6">
      <w:pPr>
        <w:adjustRightInd w:val="0"/>
        <w:snapToGrid w:val="0"/>
        <w:spacing w:line="360" w:lineRule="auto"/>
        <w:ind w:firstLine="420" w:firstLineChars="175"/>
        <w:jc w:val="left"/>
        <w:rPr>
          <w:rFonts w:hint="default" w:ascii="仿宋" w:hAnsi="仿宋" w:eastAsia="仿宋" w:cs="仿宋"/>
          <w:sz w:val="24"/>
          <w:highlight w:val="none"/>
          <w:lang w:val="en-US" w:eastAsia="zh-CN"/>
        </w:rPr>
      </w:pPr>
      <w:r>
        <w:rPr>
          <w:rFonts w:hint="eastAsia" w:ascii="仿宋" w:hAnsi="仿宋" w:eastAsia="仿宋" w:cs="仿宋"/>
          <w:sz w:val="24"/>
          <w:highlight w:val="none"/>
        </w:rPr>
        <w:t>采购人：</w:t>
      </w:r>
      <w:r>
        <w:rPr>
          <w:rFonts w:hint="default" w:ascii="仿宋" w:hAnsi="仿宋" w:eastAsia="仿宋" w:cs="仿宋"/>
          <w:sz w:val="24"/>
          <w:highlight w:val="none"/>
          <w:lang w:val="en-US" w:eastAsia="zh-CN"/>
        </w:rPr>
        <w:t>中国人民财产保险股份有限公司南宁市分公司工会委员会</w:t>
      </w:r>
    </w:p>
    <w:p w14:paraId="10EE6AD4">
      <w:pPr>
        <w:adjustRightInd w:val="0"/>
        <w:snapToGrid w:val="0"/>
        <w:spacing w:line="360" w:lineRule="auto"/>
        <w:ind w:firstLine="420" w:firstLineChars="175"/>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eastAsia="zh-CN"/>
        </w:rPr>
        <w:t>地  址：</w:t>
      </w:r>
      <w:r>
        <w:rPr>
          <w:rFonts w:hint="eastAsia" w:ascii="仿宋" w:hAnsi="仿宋" w:eastAsia="仿宋" w:cs="仿宋"/>
          <w:sz w:val="24"/>
          <w:highlight w:val="none"/>
          <w:lang w:val="en-US" w:eastAsia="zh-CN"/>
        </w:rPr>
        <w:t>南宁市青秀区金湖路36号中国人保大厦1层、3层、5-8层、9楼901室、906-907室、909室</w:t>
      </w:r>
    </w:p>
    <w:p w14:paraId="0074B7C2">
      <w:pPr>
        <w:adjustRightInd w:val="0"/>
        <w:snapToGrid w:val="0"/>
        <w:spacing w:line="360" w:lineRule="auto"/>
        <w:ind w:firstLine="420" w:firstLineChars="175"/>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联系人：方老师</w:t>
      </w:r>
    </w:p>
    <w:p w14:paraId="6A354671">
      <w:pPr>
        <w:adjustRightInd w:val="0"/>
        <w:snapToGrid w:val="0"/>
        <w:spacing w:line="360" w:lineRule="auto"/>
        <w:ind w:firstLine="420" w:firstLineChars="175"/>
        <w:jc w:val="lef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电  话：13321717907</w:t>
      </w:r>
    </w:p>
    <w:p w14:paraId="4532F75D">
      <w:pPr>
        <w:adjustRightInd w:val="0"/>
        <w:snapToGrid w:val="0"/>
        <w:spacing w:line="360" w:lineRule="auto"/>
        <w:ind w:firstLine="420" w:firstLineChars="175"/>
        <w:jc w:val="lef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采购代理机构：</w:t>
      </w:r>
      <w:r>
        <w:rPr>
          <w:rFonts w:hint="default" w:ascii="仿宋" w:hAnsi="仿宋" w:eastAsia="仿宋" w:cs="仿宋"/>
          <w:sz w:val="24"/>
          <w:highlight w:val="none"/>
          <w:lang w:val="en-US" w:eastAsia="zh-CN"/>
        </w:rPr>
        <w:t>广西壮族自治区通信产业服务有限公司</w:t>
      </w:r>
    </w:p>
    <w:p w14:paraId="6EE28E08">
      <w:pPr>
        <w:adjustRightInd w:val="0"/>
        <w:snapToGrid w:val="0"/>
        <w:spacing w:line="360" w:lineRule="auto"/>
        <w:ind w:firstLine="420" w:firstLineChars="175"/>
        <w:jc w:val="left"/>
        <w:rPr>
          <w:rFonts w:hint="eastAsia" w:ascii="仿宋" w:hAnsi="仿宋" w:eastAsia="仿宋" w:cs="仿宋"/>
          <w:sz w:val="24"/>
          <w:highlight w:val="none"/>
          <w:lang w:val="en-US" w:eastAsia="zh-CN"/>
        </w:rPr>
      </w:pPr>
      <w:bookmarkStart w:id="11" w:name="_Hlk200459751"/>
      <w:r>
        <w:rPr>
          <w:rFonts w:hint="eastAsia" w:ascii="仿宋" w:hAnsi="仿宋" w:eastAsia="仿宋" w:cs="仿宋"/>
          <w:sz w:val="24"/>
          <w:highlight w:val="none"/>
          <w:lang w:val="en-US" w:eastAsia="zh-CN"/>
        </w:rPr>
        <w:t>地  址：南宁市青秀区金湖路52-1号东方曼哈顿大厦20楼2003B办公室</w:t>
      </w:r>
    </w:p>
    <w:p w14:paraId="1952B65C">
      <w:pPr>
        <w:adjustRightInd w:val="0"/>
        <w:snapToGrid w:val="0"/>
        <w:spacing w:line="360" w:lineRule="auto"/>
        <w:ind w:firstLine="420" w:firstLineChars="175"/>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项目负责人（联系人）：吕燚/潘玉婷/覃振祝</w:t>
      </w:r>
    </w:p>
    <w:p w14:paraId="6F696686">
      <w:pPr>
        <w:adjustRightInd w:val="0"/>
        <w:snapToGrid w:val="0"/>
        <w:spacing w:line="360" w:lineRule="auto"/>
        <w:ind w:firstLine="420" w:firstLineChars="175"/>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电  话：19914872356/15507730624/0771-2419561</w:t>
      </w:r>
    </w:p>
    <w:p w14:paraId="3438BA21">
      <w:pPr>
        <w:adjustRightInd w:val="0"/>
        <w:snapToGrid w:val="0"/>
        <w:spacing w:line="360" w:lineRule="auto"/>
        <w:ind w:firstLine="420" w:firstLineChars="175"/>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电子邮件：</w:t>
      </w:r>
      <w:r>
        <w:rPr>
          <w:rFonts w:hint="eastAsia" w:ascii="仿宋" w:hAnsi="仿宋" w:eastAsia="仿宋" w:cs="仿宋"/>
          <w:sz w:val="24"/>
          <w:highlight w:val="none"/>
          <w:lang w:val="en-US" w:eastAsia="zh-CN"/>
        </w:rPr>
        <w:fldChar w:fldCharType="begin"/>
      </w:r>
      <w:r>
        <w:rPr>
          <w:rFonts w:hint="eastAsia" w:ascii="仿宋" w:hAnsi="仿宋" w:eastAsia="仿宋" w:cs="仿宋"/>
          <w:sz w:val="24"/>
          <w:highlight w:val="none"/>
          <w:lang w:val="en-US" w:eastAsia="zh-CN"/>
        </w:rPr>
        <w:instrText xml:space="preserve"> HYPERLINK "mailto:19914872356@163.com" </w:instrText>
      </w:r>
      <w:r>
        <w:rPr>
          <w:rFonts w:hint="eastAsia" w:ascii="仿宋" w:hAnsi="仿宋" w:eastAsia="仿宋" w:cs="仿宋"/>
          <w:sz w:val="24"/>
          <w:highlight w:val="none"/>
          <w:lang w:val="en-US" w:eastAsia="zh-CN"/>
        </w:rPr>
        <w:fldChar w:fldCharType="separate"/>
      </w:r>
      <w:r>
        <w:rPr>
          <w:rFonts w:hint="eastAsia" w:ascii="仿宋" w:hAnsi="仿宋" w:eastAsia="仿宋" w:cs="仿宋"/>
          <w:color w:val="333333"/>
          <w:sz w:val="24"/>
          <w:highlight w:val="none"/>
          <w:u w:val="none"/>
          <w:lang w:val="en-US" w:eastAsia="zh-CN"/>
        </w:rPr>
        <w:t>19914872356@163.com</w:t>
      </w:r>
      <w:r>
        <w:rPr>
          <w:rFonts w:hint="eastAsia" w:ascii="仿宋" w:hAnsi="仿宋" w:eastAsia="仿宋" w:cs="仿宋"/>
          <w:sz w:val="24"/>
          <w:highlight w:val="none"/>
          <w:lang w:val="en-US" w:eastAsia="zh-CN"/>
        </w:rPr>
        <w:fldChar w:fldCharType="end"/>
      </w:r>
    </w:p>
    <w:p w14:paraId="74CCFBC9">
      <w:pPr>
        <w:widowControl w:val="0"/>
        <w:tabs>
          <w:tab w:val="center" w:pos="4153"/>
          <w:tab w:val="right" w:pos="8306"/>
        </w:tabs>
        <w:snapToGrid w:val="0"/>
        <w:jc w:val="left"/>
        <w:rPr>
          <w:rFonts w:hint="default" w:ascii="Times New Roman" w:hAnsi="Times New Roman" w:eastAsia="宋体" w:cs="Times New Roman"/>
          <w:kern w:val="2"/>
          <w:sz w:val="18"/>
          <w:szCs w:val="18"/>
          <w:lang w:val="en-US" w:eastAsia="zh-CN" w:bidi="ar-SA"/>
        </w:rPr>
      </w:pPr>
    </w:p>
    <w:p w14:paraId="70A16A9B">
      <w:pPr>
        <w:adjustRightInd w:val="0"/>
        <w:snapToGrid w:val="0"/>
        <w:spacing w:line="360" w:lineRule="auto"/>
        <w:ind w:firstLine="480" w:firstLineChars="200"/>
        <w:jc w:val="right"/>
        <w:textAlignment w:val="baseline"/>
        <w:rPr>
          <w:rFonts w:hint="default" w:ascii="仿宋" w:hAnsi="仿宋" w:eastAsia="仿宋" w:cs="仿宋"/>
          <w:sz w:val="24"/>
          <w:highlight w:val="none"/>
          <w:lang w:val="en-US" w:eastAsia="zh-CN"/>
        </w:rPr>
      </w:pPr>
      <w:r>
        <w:rPr>
          <w:rFonts w:hint="eastAsia" w:ascii="仿宋" w:hAnsi="仿宋" w:eastAsia="仿宋" w:cs="仿宋"/>
          <w:sz w:val="24"/>
          <w:highlight w:val="none"/>
        </w:rPr>
        <w:t>采购人：</w:t>
      </w:r>
      <w:r>
        <w:rPr>
          <w:rFonts w:hint="default" w:ascii="仿宋" w:hAnsi="仿宋" w:eastAsia="仿宋" w:cs="仿宋"/>
          <w:sz w:val="24"/>
          <w:highlight w:val="none"/>
          <w:lang w:val="en-US" w:eastAsia="zh-CN"/>
        </w:rPr>
        <w:t>中国人民财产保险股份有限公司南宁市分公司工会委员会</w:t>
      </w:r>
    </w:p>
    <w:p w14:paraId="7F30DBF7">
      <w:pPr>
        <w:adjustRightInd w:val="0"/>
        <w:snapToGrid w:val="0"/>
        <w:spacing w:line="360" w:lineRule="auto"/>
        <w:jc w:val="right"/>
        <w:rPr>
          <w:rFonts w:hint="default" w:ascii="仿宋" w:hAnsi="仿宋" w:eastAsia="仿宋" w:cs="仿宋"/>
          <w:sz w:val="24"/>
          <w:highlight w:val="none"/>
          <w:lang w:val="en-US"/>
        </w:rPr>
      </w:pPr>
      <w:r>
        <w:rPr>
          <w:rFonts w:hint="eastAsia" w:ascii="仿宋" w:hAnsi="仿宋" w:eastAsia="仿宋" w:cs="仿宋"/>
          <w:sz w:val="24"/>
          <w:highlight w:val="none"/>
        </w:rPr>
        <w:t>采购代理机构：</w:t>
      </w:r>
      <w:r>
        <w:rPr>
          <w:rFonts w:hint="default" w:ascii="仿宋" w:hAnsi="仿宋" w:eastAsia="仿宋" w:cs="仿宋"/>
          <w:sz w:val="24"/>
          <w:highlight w:val="none"/>
          <w:lang w:val="en-US"/>
        </w:rPr>
        <w:t>广西壮族自治区通信产业服务有限公司</w:t>
      </w:r>
    </w:p>
    <w:p w14:paraId="20083B18">
      <w:pPr>
        <w:adjustRightInd w:val="0"/>
        <w:snapToGrid w:val="0"/>
        <w:spacing w:line="360" w:lineRule="auto"/>
        <w:jc w:val="right"/>
        <w:rPr>
          <w:rFonts w:hint="eastAsia" w:ascii="仿宋" w:hAnsi="仿宋" w:eastAsia="仿宋" w:cs="仿宋"/>
          <w:color w:val="FF0000"/>
          <w:sz w:val="24"/>
          <w:highlight w:val="none"/>
        </w:rPr>
        <w:sectPr>
          <w:headerReference r:id="rId3" w:type="default"/>
          <w:footerReference r:id="rId4" w:type="default"/>
          <w:footerReference r:id="rId5" w:type="even"/>
          <w:pgSz w:w="11906" w:h="16838"/>
          <w:pgMar w:top="1440" w:right="1800" w:bottom="1440" w:left="1800" w:header="851" w:footer="992" w:gutter="0"/>
          <w:cols w:space="720" w:num="1"/>
          <w:docGrid w:type="lines" w:linePitch="312" w:charSpace="0"/>
        </w:sectPr>
      </w:pPr>
      <w:r>
        <w:rPr>
          <w:rFonts w:hint="eastAsia" w:ascii="仿宋" w:hAnsi="仿宋" w:eastAsia="仿宋" w:cs="仿宋"/>
          <w:color w:val="FF0000"/>
          <w:sz w:val="24"/>
          <w:highlight w:val="none"/>
        </w:rPr>
        <w:t>202</w:t>
      </w:r>
      <w:r>
        <w:rPr>
          <w:rFonts w:hint="default" w:ascii="仿宋" w:hAnsi="仿宋" w:eastAsia="仿宋" w:cs="仿宋"/>
          <w:color w:val="FF0000"/>
          <w:sz w:val="24"/>
          <w:highlight w:val="none"/>
          <w:lang w:val="en-US"/>
        </w:rPr>
        <w:t>6</w:t>
      </w:r>
      <w:r>
        <w:rPr>
          <w:rFonts w:hint="eastAsia" w:ascii="仿宋" w:hAnsi="仿宋" w:eastAsia="仿宋" w:cs="仿宋"/>
          <w:color w:val="FF0000"/>
          <w:sz w:val="24"/>
          <w:highlight w:val="none"/>
        </w:rPr>
        <w:t>年</w:t>
      </w:r>
      <w:r>
        <w:rPr>
          <w:rFonts w:hint="default" w:ascii="仿宋" w:hAnsi="仿宋" w:eastAsia="仿宋" w:cs="仿宋"/>
          <w:color w:val="FF0000"/>
          <w:sz w:val="24"/>
          <w:highlight w:val="none"/>
          <w:lang w:val="en-US" w:eastAsia="zh-CN"/>
        </w:rPr>
        <w:t>8</w:t>
      </w:r>
      <w:r>
        <w:rPr>
          <w:rFonts w:hint="eastAsia" w:ascii="仿宋" w:hAnsi="仿宋" w:eastAsia="仿宋" w:cs="仿宋"/>
          <w:color w:val="FF0000"/>
          <w:sz w:val="24"/>
          <w:highlight w:val="none"/>
        </w:rPr>
        <w:t>月</w:t>
      </w:r>
      <w:r>
        <w:rPr>
          <w:rFonts w:hint="default" w:ascii="仿宋" w:hAnsi="仿宋" w:eastAsia="仿宋" w:cs="仿宋"/>
          <w:color w:val="FF0000"/>
          <w:sz w:val="24"/>
          <w:highlight w:val="none"/>
          <w:lang w:val="en-US" w:eastAsia="zh-CN"/>
        </w:rPr>
        <w:t>24</w:t>
      </w:r>
      <w:r>
        <w:rPr>
          <w:rFonts w:hint="eastAsia" w:ascii="仿宋" w:hAnsi="仿宋" w:eastAsia="仿宋" w:cs="仿宋"/>
          <w:color w:val="FF0000"/>
          <w:sz w:val="24"/>
          <w:highlight w:val="none"/>
        </w:rPr>
        <w:t>日</w:t>
      </w:r>
      <w:bookmarkEnd w:id="1"/>
      <w:bookmarkEnd w:id="11"/>
    </w:p>
    <w:p w14:paraId="2CB6ABE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D6710">
    <w:pPr>
      <w:widowControl w:val="0"/>
      <w:tabs>
        <w:tab w:val="left" w:pos="3912"/>
        <w:tab w:val="center" w:pos="4153"/>
      </w:tabs>
      <w:snapToGrid w:val="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PAGE   \* MERGEFORMAT</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zh-CN" w:eastAsia="zh-CN" w:bidi="ar-SA"/>
      </w:rPr>
      <w:t>1</w:t>
    </w:r>
    <w:r>
      <w:rPr>
        <w:rFonts w:ascii="Times New Roman" w:hAnsi="Times New Roman" w:eastAsia="宋体" w:cs="Times New Roman"/>
        <w:kern w:val="2"/>
        <w:sz w:val="18"/>
        <w:szCs w:val="18"/>
        <w:lang w:val="en-US" w:eastAsia="zh-CN" w:bidi="ar-SA"/>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7D1B87">
    <w:pPr>
      <w:framePr w:wrap="around" w:vAnchor="text" w:hAnchor="margin" w:xAlign="center" w:y="1"/>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21"/>
        <w:szCs w:val="24"/>
        <w:lang w:val="en-US" w:eastAsia="zh-CN" w:bidi="ar-SA"/>
      </w:rPr>
      <w:instrText xml:space="preserve">PAGE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21"/>
        <w:szCs w:val="24"/>
        <w:lang w:val="en-US" w:eastAsia="zh-CN" w:bidi="ar-SA"/>
      </w:rPr>
      <w:t>52</w:t>
    </w:r>
    <w:r>
      <w:rPr>
        <w:rFonts w:ascii="Times New Roman" w:hAnsi="Times New Roman" w:eastAsia="宋体" w:cs="Times New Roman"/>
        <w:kern w:val="2"/>
        <w:sz w:val="18"/>
        <w:szCs w:val="18"/>
        <w:lang w:val="en-US" w:eastAsia="zh-CN" w:bidi="ar-SA"/>
      </w:rPr>
      <w:fldChar w:fldCharType="end"/>
    </w:r>
  </w:p>
  <w:p w14:paraId="7D07E48F">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D1B9D">
    <w:pPr>
      <w:widowControl w:val="0"/>
      <w:pBdr>
        <w:bottom w:val="single" w:color="auto" w:sz="6" w:space="2"/>
      </w:pBdr>
      <w:tabs>
        <w:tab w:val="center" w:pos="4153"/>
        <w:tab w:val="right" w:pos="8306"/>
      </w:tabs>
      <w:snapToGrid w:val="0"/>
      <w:jc w:val="right"/>
      <w:rPr>
        <w:rFonts w:ascii="Times New Roman" w:hAnsi="Times New Roman" w:eastAsia="宋体" w:cs="Times New Roman"/>
        <w:kern w:val="2"/>
        <w:sz w:val="18"/>
        <w:szCs w:val="18"/>
        <w:lang w:val="en-US" w:eastAsia="zh-CN" w:bidi="ar-S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ECF5E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2026-08-24T09:50:18Z</dcterms:created>
  <dc:creator>15677</dc:creator>
  <cp:lastModifiedBy>banli9</cp:lastModifiedBy>
  <dcterms:modified xsi:type="dcterms:W3CDTF">2026-08-24T09:50:28Z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eyJoZGlkIjoiODgwNmEwZDU5ZWUxMzlhMzdjMjJmMjJkMmJlMTAyY2EiLCJ1c2VySWQiOiI4MDUyODY1NDUifQ==</vt:lpwstr>
  </property>
  <property fmtid="{D5CDD505-2E9C-101B-9397-08002B2CF9AE}" pid="4" name="ICV">
    <vt:lpwstr>4B458FE9415D4099A2E1FB8CC18077AF_12</vt:lpwstr>
  </property>
</Properties>
</file>