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adjustRightInd w:val="0"/>
        <w:snapToGrid w:val="0"/>
        <w:spacing w:line="360" w:lineRule="auto"/>
        <w:jc w:val="center"/>
      </w:pPr>
      <w:r>
        <w:rPr>
          <w:rFonts w:hint="eastAsia" w:ascii="黑体" w:hAnsi="黑体" w:eastAsia="黑体"/>
          <w:b/>
          <w:sz w:val="28"/>
          <w:szCs w:val="28"/>
          <w:lang w:eastAsia="zh-CN"/>
        </w:rPr>
        <w:t>关于人保财险新疆叶城支公司城乡</w:t>
      </w:r>
      <w:r>
        <w:rPr>
          <w:rFonts w:hint="eastAsia" w:ascii="黑体" w:hAnsi="黑体" w:eastAsia="黑体"/>
          <w:b/>
          <w:sz w:val="28"/>
          <w:szCs w:val="28"/>
          <w:lang w:val="en-US" w:eastAsia="zh-CN"/>
        </w:rPr>
        <w:t>客运车辆电子屏广告</w:t>
      </w:r>
      <w:r>
        <w:rPr>
          <w:rFonts w:hint="eastAsia" w:ascii="黑体" w:hAnsi="黑体" w:eastAsia="黑体"/>
          <w:b/>
          <w:sz w:val="28"/>
          <w:szCs w:val="28"/>
          <w:lang w:eastAsia="zh-CN"/>
        </w:rPr>
        <w:t>采购项目拟采用</w:t>
      </w:r>
      <w:r>
        <w:rPr>
          <w:rFonts w:hint="eastAsia" w:ascii="黑体" w:hAnsi="黑体" w:eastAsia="黑体"/>
          <w:b/>
          <w:sz w:val="28"/>
          <w:szCs w:val="28"/>
        </w:rPr>
        <w:t>单一</w:t>
      </w:r>
      <w:r>
        <w:rPr>
          <w:rFonts w:hint="eastAsia" w:ascii="黑体" w:hAnsi="黑体" w:eastAsia="黑体"/>
          <w:b/>
          <w:sz w:val="28"/>
          <w:szCs w:val="28"/>
          <w:lang w:eastAsia="zh-CN"/>
        </w:rPr>
        <w:t>采购方式</w:t>
      </w:r>
      <w:r>
        <w:rPr>
          <w:rFonts w:hint="eastAsia" w:ascii="黑体" w:hAnsi="黑体" w:eastAsia="黑体"/>
          <w:b/>
          <w:sz w:val="28"/>
          <w:szCs w:val="28"/>
        </w:rPr>
        <w:t>公示</w:t>
      </w:r>
    </w:p>
    <w:p>
      <w:pPr>
        <w:keepNext w:val="0"/>
        <w:keepLines w:val="0"/>
        <w:widowControl w:val="0"/>
        <w:suppressLineNumbers w:val="0"/>
        <w:spacing w:before="0" w:beforeAutospacing="1" w:after="0" w:afterAutospacing="1" w:line="480" w:lineRule="exact"/>
        <w:ind w:left="0" w:right="0" w:firstLine="560" w:firstLineChars="200"/>
        <w:jc w:val="left"/>
        <w:rPr>
          <w:rFonts w:hint="eastAsia" w:ascii="仿宋" w:hAnsi="仿宋" w:eastAsia="仿宋" w:cs="仿宋"/>
          <w:sz w:val="28"/>
          <w:szCs w:val="28"/>
        </w:rPr>
      </w:pPr>
      <w:r>
        <w:rPr>
          <w:rFonts w:hint="eastAsia" w:ascii="仿宋" w:hAnsi="仿宋" w:eastAsia="仿宋" w:cs="仿宋"/>
          <w:sz w:val="28"/>
          <w:szCs w:val="28"/>
        </w:rPr>
        <w:t>根据</w:t>
      </w:r>
      <w:r>
        <w:rPr>
          <w:rFonts w:hint="eastAsia" w:ascii="仿宋" w:hAnsi="仿宋" w:eastAsia="仿宋" w:cs="仿宋"/>
          <w:sz w:val="28"/>
          <w:szCs w:val="28"/>
          <w:lang w:val="en-US" w:eastAsia="zh-CN"/>
        </w:rPr>
        <w:t>中国人民保险集团集中采购管理相关制度规定</w:t>
      </w:r>
      <w:r>
        <w:rPr>
          <w:rFonts w:hint="eastAsia" w:ascii="仿宋" w:hAnsi="仿宋" w:eastAsia="仿宋" w:cs="仿宋"/>
          <w:sz w:val="28"/>
          <w:szCs w:val="28"/>
        </w:rPr>
        <w:t>，现将</w:t>
      </w:r>
      <w:r>
        <w:rPr>
          <w:rFonts w:hint="eastAsia" w:ascii="仿宋" w:hAnsi="仿宋" w:eastAsia="仿宋" w:cs="仿宋"/>
          <w:sz w:val="28"/>
          <w:szCs w:val="28"/>
          <w:lang w:eastAsia="zh-CN"/>
        </w:rPr>
        <w:t>采用</w:t>
      </w:r>
      <w:r>
        <w:rPr>
          <w:rFonts w:hint="eastAsia" w:ascii="仿宋" w:hAnsi="仿宋" w:eastAsia="仿宋" w:cs="仿宋"/>
          <w:sz w:val="28"/>
          <w:szCs w:val="28"/>
        </w:rPr>
        <w:t>单一采购</w:t>
      </w:r>
      <w:r>
        <w:rPr>
          <w:rFonts w:hint="eastAsia" w:ascii="仿宋" w:hAnsi="仿宋" w:eastAsia="仿宋" w:cs="仿宋"/>
          <w:sz w:val="28"/>
          <w:szCs w:val="28"/>
          <w:lang w:eastAsia="zh-CN"/>
        </w:rPr>
        <w:t>方式的相关</w:t>
      </w:r>
      <w:r>
        <w:rPr>
          <w:rFonts w:hint="eastAsia" w:ascii="仿宋" w:hAnsi="仿宋" w:eastAsia="仿宋" w:cs="仿宋"/>
          <w:sz w:val="28"/>
          <w:szCs w:val="28"/>
        </w:rPr>
        <w:t>内容公示如下：</w:t>
      </w:r>
    </w:p>
    <w:p>
      <w:pPr>
        <w:numPr>
          <w:ilvl w:val="0"/>
          <w:numId w:val="0"/>
        </w:numPr>
        <w:adjustRightInd w:val="0"/>
        <w:snapToGrid w:val="0"/>
        <w:spacing w:line="360" w:lineRule="auto"/>
        <w:ind w:firstLine="562" w:firstLineChars="200"/>
        <w:rPr>
          <w:rFonts w:hint="eastAsia" w:ascii="仿宋" w:hAnsi="仿宋" w:eastAsia="仿宋" w:cs="仿宋"/>
          <w:sz w:val="28"/>
          <w:szCs w:val="28"/>
          <w:lang w:eastAsia="zh-CN"/>
        </w:rPr>
      </w:pPr>
      <w:r>
        <w:rPr>
          <w:rFonts w:hint="eastAsia" w:ascii="仿宋" w:hAnsi="仿宋" w:eastAsia="仿宋" w:cs="仿宋"/>
          <w:b/>
          <w:sz w:val="28"/>
          <w:szCs w:val="28"/>
        </w:rPr>
        <w:t>一、项目名称：</w:t>
      </w:r>
      <w:r>
        <w:rPr>
          <w:rFonts w:hint="eastAsia" w:ascii="仿宋" w:hAnsi="仿宋" w:eastAsia="仿宋" w:cs="仿宋"/>
          <w:sz w:val="28"/>
          <w:szCs w:val="28"/>
          <w:lang w:val="en-US" w:eastAsia="zh-CN"/>
        </w:rPr>
        <w:t>人保财险新疆叶城支公司城乡客运车辆电子屏广告采购项目</w:t>
      </w:r>
    </w:p>
    <w:p>
      <w:p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lang w:eastAsia="zh-CN"/>
        </w:rPr>
        <w:t>二</w:t>
      </w:r>
      <w:r>
        <w:rPr>
          <w:rFonts w:hint="eastAsia" w:ascii="仿宋" w:hAnsi="仿宋" w:eastAsia="仿宋" w:cs="仿宋"/>
          <w:b/>
          <w:sz w:val="28"/>
          <w:szCs w:val="28"/>
        </w:rPr>
        <w:t>、</w:t>
      </w:r>
      <w:r>
        <w:rPr>
          <w:rFonts w:hint="eastAsia" w:ascii="仿宋" w:hAnsi="仿宋" w:eastAsia="仿宋" w:cs="仿宋"/>
          <w:b/>
          <w:sz w:val="28"/>
          <w:szCs w:val="28"/>
          <w:lang w:eastAsia="zh-CN"/>
        </w:rPr>
        <w:t>采购主要内容</w:t>
      </w:r>
      <w:r>
        <w:rPr>
          <w:rFonts w:hint="eastAsia" w:ascii="仿宋" w:hAnsi="仿宋" w:eastAsia="仿宋" w:cs="仿宋"/>
          <w:b/>
          <w:sz w:val="28"/>
          <w:szCs w:val="28"/>
        </w:rPr>
        <w:t>：</w:t>
      </w:r>
      <w:r>
        <w:rPr>
          <w:rFonts w:hint="eastAsia" w:ascii="仿宋" w:hAnsi="仿宋" w:eastAsia="仿宋" w:cs="仿宋"/>
          <w:sz w:val="28"/>
          <w:szCs w:val="28"/>
          <w:lang w:val="en-US" w:eastAsia="zh-CN"/>
        </w:rPr>
        <w:t>我公司拟在66辆具有车载电子屏的城乡客运车辆进行电子屏广告投放，县城至各乡镇总共有20条路线，分别为叶城县-铁提乡、巴仁乡、恰尔巴格镇、乌夏巴什镇、阿克塔什镇、金果镇、依提木孔镇、白杨镇、伯西热克镇、河园镇、洛克乡、吐古其乡、江格勒斯乡、乌吉热克乡、夏合甫乡、依力克其乡、宗朗乡、柯克亚乡、棋盘乡，喀格勒克镇，每日每1辆客运车有4个班次。电子屏广告循环滚动播放，广告时长15秒/次，每天每辆车重复播放次数100次，电子屏可以看到广告画面的同时也能听到声音，项目报备期限为3个月。</w:t>
      </w:r>
    </w:p>
    <w:p>
      <w:pPr>
        <w:adjustRightInd w:val="0"/>
        <w:snapToGrid w:val="0"/>
        <w:spacing w:line="360" w:lineRule="auto"/>
        <w:ind w:firstLine="562" w:firstLineChars="200"/>
        <w:rPr>
          <w:rFonts w:hint="eastAsia" w:ascii="仿宋" w:hAnsi="仿宋" w:eastAsia="仿宋" w:cs="仿宋"/>
          <w:sz w:val="28"/>
          <w:szCs w:val="28"/>
          <w:lang w:val="en-US" w:eastAsia="zh-CN"/>
        </w:rPr>
      </w:pPr>
      <w:r>
        <w:rPr>
          <w:rFonts w:hint="eastAsia" w:ascii="仿宋" w:hAnsi="仿宋" w:eastAsia="仿宋" w:cs="仿宋"/>
          <w:b/>
          <w:sz w:val="28"/>
          <w:szCs w:val="28"/>
          <w:lang w:eastAsia="zh-CN"/>
        </w:rPr>
        <w:t>三</w:t>
      </w:r>
      <w:r>
        <w:rPr>
          <w:rFonts w:hint="eastAsia" w:ascii="仿宋" w:hAnsi="仿宋" w:eastAsia="仿宋" w:cs="仿宋"/>
          <w:b/>
          <w:sz w:val="28"/>
          <w:szCs w:val="28"/>
        </w:rPr>
        <w:t>、供应商</w:t>
      </w:r>
      <w:r>
        <w:rPr>
          <w:rFonts w:hint="eastAsia" w:ascii="仿宋" w:hAnsi="仿宋" w:eastAsia="仿宋" w:cs="仿宋"/>
          <w:b/>
          <w:sz w:val="28"/>
          <w:szCs w:val="28"/>
          <w:lang w:eastAsia="zh-CN"/>
        </w:rPr>
        <w:t>名称</w:t>
      </w:r>
      <w:r>
        <w:rPr>
          <w:rFonts w:hint="eastAsia" w:ascii="仿宋" w:hAnsi="仿宋" w:eastAsia="仿宋" w:cs="仿宋"/>
          <w:b/>
          <w:sz w:val="28"/>
          <w:szCs w:val="28"/>
        </w:rPr>
        <w:t>：</w:t>
      </w:r>
      <w:r>
        <w:rPr>
          <w:rFonts w:hint="eastAsia" w:ascii="仿宋" w:hAnsi="仿宋" w:eastAsia="仿宋" w:cs="仿宋"/>
          <w:sz w:val="28"/>
          <w:szCs w:val="28"/>
          <w:lang w:val="en-US" w:eastAsia="zh-CN"/>
        </w:rPr>
        <w:t>叶城县星泽广告有限公司</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叶城县星泽广告有限公司作为叶城县丝路运输有限责任公司独家授权的城乡客运车辆</w:t>
      </w:r>
      <w:bookmarkStart w:id="0" w:name="_GoBack"/>
      <w:bookmarkEnd w:id="0"/>
      <w:r>
        <w:rPr>
          <w:rFonts w:hint="eastAsia" w:ascii="仿宋" w:hAnsi="仿宋" w:eastAsia="仿宋" w:cs="仿宋"/>
          <w:sz w:val="28"/>
          <w:szCs w:val="28"/>
          <w:lang w:val="en-US" w:eastAsia="zh-CN"/>
        </w:rPr>
        <w:t>电子屏广告服务事项的供应商，无其他替代供应商，选择该供应商可确保广告投放渠道的稳定性与唯一性，符合项目采购法定情形，按照《中国人民保险集团分散采购管理办法》第三章第十四条规定，该项目属于普通分散采购，本项目拟参照公司分散采购管理规定实施项目采购，采用单一采购方式实施采购，授权期限为：2026年3月20日-2027年3月19日</w:t>
      </w:r>
      <w:r>
        <w:rPr>
          <w:rFonts w:hint="eastAsia" w:ascii="仿宋" w:hAnsi="仿宋" w:eastAsia="仿宋" w:cs="仿宋"/>
          <w:sz w:val="28"/>
          <w:szCs w:val="28"/>
        </w:rPr>
        <w:t>。</w:t>
      </w:r>
    </w:p>
    <w:p>
      <w:pPr>
        <w:adjustRightInd w:val="0"/>
        <w:snapToGrid w:val="0"/>
        <w:spacing w:line="360" w:lineRule="auto"/>
        <w:ind w:firstLine="562" w:firstLineChars="200"/>
        <w:rPr>
          <w:rFonts w:hint="eastAsia" w:ascii="仿宋" w:hAnsi="仿宋" w:eastAsia="仿宋" w:cs="仿宋"/>
          <w:sz w:val="28"/>
          <w:szCs w:val="28"/>
        </w:rPr>
      </w:pPr>
      <w:r>
        <w:rPr>
          <w:rFonts w:hint="eastAsia" w:ascii="仿宋" w:hAnsi="仿宋" w:eastAsia="仿宋" w:cs="仿宋"/>
          <w:b/>
          <w:sz w:val="28"/>
          <w:szCs w:val="28"/>
          <w:lang w:eastAsia="zh-CN"/>
        </w:rPr>
        <w:t>四、</w:t>
      </w:r>
      <w:r>
        <w:rPr>
          <w:rFonts w:hint="eastAsia" w:ascii="仿宋" w:hAnsi="仿宋" w:eastAsia="仿宋" w:cs="仿宋"/>
          <w:b/>
          <w:sz w:val="28"/>
          <w:szCs w:val="28"/>
        </w:rPr>
        <w:t>公示</w:t>
      </w:r>
      <w:r>
        <w:rPr>
          <w:rFonts w:hint="eastAsia" w:ascii="仿宋" w:hAnsi="仿宋" w:eastAsia="仿宋" w:cs="仿宋"/>
          <w:b/>
          <w:sz w:val="28"/>
          <w:szCs w:val="28"/>
          <w:lang w:eastAsia="zh-CN"/>
        </w:rPr>
        <w:t>期限：</w:t>
      </w:r>
      <w:r>
        <w:rPr>
          <w:rFonts w:hint="eastAsia" w:ascii="仿宋" w:hAnsi="仿宋" w:eastAsia="仿宋" w:cs="仿宋"/>
          <w:sz w:val="28"/>
          <w:szCs w:val="28"/>
          <w:lang w:val="en-US" w:eastAsia="zh-CN"/>
        </w:rPr>
        <w:t>2026</w:t>
      </w:r>
      <w:r>
        <w:rPr>
          <w:rFonts w:hint="eastAsia" w:ascii="仿宋" w:hAnsi="仿宋" w:eastAsia="仿宋" w:cs="仿宋"/>
          <w:sz w:val="28"/>
          <w:szCs w:val="28"/>
          <w:lang w:eastAsia="zh-CN"/>
        </w:rPr>
        <w:t>年</w:t>
      </w:r>
      <w:r>
        <w:rPr>
          <w:rFonts w:hint="eastAsia" w:ascii="仿宋" w:hAnsi="仿宋" w:eastAsia="仿宋" w:cs="仿宋"/>
          <w:sz w:val="28"/>
          <w:szCs w:val="28"/>
          <w:lang w:val="en-US" w:eastAsia="zh-CN"/>
        </w:rPr>
        <w:t>9</w:t>
      </w:r>
      <w:r>
        <w:rPr>
          <w:rFonts w:hint="eastAsia" w:ascii="仿宋" w:hAnsi="仿宋" w:eastAsia="仿宋" w:cs="仿宋"/>
          <w:sz w:val="28"/>
          <w:szCs w:val="28"/>
          <w:lang w:eastAsia="zh-CN"/>
        </w:rPr>
        <w:t>月</w:t>
      </w:r>
      <w:r>
        <w:rPr>
          <w:rFonts w:hint="eastAsia" w:ascii="仿宋" w:hAnsi="仿宋" w:eastAsia="仿宋" w:cs="仿宋"/>
          <w:sz w:val="28"/>
          <w:szCs w:val="28"/>
          <w:lang w:val="en-US" w:eastAsia="zh-CN"/>
        </w:rPr>
        <w:t>4</w:t>
      </w:r>
      <w:r>
        <w:rPr>
          <w:rFonts w:hint="eastAsia" w:ascii="仿宋" w:hAnsi="仿宋" w:eastAsia="仿宋" w:cs="仿宋"/>
          <w:sz w:val="28"/>
          <w:szCs w:val="28"/>
          <w:lang w:eastAsia="zh-CN"/>
        </w:rPr>
        <w:t>日至</w:t>
      </w:r>
      <w:r>
        <w:rPr>
          <w:rFonts w:hint="eastAsia" w:ascii="仿宋" w:hAnsi="仿宋" w:eastAsia="仿宋" w:cs="仿宋"/>
          <w:sz w:val="28"/>
          <w:szCs w:val="28"/>
          <w:lang w:val="en-US" w:eastAsia="zh-CN"/>
        </w:rPr>
        <w:t>2026</w:t>
      </w:r>
      <w:r>
        <w:rPr>
          <w:rFonts w:hint="eastAsia" w:ascii="仿宋" w:hAnsi="仿宋" w:eastAsia="仿宋" w:cs="仿宋"/>
          <w:sz w:val="28"/>
          <w:szCs w:val="28"/>
          <w:lang w:eastAsia="zh-CN"/>
        </w:rPr>
        <w:t>年</w:t>
      </w:r>
      <w:r>
        <w:rPr>
          <w:rFonts w:hint="eastAsia" w:ascii="仿宋" w:hAnsi="仿宋" w:eastAsia="仿宋" w:cs="仿宋"/>
          <w:sz w:val="28"/>
          <w:szCs w:val="28"/>
          <w:lang w:val="en-US" w:eastAsia="zh-CN"/>
        </w:rPr>
        <w:t>9</w:t>
      </w:r>
      <w:r>
        <w:rPr>
          <w:rFonts w:hint="eastAsia" w:ascii="仿宋" w:hAnsi="仿宋" w:eastAsia="仿宋" w:cs="仿宋"/>
          <w:sz w:val="28"/>
          <w:szCs w:val="28"/>
          <w:lang w:eastAsia="zh-CN"/>
        </w:rPr>
        <w:t>月</w:t>
      </w: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日</w:t>
      </w:r>
      <w:r>
        <w:rPr>
          <w:rFonts w:hint="eastAsia" w:ascii="仿宋" w:hAnsi="仿宋" w:eastAsia="仿宋" w:cs="仿宋"/>
          <w:sz w:val="28"/>
          <w:szCs w:val="28"/>
        </w:rPr>
        <w:t>。</w:t>
      </w: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任何单位或个人如对以上项目采用单一采购方式有异议，请在公示期间以书面形式进行反馈。</w:t>
      </w:r>
    </w:p>
    <w:p>
      <w:pPr>
        <w:adjustRightInd w:val="0"/>
        <w:snapToGrid w:val="0"/>
        <w:spacing w:line="360" w:lineRule="auto"/>
        <w:ind w:firstLine="562" w:firstLineChars="200"/>
        <w:rPr>
          <w:rFonts w:hint="eastAsia" w:ascii="仿宋" w:hAnsi="仿宋" w:eastAsia="仿宋" w:cs="仿宋"/>
          <w:b/>
          <w:sz w:val="28"/>
          <w:szCs w:val="28"/>
          <w:lang w:eastAsia="zh-CN"/>
        </w:rPr>
      </w:pPr>
      <w:r>
        <w:rPr>
          <w:rFonts w:hint="eastAsia" w:ascii="仿宋" w:hAnsi="仿宋" w:eastAsia="仿宋" w:cs="仿宋"/>
          <w:b/>
          <w:sz w:val="28"/>
          <w:szCs w:val="28"/>
          <w:lang w:eastAsia="zh-CN"/>
        </w:rPr>
        <w:t>五、联系人员及方式</w:t>
      </w:r>
    </w:p>
    <w:p>
      <w:p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联系人：张玲玲</w:t>
      </w:r>
    </w:p>
    <w:p>
      <w:p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lang w:eastAsia="zh-CN"/>
        </w:rPr>
        <w:t>联系电话：</w:t>
      </w:r>
      <w:r>
        <w:rPr>
          <w:rFonts w:hint="eastAsia" w:ascii="仿宋" w:hAnsi="仿宋" w:eastAsia="仿宋" w:cs="仿宋"/>
          <w:sz w:val="28"/>
          <w:szCs w:val="28"/>
          <w:lang w:val="en-US" w:eastAsia="zh-CN"/>
        </w:rPr>
        <w:t>18699867260</w:t>
      </w:r>
    </w:p>
    <w:p>
      <w:pPr>
        <w:adjustRightInd w:val="0"/>
        <w:snapToGrid w:val="0"/>
        <w:spacing w:line="360" w:lineRule="auto"/>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联系邮箱</w:t>
      </w:r>
      <w:r>
        <w:rPr>
          <w:rFonts w:hint="eastAsia" w:ascii="仿宋" w:hAnsi="仿宋" w:eastAsia="仿宋" w:cs="仿宋"/>
          <w:sz w:val="28"/>
          <w:szCs w:val="28"/>
          <w:lang w:eastAsia="zh-CN"/>
        </w:rPr>
        <w:t>：zhanglingling03@xinj.picc.com.cn</w:t>
      </w:r>
    </w:p>
    <w:p>
      <w:pPr>
        <w:adjustRightInd w:val="0"/>
        <w:snapToGrid w:val="0"/>
        <w:spacing w:line="360" w:lineRule="auto"/>
        <w:ind w:firstLine="560" w:firstLineChars="200"/>
        <w:rPr>
          <w:rFonts w:hint="eastAsia" w:ascii="仿宋" w:hAnsi="仿宋" w:eastAsia="仿宋" w:cs="仿宋"/>
          <w:sz w:val="28"/>
          <w:szCs w:val="28"/>
        </w:rPr>
      </w:pPr>
    </w:p>
    <w:p>
      <w:pPr>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pPr>
        <w:adjustRightInd w:val="0"/>
        <w:snapToGrid w:val="0"/>
        <w:spacing w:line="360" w:lineRule="auto"/>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 xml:space="preserve">    中国人民财产保险股份有限公司</w:t>
      </w:r>
      <w:r>
        <w:rPr>
          <w:rFonts w:hint="eastAsia" w:ascii="仿宋" w:hAnsi="仿宋" w:eastAsia="仿宋" w:cs="仿宋"/>
          <w:sz w:val="28"/>
          <w:szCs w:val="28"/>
          <w:lang w:val="en-US" w:eastAsia="zh-CN"/>
        </w:rPr>
        <w:t>喀什地区分公司</w:t>
      </w:r>
    </w:p>
    <w:p>
      <w:pPr>
        <w:adjustRightInd w:val="0"/>
        <w:snapToGrid w:val="0"/>
        <w:spacing w:line="360" w:lineRule="auto"/>
        <w:ind w:firstLine="4340" w:firstLineChars="1550"/>
        <w:rPr>
          <w:rFonts w:hint="eastAsia" w:ascii="仿宋" w:hAnsi="仿宋" w:eastAsia="仿宋" w:cs="仿宋"/>
          <w:sz w:val="28"/>
          <w:szCs w:val="28"/>
          <w:lang w:val="en-GB"/>
        </w:rPr>
      </w:pP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9</w:t>
      </w:r>
      <w:r>
        <w:rPr>
          <w:rFonts w:hint="eastAsia" w:ascii="仿宋" w:hAnsi="仿宋" w:eastAsia="仿宋" w:cs="仿宋"/>
          <w:sz w:val="28"/>
          <w:szCs w:val="28"/>
        </w:rPr>
        <w:t>月</w:t>
      </w:r>
      <w:r>
        <w:rPr>
          <w:rFonts w:hint="eastAsia" w:ascii="仿宋" w:hAnsi="仿宋" w:eastAsia="仿宋" w:cs="仿宋"/>
          <w:sz w:val="28"/>
          <w:szCs w:val="28"/>
          <w:lang w:val="en-US" w:eastAsia="zh-CN"/>
        </w:rPr>
        <w:t>3</w:t>
      </w:r>
      <w:r>
        <w:rPr>
          <w:rFonts w:hint="eastAsia" w:ascii="仿宋" w:hAnsi="仿宋" w:eastAsia="仿宋" w:cs="仿宋"/>
          <w:sz w:val="28"/>
          <w:szCs w:val="28"/>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DejaVu Sans">
    <w:altName w:val="Segoe Print"/>
    <w:panose1 w:val="020B0603030804020204"/>
    <w:charset w:val="00"/>
    <w:family w:val="auto"/>
    <w:pitch w:val="default"/>
    <w:sig w:usb0="00000000" w:usb1="00000000" w:usb2="0A246029" w:usb3="0400200C" w:csb0="600001FF" w:csb1="DFFF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方正黑体_GBK">
    <w:altName w:val="微软雅黑"/>
    <w:panose1 w:val="02000000000000000000"/>
    <w:charset w:val="86"/>
    <w:family w:val="auto"/>
    <w:pitch w:val="default"/>
    <w:sig w:usb0="00000000" w:usb1="00000000" w:usb2="00000000" w:usb3="00000000" w:csb0="00040000" w:csb1="00000000"/>
  </w:font>
  <w:font w:name="文泉驿微米黑">
    <w:altName w:val="黑体"/>
    <w:panose1 w:val="020B0606030804020204"/>
    <w:charset w:val="86"/>
    <w:family w:val="auto"/>
    <w:pitch w:val="default"/>
    <w:sig w:usb0="00000000" w:usb1="00000000" w:usb2="00800036" w:usb3="00000000" w:csb0="603E019F" w:csb1="DFD70000"/>
  </w:font>
  <w:font w:name="仿宋_GB2312">
    <w:altName w:val="仿宋"/>
    <w:panose1 w:val="02010609030101010101"/>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00"/>
    <w:family w:val="auto"/>
    <w:pitch w:val="default"/>
    <w:sig w:usb0="00000000" w:usb1="00000000" w:usb2="00000000" w:usb3="00000000" w:csb0="00000000" w:csb1="00000000"/>
  </w:font>
  <w:font w:name="方正楷体_GBK">
    <w:altName w:val="微软雅黑"/>
    <w:panose1 w:val="02000000000000000000"/>
    <w:charset w:val="86"/>
    <w:family w:val="auto"/>
    <w:pitch w:val="default"/>
    <w:sig w:usb0="00000000" w:usb1="00000000" w:usb2="00000000" w:usb3="00000000" w:csb0="00040000" w:csb1="00000000"/>
  </w:font>
  <w:font w:name="方正小标宋简体">
    <w:altName w:val="微软雅黑"/>
    <w:panose1 w:val="02000000000000000000"/>
    <w:charset w:val="86"/>
    <w:family w:val="auto"/>
    <w:pitch w:val="default"/>
    <w:sig w:usb0="00000000" w:usb1="00000000" w:usb2="00000012" w:usb3="00000000" w:csb0="00040001" w:csb1="00000000"/>
  </w:font>
  <w:font w:name="Segoe UI">
    <w:panose1 w:val="020B0502040204020203"/>
    <w:charset w:val="00"/>
    <w:family w:val="auto"/>
    <w:pitch w:val="default"/>
    <w:sig w:usb0="E4002EFF" w:usb1="C000E47F" w:usb2="00000009" w:usb3="00000000" w:csb0="200001FF" w:csb1="00000000"/>
  </w:font>
  <w:font w:name="Noto Naskh Arabic">
    <w:altName w:val="Segoe Print"/>
    <w:panose1 w:val="020B0502040504020204"/>
    <w:charset w:val="00"/>
    <w:family w:val="auto"/>
    <w:pitch w:val="default"/>
    <w:sig w:usb0="00000000" w:usb1="00000000" w:usb2="00000008" w:usb3="00000000" w:csb0="00000041" w:csb1="00080000"/>
  </w:font>
  <w:font w:name="楷体">
    <w:panose1 w:val="02010609060101010101"/>
    <w:charset w:val="86"/>
    <w:family w:val="auto"/>
    <w:pitch w:val="default"/>
    <w:sig w:usb0="800002BF" w:usb1="38CF7CFA" w:usb2="00000016" w:usb3="00000000" w:csb0="00040001" w:csb1="00000000"/>
  </w:font>
  <w:font w:name="国标仿宋">
    <w:altName w:val="仿宋"/>
    <w:panose1 w:val="02000500000000000000"/>
    <w:charset w:val="86"/>
    <w:family w:val="auto"/>
    <w:pitch w:val="default"/>
    <w:sig w:usb0="00000000" w:usb1="00000000" w:usb2="00000016" w:usb3="00000000" w:csb0="00060007" w:csb1="00000000"/>
  </w:font>
  <w:font w:name="国标楷体">
    <w:altName w:val="宋体"/>
    <w:panose1 w:val="02000500000000000000"/>
    <w:charset w:val="86"/>
    <w:family w:val="auto"/>
    <w:pitch w:val="default"/>
    <w:sig w:usb0="00000000" w:usb1="00000000" w:usb2="00000000" w:usb3="00000000" w:csb0="00060007" w:csb1="00000000"/>
  </w:font>
  <w:font w:name="CESI宋体-GB2312">
    <w:altName w:val="宋体"/>
    <w:panose1 w:val="02000500000000000000"/>
    <w:charset w:val="86"/>
    <w:family w:val="auto"/>
    <w:pitch w:val="default"/>
    <w:sig w:usb0="00000000" w:usb1="00000000" w:usb2="00000010" w:usb3="00000000" w:csb0="0004000F" w:csb1="00000000"/>
  </w:font>
  <w:font w:name="方正魏碑_GBK">
    <w:altName w:val="宋体"/>
    <w:panose1 w:val="02000000000000000000"/>
    <w:charset w:val="86"/>
    <w:family w:val="auto"/>
    <w:pitch w:val="default"/>
    <w:sig w:usb0="00000000" w:usb1="00000000" w:usb2="00000000" w:usb3="00000000" w:csb0="00040000" w:csb1="00000000"/>
  </w:font>
  <w:font w:name="汉仪行楷简">
    <w:altName w:val="宋体"/>
    <w:panose1 w:val="02010600000101010101"/>
    <w:charset w:val="86"/>
    <w:family w:val="auto"/>
    <w:pitch w:val="default"/>
    <w:sig w:usb0="00000000" w:usb1="00000000" w:usb2="00000002" w:usb3="00000000" w:csb0="00040000" w:csb1="00000000"/>
  </w:font>
  <w:font w:name="国标宋体-超大字符集">
    <w:altName w:val="宋体"/>
    <w:panose1 w:val="03000509000000000000"/>
    <w:charset w:val="86"/>
    <w:family w:val="auto"/>
    <w:pitch w:val="default"/>
    <w:sig w:usb0="00000000" w:usb1="00000000" w:usb2="00000000" w:usb3="00000000" w:csb0="00040001" w:csb1="00000000"/>
  </w:font>
  <w:font w:name="Bitstream Charter">
    <w:altName w:val="Segoe Print"/>
    <w:panose1 w:val="00000000000000000000"/>
    <w:charset w:val="00"/>
    <w:family w:val="auto"/>
    <w:pitch w:val="default"/>
    <w:sig w:usb0="00000000" w:usb1="00000000" w:usb2="00000000" w:usb3="00000000" w:csb0="00000000" w:csb1="00000000"/>
  </w:font>
  <w:font w:name="国标小标宋">
    <w:altName w:val="宋体"/>
    <w:panose1 w:val="02000500000000000000"/>
    <w:charset w:val="86"/>
    <w:family w:val="auto"/>
    <w:pitch w:val="default"/>
    <w:sig w:usb0="00000000" w:usb1="00000000" w:usb2="00000000" w:usb3="00000000" w:csb0="00060007" w:csb1="00000000"/>
  </w:font>
  <w:font w:name="方正小标宋_GBK">
    <w:altName w:val="微软雅黑"/>
    <w:panose1 w:val="02000000000000000000"/>
    <w:charset w:val="86"/>
    <w:family w:val="auto"/>
    <w:pitch w:val="default"/>
    <w:sig w:usb0="00000000" w:usb1="00000000" w:usb2="00000000" w:usb3="00000000" w:csb0="00040000" w:csb1="00000000"/>
  </w:font>
  <w:font w:name="思源黑体 Medium">
    <w:altName w:val="黑体"/>
    <w:panose1 w:val="020B0500000000000000"/>
    <w:charset w:val="86"/>
    <w:family w:val="auto"/>
    <w:pitch w:val="default"/>
    <w:sig w:usb0="00000000" w:usb1="00000000" w:usb2="00000016" w:usb3="00000000" w:csb0="602E0107" w:csb1="00000000"/>
  </w:font>
  <w:font w:name="国标宋体">
    <w:altName w:val="宋体"/>
    <w:panose1 w:val="02000500000000000000"/>
    <w:charset w:val="86"/>
    <w:family w:val="auto"/>
    <w:pitch w:val="default"/>
    <w:sig w:usb0="00000000" w:usb1="00000000" w:usb2="00000000" w:usb3="00000000" w:csb0="00060007" w:csb1="00000000"/>
  </w:font>
  <w:font w:name="Noto Sans Anatolian Hieroglyphs">
    <w:altName w:val="Yu Gothic UI"/>
    <w:panose1 w:val="020B0502040504020204"/>
    <w:charset w:val="00"/>
    <w:family w:val="auto"/>
    <w:pitch w:val="default"/>
    <w:sig w:usb0="00000000" w:usb1="00000000" w:usb2="00000000" w:usb3="00000000" w:csb0="00000001" w:csb1="00000000"/>
  </w:font>
  <w:font w:name="Yu Gothic UI">
    <w:panose1 w:val="020B0500000000000000"/>
    <w:charset w:val="80"/>
    <w:family w:val="auto"/>
    <w:pitch w:val="default"/>
    <w:sig w:usb0="E00002FF" w:usb1="2AC7FDFF" w:usb2="00000016" w:usb3="00000000" w:csb0="2002009F" w:csb1="00000000"/>
  </w:font>
  <w:font w:name="Cambria Math">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Consolas">
    <w:panose1 w:val="020B0609020204030204"/>
    <w:charset w:val="00"/>
    <w:family w:val="modern"/>
    <w:pitch w:val="default"/>
    <w:sig w:usb0="E00006FF" w:usb1="0000FCFF" w:usb2="00000001" w:usb3="00000000" w:csb0="6000019F" w:csb1="DFD70000"/>
  </w:font>
  <w:font w:name="Liberation Sans Narrow">
    <w:altName w:val="Segoe Print"/>
    <w:panose1 w:val="020B0606020202030204"/>
    <w:charset w:val="00"/>
    <w:family w:val="auto"/>
    <w:pitch w:val="default"/>
    <w:sig w:usb0="00000000" w:usb1="00000000" w:usb2="00000000" w:usb3="00000000" w:csb0="6000009F" w:csb1="DFD70000"/>
  </w:font>
  <w:font w:name="Noto Sans Syriac Eastern">
    <w:altName w:val="宋体"/>
    <w:panose1 w:val="02040503050306020203"/>
    <w:charset w:val="86"/>
    <w:family w:val="auto"/>
    <w:pitch w:val="default"/>
    <w:sig w:usb0="00000000" w:usb1="00000000" w:usb2="00000080" w:usb3="00000000" w:csb0="203E0161" w:csb1="D7FF0000"/>
  </w:font>
  <w:font w:name="Arial Unicode MS">
    <w:altName w:val="宋体"/>
    <w:panose1 w:val="020B0604020202020204"/>
    <w:charset w:val="86"/>
    <w:family w:val="roman"/>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DejaVu Math TeX Gyre">
    <w:altName w:val="Corbel"/>
    <w:panose1 w:val="02000503000000000000"/>
    <w:charset w:val="00"/>
    <w:family w:val="auto"/>
    <w:pitch w:val="default"/>
    <w:sig w:usb0="00000000" w:usb1="00000000" w:usb2="02000000" w:usb3="00000000" w:csb0="60000193" w:csb1="0DD40000"/>
  </w:font>
  <w:font w:name="Monaco">
    <w:altName w:val="阿里巴巴普惠体 R"/>
    <w:panose1 w:val="00000000000000000000"/>
    <w:charset w:val="00"/>
    <w:family w:val="auto"/>
    <w:pitch w:val="default"/>
    <w:sig w:usb0="00000000" w:usb1="00000000" w:usb2="00000000" w:usb3="00000000" w:csb0="00000197" w:csb1="00000000"/>
  </w:font>
  <w:font w:name="阿里巴巴普惠体 R">
    <w:panose1 w:val="00020600040101010101"/>
    <w:charset w:val="86"/>
    <w:family w:val="auto"/>
    <w:pitch w:val="default"/>
    <w:sig w:usb0="A00002FF" w:usb1="7ACF7CFB" w:usb2="0000001E" w:usb3="00000000" w:csb0="0004009F" w:csb1="00000000"/>
  </w:font>
  <w:font w:name="Corbel">
    <w:panose1 w:val="020B0503020204020204"/>
    <w:charset w:val="00"/>
    <w:family w:val="auto"/>
    <w:pitch w:val="default"/>
    <w:sig w:usb0="A00002EF" w:usb1="4000A44B" w:usb2="00000000" w:usb3="00000000" w:csb0="2000019F" w:csb1="00000000"/>
  </w:font>
  <w:font w:name="新宋体">
    <w:panose1 w:val="02010609030101010101"/>
    <w:charset w:val="86"/>
    <w:family w:val="auto"/>
    <w:pitch w:val="default"/>
    <w:sig w:usb0="00000283" w:usb1="288F0000" w:usb2="0000000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6"/>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2357A82"/>
    <w:rsid w:val="0257202F"/>
    <w:rsid w:val="06367673"/>
    <w:rsid w:val="07A30985"/>
    <w:rsid w:val="07AD6ADA"/>
    <w:rsid w:val="0897000F"/>
    <w:rsid w:val="09892E03"/>
    <w:rsid w:val="0BF25972"/>
    <w:rsid w:val="113B0C05"/>
    <w:rsid w:val="12EC28AC"/>
    <w:rsid w:val="13072A3C"/>
    <w:rsid w:val="14BD31F4"/>
    <w:rsid w:val="14E113BE"/>
    <w:rsid w:val="15073AAC"/>
    <w:rsid w:val="17036DB8"/>
    <w:rsid w:val="17907630"/>
    <w:rsid w:val="17E476F0"/>
    <w:rsid w:val="1B393621"/>
    <w:rsid w:val="1E4C5A67"/>
    <w:rsid w:val="212F5C11"/>
    <w:rsid w:val="255A4EA1"/>
    <w:rsid w:val="25A62273"/>
    <w:rsid w:val="269F3C13"/>
    <w:rsid w:val="274B4669"/>
    <w:rsid w:val="27584F38"/>
    <w:rsid w:val="277B21BE"/>
    <w:rsid w:val="280A0197"/>
    <w:rsid w:val="28BC365E"/>
    <w:rsid w:val="28E66FA9"/>
    <w:rsid w:val="297C5FA1"/>
    <w:rsid w:val="2AF75564"/>
    <w:rsid w:val="31846947"/>
    <w:rsid w:val="35641C30"/>
    <w:rsid w:val="39670320"/>
    <w:rsid w:val="3F3B68F4"/>
    <w:rsid w:val="3FD62D46"/>
    <w:rsid w:val="401A071A"/>
    <w:rsid w:val="47DD665C"/>
    <w:rsid w:val="4C2940DA"/>
    <w:rsid w:val="4CFC6EE5"/>
    <w:rsid w:val="4D246916"/>
    <w:rsid w:val="4E016C81"/>
    <w:rsid w:val="518D442D"/>
    <w:rsid w:val="523B1524"/>
    <w:rsid w:val="54BE3FDB"/>
    <w:rsid w:val="562C54C7"/>
    <w:rsid w:val="5667017E"/>
    <w:rsid w:val="56BC52A2"/>
    <w:rsid w:val="5AED010C"/>
    <w:rsid w:val="5D316E63"/>
    <w:rsid w:val="5D4E2060"/>
    <w:rsid w:val="5D9263D9"/>
    <w:rsid w:val="5D9D2E8C"/>
    <w:rsid w:val="60086EAB"/>
    <w:rsid w:val="61CB16FE"/>
    <w:rsid w:val="627E4743"/>
    <w:rsid w:val="63F30311"/>
    <w:rsid w:val="6DBF530A"/>
    <w:rsid w:val="6EEF3B07"/>
    <w:rsid w:val="723C2A2B"/>
    <w:rsid w:val="77985644"/>
    <w:rsid w:val="7892627B"/>
    <w:rsid w:val="78B442CB"/>
    <w:rsid w:val="7A620700"/>
    <w:rsid w:val="7B8F77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qFormat/>
    <w:uiPriority w:val="99"/>
    <w:rPr>
      <w:color w:val="0000FF" w:themeColor="hyperlink"/>
      <w:u w:val="single"/>
      <w14:textFill>
        <w14:solidFill>
          <w14:schemeClr w14:val="hlink"/>
        </w14:solidFill>
      </w14:textFill>
    </w:rPr>
  </w:style>
  <w:style w:type="character" w:customStyle="1" w:styleId="7">
    <w:name w:val="页眉 Char"/>
    <w:basedOn w:val="4"/>
    <w:link w:val="3"/>
    <w:qFormat/>
    <w:uiPriority w:val="99"/>
    <w:rPr>
      <w:sz w:val="18"/>
      <w:szCs w:val="18"/>
    </w:rPr>
  </w:style>
  <w:style w:type="character" w:customStyle="1" w:styleId="8">
    <w:name w:val="页脚 Char"/>
    <w:basedOn w:val="4"/>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ScaleCrop>false</ScaleCrop>
  <LinksUpToDate>false</LinksUpToDate>
  <CharactersWithSpaces>285</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张玲玲</cp:lastModifiedBy>
  <dcterms:modified xsi:type="dcterms:W3CDTF">2026-09-03T09:40:03Z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