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720"/>
          <w:tab w:val="center" w:pos="4878"/>
          <w:tab w:val="left" w:pos="8211"/>
          <w:tab w:val="left" w:pos="8295"/>
        </w:tabs>
        <w:spacing w:before="240" w:line="360" w:lineRule="auto"/>
        <w:jc w:val="center"/>
        <w:rPr>
          <w:rFonts w:hint="eastAsia" w:ascii="仿宋" w:hAnsi="仿宋" w:eastAsia="仿宋" w:cs="仿宋"/>
          <w:b/>
          <w:color w:val="auto"/>
          <w:spacing w:val="40"/>
          <w:sz w:val="32"/>
          <w:szCs w:val="32"/>
          <w:highlight w:val="none"/>
          <w:lang w:val="en-US" w:eastAsia="zh-CN"/>
        </w:rPr>
      </w:pPr>
      <w:r>
        <w:rPr>
          <w:rFonts w:hint="eastAsia" w:ascii="仿宋" w:hAnsi="仿宋" w:eastAsia="仿宋" w:cs="仿宋"/>
          <w:b/>
          <w:color w:val="auto"/>
          <w:spacing w:val="40"/>
          <w:sz w:val="32"/>
          <w:szCs w:val="32"/>
          <w:highlight w:val="none"/>
          <w:lang w:eastAsia="zh-CN"/>
        </w:rPr>
        <w:t>人保财险四川省成都市都江堰支公司“邻里相伴，人保护航”丰巢屏保宣传服务采购项目</w:t>
      </w:r>
    </w:p>
    <w:p>
      <w:pPr>
        <w:tabs>
          <w:tab w:val="left" w:pos="720"/>
          <w:tab w:val="center" w:pos="4878"/>
          <w:tab w:val="left" w:pos="8211"/>
          <w:tab w:val="left" w:pos="8295"/>
        </w:tabs>
        <w:spacing w:before="240" w:line="360" w:lineRule="auto"/>
        <w:jc w:val="center"/>
        <w:rPr>
          <w:rFonts w:hint="default" w:ascii="仿宋" w:hAnsi="仿宋" w:eastAsia="仿宋" w:cs="仿宋"/>
          <w:b/>
          <w:color w:val="auto"/>
          <w:sz w:val="28"/>
          <w:szCs w:val="28"/>
          <w:highlight w:val="yellow"/>
          <w:lang w:val="en-US" w:eastAsia="zh-CN"/>
        </w:rPr>
      </w:pPr>
      <w:r>
        <w:rPr>
          <w:rFonts w:hint="eastAsia" w:ascii="仿宋" w:hAnsi="仿宋" w:eastAsia="仿宋" w:cs="仿宋"/>
          <w:b/>
          <w:color w:val="auto"/>
          <w:sz w:val="28"/>
          <w:szCs w:val="28"/>
          <w:highlight w:val="none"/>
          <w:lang w:eastAsia="zh-CN"/>
        </w:rPr>
        <w:t>采购项目编号：</w:t>
      </w:r>
      <w:r>
        <w:rPr>
          <w:rFonts w:hint="eastAsia" w:ascii="仿宋" w:hAnsi="仿宋" w:eastAsia="仿宋" w:cs="仿宋"/>
          <w:b/>
          <w:color w:val="auto"/>
          <w:sz w:val="28"/>
          <w:szCs w:val="28"/>
          <w:highlight w:val="none"/>
          <w:lang w:val="en-US" w:eastAsia="zh-CN"/>
        </w:rPr>
        <w:t>XM26DSPC001031</w:t>
      </w:r>
    </w:p>
    <w:p>
      <w:pPr>
        <w:jc w:val="center"/>
        <w:rPr>
          <w:rFonts w:hint="eastAsia" w:ascii="仿宋" w:hAnsi="仿宋" w:eastAsia="仿宋" w:cs="仿宋"/>
          <w:color w:val="auto"/>
          <w:sz w:val="48"/>
          <w:szCs w:val="48"/>
          <w:highlight w:val="none"/>
        </w:rPr>
      </w:pP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竞</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争</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性</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磋</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商</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文</w:t>
      </w:r>
    </w:p>
    <w:p>
      <w:pPr>
        <w:jc w:val="center"/>
        <w:rPr>
          <w:rFonts w:hint="eastAsia" w:ascii="仿宋" w:hAnsi="仿宋" w:eastAsia="仿宋" w:cs="仿宋"/>
          <w:color w:val="auto"/>
          <w:highlight w:val="none"/>
        </w:rPr>
      </w:pPr>
      <w:r>
        <w:rPr>
          <w:rFonts w:hint="eastAsia" w:ascii="仿宋" w:hAnsi="仿宋" w:eastAsia="仿宋" w:cs="仿宋"/>
          <w:color w:val="auto"/>
          <w:sz w:val="72"/>
          <w:szCs w:val="72"/>
          <w:highlight w:val="none"/>
        </w:rPr>
        <w:t>件</w:t>
      </w:r>
    </w:p>
    <w:p>
      <w:pPr>
        <w:pStyle w:val="7"/>
        <w:rPr>
          <w:rFonts w:hint="eastAsia" w:ascii="仿宋" w:hAnsi="仿宋" w:eastAsia="仿宋" w:cs="仿宋"/>
          <w:color w:val="auto"/>
          <w:highlight w:val="none"/>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auto"/>
          <w:kern w:val="0"/>
          <w:sz w:val="28"/>
          <w:szCs w:val="28"/>
          <w:highlight w:val="none"/>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auto"/>
          <w:kern w:val="0"/>
          <w:sz w:val="28"/>
          <w:szCs w:val="28"/>
          <w:highlight w:val="none"/>
          <w:lang w:eastAsia="zh-CN"/>
        </w:rPr>
      </w:pPr>
      <w:r>
        <w:rPr>
          <w:rFonts w:hint="eastAsia" w:ascii="仿宋" w:hAnsi="仿宋" w:eastAsia="仿宋" w:cs="仿宋"/>
          <w:b/>
          <w:color w:val="auto"/>
          <w:kern w:val="0"/>
          <w:sz w:val="28"/>
          <w:szCs w:val="28"/>
          <w:highlight w:val="none"/>
        </w:rPr>
        <w:t>采购人：</w:t>
      </w:r>
      <w:r>
        <w:rPr>
          <w:rFonts w:hint="eastAsia" w:ascii="仿宋" w:hAnsi="仿宋" w:eastAsia="仿宋" w:cs="仿宋"/>
          <w:b/>
          <w:color w:val="auto"/>
          <w:kern w:val="0"/>
          <w:sz w:val="28"/>
          <w:szCs w:val="28"/>
          <w:highlight w:val="none"/>
          <w:lang w:eastAsia="zh-CN"/>
        </w:rPr>
        <w:t>中国人民财产保险股份有限公司都江堰支公司</w:t>
      </w:r>
    </w:p>
    <w:p>
      <w:pPr>
        <w:tabs>
          <w:tab w:val="left" w:pos="8295"/>
        </w:tabs>
        <w:adjustRightInd w:val="0"/>
        <w:snapToGrid w:val="0"/>
        <w:spacing w:line="360" w:lineRule="auto"/>
        <w:ind w:left="1706" w:right="-21" w:rightChars="-10" w:hanging="1706" w:hangingChars="607"/>
        <w:jc w:val="center"/>
        <w:rPr>
          <w:rFonts w:hint="eastAsia" w:ascii="仿宋" w:hAnsi="仿宋" w:eastAsia="仿宋" w:cs="仿宋"/>
          <w:b/>
          <w:color w:val="auto"/>
          <w:kern w:val="0"/>
          <w:sz w:val="28"/>
          <w:szCs w:val="28"/>
          <w:highlight w:val="none"/>
        </w:rPr>
      </w:pPr>
    </w:p>
    <w:p>
      <w:pPr>
        <w:pStyle w:val="9"/>
        <w:ind w:left="99" w:leftChars="47"/>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202</w:t>
      </w:r>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lang w:val="en-US" w:eastAsia="zh-CN"/>
        </w:rPr>
        <w:t>9</w:t>
      </w:r>
      <w:r>
        <w:rPr>
          <w:rFonts w:hint="eastAsia" w:ascii="仿宋" w:hAnsi="仿宋" w:eastAsia="仿宋" w:cs="仿宋"/>
          <w:b/>
          <w:color w:val="auto"/>
          <w:sz w:val="28"/>
          <w:szCs w:val="28"/>
          <w:highlight w:val="none"/>
        </w:rPr>
        <w:t>月</w:t>
      </w:r>
    </w:p>
    <w:p>
      <w:pPr>
        <w:spacing w:line="360" w:lineRule="auto"/>
        <w:jc w:val="center"/>
        <w:rPr>
          <w:rFonts w:hint="eastAsia" w:ascii="仿宋" w:hAnsi="仿宋" w:eastAsia="仿宋" w:cs="仿宋"/>
          <w:b/>
          <w:color w:val="auto"/>
          <w:sz w:val="36"/>
          <w:szCs w:val="28"/>
          <w:highlight w:val="none"/>
        </w:rPr>
        <w:sectPr>
          <w:headerReference r:id="rId4" w:type="first"/>
          <w:headerReference r:id="rId3" w:type="default"/>
          <w:pgSz w:w="11906" w:h="16838"/>
          <w:pgMar w:top="1175" w:right="1417" w:bottom="1417" w:left="1417" w:header="850" w:footer="992" w:gutter="0"/>
          <w:pgNumType w:start="1"/>
          <w:cols w:space="0" w:num="1"/>
          <w:rtlGutter w:val="0"/>
          <w:docGrid w:type="lines" w:linePitch="333" w:charSpace="0"/>
        </w:sectPr>
      </w:pPr>
    </w:p>
    <w:p>
      <w:pPr>
        <w:spacing w:line="360" w:lineRule="auto"/>
        <w:jc w:val="center"/>
        <w:rPr>
          <w:rFonts w:hint="eastAsia" w:ascii="仿宋" w:hAnsi="仿宋" w:eastAsia="仿宋" w:cs="仿宋"/>
          <w:b/>
          <w:color w:val="auto"/>
          <w:sz w:val="36"/>
          <w:szCs w:val="28"/>
          <w:highlight w:val="none"/>
        </w:rPr>
      </w:pPr>
      <w:r>
        <w:rPr>
          <w:rFonts w:hint="eastAsia" w:ascii="仿宋" w:hAnsi="仿宋" w:eastAsia="仿宋" w:cs="仿宋"/>
          <w:b/>
          <w:color w:val="auto"/>
          <w:sz w:val="36"/>
          <w:szCs w:val="28"/>
          <w:highlight w:val="none"/>
        </w:rPr>
        <w:t>目     录</w:t>
      </w:r>
    </w:p>
    <w:p>
      <w:pPr>
        <w:pStyle w:val="13"/>
        <w:tabs>
          <w:tab w:val="right" w:leader="dot" w:pos="9072"/>
        </w:tabs>
        <w:rPr>
          <w:color w:val="auto"/>
          <w:highlight w:val="none"/>
        </w:rPr>
      </w:pP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TOC \o "1-3" \h \u </w:instrText>
      </w:r>
      <w:r>
        <w:rPr>
          <w:rFonts w:hint="eastAsia" w:ascii="仿宋" w:hAnsi="仿宋" w:eastAsia="仿宋" w:cs="仿宋"/>
          <w:b w:val="0"/>
          <w:bCs w:val="0"/>
          <w:color w:val="auto"/>
          <w:highlight w:val="none"/>
        </w:rPr>
        <w:fldChar w:fldCharType="separate"/>
      </w: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_Toc26239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第一章 竞争性磋商邀请</w:t>
      </w:r>
      <w:r>
        <w:rPr>
          <w:color w:val="auto"/>
          <w:highlight w:val="none"/>
        </w:rPr>
        <w:tab/>
      </w:r>
      <w:r>
        <w:rPr>
          <w:color w:val="auto"/>
          <w:highlight w:val="none"/>
        </w:rPr>
        <w:fldChar w:fldCharType="begin"/>
      </w:r>
      <w:r>
        <w:rPr>
          <w:color w:val="auto"/>
          <w:highlight w:val="none"/>
        </w:rPr>
        <w:instrText xml:space="preserve"> PAGEREF _Toc26239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_Toc29328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一、项目概况与采购范围</w:t>
      </w:r>
      <w:r>
        <w:rPr>
          <w:color w:val="auto"/>
          <w:highlight w:val="none"/>
        </w:rPr>
        <w:tab/>
      </w:r>
      <w:r>
        <w:rPr>
          <w:color w:val="auto"/>
          <w:highlight w:val="none"/>
        </w:rPr>
        <w:fldChar w:fldCharType="begin"/>
      </w:r>
      <w:r>
        <w:rPr>
          <w:color w:val="auto"/>
          <w:highlight w:val="none"/>
        </w:rPr>
        <w:instrText xml:space="preserve"> PAGEREF _Toc29328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_Toc26644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二、供应商资格要求</w:t>
      </w:r>
      <w:r>
        <w:rPr>
          <w:color w:val="auto"/>
          <w:highlight w:val="none"/>
        </w:rPr>
        <w:tab/>
      </w:r>
      <w:r>
        <w:rPr>
          <w:rFonts w:hint="eastAsia"/>
          <w:color w:val="auto"/>
          <w:highlight w:val="none"/>
          <w:lang w:val="en-US" w:eastAsia="zh-CN"/>
        </w:rPr>
        <w:t>1</w:t>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_Toc22800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三、磋商文件的获取</w:t>
      </w:r>
      <w:r>
        <w:rPr>
          <w:color w:val="auto"/>
          <w:highlight w:val="none"/>
        </w:rPr>
        <w:tab/>
      </w:r>
      <w:r>
        <w:rPr>
          <w:rFonts w:hint="eastAsia"/>
          <w:color w:val="auto"/>
          <w:highlight w:val="none"/>
          <w:lang w:val="en-US" w:eastAsia="zh-CN"/>
        </w:rPr>
        <w:t>2</w:t>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_Toc30066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四、响应文件的递交</w:t>
      </w:r>
      <w:r>
        <w:rPr>
          <w:color w:val="auto"/>
          <w:highlight w:val="none"/>
        </w:rPr>
        <w:tab/>
      </w:r>
      <w:r>
        <w:rPr>
          <w:rFonts w:hint="eastAsia"/>
          <w:color w:val="auto"/>
          <w:highlight w:val="none"/>
          <w:lang w:val="en-US" w:eastAsia="zh-CN"/>
        </w:rPr>
        <w:t>3</w:t>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_Toc26231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五、发布公告的媒介</w:t>
      </w:r>
      <w:r>
        <w:rPr>
          <w:color w:val="auto"/>
          <w:highlight w:val="none"/>
        </w:rPr>
        <w:tab/>
      </w:r>
      <w:r>
        <w:rPr>
          <w:rFonts w:hint="eastAsia"/>
          <w:color w:val="auto"/>
          <w:highlight w:val="none"/>
          <w:lang w:val="en-US" w:eastAsia="zh-CN"/>
        </w:rPr>
        <w:t>3</w:t>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_Toc17499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六、联系方式</w:t>
      </w:r>
      <w:r>
        <w:rPr>
          <w:color w:val="auto"/>
          <w:highlight w:val="none"/>
        </w:rPr>
        <w:tab/>
      </w:r>
      <w:r>
        <w:rPr>
          <w:rFonts w:hint="eastAsia"/>
          <w:color w:val="auto"/>
          <w:highlight w:val="none"/>
          <w:lang w:val="en-US" w:eastAsia="zh-CN"/>
        </w:rPr>
        <w:t>3</w:t>
      </w:r>
      <w:r>
        <w:rPr>
          <w:rFonts w:hint="eastAsia" w:ascii="仿宋" w:hAnsi="仿宋" w:eastAsia="仿宋" w:cs="仿宋"/>
          <w:bCs w:val="0"/>
          <w:color w:val="auto"/>
          <w:highlight w:val="none"/>
        </w:rPr>
        <w:fldChar w:fldCharType="end"/>
      </w:r>
    </w:p>
    <w:p>
      <w:pPr>
        <w:pStyle w:val="13"/>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_Toc19848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第二章 供应商须知</w:t>
      </w:r>
      <w:r>
        <w:rPr>
          <w:color w:val="auto"/>
          <w:highlight w:val="none"/>
        </w:rPr>
        <w:tab/>
      </w:r>
      <w:r>
        <w:rPr>
          <w:rFonts w:hint="eastAsia"/>
          <w:color w:val="auto"/>
          <w:highlight w:val="none"/>
          <w:lang w:val="en-US" w:eastAsia="zh-CN"/>
        </w:rPr>
        <w:t>4</w:t>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_Toc26720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一、供应商须知前附表</w:t>
      </w:r>
      <w:r>
        <w:rPr>
          <w:color w:val="auto"/>
          <w:highlight w:val="none"/>
        </w:rPr>
        <w:tab/>
      </w:r>
      <w:r>
        <w:rPr>
          <w:rFonts w:hint="eastAsia"/>
          <w:color w:val="auto"/>
          <w:highlight w:val="none"/>
          <w:lang w:val="en-US" w:eastAsia="zh-CN"/>
        </w:rPr>
        <w:t>4</w:t>
      </w:r>
      <w:r>
        <w:rPr>
          <w:rFonts w:hint="eastAsia" w:ascii="仿宋" w:hAnsi="仿宋" w:eastAsia="仿宋" w:cs="仿宋"/>
          <w:bCs w:val="0"/>
          <w:color w:val="auto"/>
          <w:highlight w:val="none"/>
        </w:rPr>
        <w:fldChar w:fldCharType="end"/>
      </w:r>
    </w:p>
    <w:p>
      <w:pPr>
        <w:pStyle w:val="14"/>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_Toc22508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二、供应商须知正文</w:t>
      </w:r>
      <w:r>
        <w:rPr>
          <w:color w:val="auto"/>
          <w:highlight w:val="none"/>
        </w:rPr>
        <w:tab/>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9</w:t>
      </w:r>
    </w:p>
    <w:p>
      <w:pPr>
        <w:pStyle w:val="13"/>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_Toc21590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第三章 评审办法</w:t>
      </w:r>
      <w:r>
        <w:rPr>
          <w:color w:val="auto"/>
          <w:highlight w:val="none"/>
        </w:rPr>
        <w:tab/>
      </w:r>
      <w:r>
        <w:rPr>
          <w:color w:val="auto"/>
          <w:highlight w:val="none"/>
        </w:rPr>
        <w:fldChar w:fldCharType="begin"/>
      </w:r>
      <w:r>
        <w:rPr>
          <w:color w:val="auto"/>
          <w:highlight w:val="none"/>
        </w:rPr>
        <w:instrText xml:space="preserve"> PAGEREF _Toc21590 \h </w:instrText>
      </w:r>
      <w:r>
        <w:rPr>
          <w:color w:val="auto"/>
          <w:highlight w:val="none"/>
        </w:rPr>
        <w:fldChar w:fldCharType="separate"/>
      </w:r>
      <w:r>
        <w:rPr>
          <w:color w:val="auto"/>
          <w:highlight w:val="none"/>
        </w:rPr>
        <w:t>1</w:t>
      </w:r>
      <w:r>
        <w:rPr>
          <w:rFonts w:hint="eastAsia"/>
          <w:color w:val="auto"/>
          <w:highlight w:val="none"/>
          <w:lang w:val="en-US" w:eastAsia="zh-CN"/>
        </w:rPr>
        <w:t>5</w:t>
      </w:r>
      <w:r>
        <w:rPr>
          <w:color w:val="auto"/>
          <w:highlight w:val="none"/>
        </w:rPr>
        <w:fldChar w:fldCharType="end"/>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_Toc31780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一、评审程序</w:t>
      </w:r>
      <w:r>
        <w:rPr>
          <w:color w:val="auto"/>
          <w:highlight w:val="none"/>
        </w:rPr>
        <w:tab/>
      </w:r>
      <w:r>
        <w:rPr>
          <w:color w:val="auto"/>
          <w:highlight w:val="none"/>
        </w:rPr>
        <w:fldChar w:fldCharType="begin"/>
      </w:r>
      <w:r>
        <w:rPr>
          <w:color w:val="auto"/>
          <w:highlight w:val="none"/>
        </w:rPr>
        <w:instrText xml:space="preserve"> PAGEREF _Toc31780 \h </w:instrText>
      </w:r>
      <w:r>
        <w:rPr>
          <w:color w:val="auto"/>
          <w:highlight w:val="none"/>
        </w:rPr>
        <w:fldChar w:fldCharType="separate"/>
      </w:r>
      <w:r>
        <w:rPr>
          <w:color w:val="auto"/>
          <w:highlight w:val="none"/>
        </w:rPr>
        <w:t>1</w:t>
      </w:r>
      <w:r>
        <w:rPr>
          <w:rFonts w:hint="eastAsia"/>
          <w:color w:val="auto"/>
          <w:highlight w:val="none"/>
          <w:lang w:val="en-US" w:eastAsia="zh-CN"/>
        </w:rPr>
        <w:t>5</w:t>
      </w:r>
      <w:r>
        <w:rPr>
          <w:color w:val="auto"/>
          <w:highlight w:val="none"/>
        </w:rPr>
        <w:fldChar w:fldCharType="end"/>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_Toc3511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二、初步评审</w:t>
      </w:r>
      <w:r>
        <w:rPr>
          <w:color w:val="auto"/>
          <w:highlight w:val="none"/>
        </w:rPr>
        <w:tab/>
      </w:r>
      <w:r>
        <w:rPr>
          <w:color w:val="auto"/>
          <w:highlight w:val="none"/>
        </w:rPr>
        <w:fldChar w:fldCharType="begin"/>
      </w:r>
      <w:r>
        <w:rPr>
          <w:color w:val="auto"/>
          <w:highlight w:val="none"/>
        </w:rPr>
        <w:instrText xml:space="preserve"> PAGEREF _Toc3511 \h </w:instrText>
      </w:r>
      <w:r>
        <w:rPr>
          <w:color w:val="auto"/>
          <w:highlight w:val="none"/>
        </w:rPr>
        <w:fldChar w:fldCharType="separate"/>
      </w:r>
      <w:r>
        <w:rPr>
          <w:color w:val="auto"/>
          <w:highlight w:val="none"/>
        </w:rPr>
        <w:t>1</w:t>
      </w:r>
      <w:r>
        <w:rPr>
          <w:rFonts w:hint="eastAsia"/>
          <w:color w:val="auto"/>
          <w:highlight w:val="none"/>
          <w:lang w:val="en-US" w:eastAsia="zh-CN"/>
        </w:rPr>
        <w:t>6</w:t>
      </w:r>
      <w:r>
        <w:rPr>
          <w:color w:val="auto"/>
          <w:highlight w:val="none"/>
        </w:rPr>
        <w:fldChar w:fldCharType="end"/>
      </w:r>
      <w:r>
        <w:rPr>
          <w:rFonts w:hint="eastAsia" w:ascii="仿宋" w:hAnsi="仿宋" w:eastAsia="仿宋" w:cs="仿宋"/>
          <w:bCs w:val="0"/>
          <w:color w:val="auto"/>
          <w:highlight w:val="none"/>
        </w:rPr>
        <w:fldChar w:fldCharType="end"/>
      </w:r>
    </w:p>
    <w:p>
      <w:pPr>
        <w:pStyle w:val="14"/>
        <w:tabs>
          <w:tab w:val="right" w:leader="dot" w:pos="9072"/>
        </w:tabs>
        <w:rPr>
          <w:rFonts w:hint="default"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_Toc11771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三、详细评审</w:t>
      </w:r>
      <w:r>
        <w:rPr>
          <w:color w:val="auto"/>
          <w:highlight w:val="none"/>
        </w:rPr>
        <w:tab/>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18</w:t>
      </w:r>
    </w:p>
    <w:p>
      <w:pPr>
        <w:pStyle w:val="13"/>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_Toc15974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第四章 合同条款</w:t>
      </w:r>
      <w:r>
        <w:rPr>
          <w:color w:val="auto"/>
          <w:highlight w:val="none"/>
        </w:rPr>
        <w:tab/>
      </w:r>
      <w:r>
        <w:rPr>
          <w:color w:val="auto"/>
          <w:highlight w:val="none"/>
        </w:rPr>
        <w:fldChar w:fldCharType="begin"/>
      </w:r>
      <w:r>
        <w:rPr>
          <w:color w:val="auto"/>
          <w:highlight w:val="none"/>
        </w:rPr>
        <w:instrText xml:space="preserve"> PAGEREF _Toc15974 \h </w:instrText>
      </w:r>
      <w:r>
        <w:rPr>
          <w:color w:val="auto"/>
          <w:highlight w:val="none"/>
        </w:rPr>
        <w:fldChar w:fldCharType="separate"/>
      </w:r>
      <w:r>
        <w:rPr>
          <w:color w:val="auto"/>
          <w:highlight w:val="none"/>
        </w:rPr>
        <w:t>2</w:t>
      </w:r>
      <w:r>
        <w:rPr>
          <w:rFonts w:hint="eastAsia"/>
          <w:color w:val="auto"/>
          <w:highlight w:val="none"/>
          <w:lang w:val="en-US" w:eastAsia="zh-CN"/>
        </w:rPr>
        <w:t>1</w:t>
      </w:r>
      <w:r>
        <w:rPr>
          <w:color w:val="auto"/>
          <w:highlight w:val="none"/>
        </w:rPr>
        <w:fldChar w:fldCharType="end"/>
      </w:r>
      <w:r>
        <w:rPr>
          <w:rFonts w:hint="eastAsia" w:ascii="仿宋" w:hAnsi="仿宋" w:eastAsia="仿宋" w:cs="仿宋"/>
          <w:bCs w:val="0"/>
          <w:color w:val="auto"/>
          <w:highlight w:val="none"/>
        </w:rPr>
        <w:fldChar w:fldCharType="end"/>
      </w:r>
    </w:p>
    <w:p>
      <w:pPr>
        <w:pStyle w:val="13"/>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_Toc23193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_Toc23193 \h </w:instrText>
      </w:r>
      <w:r>
        <w:rPr>
          <w:color w:val="auto"/>
          <w:highlight w:val="none"/>
        </w:rPr>
        <w:fldChar w:fldCharType="separate"/>
      </w:r>
      <w:r>
        <w:rPr>
          <w:color w:val="auto"/>
          <w:highlight w:val="none"/>
        </w:rPr>
        <w:t>4</w:t>
      </w:r>
      <w:r>
        <w:rPr>
          <w:rFonts w:hint="eastAsia"/>
          <w:color w:val="auto"/>
          <w:highlight w:val="none"/>
          <w:lang w:val="en-US" w:eastAsia="zh-CN"/>
        </w:rPr>
        <w:t>3</w:t>
      </w:r>
      <w:r>
        <w:rPr>
          <w:color w:val="auto"/>
          <w:highlight w:val="none"/>
        </w:rPr>
        <w:fldChar w:fldCharType="end"/>
      </w:r>
      <w:r>
        <w:rPr>
          <w:rFonts w:hint="eastAsia" w:ascii="仿宋" w:hAnsi="仿宋" w:eastAsia="仿宋" w:cs="仿宋"/>
          <w:bCs w:val="0"/>
          <w:color w:val="auto"/>
          <w:highlight w:val="none"/>
        </w:rPr>
        <w:fldChar w:fldCharType="end"/>
      </w:r>
    </w:p>
    <w:p>
      <w:pPr>
        <w:pStyle w:val="13"/>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_Toc5467 </w:instrText>
      </w:r>
      <w:r>
        <w:rPr>
          <w:rFonts w:hint="eastAsia" w:ascii="仿宋" w:hAnsi="仿宋" w:eastAsia="仿宋" w:cs="仿宋"/>
          <w:bCs w:val="0"/>
          <w:color w:val="auto"/>
          <w:highlight w:val="none"/>
        </w:rPr>
        <w:fldChar w:fldCharType="separate"/>
      </w:r>
      <w:r>
        <w:rPr>
          <w:rFonts w:hint="eastAsia" w:ascii="仿宋" w:hAnsi="仿宋" w:eastAsia="仿宋" w:cs="仿宋"/>
          <w:bCs/>
          <w:color w:val="auto"/>
          <w:szCs w:val="28"/>
          <w:highlight w:val="none"/>
        </w:rPr>
        <w:t>第六章 响应</w:t>
      </w:r>
      <w:r>
        <w:rPr>
          <w:rFonts w:hint="eastAsia" w:ascii="仿宋" w:hAnsi="仿宋" w:eastAsia="仿宋" w:cs="仿宋"/>
          <w:color w:val="auto"/>
          <w:szCs w:val="28"/>
          <w:highlight w:val="none"/>
        </w:rPr>
        <w:t>文件</w:t>
      </w:r>
      <w:r>
        <w:rPr>
          <w:rFonts w:hint="eastAsia" w:ascii="仿宋" w:hAnsi="仿宋" w:eastAsia="仿宋" w:cs="仿宋"/>
          <w:bCs/>
          <w:color w:val="auto"/>
          <w:szCs w:val="28"/>
          <w:highlight w:val="none"/>
        </w:rPr>
        <w:t>格式</w:t>
      </w:r>
      <w:r>
        <w:rPr>
          <w:color w:val="auto"/>
          <w:highlight w:val="none"/>
        </w:rPr>
        <w:tab/>
      </w:r>
      <w:r>
        <w:rPr>
          <w:rFonts w:hint="eastAsia"/>
          <w:color w:val="auto"/>
          <w:highlight w:val="none"/>
          <w:lang w:val="en-US" w:eastAsia="zh-CN"/>
        </w:rPr>
        <w:t>4</w:t>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6</w:t>
      </w:r>
    </w:p>
    <w:p>
      <w:pPr>
        <w:pStyle w:val="14"/>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_Toc14520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一、商务文件</w:t>
      </w:r>
      <w:r>
        <w:rPr>
          <w:color w:val="auto"/>
          <w:highlight w:val="none"/>
        </w:rPr>
        <w:tab/>
      </w:r>
      <w:r>
        <w:rPr>
          <w:rFonts w:hint="eastAsia"/>
          <w:color w:val="auto"/>
          <w:highlight w:val="none"/>
          <w:lang w:val="en-US" w:eastAsia="zh-CN"/>
        </w:rPr>
        <w:t>4</w:t>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7</w:t>
      </w:r>
    </w:p>
    <w:p>
      <w:pPr>
        <w:pStyle w:val="14"/>
        <w:tabs>
          <w:tab w:val="right" w:leader="dot" w:pos="9072"/>
        </w:tabs>
        <w:rPr>
          <w:rFonts w:hint="default"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_Toc14740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二、技术文件</w:t>
      </w:r>
      <w:r>
        <w:rPr>
          <w:color w:val="auto"/>
          <w:highlight w:val="none"/>
        </w:rPr>
        <w:tab/>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72</w:t>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_Toc586 </w:instrText>
      </w:r>
      <w:r>
        <w:rPr>
          <w:rFonts w:hint="eastAsia" w:ascii="仿宋" w:hAnsi="仿宋" w:eastAsia="仿宋" w:cs="仿宋"/>
          <w:bCs w:val="0"/>
          <w:color w:val="auto"/>
          <w:highlight w:val="none"/>
        </w:rPr>
        <w:fldChar w:fldCharType="separate"/>
      </w:r>
      <w:r>
        <w:rPr>
          <w:rFonts w:hint="eastAsia" w:ascii="仿宋" w:hAnsi="仿宋" w:eastAsia="仿宋" w:cs="仿宋"/>
          <w:bCs/>
          <w:iCs/>
          <w:color w:val="auto"/>
          <w:szCs w:val="24"/>
          <w:highlight w:val="none"/>
          <w:lang w:val="en-US" w:eastAsia="zh-CN" w:bidi="ar-SA"/>
        </w:rPr>
        <w:t>三、报价文件</w:t>
      </w:r>
      <w:r>
        <w:rPr>
          <w:color w:val="auto"/>
          <w:highlight w:val="none"/>
        </w:rPr>
        <w:tab/>
      </w:r>
      <w:r>
        <w:rPr>
          <w:color w:val="auto"/>
          <w:highlight w:val="none"/>
        </w:rPr>
        <w:fldChar w:fldCharType="begin"/>
      </w:r>
      <w:r>
        <w:rPr>
          <w:color w:val="auto"/>
          <w:highlight w:val="none"/>
        </w:rPr>
        <w:instrText xml:space="preserve"> PAGEREF _Toc586 \h </w:instrText>
      </w:r>
      <w:r>
        <w:rPr>
          <w:color w:val="auto"/>
          <w:highlight w:val="none"/>
        </w:rPr>
        <w:fldChar w:fldCharType="separate"/>
      </w:r>
      <w:r>
        <w:rPr>
          <w:color w:val="auto"/>
          <w:highlight w:val="none"/>
        </w:rPr>
        <w:t>8</w:t>
      </w:r>
      <w:r>
        <w:rPr>
          <w:rFonts w:hint="eastAsia"/>
          <w:color w:val="auto"/>
          <w:highlight w:val="none"/>
          <w:lang w:val="en-US" w:eastAsia="zh-CN"/>
        </w:rPr>
        <w:t>1</w:t>
      </w:r>
      <w:r>
        <w:rPr>
          <w:color w:val="auto"/>
          <w:highlight w:val="none"/>
        </w:rPr>
        <w:fldChar w:fldCharType="end"/>
      </w:r>
      <w:r>
        <w:rPr>
          <w:rFonts w:hint="eastAsia" w:ascii="仿宋" w:hAnsi="仿宋" w:eastAsia="仿宋" w:cs="仿宋"/>
          <w:bCs w:val="0"/>
          <w:color w:val="auto"/>
          <w:highlight w:val="none"/>
        </w:rPr>
        <w:fldChar w:fldCharType="end"/>
      </w:r>
    </w:p>
    <w:p>
      <w:pPr>
        <w:pStyle w:val="8"/>
        <w:tabs>
          <w:tab w:val="right" w:leader="dot" w:pos="9072"/>
        </w:tabs>
        <w:rPr>
          <w:color w:val="auto"/>
          <w:highlight w:val="none"/>
        </w:rPr>
      </w:pPr>
    </w:p>
    <w:p>
      <w:pPr>
        <w:pStyle w:val="2"/>
        <w:ind w:left="0" w:firstLine="0"/>
        <w:rPr>
          <w:rFonts w:hint="eastAsia" w:ascii="仿宋" w:hAnsi="仿宋" w:eastAsia="仿宋" w:cs="仿宋"/>
          <w:b w:val="0"/>
          <w:bCs w:val="0"/>
          <w:color w:val="auto"/>
          <w:highlight w:val="none"/>
        </w:rPr>
        <w:sectPr>
          <w:footerReference r:id="rId5" w:type="default"/>
          <w:pgSz w:w="11906" w:h="16838"/>
          <w:pgMar w:top="1417" w:right="1417" w:bottom="1417" w:left="1417" w:header="850" w:footer="992" w:gutter="0"/>
          <w:pgNumType w:fmt="decimal" w:start="1"/>
          <w:cols w:space="0" w:num="1"/>
          <w:rtlGutter w:val="0"/>
          <w:docGrid w:type="lines" w:linePitch="333" w:charSpace="0"/>
        </w:sectPr>
      </w:pPr>
      <w:r>
        <w:rPr>
          <w:rFonts w:hint="eastAsia" w:ascii="仿宋" w:hAnsi="仿宋" w:eastAsia="仿宋" w:cs="仿宋"/>
          <w:bCs w:val="0"/>
          <w:color w:val="auto"/>
          <w:highlight w:val="none"/>
        </w:rPr>
        <w:fldChar w:fldCharType="end"/>
      </w:r>
    </w:p>
    <w:p>
      <w:pPr>
        <w:pStyle w:val="2"/>
        <w:ind w:left="0" w:firstLine="0"/>
        <w:rPr>
          <w:rFonts w:hint="eastAsia" w:ascii="仿宋" w:hAnsi="仿宋" w:eastAsia="仿宋" w:cs="仿宋"/>
          <w:b w:val="0"/>
          <w:bCs w:val="0"/>
          <w:color w:val="auto"/>
          <w:kern w:val="0"/>
          <w:sz w:val="24"/>
          <w:szCs w:val="24"/>
          <w:highlight w:val="none"/>
        </w:rPr>
        <w:sectPr>
          <w:headerReference r:id="rId6" w:type="default"/>
          <w:footerReference r:id="rId7" w:type="default"/>
          <w:type w:val="continuous"/>
          <w:pgSz w:w="11906" w:h="16838"/>
          <w:pgMar w:top="1417" w:right="1417" w:bottom="1417" w:left="1417" w:header="850" w:footer="992" w:gutter="0"/>
          <w:pgNumType w:fmt="decimal"/>
          <w:cols w:space="0" w:num="1"/>
          <w:rtlGutter w:val="0"/>
          <w:docGrid w:type="lines" w:linePitch="333" w:charSpace="0"/>
        </w:sectPr>
      </w:pPr>
    </w:p>
    <w:p>
      <w:pPr>
        <w:pStyle w:val="2"/>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0" w:name="_Toc26239"/>
      <w:bookmarkStart w:id="1" w:name="_Toc21360"/>
      <w:r>
        <w:rPr>
          <w:rFonts w:hint="eastAsia" w:ascii="仿宋" w:hAnsi="仿宋" w:eastAsia="仿宋" w:cs="仿宋"/>
          <w:color w:val="auto"/>
          <w:sz w:val="28"/>
          <w:szCs w:val="28"/>
          <w:highlight w:val="none"/>
        </w:rPr>
        <w:t>第一章 竞争性磋商邀请</w:t>
      </w:r>
      <w:bookmarkEnd w:id="0"/>
      <w:bookmarkEnd w:id="1"/>
    </w:p>
    <w:p>
      <w:pPr>
        <w:wordWrap w:val="0"/>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本项目</w:t>
      </w:r>
      <w:r>
        <w:rPr>
          <w:rFonts w:hint="eastAsia" w:ascii="仿宋" w:hAnsi="仿宋" w:eastAsia="仿宋" w:cs="仿宋"/>
          <w:color w:val="auto"/>
          <w:highlight w:val="none"/>
          <w:u w:val="single"/>
          <w:lang w:eastAsia="zh-CN"/>
        </w:rPr>
        <w:t>人保财险四川省成都市都江堰支公司“邻里相伴，人保护航”丰巢屏保宣传服务采购项目</w:t>
      </w:r>
      <w:r>
        <w:rPr>
          <w:rFonts w:hint="eastAsia" w:ascii="仿宋" w:hAnsi="仿宋" w:eastAsia="仿宋" w:cs="仿宋"/>
          <w:color w:val="auto"/>
          <w:highlight w:val="none"/>
        </w:rPr>
        <w:t>（采购项目编号：</w:t>
      </w:r>
      <w:r>
        <w:rPr>
          <w:rFonts w:hint="eastAsia" w:ascii="仿宋" w:hAnsi="仿宋" w:eastAsia="仿宋" w:cs="仿宋"/>
          <w:color w:val="auto"/>
          <w:highlight w:val="none"/>
          <w:lang w:val="en-US" w:eastAsia="zh-CN"/>
        </w:rPr>
        <w:t>XM26DSPC001031</w:t>
      </w:r>
      <w:r>
        <w:rPr>
          <w:rFonts w:hint="eastAsia" w:ascii="仿宋" w:hAnsi="仿宋" w:eastAsia="仿宋" w:cs="仿宋"/>
          <w:color w:val="auto"/>
          <w:highlight w:val="none"/>
        </w:rPr>
        <w:t>）由</w:t>
      </w:r>
      <w:r>
        <w:rPr>
          <w:rFonts w:hint="eastAsia" w:ascii="仿宋" w:hAnsi="仿宋" w:eastAsia="仿宋" w:cs="仿宋"/>
          <w:color w:val="auto"/>
          <w:highlight w:val="none"/>
          <w:u w:val="single"/>
          <w:lang w:eastAsia="zh-CN"/>
        </w:rPr>
        <w:t>中国人民财产保险股份有限公司都江堰支公司</w:t>
      </w:r>
      <w:r>
        <w:rPr>
          <w:rFonts w:hint="eastAsia" w:ascii="仿宋" w:hAnsi="仿宋" w:eastAsia="仿宋" w:cs="仿宋"/>
          <w:color w:val="auto"/>
          <w:highlight w:val="none"/>
        </w:rPr>
        <w:t>（以下简称“采购人”）批准并落实资金，组织本项目的磋商工作，采购合同由</w:t>
      </w:r>
      <w:r>
        <w:rPr>
          <w:rFonts w:hint="eastAsia" w:ascii="仿宋" w:hAnsi="仿宋" w:eastAsia="仿宋" w:cs="仿宋"/>
          <w:color w:val="auto"/>
          <w:highlight w:val="none"/>
          <w:u w:val="single"/>
          <w:lang w:eastAsia="zh-CN"/>
        </w:rPr>
        <w:t>中国人民财产保险股份有限公司</w:t>
      </w:r>
      <w:r>
        <w:rPr>
          <w:rFonts w:hint="eastAsia" w:ascii="仿宋" w:hAnsi="仿宋" w:eastAsia="仿宋" w:cs="仿宋"/>
          <w:color w:val="auto"/>
          <w:highlight w:val="none"/>
          <w:u w:val="single"/>
          <w:lang w:val="en-US" w:eastAsia="zh-CN"/>
        </w:rPr>
        <w:t>成都市分公司</w:t>
      </w:r>
      <w:r>
        <w:rPr>
          <w:rFonts w:hint="eastAsia" w:ascii="仿宋" w:hAnsi="仿宋" w:eastAsia="仿宋" w:cs="仿宋"/>
          <w:color w:val="auto"/>
          <w:highlight w:val="none"/>
        </w:rPr>
        <w:t>（以下简称“人保财险</w:t>
      </w:r>
      <w:r>
        <w:rPr>
          <w:rFonts w:hint="eastAsia" w:ascii="仿宋" w:hAnsi="仿宋" w:eastAsia="仿宋" w:cs="仿宋"/>
          <w:color w:val="auto"/>
          <w:highlight w:val="none"/>
          <w:lang w:val="en-US" w:eastAsia="zh-CN"/>
        </w:rPr>
        <w:t>成都市分</w:t>
      </w:r>
      <w:r>
        <w:rPr>
          <w:rFonts w:hint="eastAsia" w:ascii="仿宋" w:hAnsi="仿宋" w:eastAsia="仿宋" w:cs="仿宋"/>
          <w:color w:val="auto"/>
          <w:highlight w:val="none"/>
          <w:lang w:eastAsia="zh-CN"/>
        </w:rPr>
        <w:t>公司</w:t>
      </w:r>
      <w:r>
        <w:rPr>
          <w:rFonts w:hint="eastAsia" w:ascii="仿宋" w:hAnsi="仿宋" w:eastAsia="仿宋" w:cs="仿宋"/>
          <w:color w:val="auto"/>
          <w:highlight w:val="none"/>
        </w:rPr>
        <w:t>”）根据成交结果与成交人签署。</w:t>
      </w:r>
      <w:r>
        <w:rPr>
          <w:rFonts w:hint="eastAsia" w:ascii="仿宋" w:hAnsi="仿宋" w:eastAsia="仿宋" w:cs="仿宋"/>
          <w:color w:val="auto"/>
          <w:sz w:val="24"/>
          <w:highlight w:val="none"/>
        </w:rPr>
        <w:t>现</w:t>
      </w:r>
      <w:r>
        <w:rPr>
          <w:rFonts w:hint="eastAsia" w:ascii="仿宋" w:hAnsi="仿宋" w:eastAsia="仿宋" w:cs="仿宋"/>
          <w:color w:val="auto"/>
          <w:sz w:val="24"/>
          <w:highlight w:val="none"/>
          <w:lang w:val="en-US" w:eastAsia="zh-CN"/>
        </w:rPr>
        <w:t>通过</w:t>
      </w:r>
      <w:r>
        <w:rPr>
          <w:rFonts w:hint="eastAsia" w:ascii="仿宋" w:hAnsi="仿宋" w:eastAsia="仿宋" w:cs="仿宋"/>
          <w:color w:val="auto"/>
          <w:sz w:val="24"/>
          <w:highlight w:val="none"/>
        </w:rPr>
        <w:t>竞争性磋商</w:t>
      </w:r>
      <w:r>
        <w:rPr>
          <w:rFonts w:hint="eastAsia" w:ascii="仿宋" w:hAnsi="仿宋" w:eastAsia="仿宋" w:cs="仿宋"/>
          <w:color w:val="auto"/>
          <w:sz w:val="24"/>
          <w:highlight w:val="none"/>
          <w:lang w:val="en-US" w:eastAsia="zh-CN"/>
        </w:rPr>
        <w:t>方式实施</w:t>
      </w:r>
      <w:r>
        <w:rPr>
          <w:rFonts w:hint="eastAsia" w:ascii="仿宋" w:hAnsi="仿宋" w:eastAsia="仿宋" w:cs="仿宋"/>
          <w:color w:val="auto"/>
          <w:sz w:val="24"/>
          <w:highlight w:val="none"/>
        </w:rPr>
        <w:t>，有意向且具有提供标的物能力的潜在供应商（以下简称“供应商”）可前来参与磋商响应。</w:t>
      </w:r>
      <w:r>
        <w:rPr>
          <w:rFonts w:hint="eastAsia" w:ascii="仿宋" w:hAnsi="仿宋" w:eastAsia="仿宋" w:cs="仿宋"/>
          <w:color w:val="auto"/>
          <w:highlight w:val="none"/>
        </w:rPr>
        <w:t xml:space="preserve"> </w:t>
      </w:r>
    </w:p>
    <w:p>
      <w:pPr>
        <w:pStyle w:val="3"/>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2" w:name="_Toc21237"/>
      <w:bookmarkStart w:id="3" w:name="_Toc29328"/>
      <w:r>
        <w:rPr>
          <w:rFonts w:hint="eastAsia" w:ascii="仿宋" w:hAnsi="仿宋" w:eastAsia="仿宋" w:cs="仿宋"/>
          <w:color w:val="auto"/>
          <w:sz w:val="24"/>
          <w:szCs w:val="24"/>
          <w:highlight w:val="none"/>
        </w:rPr>
        <w:t>一、项目概况与采购范围</w:t>
      </w:r>
      <w:bookmarkEnd w:id="2"/>
      <w:bookmarkEnd w:id="3"/>
    </w:p>
    <w:p>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1.1 项目名称：</w:t>
      </w:r>
      <w:r>
        <w:rPr>
          <w:rFonts w:hint="eastAsia" w:ascii="仿宋" w:hAnsi="仿宋" w:eastAsia="仿宋" w:cs="仿宋"/>
          <w:color w:val="auto"/>
          <w:highlight w:val="none"/>
          <w:u w:val="none"/>
          <w:lang w:eastAsia="zh-CN"/>
        </w:rPr>
        <w:t>人保财险四川省成都市都江堰支公司“邻里相伴，人保护航”丰巢屏保宣传服务采购项目</w:t>
      </w:r>
      <w:r>
        <w:rPr>
          <w:rFonts w:hint="eastAsia" w:ascii="仿宋" w:hAnsi="仿宋" w:eastAsia="仿宋" w:cs="仿宋"/>
          <w:color w:val="auto"/>
          <w:highlight w:val="none"/>
        </w:rPr>
        <w:t>。</w:t>
      </w:r>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 采购范围：本项目拟采购1家供应商在都江堰市区域内</w:t>
      </w:r>
      <w:r>
        <w:rPr>
          <w:rFonts w:hint="eastAsia" w:ascii="仿宋" w:hAnsi="仿宋" w:eastAsia="仿宋" w:cs="仿宋"/>
          <w:color w:val="auto"/>
          <w:sz w:val="24"/>
          <w:highlight w:val="none"/>
          <w:lang w:val="en-US" w:eastAsia="zh-CN"/>
        </w:rPr>
        <w:t>所有</w:t>
      </w:r>
      <w:r>
        <w:rPr>
          <w:rFonts w:hint="eastAsia" w:ascii="仿宋" w:hAnsi="仿宋" w:eastAsia="仿宋" w:cs="仿宋"/>
          <w:color w:val="auto"/>
          <w:sz w:val="24"/>
          <w:highlight w:val="none"/>
        </w:rPr>
        <w:t>丰巢快递柜</w:t>
      </w:r>
      <w:r>
        <w:rPr>
          <w:rFonts w:hint="eastAsia" w:ascii="仿宋" w:hAnsi="仿宋" w:eastAsia="仿宋" w:cs="仿宋"/>
          <w:color w:val="auto"/>
          <w:sz w:val="24"/>
          <w:highlight w:val="none"/>
          <w:lang w:val="en-US" w:eastAsia="zh-CN"/>
        </w:rPr>
        <w:t>中选取500个</w:t>
      </w:r>
      <w:r>
        <w:rPr>
          <w:rFonts w:hint="eastAsia" w:ascii="仿宋" w:hAnsi="仿宋" w:eastAsia="仿宋" w:cs="仿宋"/>
          <w:color w:val="auto"/>
          <w:sz w:val="24"/>
          <w:highlight w:val="none"/>
        </w:rPr>
        <w:t>快递柜</w:t>
      </w:r>
      <w:r>
        <w:rPr>
          <w:rFonts w:hint="eastAsia" w:ascii="仿宋" w:hAnsi="仿宋" w:eastAsia="仿宋" w:cs="仿宋"/>
          <w:color w:val="auto"/>
          <w:sz w:val="24"/>
          <w:highlight w:val="none"/>
          <w:lang w:val="en-US" w:eastAsia="zh-CN"/>
        </w:rPr>
        <w:t>屏幕点位进行宣传投放</w:t>
      </w:r>
      <w:r>
        <w:rPr>
          <w:rFonts w:hint="eastAsia" w:ascii="仿宋" w:hAnsi="仿宋" w:eastAsia="仿宋" w:cs="仿宋"/>
          <w:color w:val="auto"/>
          <w:sz w:val="24"/>
          <w:highlight w:val="none"/>
        </w:rPr>
        <w:t>，通过快递柜屏保为我公司进行宣传期为6周</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rPr>
        <w:t>车险宣传推广活动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具体技术要求详见第五章采购需求。</w:t>
      </w:r>
    </w:p>
    <w:p>
      <w:pPr>
        <w:adjustRightInd w:val="0"/>
        <w:snapToGrid w:val="0"/>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rPr>
        <w:t>1.3 标包划分：本项目不划分标包</w:t>
      </w:r>
      <w:r>
        <w:rPr>
          <w:rFonts w:hint="eastAsia" w:ascii="仿宋" w:hAnsi="仿宋" w:eastAsia="仿宋" w:cs="仿宋"/>
          <w:color w:val="auto"/>
          <w:highlight w:val="none"/>
          <w:lang w:eastAsia="zh-CN"/>
        </w:rPr>
        <w:t>。</w:t>
      </w:r>
    </w:p>
    <w:p>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1.4 项目性质：服务。</w:t>
      </w:r>
    </w:p>
    <w:p>
      <w:pPr>
        <w:adjustRightInd w:val="0"/>
        <w:snapToGrid w:val="0"/>
        <w:spacing w:line="360" w:lineRule="auto"/>
        <w:ind w:firstLine="42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1.5</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服务</w:t>
      </w:r>
      <w:r>
        <w:rPr>
          <w:rFonts w:hint="eastAsia" w:ascii="仿宋" w:hAnsi="仿宋" w:eastAsia="仿宋" w:cs="仿宋"/>
          <w:color w:val="auto"/>
          <w:highlight w:val="none"/>
          <w:lang w:val="en-US" w:eastAsia="zh-CN"/>
        </w:rPr>
        <w:t>期限</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6周。</w:t>
      </w:r>
    </w:p>
    <w:p>
      <w:pPr>
        <w:adjustRightInd w:val="0"/>
        <w:snapToGrid w:val="0"/>
        <w:spacing w:line="360" w:lineRule="auto"/>
        <w:ind w:firstLine="420" w:firstLineChars="200"/>
        <w:rPr>
          <w:rFonts w:hint="eastAsia" w:ascii="仿宋" w:hAnsi="仿宋" w:eastAsia="仿宋" w:cs="仿宋"/>
          <w:color w:val="auto"/>
          <w:sz w:val="24"/>
          <w:szCs w:val="24"/>
          <w:highlight w:val="none"/>
        </w:rPr>
      </w:pPr>
      <w:r>
        <w:rPr>
          <w:rFonts w:hint="eastAsia" w:ascii="仿宋" w:hAnsi="仿宋" w:eastAsia="仿宋" w:cs="仿宋"/>
          <w:color w:val="auto"/>
          <w:highlight w:val="none"/>
        </w:rPr>
        <w:t>1.6</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服务地点：</w:t>
      </w:r>
      <w:bookmarkStart w:id="4" w:name="OLE_LINK1"/>
      <w:r>
        <w:rPr>
          <w:rFonts w:hint="eastAsia" w:ascii="仿宋" w:hAnsi="仿宋" w:eastAsia="仿宋" w:cs="仿宋"/>
          <w:color w:val="auto"/>
          <w:sz w:val="24"/>
          <w:szCs w:val="24"/>
          <w:highlight w:val="none"/>
        </w:rPr>
        <w:t>采购人指定地点</w:t>
      </w:r>
      <w:bookmarkEnd w:id="4"/>
      <w:r>
        <w:rPr>
          <w:rFonts w:hint="eastAsia" w:ascii="仿宋" w:hAnsi="仿宋" w:eastAsia="仿宋" w:cs="仿宋"/>
          <w:color w:val="auto"/>
          <w:sz w:val="24"/>
          <w:szCs w:val="24"/>
          <w:highlight w:val="none"/>
        </w:rPr>
        <w:t>。</w:t>
      </w:r>
    </w:p>
    <w:p>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1.7 项目限价：</w:t>
      </w:r>
      <w:r>
        <w:rPr>
          <w:rFonts w:hint="eastAsia" w:ascii="仿宋" w:hAnsi="仿宋" w:eastAsia="仿宋" w:cs="仿宋"/>
          <w:color w:val="auto"/>
          <w:highlight w:val="none"/>
          <w:lang w:val="en-US" w:eastAsia="zh-CN"/>
        </w:rPr>
        <w:t>本项目计划在都江堰市区域内所有丰巢快递柜中选取500个快递柜屏幕点位进行宣传投放。</w:t>
      </w:r>
      <w:r>
        <w:rPr>
          <w:rFonts w:hint="eastAsia" w:ascii="仿宋" w:hAnsi="仿宋" w:eastAsia="仿宋" w:cs="仿宋"/>
          <w:color w:val="auto"/>
          <w:highlight w:val="none"/>
        </w:rPr>
        <w:t>项目设置总价最高限价和单价最高限价，即供应商总价报价不得高于</w:t>
      </w:r>
      <w:r>
        <w:rPr>
          <w:rFonts w:hint="eastAsia" w:ascii="仿宋" w:hAnsi="仿宋" w:eastAsia="仿宋" w:cs="仿宋"/>
          <w:color w:val="auto"/>
          <w:highlight w:val="none"/>
          <w:lang w:eastAsia="zh-CN"/>
        </w:rPr>
        <w:t>795000</w:t>
      </w:r>
      <w:r>
        <w:rPr>
          <w:rFonts w:hint="eastAsia" w:ascii="仿宋" w:hAnsi="仿宋" w:eastAsia="仿宋" w:cs="仿宋"/>
          <w:color w:val="auto"/>
          <w:highlight w:val="none"/>
          <w:lang w:val="en-US" w:eastAsia="zh-CN"/>
        </w:rPr>
        <w:t>.00</w:t>
      </w:r>
      <w:r>
        <w:rPr>
          <w:rFonts w:hint="eastAsia" w:ascii="仿宋" w:hAnsi="仿宋" w:eastAsia="仿宋" w:cs="仿宋"/>
          <w:color w:val="auto"/>
          <w:highlight w:val="none"/>
        </w:rPr>
        <w:t>元，单价限价不得高于</w:t>
      </w:r>
      <w:r>
        <w:rPr>
          <w:rFonts w:hint="eastAsia" w:ascii="仿宋" w:hAnsi="仿宋" w:eastAsia="仿宋" w:cs="仿宋"/>
          <w:color w:val="auto"/>
          <w:highlight w:val="none"/>
          <w:lang w:val="en-US" w:eastAsia="zh-CN"/>
        </w:rPr>
        <w:t>265.00元/个/周</w:t>
      </w:r>
      <w:r>
        <w:rPr>
          <w:rFonts w:hint="eastAsia" w:ascii="仿宋" w:hAnsi="仿宋" w:eastAsia="仿宋" w:cs="仿宋"/>
          <w:color w:val="auto"/>
          <w:highlight w:val="none"/>
        </w:rPr>
        <w:t>。</w:t>
      </w:r>
    </w:p>
    <w:p>
      <w:pPr>
        <w:pStyle w:val="3"/>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5" w:name="_Toc26644"/>
      <w:bookmarkStart w:id="6" w:name="_Toc17569"/>
      <w:r>
        <w:rPr>
          <w:rFonts w:hint="eastAsia" w:ascii="仿宋" w:hAnsi="仿宋" w:eastAsia="仿宋" w:cs="仿宋"/>
          <w:color w:val="auto"/>
          <w:sz w:val="24"/>
          <w:szCs w:val="24"/>
          <w:highlight w:val="none"/>
        </w:rPr>
        <w:t>二、供应商资格要求</w:t>
      </w:r>
      <w:bookmarkEnd w:id="5"/>
      <w:bookmarkEnd w:id="6"/>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2.1</w:t>
      </w:r>
      <w:r>
        <w:rPr>
          <w:rFonts w:hint="eastAsia" w:ascii="仿宋" w:hAnsi="仿宋" w:eastAsia="仿宋" w:cs="仿宋"/>
          <w:b/>
          <w:bCs/>
          <w:color w:val="auto"/>
          <w:highlight w:val="none"/>
        </w:rPr>
        <w:t>在中华人民共和国境内依法登记的法人或其他组织，具有独立承担民事责任的能力，</w:t>
      </w:r>
      <w:r>
        <w:rPr>
          <w:rFonts w:hint="eastAsia" w:ascii="仿宋" w:hAnsi="仿宋" w:eastAsia="仿宋" w:cs="仿宋"/>
          <w:color w:val="auto"/>
          <w:highlight w:val="none"/>
        </w:rPr>
        <w:t>供应商如为企业法人，须提供企业法人营业执照（复印件）；供应商如为事业单位或其他组织，须提供事业单位法人证书或登记证或组织机构代码证或其他有效证明文件（复印件）；</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2.2</w:t>
      </w:r>
      <w:r>
        <w:rPr>
          <w:rFonts w:hint="eastAsia" w:ascii="仿宋" w:hAnsi="仿宋" w:eastAsia="仿宋" w:cs="仿宋"/>
          <w:b/>
          <w:bCs/>
          <w:color w:val="auto"/>
          <w:highlight w:val="none"/>
        </w:rPr>
        <w:t>具有良好的商业信誉和健全的财务会计制度</w:t>
      </w:r>
      <w:r>
        <w:rPr>
          <w:rFonts w:hint="eastAsia" w:ascii="仿宋" w:hAnsi="仿宋" w:eastAsia="仿宋" w:cs="仿宋"/>
          <w:color w:val="auto"/>
          <w:highlight w:val="none"/>
        </w:rPr>
        <w:t>，需提供</w:t>
      </w:r>
      <w:r>
        <w:rPr>
          <w:rFonts w:hint="eastAsia" w:ascii="仿宋" w:hAnsi="仿宋" w:eastAsia="仿宋" w:cs="仿宋"/>
          <w:color w:val="auto"/>
          <w:highlight w:val="none"/>
          <w:lang w:val="en-US" w:eastAsia="zh-CN"/>
        </w:rPr>
        <w:t>2025年度</w:t>
      </w:r>
      <w:r>
        <w:rPr>
          <w:rFonts w:hint="eastAsia" w:ascii="仿宋" w:hAnsi="仿宋" w:eastAsia="仿宋" w:cs="仿宋"/>
          <w:color w:val="auto"/>
          <w:highlight w:val="none"/>
        </w:rPr>
        <w:t>经会计师事务所或审计机构审计的财务审计报告及财务报表（至少包含会计师事务所或审计机构签章页、资产负债表、现金流量表、损益表/利润表）或提供响应文件递交截止日前6个月内开具的银行资信证明。</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 xml:space="preserve">2.3 </w:t>
      </w:r>
      <w:r>
        <w:rPr>
          <w:rFonts w:hint="eastAsia" w:ascii="仿宋" w:hAnsi="仿宋" w:eastAsia="仿宋" w:cs="仿宋"/>
          <w:b/>
          <w:bCs/>
          <w:color w:val="auto"/>
          <w:highlight w:val="none"/>
        </w:rPr>
        <w:t>具有履行合同所必需的设备和专业技术能力</w:t>
      </w:r>
      <w:r>
        <w:rPr>
          <w:rFonts w:hint="eastAsia" w:ascii="仿宋" w:hAnsi="仿宋" w:eastAsia="仿宋" w:cs="仿宋"/>
          <w:color w:val="auto"/>
          <w:highlight w:val="none"/>
        </w:rPr>
        <w:t>，近三年（</w:t>
      </w:r>
      <w:r>
        <w:rPr>
          <w:rFonts w:hint="eastAsia" w:ascii="仿宋" w:hAnsi="仿宋" w:eastAsia="仿宋" w:cs="仿宋"/>
          <w:color w:val="auto"/>
          <w:highlight w:val="none"/>
          <w:lang w:val="en-US" w:eastAsia="zh-CN"/>
        </w:rPr>
        <w:t>2023</w:t>
      </w:r>
      <w:r>
        <w:rPr>
          <w:rFonts w:hint="eastAsia" w:ascii="仿宋" w:hAnsi="仿宋" w:eastAsia="仿宋" w:cs="仿宋"/>
          <w:color w:val="auto"/>
          <w:highlight w:val="none"/>
        </w:rPr>
        <w:t>年1月1日至今）应具有</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个同类项目实施案例</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同类项目实施案例指：宣传活动等类似案例</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，并提供符合上述要求的合同关键页作为有效的业绩证明材料。合同关键页包含但不限于合同首页、合同标的页、签署日期页及盖章页等。</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2.4</w:t>
      </w:r>
      <w:r>
        <w:rPr>
          <w:rFonts w:hint="eastAsia" w:ascii="仿宋" w:hAnsi="仿宋" w:eastAsia="仿宋" w:cs="仿宋"/>
          <w:b/>
          <w:bCs/>
          <w:color w:val="auto"/>
          <w:highlight w:val="none"/>
        </w:rPr>
        <w:t>具有依法缴纳税收和社会保障资金的良好记录</w:t>
      </w:r>
      <w:r>
        <w:rPr>
          <w:rFonts w:hint="eastAsia" w:ascii="仿宋" w:hAnsi="仿宋" w:eastAsia="仿宋" w:cs="仿宋"/>
          <w:color w:val="auto"/>
          <w:highlight w:val="none"/>
        </w:rPr>
        <w:t>，提供近6个月任意一个月的税收和社会保障资金缴纳凭证。</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sz w:val="24"/>
          <w:highlight w:val="none"/>
        </w:rPr>
        <w:t>注：依法免税或不需要缴纳社会保障资金的供应商，应提供相应文件证明其依法免税或不需要缴纳社会保障资金。</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2.5</w:t>
      </w:r>
      <w:r>
        <w:rPr>
          <w:rFonts w:hint="eastAsia" w:ascii="仿宋" w:hAnsi="仿宋" w:eastAsia="仿宋" w:cs="仿宋"/>
          <w:b/>
          <w:bCs/>
          <w:color w:val="auto"/>
          <w:highlight w:val="none"/>
        </w:rPr>
        <w:t>经营状况良好，且近三年内（</w:t>
      </w:r>
      <w:r>
        <w:rPr>
          <w:rFonts w:hint="eastAsia" w:ascii="仿宋" w:hAnsi="仿宋" w:eastAsia="仿宋" w:cs="仿宋"/>
          <w:b/>
          <w:bCs/>
          <w:color w:val="auto"/>
          <w:highlight w:val="none"/>
          <w:lang w:val="en-US" w:eastAsia="zh-CN"/>
        </w:rPr>
        <w:t>2023</w:t>
      </w:r>
      <w:r>
        <w:rPr>
          <w:rFonts w:hint="eastAsia" w:ascii="仿宋" w:hAnsi="仿宋" w:eastAsia="仿宋" w:cs="仿宋"/>
          <w:b/>
          <w:bCs/>
          <w:color w:val="auto"/>
          <w:highlight w:val="none"/>
        </w:rPr>
        <w:t>年1月1日至今）无违法违规记录。</w:t>
      </w:r>
      <w:r>
        <w:rPr>
          <w:rFonts w:hint="eastAsia" w:ascii="仿宋" w:hAnsi="仿宋" w:eastAsia="仿宋" w:cs="仿宋"/>
          <w:color w:val="auto"/>
          <w:highlight w:val="none"/>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napToGrid w:val="0"/>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https://www.creditchina.gov.cn/zhuanxiangchaxun/zhengfucaigouyanzhongweifashixinmingdan/</w:t>
      </w:r>
    </w:p>
    <w:p>
      <w:pPr>
        <w:spacing w:line="360" w:lineRule="auto"/>
        <w:ind w:firstLine="420" w:firstLineChars="200"/>
        <w:textAlignment w:val="baseline"/>
        <w:rPr>
          <w:rFonts w:hint="eastAsia" w:ascii="仿宋" w:hAnsi="仿宋" w:eastAsia="仿宋" w:cs="仿宋"/>
          <w:b/>
          <w:bCs/>
          <w:color w:val="auto"/>
          <w:highlight w:val="none"/>
        </w:rPr>
      </w:pPr>
      <w:r>
        <w:rPr>
          <w:rFonts w:hint="eastAsia" w:ascii="仿宋" w:hAnsi="仿宋" w:eastAsia="仿宋" w:cs="仿宋"/>
          <w:color w:val="auto"/>
          <w:highlight w:val="none"/>
        </w:rPr>
        <w:t xml:space="preserve">2.6 </w:t>
      </w:r>
      <w:r>
        <w:rPr>
          <w:rFonts w:hint="eastAsia" w:ascii="仿宋" w:hAnsi="仿宋" w:eastAsia="仿宋" w:cs="仿宋"/>
          <w:b/>
          <w:bCs/>
          <w:color w:val="auto"/>
          <w:highlight w:val="none"/>
        </w:rPr>
        <w:t>严禁列入采购人及其所隶属的中国人民保险各级机构的供应商黑名单且在禁入期内的供应商参与采购活动。</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2.7单位负责人为同一人或存在控股、管理关系的不同单位，不得参加同一标段/标包磋商响应或未划分标段/标包的同一采购项目的磋商响应，需填写《供应商控股及管理关系情况申报表》。</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2.8本项目不接受联合体磋商响应。提供承诺函，格式详见第六章响应文件格式。</w:t>
      </w:r>
    </w:p>
    <w:p>
      <w:pPr>
        <w:pStyle w:val="7"/>
        <w:spacing w:line="360" w:lineRule="auto"/>
        <w:ind w:firstLine="420" w:firstLineChars="200"/>
        <w:rPr>
          <w:rFonts w:hint="eastAsia" w:ascii="仿宋" w:hAnsi="仿宋" w:eastAsia="仿宋" w:cs="仿宋"/>
          <w:i w:val="0"/>
          <w:iCs/>
          <w:color w:val="auto"/>
          <w:szCs w:val="32"/>
          <w:highlight w:val="none"/>
          <w:lang w:val="en-US" w:eastAsia="zh-CN"/>
        </w:rPr>
      </w:pPr>
      <w:r>
        <w:rPr>
          <w:rFonts w:hint="eastAsia" w:ascii="仿宋" w:hAnsi="仿宋" w:eastAsia="仿宋" w:cs="仿宋"/>
          <w:color w:val="auto"/>
          <w:highlight w:val="none"/>
        </w:rPr>
        <w:t>2.9</w:t>
      </w:r>
      <w:r>
        <w:rPr>
          <w:rFonts w:hint="eastAsia" w:ascii="仿宋" w:hAnsi="仿宋" w:eastAsia="仿宋" w:cs="仿宋"/>
          <w:i w:val="0"/>
          <w:iCs/>
          <w:color w:val="auto"/>
          <w:szCs w:val="32"/>
          <w:highlight w:val="none"/>
        </w:rPr>
        <w:t>特殊资质条件</w:t>
      </w:r>
      <w:r>
        <w:rPr>
          <w:rFonts w:hint="eastAsia" w:ascii="仿宋" w:hAnsi="仿宋" w:eastAsia="仿宋" w:cs="仿宋"/>
          <w:i w:val="0"/>
          <w:iCs/>
          <w:color w:val="auto"/>
          <w:szCs w:val="32"/>
          <w:highlight w:val="none"/>
          <w:lang w:eastAsia="zh-CN"/>
        </w:rPr>
        <w:t>：</w:t>
      </w:r>
      <w:r>
        <w:rPr>
          <w:rFonts w:hint="eastAsia" w:ascii="仿宋" w:hAnsi="仿宋" w:eastAsia="仿宋" w:cs="仿宋"/>
          <w:i w:val="0"/>
          <w:iCs/>
          <w:color w:val="auto"/>
          <w:szCs w:val="32"/>
          <w:highlight w:val="none"/>
          <w:lang w:val="en-US" w:eastAsia="zh-CN"/>
        </w:rPr>
        <w:t>（1）供应商已与丰巢快递柜运营主体签订发布合作协议/合同的，其期限需覆盖本次采购的服务期限；（2）供应商未与丰巢快递柜运营主体签订发布合作协议/合同的，须承诺在成交后，本次采购合同签订前5日内与丰巢签订发布合作协议/合同，且合作期限须覆盖本次采购的服务期限，若未提供承诺函的，按无效响应处理；若提供承诺函但成交后未在规定时间内签订合作协议/合同的，视为虚假响应，其成交资格将被取消，且被纳入采购人及其所隶属的中国人民保险各级机构的供应商黑名单。</w:t>
      </w:r>
    </w:p>
    <w:p>
      <w:pPr>
        <w:pStyle w:val="3"/>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7" w:name="_Toc22800"/>
      <w:bookmarkStart w:id="8" w:name="_Toc2019"/>
      <w:r>
        <w:rPr>
          <w:rFonts w:hint="eastAsia" w:ascii="仿宋" w:hAnsi="仿宋" w:eastAsia="仿宋" w:cs="仿宋"/>
          <w:color w:val="auto"/>
          <w:sz w:val="24"/>
          <w:szCs w:val="24"/>
          <w:highlight w:val="none"/>
        </w:rPr>
        <w:t>三、磋商文件的获取</w:t>
      </w:r>
      <w:bookmarkEnd w:id="7"/>
      <w:bookmarkEnd w:id="8"/>
    </w:p>
    <w:p>
      <w:pPr>
        <w:pStyle w:val="17"/>
        <w:adjustRightInd w:val="0"/>
        <w:snapToGrid w:val="0"/>
        <w:ind w:firstLineChars="17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3.1磋商文件获取时间：</w:t>
      </w:r>
      <w:r>
        <w:rPr>
          <w:rFonts w:hint="eastAsia" w:ascii="仿宋" w:hAnsi="仿宋" w:eastAsia="仿宋" w:cs="仿宋"/>
          <w:b/>
          <w:color w:val="auto"/>
          <w:sz w:val="24"/>
          <w:szCs w:val="24"/>
          <w:highlight w:val="none"/>
          <w:u w:val="single"/>
        </w:rPr>
        <w:t>2026年</w:t>
      </w:r>
      <w:r>
        <w:rPr>
          <w:rFonts w:hint="eastAsia" w:ascii="仿宋" w:hAnsi="仿宋" w:eastAsia="仿宋" w:cs="仿宋"/>
          <w:b/>
          <w:color w:val="auto"/>
          <w:sz w:val="24"/>
          <w:szCs w:val="24"/>
          <w:highlight w:val="none"/>
          <w:u w:val="single"/>
          <w:lang w:val="en-US" w:eastAsia="zh-CN"/>
        </w:rPr>
        <w:t>9</w:t>
      </w:r>
      <w:r>
        <w:rPr>
          <w:rFonts w:hint="eastAsia" w:ascii="仿宋" w:hAnsi="仿宋" w:eastAsia="仿宋" w:cs="仿宋"/>
          <w:b/>
          <w:color w:val="auto"/>
          <w:sz w:val="24"/>
          <w:szCs w:val="24"/>
          <w:highlight w:val="none"/>
          <w:u w:val="single"/>
        </w:rPr>
        <w:t>月</w:t>
      </w:r>
      <w:r>
        <w:rPr>
          <w:rFonts w:hint="eastAsia" w:ascii="仿宋" w:hAnsi="仿宋" w:eastAsia="仿宋" w:cs="仿宋"/>
          <w:b/>
          <w:color w:val="auto"/>
          <w:sz w:val="24"/>
          <w:szCs w:val="24"/>
          <w:highlight w:val="none"/>
          <w:u w:val="single"/>
          <w:lang w:val="en-US" w:eastAsia="zh-CN"/>
        </w:rPr>
        <w:t>7</w:t>
      </w:r>
      <w:r>
        <w:rPr>
          <w:rFonts w:hint="eastAsia" w:ascii="仿宋" w:hAnsi="仿宋" w:eastAsia="仿宋" w:cs="仿宋"/>
          <w:b/>
          <w:color w:val="auto"/>
          <w:sz w:val="24"/>
          <w:szCs w:val="24"/>
          <w:highlight w:val="none"/>
          <w:u w:val="single"/>
        </w:rPr>
        <w:t>日至2026年</w:t>
      </w:r>
      <w:r>
        <w:rPr>
          <w:rFonts w:hint="eastAsia" w:ascii="仿宋" w:hAnsi="仿宋" w:eastAsia="仿宋" w:cs="仿宋"/>
          <w:b/>
          <w:color w:val="auto"/>
          <w:sz w:val="24"/>
          <w:szCs w:val="24"/>
          <w:highlight w:val="none"/>
          <w:u w:val="single"/>
          <w:lang w:val="en-US" w:eastAsia="zh-CN"/>
        </w:rPr>
        <w:t>9</w:t>
      </w:r>
      <w:r>
        <w:rPr>
          <w:rFonts w:hint="eastAsia" w:ascii="仿宋" w:hAnsi="仿宋" w:eastAsia="仿宋" w:cs="仿宋"/>
          <w:b/>
          <w:color w:val="auto"/>
          <w:sz w:val="24"/>
          <w:szCs w:val="24"/>
          <w:highlight w:val="none"/>
          <w:u w:val="single"/>
        </w:rPr>
        <w:t>月</w:t>
      </w:r>
      <w:r>
        <w:rPr>
          <w:rFonts w:hint="eastAsia" w:ascii="仿宋" w:hAnsi="仿宋" w:eastAsia="仿宋" w:cs="仿宋"/>
          <w:b/>
          <w:color w:val="auto"/>
          <w:sz w:val="24"/>
          <w:szCs w:val="24"/>
          <w:highlight w:val="none"/>
          <w:u w:val="single"/>
          <w:lang w:val="en-US" w:eastAsia="zh-CN"/>
        </w:rPr>
        <w:t>9</w:t>
      </w:r>
      <w:r>
        <w:rPr>
          <w:rFonts w:hint="eastAsia" w:ascii="仿宋" w:hAnsi="仿宋" w:eastAsia="仿宋" w:cs="仿宋"/>
          <w:b/>
          <w:color w:val="auto"/>
          <w:sz w:val="24"/>
          <w:szCs w:val="24"/>
          <w:highlight w:val="none"/>
          <w:u w:val="single"/>
        </w:rPr>
        <w:t>日，</w:t>
      </w:r>
      <w:r>
        <w:rPr>
          <w:rFonts w:hint="eastAsia" w:ascii="仿宋" w:hAnsi="仿宋" w:eastAsia="仿宋" w:cs="仿宋"/>
          <w:color w:val="auto"/>
          <w:sz w:val="24"/>
          <w:szCs w:val="24"/>
          <w:highlight w:val="none"/>
        </w:rPr>
        <w:t>上午</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时至</w:t>
      </w: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时，下午</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时至</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时（北京时间，下同）。</w:t>
      </w:r>
    </w:p>
    <w:p>
      <w:pPr>
        <w:pStyle w:val="6"/>
        <w:snapToGrid w:val="0"/>
        <w:spacing w:line="360" w:lineRule="auto"/>
        <w:ind w:firstLine="480" w:firstLineChars="200"/>
        <w:jc w:val="both"/>
        <w:rPr>
          <w:rFonts w:hint="eastAsia" w:ascii="仿宋" w:hAnsi="仿宋" w:eastAsia="仿宋" w:cs="仿宋"/>
          <w:color w:val="auto"/>
          <w:sz w:val="24"/>
          <w:highlight w:val="none"/>
        </w:rPr>
      </w:pPr>
      <w:bookmarkStart w:id="9" w:name="_Toc32115"/>
      <w:r>
        <w:rPr>
          <w:rFonts w:hint="eastAsia" w:ascii="仿宋" w:hAnsi="仿宋" w:eastAsia="仿宋" w:cs="仿宋"/>
          <w:color w:val="auto"/>
          <w:sz w:val="24"/>
          <w:highlight w:val="none"/>
        </w:rPr>
        <w:t>3.2 拟参加本项目的供应商，在获取</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文件时应提供</w:t>
      </w:r>
      <w:bookmarkStart w:id="230" w:name="_GoBack"/>
      <w:bookmarkEnd w:id="230"/>
      <w:r>
        <w:rPr>
          <w:rFonts w:hint="eastAsia" w:ascii="仿宋" w:hAnsi="仿宋" w:eastAsia="仿宋" w:cs="仿宋"/>
          <w:color w:val="auto"/>
          <w:sz w:val="24"/>
          <w:highlight w:val="none"/>
        </w:rPr>
        <w:t>以下资料：</w:t>
      </w:r>
    </w:p>
    <w:p>
      <w:pPr>
        <w:pStyle w:val="6"/>
        <w:snapToGrid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（1）针对本项目的单位介绍信(须注明项目名称、项目编号、联系人及联系电话、电子邮箱)及经办人身份证复印件并加盖单位公章；</w:t>
      </w:r>
    </w:p>
    <w:p>
      <w:pPr>
        <w:pStyle w:val="6"/>
        <w:snapToGrid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（2）营业执照复印件并加盖单位公章；</w:t>
      </w:r>
    </w:p>
    <w:p>
      <w:pPr>
        <w:pStyle w:val="6"/>
        <w:snapToGrid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供应商需在</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文件获取期限内将上述资料扫描发送至</w:t>
      </w:r>
      <w:r>
        <w:rPr>
          <w:rFonts w:hint="eastAsia" w:ascii="仿宋" w:hAnsi="仿宋" w:eastAsia="仿宋" w:cs="仿宋"/>
          <w:color w:val="auto"/>
          <w:sz w:val="24"/>
          <w:highlight w:val="none"/>
          <w:lang w:val="en-US" w:eastAsia="zh-CN"/>
        </w:rPr>
        <w:t>2675023717</w:t>
      </w:r>
      <w:r>
        <w:rPr>
          <w:rFonts w:hint="eastAsia" w:ascii="仿宋" w:hAnsi="仿宋" w:eastAsia="仿宋" w:cs="仿宋"/>
          <w:color w:val="auto"/>
          <w:sz w:val="24"/>
          <w:highlight w:val="none"/>
        </w:rPr>
        <w:t>@qq.com 进行网络获取，邮件标题以“XX项目+</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文件获取”命名，资料审核通过后</w:t>
      </w:r>
      <w:r>
        <w:rPr>
          <w:rFonts w:hint="eastAsia" w:ascii="仿宋" w:hAnsi="仿宋" w:eastAsia="仿宋" w:cs="仿宋"/>
          <w:color w:val="auto"/>
          <w:sz w:val="24"/>
          <w:highlight w:val="none"/>
          <w:lang w:val="en-US" w:eastAsia="zh-CN"/>
        </w:rPr>
        <w:t>方可获取磋商文件</w:t>
      </w:r>
      <w:r>
        <w:rPr>
          <w:rFonts w:hint="eastAsia" w:ascii="仿宋" w:hAnsi="仿宋" w:eastAsia="仿宋" w:cs="仿宋"/>
          <w:color w:val="auto"/>
          <w:sz w:val="24"/>
          <w:highlight w:val="none"/>
        </w:rPr>
        <w:t>。</w:t>
      </w:r>
    </w:p>
    <w:p>
      <w:pPr>
        <w:pStyle w:val="3"/>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0" w:name="_Toc30066"/>
      <w:r>
        <w:rPr>
          <w:rFonts w:hint="eastAsia" w:ascii="仿宋" w:hAnsi="仿宋" w:eastAsia="仿宋" w:cs="仿宋"/>
          <w:color w:val="auto"/>
          <w:sz w:val="24"/>
          <w:szCs w:val="24"/>
          <w:highlight w:val="none"/>
        </w:rPr>
        <w:t>四、响应文件的递交</w:t>
      </w:r>
      <w:bookmarkEnd w:id="9"/>
      <w:bookmarkEnd w:id="10"/>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4.1响应文件递交截止时间：</w:t>
      </w:r>
      <w:r>
        <w:rPr>
          <w:rFonts w:hint="eastAsia" w:ascii="仿宋" w:hAnsi="仿宋" w:eastAsia="仿宋" w:cs="仿宋"/>
          <w:b/>
          <w:bCs/>
          <w:color w:val="auto"/>
          <w:highlight w:val="none"/>
          <w:u w:val="single"/>
        </w:rPr>
        <w:t>2026年</w:t>
      </w:r>
      <w:r>
        <w:rPr>
          <w:rFonts w:hint="eastAsia" w:ascii="仿宋" w:hAnsi="仿宋" w:eastAsia="仿宋" w:cs="仿宋"/>
          <w:b/>
          <w:bCs/>
          <w:color w:val="auto"/>
          <w:highlight w:val="none"/>
          <w:u w:val="single"/>
          <w:lang w:val="en-US" w:eastAsia="zh-CN"/>
        </w:rPr>
        <w:t>9</w:t>
      </w:r>
      <w:r>
        <w:rPr>
          <w:rFonts w:hint="eastAsia" w:ascii="仿宋" w:hAnsi="仿宋" w:eastAsia="仿宋" w:cs="仿宋"/>
          <w:b/>
          <w:bCs/>
          <w:color w:val="auto"/>
          <w:highlight w:val="none"/>
          <w:u w:val="single"/>
        </w:rPr>
        <w:t>月</w:t>
      </w:r>
      <w:r>
        <w:rPr>
          <w:rFonts w:hint="eastAsia" w:ascii="仿宋" w:hAnsi="仿宋" w:eastAsia="仿宋" w:cs="仿宋"/>
          <w:b/>
          <w:bCs/>
          <w:color w:val="auto"/>
          <w:highlight w:val="none"/>
          <w:u w:val="single"/>
          <w:lang w:val="en-US" w:eastAsia="zh-CN"/>
        </w:rPr>
        <w:t>11</w:t>
      </w:r>
      <w:r>
        <w:rPr>
          <w:rFonts w:hint="eastAsia" w:ascii="仿宋" w:hAnsi="仿宋" w:eastAsia="仿宋" w:cs="仿宋"/>
          <w:b/>
          <w:bCs/>
          <w:color w:val="auto"/>
          <w:highlight w:val="none"/>
          <w:u w:val="single"/>
        </w:rPr>
        <w:t>日</w:t>
      </w:r>
      <w:r>
        <w:rPr>
          <w:rFonts w:hint="eastAsia" w:ascii="仿宋" w:hAnsi="仿宋" w:eastAsia="仿宋" w:cs="仿宋"/>
          <w:b/>
          <w:bCs/>
          <w:color w:val="auto"/>
          <w:highlight w:val="none"/>
          <w:u w:val="single"/>
          <w:lang w:val="en-US" w:eastAsia="zh-CN"/>
        </w:rPr>
        <w:t>14</w:t>
      </w:r>
      <w:r>
        <w:rPr>
          <w:rFonts w:hint="eastAsia" w:ascii="仿宋" w:hAnsi="仿宋" w:eastAsia="仿宋" w:cs="仿宋"/>
          <w:b/>
          <w:bCs/>
          <w:color w:val="auto"/>
          <w:highlight w:val="none"/>
          <w:u w:val="single"/>
        </w:rPr>
        <w:t>时</w:t>
      </w:r>
      <w:r>
        <w:rPr>
          <w:rFonts w:hint="eastAsia" w:ascii="仿宋" w:hAnsi="仿宋" w:eastAsia="仿宋" w:cs="仿宋"/>
          <w:b/>
          <w:bCs/>
          <w:color w:val="auto"/>
          <w:highlight w:val="none"/>
          <w:u w:val="single"/>
          <w:lang w:val="en-US" w:eastAsia="zh-CN"/>
        </w:rPr>
        <w:t>00</w:t>
      </w:r>
      <w:r>
        <w:rPr>
          <w:rFonts w:hint="eastAsia" w:ascii="仿宋" w:hAnsi="仿宋" w:eastAsia="仿宋" w:cs="仿宋"/>
          <w:b/>
          <w:bCs/>
          <w:color w:val="auto"/>
          <w:highlight w:val="none"/>
          <w:u w:val="single"/>
        </w:rPr>
        <w:t>分00秒</w:t>
      </w:r>
      <w:r>
        <w:rPr>
          <w:rFonts w:hint="eastAsia" w:ascii="仿宋" w:hAnsi="仿宋" w:eastAsia="仿宋" w:cs="仿宋"/>
          <w:color w:val="auto"/>
          <w:highlight w:val="none"/>
        </w:rPr>
        <w:t>。</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4.2响应文件的递交：</w:t>
      </w:r>
      <w:r>
        <w:rPr>
          <w:rFonts w:hint="eastAsia" w:ascii="仿宋" w:hAnsi="仿宋" w:eastAsia="仿宋" w:cs="仿宋"/>
          <w:color w:val="auto"/>
          <w:sz w:val="24"/>
          <w:highlight w:val="none"/>
        </w:rPr>
        <w:t>须现场递交至成都市都江堰市都江堰大道207号</w:t>
      </w:r>
      <w:r>
        <w:rPr>
          <w:rFonts w:hint="eastAsia" w:ascii="仿宋" w:hAnsi="仿宋" w:eastAsia="仿宋" w:cs="仿宋"/>
          <w:color w:val="auto"/>
          <w:highlight w:val="none"/>
        </w:rPr>
        <w:t>中国人民财产保险股份有限公司都江堰支公司</w:t>
      </w:r>
      <w:r>
        <w:rPr>
          <w:rFonts w:hint="eastAsia" w:ascii="仿宋" w:hAnsi="仿宋" w:eastAsia="仿宋" w:cs="仿宋"/>
          <w:color w:val="auto"/>
          <w:highlight w:val="none"/>
          <w:lang w:val="en-US" w:eastAsia="zh-CN"/>
        </w:rPr>
        <w:t>6楼</w:t>
      </w:r>
      <w:r>
        <w:rPr>
          <w:rFonts w:hint="eastAsia" w:ascii="仿宋" w:hAnsi="仿宋" w:eastAsia="仿宋" w:cs="仿宋"/>
          <w:color w:val="auto"/>
          <w:sz w:val="24"/>
          <w:highlight w:val="none"/>
          <w:lang w:val="en-US" w:eastAsia="zh-CN"/>
        </w:rPr>
        <w:t>会议室</w:t>
      </w:r>
      <w:r>
        <w:rPr>
          <w:rFonts w:hint="eastAsia" w:ascii="仿宋" w:hAnsi="仿宋" w:eastAsia="仿宋" w:cs="仿宋"/>
          <w:color w:val="auto"/>
          <w:sz w:val="24"/>
          <w:highlight w:val="none"/>
        </w:rPr>
        <w:t>，</w:t>
      </w:r>
      <w:r>
        <w:rPr>
          <w:rFonts w:hint="eastAsia" w:ascii="仿宋" w:hAnsi="仿宋" w:eastAsia="仿宋" w:cs="仿宋"/>
          <w:b/>
          <w:bCs/>
          <w:color w:val="auto"/>
          <w:highlight w:val="none"/>
        </w:rPr>
        <w:t>逾期送达或者未送达指定地点或者未按照磋商文件要求封装的纸质响应文件不予接收。</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.3本项目将于上述同一时间、地点进行磋商，采购人邀请供应商代表准时参加。</w:t>
      </w:r>
    </w:p>
    <w:p>
      <w:pPr>
        <w:spacing w:line="360" w:lineRule="auto"/>
        <w:ind w:firstLine="420" w:firstLineChars="200"/>
        <w:textAlignment w:val="baseline"/>
        <w:rPr>
          <w:rFonts w:hint="eastAsia" w:ascii="仿宋" w:hAnsi="仿宋" w:eastAsia="仿宋" w:cs="仿宋"/>
          <w:b/>
          <w:bCs/>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w:t>
      </w:r>
      <w:r>
        <w:rPr>
          <w:rFonts w:hint="eastAsia" w:ascii="仿宋" w:hAnsi="仿宋" w:eastAsia="仿宋" w:cs="仿宋"/>
          <w:b/>
          <w:bCs/>
          <w:color w:val="auto"/>
          <w:kern w:val="2"/>
          <w:highlight w:val="none"/>
        </w:rPr>
        <w:t>出现以下情形之一时，采购人不予接收</w:t>
      </w:r>
      <w:r>
        <w:rPr>
          <w:rFonts w:hint="eastAsia" w:ascii="仿宋" w:hAnsi="仿宋" w:eastAsia="仿宋" w:cs="仿宋"/>
          <w:b/>
          <w:bCs/>
          <w:color w:val="auto"/>
          <w:kern w:val="2"/>
          <w:highlight w:val="none"/>
          <w:lang w:val="en-US" w:eastAsia="zh-CN"/>
        </w:rPr>
        <w:t>响应</w:t>
      </w:r>
      <w:r>
        <w:rPr>
          <w:rFonts w:hint="eastAsia" w:ascii="仿宋" w:hAnsi="仿宋" w:eastAsia="仿宋" w:cs="仿宋"/>
          <w:b/>
          <w:bCs/>
          <w:color w:val="auto"/>
          <w:kern w:val="2"/>
          <w:highlight w:val="none"/>
        </w:rPr>
        <w:t>文件：</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.4.1 逾期送达或者未送达指定地点的；</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.4.2 未按照响应文件要求密封的；</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.4.3 未按照磋商邀请要求获取磋商文件的。</w:t>
      </w:r>
    </w:p>
    <w:p>
      <w:pPr>
        <w:pStyle w:val="3"/>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1" w:name="_Toc26231"/>
      <w:bookmarkStart w:id="12" w:name="_Toc874"/>
      <w:r>
        <w:rPr>
          <w:rFonts w:hint="eastAsia" w:ascii="仿宋" w:hAnsi="仿宋" w:eastAsia="仿宋" w:cs="仿宋"/>
          <w:color w:val="auto"/>
          <w:sz w:val="24"/>
          <w:szCs w:val="24"/>
          <w:highlight w:val="none"/>
        </w:rPr>
        <w:t>五、发布公告的媒介</w:t>
      </w:r>
      <w:bookmarkEnd w:id="11"/>
      <w:bookmarkEnd w:id="12"/>
    </w:p>
    <w:p>
      <w:pPr>
        <w:keepNext w:val="0"/>
        <w:pageBreakBefore w:val="0"/>
        <w:widowControl w:val="0"/>
        <w:kinsoku/>
        <w:wordWrap/>
        <w:overflowPunct/>
        <w:topLinePunct w:val="0"/>
        <w:autoSpaceDE/>
        <w:autoSpaceDN/>
        <w:bidi w:val="0"/>
        <w:adjustRightInd/>
        <w:snapToGrid w:val="0"/>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本项目磋商公告同时在</w:t>
      </w:r>
      <w:r>
        <w:rPr>
          <w:rFonts w:hint="eastAsia" w:ascii="仿宋" w:hAnsi="仿宋" w:eastAsia="仿宋" w:cs="仿宋"/>
          <w:color w:val="auto"/>
          <w:highlight w:val="none"/>
          <w:u w:val="single"/>
        </w:rPr>
        <w:t>中国招标投标公共服务平台（www.cebpubservice.com）、中国采购与招标网（https://www.chinabidding.cn/）</w:t>
      </w:r>
      <w:r>
        <w:rPr>
          <w:rFonts w:hint="eastAsia" w:ascii="仿宋" w:hAnsi="仿宋" w:eastAsia="仿宋" w:cs="仿宋"/>
          <w:color w:val="auto"/>
          <w:highlight w:val="none"/>
        </w:rPr>
        <w:t>上发布，除上述外，</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不在其他任何网站、论坛等媒介上发布任何采购信息，其他任何媒介上转载的、以</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为采购主体的采购信息均为非法转载，均为无效。对于非法转载、篡改采购公告信息的组织或个人，</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保留追究其法律责任的权利。</w:t>
      </w:r>
    </w:p>
    <w:p>
      <w:pPr>
        <w:pStyle w:val="3"/>
        <w:keepNext w:val="0"/>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3" w:name="_Toc17499"/>
      <w:bookmarkStart w:id="14" w:name="_Toc30596"/>
      <w:r>
        <w:rPr>
          <w:rFonts w:hint="eastAsia" w:ascii="仿宋" w:hAnsi="仿宋" w:eastAsia="仿宋" w:cs="仿宋"/>
          <w:color w:val="auto"/>
          <w:sz w:val="24"/>
          <w:szCs w:val="24"/>
          <w:highlight w:val="none"/>
        </w:rPr>
        <w:t>六、联系方式</w:t>
      </w:r>
      <w:bookmarkEnd w:id="13"/>
      <w:bookmarkEnd w:id="14"/>
    </w:p>
    <w:p>
      <w:pPr>
        <w:keepNext w:val="0"/>
        <w:pageBreakBefore w:val="0"/>
        <w:widowControl w:val="0"/>
        <w:tabs>
          <w:tab w:val="left" w:pos="-105"/>
          <w:tab w:val="left" w:pos="420"/>
          <w:tab w:val="left" w:pos="630"/>
          <w:tab w:val="left" w:pos="1155"/>
          <w:tab w:val="left" w:pos="1890"/>
          <w:tab w:val="left" w:pos="3150"/>
          <w:tab w:val="left" w:pos="3780"/>
        </w:tabs>
        <w:kinsoku/>
        <w:wordWrap/>
        <w:overflowPunct/>
        <w:topLinePunct w:val="0"/>
        <w:autoSpaceDE/>
        <w:autoSpaceDN/>
        <w:bidi w:val="0"/>
        <w:adjustRightInd/>
        <w:spacing w:line="360" w:lineRule="auto"/>
        <w:ind w:firstLine="369" w:firstLineChars="175"/>
        <w:rPr>
          <w:rFonts w:hint="eastAsia" w:ascii="仿宋" w:hAnsi="仿宋" w:eastAsia="仿宋" w:cs="仿宋"/>
          <w:b/>
          <w:bCs/>
          <w:color w:val="auto"/>
          <w:highlight w:val="none"/>
        </w:rPr>
      </w:pPr>
      <w:r>
        <w:rPr>
          <w:rFonts w:hint="eastAsia" w:ascii="仿宋" w:hAnsi="仿宋" w:eastAsia="仿宋" w:cs="仿宋"/>
          <w:b/>
          <w:bCs/>
          <w:color w:val="auto"/>
          <w:highlight w:val="none"/>
        </w:rPr>
        <w:t>采购人：</w:t>
      </w:r>
      <w:r>
        <w:rPr>
          <w:rFonts w:hint="eastAsia" w:ascii="仿宋" w:hAnsi="仿宋" w:eastAsia="仿宋" w:cs="仿宋"/>
          <w:b/>
          <w:bCs/>
          <w:color w:val="auto"/>
          <w:highlight w:val="none"/>
          <w:lang w:eastAsia="zh-CN"/>
        </w:rPr>
        <w:t>中国人民财产保险股份有限公司都江堰支公司</w:t>
      </w:r>
    </w:p>
    <w:p>
      <w:pPr>
        <w:keepNext w:val="0"/>
        <w:pageBreakBefore w:val="0"/>
        <w:widowControl w:val="0"/>
        <w:kinsoku/>
        <w:wordWrap/>
        <w:overflowPunct/>
        <w:topLinePunct w:val="0"/>
        <w:autoSpaceDE/>
        <w:autoSpaceDN/>
        <w:bidi w:val="0"/>
        <w:adjustRightInd/>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地址：成都市</w:t>
      </w:r>
      <w:r>
        <w:rPr>
          <w:rFonts w:hint="eastAsia" w:ascii="仿宋" w:hAnsi="仿宋" w:eastAsia="仿宋" w:cs="仿宋"/>
          <w:color w:val="auto"/>
          <w:highlight w:val="none"/>
          <w:lang w:eastAsia="zh-CN"/>
        </w:rPr>
        <w:t>都江堰市都江堰大道</w:t>
      </w:r>
      <w:r>
        <w:rPr>
          <w:rFonts w:hint="eastAsia" w:ascii="仿宋" w:hAnsi="仿宋" w:eastAsia="仿宋" w:cs="仿宋"/>
          <w:color w:val="auto"/>
          <w:highlight w:val="none"/>
          <w:lang w:val="en-US" w:eastAsia="zh-CN"/>
        </w:rPr>
        <w:t>207号</w:t>
      </w:r>
    </w:p>
    <w:p>
      <w:pPr>
        <w:keepNext w:val="0"/>
        <w:pageBreakBefore w:val="0"/>
        <w:widowControl w:val="0"/>
        <w:kinsoku/>
        <w:wordWrap/>
        <w:overflowPunct/>
        <w:topLinePunct w:val="0"/>
        <w:autoSpaceDE/>
        <w:autoSpaceDN/>
        <w:bidi w:val="0"/>
        <w:adjustRightInd/>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联系人：邓女士</w:t>
      </w:r>
    </w:p>
    <w:p>
      <w:pPr>
        <w:keepNext w:val="0"/>
        <w:pageBreakBefore w:val="0"/>
        <w:widowControl w:val="0"/>
        <w:kinsoku/>
        <w:wordWrap/>
        <w:overflowPunct/>
        <w:topLinePunct w:val="0"/>
        <w:autoSpaceDE/>
        <w:autoSpaceDN/>
        <w:bidi w:val="0"/>
        <w:adjustRightInd/>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电话：028-87133311</w:t>
      </w:r>
    </w:p>
    <w:p>
      <w:pPr>
        <w:pStyle w:val="7"/>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电子邮箱：2675023717@qq.com</w:t>
      </w:r>
    </w:p>
    <w:p>
      <w:pPr>
        <w:spacing w:line="360" w:lineRule="auto"/>
        <w:ind w:firstLine="420" w:firstLineChars="200"/>
        <w:jc w:val="right"/>
        <w:textAlignment w:val="baseline"/>
        <w:rPr>
          <w:rFonts w:hint="eastAsia" w:ascii="仿宋" w:hAnsi="仿宋" w:eastAsia="仿宋" w:cs="仿宋"/>
          <w:color w:val="auto"/>
          <w:highlight w:val="none"/>
        </w:rPr>
      </w:pPr>
    </w:p>
    <w:p>
      <w:pPr>
        <w:snapToGrid w:val="0"/>
        <w:spacing w:line="360" w:lineRule="auto"/>
        <w:ind w:firstLine="480" w:firstLineChars="200"/>
        <w:jc w:val="right"/>
        <w:textAlignment w:val="baseline"/>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采购人：</w:t>
      </w:r>
      <w:r>
        <w:rPr>
          <w:rFonts w:hint="eastAsia" w:ascii="仿宋" w:hAnsi="仿宋" w:eastAsia="仿宋" w:cs="仿宋"/>
          <w:color w:val="auto"/>
          <w:sz w:val="24"/>
          <w:highlight w:val="none"/>
          <w:lang w:eastAsia="zh-CN"/>
        </w:rPr>
        <w:t>中国人民财产保险股份有限公司都江堰支公司</w:t>
      </w:r>
    </w:p>
    <w:p>
      <w:pPr>
        <w:snapToGrid w:val="0"/>
        <w:spacing w:line="360" w:lineRule="auto"/>
        <w:ind w:firstLine="480" w:firstLineChars="200"/>
        <w:jc w:val="right"/>
        <w:textAlignment w:val="baseline"/>
        <w:rPr>
          <w:rFonts w:hint="eastAsia" w:ascii="仿宋" w:hAnsi="仿宋" w:eastAsia="仿宋" w:cs="仿宋"/>
          <w:color w:val="auto"/>
          <w:highlight w:val="none"/>
        </w:rPr>
      </w:pPr>
      <w:r>
        <w:rPr>
          <w:rFonts w:hint="eastAsia" w:ascii="仿宋" w:hAnsi="仿宋" w:eastAsia="仿宋" w:cs="仿宋"/>
          <w:color w:val="auto"/>
          <w:sz w:val="24"/>
          <w:highlight w:val="none"/>
          <w:lang w:val="en-US" w:eastAsia="zh-CN"/>
        </w:rPr>
        <w:t>2026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月</w:t>
      </w:r>
    </w:p>
    <w:p>
      <w:pPr>
        <w:rPr>
          <w:rFonts w:hint="eastAsia" w:ascii="仿宋" w:hAnsi="仿宋" w:eastAsia="仿宋" w:cs="仿宋"/>
          <w:color w:val="auto"/>
          <w:sz w:val="28"/>
          <w:szCs w:val="28"/>
          <w:highlight w:val="none"/>
        </w:rPr>
      </w:pPr>
      <w:bookmarkStart w:id="15" w:name="_Toc16027"/>
      <w:r>
        <w:rPr>
          <w:rFonts w:hint="eastAsia" w:ascii="仿宋" w:hAnsi="仿宋" w:eastAsia="仿宋" w:cs="仿宋"/>
          <w:color w:val="auto"/>
          <w:sz w:val="28"/>
          <w:szCs w:val="28"/>
          <w:highlight w:val="none"/>
        </w:rPr>
        <w:br w:type="page"/>
      </w:r>
    </w:p>
    <w:p>
      <w:pPr>
        <w:pStyle w:val="2"/>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16" w:name="_Toc19848"/>
      <w:r>
        <w:rPr>
          <w:rFonts w:hint="eastAsia" w:ascii="仿宋" w:hAnsi="仿宋" w:eastAsia="仿宋" w:cs="仿宋"/>
          <w:color w:val="auto"/>
          <w:sz w:val="28"/>
          <w:szCs w:val="28"/>
          <w:highlight w:val="none"/>
        </w:rPr>
        <w:t>第二章 供应商须知</w:t>
      </w:r>
      <w:bookmarkEnd w:id="15"/>
      <w:bookmarkEnd w:id="16"/>
    </w:p>
    <w:p>
      <w:pPr>
        <w:pStyle w:val="3"/>
        <w:adjustRightInd w:val="0"/>
        <w:snapToGrid w:val="0"/>
        <w:spacing w:before="0" w:after="0"/>
        <w:rPr>
          <w:rFonts w:hint="eastAsia" w:ascii="仿宋" w:hAnsi="仿宋" w:eastAsia="仿宋" w:cs="仿宋"/>
          <w:color w:val="auto"/>
          <w:sz w:val="24"/>
          <w:szCs w:val="24"/>
          <w:highlight w:val="none"/>
        </w:rPr>
      </w:pPr>
      <w:bookmarkStart w:id="17" w:name="_Toc26720"/>
      <w:r>
        <w:rPr>
          <w:rFonts w:hint="eastAsia" w:ascii="仿宋" w:hAnsi="仿宋" w:eastAsia="仿宋" w:cs="仿宋"/>
          <w:color w:val="auto"/>
          <w:sz w:val="24"/>
          <w:szCs w:val="24"/>
          <w:highlight w:val="none"/>
        </w:rPr>
        <w:t>一、供应商须知前附表</w:t>
      </w:r>
      <w:bookmarkEnd w:id="17"/>
    </w:p>
    <w:tbl>
      <w:tblPr>
        <w:tblStyle w:val="15"/>
        <w:tblW w:w="9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63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  目</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采购范围</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u w:val="single"/>
              </w:rPr>
              <w:t>第一章 竞争性磋商邀请“一、项目概况与采购范围”</w:t>
            </w:r>
            <w:r>
              <w:rPr>
                <w:rFonts w:hint="eastAsia" w:ascii="仿宋" w:hAnsi="仿宋" w:eastAsia="仿宋" w:cs="仿宋"/>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资格审查方式及供应商应具备的资格条件</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资格后审，详见</w:t>
            </w:r>
            <w:r>
              <w:rPr>
                <w:rFonts w:hint="eastAsia" w:ascii="仿宋" w:hAnsi="仿宋" w:eastAsia="仿宋" w:cs="仿宋"/>
                <w:color w:val="auto"/>
                <w:sz w:val="24"/>
                <w:szCs w:val="24"/>
                <w:highlight w:val="none"/>
                <w:u w:val="single"/>
              </w:rPr>
              <w:t>“二、供应商资格要求”</w:t>
            </w:r>
            <w:r>
              <w:rPr>
                <w:rFonts w:hint="eastAsia" w:ascii="仿宋" w:hAnsi="仿宋" w:eastAsia="仿宋" w:cs="仿宋"/>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★磋商文件实质性要求的标识</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磋商文件中标识“★”条款、注明“磋商响应将被否决”、“对其响应做否决处理”等的条款</w:t>
            </w:r>
            <w:r>
              <w:rPr>
                <w:rFonts w:hint="eastAsia" w:ascii="仿宋" w:hAnsi="仿宋" w:eastAsia="仿宋" w:cs="仿宋"/>
                <w:color w:val="auto"/>
                <w:sz w:val="24"/>
                <w:szCs w:val="24"/>
                <w:highlight w:val="none"/>
              </w:rPr>
              <w:t>，均为实质性条款，</w:t>
            </w:r>
            <w:r>
              <w:rPr>
                <w:rFonts w:hint="eastAsia" w:ascii="仿宋" w:hAnsi="仿宋" w:eastAsia="仿宋" w:cs="仿宋"/>
                <w:b/>
                <w:color w:val="auto"/>
                <w:sz w:val="24"/>
                <w:szCs w:val="24"/>
                <w:highlight w:val="none"/>
              </w:rPr>
              <w:t>不满足任意一项实质性条款的响应将被否决。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响应文件的组成</w:t>
            </w:r>
          </w:p>
        </w:tc>
        <w:tc>
          <w:tcPr>
            <w:tcW w:w="6347" w:type="dxa"/>
            <w:tcMar>
              <w:top w:w="0" w:type="dxa"/>
              <w:left w:w="85" w:type="dxa"/>
              <w:bottom w:w="0" w:type="dxa"/>
              <w:right w:w="85" w:type="dxa"/>
            </w:tcMar>
            <w:vAlign w:val="center"/>
          </w:tcPr>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响应文件按照以下架构顺序编制：</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一、商务文件</w:t>
            </w:r>
          </w:p>
          <w:p>
            <w:pPr>
              <w:pStyle w:val="18"/>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初步评审索引表</w:t>
            </w:r>
          </w:p>
          <w:p>
            <w:pPr>
              <w:pStyle w:val="18"/>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详细评审索引表</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（一）响应函</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（二）法定代表人（负责人）身份证明</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（三）法定代表人（负责人）授权委托书</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（四）资格证明文件</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（五）供应商须知应答偏离表</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（六）合同条款应答偏离表</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（七）供应商行为准则承诺书</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（八）供应商廉洁诚信承诺书</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（九）</w:t>
            </w:r>
            <w:r>
              <w:rPr>
                <w:rFonts w:hint="eastAsia" w:ascii="仿宋" w:hAnsi="仿宋" w:eastAsia="仿宋" w:cs="仿宋"/>
                <w:bCs w:val="0"/>
                <w:color w:val="auto"/>
                <w:sz w:val="24"/>
                <w:szCs w:val="24"/>
                <w:highlight w:val="none"/>
              </w:rPr>
              <w:t>信息安全采购要求承诺函</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w:t>
            </w:r>
            <w:r>
              <w:rPr>
                <w:rFonts w:hint="eastAsia" w:ascii="仿宋" w:hAnsi="仿宋" w:eastAsia="仿宋" w:cs="仿宋"/>
                <w:color w:val="auto"/>
                <w:sz w:val="24"/>
                <w:szCs w:val="24"/>
                <w:highlight w:val="none"/>
              </w:rPr>
              <w:t>其他材料（如有）</w:t>
            </w:r>
          </w:p>
          <w:p>
            <w:pPr>
              <w:pStyle w:val="18"/>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二、技术文件</w:t>
            </w:r>
          </w:p>
          <w:p>
            <w:pPr>
              <w:pStyle w:val="18"/>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详细评审索引表</w:t>
            </w:r>
          </w:p>
          <w:p>
            <w:pPr>
              <w:pStyle w:val="18"/>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（一）采购需求应答偏离表</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（二）管理方案</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（三）总体服务方案</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（四）应急处理预案</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（五）拟派服务团队成员汇总表</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（六）增值服务</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）其他材料（如有）</w:t>
            </w:r>
          </w:p>
          <w:p>
            <w:pPr>
              <w:pStyle w:val="18"/>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三、报价文件</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（一）报价一览表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响应文件的递交</w:t>
            </w:r>
          </w:p>
        </w:tc>
        <w:tc>
          <w:tcPr>
            <w:tcW w:w="6347" w:type="dxa"/>
            <w:tcMar>
              <w:top w:w="0" w:type="dxa"/>
              <w:left w:w="85" w:type="dxa"/>
              <w:bottom w:w="0" w:type="dxa"/>
              <w:right w:w="85" w:type="dxa"/>
            </w:tcMar>
            <w:vAlign w:val="center"/>
          </w:tcPr>
          <w:p>
            <w:pPr>
              <w:pStyle w:val="19"/>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u w:val="single"/>
              </w:rPr>
              <w:t>第一章 竞争性磋商邀请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★响应文件的盖章或签字要求</w:t>
            </w:r>
          </w:p>
        </w:tc>
        <w:tc>
          <w:tcPr>
            <w:tcW w:w="6347" w:type="dxa"/>
            <w:tcMar>
              <w:top w:w="0" w:type="dxa"/>
              <w:left w:w="85" w:type="dxa"/>
              <w:bottom w:w="0" w:type="dxa"/>
              <w:right w:w="85" w:type="dxa"/>
            </w:tcMar>
            <w:vAlign w:val="center"/>
          </w:tcPr>
          <w:p>
            <w:pPr>
              <w:pStyle w:val="20"/>
              <w:keepNext w:val="0"/>
              <w:keepLines w:val="0"/>
              <w:pageBreakBefore w:val="0"/>
              <w:widowControl w:val="0"/>
              <w:suppressLineNumbers w:val="0"/>
              <w:kinsoku/>
              <w:wordWrap/>
              <w:overflowPunct/>
              <w:topLine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（1）《法定代表人（负责人）身份证明》的落款处应加盖公章。</w:t>
            </w:r>
          </w:p>
          <w:p>
            <w:pPr>
              <w:pStyle w:val="20"/>
              <w:keepNext w:val="0"/>
              <w:keepLines w:val="0"/>
              <w:pageBreakBefore w:val="0"/>
              <w:widowControl w:val="0"/>
              <w:suppressLineNumbers w:val="0"/>
              <w:kinsoku/>
              <w:wordWrap/>
              <w:overflowPunct/>
              <w:topLine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（2）《法定代表人（负责人）授权委托书》的落款处应加盖公章</w:t>
            </w:r>
            <w:r>
              <w:rPr>
                <w:rFonts w:hint="eastAsia" w:ascii="仿宋" w:hAnsi="仿宋" w:eastAsia="仿宋" w:cs="仿宋"/>
                <w:b/>
                <w:color w:val="auto"/>
                <w:sz w:val="24"/>
                <w:szCs w:val="24"/>
                <w:highlight w:val="none"/>
              </w:rPr>
              <w:t>并由</w:t>
            </w:r>
            <w:r>
              <w:rPr>
                <w:rFonts w:hint="eastAsia" w:ascii="仿宋" w:hAnsi="仿宋" w:eastAsia="仿宋" w:cs="仿宋"/>
                <w:color w:val="auto"/>
                <w:sz w:val="24"/>
                <w:szCs w:val="24"/>
                <w:highlight w:val="none"/>
              </w:rPr>
              <w:t>法定代表人（负责人）</w:t>
            </w:r>
            <w:r>
              <w:rPr>
                <w:rFonts w:hint="eastAsia" w:ascii="仿宋" w:hAnsi="仿宋" w:eastAsia="仿宋" w:cs="仿宋"/>
                <w:b/>
                <w:color w:val="auto"/>
                <w:sz w:val="24"/>
                <w:szCs w:val="24"/>
                <w:highlight w:val="none"/>
              </w:rPr>
              <w:t>和</w:t>
            </w:r>
            <w:r>
              <w:rPr>
                <w:rFonts w:hint="eastAsia" w:ascii="仿宋" w:hAnsi="仿宋" w:eastAsia="仿宋" w:cs="仿宋"/>
                <w:color w:val="auto"/>
                <w:sz w:val="24"/>
                <w:szCs w:val="24"/>
                <w:highlight w:val="none"/>
              </w:rPr>
              <w:t>其委托代理人</w:t>
            </w:r>
            <w:r>
              <w:rPr>
                <w:rFonts w:hint="eastAsia" w:ascii="仿宋" w:hAnsi="仿宋" w:eastAsia="仿宋" w:cs="仿宋"/>
                <w:b/>
                <w:color w:val="auto"/>
                <w:sz w:val="24"/>
                <w:szCs w:val="24"/>
                <w:highlight w:val="none"/>
              </w:rPr>
              <w:t>双方</w:t>
            </w:r>
            <w:r>
              <w:rPr>
                <w:rFonts w:hint="eastAsia" w:ascii="仿宋" w:hAnsi="仿宋" w:eastAsia="仿宋" w:cs="仿宋"/>
                <w:color w:val="auto"/>
                <w:sz w:val="24"/>
                <w:szCs w:val="24"/>
                <w:highlight w:val="none"/>
              </w:rPr>
              <w:t>签字。</w:t>
            </w:r>
          </w:p>
          <w:p>
            <w:pPr>
              <w:pStyle w:val="20"/>
              <w:keepNext w:val="0"/>
              <w:keepLines w:val="0"/>
              <w:pageBreakBefore w:val="0"/>
              <w:widowControl w:val="0"/>
              <w:suppressLineNumbers w:val="0"/>
              <w:kinsoku/>
              <w:wordWrap/>
              <w:overflowPunct/>
              <w:topLine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（3）响应文件格式中其他有落款的文件，</w:t>
            </w:r>
            <w:r>
              <w:rPr>
                <w:rFonts w:hint="eastAsia" w:ascii="仿宋" w:hAnsi="仿宋" w:eastAsia="仿宋" w:cs="仿宋"/>
                <w:b/>
                <w:color w:val="auto"/>
                <w:sz w:val="24"/>
                <w:szCs w:val="24"/>
                <w:highlight w:val="none"/>
              </w:rPr>
              <w:t>均需</w:t>
            </w:r>
            <w:r>
              <w:rPr>
                <w:rFonts w:hint="eastAsia" w:ascii="仿宋" w:hAnsi="仿宋" w:eastAsia="仿宋" w:cs="仿宋"/>
                <w:color w:val="auto"/>
                <w:sz w:val="24"/>
                <w:szCs w:val="24"/>
                <w:highlight w:val="none"/>
              </w:rPr>
              <w:t>加盖公章。</w:t>
            </w:r>
          </w:p>
          <w:p>
            <w:pPr>
              <w:pStyle w:val="19"/>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（4）响应文件的所有签字处均指手写签字</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签名章/印章</w:t>
            </w:r>
            <w:r>
              <w:rPr>
                <w:rFonts w:hint="eastAsia" w:ascii="仿宋" w:hAnsi="仿宋" w:eastAsia="仿宋" w:cs="仿宋"/>
                <w:b/>
                <w:bCs/>
                <w:color w:val="auto"/>
                <w:sz w:val="24"/>
                <w:szCs w:val="24"/>
                <w:highlight w:val="none"/>
              </w:rPr>
              <w:t>或</w:t>
            </w:r>
            <w:r>
              <w:rPr>
                <w:rFonts w:hint="eastAsia" w:ascii="仿宋" w:hAnsi="仿宋" w:eastAsia="仿宋" w:cs="仿宋"/>
                <w:color w:val="auto"/>
                <w:sz w:val="24"/>
                <w:szCs w:val="24"/>
                <w:highlight w:val="none"/>
              </w:rPr>
              <w:t>CA签名章，</w:t>
            </w:r>
            <w:r>
              <w:rPr>
                <w:rFonts w:hint="eastAsia" w:ascii="仿宋" w:hAnsi="仿宋" w:eastAsia="仿宋" w:cs="仿宋"/>
                <w:b/>
                <w:color w:val="auto"/>
                <w:sz w:val="24"/>
                <w:szCs w:val="24"/>
                <w:highlight w:val="none"/>
              </w:rPr>
              <w:t>不得</w:t>
            </w:r>
            <w:r>
              <w:rPr>
                <w:rFonts w:hint="eastAsia" w:ascii="仿宋" w:hAnsi="仿宋" w:eastAsia="仿宋" w:cs="仿宋"/>
                <w:color w:val="auto"/>
                <w:sz w:val="24"/>
                <w:szCs w:val="24"/>
                <w:highlight w:val="none"/>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w:t>
            </w:r>
          </w:p>
        </w:tc>
        <w:tc>
          <w:tcPr>
            <w:tcW w:w="1841"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4" w:right="1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★磋商响应有效期</w:t>
            </w:r>
          </w:p>
        </w:tc>
        <w:tc>
          <w:tcPr>
            <w:tcW w:w="6347"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03" w:right="-1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磋商响应有效期：</w:t>
            </w:r>
            <w:r>
              <w:rPr>
                <w:rFonts w:hint="eastAsia" w:ascii="仿宋" w:hAnsi="仿宋" w:eastAsia="仿宋" w:cs="仿宋"/>
                <w:color w:val="auto"/>
                <w:sz w:val="24"/>
                <w:szCs w:val="24"/>
                <w:highlight w:val="none"/>
                <w:u w:val="single"/>
                <w:lang w:val="en-US" w:eastAsia="zh-CN"/>
              </w:rPr>
              <w:t>180</w:t>
            </w:r>
            <w:r>
              <w:rPr>
                <w:rFonts w:hint="eastAsia" w:ascii="仿宋" w:hAnsi="仿宋" w:eastAsia="仿宋" w:cs="仿宋"/>
                <w:color w:val="auto"/>
                <w:sz w:val="24"/>
                <w:szCs w:val="24"/>
                <w:highlight w:val="none"/>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1841"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4" w:right="1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响应文件份数</w:t>
            </w:r>
          </w:p>
        </w:tc>
        <w:tc>
          <w:tcPr>
            <w:tcW w:w="6347"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03" w:right="-1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电子文件</w:t>
            </w:r>
            <w:r>
              <w:rPr>
                <w:rFonts w:hint="eastAsia" w:ascii="仿宋" w:hAnsi="仿宋" w:eastAsia="仿宋" w:cs="仿宋"/>
                <w:color w:val="auto"/>
                <w:sz w:val="24"/>
                <w:szCs w:val="24"/>
                <w:highlight w:val="none"/>
                <w:u w:val="single"/>
                <w:lang w:eastAsia="zh-CN"/>
              </w:rPr>
              <w:t>1</w:t>
            </w:r>
            <w:r>
              <w:rPr>
                <w:rFonts w:hint="eastAsia" w:ascii="仿宋" w:hAnsi="仿宋" w:eastAsia="仿宋" w:cs="仿宋"/>
                <w:color w:val="auto"/>
                <w:sz w:val="24"/>
                <w:szCs w:val="24"/>
                <w:highlight w:val="none"/>
                <w:lang w:eastAsia="zh-CN"/>
              </w:rPr>
              <w:t>份（</w:t>
            </w:r>
            <w:r>
              <w:rPr>
                <w:rFonts w:hint="eastAsia" w:ascii="仿宋" w:hAnsi="仿宋" w:eastAsia="仿宋" w:cs="仿宋"/>
                <w:color w:val="auto"/>
                <w:sz w:val="24"/>
                <w:szCs w:val="24"/>
                <w:highlight w:val="none"/>
              </w:rPr>
              <w:t>U盘，应包括响应文件所有内容，包含Microsoft Word版本和签字盖章后的PDF扫描版两个文件</w:t>
            </w:r>
            <w:r>
              <w:rPr>
                <w:rFonts w:hint="eastAsia" w:ascii="仿宋" w:hAnsi="仿宋" w:eastAsia="仿宋" w:cs="仿宋"/>
                <w:color w:val="auto"/>
                <w:sz w:val="24"/>
                <w:szCs w:val="24"/>
                <w:highlight w:val="none"/>
                <w:lang w:eastAsia="zh-CN"/>
              </w:rPr>
              <w:t>）；纸质文件正本</w:t>
            </w:r>
            <w:r>
              <w:rPr>
                <w:rFonts w:hint="eastAsia" w:ascii="仿宋" w:hAnsi="仿宋" w:eastAsia="仿宋" w:cs="仿宋"/>
                <w:color w:val="auto"/>
                <w:sz w:val="24"/>
                <w:szCs w:val="24"/>
                <w:highlight w:val="none"/>
                <w:u w:val="single"/>
                <w:lang w:eastAsia="zh-CN"/>
              </w:rPr>
              <w:t xml:space="preserve"> 1 </w:t>
            </w:r>
            <w:r>
              <w:rPr>
                <w:rFonts w:hint="eastAsia" w:ascii="仿宋" w:hAnsi="仿宋" w:eastAsia="仿宋" w:cs="仿宋"/>
                <w:color w:val="auto"/>
                <w:sz w:val="24"/>
                <w:szCs w:val="24"/>
                <w:highlight w:val="none"/>
                <w:lang w:eastAsia="zh-CN"/>
              </w:rPr>
              <w:t>份，副本</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val="en-US" w:eastAsia="zh-CN"/>
              </w:rPr>
              <w:t>1</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份</w:t>
            </w:r>
            <w:r>
              <w:rPr>
                <w:rFonts w:hint="eastAsia" w:ascii="仿宋" w:hAnsi="仿宋" w:eastAsia="仿宋" w:cs="仿宋"/>
                <w:color w:val="auto"/>
                <w:sz w:val="24"/>
                <w:szCs w:val="24"/>
                <w:highlight w:val="none"/>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9</w:t>
            </w:r>
          </w:p>
        </w:tc>
        <w:tc>
          <w:tcPr>
            <w:tcW w:w="1841"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4" w:right="1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磋商响应报价</w:t>
            </w:r>
          </w:p>
        </w:tc>
        <w:tc>
          <w:tcPr>
            <w:tcW w:w="6347" w:type="dxa"/>
            <w:tcMar>
              <w:top w:w="0" w:type="dxa"/>
              <w:left w:w="85" w:type="dxa"/>
              <w:bottom w:w="0" w:type="dxa"/>
              <w:right w:w="85" w:type="dxa"/>
            </w:tcMar>
            <w:vAlign w:val="center"/>
          </w:tcPr>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1）供应商应结合自身实力与经验、市场价格竞争及合同实施风险等因素进行综合考虑进行报价。</w:t>
            </w:r>
          </w:p>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0" w:right="-1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（2）磋商小组将视磋商情况决定是否进行多轮次报价，供应商</w:t>
            </w:r>
            <w:r>
              <w:rPr>
                <w:rFonts w:hint="eastAsia" w:ascii="仿宋" w:hAnsi="仿宋" w:eastAsia="仿宋" w:cs="仿宋"/>
                <w:color w:val="auto"/>
                <w:sz w:val="24"/>
                <w:szCs w:val="24"/>
                <w:highlight w:val="none"/>
                <w:u w:val="single"/>
                <w:lang w:eastAsia="zh-CN"/>
              </w:rPr>
              <w:t>最后一轮磋商提交的报价</w:t>
            </w:r>
            <w:r>
              <w:rPr>
                <w:rFonts w:hint="eastAsia" w:ascii="仿宋" w:hAnsi="仿宋" w:eastAsia="仿宋" w:cs="仿宋"/>
                <w:color w:val="auto"/>
                <w:sz w:val="24"/>
                <w:szCs w:val="24"/>
                <w:highlight w:val="none"/>
                <w:lang w:eastAsia="zh-CN"/>
              </w:rPr>
              <w:t>将作为该供应商的</w:t>
            </w:r>
            <w:r>
              <w:rPr>
                <w:rFonts w:hint="eastAsia" w:ascii="仿宋" w:hAnsi="仿宋" w:eastAsia="仿宋" w:cs="仿宋"/>
                <w:b/>
                <w:bCs/>
                <w:color w:val="auto"/>
                <w:sz w:val="24"/>
                <w:szCs w:val="24"/>
                <w:highlight w:val="none"/>
                <w:lang w:eastAsia="zh-CN"/>
              </w:rPr>
              <w:t>最终报价</w:t>
            </w:r>
            <w:r>
              <w:rPr>
                <w:rFonts w:hint="eastAsia" w:ascii="仿宋" w:hAnsi="仿宋" w:eastAsia="仿宋" w:cs="仿宋"/>
                <w:color w:val="auto"/>
                <w:sz w:val="24"/>
                <w:szCs w:val="24"/>
                <w:highlight w:val="none"/>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val="0"/>
              <w:wordWrap/>
              <w:overflowPunct w:val="0"/>
              <w:topLinePunct w:val="0"/>
              <w:autoSpaceDE/>
              <w:autoSpaceDN/>
              <w:bidi w:val="0"/>
              <w:adjustRightInd/>
              <w:snapToGrid w:val="0"/>
              <w:spacing w:before="0" w:beforeAutospacing="0" w:after="0" w:afterAutospacing="0" w:line="300" w:lineRule="auto"/>
              <w:ind w:left="111" w:right="113"/>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841" w:type="dxa"/>
            <w:tcMar>
              <w:top w:w="0" w:type="dxa"/>
              <w:left w:w="85" w:type="dxa"/>
              <w:bottom w:w="0" w:type="dxa"/>
              <w:right w:w="85" w:type="dxa"/>
            </w:tcMar>
            <w:vAlign w:val="center"/>
          </w:tcPr>
          <w:p>
            <w:pPr>
              <w:pStyle w:val="21"/>
              <w:keepNext w:val="0"/>
              <w:keepLines w:val="0"/>
              <w:pageBreakBefore w:val="0"/>
              <w:widowControl w:val="0"/>
              <w:suppressLineNumbers w:val="0"/>
              <w:kinsoku w:val="0"/>
              <w:wordWrap/>
              <w:overflowPunct w:val="0"/>
              <w:topLinePunct w:val="0"/>
              <w:autoSpaceDE/>
              <w:autoSpaceDN/>
              <w:bidi w:val="0"/>
              <w:adjustRightInd/>
              <w:snapToGrid w:val="0"/>
              <w:spacing w:before="0" w:beforeAutospacing="0" w:after="0" w:afterAutospacing="0" w:line="300" w:lineRule="auto"/>
              <w:ind w:left="114" w:right="114"/>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纸质响应文件的装订、密封和标记</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val="0"/>
              <w:wordWrap/>
              <w:overflowPunct w:val="0"/>
              <w:topLinePunct w:val="0"/>
              <w:autoSpaceDE/>
              <w:autoSpaceDN/>
              <w:bidi w:val="0"/>
              <w:adjustRightInd/>
              <w:spacing w:before="0" w:beforeAutospacing="0" w:after="0" w:afterAutospacing="0" w:line="30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（1）采用A4纸胶装，双面打印，密封粘接缝隙加盖供应商公章或由法定代表人（负责人）或其委托代理人签字，并分别在右上角标明“正本”和“副本”字样。</w:t>
            </w:r>
          </w:p>
          <w:p>
            <w:pPr>
              <w:keepNext w:val="0"/>
              <w:keepLines w:val="0"/>
              <w:pageBreakBefore w:val="0"/>
              <w:widowControl w:val="0"/>
              <w:suppressLineNumbers w:val="0"/>
              <w:kinsoku w:val="0"/>
              <w:wordWrap/>
              <w:overflowPunct w:val="0"/>
              <w:topLinePunct w:val="0"/>
              <w:autoSpaceDE/>
              <w:autoSpaceDN/>
              <w:bidi w:val="0"/>
              <w:adjustRightInd/>
              <w:spacing w:before="0" w:beforeAutospacing="0" w:after="0" w:afterAutospacing="0" w:line="30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响应文件需加盖骑缝章。未按要求密封的</w:t>
            </w:r>
            <w:r>
              <w:rPr>
                <w:rFonts w:hint="eastAsia" w:ascii="仿宋" w:hAnsi="仿宋" w:eastAsia="仿宋" w:cs="仿宋"/>
                <w:color w:val="auto"/>
                <w:sz w:val="24"/>
                <w:szCs w:val="24"/>
                <w:highlight w:val="none"/>
                <w:lang w:eastAsia="zh-Hans"/>
              </w:rPr>
              <w:t>纸质</w:t>
            </w:r>
            <w:r>
              <w:rPr>
                <w:rFonts w:hint="eastAsia" w:ascii="仿宋" w:hAnsi="仿宋" w:eastAsia="仿宋" w:cs="仿宋"/>
                <w:color w:val="auto"/>
                <w:sz w:val="24"/>
                <w:szCs w:val="24"/>
                <w:highlight w:val="none"/>
              </w:rPr>
              <w:t>响应文件不予接收。</w:t>
            </w:r>
          </w:p>
          <w:p>
            <w:pPr>
              <w:keepNext w:val="0"/>
              <w:keepLines w:val="0"/>
              <w:pageBreakBefore w:val="0"/>
              <w:widowControl w:val="0"/>
              <w:suppressLineNumbers w:val="0"/>
              <w:kinsoku w:val="0"/>
              <w:wordWrap/>
              <w:overflowPunct w:val="0"/>
              <w:topLinePunct w:val="0"/>
              <w:autoSpaceDE/>
              <w:autoSpaceDN/>
              <w:bidi w:val="0"/>
              <w:adjustRightInd/>
              <w:spacing w:before="0" w:beforeAutospacing="0" w:after="0" w:afterAutospacing="0" w:line="30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（2）外层包封具体样式如下：</w:t>
            </w:r>
          </w:p>
          <w:p>
            <w:pPr>
              <w:pStyle w:val="21"/>
              <w:keepNext w:val="0"/>
              <w:keepLines w:val="0"/>
              <w:pageBreakBefore w:val="0"/>
              <w:widowControl w:val="0"/>
              <w:suppressLineNumbers w:val="0"/>
              <w:kinsoku w:val="0"/>
              <w:wordWrap/>
              <w:overflowPunct w:val="0"/>
              <w:topLinePunct w:val="0"/>
              <w:autoSpaceDE/>
              <w:autoSpaceDN/>
              <w:bidi w:val="0"/>
              <w:adjustRightInd/>
              <w:snapToGrid w:val="0"/>
              <w:spacing w:before="0" w:beforeAutospacing="0" w:after="0" w:afterAutospacing="0" w:line="300" w:lineRule="auto"/>
              <w:ind w:left="103" w:right="2739"/>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mc:AlternateContent>
                <mc:Choice Requires="wps">
                  <w:drawing>
                    <wp:inline distT="0" distB="0" distL="114300" distR="114300">
                      <wp:extent cx="3504565" cy="2552700"/>
                      <wp:effectExtent l="5080" t="4445" r="14605" b="14605"/>
                      <wp:docPr id="1" name="文本框 3"/>
                      <wp:cNvGraphicFramePr/>
                      <a:graphic xmlns:a="http://schemas.openxmlformats.org/drawingml/2006/main">
                        <a:graphicData uri="http://schemas.microsoft.com/office/word/2010/wordprocessingShape">
                          <wps:wsp>
                            <wps:cNvSpPr txBox="1">
                              <a:spLocks noRot="1"/>
                            </wps:cNvSpPr>
                            <wps:spPr>
                              <a:xfrm>
                                <a:off x="0" y="0"/>
                                <a:ext cx="3504565" cy="25527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noAutofit/>
                            </wps:bodyPr>
                          </wps:wsp>
                        </a:graphicData>
                      </a:graphic>
                    </wp:inline>
                  </w:drawing>
                </mc:Choice>
                <mc:Fallback>
                  <w:pict>
                    <v:shape id="文本框 3" o:spid="_x0000_s1026" o:spt="202" type="#_x0000_t202" style="height:201pt;width:275.95pt;" fillcolor="#FFFFFF" filled="t" stroked="t" coordsize="21600,21600" o:gfxdata="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iOx9n1gAAAAUBAAAPAAAAAAAAAAEAIAAAACIAAABkcnMvZG93bnJldi54bWxQ&#10;SwECFAAUAAAACACHTuJAJh6+UTICAACCBAAADgAAAAAAAAABACAAAAAlAQAAZHJzL2Uyb0RvYy54&#10;bWxQSwUGAAAAAAYABgBZAQAAyQUAAAAA&#10;">
                      <v:fill on="t" focussize="0,0"/>
                      <v:stroke color="#000000" joinstyle="miter"/>
                      <v:imagedata o:title=""/>
                      <o:lock v:ext="edit" rotation="t" aspectratio="f"/>
                      <v:textbo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67" w:leftChars="32" w:right="115"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组建磋商小组</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128" w:leftChars="61" w:right="0" w:firstLine="2"/>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本项目磋商小组成员人数为</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67" w:leftChars="32" w:right="115"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磋商程序及方式</w:t>
            </w:r>
          </w:p>
        </w:tc>
        <w:tc>
          <w:tcPr>
            <w:tcW w:w="6347" w:type="dxa"/>
            <w:tcMar>
              <w:top w:w="0" w:type="dxa"/>
              <w:left w:w="85" w:type="dxa"/>
              <w:bottom w:w="0" w:type="dxa"/>
              <w:right w:w="85" w:type="dxa"/>
            </w:tcMar>
            <w:vAlign w:val="center"/>
          </w:tcPr>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（1）磋商小组将与通过初步评审的有效供应商按照</w:t>
            </w:r>
            <w:r>
              <w:rPr>
                <w:rFonts w:hint="eastAsia" w:ascii="仿宋" w:hAnsi="仿宋" w:eastAsia="仿宋" w:cs="仿宋"/>
                <w:color w:val="auto"/>
                <w:sz w:val="24"/>
                <w:szCs w:val="24"/>
                <w:highlight w:val="none"/>
                <w:u w:val="single"/>
              </w:rPr>
              <w:t>供应商随机抽取顺序</w:t>
            </w:r>
            <w:r>
              <w:rPr>
                <w:rFonts w:hint="eastAsia" w:ascii="仿宋" w:hAnsi="仿宋" w:eastAsia="仿宋" w:cs="仿宋"/>
                <w:color w:val="auto"/>
                <w:sz w:val="24"/>
                <w:szCs w:val="24"/>
                <w:highlight w:val="none"/>
              </w:rPr>
              <w:t>逐一进行磋商，供应商至少应派法定代表人或其授权委托人准时参会。</w:t>
            </w:r>
          </w:p>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67" w:leftChars="32" w:right="115"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磋商内容</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包含但不仅限于报价、企业综合实力、同类业绩、</w:t>
            </w:r>
            <w:r>
              <w:rPr>
                <w:rFonts w:hint="eastAsia" w:ascii="仿宋" w:hAnsi="仿宋" w:eastAsia="仿宋" w:cs="仿宋"/>
                <w:color w:val="auto"/>
                <w:sz w:val="24"/>
                <w:szCs w:val="24"/>
                <w:highlight w:val="none"/>
                <w:lang w:eastAsia="zh-CN"/>
              </w:rPr>
              <w:t>管理</w:t>
            </w:r>
            <w:r>
              <w:rPr>
                <w:rFonts w:hint="eastAsia" w:ascii="仿宋" w:hAnsi="仿宋" w:eastAsia="仿宋" w:cs="仿宋"/>
                <w:color w:val="auto"/>
                <w:sz w:val="24"/>
                <w:szCs w:val="24"/>
                <w:highlight w:val="none"/>
                <w:lang w:val="en-US" w:eastAsia="zh-CN"/>
              </w:rPr>
              <w:t>方案、总体服务方案、应急处理预案</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团队配备、</w:t>
            </w:r>
            <w:r>
              <w:rPr>
                <w:rFonts w:hint="eastAsia" w:ascii="仿宋" w:hAnsi="仿宋" w:eastAsia="仿宋" w:cs="仿宋"/>
                <w:color w:val="auto"/>
                <w:sz w:val="24"/>
                <w:szCs w:val="24"/>
                <w:highlight w:val="none"/>
              </w:rPr>
              <w:t>增值服务等。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67" w:leftChars="32" w:right="115"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成交候选人推荐原则</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磋商小组根据有效供应商综合得分由高至低排出的名次，顺序推荐</w:t>
            </w:r>
            <w:r>
              <w:rPr>
                <w:rFonts w:hint="eastAsia" w:ascii="仿宋" w:hAnsi="仿宋" w:eastAsia="仿宋" w:cs="仿宋"/>
                <w:color w:val="auto"/>
                <w:sz w:val="24"/>
                <w:szCs w:val="24"/>
                <w:highlight w:val="none"/>
                <w:u w:val="single"/>
              </w:rPr>
              <w:t>综合得分前</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u w:val="single"/>
              </w:rPr>
              <w:t>名</w:t>
            </w:r>
            <w:r>
              <w:rPr>
                <w:rFonts w:hint="eastAsia" w:ascii="仿宋" w:hAnsi="仿宋" w:eastAsia="仿宋" w:cs="仿宋"/>
                <w:color w:val="auto"/>
                <w:sz w:val="24"/>
                <w:szCs w:val="24"/>
                <w:highlight w:val="none"/>
              </w:rPr>
              <w:t>为成交候选人。综合得分相同时，价格得分高者排名优先；价格得分也相同时，</w:t>
            </w:r>
            <w:r>
              <w:rPr>
                <w:rFonts w:hint="eastAsia" w:ascii="仿宋" w:hAnsi="仿宋" w:eastAsia="仿宋" w:cs="仿宋"/>
                <w:color w:val="auto"/>
                <w:sz w:val="24"/>
                <w:szCs w:val="24"/>
                <w:highlight w:val="none"/>
                <w:u w:val="single"/>
              </w:rPr>
              <w:t>技术</w:t>
            </w:r>
            <w:r>
              <w:rPr>
                <w:rFonts w:hint="eastAsia" w:ascii="仿宋" w:hAnsi="仿宋" w:eastAsia="仿宋" w:cs="仿宋"/>
                <w:color w:val="auto"/>
                <w:sz w:val="24"/>
                <w:szCs w:val="24"/>
                <w:highlight w:val="none"/>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67" w:leftChars="32" w:right="115"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成交人数量</w:t>
            </w:r>
          </w:p>
        </w:tc>
        <w:tc>
          <w:tcPr>
            <w:tcW w:w="6347" w:type="dxa"/>
            <w:tcMar>
              <w:top w:w="0" w:type="dxa"/>
              <w:left w:w="85" w:type="dxa"/>
              <w:bottom w:w="0" w:type="dxa"/>
              <w:right w:w="85" w:type="dxa"/>
            </w:tcMar>
            <w:vAlign w:val="center"/>
          </w:tcPr>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成交人数量：</w:t>
            </w:r>
            <w:r>
              <w:rPr>
                <w:rFonts w:hint="eastAsia" w:ascii="仿宋" w:hAnsi="仿宋" w:eastAsia="仿宋" w:cs="仿宋"/>
                <w:color w:val="auto"/>
                <w:sz w:val="24"/>
                <w:szCs w:val="24"/>
                <w:highlight w:val="none"/>
                <w:u w:val="single"/>
              </w:rPr>
              <w:t>1家</w:t>
            </w:r>
          </w:p>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采购人根据成交候选人名单，确定排名第一的成交候选人</w:t>
            </w:r>
            <w:r>
              <w:rPr>
                <w:rFonts w:hint="eastAsia" w:ascii="仿宋" w:hAnsi="仿宋" w:eastAsia="仿宋" w:cs="仿宋"/>
                <w:color w:val="auto"/>
                <w:sz w:val="24"/>
                <w:szCs w:val="24"/>
                <w:highlight w:val="none"/>
                <w:u w:val="none"/>
              </w:rPr>
              <w:t>为成交人。</w:t>
            </w:r>
            <w:r>
              <w:rPr>
                <w:rFonts w:hint="eastAsia" w:ascii="仿宋" w:hAnsi="仿宋" w:eastAsia="仿宋" w:cs="仿宋"/>
                <w:color w:val="auto"/>
                <w:sz w:val="24"/>
                <w:szCs w:val="24"/>
                <w:highlight w:val="none"/>
                <w:u w:val="single"/>
              </w:rPr>
              <w:t>综合排名第一</w:t>
            </w:r>
            <w:r>
              <w:rPr>
                <w:rFonts w:hint="eastAsia" w:ascii="仿宋" w:hAnsi="仿宋" w:eastAsia="仿宋" w:cs="仿宋"/>
                <w:color w:val="auto"/>
                <w:sz w:val="24"/>
                <w:szCs w:val="24"/>
                <w:highlight w:val="none"/>
              </w:rPr>
              <w:t>成交候选人放弃成交、因不可抗力不能履行合同、不按照磋商文件要求提交履约保证金、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67" w:leftChars="32" w:right="115"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w:t>
            </w:r>
          </w:p>
        </w:tc>
        <w:tc>
          <w:tcPr>
            <w:tcW w:w="6347" w:type="dxa"/>
            <w:tcMar>
              <w:top w:w="0" w:type="dxa"/>
              <w:left w:w="85" w:type="dxa"/>
              <w:bottom w:w="0" w:type="dxa"/>
              <w:right w:w="85" w:type="dxa"/>
            </w:tcMar>
            <w:vAlign w:val="center"/>
          </w:tcPr>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□收取，形式及比例：</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67" w:leftChars="32" w:right="115"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合同签署</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项目采购人为</w:t>
            </w:r>
            <w:r>
              <w:rPr>
                <w:rFonts w:hint="eastAsia" w:ascii="仿宋" w:hAnsi="仿宋" w:eastAsia="仿宋" w:cs="仿宋"/>
                <w:color w:val="auto"/>
                <w:sz w:val="24"/>
                <w:szCs w:val="24"/>
                <w:highlight w:val="none"/>
                <w:lang w:eastAsia="zh-CN"/>
              </w:rPr>
              <w:t>中国人民财产保险股份有限公司都江堰支公司，采购合同由中国人民财产保险股份有限公司成都市分公司（以下简称“人保财险成都市分公司”）根据成交结果与成交人签署。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36" w:leftChars="17"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采购预算</w:t>
            </w:r>
          </w:p>
        </w:tc>
        <w:tc>
          <w:tcPr>
            <w:tcW w:w="6347" w:type="dxa"/>
            <w:tcMar>
              <w:top w:w="0" w:type="dxa"/>
              <w:left w:w="85" w:type="dxa"/>
              <w:bottom w:w="0" w:type="dxa"/>
              <w:right w:w="85" w:type="dxa"/>
            </w:tcMar>
            <w:vAlign w:val="center"/>
          </w:tcPr>
          <w:p>
            <w:pPr>
              <w:pStyle w:val="18"/>
              <w:keepNext w:val="0"/>
              <w:keepLines w:val="0"/>
              <w:pageBreakBefore w:val="0"/>
              <w:widowControl w:val="0"/>
              <w:suppressLineNumbers w:val="0"/>
              <w:kinsoku/>
              <w:wordWrap/>
              <w:overflowPunct/>
              <w:bidi w:val="0"/>
              <w:snapToGri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本项目采购预算为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795000.00元</w:t>
            </w:r>
            <w:r>
              <w:rPr>
                <w:rFonts w:hint="eastAsia" w:ascii="仿宋" w:hAnsi="仿宋" w:eastAsia="仿宋" w:cs="仿宋"/>
                <w:color w:val="auto"/>
                <w:sz w:val="24"/>
                <w:szCs w:val="24"/>
                <w:highlight w:val="none"/>
              </w:rPr>
              <w:t>。</w:t>
            </w:r>
          </w:p>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本采购预算为各供应商报价参考，不作为实际结算金额，最终以实际发生的金额为准。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36" w:leftChars="17"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设置最高限价，具体如下：</w:t>
            </w:r>
          </w:p>
          <w:p>
            <w:pPr>
              <w:keepNext w:val="0"/>
              <w:keepLines w:val="0"/>
              <w:pageBreakBefore w:val="0"/>
              <w:widowControl w:val="0"/>
              <w:numPr>
                <w:ilvl w:val="0"/>
                <w:numId w:val="1"/>
              </w:numPr>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总价最高限价：795000.00元</w:t>
            </w:r>
          </w:p>
          <w:p>
            <w:pPr>
              <w:pStyle w:val="7"/>
              <w:keepNext w:val="0"/>
              <w:keepLines w:val="0"/>
              <w:widowControl/>
              <w:numPr>
                <w:ilvl w:val="0"/>
                <w:numId w:val="1"/>
              </w:numPr>
              <w:suppressLineNumbers w:val="0"/>
              <w:spacing w:before="0" w:beforeAutospacing="0" w:afterAutospacing="0"/>
              <w:ind w:left="0" w:right="0"/>
              <w:rPr>
                <w:rFonts w:hint="eastAsia"/>
              </w:rPr>
            </w:pPr>
            <w:r>
              <w:rPr>
                <w:rFonts w:hint="eastAsia" w:ascii="仿宋" w:hAnsi="仿宋" w:eastAsia="仿宋" w:cs="仿宋"/>
                <w:b/>
                <w:bCs/>
                <w:color w:val="auto"/>
                <w:sz w:val="24"/>
                <w:szCs w:val="24"/>
                <w:highlight w:val="none"/>
                <w:lang w:val="en-US" w:eastAsia="zh-CN"/>
              </w:rPr>
              <w:t>单价最高限价</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265.00元/个/周</w:t>
            </w:r>
            <w:r>
              <w:rPr>
                <w:rFonts w:hint="eastAsia" w:ascii="仿宋" w:hAnsi="仿宋" w:eastAsia="仿宋" w:cs="仿宋"/>
                <w:b/>
                <w:bCs/>
                <w:color w:val="auto"/>
                <w:sz w:val="24"/>
                <w:szCs w:val="24"/>
                <w:highlight w:val="none"/>
              </w:rPr>
              <w:t>。</w:t>
            </w:r>
          </w:p>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响应报价</w:t>
            </w:r>
            <w:r>
              <w:rPr>
                <w:rFonts w:hint="eastAsia" w:ascii="仿宋" w:hAnsi="仿宋" w:eastAsia="仿宋" w:cs="仿宋"/>
                <w:color w:val="auto"/>
                <w:spacing w:val="-4"/>
                <w:sz w:val="24"/>
                <w:szCs w:val="24"/>
                <w:highlight w:val="none"/>
                <w:lang w:val="en-US" w:eastAsia="zh-CN"/>
              </w:rPr>
              <w:t>的总价或单价</w:t>
            </w:r>
            <w:r>
              <w:rPr>
                <w:rFonts w:hint="eastAsia" w:ascii="仿宋" w:hAnsi="仿宋" w:eastAsia="仿宋" w:cs="仿宋"/>
                <w:color w:val="auto"/>
                <w:spacing w:val="-4"/>
                <w:sz w:val="24"/>
                <w:szCs w:val="24"/>
                <w:highlight w:val="none"/>
              </w:rPr>
              <w:t>高于</w:t>
            </w:r>
            <w:r>
              <w:rPr>
                <w:rFonts w:hint="eastAsia" w:ascii="仿宋" w:hAnsi="仿宋" w:eastAsia="仿宋" w:cs="仿宋"/>
                <w:color w:val="auto"/>
                <w:spacing w:val="-4"/>
                <w:sz w:val="24"/>
                <w:szCs w:val="24"/>
                <w:highlight w:val="none"/>
                <w:lang w:val="en-US" w:eastAsia="zh-CN"/>
              </w:rPr>
              <w:t>对应</w:t>
            </w:r>
            <w:r>
              <w:rPr>
                <w:rFonts w:hint="eastAsia" w:ascii="仿宋" w:hAnsi="仿宋" w:eastAsia="仿宋" w:cs="仿宋"/>
                <w:color w:val="auto"/>
                <w:spacing w:val="-4"/>
                <w:sz w:val="24"/>
                <w:szCs w:val="24"/>
                <w:highlight w:val="none"/>
              </w:rPr>
              <w:t>最高限价的，</w:t>
            </w:r>
            <w:r>
              <w:rPr>
                <w:rFonts w:hint="eastAsia" w:ascii="仿宋" w:hAnsi="仿宋" w:eastAsia="仿宋" w:cs="仿宋"/>
                <w:b/>
                <w:color w:val="auto"/>
                <w:spacing w:val="-4"/>
                <w:sz w:val="24"/>
                <w:szCs w:val="24"/>
                <w:highlight w:val="none"/>
              </w:rPr>
              <w:t>其响应将被否决。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36" w:leftChars="17"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低于成本价不正当竞争预防措施</w:t>
            </w:r>
          </w:p>
        </w:tc>
        <w:tc>
          <w:tcPr>
            <w:tcW w:w="6347" w:type="dxa"/>
            <w:tcMar>
              <w:top w:w="0" w:type="dxa"/>
              <w:left w:w="85" w:type="dxa"/>
              <w:bottom w:w="0" w:type="dxa"/>
              <w:right w:w="85" w:type="dxa"/>
            </w:tcMar>
            <w:vAlign w:val="center"/>
          </w:tcPr>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1.在评审过程中，出现下列情形之一的，磋商小组应当启动低于成本响应审查程序： </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（1）响应报价低于全部通过符合性审查供应商响应报价平均值65%的，即响应报价＜全部通过符合性审查供应商响应报价平均值×65%；</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（2）响应报价低于通过符合性审查的次低报价供应商响应报价65%的，即响应报价＜通过符合性审查的次低报价供应商响应报价×65%；</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（3）响应报价低于采购项目最高限价65%的，即响应报价＜采购项目最高限价×65%；</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（4）磋商小组基于专业判断，认为供应商报价过低、有可能影响产品质量或者不能诚信履约的其他情形。</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磋商小组启动低于成本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采购人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低于成本响应审查的启动原因、审查意见和审查结果应当在评审报告中记录，并随供应商提供的相关书面说明及证明材料，以及磋商小组有关互联网浏览、查询历史一并归档。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36" w:leftChars="17"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其他说明</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bCs/>
                <w:snapToGrid w:val="0"/>
                <w:color w:val="auto"/>
                <w:sz w:val="24"/>
                <w:szCs w:val="24"/>
                <w:highlight w:val="none"/>
              </w:rPr>
            </w:pPr>
            <w:r>
              <w:rPr>
                <w:rFonts w:hint="eastAsia" w:ascii="仿宋" w:hAnsi="仿宋" w:eastAsia="仿宋" w:cs="仿宋"/>
                <w:bCs/>
                <w:snapToGrid w:val="0"/>
                <w:color w:val="auto"/>
                <w:sz w:val="24"/>
                <w:szCs w:val="24"/>
                <w:highlight w:val="none"/>
              </w:rPr>
              <w:t>1、本项目采购方式为竞争性磋商，供应商法定代表人或其授权委托人递交响应文件后须在现场等候磋商，磋商程序及方式详见本章第</w:t>
            </w:r>
            <w:r>
              <w:rPr>
                <w:rFonts w:hint="eastAsia" w:ascii="仿宋" w:hAnsi="仿宋" w:eastAsia="仿宋" w:cs="仿宋"/>
                <w:bCs/>
                <w:snapToGrid w:val="0"/>
                <w:color w:val="auto"/>
                <w:sz w:val="24"/>
                <w:szCs w:val="24"/>
                <w:highlight w:val="none"/>
                <w:lang w:val="en-US" w:eastAsia="zh-CN"/>
              </w:rPr>
              <w:t>12</w:t>
            </w:r>
            <w:r>
              <w:rPr>
                <w:rFonts w:hint="eastAsia" w:ascii="仿宋" w:hAnsi="仿宋" w:eastAsia="仿宋" w:cs="仿宋"/>
                <w:bCs/>
                <w:snapToGrid w:val="0"/>
                <w:color w:val="auto"/>
                <w:sz w:val="24"/>
                <w:szCs w:val="24"/>
                <w:highlight w:val="none"/>
              </w:rPr>
              <w:t>条相关规定，请供应商代表合理安排时间。</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2、本次采购为企业采购行为，非政府采购行为，其适用的法律法规、规章、制度与政府采购不同；供应商应按照竞争性磋商文件规定以及列明的相关法律法规参与本次磋商，自行承担因对采购性质认知偏差所引发的一切责任。</w:t>
            </w:r>
          </w:p>
        </w:tc>
      </w:tr>
    </w:tbl>
    <w:p>
      <w:pPr>
        <w:spacing w:line="360" w:lineRule="auto"/>
        <w:jc w:val="center"/>
        <w:rPr>
          <w:rFonts w:hint="eastAsia" w:ascii="仿宋" w:hAnsi="仿宋" w:eastAsia="仿宋" w:cs="仿宋"/>
          <w:color w:val="auto"/>
          <w:highlight w:val="none"/>
        </w:rPr>
      </w:pPr>
      <w:r>
        <w:rPr>
          <w:rFonts w:hint="eastAsia" w:ascii="仿宋" w:hAnsi="仿宋" w:eastAsia="仿宋" w:cs="仿宋"/>
          <w:b/>
          <w:color w:val="auto"/>
          <w:sz w:val="24"/>
          <w:highlight w:val="none"/>
        </w:rPr>
        <w:t>本须知前附表是对供应商须知正文的具体补充和修改，如有矛盾，以本前附表为准。</w:t>
      </w:r>
    </w:p>
    <w:p>
      <w:pPr>
        <w:rPr>
          <w:rFonts w:hint="eastAsia" w:ascii="仿宋" w:hAnsi="仿宋" w:eastAsia="仿宋" w:cs="仿宋"/>
          <w:color w:val="auto"/>
          <w:sz w:val="24"/>
          <w:szCs w:val="24"/>
          <w:highlight w:val="none"/>
        </w:rPr>
      </w:pPr>
      <w:bookmarkStart w:id="18" w:name="_Toc20514"/>
      <w:bookmarkStart w:id="19" w:name="_Toc27232"/>
      <w:bookmarkStart w:id="20" w:name="_Toc517281816"/>
      <w:bookmarkStart w:id="21" w:name="_Toc444891336"/>
      <w:bookmarkStart w:id="22" w:name="_Toc6047"/>
      <w:bookmarkStart w:id="23" w:name="_Toc19783313"/>
      <w:bookmarkStart w:id="24" w:name="_Toc287600118"/>
      <w:bookmarkStart w:id="25" w:name="_Toc11071"/>
      <w:bookmarkStart w:id="26" w:name="_Toc27220"/>
      <w:bookmarkStart w:id="27" w:name="_Toc22508"/>
      <w:r>
        <w:rPr>
          <w:rFonts w:hint="eastAsia" w:ascii="仿宋" w:hAnsi="仿宋" w:eastAsia="仿宋" w:cs="仿宋"/>
          <w:color w:val="auto"/>
          <w:sz w:val="24"/>
          <w:szCs w:val="24"/>
          <w:highlight w:val="none"/>
        </w:rPr>
        <w:br w:type="page"/>
      </w:r>
    </w:p>
    <w:p>
      <w:pPr>
        <w:pStyle w:val="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二、供应商须知</w:t>
      </w:r>
      <w:bookmarkEnd w:id="18"/>
      <w:bookmarkEnd w:id="19"/>
      <w:bookmarkEnd w:id="20"/>
      <w:bookmarkEnd w:id="21"/>
      <w:bookmarkEnd w:id="22"/>
      <w:bookmarkEnd w:id="23"/>
      <w:bookmarkEnd w:id="24"/>
      <w:bookmarkEnd w:id="25"/>
      <w:r>
        <w:rPr>
          <w:rFonts w:hint="eastAsia" w:ascii="仿宋" w:hAnsi="仿宋" w:eastAsia="仿宋" w:cs="仿宋"/>
          <w:color w:val="auto"/>
          <w:sz w:val="24"/>
          <w:szCs w:val="24"/>
          <w:highlight w:val="none"/>
        </w:rPr>
        <w:t>正文</w:t>
      </w:r>
      <w:bookmarkEnd w:id="26"/>
      <w:bookmarkEnd w:id="27"/>
    </w:p>
    <w:p>
      <w:pPr>
        <w:pStyle w:val="4"/>
        <w:keepNext w:val="0"/>
        <w:keepLines w:val="0"/>
        <w:pageBreakBefore w:val="0"/>
        <w:widowControl w:val="0"/>
        <w:kinsoku w:val="0"/>
        <w:wordWrap/>
        <w:overflowPunct/>
        <w:topLinePunct/>
        <w:autoSpaceDE w:val="0"/>
        <w:autoSpaceDN w:val="0"/>
        <w:bidi w:val="0"/>
        <w:adjustRightInd w:val="0"/>
        <w:snapToGrid w:val="0"/>
        <w:spacing w:before="0" w:after="0" w:line="360" w:lineRule="auto"/>
        <w:ind w:firstLine="0"/>
        <w:jc w:val="both"/>
        <w:textAlignment w:val="auto"/>
        <w:rPr>
          <w:rFonts w:hint="eastAsia" w:ascii="仿宋" w:hAnsi="仿宋" w:eastAsia="仿宋" w:cs="仿宋"/>
          <w:color w:val="auto"/>
          <w:sz w:val="24"/>
          <w:szCs w:val="24"/>
          <w:highlight w:val="none"/>
        </w:rPr>
      </w:pPr>
      <w:bookmarkStart w:id="28" w:name="_Toc22969"/>
      <w:bookmarkStart w:id="29" w:name="_Toc517281817"/>
      <w:bookmarkStart w:id="30" w:name="_Toc3678"/>
      <w:bookmarkStart w:id="31" w:name="_Toc444891337"/>
      <w:bookmarkStart w:id="32" w:name="_Toc11851"/>
      <w:bookmarkStart w:id="33" w:name="_Toc287600119"/>
      <w:bookmarkStart w:id="34" w:name="_Toc6681"/>
      <w:bookmarkStart w:id="35" w:name="_Toc16441"/>
      <w:bookmarkStart w:id="36" w:name="_Toc431"/>
      <w:bookmarkStart w:id="37" w:name="_Toc24449"/>
      <w:bookmarkStart w:id="38" w:name="_Toc19783314"/>
      <w:r>
        <w:rPr>
          <w:rFonts w:hint="eastAsia" w:ascii="仿宋" w:hAnsi="仿宋" w:eastAsia="仿宋" w:cs="仿宋"/>
          <w:color w:val="auto"/>
          <w:sz w:val="24"/>
          <w:szCs w:val="24"/>
          <w:highlight w:val="none"/>
        </w:rPr>
        <w:t>（一）总 则</w:t>
      </w:r>
      <w:bookmarkEnd w:id="28"/>
      <w:bookmarkEnd w:id="29"/>
      <w:bookmarkEnd w:id="30"/>
      <w:bookmarkEnd w:id="31"/>
      <w:bookmarkEnd w:id="32"/>
      <w:bookmarkEnd w:id="33"/>
      <w:bookmarkEnd w:id="34"/>
      <w:bookmarkEnd w:id="35"/>
      <w:bookmarkEnd w:id="36"/>
      <w:bookmarkEnd w:id="37"/>
      <w:bookmarkEnd w:id="38"/>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1.项目说明</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本项目按照中华人民共和国有关法律、行政法规和部门规章以及采购人的采购管理制度，通过竞争性磋商方式确定签约供应商。</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2.采购范围</w:t>
      </w:r>
    </w:p>
    <w:p>
      <w:pPr>
        <w:keepNext w:val="0"/>
        <w:keepLines w:val="0"/>
        <w:pageBreakBefore w:val="0"/>
        <w:widowControl w:val="0"/>
        <w:tabs>
          <w:tab w:val="left" w:pos="3150"/>
          <w:tab w:val="left" w:pos="3780"/>
        </w:tabs>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bCs/>
          <w:color w:val="auto"/>
          <w:highlight w:val="none"/>
        </w:rPr>
      </w:pP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u w:val="single"/>
          <w:lang w:val="en-US" w:eastAsia="zh-CN"/>
        </w:rPr>
        <w:t>第1条</w:t>
      </w:r>
      <w:r>
        <w:rPr>
          <w:rFonts w:hint="eastAsia" w:ascii="仿宋" w:hAnsi="仿宋" w:eastAsia="仿宋" w:cs="仿宋"/>
          <w:color w:val="auto"/>
          <w:highlight w:val="none"/>
        </w:rPr>
        <w:t>，</w:t>
      </w:r>
      <w:r>
        <w:rPr>
          <w:rFonts w:hint="eastAsia" w:ascii="仿宋" w:hAnsi="仿宋" w:eastAsia="仿宋" w:cs="仿宋"/>
          <w:bCs/>
          <w:color w:val="auto"/>
          <w:highlight w:val="none"/>
        </w:rPr>
        <w:t>详细内容详见第五章采购需求。</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3.资金来源</w:t>
      </w:r>
    </w:p>
    <w:p>
      <w:pPr>
        <w:keepNext w:val="0"/>
        <w:keepLines w:val="0"/>
        <w:pageBreakBefore w:val="0"/>
        <w:widowControl w:val="0"/>
        <w:tabs>
          <w:tab w:val="left" w:pos="3150"/>
          <w:tab w:val="left" w:pos="3780"/>
        </w:tabs>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资金来源于采购人或其子公司（含分支机构）自筹（比例100%），且资金已落实。</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4.资格审查</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u w:val="single"/>
          <w:lang w:val="en-US" w:eastAsia="zh-CN"/>
        </w:rPr>
        <w:t>第2条</w:t>
      </w:r>
      <w:r>
        <w:rPr>
          <w:rFonts w:hint="eastAsia" w:ascii="仿宋" w:hAnsi="仿宋" w:eastAsia="仿宋" w:cs="仿宋"/>
          <w:color w:val="auto"/>
          <w:highlight w:val="none"/>
          <w:u w:val="single"/>
        </w:rPr>
        <w:t>。</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5.磋商响应费用</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不论结果如何，供应商自行承担所有准备和参与本次磋商响应的有关费用。</w:t>
      </w:r>
    </w:p>
    <w:p>
      <w:pPr>
        <w:pStyle w:val="4"/>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39" w:name="_Toc17099"/>
      <w:bookmarkStart w:id="40" w:name="_Toc25513"/>
      <w:bookmarkStart w:id="41" w:name="_Toc19783315"/>
      <w:bookmarkStart w:id="42" w:name="_Toc14164"/>
      <w:bookmarkStart w:id="43" w:name="_Toc444891338"/>
      <w:bookmarkStart w:id="44" w:name="_Toc517281818"/>
      <w:bookmarkStart w:id="45" w:name="_Toc5255"/>
      <w:bookmarkStart w:id="46" w:name="_Toc10975"/>
      <w:bookmarkStart w:id="47" w:name="_Toc24246"/>
      <w:bookmarkStart w:id="48" w:name="_Toc287600120"/>
      <w:bookmarkStart w:id="49" w:name="_Toc3016"/>
      <w:r>
        <w:rPr>
          <w:rFonts w:hint="eastAsia" w:ascii="仿宋" w:hAnsi="仿宋" w:eastAsia="仿宋" w:cs="仿宋"/>
          <w:color w:val="auto"/>
          <w:sz w:val="24"/>
          <w:szCs w:val="24"/>
          <w:highlight w:val="none"/>
        </w:rPr>
        <w:t>（二）磋商文件</w:t>
      </w:r>
      <w:bookmarkEnd w:id="39"/>
      <w:bookmarkEnd w:id="40"/>
      <w:bookmarkEnd w:id="41"/>
      <w:bookmarkEnd w:id="42"/>
      <w:bookmarkEnd w:id="43"/>
      <w:bookmarkEnd w:id="44"/>
      <w:bookmarkEnd w:id="45"/>
      <w:bookmarkEnd w:id="46"/>
      <w:bookmarkEnd w:id="47"/>
      <w:bookmarkEnd w:id="48"/>
      <w:bookmarkEnd w:id="49"/>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6.磋商文件的组成</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6.1磋商文件包括下列内容：</w:t>
      </w:r>
    </w:p>
    <w:p>
      <w:pPr>
        <w:pStyle w:val="9"/>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第一章 竞争性</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邀请</w:t>
      </w:r>
    </w:p>
    <w:p>
      <w:pPr>
        <w:pStyle w:val="9"/>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pPr>
        <w:pStyle w:val="9"/>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第三章 评审办法</w:t>
      </w:r>
    </w:p>
    <w:p>
      <w:pPr>
        <w:pStyle w:val="9"/>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第四章 合同格式</w:t>
      </w:r>
    </w:p>
    <w:p>
      <w:pPr>
        <w:keepNext w:val="0"/>
        <w:keepLines w:val="0"/>
        <w:pageBreakBefore w:val="0"/>
        <w:widowControl w:val="0"/>
        <w:tabs>
          <w:tab w:val="left" w:pos="540"/>
          <w:tab w:val="left" w:pos="720"/>
        </w:tabs>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第五章 采购需求</w:t>
      </w:r>
    </w:p>
    <w:p>
      <w:pPr>
        <w:keepNext w:val="0"/>
        <w:keepLines w:val="0"/>
        <w:pageBreakBefore w:val="0"/>
        <w:widowControl w:val="0"/>
        <w:tabs>
          <w:tab w:val="left" w:pos="540"/>
          <w:tab w:val="left" w:pos="720"/>
        </w:tabs>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第六章 响应文件格式</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6.2采购人在磋商文件中以显著的方式标明实质性要求、条件以及不满足实质性要求和条件的响应文件将被否决的提示。实质性标识方式和具体要求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第3条</w:t>
      </w:r>
      <w:r>
        <w:rPr>
          <w:rFonts w:hint="eastAsia" w:ascii="仿宋" w:hAnsi="仿宋" w:eastAsia="仿宋" w:cs="仿宋"/>
          <w:color w:val="auto"/>
          <w:highlight w:val="none"/>
        </w:rPr>
        <w:t>。</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7.磋商文件的修改</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7.1在响应文件递交截止时间前，无论出于何种原因，采购人可主动地或在解答供应商要求澄清的问题时对磋商文件进行修改。</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7.2供应商有权要求采购人对磋商文件中的有关问题进行答疑、澄清。</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7.3供应商对磋商文件如有疑问,应在首次响应文件递交截止时间前按磋商文件中的联系方式，通知采购人。采购人将视情况采用适当方式予以澄清或以书面形式予以答复。供应商在收到上述通知后，应立即向采购人回复确认。供应商将被视为编制响应文件时已考虑了上述修改。</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7.4对于磋商文件的修改，如影响供应商响应文件编制的，采购人应推迟响应文件递交截止日期，并以书面或邮件形式通知所有已获取磋商文件的供应商。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7.5任何对磋商文件的澄清均为磋商文件的组成部分，并具有同等的法律效力。如磋商文件的澄清与磋商文件有矛盾，以日期后的为准。</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8.磋商响应预备会</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textAlignment w:val="baseline"/>
        <w:rPr>
          <w:rFonts w:hint="eastAsia" w:ascii="仿宋" w:hAnsi="仿宋" w:eastAsia="仿宋" w:cs="仿宋"/>
          <w:color w:val="auto"/>
          <w:highlight w:val="none"/>
          <w:u w:val="single"/>
        </w:rPr>
      </w:pPr>
      <w:r>
        <w:rPr>
          <w:rFonts w:hint="eastAsia" w:ascii="仿宋" w:hAnsi="仿宋" w:eastAsia="仿宋" w:cs="仿宋"/>
          <w:color w:val="auto"/>
          <w:highlight w:val="none"/>
        </w:rPr>
        <w:t>采购人认为必要时，将召开磋商响应预备会(答疑会)，公开解答潜在供应商对磋商文件提出的疑问。</w:t>
      </w:r>
    </w:p>
    <w:p>
      <w:pPr>
        <w:pStyle w:val="4"/>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50" w:name="_Toc27642"/>
      <w:bookmarkStart w:id="51" w:name="_Toc14308"/>
      <w:bookmarkStart w:id="52" w:name="_Toc16985"/>
      <w:bookmarkStart w:id="53" w:name="_Toc444891339"/>
      <w:bookmarkStart w:id="54" w:name="_Toc19783316"/>
      <w:bookmarkStart w:id="55" w:name="_Toc31141"/>
      <w:bookmarkStart w:id="56" w:name="_Toc29887"/>
      <w:bookmarkStart w:id="57" w:name="_Toc13691"/>
      <w:bookmarkStart w:id="58" w:name="_Toc287600121"/>
      <w:bookmarkStart w:id="59" w:name="_Toc517281819"/>
      <w:bookmarkStart w:id="60" w:name="_Toc27563"/>
      <w:r>
        <w:rPr>
          <w:rFonts w:hint="eastAsia" w:ascii="仿宋" w:hAnsi="仿宋" w:eastAsia="仿宋" w:cs="仿宋"/>
          <w:color w:val="auto"/>
          <w:sz w:val="24"/>
          <w:szCs w:val="24"/>
          <w:highlight w:val="none"/>
        </w:rPr>
        <w:t>（三）响应文件</w:t>
      </w:r>
      <w:bookmarkEnd w:id="50"/>
      <w:bookmarkEnd w:id="51"/>
      <w:bookmarkEnd w:id="52"/>
      <w:bookmarkEnd w:id="53"/>
      <w:bookmarkEnd w:id="54"/>
      <w:bookmarkEnd w:id="55"/>
      <w:bookmarkEnd w:id="56"/>
      <w:bookmarkEnd w:id="57"/>
      <w:bookmarkEnd w:id="58"/>
      <w:bookmarkEnd w:id="59"/>
      <w:bookmarkEnd w:id="60"/>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9.响应文件的组成</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供应商应当按照供应商须知前附表的要求制作并提交响应文件，具体组成</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 xml:space="preserve">第4条 </w:t>
      </w:r>
      <w:r>
        <w:rPr>
          <w:rFonts w:hint="eastAsia" w:ascii="仿宋" w:hAnsi="仿宋" w:eastAsia="仿宋" w:cs="仿宋"/>
          <w:color w:val="auto"/>
          <w:highlight w:val="none"/>
        </w:rPr>
        <w:t>。</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10.响应文件的编制</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10.1 供应商应当按照磋商文件的要求编制响应文件，并对其提交的响应文件的真实性、合法性承担法律责任。响应文件应当对磋商文件提出的实质性要求和条件作出响应。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10.2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10.3 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10.4 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10.5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u w:val="single"/>
        </w:rPr>
      </w:pPr>
      <w:r>
        <w:rPr>
          <w:rFonts w:hint="eastAsia" w:ascii="仿宋" w:hAnsi="仿宋" w:eastAsia="仿宋" w:cs="仿宋"/>
          <w:color w:val="auto"/>
          <w:highlight w:val="none"/>
        </w:rPr>
        <w:t>10.6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1" w:name="_Hlk173250545"/>
      <w:r>
        <w:rPr>
          <w:rFonts w:hint="eastAsia" w:ascii="仿宋" w:hAnsi="仿宋" w:eastAsia="仿宋" w:cs="仿宋"/>
          <w:color w:val="auto"/>
          <w:highlight w:val="none"/>
        </w:rPr>
        <w:t>盖章或者签字另有要求的，</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第6条</w:t>
      </w:r>
      <w:r>
        <w:rPr>
          <w:rFonts w:hint="eastAsia" w:ascii="仿宋" w:hAnsi="仿宋" w:eastAsia="仿宋" w:cs="仿宋"/>
          <w:color w:val="auto"/>
          <w:highlight w:val="none"/>
          <w:u w:val="single"/>
        </w:rPr>
        <w:t>。</w:t>
      </w:r>
    </w:p>
    <w:bookmarkEnd w:id="61"/>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10.7除工程规范另有规定外，响应文件使用的度量衡单位，均采用中华人民共和国法定计量单位。</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11.磋商响应报价</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第9条及第21条</w:t>
      </w:r>
      <w:r>
        <w:rPr>
          <w:rFonts w:hint="eastAsia" w:ascii="仿宋" w:hAnsi="仿宋" w:eastAsia="仿宋" w:cs="仿宋"/>
          <w:color w:val="auto"/>
          <w:highlight w:val="none"/>
        </w:rPr>
        <w:t>。</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12.磋商响应有效期</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12.1 磋商响应有效期从响应文件递交截止之日起算，具体时间</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第7条</w:t>
      </w:r>
      <w:r>
        <w:rPr>
          <w:rFonts w:hint="eastAsia" w:ascii="仿宋" w:hAnsi="仿宋" w:eastAsia="仿宋" w:cs="仿宋"/>
          <w:color w:val="auto"/>
          <w:highlight w:val="none"/>
        </w:rPr>
        <w:t>，在此期间，供应商不得要求撤销或修改其响应文件。供应商承诺的磋商响应有效期必须不短于磋商文件规定的磋商响应有效期，否则将构成对磋商文件的非实质性响应，磋商响应将被否决。</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12.2 在原磋商响应有效期结束前，出现特殊情况的，采购人可以书面形式要求所有供应商延长磋商响应有效期。供应商同意延长的，不得要求或被允许修改其响应文件的实质性内容。供应商拒绝延长的，其磋商响应失效。</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13.响应文件的式样、密封和标记</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13.1 供应商应当编制一份响应文件“正本”和</w:t>
      </w:r>
      <w:r>
        <w:rPr>
          <w:rFonts w:hint="eastAsia" w:ascii="仿宋" w:hAnsi="仿宋" w:eastAsia="仿宋" w:cs="仿宋"/>
          <w:color w:val="auto"/>
          <w:highlight w:val="none"/>
          <w:u w:val="single"/>
          <w:lang w:val="en-US" w:eastAsia="zh-CN"/>
        </w:rPr>
        <w:t>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第8条</w:t>
      </w:r>
      <w:r>
        <w:rPr>
          <w:rFonts w:hint="eastAsia" w:ascii="仿宋" w:hAnsi="仿宋" w:eastAsia="仿宋" w:cs="仿宋"/>
          <w:color w:val="auto"/>
          <w:highlight w:val="none"/>
        </w:rPr>
        <w:t>所述份数的“副本”和“电子版”，副本为正本复印件。纸质版文件与电子版文件不一致时，以</w:t>
      </w:r>
      <w:r>
        <w:rPr>
          <w:rFonts w:hint="eastAsia" w:ascii="仿宋" w:hAnsi="仿宋" w:eastAsia="仿宋" w:cs="仿宋"/>
          <w:b/>
          <w:bCs/>
          <w:color w:val="auto"/>
          <w:highlight w:val="none"/>
          <w:lang w:eastAsia="zh-Hans"/>
        </w:rPr>
        <w:t>纸质版</w:t>
      </w:r>
      <w:r>
        <w:rPr>
          <w:rFonts w:hint="eastAsia" w:ascii="仿宋" w:hAnsi="仿宋" w:eastAsia="仿宋" w:cs="仿宋"/>
          <w:color w:val="auto"/>
          <w:highlight w:val="none"/>
        </w:rPr>
        <w:t xml:space="preserve">文件为准，电子招投标项目，按照相关法律法规执行;响应文件正本与副本不一致时，以正本为准。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13.2 每份纸质文件响应文件的正本、副本应当分别装订，并于封面上明确标明“正本”“副本”字样。具体要求</w:t>
      </w:r>
      <w:r>
        <w:rPr>
          <w:rFonts w:hint="eastAsia" w:ascii="仿宋" w:hAnsi="仿宋" w:eastAsia="仿宋" w:cs="仿宋"/>
          <w:color w:val="auto"/>
          <w:highlight w:val="none"/>
          <w:u w:val="single"/>
          <w:lang w:val="en-US" w:eastAsia="zh-CN"/>
        </w:rPr>
        <w:t>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第10条</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13.3 对于磋商文件中提及的原件或复印件要求，照片件、扫描件、影印件、截图件等与其具有同等效力（磋商文件有特殊要求的除外）。</w:t>
      </w:r>
    </w:p>
    <w:p>
      <w:pPr>
        <w:pStyle w:val="4"/>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62" w:name="_Toc19783317"/>
      <w:bookmarkStart w:id="63" w:name="_Toc444891340"/>
      <w:bookmarkStart w:id="64" w:name="_Toc4155"/>
      <w:bookmarkStart w:id="65" w:name="_Toc7129"/>
      <w:bookmarkStart w:id="66" w:name="_Toc287600122"/>
      <w:bookmarkStart w:id="67" w:name="_Toc517281820"/>
      <w:bookmarkStart w:id="68" w:name="_Toc18673"/>
      <w:bookmarkStart w:id="69" w:name="_Toc14726"/>
      <w:bookmarkStart w:id="70" w:name="_Toc21600"/>
      <w:bookmarkStart w:id="71" w:name="_Toc11675"/>
      <w:bookmarkStart w:id="72" w:name="_Toc17865"/>
      <w:r>
        <w:rPr>
          <w:rFonts w:hint="eastAsia" w:ascii="仿宋" w:hAnsi="仿宋" w:eastAsia="仿宋" w:cs="仿宋"/>
          <w:color w:val="auto"/>
          <w:sz w:val="24"/>
          <w:szCs w:val="24"/>
          <w:highlight w:val="none"/>
        </w:rPr>
        <w:t>（四）响应文件的</w:t>
      </w:r>
      <w:bookmarkEnd w:id="62"/>
      <w:bookmarkEnd w:id="63"/>
      <w:bookmarkEnd w:id="64"/>
      <w:bookmarkEnd w:id="65"/>
      <w:bookmarkEnd w:id="66"/>
      <w:bookmarkEnd w:id="67"/>
      <w:bookmarkEnd w:id="68"/>
      <w:bookmarkEnd w:id="69"/>
      <w:bookmarkEnd w:id="70"/>
      <w:r>
        <w:rPr>
          <w:rFonts w:hint="eastAsia" w:ascii="仿宋" w:hAnsi="仿宋" w:eastAsia="仿宋" w:cs="仿宋"/>
          <w:color w:val="auto"/>
          <w:sz w:val="24"/>
          <w:szCs w:val="24"/>
          <w:highlight w:val="none"/>
        </w:rPr>
        <w:t>递交</w:t>
      </w:r>
      <w:bookmarkEnd w:id="71"/>
      <w:bookmarkEnd w:id="72"/>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14.响应文件的递交</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14.1供应商应按</w:t>
      </w:r>
      <w:r>
        <w:rPr>
          <w:rFonts w:hint="eastAsia" w:ascii="仿宋" w:hAnsi="仿宋" w:eastAsia="仿宋" w:cs="仿宋"/>
          <w:color w:val="auto"/>
          <w:highlight w:val="none"/>
          <w:u w:val="single"/>
          <w:lang w:val="en-US" w:eastAsia="zh-CN"/>
        </w:rPr>
        <w:t>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第5条</w:t>
      </w:r>
      <w:r>
        <w:rPr>
          <w:rFonts w:hint="eastAsia" w:ascii="仿宋" w:hAnsi="仿宋" w:eastAsia="仿宋" w:cs="仿宋"/>
          <w:color w:val="auto"/>
          <w:highlight w:val="none"/>
        </w:rPr>
        <w:t>规定的时间、方式递交响应文件。</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b/>
          <w:bCs/>
          <w:color w:val="auto"/>
          <w:highlight w:val="none"/>
        </w:rPr>
      </w:pPr>
      <w:r>
        <w:rPr>
          <w:rFonts w:hint="eastAsia" w:ascii="仿宋" w:hAnsi="仿宋" w:eastAsia="仿宋" w:cs="仿宋"/>
          <w:color w:val="auto"/>
          <w:highlight w:val="none"/>
        </w:rPr>
        <w:t>14.2出现下列情形之一时，</w:t>
      </w:r>
      <w:r>
        <w:rPr>
          <w:rFonts w:hint="eastAsia" w:ascii="仿宋" w:hAnsi="仿宋" w:eastAsia="仿宋" w:cs="仿宋"/>
          <w:b/>
          <w:bCs/>
          <w:color w:val="auto"/>
          <w:highlight w:val="none"/>
        </w:rPr>
        <w:t>响应文件不予接收或已经递交的响应文件无效；</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（1）电子响应文件逾期递交的；</w:t>
      </w:r>
      <w:r>
        <w:rPr>
          <w:rFonts w:hint="eastAsia" w:ascii="仿宋" w:hAnsi="仿宋" w:eastAsia="仿宋" w:cs="仿宋"/>
          <w:i/>
          <w:color w:val="auto"/>
          <w:sz w:val="24"/>
          <w:highlight w:val="none"/>
        </w:rPr>
        <w:t>（本项目不适用）</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（2）纸质响应文件逾期递交或者未送达指定地点或者未按照磋商文件要求封装的；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（3）未按磋商公告或者响应公告书要求获得本项目磋商文件的。</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15.响应文件的修改、撤回和撤销</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15.1</w:t>
      </w:r>
      <w:r>
        <w:rPr>
          <w:rFonts w:hint="eastAsia" w:ascii="仿宋" w:hAnsi="仿宋" w:eastAsia="仿宋" w:cs="仿宋"/>
          <w:color w:val="auto"/>
          <w:spacing w:val="-4"/>
          <w:highlight w:val="none"/>
        </w:rPr>
        <w:t>在</w:t>
      </w:r>
      <w:r>
        <w:rPr>
          <w:rFonts w:hint="eastAsia" w:ascii="仿宋" w:hAnsi="仿宋" w:eastAsia="仿宋" w:cs="仿宋"/>
          <w:color w:val="auto"/>
          <w:highlight w:val="none"/>
        </w:rPr>
        <w:t>磋商文件</w:t>
      </w:r>
      <w:r>
        <w:rPr>
          <w:rFonts w:hint="eastAsia" w:ascii="仿宋" w:hAnsi="仿宋" w:eastAsia="仿宋" w:cs="仿宋"/>
          <w:color w:val="auto"/>
          <w:spacing w:val="-4"/>
          <w:highlight w:val="none"/>
        </w:rPr>
        <w:t>规定的</w:t>
      </w:r>
      <w:r>
        <w:rPr>
          <w:rFonts w:hint="eastAsia" w:ascii="仿宋" w:hAnsi="仿宋" w:eastAsia="仿宋" w:cs="仿宋"/>
          <w:color w:val="auto"/>
          <w:highlight w:val="none"/>
        </w:rPr>
        <w:t>响应文件</w:t>
      </w:r>
      <w:r>
        <w:rPr>
          <w:rFonts w:hint="eastAsia" w:ascii="仿宋" w:hAnsi="仿宋" w:eastAsia="仿宋" w:cs="仿宋"/>
          <w:color w:val="auto"/>
          <w:spacing w:val="-4"/>
          <w:highlight w:val="none"/>
        </w:rPr>
        <w:t>递交截止时间前，</w:t>
      </w:r>
      <w:r>
        <w:rPr>
          <w:rFonts w:hint="eastAsia" w:ascii="仿宋" w:hAnsi="仿宋" w:eastAsia="仿宋" w:cs="仿宋"/>
          <w:color w:val="auto"/>
          <w:highlight w:val="none"/>
        </w:rPr>
        <w:t>可以补充、修改或撤回已提交的响应文件。补充、修改的内容为响应文件的组成部分，应当在响应文件递交截止时间前按照磋商文件的规定进行递交。</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textAlignment w:val="auto"/>
        <w:rPr>
          <w:rFonts w:hint="eastAsia" w:ascii="仿宋" w:hAnsi="仿宋" w:eastAsia="仿宋" w:cs="仿宋"/>
          <w:color w:val="auto"/>
          <w:highlight w:val="none"/>
        </w:rPr>
      </w:pPr>
      <w:bookmarkStart w:id="73" w:name="_Toc144974526"/>
      <w:bookmarkStart w:id="74" w:name="_Toc152045558"/>
      <w:bookmarkStart w:id="75" w:name="_Toc246996202"/>
      <w:bookmarkStart w:id="76" w:name="_Toc247085716"/>
      <w:bookmarkStart w:id="77" w:name="_Toc179632576"/>
      <w:bookmarkStart w:id="78" w:name="_Toc334766948"/>
      <w:bookmarkStart w:id="79" w:name="_Toc326223561"/>
      <w:bookmarkStart w:id="80" w:name="_Toc152042334"/>
      <w:bookmarkStart w:id="81" w:name="_Toc332188194"/>
      <w:bookmarkStart w:id="82" w:name="_Toc246996945"/>
      <w:r>
        <w:rPr>
          <w:rFonts w:hint="eastAsia" w:ascii="仿宋" w:hAnsi="仿宋" w:eastAsia="仿宋" w:cs="仿宋"/>
          <w:color w:val="auto"/>
          <w:highlight w:val="none"/>
        </w:rPr>
        <w:t>15.2</w:t>
      </w:r>
      <w:bookmarkEnd w:id="73"/>
      <w:bookmarkEnd w:id="74"/>
      <w:bookmarkEnd w:id="75"/>
      <w:bookmarkEnd w:id="76"/>
      <w:bookmarkEnd w:id="77"/>
      <w:bookmarkEnd w:id="78"/>
      <w:bookmarkEnd w:id="79"/>
      <w:bookmarkEnd w:id="80"/>
      <w:bookmarkEnd w:id="81"/>
      <w:bookmarkEnd w:id="82"/>
      <w:r>
        <w:rPr>
          <w:rFonts w:hint="eastAsia" w:ascii="仿宋" w:hAnsi="仿宋" w:eastAsia="仿宋" w:cs="仿宋"/>
          <w:color w:val="auto"/>
          <w:highlight w:val="none"/>
        </w:rPr>
        <w:t xml:space="preserve"> 响应文件递交截止时间后，供应商在响应有效期内撤销其响应文件，磋商保证金不予退还。</w:t>
      </w:r>
    </w:p>
    <w:p>
      <w:pPr>
        <w:pStyle w:val="4"/>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83" w:name="_Toc2055"/>
      <w:bookmarkStart w:id="84" w:name="_Toc287600123"/>
      <w:bookmarkStart w:id="85" w:name="_Toc517281821"/>
      <w:bookmarkStart w:id="86" w:name="_Toc12797"/>
      <w:bookmarkStart w:id="87" w:name="_Toc20741"/>
      <w:bookmarkStart w:id="88" w:name="_Toc444891341"/>
      <w:bookmarkStart w:id="89" w:name="_Toc12367"/>
      <w:bookmarkStart w:id="90" w:name="_Toc11361"/>
      <w:bookmarkStart w:id="91" w:name="_Toc30466"/>
      <w:bookmarkStart w:id="92" w:name="_Toc2636"/>
      <w:r>
        <w:rPr>
          <w:rFonts w:hint="eastAsia" w:ascii="仿宋" w:hAnsi="仿宋" w:eastAsia="仿宋" w:cs="仿宋"/>
          <w:color w:val="auto"/>
          <w:sz w:val="24"/>
          <w:szCs w:val="24"/>
          <w:highlight w:val="none"/>
        </w:rPr>
        <w:t>（五）竞争性磋商和评审</w:t>
      </w:r>
      <w:bookmarkEnd w:id="83"/>
      <w:bookmarkEnd w:id="84"/>
      <w:bookmarkEnd w:id="85"/>
      <w:bookmarkEnd w:id="86"/>
      <w:bookmarkEnd w:id="87"/>
      <w:bookmarkEnd w:id="88"/>
      <w:bookmarkEnd w:id="89"/>
      <w:bookmarkEnd w:id="90"/>
      <w:bookmarkEnd w:id="91"/>
      <w:bookmarkEnd w:id="92"/>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93" w:name="_Toc234223229"/>
      <w:bookmarkStart w:id="94" w:name="_Toc234223227"/>
      <w:r>
        <w:rPr>
          <w:rFonts w:hint="eastAsia" w:ascii="仿宋" w:hAnsi="仿宋" w:eastAsia="仿宋" w:cs="仿宋"/>
          <w:color w:val="auto"/>
          <w:sz w:val="24"/>
          <w:szCs w:val="24"/>
          <w:highlight w:val="none"/>
        </w:rPr>
        <w:t>16.组建</w:t>
      </w:r>
      <w:bookmarkEnd w:id="93"/>
      <w:r>
        <w:rPr>
          <w:rFonts w:hint="eastAsia" w:ascii="仿宋" w:hAnsi="仿宋" w:eastAsia="仿宋" w:cs="仿宋"/>
          <w:color w:val="auto"/>
          <w:sz w:val="24"/>
          <w:szCs w:val="24"/>
          <w:highlight w:val="none"/>
        </w:rPr>
        <w:t>磋商小组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16.1采购人依照企业采购管理制度的相关规定组建磋商小组，具体人数见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第11条</w:t>
      </w:r>
      <w:r>
        <w:rPr>
          <w:rFonts w:hint="eastAsia" w:ascii="仿宋" w:hAnsi="仿宋" w:eastAsia="仿宋" w:cs="仿宋"/>
          <w:color w:val="auto"/>
          <w:highlight w:val="none"/>
        </w:rPr>
        <w:t>，磋商小组成员名单在成交结果确定前保密。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16.2磋商小组成员应当按照客观、公正、审慎的原则，根据磋商文件规定的评审程序、评审方法和评审标准进行独立评审。</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bookmarkStart w:id="95" w:name="_Toc234223228"/>
      <w:r>
        <w:rPr>
          <w:rFonts w:hint="eastAsia" w:ascii="仿宋" w:hAnsi="仿宋" w:eastAsia="仿宋" w:cs="仿宋"/>
          <w:color w:val="auto"/>
          <w:sz w:val="24"/>
          <w:szCs w:val="24"/>
          <w:highlight w:val="none"/>
        </w:rPr>
        <w:t>17.初步评审</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17.1磋商小组按照第三章评审办法中初步评审的内容及要求，对响应文件进行初步评审。未通过初步评审的供应商，其磋商响应将被否决，不进入详细评审等后续环节。</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17.2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b/>
          <w:bCs/>
          <w:color w:val="auto"/>
          <w:highlight w:val="none"/>
        </w:rPr>
      </w:pPr>
      <w:r>
        <w:rPr>
          <w:rFonts w:hint="eastAsia" w:ascii="仿宋" w:hAnsi="仿宋" w:eastAsia="仿宋" w:cs="仿宋"/>
          <w:color w:val="auto"/>
          <w:highlight w:val="none"/>
        </w:rPr>
        <w:t>17.3磋商小组对供应商递交的澄清、说明或补正有疑问的，可以要求供应商进一步澄清、说明或者补正，直至满足磋商小组的要求。拒不按要求进行澄清、说明或者补正的供应商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color w:val="auto"/>
          <w:highlight w:val="none"/>
        </w:rPr>
        <w:t>，磋商小组有权对其响应做否决处理。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17.4磋商小组必要时可以要求供应商提交有关证明和证件的原件，以便核验。拒不按要求提供原件的供应商，</w:t>
      </w:r>
      <w:r>
        <w:rPr>
          <w:rFonts w:hint="eastAsia" w:ascii="仿宋" w:hAnsi="仿宋" w:eastAsia="仿宋" w:cs="仿宋"/>
          <w:b/>
          <w:bCs/>
          <w:color w:val="auto"/>
          <w:highlight w:val="none"/>
        </w:rPr>
        <w:t>磋商小组有权对其响应做否决处理。</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18.磋商程序</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u w:val="single"/>
        </w:rPr>
      </w:pPr>
      <w:r>
        <w:rPr>
          <w:rFonts w:hint="eastAsia" w:ascii="仿宋" w:hAnsi="仿宋" w:eastAsia="仿宋" w:cs="仿宋"/>
          <w:color w:val="auto"/>
          <w:highlight w:val="none"/>
        </w:rPr>
        <w:t>18.1磋商小组所有成员应当集中与通过初步评审的单一供应商分别进行磋商，并给予所有参加磋商的供应商平等的磋商机会。供应商磋商顺序、磋商形式以及其他要求等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第12条</w:t>
      </w:r>
      <w:r>
        <w:rPr>
          <w:rFonts w:hint="eastAsia" w:ascii="仿宋" w:hAnsi="仿宋" w:eastAsia="仿宋" w:cs="仿宋"/>
          <w:color w:val="auto"/>
          <w:highlight w:val="none"/>
          <w:u w:val="singl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18.2磋商小组与供应商就磋商文件中的价格、商务内容、技术内容或有待供应商进一步明确的内容等进行一对一磋商，并要求实质性响应的供应商提交最终报价。具体磋商内容详见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第13条</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18.3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磋商小组可视情况要求供应商进行多轮磋商及报价。磋商中，任何一方不得向第三方透露与磋商有关的任何信息。</w:t>
      </w:r>
    </w:p>
    <w:bookmarkEnd w:id="95"/>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auto"/>
          <w:highlight w:val="none"/>
        </w:rPr>
        <w:t>应当否决其响应</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（1）大写金额与小写金额不一致的，以大写金额为准；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（2）总价金额与根据单价计算出的结果不一致的，以单价金额为准修正总价，但单价金额小数点有明显错误的除外。</w:t>
      </w:r>
    </w:p>
    <w:bookmarkEnd w:id="94"/>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19.详细评审</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19.1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19.2发生以下情形之一的，原则上做终止采购处理：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（1）出现影响采购公正的违法、违规行为的；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（2）成交候选人报价超过预算金额，采购需求方无法解决的；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（3）成交人为N家（1≤N＜3）的项目，有效供应商少于2N家（不含本数）；成交人为N家（N≥3）的项目，有效供应商少于1.5N家（不含本数）；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（4）因重大变故，采购任务取消。</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19.3成交候选人推荐原则</w:t>
      </w: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u w:val="single"/>
          <w:lang w:val="en-US" w:eastAsia="zh-CN"/>
        </w:rPr>
        <w:t>第14条</w:t>
      </w:r>
      <w:r>
        <w:rPr>
          <w:rFonts w:hint="eastAsia" w:ascii="仿宋" w:hAnsi="仿宋" w:eastAsia="仿宋" w:cs="仿宋"/>
          <w:color w:val="auto"/>
          <w:highlight w:val="none"/>
        </w:rPr>
        <w:t>。成交候选人的经营、财务状况发生较大变化或者存在违法行为，采购人认为可能影响其履约能力的，应当在发出成交通知书前由原磋商小组会按照磋商文件规定的标准和方法审查确认。</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20．特别声明</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20.1供应商提供虚假材料或文件的，自动丧失参加资格。</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20.2供应商未在响应文件中提及和承诺，但又未明确书面提出异议的事项，按本磋商磋商邀请函的有关要求执行。</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20.3供应商不应将本次采购理解为政府采购与招标。</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20.4供应商没有按规定时间和内容提供材料的，视为放弃。</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20.5磋商文件及附件之著作权受中国法律保护，所有文件仅限于供应商参加本次采购磋商使用，任何用于其他目的之复制或引用均应事先获得采购方书面许可。</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21．确定成交供应商</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（1）成交候选供应商存在违法、违纪行为的；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（2）成交候选供应商因不可抗力、社会经济形势发生重大变化、破产、重组等原因确定无法履行采购合同的；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（3）成交候选供应商书面自愿放弃成交，且无其他非法目的的；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（4）成交候选供应商在提交响应文件截止时间后撤回响应文件的；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（5）成交候选供应商在响应文件中提供虚假材料的；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（6）除因不可抗力或磋商文件认可的情形以外，成交供应商不与采购人签订合同的；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（7）成交候选供应商与采购人或者其他供应商恶意串通的；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（8）成交供应商在签订合同时向采购人提出附加条件或要求变更实质性合同条款的；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lang w:bidi="ar"/>
        </w:rPr>
      </w:pPr>
      <w:r>
        <w:rPr>
          <w:rFonts w:hint="eastAsia" w:ascii="仿宋" w:hAnsi="仿宋" w:eastAsia="仿宋" w:cs="仿宋"/>
          <w:color w:val="auto"/>
          <w:highlight w:val="none"/>
        </w:rPr>
        <w:t>（9）</w:t>
      </w:r>
      <w:r>
        <w:rPr>
          <w:rFonts w:hint="eastAsia" w:ascii="仿宋" w:hAnsi="仿宋" w:eastAsia="仿宋" w:cs="仿宋"/>
          <w:color w:val="auto"/>
          <w:highlight w:val="none"/>
          <w:lang w:bidi="ar"/>
        </w:rPr>
        <w:t>供应商有恶意欺诈、弄虚作假、围标串标、哄抬标价、徇私行贿等法律法规中所列违规行为的；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lang w:bidi="ar"/>
        </w:rPr>
      </w:pPr>
      <w:r>
        <w:rPr>
          <w:rFonts w:hint="eastAsia" w:ascii="仿宋" w:hAnsi="仿宋" w:eastAsia="仿宋" w:cs="仿宋"/>
          <w:color w:val="auto"/>
          <w:highlight w:val="none"/>
          <w:lang w:bidi="ar"/>
        </w:rPr>
        <w:t>（10）成交供应商不按照磋商文件要求提交履约保证金的；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（11）其他不应确定成交供应商的情形。</w:t>
      </w:r>
    </w:p>
    <w:p>
      <w:pPr>
        <w:pStyle w:val="4"/>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96" w:name="_Toc9911"/>
      <w:bookmarkStart w:id="97" w:name="_Toc19451"/>
      <w:bookmarkStart w:id="98" w:name="_Toc517281822"/>
      <w:bookmarkStart w:id="99" w:name="_Toc16781"/>
      <w:bookmarkStart w:id="100" w:name="_Toc234223231"/>
      <w:bookmarkStart w:id="101" w:name="_Toc5129"/>
      <w:bookmarkStart w:id="102" w:name="_Toc287600124"/>
      <w:bookmarkStart w:id="103" w:name="_Toc13936"/>
      <w:bookmarkStart w:id="104" w:name="_Toc28031"/>
      <w:bookmarkStart w:id="105" w:name="_Toc2322"/>
      <w:bookmarkStart w:id="106" w:name="_Toc444891342"/>
      <w:r>
        <w:rPr>
          <w:rFonts w:hint="eastAsia" w:ascii="仿宋" w:hAnsi="仿宋" w:eastAsia="仿宋" w:cs="仿宋"/>
          <w:color w:val="auto"/>
          <w:sz w:val="24"/>
          <w:szCs w:val="24"/>
          <w:highlight w:val="none"/>
        </w:rPr>
        <w:t>（六）授予合同</w:t>
      </w:r>
      <w:bookmarkEnd w:id="96"/>
      <w:bookmarkEnd w:id="97"/>
      <w:bookmarkEnd w:id="98"/>
      <w:bookmarkEnd w:id="99"/>
      <w:bookmarkEnd w:id="100"/>
      <w:bookmarkEnd w:id="101"/>
      <w:bookmarkEnd w:id="102"/>
      <w:bookmarkEnd w:id="103"/>
      <w:bookmarkEnd w:id="104"/>
      <w:bookmarkEnd w:id="105"/>
      <w:bookmarkEnd w:id="106"/>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bookmarkStart w:id="107" w:name="_Toc234223232"/>
      <w:r>
        <w:rPr>
          <w:rFonts w:hint="eastAsia" w:ascii="仿宋" w:hAnsi="仿宋" w:eastAsia="仿宋" w:cs="仿宋"/>
          <w:color w:val="auto"/>
          <w:sz w:val="24"/>
          <w:szCs w:val="24"/>
          <w:highlight w:val="none"/>
        </w:rPr>
        <w:t>22.确定</w:t>
      </w:r>
      <w:bookmarkEnd w:id="107"/>
      <w:r>
        <w:rPr>
          <w:rFonts w:hint="eastAsia" w:ascii="仿宋" w:hAnsi="仿宋" w:eastAsia="仿宋" w:cs="仿宋"/>
          <w:color w:val="auto"/>
          <w:sz w:val="24"/>
          <w:szCs w:val="24"/>
          <w:highlight w:val="none"/>
        </w:rPr>
        <w:t>成交人</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23.1采购人依据磋商小组推荐的成交候选人名单确定成交人，成交人数量</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第15条</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23.2成交人确定后，采购人应当向成交人发出成交通知书。成交通知书对采购人和成交人均具有法律效力。成交人收到成交通知书后放弃成交的，应当承担法律责任。</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23.签订合同</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23.1采购人与成交人按照磋商文件和成交人的响应文件订立书面合同。合同的标的、价款、质量、履行期限等主要条款应当与磋商文件和成交人的响应文件的内容一致。</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23.2 成交人无正当理由不与采购人订立合同，在签订合同时向采购人提出附加条件，将取消其成交资格。给采购人造成损失的，成交人应当予以赔偿。</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23.3磋商文件要求成交人提交履约保证金的，成交人应当按照</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第16条</w:t>
      </w:r>
      <w:r>
        <w:rPr>
          <w:rFonts w:hint="eastAsia" w:ascii="仿宋" w:hAnsi="仿宋" w:eastAsia="仿宋" w:cs="仿宋"/>
          <w:color w:val="auto"/>
          <w:highlight w:val="none"/>
        </w:rPr>
        <w:t>要求的金额和方式递交。成交人如不按要求提交履约保证金，将取消其成交资格。</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23.4成交供应商不履行与采购人订立的合同的，履约保证金不予退还，给采购人造成的损失超过履约保证金数额的，还应当对超过部分予以赔偿；没有提交履约保证金的，应当对采购人的损失承担赔偿责任。</w:t>
      </w:r>
    </w:p>
    <w:p>
      <w:pPr>
        <w:pStyle w:val="4"/>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108" w:name="_Toc24830"/>
      <w:bookmarkStart w:id="109" w:name="_Toc14533"/>
      <w:bookmarkStart w:id="110" w:name="_Toc2638"/>
      <w:bookmarkStart w:id="111" w:name="_Toc234223235"/>
      <w:r>
        <w:rPr>
          <w:rFonts w:hint="eastAsia" w:ascii="仿宋" w:hAnsi="仿宋" w:eastAsia="仿宋" w:cs="仿宋"/>
          <w:color w:val="auto"/>
          <w:sz w:val="24"/>
          <w:szCs w:val="24"/>
          <w:highlight w:val="none"/>
        </w:rPr>
        <w:t>（七）其他</w:t>
      </w:r>
      <w:bookmarkEnd w:id="108"/>
      <w:bookmarkEnd w:id="109"/>
      <w:bookmarkEnd w:id="110"/>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24</w:t>
      </w:r>
      <w:r>
        <w:rPr>
          <w:rFonts w:hint="eastAsia" w:ascii="仿宋" w:hAnsi="仿宋" w:eastAsia="仿宋" w:cs="仿宋"/>
          <w:bCs w:val="0"/>
          <w:color w:val="auto"/>
          <w:sz w:val="24"/>
          <w:szCs w:val="24"/>
          <w:highlight w:val="none"/>
        </w:rPr>
        <w:t>.采购代理服务费</w:t>
      </w:r>
      <w:bookmarkEnd w:id="111"/>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u w:val="single"/>
          <w:lang w:val="en-US" w:eastAsia="zh-CN"/>
        </w:rPr>
        <w:t>第18条</w:t>
      </w:r>
      <w:r>
        <w:rPr>
          <w:rFonts w:hint="eastAsia" w:ascii="仿宋" w:hAnsi="仿宋" w:eastAsia="仿宋" w:cs="仿宋"/>
          <w:color w:val="auto"/>
          <w:sz w:val="24"/>
          <w:highlight w:val="none"/>
        </w:rPr>
        <w:t>。</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25</w:t>
      </w:r>
      <w:r>
        <w:rPr>
          <w:rFonts w:hint="eastAsia" w:ascii="仿宋" w:hAnsi="仿宋" w:eastAsia="仿宋" w:cs="仿宋"/>
          <w:bCs w:val="0"/>
          <w:color w:val="auto"/>
          <w:sz w:val="24"/>
          <w:szCs w:val="24"/>
          <w:highlight w:val="none"/>
        </w:rPr>
        <w:t>.其他情况</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u w:val="single"/>
          <w:lang w:val="en-US" w:eastAsia="zh-CN"/>
        </w:rPr>
        <w:t>第22条</w:t>
      </w:r>
      <w:r>
        <w:rPr>
          <w:rFonts w:hint="eastAsia" w:ascii="仿宋" w:hAnsi="仿宋" w:eastAsia="仿宋" w:cs="仿宋"/>
          <w:color w:val="auto"/>
          <w:sz w:val="24"/>
          <w:highlight w:val="none"/>
          <w:u w:val="single"/>
          <w:lang w:eastAsia="zh-CN"/>
        </w:rPr>
        <w:t>。</w:t>
      </w:r>
      <w:bookmarkStart w:id="112" w:name="_Toc10670"/>
      <w:bookmarkStart w:id="113" w:name="_Toc8109"/>
    </w:p>
    <w:p>
      <w:pPr>
        <w:spacing w:line="360" w:lineRule="auto"/>
        <w:jc w:val="left"/>
        <w:rPr>
          <w:rFonts w:hint="eastAsia" w:ascii="仿宋" w:hAnsi="仿宋" w:eastAsia="仿宋" w:cs="仿宋"/>
          <w:color w:val="auto"/>
          <w:sz w:val="24"/>
          <w:highlight w:val="none"/>
          <w:u w:val="single"/>
          <w:lang w:eastAsia="zh-CN"/>
        </w:rPr>
      </w:pP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2"/>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114" w:name="_Toc21590"/>
      <w:r>
        <w:rPr>
          <w:rFonts w:hint="eastAsia" w:ascii="仿宋" w:hAnsi="仿宋" w:eastAsia="仿宋" w:cs="仿宋"/>
          <w:color w:val="auto"/>
          <w:sz w:val="28"/>
          <w:szCs w:val="28"/>
          <w:highlight w:val="none"/>
        </w:rPr>
        <w:t>第三章 评审办法</w:t>
      </w:r>
      <w:bookmarkEnd w:id="112"/>
      <w:bookmarkEnd w:id="114"/>
    </w:p>
    <w:p>
      <w:pPr>
        <w:pStyle w:val="3"/>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15" w:name="_Toc31780"/>
      <w:bookmarkStart w:id="116" w:name="_Toc7201"/>
      <w:bookmarkStart w:id="117" w:name="_Toc444891344"/>
      <w:bookmarkStart w:id="118" w:name="_Toc517281825"/>
      <w:bookmarkStart w:id="119" w:name="_Toc227057964"/>
      <w:bookmarkStart w:id="120" w:name="_Toc226969358"/>
      <w:r>
        <w:rPr>
          <w:rFonts w:hint="eastAsia" w:ascii="仿宋" w:hAnsi="仿宋" w:eastAsia="仿宋" w:cs="仿宋"/>
          <w:color w:val="auto"/>
          <w:sz w:val="24"/>
          <w:szCs w:val="24"/>
          <w:highlight w:val="none"/>
        </w:rPr>
        <w:t>一、评审程序</w:t>
      </w:r>
      <w:bookmarkEnd w:id="115"/>
      <w:bookmarkEnd w:id="116"/>
      <w:bookmarkEnd w:id="117"/>
      <w:bookmarkEnd w:id="118"/>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磋商小组对响应文件中的相关内容进行评审。评审按照以下程序进行：</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1.熟悉磋商文件；</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2.对响应文件进行初步评审，检查响应文件是否满足磋商文件的初审要求；初步评审中不符合评审标准的，将做否决磋商响应处理；</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3.供应商有以下情形之一的，磋商小组应当否决其磋商响应：</w:t>
      </w:r>
    </w:p>
    <w:p>
      <w:pPr>
        <w:spacing w:line="360" w:lineRule="auto"/>
        <w:ind w:firstLine="367" w:firstLineChars="175"/>
        <w:jc w:val="left"/>
        <w:rPr>
          <w:rFonts w:hint="eastAsia" w:ascii="仿宋" w:hAnsi="仿宋" w:eastAsia="仿宋" w:cs="仿宋"/>
          <w:color w:val="auto"/>
          <w:highlight w:val="none"/>
        </w:rPr>
      </w:pPr>
      <w:r>
        <w:rPr>
          <w:rFonts w:hint="eastAsia" w:ascii="仿宋" w:hAnsi="仿宋" w:eastAsia="仿宋" w:cs="仿宋"/>
          <w:color w:val="auto"/>
          <w:highlight w:val="none"/>
        </w:rPr>
        <w:t>（1）按照磋商公告要求已经递交电子响应文件，但未按要求递交纸质响应文件；</w:t>
      </w:r>
      <w:r>
        <w:rPr>
          <w:rFonts w:hint="eastAsia" w:ascii="仿宋" w:hAnsi="仿宋" w:eastAsia="仿宋" w:cs="仿宋"/>
          <w:i/>
          <w:iCs/>
          <w:color w:val="auto"/>
          <w:kern w:val="0"/>
          <w:sz w:val="24"/>
          <w:highlight w:val="none"/>
        </w:rPr>
        <w:t>（本项目不适用）</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（2）响应文件未经供应商盖章和单位负责人签字；</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（3）允许联合体响应的，联合体没有递交共同响应协议；</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（4）不符合国家或者磋商文件规定的资格条件；</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（5）同一供应商提交两个以上不同的响应文件或者响应报价，但磋商文件要求提交备选文件的除外；</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（6）最终报价低于成本或者高于磋商文件设定的最高投标限价；</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 xml:space="preserve">（7）响应文件未对磋商文件的实质性要求和条件作出响应； </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（8）供应商有串通投标、弄虚作假、行贿等违法行为；</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（9）不接受或不确认因算术性错误进行的价格修正；</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（10）响应文件附有采购人不能接受的条件；</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（11）不符合磋商文件中规定的其他实质性要求。</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4.初步评审</w:t>
      </w:r>
      <w:r>
        <w:rPr>
          <w:rFonts w:hint="eastAsia" w:ascii="仿宋" w:hAnsi="仿宋" w:eastAsia="仿宋" w:cs="仿宋"/>
          <w:color w:val="auto"/>
          <w:highlight w:val="none"/>
          <w:lang w:val="zh-CN"/>
        </w:rPr>
        <w:t>内容允许在磋商过程中按磋商小组规定的时间内补充，若未在规定时间内补充则将导致响应无效。</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5.通过初步评审的供应商分别进行磋商；</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6.通过初步评审的供应商进行最终报价；</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7.通过初步评审的响应文件进行详细评审及打分；</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8.按照综合评分由高到低的次序推荐成交候选人，提交评审结果，评审结果应包含评审情况说明、排名次序、推荐成交候选人名单及其他说明事项。</w:t>
      </w:r>
    </w:p>
    <w:p>
      <w:pPr>
        <w:pStyle w:val="3"/>
        <w:jc w:val="left"/>
        <w:rPr>
          <w:rFonts w:hint="eastAsia" w:ascii="仿宋" w:hAnsi="仿宋" w:eastAsia="仿宋" w:cs="仿宋"/>
          <w:color w:val="auto"/>
          <w:sz w:val="24"/>
          <w:szCs w:val="24"/>
          <w:highlight w:val="none"/>
        </w:rPr>
      </w:pPr>
      <w:bookmarkStart w:id="121" w:name="_Toc517281826"/>
      <w:bookmarkStart w:id="122" w:name="_Toc444891345"/>
      <w:r>
        <w:rPr>
          <w:rFonts w:hint="eastAsia" w:ascii="仿宋" w:hAnsi="仿宋" w:eastAsia="仿宋" w:cs="仿宋"/>
          <w:color w:val="auto"/>
          <w:sz w:val="24"/>
          <w:szCs w:val="24"/>
          <w:highlight w:val="none"/>
        </w:rPr>
        <w:br w:type="page"/>
      </w:r>
      <w:bookmarkStart w:id="123" w:name="_Toc3511"/>
      <w:bookmarkStart w:id="124" w:name="_Toc32019"/>
      <w:r>
        <w:rPr>
          <w:rFonts w:hint="eastAsia" w:ascii="仿宋" w:hAnsi="仿宋" w:eastAsia="仿宋" w:cs="仿宋"/>
          <w:color w:val="auto"/>
          <w:sz w:val="24"/>
          <w:szCs w:val="24"/>
          <w:highlight w:val="none"/>
        </w:rPr>
        <w:t>二、初步评审</w:t>
      </w:r>
      <w:bookmarkEnd w:id="121"/>
      <w:bookmarkEnd w:id="122"/>
      <w:bookmarkEnd w:id="123"/>
      <w:bookmarkEnd w:id="124"/>
    </w:p>
    <w:bookmarkEnd w:id="119"/>
    <w:bookmarkEnd w:id="120"/>
    <w:tbl>
      <w:tblPr>
        <w:tblStyle w:val="15"/>
        <w:tblW w:w="9288"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857"/>
        <w:gridCol w:w="1680"/>
        <w:gridCol w:w="2750"/>
        <w:gridCol w:w="4001"/>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85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68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评审环节</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评审因素</w:t>
            </w:r>
          </w:p>
        </w:tc>
        <w:tc>
          <w:tcPr>
            <w:tcW w:w="4001"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680" w:type="dxa"/>
            <w:vMerge w:val="restart"/>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形式评审标准</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pacing w:val="-4"/>
                <w:sz w:val="24"/>
                <w:szCs w:val="24"/>
                <w:highlight w:val="none"/>
              </w:rPr>
            </w:pPr>
            <w:r>
              <w:rPr>
                <w:rFonts w:hint="eastAsia" w:ascii="仿宋" w:hAnsi="仿宋" w:eastAsia="仿宋" w:cs="仿宋"/>
                <w:color w:val="auto"/>
                <w:sz w:val="24"/>
                <w:szCs w:val="24"/>
                <w:highlight w:val="none"/>
              </w:rPr>
              <w:t>法定代表人（负责人）身份证明</w:t>
            </w:r>
          </w:p>
        </w:tc>
        <w:tc>
          <w:tcPr>
            <w:tcW w:w="4001" w:type="dxa"/>
            <w:tcMar>
              <w:top w:w="0" w:type="dxa"/>
              <w:left w:w="85" w:type="dxa"/>
              <w:bottom w:w="0" w:type="dxa"/>
              <w:right w:w="85" w:type="dxa"/>
            </w:tcMar>
            <w:vAlign w:val="center"/>
          </w:tcPr>
          <w:p>
            <w:pPr>
              <w:pStyle w:val="23"/>
              <w:keepNext w:val="0"/>
              <w:keepLines w:val="0"/>
              <w:suppressLineNumbers w:val="0"/>
              <w:topLinePunct/>
              <w:snapToGrid w:val="0"/>
              <w:spacing w:before="0" w:beforeAutospacing="0" w:after="0" w:afterAutospacing="0"/>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1、提供法定代表人（负责人）身份证复印件。</w:t>
            </w:r>
          </w:p>
          <w:p>
            <w:pPr>
              <w:pStyle w:val="24"/>
              <w:keepNext w:val="0"/>
              <w:keepLines w:val="0"/>
              <w:suppressLineNumbers w:val="0"/>
              <w:tabs>
                <w:tab w:val="left" w:pos="630"/>
              </w:tabs>
              <w:topLinePunct/>
              <w:snapToGrid w:val="0"/>
              <w:spacing w:before="62" w:beforeLines="20" w:beforeAutospacing="0" w:after="62" w:afterLines="2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法定代表人（负责人）授权委托书</w:t>
            </w:r>
          </w:p>
        </w:tc>
        <w:tc>
          <w:tcPr>
            <w:tcW w:w="4001" w:type="dxa"/>
            <w:tcMar>
              <w:top w:w="0" w:type="dxa"/>
              <w:left w:w="85" w:type="dxa"/>
              <w:bottom w:w="0" w:type="dxa"/>
              <w:right w:w="85" w:type="dxa"/>
            </w:tcMar>
            <w:vAlign w:val="center"/>
          </w:tcPr>
          <w:p>
            <w:pPr>
              <w:pStyle w:val="23"/>
              <w:keepNext w:val="0"/>
              <w:keepLines w:val="0"/>
              <w:suppressLineNumbers w:val="0"/>
              <w:topLinePunct/>
              <w:snapToGrid w:val="0"/>
              <w:spacing w:before="0" w:beforeAutospacing="0" w:after="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1、提供委托代理人身份证复印件。</w:t>
            </w:r>
          </w:p>
          <w:p>
            <w:pPr>
              <w:pStyle w:val="23"/>
              <w:keepNext w:val="0"/>
              <w:keepLines w:val="0"/>
              <w:suppressLineNumbers w:val="0"/>
              <w:topLinePunct/>
              <w:snapToGrid w:val="0"/>
              <w:spacing w:before="0" w:beforeAutospacing="0" w:after="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2、落款</w:t>
            </w:r>
            <w:r>
              <w:rPr>
                <w:rFonts w:hint="eastAsia" w:ascii="仿宋" w:hAnsi="仿宋" w:eastAsia="仿宋" w:cs="仿宋"/>
                <w:bCs/>
                <w:color w:val="auto"/>
                <w:sz w:val="24"/>
                <w:szCs w:val="24"/>
                <w:highlight w:val="none"/>
              </w:rPr>
              <w:t>加盖公章</w:t>
            </w:r>
            <w:r>
              <w:rPr>
                <w:rFonts w:hint="eastAsia" w:ascii="仿宋" w:hAnsi="仿宋" w:eastAsia="仿宋" w:cs="仿宋"/>
                <w:b/>
                <w:bCs/>
                <w:color w:val="auto"/>
                <w:sz w:val="24"/>
                <w:szCs w:val="24"/>
                <w:highlight w:val="none"/>
              </w:rPr>
              <w:t>并由</w:t>
            </w:r>
            <w:r>
              <w:rPr>
                <w:rFonts w:hint="eastAsia" w:ascii="仿宋" w:hAnsi="仿宋" w:eastAsia="仿宋" w:cs="仿宋"/>
                <w:color w:val="auto"/>
                <w:sz w:val="24"/>
                <w:szCs w:val="24"/>
                <w:highlight w:val="none"/>
              </w:rPr>
              <w:t>法定代表人（负责人）签字</w:t>
            </w:r>
            <w:r>
              <w:rPr>
                <w:rFonts w:hint="eastAsia" w:ascii="仿宋" w:hAnsi="仿宋" w:eastAsia="仿宋" w:cs="仿宋"/>
                <w:b/>
                <w:bCs/>
                <w:color w:val="auto"/>
                <w:sz w:val="24"/>
                <w:szCs w:val="24"/>
                <w:highlight w:val="none"/>
              </w:rPr>
              <w:t>和</w:t>
            </w:r>
            <w:r>
              <w:rPr>
                <w:rFonts w:hint="eastAsia" w:ascii="仿宋" w:hAnsi="仿宋" w:eastAsia="仿宋" w:cs="仿宋"/>
                <w:color w:val="auto"/>
                <w:sz w:val="24"/>
                <w:szCs w:val="24"/>
                <w:highlight w:val="none"/>
              </w:rPr>
              <w:t>其委托代理人</w:t>
            </w:r>
            <w:r>
              <w:rPr>
                <w:rFonts w:hint="eastAsia" w:ascii="仿宋" w:hAnsi="仿宋" w:eastAsia="仿宋" w:cs="仿宋"/>
                <w:b/>
                <w:bCs/>
                <w:color w:val="auto"/>
                <w:sz w:val="24"/>
                <w:szCs w:val="24"/>
                <w:highlight w:val="none"/>
              </w:rPr>
              <w:t>双方</w:t>
            </w:r>
            <w:r>
              <w:rPr>
                <w:rFonts w:hint="eastAsia" w:ascii="仿宋" w:hAnsi="仿宋" w:eastAsia="仿宋" w:cs="仿宋"/>
                <w:bCs/>
                <w:color w:val="auto"/>
                <w:sz w:val="24"/>
                <w:szCs w:val="24"/>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响应文件签字或盖章</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1、上述两款以外的响应文件格式中有落款的文件，</w:t>
            </w:r>
            <w:r>
              <w:rPr>
                <w:rFonts w:hint="eastAsia" w:ascii="仿宋" w:hAnsi="仿宋" w:eastAsia="仿宋" w:cs="仿宋"/>
                <w:b/>
                <w:color w:val="auto"/>
                <w:sz w:val="24"/>
                <w:szCs w:val="24"/>
                <w:highlight w:val="none"/>
              </w:rPr>
              <w:t>均需</w:t>
            </w:r>
            <w:r>
              <w:rPr>
                <w:rFonts w:hint="eastAsia" w:ascii="仿宋" w:hAnsi="仿宋" w:eastAsia="仿宋" w:cs="仿宋"/>
                <w:color w:val="auto"/>
                <w:sz w:val="24"/>
                <w:szCs w:val="24"/>
                <w:highlight w:val="none"/>
              </w:rPr>
              <w:t>加盖公章</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由法定代表人（负责人）签字</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其委托代理人签字。</w:t>
            </w:r>
          </w:p>
          <w:p>
            <w:pPr>
              <w:pStyle w:val="18"/>
              <w:keepNext w:val="0"/>
              <w:keepLines w:val="0"/>
              <w:widowControl/>
              <w:suppressLineNumbers w:val="0"/>
              <w:snapToGrid w:val="0"/>
              <w:spacing w:before="62" w:beforeLines="20" w:beforeAutospacing="0" w:after="62" w:afterLines="2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2、响应文件的所有签字处均指手写签字</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签名章/印章</w:t>
            </w:r>
            <w:r>
              <w:rPr>
                <w:rFonts w:hint="eastAsia" w:ascii="仿宋" w:hAnsi="仿宋" w:eastAsia="仿宋" w:cs="仿宋"/>
                <w:b/>
                <w:bCs/>
                <w:color w:val="auto"/>
                <w:sz w:val="24"/>
                <w:szCs w:val="24"/>
                <w:highlight w:val="none"/>
              </w:rPr>
              <w:t>或</w:t>
            </w:r>
            <w:r>
              <w:rPr>
                <w:rFonts w:hint="eastAsia" w:ascii="仿宋" w:hAnsi="仿宋" w:eastAsia="仿宋" w:cs="仿宋"/>
                <w:color w:val="auto"/>
                <w:sz w:val="24"/>
                <w:szCs w:val="24"/>
                <w:highlight w:val="none"/>
              </w:rPr>
              <w:t>CA签名章，</w:t>
            </w:r>
            <w:r>
              <w:rPr>
                <w:rFonts w:hint="eastAsia" w:ascii="仿宋" w:hAnsi="仿宋" w:eastAsia="仿宋" w:cs="仿宋"/>
                <w:b/>
                <w:color w:val="auto"/>
                <w:sz w:val="24"/>
                <w:szCs w:val="24"/>
                <w:highlight w:val="none"/>
              </w:rPr>
              <w:t>不得</w:t>
            </w:r>
            <w:r>
              <w:rPr>
                <w:rFonts w:hint="eastAsia" w:ascii="仿宋" w:hAnsi="仿宋" w:eastAsia="仿宋" w:cs="仿宋"/>
                <w:color w:val="auto"/>
                <w:sz w:val="24"/>
                <w:szCs w:val="24"/>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680" w:type="dxa"/>
            <w:vMerge w:val="restart"/>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资格评审标准</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在中华人民共和国境内依法登记的法人或其他组织，具有独立承担民事责任的能力</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具有良好的商业信誉和健全的财务会计制度</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具有履行合同所必需的设备和专业技术能力</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具有依法缴纳税收和社会保障资金的良好记录</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经营状况良好，且近三年内（2023年1月1日至今）无违法违规记录</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未被</w:t>
            </w:r>
            <w:r>
              <w:rPr>
                <w:rFonts w:hint="eastAsia" w:ascii="仿宋" w:hAnsi="仿宋" w:eastAsia="仿宋" w:cs="仿宋"/>
                <w:color w:val="auto"/>
                <w:sz w:val="24"/>
                <w:szCs w:val="24"/>
                <w:highlight w:val="none"/>
              </w:rPr>
              <w:t>列入采购人及其所隶属的中国人民保险各级机构的供应商黑名单且在禁入期内</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控股管理关系</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非联合体</w:t>
            </w:r>
            <w:r>
              <w:rPr>
                <w:rFonts w:hint="eastAsia" w:ascii="仿宋" w:hAnsi="仿宋" w:eastAsia="仿宋" w:cs="仿宋"/>
                <w:color w:val="auto"/>
                <w:sz w:val="24"/>
                <w:szCs w:val="24"/>
                <w:highlight w:val="none"/>
                <w:lang w:val="en-US" w:eastAsia="zh-CN"/>
              </w:rPr>
              <w:t>响应</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特殊资质条件</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680" w:type="dxa"/>
            <w:vMerge w:val="restart"/>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响应性评审标准</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响应函</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除填写双方名称、项目名称外，未修改原文内容。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供应商行为准则承诺书</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供应商廉洁诚信承诺书</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供应商偏离应答</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《供应商须知应答偏离表》、《合同条款应答偏离表》、《采购需求应答偏离表》》进行了符合第二章“供应商须知”的应答</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bookmarkStart w:id="125" w:name="_Toc25550"/>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其他实质性响应情况</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磋商文件中标识“★”条款、注明“磋商响应将被否决”、“对其响应做否决处理”等的条款，均为实质性条款，不满足任意一项实质性条款的响应将被否决。</w:t>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pPr>
        <w:pStyle w:val="3"/>
        <w:keepNext w:val="0"/>
        <w:keepLines w:val="0"/>
        <w:pageBreakBefore w:val="0"/>
        <w:widowControl w:val="0"/>
        <w:kinsoku/>
        <w:wordWrap/>
        <w:overflowPunct/>
        <w:topLinePunct w:val="0"/>
        <w:autoSpaceDE w:val="0"/>
        <w:autoSpaceDN w:val="0"/>
        <w:bidi w:val="0"/>
        <w:adjustRightInd w:val="0"/>
        <w:snapToGrid w:val="0"/>
        <w:spacing w:before="0" w:after="0"/>
        <w:ind w:right="0"/>
        <w:jc w:val="both"/>
        <w:textAlignment w:val="auto"/>
        <w:rPr>
          <w:rFonts w:hint="eastAsia" w:ascii="仿宋" w:hAnsi="仿宋" w:eastAsia="仿宋" w:cs="仿宋"/>
          <w:color w:val="auto"/>
          <w:sz w:val="24"/>
          <w:szCs w:val="24"/>
          <w:highlight w:val="none"/>
        </w:rPr>
      </w:pPr>
      <w:bookmarkStart w:id="126" w:name="_Toc11771"/>
      <w:r>
        <w:rPr>
          <w:rFonts w:hint="eastAsia" w:ascii="仿宋" w:hAnsi="仿宋" w:eastAsia="仿宋" w:cs="仿宋"/>
          <w:color w:val="auto"/>
          <w:sz w:val="24"/>
          <w:szCs w:val="24"/>
          <w:highlight w:val="none"/>
        </w:rPr>
        <w:t>三、详细评审</w:t>
      </w:r>
      <w:bookmarkEnd w:id="125"/>
      <w:bookmarkEnd w:id="126"/>
    </w:p>
    <w:p>
      <w:pPr>
        <w:pStyle w:val="7"/>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3.1本项目采用综合评分法</w:t>
      </w:r>
    </w:p>
    <w:p>
      <w:pPr>
        <w:pStyle w:val="7"/>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3.2 评分明细：</w:t>
      </w:r>
    </w:p>
    <w:p>
      <w:pPr>
        <w:pStyle w:val="7"/>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采购评审标准由项目</w:t>
      </w:r>
      <w:r>
        <w:rPr>
          <w:rFonts w:hint="eastAsia" w:ascii="仿宋" w:hAnsi="仿宋" w:eastAsia="仿宋" w:cs="仿宋"/>
          <w:i w:val="0"/>
          <w:iCs/>
          <w:color w:val="auto"/>
          <w:szCs w:val="32"/>
          <w:highlight w:val="none"/>
        </w:rPr>
        <w:t>最终报价、</w:t>
      </w:r>
      <w:r>
        <w:rPr>
          <w:rFonts w:hint="eastAsia" w:ascii="仿宋" w:hAnsi="仿宋" w:eastAsia="仿宋" w:cs="仿宋"/>
          <w:i w:val="0"/>
          <w:iCs/>
          <w:color w:val="auto"/>
          <w:szCs w:val="32"/>
          <w:highlight w:val="none"/>
          <w:lang w:val="en-US" w:eastAsia="zh-CN"/>
        </w:rPr>
        <w:t>商务部分、技术部分</w:t>
      </w:r>
      <w:r>
        <w:rPr>
          <w:rFonts w:hint="eastAsia" w:ascii="仿宋" w:hAnsi="仿宋" w:eastAsia="仿宋" w:cs="仿宋"/>
          <w:color w:val="auto"/>
          <w:highlight w:val="none"/>
        </w:rPr>
        <w:t>三项标准构成，评审专家将依据磋商邀请文件要求，结合项目最终报价表、</w:t>
      </w:r>
      <w:r>
        <w:rPr>
          <w:rFonts w:hint="eastAsia" w:ascii="仿宋" w:hAnsi="仿宋" w:eastAsia="仿宋" w:cs="仿宋"/>
          <w:i w:val="0"/>
          <w:iCs/>
          <w:color w:val="auto"/>
          <w:szCs w:val="32"/>
          <w:highlight w:val="none"/>
          <w:lang w:val="en-US" w:eastAsia="zh-CN"/>
        </w:rPr>
        <w:t>商务部分、技术部分</w:t>
      </w:r>
      <w:r>
        <w:rPr>
          <w:rFonts w:hint="eastAsia" w:ascii="仿宋" w:hAnsi="仿宋" w:eastAsia="仿宋" w:cs="仿宋"/>
          <w:color w:val="auto"/>
          <w:highlight w:val="none"/>
        </w:rPr>
        <w:t>等情况进行评分。各有效供应商的综合得分为各评审专家所评分值的算术平均值，若总得分相同，以价格得分高者排序在先。将把合同授予被确定为实质上响应磋商文件要求且评标得分最高的供应商。</w:t>
      </w:r>
    </w:p>
    <w:p>
      <w:pPr>
        <w:pStyle w:val="7"/>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评审标准如下：</w:t>
      </w:r>
    </w:p>
    <w:bookmarkEnd w:id="113"/>
    <w:tbl>
      <w:tblPr>
        <w:tblStyle w:val="15"/>
        <w:tblW w:w="98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697"/>
        <w:gridCol w:w="829"/>
        <w:gridCol w:w="1007"/>
        <w:gridCol w:w="6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66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b/>
                <w:bCs/>
                <w:color w:val="auto"/>
                <w:sz w:val="21"/>
                <w:szCs w:val="21"/>
                <w:highlight w:val="none"/>
              </w:rPr>
            </w:pPr>
            <w:bookmarkStart w:id="127" w:name="_Toc4181"/>
            <w:r>
              <w:rPr>
                <w:rFonts w:hint="eastAsia" w:ascii="仿宋" w:hAnsi="仿宋" w:eastAsia="仿宋" w:cs="仿宋"/>
                <w:b/>
                <w:bCs/>
                <w:color w:val="auto"/>
                <w:sz w:val="21"/>
                <w:szCs w:val="21"/>
                <w:highlight w:val="none"/>
              </w:rPr>
              <w:t>序号</w:t>
            </w:r>
          </w:p>
        </w:tc>
        <w:tc>
          <w:tcPr>
            <w:tcW w:w="1526" w:type="dxa"/>
            <w:gridSpan w:val="2"/>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评分项目</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分值</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tcMar>
              <w:top w:w="0" w:type="dxa"/>
              <w:left w:w="85" w:type="dxa"/>
              <w:bottom w:w="0" w:type="dxa"/>
              <w:right w:w="85" w:type="dxa"/>
            </w:tcMar>
            <w:vAlign w:val="center"/>
          </w:tcPr>
          <w:p>
            <w:pPr>
              <w:keepNext w:val="0"/>
              <w:keepLines w:val="0"/>
              <w:widowControl/>
              <w:numPr>
                <w:ilvl w:val="0"/>
                <w:numId w:val="2"/>
              </w:numPr>
              <w:suppressLineNumbers w:val="0"/>
              <w:autoSpaceDE w:val="0"/>
              <w:autoSpaceDN w:val="0"/>
              <w:adjustRightInd w:val="0"/>
              <w:snapToGrid w:val="0"/>
              <w:spacing w:before="0" w:beforeAutospacing="0" w:after="0" w:afterAutospacing="0" w:line="300" w:lineRule="auto"/>
              <w:ind w:right="0"/>
              <w:jc w:val="center"/>
              <w:rPr>
                <w:rFonts w:hint="eastAsia" w:ascii="仿宋" w:hAnsi="仿宋" w:eastAsia="仿宋" w:cs="仿宋"/>
                <w:color w:val="auto"/>
                <w:sz w:val="21"/>
                <w:szCs w:val="21"/>
                <w:highlight w:val="none"/>
                <w:lang w:val="zh-CN"/>
              </w:rPr>
            </w:pPr>
          </w:p>
        </w:tc>
        <w:tc>
          <w:tcPr>
            <w:tcW w:w="69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价格部分</w:t>
            </w:r>
            <w:r>
              <w:rPr>
                <w:rFonts w:hint="eastAsia" w:ascii="仿宋" w:hAnsi="仿宋" w:eastAsia="仿宋" w:cs="仿宋"/>
                <w:color w:val="auto"/>
                <w:sz w:val="21"/>
                <w:szCs w:val="21"/>
                <w:highlight w:val="none"/>
                <w:lang w:val="en-US" w:eastAsia="zh-CN"/>
              </w:rPr>
              <w:t>40</w:t>
            </w:r>
            <w:r>
              <w:rPr>
                <w:rFonts w:hint="eastAsia" w:ascii="仿宋" w:hAnsi="仿宋" w:eastAsia="仿宋" w:cs="仿宋"/>
                <w:color w:val="auto"/>
                <w:sz w:val="21"/>
                <w:szCs w:val="21"/>
                <w:highlight w:val="none"/>
              </w:rPr>
              <w:t>%</w:t>
            </w: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报价</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40</w:t>
            </w:r>
            <w:r>
              <w:rPr>
                <w:rFonts w:hint="eastAsia" w:ascii="仿宋" w:hAnsi="仿宋" w:eastAsia="仿宋" w:cs="仿宋"/>
                <w:color w:val="auto"/>
                <w:sz w:val="21"/>
                <w:szCs w:val="21"/>
                <w:highlight w:val="none"/>
              </w:rPr>
              <w:t>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评分法中的价格分采用低价优先法计算，即满足</w:t>
            </w:r>
            <w:r>
              <w:rPr>
                <w:rFonts w:hint="eastAsia" w:ascii="仿宋" w:hAnsi="仿宋" w:eastAsia="仿宋" w:cs="仿宋"/>
                <w:b w:val="0"/>
                <w:bCs w:val="0"/>
                <w:color w:val="auto"/>
                <w:sz w:val="21"/>
                <w:szCs w:val="21"/>
                <w:highlight w:val="none"/>
                <w:lang w:val="en-US" w:eastAsia="zh-CN"/>
              </w:rPr>
              <w:t>磋商</w:t>
            </w:r>
            <w:r>
              <w:rPr>
                <w:rFonts w:hint="eastAsia" w:ascii="仿宋" w:hAnsi="仿宋" w:eastAsia="仿宋" w:cs="仿宋"/>
                <w:b w:val="0"/>
                <w:bCs w:val="0"/>
                <w:color w:val="auto"/>
                <w:sz w:val="21"/>
                <w:szCs w:val="21"/>
                <w:highlight w:val="none"/>
              </w:rPr>
              <w:t>文件要求且最低的评审价格为评标基准价，等于评标基准价得</w:t>
            </w:r>
            <w:r>
              <w:rPr>
                <w:rFonts w:hint="eastAsia" w:ascii="仿宋" w:hAnsi="仿宋" w:eastAsia="仿宋" w:cs="仿宋"/>
                <w:b w:val="0"/>
                <w:bCs w:val="0"/>
                <w:color w:val="auto"/>
                <w:sz w:val="21"/>
                <w:szCs w:val="21"/>
                <w:highlight w:val="none"/>
                <w:lang w:val="en-US" w:eastAsia="zh-CN"/>
              </w:rPr>
              <w:t>40</w:t>
            </w:r>
            <w:r>
              <w:rPr>
                <w:rFonts w:hint="eastAsia" w:ascii="仿宋" w:hAnsi="仿宋" w:eastAsia="仿宋" w:cs="仿宋"/>
                <w:b w:val="0"/>
                <w:bCs w:val="0"/>
                <w:color w:val="auto"/>
                <w:sz w:val="21"/>
                <w:szCs w:val="21"/>
                <w:highlight w:val="none"/>
              </w:rPr>
              <w:t>分。其他供应商的价格分统一按照下列公式计算，精确到小数点后两位：</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供应商报价得分＝（评标基准价/评审价格）×</w:t>
            </w:r>
            <w:r>
              <w:rPr>
                <w:rFonts w:hint="eastAsia" w:ascii="仿宋" w:hAnsi="仿宋" w:eastAsia="仿宋" w:cs="仿宋"/>
                <w:b w:val="0"/>
                <w:bCs w:val="0"/>
                <w:color w:val="auto"/>
                <w:sz w:val="21"/>
                <w:szCs w:val="21"/>
                <w:highlight w:val="none"/>
                <w:lang w:val="en-US" w:eastAsia="zh-CN"/>
              </w:rPr>
              <w:t>40</w:t>
            </w:r>
            <w:r>
              <w:rPr>
                <w:rFonts w:hint="eastAsia" w:ascii="仿宋" w:hAnsi="仿宋" w:eastAsia="仿宋" w:cs="仿宋"/>
                <w:b w:val="0"/>
                <w:bCs w:val="0"/>
                <w:color w:val="auto"/>
                <w:sz w:val="21"/>
                <w:szCs w:val="21"/>
                <w:highlight w:val="none"/>
              </w:rPr>
              <w:t>；</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注：评审价格按照如下方式定义：</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对于承诺提供增值税专用发票的供应商，评审价格即不含税</w:t>
            </w:r>
            <w:r>
              <w:rPr>
                <w:rFonts w:hint="eastAsia" w:ascii="仿宋" w:hAnsi="仿宋" w:eastAsia="仿宋" w:cs="仿宋"/>
                <w:b/>
                <w:bCs/>
                <w:color w:val="auto"/>
                <w:sz w:val="21"/>
                <w:szCs w:val="21"/>
                <w:highlight w:val="none"/>
                <w:lang w:eastAsia="zh-CN"/>
              </w:rPr>
              <w:t>的</w:t>
            </w:r>
            <w:r>
              <w:rPr>
                <w:rFonts w:hint="eastAsia" w:ascii="仿宋" w:hAnsi="仿宋" w:eastAsia="仿宋" w:cs="仿宋"/>
                <w:b/>
                <w:bCs/>
                <w:color w:val="auto"/>
                <w:sz w:val="21"/>
                <w:szCs w:val="21"/>
                <w:highlight w:val="none"/>
                <w:lang w:val="en-US" w:eastAsia="zh-CN"/>
              </w:rPr>
              <w:t>响应</w:t>
            </w:r>
            <w:r>
              <w:rPr>
                <w:rFonts w:hint="eastAsia" w:ascii="仿宋" w:hAnsi="仿宋" w:eastAsia="仿宋" w:cs="仿宋"/>
                <w:b/>
                <w:bCs/>
                <w:color w:val="auto"/>
                <w:sz w:val="21"/>
                <w:szCs w:val="21"/>
                <w:highlight w:val="none"/>
              </w:rPr>
              <w:t>总价净价；</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对于不能提供增值税专用发票的供应商，评审价格是含税的</w:t>
            </w:r>
            <w:r>
              <w:rPr>
                <w:rFonts w:hint="eastAsia" w:ascii="仿宋" w:hAnsi="仿宋" w:eastAsia="仿宋" w:cs="仿宋"/>
                <w:b/>
                <w:bCs/>
                <w:color w:val="auto"/>
                <w:sz w:val="21"/>
                <w:szCs w:val="21"/>
                <w:highlight w:val="none"/>
                <w:lang w:val="en-US" w:eastAsia="zh-CN"/>
              </w:rPr>
              <w:t>响应</w:t>
            </w:r>
            <w:r>
              <w:rPr>
                <w:rFonts w:hint="eastAsia" w:ascii="仿宋" w:hAnsi="仿宋" w:eastAsia="仿宋" w:cs="仿宋"/>
                <w:b/>
                <w:bCs/>
                <w:color w:val="auto"/>
                <w:sz w:val="21"/>
                <w:szCs w:val="21"/>
                <w:highlight w:val="none"/>
              </w:rPr>
              <w:t>总价。</w:t>
            </w:r>
          </w:p>
          <w:p>
            <w:pPr>
              <w:keepNext w:val="0"/>
              <w:keepLines w:val="0"/>
              <w:widowControl/>
              <w:suppressLineNumbers w:val="0"/>
              <w:snapToGrid w:val="0"/>
              <w:spacing w:before="0" w:beforeAutospacing="0" w:after="0" w:afterAutospacing="0" w:line="300" w:lineRule="auto"/>
              <w:ind w:left="0" w:right="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报价得分最终结果四舍五入保留小数点后两位。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restart"/>
            <w:tcMar>
              <w:top w:w="0" w:type="dxa"/>
              <w:left w:w="85" w:type="dxa"/>
              <w:bottom w:w="0" w:type="dxa"/>
              <w:right w:w="85" w:type="dxa"/>
            </w:tcMar>
            <w:vAlign w:val="center"/>
          </w:tcPr>
          <w:p>
            <w:pPr>
              <w:keepNext w:val="0"/>
              <w:keepLines w:val="0"/>
              <w:widowControl/>
              <w:numPr>
                <w:ilvl w:val="0"/>
                <w:numId w:val="2"/>
              </w:numPr>
              <w:suppressLineNumbers w:val="0"/>
              <w:autoSpaceDE w:val="0"/>
              <w:autoSpaceDN w:val="0"/>
              <w:adjustRightInd w:val="0"/>
              <w:snapToGrid w:val="0"/>
              <w:spacing w:before="0" w:beforeAutospacing="0" w:after="0" w:afterAutospacing="0" w:line="300" w:lineRule="auto"/>
              <w:ind w:right="0"/>
              <w:jc w:val="center"/>
              <w:rPr>
                <w:rFonts w:hint="eastAsia" w:ascii="仿宋" w:hAnsi="仿宋" w:eastAsia="仿宋" w:cs="仿宋"/>
                <w:color w:val="auto"/>
                <w:sz w:val="21"/>
                <w:szCs w:val="21"/>
                <w:highlight w:val="none"/>
                <w:lang w:val="zh-CN"/>
              </w:rPr>
            </w:pPr>
          </w:p>
        </w:tc>
        <w:tc>
          <w:tcPr>
            <w:tcW w:w="69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商务部分</w:t>
            </w:r>
          </w:p>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w:t>
            </w: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企业综合实力</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根据</w:t>
            </w:r>
            <w:r>
              <w:rPr>
                <w:rFonts w:hint="eastAsia" w:ascii="仿宋" w:hAnsi="仿宋" w:eastAsia="仿宋" w:cs="仿宋"/>
                <w:color w:val="auto"/>
                <w:kern w:val="0"/>
                <w:sz w:val="21"/>
                <w:szCs w:val="21"/>
                <w:highlight w:val="none"/>
                <w:lang w:val="en-US" w:eastAsia="zh-CN" w:bidi="ar"/>
              </w:rPr>
              <w:t>供应商</w:t>
            </w:r>
            <w:r>
              <w:rPr>
                <w:rFonts w:hint="eastAsia" w:ascii="仿宋" w:hAnsi="仿宋" w:eastAsia="仿宋" w:cs="仿宋"/>
                <w:color w:val="auto"/>
                <w:kern w:val="0"/>
                <w:sz w:val="21"/>
                <w:szCs w:val="21"/>
                <w:highlight w:val="none"/>
                <w:lang w:bidi="ar"/>
              </w:rPr>
              <w:t>财务状况（营业收入、净利润）、信誉状况、人员储备等情况进行横向比较评分（需提供相应证明材料），评价为优得4-5分，较优得2-3分，一般得0-1分。</w:t>
            </w:r>
          </w:p>
          <w:p>
            <w:pPr>
              <w:keepNext w:val="0"/>
              <w:keepLines w:val="0"/>
              <w:widowControl/>
              <w:suppressLineNumbers w:val="0"/>
              <w:snapToGrid w:val="0"/>
              <w:spacing w:before="0" w:beforeAutospacing="0" w:after="0" w:afterAutospacing="0" w:line="300" w:lineRule="auto"/>
              <w:ind w:left="0" w:leftChars="0" w:right="0" w:rightChars="0"/>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注：提供相关证明资料并加盖供应商单位公章。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continue"/>
            <w:tcMar>
              <w:top w:w="0" w:type="dxa"/>
              <w:left w:w="85" w:type="dxa"/>
              <w:bottom w:w="0" w:type="dxa"/>
              <w:right w:w="85" w:type="dxa"/>
            </w:tcMar>
            <w:vAlign w:val="center"/>
          </w:tcPr>
          <w:p>
            <w:pPr>
              <w:keepNext w:val="0"/>
              <w:keepLines w:val="0"/>
              <w:widowControl/>
              <w:suppressLineNumbers w:val="0"/>
              <w:autoSpaceDE w:val="0"/>
              <w:autoSpaceDN w:val="0"/>
              <w:adjustRightInd w:val="0"/>
              <w:snapToGrid w:val="0"/>
              <w:spacing w:before="0" w:beforeAutospacing="0" w:after="0" w:afterAutospacing="0" w:line="300" w:lineRule="auto"/>
              <w:ind w:left="0" w:right="0"/>
              <w:jc w:val="center"/>
              <w:rPr>
                <w:rFonts w:hint="eastAsia" w:ascii="仿宋" w:hAnsi="仿宋" w:eastAsia="仿宋" w:cs="仿宋"/>
                <w:color w:val="auto"/>
                <w:sz w:val="21"/>
                <w:szCs w:val="21"/>
                <w:highlight w:val="none"/>
                <w:lang w:val="zh-CN"/>
              </w:rPr>
            </w:pPr>
          </w:p>
        </w:tc>
        <w:tc>
          <w:tcPr>
            <w:tcW w:w="69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both"/>
              <w:textAlignment w:val="center"/>
              <w:rPr>
                <w:rFonts w:hint="eastAsia" w:ascii="仿宋" w:hAnsi="仿宋" w:eastAsia="仿宋" w:cs="仿宋"/>
                <w:color w:val="auto"/>
                <w:sz w:val="21"/>
                <w:szCs w:val="21"/>
                <w:highlight w:val="none"/>
              </w:rPr>
            </w:pPr>
          </w:p>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同类业绩</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p>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除资格业绩外，供应商自2023年1月1日至今，具有1个同类项目实施案例（同类项目实施案例指：宣传投放或活动宣传等类似案例）的，得2分；具有2个同类项目实施案例的，得4分；具有3个及以上同类项目实施案例的，得5分。本项最高得5分。</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注：</w:t>
            </w:r>
            <w:r>
              <w:rPr>
                <w:rFonts w:hint="eastAsia" w:ascii="仿宋" w:hAnsi="仿宋" w:eastAsia="仿宋" w:cs="仿宋"/>
                <w:b/>
                <w:bCs/>
                <w:color w:val="auto"/>
                <w:sz w:val="21"/>
                <w:szCs w:val="21"/>
                <w:highlight w:val="none"/>
              </w:rPr>
              <w:t>（1）以上业绩需提供服务合同复印件，</w:t>
            </w:r>
            <w:r>
              <w:rPr>
                <w:rFonts w:hint="eastAsia" w:ascii="仿宋" w:hAnsi="仿宋" w:eastAsia="仿宋" w:cs="仿宋"/>
                <w:b/>
                <w:bCs/>
                <w:color w:val="auto"/>
                <w:sz w:val="21"/>
                <w:szCs w:val="21"/>
                <w:highlight w:val="none"/>
                <w:lang w:val="en-US" w:eastAsia="zh-CN"/>
              </w:rPr>
              <w:t>业绩时间以服务合同签订时间为准，合同扫描件中应包含关键页（包括但不限于合同首页、合同金额、服务内容、签字盖章等）；供应商和同一业主签订的多个独立实施案例服务合同可分别计分。</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kern w:val="0"/>
                <w:sz w:val="21"/>
                <w:szCs w:val="21"/>
                <w:highlight w:val="none"/>
                <w:lang w:bidi="ar"/>
              </w:rPr>
            </w:pP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rPr>
              <w:t>）未按以上要求提供资料或提供资料不全的，视为无效。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restart"/>
            <w:tcMar>
              <w:top w:w="0" w:type="dxa"/>
              <w:left w:w="85" w:type="dxa"/>
              <w:bottom w:w="0" w:type="dxa"/>
              <w:right w:w="85" w:type="dxa"/>
            </w:tcMar>
            <w:vAlign w:val="center"/>
          </w:tcPr>
          <w:p>
            <w:pPr>
              <w:keepNext w:val="0"/>
              <w:keepLines w:val="0"/>
              <w:widowControl/>
              <w:numPr>
                <w:ilvl w:val="0"/>
                <w:numId w:val="2"/>
              </w:numPr>
              <w:suppressLineNumbers w:val="0"/>
              <w:autoSpaceDE w:val="0"/>
              <w:autoSpaceDN w:val="0"/>
              <w:adjustRightInd w:val="0"/>
              <w:snapToGrid w:val="0"/>
              <w:spacing w:before="0" w:beforeAutospacing="0" w:after="0" w:afterAutospacing="0" w:line="300" w:lineRule="auto"/>
              <w:ind w:right="0"/>
              <w:jc w:val="center"/>
              <w:rPr>
                <w:rFonts w:hint="eastAsia" w:ascii="仿宋" w:hAnsi="仿宋" w:eastAsia="仿宋" w:cs="仿宋"/>
                <w:color w:val="auto"/>
                <w:sz w:val="21"/>
                <w:szCs w:val="21"/>
                <w:highlight w:val="none"/>
                <w:lang w:val="zh-CN"/>
              </w:rPr>
            </w:pPr>
          </w:p>
        </w:tc>
        <w:tc>
          <w:tcPr>
            <w:tcW w:w="69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技术部分</w:t>
            </w:r>
          </w:p>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50</w:t>
            </w:r>
            <w:r>
              <w:rPr>
                <w:rFonts w:hint="eastAsia" w:ascii="仿宋" w:hAnsi="仿宋" w:eastAsia="仿宋" w:cs="仿宋"/>
                <w:color w:val="auto"/>
                <w:sz w:val="21"/>
                <w:szCs w:val="21"/>
                <w:highlight w:val="none"/>
              </w:rPr>
              <w:t>%</w:t>
            </w: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管理</w:t>
            </w:r>
            <w:r>
              <w:rPr>
                <w:rFonts w:hint="eastAsia" w:ascii="仿宋" w:hAnsi="仿宋" w:eastAsia="仿宋" w:cs="仿宋"/>
                <w:color w:val="auto"/>
                <w:sz w:val="21"/>
                <w:szCs w:val="21"/>
                <w:highlight w:val="none"/>
                <w:lang w:eastAsia="zh-CN"/>
              </w:rPr>
              <w:t>方案</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针对本项目制定的管理方案进行评分，方案包括但不限于服务人员行为规范、保密制度、安全管理制度、数据管理流程等。对</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提供的方案完善性、全面性以及和项目匹配性。</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（1）优（8-10分）：方案内容完整、全面、无缺失，工作流程清晰、逻辑严密，计划完善明确、具备可操作性，各项措施内容完善、科学合理、契合项目需求；</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较优（5-7分）：方案内容基本完整、覆盖全部方案内容、但存在细节缺失，工作流程基本清晰、但关键环节描述较模糊，计划较完善、具备一定的可操作性，各项措施内容基本完整、具备合理性、具备一定的可行性、较为契合项目需求；</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（3）一般（2-4分）：方案内容仅满足基本框架要求，存在部分缺失，工作流程描述笼统、缺乏可行性，各项措施基本为原则性声明、没有具体实施路径或说明，与项目需求契合度低；</w:t>
            </w:r>
          </w:p>
          <w:p>
            <w:pPr>
              <w:keepNext w:val="0"/>
              <w:keepLines w:val="0"/>
              <w:widowControl/>
              <w:suppressLineNumbers w:val="0"/>
              <w:snapToGrid w:val="0"/>
              <w:spacing w:before="0" w:beforeAutospacing="0" w:after="0" w:afterAutospacing="0" w:line="300" w:lineRule="auto"/>
              <w:ind w:left="0" w:leftChars="0" w:right="0" w:right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（4）差（0-1分）：方案内容严重缺失、仅有标题或大纲内容，逻辑矛盾或脱离实际、不具备可行性，套用其他项目内容，未响应项目需求或与项目需求明显冲突。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continue"/>
            <w:tcMar>
              <w:top w:w="0" w:type="dxa"/>
              <w:left w:w="85" w:type="dxa"/>
              <w:bottom w:w="0" w:type="dxa"/>
              <w:right w:w="85" w:type="dxa"/>
            </w:tcMar>
            <w:vAlign w:val="center"/>
          </w:tcPr>
          <w:p>
            <w:pPr>
              <w:keepNext w:val="0"/>
              <w:keepLines w:val="0"/>
              <w:widowControl/>
              <w:suppressLineNumbers w:val="0"/>
              <w:autoSpaceDE w:val="0"/>
              <w:autoSpaceDN w:val="0"/>
              <w:adjustRightInd w:val="0"/>
              <w:snapToGrid w:val="0"/>
              <w:spacing w:before="0" w:beforeAutospacing="0" w:after="0" w:afterAutospacing="0" w:line="300" w:lineRule="auto"/>
              <w:ind w:left="0" w:right="0"/>
              <w:jc w:val="center"/>
              <w:rPr>
                <w:rFonts w:hint="eastAsia" w:ascii="仿宋" w:hAnsi="仿宋" w:eastAsia="仿宋" w:cs="仿宋"/>
                <w:color w:val="auto"/>
                <w:sz w:val="21"/>
                <w:szCs w:val="21"/>
                <w:highlight w:val="none"/>
                <w:lang w:val="zh-CN"/>
              </w:rPr>
            </w:pPr>
          </w:p>
        </w:tc>
        <w:tc>
          <w:tcPr>
            <w:tcW w:w="69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lang w:val="en-US" w:eastAsia="zh-CN"/>
              </w:rPr>
            </w:pP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rPr>
              <w:t>总体服务方案</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10分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根据供应商对本项目的理解（内容包括但不限于：服务流程设计、服务保障、投放策略、落地执行流程、质量监控机制）的完整性、全面性以及对需求响应的契合度等方面进行综合评审。</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（1）优（8-10分）：项目</w:t>
            </w:r>
            <w:r>
              <w:rPr>
                <w:rFonts w:hint="eastAsia" w:ascii="仿宋" w:hAnsi="仿宋" w:eastAsia="仿宋" w:cs="仿宋"/>
                <w:color w:val="auto"/>
                <w:sz w:val="21"/>
                <w:szCs w:val="21"/>
                <w:highlight w:val="none"/>
                <w:lang w:val="en-US" w:eastAsia="zh-CN"/>
              </w:rPr>
              <w:t>理解</w:t>
            </w:r>
            <w:r>
              <w:rPr>
                <w:rFonts w:hint="eastAsia" w:ascii="仿宋" w:hAnsi="仿宋" w:eastAsia="仿宋" w:cs="仿宋"/>
                <w:color w:val="auto"/>
                <w:sz w:val="21"/>
                <w:szCs w:val="21"/>
                <w:highlight w:val="none"/>
              </w:rPr>
              <w:t>分析准确深入，工作目标清晰、具备有针对性的实施路径，各阶段工作内容阐述完整、能提出完善可行的具体工作方式方法，国家、地方政策分析透彻、能为项目实施提出有效策略，与本项目需求契合度高；</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（2）较优（5-7分）：项目</w:t>
            </w:r>
            <w:r>
              <w:rPr>
                <w:rFonts w:hint="eastAsia" w:ascii="仿宋" w:hAnsi="仿宋" w:eastAsia="仿宋" w:cs="仿宋"/>
                <w:color w:val="auto"/>
                <w:sz w:val="21"/>
                <w:szCs w:val="21"/>
                <w:highlight w:val="none"/>
                <w:lang w:val="en-US" w:eastAsia="zh-CN"/>
              </w:rPr>
              <w:t>理解</w:t>
            </w:r>
            <w:r>
              <w:rPr>
                <w:rFonts w:hint="eastAsia" w:ascii="仿宋" w:hAnsi="仿宋" w:eastAsia="仿宋" w:cs="仿宋"/>
                <w:color w:val="auto"/>
                <w:sz w:val="21"/>
                <w:szCs w:val="21"/>
                <w:highlight w:val="none"/>
              </w:rPr>
              <w:t>分析要素完整、但深度欠缺，工作目标方向准确、但量化不足，工作内容阐述较完整、提出的工作方式方法关键环节欠缺，国家、地方政策引用准确、但缺乏指导实施的策略，与本项目需求契合度较高；</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（3）一般（2-4分）：项目</w:t>
            </w:r>
            <w:r>
              <w:rPr>
                <w:rFonts w:hint="eastAsia" w:ascii="仿宋" w:hAnsi="仿宋" w:eastAsia="仿宋" w:cs="仿宋"/>
                <w:color w:val="auto"/>
                <w:sz w:val="21"/>
                <w:szCs w:val="21"/>
                <w:highlight w:val="none"/>
                <w:lang w:val="en-US" w:eastAsia="zh-CN"/>
              </w:rPr>
              <w:t>理解</w:t>
            </w:r>
            <w:r>
              <w:rPr>
                <w:rFonts w:hint="eastAsia" w:ascii="仿宋" w:hAnsi="仿宋" w:eastAsia="仿宋" w:cs="仿宋"/>
                <w:color w:val="auto"/>
                <w:sz w:val="21"/>
                <w:szCs w:val="21"/>
                <w:highlight w:val="none"/>
              </w:rPr>
              <w:t>分析仅满足基本框架要求，存在部分缺失，工作目标描述笼统、缺乏可行性，工作内容阐述空洞、内容堆砌无逻辑性、可操作性差，与项目需求契合度低；</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（4）差（0-1分）：内容严重缺失、仅有标题或大纲内容，逻辑矛盾或脱离实际、不具备可行性，套用其他项目内容，未响应项目需求或与项目需求明显冲突。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continue"/>
            <w:tcMar>
              <w:top w:w="0" w:type="dxa"/>
              <w:left w:w="85" w:type="dxa"/>
              <w:bottom w:w="0" w:type="dxa"/>
              <w:right w:w="85" w:type="dxa"/>
            </w:tcMar>
            <w:vAlign w:val="center"/>
          </w:tcPr>
          <w:p>
            <w:pPr>
              <w:keepNext w:val="0"/>
              <w:keepLines w:val="0"/>
              <w:widowControl/>
              <w:suppressLineNumbers w:val="0"/>
              <w:autoSpaceDE w:val="0"/>
              <w:autoSpaceDN w:val="0"/>
              <w:adjustRightInd w:val="0"/>
              <w:snapToGrid w:val="0"/>
              <w:spacing w:before="0" w:beforeAutospacing="0" w:after="0" w:afterAutospacing="0" w:line="300" w:lineRule="auto"/>
              <w:ind w:left="0" w:right="0"/>
              <w:jc w:val="center"/>
              <w:rPr>
                <w:rFonts w:hint="eastAsia" w:ascii="仿宋" w:hAnsi="仿宋" w:eastAsia="仿宋" w:cs="仿宋"/>
                <w:color w:val="auto"/>
                <w:sz w:val="21"/>
                <w:szCs w:val="21"/>
                <w:highlight w:val="none"/>
                <w:lang w:val="zh-CN"/>
              </w:rPr>
            </w:pPr>
          </w:p>
        </w:tc>
        <w:tc>
          <w:tcPr>
            <w:tcW w:w="69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lang w:val="en-US" w:eastAsia="zh-CN"/>
              </w:rPr>
            </w:pP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应急处理预案</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rPr>
              <w:t>据供应商针对本项目编制的应急处理预案（内容包括但不限于：自然灾害处理，重大社会活动处理，设备突发故障等各类意外情形处理）完整性、全面性、可行性以及对需求响应的契合度等方面进行综合评审。</w:t>
            </w:r>
          </w:p>
          <w:p>
            <w:pPr>
              <w:keepNext w:val="0"/>
              <w:keepLines w:val="0"/>
              <w:widowControl/>
              <w:suppressLineNumbers w:val="0"/>
              <w:snapToGrid w:val="0"/>
              <w:spacing w:before="0" w:beforeAutospacing="0" w:after="0" w:afterAutospacing="0" w:line="300" w:lineRule="auto"/>
              <w:ind w:left="0" w:right="0"/>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rPr>
              <w:t>（1）优（8-10分）：方案内容完整、全面、无缺失，工作流程清晰、逻辑严密，计划完善明确、具备可操作性，各项措施内容完善、科学合理、契合项目需求；</w:t>
            </w:r>
          </w:p>
          <w:p>
            <w:pPr>
              <w:keepNext w:val="0"/>
              <w:keepLines w:val="0"/>
              <w:widowControl/>
              <w:suppressLineNumbers w:val="0"/>
              <w:snapToGrid w:val="0"/>
              <w:spacing w:before="0" w:beforeAutospacing="0" w:after="0" w:afterAutospacing="0" w:line="300" w:lineRule="auto"/>
              <w:ind w:left="0" w:right="0"/>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rPr>
              <w:t>（2）较优（5-7分）：方案内容基本完整、覆盖全部方案内容、但存在细节缺失，工作流程基本清晰、但关键环节描述较模糊，计划较完善、具备一定的可操作性，各项措施内容基本完整、具备合理性、具备一定的可行性、较为契合项目需求；</w:t>
            </w:r>
          </w:p>
          <w:p>
            <w:pPr>
              <w:keepNext w:val="0"/>
              <w:keepLines w:val="0"/>
              <w:widowControl/>
              <w:suppressLineNumbers w:val="0"/>
              <w:snapToGrid w:val="0"/>
              <w:spacing w:before="0" w:beforeAutospacing="0" w:after="0" w:afterAutospacing="0" w:line="300" w:lineRule="auto"/>
              <w:ind w:left="0" w:right="0"/>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rPr>
              <w:t>（3）一般（2-4分）：方案内容仅满足基本框架要求，存在部分缺失，工作流程描述笼统、缺乏可行性，各项措施基本为原则性声明、没有具体实施路径或说明，与项目需求契合度低；</w:t>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（4）差（0-1分）：方案内容严重缺失、仅有标题或大纲内容，逻辑矛盾或脱离实际、不具备可行性，套用其他项目内容，未响应项目需求或与项目需求明显冲突。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continue"/>
            <w:tcMar>
              <w:top w:w="0" w:type="dxa"/>
              <w:left w:w="85" w:type="dxa"/>
              <w:bottom w:w="0" w:type="dxa"/>
              <w:right w:w="85" w:type="dxa"/>
            </w:tcMar>
            <w:vAlign w:val="center"/>
          </w:tcPr>
          <w:p>
            <w:pPr>
              <w:keepNext w:val="0"/>
              <w:keepLines w:val="0"/>
              <w:widowControl/>
              <w:suppressLineNumbers w:val="0"/>
              <w:autoSpaceDE w:val="0"/>
              <w:autoSpaceDN w:val="0"/>
              <w:adjustRightInd w:val="0"/>
              <w:snapToGrid w:val="0"/>
              <w:spacing w:before="0" w:beforeAutospacing="0" w:after="0" w:afterAutospacing="0" w:line="300" w:lineRule="auto"/>
              <w:ind w:left="0" w:right="0"/>
              <w:jc w:val="center"/>
              <w:rPr>
                <w:rFonts w:hint="eastAsia" w:ascii="仿宋" w:hAnsi="仿宋" w:eastAsia="仿宋" w:cs="仿宋"/>
                <w:color w:val="auto"/>
                <w:sz w:val="21"/>
                <w:szCs w:val="21"/>
                <w:highlight w:val="none"/>
                <w:lang w:val="zh-CN"/>
              </w:rPr>
            </w:pPr>
          </w:p>
        </w:tc>
        <w:tc>
          <w:tcPr>
            <w:tcW w:w="69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lang w:val="en-US" w:eastAsia="zh-CN"/>
              </w:rPr>
            </w:pP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团队配备</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10分</w:t>
            </w:r>
          </w:p>
        </w:tc>
        <w:tc>
          <w:tcPr>
            <w:tcW w:w="6612" w:type="dxa"/>
            <w:tcMar>
              <w:top w:w="0" w:type="dxa"/>
              <w:left w:w="85" w:type="dxa"/>
              <w:bottom w:w="0" w:type="dxa"/>
              <w:right w:w="85" w:type="dxa"/>
            </w:tcMar>
            <w:vAlign w:val="center"/>
          </w:tcPr>
          <w:p>
            <w:pPr>
              <w:keepNext w:val="0"/>
              <w:keepLines w:val="0"/>
              <w:widowControl w:val="0"/>
              <w:numPr>
                <w:ilvl w:val="0"/>
                <w:numId w:val="0"/>
              </w:numPr>
              <w:suppressLineNumbers w:val="0"/>
              <w:snapToGrid w:val="0"/>
              <w:spacing w:before="0" w:beforeAutospacing="0" w:after="0" w:afterAutospacing="0" w:line="300" w:lineRule="auto"/>
              <w:ind w:left="0" w:right="0" w:rightChars="0"/>
              <w:jc w:val="both"/>
              <w:rPr>
                <w:rFonts w:hint="eastAsia" w:ascii="仿宋" w:hAnsi="仿宋" w:eastAsia="仿宋" w:cs="仿宋"/>
                <w:kern w:val="0"/>
                <w:sz w:val="21"/>
                <w:szCs w:val="21"/>
                <w:highlight w:val="none"/>
                <w:lang w:val="en-US" w:eastAsia="zh-CN" w:bidi="ar"/>
              </w:rPr>
            </w:pPr>
            <w:r>
              <w:rPr>
                <w:rFonts w:hint="eastAsia" w:ascii="仿宋" w:hAnsi="仿宋" w:eastAsia="仿宋" w:cs="仿宋"/>
                <w:kern w:val="0"/>
                <w:sz w:val="21"/>
                <w:szCs w:val="21"/>
                <w:highlight w:val="none"/>
                <w:lang w:val="en-US" w:eastAsia="zh-CN" w:bidi="ar"/>
              </w:rPr>
              <w:t>1、供应商拟派往本项目的项目负责人具有相关工作经验的（相关工作经验指：宣传投放或活动宣传等类似案例），每满1年得2分，本项最高得6分。工作经验以供应商书面承诺为准。</w:t>
            </w:r>
          </w:p>
          <w:p>
            <w:pPr>
              <w:keepNext w:val="0"/>
              <w:keepLines w:val="0"/>
              <w:widowControl w:val="0"/>
              <w:suppressLineNumbers w:val="0"/>
              <w:snapToGrid w:val="0"/>
              <w:spacing w:before="0" w:beforeAutospacing="0" w:after="0" w:afterAutospacing="0" w:line="300" w:lineRule="auto"/>
              <w:ind w:left="0" w:right="0"/>
              <w:jc w:val="both"/>
              <w:rPr>
                <w:rFonts w:hint="eastAsia" w:ascii="仿宋" w:hAnsi="仿宋" w:eastAsia="仿宋" w:cs="仿宋"/>
                <w:b/>
                <w:bCs/>
                <w:kern w:val="0"/>
                <w:sz w:val="21"/>
                <w:szCs w:val="21"/>
                <w:highlight w:val="none"/>
                <w:lang w:val="en-US" w:eastAsia="zh-CN" w:bidi="ar"/>
              </w:rPr>
            </w:pPr>
            <w:r>
              <w:rPr>
                <w:rFonts w:hint="eastAsia" w:ascii="仿宋" w:hAnsi="仿宋" w:eastAsia="仿宋" w:cs="仿宋"/>
                <w:b/>
                <w:bCs/>
                <w:kern w:val="0"/>
                <w:sz w:val="21"/>
                <w:szCs w:val="21"/>
                <w:highlight w:val="none"/>
                <w:lang w:val="en-US" w:eastAsia="zh-CN" w:bidi="ar"/>
              </w:rPr>
              <w:t>注：供应商提供项目负责人身份证复印件；供应商</w:t>
            </w:r>
            <w:r>
              <w:rPr>
                <w:rFonts w:hint="eastAsia" w:ascii="仿宋" w:hAnsi="仿宋" w:eastAsia="仿宋" w:cs="仿宋"/>
                <w:b/>
                <w:bCs/>
                <w:kern w:val="2"/>
                <w:sz w:val="21"/>
                <w:szCs w:val="21"/>
                <w:highlight w:val="none"/>
                <w:lang w:val="en-US" w:eastAsia="zh-CN" w:bidi="ar"/>
              </w:rPr>
              <w:t>为其缴纳的最近1个月的有效社保证明材料复印件</w:t>
            </w:r>
            <w:r>
              <w:rPr>
                <w:rFonts w:hint="eastAsia" w:ascii="仿宋" w:hAnsi="仿宋" w:eastAsia="仿宋" w:cs="仿宋"/>
                <w:b/>
                <w:bCs/>
                <w:kern w:val="0"/>
                <w:sz w:val="21"/>
                <w:szCs w:val="21"/>
                <w:highlight w:val="none"/>
                <w:lang w:val="en-US" w:eastAsia="zh-CN" w:bidi="ar"/>
              </w:rPr>
              <w:t>或劳动合同复印件；工作经验书面承诺。以上材料均需加盖供应商单位公章。</w:t>
            </w:r>
          </w:p>
          <w:p>
            <w:pPr>
              <w:keepNext w:val="0"/>
              <w:keepLines w:val="0"/>
              <w:widowControl w:val="0"/>
              <w:suppressLineNumbers w:val="0"/>
              <w:snapToGrid w:val="0"/>
              <w:spacing w:before="0" w:beforeAutospacing="0" w:after="0" w:afterAutospacing="0" w:line="300" w:lineRule="auto"/>
              <w:ind w:left="0" w:right="0"/>
              <w:jc w:val="both"/>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bidi="ar"/>
              </w:rPr>
              <w:t>2、根据供应商拟派往本项目的项目团队人员（包括但不限于策划类人员、文案编制类人员、设计类人员、运维类人员等）配备，职责分工，教育背景、工作经验、技术能力等横向对比。</w:t>
            </w:r>
          </w:p>
          <w:p>
            <w:pPr>
              <w:keepNext w:val="0"/>
              <w:keepLines w:val="0"/>
              <w:widowControl w:val="0"/>
              <w:suppressLineNumbers w:val="0"/>
              <w:snapToGrid w:val="0"/>
              <w:spacing w:before="0" w:beforeAutospacing="0" w:after="0" w:afterAutospacing="0" w:line="300" w:lineRule="auto"/>
              <w:ind w:left="0" w:right="0"/>
              <w:jc w:val="both"/>
              <w:rPr>
                <w:rFonts w:hint="eastAsia" w:ascii="仿宋" w:hAnsi="仿宋" w:eastAsia="仿宋" w:cs="仿宋"/>
                <w:b/>
                <w:bCs/>
                <w:kern w:val="0"/>
                <w:sz w:val="21"/>
                <w:szCs w:val="21"/>
                <w:highlight w:val="none"/>
                <w:lang w:val="en-US" w:eastAsia="zh-CN" w:bidi="ar"/>
              </w:rPr>
            </w:pPr>
            <w:r>
              <w:rPr>
                <w:rFonts w:hint="eastAsia" w:ascii="仿宋" w:hAnsi="仿宋" w:eastAsia="仿宋" w:cs="仿宋"/>
                <w:b/>
                <w:bCs/>
                <w:kern w:val="0"/>
                <w:sz w:val="21"/>
                <w:szCs w:val="21"/>
                <w:highlight w:val="none"/>
                <w:lang w:val="en-US" w:eastAsia="zh-CN" w:bidi="ar"/>
              </w:rPr>
              <w:t>评价为优得3-4分，较优得1-2分，一般得0分。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continue"/>
            <w:tcMar>
              <w:top w:w="0" w:type="dxa"/>
              <w:left w:w="85" w:type="dxa"/>
              <w:bottom w:w="0" w:type="dxa"/>
              <w:right w:w="85" w:type="dxa"/>
            </w:tcMar>
            <w:vAlign w:val="center"/>
          </w:tcPr>
          <w:p>
            <w:pPr>
              <w:keepNext w:val="0"/>
              <w:keepLines w:val="0"/>
              <w:widowControl/>
              <w:suppressLineNumbers w:val="0"/>
              <w:autoSpaceDE w:val="0"/>
              <w:autoSpaceDN w:val="0"/>
              <w:adjustRightInd w:val="0"/>
              <w:snapToGrid w:val="0"/>
              <w:spacing w:before="0" w:beforeAutospacing="0" w:after="0" w:afterAutospacing="0" w:line="300" w:lineRule="auto"/>
              <w:ind w:left="0" w:right="0"/>
              <w:jc w:val="center"/>
              <w:rPr>
                <w:rFonts w:hint="eastAsia" w:ascii="仿宋" w:hAnsi="仿宋" w:eastAsia="仿宋" w:cs="仿宋"/>
                <w:color w:val="auto"/>
                <w:sz w:val="21"/>
                <w:szCs w:val="21"/>
                <w:highlight w:val="none"/>
                <w:lang w:val="zh-CN"/>
              </w:rPr>
            </w:pPr>
          </w:p>
        </w:tc>
        <w:tc>
          <w:tcPr>
            <w:tcW w:w="69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增值服务</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10分</w:t>
            </w:r>
          </w:p>
        </w:tc>
        <w:tc>
          <w:tcPr>
            <w:tcW w:w="6612" w:type="dxa"/>
            <w:tcMar>
              <w:top w:w="0" w:type="dxa"/>
              <w:left w:w="85" w:type="dxa"/>
              <w:bottom w:w="0" w:type="dxa"/>
              <w:right w:w="85" w:type="dxa"/>
            </w:tcMar>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根据对项目需求的理解，提供增值服务方案，对增值服务与本项目需求契合度，方案完整性等方面进行评价。</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（1）优（8-10分）：增值服务方案紧密契合项目需求，具备可操作性，且能够有效提升项目实施效率与成果质量，方案内容全面，步骤清晰，具备较强的落地执行价值；</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（2）较优（5-7分）：增值服务方案部分契合项目需求，有一定操作性，但在细节完善性或执行路径上存在改进空间；</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（3）一般（2-4分）：增值服务方案与项目需求匹配度一般，部分内容存在偏差，可操作性较弱；</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（4）差（0-1分）：方案与项目需求脱节，缺乏可操作性，难以对项目形成实质支撑。</w:t>
            </w: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2"/>
        <w:keepNext/>
        <w:keepLines/>
        <w:pageBreakBefore w:val="0"/>
        <w:widowControl/>
        <w:kinsoku/>
        <w:wordWrap/>
        <w:overflowPunct/>
        <w:topLinePunct w:val="0"/>
        <w:autoSpaceDE/>
        <w:autoSpaceDN/>
        <w:bidi w:val="0"/>
        <w:adjustRightInd/>
        <w:snapToGrid/>
        <w:spacing w:before="0" w:after="0" w:line="360" w:lineRule="auto"/>
        <w:ind w:left="0" w:firstLine="0"/>
        <w:textAlignment w:val="auto"/>
        <w:rPr>
          <w:rFonts w:hint="eastAsia" w:ascii="仿宋" w:hAnsi="仿宋" w:eastAsia="仿宋" w:cs="仿宋"/>
          <w:color w:val="auto"/>
          <w:sz w:val="28"/>
          <w:szCs w:val="28"/>
          <w:highlight w:val="none"/>
        </w:rPr>
      </w:pPr>
      <w:bookmarkStart w:id="128" w:name="_Toc15974"/>
      <w:r>
        <w:rPr>
          <w:rFonts w:hint="eastAsia" w:ascii="仿宋" w:hAnsi="仿宋" w:eastAsia="仿宋" w:cs="仿宋"/>
          <w:color w:val="auto"/>
          <w:sz w:val="28"/>
          <w:szCs w:val="28"/>
          <w:highlight w:val="none"/>
        </w:rPr>
        <w:t>第四章 合同条款</w:t>
      </w:r>
      <w:bookmarkEnd w:id="128"/>
    </w:p>
    <w:p>
      <w:pPr>
        <w:pStyle w:val="2"/>
        <w:keepNext/>
        <w:keepLines/>
        <w:pageBreakBefore w:val="0"/>
        <w:widowControl/>
        <w:numPr>
          <w:ilvl w:val="0"/>
          <w:numId w:val="0"/>
        </w:numPr>
        <w:kinsoku/>
        <w:wordWrap/>
        <w:overflowPunct/>
        <w:topLinePunct w:val="0"/>
        <w:autoSpaceDE/>
        <w:autoSpaceDN/>
        <w:bidi w:val="0"/>
        <w:adjustRightInd/>
        <w:snapToGrid/>
        <w:spacing w:before="0" w:after="0"/>
        <w:ind w:leftChars="0"/>
        <w:jc w:val="center"/>
        <w:textAlignment w:val="auto"/>
        <w:rPr>
          <w:rFonts w:hint="eastAsia" w:ascii="仿宋" w:hAnsi="仿宋" w:eastAsia="仿宋" w:cs="仿宋"/>
          <w:color w:val="auto"/>
          <w:sz w:val="32"/>
          <w:szCs w:val="32"/>
          <w:highlight w:val="none"/>
        </w:rPr>
      </w:pPr>
      <w:bookmarkStart w:id="129" w:name="_Toc27231"/>
      <w:r>
        <w:rPr>
          <w:rFonts w:hint="eastAsia" w:ascii="仿宋" w:hAnsi="仿宋" w:eastAsia="仿宋" w:cs="仿宋"/>
          <w:color w:val="auto"/>
          <w:sz w:val="32"/>
          <w:szCs w:val="32"/>
          <w:highlight w:val="none"/>
        </w:rPr>
        <w:t>合同条款</w:t>
      </w:r>
      <w:bookmarkEnd w:id="129"/>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甲方：中国人民财产保险股份有限公司成都市分公司</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地址：成都市武侯区老马路7号</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乙方：</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地址：</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鉴于：</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本合同双方当事人（1）均为依照中华人民共和国法律成立并有效存续的独立民事主体，（2）并且已经获得签署本合同的相应授权，（3）具备履行本合同所必须的资质和条件。为保障双方的合法权益，根据《中华人民共和国民法典》、《中华人民共和国广告法》及相关法律法规的规定,甲、乙双方在平等互利、协商一致的基础上，就甲方委托乙方提供约定服务事宜达成协议如下，以资共同遵照执行。</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widowControl w:val="0"/>
        <w:spacing w:line="600" w:lineRule="exact"/>
        <w:jc w:val="center"/>
        <w:rPr>
          <w:rFonts w:hint="eastAsia" w:ascii="仿宋_GB2312" w:hAnsi="Calibri" w:eastAsia="仿宋_GB2312" w:cs="仿宋_GB2312"/>
          <w:b/>
          <w:bCs/>
          <w:color w:val="000000"/>
          <w:kern w:val="0"/>
          <w:sz w:val="32"/>
          <w:szCs w:val="32"/>
        </w:rPr>
      </w:pPr>
      <w:r>
        <w:rPr>
          <w:rFonts w:hint="eastAsia" w:ascii="仿宋_GB2312" w:hAnsi="Calibri" w:eastAsia="仿宋_GB2312" w:cs="仿宋_GB2312"/>
          <w:b/>
          <w:bCs/>
          <w:color w:val="000000"/>
          <w:kern w:val="0"/>
          <w:sz w:val="32"/>
          <w:szCs w:val="32"/>
        </w:rPr>
        <w:t>商务部分</w:t>
      </w:r>
    </w:p>
    <w:p>
      <w:pPr>
        <w:widowControl w:val="0"/>
        <w:numPr>
          <w:ilvl w:val="0"/>
          <w:numId w:val="3"/>
        </w:numPr>
        <w:spacing w:line="600" w:lineRule="exact"/>
        <w:ind w:left="960" w:hanging="843" w:hangingChars="300"/>
        <w:jc w:val="left"/>
        <w:rPr>
          <w:rFonts w:hint="eastAsia" w:ascii="仿宋_GB2312" w:hAnsi="Calibri" w:eastAsia="仿宋_GB2312" w:cs="仿宋_GB2312"/>
          <w:b/>
          <w:bCs/>
          <w:color w:val="000000"/>
          <w:kern w:val="0"/>
          <w:sz w:val="28"/>
          <w:szCs w:val="28"/>
        </w:rPr>
      </w:pPr>
      <w:r>
        <w:rPr>
          <w:rFonts w:hint="eastAsia" w:ascii="仿宋_GB2312" w:hAnsi="Calibri" w:eastAsia="仿宋_GB2312" w:cs="仿宋_GB2312"/>
          <w:b/>
          <w:bCs/>
          <w:color w:val="000000"/>
          <w:kern w:val="0"/>
          <w:sz w:val="28"/>
          <w:szCs w:val="28"/>
        </w:rPr>
        <w:t>项目内容及要求</w:t>
      </w:r>
    </w:p>
    <w:p>
      <w:pPr>
        <w:keepNext w:val="0"/>
        <w:keepLines w:val="0"/>
        <w:widowControl/>
        <w:suppressLineNumbers w:val="0"/>
        <w:spacing w:before="100" w:beforeAutospacing="1" w:after="100" w:afterAutospacing="1" w:line="600" w:lineRule="exact"/>
        <w:ind w:right="0"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本合同项下甲乙双方约定的项目内容及要求见本合同【附件】。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第二条 服务方案及验收</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双方约定的服务方案详见本合同【附件】。</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第三条 合同价格</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本合同总价款为</w:t>
      </w:r>
      <w:r>
        <w:rPr>
          <w:rFonts w:hint="eastAsia" w:ascii="宋体" w:hAnsi="宋体" w:cs="宋体"/>
          <w:kern w:val="0"/>
          <w:sz w:val="28"/>
          <w:szCs w:val="28"/>
          <w:lang w:val="en-US" w:eastAsia="zh-CN"/>
        </w:rPr>
        <w:t>________</w:t>
      </w:r>
      <w:r>
        <w:rPr>
          <w:rFonts w:hint="eastAsia" w:ascii="宋体" w:hAnsi="宋体" w:eastAsia="宋体" w:cs="宋体"/>
          <w:kern w:val="0"/>
          <w:sz w:val="28"/>
          <w:szCs w:val="28"/>
        </w:rPr>
        <w:t>元（大写：</w:t>
      </w:r>
      <w:r>
        <w:rPr>
          <w:rFonts w:hint="eastAsia" w:ascii="宋体" w:hAnsi="宋体" w:cs="宋体"/>
          <w:kern w:val="0"/>
          <w:sz w:val="28"/>
          <w:szCs w:val="28"/>
          <w:lang w:val="en-US" w:eastAsia="zh-CN"/>
        </w:rPr>
        <w:t>________</w:t>
      </w:r>
      <w:r>
        <w:rPr>
          <w:rFonts w:hint="eastAsia" w:ascii="宋体" w:hAnsi="宋体" w:eastAsia="宋体" w:cs="宋体"/>
          <w:kern w:val="0"/>
          <w:sz w:val="28"/>
          <w:szCs w:val="28"/>
        </w:rPr>
        <w:t>）。合同价格明细见【附件】。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乙方因提供本合同项下服务所发生的一切费用和税费，已包括在前款约定的费用当中；除双方另有书面约定外，甲方不再就乙方提供本合同项下的服务向乙方另行支付任何其它费用。</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本合同付款安排见【附件】。</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 xml:space="preserve">第四条 双方的权利和义务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除本合同约定的双方的权利义务外，甲乙双方在本合同项下的其他权利和义务见【附件】的约定。</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第五条 违约责任</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甲、乙任一方或双方违约的，违约一方应当向相对方承担相应的违约责任。违约责任的具体约定见【附件】。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widowControl w:val="0"/>
        <w:spacing w:line="600" w:lineRule="exact"/>
        <w:jc w:val="center"/>
        <w:rPr>
          <w:rFonts w:hint="eastAsia" w:ascii="仿宋_GB2312" w:hAnsi="Calibri" w:eastAsia="仿宋_GB2312" w:cs="仿宋_GB2312"/>
          <w:b/>
          <w:bCs/>
          <w:color w:val="000000"/>
          <w:kern w:val="0"/>
          <w:sz w:val="32"/>
          <w:szCs w:val="32"/>
        </w:rPr>
      </w:pPr>
      <w:r>
        <w:rPr>
          <w:rFonts w:hint="eastAsia" w:ascii="仿宋_GB2312" w:hAnsi="Calibri" w:eastAsia="仿宋_GB2312" w:cs="仿宋_GB2312"/>
          <w:b/>
          <w:bCs/>
          <w:color w:val="000000"/>
          <w:kern w:val="0"/>
          <w:sz w:val="32"/>
          <w:szCs w:val="32"/>
        </w:rPr>
        <w:t>通用部分</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第六条 双方的权利和义务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（一） 甲方的权利和义务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（1）甲方有权获得本合同项下乙方应提供的全部合格的服务；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（2）甲方有权在合同期内对乙方的服务进行监督；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（3）乙方未按照合同约定履行义务的，甲方有权采取相应的措施；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（4）甲方应按照合同约定向乙方支付合同价款；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（5）甲方对其提供的样本、稿件本身及其内容的真实性、合法性、知识产权的独立性等承担全部责任，所提供样本、稿件引起的纠纷、争议及相关损失由甲方自行承担；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（7）甲方享有其它双方约定的权利、承担其它双方约定的义务。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（二） 乙方的权利和义务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（1）乙方有权获得甲方支付的合同价款；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（2）乙方应按照合同约定向甲方提供全部合格的服务；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（3）乙方应按照合同约定履行相应的维护和保修或其他后续义务；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（4）乙方必须遵守甲方制定的各项服务标准、工作流程及各项要求；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（5）乙方应当按照甲方提出的变更需求及时调整和完善服务内容；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（6）乙方服务团队成员有</w:t>
      </w:r>
      <w:r>
        <w:rPr>
          <w:rFonts w:hint="eastAsia" w:ascii="宋体" w:hAnsi="宋体" w:cs="宋体"/>
          <w:kern w:val="0"/>
          <w:sz w:val="28"/>
          <w:szCs w:val="28"/>
          <w:lang w:val="en-US" w:eastAsia="zh-CN"/>
        </w:rPr>
        <w:t>______</w:t>
      </w:r>
      <w:r>
        <w:rPr>
          <w:rFonts w:hint="eastAsia" w:ascii="宋体" w:hAnsi="宋体" w:eastAsia="宋体" w:cs="宋体"/>
          <w:kern w:val="0"/>
          <w:sz w:val="28"/>
          <w:szCs w:val="28"/>
        </w:rPr>
        <w:t xml:space="preserve">，乙方人员如需变更应提前两周与甲方协调并取得同意；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（7）乙方承担由于自身或合作施工单位由于服务效果与服务设计方案偏差原因造成的损失；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（8）乙方享有其它双方约定的权利、承担其它双方约定的义务。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第七条 禁止转让</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未经甲方事先书面同意，乙方不得将其本合同项下之全部义务或其中一部分义务转让给第三方执行。</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第八条 知识产权保障及权利保证</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知识产权保障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（4）本合同因履行完毕、解除或不可抗力等终止之日起3日内，乙方应将甲方提供的所有信息和资料移交甲方，并且自终止之日起不得继续使用或擅自许可任何第三方使用甲方提供的所有信息和资料。</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widowControl w:val="0"/>
        <w:spacing w:line="600" w:lineRule="exact"/>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第九条 违约责任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如果由于甲方原因延迟付款，每延迟一天，甲方应按照应付合同价款的</w:t>
      </w:r>
      <w:r>
        <w:rPr>
          <w:rFonts w:hint="eastAsia" w:ascii="宋体" w:hAnsi="宋体" w:eastAsia="宋体" w:cs="宋体"/>
          <w:kern w:val="0"/>
          <w:sz w:val="28"/>
          <w:szCs w:val="28"/>
          <w:u w:val="single"/>
        </w:rPr>
        <w:t>0.01%</w:t>
      </w:r>
      <w:r>
        <w:rPr>
          <w:rFonts w:hint="eastAsia" w:ascii="宋体" w:hAnsi="宋体" w:eastAsia="宋体" w:cs="宋体"/>
          <w:kern w:val="0"/>
          <w:sz w:val="28"/>
          <w:szCs w:val="28"/>
        </w:rPr>
        <w:t>向乙方支付违约金。</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如果乙方未按合同约定的时间、地点、内容、质量要求等提供服务，每延迟一天，应支付违约金</w:t>
      </w:r>
      <w:r>
        <w:rPr>
          <w:rFonts w:hint="eastAsia" w:ascii="宋体" w:hAnsi="宋体" w:eastAsia="宋体" w:cs="宋体"/>
          <w:kern w:val="0"/>
          <w:sz w:val="28"/>
          <w:szCs w:val="28"/>
          <w:u w:val="single"/>
        </w:rPr>
        <w:t>1000</w:t>
      </w:r>
      <w:r>
        <w:rPr>
          <w:rFonts w:hint="eastAsia" w:ascii="宋体" w:hAnsi="宋体" w:eastAsia="宋体" w:cs="宋体"/>
          <w:kern w:val="0"/>
          <w:sz w:val="28"/>
          <w:szCs w:val="28"/>
        </w:rPr>
        <w:t>元。乙方迟延提供服务，并不免除乙方应当按照合同继续提供服务的义务。如果乙方延迟</w:t>
      </w:r>
      <w:r>
        <w:rPr>
          <w:rFonts w:hint="eastAsia" w:ascii="宋体" w:hAnsi="宋体" w:eastAsia="宋体" w:cs="宋体"/>
          <w:kern w:val="0"/>
          <w:sz w:val="28"/>
          <w:szCs w:val="28"/>
          <w:u w:val="single"/>
        </w:rPr>
        <w:t>5</w:t>
      </w:r>
      <w:r>
        <w:rPr>
          <w:rFonts w:hint="eastAsia" w:ascii="宋体" w:hAnsi="宋体" w:eastAsia="宋体" w:cs="宋体"/>
          <w:kern w:val="0"/>
          <w:sz w:val="28"/>
          <w:szCs w:val="28"/>
        </w:rPr>
        <w:t>天仍不能按照合同约定提供服务的，甲方有权解除合同。甲方有权从未付合同价款中扣除乙方延迟履行合同义务的违约金，不足部分，乙方应予以补足。</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因违约而解除合同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（1）如乙方服务团队负责人发生变更或核心服务团队发生重大变化，乙方未能及时书面告知甲方造成服务水平下降，或变更后人员资质不符合甲方要求的，甲方有权即时解除本合同。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（2）如乙方未经甲方书面许可，以甲方名义向媒体或其他第三方进行任何商业行为的，甲方有权即时解除本合同。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（3）因乙方延迟履行合同义务或因其他违约行为导致甲方解除合同的，乙方应向甲方支付本合同价款总额</w:t>
      </w:r>
      <w:r>
        <w:rPr>
          <w:rFonts w:hint="eastAsia" w:ascii="宋体" w:hAnsi="宋体" w:eastAsia="宋体" w:cs="宋体"/>
          <w:kern w:val="0"/>
          <w:sz w:val="28"/>
          <w:szCs w:val="28"/>
          <w:u w:val="single"/>
        </w:rPr>
        <w:t>10%</w:t>
      </w:r>
      <w:r>
        <w:rPr>
          <w:rFonts w:hint="eastAsia" w:ascii="宋体" w:hAnsi="宋体" w:eastAsia="宋体" w:cs="宋体"/>
          <w:kern w:val="0"/>
          <w:sz w:val="28"/>
          <w:szCs w:val="28"/>
        </w:rPr>
        <w:t>的违约金，如违约金不足以弥补甲方损失的，超出部分由乙方继续承担赔偿责任。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（四） 如果乙方违反本合同约定的保密义务，乙方应向甲方支付相当于本合同总价款</w:t>
      </w:r>
      <w:r>
        <w:rPr>
          <w:rFonts w:hint="eastAsia" w:ascii="宋体" w:hAnsi="宋体" w:eastAsia="宋体" w:cs="宋体"/>
          <w:kern w:val="0"/>
          <w:sz w:val="28"/>
          <w:szCs w:val="28"/>
          <w:u w:val="single"/>
        </w:rPr>
        <w:t>10%</w:t>
      </w:r>
      <w:r>
        <w:rPr>
          <w:rFonts w:hint="eastAsia" w:ascii="宋体" w:hAnsi="宋体" w:eastAsia="宋体" w:cs="宋体"/>
          <w:kern w:val="0"/>
          <w:sz w:val="28"/>
          <w:szCs w:val="28"/>
        </w:rPr>
        <w:t>的违约金，甲方受到的损失超出违约金的部分，由乙方继续承担赔偿责任。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（五） 除本合同的约定外，因乙方的违约行为给甲方造成损失的，乙方应向甲方支付相当于本合同总价款</w:t>
      </w:r>
      <w:r>
        <w:rPr>
          <w:rFonts w:hint="eastAsia" w:ascii="宋体" w:hAnsi="宋体" w:eastAsia="宋体" w:cs="宋体"/>
          <w:kern w:val="0"/>
          <w:sz w:val="28"/>
          <w:szCs w:val="28"/>
          <w:u w:val="single"/>
        </w:rPr>
        <w:t>10%</w:t>
      </w:r>
      <w:r>
        <w:rPr>
          <w:rFonts w:hint="eastAsia" w:ascii="宋体" w:hAnsi="宋体" w:eastAsia="宋体" w:cs="宋体"/>
          <w:kern w:val="0"/>
          <w:sz w:val="28"/>
          <w:szCs w:val="28"/>
        </w:rPr>
        <w:t>的违约金，如甲方受到的损失超过违约金的，超出部分由乙方继续承担赔偿责任。</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第十条 保密义务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无论本合同因何种原因终止，本保密条款依然有效。</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第十一条 不可抗力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合同一方迟延履行后发生不可抗力的，不能免除其责任。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第十二条 合同变更</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对本合同的任何变更或补充，须经甲乙双方协商一致，并另行签订书面补充协议。</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第十三条 合同特别终止</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甲乙双方同意在乙方出现下列情形时，甲方可以书面形式通知乙方（或者乙方的破产清算组或相关管理人）提出终止合同而不向其提供任何补偿：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（1）乙方破产、解散（包括但不限于乙方股东会决议解散、乙方被吊销营业执照、被责令关闭、被撤销、被司法机关裁决解散等情形）；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如果因上述原因导致本合同终止，甲方已经采取或者将要采取任何补救措施的权利不受任何影响。</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第十四条 法律适用与争议解决</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本合同的订立、效力、解释、履行和争议的解决均适用中华人民共和国法律（不包括港澳台地区法律）。</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凡因本合同引起的或与本合同有关的任何争议，双方首先应友好协商解决。协商不成的，任何一方均可向甲方所在地有管辖权的法院提起诉讼。 </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第十五条 合同生效及其他</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本合同经甲乙双方法定代表人或授权代表签字并加盖公章或合同专用章后生效。</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本合同一式四份，其中正本两份，副本两份。甲方执一份正本，一份副本；乙方执一份正本，一份副本。</w:t>
      </w:r>
    </w:p>
    <w:p>
      <w:pPr>
        <w:widowControl w:val="0"/>
        <w:spacing w:line="600" w:lineRule="exact"/>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第十六条 合同效力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由于法律和法规、政策而导致本合同任何条款无效或无法执行，则该条款无效，但不影响剩余其他条款的效力。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第十七条 附件的组成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兹证明，各方于      年       月       日签订本合同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甲方（盖章）：中国人民财产保险股份有限公司成都市分公司</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法定代表人/授权代表（签字）：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乙方（盖章）：</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法定代表人/授权代表（签字）： </w:t>
      </w: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pStyle w:val="7"/>
        <w:rPr>
          <w:rFonts w:hint="eastAsia"/>
        </w:rPr>
      </w:pPr>
    </w:p>
    <w:p>
      <w:pPr>
        <w:rPr>
          <w:rFonts w:hint="eastAsia"/>
        </w:rPr>
      </w:pPr>
    </w:p>
    <w:p>
      <w:pPr>
        <w:snapToGrid w:val="0"/>
        <w:spacing w:line="360" w:lineRule="auto"/>
        <w:rPr>
          <w:rFonts w:hint="eastAsia" w:ascii="楷体" w:hAnsi="楷体" w:eastAsia="楷体"/>
          <w:b/>
          <w:szCs w:val="24"/>
        </w:rPr>
      </w:pPr>
      <w:r>
        <w:rPr>
          <w:rFonts w:hint="eastAsia" w:ascii="楷体" w:hAnsi="楷体" w:eastAsia="楷体"/>
          <w:b/>
          <w:szCs w:val="24"/>
        </w:rPr>
        <w:br w:type="page"/>
      </w:r>
    </w:p>
    <w:p>
      <w:pPr>
        <w:snapToGrid w:val="0"/>
        <w:spacing w:line="360" w:lineRule="auto"/>
        <w:rPr>
          <w:rFonts w:ascii="楷体" w:hAnsi="楷体" w:eastAsia="楷体"/>
          <w:b/>
          <w:szCs w:val="24"/>
        </w:rPr>
      </w:pPr>
      <w:r>
        <w:rPr>
          <w:rFonts w:hint="eastAsia" w:ascii="楷体" w:hAnsi="楷体" w:eastAsia="楷体"/>
          <w:b/>
          <w:szCs w:val="24"/>
        </w:rPr>
        <w:t>附件</w:t>
      </w:r>
      <w:r>
        <w:rPr>
          <w:rFonts w:hint="eastAsia" w:ascii="楷体" w:hAnsi="楷体" w:eastAsia="楷体"/>
          <w:b/>
          <w:szCs w:val="24"/>
          <w:lang w:val="en-US" w:eastAsia="zh-CN"/>
        </w:rPr>
        <w:t>一</w:t>
      </w:r>
      <w:r>
        <w:rPr>
          <w:rFonts w:hint="eastAsia" w:ascii="楷体" w:hAnsi="楷体" w:eastAsia="楷体"/>
          <w:b/>
          <w:szCs w:val="24"/>
        </w:rPr>
        <w:t>：</w:t>
      </w:r>
    </w:p>
    <w:p>
      <w:pPr>
        <w:snapToGrid w:val="0"/>
        <w:spacing w:line="360" w:lineRule="auto"/>
        <w:jc w:val="center"/>
        <w:rPr>
          <w:rFonts w:ascii="楷体" w:hAnsi="楷体" w:eastAsia="楷体"/>
          <w:b/>
          <w:color w:val="000000"/>
          <w:szCs w:val="24"/>
        </w:rPr>
      </w:pPr>
      <w:r>
        <w:rPr>
          <w:rFonts w:hint="eastAsia" w:ascii="楷体" w:hAnsi="楷体" w:eastAsia="楷体"/>
          <w:b/>
          <w:color w:val="000000"/>
          <w:szCs w:val="24"/>
        </w:rPr>
        <w:t>项目内容</w:t>
      </w:r>
      <w:r>
        <w:rPr>
          <w:rFonts w:hint="eastAsia" w:ascii="楷体" w:hAnsi="楷体" w:eastAsia="楷体"/>
          <w:b/>
          <w:color w:val="000000"/>
          <w:szCs w:val="24"/>
          <w:lang w:val="en-US" w:eastAsia="zh-CN"/>
        </w:rPr>
        <w:t>和</w:t>
      </w:r>
      <w:r>
        <w:rPr>
          <w:rFonts w:hint="eastAsia" w:ascii="楷体" w:hAnsi="楷体" w:eastAsia="楷体"/>
          <w:b/>
          <w:color w:val="000000"/>
          <w:szCs w:val="24"/>
        </w:rPr>
        <w:t>要求</w:t>
      </w:r>
      <w:r>
        <w:rPr>
          <w:rFonts w:hint="eastAsia" w:ascii="楷体" w:hAnsi="楷体" w:eastAsia="楷体"/>
          <w:b/>
          <w:color w:val="000000"/>
          <w:szCs w:val="24"/>
          <w:lang w:val="en-US" w:eastAsia="zh-CN"/>
        </w:rPr>
        <w:t>及</w:t>
      </w:r>
      <w:r>
        <w:rPr>
          <w:rFonts w:hint="eastAsia" w:ascii="楷体" w:hAnsi="楷体" w:eastAsia="楷体"/>
          <w:b/>
          <w:color w:val="000000"/>
          <w:szCs w:val="24"/>
        </w:rPr>
        <w:t>服务方案</w:t>
      </w:r>
      <w:r>
        <w:rPr>
          <w:rFonts w:hint="eastAsia" w:ascii="楷体" w:hAnsi="楷体" w:eastAsia="楷体"/>
          <w:b/>
          <w:color w:val="000000"/>
          <w:szCs w:val="24"/>
          <w:lang w:val="en-US" w:eastAsia="zh-CN"/>
        </w:rPr>
        <w:t>和</w:t>
      </w:r>
      <w:r>
        <w:rPr>
          <w:rFonts w:hint="eastAsia" w:ascii="楷体" w:hAnsi="楷体" w:eastAsia="楷体"/>
          <w:b/>
          <w:color w:val="000000"/>
          <w:szCs w:val="24"/>
        </w:rPr>
        <w:t>验收</w:t>
      </w:r>
    </w:p>
    <w:p>
      <w:pPr>
        <w:snapToGrid w:val="0"/>
        <w:spacing w:line="360" w:lineRule="auto"/>
        <w:jc w:val="center"/>
        <w:rPr>
          <w:rFonts w:ascii="楷体" w:hAnsi="楷体" w:eastAsia="楷体"/>
          <w:b/>
          <w:szCs w:val="24"/>
        </w:rPr>
      </w:pPr>
    </w:p>
    <w:p>
      <w:pPr>
        <w:pStyle w:val="25"/>
        <w:numPr>
          <w:ilvl w:val="0"/>
          <w:numId w:val="0"/>
        </w:numPr>
        <w:snapToGrid w:val="0"/>
        <w:spacing w:line="360" w:lineRule="auto"/>
        <w:rPr>
          <w:rFonts w:ascii="楷体" w:hAnsi="楷体" w:eastAsia="楷体" w:cs="Arial"/>
          <w:szCs w:val="24"/>
          <w:u w:val="single"/>
        </w:rPr>
      </w:pPr>
      <w:r>
        <w:rPr>
          <w:rFonts w:hint="eastAsia" w:ascii="楷体" w:hAnsi="楷体" w:eastAsia="楷体"/>
          <w:szCs w:val="24"/>
        </w:rPr>
        <w:t xml:space="preserve">1. </w:t>
      </w:r>
      <w:r>
        <w:rPr>
          <w:rFonts w:hint="eastAsia" w:ascii="楷体" w:hAnsi="楷体" w:eastAsia="楷体" w:cs="Arial"/>
          <w:szCs w:val="24"/>
        </w:rPr>
        <w:t>双方约定的</w:t>
      </w:r>
      <w:r>
        <w:rPr>
          <w:rFonts w:hint="eastAsia" w:ascii="楷体" w:hAnsi="楷体" w:eastAsia="楷体" w:cs="Arial"/>
          <w:szCs w:val="24"/>
          <w:lang w:val="en-US" w:eastAsia="zh-CN"/>
        </w:rPr>
        <w:t>宣传</w:t>
      </w:r>
      <w:r>
        <w:rPr>
          <w:rFonts w:hint="eastAsia" w:ascii="楷体" w:hAnsi="楷体" w:eastAsia="楷体" w:cs="Arial"/>
          <w:szCs w:val="24"/>
        </w:rPr>
        <w:t>方案为：</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楷体" w:hAnsi="楷体" w:eastAsia="楷体" w:cs="Arial"/>
          <w:color w:val="000000"/>
          <w:szCs w:val="24"/>
        </w:rPr>
      </w:pPr>
      <w:r>
        <w:rPr>
          <w:rFonts w:hint="eastAsia" w:ascii="楷体" w:hAnsi="楷体" w:eastAsia="楷体" w:cs="Arial"/>
          <w:color w:val="000000"/>
          <w:szCs w:val="24"/>
        </w:rPr>
        <w:t>1.</w:t>
      </w:r>
      <w:r>
        <w:rPr>
          <w:rFonts w:hint="eastAsia" w:ascii="楷体" w:hAnsi="楷体" w:eastAsia="楷体" w:cs="Arial"/>
          <w:color w:val="000000"/>
          <w:szCs w:val="24"/>
          <w:lang w:val="en-US" w:eastAsia="zh-CN"/>
        </w:rPr>
        <w:t>1</w:t>
      </w:r>
      <w:r>
        <w:rPr>
          <w:rFonts w:hint="eastAsia" w:ascii="楷体" w:hAnsi="楷体" w:eastAsia="楷体" w:cs="Arial"/>
          <w:color w:val="000000"/>
          <w:szCs w:val="24"/>
        </w:rPr>
        <w:t>乙方根据甲方的要求对</w:t>
      </w:r>
      <w:r>
        <w:rPr>
          <w:rFonts w:hint="eastAsia" w:ascii="楷体" w:hAnsi="楷体" w:eastAsia="楷体" w:cs="Arial"/>
          <w:color w:val="000000"/>
          <w:szCs w:val="24"/>
          <w:lang w:val="en-US" w:eastAsia="zh-CN"/>
        </w:rPr>
        <w:t>保险产品</w:t>
      </w:r>
      <w:r>
        <w:rPr>
          <w:rFonts w:hint="eastAsia" w:ascii="楷体" w:hAnsi="楷体" w:eastAsia="楷体" w:cs="Arial"/>
          <w:color w:val="000000"/>
          <w:szCs w:val="24"/>
        </w:rPr>
        <w:t>服务宣传物料进行</w:t>
      </w:r>
      <w:r>
        <w:rPr>
          <w:rFonts w:hint="eastAsia" w:ascii="楷体" w:hAnsi="楷体" w:eastAsia="楷体" w:cs="Arial"/>
          <w:color w:val="000000"/>
          <w:szCs w:val="24"/>
          <w:lang w:val="en-US" w:eastAsia="zh-CN"/>
        </w:rPr>
        <w:t>设</w:t>
      </w:r>
      <w:r>
        <w:rPr>
          <w:rFonts w:hint="eastAsia" w:ascii="楷体" w:hAnsi="楷体" w:eastAsia="楷体" w:cs="Arial"/>
          <w:color w:val="000000"/>
          <w:szCs w:val="24"/>
        </w:rPr>
        <w:t>计、投放。</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lang w:val="en-US" w:eastAsia="zh-CN"/>
        </w:rPr>
      </w:pPr>
      <w:r>
        <w:rPr>
          <w:rFonts w:hint="eastAsia" w:ascii="楷体" w:hAnsi="楷体" w:eastAsia="楷体" w:cs="Arial"/>
          <w:color w:val="000000"/>
          <w:szCs w:val="24"/>
          <w:lang w:val="en-US" w:eastAsia="zh-CN"/>
        </w:rPr>
        <w:t>1</w:t>
      </w:r>
      <w:r>
        <w:rPr>
          <w:rFonts w:hint="eastAsia" w:ascii="楷体" w:hAnsi="楷体" w:eastAsia="楷体" w:cs="Arial"/>
          <w:color w:val="000000"/>
          <w:szCs w:val="24"/>
          <w:lang w:eastAsia="zh-CN"/>
        </w:rPr>
        <w:t>.</w:t>
      </w:r>
      <w:r>
        <w:rPr>
          <w:rFonts w:hint="eastAsia" w:ascii="楷体" w:hAnsi="楷体" w:eastAsia="楷体" w:cs="Arial"/>
          <w:color w:val="000000"/>
          <w:szCs w:val="24"/>
          <w:lang w:val="en-US" w:eastAsia="zh-CN"/>
        </w:rPr>
        <w:t>2</w:t>
      </w:r>
      <w:r>
        <w:rPr>
          <w:rFonts w:hint="eastAsia" w:ascii="楷体" w:hAnsi="楷体" w:eastAsia="楷体" w:cs="Arial"/>
          <w:color w:val="000000"/>
          <w:szCs w:val="24"/>
          <w:lang w:eastAsia="zh-CN"/>
        </w:rPr>
        <w:t>投放渠道：甲方根据本</w:t>
      </w:r>
      <w:r>
        <w:rPr>
          <w:rFonts w:hint="eastAsia" w:ascii="楷体" w:hAnsi="楷体" w:eastAsia="楷体" w:cs="Arial"/>
          <w:color w:val="000000"/>
          <w:szCs w:val="24"/>
          <w:lang w:val="en-US" w:eastAsia="zh-CN"/>
        </w:rPr>
        <w:t>合同</w:t>
      </w:r>
      <w:r>
        <w:rPr>
          <w:rFonts w:hint="eastAsia" w:ascii="楷体" w:hAnsi="楷体" w:eastAsia="楷体" w:cs="Arial"/>
          <w:color w:val="000000"/>
          <w:szCs w:val="24"/>
          <w:lang w:eastAsia="zh-CN"/>
        </w:rPr>
        <w:t>委托乙方在都江堰市区域内的</w:t>
      </w:r>
      <w:r>
        <w:rPr>
          <w:rFonts w:hint="eastAsia" w:ascii="楷体" w:hAnsi="楷体" w:eastAsia="楷体" w:cs="Arial"/>
          <w:color w:val="000000"/>
          <w:szCs w:val="24"/>
          <w:lang w:val="en-US" w:eastAsia="zh-CN"/>
        </w:rPr>
        <w:t>500个丰巢快递柜屏幕点位，</w:t>
      </w:r>
      <w:r>
        <w:rPr>
          <w:rFonts w:hint="eastAsia" w:ascii="楷体" w:hAnsi="楷体" w:eastAsia="楷体" w:cs="Arial"/>
          <w:color w:val="000000"/>
          <w:szCs w:val="24"/>
          <w:lang w:eastAsia="zh-CN"/>
        </w:rPr>
        <w:t>发布甲方相关</w:t>
      </w:r>
      <w:r>
        <w:rPr>
          <w:rFonts w:hint="eastAsia" w:ascii="楷体" w:hAnsi="楷体" w:eastAsia="楷体" w:cs="Arial"/>
          <w:color w:val="000000"/>
          <w:szCs w:val="24"/>
          <w:u w:val="single"/>
          <w:lang w:val="en-US" w:eastAsia="zh-CN"/>
        </w:rPr>
        <w:t>车险</w:t>
      </w:r>
      <w:r>
        <w:rPr>
          <w:rFonts w:hint="eastAsia" w:ascii="楷体" w:hAnsi="楷体" w:eastAsia="楷体" w:cs="Arial"/>
          <w:color w:val="000000"/>
          <w:szCs w:val="24"/>
          <w:u w:val="none"/>
          <w:lang w:eastAsia="zh-CN"/>
        </w:rPr>
        <w:t>宣传推广服务内容</w:t>
      </w:r>
      <w:r>
        <w:rPr>
          <w:rFonts w:hint="eastAsia" w:ascii="楷体" w:hAnsi="楷体" w:eastAsia="楷体" w:cs="Arial"/>
          <w:color w:val="000000"/>
          <w:szCs w:val="24"/>
        </w:rPr>
        <w:t>。</w:t>
      </w:r>
    </w:p>
    <w:p>
      <w:pPr>
        <w:pStyle w:val="2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楷体" w:hAnsi="楷体" w:eastAsia="楷体" w:cs="Arial"/>
          <w:sz w:val="24"/>
          <w:szCs w:val="24"/>
          <w:lang w:val="en-US" w:eastAsia="zh-CN" w:bidi="ar-SA"/>
        </w:rPr>
      </w:pPr>
      <w:r>
        <w:rPr>
          <w:rFonts w:hint="eastAsia" w:ascii="楷体" w:hAnsi="楷体" w:eastAsia="楷体" w:cs="Arial"/>
          <w:sz w:val="24"/>
          <w:szCs w:val="24"/>
          <w:lang w:val="en-US" w:eastAsia="zh-CN" w:bidi="ar-SA"/>
        </w:rPr>
        <w:t>1.3本合同总金额为：</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。本合同单价：</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元/个/周，大写：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楷体" w:hAnsi="楷体" w:eastAsia="楷体" w:cs="Arial"/>
          <w:sz w:val="24"/>
          <w:szCs w:val="24"/>
          <w:lang w:val="en-US" w:eastAsia="zh-CN" w:bidi="ar-SA"/>
        </w:rPr>
      </w:pPr>
      <w:r>
        <w:rPr>
          <w:rFonts w:hint="eastAsia" w:ascii="楷体" w:hAnsi="楷体" w:eastAsia="楷体" w:cs="Arial"/>
          <w:sz w:val="24"/>
          <w:szCs w:val="24"/>
          <w:lang w:val="en-US" w:eastAsia="zh-CN" w:bidi="ar-SA"/>
        </w:rPr>
        <w:t>1.4乙方给甲方提供增值税专用发票，乙方为</w:t>
      </w:r>
      <w:r>
        <w:rPr>
          <w:rFonts w:hint="eastAsia" w:ascii="楷体" w:hAnsi="楷体" w:eastAsia="楷体" w:cs="Arial"/>
          <w:sz w:val="24"/>
          <w:szCs w:val="24"/>
          <w:u w:val="single"/>
          <w:lang w:val="en-US" w:eastAsia="zh-CN" w:bidi="ar-SA"/>
        </w:rPr>
        <w:t>小规模/一般纳税人</w:t>
      </w:r>
      <w:r>
        <w:rPr>
          <w:rFonts w:hint="eastAsia" w:ascii="楷体" w:hAnsi="楷体" w:eastAsia="楷体" w:cs="Arial"/>
          <w:sz w:val="24"/>
          <w:szCs w:val="24"/>
          <w:lang w:val="en-US" w:eastAsia="zh-CN" w:bidi="ar-SA"/>
        </w:rPr>
        <w:t>，发票税率为</w:t>
      </w:r>
      <w:r>
        <w:rPr>
          <w:rFonts w:hint="eastAsia" w:ascii="楷体" w:hAnsi="楷体" w:eastAsia="楷体" w:cs="Arial"/>
          <w:sz w:val="24"/>
          <w:szCs w:val="24"/>
          <w:u w:val="single"/>
          <w:lang w:val="en-US" w:eastAsia="zh-CN" w:bidi="ar-SA"/>
        </w:rPr>
        <w:t>*%</w:t>
      </w:r>
      <w:r>
        <w:rPr>
          <w:rFonts w:hint="default" w:ascii="楷体" w:hAnsi="楷体" w:eastAsia="楷体" w:cs="Arial"/>
          <w:sz w:val="24"/>
          <w:szCs w:val="24"/>
          <w:lang w:val="en-US" w:eastAsia="zh-CN" w:bidi="ar-SA"/>
        </w:rPr>
        <w:t>,</w:t>
      </w:r>
      <w:r>
        <w:rPr>
          <w:rFonts w:hint="eastAsia" w:ascii="楷体" w:hAnsi="楷体" w:eastAsia="楷体" w:cs="Arial"/>
          <w:sz w:val="24"/>
          <w:szCs w:val="24"/>
          <w:lang w:val="en-US" w:eastAsia="zh-CN" w:bidi="ar-SA"/>
        </w:rPr>
        <w:t>后期以国家税收标准为准。本合同不含税总金额为：</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。不含税单价为：</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元/个/周，大写：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w:t>
      </w:r>
    </w:p>
    <w:p>
      <w:pPr>
        <w:pStyle w:val="2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default" w:ascii="楷体" w:hAnsi="楷体" w:eastAsia="楷体" w:cs="Arial"/>
          <w:sz w:val="24"/>
          <w:szCs w:val="24"/>
          <w:lang w:val="en-US" w:eastAsia="zh-CN" w:bidi="ar-SA"/>
        </w:rPr>
      </w:pPr>
      <w:r>
        <w:rPr>
          <w:rFonts w:hint="default" w:ascii="楷体" w:hAnsi="楷体" w:eastAsia="楷体" w:cs="Arial"/>
          <w:sz w:val="24"/>
          <w:szCs w:val="24"/>
          <w:lang w:val="en-US" w:eastAsia="zh-CN" w:bidi="ar-SA"/>
        </w:rPr>
        <w:t>1.</w:t>
      </w:r>
      <w:r>
        <w:rPr>
          <w:rFonts w:hint="eastAsia" w:ascii="楷体" w:hAnsi="楷体" w:eastAsia="楷体" w:cs="Arial"/>
          <w:sz w:val="24"/>
          <w:szCs w:val="24"/>
          <w:lang w:val="en-US" w:eastAsia="zh-CN" w:bidi="ar-SA"/>
        </w:rPr>
        <w:t>5本合同有效期自</w:t>
      </w:r>
      <w:r>
        <w:rPr>
          <w:rFonts w:hint="eastAsia" w:ascii="楷体" w:hAnsi="楷体" w:eastAsia="楷体" w:cs="Arial"/>
          <w:sz w:val="24"/>
          <w:szCs w:val="24"/>
          <w:u w:val="single"/>
          <w:lang w:val="en-US" w:eastAsia="zh-CN" w:bidi="ar-SA"/>
        </w:rPr>
        <w:t>****年**月**日</w:t>
      </w:r>
      <w:r>
        <w:rPr>
          <w:rFonts w:hint="eastAsia" w:ascii="楷体" w:hAnsi="楷体" w:eastAsia="楷体" w:cs="Arial"/>
          <w:sz w:val="24"/>
          <w:szCs w:val="24"/>
          <w:lang w:val="en-US" w:eastAsia="zh-CN" w:bidi="ar-SA"/>
        </w:rPr>
        <w:t>起至</w:t>
      </w:r>
      <w:r>
        <w:rPr>
          <w:rFonts w:hint="eastAsia" w:ascii="楷体" w:hAnsi="楷体" w:eastAsia="楷体" w:cs="Arial"/>
          <w:sz w:val="24"/>
          <w:szCs w:val="24"/>
          <w:u w:val="single"/>
          <w:lang w:val="en-US" w:eastAsia="zh-CN" w:bidi="ar-SA"/>
        </w:rPr>
        <w:t>****年**月**日</w:t>
      </w:r>
      <w:r>
        <w:rPr>
          <w:rFonts w:hint="eastAsia" w:ascii="楷体" w:hAnsi="楷体" w:eastAsia="楷体" w:cs="Arial"/>
          <w:sz w:val="24"/>
          <w:szCs w:val="24"/>
          <w:lang w:val="en-US" w:eastAsia="zh-CN" w:bidi="ar-SA"/>
        </w:rPr>
        <w:t>止。</w:t>
      </w:r>
    </w:p>
    <w:p>
      <w:pPr>
        <w:keepNext w:val="0"/>
        <w:keepLines w:val="0"/>
        <w:pageBreakBefore w:val="0"/>
        <w:widowControl w:val="0"/>
        <w:numPr>
          <w:ilvl w:val="0"/>
          <w:numId w:val="4"/>
        </w:numPr>
        <w:kinsoku/>
        <w:wordWrap/>
        <w:overflowPunct/>
        <w:topLinePunct w:val="0"/>
        <w:autoSpaceDE/>
        <w:autoSpaceDN/>
        <w:bidi w:val="0"/>
        <w:adjustRightInd/>
        <w:snapToGrid w:val="0"/>
        <w:spacing w:line="360" w:lineRule="auto"/>
        <w:textAlignment w:val="auto"/>
        <w:rPr>
          <w:rFonts w:hint="eastAsia" w:ascii="楷体" w:hAnsi="楷体" w:eastAsia="楷体" w:cs="Arial"/>
          <w:sz w:val="24"/>
          <w:szCs w:val="24"/>
          <w:lang w:val="en-US" w:eastAsia="zh-CN" w:bidi="ar-SA"/>
        </w:rPr>
      </w:pPr>
      <w:r>
        <w:rPr>
          <w:rFonts w:hint="eastAsia" w:ascii="楷体" w:hAnsi="楷体" w:eastAsia="楷体" w:cs="Arial"/>
          <w:sz w:val="24"/>
          <w:szCs w:val="24"/>
          <w:lang w:val="en-US" w:eastAsia="zh-CN" w:bidi="ar-SA"/>
        </w:rPr>
        <w:t>投放完毕后，乙方向甲方提供水印照片、视频、结算验收单、点位清单等作为宣传推广服务已完成的依据。甲方须在接到通知后</w:t>
      </w:r>
      <w:r>
        <w:rPr>
          <w:rFonts w:hint="eastAsia" w:ascii="楷体" w:hAnsi="楷体" w:eastAsia="楷体" w:cs="Arial"/>
          <w:sz w:val="24"/>
          <w:szCs w:val="24"/>
          <w:u w:val="single"/>
          <w:lang w:val="en-US" w:eastAsia="zh-CN" w:bidi="ar-SA"/>
        </w:rPr>
        <w:t xml:space="preserve">  10  </w:t>
      </w:r>
      <w:r>
        <w:rPr>
          <w:rFonts w:hint="eastAsia" w:ascii="楷体" w:hAnsi="楷体" w:eastAsia="楷体" w:cs="Arial"/>
          <w:sz w:val="24"/>
          <w:szCs w:val="24"/>
          <w:lang w:val="en-US" w:eastAsia="zh-CN" w:bidi="ar-SA"/>
        </w:rPr>
        <w:t>天内验收完毕并签字确认。</w:t>
      </w:r>
    </w:p>
    <w:p>
      <w:pPr>
        <w:snapToGrid w:val="0"/>
        <w:spacing w:line="360" w:lineRule="auto"/>
        <w:rPr>
          <w:rFonts w:hint="eastAsia" w:ascii="楷体" w:hAnsi="楷体" w:eastAsia="楷体"/>
          <w:b/>
          <w:szCs w:val="24"/>
        </w:rPr>
      </w:pPr>
      <w:r>
        <w:rPr>
          <w:rFonts w:hint="eastAsia" w:ascii="楷体" w:hAnsi="楷体" w:eastAsia="楷体"/>
          <w:b/>
          <w:szCs w:val="24"/>
        </w:rPr>
        <w:br w:type="page"/>
      </w:r>
    </w:p>
    <w:p>
      <w:pPr>
        <w:snapToGrid w:val="0"/>
        <w:spacing w:line="360" w:lineRule="auto"/>
        <w:rPr>
          <w:rFonts w:ascii="楷体" w:hAnsi="楷体" w:eastAsia="楷体"/>
          <w:b/>
          <w:szCs w:val="24"/>
        </w:rPr>
      </w:pPr>
      <w:r>
        <w:rPr>
          <w:rFonts w:hint="eastAsia" w:ascii="楷体" w:hAnsi="楷体" w:eastAsia="楷体"/>
          <w:b/>
          <w:szCs w:val="24"/>
        </w:rPr>
        <w:t>附件</w:t>
      </w:r>
      <w:r>
        <w:rPr>
          <w:rFonts w:hint="eastAsia" w:ascii="楷体" w:hAnsi="楷体" w:eastAsia="楷体"/>
          <w:b/>
          <w:szCs w:val="24"/>
          <w:lang w:val="en-US" w:eastAsia="zh-CN"/>
        </w:rPr>
        <w:t>二</w:t>
      </w:r>
      <w:r>
        <w:rPr>
          <w:rFonts w:hint="eastAsia" w:ascii="楷体" w:hAnsi="楷体" w:eastAsia="楷体"/>
          <w:b/>
          <w:szCs w:val="24"/>
        </w:rPr>
        <w:t>：</w:t>
      </w:r>
    </w:p>
    <w:p>
      <w:pPr>
        <w:snapToGrid w:val="0"/>
        <w:spacing w:line="360" w:lineRule="auto"/>
        <w:jc w:val="center"/>
        <w:rPr>
          <w:rFonts w:ascii="楷体" w:hAnsi="楷体" w:eastAsia="楷体"/>
          <w:b/>
          <w:szCs w:val="24"/>
        </w:rPr>
      </w:pPr>
      <w:r>
        <w:rPr>
          <w:rFonts w:hint="eastAsia" w:ascii="楷体" w:hAnsi="楷体" w:eastAsia="楷体"/>
          <w:b/>
          <w:szCs w:val="24"/>
        </w:rPr>
        <w:t>付款</w:t>
      </w:r>
    </w:p>
    <w:p>
      <w:pPr>
        <w:snapToGrid w:val="0"/>
        <w:spacing w:line="360" w:lineRule="auto"/>
        <w:rPr>
          <w:rFonts w:ascii="楷体" w:hAnsi="楷体" w:eastAsia="楷体"/>
          <w:szCs w:val="24"/>
        </w:rPr>
      </w:pPr>
    </w:p>
    <w:p>
      <w:pPr>
        <w:pStyle w:val="25"/>
        <w:numPr>
          <w:ilvl w:val="0"/>
          <w:numId w:val="0"/>
        </w:numPr>
        <w:snapToGrid w:val="0"/>
        <w:spacing w:line="360" w:lineRule="auto"/>
        <w:rPr>
          <w:rFonts w:hint="eastAsia" w:ascii="楷体" w:hAnsi="楷体" w:eastAsia="楷体" w:cs="Times New Roman"/>
          <w:szCs w:val="24"/>
        </w:rPr>
      </w:pPr>
      <w:r>
        <w:rPr>
          <w:rFonts w:hint="eastAsia" w:ascii="楷体" w:hAnsi="楷体" w:eastAsia="楷体" w:cs="Times New Roman"/>
          <w:szCs w:val="24"/>
        </w:rPr>
        <w:t>1. 本合同使用货币种类为人民币。</w:t>
      </w:r>
    </w:p>
    <w:p>
      <w:pPr>
        <w:pStyle w:val="25"/>
        <w:numPr>
          <w:ilvl w:val="0"/>
          <w:numId w:val="0"/>
        </w:numPr>
        <w:snapToGrid w:val="0"/>
        <w:spacing w:line="360" w:lineRule="auto"/>
        <w:rPr>
          <w:rFonts w:hint="eastAsia" w:ascii="楷体" w:hAnsi="楷体" w:eastAsia="楷体" w:cs="Times New Roman"/>
          <w:szCs w:val="24"/>
        </w:rPr>
      </w:pPr>
      <w:r>
        <w:rPr>
          <w:rFonts w:hint="eastAsia" w:ascii="楷体" w:hAnsi="楷体" w:eastAsia="楷体" w:cs="Times New Roman"/>
          <w:szCs w:val="24"/>
        </w:rPr>
        <w:t>2. 付款方式：转账。双方采用转账方式付款的，甲方应向乙方以下账户进行付费：</w:t>
      </w:r>
    </w:p>
    <w:p>
      <w:pPr>
        <w:pStyle w:val="25"/>
        <w:numPr>
          <w:ilvl w:val="0"/>
          <w:numId w:val="0"/>
        </w:numPr>
        <w:snapToGrid w:val="0"/>
        <w:spacing w:line="360" w:lineRule="auto"/>
        <w:rPr>
          <w:rFonts w:hint="default" w:ascii="楷体" w:hAnsi="楷体" w:eastAsia="楷体" w:cs="Times New Roman"/>
          <w:szCs w:val="24"/>
          <w:lang w:val="en-US" w:eastAsia="zh-CN"/>
        </w:rPr>
      </w:pPr>
      <w:r>
        <w:rPr>
          <w:rFonts w:hint="eastAsia" w:ascii="楷体" w:hAnsi="楷体" w:eastAsia="楷体" w:cs="Times New Roman"/>
          <w:szCs w:val="24"/>
        </w:rPr>
        <w:t>乙方：</w:t>
      </w:r>
    </w:p>
    <w:p>
      <w:pPr>
        <w:pStyle w:val="25"/>
        <w:numPr>
          <w:ilvl w:val="0"/>
          <w:numId w:val="0"/>
        </w:numPr>
        <w:snapToGrid w:val="0"/>
        <w:spacing w:line="360" w:lineRule="auto"/>
        <w:rPr>
          <w:rFonts w:hint="default" w:ascii="楷体" w:hAnsi="楷体" w:eastAsia="楷体" w:cs="Times New Roman"/>
          <w:szCs w:val="24"/>
          <w:lang w:val="en-US" w:eastAsia="zh-CN"/>
        </w:rPr>
      </w:pPr>
      <w:r>
        <w:rPr>
          <w:rFonts w:hint="eastAsia" w:ascii="楷体" w:hAnsi="楷体" w:eastAsia="楷体" w:cs="Times New Roman"/>
          <w:szCs w:val="24"/>
        </w:rPr>
        <w:t>开户行：</w:t>
      </w:r>
    </w:p>
    <w:p>
      <w:pPr>
        <w:pStyle w:val="25"/>
        <w:numPr>
          <w:ilvl w:val="0"/>
          <w:numId w:val="0"/>
        </w:numPr>
        <w:snapToGrid w:val="0"/>
        <w:spacing w:line="360" w:lineRule="auto"/>
        <w:rPr>
          <w:rFonts w:hint="default" w:ascii="楷体" w:hAnsi="楷体" w:eastAsia="楷体" w:cs="Times New Roman"/>
          <w:szCs w:val="24"/>
          <w:lang w:val="en-US" w:eastAsia="zh-CN"/>
        </w:rPr>
      </w:pPr>
      <w:r>
        <w:rPr>
          <w:rFonts w:hint="eastAsia" w:ascii="楷体" w:hAnsi="楷体" w:eastAsia="楷体" w:cs="Times New Roman"/>
          <w:szCs w:val="24"/>
        </w:rPr>
        <w:t xml:space="preserve">账户名称： </w:t>
      </w:r>
    </w:p>
    <w:p>
      <w:pPr>
        <w:pStyle w:val="25"/>
        <w:numPr>
          <w:ilvl w:val="0"/>
          <w:numId w:val="0"/>
        </w:numPr>
        <w:snapToGrid w:val="0"/>
        <w:spacing w:line="360" w:lineRule="auto"/>
        <w:rPr>
          <w:rFonts w:hint="eastAsia" w:ascii="楷体" w:hAnsi="楷体" w:eastAsia="楷体" w:cs="Times New Roman"/>
          <w:szCs w:val="24"/>
          <w:lang w:val="en-US" w:eastAsia="zh-CN"/>
        </w:rPr>
      </w:pPr>
      <w:r>
        <w:rPr>
          <w:rFonts w:hint="eastAsia" w:ascii="楷体" w:hAnsi="楷体" w:eastAsia="楷体" w:cs="Times New Roman"/>
          <w:szCs w:val="24"/>
        </w:rPr>
        <w:t>账号：</w:t>
      </w:r>
    </w:p>
    <w:p>
      <w:pPr>
        <w:pStyle w:val="25"/>
        <w:numPr>
          <w:ilvl w:val="0"/>
          <w:numId w:val="0"/>
        </w:numPr>
        <w:snapToGrid w:val="0"/>
        <w:spacing w:line="360" w:lineRule="auto"/>
        <w:rPr>
          <w:rFonts w:ascii="楷体" w:hAnsi="楷体" w:eastAsia="楷体"/>
          <w:szCs w:val="24"/>
        </w:rPr>
      </w:pPr>
      <w:r>
        <w:rPr>
          <w:rFonts w:hint="eastAsia" w:ascii="楷体" w:hAnsi="楷体" w:eastAsia="楷体" w:cs="Times New Roman"/>
          <w:szCs w:val="24"/>
        </w:rPr>
        <w:t>乙方如需改变上述账户，应提前10日以书面通知甲方。</w:t>
      </w:r>
    </w:p>
    <w:p>
      <w:pPr>
        <w:snapToGrid w:val="0"/>
        <w:spacing w:line="360" w:lineRule="auto"/>
        <w:rPr>
          <w:rFonts w:ascii="楷体" w:hAnsi="楷体" w:eastAsia="楷体"/>
          <w:color w:val="000000"/>
          <w:szCs w:val="24"/>
        </w:rPr>
      </w:pPr>
      <w:r>
        <w:rPr>
          <w:rFonts w:hint="eastAsia" w:ascii="楷体" w:hAnsi="楷体" w:eastAsia="楷体"/>
          <w:color w:val="000000"/>
          <w:szCs w:val="24"/>
        </w:rPr>
        <w:t>3. 付款安排</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楷体" w:hAnsi="楷体" w:eastAsia="楷体"/>
          <w:color w:val="000000"/>
          <w:szCs w:val="24"/>
          <w:lang w:val="en-US" w:eastAsia="zh-CN"/>
        </w:rPr>
      </w:pPr>
      <w:r>
        <w:rPr>
          <w:rFonts w:hint="eastAsia" w:ascii="楷体" w:hAnsi="楷体" w:eastAsia="楷体"/>
          <w:color w:val="000000"/>
          <w:szCs w:val="24"/>
          <w:lang w:val="en-US" w:eastAsia="zh-CN"/>
        </w:rPr>
        <w:t>3.1结算周期：相关费用根据乙方向甲方提供的水印照片、视频、结算验收单、点位清单、合规的增值税专用发票，经甲方验收合格并签字确认后，按照实际投放数量不定期结算。（实际费用以单价、点位数、周数进行结算，每次服务总金额=单价*点位数*周数）。</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楷体_GB2312" w:hAnsi="宋体" w:eastAsia="楷体_GB2312"/>
          <w:lang w:val="en-US" w:eastAsia="zh-CN"/>
        </w:rPr>
      </w:pPr>
      <w:r>
        <w:rPr>
          <w:rFonts w:hint="eastAsia" w:ascii="楷体_GB2312" w:hAnsi="宋体" w:eastAsia="楷体_GB2312"/>
          <w:lang w:val="en-US" w:eastAsia="zh-CN"/>
        </w:rPr>
        <w:t>3.2支付流程：我方在收到乙方提供的足额有效增值税专用发票（税率：</w:t>
      </w:r>
      <w:r>
        <w:rPr>
          <w:rFonts w:hint="eastAsia" w:ascii="楷体_GB2312" w:hAnsi="宋体" w:eastAsia="楷体_GB2312"/>
          <w:u w:val="single"/>
          <w:lang w:val="en-US" w:eastAsia="zh-CN"/>
        </w:rPr>
        <w:t xml:space="preserve">  </w:t>
      </w:r>
      <w:r>
        <w:rPr>
          <w:rFonts w:hint="eastAsia" w:ascii="楷体_GB2312" w:hAnsi="宋体" w:eastAsia="楷体_GB2312"/>
          <w:lang w:val="en-US" w:eastAsia="zh-CN"/>
        </w:rPr>
        <w:t>%）后30个工作日内，按约定付款方式支付对应的费用。</w:t>
      </w:r>
    </w:p>
    <w:p>
      <w:pPr>
        <w:numPr>
          <w:ilvl w:val="0"/>
          <w:numId w:val="5"/>
        </w:numPr>
        <w:snapToGrid w:val="0"/>
        <w:spacing w:line="360" w:lineRule="auto"/>
        <w:rPr>
          <w:rFonts w:hint="eastAsia" w:ascii="楷体_GB2312" w:hAnsi="宋体" w:eastAsia="楷体_GB2312"/>
        </w:rPr>
      </w:pPr>
      <w:r>
        <w:rPr>
          <w:rFonts w:hint="eastAsia" w:ascii="楷体_GB2312" w:hAnsi="宋体" w:eastAsia="楷体_GB2312"/>
        </w:rPr>
        <w:t>增值税专用发票的相关约定</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4.1</w:t>
      </w:r>
      <w:r>
        <w:rPr>
          <w:rFonts w:hint="eastAsia" w:ascii="楷体_GB2312" w:hAnsi="宋体" w:eastAsia="楷体_GB2312"/>
        </w:rPr>
        <w:t xml:space="preserve">乙方应向甲方开具增值税专用发票，甲方开票信息如下： </w:t>
      </w:r>
    </w:p>
    <w:p>
      <w:pPr>
        <w:snapToGrid w:val="0"/>
        <w:spacing w:line="360" w:lineRule="auto"/>
        <w:rPr>
          <w:rFonts w:hint="eastAsia" w:ascii="楷体_GB2312" w:hAnsi="宋体" w:eastAsia="楷体_GB2312"/>
        </w:rPr>
      </w:pPr>
      <w:r>
        <w:rPr>
          <w:rFonts w:hint="eastAsia" w:ascii="楷体_GB2312" w:hAnsi="宋体" w:eastAsia="楷体_GB2312"/>
        </w:rPr>
        <w:t>公司名称：中国人民财产保险股份有限公司成都市分公司</w:t>
      </w:r>
    </w:p>
    <w:p>
      <w:pPr>
        <w:snapToGrid w:val="0"/>
        <w:spacing w:line="360" w:lineRule="auto"/>
        <w:rPr>
          <w:rFonts w:hint="eastAsia" w:ascii="楷体_GB2312" w:hAnsi="宋体" w:eastAsia="楷体_GB2312"/>
        </w:rPr>
      </w:pPr>
      <w:r>
        <w:rPr>
          <w:rFonts w:hint="eastAsia" w:ascii="楷体_GB2312" w:hAnsi="宋体" w:eastAsia="楷体_GB2312"/>
        </w:rPr>
        <w:t>纳税识别号：</w:t>
      </w:r>
      <w:r>
        <w:rPr>
          <w:rFonts w:hint="eastAsia" w:ascii="楷体_GB2312" w:hAnsi="宋体" w:eastAsia="楷体_GB2312"/>
          <w:u w:val="single"/>
        </w:rPr>
        <w:t>915101009019512765</w:t>
      </w:r>
    </w:p>
    <w:p>
      <w:pPr>
        <w:snapToGrid w:val="0"/>
        <w:spacing w:line="360" w:lineRule="auto"/>
        <w:rPr>
          <w:rFonts w:hint="eastAsia" w:ascii="楷体_GB2312" w:hAnsi="宋体" w:eastAsia="楷体_GB2312"/>
        </w:rPr>
      </w:pPr>
      <w:r>
        <w:rPr>
          <w:rFonts w:hint="eastAsia" w:ascii="楷体_GB2312" w:hAnsi="宋体" w:eastAsia="楷体_GB2312"/>
        </w:rPr>
        <w:t>银行账号：</w:t>
      </w:r>
      <w:r>
        <w:rPr>
          <w:rFonts w:hint="eastAsia" w:ascii="楷体_GB2312" w:hAnsi="宋体" w:eastAsia="楷体_GB2312"/>
          <w:u w:val="single"/>
        </w:rPr>
        <w:t>4402298019100356150</w:t>
      </w:r>
    </w:p>
    <w:p>
      <w:pPr>
        <w:snapToGrid w:val="0"/>
        <w:spacing w:line="360" w:lineRule="auto"/>
        <w:rPr>
          <w:rFonts w:hint="eastAsia" w:ascii="楷体_GB2312" w:hAnsi="宋体" w:eastAsia="楷体_GB2312"/>
          <w:u w:val="single"/>
        </w:rPr>
      </w:pPr>
      <w:r>
        <w:rPr>
          <w:rFonts w:hint="eastAsia" w:ascii="楷体_GB2312" w:hAnsi="宋体" w:eastAsia="楷体_GB2312"/>
        </w:rPr>
        <w:t>开户银行：</w:t>
      </w:r>
      <w:r>
        <w:rPr>
          <w:rFonts w:hint="eastAsia" w:ascii="楷体_GB2312" w:hAnsi="宋体" w:eastAsia="楷体_GB2312"/>
          <w:u w:val="single"/>
        </w:rPr>
        <w:t>中国工商银行股份有限公司成都东大支行营业室</w:t>
      </w:r>
    </w:p>
    <w:p>
      <w:pPr>
        <w:snapToGrid w:val="0"/>
        <w:spacing w:line="360" w:lineRule="auto"/>
        <w:rPr>
          <w:rFonts w:hint="eastAsia" w:ascii="楷体_GB2312" w:hAnsi="宋体" w:eastAsia="楷体_GB2312"/>
        </w:rPr>
      </w:pPr>
      <w:r>
        <w:rPr>
          <w:rFonts w:hint="eastAsia" w:ascii="楷体_GB2312" w:hAnsi="宋体" w:eastAsia="楷体_GB2312"/>
        </w:rPr>
        <w:t>开票地址：</w:t>
      </w:r>
      <w:r>
        <w:rPr>
          <w:rFonts w:hint="eastAsia" w:ascii="楷体_GB2312" w:hAnsi="宋体" w:eastAsia="楷体_GB2312"/>
          <w:u w:val="single"/>
        </w:rPr>
        <w:t>成都市武侯区老马路7号</w:t>
      </w:r>
    </w:p>
    <w:p>
      <w:pPr>
        <w:snapToGrid w:val="0"/>
        <w:spacing w:line="360" w:lineRule="auto"/>
        <w:rPr>
          <w:rFonts w:hint="eastAsia" w:ascii="楷体_GB2312" w:hAnsi="宋体" w:eastAsia="楷体_GB2312"/>
        </w:rPr>
      </w:pPr>
      <w:r>
        <w:rPr>
          <w:rFonts w:hint="eastAsia" w:ascii="楷体_GB2312" w:hAnsi="宋体" w:eastAsia="楷体_GB2312"/>
        </w:rPr>
        <w:t>开票电话：</w:t>
      </w:r>
      <w:r>
        <w:rPr>
          <w:rFonts w:hint="eastAsia" w:ascii="楷体_GB2312" w:hAnsi="宋体" w:eastAsia="楷体_GB2312"/>
          <w:u w:val="single"/>
        </w:rPr>
        <w:t>028-85445626</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4.2</w:t>
      </w:r>
      <w:r>
        <w:rPr>
          <w:rFonts w:hint="eastAsia" w:ascii="楷体_GB2312" w:hAnsi="宋体" w:eastAsia="楷体_GB2312"/>
        </w:rPr>
        <w:t>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4.3</w:t>
      </w:r>
      <w:r>
        <w:rPr>
          <w:rFonts w:hint="eastAsia" w:ascii="楷体_GB2312" w:hAnsi="宋体" w:eastAsia="楷体_GB2312"/>
        </w:rPr>
        <w:t xml:space="preserve">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不得低于（即必须大于或等于）甲方已经支付的价税合计款项； </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4.4</w:t>
      </w:r>
      <w:r>
        <w:rPr>
          <w:rFonts w:hint="eastAsia" w:ascii="楷体_GB2312" w:hAnsi="宋体" w:eastAsia="楷体_GB2312"/>
        </w:rPr>
        <w:t>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4.5</w:t>
      </w:r>
      <w:r>
        <w:rPr>
          <w:rFonts w:hint="eastAsia" w:ascii="楷体_GB2312" w:hAnsi="宋体" w:eastAsia="楷体_GB2312"/>
        </w:rPr>
        <w:t>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4.6</w:t>
      </w:r>
      <w:r>
        <w:rPr>
          <w:rFonts w:hint="eastAsia" w:ascii="楷体_GB2312" w:hAnsi="宋体" w:eastAsia="楷体_GB2312"/>
        </w:rPr>
        <w:t>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rPr>
          <w:rFonts w:hint="eastAsia" w:ascii="楷体_GB2312" w:hAnsi="宋体" w:eastAsia="楷体_GB2312"/>
          <w:lang w:val="en-US" w:eastAsia="zh-CN"/>
        </w:rPr>
      </w:pPr>
      <w:r>
        <w:rPr>
          <w:rFonts w:hint="eastAsia" w:ascii="楷体_GB2312" w:hAnsi="宋体" w:eastAsia="楷体_GB2312"/>
          <w:lang w:val="en-US" w:eastAsia="zh-CN"/>
        </w:rPr>
        <w:t>4.7</w:t>
      </w:r>
      <w:r>
        <w:rPr>
          <w:rFonts w:hint="eastAsia" w:ascii="楷体_GB2312" w:hAnsi="宋体" w:eastAsia="楷体_GB2312"/>
        </w:rPr>
        <w:t>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w:t>
      </w:r>
      <w:r>
        <w:rPr>
          <w:rFonts w:hint="eastAsia" w:ascii="楷体_GB2312" w:hAnsi="宋体" w:eastAsia="楷体_GB2312"/>
          <w:lang w:val="en-US" w:eastAsia="zh-CN"/>
        </w:rPr>
        <w:t>提供。</w:t>
      </w:r>
    </w:p>
    <w:p>
      <w:pPr>
        <w:snapToGrid w:val="0"/>
        <w:spacing w:line="360" w:lineRule="auto"/>
        <w:rPr>
          <w:rFonts w:hint="eastAsia" w:ascii="楷体" w:hAnsi="楷体" w:eastAsia="楷体"/>
          <w:b/>
          <w:color w:val="000000"/>
          <w:szCs w:val="24"/>
        </w:rPr>
      </w:pPr>
      <w:r>
        <w:rPr>
          <w:rFonts w:hint="eastAsia" w:ascii="楷体" w:hAnsi="楷体" w:eastAsia="楷体"/>
          <w:b/>
          <w:color w:val="000000"/>
          <w:szCs w:val="24"/>
        </w:rPr>
        <w:br w:type="page"/>
      </w:r>
    </w:p>
    <w:p>
      <w:pPr>
        <w:snapToGrid w:val="0"/>
        <w:spacing w:line="360" w:lineRule="auto"/>
        <w:rPr>
          <w:rFonts w:hint="eastAsia" w:ascii="楷体" w:hAnsi="楷体" w:eastAsia="楷体"/>
          <w:b/>
          <w:color w:val="000000"/>
          <w:szCs w:val="24"/>
        </w:rPr>
      </w:pPr>
      <w:r>
        <w:rPr>
          <w:rFonts w:hint="eastAsia" w:ascii="楷体" w:hAnsi="楷体" w:eastAsia="楷体"/>
          <w:b/>
          <w:color w:val="000000"/>
          <w:szCs w:val="24"/>
        </w:rPr>
        <w:t>附件</w:t>
      </w:r>
      <w:r>
        <w:rPr>
          <w:rFonts w:hint="eastAsia" w:ascii="楷体" w:hAnsi="楷体" w:eastAsia="楷体"/>
          <w:b/>
          <w:color w:val="000000"/>
          <w:szCs w:val="24"/>
          <w:lang w:val="en-US" w:eastAsia="zh-CN"/>
        </w:rPr>
        <w:t>三：</w:t>
      </w:r>
    </w:p>
    <w:p>
      <w:pPr>
        <w:snapToGrid w:val="0"/>
        <w:spacing w:line="360" w:lineRule="auto"/>
        <w:jc w:val="center"/>
        <w:rPr>
          <w:rFonts w:hint="eastAsia" w:ascii="楷体" w:hAnsi="楷体" w:eastAsia="楷体"/>
          <w:b/>
          <w:color w:val="000000"/>
          <w:szCs w:val="24"/>
        </w:rPr>
      </w:pPr>
      <w:r>
        <w:rPr>
          <w:rFonts w:hint="eastAsia" w:ascii="楷体" w:hAnsi="楷体" w:eastAsia="楷体"/>
          <w:b/>
          <w:color w:val="000000"/>
          <w:szCs w:val="24"/>
        </w:rPr>
        <w:t>违约条款</w:t>
      </w:r>
    </w:p>
    <w:p>
      <w:pPr>
        <w:snapToGrid w:val="0"/>
        <w:spacing w:line="360" w:lineRule="auto"/>
        <w:ind w:firstLine="420" w:firstLineChars="200"/>
        <w:rPr>
          <w:rFonts w:hint="eastAsia" w:ascii="楷体_GB2312" w:hAnsi="宋体" w:eastAsia="楷体_GB2312"/>
          <w:color w:val="000000"/>
        </w:rPr>
      </w:pPr>
    </w:p>
    <w:p>
      <w:pPr>
        <w:snapToGrid w:val="0"/>
        <w:spacing w:line="360" w:lineRule="auto"/>
        <w:ind w:firstLine="420" w:firstLineChars="200"/>
        <w:rPr>
          <w:rFonts w:hint="eastAsia" w:ascii="楷体_GB2312" w:hAnsi="宋体" w:eastAsia="楷体_GB2312"/>
          <w:color w:val="000000"/>
        </w:rPr>
      </w:pPr>
      <w:r>
        <w:rPr>
          <w:rFonts w:hint="eastAsia" w:ascii="楷体_GB2312" w:hAnsi="宋体" w:eastAsia="楷体_GB2312"/>
          <w:color w:val="000000"/>
        </w:rPr>
        <w:t>详见正文部分。具体</w:t>
      </w:r>
      <w:r>
        <w:rPr>
          <w:rFonts w:hint="eastAsia" w:ascii="楷体_GB2312" w:hAnsi="宋体" w:eastAsia="楷体_GB2312"/>
          <w:color w:val="000000"/>
          <w:lang w:val="en-US" w:eastAsia="zh-CN"/>
        </w:rPr>
        <w:t>以</w:t>
      </w:r>
      <w:r>
        <w:rPr>
          <w:rFonts w:hint="eastAsia" w:ascii="楷体_GB2312" w:hAnsi="宋体" w:eastAsia="楷体_GB2312"/>
          <w:color w:val="000000"/>
        </w:rPr>
        <w:t>正文通用部分为准。</w:t>
      </w:r>
    </w:p>
    <w:p>
      <w:pPr>
        <w:snapToGrid w:val="0"/>
        <w:spacing w:line="360" w:lineRule="auto"/>
        <w:rPr>
          <w:rFonts w:hint="eastAsia" w:ascii="楷体" w:hAnsi="楷体" w:eastAsia="楷体"/>
          <w:b/>
          <w:szCs w:val="24"/>
        </w:rPr>
      </w:pPr>
      <w:r>
        <w:rPr>
          <w:rFonts w:hint="eastAsia" w:ascii="楷体" w:hAnsi="楷体" w:eastAsia="楷体"/>
          <w:b/>
          <w:szCs w:val="24"/>
        </w:rPr>
        <w:br w:type="page"/>
      </w:r>
    </w:p>
    <w:p>
      <w:pPr>
        <w:snapToGrid w:val="0"/>
        <w:spacing w:line="360" w:lineRule="auto"/>
        <w:rPr>
          <w:rFonts w:ascii="楷体" w:hAnsi="楷体" w:eastAsia="楷体"/>
          <w:b/>
          <w:szCs w:val="24"/>
        </w:rPr>
      </w:pPr>
      <w:r>
        <w:rPr>
          <w:rFonts w:hint="eastAsia" w:ascii="楷体" w:hAnsi="楷体" w:eastAsia="楷体"/>
          <w:b/>
          <w:szCs w:val="24"/>
        </w:rPr>
        <w:t>附件</w:t>
      </w:r>
      <w:r>
        <w:rPr>
          <w:rFonts w:hint="eastAsia" w:ascii="楷体" w:hAnsi="楷体" w:eastAsia="楷体"/>
          <w:b/>
          <w:szCs w:val="24"/>
          <w:lang w:val="en-US" w:eastAsia="zh-CN"/>
        </w:rPr>
        <w:t>四</w:t>
      </w:r>
      <w:r>
        <w:rPr>
          <w:rFonts w:hint="eastAsia" w:ascii="楷体" w:hAnsi="楷体" w:eastAsia="楷体"/>
          <w:b/>
          <w:szCs w:val="24"/>
        </w:rPr>
        <w:t>：</w:t>
      </w:r>
    </w:p>
    <w:p>
      <w:pPr>
        <w:snapToGrid w:val="0"/>
        <w:spacing w:line="360" w:lineRule="auto"/>
        <w:jc w:val="center"/>
        <w:rPr>
          <w:rFonts w:hint="eastAsia" w:ascii="楷体" w:hAnsi="楷体" w:eastAsia="楷体"/>
          <w:b/>
          <w:color w:val="000000"/>
          <w:szCs w:val="24"/>
          <w:lang w:val="en-US"/>
        </w:rPr>
      </w:pPr>
      <w:r>
        <w:rPr>
          <w:rFonts w:hint="eastAsia" w:ascii="楷体" w:hAnsi="楷体" w:eastAsia="楷体"/>
          <w:b/>
          <w:color w:val="000000"/>
          <w:szCs w:val="24"/>
          <w:lang w:val="en-US" w:eastAsia="zh-CN"/>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pPr>
      <w:r>
        <w:rPr>
          <w:rFonts w:hint="eastAsia" w:ascii="楷体" w:hAnsi="楷体" w:eastAsia="楷体" w:cs="楷体"/>
          <w:kern w:val="2"/>
          <w:sz w:val="24"/>
          <w:szCs w:val="24"/>
          <w:lang w:val="en-US" w:eastAsia="zh-CN" w:bidi="ar"/>
        </w:rPr>
        <w:t>9.5本协议长期有效。</w:t>
      </w:r>
    </w:p>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pStyle w:val="7"/>
        <w:rPr>
          <w:rFonts w:hint="eastAsia"/>
        </w:rPr>
      </w:pPr>
    </w:p>
    <w:p>
      <w:pPr>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2"/>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130" w:name="_Toc23193"/>
      <w:r>
        <w:rPr>
          <w:rFonts w:hint="eastAsia" w:ascii="仿宋" w:hAnsi="仿宋" w:eastAsia="仿宋" w:cs="仿宋"/>
          <w:color w:val="auto"/>
          <w:sz w:val="28"/>
          <w:szCs w:val="28"/>
          <w:highlight w:val="none"/>
        </w:rPr>
        <w:t>第五章 采购</w:t>
      </w:r>
      <w:bookmarkEnd w:id="127"/>
      <w:r>
        <w:rPr>
          <w:rFonts w:hint="eastAsia" w:ascii="仿宋" w:hAnsi="仿宋" w:eastAsia="仿宋" w:cs="仿宋"/>
          <w:color w:val="auto"/>
          <w:sz w:val="28"/>
          <w:szCs w:val="28"/>
          <w:highlight w:val="none"/>
        </w:rPr>
        <w:t>需求</w:t>
      </w:r>
      <w:bookmarkEnd w:id="130"/>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一、项目名称</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人保财险四川省成都市都江堰支公司“邻里相伴，人保护航”丰巢屏保宣传服务采购项目</w:t>
      </w:r>
      <w:r>
        <w:rPr>
          <w:rFonts w:hint="eastAsia" w:ascii="仿宋" w:hAnsi="仿宋" w:eastAsia="仿宋" w:cs="仿宋"/>
          <w:b w:val="0"/>
          <w:bCs w:val="0"/>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二、项目概况</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本项目拟在都江堰市区域内的500个丰巢快递柜屏幕点位，通过高频次、广覆盖的屏幕曝光，将保险理念与产品信息精准传递给潜在客户，精准触达高潜客户，提升产品认知度与信任感，为后续销售转化奠定基础。现采购一家具备相应能力的供应商进行该活动服务。</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★三、服务内容及要求</w:t>
      </w:r>
    </w:p>
    <w:p>
      <w:pPr>
        <w:keepNext w:val="0"/>
        <w:keepLines w:val="0"/>
        <w:pageBreakBefore w:val="0"/>
        <w:widowControl w:val="0"/>
        <w:numPr>
          <w:ilvl w:val="0"/>
          <w:numId w:val="6"/>
        </w:numPr>
        <w:kinsoku/>
        <w:wordWrap/>
        <w:overflowPunct/>
        <w:topLinePunct w:val="0"/>
        <w:autoSpaceDE/>
        <w:autoSpaceDN/>
        <w:bidi w:val="0"/>
        <w:adjustRightInd w:val="0"/>
        <w:snapToGrid w:val="0"/>
        <w:spacing w:line="360" w:lineRule="auto"/>
        <w:ind w:left="0" w:leftChars="0" w:right="0" w:rightChars="0" w:firstLine="482" w:firstLineChars="200"/>
        <w:jc w:val="left"/>
        <w:textAlignment w:val="auto"/>
        <w:outlineLvl w:val="9"/>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服务内容</w:t>
      </w:r>
    </w:p>
    <w:p>
      <w:pPr>
        <w:pStyle w:val="7"/>
        <w:keepNext w:val="0"/>
        <w:keepLines w:val="0"/>
        <w:pageBreakBefore w:val="0"/>
        <w:widowControl/>
        <w:numPr>
          <w:ilvl w:val="0"/>
          <w:numId w:val="0"/>
        </w:numPr>
        <w:kinsoku/>
        <w:wordWrap/>
        <w:overflowPunct/>
        <w:topLinePunct w:val="0"/>
        <w:autoSpaceDE/>
        <w:autoSpaceDN/>
        <w:bidi w:val="0"/>
        <w:adjustRightInd/>
        <w:snapToGrid/>
        <w:spacing w:after="120" w:line="240" w:lineRule="auto"/>
        <w:ind w:left="0" w:leftChars="0" w:right="0" w:rightChars="0" w:firstLine="42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1、宣传渠道搭建服务</w:t>
      </w:r>
    </w:p>
    <w:p>
      <w:pPr>
        <w:pStyle w:val="7"/>
        <w:keepNext w:val="0"/>
        <w:keepLines w:val="0"/>
        <w:pageBreakBefore w:val="0"/>
        <w:widowControl/>
        <w:numPr>
          <w:ilvl w:val="0"/>
          <w:numId w:val="0"/>
        </w:numPr>
        <w:kinsoku/>
        <w:wordWrap/>
        <w:overflowPunct/>
        <w:topLinePunct w:val="0"/>
        <w:autoSpaceDE/>
        <w:autoSpaceDN/>
        <w:bidi w:val="0"/>
        <w:adjustRightInd/>
        <w:snapToGrid/>
        <w:spacing w:after="120" w:line="240" w:lineRule="auto"/>
        <w:ind w:left="0" w:leftChars="0" w:right="0" w:rightChars="0" w:firstLine="42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供应商需提供成都市都江堰市内适配项目需求的丰巢快递柜宣传渠道，确保宣传点位布局合理，实现核心区域全覆盖。</w:t>
      </w:r>
    </w:p>
    <w:p>
      <w:pPr>
        <w:pStyle w:val="7"/>
        <w:keepNext w:val="0"/>
        <w:keepLines w:val="0"/>
        <w:pageBreakBefore w:val="0"/>
        <w:widowControl/>
        <w:numPr>
          <w:ilvl w:val="0"/>
          <w:numId w:val="0"/>
        </w:numPr>
        <w:kinsoku/>
        <w:wordWrap/>
        <w:overflowPunct/>
        <w:topLinePunct w:val="0"/>
        <w:autoSpaceDE/>
        <w:autoSpaceDN/>
        <w:bidi w:val="0"/>
        <w:adjustRightInd/>
        <w:snapToGrid/>
        <w:spacing w:after="120" w:line="240" w:lineRule="auto"/>
        <w:ind w:left="0" w:leftChars="0" w:right="0" w:rightChars="0" w:firstLine="42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2、场景化宣传落地服务</w:t>
      </w:r>
    </w:p>
    <w:p>
      <w:pPr>
        <w:pStyle w:val="7"/>
        <w:keepNext w:val="0"/>
        <w:keepLines w:val="0"/>
        <w:pageBreakBefore w:val="0"/>
        <w:widowControl/>
        <w:numPr>
          <w:ilvl w:val="0"/>
          <w:numId w:val="0"/>
        </w:numPr>
        <w:kinsoku/>
        <w:wordWrap/>
        <w:overflowPunct/>
        <w:topLinePunct w:val="0"/>
        <w:autoSpaceDE/>
        <w:autoSpaceDN/>
        <w:bidi w:val="0"/>
        <w:adjustRightInd/>
        <w:snapToGrid/>
        <w:spacing w:after="120" w:line="240" w:lineRule="auto"/>
        <w:ind w:left="0" w:leftChars="0" w:right="0" w:rightChars="0" w:firstLine="42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以丰巢快递柜为核心载体，结合用户取件流程，开展沉浸式、强触达的产品推广，具体推广形式包含但不限于：以小区、社区、工业区、学校、商业体、写字楼等场地的丰巢快递柜屏保为载体，植入车险产品宣传图片，待用户取件时通过屏幕实现公司车险产品宣传。</w:t>
      </w:r>
    </w:p>
    <w:p>
      <w:pPr>
        <w:pStyle w:val="7"/>
        <w:keepNext w:val="0"/>
        <w:keepLines w:val="0"/>
        <w:pageBreakBefore w:val="0"/>
        <w:widowControl/>
        <w:numPr>
          <w:ilvl w:val="0"/>
          <w:numId w:val="0"/>
        </w:numPr>
        <w:kinsoku/>
        <w:wordWrap/>
        <w:overflowPunct/>
        <w:topLinePunct w:val="0"/>
        <w:autoSpaceDE/>
        <w:autoSpaceDN/>
        <w:bidi w:val="0"/>
        <w:adjustRightInd/>
        <w:snapToGrid/>
        <w:spacing w:after="120" w:line="240" w:lineRule="auto"/>
        <w:ind w:left="0" w:leftChars="0" w:right="0" w:rightChars="0" w:firstLine="42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3、宣传内容适配与执行服务</w:t>
      </w:r>
    </w:p>
    <w:p>
      <w:pPr>
        <w:pStyle w:val="7"/>
        <w:keepNext w:val="0"/>
        <w:keepLines w:val="0"/>
        <w:pageBreakBefore w:val="0"/>
        <w:widowControl/>
        <w:numPr>
          <w:ilvl w:val="0"/>
          <w:numId w:val="0"/>
        </w:numPr>
        <w:kinsoku/>
        <w:wordWrap/>
        <w:overflowPunct/>
        <w:topLinePunct w:val="0"/>
        <w:autoSpaceDE/>
        <w:autoSpaceDN/>
        <w:bidi w:val="0"/>
        <w:adjustRightInd/>
        <w:snapToGrid/>
        <w:spacing w:after="120" w:line="240" w:lineRule="auto"/>
        <w:ind w:left="0" w:leftChars="0" w:right="0" w:rightChars="0" w:firstLine="42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（1）供应商需配合采购人对宣传内容进行场景化适配，确保内容符合丰巢快递柜屏幕展示规范，画面、文案与目标客群需求匹配。</w:t>
      </w:r>
    </w:p>
    <w:p>
      <w:pPr>
        <w:pStyle w:val="7"/>
        <w:keepNext w:val="0"/>
        <w:keepLines w:val="0"/>
        <w:pageBreakBefore w:val="0"/>
        <w:widowControl/>
        <w:numPr>
          <w:ilvl w:val="0"/>
          <w:numId w:val="0"/>
        </w:numPr>
        <w:kinsoku/>
        <w:wordWrap/>
        <w:overflowPunct/>
        <w:topLinePunct w:val="0"/>
        <w:autoSpaceDE/>
        <w:autoSpaceDN/>
        <w:bidi w:val="0"/>
        <w:adjustRightInd/>
        <w:snapToGrid/>
        <w:spacing w:after="120" w:line="240" w:lineRule="auto"/>
        <w:ind w:left="0" w:leftChars="0" w:right="0" w:rightChars="0" w:firstLine="42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（2）严格按照采购人确定的宣传内容、发布频次、展示时长执行宣传工作，无公司书面同意，不得擅自修改、替换宣传内容，不得随意调整展示频次与时长。</w:t>
      </w:r>
    </w:p>
    <w:p>
      <w:pPr>
        <w:pStyle w:val="7"/>
        <w:keepNext w:val="0"/>
        <w:keepLines w:val="0"/>
        <w:pageBreakBefore w:val="0"/>
        <w:widowControl/>
        <w:numPr>
          <w:ilvl w:val="0"/>
          <w:numId w:val="0"/>
        </w:numPr>
        <w:kinsoku/>
        <w:wordWrap/>
        <w:overflowPunct/>
        <w:topLinePunct w:val="0"/>
        <w:autoSpaceDE/>
        <w:autoSpaceDN/>
        <w:bidi w:val="0"/>
        <w:adjustRightInd/>
        <w:snapToGrid/>
        <w:spacing w:after="120" w:line="240" w:lineRule="auto"/>
        <w:ind w:left="0" w:leftChars="0" w:right="0" w:rightChars="0" w:firstLine="42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4、全流程技术支撑与运维服务</w:t>
      </w:r>
    </w:p>
    <w:p>
      <w:pPr>
        <w:pStyle w:val="7"/>
        <w:keepNext w:val="0"/>
        <w:keepLines w:val="0"/>
        <w:pageBreakBefore w:val="0"/>
        <w:widowControl/>
        <w:numPr>
          <w:ilvl w:val="0"/>
          <w:numId w:val="0"/>
        </w:numPr>
        <w:kinsoku/>
        <w:wordWrap/>
        <w:overflowPunct/>
        <w:topLinePunct w:val="0"/>
        <w:autoSpaceDE/>
        <w:autoSpaceDN/>
        <w:bidi w:val="0"/>
        <w:adjustRightInd/>
        <w:snapToGrid/>
        <w:spacing w:after="120" w:line="240" w:lineRule="auto"/>
        <w:ind w:left="0" w:leftChars="0" w:right="0" w:rightChars="0" w:firstLine="42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（1）技术支撑：为项目实施提供专业、稳定的技术支撑，保障宣传内容正常展示、屏幕滚动宣传功能稳定运行，确保宣传投放的丰巢快递柜稳定运行，避免中断。</w:t>
      </w:r>
    </w:p>
    <w:p>
      <w:pPr>
        <w:pStyle w:val="7"/>
        <w:keepNext w:val="0"/>
        <w:keepLines w:val="0"/>
        <w:pageBreakBefore w:val="0"/>
        <w:widowControl/>
        <w:numPr>
          <w:ilvl w:val="0"/>
          <w:numId w:val="0"/>
        </w:numPr>
        <w:kinsoku/>
        <w:wordWrap/>
        <w:overflowPunct/>
        <w:topLinePunct w:val="0"/>
        <w:autoSpaceDE/>
        <w:autoSpaceDN/>
        <w:bidi w:val="0"/>
        <w:adjustRightInd/>
        <w:snapToGrid/>
        <w:spacing w:after="120" w:line="240" w:lineRule="auto"/>
        <w:ind w:left="0" w:leftChars="0" w:right="0" w:rightChars="0" w:firstLine="42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日常运维：供应商应建立项目专项运维机制，安排专人对成都市都江堰市内宣传点位进行定期巡检（巡检频次不低于1次/周），及时发现并处理设备故障、内容播放异常等问题；设备及系统故障需在24小时内响应并解决，确保宣传服务持续、稳定开展。</w:t>
      </w:r>
    </w:p>
    <w:p>
      <w:pPr>
        <w:pStyle w:val="7"/>
        <w:keepNext w:val="0"/>
        <w:keepLines w:val="0"/>
        <w:pageBreakBefore w:val="0"/>
        <w:widowControl/>
        <w:numPr>
          <w:ilvl w:val="0"/>
          <w:numId w:val="0"/>
        </w:numPr>
        <w:kinsoku/>
        <w:wordWrap/>
        <w:overflowPunct/>
        <w:topLinePunct w:val="0"/>
        <w:autoSpaceDE/>
        <w:autoSpaceDN/>
        <w:bidi w:val="0"/>
        <w:adjustRightInd/>
        <w:snapToGrid/>
        <w:spacing w:after="120" w:line="240" w:lineRule="auto"/>
        <w:ind w:left="0" w:leftChars="0" w:right="0" w:rightChars="0" w:firstLine="42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（3）应急处理：制定突发情况应急预案，针对设备故障、网络问题等突发情况，建立快速响应机制，最大限度降低宣传中断时长，保障项目整体曝光效果。</w:t>
      </w:r>
    </w:p>
    <w:p>
      <w:pPr>
        <w:pStyle w:val="7"/>
        <w:keepNext w:val="0"/>
        <w:keepLines w:val="0"/>
        <w:pageBreakBefore w:val="0"/>
        <w:widowControl/>
        <w:numPr>
          <w:ilvl w:val="0"/>
          <w:numId w:val="0"/>
        </w:numPr>
        <w:kinsoku/>
        <w:wordWrap/>
        <w:overflowPunct/>
        <w:topLinePunct w:val="0"/>
        <w:autoSpaceDE/>
        <w:autoSpaceDN/>
        <w:bidi w:val="0"/>
        <w:adjustRightInd/>
        <w:snapToGrid/>
        <w:spacing w:after="120" w:line="240" w:lineRule="auto"/>
        <w:ind w:left="0" w:leftChars="0" w:right="0" w:rightChars="0" w:firstLine="42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5、专属对接与服务保障</w:t>
      </w:r>
    </w:p>
    <w:p>
      <w:pPr>
        <w:pStyle w:val="7"/>
        <w:keepNext w:val="0"/>
        <w:keepLines w:val="0"/>
        <w:pageBreakBefore w:val="0"/>
        <w:widowControl/>
        <w:numPr>
          <w:ilvl w:val="0"/>
          <w:numId w:val="0"/>
        </w:numPr>
        <w:kinsoku/>
        <w:wordWrap/>
        <w:overflowPunct/>
        <w:topLinePunct w:val="0"/>
        <w:autoSpaceDE/>
        <w:autoSpaceDN/>
        <w:bidi w:val="0"/>
        <w:adjustRightInd/>
        <w:snapToGrid/>
        <w:spacing w:after="120" w:line="240" w:lineRule="auto"/>
        <w:ind w:left="0" w:leftChars="0" w:right="0" w:rightChars="0" w:firstLine="42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供应商需指派1 名及以上专职服务人员全程跟进项目推进，该人员需具备丰富的项目运营经验，熟悉丰巢快递柜宣传业务及保险行业宣传需求；建立专属沟通对接机制，确保与采购人的沟通高效、顺畅，及时响应公司的需求调整、问题咨询、工作指令等，做到工作日内1小时内响应、24小时内给出解决方案</w:t>
      </w:r>
    </w:p>
    <w:p>
      <w:pPr>
        <w:pStyle w:val="7"/>
        <w:numPr>
          <w:ilvl w:val="0"/>
          <w:numId w:val="6"/>
        </w:numPr>
        <w:ind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服务要求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1、供应商需具备在成都市都江堰市丰巢快递柜开展大规模宣传服务的能力，拥有专业的执行团队、运维团队及技术支撑团队，能够保障项目快速落地、高效执行。</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2、宣传投放内容需严格遵守《中华人民共和国广告法》《互联网广告管理办法》及金融监管部门关于保险宣传的相关管理规定。</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3、宣传投放工作需严格遵守各宣传点位所属物业/社区的管理规约，不得因宣传工作产生违规投诉，不得侵犯用户隐私及其他合法权益。</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4、所有宣传内容需经采购人审核通过后方可发布，供应商需配合采购人完成宣传内容的合规审核工作，提交相关审核资料。禁止挪用采购人提供的宣传素材用于其他商业用途。</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5、项目实施过程中，采购方不定期派员巡查各宣传点位，检查执行情况和服务质量，对采购人提出的整改要求，需在24小时内完成整改并反馈整改结果。</w:t>
      </w:r>
    </w:p>
    <w:p>
      <w:pPr>
        <w:pStyle w:val="7"/>
        <w:ind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6、其他服务要求</w:t>
      </w:r>
    </w:p>
    <w:p>
      <w:pPr>
        <w:pStyle w:val="7"/>
        <w:ind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（1）供应商具备</w:t>
      </w:r>
      <w:r>
        <w:rPr>
          <w:rFonts w:hint="eastAsia" w:ascii="仿宋" w:hAnsi="仿宋" w:eastAsia="仿宋" w:cs="仿宋"/>
          <w:i w:val="0"/>
          <w:iCs w:val="0"/>
          <w:color w:val="auto"/>
          <w:sz w:val="24"/>
          <w:szCs w:val="24"/>
          <w:highlight w:val="none"/>
          <w:lang w:val="en-US" w:eastAsia="zh-CN"/>
        </w:rPr>
        <w:t>丰巢快递柜运营主体签订发布合作协议/合同，且</w:t>
      </w:r>
      <w:r>
        <w:rPr>
          <w:rFonts w:hint="eastAsia" w:ascii="仿宋" w:hAnsi="仿宋" w:eastAsia="仿宋" w:cs="仿宋"/>
          <w:color w:val="auto"/>
          <w:highlight w:val="none"/>
        </w:rPr>
        <w:t>合作期限须覆盖本次采购的服务期限</w:t>
      </w:r>
      <w:r>
        <w:rPr>
          <w:rFonts w:hint="eastAsia" w:ascii="仿宋" w:hAnsi="仿宋" w:eastAsia="仿宋" w:cs="仿宋"/>
          <w:b w:val="0"/>
          <w:bCs w:val="0"/>
          <w:color w:val="auto"/>
          <w:sz w:val="24"/>
          <w:szCs w:val="24"/>
          <w:highlight w:val="none"/>
          <w:lang w:val="en-US" w:eastAsia="zh-CN"/>
        </w:rPr>
        <w:t>。成交供应商应在成交通知书发放后、正式合同签订前，向采购人完整提供与丰巢快递柜运营主体签订的有效合作协议/合同，确保能在规定时间内开展宣传服务工作。响应文件中，供应商须提供承诺函并加盖供应商单位公章，承诺函参考格式详见第六章“响应文件格式”，若未提供承诺函的，按无效响应处理;若提供承诺函但成交后未在规定时间内</w:t>
      </w:r>
      <w:r>
        <w:rPr>
          <w:rFonts w:hint="eastAsia" w:ascii="仿宋" w:hAnsi="仿宋" w:eastAsia="仿宋" w:cs="仿宋"/>
          <w:color w:val="auto"/>
          <w:highlight w:val="none"/>
        </w:rPr>
        <w:t>签订合作协议/合同的</w:t>
      </w:r>
      <w:r>
        <w:rPr>
          <w:rFonts w:hint="eastAsia" w:ascii="仿宋" w:hAnsi="仿宋" w:eastAsia="仿宋" w:cs="仿宋"/>
          <w:b w:val="0"/>
          <w:bCs w:val="0"/>
          <w:color w:val="auto"/>
          <w:sz w:val="24"/>
          <w:szCs w:val="24"/>
          <w:highlight w:val="none"/>
          <w:lang w:val="en-US" w:eastAsia="zh-CN"/>
        </w:rPr>
        <w:t>，导致无法按采购人要求进行履约的，视为虚假响应，其成交资格将被取消，且被纳入采购人及其所隶属的中国人民保险各级机构的供应商黑名单。</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（2）验收/考核标准</w:t>
      </w:r>
    </w:p>
    <w:p>
      <w:pPr>
        <w:pStyle w:val="7"/>
        <w:ind w:firstLine="480" w:firstLineChars="200"/>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投放完毕后供应商需提供相应带水印的照片、视频、结算验收单、点位清单等作为投放佐证。</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★四、商务要求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1、服务时间：</w:t>
      </w:r>
      <w:r>
        <w:rPr>
          <w:rFonts w:hint="eastAsia" w:ascii="仿宋" w:hAnsi="仿宋" w:eastAsia="仿宋" w:cs="仿宋"/>
          <w:b w:val="0"/>
          <w:bCs w:val="0"/>
          <w:color w:val="auto"/>
          <w:sz w:val="24"/>
          <w:szCs w:val="24"/>
          <w:highlight w:val="none"/>
          <w:lang w:val="en-US" w:eastAsia="zh-CN"/>
        </w:rPr>
        <w:t>6周</w:t>
      </w:r>
      <w:r>
        <w:rPr>
          <w:rFonts w:hint="eastAsia" w:ascii="仿宋" w:hAnsi="仿宋" w:eastAsia="仿宋" w:cs="仿宋"/>
          <w:b w:val="0"/>
          <w:bCs w:val="0"/>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2、服务地点：采购人指定地点。</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color w:val="auto"/>
          <w:highlight w:val="none"/>
        </w:rPr>
        <w:t>3、质量要求：达到国家或行业现行合格标准和磋商文件要求。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color w:val="auto"/>
          <w:highlight w:val="none"/>
        </w:rPr>
        <w:t>4、结算及付款方式：详见第四章“合同条款”附件二“付款”。</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lang w:val="en-US" w:eastAsia="zh-CN"/>
        </w:rPr>
        <w:t>五</w:t>
      </w:r>
      <w:r>
        <w:rPr>
          <w:rFonts w:hint="eastAsia" w:ascii="仿宋" w:hAnsi="仿宋" w:eastAsia="仿宋" w:cs="仿宋"/>
          <w:b/>
          <w:color w:val="auto"/>
          <w:sz w:val="24"/>
          <w:highlight w:val="none"/>
        </w:rPr>
        <w:t>、报价说明</w:t>
      </w:r>
    </w:p>
    <w:p>
      <w:pPr>
        <w:keepNext w:val="0"/>
        <w:keepLines w:val="0"/>
        <w:pageBreakBefore w:val="0"/>
        <w:widowControl w:val="0"/>
        <w:kinsoku/>
        <w:wordWrap/>
        <w:overflowPunct/>
        <w:topLinePunct w:val="0"/>
        <w:autoSpaceDE/>
        <w:autoSpaceDN/>
        <w:bidi w:val="0"/>
        <w:snapToGrid w:val="0"/>
        <w:spacing w:line="360" w:lineRule="auto"/>
        <w:ind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供应商依据项目实际情况进行报价，本次采购报价要求：</w:t>
      </w:r>
    </w:p>
    <w:p>
      <w:pPr>
        <w:keepNext w:val="0"/>
        <w:keepLines w:val="0"/>
        <w:pageBreakBefore w:val="0"/>
        <w:widowControl w:val="0"/>
        <w:kinsoku/>
        <w:wordWrap/>
        <w:overflowPunct/>
        <w:topLinePunct w:val="0"/>
        <w:autoSpaceDE/>
        <w:autoSpaceDN/>
        <w:bidi w:val="0"/>
        <w:snapToGrid w:val="0"/>
        <w:spacing w:line="360" w:lineRule="auto"/>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1、本项目响应报价为</w:t>
      </w:r>
      <w:r>
        <w:rPr>
          <w:rFonts w:hint="eastAsia" w:ascii="仿宋" w:hAnsi="仿宋" w:eastAsia="仿宋" w:cs="仿宋"/>
          <w:bCs/>
          <w:color w:val="auto"/>
          <w:sz w:val="24"/>
          <w:highlight w:val="none"/>
          <w:lang w:eastAsia="zh-CN"/>
        </w:rPr>
        <w:t>综合</w:t>
      </w:r>
      <w:r>
        <w:rPr>
          <w:rFonts w:hint="eastAsia" w:ascii="仿宋" w:hAnsi="仿宋" w:eastAsia="仿宋" w:cs="仿宋"/>
          <w:bCs/>
          <w:color w:val="auto"/>
          <w:sz w:val="24"/>
          <w:highlight w:val="none"/>
          <w:lang w:val="en-US" w:eastAsia="zh-CN"/>
        </w:rPr>
        <w:t>总价</w:t>
      </w:r>
      <w:r>
        <w:rPr>
          <w:rFonts w:hint="eastAsia" w:ascii="仿宋" w:hAnsi="仿宋" w:eastAsia="仿宋" w:cs="仿宋"/>
          <w:bCs/>
          <w:color w:val="auto"/>
          <w:sz w:val="24"/>
          <w:highlight w:val="none"/>
        </w:rPr>
        <w:t>，响应报价</w:t>
      </w:r>
      <w:r>
        <w:rPr>
          <w:rFonts w:hint="eastAsia" w:ascii="仿宋" w:hAnsi="仿宋" w:eastAsia="仿宋" w:cs="仿宋"/>
          <w:color w:val="auto"/>
          <w:sz w:val="24"/>
          <w:highlight w:val="none"/>
        </w:rPr>
        <w:t>是供应商响应</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项目要求的全部工作内容的价格体现，包括所需的成本、税金、利润、管</w:t>
      </w:r>
      <w:r>
        <w:rPr>
          <w:rFonts w:hint="eastAsia" w:ascii="仿宋" w:hAnsi="仿宋" w:eastAsia="仿宋" w:cs="仿宋"/>
          <w:bCs/>
          <w:color w:val="auto"/>
          <w:sz w:val="24"/>
          <w:highlight w:val="none"/>
        </w:rPr>
        <w:t>理、风险、保险</w:t>
      </w:r>
      <w:r>
        <w:rPr>
          <w:rFonts w:hint="eastAsia" w:ascii="仿宋" w:hAnsi="仿宋" w:eastAsia="仿宋" w:cs="仿宋"/>
          <w:color w:val="auto"/>
          <w:sz w:val="24"/>
          <w:highlight w:val="none"/>
        </w:rPr>
        <w:t>等一切费用。合同执行期间，成交价将不作调整。</w:t>
      </w:r>
    </w:p>
    <w:p>
      <w:pPr>
        <w:keepNext w:val="0"/>
        <w:keepLines w:val="0"/>
        <w:pageBreakBefore w:val="0"/>
        <w:widowControl w:val="0"/>
        <w:kinsoku/>
        <w:wordWrap/>
        <w:overflowPunct/>
        <w:topLinePunct w:val="0"/>
        <w:autoSpaceDE/>
        <w:autoSpaceDN/>
        <w:bidi w:val="0"/>
        <w:snapToGrid w:val="0"/>
        <w:spacing w:line="360" w:lineRule="auto"/>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2、供应商应对各种足以影响响应报价的现场因素有充分了解，任何因忽略或误解现场情况而导致项目成本增加而提出的申请将会被拒绝。</w:t>
      </w:r>
    </w:p>
    <w:p>
      <w:pPr>
        <w:keepNext w:val="0"/>
        <w:keepLines w:val="0"/>
        <w:pageBreakBefore w:val="0"/>
        <w:widowControl w:val="0"/>
        <w:kinsoku/>
        <w:wordWrap/>
        <w:overflowPunct/>
        <w:topLinePunct w:val="0"/>
        <w:autoSpaceDE/>
        <w:autoSpaceDN/>
        <w:bidi w:val="0"/>
        <w:snapToGrid w:val="0"/>
        <w:spacing w:line="360" w:lineRule="auto"/>
        <w:ind w:firstLine="470" w:firstLineChars="196"/>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3、本次报价以人民币为币种，响应报价只允许有一个报价，任何有选择的报价将不予接受</w:t>
      </w:r>
      <w:r>
        <w:rPr>
          <w:rFonts w:hint="eastAsia" w:ascii="仿宋" w:hAnsi="仿宋" w:eastAsia="仿宋" w:cs="仿宋"/>
          <w:color w:val="auto"/>
          <w:sz w:val="24"/>
          <w:highlight w:val="none"/>
          <w:lang w:eastAsia="zh-CN"/>
        </w:rPr>
        <w:t>。</w:t>
      </w:r>
    </w:p>
    <w:p>
      <w:pPr>
        <w:pStyle w:val="7"/>
        <w:rPr>
          <w:rFonts w:hint="eastAsia"/>
          <w:lang w:eastAsia="zh-CN"/>
        </w:rPr>
      </w:pPr>
    </w:p>
    <w:p>
      <w:pPr>
        <w:keepNext w:val="0"/>
        <w:keepLines w:val="0"/>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注：（1）本章带“</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”的条款为实质性条款，供应商必须全部满足，不得有负偏离，否则按无效响应处理。</w:t>
      </w:r>
    </w:p>
    <w:p>
      <w:pPr>
        <w:keepNext w:val="0"/>
        <w:keepLines w:val="0"/>
        <w:pageBreakBefore w:val="0"/>
        <w:widowControl w:val="0"/>
        <w:kinsoku/>
        <w:wordWrap/>
        <w:overflowPunct/>
        <w:topLinePunct w:val="0"/>
        <w:autoSpaceDE/>
        <w:autoSpaceDN/>
        <w:bidi w:val="0"/>
        <w:snapToGrid w:val="0"/>
        <w:spacing w:line="360" w:lineRule="auto"/>
        <w:ind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（2）本章带“</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”的条款，如“</w:t>
      </w:r>
      <w:r>
        <w:rPr>
          <w:rFonts w:hint="eastAsia" w:ascii="仿宋" w:hAnsi="仿宋" w:eastAsia="仿宋" w:cs="仿宋"/>
          <w:b/>
          <w:bCs/>
          <w:color w:val="auto"/>
          <w:sz w:val="24"/>
          <w:szCs w:val="24"/>
          <w:highlight w:val="none"/>
        </w:rPr>
        <w:t>三、服务内容及要求</w:t>
      </w:r>
      <w:r>
        <w:rPr>
          <w:rFonts w:hint="eastAsia" w:ascii="仿宋" w:hAnsi="仿宋" w:eastAsia="仿宋" w:cs="仿宋"/>
          <w:b/>
          <w:color w:val="auto"/>
          <w:sz w:val="24"/>
          <w:highlight w:val="none"/>
        </w:rPr>
        <w:t>”是指</w:t>
      </w:r>
      <w:r>
        <w:rPr>
          <w:rFonts w:hint="eastAsia" w:ascii="仿宋" w:hAnsi="仿宋" w:eastAsia="仿宋" w:cs="仿宋"/>
          <w:b/>
          <w:color w:val="auto"/>
          <w:sz w:val="24"/>
          <w:highlight w:val="none"/>
          <w:lang w:eastAsia="zh-CN"/>
        </w:rPr>
        <w:t>该</w:t>
      </w:r>
      <w:r>
        <w:rPr>
          <w:rFonts w:hint="eastAsia" w:ascii="仿宋" w:hAnsi="仿宋" w:eastAsia="仿宋" w:cs="仿宋"/>
          <w:b/>
          <w:color w:val="auto"/>
          <w:sz w:val="24"/>
          <w:highlight w:val="none"/>
        </w:rPr>
        <w:t>条“</w:t>
      </w:r>
      <w:r>
        <w:rPr>
          <w:rFonts w:hint="eastAsia" w:ascii="仿宋" w:hAnsi="仿宋" w:eastAsia="仿宋" w:cs="仿宋"/>
          <w:b/>
          <w:bCs/>
          <w:color w:val="auto"/>
          <w:sz w:val="24"/>
          <w:szCs w:val="24"/>
          <w:highlight w:val="none"/>
        </w:rPr>
        <w:t>服务内容及要求</w:t>
      </w:r>
      <w:r>
        <w:rPr>
          <w:rFonts w:hint="eastAsia" w:ascii="仿宋" w:hAnsi="仿宋" w:eastAsia="仿宋" w:cs="仿宋"/>
          <w:b/>
          <w:color w:val="auto"/>
          <w:sz w:val="24"/>
          <w:highlight w:val="none"/>
        </w:rPr>
        <w:t>”中的所有子项要求，以此类推。</w:t>
      </w:r>
    </w:p>
    <w:p>
      <w:pPr>
        <w:keepNext w:val="0"/>
        <w:keepLines w:val="0"/>
        <w:pageBreakBefore w:val="0"/>
        <w:widowControl w:val="0"/>
        <w:kinsoku/>
        <w:wordWrap/>
        <w:overflowPunct/>
        <w:topLinePunct w:val="0"/>
        <w:autoSpaceDE/>
        <w:autoSpaceDN/>
        <w:bidi w:val="0"/>
        <w:snapToGrid w:val="0"/>
        <w:spacing w:line="360" w:lineRule="auto"/>
        <w:ind w:firstLine="482" w:firstLineChars="200"/>
        <w:textAlignment w:val="auto"/>
        <w:rPr>
          <w:rFonts w:hint="eastAsia" w:ascii="仿宋" w:hAnsi="仿宋" w:eastAsia="仿宋" w:cs="仿宋"/>
          <w:color w:val="auto"/>
          <w:highlight w:val="none"/>
        </w:rPr>
      </w:pPr>
      <w:r>
        <w:rPr>
          <w:rFonts w:hint="eastAsia" w:ascii="仿宋" w:hAnsi="仿宋" w:eastAsia="仿宋" w:cs="仿宋"/>
          <w:b/>
          <w:color w:val="auto"/>
          <w:sz w:val="24"/>
          <w:highlight w:val="none"/>
        </w:rPr>
        <w:t>（3）本章中明确要求</w:t>
      </w:r>
      <w:r>
        <w:rPr>
          <w:rFonts w:hint="eastAsia" w:ascii="仿宋" w:hAnsi="仿宋" w:eastAsia="仿宋" w:cs="仿宋"/>
          <w:b/>
          <w:color w:val="auto"/>
          <w:sz w:val="24"/>
          <w:highlight w:val="none"/>
          <w:lang w:val="en-US" w:eastAsia="zh-CN"/>
        </w:rPr>
        <w:t>磋商响应</w:t>
      </w:r>
      <w:r>
        <w:rPr>
          <w:rFonts w:hint="eastAsia" w:ascii="仿宋" w:hAnsi="仿宋" w:eastAsia="仿宋" w:cs="仿宋"/>
          <w:b/>
          <w:color w:val="auto"/>
          <w:sz w:val="24"/>
          <w:highlight w:val="none"/>
        </w:rPr>
        <w:t>时提供证明材料的，应按要求提供，未提供的视为负偏离按无效响应处理；未明确要求</w:t>
      </w:r>
      <w:r>
        <w:rPr>
          <w:rFonts w:hint="eastAsia" w:ascii="仿宋" w:hAnsi="仿宋" w:eastAsia="仿宋" w:cs="仿宋"/>
          <w:b/>
          <w:color w:val="auto"/>
          <w:sz w:val="24"/>
          <w:highlight w:val="none"/>
          <w:lang w:val="en-US" w:eastAsia="zh-CN"/>
        </w:rPr>
        <w:t>磋商响应</w:t>
      </w:r>
      <w:r>
        <w:rPr>
          <w:rFonts w:hint="eastAsia" w:ascii="仿宋" w:hAnsi="仿宋" w:eastAsia="仿宋" w:cs="仿宋"/>
          <w:b/>
          <w:color w:val="auto"/>
          <w:sz w:val="24"/>
          <w:highlight w:val="none"/>
        </w:rPr>
        <w:t>时提供证明材料的，以商务条款和服务条款响应偏离表中的响应为准</w:t>
      </w:r>
      <w:r>
        <w:rPr>
          <w:rFonts w:hint="eastAsia" w:ascii="仿宋" w:hAnsi="仿宋" w:eastAsia="仿宋" w:cs="仿宋"/>
          <w:b/>
          <w:color w:val="auto"/>
          <w:sz w:val="24"/>
          <w:highlight w:val="none"/>
          <w:lang w:eastAsia="zh-CN"/>
        </w:rPr>
        <w:t>。</w:t>
      </w:r>
    </w:p>
    <w:p>
      <w:pPr>
        <w:rPr>
          <w:rFonts w:hint="eastAsia" w:ascii="仿宋" w:hAnsi="仿宋" w:eastAsia="仿宋" w:cs="仿宋"/>
          <w:color w:val="auto"/>
          <w:highlight w:val="none"/>
        </w:rPr>
      </w:pPr>
    </w:p>
    <w:p>
      <w:pPr>
        <w:pStyle w:val="7"/>
        <w:rPr>
          <w:rFonts w:hint="eastAsia" w:ascii="仿宋" w:hAnsi="仿宋" w:eastAsia="仿宋" w:cs="仿宋"/>
          <w:color w:val="auto"/>
          <w:highlight w:val="none"/>
        </w:rPr>
      </w:pPr>
    </w:p>
    <w:p>
      <w:pPr>
        <w:rPr>
          <w:rFonts w:hint="eastAsia" w:ascii="仿宋" w:hAnsi="仿宋" w:eastAsia="仿宋" w:cs="仿宋"/>
          <w:b/>
          <w:bCs/>
          <w:color w:val="auto"/>
          <w:sz w:val="28"/>
          <w:szCs w:val="28"/>
          <w:highlight w:val="none"/>
        </w:rPr>
      </w:pPr>
      <w:bookmarkStart w:id="131" w:name="_Toc3675"/>
      <w:bookmarkStart w:id="132" w:name="_Toc9891"/>
      <w:r>
        <w:rPr>
          <w:rFonts w:hint="eastAsia" w:ascii="仿宋" w:hAnsi="仿宋" w:eastAsia="仿宋" w:cs="仿宋"/>
          <w:b/>
          <w:bCs/>
          <w:color w:val="auto"/>
          <w:sz w:val="28"/>
          <w:szCs w:val="28"/>
          <w:highlight w:val="none"/>
        </w:rPr>
        <w:br w:type="page"/>
      </w:r>
    </w:p>
    <w:p>
      <w:pPr>
        <w:pStyle w:val="2"/>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b/>
          <w:bCs/>
          <w:color w:val="auto"/>
          <w:sz w:val="28"/>
          <w:szCs w:val="28"/>
          <w:highlight w:val="none"/>
        </w:rPr>
      </w:pPr>
      <w:bookmarkStart w:id="133" w:name="_Toc5467"/>
      <w:r>
        <w:rPr>
          <w:rFonts w:hint="eastAsia" w:ascii="仿宋" w:hAnsi="仿宋" w:eastAsia="仿宋" w:cs="仿宋"/>
          <w:b/>
          <w:bCs/>
          <w:color w:val="auto"/>
          <w:sz w:val="28"/>
          <w:szCs w:val="28"/>
          <w:highlight w:val="none"/>
        </w:rPr>
        <w:t>第六章 响应</w:t>
      </w:r>
      <w:r>
        <w:rPr>
          <w:rFonts w:hint="eastAsia" w:ascii="仿宋" w:hAnsi="仿宋" w:eastAsia="仿宋" w:cs="仿宋"/>
          <w:color w:val="auto"/>
          <w:sz w:val="28"/>
          <w:szCs w:val="28"/>
          <w:highlight w:val="none"/>
        </w:rPr>
        <w:t>文件</w:t>
      </w:r>
      <w:r>
        <w:rPr>
          <w:rFonts w:hint="eastAsia" w:ascii="仿宋" w:hAnsi="仿宋" w:eastAsia="仿宋" w:cs="仿宋"/>
          <w:b/>
          <w:bCs/>
          <w:color w:val="auto"/>
          <w:sz w:val="28"/>
          <w:szCs w:val="28"/>
          <w:highlight w:val="none"/>
        </w:rPr>
        <w:t>格式</w:t>
      </w:r>
      <w:bookmarkEnd w:id="131"/>
      <w:bookmarkEnd w:id="133"/>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封面格式</w:t>
      </w:r>
    </w:p>
    <w:tbl>
      <w:tblPr>
        <w:tblStyle w:val="15"/>
        <w:tblW w:w="9288" w:type="dxa"/>
        <w:jc w:val="center"/>
        <w:tblLayout w:type="fixed"/>
        <w:tblCellMar>
          <w:top w:w="0" w:type="dxa"/>
          <w:left w:w="108" w:type="dxa"/>
          <w:bottom w:w="0" w:type="dxa"/>
          <w:right w:w="108" w:type="dxa"/>
        </w:tblCellMar>
      </w:tblPr>
      <w:tblGrid>
        <w:gridCol w:w="9288"/>
      </w:tblGrid>
      <w:tr>
        <w:tblPrEx>
          <w:tblCellMar>
            <w:top w:w="0" w:type="dxa"/>
            <w:left w:w="108" w:type="dxa"/>
            <w:bottom w:w="0" w:type="dxa"/>
            <w:right w:w="108" w:type="dxa"/>
          </w:tblCellMar>
        </w:tblPrEx>
        <w:trPr>
          <w:trHeight w:val="9173" w:hRule="atLeast"/>
          <w:jc w:val="center"/>
        </w:trPr>
        <w:tc>
          <w:tcPr>
            <w:tcW w:w="9288" w:type="dxa"/>
            <w:tcBorders>
              <w:top w:val="single" w:color="000000" w:sz="4" w:space="0"/>
              <w:left w:val="single" w:color="000000" w:sz="4" w:space="0"/>
              <w:bottom w:val="single" w:color="000000" w:sz="4" w:space="0"/>
              <w:right w:val="single" w:color="000000" w:sz="4" w:space="0"/>
            </w:tcBorders>
          </w:tcPr>
          <w:p>
            <w:pPr>
              <w:pStyle w:val="18"/>
              <w:keepNext w:val="0"/>
              <w:keepLines w:val="0"/>
              <w:widowControl/>
              <w:suppressLineNumbers w:val="0"/>
              <w:spacing w:before="156" w:beforeAutospacing="0" w:after="312" w:afterAutospacing="0"/>
              <w:ind w:left="0" w:right="508"/>
              <w:jc w:val="right"/>
              <w:rPr>
                <w:rFonts w:hint="eastAsia" w:ascii="仿宋" w:hAnsi="仿宋" w:eastAsia="仿宋" w:cs="仿宋"/>
                <w:color w:val="auto"/>
                <w:sz w:val="32"/>
                <w:highlight w:val="none"/>
              </w:rPr>
            </w:pPr>
            <w:r>
              <w:rPr>
                <w:rFonts w:hint="eastAsia" w:ascii="仿宋" w:hAnsi="仿宋" w:eastAsia="仿宋" w:cs="仿宋"/>
                <w:color w:val="auto"/>
                <w:sz w:val="32"/>
                <w:highlight w:val="none"/>
              </w:rPr>
              <w:t>正本/副本</w:t>
            </w:r>
          </w:p>
          <w:p>
            <w:pPr>
              <w:pStyle w:val="18"/>
              <w:keepNext w:val="0"/>
              <w:keepLines w:val="0"/>
              <w:widowControl/>
              <w:suppressLineNumbers w:val="0"/>
              <w:spacing w:before="156" w:beforeAutospacing="0" w:after="312" w:afterAutospacing="0"/>
              <w:ind w:left="0" w:right="-284"/>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t>（项目名称）项目</w:t>
            </w:r>
          </w:p>
          <w:p>
            <w:pPr>
              <w:pStyle w:val="18"/>
              <w:keepNext w:val="0"/>
              <w:keepLines w:val="0"/>
              <w:widowControl/>
              <w:suppressLineNumbers w:val="0"/>
              <w:spacing w:before="624" w:beforeAutospacing="0" w:after="156" w:afterAutospacing="0" w:line="160" w:lineRule="atLeast"/>
              <w:ind w:left="0" w:right="-284"/>
              <w:jc w:val="center"/>
              <w:rPr>
                <w:rFonts w:hint="eastAsia" w:ascii="仿宋" w:hAnsi="仿宋" w:eastAsia="仿宋" w:cs="仿宋"/>
                <w:color w:val="auto"/>
                <w:sz w:val="52"/>
                <w:highlight w:val="none"/>
              </w:rPr>
            </w:pPr>
            <w:r>
              <w:rPr>
                <w:rFonts w:hint="eastAsia" w:ascii="仿宋" w:hAnsi="仿宋" w:eastAsia="仿宋" w:cs="仿宋"/>
                <w:color w:val="auto"/>
                <w:sz w:val="52"/>
                <w:highlight w:val="none"/>
              </w:rPr>
              <w:t>磋商响应文件</w:t>
            </w:r>
          </w:p>
          <w:p>
            <w:pPr>
              <w:pStyle w:val="18"/>
              <w:keepNext w:val="0"/>
              <w:keepLines w:val="0"/>
              <w:widowControl/>
              <w:suppressLineNumbers w:val="0"/>
              <w:spacing w:before="624" w:beforeAutospacing="0" w:after="156" w:afterAutospacing="0" w:line="240" w:lineRule="atLeast"/>
              <w:ind w:left="0" w:right="0"/>
              <w:jc w:val="center"/>
              <w:rPr>
                <w:rFonts w:hint="eastAsia" w:ascii="仿宋" w:hAnsi="仿宋" w:eastAsia="仿宋" w:cs="仿宋"/>
                <w:color w:val="auto"/>
                <w:sz w:val="40"/>
                <w:highlight w:val="none"/>
              </w:rPr>
            </w:pPr>
            <w:r>
              <w:rPr>
                <w:rFonts w:hint="eastAsia" w:ascii="仿宋" w:hAnsi="仿宋" w:eastAsia="仿宋" w:cs="仿宋"/>
                <w:color w:val="auto"/>
                <w:sz w:val="40"/>
                <w:highlight w:val="none"/>
              </w:rPr>
              <w:t>（商务文件/技术文件/报价文件）</w:t>
            </w:r>
          </w:p>
          <w:p>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firstLine="2520" w:firstLineChars="1050"/>
              <w:textAlignment w:val="auto"/>
              <w:rPr>
                <w:rFonts w:hint="eastAsia" w:ascii="仿宋" w:hAnsi="仿宋" w:eastAsia="仿宋" w:cs="仿宋"/>
                <w:color w:val="auto"/>
                <w:sz w:val="24"/>
                <w:highlight w:val="none"/>
              </w:rPr>
            </w:pPr>
          </w:p>
          <w:p>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firstLine="2520" w:firstLineChars="1050"/>
              <w:textAlignment w:val="auto"/>
              <w:rPr>
                <w:rFonts w:hint="eastAsia" w:ascii="仿宋" w:hAnsi="仿宋" w:eastAsia="仿宋" w:cs="仿宋"/>
                <w:color w:val="auto"/>
                <w:sz w:val="24"/>
                <w:highlight w:val="none"/>
              </w:rPr>
            </w:pPr>
          </w:p>
          <w:p>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leftChars="0" w:right="-283" w:firstLine="0" w:firstLineChars="0"/>
              <w:jc w:val="center"/>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盖章）</w:t>
            </w:r>
          </w:p>
          <w:p>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firstLine="2520" w:firstLineChars="1050"/>
              <w:textAlignment w:val="auto"/>
              <w:rPr>
                <w:rFonts w:hint="eastAsia" w:ascii="仿宋" w:hAnsi="仿宋" w:eastAsia="仿宋" w:cs="仿宋"/>
                <w:color w:val="auto"/>
                <w:sz w:val="24"/>
                <w:highlight w:val="none"/>
                <w:u w:val="single"/>
              </w:rPr>
            </w:pPr>
          </w:p>
          <w:p>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jc w:val="center"/>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法定代表人或其委托的代理人：</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（签字或盖章）</w:t>
            </w:r>
          </w:p>
          <w:p>
            <w:pPr>
              <w:pStyle w:val="18"/>
              <w:keepNext w:val="0"/>
              <w:keepLines w:val="0"/>
              <w:widowControl/>
              <w:suppressLineNumbers w:val="0"/>
              <w:spacing w:before="0" w:beforeAutospacing="0" w:after="624" w:afterAutospacing="0"/>
              <w:ind w:left="0" w:right="-284"/>
              <w:jc w:val="center"/>
              <w:rPr>
                <w:rFonts w:hint="eastAsia" w:ascii="仿宋" w:hAnsi="仿宋" w:eastAsia="仿宋" w:cs="仿宋"/>
                <w:color w:val="auto"/>
                <w:sz w:val="24"/>
                <w:highlight w:val="none"/>
              </w:rPr>
            </w:pPr>
          </w:p>
          <w:p>
            <w:pPr>
              <w:pStyle w:val="18"/>
              <w:keepNext w:val="0"/>
              <w:keepLines w:val="0"/>
              <w:widowControl/>
              <w:suppressLineNumbers w:val="0"/>
              <w:spacing w:before="0" w:beforeAutospacing="0" w:after="624" w:afterAutospacing="0"/>
              <w:ind w:left="0" w:right="-284"/>
              <w:jc w:val="center"/>
              <w:rPr>
                <w:rFonts w:hint="eastAsia" w:ascii="仿宋" w:hAnsi="仿宋" w:eastAsia="仿宋" w:cs="仿宋"/>
                <w:color w:val="auto"/>
                <w:highlight w:val="none"/>
              </w:rPr>
            </w:pPr>
            <w:r>
              <w:rPr>
                <w:rFonts w:hint="eastAsia" w:ascii="仿宋" w:hAnsi="仿宋" w:eastAsia="仿宋" w:cs="仿宋"/>
                <w:color w:val="auto"/>
                <w:sz w:val="24"/>
                <w:highlight w:val="none"/>
              </w:rPr>
              <w:t>年     月    日</w:t>
            </w:r>
          </w:p>
        </w:tc>
      </w:tr>
    </w:tbl>
    <w:p>
      <w:pPr>
        <w:rPr>
          <w:rFonts w:hint="eastAsia" w:ascii="仿宋" w:hAnsi="仿宋" w:eastAsia="仿宋" w:cs="仿宋"/>
          <w:b/>
          <w:color w:val="auto"/>
          <w:highlight w:val="none"/>
        </w:rPr>
      </w:pPr>
      <w:r>
        <w:rPr>
          <w:rFonts w:hint="eastAsia" w:ascii="仿宋" w:hAnsi="仿宋" w:eastAsia="仿宋" w:cs="仿宋"/>
          <w:b/>
          <w:color w:val="auto"/>
          <w:highlight w:val="none"/>
        </w:rPr>
        <w:t>格式：封口</w:t>
      </w:r>
    </w:p>
    <w:tbl>
      <w:tblPr>
        <w:tblStyle w:val="15"/>
        <w:tblW w:w="9288" w:type="dxa"/>
        <w:tblInd w:w="0" w:type="dxa"/>
        <w:tblLayout w:type="fixed"/>
        <w:tblCellMar>
          <w:top w:w="0" w:type="dxa"/>
          <w:left w:w="108" w:type="dxa"/>
          <w:bottom w:w="0" w:type="dxa"/>
          <w:right w:w="108" w:type="dxa"/>
        </w:tblCellMar>
      </w:tblPr>
      <w:tblGrid>
        <w:gridCol w:w="9288"/>
      </w:tblGrid>
      <w:tr>
        <w:tblPrEx>
          <w:tblCellMar>
            <w:top w:w="0" w:type="dxa"/>
            <w:left w:w="108" w:type="dxa"/>
            <w:bottom w:w="0" w:type="dxa"/>
            <w:right w:w="108" w:type="dxa"/>
          </w:tblCellMar>
        </w:tblPrEx>
        <w:trPr>
          <w:trHeight w:val="1503" w:hRule="atLeast"/>
        </w:trPr>
        <w:tc>
          <w:tcPr>
            <w:tcW w:w="9288" w:type="dxa"/>
            <w:tcBorders>
              <w:top w:val="single" w:color="000000" w:sz="4" w:space="0"/>
              <w:left w:val="single" w:color="000000" w:sz="4" w:space="0"/>
              <w:bottom w:val="single" w:color="000000" w:sz="4" w:space="0"/>
              <w:right w:val="single" w:color="000000" w:sz="4" w:space="0"/>
            </w:tcBorders>
            <w:vAlign w:val="center"/>
          </w:tcPr>
          <w:p>
            <w:pPr>
              <w:pStyle w:val="18"/>
              <w:keepNext w:val="0"/>
              <w:keepLines w:val="0"/>
              <w:widowControl/>
              <w:suppressLineNumbers w:val="0"/>
              <w:spacing w:before="0" w:beforeAutospacing="0" w:after="0" w:afterAutospacing="0"/>
              <w:ind w:left="0" w:right="-284"/>
              <w:jc w:val="center"/>
              <w:rPr>
                <w:rFonts w:hint="eastAsia" w:ascii="仿宋" w:hAnsi="仿宋" w:eastAsia="仿宋" w:cs="仿宋"/>
                <w:b/>
                <w:color w:val="auto"/>
                <w:highlight w:val="none"/>
              </w:rPr>
            </w:pPr>
            <w:r>
              <w:rPr>
                <w:rFonts w:hint="eastAsia" w:ascii="仿宋" w:hAnsi="仿宋" w:eastAsia="仿宋" w:cs="仿宋"/>
                <w:b/>
                <w:color w:val="auto"/>
                <w:highlight w:val="none"/>
              </w:rPr>
              <w:t>-------------于年月日时分之前不准启封（公章）------------</w:t>
            </w:r>
          </w:p>
        </w:tc>
      </w:tr>
    </w:tbl>
    <w:p>
      <w:pPr>
        <w:rPr>
          <w:rFonts w:hint="eastAsia" w:ascii="仿宋" w:hAnsi="仿宋" w:eastAsia="仿宋" w:cs="仿宋"/>
          <w:color w:val="auto"/>
          <w:szCs w:val="21"/>
          <w:highlight w:val="none"/>
        </w:rPr>
      </w:pPr>
    </w:p>
    <w:p>
      <w:pPr>
        <w:pStyle w:val="3"/>
        <w:jc w:val="both"/>
        <w:rPr>
          <w:rFonts w:hint="eastAsia" w:ascii="仿宋" w:hAnsi="仿宋" w:eastAsia="仿宋" w:cs="仿宋"/>
          <w:color w:val="auto"/>
          <w:sz w:val="24"/>
          <w:szCs w:val="24"/>
          <w:highlight w:val="none"/>
        </w:rPr>
      </w:pPr>
      <w:bookmarkStart w:id="134" w:name="_Toc3936"/>
      <w:bookmarkStart w:id="135" w:name="_Toc25957"/>
      <w:bookmarkStart w:id="136" w:name="_Toc11783"/>
      <w:bookmarkStart w:id="137" w:name="_Toc287600131"/>
      <w:bookmarkStart w:id="138" w:name="_Toc517281836"/>
      <w:bookmarkStart w:id="139" w:name="_Toc19783362"/>
      <w:bookmarkStart w:id="140" w:name="_Toc19910"/>
      <w:bookmarkStart w:id="141" w:name="_Toc21280"/>
      <w:bookmarkStart w:id="142" w:name="_Toc444891353"/>
      <w:bookmarkStart w:id="143" w:name="_Toc19783360"/>
      <w:bookmarkStart w:id="144" w:name="_Toc287600129"/>
      <w:r>
        <w:rPr>
          <w:rFonts w:hint="eastAsia" w:ascii="仿宋" w:hAnsi="仿宋" w:eastAsia="仿宋" w:cs="仿宋"/>
          <w:color w:val="auto"/>
          <w:sz w:val="24"/>
          <w:szCs w:val="24"/>
          <w:highlight w:val="none"/>
        </w:rPr>
        <w:br w:type="page"/>
      </w:r>
      <w:bookmarkStart w:id="145" w:name="_Toc14520"/>
      <w:bookmarkStart w:id="146" w:name="_Toc17191"/>
      <w:r>
        <w:rPr>
          <w:rFonts w:hint="eastAsia" w:ascii="仿宋" w:hAnsi="仿宋" w:eastAsia="仿宋" w:cs="仿宋"/>
          <w:color w:val="auto"/>
          <w:sz w:val="24"/>
          <w:szCs w:val="24"/>
          <w:highlight w:val="none"/>
        </w:rPr>
        <w:t>一、商务文件</w:t>
      </w:r>
      <w:bookmarkEnd w:id="134"/>
      <w:bookmarkEnd w:id="145"/>
      <w:bookmarkEnd w:id="146"/>
    </w:p>
    <w:p>
      <w:pPr>
        <w:jc w:val="center"/>
        <w:rPr>
          <w:rFonts w:hint="eastAsia" w:ascii="仿宋" w:hAnsi="仿宋" w:eastAsia="仿宋" w:cs="仿宋"/>
          <w:color w:val="auto"/>
          <w:highlight w:val="none"/>
        </w:rPr>
      </w:pPr>
      <w:bookmarkStart w:id="147" w:name="_Toc26744"/>
      <w:r>
        <w:rPr>
          <w:rFonts w:hint="eastAsia" w:ascii="仿宋" w:hAnsi="仿宋" w:eastAsia="仿宋" w:cs="仿宋"/>
          <w:b/>
          <w:bCs/>
          <w:color w:val="auto"/>
          <w:highlight w:val="none"/>
        </w:rPr>
        <w:t>初步评审索引表</w:t>
      </w:r>
      <w:bookmarkEnd w:id="147"/>
    </w:p>
    <w:tbl>
      <w:tblPr>
        <w:tblStyle w:val="15"/>
        <w:tblW w:w="9459"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788"/>
        <w:gridCol w:w="1609"/>
        <w:gridCol w:w="3310"/>
        <w:gridCol w:w="3752"/>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序号</w:t>
            </w:r>
          </w:p>
        </w:tc>
        <w:tc>
          <w:tcPr>
            <w:tcW w:w="1609" w:type="dxa"/>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评审环节</w:t>
            </w:r>
          </w:p>
        </w:tc>
        <w:tc>
          <w:tcPr>
            <w:tcW w:w="3310" w:type="dxa"/>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评审因素</w:t>
            </w:r>
          </w:p>
        </w:tc>
        <w:tc>
          <w:tcPr>
            <w:tcW w:w="3752"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restart"/>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p>
        </w:tc>
        <w:tc>
          <w:tcPr>
            <w:tcW w:w="1609" w:type="dxa"/>
            <w:vMerge w:val="restart"/>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形式评审标准</w:t>
            </w: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供应商名称</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法定代表人（负责人）身份证明</w:t>
            </w:r>
          </w:p>
        </w:tc>
        <w:tc>
          <w:tcPr>
            <w:tcW w:w="3752" w:type="dxa"/>
            <w:vAlign w:val="center"/>
          </w:tcPr>
          <w:p>
            <w:pPr>
              <w:keepNext w:val="0"/>
              <w:keepLines w:val="0"/>
              <w:widowControl/>
              <w:suppressLineNumbers w:val="0"/>
              <w:topLinePunct/>
              <w:spacing w:before="48" w:beforeLines="20" w:beforeAutospacing="0" w:after="48" w:afterLines="20"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法定代表人（负责人）授权委托书</w:t>
            </w:r>
          </w:p>
        </w:tc>
        <w:tc>
          <w:tcPr>
            <w:tcW w:w="3752" w:type="dxa"/>
            <w:vAlign w:val="center"/>
          </w:tcPr>
          <w:p>
            <w:pPr>
              <w:keepNext w:val="0"/>
              <w:keepLines w:val="0"/>
              <w:widowControl/>
              <w:suppressLineNumbers w:val="0"/>
              <w:topLinePunct/>
              <w:spacing w:before="48" w:beforeLines="20" w:beforeAutospacing="0" w:after="48" w:afterLines="20"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pacing w:val="-4"/>
                <w:sz w:val="22"/>
                <w:szCs w:val="22"/>
                <w:highlight w:val="none"/>
              </w:rPr>
            </w:pPr>
            <w:r>
              <w:rPr>
                <w:rFonts w:hint="eastAsia" w:ascii="仿宋" w:hAnsi="仿宋" w:eastAsia="仿宋" w:cs="仿宋"/>
                <w:color w:val="auto"/>
                <w:sz w:val="22"/>
                <w:szCs w:val="22"/>
                <w:highlight w:val="none"/>
              </w:rPr>
              <w:t>响应文件签字或盖章</w:t>
            </w:r>
          </w:p>
        </w:tc>
        <w:tc>
          <w:tcPr>
            <w:tcW w:w="3752" w:type="dxa"/>
            <w:vAlign w:val="center"/>
          </w:tcPr>
          <w:p>
            <w:pPr>
              <w:keepNext w:val="0"/>
              <w:keepLines w:val="0"/>
              <w:widowControl/>
              <w:suppressLineNumbers w:val="0"/>
              <w:spacing w:before="48" w:beforeLines="20" w:beforeAutospacing="0" w:after="48" w:afterLines="20"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restart"/>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p>
        </w:tc>
        <w:tc>
          <w:tcPr>
            <w:tcW w:w="1609" w:type="dxa"/>
            <w:vMerge w:val="restart"/>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资格评审标准</w:t>
            </w: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具有独立承担民事责任的能力</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具有良好的商业信誉和健全的财务会计制度</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供应商应具有履行合同所必需的设备和专业技术能力</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具有依法缴纳税收和社会保障资金的良好记录</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近三年内无违法违规记录</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未被纳入采购人及其所隶属的中国人民保险各级机构的供应商黑名单</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控股管理关系</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非联合体</w:t>
            </w:r>
            <w:r>
              <w:rPr>
                <w:rFonts w:hint="eastAsia" w:ascii="仿宋" w:hAnsi="仿宋" w:eastAsia="仿宋" w:cs="仿宋"/>
                <w:color w:val="auto"/>
                <w:sz w:val="22"/>
                <w:szCs w:val="22"/>
                <w:highlight w:val="none"/>
                <w:lang w:val="en-US" w:eastAsia="zh-CN"/>
              </w:rPr>
              <w:t>响应</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restart"/>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p>
        </w:tc>
        <w:tc>
          <w:tcPr>
            <w:tcW w:w="1609" w:type="dxa"/>
            <w:vMerge w:val="restart"/>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响应性评审标准</w:t>
            </w: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响应函</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供应商行为准则承诺书</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供应商廉洁诚信承诺书</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供应商偏离应答</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信息安全采购要求承诺函</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其他实质性响应情况</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bl>
    <w:p>
      <w:pPr>
        <w:rPr>
          <w:rFonts w:hint="eastAsia" w:ascii="仿宋" w:hAnsi="仿宋" w:eastAsia="仿宋" w:cs="仿宋"/>
          <w:color w:val="auto"/>
          <w:szCs w:val="21"/>
          <w:highlight w:val="none"/>
        </w:rPr>
        <w:sectPr>
          <w:footerReference r:id="rId8" w:type="default"/>
          <w:pgSz w:w="11906" w:h="16838"/>
          <w:pgMar w:top="1417" w:right="1417" w:bottom="1417" w:left="1417" w:header="850" w:footer="992" w:gutter="0"/>
          <w:pgNumType w:fmt="decimal" w:start="1"/>
          <w:cols w:space="0" w:num="1"/>
          <w:rtlGutter w:val="0"/>
          <w:docGrid w:type="lines" w:linePitch="333" w:charSpace="0"/>
        </w:sectPr>
      </w:pPr>
    </w:p>
    <w:bookmarkEnd w:id="135"/>
    <w:bookmarkEnd w:id="136"/>
    <w:bookmarkEnd w:id="137"/>
    <w:bookmarkEnd w:id="138"/>
    <w:bookmarkEnd w:id="139"/>
    <w:bookmarkEnd w:id="140"/>
    <w:bookmarkEnd w:id="141"/>
    <w:bookmarkEnd w:id="142"/>
    <w:p>
      <w:pPr>
        <w:jc w:val="center"/>
        <w:rPr>
          <w:rFonts w:hint="eastAsia" w:ascii="仿宋" w:hAnsi="仿宋" w:eastAsia="仿宋" w:cs="仿宋"/>
          <w:b/>
          <w:bCs/>
          <w:color w:val="auto"/>
          <w:highlight w:val="none"/>
        </w:rPr>
      </w:pPr>
      <w:bookmarkStart w:id="148" w:name="_Toc27799"/>
      <w:bookmarkStart w:id="149" w:name="_Toc7202"/>
      <w:bookmarkStart w:id="150" w:name="_Toc517281837"/>
      <w:bookmarkStart w:id="151" w:name="_Toc444891354"/>
      <w:bookmarkStart w:id="152" w:name="_Toc25121"/>
      <w:bookmarkStart w:id="153" w:name="_Toc12140"/>
      <w:r>
        <w:rPr>
          <w:rFonts w:hint="eastAsia" w:ascii="仿宋" w:hAnsi="仿宋" w:eastAsia="仿宋" w:cs="仿宋"/>
          <w:b/>
          <w:bCs/>
          <w:color w:val="auto"/>
          <w:highlight w:val="none"/>
        </w:rPr>
        <w:t>详细评审索引表</w:t>
      </w:r>
    </w:p>
    <w:tbl>
      <w:tblPr>
        <w:tblStyle w:val="15"/>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29"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序号</w:t>
            </w:r>
          </w:p>
        </w:tc>
        <w:tc>
          <w:tcPr>
            <w:tcW w:w="1696"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lang w:bidi="ar"/>
              </w:rPr>
            </w:pPr>
            <w:r>
              <w:rPr>
                <w:rFonts w:hint="eastAsia" w:ascii="仿宋" w:hAnsi="仿宋" w:eastAsia="仿宋" w:cs="仿宋"/>
                <w:b/>
                <w:bCs/>
                <w:color w:val="auto"/>
                <w:szCs w:val="21"/>
                <w:highlight w:val="none"/>
              </w:rPr>
              <w:t>评审项</w:t>
            </w:r>
          </w:p>
        </w:tc>
        <w:tc>
          <w:tcPr>
            <w:tcW w:w="2268" w:type="dxa"/>
            <w:tcMar>
              <w:left w:w="85" w:type="dxa"/>
              <w:right w:w="85" w:type="dxa"/>
            </w:tcMa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评审因素</w:t>
            </w:r>
          </w:p>
        </w:tc>
        <w:tc>
          <w:tcPr>
            <w:tcW w:w="4820"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29"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1</w:t>
            </w:r>
          </w:p>
        </w:tc>
        <w:tc>
          <w:tcPr>
            <w:tcW w:w="1696" w:type="dxa"/>
            <w:vMerge w:val="restart"/>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商务得分</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lang w:val="en-US" w:eastAsia="zh-CN" w:bidi="ar"/>
              </w:rPr>
              <w:t>10</w:t>
            </w:r>
            <w:r>
              <w:rPr>
                <w:rFonts w:hint="eastAsia" w:ascii="仿宋" w:hAnsi="仿宋" w:eastAsia="仿宋" w:cs="仿宋"/>
                <w:color w:val="auto"/>
                <w:szCs w:val="21"/>
                <w:highlight w:val="none"/>
                <w:lang w:bidi="ar"/>
              </w:rPr>
              <w:t>分）</w:t>
            </w:r>
          </w:p>
        </w:tc>
        <w:tc>
          <w:tcPr>
            <w:tcW w:w="2268" w:type="dxa"/>
            <w:tcMar>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val="en-US" w:eastAsia="zh-CN" w:bidi="ar"/>
              </w:rPr>
              <w:t>企业</w:t>
            </w:r>
            <w:r>
              <w:rPr>
                <w:rFonts w:hint="eastAsia" w:ascii="仿宋" w:hAnsi="仿宋" w:eastAsia="仿宋" w:cs="仿宋"/>
                <w:color w:val="auto"/>
                <w:szCs w:val="21"/>
                <w:highlight w:val="none"/>
                <w:lang w:bidi="ar"/>
              </w:rPr>
              <w:t>综合实力</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lang w:val="en-US" w:eastAsia="zh-CN" w:bidi="ar"/>
              </w:rPr>
              <w:t>5</w:t>
            </w:r>
            <w:r>
              <w:rPr>
                <w:rFonts w:hint="eastAsia" w:ascii="仿宋" w:hAnsi="仿宋" w:eastAsia="仿宋" w:cs="仿宋"/>
                <w:color w:val="auto"/>
                <w:szCs w:val="21"/>
                <w:highlight w:val="none"/>
                <w:lang w:bidi="ar"/>
              </w:rPr>
              <w:t>分）</w:t>
            </w:r>
          </w:p>
        </w:tc>
        <w:tc>
          <w:tcPr>
            <w:tcW w:w="4820" w:type="dxa"/>
            <w:tcMar>
              <w:top w:w="15" w:type="dxa"/>
              <w:left w:w="85" w:type="dxa"/>
              <w:right w:w="8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说明：XX</w:t>
            </w:r>
          </w:p>
          <w:p>
            <w:pPr>
              <w:keepNext w:val="0"/>
              <w:keepLines w:val="0"/>
              <w:widowControl/>
              <w:suppressLineNumbers w:val="0"/>
              <w:spacing w:before="0" w:beforeAutospacing="0" w:after="0" w:afterAutospacing="0"/>
              <w:ind w:left="0" w:right="0"/>
              <w:rPr>
                <w:rStyle w:val="27"/>
                <w:rFonts w:hint="eastAsia" w:ascii="仿宋" w:hAnsi="仿宋" w:eastAsia="仿宋" w:cs="仿宋"/>
                <w:color w:val="auto"/>
                <w:highlight w:val="none"/>
                <w:lang w:bidi="ar"/>
              </w:rPr>
            </w:pPr>
            <w:r>
              <w:rPr>
                <w:rFonts w:hint="eastAsia" w:ascii="仿宋" w:hAnsi="仿宋" w:eastAsia="仿宋" w:cs="仿宋"/>
                <w:color w:val="auto"/>
                <w:szCs w:val="21"/>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29"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2</w:t>
            </w:r>
          </w:p>
        </w:tc>
        <w:tc>
          <w:tcPr>
            <w:tcW w:w="1696" w:type="dxa"/>
            <w:vMerge w:val="continue"/>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p>
        </w:tc>
        <w:tc>
          <w:tcPr>
            <w:tcW w:w="2268" w:type="dxa"/>
            <w:tcMar>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同类业绩</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lang w:val="en-US" w:eastAsia="zh-CN" w:bidi="ar"/>
              </w:rPr>
              <w:t>5</w:t>
            </w:r>
            <w:r>
              <w:rPr>
                <w:rFonts w:hint="eastAsia" w:ascii="仿宋" w:hAnsi="仿宋" w:eastAsia="仿宋" w:cs="仿宋"/>
                <w:color w:val="auto"/>
                <w:szCs w:val="21"/>
                <w:highlight w:val="none"/>
                <w:lang w:bidi="ar"/>
              </w:rPr>
              <w:t>分）</w:t>
            </w:r>
          </w:p>
        </w:tc>
        <w:tc>
          <w:tcPr>
            <w:tcW w:w="4820" w:type="dxa"/>
            <w:tcMar>
              <w:top w:w="15" w:type="dxa"/>
              <w:left w:w="85" w:type="dxa"/>
              <w:right w:w="8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说明：XX</w:t>
            </w:r>
          </w:p>
          <w:p>
            <w:pPr>
              <w:keepNext w:val="0"/>
              <w:keepLines w:val="0"/>
              <w:widowControl/>
              <w:suppressLineNumbers w:val="0"/>
              <w:spacing w:before="0" w:beforeAutospacing="0" w:after="0" w:afterAutospacing="0"/>
              <w:ind w:left="0" w:right="0"/>
              <w:rPr>
                <w:rStyle w:val="27"/>
                <w:rFonts w:hint="eastAsia" w:ascii="仿宋" w:hAnsi="仿宋" w:eastAsia="仿宋" w:cs="仿宋"/>
                <w:color w:val="auto"/>
                <w:highlight w:val="none"/>
                <w:lang w:bidi="ar"/>
              </w:rPr>
            </w:pPr>
            <w:r>
              <w:rPr>
                <w:rFonts w:hint="eastAsia" w:ascii="仿宋" w:hAnsi="仿宋" w:eastAsia="仿宋" w:cs="仿宋"/>
                <w:color w:val="auto"/>
                <w:szCs w:val="21"/>
                <w:highlight w:val="none"/>
              </w:rPr>
              <w:t>详见N-M页</w:t>
            </w: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4"/>
        <w:spacing w:before="0" w:line="440" w:lineRule="exact"/>
        <w:rPr>
          <w:rFonts w:hint="eastAsia" w:ascii="仿宋" w:hAnsi="仿宋" w:eastAsia="仿宋" w:cs="仿宋"/>
          <w:color w:val="auto"/>
          <w:sz w:val="24"/>
          <w:szCs w:val="24"/>
          <w:highlight w:val="none"/>
        </w:rPr>
      </w:pPr>
      <w:bookmarkStart w:id="154" w:name="_Toc22825"/>
      <w:bookmarkStart w:id="155" w:name="_Toc27958"/>
      <w:r>
        <w:rPr>
          <w:rFonts w:hint="eastAsia" w:ascii="仿宋" w:hAnsi="仿宋" w:eastAsia="仿宋" w:cs="仿宋"/>
          <w:color w:val="auto"/>
          <w:sz w:val="24"/>
          <w:szCs w:val="24"/>
          <w:highlight w:val="none"/>
        </w:rPr>
        <w:t>（一）响应函</w:t>
      </w:r>
      <w:bookmarkEnd w:id="154"/>
      <w:bookmarkEnd w:id="155"/>
    </w:p>
    <w:p>
      <w:pPr>
        <w:pStyle w:val="18"/>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致：（采购人名称）     </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（以下称“我方”）已仔细研究了</w:t>
      </w:r>
      <w:r>
        <w:rPr>
          <w:rFonts w:hint="eastAsia" w:ascii="仿宋" w:hAnsi="仿宋" w:eastAsia="仿宋" w:cs="仿宋"/>
          <w:color w:val="auto"/>
          <w:highlight w:val="none"/>
          <w:u w:val="single"/>
        </w:rPr>
        <w:t xml:space="preserve">  （项目名称）    </w:t>
      </w:r>
      <w:r>
        <w:rPr>
          <w:rFonts w:hint="eastAsia" w:ascii="仿宋" w:hAnsi="仿宋" w:eastAsia="仿宋" w:cs="仿宋"/>
          <w:color w:val="auto"/>
          <w:highlight w:val="none"/>
        </w:rPr>
        <w:t>竞争性磋商文件的全部内容，包括澄清或者修改文件以及有关附件，我方将严格按照竞争性磋商文件要求递交符合要求的全部磋商响应文件。</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现我方承诺如下内容：</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1. 本响应函及磋商响应文件自磋商响应文件提交截止日起有效期为</w:t>
      </w:r>
      <w:r>
        <w:rPr>
          <w:rFonts w:hint="eastAsia" w:ascii="仿宋" w:hAnsi="仿宋" w:eastAsia="仿宋" w:cs="仿宋"/>
          <w:color w:val="auto"/>
          <w:highlight w:val="none"/>
          <w:u w:val="single"/>
        </w:rPr>
        <w:t>180天</w:t>
      </w:r>
      <w:r>
        <w:rPr>
          <w:rFonts w:hint="eastAsia" w:ascii="仿宋" w:hAnsi="仿宋" w:eastAsia="仿宋" w:cs="仿宋"/>
          <w:color w:val="auto"/>
          <w:highlight w:val="none"/>
        </w:rPr>
        <w:t>，我方承诺在响应有效期内不修改、撤销磋商响应文件。</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2. 我方承诺提供磋商过程中可能要求的澄清、说明、补正或者算术性错误修正确认，并同意我方提供的以上材料构成我方响应文件的组成部分。</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3. 我方同意提供贵方可能要求的与我方响应文件有关的一切数据、资料、证明原件、证件原件，并完全理解贵方不一定接受最低价的响应。</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4．我方承诺对在本次采购活动过程中所获知贵方一切商业秘密保密，不会向任何第三方泄露，不会用于本次采购活动之外的任何其他目的。</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5．我方承诺对所递交的响应文件及有关材料的真实性、合法性、完整性、准确性承担法律责任。如有弄虚作假、串通投标、行贿等违法违规行为，将承担相应的法律责任，并赔偿由此给贵方造成的一切损失。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6. 如我方成交：</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（1）我方承诺在收到成交通知书后，在成交通知书规定的期限内与贵方签订合同。</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（2）我方承诺按照竞争性磋商文件规定递交履约保证金。</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（3）我方承诺按照竞争性磋商文件的规定及合同约定履行相关责任和义务。</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（4）我方在此承诺，双方合作后可开具增值税专用发票。</w:t>
      </w:r>
    </w:p>
    <w:p>
      <w:pPr>
        <w:spacing w:line="440" w:lineRule="exact"/>
        <w:ind w:firstLine="3570" w:firstLineChars="1700"/>
        <w:jc w:val="right"/>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4"/>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End w:id="143"/>
      <w:bookmarkEnd w:id="144"/>
      <w:bookmarkEnd w:id="148"/>
      <w:bookmarkEnd w:id="149"/>
      <w:bookmarkEnd w:id="150"/>
      <w:bookmarkEnd w:id="151"/>
      <w:bookmarkEnd w:id="152"/>
      <w:bookmarkEnd w:id="153"/>
      <w:bookmarkStart w:id="156" w:name="_Toc2027"/>
      <w:bookmarkStart w:id="157" w:name="_Toc13983"/>
      <w:r>
        <w:rPr>
          <w:rFonts w:hint="eastAsia" w:ascii="仿宋" w:hAnsi="仿宋" w:eastAsia="仿宋" w:cs="仿宋"/>
          <w:color w:val="auto"/>
          <w:sz w:val="24"/>
          <w:szCs w:val="24"/>
          <w:highlight w:val="none"/>
        </w:rPr>
        <w:t>（二）法定代表人（负责人）身份证明书</w:t>
      </w:r>
      <w:bookmarkEnd w:id="156"/>
      <w:bookmarkEnd w:id="157"/>
      <w:r>
        <w:rPr>
          <w:rFonts w:hint="eastAsia" w:ascii="仿宋" w:hAnsi="仿宋" w:eastAsia="仿宋" w:cs="仿宋"/>
          <w:color w:val="auto"/>
          <w:sz w:val="24"/>
          <w:szCs w:val="24"/>
          <w:highlight w:val="none"/>
        </w:rPr>
        <w:tab/>
      </w:r>
    </w:p>
    <w:p>
      <w:pPr>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法定代表人（负责人）身份证明书</w:t>
      </w:r>
      <w:r>
        <w:rPr>
          <w:rFonts w:hint="eastAsia" w:ascii="仿宋" w:hAnsi="仿宋" w:eastAsia="仿宋" w:cs="仿宋"/>
          <w:b/>
          <w:color w:val="auto"/>
          <w:highlight w:val="none"/>
        </w:rPr>
        <w:tab/>
      </w:r>
    </w:p>
    <w:p>
      <w:pPr>
        <w:spacing w:line="360" w:lineRule="auto"/>
        <w:rPr>
          <w:rFonts w:hint="eastAsia" w:ascii="仿宋" w:hAnsi="仿宋" w:eastAsia="仿宋" w:cs="仿宋"/>
          <w:b/>
          <w:color w:val="auto"/>
          <w:highlight w:val="none"/>
        </w:rPr>
      </w:pPr>
    </w:p>
    <w:p>
      <w:pPr>
        <w:topLinePunct/>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成立时间：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opLinePunct/>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姓名：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性别：</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年龄：</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职务：</w:t>
      </w:r>
      <w:r>
        <w:rPr>
          <w:rFonts w:hint="eastAsia" w:ascii="仿宋" w:hAnsi="仿宋" w:eastAsia="仿宋" w:cs="仿宋"/>
          <w:color w:val="auto"/>
          <w:highlight w:val="none"/>
          <w:u w:val="single"/>
        </w:rPr>
        <w:t xml:space="preserve">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系</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（供应商名称）的法定代表人（负责人）。</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特此证明。</w:t>
      </w:r>
    </w:p>
    <w:p>
      <w:pPr>
        <w:topLinePunct/>
        <w:spacing w:line="360" w:lineRule="auto"/>
        <w:rPr>
          <w:rFonts w:hint="eastAsia" w:ascii="仿宋" w:hAnsi="仿宋" w:eastAsia="仿宋" w:cs="仿宋"/>
          <w:color w:val="auto"/>
          <w:highlight w:val="none"/>
        </w:rPr>
      </w:pP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附：法定代表人（负责人）身份证复印件（需同时提供正面及背面）。</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143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109855</wp:posOffset>
                </wp:positionV>
                <wp:extent cx="2802890" cy="2133600"/>
                <wp:effectExtent l="7620" t="7620" r="8890" b="1143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3360;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8"/>
        <w:spacing w:line="440" w:lineRule="atLeast"/>
        <w:ind w:firstLine="480"/>
        <w:jc w:val="left"/>
        <w:rPr>
          <w:rFonts w:hint="eastAsia" w:ascii="仿宋" w:hAnsi="仿宋" w:eastAsia="仿宋" w:cs="仿宋"/>
          <w:color w:val="auto"/>
          <w:highlight w:val="none"/>
        </w:rPr>
      </w:pPr>
    </w:p>
    <w:p>
      <w:pPr>
        <w:pStyle w:val="18"/>
        <w:spacing w:line="440" w:lineRule="atLeast"/>
        <w:ind w:firstLine="480"/>
        <w:jc w:val="left"/>
        <w:rPr>
          <w:rFonts w:hint="eastAsia" w:ascii="仿宋" w:hAnsi="仿宋" w:eastAsia="仿宋" w:cs="仿宋"/>
          <w:color w:val="auto"/>
          <w:highlight w:val="none"/>
        </w:rPr>
      </w:pPr>
    </w:p>
    <w:p>
      <w:pPr>
        <w:pStyle w:val="18"/>
        <w:spacing w:line="440" w:lineRule="atLeast"/>
        <w:ind w:firstLine="480"/>
        <w:jc w:val="left"/>
        <w:rPr>
          <w:rFonts w:hint="eastAsia" w:ascii="仿宋" w:hAnsi="仿宋" w:eastAsia="仿宋" w:cs="仿宋"/>
          <w:color w:val="auto"/>
          <w:highlight w:val="none"/>
        </w:rPr>
      </w:pPr>
    </w:p>
    <w:p>
      <w:pPr>
        <w:spacing w:line="360" w:lineRule="auto"/>
        <w:ind w:firstLine="610"/>
        <w:rPr>
          <w:rFonts w:hint="eastAsia" w:ascii="仿宋" w:hAnsi="仿宋" w:eastAsia="仿宋" w:cs="仿宋"/>
          <w:color w:val="auto"/>
          <w:highlight w:val="none"/>
        </w:rPr>
      </w:pPr>
    </w:p>
    <w:p>
      <w:pPr>
        <w:tabs>
          <w:tab w:val="left" w:pos="720"/>
          <w:tab w:val="left" w:pos="900"/>
        </w:tabs>
        <w:spacing w:line="360" w:lineRule="auto"/>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p>
    <w:p>
      <w:pPr>
        <w:wordWrap w:val="0"/>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720"/>
          <w:tab w:val="left" w:pos="900"/>
        </w:tabs>
        <w:spacing w:line="360" w:lineRule="auto"/>
        <w:ind w:left="1078"/>
        <w:rPr>
          <w:rFonts w:hint="eastAsia" w:ascii="仿宋" w:hAnsi="仿宋" w:eastAsia="仿宋" w:cs="仿宋"/>
          <w:color w:val="auto"/>
          <w:highlight w:val="none"/>
        </w:rPr>
      </w:pPr>
    </w:p>
    <w:p>
      <w:pPr>
        <w:tabs>
          <w:tab w:val="left" w:pos="720"/>
          <w:tab w:val="left" w:pos="900"/>
        </w:tabs>
        <w:spacing w:line="360" w:lineRule="auto"/>
        <w:ind w:left="1078"/>
        <w:rPr>
          <w:rFonts w:hint="eastAsia" w:ascii="仿宋" w:hAnsi="仿宋" w:eastAsia="仿宋" w:cs="仿宋"/>
          <w:color w:val="auto"/>
          <w:highlight w:val="none"/>
        </w:rPr>
      </w:pPr>
    </w:p>
    <w:p>
      <w:pPr>
        <w:pStyle w:val="4"/>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158" w:name="_Toc20707"/>
      <w:bookmarkStart w:id="159" w:name="_Toc287600130"/>
      <w:bookmarkStart w:id="160" w:name="_Toc444891355"/>
      <w:bookmarkStart w:id="161" w:name="_Toc19783361"/>
      <w:bookmarkStart w:id="162" w:name="_Toc517281838"/>
      <w:bookmarkStart w:id="163" w:name="_Toc24788"/>
      <w:bookmarkStart w:id="164" w:name="_Toc26267"/>
      <w:bookmarkStart w:id="165" w:name="_Toc31823"/>
      <w:bookmarkStart w:id="166" w:name="_Toc5582"/>
      <w:bookmarkStart w:id="167" w:name="_Toc4426"/>
      <w:r>
        <w:rPr>
          <w:rFonts w:hint="eastAsia" w:ascii="仿宋" w:hAnsi="仿宋" w:eastAsia="仿宋" w:cs="仿宋"/>
          <w:color w:val="auto"/>
          <w:sz w:val="24"/>
          <w:szCs w:val="24"/>
          <w:highlight w:val="none"/>
        </w:rPr>
        <w:t>（三）法定代表人（负责人）授权委托书</w:t>
      </w:r>
      <w:bookmarkEnd w:id="158"/>
      <w:bookmarkEnd w:id="159"/>
      <w:bookmarkEnd w:id="160"/>
      <w:bookmarkEnd w:id="161"/>
      <w:bookmarkEnd w:id="162"/>
      <w:bookmarkEnd w:id="163"/>
      <w:bookmarkEnd w:id="164"/>
      <w:bookmarkEnd w:id="165"/>
      <w:bookmarkEnd w:id="166"/>
      <w:bookmarkEnd w:id="167"/>
    </w:p>
    <w:p>
      <w:pPr>
        <w:pStyle w:val="18"/>
        <w:spacing w:before="240" w:after="240"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法定代表人（负责人）授权委托书</w:t>
      </w:r>
    </w:p>
    <w:p>
      <w:pPr>
        <w:pStyle w:val="18"/>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（供应商名称）</w:t>
      </w:r>
      <w:r>
        <w:rPr>
          <w:rFonts w:hint="eastAsia" w:ascii="仿宋" w:hAnsi="仿宋" w:eastAsia="仿宋" w:cs="仿宋"/>
          <w:color w:val="auto"/>
          <w:sz w:val="24"/>
          <w:highlight w:val="none"/>
        </w:rPr>
        <w:t>的法定代表人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highlight w:val="none"/>
        </w:rPr>
        <w:t>，现授权委托</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为我方代理人。</w:t>
      </w:r>
      <w:r>
        <w:rPr>
          <w:rFonts w:hint="eastAsia" w:ascii="仿宋" w:hAnsi="仿宋" w:eastAsia="仿宋" w:cs="仿宋"/>
          <w:color w:val="auto"/>
          <w:sz w:val="24"/>
          <w:szCs w:val="24"/>
          <w:highlight w:val="none"/>
        </w:rPr>
        <w:t>代理人根据授权，以我方名义签署、澄清、说明、补正、递交、撤回、修改</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磋商响应文件、签订合同和处理有关事宜，其法律后果由我方承担。</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委托期限：</w:t>
      </w:r>
      <w:r>
        <w:rPr>
          <w:rFonts w:hint="eastAsia" w:ascii="仿宋" w:hAnsi="仿宋" w:eastAsia="仿宋" w:cs="仿宋"/>
          <w:color w:val="auto"/>
          <w:highlight w:val="none"/>
          <w:u w:val="single"/>
        </w:rPr>
        <w:t xml:space="preserve"> 自本委托书签字盖章生效之日起至磋商响应有效期到期之日为止 </w:t>
      </w:r>
      <w:r>
        <w:rPr>
          <w:rFonts w:hint="eastAsia" w:ascii="仿宋" w:hAnsi="仿宋" w:eastAsia="仿宋" w:cs="仿宋"/>
          <w:color w:val="auto"/>
          <w:highlight w:val="none"/>
        </w:rPr>
        <w:t>。</w:t>
      </w:r>
    </w:p>
    <w:p>
      <w:pPr>
        <w:pStyle w:val="18"/>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代理人无转委托权。</w:t>
      </w:r>
    </w:p>
    <w:p>
      <w:pPr>
        <w:pStyle w:val="18"/>
        <w:spacing w:line="360" w:lineRule="auto"/>
        <w:ind w:firstLine="482" w:firstLineChars="200"/>
        <w:rPr>
          <w:rFonts w:hint="eastAsia" w:ascii="仿宋" w:hAnsi="仿宋" w:eastAsia="仿宋" w:cs="仿宋"/>
          <w:b/>
          <w:bCs/>
          <w:color w:val="auto"/>
          <w:sz w:val="24"/>
          <w:szCs w:val="24"/>
          <w:highlight w:val="none"/>
        </w:rPr>
      </w:pPr>
    </w:p>
    <w:p>
      <w:pPr>
        <w:pStyle w:val="18"/>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附：委托代理人身份证复印件（需同时提供正面及背面）</w:t>
      </w:r>
      <w:r>
        <w:rPr>
          <w:rFonts w:hint="eastAsia" w:ascii="仿宋" w:hAnsi="仿宋" w:eastAsia="仿宋" w:cs="仿宋"/>
          <w:color w:val="auto"/>
          <w:sz w:val="24"/>
          <w:szCs w:val="24"/>
          <w:highlight w:val="none"/>
        </w:rPr>
        <w:t>。</w:t>
      </w:r>
    </w:p>
    <w:p>
      <w:pPr>
        <w:pStyle w:val="18"/>
        <w:spacing w:line="440" w:lineRule="atLeast"/>
        <w:ind w:firstLine="480"/>
        <w:jc w:val="lef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174625</wp:posOffset>
                </wp:positionH>
                <wp:positionV relativeFrom="paragraph">
                  <wp:posOffset>56515</wp:posOffset>
                </wp:positionV>
                <wp:extent cx="2802890" cy="1934845"/>
                <wp:effectExtent l="7620" t="7620" r="8890" b="1968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4384;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2977515</wp:posOffset>
                </wp:positionH>
                <wp:positionV relativeFrom="paragraph">
                  <wp:posOffset>56515</wp:posOffset>
                </wp:positionV>
                <wp:extent cx="2802890" cy="1934845"/>
                <wp:effectExtent l="7620" t="7620" r="8890" b="1968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5408;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18"/>
        <w:spacing w:line="440" w:lineRule="atLeast"/>
        <w:ind w:firstLine="480"/>
        <w:jc w:val="left"/>
        <w:rPr>
          <w:rFonts w:hint="eastAsia" w:ascii="仿宋" w:hAnsi="仿宋" w:eastAsia="仿宋" w:cs="仿宋"/>
          <w:color w:val="auto"/>
          <w:highlight w:val="none"/>
        </w:rPr>
      </w:pPr>
    </w:p>
    <w:p>
      <w:pPr>
        <w:spacing w:line="360" w:lineRule="auto"/>
        <w:ind w:left="720"/>
        <w:rPr>
          <w:rFonts w:hint="eastAsia" w:ascii="仿宋" w:hAnsi="仿宋" w:eastAsia="仿宋" w:cs="仿宋"/>
          <w:b/>
          <w:color w:val="auto"/>
          <w:highlight w:val="none"/>
        </w:rPr>
      </w:pPr>
    </w:p>
    <w:p>
      <w:pPr>
        <w:tabs>
          <w:tab w:val="left" w:pos="540"/>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ab/>
      </w:r>
    </w:p>
    <w:p>
      <w:pPr>
        <w:pStyle w:val="7"/>
        <w:rPr>
          <w:rFonts w:hint="eastAsia" w:ascii="仿宋" w:hAnsi="仿宋" w:eastAsia="仿宋" w:cs="仿宋"/>
          <w:color w:val="auto"/>
          <w:szCs w:val="21"/>
          <w:highlight w:val="none"/>
        </w:rPr>
      </w:pPr>
    </w:p>
    <w:p>
      <w:pPr>
        <w:pStyle w:val="7"/>
        <w:rPr>
          <w:rFonts w:hint="eastAsia" w:ascii="仿宋" w:hAnsi="仿宋" w:eastAsia="仿宋" w:cs="仿宋"/>
          <w:color w:val="auto"/>
          <w:szCs w:val="21"/>
          <w:highlight w:val="none"/>
        </w:rPr>
      </w:pPr>
    </w:p>
    <w:p>
      <w:pPr>
        <w:pStyle w:val="7"/>
        <w:rPr>
          <w:rFonts w:hint="eastAsia" w:ascii="仿宋" w:hAnsi="仿宋" w:eastAsia="仿宋" w:cs="仿宋"/>
          <w:color w:val="auto"/>
          <w:szCs w:val="21"/>
          <w:highlight w:val="none"/>
        </w:rPr>
      </w:pPr>
    </w:p>
    <w:p>
      <w:pPr>
        <w:spacing w:line="360" w:lineRule="auto"/>
        <w:ind w:right="420" w:firstLine="3675" w:firstLineChars="1750"/>
        <w:rPr>
          <w:rFonts w:hint="eastAsia" w:ascii="仿宋" w:hAnsi="仿宋" w:eastAsia="仿宋" w:cs="仿宋"/>
          <w:color w:val="auto"/>
          <w:highlight w:val="none"/>
        </w:rPr>
      </w:pPr>
    </w:p>
    <w:p>
      <w:pPr>
        <w:spacing w:line="360" w:lineRule="auto"/>
        <w:ind w:right="420" w:firstLine="3675" w:firstLineChars="1750"/>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ind w:right="420"/>
        <w:jc w:val="right"/>
        <w:rPr>
          <w:rFonts w:hint="eastAsia" w:ascii="仿宋" w:hAnsi="仿宋" w:eastAsia="仿宋" w:cs="仿宋"/>
          <w:color w:val="auto"/>
          <w:highlight w:val="none"/>
        </w:rPr>
      </w:pPr>
      <w:r>
        <w:rPr>
          <w:rFonts w:hint="eastAsia" w:ascii="仿宋" w:hAnsi="仿宋" w:eastAsia="仿宋" w:cs="仿宋"/>
          <w:color w:val="auto"/>
          <w:highlight w:val="none"/>
        </w:rPr>
        <w:t>法定代表人（负责人）：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（签字或盖章）</w:t>
      </w:r>
    </w:p>
    <w:p>
      <w:pPr>
        <w:pStyle w:val="18"/>
        <w:wordWrap w:val="0"/>
        <w:spacing w:line="360" w:lineRule="auto"/>
        <w:ind w:right="105" w:firstLine="4200" w:firstLineChars="17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r>
        <w:rPr>
          <w:rFonts w:hint="eastAsia" w:ascii="仿宋" w:hAnsi="仿宋" w:eastAsia="仿宋" w:cs="仿宋"/>
          <w:color w:val="auto"/>
          <w:sz w:val="24"/>
          <w:highlight w:val="none"/>
        </w:rPr>
        <w:t>或盖章</w:t>
      </w:r>
      <w:r>
        <w:rPr>
          <w:rFonts w:hint="eastAsia" w:ascii="仿宋" w:hAnsi="仿宋" w:eastAsia="仿宋" w:cs="仿宋"/>
          <w:color w:val="auto"/>
          <w:sz w:val="24"/>
          <w:szCs w:val="24"/>
          <w:highlight w:val="none"/>
        </w:rPr>
        <w:t xml:space="preserve">） </w:t>
      </w:r>
    </w:p>
    <w:p>
      <w:pPr>
        <w:wordWrap w:val="0"/>
        <w:spacing w:line="360" w:lineRule="auto"/>
        <w:ind w:firstLine="3675" w:firstLineChars="1750"/>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540"/>
        </w:tabs>
        <w:rPr>
          <w:rFonts w:hint="eastAsia" w:ascii="仿宋" w:hAnsi="仿宋" w:eastAsia="仿宋" w:cs="仿宋"/>
          <w:color w:val="auto"/>
          <w:szCs w:val="21"/>
          <w:highlight w:val="none"/>
        </w:rPr>
        <w:sectPr>
          <w:pgSz w:w="11906" w:h="16838"/>
          <w:pgMar w:top="1417" w:right="1417" w:bottom="1417" w:left="1417" w:header="850" w:footer="992" w:gutter="0"/>
          <w:pgNumType w:fmt="decimal"/>
          <w:cols w:space="0" w:num="1"/>
          <w:rtlGutter w:val="0"/>
          <w:docGrid w:type="lines" w:linePitch="333" w:charSpace="0"/>
        </w:sectPr>
      </w:pPr>
    </w:p>
    <w:p>
      <w:pPr>
        <w:pStyle w:val="4"/>
        <w:spacing w:before="0" w:after="0" w:line="360" w:lineRule="auto"/>
        <w:rPr>
          <w:rFonts w:hint="eastAsia" w:ascii="仿宋" w:hAnsi="仿宋" w:eastAsia="仿宋" w:cs="仿宋"/>
          <w:color w:val="auto"/>
          <w:sz w:val="24"/>
          <w:szCs w:val="24"/>
          <w:highlight w:val="none"/>
        </w:rPr>
      </w:pPr>
      <w:bookmarkStart w:id="168" w:name="_Toc30551"/>
      <w:bookmarkStart w:id="169" w:name="_Toc19033"/>
      <w:bookmarkStart w:id="170" w:name="_Toc517281841"/>
      <w:r>
        <w:rPr>
          <w:rFonts w:hint="eastAsia" w:ascii="仿宋" w:hAnsi="仿宋" w:eastAsia="仿宋" w:cs="仿宋"/>
          <w:color w:val="auto"/>
          <w:sz w:val="24"/>
          <w:szCs w:val="24"/>
          <w:highlight w:val="none"/>
        </w:rPr>
        <w:t>（四）资格证明文件</w:t>
      </w:r>
      <w:bookmarkEnd w:id="168"/>
      <w:bookmarkEnd w:id="169"/>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1、供应商基本情况信息表</w:t>
      </w:r>
    </w:p>
    <w:p>
      <w:pPr>
        <w:pStyle w:val="18"/>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供应商基本情况信息表</w:t>
      </w:r>
    </w:p>
    <w:tbl>
      <w:tblPr>
        <w:tblStyle w:val="15"/>
        <w:tblW w:w="9852" w:type="dxa"/>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注册地址</w:t>
            </w:r>
          </w:p>
        </w:tc>
        <w:tc>
          <w:tcPr>
            <w:tcW w:w="3588" w:type="dxa"/>
            <w:gridSpan w:val="5"/>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789" w:type="dxa"/>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公司办公场所</w:t>
            </w:r>
            <w:r>
              <w:rPr>
                <w:rFonts w:hint="eastAsia" w:ascii="仿宋" w:hAnsi="仿宋" w:eastAsia="仿宋" w:cs="仿宋"/>
                <w:color w:val="auto"/>
                <w:highlight w:val="none"/>
                <w:lang w:eastAsia="zh-CN"/>
              </w:rPr>
              <w:t>面积</w:t>
            </w:r>
          </w:p>
        </w:tc>
        <w:tc>
          <w:tcPr>
            <w:tcW w:w="3588" w:type="dxa"/>
            <w:gridSpan w:val="5"/>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平</w:t>
            </w:r>
            <w:r>
              <w:rPr>
                <w:rFonts w:hint="eastAsia" w:ascii="仿宋" w:hAnsi="仿宋" w:eastAsia="仿宋" w:cs="仿宋"/>
                <w:color w:val="auto"/>
                <w:highlight w:val="none"/>
                <w:lang w:eastAsia="zh-CN"/>
              </w:rPr>
              <w:t>方</w:t>
            </w:r>
            <w:r>
              <w:rPr>
                <w:rFonts w:hint="eastAsia" w:ascii="仿宋" w:hAnsi="仿宋" w:eastAsia="仿宋" w:cs="仿宋"/>
                <w:color w:val="auto"/>
                <w:highlight w:val="none"/>
              </w:rPr>
              <w:t>米</w:t>
            </w:r>
          </w:p>
        </w:tc>
        <w:tc>
          <w:tcPr>
            <w:tcW w:w="1789" w:type="dxa"/>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办事处地址</w:t>
            </w:r>
          </w:p>
        </w:tc>
        <w:tc>
          <w:tcPr>
            <w:tcW w:w="2232"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联系方式</w:t>
            </w:r>
          </w:p>
        </w:tc>
        <w:tc>
          <w:tcPr>
            <w:tcW w:w="1141" w:type="dxa"/>
            <w:gridSpan w:val="2"/>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联系人</w:t>
            </w:r>
          </w:p>
        </w:tc>
        <w:tc>
          <w:tcPr>
            <w:tcW w:w="2447"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1141" w:type="dxa"/>
            <w:gridSpan w:val="2"/>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传真</w:t>
            </w:r>
          </w:p>
        </w:tc>
        <w:tc>
          <w:tcPr>
            <w:tcW w:w="2447"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网址</w:t>
            </w:r>
          </w:p>
        </w:tc>
        <w:tc>
          <w:tcPr>
            <w:tcW w:w="2232"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组织结构</w:t>
            </w:r>
          </w:p>
        </w:tc>
        <w:tc>
          <w:tcPr>
            <w:tcW w:w="7609" w:type="dxa"/>
            <w:gridSpan w:val="9"/>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法定代表人</w:t>
            </w:r>
          </w:p>
        </w:tc>
        <w:tc>
          <w:tcPr>
            <w:tcW w:w="775" w:type="dxa"/>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468" w:type="dxa"/>
            <w:gridSpan w:val="2"/>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985" w:type="dxa"/>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技术负责人</w:t>
            </w:r>
          </w:p>
        </w:tc>
        <w:tc>
          <w:tcPr>
            <w:tcW w:w="775" w:type="dxa"/>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468" w:type="dxa"/>
            <w:gridSpan w:val="2"/>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985" w:type="dxa"/>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成立时间</w:t>
            </w:r>
          </w:p>
        </w:tc>
        <w:tc>
          <w:tcPr>
            <w:tcW w:w="2120"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5489" w:type="dxa"/>
            <w:gridSpan w:val="6"/>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firstLine="105"/>
              <w:jc w:val="center"/>
              <w:rPr>
                <w:rFonts w:hint="eastAsia" w:ascii="仿宋" w:hAnsi="仿宋" w:eastAsia="仿宋" w:cs="仿宋"/>
                <w:color w:val="auto"/>
                <w:highlight w:val="none"/>
              </w:rPr>
            </w:pPr>
            <w:r>
              <w:rPr>
                <w:rFonts w:hint="eastAsia" w:ascii="仿宋" w:hAnsi="仿宋" w:eastAsia="仿宋" w:cs="仿宋"/>
                <w:color w:val="auto"/>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企业资质等级</w:t>
            </w:r>
          </w:p>
        </w:tc>
        <w:tc>
          <w:tcPr>
            <w:tcW w:w="2120"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restart"/>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营业执照号</w:t>
            </w:r>
          </w:p>
        </w:tc>
        <w:tc>
          <w:tcPr>
            <w:tcW w:w="2120"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高级职称人员</w:t>
            </w:r>
          </w:p>
        </w:tc>
        <w:tc>
          <w:tcPr>
            <w:tcW w:w="2130" w:type="dxa"/>
            <w:gridSpan w:val="2"/>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注册资金</w:t>
            </w:r>
          </w:p>
        </w:tc>
        <w:tc>
          <w:tcPr>
            <w:tcW w:w="2120"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中级职称人员</w:t>
            </w:r>
          </w:p>
        </w:tc>
        <w:tc>
          <w:tcPr>
            <w:tcW w:w="2130" w:type="dxa"/>
            <w:gridSpan w:val="2"/>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开户银行</w:t>
            </w:r>
          </w:p>
        </w:tc>
        <w:tc>
          <w:tcPr>
            <w:tcW w:w="2120"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vMerge w:val="restart"/>
            <w:tcBorders>
              <w:top w:val="nil"/>
              <w:left w:val="nil"/>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初级职称人员</w:t>
            </w:r>
          </w:p>
        </w:tc>
        <w:tc>
          <w:tcPr>
            <w:tcW w:w="2130" w:type="dxa"/>
            <w:gridSpan w:val="2"/>
            <w:vMerge w:val="restart"/>
            <w:tcBorders>
              <w:top w:val="nil"/>
              <w:left w:val="nil"/>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账号</w:t>
            </w:r>
          </w:p>
        </w:tc>
        <w:tc>
          <w:tcPr>
            <w:tcW w:w="2120"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vMerge w:val="continue"/>
            <w:tcBorders>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2130" w:type="dxa"/>
            <w:gridSpan w:val="2"/>
            <w:vMerge w:val="continue"/>
            <w:tcBorders>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firstLine="210"/>
              <w:jc w:val="center"/>
              <w:rPr>
                <w:rFonts w:hint="eastAsia" w:ascii="仿宋" w:hAnsi="仿宋" w:eastAsia="仿宋" w:cs="仿宋"/>
                <w:color w:val="auto"/>
                <w:highlight w:val="none"/>
              </w:rPr>
            </w:pPr>
            <w:r>
              <w:rPr>
                <w:rFonts w:hint="eastAsia" w:ascii="仿宋" w:hAnsi="仿宋" w:eastAsia="仿宋" w:cs="仿宋"/>
                <w:color w:val="auto"/>
                <w:highlight w:val="none"/>
              </w:rPr>
              <w:t>经营范围</w:t>
            </w:r>
          </w:p>
        </w:tc>
        <w:tc>
          <w:tcPr>
            <w:tcW w:w="7609" w:type="dxa"/>
            <w:gridSpan w:val="9"/>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备注</w:t>
            </w:r>
          </w:p>
        </w:tc>
        <w:tc>
          <w:tcPr>
            <w:tcW w:w="7609" w:type="dxa"/>
            <w:gridSpan w:val="9"/>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bl>
    <w:p>
      <w:pPr>
        <w:pStyle w:val="18"/>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注：提供由工商部门核发的最新营业执照（正副本皆可）。</w:t>
      </w:r>
    </w:p>
    <w:p>
      <w:pPr>
        <w:pStyle w:val="18"/>
        <w:jc w:val="left"/>
        <w:rPr>
          <w:rFonts w:hint="eastAsia" w:ascii="仿宋" w:hAnsi="仿宋" w:eastAsia="仿宋" w:cs="仿宋"/>
          <w:b/>
          <w:color w:val="auto"/>
          <w:highlight w:val="none"/>
        </w:rPr>
      </w:pPr>
    </w:p>
    <w:p>
      <w:pPr>
        <w:pStyle w:val="18"/>
        <w:jc w:val="left"/>
        <w:rPr>
          <w:rFonts w:hint="eastAsia" w:ascii="仿宋" w:hAnsi="仿宋" w:eastAsia="仿宋" w:cs="仿宋"/>
          <w:b/>
          <w:color w:val="auto"/>
          <w:highlight w:val="none"/>
        </w:rPr>
      </w:pPr>
    </w:p>
    <w:p>
      <w:pPr>
        <w:pStyle w:val="18"/>
        <w:jc w:val="left"/>
        <w:rPr>
          <w:rFonts w:hint="eastAsia" w:ascii="仿宋" w:hAnsi="仿宋" w:eastAsia="仿宋" w:cs="仿宋"/>
          <w:b/>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r>
        <w:rPr>
          <w:rFonts w:hint="eastAsia" w:ascii="仿宋" w:hAnsi="仿宋" w:eastAsia="仿宋" w:cs="仿宋"/>
          <w:color w:val="auto"/>
          <w:sz w:val="24"/>
          <w:szCs w:val="24"/>
          <w:highlight w:val="none"/>
        </w:rPr>
        <w:t>2、财务审计报告或银行资信证明</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提供</w:t>
      </w:r>
      <w:r>
        <w:rPr>
          <w:rFonts w:hint="eastAsia" w:ascii="仿宋" w:hAnsi="仿宋" w:eastAsia="仿宋" w:cs="仿宋"/>
          <w:color w:val="auto"/>
          <w:highlight w:val="none"/>
          <w:lang w:val="en-US" w:eastAsia="zh-CN"/>
        </w:rPr>
        <w:t>2025年度</w:t>
      </w:r>
      <w:r>
        <w:rPr>
          <w:rFonts w:hint="eastAsia" w:ascii="仿宋" w:hAnsi="仿宋" w:eastAsia="仿宋" w:cs="仿宋"/>
          <w:color w:val="auto"/>
          <w:highlight w:val="none"/>
        </w:rPr>
        <w:t>经会计师事务所或审计机构审计的财务审计报告及财务报表（至少包含会计师事务所或审计机构签章页、资产负债表、现金流量表、损益表/利润表）或响应文件递交截止日前6个月内开具的银行资信证明。</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3、同类项目实施经验</w:t>
      </w:r>
      <w:r>
        <w:rPr>
          <w:rFonts w:hint="eastAsia" w:ascii="仿宋" w:hAnsi="仿宋" w:eastAsia="仿宋" w:cs="仿宋"/>
          <w:b w:val="0"/>
          <w:bCs w:val="0"/>
          <w:color w:val="auto"/>
          <w:sz w:val="24"/>
          <w:szCs w:val="24"/>
          <w:highlight w:val="none"/>
        </w:rPr>
        <w:t xml:space="preserve"> </w:t>
      </w:r>
    </w:p>
    <w:tbl>
      <w:tblPr>
        <w:tblStyle w:val="15"/>
        <w:tblW w:w="9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874"/>
        <w:gridCol w:w="1260"/>
        <w:gridCol w:w="1197"/>
        <w:gridCol w:w="1192"/>
        <w:gridCol w:w="1049"/>
        <w:gridCol w:w="1524"/>
        <w:gridCol w:w="1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合同名称</w:t>
            </w: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合同签订时间</w:t>
            </w: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采购内容</w:t>
            </w: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合同金额（万元）</w:t>
            </w: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w:t>
            </w: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合同甲方联系人及电话</w:t>
            </w: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bl>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备注：</w:t>
      </w:r>
    </w:p>
    <w:p>
      <w:pPr>
        <w:spacing w:line="360" w:lineRule="auto"/>
        <w:textAlignment w:val="baseline"/>
        <w:rPr>
          <w:rFonts w:hint="eastAsia" w:ascii="仿宋" w:hAnsi="仿宋" w:eastAsia="仿宋" w:cs="仿宋"/>
          <w:b/>
          <w:color w:val="auto"/>
          <w:highlight w:val="none"/>
        </w:rPr>
      </w:pPr>
      <w:r>
        <w:rPr>
          <w:rFonts w:hint="eastAsia" w:ascii="仿宋" w:hAnsi="仿宋" w:eastAsia="仿宋" w:cs="仿宋"/>
          <w:b/>
          <w:color w:val="auto"/>
          <w:highlight w:val="none"/>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hint="eastAsia" w:ascii="仿宋" w:hAnsi="仿宋" w:eastAsia="仿宋" w:cs="仿宋"/>
          <w:b/>
          <w:color w:val="auto"/>
          <w:highlight w:val="none"/>
        </w:rPr>
      </w:pPr>
      <w:r>
        <w:rPr>
          <w:rFonts w:hint="eastAsia" w:ascii="仿宋" w:hAnsi="仿宋" w:eastAsia="仿宋" w:cs="仿宋"/>
          <w:b/>
          <w:color w:val="auto"/>
          <w:highlight w:val="none"/>
        </w:rPr>
        <w:t>2）按照磋商公告的资格要求提供有效的实施经验证明材料，作为资格后审的评审依据。</w:t>
      </w:r>
    </w:p>
    <w:p>
      <w:pPr>
        <w:spacing w:line="360" w:lineRule="auto"/>
        <w:textAlignment w:val="baseline"/>
        <w:rPr>
          <w:rFonts w:hint="eastAsia" w:ascii="仿宋" w:hAnsi="仿宋" w:eastAsia="仿宋" w:cs="仿宋"/>
          <w:b/>
          <w:color w:val="auto"/>
          <w:highlight w:val="none"/>
        </w:rPr>
      </w:pPr>
      <w:r>
        <w:rPr>
          <w:rFonts w:hint="eastAsia" w:ascii="仿宋" w:hAnsi="仿宋" w:eastAsia="仿宋" w:cs="仿宋"/>
          <w:b/>
          <w:color w:val="auto"/>
          <w:highlight w:val="none"/>
        </w:rPr>
        <w:t>3）本业绩表及证明材料也作为详细评审中对供应商同类项目实施经验的评审及打分依据，供应商需根据详细评审标准的要求，提供符合要求的业绩证明材料。</w:t>
      </w:r>
    </w:p>
    <w:p>
      <w:pPr>
        <w:spacing w:line="360" w:lineRule="auto"/>
        <w:rPr>
          <w:rFonts w:hint="eastAsia" w:ascii="仿宋" w:hAnsi="仿宋" w:eastAsia="仿宋" w:cs="仿宋"/>
          <w:color w:val="auto"/>
          <w:highlight w:val="none"/>
        </w:rPr>
      </w:pPr>
    </w:p>
    <w:p>
      <w:pPr>
        <w:spacing w:line="360" w:lineRule="auto"/>
        <w:ind w:firstLine="420" w:firstLineChars="200"/>
        <w:rPr>
          <w:rFonts w:hint="eastAsia" w:ascii="仿宋" w:hAnsi="仿宋" w:eastAsia="仿宋" w:cs="仿宋"/>
          <w:bCs/>
          <w:color w:val="auto"/>
          <w:highlight w:val="none"/>
        </w:rPr>
      </w:pPr>
    </w:p>
    <w:p>
      <w:pPr>
        <w:pStyle w:val="25"/>
        <w:topLinePunct/>
        <w:adjustRightInd w:val="0"/>
        <w:snapToGrid w:val="0"/>
        <w:spacing w:line="360" w:lineRule="auto"/>
        <w:ind w:left="1575" w:firstLine="0" w:firstLineChars="0"/>
        <w:rPr>
          <w:rFonts w:hint="eastAsia" w:ascii="仿宋" w:hAnsi="仿宋" w:eastAsia="仿宋" w:cs="仿宋"/>
          <w:bCs/>
          <w:color w:val="auto"/>
          <w:highlight w:val="none"/>
        </w:rPr>
      </w:pPr>
    </w:p>
    <w:p>
      <w:pPr>
        <w:pStyle w:val="25"/>
        <w:topLinePunct/>
        <w:adjustRightInd w:val="0"/>
        <w:snapToGrid w:val="0"/>
        <w:spacing w:line="360" w:lineRule="auto"/>
        <w:ind w:left="1575" w:firstLine="0" w:firstLineChars="0"/>
        <w:rPr>
          <w:rFonts w:hint="eastAsia" w:ascii="仿宋" w:hAnsi="仿宋" w:eastAsia="仿宋" w:cs="仿宋"/>
          <w:bCs/>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r>
        <w:rPr>
          <w:rFonts w:hint="eastAsia" w:ascii="仿宋" w:hAnsi="仿宋" w:eastAsia="仿宋" w:cs="仿宋"/>
          <w:color w:val="auto"/>
          <w:sz w:val="24"/>
          <w:szCs w:val="24"/>
          <w:highlight w:val="none"/>
        </w:rPr>
        <w:t>4、税收和社保证明材料</w:t>
      </w:r>
    </w:p>
    <w:p>
      <w:pPr>
        <w:spacing w:line="360" w:lineRule="auto"/>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提供</w:t>
      </w:r>
      <w:r>
        <w:rPr>
          <w:rFonts w:hint="eastAsia" w:ascii="仿宋" w:hAnsi="仿宋" w:eastAsia="仿宋" w:cs="仿宋"/>
          <w:color w:val="auto"/>
          <w:highlight w:val="none"/>
          <w:lang w:eastAsia="zh-CN"/>
        </w:rPr>
        <w:t>近</w:t>
      </w:r>
      <w:r>
        <w:rPr>
          <w:rFonts w:hint="eastAsia" w:ascii="仿宋" w:hAnsi="仿宋" w:eastAsia="仿宋" w:cs="仿宋"/>
          <w:color w:val="auto"/>
          <w:highlight w:val="none"/>
        </w:rPr>
        <w:t>6个月任意一个月的企业税收和社会保障资金缴纳凭证。</w:t>
      </w:r>
    </w:p>
    <w:p>
      <w:pPr>
        <w:pStyle w:val="7"/>
        <w:rPr>
          <w:rFonts w:hint="eastAsia" w:ascii="仿宋" w:hAnsi="仿宋" w:eastAsia="仿宋" w:cs="仿宋"/>
          <w:color w:val="auto"/>
          <w:highlight w:val="none"/>
        </w:rPr>
      </w:pP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5、无违法违规记录查询截图</w:t>
      </w:r>
    </w:p>
    <w:p>
      <w:pPr>
        <w:snapToGrid w:val="0"/>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https://www.creditchina.gov.cn/zhuanxiangchaxun/zhengfucaigouyanzhongweifashixinmingdan/</w:t>
      </w:r>
    </w:p>
    <w:p>
      <w:pPr>
        <w:spacing w:line="360" w:lineRule="auto"/>
        <w:textAlignment w:val="baseline"/>
        <w:rPr>
          <w:rFonts w:hint="eastAsia" w:ascii="仿宋" w:hAnsi="仿宋" w:eastAsia="仿宋" w:cs="仿宋"/>
          <w:color w:val="auto"/>
          <w:highlight w:val="none"/>
        </w:rPr>
      </w:pPr>
      <w:r>
        <w:rPr>
          <w:rFonts w:hint="eastAsia" w:ascii="仿宋" w:hAnsi="仿宋" w:eastAsia="仿宋" w:cs="仿宋"/>
          <w:color w:val="auto"/>
          <w:highlight w:val="none"/>
        </w:rPr>
        <w:t>（1）失信被执行人查询截图范例：</w:t>
      </w:r>
    </w:p>
    <w:p>
      <w:pPr>
        <w:jc w:val="center"/>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5822315" cy="3012440"/>
            <wp:effectExtent l="0" t="0" r="6985"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5822315" cy="3012440"/>
                    </a:xfrm>
                    <a:prstGeom prst="rect">
                      <a:avLst/>
                    </a:prstGeom>
                  </pic:spPr>
                </pic:pic>
              </a:graphicData>
            </a:graphic>
          </wp:inline>
        </w:drawing>
      </w:r>
    </w:p>
    <w:p>
      <w:pPr>
        <w:rPr>
          <w:rFonts w:hint="eastAsia" w:ascii="仿宋" w:hAnsi="仿宋" w:eastAsia="仿宋" w:cs="仿宋"/>
          <w:color w:val="auto"/>
          <w:szCs w:val="21"/>
          <w:highlight w:val="none"/>
        </w:rPr>
      </w:pPr>
      <w:r>
        <w:rPr>
          <w:rFonts w:hint="eastAsia" w:ascii="仿宋" w:hAnsi="仿宋" w:eastAsia="仿宋" w:cs="仿宋"/>
          <w:color w:val="auto"/>
          <w:highlight w:val="none"/>
        </w:rPr>
        <w:t>（2）重大税收违法失信主体查询截图范例：</w:t>
      </w:r>
    </w:p>
    <w:p>
      <w:pPr>
        <w:jc w:val="center"/>
        <w:rPr>
          <w:rFonts w:hint="eastAsia" w:ascii="仿宋" w:hAnsi="仿宋" w:eastAsia="仿宋" w:cs="仿宋"/>
          <w:color w:val="auto"/>
          <w:highlight w:val="none"/>
        </w:rPr>
      </w:pPr>
      <w:r>
        <w:rPr>
          <w:rFonts w:hint="eastAsia" w:ascii="仿宋" w:hAnsi="仿宋" w:eastAsia="仿宋" w:cs="仿宋"/>
          <w:color w:val="auto"/>
          <w:szCs w:val="21"/>
          <w:highlight w:val="none"/>
        </w:rPr>
        <w:drawing>
          <wp:inline distT="0" distB="0" distL="114300" distR="114300">
            <wp:extent cx="5835015" cy="3030855"/>
            <wp:effectExtent l="0" t="0" r="13335" b="17145"/>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5835015" cy="3030855"/>
                    </a:xfrm>
                    <a:prstGeom prst="rect">
                      <a:avLst/>
                    </a:prstGeom>
                  </pic:spPr>
                </pic:pic>
              </a:graphicData>
            </a:graphic>
          </wp:inline>
        </w:drawing>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ind w:firstLine="210" w:firstLineChars="100"/>
        <w:rPr>
          <w:rFonts w:hint="eastAsia" w:ascii="仿宋" w:hAnsi="仿宋" w:eastAsia="仿宋" w:cs="仿宋"/>
          <w:color w:val="auto"/>
          <w:highlight w:val="none"/>
        </w:rPr>
      </w:pPr>
      <w:r>
        <w:rPr>
          <w:rFonts w:hint="eastAsia" w:ascii="仿宋" w:hAnsi="仿宋" w:eastAsia="仿宋" w:cs="仿宋"/>
          <w:color w:val="auto"/>
          <w:highlight w:val="none"/>
        </w:rPr>
        <w:t>（3）政府采购严重违法失信行为记录名单查询截图范例：</w:t>
      </w:r>
    </w:p>
    <w:p>
      <w:pPr>
        <w:jc w:val="center"/>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5594985" cy="2898775"/>
            <wp:effectExtent l="0" t="0" r="5715" b="1587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5594985" cy="2898775"/>
                    </a:xfrm>
                    <a:prstGeom prst="rect">
                      <a:avLst/>
                    </a:prstGeom>
                  </pic:spPr>
                </pic:pic>
              </a:graphicData>
            </a:graphic>
          </wp:inline>
        </w:drawing>
      </w: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6、未列入供应商黑名单且未在禁入期承诺函</w:t>
      </w:r>
    </w:p>
    <w:p>
      <w:pPr>
        <w:pStyle w:val="7"/>
        <w:spacing w:before="240"/>
        <w:jc w:val="both"/>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rPr>
        <w:t>（采购人名称）</w:t>
      </w:r>
      <w:r>
        <w:rPr>
          <w:rFonts w:hint="eastAsia" w:ascii="仿宋" w:hAnsi="仿宋" w:eastAsia="仿宋" w:cs="仿宋"/>
          <w:color w:val="auto"/>
          <w:highlight w:val="none"/>
        </w:rPr>
        <w:t>：</w:t>
      </w:r>
    </w:p>
    <w:p>
      <w:pPr>
        <w:adjustRightInd w:val="0"/>
        <w:snapToGrid w:val="0"/>
        <w:spacing w:before="240"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承诺截至本项目响应文件递交截止时间，我方未被列入采购人及其所隶属的中国人民保险各级机构的供应商黑名单且未在禁入期内。</w:t>
      </w:r>
    </w:p>
    <w:p>
      <w:pPr>
        <w:pStyle w:val="7"/>
        <w:ind w:firstLine="420" w:firstLineChars="200"/>
        <w:jc w:val="both"/>
        <w:rPr>
          <w:rFonts w:hint="eastAsia" w:ascii="仿宋" w:hAnsi="仿宋" w:eastAsia="仿宋" w:cs="仿宋"/>
          <w:color w:val="auto"/>
          <w:highlight w:val="none"/>
        </w:rPr>
      </w:pPr>
    </w:p>
    <w:p>
      <w:pPr>
        <w:pStyle w:val="7"/>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特此承诺。</w:t>
      </w:r>
    </w:p>
    <w:p>
      <w:pPr>
        <w:pStyle w:val="28"/>
        <w:ind w:firstLine="640"/>
        <w:rPr>
          <w:rFonts w:hint="eastAsia" w:ascii="仿宋" w:hAnsi="仿宋" w:eastAsia="仿宋" w:cs="仿宋"/>
          <w:color w:val="auto"/>
          <w:highlight w:val="none"/>
        </w:rPr>
      </w:pPr>
    </w:p>
    <w:p>
      <w:pPr>
        <w:pStyle w:val="28"/>
        <w:ind w:firstLine="640"/>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center"/>
        <w:rPr>
          <w:rFonts w:hint="eastAsia" w:ascii="仿宋" w:hAnsi="仿宋" w:eastAsia="仿宋" w:cs="仿宋"/>
          <w:b/>
          <w:bCs/>
          <w:color w:val="auto"/>
          <w:highlight w:val="non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19"/>
        <w:spacing w:line="360" w:lineRule="auto"/>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p>
    <w:p>
      <w:pPr>
        <w:pStyle w:val="5"/>
        <w:spacing w:before="0" w:after="0" w:line="360" w:lineRule="auto"/>
        <w:rPr>
          <w:rFonts w:hint="eastAsia" w:ascii="仿宋" w:hAnsi="仿宋" w:eastAsia="仿宋" w:cs="仿宋"/>
          <w:color w:val="auto"/>
          <w:sz w:val="24"/>
          <w:szCs w:val="24"/>
          <w:highlight w:val="none"/>
        </w:rPr>
      </w:pPr>
      <w:bookmarkStart w:id="171" w:name="_Hlk69983040"/>
      <w:r>
        <w:rPr>
          <w:rFonts w:hint="eastAsia" w:ascii="仿宋" w:hAnsi="仿宋" w:eastAsia="仿宋" w:cs="仿宋"/>
          <w:color w:val="auto"/>
          <w:sz w:val="24"/>
          <w:szCs w:val="24"/>
          <w:highlight w:val="none"/>
        </w:rPr>
        <w:t>7、供应商控股及管理关系情况申报表</w:t>
      </w:r>
    </w:p>
    <w:p>
      <w:pPr>
        <w:pStyle w:val="25"/>
        <w:spacing w:before="240" w:after="240" w:line="360" w:lineRule="auto"/>
        <w:ind w:firstLine="0" w:firstLineChars="0"/>
        <w:jc w:val="center"/>
        <w:rPr>
          <w:rFonts w:hint="eastAsia" w:ascii="仿宋" w:hAnsi="仿宋" w:eastAsia="仿宋" w:cs="仿宋"/>
          <w:b/>
          <w:color w:val="auto"/>
          <w:highlight w:val="none"/>
        </w:rPr>
      </w:pPr>
      <w:r>
        <w:rPr>
          <w:rFonts w:hint="eastAsia" w:ascii="仿宋" w:hAnsi="仿宋" w:eastAsia="仿宋" w:cs="仿宋"/>
          <w:b/>
          <w:color w:val="auto"/>
          <w:highlight w:val="none"/>
        </w:rPr>
        <w:t>供应商控股及管理关系情况申报表</w:t>
      </w:r>
    </w:p>
    <w:p>
      <w:pPr>
        <w:adjustRightInd w:val="0"/>
        <w:snapToGrid w:val="0"/>
        <w:spacing w:line="360" w:lineRule="auto"/>
        <w:ind w:left="0" w:leftChars="0" w:firstLine="77" w:firstLineChars="37"/>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rPr>
        <w:t xml:space="preserve">  （采购人名称）  </w:t>
      </w:r>
      <w:r>
        <w:rPr>
          <w:rFonts w:hint="eastAsia" w:ascii="仿宋" w:hAnsi="仿宋" w:eastAsia="仿宋" w:cs="仿宋"/>
          <w:color w:val="auto"/>
          <w:highlight w:val="none"/>
        </w:rPr>
        <w:t>：</w:t>
      </w:r>
    </w:p>
    <w:p>
      <w:pPr>
        <w:adjustRightInd w:val="0"/>
        <w:snapToGrid w:val="0"/>
        <w:spacing w:line="360" w:lineRule="auto"/>
        <w:ind w:left="0" w:leftChars="0" w:firstLine="495" w:firstLineChars="236"/>
        <w:rPr>
          <w:rFonts w:hint="eastAsia" w:ascii="仿宋" w:hAnsi="仿宋" w:eastAsia="仿宋" w:cs="仿宋"/>
          <w:color w:val="auto"/>
          <w:highlight w:val="none"/>
        </w:rPr>
      </w:pPr>
      <w:r>
        <w:rPr>
          <w:rFonts w:hint="eastAsia" w:ascii="仿宋" w:hAnsi="仿宋" w:eastAsia="仿宋" w:cs="仿宋"/>
          <w:color w:val="auto"/>
          <w:highlight w:val="none"/>
        </w:rPr>
        <w:t>我方参加</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项目名称）的磋商，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15"/>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0"/>
        <w:gridCol w:w="2851"/>
        <w:gridCol w:w="4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000"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申报人名称</w:t>
            </w:r>
          </w:p>
        </w:tc>
        <w:tc>
          <w:tcPr>
            <w:tcW w:w="7239" w:type="dxa"/>
            <w:gridSpan w:val="2"/>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2000" w:type="dxa"/>
            <w:vMerge w:val="restart"/>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法定代表人/单位负责人</w:t>
            </w: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姓    名</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2000" w:type="dxa"/>
            <w:vMerge w:val="continue"/>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身份证号</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0"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单位负责人为同一人单位名称</w:t>
            </w:r>
          </w:p>
        </w:tc>
        <w:tc>
          <w:tcPr>
            <w:tcW w:w="7239" w:type="dxa"/>
            <w:gridSpan w:val="2"/>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0" w:type="dxa"/>
            <w:vMerge w:val="restart"/>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控股关系</w:t>
            </w: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控股股东/投资人名称及出资比例</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0" w:type="dxa"/>
            <w:vMerge w:val="continue"/>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被控股/被投资单位名称及出资比例</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2000" w:type="dxa"/>
            <w:vMerge w:val="restart"/>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管理关系</w:t>
            </w: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管理关系单位名称</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000" w:type="dxa"/>
            <w:vMerge w:val="continue"/>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被管理关系单位名称</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9239" w:type="dxa"/>
            <w:gridSpan w:val="3"/>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备注：</w:t>
            </w:r>
          </w:p>
        </w:tc>
      </w:tr>
    </w:tbl>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注：</w:t>
      </w:r>
    </w:p>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1.控股股东/投资人是指出资比例在50%以上，或者出资比例不足50%，但享有公司股东会/董事会控制权的投资方（含单位或者个人）</w:t>
      </w:r>
    </w:p>
    <w:p>
      <w:pPr>
        <w:adjustRightInd w:val="0"/>
        <w:snapToGrid w:val="0"/>
        <w:spacing w:line="360" w:lineRule="auto"/>
        <w:ind w:left="10" w:leftChars="5"/>
        <w:rPr>
          <w:rFonts w:hint="eastAsia" w:ascii="仿宋" w:hAnsi="仿宋" w:eastAsia="仿宋" w:cs="仿宋"/>
          <w:color w:val="auto"/>
          <w:highlight w:val="none"/>
        </w:rPr>
      </w:pPr>
      <w:r>
        <w:rPr>
          <w:rFonts w:hint="eastAsia" w:ascii="仿宋" w:hAnsi="仿宋" w:eastAsia="仿宋" w:cs="仿宋"/>
          <w:color w:val="auto"/>
          <w:highlight w:val="none"/>
        </w:rPr>
        <w:t xml:space="preserve">2.管理关系单位是指与不具有出资持股关系的其他单位之间存在管理与被管理关系的单位； </w:t>
      </w:r>
    </w:p>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3.如未有相关情况，请在相应栏填写“无”。</w:t>
      </w: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8、非联合体磋商响应声明</w:t>
      </w:r>
    </w:p>
    <w:bookmarkEnd w:id="170"/>
    <w:bookmarkEnd w:id="171"/>
    <w:p>
      <w:pPr>
        <w:pStyle w:val="7"/>
        <w:spacing w:before="240"/>
        <w:rPr>
          <w:rFonts w:hint="eastAsia" w:ascii="仿宋" w:hAnsi="仿宋" w:eastAsia="仿宋" w:cs="仿宋"/>
          <w:b/>
          <w:bCs/>
          <w:color w:val="auto"/>
          <w:highlight w:val="none"/>
        </w:rPr>
      </w:pPr>
      <w:bookmarkStart w:id="172" w:name="_Toc71192048"/>
      <w:r>
        <w:rPr>
          <w:rFonts w:hint="eastAsia" w:ascii="仿宋" w:hAnsi="仿宋" w:eastAsia="仿宋" w:cs="仿宋"/>
          <w:b/>
          <w:bCs/>
          <w:color w:val="auto"/>
          <w:highlight w:val="none"/>
        </w:rPr>
        <w:t>非联合体磋商响应声明</w:t>
      </w:r>
    </w:p>
    <w:p>
      <w:pPr>
        <w:adjustRightInd w:val="0"/>
        <w:snapToGrid w:val="0"/>
        <w:spacing w:before="240" w:line="360" w:lineRule="auto"/>
        <w:rPr>
          <w:rFonts w:hint="eastAsia" w:ascii="仿宋" w:hAnsi="仿宋" w:eastAsia="仿宋" w:cs="仿宋"/>
          <w:color w:val="auto"/>
          <w:highlight w:val="none"/>
        </w:rPr>
      </w:pPr>
      <w:r>
        <w:rPr>
          <w:rFonts w:hint="eastAsia" w:ascii="仿宋" w:hAnsi="仿宋" w:eastAsia="仿宋" w:cs="仿宋"/>
          <w:color w:val="auto"/>
          <w:highlight w:val="none"/>
        </w:rPr>
        <w:t>致：（采购人）：</w:t>
      </w:r>
    </w:p>
    <w:p>
      <w:pPr>
        <w:adjustRightInd w:val="0"/>
        <w:snapToGrid w:val="0"/>
        <w:spacing w:before="240"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独立参与</w:t>
      </w:r>
      <w:r>
        <w:rPr>
          <w:rFonts w:hint="eastAsia" w:ascii="仿宋" w:hAnsi="仿宋" w:eastAsia="仿宋" w:cs="仿宋"/>
          <w:color w:val="auto"/>
          <w:highlight w:val="none"/>
          <w:u w:val="single"/>
        </w:rPr>
        <w:t xml:space="preserve">    （项目名称）  </w:t>
      </w:r>
      <w:r>
        <w:rPr>
          <w:rFonts w:hint="eastAsia" w:ascii="仿宋" w:hAnsi="仿宋" w:eastAsia="仿宋" w:cs="仿宋"/>
          <w:color w:val="auto"/>
          <w:highlight w:val="none"/>
        </w:rPr>
        <w:t xml:space="preserve">磋商响应，非联合体参与磋商响应。 </w:t>
      </w:r>
    </w:p>
    <w:p>
      <w:pPr>
        <w:pStyle w:val="7"/>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特此声明。</w:t>
      </w:r>
    </w:p>
    <w:p>
      <w:pPr>
        <w:pStyle w:val="28"/>
        <w:ind w:firstLine="640"/>
        <w:rPr>
          <w:rFonts w:hint="eastAsia" w:ascii="仿宋" w:hAnsi="仿宋" w:eastAsia="仿宋" w:cs="仿宋"/>
          <w:color w:val="auto"/>
          <w:highlight w:val="none"/>
        </w:rPr>
      </w:pPr>
    </w:p>
    <w:p>
      <w:pPr>
        <w:pStyle w:val="28"/>
        <w:ind w:firstLine="640"/>
        <w:rPr>
          <w:rFonts w:hint="eastAsia" w:ascii="仿宋" w:hAnsi="仿宋" w:eastAsia="仿宋" w:cs="仿宋"/>
          <w:color w:val="auto"/>
          <w:highlight w:val="none"/>
        </w:rPr>
      </w:pPr>
    </w:p>
    <w:p>
      <w:pPr>
        <w:pStyle w:val="28"/>
        <w:ind w:firstLine="640"/>
        <w:rPr>
          <w:rFonts w:hint="eastAsia" w:ascii="仿宋" w:hAnsi="仿宋" w:eastAsia="仿宋" w:cs="仿宋"/>
          <w:color w:val="auto"/>
          <w:highlight w:val="none"/>
        </w:rPr>
      </w:pPr>
    </w:p>
    <w:p>
      <w:pPr>
        <w:pStyle w:val="28"/>
        <w:ind w:firstLine="640"/>
        <w:rPr>
          <w:rFonts w:hint="eastAsia" w:ascii="仿宋" w:hAnsi="仿宋" w:eastAsia="仿宋" w:cs="仿宋"/>
          <w:color w:val="auto"/>
          <w:highlight w:val="none"/>
        </w:rPr>
      </w:pPr>
    </w:p>
    <w:p>
      <w:pPr>
        <w:pStyle w:val="28"/>
        <w:ind w:firstLine="640"/>
        <w:rPr>
          <w:rFonts w:hint="eastAsia" w:ascii="仿宋" w:hAnsi="仿宋" w:eastAsia="仿宋" w:cs="仿宋"/>
          <w:color w:val="auto"/>
          <w:highlight w:val="none"/>
        </w:rPr>
      </w:pPr>
    </w:p>
    <w:p>
      <w:pPr>
        <w:pStyle w:val="28"/>
        <w:ind w:firstLine="640"/>
        <w:rPr>
          <w:rFonts w:hint="eastAsia" w:ascii="仿宋" w:hAnsi="仿宋" w:eastAsia="仿宋" w:cs="仿宋"/>
          <w:color w:val="auto"/>
          <w:highlight w:val="none"/>
        </w:rPr>
      </w:pPr>
    </w:p>
    <w:p>
      <w:pPr>
        <w:pStyle w:val="28"/>
        <w:ind w:firstLine="640"/>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rPr>
          <w:rFonts w:hint="eastAsia" w:ascii="仿宋" w:hAnsi="仿宋" w:eastAsia="仿宋" w:cs="仿宋"/>
          <w:color w:val="auto"/>
          <w:sz w:val="24"/>
          <w:szCs w:val="24"/>
          <w:highlight w:val="none"/>
        </w:rPr>
      </w:pPr>
      <w:bookmarkStart w:id="173" w:name="_Toc112068411"/>
      <w:bookmarkStart w:id="174" w:name="_Toc65683009"/>
      <w:bookmarkStart w:id="175" w:name="_Toc144139212"/>
      <w:bookmarkStart w:id="176" w:name="_Toc15130"/>
      <w:bookmarkStart w:id="177" w:name="_Toc18208"/>
      <w:r>
        <w:rPr>
          <w:rFonts w:hint="eastAsia" w:ascii="仿宋" w:hAnsi="仿宋" w:eastAsia="仿宋" w:cs="仿宋"/>
          <w:color w:val="auto"/>
          <w:sz w:val="24"/>
          <w:szCs w:val="24"/>
          <w:highlight w:val="none"/>
        </w:rPr>
        <w:br w:type="page"/>
      </w:r>
    </w:p>
    <w:p>
      <w:pPr>
        <w:pStyle w:val="4"/>
        <w:spacing w:before="0" w:after="0" w:line="360" w:lineRule="auto"/>
        <w:rPr>
          <w:rFonts w:hint="eastAsia" w:ascii="仿宋" w:hAnsi="仿宋" w:eastAsia="仿宋" w:cs="仿宋"/>
          <w:color w:val="auto"/>
          <w:szCs w:val="24"/>
          <w:highlight w:val="none"/>
        </w:rPr>
      </w:pPr>
      <w:bookmarkStart w:id="178" w:name="_Toc5904"/>
      <w:r>
        <w:rPr>
          <w:rFonts w:hint="eastAsia" w:ascii="仿宋" w:hAnsi="仿宋" w:eastAsia="仿宋" w:cs="仿宋"/>
          <w:color w:val="auto"/>
          <w:sz w:val="24"/>
          <w:szCs w:val="24"/>
          <w:highlight w:val="none"/>
        </w:rPr>
        <w:t>（五）供应商须知应答偏离表</w:t>
      </w:r>
      <w:bookmarkEnd w:id="173"/>
      <w:bookmarkEnd w:id="174"/>
      <w:bookmarkEnd w:id="175"/>
      <w:bookmarkEnd w:id="176"/>
      <w:bookmarkEnd w:id="177"/>
      <w:bookmarkEnd w:id="178"/>
    </w:p>
    <w:p>
      <w:pPr>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供应商须知应答偏离表</w:t>
      </w:r>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15"/>
        <w:tblW w:w="9358"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2171"/>
        <w:gridCol w:w="2371"/>
        <w:gridCol w:w="2570"/>
        <w:gridCol w:w="133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171"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条目号</w:t>
            </w:r>
          </w:p>
        </w:tc>
        <w:tc>
          <w:tcPr>
            <w:tcW w:w="2371"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原文内容</w:t>
            </w:r>
          </w:p>
        </w:tc>
        <w:tc>
          <w:tcPr>
            <w:tcW w:w="2570"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应答</w:t>
            </w:r>
          </w:p>
        </w:tc>
        <w:tc>
          <w:tcPr>
            <w:tcW w:w="1338"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bl>
    <w:p>
      <w:pPr>
        <w:spacing w:line="360" w:lineRule="auto"/>
        <w:ind w:left="480" w:hanging="420" w:hangingChars="200"/>
        <w:rPr>
          <w:rFonts w:hint="eastAsia" w:ascii="仿宋" w:hAnsi="仿宋" w:eastAsia="仿宋" w:cs="仿宋"/>
          <w:b/>
          <w:bCs/>
          <w:color w:val="auto"/>
          <w:highlight w:val="none"/>
        </w:rPr>
      </w:pPr>
      <w:r>
        <w:rPr>
          <w:rFonts w:hint="eastAsia" w:ascii="仿宋" w:hAnsi="仿宋" w:eastAsia="仿宋" w:cs="仿宋"/>
          <w:color w:val="auto"/>
          <w:highlight w:val="none"/>
        </w:rPr>
        <w:t>注：所有偏离须在本表中列出，未在本偏离表中列出偏离，将视为供应商已完全接受磋商文件要求</w:t>
      </w:r>
      <w:r>
        <w:rPr>
          <w:rFonts w:hint="eastAsia" w:ascii="仿宋" w:hAnsi="仿宋" w:eastAsia="仿宋" w:cs="仿宋"/>
          <w:b/>
          <w:bCs/>
          <w:color w:val="auto"/>
          <w:highlight w:val="none"/>
        </w:rPr>
        <w:t>。如全部满足，在偏离表中应答“全部满足”即可。</w:t>
      </w: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color w:val="auto"/>
          <w:highlight w:val="none"/>
        </w:rPr>
        <w:sectPr>
          <w:pgSz w:w="11906" w:h="16838"/>
          <w:pgMar w:top="1417" w:right="1417" w:bottom="1417" w:left="1417" w:header="850" w:footer="992" w:gutter="0"/>
          <w:pgNumType w:fmt="decimal"/>
          <w:cols w:space="0" w:num="1"/>
          <w:rtlGutter w:val="0"/>
          <w:docGrid w:type="lines" w:linePitch="333" w:charSpace="0"/>
        </w:sect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4"/>
        <w:spacing w:before="0" w:after="0" w:line="360" w:lineRule="auto"/>
        <w:rPr>
          <w:rFonts w:hint="eastAsia" w:ascii="仿宋" w:hAnsi="仿宋" w:eastAsia="仿宋" w:cs="仿宋"/>
          <w:color w:val="auto"/>
          <w:sz w:val="24"/>
          <w:szCs w:val="24"/>
          <w:highlight w:val="none"/>
        </w:rPr>
      </w:pPr>
      <w:bookmarkStart w:id="179" w:name="_Toc8983"/>
      <w:r>
        <w:rPr>
          <w:rFonts w:hint="eastAsia" w:ascii="仿宋" w:hAnsi="仿宋" w:eastAsia="仿宋" w:cs="仿宋"/>
          <w:color w:val="auto"/>
          <w:sz w:val="24"/>
          <w:szCs w:val="24"/>
          <w:highlight w:val="none"/>
        </w:rPr>
        <w:t>（六）合同条款应答偏离表</w:t>
      </w:r>
      <w:bookmarkEnd w:id="179"/>
    </w:p>
    <w:p>
      <w:pPr>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合同条款应答偏离表</w:t>
      </w:r>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15"/>
        <w:tblW w:w="953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2213"/>
        <w:gridCol w:w="2416"/>
        <w:gridCol w:w="2619"/>
        <w:gridCol w:w="136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26"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213"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条目号</w:t>
            </w:r>
          </w:p>
        </w:tc>
        <w:tc>
          <w:tcPr>
            <w:tcW w:w="2416"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原文内容</w:t>
            </w:r>
          </w:p>
        </w:tc>
        <w:tc>
          <w:tcPr>
            <w:tcW w:w="2619"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应答</w:t>
            </w:r>
          </w:p>
        </w:tc>
        <w:tc>
          <w:tcPr>
            <w:tcW w:w="1363"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bl>
    <w:p>
      <w:pPr>
        <w:spacing w:before="240" w:line="360" w:lineRule="auto"/>
        <w:ind w:left="480" w:hanging="420" w:hangingChars="200"/>
        <w:rPr>
          <w:rFonts w:hint="eastAsia" w:ascii="仿宋" w:hAnsi="仿宋" w:eastAsia="仿宋" w:cs="仿宋"/>
          <w:color w:val="auto"/>
          <w:highlight w:val="none"/>
        </w:rPr>
      </w:pPr>
      <w:r>
        <w:rPr>
          <w:rFonts w:hint="eastAsia" w:ascii="仿宋" w:hAnsi="仿宋" w:eastAsia="仿宋" w:cs="仿宋"/>
          <w:color w:val="auto"/>
          <w:highlight w:val="none"/>
        </w:rPr>
        <w:t>注：所有偏离必须在本表中列出，未在本偏离表中列出偏离，将视为供应商已完全接受竞争性磋商文件要求；</w:t>
      </w:r>
      <w:r>
        <w:rPr>
          <w:rFonts w:hint="eastAsia" w:ascii="仿宋" w:hAnsi="仿宋" w:eastAsia="仿宋" w:cs="仿宋"/>
          <w:b/>
          <w:bCs/>
          <w:color w:val="auto"/>
          <w:highlight w:val="none"/>
        </w:rPr>
        <w:t>如全部满足，在偏离表中应答“全部满足”即可</w:t>
      </w:r>
      <w:r>
        <w:rPr>
          <w:rFonts w:hint="eastAsia" w:ascii="仿宋" w:hAnsi="仿宋" w:eastAsia="仿宋" w:cs="仿宋"/>
          <w:color w:val="auto"/>
          <w:highlight w:val="none"/>
        </w:rPr>
        <w:t>。</w:t>
      </w:r>
    </w:p>
    <w:p>
      <w:pPr>
        <w:spacing w:line="600" w:lineRule="exact"/>
        <w:rPr>
          <w:rFonts w:hint="eastAsia" w:ascii="仿宋" w:hAnsi="仿宋" w:eastAsia="仿宋" w:cs="仿宋"/>
          <w:color w:val="auto"/>
          <w:szCs w:val="21"/>
          <w:highlight w:val="none"/>
        </w:rPr>
      </w:pPr>
    </w:p>
    <w:p>
      <w:pPr>
        <w:spacing w:line="360" w:lineRule="auto"/>
        <w:ind w:firstLine="420"/>
        <w:jc w:val="right"/>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hint="eastAsia" w:ascii="仿宋" w:hAnsi="仿宋" w:eastAsia="仿宋" w:cs="仿宋"/>
          <w:color w:val="auto"/>
          <w:highlight w:val="none"/>
          <w:u w:val="single"/>
        </w:rPr>
      </w:pPr>
    </w:p>
    <w:p>
      <w:pPr>
        <w:pStyle w:val="4"/>
        <w:spacing w:before="0" w:after="0" w:line="360" w:lineRule="auto"/>
        <w:rPr>
          <w:rFonts w:hint="eastAsia" w:ascii="仿宋" w:hAnsi="仿宋" w:eastAsia="仿宋" w:cs="仿宋"/>
          <w:color w:val="auto"/>
          <w:sz w:val="24"/>
          <w:highlight w:val="none"/>
        </w:rPr>
        <w:sectPr>
          <w:pgSz w:w="11906" w:h="16838"/>
          <w:pgMar w:top="1417" w:right="1417" w:bottom="1417" w:left="1417" w:header="850" w:footer="992" w:gutter="0"/>
          <w:pgNumType w:fmt="decimal"/>
          <w:cols w:space="0" w:num="1"/>
          <w:rtlGutter w:val="0"/>
          <w:docGrid w:type="lines" w:linePitch="333" w:charSpace="0"/>
        </w:sectPr>
      </w:pPr>
    </w:p>
    <w:p>
      <w:pPr>
        <w:pStyle w:val="4"/>
        <w:spacing w:before="0" w:after="0" w:line="360" w:lineRule="auto"/>
        <w:rPr>
          <w:rFonts w:hint="eastAsia" w:ascii="仿宋" w:hAnsi="仿宋" w:eastAsia="仿宋" w:cs="仿宋"/>
          <w:color w:val="auto"/>
          <w:sz w:val="24"/>
          <w:szCs w:val="24"/>
          <w:highlight w:val="none"/>
        </w:rPr>
      </w:pPr>
      <w:bookmarkStart w:id="180" w:name="_Toc9321"/>
      <w:bookmarkStart w:id="181" w:name="_Toc17890"/>
      <w:r>
        <w:rPr>
          <w:rFonts w:hint="eastAsia" w:ascii="仿宋" w:hAnsi="仿宋" w:eastAsia="仿宋" w:cs="仿宋"/>
          <w:color w:val="auto"/>
          <w:sz w:val="24"/>
          <w:szCs w:val="24"/>
          <w:highlight w:val="none"/>
        </w:rPr>
        <w:t>（七）供应商行为准则承诺书</w:t>
      </w:r>
      <w:bookmarkEnd w:id="180"/>
      <w:bookmarkEnd w:id="181"/>
    </w:p>
    <w:p>
      <w:pPr>
        <w:jc w:val="center"/>
        <w:rPr>
          <w:rFonts w:hint="eastAsia" w:ascii="仿宋" w:hAnsi="仿宋" w:eastAsia="仿宋" w:cs="仿宋"/>
          <w:b/>
          <w:bCs/>
          <w:color w:val="auto"/>
          <w:sz w:val="28"/>
          <w:szCs w:val="28"/>
          <w:highlight w:val="none"/>
        </w:rPr>
      </w:pPr>
      <w:bookmarkStart w:id="182" w:name="_Toc15599"/>
      <w:r>
        <w:rPr>
          <w:rFonts w:hint="eastAsia" w:ascii="仿宋" w:hAnsi="仿宋" w:eastAsia="仿宋" w:cs="仿宋"/>
          <w:b/>
          <w:bCs/>
          <w:color w:val="auto"/>
          <w:sz w:val="28"/>
          <w:szCs w:val="28"/>
          <w:highlight w:val="none"/>
        </w:rPr>
        <w:t>供应商行为准则承诺书</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八、供应商承诺遵守中国人民保险有关采购管理和供应商管理的相关规定、履行相应义务。</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九、供应商参与中国人民保险采购过程中，将认真阅读并理解邀请文件的内容，并保证严格保密文件内容，不泄露中国人民保险任何信息。</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十三、采购过程中涉及函件往来的，使用供应商以下地址及联系方式：</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法定代表人（负责人）姓名、职务：__________________</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邮编：__________地址：__________________</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电话：__________传真：__________________</w:t>
      </w:r>
    </w:p>
    <w:p>
      <w:pPr>
        <w:pStyle w:val="29"/>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法定代表人（负责人）或授权代表签字：______________</w:t>
      </w:r>
    </w:p>
    <w:p>
      <w:pPr>
        <w:pStyle w:val="4"/>
        <w:spacing w:before="0" w:after="0" w:line="360" w:lineRule="auto"/>
        <w:rPr>
          <w:rFonts w:hint="eastAsia" w:ascii="仿宋" w:hAnsi="仿宋" w:eastAsia="仿宋" w:cs="仿宋"/>
          <w:color w:val="auto"/>
          <w:szCs w:val="24"/>
          <w:highlight w:val="none"/>
        </w:rPr>
      </w:pPr>
      <w:r>
        <w:rPr>
          <w:rFonts w:hint="eastAsia" w:ascii="仿宋" w:hAnsi="仿宋" w:eastAsia="仿宋" w:cs="仿宋"/>
          <w:color w:val="auto"/>
          <w:highlight w:val="none"/>
        </w:rPr>
        <w:br w:type="page"/>
      </w:r>
      <w:bookmarkStart w:id="183" w:name="_Toc8068"/>
      <w:bookmarkStart w:id="184" w:name="_Toc31860"/>
      <w:r>
        <w:rPr>
          <w:rFonts w:hint="eastAsia" w:ascii="仿宋" w:hAnsi="仿宋" w:eastAsia="仿宋" w:cs="仿宋"/>
          <w:bCs w:val="0"/>
          <w:color w:val="auto"/>
          <w:sz w:val="24"/>
          <w:szCs w:val="24"/>
          <w:highlight w:val="none"/>
        </w:rPr>
        <w:t>（八）供应商廉洁诚信承诺书</w:t>
      </w:r>
      <w:bookmarkEnd w:id="182"/>
      <w:bookmarkEnd w:id="183"/>
      <w:bookmarkEnd w:id="184"/>
    </w:p>
    <w:p>
      <w:pPr>
        <w:spacing w:line="60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供应商廉洁诚信承诺书</w:t>
      </w:r>
    </w:p>
    <w:p>
      <w:pPr>
        <w:spacing w:line="360" w:lineRule="auto"/>
        <w:ind w:firstLine="420" w:firstLineChars="200"/>
        <w:rPr>
          <w:rFonts w:hint="eastAsia" w:ascii="仿宋" w:hAnsi="仿宋" w:eastAsia="仿宋" w:cs="仿宋"/>
          <w:color w:val="auto"/>
          <w:highlight w:val="none"/>
        </w:rPr>
      </w:pP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三、廉洁自律承诺。我们坚决不以任何形式为获取或意图获取交易机会、竞争优势或谋取不正当利益而向中国人民保险或相关主体实施商业贿赂或营私舞弊行为，包括但不限于：</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（1）以任何方式实施商业贿赂或违规提供金钱、实物、回扣、折扣、宴请与游玩活动或其他不正当利益；</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（2）为其安排有可能影响公平、公正交易的宴请、健身、娱乐等活动；</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（3）为其投资入股、个人借款或买卖股票、债券等提供方便；</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（4）为其购买或装修住房、婚丧嫁娶、配偶子女上学或工作安排以及出国出境、旅游等提供方便；</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（5）违反规定为其在我方相关企业工作、挂名兼职、合伙经营、介绍承揽业务等提供方便；</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（6）向其提供借款、融资、担保等；</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（7）给予或承诺给予其不正当利益的其他行为；</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（8）其他违反国家法律法规或商业道德准则的影响公正交易的行为。</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我们也不会以任何方式向中国人民保险或相关主体索要金钱、实物等不正当利益，或收受中国人保或相关主体给予的金钱、实物等不正当利益。</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四、诚实信用承诺。我们坚决不进行任何违背诚实信用原则的行为，包括但不限于：</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出借、转让资质证书；</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伙同他人串标、围标或非法排挤竞争对手；</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在采购活动中提供虚假资料，以他人名义参与或者以其他方式弄虚作假，夸大自身技术和提供服务的能力，损害贵方合法权益；</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（4）隐瞒任何可能对贵方利益造成影响的信息，不配合贵方的审计。</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六、加强内部管理承诺。为了实现以上承诺要求，我们将积极配合采取以下措施，不断加强自身内部管理：</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（1）廉洁教育培训：加强对员工的廉洁教育和培训，提高员工的道德素质和法律意识，建立健全内部管理制度，确保员工行为的合规性和廉洁性；</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（2）设立监督机制：通过专门的监督机构或人员，对我方的业务活动进行实时监督，确保员工行为的合规性；</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（3）建立举报制度：鼓励员工积极举报违规行为，对举报人予以保护并给予奖励。</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八、如违反上述承诺，我方自愿承担以下法律责任：</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（1）如我方及我方工作人员违反本承诺书承诺，中国人民保险有权依据其采购管理、供应商管理和采购文件相关要求，对我方进行严肃处理，相关处罚结果记入供应商诚信档案；</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（2）如我方及我方工作人员违反本承诺书承诺，中国人民保险及其子公司等所有关联主体有权限制或取消我方在中国人民保险参与采购项目的资格；</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（3）如我方及我方工作人员违反本承诺书承诺，中国人民保险及其子公司等所有关联主体有权选择单方全面终止与我方的合同及合作而无需承担任何责任；</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spacing w:line="360" w:lineRule="auto"/>
        <w:ind w:firstLine="420" w:firstLineChars="200"/>
        <w:rPr>
          <w:rFonts w:hint="eastAsia" w:ascii="仿宋" w:hAnsi="仿宋" w:eastAsia="仿宋" w:cs="仿宋"/>
          <w:color w:val="auto"/>
          <w:highlight w:val="none"/>
        </w:rPr>
      </w:pP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本承诺书自承诺方签字和盖章之日起生效。如我方成功中选中国人民保险采购项目，将按中国人民保险管理要求签署廉洁诚信协议作为采购合同附件，并严格遵守协议相关条款。</w:t>
      </w:r>
    </w:p>
    <w:p>
      <w:pPr>
        <w:spacing w:line="360" w:lineRule="auto"/>
        <w:ind w:firstLine="420" w:firstLineChars="200"/>
        <w:rPr>
          <w:rFonts w:hint="eastAsia" w:ascii="仿宋" w:hAnsi="仿宋" w:eastAsia="仿宋" w:cs="仿宋"/>
          <w:color w:val="auto"/>
          <w:highlight w:val="none"/>
        </w:rPr>
      </w:pPr>
    </w:p>
    <w:p>
      <w:pPr>
        <w:tabs>
          <w:tab w:val="left" w:pos="458"/>
        </w:tabs>
        <w:spacing w:line="360" w:lineRule="auto"/>
        <w:ind w:firstLine="3131" w:firstLineChars="1491"/>
        <w:rPr>
          <w:rFonts w:hint="eastAsia"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3131" w:firstLineChars="1491"/>
        <w:rPr>
          <w:rFonts w:hint="eastAsia" w:ascii="仿宋" w:hAnsi="仿宋" w:eastAsia="仿宋" w:cs="仿宋"/>
          <w:color w:val="auto"/>
          <w:highlight w:val="none"/>
        </w:rPr>
      </w:pPr>
      <w:r>
        <w:rPr>
          <w:rFonts w:hint="eastAsia" w:ascii="仿宋" w:hAnsi="仿宋" w:eastAsia="仿宋" w:cs="仿宋"/>
          <w:color w:val="auto"/>
          <w:highlight w:val="none"/>
        </w:rPr>
        <w:t>法定代表人姓名、职务：__________________</w:t>
      </w:r>
    </w:p>
    <w:p>
      <w:pPr>
        <w:spacing w:line="360" w:lineRule="auto"/>
        <w:ind w:firstLine="3131" w:firstLineChars="1491"/>
        <w:rPr>
          <w:rFonts w:hint="eastAsia" w:ascii="仿宋" w:hAnsi="仿宋" w:eastAsia="仿宋" w:cs="仿宋"/>
          <w:color w:val="auto"/>
          <w:highlight w:val="none"/>
        </w:rPr>
      </w:pPr>
      <w:r>
        <w:rPr>
          <w:rFonts w:hint="eastAsia" w:ascii="仿宋" w:hAnsi="仿宋" w:eastAsia="仿宋" w:cs="仿宋"/>
          <w:color w:val="auto"/>
          <w:highlight w:val="none"/>
        </w:rPr>
        <w:t>法定代表人或授权代表签字：______________</w:t>
      </w:r>
    </w:p>
    <w:p>
      <w:pPr>
        <w:spacing w:line="360" w:lineRule="auto"/>
        <w:ind w:firstLine="3131" w:firstLineChars="1491"/>
        <w:rPr>
          <w:rFonts w:hint="eastAsia" w:ascii="仿宋" w:hAnsi="仿宋" w:eastAsia="仿宋" w:cs="仿宋"/>
          <w:color w:val="auto"/>
          <w:highlight w:val="none"/>
        </w:rPr>
      </w:pPr>
      <w:r>
        <w:rPr>
          <w:rFonts w:hint="eastAsia" w:ascii="仿宋" w:hAnsi="仿宋" w:eastAsia="仿宋" w:cs="仿宋"/>
          <w:color w:val="auto"/>
          <w:highlight w:val="none"/>
        </w:rPr>
        <w:t>日期：__________________________________</w:t>
      </w:r>
      <w:r>
        <w:rPr>
          <w:rFonts w:hint="eastAsia" w:ascii="仿宋" w:hAnsi="仿宋" w:eastAsia="仿宋" w:cs="仿宋"/>
          <w:color w:val="auto"/>
          <w:highlight w:val="none"/>
        </w:rPr>
        <w:br w:type="page"/>
      </w:r>
    </w:p>
    <w:p>
      <w:pPr>
        <w:pStyle w:val="4"/>
        <w:spacing w:before="0" w:after="0" w:line="360" w:lineRule="auto"/>
        <w:rPr>
          <w:rFonts w:hint="eastAsia" w:ascii="仿宋" w:hAnsi="仿宋" w:eastAsia="仿宋" w:cs="仿宋"/>
          <w:color w:val="auto"/>
          <w:szCs w:val="24"/>
          <w:highlight w:val="none"/>
        </w:rPr>
      </w:pPr>
      <w:bookmarkStart w:id="185" w:name="_Toc15296"/>
      <w:r>
        <w:rPr>
          <w:rFonts w:hint="eastAsia" w:ascii="仿宋" w:hAnsi="仿宋" w:eastAsia="仿宋" w:cs="仿宋"/>
          <w:bCs w:val="0"/>
          <w:color w:val="auto"/>
          <w:sz w:val="24"/>
          <w:szCs w:val="24"/>
          <w:highlight w:val="none"/>
        </w:rPr>
        <w:t>（九）信息安全采购要求承诺函</w:t>
      </w:r>
      <w:bookmarkEnd w:id="185"/>
    </w:p>
    <w:p>
      <w:pPr>
        <w:jc w:val="center"/>
        <w:rPr>
          <w:rFonts w:hint="eastAsia" w:ascii="仿宋" w:hAnsi="仿宋" w:eastAsia="仿宋" w:cs="仿宋"/>
          <w:b/>
          <w:color w:val="auto"/>
          <w:highlight w:val="none"/>
        </w:rPr>
      </w:pPr>
    </w:p>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信息安全采购要求承诺函</w:t>
      </w:r>
    </w:p>
    <w:p>
      <w:pPr>
        <w:rPr>
          <w:rFonts w:hint="eastAsia" w:ascii="仿宋" w:hAnsi="仿宋" w:eastAsia="仿宋" w:cs="仿宋"/>
          <w:color w:val="auto"/>
          <w:highlight w:val="none"/>
        </w:rPr>
      </w:pPr>
    </w:p>
    <w:p>
      <w:pPr>
        <w:adjustRightInd w:val="0"/>
        <w:snapToGrid w:val="0"/>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致：</w:t>
      </w:r>
      <w:r>
        <w:rPr>
          <w:rFonts w:hint="eastAsia" w:ascii="仿宋" w:hAnsi="仿宋" w:eastAsia="仿宋" w:cs="仿宋"/>
          <w:color w:val="auto"/>
          <w:highlight w:val="none"/>
          <w:lang w:eastAsia="zh-CN"/>
        </w:rPr>
        <w:t>中国人民财产保险股份有限公司都江堰支公司</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提供产品或服务时，未经</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书面许可，不会利用提供产品或服务的便利条件获取</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任何数据，并向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承诺：（1）不会控制或操纵</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系统及设备；（2）不会利用</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对</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产品或服务的使用，谋取任何不正当利益；（3）任何情况下（包括但不限于政治、外交等因素），都不会中断向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提供产品或服务。</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2.根据实际情况，</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在A\B两项之间择一承诺</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A</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提供的产品或服务，不需要任何外国实体提供技术支持。</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B</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提供的产品或服务需要[（外国实体名称）]提供技术支持，</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承诺，该[（外国实体名称）]此前从未出现过按照外国政府要求，中断对外技术支持的先例，并承诺</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与</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签订本合同后，该[（外国实体名称）]会按照本协议要求提供相应的技术支持。</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3.根据实际情况，</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在A\B两项之间择一承诺</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A</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提供的产品或服务，不涉及任何外国实体拥有或者控制的知识产权，包括但不限于专利权、软件著作权以及其他知识产权。</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B</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提供的产品或服务，涉及[（外国实体名称）]拥有或者控制的知识产权，包括专利/软件著作权/其他知识产权等，</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在向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提供的产品或服务中使用该知识产权已获得[（外国实体名称）]授权同意，授权期限自本合同签署之日起计算不少于10年（授权书附后）。</w:t>
      </w:r>
    </w:p>
    <w:p>
      <w:pPr>
        <w:numPr>
          <w:ilvl w:val="0"/>
          <w:numId w:val="7"/>
        </w:num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承诺，已经采取合理、必要的措施和手段，确保其向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提供的产品或服务，在设计、研发、制造、销售等各个环节，以及其与上下游供应商之间的合作，不会发生任何影响</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履行本合同的风险。</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5.</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承诺，所提供的产品及其部件可以从多个国家或地区获得，其中任一国家或地区拒绝向</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供货，</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可以从其他国家/地区获得同等质量的替代品，不会因此影响</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履行本合同约定的义务。</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6.</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提供的产品或服务具有运行维护以及二次开发的中文版技术资料，</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同意向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提供上述技术资料。</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如</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出现任一违反上述承诺的情况，</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有权向</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收取合同金额3倍的违约金，如该违约金不足以弥补</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的损失，</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有权要求</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继续赔偿。</w:t>
      </w:r>
    </w:p>
    <w:p>
      <w:pPr>
        <w:spacing w:line="360" w:lineRule="auto"/>
        <w:rPr>
          <w:rFonts w:hint="eastAsia" w:ascii="仿宋" w:hAnsi="仿宋" w:eastAsia="仿宋" w:cs="仿宋"/>
          <w:color w:val="auto"/>
          <w:highlight w:val="none"/>
        </w:rPr>
      </w:pPr>
    </w:p>
    <w:p>
      <w:pPr>
        <w:spacing w:line="360" w:lineRule="auto"/>
        <w:rPr>
          <w:rFonts w:hint="eastAsia" w:ascii="仿宋" w:hAnsi="仿宋" w:eastAsia="仿宋" w:cs="仿宋"/>
          <w:color w:val="auto"/>
          <w:highlight w:val="none"/>
        </w:rPr>
      </w:pPr>
    </w:p>
    <w:p>
      <w:pPr>
        <w:tabs>
          <w:tab w:val="left" w:pos="5580"/>
        </w:tabs>
        <w:spacing w:before="120" w:line="22" w:lineRule="atLeast"/>
        <w:rPr>
          <w:rFonts w:hint="eastAsia" w:ascii="仿宋" w:hAnsi="仿宋" w:eastAsia="仿宋" w:cs="仿宋"/>
          <w:color w:val="auto"/>
          <w:highlight w:val="none"/>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 xml:space="preserve">名称（盖章）：                       </w:t>
      </w:r>
    </w:p>
    <w:p>
      <w:pPr>
        <w:tabs>
          <w:tab w:val="left" w:pos="5580"/>
        </w:tabs>
        <w:spacing w:before="120" w:line="22" w:lineRule="atLeast"/>
        <w:rPr>
          <w:rFonts w:hint="eastAsia" w:ascii="仿宋" w:hAnsi="仿宋" w:eastAsia="仿宋" w:cs="仿宋"/>
          <w:color w:val="auto"/>
          <w:highlight w:val="none"/>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授权代表(签字):</w:t>
      </w:r>
      <w:r>
        <w:rPr>
          <w:rFonts w:hint="eastAsia" w:ascii="仿宋" w:hAnsi="仿宋" w:eastAsia="仿宋" w:cs="仿宋"/>
          <w:color w:val="auto"/>
          <w:highlight w:val="none"/>
        </w:rPr>
        <w:tab/>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日期：</w:t>
      </w:r>
    </w:p>
    <w:p>
      <w:pPr>
        <w:spacing w:line="360" w:lineRule="auto"/>
        <w:ind w:firstLine="4790" w:firstLineChars="1491"/>
        <w:rPr>
          <w:rStyle w:val="30"/>
          <w:rFonts w:hint="eastAsia" w:ascii="仿宋" w:hAnsi="仿宋" w:eastAsia="仿宋" w:cs="仿宋"/>
          <w:color w:val="auto"/>
          <w:highlight w:val="none"/>
        </w:rPr>
      </w:pPr>
    </w:p>
    <w:p>
      <w:pPr>
        <w:spacing w:line="360" w:lineRule="auto"/>
        <w:ind w:firstLine="4790" w:firstLineChars="1491"/>
        <w:rPr>
          <w:rStyle w:val="30"/>
          <w:rFonts w:hint="eastAsia" w:ascii="仿宋" w:hAnsi="仿宋" w:eastAsia="仿宋" w:cs="仿宋"/>
          <w:color w:val="auto"/>
          <w:highlight w:val="none"/>
        </w:rPr>
      </w:pPr>
    </w:p>
    <w:p>
      <w:pPr>
        <w:spacing w:line="360" w:lineRule="auto"/>
        <w:ind w:firstLine="4790" w:firstLineChars="1491"/>
        <w:rPr>
          <w:rStyle w:val="30"/>
          <w:rFonts w:hint="eastAsia" w:ascii="仿宋" w:hAnsi="仿宋" w:eastAsia="仿宋" w:cs="仿宋"/>
          <w:color w:val="auto"/>
          <w:highlight w:val="none"/>
        </w:rPr>
      </w:pPr>
    </w:p>
    <w:p>
      <w:pPr>
        <w:spacing w:line="360" w:lineRule="auto"/>
        <w:ind w:firstLine="4790" w:firstLineChars="1491"/>
        <w:rPr>
          <w:rStyle w:val="30"/>
          <w:rFonts w:hint="eastAsia" w:ascii="仿宋" w:hAnsi="仿宋" w:eastAsia="仿宋" w:cs="仿宋"/>
          <w:color w:val="auto"/>
          <w:highlight w:val="none"/>
        </w:rPr>
      </w:pPr>
    </w:p>
    <w:p>
      <w:pPr>
        <w:spacing w:line="360" w:lineRule="auto"/>
        <w:ind w:firstLine="4790" w:firstLineChars="1491"/>
        <w:rPr>
          <w:rStyle w:val="30"/>
          <w:rFonts w:hint="eastAsia" w:ascii="仿宋" w:hAnsi="仿宋" w:eastAsia="仿宋" w:cs="仿宋"/>
          <w:color w:val="auto"/>
          <w:highlight w:val="none"/>
        </w:rPr>
      </w:pPr>
    </w:p>
    <w:p>
      <w:pPr>
        <w:spacing w:line="360" w:lineRule="auto"/>
        <w:ind w:firstLine="4790" w:firstLineChars="1491"/>
        <w:rPr>
          <w:rStyle w:val="30"/>
          <w:rFonts w:hint="eastAsia" w:ascii="仿宋" w:hAnsi="仿宋" w:eastAsia="仿宋" w:cs="仿宋"/>
          <w:color w:val="auto"/>
          <w:highlight w:val="none"/>
        </w:rPr>
      </w:pPr>
    </w:p>
    <w:p>
      <w:pPr>
        <w:spacing w:line="360" w:lineRule="auto"/>
        <w:ind w:firstLine="4790" w:firstLineChars="1491"/>
        <w:rPr>
          <w:rStyle w:val="30"/>
          <w:rFonts w:hint="eastAsia" w:ascii="仿宋" w:hAnsi="仿宋" w:eastAsia="仿宋" w:cs="仿宋"/>
          <w:color w:val="auto"/>
          <w:highlight w:val="none"/>
        </w:rPr>
      </w:pPr>
    </w:p>
    <w:p>
      <w:pPr>
        <w:spacing w:line="360" w:lineRule="auto"/>
        <w:ind w:firstLine="4790" w:firstLineChars="1491"/>
        <w:rPr>
          <w:rStyle w:val="30"/>
          <w:rFonts w:hint="eastAsia" w:ascii="仿宋" w:hAnsi="仿宋" w:eastAsia="仿宋" w:cs="仿宋"/>
          <w:color w:val="auto"/>
          <w:highlight w:val="none"/>
        </w:rPr>
      </w:pPr>
    </w:p>
    <w:p>
      <w:pPr>
        <w:spacing w:line="360" w:lineRule="auto"/>
        <w:ind w:firstLine="4790" w:firstLineChars="1491"/>
        <w:rPr>
          <w:rStyle w:val="30"/>
          <w:rFonts w:hint="eastAsia" w:ascii="仿宋" w:hAnsi="仿宋" w:eastAsia="仿宋" w:cs="仿宋"/>
          <w:color w:val="auto"/>
          <w:highlight w:val="none"/>
        </w:rPr>
      </w:pPr>
    </w:p>
    <w:p>
      <w:pPr>
        <w:spacing w:line="360" w:lineRule="auto"/>
        <w:ind w:firstLine="4790" w:firstLineChars="1491"/>
        <w:rPr>
          <w:rStyle w:val="30"/>
          <w:rFonts w:hint="eastAsia" w:ascii="仿宋" w:hAnsi="仿宋" w:eastAsia="仿宋" w:cs="仿宋"/>
          <w:color w:val="auto"/>
          <w:highlight w:val="none"/>
        </w:rPr>
      </w:pPr>
    </w:p>
    <w:p>
      <w:pPr>
        <w:spacing w:line="360" w:lineRule="auto"/>
        <w:ind w:firstLine="4790" w:firstLineChars="1491"/>
        <w:rPr>
          <w:rStyle w:val="30"/>
          <w:rFonts w:hint="eastAsia" w:ascii="仿宋" w:hAnsi="仿宋" w:eastAsia="仿宋" w:cs="仿宋"/>
          <w:color w:val="auto"/>
          <w:highlight w:val="none"/>
        </w:rPr>
      </w:pPr>
    </w:p>
    <w:p>
      <w:pPr>
        <w:spacing w:line="360" w:lineRule="auto"/>
        <w:rPr>
          <w:rStyle w:val="30"/>
          <w:rFonts w:hint="eastAsia" w:ascii="仿宋" w:hAnsi="仿宋" w:eastAsia="仿宋" w:cs="仿宋"/>
          <w:color w:val="auto"/>
          <w:highlight w:val="none"/>
        </w:rPr>
      </w:pP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pPr>
        <w:pStyle w:val="4"/>
        <w:spacing w:before="0" w:after="0" w:line="360" w:lineRule="auto"/>
        <w:rPr>
          <w:rFonts w:hint="eastAsia" w:ascii="仿宋" w:hAnsi="仿宋" w:eastAsia="仿宋" w:cs="仿宋"/>
          <w:bCs w:val="0"/>
          <w:color w:val="auto"/>
          <w:sz w:val="21"/>
          <w:szCs w:val="24"/>
          <w:highlight w:val="none"/>
        </w:rPr>
      </w:pPr>
      <w:bookmarkStart w:id="186" w:name="_Toc21821"/>
      <w:r>
        <w:rPr>
          <w:rFonts w:hint="eastAsia" w:ascii="仿宋" w:hAnsi="仿宋" w:eastAsia="仿宋" w:cs="仿宋"/>
          <w:color w:val="auto"/>
          <w:sz w:val="24"/>
          <w:highlight w:val="none"/>
        </w:rPr>
        <w:t>（十）其他材料</w:t>
      </w:r>
      <w:bookmarkEnd w:id="186"/>
    </w:p>
    <w:p>
      <w:pPr>
        <w:numPr>
          <w:ilvl w:val="0"/>
          <w:numId w:val="0"/>
        </w:numPr>
        <w:spacing w:before="0" w:after="0" w:line="360" w:lineRule="auto"/>
        <w:ind w:firstLine="480" w:firstLineChars="200"/>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1、承诺函</w:t>
      </w:r>
    </w:p>
    <w:p>
      <w:pPr>
        <w:pStyle w:val="7"/>
        <w:spacing w:before="240"/>
        <w:jc w:val="center"/>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承诺函</w:t>
      </w:r>
    </w:p>
    <w:p>
      <w:pPr>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（采购人</w:t>
      </w:r>
      <w:r>
        <w:rPr>
          <w:rFonts w:hint="eastAsia" w:ascii="仿宋" w:hAnsi="仿宋" w:eastAsia="仿宋" w:cs="仿宋"/>
          <w:color w:val="auto"/>
          <w:highlight w:val="none"/>
          <w:lang w:val="en-US" w:eastAsia="zh-CN"/>
        </w:rPr>
        <w:t>名称</w:t>
      </w:r>
      <w:r>
        <w:rPr>
          <w:rFonts w:hint="eastAsia" w:ascii="仿宋" w:hAnsi="仿宋" w:eastAsia="仿宋" w:cs="仿宋"/>
          <w:color w:val="auto"/>
          <w:highlight w:val="none"/>
        </w:rPr>
        <w:t>）</w:t>
      </w:r>
    </w:p>
    <w:p>
      <w:pPr>
        <w:keepNext w:val="0"/>
        <w:keepLines w:val="0"/>
        <w:pageBreakBefore w:val="0"/>
        <w:widowControl/>
        <w:kinsoku/>
        <w:wordWrap/>
        <w:overflowPunct/>
        <w:topLinePunct w:val="0"/>
        <w:autoSpaceDE/>
        <w:autoSpaceDN/>
        <w:bidi w:val="0"/>
        <w:adjustRightInd w:val="0"/>
        <w:snapToGrid w:val="0"/>
        <w:spacing w:line="360" w:lineRule="auto"/>
        <w:ind w:firstLine="420" w:firstLineChars="200"/>
        <w:jc w:val="both"/>
        <w:textAlignment w:val="auto"/>
        <w:rPr>
          <w:rFonts w:hint="eastAsia" w:ascii="仿宋" w:hAnsi="仿宋" w:eastAsia="仿宋" w:cs="仿宋"/>
          <w:color w:val="auto"/>
          <w:highlight w:val="none"/>
          <w:u w:val="none"/>
          <w:lang w:val="en-US" w:eastAsia="zh-CN"/>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none"/>
        </w:rPr>
        <w:t>（供应商名称）</w:t>
      </w:r>
      <w:r>
        <w:rPr>
          <w:rFonts w:hint="eastAsia" w:ascii="仿宋" w:hAnsi="仿宋" w:eastAsia="仿宋" w:cs="仿宋"/>
          <w:color w:val="auto"/>
          <w:highlight w:val="none"/>
          <w:u w:val="none"/>
          <w:lang w:val="en-US" w:eastAsia="zh-CN"/>
        </w:rPr>
        <w:t>自愿参加本项目</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none"/>
          <w:lang w:val="en-US" w:eastAsia="zh-CN"/>
        </w:rPr>
        <w:t>（项目名称）的响应，就在本项目所述丰巢屏保宣传的相关事宜承诺如下：</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1、若我方有幸成为成交人时，将在成交通知书发放后、正式合同签订前，向采购人完整提供</w:t>
      </w:r>
      <w:r>
        <w:rPr>
          <w:rFonts w:hint="eastAsia" w:ascii="仿宋" w:hAnsi="仿宋" w:eastAsia="仿宋" w:cs="仿宋"/>
          <w:b w:val="0"/>
          <w:bCs w:val="0"/>
          <w:color w:val="auto"/>
          <w:sz w:val="24"/>
          <w:szCs w:val="24"/>
          <w:highlight w:val="none"/>
          <w:lang w:val="en-US" w:eastAsia="zh-CN"/>
        </w:rPr>
        <w:t>与丰巢快递柜运营主体签订的有效合作协议/合同</w:t>
      </w:r>
      <w:r>
        <w:rPr>
          <w:rFonts w:hint="eastAsia" w:ascii="仿宋" w:hAnsi="仿宋" w:eastAsia="仿宋" w:cs="仿宋"/>
          <w:color w:val="auto"/>
          <w:sz w:val="24"/>
          <w:szCs w:val="24"/>
          <w:highlight w:val="none"/>
          <w:lang w:val="en-US" w:eastAsia="zh-CN" w:bidi="ar-SA"/>
        </w:rPr>
        <w:t>（</w:t>
      </w:r>
      <w:r>
        <w:rPr>
          <w:rFonts w:hint="eastAsia" w:ascii="仿宋" w:hAnsi="仿宋" w:eastAsia="仿宋" w:cs="仿宋"/>
          <w:i w:val="0"/>
          <w:iCs w:val="0"/>
          <w:color w:val="auto"/>
          <w:sz w:val="24"/>
          <w:szCs w:val="24"/>
          <w:highlight w:val="none"/>
          <w:lang w:val="en-US" w:eastAsia="zh-CN"/>
        </w:rPr>
        <w:t>合作期限须覆盖本次采购的服务期限</w:t>
      </w:r>
      <w:r>
        <w:rPr>
          <w:rFonts w:hint="eastAsia" w:ascii="仿宋" w:hAnsi="仿宋" w:eastAsia="仿宋" w:cs="仿宋"/>
          <w:color w:val="auto"/>
          <w:sz w:val="24"/>
          <w:szCs w:val="24"/>
          <w:highlight w:val="none"/>
          <w:lang w:val="en-US" w:eastAsia="zh-CN" w:bidi="ar-SA"/>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bidi="ar-SA"/>
        </w:rPr>
        <w:t>2、</w:t>
      </w:r>
      <w:r>
        <w:rPr>
          <w:rFonts w:hint="eastAsia" w:ascii="仿宋" w:hAnsi="仿宋" w:eastAsia="仿宋" w:cs="仿宋"/>
          <w:color w:val="auto"/>
          <w:highlight w:val="none"/>
          <w:lang w:val="en-US" w:eastAsia="zh-CN"/>
        </w:rPr>
        <w:t>若我方逾期未能提交</w:t>
      </w:r>
      <w:r>
        <w:rPr>
          <w:rFonts w:hint="eastAsia" w:ascii="仿宋" w:hAnsi="仿宋" w:eastAsia="仿宋" w:cs="仿宋"/>
          <w:b w:val="0"/>
          <w:bCs w:val="0"/>
          <w:color w:val="auto"/>
          <w:sz w:val="24"/>
          <w:szCs w:val="24"/>
          <w:highlight w:val="none"/>
          <w:lang w:val="en-US" w:eastAsia="zh-CN"/>
        </w:rPr>
        <w:t>合作协议/合同</w:t>
      </w:r>
      <w:r>
        <w:rPr>
          <w:rFonts w:hint="eastAsia" w:ascii="仿宋" w:hAnsi="仿宋" w:eastAsia="仿宋" w:cs="仿宋"/>
          <w:color w:val="auto"/>
          <w:highlight w:val="none"/>
          <w:lang w:val="en-US" w:eastAsia="zh-CN"/>
        </w:rPr>
        <w:t>或提供的</w:t>
      </w:r>
      <w:r>
        <w:rPr>
          <w:rFonts w:hint="eastAsia" w:ascii="仿宋" w:hAnsi="仿宋" w:eastAsia="仿宋" w:cs="仿宋"/>
          <w:b w:val="0"/>
          <w:bCs w:val="0"/>
          <w:color w:val="auto"/>
          <w:sz w:val="24"/>
          <w:szCs w:val="24"/>
          <w:highlight w:val="none"/>
          <w:lang w:val="en-US" w:eastAsia="zh-CN"/>
        </w:rPr>
        <w:t>合作协议/合同</w:t>
      </w:r>
      <w:r>
        <w:rPr>
          <w:rFonts w:hint="eastAsia" w:ascii="仿宋" w:hAnsi="仿宋" w:eastAsia="仿宋" w:cs="仿宋"/>
          <w:color w:val="auto"/>
          <w:highlight w:val="none"/>
          <w:lang w:val="en-US" w:eastAsia="zh-CN"/>
        </w:rPr>
        <w:t>不符合要求的，采购人有权取消我方的成交资格，并确定</w:t>
      </w:r>
      <w:r>
        <w:rPr>
          <w:rFonts w:hint="eastAsia" w:ascii="仿宋" w:hAnsi="仿宋" w:eastAsia="仿宋" w:cs="仿宋"/>
          <w:color w:val="auto"/>
          <w:sz w:val="24"/>
          <w:szCs w:val="24"/>
          <w:highlight w:val="none"/>
          <w:lang w:val="en-US" w:eastAsia="zh-CN" w:bidi="ar-SA"/>
        </w:rPr>
        <w:t>其他</w:t>
      </w:r>
      <w:r>
        <w:rPr>
          <w:rFonts w:hint="eastAsia" w:ascii="仿宋" w:hAnsi="仿宋" w:eastAsia="仿宋" w:cs="仿宋"/>
          <w:color w:val="auto"/>
          <w:highlight w:val="none"/>
          <w:lang w:val="en-US" w:eastAsia="zh-CN"/>
        </w:rPr>
        <w:t>成交候选人为成交人或重新采购，</w:t>
      </w:r>
      <w:r>
        <w:rPr>
          <w:rFonts w:hint="eastAsia" w:ascii="仿宋" w:hAnsi="仿宋" w:eastAsia="仿宋" w:cs="仿宋"/>
          <w:color w:val="auto"/>
          <w:highlight w:val="none"/>
        </w:rPr>
        <w:t>由此造成的损失及责任由我方自行承担，与采购人无关</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且承担</w:t>
      </w:r>
      <w:r>
        <w:rPr>
          <w:rFonts w:hint="eastAsia" w:ascii="仿宋" w:hAnsi="仿宋" w:eastAsia="仿宋" w:cs="仿宋"/>
          <w:color w:val="auto"/>
          <w:highlight w:val="none"/>
        </w:rPr>
        <w:t>被纳入采购人及其所隶属的中国人民保险各级机构的供应商黑名单</w:t>
      </w:r>
      <w:r>
        <w:rPr>
          <w:rFonts w:hint="eastAsia" w:ascii="仿宋" w:hAnsi="仿宋" w:eastAsia="仿宋" w:cs="仿宋"/>
          <w:color w:val="auto"/>
          <w:highlight w:val="none"/>
          <w:lang w:val="en-US" w:eastAsia="zh-CN"/>
        </w:rPr>
        <w:t>的责任。</w:t>
      </w:r>
    </w:p>
    <w:p>
      <w:pPr>
        <w:pStyle w:val="7"/>
        <w:keepNext w:val="0"/>
        <w:keepLines w:val="0"/>
        <w:pageBreakBefore w:val="0"/>
        <w:widowControl/>
        <w:kinsoku/>
        <w:wordWrap/>
        <w:overflowPunct/>
        <w:topLinePunct w:val="0"/>
        <w:autoSpaceDE/>
        <w:autoSpaceDN/>
        <w:bidi w:val="0"/>
        <w:spacing w:after="0" w:line="360" w:lineRule="auto"/>
        <w:ind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特此</w:t>
      </w:r>
      <w:r>
        <w:rPr>
          <w:rFonts w:hint="eastAsia" w:ascii="仿宋" w:hAnsi="仿宋" w:eastAsia="仿宋" w:cs="仿宋"/>
          <w:color w:val="auto"/>
          <w:highlight w:val="none"/>
          <w:lang w:val="en-US" w:eastAsia="zh-CN"/>
        </w:rPr>
        <w:t>承诺</w:t>
      </w:r>
      <w:r>
        <w:rPr>
          <w:rFonts w:hint="eastAsia" w:ascii="仿宋" w:hAnsi="仿宋" w:eastAsia="仿宋" w:cs="仿宋"/>
          <w:color w:val="auto"/>
          <w:highlight w:val="none"/>
        </w:rPr>
        <w:t>。</w:t>
      </w:r>
    </w:p>
    <w:p>
      <w:pPr>
        <w:pStyle w:val="28"/>
        <w:ind w:firstLine="640"/>
        <w:rPr>
          <w:rFonts w:hint="eastAsia" w:ascii="仿宋" w:hAnsi="仿宋" w:eastAsia="仿宋" w:cs="仿宋"/>
          <w:color w:val="auto"/>
          <w:highlight w:val="none"/>
        </w:rPr>
      </w:pPr>
    </w:p>
    <w:p>
      <w:pPr>
        <w:pStyle w:val="28"/>
        <w:ind w:firstLine="640"/>
        <w:rPr>
          <w:rFonts w:hint="eastAsia" w:ascii="仿宋" w:hAnsi="仿宋" w:eastAsia="仿宋" w:cs="仿宋"/>
          <w:color w:val="auto"/>
          <w:highlight w:val="none"/>
        </w:rPr>
      </w:pPr>
    </w:p>
    <w:p>
      <w:pPr>
        <w:pStyle w:val="28"/>
        <w:ind w:firstLine="640"/>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wordWrap w:val="0"/>
        <w:spacing w:line="360" w:lineRule="auto"/>
        <w:ind w:firstLine="3570" w:firstLineChars="1700"/>
        <w:jc w:val="righ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授权代表(签字):</w:t>
      </w:r>
      <w:r>
        <w:rPr>
          <w:rFonts w:hint="eastAsia" w:ascii="仿宋" w:hAnsi="仿宋" w:eastAsia="仿宋" w:cs="仿宋"/>
          <w:color w:val="auto"/>
          <w:highlight w:val="none"/>
          <w:lang w:val="en-US" w:eastAsia="zh-CN"/>
        </w:rPr>
        <w:t xml:space="preserve">              </w:t>
      </w:r>
    </w:p>
    <w:p>
      <w:pPr>
        <w:spacing w:line="360" w:lineRule="auto"/>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jc w:val="both"/>
        <w:rPr>
          <w:rFonts w:hint="eastAsia" w:ascii="仿宋" w:hAnsi="仿宋" w:eastAsia="仿宋" w:cs="仿宋"/>
          <w:color w:val="auto"/>
          <w:highlight w:val="none"/>
          <w:lang w:val="en-US" w:eastAsia="zh-CN"/>
        </w:rPr>
      </w:pPr>
    </w:p>
    <w:p>
      <w:pPr>
        <w:spacing w:line="360" w:lineRule="auto"/>
        <w:jc w:val="both"/>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注：以上承诺仅为参考格式，供应商可根据自身情况另行提供，但供应商另行提供的承诺不满足评审要求的，责任由供应商自行承担。</w:t>
      </w: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spacing w:line="360" w:lineRule="auto"/>
        <w:rPr>
          <w:rFonts w:hint="eastAsia" w:ascii="仿宋" w:hAnsi="仿宋" w:eastAsia="仿宋" w:cs="仿宋"/>
          <w:b/>
          <w:bCs/>
          <w:color w:val="auto"/>
          <w:kern w:val="2"/>
          <w:sz w:val="24"/>
          <w:szCs w:val="32"/>
          <w:highlight w:val="none"/>
          <w:lang w:val="en-US" w:eastAsia="zh-CN" w:bidi="ar-SA"/>
        </w:rPr>
      </w:pPr>
    </w:p>
    <w:p>
      <w:pPr>
        <w:spacing w:line="360" w:lineRule="auto"/>
        <w:rPr>
          <w:rFonts w:hint="eastAsia" w:ascii="仿宋" w:hAnsi="仿宋" w:eastAsia="仿宋" w:cs="仿宋"/>
          <w:color w:val="auto"/>
          <w:szCs w:val="21"/>
          <w:highlight w:val="none"/>
          <w:lang w:val="en-US" w:eastAsia="zh-CN"/>
        </w:rPr>
        <w:sectPr>
          <w:pgSz w:w="11906" w:h="16838"/>
          <w:pgMar w:top="1417" w:right="1417" w:bottom="1417" w:left="1417" w:header="850" w:footer="992" w:gutter="0"/>
          <w:pgNumType w:fmt="decimal"/>
          <w:cols w:space="0" w:num="1"/>
          <w:rtlGutter w:val="0"/>
          <w:docGrid w:type="lines" w:linePitch="333" w:charSpace="0"/>
        </w:sect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供应商认为需提供的其他材料</w:t>
      </w:r>
      <w:r>
        <w:rPr>
          <w:rFonts w:hint="eastAsia" w:ascii="仿宋" w:hAnsi="仿宋" w:eastAsia="仿宋" w:cs="仿宋"/>
          <w:color w:val="auto"/>
          <w:highlight w:val="none"/>
        </w:rPr>
        <w:t>。</w:t>
      </w:r>
    </w:p>
    <w:bookmarkEnd w:id="172"/>
    <w:p>
      <w:pPr>
        <w:pStyle w:val="3"/>
        <w:jc w:val="both"/>
        <w:rPr>
          <w:rFonts w:hint="eastAsia" w:ascii="仿宋" w:hAnsi="仿宋" w:eastAsia="仿宋" w:cs="仿宋"/>
          <w:color w:val="auto"/>
          <w:sz w:val="24"/>
          <w:szCs w:val="24"/>
          <w:highlight w:val="none"/>
        </w:rPr>
      </w:pPr>
      <w:bookmarkStart w:id="187" w:name="_Toc28698"/>
      <w:bookmarkStart w:id="188" w:name="_Toc14740"/>
      <w:r>
        <w:rPr>
          <w:rFonts w:hint="eastAsia" w:ascii="仿宋" w:hAnsi="仿宋" w:eastAsia="仿宋" w:cs="仿宋"/>
          <w:color w:val="auto"/>
          <w:sz w:val="24"/>
          <w:szCs w:val="24"/>
          <w:highlight w:val="none"/>
        </w:rPr>
        <w:t>二、技术文件</w:t>
      </w:r>
      <w:bookmarkEnd w:id="187"/>
      <w:bookmarkEnd w:id="188"/>
    </w:p>
    <w:p>
      <w:pPr>
        <w:jc w:val="center"/>
        <w:rPr>
          <w:rFonts w:hint="eastAsia" w:ascii="仿宋" w:hAnsi="仿宋" w:eastAsia="仿宋" w:cs="仿宋"/>
          <w:b/>
          <w:bCs/>
          <w:color w:val="auto"/>
          <w:highlight w:val="none"/>
        </w:rPr>
      </w:pPr>
      <w:bookmarkStart w:id="189" w:name="_Toc30870"/>
      <w:bookmarkStart w:id="190" w:name="_Toc23108"/>
      <w:r>
        <w:rPr>
          <w:rFonts w:hint="eastAsia" w:ascii="仿宋" w:hAnsi="仿宋" w:eastAsia="仿宋" w:cs="仿宋"/>
          <w:b/>
          <w:bCs/>
          <w:color w:val="auto"/>
          <w:highlight w:val="none"/>
        </w:rPr>
        <w:t>详细评审索引表</w:t>
      </w:r>
      <w:bookmarkEnd w:id="189"/>
    </w:p>
    <w:tbl>
      <w:tblPr>
        <w:tblStyle w:val="15"/>
        <w:tblW w:w="9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0"/>
        <w:gridCol w:w="1629"/>
        <w:gridCol w:w="2179"/>
        <w:gridCol w:w="46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6"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lang w:bidi="ar"/>
              </w:rPr>
              <w:t>序号</w:t>
            </w:r>
          </w:p>
        </w:tc>
        <w:tc>
          <w:tcPr>
            <w:tcW w:w="1629"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2"/>
                <w:szCs w:val="22"/>
                <w:highlight w:val="none"/>
                <w:lang w:bidi="ar"/>
              </w:rPr>
            </w:pPr>
            <w:r>
              <w:rPr>
                <w:rFonts w:hint="eastAsia" w:ascii="仿宋" w:hAnsi="仿宋" w:eastAsia="仿宋" w:cs="仿宋"/>
                <w:b/>
                <w:bCs/>
                <w:color w:val="auto"/>
                <w:sz w:val="22"/>
                <w:szCs w:val="22"/>
                <w:highlight w:val="none"/>
              </w:rPr>
              <w:t>评审项</w:t>
            </w:r>
          </w:p>
        </w:tc>
        <w:tc>
          <w:tcPr>
            <w:tcW w:w="2179" w:type="dxa"/>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lang w:bidi="ar"/>
              </w:rPr>
              <w:t>评审因素</w:t>
            </w:r>
          </w:p>
        </w:tc>
        <w:tc>
          <w:tcPr>
            <w:tcW w:w="4631"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eastAsia="zh-CN" w:bidi="ar"/>
              </w:rPr>
            </w:pPr>
            <w:r>
              <w:rPr>
                <w:rFonts w:hint="eastAsia" w:ascii="仿宋" w:hAnsi="仿宋" w:eastAsia="仿宋" w:cs="仿宋"/>
                <w:color w:val="auto"/>
                <w:sz w:val="22"/>
                <w:szCs w:val="22"/>
                <w:highlight w:val="none"/>
                <w:lang w:val="en-US" w:eastAsia="zh-CN" w:bidi="ar"/>
              </w:rPr>
              <w:t>1</w:t>
            </w:r>
          </w:p>
        </w:tc>
        <w:tc>
          <w:tcPr>
            <w:tcW w:w="1629" w:type="dxa"/>
            <w:vMerge w:val="restart"/>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技术得分</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50</w:t>
            </w:r>
            <w:r>
              <w:rPr>
                <w:rFonts w:hint="eastAsia" w:ascii="仿宋" w:hAnsi="仿宋" w:eastAsia="仿宋" w:cs="仿宋"/>
                <w:color w:val="auto"/>
                <w:sz w:val="22"/>
                <w:szCs w:val="22"/>
                <w:highlight w:val="none"/>
              </w:rPr>
              <w:t>分）</w:t>
            </w: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管理方案（</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Style w:val="27"/>
                <w:rFonts w:hint="eastAsia" w:ascii="仿宋" w:hAnsi="仿宋" w:eastAsia="仿宋" w:cs="仿宋"/>
                <w:color w:val="auto"/>
                <w:sz w:val="22"/>
                <w:szCs w:val="22"/>
                <w:highlight w:val="none"/>
                <w:lang w:bidi="ar"/>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eastAsia="zh-CN" w:bidi="ar"/>
              </w:rPr>
            </w:pPr>
            <w:r>
              <w:rPr>
                <w:rFonts w:hint="eastAsia" w:ascii="仿宋" w:hAnsi="仿宋" w:eastAsia="仿宋" w:cs="仿宋"/>
                <w:color w:val="auto"/>
                <w:sz w:val="22"/>
                <w:szCs w:val="22"/>
                <w:highlight w:val="none"/>
                <w:lang w:val="en-US" w:eastAsia="zh-CN" w:bidi="ar"/>
              </w:rPr>
              <w:t>2</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总体服务方案（</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Style w:val="27"/>
                <w:rFonts w:hint="eastAsia" w:ascii="仿宋" w:hAnsi="仿宋" w:eastAsia="仿宋" w:cs="仿宋"/>
                <w:color w:val="auto"/>
                <w:sz w:val="22"/>
                <w:szCs w:val="22"/>
                <w:highlight w:val="none"/>
                <w:lang w:bidi="ar"/>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3</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应急处理预案</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4</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eastAsia="zh-CN"/>
              </w:rPr>
              <w:t>团队配备（</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5</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增值服务</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right="0"/>
              <w:rPr>
                <w:rStyle w:val="27"/>
                <w:rFonts w:hint="eastAsia" w:ascii="仿宋" w:hAnsi="仿宋" w:eastAsia="仿宋" w:cs="仿宋"/>
                <w:color w:val="auto"/>
                <w:sz w:val="22"/>
                <w:szCs w:val="22"/>
                <w:highlight w:val="none"/>
                <w:lang w:bidi="ar"/>
              </w:rPr>
            </w:pPr>
            <w:r>
              <w:rPr>
                <w:rFonts w:hint="eastAsia" w:ascii="仿宋" w:hAnsi="仿宋" w:eastAsia="仿宋" w:cs="仿宋"/>
                <w:color w:val="auto"/>
                <w:kern w:val="0"/>
                <w:sz w:val="22"/>
                <w:szCs w:val="22"/>
                <w:highlight w:val="none"/>
              </w:rPr>
              <w:t>详见N-M页</w:t>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4"/>
        <w:spacing w:before="0" w:after="0" w:line="360" w:lineRule="auto"/>
        <w:rPr>
          <w:rFonts w:hint="eastAsia" w:ascii="仿宋" w:hAnsi="仿宋" w:eastAsia="仿宋" w:cs="仿宋"/>
          <w:color w:val="auto"/>
          <w:sz w:val="24"/>
          <w:szCs w:val="24"/>
          <w:highlight w:val="none"/>
        </w:rPr>
      </w:pPr>
      <w:bookmarkStart w:id="191" w:name="_Toc5465"/>
      <w:bookmarkStart w:id="192" w:name="_Toc17302"/>
      <w:r>
        <w:rPr>
          <w:rFonts w:hint="eastAsia" w:ascii="仿宋" w:hAnsi="仿宋" w:eastAsia="仿宋" w:cs="仿宋"/>
          <w:color w:val="auto"/>
          <w:sz w:val="24"/>
          <w:szCs w:val="24"/>
          <w:highlight w:val="none"/>
        </w:rPr>
        <w:t>（一）采购需求应答偏离表</w:t>
      </w:r>
      <w:bookmarkEnd w:id="190"/>
      <w:bookmarkEnd w:id="191"/>
      <w:bookmarkEnd w:id="192"/>
    </w:p>
    <w:p>
      <w:pPr>
        <w:spacing w:line="360" w:lineRule="auto"/>
        <w:jc w:val="center"/>
        <w:rPr>
          <w:rFonts w:hint="eastAsia" w:ascii="仿宋" w:hAnsi="仿宋" w:eastAsia="仿宋" w:cs="仿宋"/>
          <w:b/>
          <w:bCs/>
          <w:color w:val="auto"/>
          <w:highlight w:val="none"/>
        </w:rPr>
      </w:pPr>
      <w:bookmarkStart w:id="193" w:name="_Toc293297544"/>
      <w:bookmarkStart w:id="194" w:name="_Toc125771198"/>
      <w:bookmarkStart w:id="195" w:name="_Toc125561188"/>
      <w:r>
        <w:rPr>
          <w:rFonts w:hint="eastAsia" w:ascii="仿宋" w:hAnsi="仿宋" w:eastAsia="仿宋" w:cs="仿宋"/>
          <w:b/>
          <w:bCs/>
          <w:color w:val="auto"/>
          <w:highlight w:val="none"/>
        </w:rPr>
        <w:t>采购需求应答偏离表</w:t>
      </w:r>
      <w:bookmarkEnd w:id="193"/>
      <w:bookmarkEnd w:id="194"/>
      <w:bookmarkEnd w:id="195"/>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15"/>
        <w:tblW w:w="9281"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2142"/>
        <w:gridCol w:w="2328"/>
        <w:gridCol w:w="2515"/>
        <w:gridCol w:w="1351"/>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double" w:color="auto" w:sz="4" w:space="0"/>
              <w:left w:val="doub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2142" w:type="dxa"/>
            <w:tcBorders>
              <w:top w:val="doub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技术偏离类型(正负偏离)</w:t>
            </w:r>
          </w:p>
        </w:tc>
        <w:tc>
          <w:tcPr>
            <w:tcW w:w="2328" w:type="dxa"/>
            <w:tcBorders>
              <w:top w:val="doub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技术偏离的文档章节号及页号</w:t>
            </w:r>
          </w:p>
        </w:tc>
        <w:tc>
          <w:tcPr>
            <w:tcW w:w="2515" w:type="dxa"/>
            <w:tcBorders>
              <w:top w:val="doub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技术偏离的主要内容说明</w:t>
            </w:r>
          </w:p>
        </w:tc>
        <w:tc>
          <w:tcPr>
            <w:tcW w:w="1351" w:type="dxa"/>
            <w:tcBorders>
              <w:top w:val="double" w:color="auto" w:sz="4" w:space="0"/>
              <w:left w:val="single" w:color="auto" w:sz="4" w:space="0"/>
              <w:bottom w:val="single" w:color="auto" w:sz="4" w:space="0"/>
              <w:right w:val="doub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负偏离(不满足)</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正偏离(优于)</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doub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bl>
    <w:p>
      <w:pPr>
        <w:spacing w:before="240" w:line="360" w:lineRule="auto"/>
        <w:rPr>
          <w:rFonts w:hint="eastAsia" w:ascii="仿宋" w:hAnsi="仿宋" w:eastAsia="仿宋" w:cs="仿宋"/>
          <w:color w:val="auto"/>
          <w:highlight w:val="none"/>
        </w:rPr>
      </w:pPr>
      <w:r>
        <w:rPr>
          <w:rFonts w:hint="eastAsia" w:ascii="仿宋" w:hAnsi="仿宋" w:eastAsia="仿宋" w:cs="仿宋"/>
          <w:color w:val="auto"/>
          <w:highlight w:val="none"/>
        </w:rPr>
        <w:t>注：对于未列出的偏离内容视同供应商已完全接受竞争性磋商文件的要求，</w:t>
      </w:r>
      <w:r>
        <w:rPr>
          <w:rFonts w:hint="eastAsia" w:ascii="仿宋" w:hAnsi="仿宋" w:eastAsia="仿宋" w:cs="仿宋"/>
          <w:b/>
          <w:bCs/>
          <w:color w:val="auto"/>
          <w:highlight w:val="none"/>
        </w:rPr>
        <w:t>如全部满足，在偏离表中应答“全部满足”即可</w:t>
      </w:r>
      <w:r>
        <w:rPr>
          <w:rFonts w:hint="eastAsia" w:ascii="仿宋" w:hAnsi="仿宋" w:eastAsia="仿宋" w:cs="仿宋"/>
          <w:color w:val="auto"/>
          <w:highlight w:val="none"/>
        </w:rPr>
        <w:t>。</w:t>
      </w:r>
    </w:p>
    <w:p>
      <w:pPr>
        <w:spacing w:line="360" w:lineRule="auto"/>
        <w:ind w:left="480" w:hanging="420" w:hangingChars="200"/>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hint="eastAsia" w:ascii="仿宋" w:hAnsi="仿宋" w:eastAsia="仿宋" w:cs="仿宋"/>
          <w:color w:val="auto"/>
          <w:highlight w:val="none"/>
        </w:rPr>
      </w:pPr>
    </w:p>
    <w:p>
      <w:pPr>
        <w:pStyle w:val="4"/>
        <w:spacing w:before="0" w:after="0" w:line="360" w:lineRule="auto"/>
        <w:outlineLvl w:val="2"/>
        <w:rPr>
          <w:rFonts w:hint="eastAsia" w:ascii="仿宋" w:hAnsi="仿宋" w:eastAsia="仿宋" w:cs="仿宋"/>
          <w:color w:val="auto"/>
          <w:szCs w:val="24"/>
          <w:highlight w:val="none"/>
          <w:lang w:val="en-US" w:eastAsia="zh-CN"/>
        </w:rPr>
      </w:pPr>
      <w:bookmarkStart w:id="196" w:name="_Toc8284"/>
      <w:r>
        <w:rPr>
          <w:rFonts w:hint="eastAsia" w:ascii="仿宋" w:hAnsi="仿宋" w:eastAsia="仿宋" w:cs="仿宋"/>
          <w:color w:val="auto"/>
          <w:sz w:val="24"/>
          <w:szCs w:val="24"/>
          <w:highlight w:val="none"/>
          <w:lang w:bidi="ar"/>
        </w:rPr>
        <w:br w:type="page"/>
      </w:r>
      <w:bookmarkEnd w:id="196"/>
      <w:bookmarkStart w:id="197" w:name="_Toc30807"/>
      <w:bookmarkStart w:id="198" w:name="_Toc313"/>
      <w:bookmarkStart w:id="199" w:name="_Toc5372"/>
      <w:bookmarkStart w:id="200" w:name="_Toc22047"/>
      <w:bookmarkStart w:id="201" w:name="_Toc19384"/>
      <w:bookmarkStart w:id="202" w:name="_Toc517281860"/>
      <w:bookmarkStart w:id="203" w:name="_Toc444891358"/>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w:t>
      </w:r>
      <w:bookmarkEnd w:id="197"/>
      <w:bookmarkEnd w:id="198"/>
      <w:bookmarkEnd w:id="199"/>
      <w:bookmarkEnd w:id="200"/>
      <w:r>
        <w:rPr>
          <w:rFonts w:hint="eastAsia" w:ascii="仿宋" w:hAnsi="仿宋" w:eastAsia="仿宋" w:cs="仿宋"/>
          <w:color w:val="auto"/>
          <w:sz w:val="24"/>
          <w:szCs w:val="24"/>
          <w:highlight w:val="none"/>
          <w:lang w:val="en-US" w:eastAsia="zh-CN"/>
        </w:rPr>
        <w:t>管理方案</w:t>
      </w:r>
    </w:p>
    <w:p>
      <w:pPr>
        <w:spacing w:line="360" w:lineRule="auto"/>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在充分响应采购需求各项要求的基础上，编制</w:t>
      </w:r>
      <w:r>
        <w:rPr>
          <w:rFonts w:hint="eastAsia" w:ascii="仿宋" w:hAnsi="仿宋" w:eastAsia="仿宋" w:cs="仿宋"/>
          <w:color w:val="auto"/>
          <w:sz w:val="24"/>
          <w:highlight w:val="none"/>
          <w:lang w:eastAsia="zh-CN" w:bidi="ar"/>
        </w:rPr>
        <w:t>管理方案</w:t>
      </w:r>
      <w:r>
        <w:rPr>
          <w:rFonts w:hint="eastAsia" w:ascii="仿宋" w:hAnsi="仿宋" w:eastAsia="仿宋" w:cs="仿宋"/>
          <w:color w:val="auto"/>
          <w:sz w:val="24"/>
          <w:highlight w:val="none"/>
          <w:lang w:bidi="ar"/>
        </w:rPr>
        <w:t>，并提供采购需求要求的证书、资质、承诺等材料（如有要求时）。</w:t>
      </w:r>
    </w:p>
    <w:p>
      <w:pPr>
        <w:ind w:firstLine="420" w:firstLineChars="200"/>
        <w:rPr>
          <w:rFonts w:hint="eastAsia" w:ascii="仿宋" w:hAnsi="仿宋" w:eastAsia="仿宋" w:cs="仿宋"/>
          <w:color w:val="auto"/>
          <w:sz w:val="24"/>
          <w:highlight w:val="none"/>
          <w:lang w:bidi="ar"/>
        </w:rPr>
      </w:pPr>
      <w:r>
        <w:rPr>
          <w:rFonts w:hint="eastAsia" w:ascii="仿宋" w:hAnsi="仿宋" w:eastAsia="仿宋" w:cs="仿宋"/>
          <w:color w:val="auto"/>
          <w:highlight w:val="none"/>
          <w:lang w:eastAsia="zh-CN" w:bidi="ar"/>
        </w:rPr>
        <w:t>管理方案</w:t>
      </w:r>
      <w:r>
        <w:rPr>
          <w:rFonts w:hint="eastAsia" w:ascii="仿宋" w:hAnsi="仿宋" w:eastAsia="仿宋" w:cs="仿宋"/>
          <w:color w:val="auto"/>
          <w:highlight w:val="none"/>
          <w:lang w:bidi="ar"/>
        </w:rPr>
        <w:t>包括但不限于：服务人员行为规范、保密制度、安全管理制度、数据管理流程。</w:t>
      </w:r>
      <w:r>
        <w:rPr>
          <w:rFonts w:hint="eastAsia" w:ascii="仿宋" w:hAnsi="仿宋" w:eastAsia="仿宋" w:cs="仿宋"/>
          <w:color w:val="auto"/>
          <w:sz w:val="24"/>
          <w:highlight w:val="none"/>
          <w:lang w:bidi="ar"/>
        </w:rPr>
        <w:br w:type="page"/>
      </w:r>
    </w:p>
    <w:p>
      <w:pPr>
        <w:pStyle w:val="4"/>
        <w:spacing w:before="0" w:after="0" w:line="360" w:lineRule="auto"/>
        <w:outlineLvl w:val="2"/>
        <w:rPr>
          <w:rFonts w:hint="eastAsia" w:ascii="仿宋" w:hAnsi="仿宋" w:eastAsia="仿宋" w:cs="仿宋"/>
          <w:color w:val="auto"/>
          <w:szCs w:val="24"/>
          <w:highlight w:val="none"/>
          <w:lang w:val="en-US" w:eastAsia="zh-CN"/>
        </w:rPr>
      </w:pPr>
      <w:bookmarkStart w:id="204" w:name="_Toc21263"/>
      <w:bookmarkStart w:id="205" w:name="_Toc18045"/>
      <w:bookmarkStart w:id="206" w:name="_Toc3134"/>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w:t>
      </w:r>
      <w:bookmarkEnd w:id="204"/>
      <w:bookmarkEnd w:id="205"/>
      <w:bookmarkEnd w:id="206"/>
      <w:r>
        <w:rPr>
          <w:rFonts w:hint="eastAsia" w:ascii="仿宋" w:hAnsi="仿宋" w:eastAsia="仿宋" w:cs="仿宋"/>
          <w:color w:val="auto"/>
          <w:sz w:val="24"/>
          <w:szCs w:val="24"/>
          <w:highlight w:val="none"/>
          <w:lang w:val="en-US" w:eastAsia="zh-CN"/>
        </w:rPr>
        <w:t>总体服务方案</w:t>
      </w:r>
    </w:p>
    <w:p>
      <w:pPr>
        <w:spacing w:line="360" w:lineRule="auto"/>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在充分响应采购需求各项要求的基础上，编制项目总体服务方案，并提供采购需求要求的证书、资质、承诺等材料（如有要求时）。</w:t>
      </w:r>
    </w:p>
    <w:p>
      <w:pPr>
        <w:spacing w:before="0" w:after="0"/>
        <w:ind w:left="0"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总体服务方案包括但不限于：服务流程设计、服务保障、投放策略、落地执行流程、质量监控机制。</w:t>
      </w:r>
      <w:r>
        <w:rPr>
          <w:rFonts w:hint="eastAsia" w:ascii="仿宋" w:hAnsi="仿宋" w:eastAsia="仿宋" w:cs="仿宋"/>
          <w:color w:val="auto"/>
          <w:sz w:val="24"/>
          <w:highlight w:val="none"/>
          <w:lang w:bidi="ar"/>
        </w:rPr>
        <w:br w:type="page"/>
      </w:r>
    </w:p>
    <w:bookmarkEnd w:id="201"/>
    <w:p>
      <w:pPr>
        <w:pStyle w:val="4"/>
        <w:spacing w:before="0" w:after="0" w:line="360" w:lineRule="auto"/>
        <w:outlineLvl w:val="2"/>
        <w:rPr>
          <w:rFonts w:hint="eastAsia" w:ascii="仿宋" w:hAnsi="仿宋" w:eastAsia="仿宋" w:cs="仿宋"/>
          <w:color w:val="auto"/>
          <w:szCs w:val="24"/>
          <w:highlight w:val="none"/>
          <w:lang w:val="en-US" w:eastAsia="zh-CN"/>
        </w:rPr>
      </w:pPr>
      <w:bookmarkStart w:id="207" w:name="_Toc21377"/>
      <w:bookmarkStart w:id="208" w:name="_Toc21990"/>
      <w:bookmarkStart w:id="209" w:name="_Toc25217"/>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w:t>
      </w:r>
      <w:bookmarkEnd w:id="207"/>
      <w:bookmarkEnd w:id="208"/>
      <w:bookmarkEnd w:id="209"/>
      <w:r>
        <w:rPr>
          <w:rFonts w:hint="eastAsia" w:ascii="仿宋" w:hAnsi="仿宋" w:eastAsia="仿宋" w:cs="仿宋"/>
          <w:color w:val="auto"/>
          <w:sz w:val="24"/>
          <w:szCs w:val="24"/>
          <w:highlight w:val="none"/>
          <w:lang w:val="en-US" w:eastAsia="zh-CN"/>
        </w:rPr>
        <w:t>应急处理预案</w:t>
      </w:r>
    </w:p>
    <w:p>
      <w:pPr>
        <w:spacing w:line="360" w:lineRule="auto"/>
        <w:ind w:firstLine="420" w:firstLineChars="200"/>
        <w:rPr>
          <w:rFonts w:hint="eastAsia" w:ascii="仿宋" w:hAnsi="仿宋" w:eastAsia="仿宋" w:cs="仿宋"/>
          <w:color w:val="auto"/>
          <w:highlight w:val="none"/>
          <w:lang w:bidi="ar"/>
        </w:rPr>
      </w:pPr>
      <w:r>
        <w:rPr>
          <w:rFonts w:hint="eastAsia" w:ascii="仿宋" w:hAnsi="仿宋" w:eastAsia="仿宋" w:cs="仿宋"/>
          <w:color w:val="auto"/>
          <w:highlight w:val="none"/>
          <w:lang w:bidi="ar"/>
        </w:rPr>
        <w:t>在充分响应采购需求各项要求的基础上，编制项目应急处理预案，并提供采购需求要求的证书、资质、承诺等材料（如有要求时）。</w:t>
      </w:r>
    </w:p>
    <w:p>
      <w:pPr>
        <w:spacing w:line="360" w:lineRule="auto"/>
        <w:ind w:firstLine="420" w:firstLineChars="200"/>
        <w:rPr>
          <w:rFonts w:hint="eastAsia" w:ascii="仿宋" w:hAnsi="仿宋" w:eastAsia="仿宋" w:cs="仿宋"/>
          <w:color w:val="auto"/>
          <w:sz w:val="24"/>
          <w:highlight w:val="none"/>
          <w:lang w:bidi="ar"/>
        </w:rPr>
      </w:pPr>
      <w:r>
        <w:rPr>
          <w:rFonts w:hint="eastAsia" w:ascii="仿宋" w:hAnsi="仿宋" w:eastAsia="仿宋" w:cs="仿宋"/>
          <w:color w:val="auto"/>
          <w:highlight w:val="none"/>
          <w:lang w:bidi="ar"/>
        </w:rPr>
        <w:t>重难点分析包括但不限于：社区重大活动、设备人为损坏或自然故障等各类意外情形处理等内容。</w:t>
      </w:r>
    </w:p>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br w:type="page"/>
      </w:r>
    </w:p>
    <w:p>
      <w:pPr>
        <w:pStyle w:val="4"/>
        <w:spacing w:before="0" w:after="0" w:line="360" w:lineRule="auto"/>
        <w:rPr>
          <w:rFonts w:hint="eastAsia" w:ascii="仿宋" w:hAnsi="仿宋" w:eastAsia="仿宋" w:cs="仿宋"/>
          <w:color w:val="auto"/>
          <w:sz w:val="24"/>
          <w:szCs w:val="24"/>
          <w:highlight w:val="none"/>
        </w:rPr>
      </w:pPr>
      <w:bookmarkStart w:id="210" w:name="_Toc4101"/>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拟派服务团队成员汇总表</w:t>
      </w:r>
      <w:bookmarkEnd w:id="210"/>
    </w:p>
    <w:tbl>
      <w:tblPr>
        <w:tblStyle w:val="15"/>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260"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姓名</w:t>
            </w:r>
          </w:p>
        </w:tc>
        <w:tc>
          <w:tcPr>
            <w:tcW w:w="851"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980"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专业资质</w:t>
            </w:r>
          </w:p>
        </w:tc>
        <w:tc>
          <w:tcPr>
            <w:tcW w:w="992"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工作年限</w:t>
            </w:r>
          </w:p>
        </w:tc>
        <w:tc>
          <w:tcPr>
            <w:tcW w:w="1276"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本项目职务</w:t>
            </w:r>
          </w:p>
        </w:tc>
        <w:tc>
          <w:tcPr>
            <w:tcW w:w="1134"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服务内容</w:t>
            </w:r>
          </w:p>
        </w:tc>
        <w:tc>
          <w:tcPr>
            <w:tcW w:w="1695"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bl>
    <w:p>
      <w:pPr>
        <w:adjustRightInd w:val="0"/>
        <w:snapToGrid w:val="0"/>
        <w:spacing w:before="240" w:line="360" w:lineRule="auto"/>
        <w:ind w:firstLine="422" w:firstLineChars="200"/>
        <w:rPr>
          <w:rFonts w:hint="eastAsia" w:ascii="仿宋" w:hAnsi="仿宋" w:eastAsia="仿宋" w:cs="仿宋"/>
          <w:b/>
          <w:bCs/>
          <w:color w:val="auto"/>
          <w:highlight w:val="none"/>
        </w:rPr>
      </w:pPr>
      <w:r>
        <w:rPr>
          <w:rFonts w:hint="eastAsia" w:ascii="仿宋" w:hAnsi="仿宋" w:eastAsia="仿宋" w:cs="仿宋"/>
          <w:b/>
          <w:bCs/>
          <w:color w:val="auto"/>
          <w:highlight w:val="none"/>
        </w:rPr>
        <w:t>注：需按照采购需求</w:t>
      </w:r>
      <w:r>
        <w:rPr>
          <w:rFonts w:hint="eastAsia" w:ascii="仿宋" w:hAnsi="仿宋" w:eastAsia="仿宋" w:cs="仿宋"/>
          <w:b/>
          <w:bCs/>
          <w:color w:val="auto"/>
          <w:highlight w:val="none"/>
          <w:lang w:val="en-US" w:eastAsia="zh-CN"/>
        </w:rPr>
        <w:t>和详细评分</w:t>
      </w:r>
      <w:r>
        <w:rPr>
          <w:rFonts w:hint="eastAsia" w:ascii="仿宋" w:hAnsi="仿宋" w:eastAsia="仿宋" w:cs="仿宋"/>
          <w:b/>
          <w:bCs/>
          <w:color w:val="auto"/>
          <w:highlight w:val="none"/>
        </w:rPr>
        <w:t>中的相关要求，列明本项目服务团队所有人员信息及职责分工。</w:t>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5.1</w:t>
      </w:r>
      <w:r>
        <w:rPr>
          <w:rFonts w:hint="eastAsia" w:ascii="仿宋" w:hAnsi="仿宋" w:eastAsia="仿宋" w:cs="仿宋"/>
          <w:color w:val="auto"/>
          <w:sz w:val="24"/>
          <w:szCs w:val="24"/>
          <w:highlight w:val="none"/>
        </w:rPr>
        <w:t>拟派团队成员简历表</w:t>
      </w:r>
    </w:p>
    <w:tbl>
      <w:tblPr>
        <w:tblStyle w:val="15"/>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姓  名</w:t>
            </w:r>
          </w:p>
        </w:tc>
        <w:tc>
          <w:tcPr>
            <w:tcW w:w="1680" w:type="dxa"/>
            <w:gridSpan w:val="3"/>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p>
        </w:tc>
        <w:tc>
          <w:tcPr>
            <w:tcW w:w="945"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性 别</w:t>
            </w:r>
          </w:p>
        </w:tc>
        <w:tc>
          <w:tcPr>
            <w:tcW w:w="945"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1854"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出 生 日 期</w:t>
            </w:r>
          </w:p>
        </w:tc>
        <w:tc>
          <w:tcPr>
            <w:tcW w:w="2694"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毕业院校及专业</w:t>
            </w:r>
          </w:p>
        </w:tc>
        <w:tc>
          <w:tcPr>
            <w:tcW w:w="3570" w:type="dxa"/>
            <w:gridSpan w:val="6"/>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1854" w:type="dxa"/>
            <w:gridSpan w:val="2"/>
            <w:vAlign w:val="center"/>
          </w:tcPr>
          <w:p>
            <w:pPr>
              <w:keepNext w:val="0"/>
              <w:keepLines w:val="0"/>
              <w:widowControl/>
              <w:suppressLineNumbers w:val="0"/>
              <w:spacing w:before="0" w:beforeAutospacing="0" w:after="0" w:afterAutospacing="0"/>
              <w:ind w:left="-18" w:right="0"/>
              <w:jc w:val="center"/>
              <w:rPr>
                <w:rFonts w:hint="eastAsia" w:ascii="仿宋" w:hAnsi="仿宋" w:eastAsia="仿宋" w:cs="仿宋"/>
                <w:color w:val="auto"/>
                <w:highlight w:val="none"/>
              </w:rPr>
            </w:pPr>
            <w:r>
              <w:rPr>
                <w:rFonts w:hint="eastAsia" w:ascii="仿宋" w:hAnsi="仿宋" w:eastAsia="仿宋" w:cs="仿宋"/>
                <w:color w:val="auto"/>
                <w:highlight w:val="none"/>
              </w:rPr>
              <w:t>学历</w:t>
            </w:r>
          </w:p>
        </w:tc>
        <w:tc>
          <w:tcPr>
            <w:tcW w:w="2694" w:type="dxa"/>
            <w:vAlign w:val="center"/>
          </w:tcPr>
          <w:p>
            <w:pPr>
              <w:keepNext w:val="0"/>
              <w:keepLines w:val="0"/>
              <w:widowControl/>
              <w:suppressLineNumbers w:val="0"/>
              <w:spacing w:before="0" w:beforeAutospacing="0" w:after="0" w:afterAutospacing="0"/>
              <w:ind w:left="45" w:right="0"/>
              <w:rPr>
                <w:rFonts w:hint="eastAsia" w:ascii="仿宋" w:hAnsi="仿宋" w:eastAsia="仿宋" w:cs="仿宋"/>
                <w:color w:val="auto"/>
                <w:highlight w:val="none"/>
              </w:rPr>
            </w:pPr>
            <w:r>
              <w:rPr>
                <w:rFonts w:hint="eastAsia" w:ascii="仿宋" w:hAnsi="仿宋" w:eastAsia="仿宋" w:cs="仿宋"/>
                <w:color w:val="auto"/>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工作年限</w:t>
            </w:r>
          </w:p>
        </w:tc>
        <w:tc>
          <w:tcPr>
            <w:tcW w:w="1974"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2835" w:type="dxa"/>
            <w:gridSpan w:val="4"/>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为供应商服务时间</w:t>
            </w:r>
          </w:p>
        </w:tc>
        <w:tc>
          <w:tcPr>
            <w:tcW w:w="2694"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专业资质</w:t>
            </w:r>
          </w:p>
        </w:tc>
        <w:tc>
          <w:tcPr>
            <w:tcW w:w="1974"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2835" w:type="dxa"/>
            <w:gridSpan w:val="4"/>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在本项目中的职务</w:t>
            </w:r>
          </w:p>
        </w:tc>
        <w:tc>
          <w:tcPr>
            <w:tcW w:w="2694"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keepNext w:val="0"/>
              <w:keepLines w:val="0"/>
              <w:widowControl/>
              <w:suppressLineNumbers w:val="0"/>
              <w:spacing w:before="0" w:beforeAutospacing="0" w:after="0" w:afterAutospacing="0"/>
              <w:ind w:left="0" w:right="0" w:firstLine="2940" w:firstLineChars="1400"/>
              <w:rPr>
                <w:rFonts w:hint="eastAsia" w:ascii="仿宋" w:hAnsi="仿宋" w:eastAsia="仿宋" w:cs="仿宋"/>
                <w:color w:val="auto"/>
                <w:highlight w:val="none"/>
              </w:rPr>
            </w:pPr>
            <w:r>
              <w:rPr>
                <w:rFonts w:hint="eastAsia" w:ascii="仿宋" w:hAnsi="仿宋" w:eastAsia="仿宋" w:cs="仿宋"/>
                <w:color w:val="auto"/>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时   间</w:t>
            </w:r>
          </w:p>
        </w:tc>
        <w:tc>
          <w:tcPr>
            <w:tcW w:w="4536" w:type="dxa"/>
            <w:gridSpan w:val="6"/>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同类项目名称及简要描述</w:t>
            </w:r>
          </w:p>
        </w:tc>
        <w:tc>
          <w:tcPr>
            <w:tcW w:w="3261"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bl>
    <w:p>
      <w:pPr>
        <w:spacing w:before="240"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注：</w:t>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1、需随此表附上团队成员的身份证、毕业证、专业资质证书、同类项目实施经验证明等材料。</w:t>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2、“先附简历、再附材料”为一个人员的完整材料，人员简历排放顺序需与人员汇总表一致。</w:t>
      </w:r>
    </w:p>
    <w:p>
      <w:pPr>
        <w:spacing w:line="360" w:lineRule="auto"/>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bookmarkStart w:id="211" w:name="_Toc11543"/>
      <w:bookmarkStart w:id="212" w:name="_Toc32558"/>
      <w:bookmarkStart w:id="213" w:name="_Toc20365"/>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pPr>
        <w:pStyle w:val="4"/>
        <w:spacing w:before="0" w:after="0" w:line="360" w:lineRule="auto"/>
        <w:rPr>
          <w:rFonts w:hint="eastAsia" w:ascii="仿宋" w:hAnsi="仿宋" w:eastAsia="仿宋" w:cs="仿宋"/>
          <w:color w:val="auto"/>
          <w:sz w:val="24"/>
          <w:szCs w:val="24"/>
          <w:highlight w:val="none"/>
          <w:lang w:val="en-US" w:eastAsia="zh-CN"/>
        </w:rPr>
      </w:pPr>
      <w:bookmarkStart w:id="214" w:name="_Toc26624"/>
      <w:r>
        <w:rPr>
          <w:rFonts w:hint="eastAsia" w:ascii="仿宋" w:hAnsi="仿宋" w:eastAsia="仿宋" w:cs="仿宋"/>
          <w:color w:val="auto"/>
          <w:sz w:val="24"/>
          <w:szCs w:val="24"/>
          <w:highlight w:val="none"/>
          <w:lang w:val="en-US" w:eastAsia="zh-CN"/>
        </w:rPr>
        <w:t>（六）增值服务</w:t>
      </w:r>
      <w:bookmarkEnd w:id="211"/>
      <w:bookmarkEnd w:id="214"/>
    </w:p>
    <w:bookmarkEnd w:id="212"/>
    <w:p>
      <w:pPr>
        <w:spacing w:line="360" w:lineRule="auto"/>
        <w:ind w:firstLine="480" w:firstLineChars="200"/>
        <w:rPr>
          <w:rFonts w:hint="eastAsia" w:ascii="仿宋" w:hAnsi="仿宋" w:eastAsia="仿宋" w:cs="仿宋"/>
          <w:color w:val="auto"/>
          <w:sz w:val="24"/>
          <w:szCs w:val="24"/>
          <w:highlight w:val="none"/>
        </w:rPr>
      </w:pPr>
      <w:bookmarkStart w:id="215" w:name="_Toc23178"/>
      <w:bookmarkStart w:id="216" w:name="_Toc3636"/>
      <w:r>
        <w:rPr>
          <w:rFonts w:hint="eastAsia" w:ascii="仿宋" w:hAnsi="仿宋" w:eastAsia="仿宋" w:cs="仿宋"/>
          <w:color w:val="auto"/>
          <w:sz w:val="24"/>
          <w:szCs w:val="24"/>
          <w:highlight w:val="none"/>
        </w:rPr>
        <w:t>供应商需根据详细评审要求，自行提供相关材料。</w:t>
      </w:r>
      <w:bookmarkEnd w:id="215"/>
      <w:bookmarkEnd w:id="216"/>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bookmarkEnd w:id="202"/>
    <w:bookmarkEnd w:id="203"/>
    <w:p>
      <w:pPr>
        <w:pStyle w:val="4"/>
        <w:numPr>
          <w:ilvl w:val="0"/>
          <w:numId w:val="0"/>
        </w:numPr>
        <w:spacing w:before="0" w:after="0" w:line="360" w:lineRule="auto"/>
        <w:rPr>
          <w:rFonts w:hint="eastAsia" w:ascii="仿宋" w:hAnsi="仿宋" w:eastAsia="仿宋" w:cs="仿宋"/>
          <w:color w:val="auto"/>
          <w:sz w:val="24"/>
          <w:szCs w:val="24"/>
          <w:highlight w:val="none"/>
        </w:rPr>
      </w:pPr>
      <w:bookmarkStart w:id="217" w:name="_Toc10795"/>
      <w:r>
        <w:rPr>
          <w:rFonts w:hint="eastAsia" w:ascii="仿宋" w:hAnsi="仿宋" w:eastAsia="仿宋" w:cs="仿宋"/>
          <w:b/>
          <w:bCs/>
          <w:color w:val="auto"/>
          <w:sz w:val="24"/>
          <w:szCs w:val="24"/>
          <w:highlight w:val="none"/>
          <w:lang w:val="en-US" w:eastAsia="zh-CN" w:bidi="ar-SA"/>
        </w:rPr>
        <w:t>（七）</w:t>
      </w:r>
      <w:r>
        <w:rPr>
          <w:rFonts w:hint="eastAsia" w:ascii="仿宋" w:hAnsi="仿宋" w:eastAsia="仿宋" w:cs="仿宋"/>
          <w:color w:val="auto"/>
          <w:sz w:val="24"/>
          <w:szCs w:val="24"/>
          <w:highlight w:val="none"/>
        </w:rPr>
        <w:t>其他材料</w:t>
      </w:r>
      <w:bookmarkEnd w:id="213"/>
      <w:bookmarkEnd w:id="217"/>
      <w:r>
        <w:rPr>
          <w:rFonts w:hint="eastAsia" w:ascii="仿宋" w:hAnsi="仿宋" w:eastAsia="仿宋" w:cs="仿宋"/>
          <w:color w:val="auto"/>
          <w:sz w:val="24"/>
          <w:szCs w:val="24"/>
          <w:highlight w:val="none"/>
        </w:rPr>
        <w:t>（如有）</w:t>
      </w:r>
    </w:p>
    <w:p>
      <w:pPr>
        <w:numPr>
          <w:ilvl w:val="0"/>
          <w:numId w:val="0"/>
        </w:numPr>
        <w:spacing w:before="0" w:after="0"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供应商认为需提供的其他材料</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rPr>
        <w:br w:type="page"/>
      </w:r>
      <w:bookmarkStart w:id="218" w:name="_Toc20443"/>
    </w:p>
    <w:p>
      <w:pPr>
        <w:numPr>
          <w:ilvl w:val="0"/>
          <w:numId w:val="0"/>
        </w:numPr>
        <w:spacing w:before="0" w:after="0" w:line="360" w:lineRule="auto"/>
        <w:outlineLvl w:val="1"/>
        <w:rPr>
          <w:rFonts w:hint="eastAsia" w:ascii="仿宋" w:hAnsi="仿宋" w:eastAsia="仿宋" w:cs="仿宋"/>
          <w:color w:val="auto"/>
          <w:sz w:val="24"/>
          <w:szCs w:val="24"/>
          <w:highlight w:val="none"/>
        </w:rPr>
      </w:pPr>
      <w:bookmarkStart w:id="219" w:name="_Toc586"/>
      <w:r>
        <w:rPr>
          <w:rFonts w:hint="eastAsia" w:ascii="仿宋" w:hAnsi="仿宋" w:eastAsia="仿宋" w:cs="仿宋"/>
          <w:b/>
          <w:bCs/>
          <w:iCs/>
          <w:color w:val="auto"/>
          <w:sz w:val="24"/>
          <w:szCs w:val="24"/>
          <w:highlight w:val="none"/>
          <w:lang w:val="en-US" w:eastAsia="zh-CN" w:bidi="ar-SA"/>
        </w:rPr>
        <w:t>三、报价文件</w:t>
      </w:r>
      <w:bookmarkEnd w:id="218"/>
      <w:bookmarkEnd w:id="219"/>
    </w:p>
    <w:p>
      <w:pPr>
        <w:pStyle w:val="4"/>
        <w:spacing w:before="0" w:after="0" w:line="360" w:lineRule="auto"/>
        <w:ind w:firstLine="482"/>
        <w:jc w:val="center"/>
        <w:rPr>
          <w:rFonts w:hint="eastAsia" w:ascii="仿宋" w:hAnsi="仿宋" w:eastAsia="仿宋" w:cs="仿宋"/>
          <w:color w:val="auto"/>
          <w:sz w:val="24"/>
          <w:szCs w:val="24"/>
          <w:highlight w:val="none"/>
        </w:rPr>
      </w:pPr>
      <w:bookmarkStart w:id="220" w:name="_Toc511726864"/>
      <w:bookmarkStart w:id="221" w:name="_Toc18942"/>
      <w:bookmarkStart w:id="222" w:name="_Toc26427"/>
      <w:r>
        <w:rPr>
          <w:rFonts w:hint="eastAsia" w:ascii="仿宋" w:hAnsi="仿宋" w:eastAsia="仿宋" w:cs="仿宋"/>
          <w:color w:val="auto"/>
          <w:sz w:val="24"/>
          <w:szCs w:val="24"/>
          <w:highlight w:val="none"/>
        </w:rPr>
        <w:t>（一）报价</w:t>
      </w:r>
      <w:bookmarkEnd w:id="220"/>
      <w:r>
        <w:rPr>
          <w:rFonts w:hint="eastAsia" w:ascii="仿宋" w:hAnsi="仿宋" w:eastAsia="仿宋" w:cs="仿宋"/>
          <w:color w:val="auto"/>
          <w:sz w:val="24"/>
          <w:szCs w:val="24"/>
          <w:highlight w:val="none"/>
        </w:rPr>
        <w:t>一览表</w:t>
      </w:r>
      <w:bookmarkEnd w:id="221"/>
      <w:bookmarkEnd w:id="222"/>
    </w:p>
    <w:p>
      <w:pPr>
        <w:pStyle w:val="6"/>
        <w:spacing w:line="360" w:lineRule="auto"/>
        <w:ind w:hanging="14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lang w:val="en-US" w:eastAsia="zh-CN"/>
        </w:rPr>
        <w:t>人保财险四川省成都市都江堰支公司“邻里相伴，人保护航”丰巢屏保宣传服务采购项目</w:t>
      </w:r>
      <w:r>
        <w:rPr>
          <w:rFonts w:hint="eastAsia" w:ascii="仿宋" w:hAnsi="仿宋" w:eastAsia="仿宋" w:cs="仿宋"/>
          <w:color w:val="auto"/>
          <w:sz w:val="24"/>
          <w:szCs w:val="24"/>
          <w:highlight w:val="none"/>
        </w:rPr>
        <w:t xml:space="preserve">  </w:t>
      </w:r>
    </w:p>
    <w:p>
      <w:pPr>
        <w:pStyle w:val="6"/>
        <w:spacing w:line="360" w:lineRule="auto"/>
        <w:ind w:hanging="142"/>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货币单位：</w:t>
      </w:r>
      <w:r>
        <w:rPr>
          <w:rFonts w:hint="eastAsia" w:ascii="仿宋" w:hAnsi="仿宋" w:eastAsia="仿宋" w:cs="仿宋"/>
          <w:color w:val="auto"/>
          <w:sz w:val="24"/>
          <w:szCs w:val="24"/>
          <w:highlight w:val="none"/>
          <w:u w:val="single"/>
        </w:rPr>
        <w:t xml:space="preserve"> 人民币元    </w:t>
      </w:r>
    </w:p>
    <w:tbl>
      <w:tblPr>
        <w:tblStyle w:val="15"/>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2712"/>
        <w:gridCol w:w="1628"/>
        <w:gridCol w:w="1660"/>
        <w:gridCol w:w="1475"/>
        <w:gridCol w:w="14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blHeader/>
          <w:jc w:val="center"/>
        </w:trPr>
        <w:tc>
          <w:tcPr>
            <w:tcW w:w="739"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序号</w:t>
            </w:r>
          </w:p>
        </w:tc>
        <w:tc>
          <w:tcPr>
            <w:tcW w:w="2712"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报价内容</w:t>
            </w:r>
          </w:p>
        </w:tc>
        <w:tc>
          <w:tcPr>
            <w:tcW w:w="1628"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auto"/>
                <w:sz w:val="24"/>
                <w:szCs w:val="21"/>
                <w:highlight w:val="none"/>
                <w:lang w:val="en-US" w:eastAsia="zh-CN"/>
              </w:rPr>
            </w:pPr>
            <w:r>
              <w:rPr>
                <w:rFonts w:hint="eastAsia" w:ascii="仿宋" w:hAnsi="仿宋" w:eastAsia="仿宋" w:cs="仿宋"/>
                <w:b/>
                <w:color w:val="auto"/>
                <w:szCs w:val="21"/>
                <w:highlight w:val="none"/>
              </w:rPr>
              <w:t>数量(</w:t>
            </w:r>
            <w:r>
              <w:rPr>
                <w:rFonts w:hint="eastAsia" w:ascii="仿宋" w:hAnsi="仿宋" w:eastAsia="仿宋" w:cs="仿宋"/>
                <w:b/>
                <w:color w:val="auto"/>
                <w:szCs w:val="21"/>
                <w:highlight w:val="none"/>
                <w:lang w:eastAsia="zh-CN"/>
              </w:rPr>
              <w:t>个</w:t>
            </w:r>
            <w:r>
              <w:rPr>
                <w:rFonts w:hint="eastAsia" w:ascii="仿宋" w:hAnsi="仿宋" w:eastAsia="仿宋" w:cs="仿宋"/>
                <w:b/>
                <w:color w:val="auto"/>
                <w:szCs w:val="21"/>
                <w:highlight w:val="none"/>
              </w:rPr>
              <w:t>数*周数）</w:t>
            </w:r>
          </w:p>
        </w:tc>
        <w:tc>
          <w:tcPr>
            <w:tcW w:w="1660"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b/>
                <w:color w:val="auto"/>
                <w:szCs w:val="21"/>
                <w:highlight w:val="none"/>
              </w:rPr>
            </w:pPr>
            <w:r>
              <w:rPr>
                <w:rFonts w:hint="eastAsia" w:ascii="仿宋" w:hAnsi="仿宋" w:eastAsia="仿宋" w:cs="仿宋"/>
                <w:b/>
                <w:color w:val="auto"/>
                <w:szCs w:val="21"/>
                <w:highlight w:val="none"/>
              </w:rPr>
              <w:t>含税单价</w:t>
            </w:r>
          </w:p>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auto"/>
                <w:sz w:val="24"/>
                <w:szCs w:val="21"/>
                <w:highlight w:val="none"/>
                <w:lang w:val="en-US" w:eastAsia="zh-CN"/>
              </w:rPr>
            </w:pPr>
            <w:r>
              <w:rPr>
                <w:rFonts w:hint="eastAsia" w:ascii="仿宋" w:hAnsi="仿宋" w:eastAsia="仿宋" w:cs="仿宋"/>
                <w:b/>
                <w:color w:val="auto"/>
                <w:szCs w:val="21"/>
                <w:highlight w:val="none"/>
              </w:rPr>
              <w:t>（元/</w:t>
            </w:r>
            <w:r>
              <w:rPr>
                <w:rFonts w:hint="eastAsia" w:ascii="仿宋" w:hAnsi="仿宋" w:eastAsia="仿宋" w:cs="仿宋"/>
                <w:b/>
                <w:color w:val="auto"/>
                <w:szCs w:val="21"/>
                <w:highlight w:val="none"/>
                <w:lang w:eastAsia="zh-CN"/>
              </w:rPr>
              <w:t>个</w:t>
            </w:r>
            <w:r>
              <w:rPr>
                <w:rFonts w:hint="eastAsia" w:ascii="仿宋" w:hAnsi="仿宋" w:eastAsia="仿宋" w:cs="仿宋"/>
                <w:b/>
                <w:color w:val="auto"/>
                <w:szCs w:val="21"/>
                <w:highlight w:val="none"/>
              </w:rPr>
              <w:t>/周）</w:t>
            </w:r>
          </w:p>
        </w:tc>
        <w:tc>
          <w:tcPr>
            <w:tcW w:w="1475"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auto"/>
                <w:sz w:val="24"/>
                <w:szCs w:val="21"/>
                <w:highlight w:val="none"/>
                <w:lang w:val="en-US" w:eastAsia="zh-CN"/>
              </w:rPr>
            </w:pPr>
            <w:r>
              <w:rPr>
                <w:rFonts w:hint="eastAsia" w:ascii="仿宋" w:hAnsi="仿宋" w:eastAsia="仿宋" w:cs="仿宋"/>
                <w:b/>
                <w:color w:val="auto"/>
                <w:sz w:val="24"/>
                <w:szCs w:val="21"/>
                <w:highlight w:val="none"/>
                <w:lang w:val="en-US" w:eastAsia="zh-CN"/>
              </w:rPr>
              <w:t>不含税总价</w:t>
            </w:r>
          </w:p>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b/>
                <w:color w:val="auto"/>
                <w:sz w:val="24"/>
                <w:szCs w:val="21"/>
                <w:highlight w:val="none"/>
                <w:lang w:val="en-US" w:eastAsia="zh-CN"/>
              </w:rPr>
            </w:pPr>
            <w:r>
              <w:rPr>
                <w:rFonts w:hint="eastAsia" w:ascii="仿宋" w:hAnsi="仿宋" w:eastAsia="仿宋" w:cs="仿宋"/>
                <w:b/>
                <w:color w:val="auto"/>
                <w:sz w:val="24"/>
                <w:szCs w:val="21"/>
                <w:highlight w:val="none"/>
                <w:lang w:val="en-US" w:eastAsia="zh-CN"/>
              </w:rPr>
              <w:t>（元）</w:t>
            </w:r>
          </w:p>
        </w:tc>
        <w:tc>
          <w:tcPr>
            <w:tcW w:w="1464"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含税</w:t>
            </w:r>
            <w:r>
              <w:rPr>
                <w:rFonts w:hint="eastAsia" w:ascii="仿宋" w:hAnsi="仿宋" w:eastAsia="仿宋" w:cs="仿宋"/>
                <w:b/>
                <w:bCs/>
                <w:color w:val="auto"/>
                <w:sz w:val="24"/>
                <w:szCs w:val="21"/>
                <w:highlight w:val="none"/>
                <w:lang w:val="en-US" w:eastAsia="zh-CN"/>
              </w:rPr>
              <w:t>总价</w:t>
            </w:r>
          </w:p>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color w:val="auto"/>
                <w:sz w:val="24"/>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6" w:hRule="atLeast"/>
          <w:jc w:val="center"/>
        </w:trPr>
        <w:tc>
          <w:tcPr>
            <w:tcW w:w="739"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p>
        </w:tc>
        <w:tc>
          <w:tcPr>
            <w:tcW w:w="2712"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人保财险四川省成都市都江堰支公司“邻里相伴，人保护航”丰巢屏保宣传服务采购项目</w:t>
            </w:r>
          </w:p>
        </w:tc>
        <w:tc>
          <w:tcPr>
            <w:tcW w:w="1628"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500个*6周</w:t>
            </w:r>
          </w:p>
        </w:tc>
        <w:tc>
          <w:tcPr>
            <w:tcW w:w="1660"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p>
        </w:tc>
        <w:tc>
          <w:tcPr>
            <w:tcW w:w="1475"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p>
        </w:tc>
        <w:tc>
          <w:tcPr>
            <w:tcW w:w="1464"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5079" w:type="dxa"/>
            <w:gridSpan w:val="3"/>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增值税发票类型</w:t>
            </w:r>
          </w:p>
        </w:tc>
        <w:tc>
          <w:tcPr>
            <w:tcW w:w="4599" w:type="dxa"/>
            <w:gridSpan w:val="3"/>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en-US" w:eastAsia="zh-CN"/>
              </w:rPr>
              <w:t>□增值税专用发票  □增值税普通发票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5079" w:type="dxa"/>
            <w:gridSpan w:val="3"/>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增值税税率</w:t>
            </w:r>
          </w:p>
        </w:tc>
        <w:tc>
          <w:tcPr>
            <w:tcW w:w="4599" w:type="dxa"/>
            <w:gridSpan w:val="3"/>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color w:val="auto"/>
                <w:szCs w:val="21"/>
                <w:highlight w:val="none"/>
                <w:lang w:val="en-US" w:eastAsia="zh-CN"/>
              </w:rPr>
            </w:pPr>
            <w:r>
              <w:rPr>
                <w:rFonts w:hint="eastAsia" w:ascii="仿宋" w:hAnsi="仿宋" w:eastAsia="仿宋" w:cs="仿宋"/>
                <w:b/>
                <w:bCs/>
                <w:color w:val="auto"/>
                <w:szCs w:val="21"/>
                <w:highlight w:val="none"/>
                <w:lang w:val="en-US" w:eastAsia="zh-CN"/>
              </w:rPr>
              <w:t>XX%</w:t>
            </w:r>
          </w:p>
        </w:tc>
      </w:tr>
    </w:tbl>
    <w:p>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备注：</w:t>
      </w:r>
    </w:p>
    <w:p>
      <w:pPr>
        <w:spacing w:line="360" w:lineRule="auto"/>
        <w:jc w:val="both"/>
        <w:rPr>
          <w:rFonts w:hint="eastAsia" w:ascii="仿宋" w:hAnsi="仿宋" w:eastAsia="仿宋" w:cs="仿宋"/>
          <w:bCs/>
          <w:color w:val="auto"/>
          <w:highlight w:val="none"/>
        </w:rPr>
      </w:pPr>
      <w:r>
        <w:rPr>
          <w:rFonts w:hint="eastAsia" w:ascii="仿宋" w:hAnsi="仿宋" w:eastAsia="仿宋" w:cs="仿宋"/>
          <w:bCs/>
          <w:color w:val="auto"/>
          <w:highlight w:val="none"/>
        </w:rPr>
        <w:t>1.本次报价精确到小数点后两位（四舍五入）。</w:t>
      </w:r>
    </w:p>
    <w:p>
      <w:pPr>
        <w:pStyle w:val="25"/>
        <w:spacing w:line="360" w:lineRule="auto"/>
        <w:ind w:firstLine="0" w:firstLineChars="0"/>
        <w:jc w:val="both"/>
        <w:rPr>
          <w:rFonts w:hint="eastAsia" w:ascii="仿宋" w:hAnsi="仿宋" w:eastAsia="仿宋" w:cs="仿宋"/>
          <w:bCs/>
          <w:color w:val="auto"/>
          <w:highlight w:val="none"/>
        </w:rPr>
      </w:pPr>
      <w:r>
        <w:rPr>
          <w:rFonts w:hint="eastAsia" w:ascii="仿宋" w:hAnsi="仿宋" w:eastAsia="仿宋" w:cs="仿宋"/>
          <w:bCs/>
          <w:color w:val="auto"/>
          <w:highlight w:val="none"/>
        </w:rPr>
        <w:t>2.含税价=不含税价*(1+税率)，若报价与此公式不符，增值税专用发票以不含税价为准进行修正，增值税普通发票以含税价进行修正。</w:t>
      </w:r>
    </w:p>
    <w:p>
      <w:pPr>
        <w:pStyle w:val="25"/>
        <w:spacing w:line="360" w:lineRule="auto"/>
        <w:ind w:firstLine="0" w:firstLineChars="0"/>
        <w:jc w:val="both"/>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lang w:val="en-US" w:eastAsia="zh-CN"/>
        </w:rPr>
        <w:t>3.不含税总价=不含税单价*数量；含税总价=含税单价*数量。</w:t>
      </w:r>
    </w:p>
    <w:p>
      <w:pPr>
        <w:pStyle w:val="25"/>
        <w:spacing w:line="360" w:lineRule="auto"/>
        <w:ind w:firstLine="0" w:firstLineChars="0"/>
        <w:jc w:val="both"/>
        <w:rPr>
          <w:rFonts w:hint="eastAsia" w:ascii="仿宋" w:hAnsi="仿宋" w:eastAsia="仿宋" w:cs="仿宋"/>
          <w:bCs/>
          <w:color w:val="auto"/>
          <w:highlight w:val="none"/>
        </w:rPr>
      </w:pPr>
      <w:r>
        <w:rPr>
          <w:rFonts w:hint="eastAsia" w:ascii="仿宋" w:hAnsi="仿宋" w:eastAsia="仿宋" w:cs="仿宋"/>
          <w:bCs/>
          <w:color w:val="auto"/>
          <w:highlight w:val="none"/>
        </w:rPr>
        <w:t>3.后续如因国家税率调整，专票以不含税价不变进行调整，普票以含税价不变进行调整。</w:t>
      </w:r>
    </w:p>
    <w:p>
      <w:pPr>
        <w:spacing w:line="360" w:lineRule="auto"/>
        <w:rPr>
          <w:rFonts w:hint="eastAsia" w:ascii="仿宋" w:hAnsi="仿宋" w:eastAsia="仿宋" w:cs="仿宋"/>
          <w:color w:val="auto"/>
          <w:highlight w:val="none"/>
        </w:rPr>
      </w:pPr>
    </w:p>
    <w:p>
      <w:pPr>
        <w:widowControl w:val="0"/>
        <w:numPr>
          <w:ilvl w:val="0"/>
          <w:numId w:val="8"/>
        </w:numPr>
        <w:spacing w:line="440" w:lineRule="exact"/>
        <w:jc w:val="right"/>
        <w:rPr>
          <w:rFonts w:hint="eastAsia" w:ascii="仿宋" w:hAnsi="仿宋" w:eastAsia="仿宋" w:cs="仿宋"/>
          <w:color w:val="auto"/>
          <w:highlight w:val="none"/>
        </w:rPr>
      </w:pPr>
      <w:bookmarkStart w:id="223" w:name="_Toc518302646"/>
      <w:bookmarkStart w:id="224" w:name="_Toc16591840"/>
      <w:bookmarkStart w:id="225" w:name="_Toc2267055"/>
      <w:bookmarkStart w:id="226" w:name="_Toc482180015"/>
      <w:bookmarkStart w:id="227" w:name="_Toc517281864"/>
      <w:bookmarkStart w:id="228" w:name="_Toc530319762"/>
    </w:p>
    <w:p>
      <w:pPr>
        <w:widowControl w:val="0"/>
        <w:numPr>
          <w:ilvl w:val="0"/>
          <w:numId w:val="8"/>
        </w:num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widowControl w:val="0"/>
        <w:numPr>
          <w:ilvl w:val="0"/>
          <w:numId w:val="8"/>
        </w:num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法定代表人或其授权代理人：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（签字）</w:t>
      </w:r>
    </w:p>
    <w:p>
      <w:pPr>
        <w:keepNext w:val="0"/>
        <w:keepLines w:val="0"/>
        <w:pageBreakBefore w:val="0"/>
        <w:widowControl w:val="0"/>
        <w:tabs>
          <w:tab w:val="left" w:pos="4265"/>
        </w:tabs>
        <w:kinsoku/>
        <w:wordWrap/>
        <w:overflowPunct/>
        <w:topLinePunct w:val="0"/>
        <w:autoSpaceDE/>
        <w:autoSpaceDN/>
        <w:bidi w:val="0"/>
        <w:adjustRightInd/>
        <w:snapToGrid/>
        <w:spacing w:before="0" w:after="0" w:line="560" w:lineRule="exact"/>
        <w:ind w:left="0" w:hanging="362" w:hangingChars="151"/>
        <w:jc w:val="righ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日期：</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日</w:t>
      </w:r>
      <w:bookmarkEnd w:id="132"/>
      <w:bookmarkEnd w:id="223"/>
      <w:bookmarkEnd w:id="224"/>
      <w:bookmarkEnd w:id="225"/>
      <w:bookmarkEnd w:id="226"/>
      <w:bookmarkEnd w:id="227"/>
      <w:bookmarkEnd w:id="228"/>
    </w:p>
    <w:p>
      <w:pPr>
        <w:pStyle w:val="4"/>
        <w:spacing w:before="0" w:after="0" w:line="360" w:lineRule="auto"/>
        <w:ind w:firstLine="482"/>
        <w:jc w:val="center"/>
        <w:rPr>
          <w:rFonts w:hint="eastAsia" w:ascii="仿宋" w:hAnsi="仿宋" w:eastAsia="仿宋" w:cs="仿宋"/>
          <w:color w:val="auto"/>
          <w:sz w:val="24"/>
          <w:szCs w:val="24"/>
          <w:highlight w:val="none"/>
        </w:rPr>
      </w:pPr>
      <w:bookmarkStart w:id="229" w:name="_Toc21084"/>
    </w:p>
    <w:p>
      <w:pPr>
        <w:pStyle w:val="4"/>
        <w:spacing w:before="0" w:after="0" w:line="360" w:lineRule="auto"/>
        <w:ind w:firstLine="482"/>
        <w:jc w:val="center"/>
        <w:rPr>
          <w:rFonts w:hint="eastAsia" w:ascii="仿宋" w:hAnsi="仿宋" w:eastAsia="仿宋" w:cs="仿宋"/>
          <w:color w:val="auto"/>
          <w:sz w:val="24"/>
          <w:szCs w:val="24"/>
          <w:highlight w:val="none"/>
        </w:rPr>
      </w:pPr>
    </w:p>
    <w:p>
      <w:pPr>
        <w:pStyle w:val="4"/>
        <w:spacing w:before="0" w:after="0" w:line="360" w:lineRule="auto"/>
        <w:jc w:val="both"/>
        <w:rPr>
          <w:rFonts w:hint="eastAsia" w:ascii="仿宋" w:hAnsi="仿宋" w:eastAsia="仿宋" w:cs="仿宋"/>
          <w:color w:val="auto"/>
          <w:sz w:val="24"/>
          <w:szCs w:val="24"/>
          <w:highlight w:val="none"/>
        </w:rPr>
      </w:pPr>
    </w:p>
    <w:bookmarkEnd w:id="229"/>
    <w:p>
      <w:pPr>
        <w:rPr>
          <w:rFonts w:hint="eastAsia" w:ascii="仿宋" w:hAnsi="仿宋" w:eastAsia="仿宋" w:cs="仿宋"/>
          <w:b w:val="0"/>
          <w:bCs w:val="0"/>
          <w:color w:val="auto"/>
          <w:sz w:val="24"/>
          <w:szCs w:val="24"/>
          <w:highlight w:val="none"/>
        </w:rPr>
      </w:pPr>
    </w:p>
    <w:p/>
    <w:sectPr>
      <w:headerReference r:id="rId9" w:type="default"/>
      <w:footerReference r:id="rId10" w:type="default"/>
      <w:pgSz w:w="11906" w:h="16838"/>
      <w:pgMar w:top="1417" w:right="1417" w:bottom="1417" w:left="1417" w:header="850" w:footer="992" w:gutter="0"/>
      <w:pgNumType w:fmt="decimal"/>
      <w:cols w:space="0" w:num="1"/>
      <w:rtlGutter w:val="0"/>
      <w:docGrid w:type="line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u w:val="none"/>
      </w:rPr>
    </w:pPr>
    <w:r>
      <w:rPr>
        <w:rFonts w:hint="eastAsia" w:ascii="仿宋" w:hAnsi="仿宋" w:eastAsia="仿宋" w:cs="仿宋"/>
        <w:color w:val="auto"/>
        <w:u w:val="none"/>
        <w:lang w:eastAsia="zh-CN"/>
      </w:rPr>
      <w:t>人保财险四川省成都市都江堰支公司“邻里相伴，人保护航”丰巢屏保宣传服务采购项目</w:t>
    </w:r>
    <w:r>
      <w:rPr>
        <w:rFonts w:hint="eastAsia" w:ascii="仿宋" w:hAnsi="仿宋" w:eastAsia="仿宋" w:cs="仿宋"/>
        <w:color w:val="auto"/>
        <w:u w:val="none"/>
        <w:lang w:val="en-US" w:eastAsia="zh-CN"/>
      </w:rPr>
      <w:t>竞争性</w:t>
    </w:r>
    <w:r>
      <w:rPr>
        <w:rFonts w:hint="eastAsia" w:ascii="仿宋" w:hAnsi="仿宋" w:eastAsia="仿宋" w:cs="仿宋"/>
        <w:u w:val="none"/>
      </w:rPr>
      <w:t>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540" w:firstLineChars="300"/>
      <w:jc w:val="both"/>
      <w:rPr>
        <w:rFonts w:hint="eastAsia" w:ascii="仿宋" w:hAnsi="仿宋" w:eastAsia="仿宋" w:cs="仿宋"/>
      </w:rPr>
    </w:pPr>
    <w:r>
      <w:rPr>
        <w:rFonts w:hint="eastAsia" w:ascii="仿宋" w:hAnsi="仿宋" w:eastAsia="仿宋" w:cs="仿宋"/>
        <w:color w:val="auto"/>
        <w:highlight w:val="none"/>
        <w:u w:val="none"/>
        <w:lang w:eastAsia="zh-CN"/>
      </w:rPr>
      <w:t>人保财险四川省成都市都江堰支公司“邻里相伴，人保护航”丰巢屏保宣传服务采购项目</w:t>
    </w:r>
    <w:r>
      <w:rPr>
        <w:rFonts w:hint="eastAsia" w:ascii="仿宋" w:hAnsi="仿宋" w:eastAsia="仿宋" w:cs="仿宋"/>
        <w:lang w:eastAsia="zh-CN"/>
      </w:rPr>
      <w:t>竞争性</w:t>
    </w:r>
    <w:r>
      <w:rPr>
        <w:rFonts w:hint="eastAsia" w:ascii="仿宋" w:hAnsi="仿宋" w:eastAsia="仿宋" w:cs="仿宋"/>
      </w:rPr>
      <w:t>磋商文件</w:t>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E8FE7C"/>
    <w:multiLevelType w:val="singleLevel"/>
    <w:tmpl w:val="A8E8FE7C"/>
    <w:lvl w:ilvl="0" w:tentative="0">
      <w:start w:val="1"/>
      <w:numFmt w:val="decimal"/>
      <w:suff w:val="nothing"/>
      <w:lvlText w:val="（%1）"/>
      <w:lvlJc w:val="left"/>
    </w:lvl>
  </w:abstractNum>
  <w:abstractNum w:abstractNumId="1">
    <w:nsid w:val="C57117EC"/>
    <w:multiLevelType w:val="singleLevel"/>
    <w:tmpl w:val="C57117EC"/>
    <w:lvl w:ilvl="0" w:tentative="0">
      <w:start w:val="4"/>
      <w:numFmt w:val="decimal"/>
      <w:suff w:val="space"/>
      <w:lvlText w:val="%1."/>
      <w:lvlJc w:val="left"/>
    </w:lvl>
  </w:abstractNum>
  <w:abstractNum w:abstractNumId="2">
    <w:nsid w:val="CF3DD56A"/>
    <w:multiLevelType w:val="singleLevel"/>
    <w:tmpl w:val="CF3DD56A"/>
    <w:lvl w:ilvl="0" w:tentative="0">
      <w:start w:val="2"/>
      <w:numFmt w:val="decimal"/>
      <w:suff w:val="space"/>
      <w:lvlText w:val="%1."/>
      <w:lvlJc w:val="left"/>
    </w:lvl>
  </w:abstractNum>
  <w:abstractNum w:abstractNumId="3">
    <w:nsid w:val="D591FB42"/>
    <w:multiLevelType w:val="singleLevel"/>
    <w:tmpl w:val="D591FB42"/>
    <w:lvl w:ilvl="0" w:tentative="0">
      <w:start w:val="4"/>
      <w:numFmt w:val="decimal"/>
      <w:suff w:val="space"/>
      <w:lvlText w:val="%1."/>
      <w:lvlJc w:val="left"/>
    </w:lvl>
  </w:abstractNum>
  <w:abstractNum w:abstractNumId="4">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5">
    <w:nsid w:val="15A918CB"/>
    <w:multiLevelType w:val="multilevel"/>
    <w:tmpl w:val="15A918CB"/>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042A4AD"/>
    <w:multiLevelType w:val="singleLevel"/>
    <w:tmpl w:val="7042A4AD"/>
    <w:lvl w:ilvl="0" w:tentative="0">
      <w:start w:val="1"/>
      <w:numFmt w:val="chineseCounting"/>
      <w:suff w:val="space"/>
      <w:lvlText w:val="第%1条"/>
      <w:lvlJc w:val="left"/>
      <w:rPr>
        <w:rFonts w:hint="eastAsia"/>
      </w:rPr>
    </w:lvl>
  </w:abstractNum>
  <w:abstractNum w:abstractNumId="7">
    <w:nsid w:val="73271B62"/>
    <w:multiLevelType w:val="singleLevel"/>
    <w:tmpl w:val="73271B62"/>
    <w:lvl w:ilvl="0" w:tentative="0">
      <w:start w:val="1"/>
      <w:numFmt w:val="chineseCounting"/>
      <w:suff w:val="nothing"/>
      <w:lvlText w:val="（%1）"/>
      <w:lvlJc w:val="left"/>
      <w:rPr>
        <w:rFonts w:hint="eastAsia"/>
      </w:rPr>
    </w:lvl>
  </w:abstractNum>
  <w:num w:numId="1">
    <w:abstractNumId w:val="0"/>
  </w:num>
  <w:num w:numId="2">
    <w:abstractNumId w:val="5"/>
  </w:num>
  <w:num w:numId="3">
    <w:abstractNumId w:val="6"/>
  </w:num>
  <w:num w:numId="4">
    <w:abstractNumId w:val="2"/>
  </w:num>
  <w:num w:numId="5">
    <w:abstractNumId w:val="3"/>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7F7F1D"/>
    <w:rsid w:val="03972AD7"/>
    <w:rsid w:val="07DA7496"/>
    <w:rsid w:val="387F7F1D"/>
    <w:rsid w:val="68031E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3">
    <w:name w:val="heading 2"/>
    <w:basedOn w:val="1"/>
    <w:next w:val="1"/>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4">
    <w:name w:val="heading 3"/>
    <w:basedOn w:val="1"/>
    <w:next w:val="1"/>
    <w:link w:val="30"/>
    <w:unhideWhenUsed/>
    <w:qFormat/>
    <w:uiPriority w:val="0"/>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6">
    <w:name w:val="Default Paragraph Font"/>
    <w:semiHidden/>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widowControl w:val="0"/>
      <w:ind w:firstLine="420"/>
      <w:jc w:val="both"/>
    </w:pPr>
    <w:rPr>
      <w:rFonts w:ascii="Calibri" w:hAnsi="Calibri" w:eastAsia="宋体" w:cs="Times New Roman"/>
      <w:sz w:val="20"/>
      <w:szCs w:val="20"/>
    </w:rPr>
  </w:style>
  <w:style w:type="paragraph" w:styleId="7">
    <w:name w:val="Body Text"/>
    <w:basedOn w:val="1"/>
    <w:next w:val="1"/>
    <w:qFormat/>
    <w:uiPriority w:val="99"/>
    <w:pPr>
      <w:spacing w:after="120"/>
    </w:pPr>
  </w:style>
  <w:style w:type="paragraph" w:styleId="8">
    <w:name w:val="toc 3"/>
    <w:basedOn w:val="1"/>
    <w:next w:val="1"/>
    <w:unhideWhenUsed/>
    <w:qFormat/>
    <w:uiPriority w:val="39"/>
    <w:pPr>
      <w:ind w:left="840" w:leftChars="400"/>
    </w:pPr>
  </w:style>
  <w:style w:type="paragraph" w:styleId="9">
    <w:name w:val="Date"/>
    <w:basedOn w:val="1"/>
    <w:next w:val="1"/>
    <w:qFormat/>
    <w:uiPriority w:val="0"/>
    <w:pPr>
      <w:widowControl w:val="0"/>
      <w:ind w:left="100" w:leftChars="2500"/>
      <w:jc w:val="both"/>
    </w:pPr>
    <w:rPr>
      <w:rFonts w:ascii="Times New Roman" w:hAnsi="Times New Roman" w:eastAsia="宋体" w:cs="Times New Roman"/>
      <w:kern w:val="2"/>
      <w:sz w:val="21"/>
    </w:rPr>
  </w:style>
  <w:style w:type="paragraph" w:styleId="10">
    <w:name w:val="Body Text Indent 2"/>
    <w:basedOn w:val="1"/>
    <w:unhideWhenUsed/>
    <w:qFormat/>
    <w:uiPriority w:val="0"/>
    <w:pPr>
      <w:spacing w:after="120" w:line="480" w:lineRule="auto"/>
      <w:ind w:left="420" w:leftChars="200"/>
    </w:pPr>
  </w:style>
  <w:style w:type="paragraph" w:styleId="11">
    <w:name w:val="footer"/>
    <w:basedOn w:val="1"/>
    <w:qFormat/>
    <w:uiPriority w:val="99"/>
    <w:pPr>
      <w:tabs>
        <w:tab w:val="center" w:pos="4153"/>
        <w:tab w:val="right" w:pos="8306"/>
      </w:tabs>
      <w:snapToGrid w:val="0"/>
    </w:pPr>
    <w:rPr>
      <w:sz w:val="18"/>
      <w:szCs w:val="18"/>
    </w:rPr>
  </w:style>
  <w:style w:type="paragraph" w:styleId="12">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pPr>
      <w:spacing w:before="120" w:after="120"/>
    </w:pPr>
    <w:rPr>
      <w:b/>
      <w:bCs/>
      <w:caps/>
      <w:szCs w:val="20"/>
    </w:rPr>
  </w:style>
  <w:style w:type="paragraph" w:styleId="14">
    <w:name w:val="toc 2"/>
    <w:basedOn w:val="1"/>
    <w:next w:val="1"/>
    <w:unhideWhenUsed/>
    <w:qFormat/>
    <w:uiPriority w:val="39"/>
    <w:pPr>
      <w:ind w:left="420" w:leftChars="200"/>
    </w:pPr>
  </w:style>
  <w:style w:type="paragraph" w:customStyle="1" w:styleId="17">
    <w:name w:val="中文正文、"/>
    <w:basedOn w:val="1"/>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18">
    <w:name w:val="p0"/>
    <w:basedOn w:val="1"/>
    <w:qFormat/>
    <w:uiPriority w:val="0"/>
    <w:pPr>
      <w:jc w:val="both"/>
    </w:pPr>
    <w:rPr>
      <w:rFonts w:ascii="宋体" w:hAnsi="宋体" w:eastAsia="宋体" w:cs="宋体"/>
      <w:sz w:val="21"/>
      <w:szCs w:val="21"/>
    </w:rPr>
  </w:style>
  <w:style w:type="paragraph" w:customStyle="1" w:styleId="19">
    <w:name w:val="p16"/>
    <w:basedOn w:val="1"/>
    <w:qFormat/>
    <w:uiPriority w:val="0"/>
    <w:pPr>
      <w:jc w:val="both"/>
    </w:pPr>
    <w:rPr>
      <w:rFonts w:ascii="宋体" w:hAnsi="宋体" w:eastAsia="宋体" w:cs="Times New Roman"/>
      <w:szCs w:val="20"/>
    </w:rPr>
  </w:style>
  <w:style w:type="paragraph" w:customStyle="1" w:styleId="20">
    <w:name w:val="正文文本 31"/>
    <w:basedOn w:val="1"/>
    <w:qFormat/>
    <w:uiPriority w:val="0"/>
    <w:pPr>
      <w:widowControl w:val="0"/>
      <w:jc w:val="both"/>
    </w:pPr>
    <w:rPr>
      <w:rFonts w:ascii="宋体" w:hAnsi="Times New Roman" w:eastAsia="宋体" w:cs="Times New Roman"/>
      <w:kern w:val="2"/>
    </w:rPr>
  </w:style>
  <w:style w:type="paragraph" w:customStyle="1" w:styleId="21">
    <w:name w:val="Table Paragraph"/>
    <w:basedOn w:val="1"/>
    <w:qFormat/>
    <w:uiPriority w:val="1"/>
    <w:pPr>
      <w:widowControl w:val="0"/>
    </w:pPr>
    <w:rPr>
      <w:rFonts w:ascii="宋体" w:hAnsi="宋体" w:cs="宋体"/>
      <w:sz w:val="22"/>
      <w:szCs w:val="22"/>
      <w:lang w:eastAsia="en-US"/>
    </w:rPr>
  </w:style>
  <w:style w:type="paragraph" w:customStyle="1" w:styleId="22">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23">
    <w:name w:val="正文文本 33"/>
    <w:basedOn w:val="1"/>
    <w:qFormat/>
    <w:uiPriority w:val="0"/>
    <w:pPr>
      <w:widowControl w:val="0"/>
      <w:jc w:val="both"/>
    </w:pPr>
    <w:rPr>
      <w:rFonts w:ascii="宋体" w:hAnsi="Times New Roman" w:eastAsia="宋体" w:cs="Times New Roman"/>
      <w:kern w:val="2"/>
    </w:rPr>
  </w:style>
  <w:style w:type="paragraph" w:customStyle="1" w:styleId="24">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25">
    <w:name w:val="List Paragraph"/>
    <w:basedOn w:val="1"/>
    <w:unhideWhenUsed/>
    <w:qFormat/>
    <w:uiPriority w:val="34"/>
    <w:pPr>
      <w:ind w:firstLine="420" w:firstLineChars="200"/>
    </w:pPr>
  </w:style>
  <w:style w:type="paragraph" w:customStyle="1" w:styleId="26">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27">
    <w:name w:val="font11"/>
    <w:qFormat/>
    <w:uiPriority w:val="0"/>
    <w:rPr>
      <w:rFonts w:hint="eastAsia" w:ascii="仿宋" w:hAnsi="仿宋" w:eastAsia="仿宋" w:cs="仿宋"/>
      <w:color w:val="FF0000"/>
      <w:sz w:val="20"/>
      <w:szCs w:val="20"/>
      <w:u w:val="none"/>
      <w:lang w:val="en-US" w:eastAsia="zh-CN" w:bidi="ar-SA"/>
    </w:rPr>
  </w:style>
  <w:style w:type="paragraph" w:customStyle="1" w:styleId="28">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29">
    <w:name w:val="1"/>
    <w:basedOn w:val="1"/>
    <w:next w:val="10"/>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character" w:customStyle="1" w:styleId="30">
    <w:name w:val="标题 3 Char"/>
    <w:basedOn w:val="16"/>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2026-08-19T05:57:00Z</dcterms:created>
  <dc:creator>picc</dc:creator>
  <cp:lastModifiedBy>picc</cp:lastModifiedBy>
  <dcterms:modified xsi:type="dcterms:W3CDTF">2026-09-02T08:31:00Z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8DDE7818275049D3BA6B72EB2FD9DCCB</vt:lpwstr>
  </property>
</Properties>
</file>