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宋体" w:eastAsia="仿宋_GB2312"/>
          <w:b/>
          <w:color w:val="auto"/>
          <w:sz w:val="36"/>
          <w:szCs w:val="36"/>
          <w:highlight w:val="none"/>
        </w:rPr>
      </w:pPr>
    </w:p>
    <w:p>
      <w:pPr>
        <w:jc w:val="center"/>
        <w:rPr>
          <w:rFonts w:hint="eastAsia" w:ascii="仿宋_GB2312" w:hAnsi="宋体" w:eastAsia="仿宋_GB2312"/>
          <w:b/>
          <w:color w:val="auto"/>
          <w:sz w:val="36"/>
          <w:szCs w:val="36"/>
          <w:highlight w:val="none"/>
        </w:rPr>
      </w:pPr>
    </w:p>
    <w:p>
      <w:pPr>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人保财险四川省资阳市分公司安岳支公司营运客车</w:t>
      </w:r>
    </w:p>
    <w:p>
      <w:pPr>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“主动防御系统”网络服务采购项目</w:t>
      </w:r>
    </w:p>
    <w:p>
      <w:pPr>
        <w:pStyle w:val="2"/>
        <w:rPr>
          <w:rFonts w:hint="eastAsia" w:ascii="仿宋_GB2312" w:hAnsi="宋体" w:eastAsia="仿宋_GB2312"/>
          <w:b/>
          <w:color w:val="auto"/>
          <w:sz w:val="36"/>
          <w:szCs w:val="36"/>
          <w:highlight w:val="none"/>
        </w:rPr>
      </w:pPr>
    </w:p>
    <w:p>
      <w:pPr>
        <w:pStyle w:val="2"/>
        <w:rPr>
          <w:rFonts w:hint="eastAsia" w:ascii="仿宋_GB2312" w:hAnsi="宋体" w:eastAsia="仿宋_GB2312"/>
          <w:b/>
          <w:color w:val="auto"/>
          <w:sz w:val="36"/>
          <w:szCs w:val="36"/>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jc w:val="center"/>
        <w:rPr>
          <w:rFonts w:ascii="仿宋_GB2312" w:eastAsia="仿宋_GB2312"/>
          <w:color w:val="auto"/>
          <w:sz w:val="72"/>
          <w:szCs w:val="72"/>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价</w:t>
      </w:r>
    </w:p>
    <w:p>
      <w:pPr>
        <w:jc w:val="center"/>
        <w:rPr>
          <w:rFonts w:ascii="仿宋_GB2312" w:eastAsia="仿宋_GB2312"/>
          <w:color w:val="auto"/>
          <w:sz w:val="72"/>
          <w:szCs w:val="72"/>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jc w:val="center"/>
        <w:rPr>
          <w:rFonts w:ascii="仿宋_GB2312" w:eastAsia="仿宋_GB2312"/>
          <w:color w:val="auto"/>
          <w:sz w:val="72"/>
          <w:szCs w:val="72"/>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2"/>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9</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headerReference r:id="rId6" w:type="first"/>
          <w:footerReference r:id="rId9" w:type="first"/>
          <w:headerReference r:id="rId5" w:type="default"/>
          <w:footerReference r:id="rId7" w:type="default"/>
          <w:footerReference r:id="rId8" w:type="even"/>
          <w:pgSz w:w="11906" w:h="16838"/>
          <w:pgMar w:top="1440" w:right="1134" w:bottom="1440" w:left="1134" w:header="851" w:footer="992" w:gutter="0"/>
          <w:pgNumType w:fmt="decimal"/>
          <w:cols w:space="720" w:num="1"/>
          <w:docGrid w:linePitch="326" w:charSpace="0"/>
        </w:sectPr>
      </w:pPr>
    </w:p>
    <w:p>
      <w:pPr>
        <w:pStyle w:val="21"/>
        <w:tabs>
          <w:tab w:val="right" w:leader="dot" w:pos="9638"/>
        </w:tabs>
      </w:pPr>
      <w:r>
        <w:rPr>
          <w:rFonts w:ascii="仿宋_GB2312" w:hAnsi="宋体" w:eastAsia="仿宋_GB2312"/>
          <w:b w:val="0"/>
          <w:bCs w:val="0"/>
          <w:color w:val="auto"/>
          <w:highlight w:val="none"/>
        </w:rPr>
        <w:fldChar w:fldCharType="begin"/>
      </w:r>
      <w:r>
        <w:rPr>
          <w:rFonts w:ascii="仿宋_GB2312" w:hAnsi="宋体" w:eastAsia="仿宋_GB2312"/>
          <w:b w:val="0"/>
          <w:bCs w:val="0"/>
          <w:color w:val="auto"/>
          <w:highlight w:val="none"/>
        </w:rPr>
        <w:instrText xml:space="preserve">TOC \o "1-3" \h \u </w:instrText>
      </w:r>
      <w:r>
        <w:rPr>
          <w:rFonts w:ascii="仿宋_GB2312" w:hAnsi="宋体" w:eastAsia="仿宋_GB2312"/>
          <w:b w:val="0"/>
          <w:bCs w:val="0"/>
          <w:color w:val="auto"/>
          <w:highlight w:val="none"/>
        </w:rPr>
        <w:fldChar w:fldCharType="separate"/>
      </w: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_Toc7894 </w:instrText>
      </w:r>
      <w:r>
        <w:rPr>
          <w:rFonts w:ascii="仿宋_GB2312" w:hAnsi="宋体" w:eastAsia="仿宋_GB2312"/>
          <w:bCs w:val="0"/>
          <w:highlight w:val="none"/>
        </w:rPr>
        <w:fldChar w:fldCharType="separate"/>
      </w:r>
      <w:r>
        <w:rPr>
          <w:rFonts w:hint="eastAsia" w:ascii="仿宋_GB2312" w:hAnsi="宋体" w:eastAsia="仿宋_GB2312"/>
          <w:szCs w:val="28"/>
          <w:highlight w:val="none"/>
        </w:rPr>
        <w:t>第一章 比价邀请</w:t>
      </w:r>
      <w:r>
        <w:tab/>
      </w:r>
      <w:r>
        <w:fldChar w:fldCharType="begin"/>
      </w:r>
      <w:r>
        <w:instrText xml:space="preserve"> PAGEREF _Toc7894 \h </w:instrText>
      </w:r>
      <w:r>
        <w:fldChar w:fldCharType="separate"/>
      </w:r>
      <w:r>
        <w:t>2</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_Toc7564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_Toc7564 \h </w:instrText>
      </w:r>
      <w:r>
        <w:fldChar w:fldCharType="separate"/>
      </w:r>
      <w:r>
        <w:t>2</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_Toc12747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_Toc12747 \h </w:instrText>
      </w:r>
      <w:r>
        <w:fldChar w:fldCharType="separate"/>
      </w:r>
      <w:r>
        <w:t>2</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_Toc2013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三、比价文件的获取</w:t>
      </w:r>
      <w:r>
        <w:tab/>
      </w:r>
      <w:r>
        <w:fldChar w:fldCharType="begin"/>
      </w:r>
      <w:r>
        <w:instrText xml:space="preserve"> PAGEREF _Toc2013 \h </w:instrText>
      </w:r>
      <w:r>
        <w:fldChar w:fldCharType="separate"/>
      </w:r>
      <w:r>
        <w:t>3</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_Toc16744 </w:instrText>
      </w:r>
      <w:r>
        <w:rPr>
          <w:rFonts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_Toc16744 \h </w:instrText>
      </w:r>
      <w:r>
        <w:fldChar w:fldCharType="separate"/>
      </w:r>
      <w:r>
        <w:t>3</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_Toc17649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五、发布公告的媒介</w:t>
      </w:r>
      <w:r>
        <w:tab/>
      </w:r>
      <w:r>
        <w:fldChar w:fldCharType="begin"/>
      </w:r>
      <w:r>
        <w:instrText xml:space="preserve"> PAGEREF _Toc17649 \h </w:instrText>
      </w:r>
      <w:r>
        <w:fldChar w:fldCharType="separate"/>
      </w:r>
      <w:r>
        <w:t>4</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_Toc16264 </w:instrText>
      </w:r>
      <w:r>
        <w:rPr>
          <w:rFonts w:ascii="仿宋_GB2312" w:hAnsi="宋体" w:eastAsia="仿宋_GB2312"/>
          <w:bCs w:val="0"/>
          <w:highlight w:val="none"/>
        </w:rPr>
        <w:fldChar w:fldCharType="separate"/>
      </w:r>
      <w:r>
        <w:rPr>
          <w:rFonts w:hint="eastAsia" w:ascii="仿宋" w:hAnsi="仿宋" w:eastAsia="仿宋" w:cs="仿宋"/>
          <w:szCs w:val="24"/>
          <w:highlight w:val="none"/>
        </w:rPr>
        <w:t>六、联系方式</w:t>
      </w:r>
      <w:r>
        <w:tab/>
      </w:r>
      <w:r>
        <w:fldChar w:fldCharType="begin"/>
      </w:r>
      <w:r>
        <w:instrText xml:space="preserve"> PAGEREF _Toc16264 \h </w:instrText>
      </w:r>
      <w:r>
        <w:fldChar w:fldCharType="separate"/>
      </w:r>
      <w:r>
        <w:t>4</w:t>
      </w:r>
      <w:r>
        <w:fldChar w:fldCharType="end"/>
      </w:r>
      <w:r>
        <w:rPr>
          <w:rFonts w:ascii="仿宋_GB2312" w:hAnsi="宋体" w:eastAsia="仿宋_GB2312"/>
          <w:bCs w:val="0"/>
          <w:color w:val="auto"/>
          <w:highlight w:val="none"/>
        </w:rPr>
        <w:fldChar w:fldCharType="end"/>
      </w:r>
    </w:p>
    <w:p>
      <w:pPr>
        <w:pStyle w:val="21"/>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_Toc16154 </w:instrText>
      </w:r>
      <w:r>
        <w:rPr>
          <w:rFonts w:ascii="仿宋_GB2312" w:hAnsi="宋体" w:eastAsia="仿宋_GB2312"/>
          <w:bCs w:val="0"/>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_Toc16154 \h </w:instrText>
      </w:r>
      <w:r>
        <w:fldChar w:fldCharType="separate"/>
      </w:r>
      <w:r>
        <w:t>5</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_Toc13711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_Toc13711 \h </w:instrText>
      </w:r>
      <w:r>
        <w:fldChar w:fldCharType="separate"/>
      </w:r>
      <w:r>
        <w:t>5</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_Toc26913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_Toc26913 \h </w:instrText>
      </w:r>
      <w:r>
        <w:fldChar w:fldCharType="separate"/>
      </w:r>
      <w:r>
        <w:t>8</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_Toc26187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_Toc26187 \h </w:instrText>
      </w:r>
      <w:r>
        <w:fldChar w:fldCharType="separate"/>
      </w:r>
      <w:r>
        <w:t>8</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_Toc20761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（二）比价文件</w:t>
      </w:r>
      <w:r>
        <w:tab/>
      </w:r>
      <w:r>
        <w:fldChar w:fldCharType="begin"/>
      </w:r>
      <w:r>
        <w:instrText xml:space="preserve"> PAGEREF _Toc20761 \h </w:instrText>
      </w:r>
      <w:r>
        <w:fldChar w:fldCharType="separate"/>
      </w:r>
      <w:r>
        <w:t>8</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_Toc11263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_Toc11263 \h </w:instrText>
      </w:r>
      <w:r>
        <w:fldChar w:fldCharType="separate"/>
      </w:r>
      <w:r>
        <w:t>9</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_Toc17103 </w:instrText>
      </w:r>
      <w:r>
        <w:rPr>
          <w:rFonts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_Toc17103 \h </w:instrText>
      </w:r>
      <w:r>
        <w:fldChar w:fldCharType="separate"/>
      </w:r>
      <w:r>
        <w:t>11</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_Toc23435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（五）比价和评审</w:t>
      </w:r>
      <w:r>
        <w:tab/>
      </w:r>
      <w:r>
        <w:fldChar w:fldCharType="begin"/>
      </w:r>
      <w:r>
        <w:instrText xml:space="preserve"> PAGEREF _Toc23435 \h </w:instrText>
      </w:r>
      <w:r>
        <w:fldChar w:fldCharType="separate"/>
      </w:r>
      <w:r>
        <w:t>11</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_Toc16064 </w:instrText>
      </w:r>
      <w:r>
        <w:rPr>
          <w:rFonts w:ascii="仿宋_GB2312" w:hAnsi="宋体" w:eastAsia="仿宋_GB2312"/>
          <w:bCs w:val="0"/>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_Toc16064 \h </w:instrText>
      </w:r>
      <w:r>
        <w:fldChar w:fldCharType="separate"/>
      </w:r>
      <w:r>
        <w:t>14</w:t>
      </w:r>
      <w:r>
        <w:fldChar w:fldCharType="end"/>
      </w:r>
      <w:r>
        <w:rPr>
          <w:rFonts w:ascii="仿宋_GB2312" w:hAnsi="宋体" w:eastAsia="仿宋_GB2312"/>
          <w:bCs w:val="0"/>
          <w:color w:val="auto"/>
          <w:highlight w:val="none"/>
        </w:rPr>
        <w:fldChar w:fldCharType="end"/>
      </w:r>
    </w:p>
    <w:p>
      <w:pPr>
        <w:pStyle w:val="21"/>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_Toc32273 </w:instrText>
      </w:r>
      <w:r>
        <w:rPr>
          <w:rFonts w:ascii="仿宋_GB2312" w:hAnsi="宋体" w:eastAsia="仿宋_GB2312"/>
          <w:bCs w:val="0"/>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_Toc32273 \h </w:instrText>
      </w:r>
      <w:r>
        <w:fldChar w:fldCharType="separate"/>
      </w:r>
      <w:r>
        <w:t>14</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_Toc29119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_Toc29119 \h </w:instrText>
      </w:r>
      <w:r>
        <w:fldChar w:fldCharType="separate"/>
      </w:r>
      <w:r>
        <w:t>14</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_Toc31879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_Toc31879 \h </w:instrText>
      </w:r>
      <w:r>
        <w:fldChar w:fldCharType="separate"/>
      </w:r>
      <w:r>
        <w:t>16</w:t>
      </w:r>
      <w:r>
        <w:fldChar w:fldCharType="end"/>
      </w:r>
      <w:r>
        <w:rPr>
          <w:rFonts w:ascii="仿宋_GB2312" w:hAnsi="宋体" w:eastAsia="仿宋_GB2312"/>
          <w:bCs w:val="0"/>
          <w:color w:val="auto"/>
          <w:highlight w:val="none"/>
        </w:rPr>
        <w:fldChar w:fldCharType="end"/>
      </w:r>
    </w:p>
    <w:p>
      <w:pPr>
        <w:pStyle w:val="21"/>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_Toc31398 </w:instrText>
      </w:r>
      <w:r>
        <w:rPr>
          <w:rFonts w:ascii="仿宋_GB2312" w:hAnsi="宋体" w:eastAsia="仿宋_GB2312"/>
          <w:bCs w:val="0"/>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_Toc31398 \h </w:instrText>
      </w:r>
      <w:r>
        <w:fldChar w:fldCharType="separate"/>
      </w:r>
      <w:r>
        <w:t>17</w:t>
      </w:r>
      <w:r>
        <w:fldChar w:fldCharType="end"/>
      </w:r>
      <w:r>
        <w:rPr>
          <w:rFonts w:ascii="仿宋_GB2312" w:hAnsi="宋体" w:eastAsia="仿宋_GB2312"/>
          <w:bCs w:val="0"/>
          <w:color w:val="auto"/>
          <w:highlight w:val="none"/>
        </w:rPr>
        <w:fldChar w:fldCharType="end"/>
      </w:r>
    </w:p>
    <w:p>
      <w:pPr>
        <w:pStyle w:val="21"/>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_Toc28727 </w:instrText>
      </w:r>
      <w:r>
        <w:rPr>
          <w:rFonts w:ascii="仿宋_GB2312" w:hAnsi="宋体" w:eastAsia="仿宋_GB2312"/>
          <w:bCs w:val="0"/>
          <w:highlight w:val="none"/>
        </w:rPr>
        <w:fldChar w:fldCharType="separate"/>
      </w:r>
      <w:r>
        <w:rPr>
          <w:rFonts w:hint="eastAsia" w:ascii="仿宋_GB2312" w:hAnsi="宋体" w:eastAsia="仿宋_GB2312"/>
          <w:szCs w:val="28"/>
          <w:highlight w:val="none"/>
        </w:rPr>
        <w:t>第五章 采购需求</w:t>
      </w:r>
      <w:r>
        <w:tab/>
      </w:r>
      <w:r>
        <w:fldChar w:fldCharType="begin"/>
      </w:r>
      <w:r>
        <w:instrText xml:space="preserve"> PAGEREF _Toc28727 \h </w:instrText>
      </w:r>
      <w:r>
        <w:fldChar w:fldCharType="separate"/>
      </w:r>
      <w:r>
        <w:t>39</w:t>
      </w:r>
      <w:r>
        <w:fldChar w:fldCharType="end"/>
      </w:r>
      <w:r>
        <w:rPr>
          <w:rFonts w:ascii="仿宋_GB2312" w:hAnsi="宋体" w:eastAsia="仿宋_GB2312"/>
          <w:bCs w:val="0"/>
          <w:color w:val="auto"/>
          <w:highlight w:val="none"/>
        </w:rPr>
        <w:fldChar w:fldCharType="end"/>
      </w:r>
    </w:p>
    <w:p>
      <w:pPr>
        <w:pStyle w:val="21"/>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_Toc21296 </w:instrText>
      </w:r>
      <w:r>
        <w:rPr>
          <w:rFonts w:ascii="仿宋_GB2312" w:hAnsi="宋体" w:eastAsia="仿宋_GB2312"/>
          <w:bCs w:val="0"/>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_Toc21296 \h </w:instrText>
      </w:r>
      <w:r>
        <w:fldChar w:fldCharType="separate"/>
      </w:r>
      <w:r>
        <w:t>41</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_Toc7146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一、商务文件</w:t>
      </w:r>
      <w:r>
        <w:tab/>
      </w:r>
      <w:r>
        <w:fldChar w:fldCharType="begin"/>
      </w:r>
      <w:r>
        <w:instrText xml:space="preserve"> PAGEREF _Toc7146 \h </w:instrText>
      </w:r>
      <w:r>
        <w:fldChar w:fldCharType="separate"/>
      </w:r>
      <w:r>
        <w:t>42</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_Toc3897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_Toc3897 \h </w:instrText>
      </w:r>
      <w:r>
        <w:fldChar w:fldCharType="separate"/>
      </w:r>
      <w:r>
        <w:t>43</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_Toc9602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_Toc9602 \h </w:instrText>
      </w:r>
      <w:r>
        <w:fldChar w:fldCharType="separate"/>
      </w:r>
      <w:r>
        <w:t>44</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_Toc18426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_Toc18426 \h </w:instrText>
      </w:r>
      <w:r>
        <w:fldChar w:fldCharType="separate"/>
      </w:r>
      <w:r>
        <w:t>45</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_Toc20173 </w:instrText>
      </w:r>
      <w:r>
        <w:rPr>
          <w:rFonts w:ascii="仿宋_GB2312" w:hAnsi="宋体" w:eastAsia="仿宋_GB2312"/>
          <w:bCs w:val="0"/>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_Toc20173 \h </w:instrText>
      </w:r>
      <w:r>
        <w:fldChar w:fldCharType="separate"/>
      </w:r>
      <w:r>
        <w:t>46</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_Toc21779 </w:instrText>
      </w:r>
      <w:r>
        <w:rPr>
          <w:rFonts w:ascii="仿宋_GB2312" w:hAnsi="宋体" w:eastAsia="仿宋_GB2312"/>
          <w:bCs w:val="0"/>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_Toc21779 \h </w:instrText>
      </w:r>
      <w:r>
        <w:fldChar w:fldCharType="separate"/>
      </w:r>
      <w:r>
        <w:t>55</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_Toc433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（七）供应商行为准则承诺书</w:t>
      </w:r>
      <w:r>
        <w:tab/>
      </w:r>
      <w:r>
        <w:fldChar w:fldCharType="begin"/>
      </w:r>
      <w:r>
        <w:instrText xml:space="preserve"> PAGEREF _Toc433 \h </w:instrText>
      </w:r>
      <w:r>
        <w:fldChar w:fldCharType="separate"/>
      </w:r>
      <w:r>
        <w:t>57</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_Toc20088 </w:instrText>
      </w:r>
      <w:r>
        <w:rPr>
          <w:rFonts w:ascii="仿宋_GB2312" w:hAnsi="宋体" w:eastAsia="仿宋_GB2312"/>
          <w:bCs w:val="0"/>
          <w:highlight w:val="none"/>
        </w:rPr>
        <w:fldChar w:fldCharType="separate"/>
      </w:r>
      <w:r>
        <w:rPr>
          <w:rFonts w:hint="eastAsia" w:ascii="仿宋" w:hAnsi="仿宋" w:eastAsia="仿宋" w:cs="宋体"/>
          <w:bCs w:val="0"/>
          <w:szCs w:val="24"/>
          <w:highlight w:val="none"/>
        </w:rPr>
        <w:t>（八）供应商廉洁诚信承诺书</w:t>
      </w:r>
      <w:r>
        <w:tab/>
      </w:r>
      <w:r>
        <w:fldChar w:fldCharType="begin"/>
      </w:r>
      <w:r>
        <w:instrText xml:space="preserve"> PAGEREF _Toc20088 \h </w:instrText>
      </w:r>
      <w:r>
        <w:fldChar w:fldCharType="separate"/>
      </w:r>
      <w:r>
        <w:t>59</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_Toc32111 </w:instrText>
      </w:r>
      <w:r>
        <w:rPr>
          <w:rFonts w:ascii="仿宋_GB2312" w:hAnsi="宋体" w:eastAsia="仿宋_GB2312"/>
          <w:bCs w:val="0"/>
          <w:highlight w:val="none"/>
        </w:rPr>
        <w:fldChar w:fldCharType="separate"/>
      </w:r>
      <w:r>
        <w:rPr>
          <w:rFonts w:hint="eastAsia" w:ascii="仿宋" w:hAnsi="仿宋" w:eastAsia="仿宋" w:cs="宋体"/>
          <w:bCs w:val="0"/>
          <w:szCs w:val="24"/>
          <w:highlight w:val="none"/>
        </w:rPr>
        <w:t>（九）</w:t>
      </w:r>
      <w:r>
        <w:rPr>
          <w:rFonts w:hint="eastAsia" w:ascii="仿宋" w:hAnsi="仿宋" w:eastAsia="仿宋" w:cs="宋体"/>
          <w:highlight w:val="none"/>
        </w:rPr>
        <w:t>其他材料</w:t>
      </w:r>
      <w:r>
        <w:tab/>
      </w:r>
      <w:r>
        <w:fldChar w:fldCharType="begin"/>
      </w:r>
      <w:r>
        <w:instrText xml:space="preserve"> PAGEREF _Toc32111 \h </w:instrText>
      </w:r>
      <w:r>
        <w:fldChar w:fldCharType="separate"/>
      </w:r>
      <w:r>
        <w:t>62</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_Toc18712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_Toc18712 \h </w:instrText>
      </w:r>
      <w:r>
        <w:fldChar w:fldCharType="separate"/>
      </w:r>
      <w:r>
        <w:t>63</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_Toc21284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_Toc21284 \h </w:instrText>
      </w:r>
      <w:r>
        <w:fldChar w:fldCharType="separate"/>
      </w:r>
      <w:r>
        <w:t>64</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_Toc18909 </w:instrText>
      </w:r>
      <w:r>
        <w:rPr>
          <w:rFonts w:ascii="仿宋_GB2312" w:hAnsi="宋体" w:eastAsia="仿宋_GB2312"/>
          <w:bCs w:val="0"/>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_Toc18909 \h </w:instrText>
      </w:r>
      <w:r>
        <w:fldChar w:fldCharType="separate"/>
      </w:r>
      <w:r>
        <w:t>65</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_Toc21322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_Toc21322 \h </w:instrText>
      </w:r>
      <w:r>
        <w:fldChar w:fldCharType="separate"/>
      </w:r>
      <w:r>
        <w:t>68</w:t>
      </w:r>
      <w:r>
        <w:fldChar w:fldCharType="end"/>
      </w:r>
      <w:r>
        <w:rPr>
          <w:rFonts w:ascii="仿宋_GB2312" w:hAnsi="宋体" w:eastAsia="仿宋_GB2312"/>
          <w:bCs w:val="0"/>
          <w:color w:val="auto"/>
          <w:highlight w:val="none"/>
        </w:rPr>
        <w:fldChar w:fldCharType="end"/>
      </w:r>
    </w:p>
    <w:p>
      <w:pPr>
        <w:pStyle w:val="2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_Toc10666 </w:instrText>
      </w:r>
      <w:r>
        <w:rPr>
          <w:rFonts w:ascii="仿宋_GB2312" w:hAnsi="宋体" w:eastAsia="仿宋_GB2312"/>
          <w:bCs w:val="0"/>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_Toc10666 \h </w:instrText>
      </w:r>
      <w:r>
        <w:fldChar w:fldCharType="separate"/>
      </w:r>
      <w:r>
        <w:t>1</w:t>
      </w:r>
      <w:r>
        <w:fldChar w:fldCharType="end"/>
      </w:r>
      <w:r>
        <w:rPr>
          <w:rFonts w:ascii="仿宋_GB2312" w:hAnsi="宋体" w:eastAsia="仿宋_GB2312"/>
          <w:bCs w:val="0"/>
          <w:color w:val="auto"/>
          <w:highlight w:val="none"/>
        </w:rPr>
        <w:fldChar w:fldCharType="end"/>
      </w:r>
    </w:p>
    <w:p>
      <w:pPr>
        <w:pStyle w:val="14"/>
        <w:tabs>
          <w:tab w:val="right" w:leader="dot" w:pos="9638"/>
        </w:tabs>
      </w:pPr>
      <w:r>
        <w:rPr>
          <w:rFonts w:ascii="仿宋_GB2312" w:hAnsi="宋体" w:eastAsia="仿宋_GB2312"/>
          <w:bCs w:val="0"/>
          <w:color w:val="auto"/>
          <w:highlight w:val="none"/>
        </w:rPr>
        <w:fldChar w:fldCharType="begin"/>
      </w:r>
      <w:r>
        <w:rPr>
          <w:rFonts w:ascii="仿宋_GB2312" w:hAnsi="宋体" w:eastAsia="仿宋_GB2312"/>
          <w:bCs w:val="0"/>
          <w:highlight w:val="none"/>
        </w:rPr>
        <w:instrText xml:space="preserve"> HYPERLINK \l _Toc23619 </w:instrText>
      </w:r>
      <w:r>
        <w:rPr>
          <w:rFonts w:ascii="仿宋_GB2312" w:hAnsi="宋体" w:eastAsia="仿宋_GB2312"/>
          <w:bCs w:val="0"/>
          <w:highlight w:val="none"/>
        </w:rPr>
        <w:fldChar w:fldCharType="separate"/>
      </w:r>
      <w:r>
        <w:rPr>
          <w:rFonts w:hint="eastAsia" w:ascii="仿宋" w:hAnsi="仿宋" w:eastAsia="仿宋" w:cs="仿宋"/>
          <w:szCs w:val="24"/>
          <w:highlight w:val="none"/>
        </w:rPr>
        <w:t>报价一览表</w:t>
      </w:r>
      <w:r>
        <w:tab/>
      </w:r>
      <w:r>
        <w:fldChar w:fldCharType="begin"/>
      </w:r>
      <w:r>
        <w:instrText xml:space="preserve"> PAGEREF _Toc23619 \h </w:instrText>
      </w:r>
      <w:r>
        <w:fldChar w:fldCharType="separate"/>
      </w:r>
      <w:r>
        <w:t>1</w:t>
      </w:r>
      <w:r>
        <w:fldChar w:fldCharType="end"/>
      </w:r>
      <w:r>
        <w:rPr>
          <w:rFonts w:ascii="仿宋_GB2312" w:hAnsi="宋体" w:eastAsia="仿宋_GB2312"/>
          <w:bCs w:val="0"/>
          <w:color w:val="auto"/>
          <w:highlight w:val="none"/>
        </w:rPr>
        <w:fldChar w:fldCharType="end"/>
      </w:r>
    </w:p>
    <w:p>
      <w:pPr>
        <w:pStyle w:val="3"/>
        <w:ind w:left="0" w:firstLine="0"/>
        <w:rPr>
          <w:rFonts w:ascii="仿宋_GB2312" w:hAnsi="宋体" w:eastAsia="仿宋_GB2312"/>
          <w:b w:val="0"/>
          <w:bCs w:val="0"/>
          <w:color w:val="auto"/>
          <w:highlight w:val="none"/>
        </w:rPr>
        <w:sectPr>
          <w:footerReference r:id="rId10" w:type="default"/>
          <w:pgSz w:w="11906" w:h="16838"/>
          <w:pgMar w:top="1440" w:right="1134" w:bottom="1440" w:left="1134" w:header="851" w:footer="992" w:gutter="0"/>
          <w:pgNumType w:fmt="decimal"/>
          <w:cols w:space="720" w:num="1"/>
          <w:docGrid w:linePitch="326" w:charSpace="0"/>
        </w:sectPr>
      </w:pPr>
      <w:r>
        <w:rPr>
          <w:rFonts w:ascii="仿宋_GB2312" w:hAnsi="宋体" w:eastAsia="仿宋_GB2312"/>
          <w:bCs w:val="0"/>
          <w:color w:val="auto"/>
          <w:highlight w:val="none"/>
        </w:rPr>
        <w:fldChar w:fldCharType="end"/>
      </w:r>
    </w:p>
    <w:p>
      <w:pPr>
        <w:pStyle w:val="3"/>
        <w:ind w:left="0" w:firstLine="0"/>
        <w:rPr>
          <w:rFonts w:ascii="仿宋" w:hAnsi="仿宋" w:eastAsia="仿宋" w:cs="Cambria Math"/>
          <w:b w:val="0"/>
          <w:bCs w:val="0"/>
          <w:color w:val="auto"/>
          <w:kern w:val="0"/>
          <w:sz w:val="24"/>
          <w:szCs w:val="24"/>
          <w:highlight w:val="none"/>
        </w:rPr>
        <w:sectPr>
          <w:headerReference r:id="rId11" w:type="default"/>
          <w:footerReference r:id="rId12"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highlight w:val="none"/>
        </w:rPr>
      </w:pPr>
      <w:bookmarkStart w:id="0" w:name="_Toc7894"/>
      <w:bookmarkStart w:id="1" w:name="_Toc21360"/>
      <w:bookmarkStart w:id="2" w:name="_Toc186737790"/>
      <w:r>
        <w:rPr>
          <w:rFonts w:hint="eastAsia" w:ascii="仿宋_GB2312" w:hAnsi="宋体" w:eastAsia="仿宋_GB2312"/>
          <w:color w:val="auto"/>
          <w:sz w:val="28"/>
          <w:szCs w:val="28"/>
          <w:highlight w:val="none"/>
        </w:rPr>
        <w:t>第一章 比价邀请</w:t>
      </w:r>
      <w:bookmarkEnd w:id="0"/>
      <w:bookmarkEnd w:id="1"/>
      <w:bookmarkEnd w:id="2"/>
    </w:p>
    <w:p>
      <w:pPr>
        <w:wordWrap w:val="0"/>
        <w:spacing w:line="360" w:lineRule="auto"/>
        <w:ind w:firstLine="48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highlight w:val="none"/>
          <w:u w:val="single"/>
        </w:rPr>
        <w:t>人保财险四川省资阳市分公司安岳支公司营运客车“主动防御系统”网络服务采购项目</w:t>
      </w:r>
      <w:r>
        <w:rPr>
          <w:rFonts w:hint="eastAsia" w:ascii="仿宋" w:hAnsi="仿宋" w:eastAsia="仿宋" w:cs="仿宋"/>
          <w:color w:val="auto"/>
          <w:highlight w:val="none"/>
        </w:rPr>
        <w:t>（采购项目编号：</w:t>
      </w:r>
      <w:r>
        <w:rPr>
          <w:rFonts w:ascii="宋体" w:hAnsi="宋体" w:eastAsia="宋体" w:cs="宋体"/>
          <w:sz w:val="24"/>
          <w:szCs w:val="24"/>
        </w:rPr>
        <w:t>XM26FSPC002866</w:t>
      </w:r>
      <w:r>
        <w:rPr>
          <w:rFonts w:hint="eastAsia" w:ascii="仿宋" w:hAnsi="仿宋" w:eastAsia="仿宋" w:cs="仿宋"/>
          <w:color w:val="auto"/>
          <w:highlight w:val="none"/>
        </w:rPr>
        <w:t>）由</w:t>
      </w:r>
      <w:r>
        <w:rPr>
          <w:rFonts w:hint="eastAsia" w:ascii="仿宋" w:hAnsi="仿宋" w:eastAsia="仿宋" w:cs="仿宋"/>
          <w:color w:val="auto"/>
          <w:highlight w:val="none"/>
          <w:u w:val="single"/>
        </w:rPr>
        <w:t>中国人民财产</w:t>
      </w:r>
      <w:bookmarkStart w:id="246" w:name="_GoBack"/>
      <w:bookmarkEnd w:id="246"/>
      <w:r>
        <w:rPr>
          <w:rFonts w:hint="eastAsia" w:ascii="仿宋" w:hAnsi="仿宋" w:eastAsia="仿宋" w:cs="仿宋"/>
          <w:color w:val="auto"/>
          <w:highlight w:val="none"/>
          <w:u w:val="single"/>
        </w:rPr>
        <w:t>保险股份有限公司</w:t>
      </w:r>
      <w:r>
        <w:rPr>
          <w:rFonts w:hint="eastAsia" w:ascii="仿宋" w:hAnsi="仿宋" w:eastAsia="仿宋" w:cs="仿宋"/>
          <w:color w:val="auto"/>
          <w:highlight w:val="none"/>
          <w:u w:val="single"/>
          <w:lang w:eastAsia="zh-CN"/>
        </w:rPr>
        <w:t>资阳市</w:t>
      </w:r>
      <w:r>
        <w:rPr>
          <w:rFonts w:hint="eastAsia" w:ascii="仿宋" w:hAnsi="仿宋" w:eastAsia="仿宋" w:cs="仿宋"/>
          <w:color w:val="auto"/>
          <w:highlight w:val="none"/>
          <w:u w:val="single"/>
        </w:rPr>
        <w:t>分公司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批准并落实资金，组织本项目的比价工作</w:t>
      </w:r>
      <w:r>
        <w:rPr>
          <w:rFonts w:hint="eastAsia" w:ascii="仿宋" w:hAnsi="仿宋" w:eastAsia="仿宋" w:cs="仿宋"/>
          <w:color w:val="auto"/>
          <w:highlight w:val="none"/>
        </w:rPr>
        <w:t>，采购合同由</w:t>
      </w:r>
      <w:r>
        <w:rPr>
          <w:rFonts w:hint="eastAsia" w:ascii="仿宋" w:hAnsi="仿宋" w:eastAsia="仿宋" w:cs="宋体"/>
          <w:color w:val="auto"/>
          <w:highlight w:val="none"/>
          <w:u w:val="single"/>
        </w:rPr>
        <w:t>中国人民财产保险股份有限公司</w:t>
      </w:r>
      <w:r>
        <w:rPr>
          <w:rFonts w:hint="eastAsia" w:ascii="仿宋" w:hAnsi="仿宋" w:eastAsia="仿宋" w:cs="宋体"/>
          <w:color w:val="auto"/>
          <w:highlight w:val="none"/>
          <w:u w:val="single"/>
          <w:lang w:eastAsia="zh-CN"/>
        </w:rPr>
        <w:t>资阳市</w:t>
      </w:r>
      <w:r>
        <w:rPr>
          <w:rFonts w:hint="eastAsia" w:ascii="仿宋" w:hAnsi="仿宋" w:eastAsia="仿宋" w:cs="宋体"/>
          <w:color w:val="auto"/>
          <w:highlight w:val="none"/>
          <w:u w:val="single"/>
        </w:rPr>
        <w:t>分公司</w:t>
      </w:r>
      <w:r>
        <w:rPr>
          <w:rFonts w:hint="eastAsia" w:ascii="仿宋" w:hAnsi="仿宋" w:eastAsia="仿宋" w:cs="宋体"/>
          <w:color w:val="auto"/>
          <w:highlight w:val="none"/>
        </w:rPr>
        <w:t>（以下简称“人保财险</w:t>
      </w:r>
      <w:r>
        <w:rPr>
          <w:rFonts w:hint="eastAsia" w:ascii="仿宋" w:hAnsi="仿宋" w:eastAsia="仿宋" w:cs="宋体"/>
          <w:color w:val="auto"/>
          <w:highlight w:val="none"/>
          <w:lang w:eastAsia="zh-CN"/>
        </w:rPr>
        <w:t>资阳</w:t>
      </w:r>
      <w:r>
        <w:rPr>
          <w:rFonts w:hint="eastAsia" w:ascii="仿宋" w:hAnsi="仿宋" w:eastAsia="仿宋" w:cs="宋体"/>
          <w:color w:val="auto"/>
          <w:highlight w:val="none"/>
        </w:rPr>
        <w:t>分公司”）</w:t>
      </w:r>
      <w:r>
        <w:rPr>
          <w:rFonts w:hint="eastAsia" w:ascii="仿宋" w:hAnsi="仿宋" w:eastAsia="仿宋" w:cs="仿宋"/>
          <w:color w:val="auto"/>
          <w:highlight w:val="none"/>
        </w:rPr>
        <w:t>根据成交结果与成交人签署。现通过比价方式实施，</w:t>
      </w:r>
      <w:r>
        <w:rPr>
          <w:rFonts w:hint="eastAsia" w:ascii="仿宋" w:hAnsi="仿宋" w:eastAsia="仿宋" w:cs="Cambria Math"/>
          <w:color w:val="auto"/>
          <w:highlight w:val="none"/>
        </w:rPr>
        <w:t xml:space="preserve">有意向且具有提供标的物能力的潜在供应商（以下简称“供应商”）可前来参与比价响应。 </w:t>
      </w:r>
    </w:p>
    <w:p>
      <w:pPr>
        <w:pStyle w:val="4"/>
        <w:jc w:val="left"/>
        <w:rPr>
          <w:rFonts w:ascii="仿宋" w:hAnsi="仿宋" w:eastAsia="仿宋" w:cs="仿宋"/>
          <w:color w:val="auto"/>
          <w:sz w:val="24"/>
          <w:szCs w:val="24"/>
          <w:highlight w:val="none"/>
        </w:rPr>
      </w:pPr>
      <w:bookmarkStart w:id="3" w:name="_Toc186737791"/>
      <w:bookmarkStart w:id="4" w:name="_Toc7564"/>
      <w:bookmarkStart w:id="5" w:name="_Toc21237"/>
      <w:r>
        <w:rPr>
          <w:rFonts w:hint="eastAsia" w:ascii="仿宋" w:hAnsi="仿宋" w:eastAsia="仿宋" w:cs="仿宋"/>
          <w:color w:val="auto"/>
          <w:sz w:val="24"/>
          <w:szCs w:val="24"/>
          <w:highlight w:val="none"/>
        </w:rPr>
        <w:t>一、项目概况与采购范围</w:t>
      </w:r>
      <w:bookmarkEnd w:id="3"/>
      <w:bookmarkEnd w:id="4"/>
      <w:bookmarkEnd w:id="5"/>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single"/>
        </w:rPr>
        <w:t>人保财险四川省资阳市分公司安岳支公司营运客车“主动防御系统”网络服务采购项目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1.2 采购范围：本项目拟采购</w:t>
      </w:r>
      <w:r>
        <w:rPr>
          <w:rFonts w:hint="eastAsia" w:ascii="仿宋" w:hAnsi="仿宋" w:eastAsia="仿宋" w:cs="仿宋"/>
          <w:color w:val="auto"/>
          <w:highlight w:val="none"/>
          <w:u w:val="single"/>
        </w:rPr>
        <w:t>营运客车“主动防御系统”网络服务</w:t>
      </w:r>
      <w:r>
        <w:rPr>
          <w:rFonts w:hint="eastAsia" w:ascii="仿宋" w:hAnsi="仿宋" w:eastAsia="仿宋" w:cs="仿宋"/>
          <w:color w:val="auto"/>
          <w:highlight w:val="none"/>
        </w:rPr>
        <w:t>，具体技术要求详见第五章采购需求。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w:t>
      </w:r>
      <w:r>
        <w:rPr>
          <w:rFonts w:hint="eastAsia" w:ascii="仿宋" w:hAnsi="仿宋" w:eastAsia="仿宋" w:cs="仿宋"/>
          <w:color w:val="auto"/>
          <w:highlight w:val="none"/>
          <w:lang w:eastAsia="zh-CN"/>
        </w:rPr>
        <w:t>网络服务</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 w:hAnsi="仿宋" w:eastAsia="仿宋" w:cs="仿宋"/>
          <w:color w:val="auto"/>
          <w:highlight w:val="none"/>
        </w:rPr>
        <w:t>1.5服务期限：</w:t>
      </w:r>
      <w:r>
        <w:rPr>
          <w:rFonts w:hint="eastAsia" w:ascii="仿宋" w:hAnsi="仿宋" w:eastAsia="仿宋" w:cs="仿宋"/>
          <w:color w:val="auto"/>
          <w:highlight w:val="none"/>
          <w:lang w:val="en-US" w:eastAsia="zh-CN"/>
        </w:rPr>
        <w:t>自合同签订之日起一年内。</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服务地点/交货地点：</w:t>
      </w:r>
      <w:r>
        <w:rPr>
          <w:rFonts w:hint="eastAsia" w:ascii="仿宋" w:hAnsi="仿宋" w:eastAsia="仿宋" w:cs="宋体"/>
          <w:color w:val="auto"/>
          <w:highlight w:val="none"/>
          <w:lang w:eastAsia="zh-CN"/>
        </w:rPr>
        <w:t>资阳市安岳县</w:t>
      </w:r>
      <w:r>
        <w:rPr>
          <w:rFonts w:hint="eastAsia" w:ascii="仿宋" w:hAnsi="仿宋" w:eastAsia="仿宋" w:cs="宋体"/>
          <w:color w:val="auto"/>
          <w:highlight w:val="none"/>
        </w:rPr>
        <w:t>。</w:t>
      </w:r>
    </w:p>
    <w:p>
      <w:pPr>
        <w:pStyle w:val="2"/>
        <w:rPr>
          <w:rFonts w:hint="eastAsia" w:eastAsia="仿宋"/>
          <w:color w:val="auto"/>
          <w:highlight w:val="none"/>
          <w:lang w:eastAsia="zh-CN"/>
        </w:rPr>
      </w:pPr>
      <w:r>
        <w:rPr>
          <w:rFonts w:hint="eastAsia"/>
          <w:color w:val="auto"/>
          <w:highlight w:val="none"/>
        </w:rPr>
        <w:t xml:space="preserve"> </w:t>
      </w:r>
      <w:r>
        <w:rPr>
          <w:color w:val="auto"/>
          <w:highlight w:val="none"/>
        </w:rPr>
        <w:t xml:space="preserve">   </w:t>
      </w:r>
      <w:r>
        <w:rPr>
          <w:rFonts w:ascii="仿宋" w:hAnsi="仿宋" w:eastAsia="仿宋" w:cs="仿宋"/>
          <w:color w:val="auto"/>
          <w:highlight w:val="none"/>
        </w:rPr>
        <w:t>1.7项目限价</w:t>
      </w:r>
      <w:r>
        <w:rPr>
          <w:rFonts w:hint="eastAsia" w:ascii="仿宋" w:hAnsi="仿宋" w:eastAsia="仿宋" w:cs="仿宋"/>
          <w:color w:val="auto"/>
          <w:highlight w:val="none"/>
        </w:rPr>
        <w:t>：</w:t>
      </w:r>
      <w:r>
        <w:rPr>
          <w:rFonts w:ascii="仿宋" w:hAnsi="仿宋" w:eastAsia="仿宋" w:cs="仿宋"/>
          <w:color w:val="auto"/>
          <w:highlight w:val="none"/>
        </w:rPr>
        <w:t>项目设置最高</w:t>
      </w:r>
      <w:r>
        <w:rPr>
          <w:rFonts w:hint="eastAsia" w:ascii="仿宋" w:hAnsi="仿宋" w:eastAsia="仿宋" w:cs="仿宋"/>
          <w:color w:val="auto"/>
          <w:highlight w:val="none"/>
          <w:lang w:eastAsia="zh-CN"/>
        </w:rPr>
        <w:t>单价</w:t>
      </w:r>
      <w:r>
        <w:rPr>
          <w:rFonts w:ascii="仿宋" w:hAnsi="仿宋" w:eastAsia="仿宋" w:cs="仿宋"/>
          <w:color w:val="auto"/>
          <w:highlight w:val="none"/>
        </w:rPr>
        <w:t>限价</w:t>
      </w:r>
      <w:r>
        <w:rPr>
          <w:rFonts w:hint="eastAsia" w:ascii="仿宋" w:hAnsi="仿宋" w:eastAsia="仿宋" w:cs="仿宋"/>
          <w:color w:val="auto"/>
          <w:highlight w:val="none"/>
        </w:rPr>
        <w:t>，</w:t>
      </w:r>
      <w:r>
        <w:rPr>
          <w:rFonts w:ascii="仿宋" w:hAnsi="仿宋" w:eastAsia="仿宋" w:cs="仿宋"/>
          <w:color w:val="auto"/>
          <w:highlight w:val="none"/>
        </w:rPr>
        <w:t>即供应商报价</w:t>
      </w:r>
      <w:r>
        <w:rPr>
          <w:rFonts w:hint="eastAsia" w:ascii="仿宋" w:hAnsi="仿宋" w:eastAsia="仿宋" w:cs="仿宋"/>
          <w:color w:val="auto"/>
          <w:highlight w:val="none"/>
          <w:lang w:eastAsia="zh-CN"/>
        </w:rPr>
        <w:t>单价</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1000元/辆/年</w:t>
      </w:r>
      <w:r>
        <w:rPr>
          <w:rFonts w:hint="eastAsia" w:ascii="仿宋" w:hAnsi="仿宋" w:eastAsia="仿宋" w:cs="仿宋"/>
          <w:color w:val="auto"/>
          <w:highlight w:val="none"/>
          <w:lang w:eastAsia="zh-CN"/>
        </w:rPr>
        <w:t>。</w:t>
      </w:r>
    </w:p>
    <w:p>
      <w:pPr>
        <w:pStyle w:val="4"/>
        <w:jc w:val="left"/>
        <w:rPr>
          <w:rFonts w:ascii="仿宋" w:hAnsi="仿宋" w:eastAsia="仿宋" w:cs="仿宋"/>
          <w:color w:val="auto"/>
          <w:sz w:val="24"/>
          <w:szCs w:val="24"/>
          <w:highlight w:val="none"/>
        </w:rPr>
      </w:pPr>
      <w:bookmarkStart w:id="6" w:name="_Toc12747"/>
      <w:bookmarkStart w:id="7" w:name="_Toc17569"/>
      <w:bookmarkStart w:id="8" w:name="_Toc186737792"/>
      <w:r>
        <w:rPr>
          <w:rFonts w:hint="eastAsia" w:ascii="仿宋" w:hAnsi="仿宋" w:eastAsia="仿宋" w:cs="仿宋"/>
          <w:color w:val="auto"/>
          <w:sz w:val="24"/>
          <w:szCs w:val="24"/>
          <w:highlight w:val="none"/>
        </w:rPr>
        <w:t>二、供应商资格要求</w:t>
      </w:r>
      <w:bookmarkEnd w:id="6"/>
      <w:bookmarkEnd w:id="7"/>
      <w:bookmarkEnd w:id="8"/>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2.1</w:t>
      </w:r>
      <w:r>
        <w:rPr>
          <w:rFonts w:hint="eastAsia" w:ascii="仿宋" w:hAnsi="仿宋" w:eastAsia="仿宋" w:cs="宋体"/>
          <w:b/>
          <w:bCs/>
          <w:color w:val="auto"/>
          <w:highlight w:val="none"/>
        </w:rPr>
        <w:t>在中华人民共和国境内依法登记的法人或其他组织，具有独立承担民事责任的能力，</w:t>
      </w:r>
      <w:r>
        <w:rPr>
          <w:rFonts w:hint="eastAsia" w:ascii="仿宋" w:hAnsi="仿宋" w:eastAsia="仿宋" w:cs="宋体"/>
          <w:color w:val="auto"/>
          <w:highlight w:val="none"/>
        </w:rPr>
        <w:t>供应商如为企业法人，须提供企业法人营业执照</w:t>
      </w:r>
      <w:r>
        <w:rPr>
          <w:rFonts w:hint="eastAsia" w:ascii="仿宋" w:hAnsi="仿宋" w:eastAsia="仿宋" w:cs="Monaco"/>
          <w:color w:val="auto"/>
          <w:highlight w:val="none"/>
        </w:rPr>
        <w:t>（复印件）</w:t>
      </w:r>
      <w:r>
        <w:rPr>
          <w:rFonts w:hint="eastAsia" w:ascii="仿宋" w:hAnsi="仿宋" w:eastAsia="仿宋" w:cs="宋体"/>
          <w:color w:val="auto"/>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2.2</w:t>
      </w:r>
      <w:r>
        <w:rPr>
          <w:rFonts w:hint="eastAsia" w:ascii="仿宋" w:hAnsi="仿宋" w:eastAsia="仿宋" w:cs="宋体"/>
          <w:b/>
          <w:bCs/>
          <w:color w:val="auto"/>
          <w:highlight w:val="none"/>
        </w:rPr>
        <w:t>具有良好的商业信誉和健全的财务会计制度</w:t>
      </w:r>
      <w:r>
        <w:rPr>
          <w:rFonts w:hint="eastAsia" w:ascii="仿宋" w:hAnsi="仿宋" w:eastAsia="仿宋" w:cs="宋体"/>
          <w:color w:val="auto"/>
          <w:highlight w:val="none"/>
        </w:rPr>
        <w:t>，需提供20</w:t>
      </w:r>
      <w:r>
        <w:rPr>
          <w:rFonts w:hint="eastAsia" w:ascii="仿宋" w:hAnsi="仿宋" w:eastAsia="仿宋" w:cs="宋体"/>
          <w:color w:val="auto"/>
          <w:highlight w:val="none"/>
          <w:lang w:val="en-US" w:eastAsia="zh-CN"/>
        </w:rPr>
        <w:t>25</w:t>
      </w:r>
      <w:r>
        <w:rPr>
          <w:rFonts w:hint="eastAsia" w:ascii="仿宋" w:hAnsi="仿宋" w:eastAsia="仿宋" w:cs="宋体"/>
          <w:color w:val="auto"/>
          <w:highlight w:val="none"/>
        </w:rPr>
        <w:t>年度财务报表（至少包含资产负债表、损益表/利润表）或提供响应文件递交截止日前6个月内开具的银行资信证明。</w:t>
      </w:r>
    </w:p>
    <w:p>
      <w:pPr>
        <w:spacing w:line="360" w:lineRule="auto"/>
        <w:ind w:firstLine="480" w:firstLineChars="200"/>
        <w:textAlignment w:val="baseline"/>
        <w:rPr>
          <w:rFonts w:hint="eastAsia" w:ascii="仿宋" w:hAnsi="仿宋" w:eastAsia="仿宋" w:cs="宋体"/>
          <w:color w:val="auto"/>
          <w:highlight w:val="none"/>
          <w:lang w:eastAsia="zh-CN"/>
        </w:rPr>
      </w:pPr>
      <w:r>
        <w:rPr>
          <w:rFonts w:hint="eastAsia" w:ascii="仿宋" w:hAnsi="仿宋" w:eastAsia="仿宋" w:cs="宋体"/>
          <w:color w:val="auto"/>
          <w:highlight w:val="none"/>
        </w:rPr>
        <w:t xml:space="preserve">2.3 </w:t>
      </w:r>
      <w:r>
        <w:rPr>
          <w:rFonts w:hint="eastAsia" w:ascii="仿宋" w:hAnsi="仿宋" w:eastAsia="仿宋" w:cs="宋体"/>
          <w:b/>
          <w:bCs/>
          <w:color w:val="auto"/>
          <w:highlight w:val="none"/>
        </w:rPr>
        <w:t>供应商应具有履行合同所必需的设备和专业技术能力</w:t>
      </w:r>
      <w:r>
        <w:rPr>
          <w:rFonts w:hint="eastAsia" w:ascii="仿宋" w:hAnsi="仿宋" w:eastAsia="仿宋" w:cs="宋体"/>
          <w:color w:val="auto"/>
          <w:highlight w:val="none"/>
        </w:rPr>
        <w:t>，近三年（20</w:t>
      </w:r>
      <w:r>
        <w:rPr>
          <w:rFonts w:hint="eastAsia" w:ascii="仿宋" w:hAnsi="仿宋" w:eastAsia="仿宋" w:cs="宋体"/>
          <w:color w:val="auto"/>
          <w:highlight w:val="none"/>
          <w:lang w:val="en-US" w:eastAsia="zh-CN"/>
        </w:rPr>
        <w:t>23</w:t>
      </w:r>
      <w:r>
        <w:rPr>
          <w:rFonts w:hint="eastAsia" w:ascii="仿宋" w:hAnsi="仿宋" w:eastAsia="仿宋" w:cs="宋体"/>
          <w:color w:val="auto"/>
          <w:highlight w:val="none"/>
        </w:rPr>
        <w:t>年1月1日至今）应具有</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个以上同类项目实施案例，并提供符合上述要求的合同关键页作为有效的业绩证明材料。合同关键页包含但不限于合同首页、合同标的页、签署日期页及盖章页等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highlight w:val="none"/>
          <w:lang w:eastAsia="zh-CN"/>
        </w:rPr>
        <w:t>。</w:t>
      </w:r>
    </w:p>
    <w:p>
      <w:pPr>
        <w:spacing w:line="360" w:lineRule="auto"/>
        <w:ind w:firstLine="480" w:firstLineChars="200"/>
        <w:textAlignment w:val="baseline"/>
        <w:rPr>
          <w:rFonts w:hint="eastAsia" w:ascii="仿宋" w:hAnsi="仿宋" w:eastAsia="仿宋" w:cs="宋体"/>
          <w:color w:val="auto"/>
          <w:highlight w:val="none"/>
        </w:rPr>
      </w:pPr>
      <w:r>
        <w:rPr>
          <w:rFonts w:hint="eastAsia" w:ascii="仿宋" w:hAnsi="仿宋" w:eastAsia="仿宋" w:cs="宋体"/>
          <w:color w:val="auto"/>
          <w:highlight w:val="none"/>
        </w:rPr>
        <w:t>2.4</w:t>
      </w:r>
      <w:r>
        <w:rPr>
          <w:rFonts w:hint="eastAsia" w:ascii="仿宋" w:hAnsi="仿宋" w:eastAsia="仿宋" w:cs="宋体"/>
          <w:b/>
          <w:bCs/>
          <w:color w:val="auto"/>
          <w:highlight w:val="none"/>
        </w:rPr>
        <w:t>具有依法缴纳税收</w:t>
      </w:r>
      <w:r>
        <w:rPr>
          <w:rFonts w:hint="eastAsia" w:ascii="仿宋" w:hAnsi="仿宋" w:eastAsia="仿宋" w:cs="宋体"/>
          <w:b/>
          <w:bCs/>
          <w:color w:val="auto"/>
          <w:highlight w:val="none"/>
          <w:lang w:val="en-US" w:eastAsia="zh-CN"/>
        </w:rPr>
        <w:t>或</w:t>
      </w:r>
      <w:r>
        <w:rPr>
          <w:rFonts w:hint="eastAsia" w:ascii="仿宋" w:hAnsi="仿宋" w:eastAsia="仿宋" w:cs="宋体"/>
          <w:b/>
          <w:bCs/>
          <w:color w:val="auto"/>
          <w:highlight w:val="none"/>
        </w:rPr>
        <w:t>社会保障资金的良好记录</w:t>
      </w:r>
      <w:r>
        <w:rPr>
          <w:rFonts w:hint="eastAsia" w:ascii="仿宋" w:hAnsi="仿宋" w:eastAsia="仿宋" w:cs="宋体"/>
          <w:color w:val="auto"/>
          <w:highlight w:val="none"/>
        </w:rPr>
        <w:t>，提供近6个月任意一个月的税收</w:t>
      </w:r>
      <w:r>
        <w:rPr>
          <w:rFonts w:hint="eastAsia" w:ascii="仿宋" w:hAnsi="仿宋" w:eastAsia="仿宋" w:cs="宋体"/>
          <w:color w:val="auto"/>
          <w:highlight w:val="none"/>
          <w:lang w:eastAsia="zh-CN"/>
        </w:rPr>
        <w:t>证明或</w:t>
      </w:r>
      <w:r>
        <w:rPr>
          <w:rFonts w:hint="eastAsia" w:ascii="仿宋" w:hAnsi="仿宋" w:eastAsia="仿宋" w:cs="宋体"/>
          <w:color w:val="auto"/>
          <w:highlight w:val="none"/>
        </w:rPr>
        <w:t>社会保障资金缴纳凭证。</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2.5</w:t>
      </w:r>
      <w:r>
        <w:rPr>
          <w:rFonts w:hint="eastAsia" w:ascii="仿宋" w:hAnsi="仿宋" w:eastAsia="仿宋" w:cs="宋体"/>
          <w:b/>
          <w:bCs/>
          <w:color w:val="auto"/>
          <w:highlight w:val="none"/>
        </w:rPr>
        <w:t>供应商应经营状况良好，且近三年内（20</w:t>
      </w:r>
      <w:r>
        <w:rPr>
          <w:rFonts w:hint="eastAsia" w:ascii="仿宋" w:hAnsi="仿宋" w:eastAsia="仿宋" w:cs="宋体"/>
          <w:b/>
          <w:bCs/>
          <w:color w:val="auto"/>
          <w:highlight w:val="none"/>
          <w:lang w:val="en-US" w:eastAsia="zh-CN"/>
        </w:rPr>
        <w:t>23</w:t>
      </w:r>
      <w:r>
        <w:rPr>
          <w:rFonts w:hint="eastAsia" w:ascii="仿宋" w:hAnsi="仿宋" w:eastAsia="仿宋" w:cs="宋体"/>
          <w:b/>
          <w:bCs/>
          <w:color w:val="auto"/>
          <w:highlight w:val="none"/>
        </w:rPr>
        <w:t>年1月1日至今）无违法违规记录。</w:t>
      </w:r>
      <w:r>
        <w:rPr>
          <w:rFonts w:hint="eastAsia" w:ascii="仿宋" w:hAnsi="仿宋" w:eastAsia="仿宋" w:cs="宋体"/>
          <w:color w:val="auto"/>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auto"/>
          <w:highlight w:val="none"/>
          <w:lang w:val="en-US" w:eastAsia="zh-CN"/>
        </w:rPr>
        <w:t>比价</w:t>
      </w:r>
      <w:r>
        <w:rPr>
          <w:rFonts w:hint="eastAsia" w:ascii="仿宋" w:hAnsi="仿宋" w:eastAsia="仿宋" w:cs="宋体"/>
          <w:color w:val="auto"/>
          <w:highlight w:val="none"/>
        </w:rPr>
        <w:t>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highlight w:val="none"/>
        </w:rPr>
      </w:pPr>
      <w:r>
        <w:rPr>
          <w:rFonts w:hint="eastAsia" w:ascii="仿宋" w:hAnsi="仿宋" w:eastAsia="仿宋" w:cs="宋体"/>
          <w:color w:val="auto"/>
          <w:highlight w:val="none"/>
        </w:rPr>
        <w:t xml:space="preserve">2.6 </w:t>
      </w:r>
      <w:r>
        <w:rPr>
          <w:rFonts w:hint="eastAsia" w:ascii="仿宋" w:hAnsi="仿宋" w:eastAsia="仿宋" w:cs="宋体"/>
          <w:b/>
          <w:bCs/>
          <w:color w:val="auto"/>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2.7单位负责人为同一人或存在控股、管理关系的不同单位，不得参加同一标段/标包</w:t>
      </w:r>
      <w:r>
        <w:rPr>
          <w:rFonts w:hint="eastAsia" w:ascii="仿宋" w:hAnsi="仿宋" w:eastAsia="仿宋" w:cs="宋体"/>
          <w:color w:val="auto"/>
          <w:highlight w:val="none"/>
          <w:lang w:val="en-US" w:eastAsia="zh-CN"/>
        </w:rPr>
        <w:t>比价</w:t>
      </w:r>
      <w:r>
        <w:rPr>
          <w:rFonts w:hint="eastAsia" w:ascii="仿宋" w:hAnsi="仿宋" w:eastAsia="仿宋" w:cs="宋体"/>
          <w:color w:val="auto"/>
          <w:highlight w:val="none"/>
        </w:rPr>
        <w:t>响应或未划分标段/标包的同一采购项目的</w:t>
      </w:r>
      <w:r>
        <w:rPr>
          <w:rFonts w:hint="eastAsia" w:ascii="仿宋" w:hAnsi="仿宋" w:eastAsia="仿宋" w:cs="宋体"/>
          <w:color w:val="auto"/>
          <w:highlight w:val="none"/>
          <w:lang w:val="en-US" w:eastAsia="zh-CN"/>
        </w:rPr>
        <w:t>比价</w:t>
      </w:r>
      <w:r>
        <w:rPr>
          <w:rFonts w:hint="eastAsia" w:ascii="仿宋" w:hAnsi="仿宋" w:eastAsia="仿宋" w:cs="宋体"/>
          <w:color w:val="auto"/>
          <w:highlight w:val="none"/>
        </w:rPr>
        <w:t>响应，需填写《供应商控股及管理关系情况申报表》。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2.8本项目不接受联合体比</w:t>
      </w:r>
      <w:r>
        <w:rPr>
          <w:rFonts w:hint="eastAsia" w:ascii="仿宋" w:hAnsi="仿宋" w:eastAsia="仿宋" w:cs="宋体"/>
          <w:color w:val="auto"/>
          <w:highlight w:val="none"/>
          <w:lang w:eastAsia="zh-CN"/>
        </w:rPr>
        <w:t>价</w:t>
      </w:r>
      <w:r>
        <w:rPr>
          <w:rFonts w:hint="eastAsia" w:ascii="仿宋" w:hAnsi="仿宋" w:eastAsia="仿宋" w:cs="宋体"/>
          <w:color w:val="auto"/>
          <w:highlight w:val="none"/>
        </w:rPr>
        <w:t>响应。提供承诺函，格式详见第六章响应文件格式。</w:t>
      </w:r>
    </w:p>
    <w:p>
      <w:pPr>
        <w:pStyle w:val="4"/>
        <w:spacing w:after="240"/>
        <w:jc w:val="left"/>
        <w:rPr>
          <w:rFonts w:ascii="仿宋" w:hAnsi="仿宋" w:eastAsia="仿宋" w:cs="仿宋"/>
          <w:color w:val="auto"/>
          <w:sz w:val="24"/>
          <w:szCs w:val="24"/>
          <w:highlight w:val="none"/>
        </w:rPr>
      </w:pPr>
      <w:bookmarkStart w:id="9" w:name="_Toc2019"/>
      <w:bookmarkStart w:id="10" w:name="_Toc186737793"/>
      <w:bookmarkStart w:id="11" w:name="_Toc2013"/>
      <w:r>
        <w:rPr>
          <w:rFonts w:hint="eastAsia" w:ascii="仿宋" w:hAnsi="仿宋" w:eastAsia="仿宋" w:cs="仿宋"/>
          <w:color w:val="auto"/>
          <w:sz w:val="24"/>
          <w:szCs w:val="24"/>
          <w:highlight w:val="none"/>
        </w:rPr>
        <w:t>三、比价文件的获取</w:t>
      </w:r>
      <w:bookmarkEnd w:id="9"/>
      <w:bookmarkEnd w:id="10"/>
      <w:bookmarkEnd w:id="11"/>
    </w:p>
    <w:p>
      <w:pPr>
        <w:pStyle w:val="65"/>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.1比价文件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lang w:val="en-US" w:eastAsia="zh-CN"/>
        </w:rPr>
        <w:t>2026年9</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lang w:val="en-US" w:eastAsia="zh-CN"/>
        </w:rPr>
        <w:t>2026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9</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pPr>
        <w:pStyle w:val="11"/>
        <w:spacing w:line="360" w:lineRule="auto"/>
        <w:ind w:firstLine="480" w:firstLineChars="200"/>
        <w:rPr>
          <w:rFonts w:ascii="仿宋" w:hAnsi="仿宋" w:eastAsia="仿宋" w:cs="仿宋_GB2312"/>
          <w:color w:val="auto"/>
          <w:sz w:val="24"/>
          <w:szCs w:val="24"/>
          <w:highlight w:val="none"/>
        </w:rPr>
      </w:pPr>
      <w:r>
        <w:rPr>
          <w:rFonts w:ascii="仿宋" w:hAnsi="仿宋" w:eastAsia="仿宋" w:cs="宋体"/>
          <w:color w:val="auto"/>
          <w:sz w:val="24"/>
          <w:highlight w:val="none"/>
        </w:rPr>
        <w:t>3</w:t>
      </w:r>
      <w:r>
        <w:rPr>
          <w:rFonts w:hint="eastAsia" w:ascii="仿宋" w:hAnsi="仿宋" w:eastAsia="仿宋" w:cs="宋体"/>
          <w:color w:val="auto"/>
          <w:sz w:val="24"/>
          <w:highlight w:val="none"/>
        </w:rPr>
        <w:t>.2拟报名参加本项目的供应商，请通过“人保e采”外网门户获取比价文件</w:t>
      </w:r>
      <w:r>
        <w:rPr>
          <w:rFonts w:hint="eastAsia" w:ascii="仿宋" w:hAnsi="仿宋" w:eastAsia="仿宋" w:cs="仿宋_GB2312"/>
          <w:color w:val="auto"/>
          <w:sz w:val="24"/>
          <w:szCs w:val="24"/>
          <w:highlight w:val="none"/>
        </w:rPr>
        <w:t>。</w:t>
      </w:r>
      <w:r>
        <w:rPr>
          <w:rFonts w:hint="eastAsia" w:ascii="仿宋" w:hAnsi="仿宋" w:eastAsia="仿宋" w:cs="宋体"/>
          <w:color w:val="auto"/>
          <w:sz w:val="24"/>
          <w:highlight w:val="none"/>
        </w:rPr>
        <w:t>（</w:t>
      </w:r>
      <w:r>
        <w:rPr>
          <w:rFonts w:hint="eastAsia" w:ascii="仿宋" w:hAnsi="仿宋" w:eastAsia="仿宋" w:cs="仿宋_GB2312"/>
          <w:color w:val="auto"/>
          <w:sz w:val="24"/>
          <w:szCs w:val="24"/>
          <w:highlight w:val="none"/>
        </w:rPr>
        <w:t>按照各采购人获取文件要求如实填写</w:t>
      </w:r>
      <w:r>
        <w:rPr>
          <w:rFonts w:hint="eastAsia" w:ascii="仿宋" w:hAnsi="仿宋" w:eastAsia="仿宋" w:cs="宋体"/>
          <w:color w:val="auto"/>
          <w:sz w:val="24"/>
          <w:highlight w:val="none"/>
        </w:rPr>
        <w:t>）</w:t>
      </w:r>
    </w:p>
    <w:p>
      <w:pPr>
        <w:pStyle w:val="4"/>
        <w:jc w:val="left"/>
        <w:rPr>
          <w:rFonts w:ascii="仿宋" w:hAnsi="仿宋" w:eastAsia="仿宋" w:cs="仿宋"/>
          <w:color w:val="auto"/>
          <w:sz w:val="24"/>
          <w:szCs w:val="24"/>
          <w:highlight w:val="none"/>
        </w:rPr>
      </w:pPr>
      <w:bookmarkStart w:id="12" w:name="_Toc32115"/>
      <w:bookmarkStart w:id="13" w:name="_Toc16744"/>
      <w:bookmarkStart w:id="14" w:name="_Toc186737794"/>
      <w:r>
        <w:rPr>
          <w:rFonts w:hint="eastAsia" w:ascii="仿宋" w:hAnsi="仿宋" w:eastAsia="仿宋" w:cs="仿宋"/>
          <w:color w:val="auto"/>
          <w:sz w:val="24"/>
          <w:szCs w:val="24"/>
          <w:highlight w:val="none"/>
        </w:rPr>
        <w:t>四、响应文件的递交</w:t>
      </w:r>
      <w:bookmarkEnd w:id="12"/>
      <w:bookmarkEnd w:id="13"/>
      <w:bookmarkEnd w:id="14"/>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.1响应文件递交截止时间：</w:t>
      </w:r>
      <w:r>
        <w:rPr>
          <w:rFonts w:hint="eastAsia" w:ascii="仿宋" w:hAnsi="仿宋" w:eastAsia="仿宋" w:cs="宋体"/>
          <w:color w:val="auto"/>
          <w:highlight w:val="none"/>
          <w:u w:val="single"/>
          <w:lang w:val="en-US" w:eastAsia="zh-CN"/>
        </w:rPr>
        <w:t>2026年9月11日15时00</w:t>
      </w:r>
      <w:r>
        <w:rPr>
          <w:rFonts w:hint="eastAsia" w:ascii="仿宋" w:hAnsi="仿宋" w:eastAsia="仿宋" w:cs="宋体"/>
          <w:color w:val="auto"/>
          <w:highlight w:val="none"/>
          <w:u w:val="single"/>
        </w:rPr>
        <w:t>分</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秒</w:t>
      </w:r>
      <w:r>
        <w:rPr>
          <w:rFonts w:hint="eastAsia" w:ascii="仿宋" w:hAnsi="仿宋" w:eastAsia="仿宋" w:cs="宋体"/>
          <w:color w:val="auto"/>
          <w:highlight w:val="none"/>
        </w:rPr>
        <w:t>。</w:t>
      </w:r>
    </w:p>
    <w:p>
      <w:pPr>
        <w:spacing w:line="360" w:lineRule="auto"/>
        <w:ind w:firstLine="48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w:t>
      </w:r>
      <w:r>
        <w:rPr>
          <w:rFonts w:hint="eastAsia" w:ascii="仿宋" w:hAnsi="仿宋" w:eastAsia="仿宋" w:cs="宋体"/>
          <w:color w:val="auto"/>
          <w:highlight w:val="none"/>
          <w:u w:val="none"/>
        </w:rPr>
        <w:t>须现场递交至四川省资阳市雁江区宝台镇黄泥村弘城水韵和中城建</w:t>
      </w:r>
      <w:r>
        <w:rPr>
          <w:rFonts w:hint="eastAsia" w:ascii="仿宋" w:hAnsi="仿宋" w:eastAsia="仿宋" w:cs="宋体"/>
          <w:color w:val="auto"/>
          <w:highlight w:val="none"/>
          <w:u w:val="none"/>
          <w:lang w:val="en-US" w:eastAsia="zh-CN"/>
        </w:rPr>
        <w:t>.</w:t>
      </w:r>
      <w:r>
        <w:rPr>
          <w:rFonts w:hint="eastAsia" w:ascii="仿宋" w:hAnsi="仿宋" w:eastAsia="仿宋" w:cs="宋体"/>
          <w:color w:val="auto"/>
          <w:highlight w:val="none"/>
          <w:u w:val="none"/>
        </w:rPr>
        <w:t>新城市广场（一期）25号楼25（F）</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未按照比价公告要求获取比价文件的。</w:t>
      </w:r>
    </w:p>
    <w:p>
      <w:pPr>
        <w:pStyle w:val="4"/>
        <w:jc w:val="left"/>
        <w:rPr>
          <w:rFonts w:ascii="仿宋" w:hAnsi="仿宋" w:eastAsia="仿宋" w:cs="仿宋"/>
          <w:color w:val="auto"/>
          <w:sz w:val="24"/>
          <w:szCs w:val="24"/>
          <w:highlight w:val="none"/>
        </w:rPr>
      </w:pPr>
      <w:bookmarkStart w:id="15" w:name="_Toc186737795"/>
      <w:bookmarkStart w:id="16" w:name="_Toc17649"/>
      <w:bookmarkStart w:id="17" w:name="_Toc874"/>
      <w:r>
        <w:rPr>
          <w:rFonts w:hint="eastAsia" w:ascii="仿宋" w:hAnsi="仿宋" w:eastAsia="仿宋" w:cs="仿宋"/>
          <w:color w:val="auto"/>
          <w:sz w:val="24"/>
          <w:szCs w:val="24"/>
          <w:highlight w:val="none"/>
        </w:rPr>
        <w:t>五、发布公告的媒介</w:t>
      </w:r>
      <w:bookmarkEnd w:id="15"/>
      <w:bookmarkEnd w:id="16"/>
      <w:bookmarkEnd w:id="17"/>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本项目比价公告同时在</w:t>
      </w:r>
      <w:r>
        <w:rPr>
          <w:rFonts w:hint="eastAsia" w:ascii="仿宋" w:hAnsi="仿宋" w:eastAsia="仿宋" w:cs="宋体"/>
          <w:color w:val="auto"/>
          <w:highlight w:val="none"/>
          <w:u w:val="none"/>
        </w:rPr>
        <w:t>“人保e采”外网门户（https://ec.picc.com/）</w:t>
      </w:r>
      <w:r>
        <w:rPr>
          <w:rFonts w:hint="eastAsia" w:ascii="仿宋" w:hAnsi="仿宋" w:eastAsia="仿宋" w:cs="仿宋"/>
          <w:color w:val="auto"/>
          <w:highlight w:val="none"/>
          <w:u w:val="none"/>
        </w:rPr>
        <w:t>上发</w:t>
      </w:r>
      <w:r>
        <w:rPr>
          <w:rFonts w:hint="eastAsia" w:ascii="仿宋" w:hAnsi="仿宋" w:eastAsia="仿宋" w:cs="仿宋"/>
          <w:color w:val="auto"/>
          <w:highlight w:val="none"/>
        </w:rPr>
        <w:t>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4"/>
        <w:jc w:val="left"/>
        <w:rPr>
          <w:rFonts w:ascii="仿宋" w:hAnsi="仿宋" w:eastAsia="仿宋" w:cs="仿宋"/>
          <w:color w:val="auto"/>
          <w:sz w:val="24"/>
          <w:szCs w:val="24"/>
          <w:highlight w:val="none"/>
        </w:rPr>
      </w:pPr>
      <w:bookmarkStart w:id="18" w:name="_Toc16264"/>
      <w:bookmarkStart w:id="19" w:name="_Toc30596"/>
      <w:bookmarkStart w:id="20" w:name="_Toc186737796"/>
      <w:r>
        <w:rPr>
          <w:rFonts w:hint="eastAsia" w:ascii="仿宋" w:hAnsi="仿宋" w:eastAsia="仿宋" w:cs="仿宋"/>
          <w:color w:val="auto"/>
          <w:sz w:val="24"/>
          <w:szCs w:val="24"/>
          <w:highlight w:val="none"/>
        </w:rPr>
        <w:t>六、联系方式</w:t>
      </w:r>
      <w:bookmarkEnd w:id="18"/>
      <w:bookmarkEnd w:id="19"/>
      <w:bookmarkEnd w:id="20"/>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eastAsia="zh-CN"/>
        </w:rPr>
        <w:t>资阳市</w:t>
      </w:r>
      <w:r>
        <w:rPr>
          <w:rFonts w:hint="eastAsia" w:ascii="仿宋" w:hAnsi="仿宋" w:eastAsia="仿宋" w:cs="仿宋"/>
          <w:b/>
          <w:bCs/>
          <w:color w:val="auto"/>
          <w:highlight w:val="none"/>
        </w:rPr>
        <w:t>分公司</w:t>
      </w:r>
    </w:p>
    <w:p>
      <w:pPr>
        <w:pageBreakBefore w:val="0"/>
        <w:bidi w:val="0"/>
        <w:spacing w:line="560" w:lineRule="exact"/>
        <w:ind w:firstLine="480"/>
        <w:jc w:val="left"/>
        <w:outlineLvl w:val="9"/>
        <w:rPr>
          <w:rFonts w:hint="eastAsia" w:ascii="仿宋" w:hAnsi="仿宋" w:eastAsia="仿宋" w:cs="宋体"/>
          <w:color w:val="auto"/>
          <w:highlight w:val="none"/>
        </w:rPr>
      </w:pPr>
      <w:r>
        <w:rPr>
          <w:rFonts w:hint="eastAsia" w:ascii="仿宋" w:hAnsi="仿宋" w:eastAsia="仿宋" w:cs="宋体"/>
          <w:color w:val="auto"/>
          <w:highlight w:val="none"/>
        </w:rPr>
        <w:t>地址：须现场递交，递交地点四川省资阳市雁江区宝台镇黄泥村弘城水韵和中城建</w:t>
      </w:r>
      <w:r>
        <w:rPr>
          <w:rFonts w:hint="eastAsia" w:ascii="仿宋" w:hAnsi="仿宋" w:eastAsia="仿宋" w:cs="宋体"/>
          <w:color w:val="auto"/>
          <w:highlight w:val="none"/>
          <w:lang w:val="en-US" w:eastAsia="zh-CN"/>
        </w:rPr>
        <w:t>.</w:t>
      </w:r>
      <w:r>
        <w:rPr>
          <w:rFonts w:hint="eastAsia" w:ascii="仿宋" w:hAnsi="仿宋" w:eastAsia="仿宋" w:cs="宋体"/>
          <w:color w:val="auto"/>
          <w:highlight w:val="none"/>
        </w:rPr>
        <w:t>新城市广场（一期）25号楼25（F），具体会议室由电话通知为准。</w:t>
      </w:r>
    </w:p>
    <w:p>
      <w:pPr>
        <w:pageBreakBefore w:val="0"/>
        <w:bidi w:val="0"/>
        <w:spacing w:line="560" w:lineRule="exact"/>
        <w:ind w:firstLine="480"/>
        <w:jc w:val="left"/>
        <w:outlineLvl w:val="9"/>
        <w:rPr>
          <w:rFonts w:hint="eastAsia" w:ascii="仿宋" w:hAnsi="仿宋" w:eastAsia="仿宋" w:cs="宋体"/>
          <w:color w:val="auto"/>
          <w:highlight w:val="none"/>
          <w:lang w:eastAsia="zh-CN"/>
        </w:rPr>
      </w:pPr>
      <w:r>
        <w:rPr>
          <w:rFonts w:hint="eastAsia" w:ascii="仿宋" w:hAnsi="仿宋" w:eastAsia="仿宋" w:cs="宋体"/>
          <w:color w:val="auto"/>
          <w:highlight w:val="none"/>
        </w:rPr>
        <w:t>联系人：</w:t>
      </w:r>
      <w:r>
        <w:rPr>
          <w:rFonts w:hint="eastAsia" w:ascii="仿宋" w:hAnsi="仿宋" w:eastAsia="仿宋" w:cs="宋体"/>
          <w:color w:val="auto"/>
          <w:highlight w:val="none"/>
          <w:lang w:eastAsia="zh-CN"/>
        </w:rPr>
        <w:t>卢哑韵</w:t>
      </w:r>
    </w:p>
    <w:p>
      <w:pPr>
        <w:pageBreakBefore w:val="0"/>
        <w:bidi w:val="0"/>
        <w:spacing w:line="560" w:lineRule="exact"/>
        <w:ind w:firstLine="480"/>
        <w:jc w:val="left"/>
        <w:outlineLvl w:val="9"/>
        <w:rPr>
          <w:rFonts w:hint="default" w:ascii="仿宋" w:hAnsi="仿宋" w:eastAsia="仿宋" w:cs="宋体"/>
          <w:color w:val="auto"/>
          <w:highlight w:val="none"/>
          <w:lang w:val="en-US" w:eastAsia="zh-CN"/>
        </w:rPr>
      </w:pPr>
      <w:r>
        <w:rPr>
          <w:rFonts w:hint="eastAsia" w:ascii="仿宋" w:hAnsi="仿宋" w:eastAsia="仿宋" w:cs="宋体"/>
          <w:color w:val="auto"/>
          <w:highlight w:val="none"/>
        </w:rPr>
        <w:t>电话：</w:t>
      </w:r>
      <w:r>
        <w:rPr>
          <w:rFonts w:hint="eastAsia" w:ascii="仿宋" w:hAnsi="仿宋" w:eastAsia="仿宋" w:cs="宋体"/>
          <w:color w:val="auto"/>
          <w:highlight w:val="none"/>
          <w:lang w:val="en-US" w:eastAsia="zh-CN"/>
        </w:rPr>
        <w:t>15351390799</w:t>
      </w:r>
    </w:p>
    <w:p>
      <w:pPr>
        <w:pageBreakBefore w:val="0"/>
        <w:bidi w:val="0"/>
        <w:spacing w:line="560" w:lineRule="exact"/>
        <w:ind w:firstLine="480"/>
        <w:jc w:val="left"/>
        <w:outlineLvl w:val="9"/>
        <w:rPr>
          <w:rFonts w:hint="eastAsia" w:ascii="仿宋" w:hAnsi="仿宋" w:eastAsia="仿宋" w:cs="宋体"/>
          <w:color w:val="auto"/>
          <w:highlight w:val="none"/>
        </w:rPr>
      </w:pPr>
      <w:r>
        <w:rPr>
          <w:rFonts w:hint="eastAsia" w:ascii="仿宋" w:hAnsi="仿宋" w:eastAsia="仿宋" w:cs="宋体"/>
          <w:color w:val="auto"/>
          <w:highlight w:val="none"/>
        </w:rPr>
        <w:t>电子邮件：</w:t>
      </w:r>
      <w:r>
        <w:rPr>
          <w:rFonts w:hint="eastAsia" w:ascii="仿宋" w:hAnsi="仿宋" w:eastAsia="仿宋" w:cs="宋体"/>
          <w:color w:val="auto"/>
          <w:highlight w:val="none"/>
          <w:lang w:val="en-US" w:eastAsia="zh-CN"/>
        </w:rPr>
        <w:t>luyayun</w:t>
      </w:r>
      <w:r>
        <w:rPr>
          <w:rFonts w:hint="eastAsia" w:ascii="仿宋" w:hAnsi="仿宋" w:eastAsia="仿宋" w:cs="宋体"/>
          <w:color w:val="auto"/>
          <w:highlight w:val="none"/>
        </w:rPr>
        <w:t>@sic.picc.com.cn</w:t>
      </w:r>
    </w:p>
    <w:p>
      <w:pPr>
        <w:spacing w:line="360" w:lineRule="auto"/>
        <w:ind w:firstLine="480" w:firstLineChars="200"/>
        <w:jc w:val="right"/>
        <w:textAlignment w:val="baseline"/>
        <w:rPr>
          <w:rFonts w:ascii="仿宋" w:hAnsi="仿宋" w:eastAsia="仿宋" w:cs="宋体"/>
          <w:color w:val="auto"/>
          <w:highlight w:val="none"/>
        </w:rPr>
      </w:pPr>
    </w:p>
    <w:p>
      <w:pPr>
        <w:pStyle w:val="2"/>
        <w:rPr>
          <w:rFonts w:ascii="仿宋" w:hAnsi="仿宋" w:eastAsia="仿宋" w:cs="宋体"/>
          <w:color w:val="auto"/>
          <w:highlight w:val="none"/>
        </w:rPr>
      </w:pPr>
    </w:p>
    <w:p>
      <w:pPr>
        <w:pStyle w:val="2"/>
        <w:rPr>
          <w:rFonts w:ascii="仿宋" w:hAnsi="仿宋" w:eastAsia="仿宋" w:cs="宋体"/>
          <w:color w:val="auto"/>
          <w:highlight w:val="none"/>
        </w:rPr>
      </w:pPr>
    </w:p>
    <w:p>
      <w:pPr>
        <w:spacing w:line="360" w:lineRule="auto"/>
        <w:ind w:firstLine="48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采购人：中国人民财产保险股份有限公司</w:t>
      </w:r>
      <w:r>
        <w:rPr>
          <w:rFonts w:hint="eastAsia" w:ascii="仿宋" w:hAnsi="仿宋" w:eastAsia="仿宋" w:cs="宋体"/>
          <w:color w:val="auto"/>
          <w:highlight w:val="none"/>
          <w:lang w:eastAsia="zh-CN"/>
        </w:rPr>
        <w:t>资阳市</w:t>
      </w:r>
      <w:r>
        <w:rPr>
          <w:rFonts w:hint="eastAsia" w:ascii="仿宋" w:hAnsi="仿宋" w:eastAsia="仿宋" w:cs="宋体"/>
          <w:color w:val="auto"/>
          <w:highlight w:val="none"/>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lang w:val="en-US" w:eastAsia="zh-CN"/>
        </w:rPr>
        <w:t>2026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9</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21" w:name="_Toc16027"/>
      <w:bookmarkStart w:id="22" w:name="_Toc186737797"/>
      <w:bookmarkStart w:id="23" w:name="_Toc16154"/>
      <w:r>
        <w:rPr>
          <w:rFonts w:hint="eastAsia" w:ascii="仿宋_GB2312" w:hAnsi="宋体" w:eastAsia="仿宋_GB2312"/>
          <w:color w:val="auto"/>
          <w:sz w:val="28"/>
          <w:szCs w:val="28"/>
          <w:highlight w:val="none"/>
        </w:rPr>
        <w:t>第二章 供应商须知</w:t>
      </w:r>
      <w:bookmarkEnd w:id="21"/>
      <w:bookmarkEnd w:id="22"/>
      <w:bookmarkEnd w:id="23"/>
    </w:p>
    <w:p>
      <w:pPr>
        <w:pStyle w:val="4"/>
        <w:adjustRightInd w:val="0"/>
        <w:snapToGrid w:val="0"/>
        <w:spacing w:before="0" w:after="0"/>
        <w:rPr>
          <w:color w:val="auto"/>
          <w:sz w:val="24"/>
          <w:szCs w:val="24"/>
          <w:highlight w:val="none"/>
        </w:rPr>
      </w:pPr>
      <w:bookmarkStart w:id="24" w:name="_Toc186737798"/>
      <w:bookmarkStart w:id="25" w:name="_Toc13711"/>
      <w:r>
        <w:rPr>
          <w:rFonts w:hint="eastAsia" w:ascii="仿宋" w:hAnsi="仿宋" w:eastAsia="仿宋" w:cs="仿宋"/>
          <w:color w:val="auto"/>
          <w:sz w:val="24"/>
          <w:szCs w:val="24"/>
          <w:highlight w:val="none"/>
        </w:rPr>
        <w:t>一、供应商须知前附表</w:t>
      </w:r>
      <w:bookmarkEnd w:id="24"/>
      <w:bookmarkEnd w:id="25"/>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905"/>
        <w:gridCol w:w="71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序号</w:t>
            </w:r>
          </w:p>
        </w:tc>
        <w:tc>
          <w:tcPr>
            <w:tcW w:w="1905"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项  目</w:t>
            </w:r>
          </w:p>
        </w:tc>
        <w:tc>
          <w:tcPr>
            <w:tcW w:w="7135"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2.1.1</w:t>
            </w:r>
          </w:p>
        </w:tc>
        <w:tc>
          <w:tcPr>
            <w:tcW w:w="1905" w:type="dxa"/>
            <w:vAlign w:val="center"/>
          </w:tcPr>
          <w:p>
            <w:pPr>
              <w:spacing w:line="400" w:lineRule="exact"/>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采购范围</w:t>
            </w:r>
          </w:p>
        </w:tc>
        <w:tc>
          <w:tcPr>
            <w:tcW w:w="7135" w:type="dxa"/>
            <w:vAlign w:val="center"/>
          </w:tcPr>
          <w:p>
            <w:pPr>
              <w:spacing w:line="400" w:lineRule="exact"/>
              <w:rPr>
                <w:rFonts w:ascii="仿宋_GB2312" w:hAnsi="宋体" w:eastAsia="仿宋_GB2312"/>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比价邀请“一、项目概况与采购范围”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2.1.2</w:t>
            </w:r>
          </w:p>
        </w:tc>
        <w:tc>
          <w:tcPr>
            <w:tcW w:w="1905"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7135" w:type="dxa"/>
            <w:vAlign w:val="center"/>
          </w:tcPr>
          <w:p>
            <w:pPr>
              <w:spacing w:line="400" w:lineRule="exact"/>
              <w:rPr>
                <w:rFonts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2.1.3</w:t>
            </w:r>
          </w:p>
        </w:tc>
        <w:tc>
          <w:tcPr>
            <w:tcW w:w="1905"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★比价文件实质性要求的标识</w:t>
            </w:r>
          </w:p>
        </w:tc>
        <w:tc>
          <w:tcPr>
            <w:tcW w:w="7135" w:type="dxa"/>
            <w:vAlign w:val="center"/>
          </w:tcPr>
          <w:p>
            <w:pPr>
              <w:spacing w:line="400" w:lineRule="exact"/>
              <w:rPr>
                <w:rFonts w:ascii="仿宋" w:hAnsi="仿宋" w:eastAsia="仿宋" w:cs="宋体"/>
                <w:color w:val="auto"/>
                <w:highlight w:val="none"/>
              </w:rPr>
            </w:pPr>
            <w:r>
              <w:rPr>
                <w:rFonts w:hint="eastAsia" w:ascii="仿宋" w:hAnsi="仿宋" w:eastAsia="仿宋" w:cs="Cambria Math"/>
                <w:color w:val="auto"/>
                <w:sz w:val="21"/>
                <w:szCs w:val="21"/>
                <w:highlight w:val="none"/>
                <w:u w:val="single"/>
              </w:rPr>
              <w:t>比价文件中标识“★”条款、注明“比价响应将被否决”、“对其响应做否决处理”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.1.4</w:t>
            </w:r>
          </w:p>
        </w:tc>
        <w:tc>
          <w:tcPr>
            <w:tcW w:w="1905"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7135" w:type="dxa"/>
            <w:vAlign w:val="center"/>
          </w:tcPr>
          <w:p>
            <w:pPr>
              <w:pStyle w:val="66"/>
              <w:spacing w:before="62" w:beforeLines="20" w:after="62" w:afterLines="20"/>
              <w:rPr>
                <w:rFonts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61"/>
              <w:spacing w:before="62" w:beforeLines="20" w:after="62" w:afterLines="20"/>
              <w:rPr>
                <w:rFonts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rPr>
                <w:color w:val="auto"/>
                <w:highlight w:val="none"/>
              </w:rPr>
            </w:pPr>
            <w:r>
              <w:rPr>
                <w:rFonts w:hint="eastAsia" w:ascii="仿宋" w:hAnsi="仿宋" w:eastAsia="仿宋" w:cs="仿宋"/>
                <w:b/>
                <w:color w:val="auto"/>
                <w:szCs w:val="21"/>
                <w:highlight w:val="none"/>
              </w:rPr>
              <w:t>详细评审索引表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（一）响应函</w:t>
            </w:r>
          </w:p>
          <w:p>
            <w:pPr>
              <w:pStyle w:val="66"/>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66"/>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（四）资格证明文件</w:t>
            </w:r>
          </w:p>
          <w:p>
            <w:pPr>
              <w:pStyle w:val="66"/>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61"/>
              <w:spacing w:before="62" w:beforeLines="20" w:after="62" w:afterLines="20"/>
              <w:rPr>
                <w:rFonts w:ascii="仿宋" w:hAnsi="仿宋" w:eastAsia="仿宋" w:cs="仿宋"/>
                <w:color w:val="auto"/>
                <w:highlight w:val="none"/>
              </w:rPr>
            </w:pPr>
            <w:r>
              <w:rPr>
                <w:rFonts w:hint="eastAsia" w:ascii="仿宋" w:hAnsi="仿宋" w:eastAsia="仿宋"/>
                <w:color w:val="auto"/>
                <w:highlight w:val="none"/>
              </w:rPr>
              <w:t>（八）供应商廉洁诚信承诺书</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rPr>
                <w:rFonts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（二）技术方案</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报价一览表</w:t>
            </w:r>
          </w:p>
          <w:p>
            <w:pPr>
              <w:pStyle w:val="61"/>
              <w:spacing w:before="62" w:beforeLines="20" w:after="62" w:afterLines="20"/>
              <w:rPr>
                <w:rFonts w:ascii="仿宋" w:hAnsi="仿宋" w:eastAsia="仿宋" w:cs="Cambria Math"/>
                <w:color w:val="auto"/>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.1.5</w:t>
            </w:r>
          </w:p>
        </w:tc>
        <w:tc>
          <w:tcPr>
            <w:tcW w:w="1905"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7135" w:type="dxa"/>
            <w:vAlign w:val="center"/>
          </w:tcPr>
          <w:p>
            <w:pPr>
              <w:pStyle w:val="66"/>
              <w:spacing w:before="62" w:beforeLines="20" w:after="62" w:afterLines="20"/>
              <w:rPr>
                <w:rFonts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.1.6</w:t>
            </w:r>
          </w:p>
        </w:tc>
        <w:tc>
          <w:tcPr>
            <w:tcW w:w="1905"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7135" w:type="dxa"/>
            <w:vAlign w:val="center"/>
          </w:tcPr>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66"/>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2.1.7</w:t>
            </w:r>
          </w:p>
        </w:tc>
        <w:tc>
          <w:tcPr>
            <w:tcW w:w="1905"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★比价响应有效期</w:t>
            </w:r>
          </w:p>
        </w:tc>
        <w:tc>
          <w:tcPr>
            <w:tcW w:w="7135" w:type="dxa"/>
            <w:vAlign w:val="center"/>
          </w:tcPr>
          <w:p>
            <w:pPr>
              <w:pStyle w:val="37"/>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highlight w:val="none"/>
                <w:lang w:eastAsia="zh-CN"/>
              </w:rPr>
              <w:t>比价响应有效期：</w:t>
            </w:r>
            <w:r>
              <w:rPr>
                <w:rFonts w:hint="eastAsia" w:ascii="仿宋" w:hAnsi="仿宋" w:eastAsia="仿宋" w:cs="仿宋"/>
                <w:color w:val="auto"/>
                <w:highlight w:val="none"/>
                <w:u w:val="single"/>
                <w:lang w:val="en-US" w:eastAsia="zh-CN"/>
              </w:rPr>
              <w:t>180</w:t>
            </w:r>
            <w:r>
              <w:rPr>
                <w:rFonts w:hint="eastAsia" w:ascii="仿宋" w:hAnsi="仿宋" w:eastAsia="仿宋" w:cs="仿宋"/>
                <w:color w:val="auto"/>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2.1.8</w:t>
            </w:r>
          </w:p>
        </w:tc>
        <w:tc>
          <w:tcPr>
            <w:tcW w:w="1905"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响应文件份数</w:t>
            </w:r>
          </w:p>
        </w:tc>
        <w:tc>
          <w:tcPr>
            <w:tcW w:w="7135" w:type="dxa"/>
            <w:vAlign w:val="center"/>
          </w:tcPr>
          <w:p>
            <w:pPr>
              <w:pStyle w:val="37"/>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sz w:val="21"/>
                <w:szCs w:val="21"/>
                <w:highlight w:val="none"/>
                <w:lang w:eastAsia="zh-CN"/>
              </w:rPr>
              <w:t>电子文件</w:t>
            </w:r>
            <w:r>
              <w:rPr>
                <w:rFonts w:hint="eastAsia" w:ascii="仿宋" w:hAnsi="仿宋" w:eastAsia="仿宋"/>
                <w:color w:val="auto"/>
                <w:sz w:val="21"/>
                <w:szCs w:val="21"/>
                <w:highlight w:val="none"/>
                <w:u w:val="single"/>
                <w:lang w:eastAsia="zh-CN"/>
              </w:rPr>
              <w:t>1</w:t>
            </w:r>
            <w:r>
              <w:rPr>
                <w:rFonts w:hint="eastAsia" w:ascii="仿宋" w:hAnsi="仿宋" w:eastAsia="仿宋"/>
                <w:color w:val="auto"/>
                <w:sz w:val="21"/>
                <w:szCs w:val="21"/>
                <w:highlight w:val="none"/>
                <w:lang w:eastAsia="zh-CN"/>
              </w:rPr>
              <w:t>份（盖鲜章PDF）；纸质文件正本</w:t>
            </w:r>
            <w:r>
              <w:rPr>
                <w:rFonts w:hint="eastAsia" w:ascii="仿宋" w:hAnsi="仿宋" w:eastAsia="仿宋"/>
                <w:color w:val="auto"/>
                <w:sz w:val="21"/>
                <w:szCs w:val="21"/>
                <w:highlight w:val="none"/>
                <w:u w:val="single"/>
                <w:lang w:eastAsia="zh-CN"/>
              </w:rPr>
              <w:t xml:space="preserve"> 1 </w:t>
            </w:r>
            <w:r>
              <w:rPr>
                <w:rFonts w:hint="eastAsia" w:ascii="仿宋" w:hAnsi="仿宋" w:eastAsia="仿宋"/>
                <w:color w:val="auto"/>
                <w:sz w:val="21"/>
                <w:szCs w:val="21"/>
                <w:highlight w:val="none"/>
                <w:lang w:eastAsia="zh-CN"/>
              </w:rPr>
              <w:t>份，副本</w:t>
            </w:r>
            <w:r>
              <w:rPr>
                <w:rFonts w:ascii="仿宋" w:hAnsi="仿宋" w:eastAsia="仿宋"/>
                <w:color w:val="auto"/>
                <w:sz w:val="21"/>
                <w:szCs w:val="21"/>
                <w:highlight w:val="none"/>
                <w:u w:val="single"/>
                <w:lang w:eastAsia="zh-CN"/>
              </w:rPr>
              <w:t xml:space="preserve"> </w:t>
            </w:r>
            <w:r>
              <w:rPr>
                <w:rFonts w:hint="eastAsia" w:ascii="仿宋" w:hAnsi="仿宋" w:eastAsia="仿宋"/>
                <w:color w:val="auto"/>
                <w:sz w:val="21"/>
                <w:szCs w:val="21"/>
                <w:highlight w:val="none"/>
                <w:u w:val="single"/>
                <w:lang w:val="en-US" w:eastAsia="zh-CN"/>
              </w:rPr>
              <w:t>1</w:t>
            </w:r>
            <w:r>
              <w:rPr>
                <w:rFonts w:hint="eastAsia" w:ascii="仿宋" w:hAnsi="仿宋" w:eastAsia="仿宋"/>
                <w:color w:val="auto"/>
                <w:sz w:val="21"/>
                <w:szCs w:val="21"/>
                <w:highlight w:val="none"/>
                <w:u w:val="single"/>
                <w:lang w:eastAsia="zh-CN"/>
              </w:rPr>
              <w:t xml:space="preserve"> </w:t>
            </w:r>
            <w:r>
              <w:rPr>
                <w:rFonts w:hint="eastAsia" w:ascii="仿宋" w:hAnsi="仿宋" w:eastAsia="仿宋"/>
                <w:color w:val="auto"/>
                <w:sz w:val="21"/>
                <w:szCs w:val="21"/>
                <w:highlight w:val="none"/>
                <w:lang w:eastAsia="zh-CN"/>
              </w:rPr>
              <w:t>份</w:t>
            </w:r>
            <w:r>
              <w:rPr>
                <w:rFonts w:hint="eastAsia" w:ascii="仿宋_GB2312" w:eastAsia="仿宋_GB2312" w:cs="新宋体"/>
                <w:color w:val="auto"/>
                <w:szCs w:val="21"/>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rPr>
              <w:t>2.1.9</w:t>
            </w:r>
          </w:p>
        </w:tc>
        <w:tc>
          <w:tcPr>
            <w:tcW w:w="1905"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比价响应报价</w:t>
            </w:r>
          </w:p>
        </w:tc>
        <w:tc>
          <w:tcPr>
            <w:tcW w:w="7135" w:type="dxa"/>
            <w:vAlign w:val="center"/>
          </w:tcPr>
          <w:p>
            <w:pPr>
              <w:pStyle w:val="61"/>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w:t>2）比价小组将视比价情况决定是否进行多轮次报价，供应商</w:t>
            </w:r>
            <w:r>
              <w:rPr>
                <w:rFonts w:hint="eastAsia" w:ascii="仿宋" w:hAnsi="仿宋" w:eastAsia="仿宋" w:cs="仿宋"/>
                <w:color w:val="auto"/>
                <w:highlight w:val="none"/>
                <w:u w:val="single"/>
                <w:lang w:eastAsia="zh-CN"/>
              </w:rPr>
              <w:t>最后一轮比价提交的报价</w:t>
            </w:r>
            <w:r>
              <w:rPr>
                <w:rFonts w:hint="eastAsia" w:ascii="仿宋" w:hAnsi="仿宋" w:eastAsia="仿宋" w:cs="仿宋"/>
                <w:color w:val="auto"/>
                <w:highlight w:val="none"/>
                <w:lang w:eastAsia="zh-CN"/>
              </w:rPr>
              <w:t>将作为该供应商的</w:t>
            </w:r>
            <w:r>
              <w:rPr>
                <w:rFonts w:hint="eastAsia" w:ascii="仿宋" w:hAnsi="仿宋" w:eastAsia="仿宋" w:cs="仿宋"/>
                <w:b/>
                <w:bCs/>
                <w:color w:val="auto"/>
                <w:highlight w:val="none"/>
                <w:lang w:eastAsia="zh-CN"/>
              </w:rPr>
              <w:t>最终报价</w:t>
            </w:r>
            <w:r>
              <w:rPr>
                <w:rFonts w:hint="eastAsia" w:ascii="仿宋" w:hAnsi="仿宋" w:eastAsia="仿宋" w:cs="仿宋"/>
                <w:color w:val="auto"/>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.1.10</w:t>
            </w:r>
          </w:p>
        </w:tc>
        <w:tc>
          <w:tcPr>
            <w:tcW w:w="1905" w:type="dxa"/>
            <w:vAlign w:val="center"/>
          </w:tcPr>
          <w:p>
            <w:pPr>
              <w:pStyle w:val="37"/>
              <w:snapToGrid w:val="0"/>
              <w:spacing w:line="300" w:lineRule="auto"/>
              <w:ind w:left="114" w:right="114"/>
              <w:jc w:val="center"/>
              <w:rPr>
                <w:rFonts w:ascii="仿宋_GB2312" w:eastAsia="仿宋_GB2312"/>
                <w:color w:val="auto"/>
                <w:sz w:val="24"/>
                <w:szCs w:val="24"/>
                <w:highlight w:val="none"/>
                <w:lang w:eastAsia="zh-CN"/>
              </w:rPr>
            </w:pPr>
            <w:r>
              <w:rPr>
                <w:rFonts w:hint="eastAsia" w:ascii="仿宋" w:hAnsi="仿宋" w:eastAsia="仿宋"/>
                <w:color w:val="auto"/>
                <w:szCs w:val="21"/>
                <w:highlight w:val="none"/>
                <w:lang w:eastAsia="zh-CN"/>
              </w:rPr>
              <w:t>纸质</w:t>
            </w:r>
            <w:r>
              <w:rPr>
                <w:rFonts w:hint="eastAsia" w:ascii="仿宋" w:hAnsi="仿宋" w:eastAsia="仿宋" w:cs="仿宋"/>
                <w:color w:val="auto"/>
                <w:szCs w:val="21"/>
                <w:highlight w:val="none"/>
                <w:lang w:eastAsia="zh-CN"/>
              </w:rPr>
              <w:t>响应文件的装订、密封和标记</w:t>
            </w:r>
          </w:p>
        </w:tc>
        <w:tc>
          <w:tcPr>
            <w:tcW w:w="7135" w:type="dxa"/>
            <w:vAlign w:val="center"/>
          </w:tcPr>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响应文件需加盖骑缝章。未按要求密封的</w:t>
            </w:r>
            <w:r>
              <w:rPr>
                <w:rFonts w:hint="eastAsia" w:ascii="仿宋" w:hAnsi="仿宋" w:eastAsia="仿宋" w:cs="Cambria Math"/>
                <w:color w:val="auto"/>
                <w:sz w:val="22"/>
                <w:szCs w:val="21"/>
                <w:highlight w:val="none"/>
                <w:lang w:eastAsia="zh-Hans"/>
              </w:rPr>
              <w:t>纸质</w:t>
            </w:r>
            <w:r>
              <w:rPr>
                <w:rFonts w:hint="eastAsia" w:ascii="仿宋" w:hAnsi="仿宋" w:eastAsia="仿宋" w:cs="Cambria Math"/>
                <w:color w:val="auto"/>
                <w:sz w:val="22"/>
                <w:szCs w:val="21"/>
                <w:highlight w:val="none"/>
              </w:rPr>
              <w:t>响应文件不予接收。</w:t>
            </w:r>
          </w:p>
          <w:p>
            <w:pPr>
              <w:rPr>
                <w:rFonts w:ascii="仿宋" w:hAnsi="仿宋" w:eastAsia="仿宋"/>
                <w:color w:val="auto"/>
                <w:sz w:val="22"/>
                <w:highlight w:val="none"/>
              </w:rPr>
            </w:pPr>
            <w:r>
              <w:rPr>
                <w:rFonts w:hint="eastAsia" w:ascii="仿宋" w:hAnsi="仿宋" w:eastAsia="仿宋" w:cs="Cambria Math"/>
                <w:color w:val="auto"/>
                <w:sz w:val="22"/>
                <w:szCs w:val="21"/>
                <w:highlight w:val="none"/>
              </w:rPr>
              <w:t>（2）外层包封具体样式如下：</w:t>
            </w:r>
          </w:p>
          <w:p>
            <w:pPr>
              <w:pStyle w:val="37"/>
              <w:snapToGrid w:val="0"/>
              <w:spacing w:line="300" w:lineRule="auto"/>
              <w:ind w:left="103" w:right="2739"/>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mc:AlternateContent>
                <mc:Choice Requires="wps">
                  <w:drawing>
                    <wp:inline distT="0" distB="0" distL="114300" distR="114300">
                      <wp:extent cx="4426585" cy="2562860"/>
                      <wp:effectExtent l="5080" t="4445" r="6985" b="23495"/>
                      <wp:docPr id="1" name="文本框 3"/>
                      <wp:cNvGraphicFramePr/>
                      <a:graphic xmlns:a="http://schemas.openxmlformats.org/drawingml/2006/main">
                        <a:graphicData uri="http://schemas.microsoft.com/office/word/2010/wordprocessingShape">
                          <wps:wsp>
                            <wps:cNvSpPr txBox="1">
                              <a:spLocks noRot="1"/>
                            </wps:cNvSpPr>
                            <wps:spPr>
                              <a:xfrm>
                                <a:off x="0" y="0"/>
                                <a:ext cx="4426585" cy="25628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18"/>
                                      <w:szCs w:val="16"/>
                                      <w:u w:val="single"/>
                                    </w:rPr>
                                  </w:pPr>
                                  <w:r>
                                    <w:rPr>
                                      <w:rFonts w:hint="eastAsia" w:ascii="仿宋" w:hAnsi="仿宋" w:eastAsia="仿宋" w:cs="仿宋"/>
                                      <w:sz w:val="22"/>
                                      <w:szCs w:val="21"/>
                                    </w:rPr>
                                    <w:t>项目名称：</w:t>
                                  </w:r>
                                  <w:r>
                                    <w:rPr>
                                      <w:rFonts w:hint="eastAsia" w:ascii="仿宋" w:hAnsi="仿宋" w:eastAsia="仿宋" w:cs="仿宋"/>
                                      <w:sz w:val="18"/>
                                      <w:szCs w:val="16"/>
                                      <w:u w:val="single"/>
                                    </w:rPr>
                                    <w:t>人保财险四川省资阳市分公司安岳支公司营运客车“主动防御系统”网络服务采购项目</w:t>
                                  </w:r>
                                  <w:r>
                                    <w:rPr>
                                      <w:rFonts w:hint="eastAsia" w:ascii="仿宋" w:hAnsi="仿宋" w:eastAsia="仿宋" w:cs="仿宋"/>
                                      <w:sz w:val="18"/>
                                      <w:szCs w:val="16"/>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color w:val="FF0000"/>
                                      <w:sz w:val="22"/>
                                      <w:szCs w:val="21"/>
                                    </w:rPr>
                                    <w:t>【</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】年【</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】月【</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】日【</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】时【</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01.8pt;width:348.55pt;" fillcolor="#FFFFFF" filled="t" stroked="t" coordsize="21600,21600" o:gfxdata="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UmLfZ1gAAAAUBAAAPAAAAAAAAAAEAIAAAACIAAABkcnMvZG93bnJldi54bWxQ&#10;SwECFAAUAAAACACHTuJAqSEzEDICAACCBAAADgAAAAAAAAABACAAAAAlAQAAZHJzL2Uyb0RvYy54&#10;bWxQSwUGAAAAAAYABgBZAQAAyQUAAAAA&#10;">
                      <v:fill on="t" focussize="0,0"/>
                      <v:stroke color="#000000" joinstyle="miter"/>
                      <v:imagedata o:title=""/>
                      <o:lock v:ext="edit" rotation="t" aspectratio="f"/>
                      <v:textbox>
                        <w:txbxContent>
                          <w:p>
                            <w:pPr>
                              <w:spacing w:line="360" w:lineRule="auto"/>
                              <w:rPr>
                                <w:rFonts w:ascii="仿宋" w:hAnsi="仿宋" w:eastAsia="仿宋" w:cs="仿宋"/>
                                <w:sz w:val="18"/>
                                <w:szCs w:val="16"/>
                                <w:u w:val="single"/>
                              </w:rPr>
                            </w:pPr>
                            <w:r>
                              <w:rPr>
                                <w:rFonts w:hint="eastAsia" w:ascii="仿宋" w:hAnsi="仿宋" w:eastAsia="仿宋" w:cs="仿宋"/>
                                <w:sz w:val="22"/>
                                <w:szCs w:val="21"/>
                              </w:rPr>
                              <w:t>项目名称：</w:t>
                            </w:r>
                            <w:r>
                              <w:rPr>
                                <w:rFonts w:hint="eastAsia" w:ascii="仿宋" w:hAnsi="仿宋" w:eastAsia="仿宋" w:cs="仿宋"/>
                                <w:sz w:val="18"/>
                                <w:szCs w:val="16"/>
                                <w:u w:val="single"/>
                              </w:rPr>
                              <w:t>人保财险四川省资阳市分公司安岳支公司营运客车“主动防御系统”网络服务采购项目</w:t>
                            </w:r>
                            <w:r>
                              <w:rPr>
                                <w:rFonts w:hint="eastAsia" w:ascii="仿宋" w:hAnsi="仿宋" w:eastAsia="仿宋" w:cs="仿宋"/>
                                <w:sz w:val="18"/>
                                <w:szCs w:val="16"/>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color w:val="FF0000"/>
                                <w:sz w:val="22"/>
                                <w:szCs w:val="21"/>
                              </w:rPr>
                              <w:t>【</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】年【</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】月【</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】日【</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】时【</w:t>
                            </w:r>
                            <w:r>
                              <w:rPr>
                                <w:rFonts w:hint="eastAsia" w:ascii="仿宋" w:hAnsi="仿宋" w:eastAsia="仿宋" w:cs="仿宋"/>
                                <w:color w:val="FF0000"/>
                                <w:sz w:val="22"/>
                                <w:szCs w:val="21"/>
                                <w:u w:val="single"/>
                              </w:rPr>
                              <w:t>XX</w:t>
                            </w:r>
                            <w:r>
                              <w:rPr>
                                <w:rFonts w:hint="eastAsia" w:ascii="仿宋" w:hAnsi="仿宋" w:eastAsia="仿宋" w:cs="仿宋"/>
                                <w:color w:val="FF0000"/>
                                <w:sz w:val="22"/>
                                <w:szCs w:val="21"/>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2.1.11</w:t>
            </w:r>
          </w:p>
        </w:tc>
        <w:tc>
          <w:tcPr>
            <w:tcW w:w="1905"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组建比价小组</w:t>
            </w:r>
          </w:p>
        </w:tc>
        <w:tc>
          <w:tcPr>
            <w:tcW w:w="7135"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本项目比价小组成员人数为</w:t>
            </w:r>
            <w:r>
              <w:rPr>
                <w:rFonts w:hint="eastAsia" w:ascii="仿宋" w:hAnsi="仿宋" w:eastAsia="仿宋" w:cs="仿宋"/>
                <w:color w:val="auto"/>
                <w:sz w:val="22"/>
                <w:highlight w:val="none"/>
                <w:u w:val="single"/>
                <w:lang w:val="en-US" w:eastAsia="zh-CN"/>
              </w:rPr>
              <w:t>5</w:t>
            </w:r>
            <w:r>
              <w:rPr>
                <w:rFonts w:hint="eastAsia" w:ascii="仿宋" w:hAnsi="仿宋" w:eastAsia="仿宋" w:cs="仿宋"/>
                <w:color w:val="auto"/>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.1.12</w:t>
            </w:r>
          </w:p>
        </w:tc>
        <w:tc>
          <w:tcPr>
            <w:tcW w:w="1905"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比价程序及方式</w:t>
            </w:r>
          </w:p>
        </w:tc>
        <w:tc>
          <w:tcPr>
            <w:tcW w:w="7135" w:type="dxa"/>
            <w:vAlign w:val="center"/>
          </w:tcPr>
          <w:p>
            <w:pPr>
              <w:pStyle w:val="61"/>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（1）比价小组将与通过初步评审的有效供应商按照</w:t>
            </w:r>
            <w:r>
              <w:rPr>
                <w:rFonts w:hint="eastAsia" w:ascii="仿宋" w:hAnsi="仿宋" w:eastAsia="仿宋" w:cs="仿宋"/>
                <w:color w:val="auto"/>
                <w:sz w:val="22"/>
                <w:szCs w:val="22"/>
                <w:highlight w:val="none"/>
                <w:u w:val="single"/>
              </w:rPr>
              <w:t>响应文件递交顺序/供应商随机抽取顺序/供应商名称首字A</w:t>
            </w:r>
            <w:r>
              <w:rPr>
                <w:rFonts w:ascii="仿宋" w:hAnsi="仿宋" w:eastAsia="仿宋" w:cs="仿宋"/>
                <w:color w:val="auto"/>
                <w:sz w:val="22"/>
                <w:szCs w:val="22"/>
                <w:highlight w:val="none"/>
                <w:u w:val="single"/>
              </w:rPr>
              <w:t>-Z</w:t>
            </w:r>
            <w:r>
              <w:rPr>
                <w:rFonts w:hint="eastAsia" w:ascii="仿宋" w:hAnsi="仿宋" w:eastAsia="仿宋" w:cs="仿宋"/>
                <w:color w:val="auto"/>
                <w:sz w:val="22"/>
                <w:szCs w:val="22"/>
                <w:highlight w:val="none"/>
                <w:u w:val="single"/>
              </w:rPr>
              <w:t>顺序/其他方式</w:t>
            </w:r>
            <w:r>
              <w:rPr>
                <w:rFonts w:hint="eastAsia" w:ascii="仿宋" w:hAnsi="仿宋" w:eastAsia="仿宋" w:cs="仿宋"/>
                <w:color w:val="auto"/>
                <w:sz w:val="22"/>
                <w:szCs w:val="22"/>
                <w:highlight w:val="none"/>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仿宋"/>
                <w:color w:val="auto"/>
                <w:sz w:val="22"/>
                <w:szCs w:val="22"/>
                <w:highlight w:val="none"/>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.1.13</w:t>
            </w:r>
          </w:p>
        </w:tc>
        <w:tc>
          <w:tcPr>
            <w:tcW w:w="1905"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比价内容</w:t>
            </w:r>
          </w:p>
        </w:tc>
        <w:tc>
          <w:tcPr>
            <w:tcW w:w="7135"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报价、对采购需求的理解、产品配置/技术方案、实施方案、人员配置、服务承诺、商务条款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.1.14</w:t>
            </w:r>
          </w:p>
        </w:tc>
        <w:tc>
          <w:tcPr>
            <w:tcW w:w="1905"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7135"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比价小组从质量和服务均能满足采购文件实质性响应要求的供应商中，按照最后报价由低到高的顺序</w:t>
            </w:r>
            <w:r>
              <w:rPr>
                <w:rFonts w:hint="eastAsia" w:ascii="仿宋" w:hAnsi="仿宋" w:eastAsia="仿宋" w:cs="宋体"/>
                <w:color w:val="auto"/>
                <w:sz w:val="22"/>
                <w:highlight w:val="none"/>
              </w:rPr>
              <w:t>推荐</w:t>
            </w:r>
            <w:r>
              <w:rPr>
                <w:rFonts w:hint="eastAsia" w:ascii="仿宋" w:hAnsi="仿宋" w:eastAsia="仿宋" w:cs="仿宋"/>
                <w:color w:val="auto"/>
                <w:sz w:val="22"/>
                <w:szCs w:val="22"/>
                <w:highlight w:val="none"/>
                <w:u w:val="single"/>
                <w:lang w:val="en-US" w:eastAsia="zh-CN"/>
              </w:rPr>
              <w:t>3</w:t>
            </w:r>
            <w:r>
              <w:rPr>
                <w:rFonts w:hint="eastAsia" w:ascii="仿宋" w:hAnsi="仿宋" w:eastAsia="仿宋" w:cs="仿宋"/>
                <w:color w:val="auto"/>
                <w:sz w:val="22"/>
                <w:szCs w:val="22"/>
                <w:highlight w:val="none"/>
                <w:u w:val="single"/>
              </w:rPr>
              <w:t>家</w:t>
            </w:r>
            <w:r>
              <w:rPr>
                <w:rFonts w:hint="eastAsia" w:ascii="仿宋" w:hAnsi="仿宋" w:eastAsia="仿宋" w:cs="宋体"/>
                <w:color w:val="auto"/>
                <w:sz w:val="22"/>
                <w:highlight w:val="none"/>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.1.15</w:t>
            </w:r>
          </w:p>
        </w:tc>
        <w:tc>
          <w:tcPr>
            <w:tcW w:w="1905"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成交人数量</w:t>
            </w:r>
          </w:p>
        </w:tc>
        <w:tc>
          <w:tcPr>
            <w:tcW w:w="7135" w:type="dxa"/>
            <w:vAlign w:val="center"/>
          </w:tcPr>
          <w:p>
            <w:pPr>
              <w:pStyle w:val="61"/>
              <w:spacing w:before="62" w:beforeLines="20" w:after="62" w:afterLines="20"/>
              <w:rPr>
                <w:rFonts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成交人数量：</w:t>
            </w:r>
            <w:r>
              <w:rPr>
                <w:rFonts w:hint="eastAsia" w:ascii="仿宋" w:hAnsi="仿宋" w:eastAsia="仿宋" w:cs="仿宋"/>
                <w:color w:val="auto"/>
                <w:sz w:val="22"/>
                <w:szCs w:val="22"/>
                <w:highlight w:val="none"/>
                <w:u w:val="single"/>
              </w:rPr>
              <w:t>1家</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宋体"/>
                <w:color w:val="auto"/>
                <w:sz w:val="22"/>
                <w:szCs w:val="22"/>
                <w:highlight w:val="none"/>
                <w:u w:val="single"/>
              </w:rPr>
              <w:t>排名第一</w:t>
            </w:r>
            <w:r>
              <w:rPr>
                <w:rFonts w:hint="eastAsia" w:ascii="仿宋" w:hAnsi="仿宋" w:eastAsia="仿宋" w:cs="仿宋"/>
                <w:color w:val="auto"/>
                <w:sz w:val="22"/>
                <w:szCs w:val="22"/>
                <w:highlight w:val="none"/>
              </w:rPr>
              <w:t>成交候选人放弃成交、因不可抗力不能履行合同、</w:t>
            </w:r>
            <w:r>
              <w:rPr>
                <w:rFonts w:hint="eastAsia" w:ascii="仿宋" w:hAnsi="仿宋" w:eastAsia="仿宋" w:cs="宋体"/>
                <w:color w:val="auto"/>
                <w:sz w:val="22"/>
                <w:szCs w:val="22"/>
                <w:highlight w:val="none"/>
              </w:rPr>
              <w:t>不按照比价文件要求提交履约保证金</w:t>
            </w:r>
            <w:r>
              <w:rPr>
                <w:rFonts w:hint="eastAsia" w:ascii="仿宋" w:hAnsi="仿宋" w:eastAsia="仿宋" w:cs="仿宋"/>
                <w:color w:val="auto"/>
                <w:sz w:val="22"/>
                <w:szCs w:val="22"/>
                <w:highlight w:val="none"/>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.1.16</w:t>
            </w:r>
          </w:p>
        </w:tc>
        <w:tc>
          <w:tcPr>
            <w:tcW w:w="1905" w:type="dxa"/>
            <w:vAlign w:val="center"/>
          </w:tcPr>
          <w:p>
            <w:pPr>
              <w:spacing w:line="400" w:lineRule="exact"/>
              <w:ind w:left="77" w:leftChars="32" w:right="132" w:rightChars="55" w:firstLine="67" w:firstLineChars="28"/>
              <w:jc w:val="center"/>
              <w:rPr>
                <w:rFonts w:ascii="仿宋" w:hAnsi="仿宋" w:eastAsia="仿宋" w:cs="仿宋"/>
                <w:color w:val="auto"/>
                <w:highlight w:val="none"/>
              </w:rPr>
            </w:pPr>
            <w:r>
              <w:rPr>
                <w:rFonts w:hint="eastAsia" w:ascii="仿宋" w:hAnsi="仿宋" w:eastAsia="仿宋" w:cs="仿宋"/>
                <w:color w:val="auto"/>
                <w:szCs w:val="21"/>
                <w:highlight w:val="none"/>
              </w:rPr>
              <w:t>履约保证金</w:t>
            </w:r>
          </w:p>
        </w:tc>
        <w:tc>
          <w:tcPr>
            <w:tcW w:w="7135" w:type="dxa"/>
            <w:vAlign w:val="center"/>
          </w:tcPr>
          <w:p>
            <w:pPr>
              <w:pStyle w:val="61"/>
              <w:spacing w:before="62" w:beforeLines="20" w:after="62" w:afterLines="20"/>
              <w:rPr>
                <w:rFonts w:ascii="仿宋" w:hAnsi="仿宋" w:eastAsia="仿宋" w:cs="仿宋"/>
                <w:color w:val="auto"/>
                <w:highlight w:val="none"/>
              </w:rPr>
            </w:pPr>
            <w:r>
              <w:rPr>
                <w:rFonts w:hint="eastAsia" w:ascii="仿宋" w:hAnsi="仿宋" w:eastAsia="仿宋"/>
                <w:color w:val="auto"/>
                <w:highlight w:val="none"/>
                <w:lang w:eastAsia="zh-CN"/>
              </w:rPr>
              <w:t>☑</w:t>
            </w:r>
            <w:r>
              <w:rPr>
                <w:rFonts w:hint="eastAsia" w:ascii="仿宋" w:hAnsi="仿宋" w:eastAsia="仿宋"/>
                <w:color w:val="auto"/>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2.1.17</w:t>
            </w:r>
          </w:p>
        </w:tc>
        <w:tc>
          <w:tcPr>
            <w:tcW w:w="1905"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合同签署</w:t>
            </w:r>
          </w:p>
        </w:tc>
        <w:tc>
          <w:tcPr>
            <w:tcW w:w="7135" w:type="dxa"/>
            <w:vAlign w:val="center"/>
          </w:tcPr>
          <w:p>
            <w:pPr>
              <w:autoSpaceDE w:val="0"/>
              <w:autoSpaceDN w:val="0"/>
              <w:adjustRightInd w:val="0"/>
              <w:spacing w:line="400" w:lineRule="exact"/>
              <w:ind w:left="146" w:leftChars="61" w:firstLine="2"/>
              <w:rPr>
                <w:rFonts w:hint="eastAsia" w:ascii="仿宋_GB2312" w:hAnsi="宋体" w:eastAsia="仿宋" w:cs="新宋体"/>
                <w:color w:val="auto"/>
                <w:szCs w:val="21"/>
                <w:highlight w:val="none"/>
                <w:lang w:val="zh-CN" w:eastAsia="zh-CN"/>
              </w:rPr>
            </w:pPr>
            <w:r>
              <w:rPr>
                <w:rFonts w:hint="eastAsia" w:ascii="仿宋" w:hAnsi="仿宋" w:eastAsia="仿宋" w:cs="仿宋"/>
                <w:color w:val="auto"/>
                <w:sz w:val="22"/>
                <w:highlight w:val="none"/>
              </w:rPr>
              <w:t>项目采购人</w:t>
            </w:r>
            <w:r>
              <w:rPr>
                <w:rFonts w:hint="eastAsia" w:ascii="仿宋" w:hAnsi="仿宋" w:eastAsia="仿宋" w:cs="仿宋"/>
                <w:color w:val="auto"/>
                <w:sz w:val="22"/>
                <w:highlight w:val="none"/>
                <w:lang w:eastAsia="zh-CN"/>
              </w:rPr>
              <w:t>、</w:t>
            </w:r>
            <w:r>
              <w:rPr>
                <w:rFonts w:ascii="仿宋" w:hAnsi="仿宋" w:eastAsia="仿宋" w:cs="仿宋"/>
                <w:color w:val="auto"/>
                <w:sz w:val="22"/>
                <w:highlight w:val="none"/>
              </w:rPr>
              <w:t>实际合</w:t>
            </w:r>
            <w:r>
              <w:rPr>
                <w:rFonts w:ascii="仿宋" w:hAnsi="仿宋" w:eastAsia="仿宋" w:cs="仿宋"/>
                <w:color w:val="auto"/>
                <w:sz w:val="22"/>
                <w:highlight w:val="none"/>
                <w:u w:val="none"/>
              </w:rPr>
              <w:t>同签署人</w:t>
            </w:r>
            <w:r>
              <w:rPr>
                <w:rFonts w:hint="eastAsia" w:ascii="仿宋" w:hAnsi="仿宋" w:eastAsia="仿宋" w:cs="仿宋"/>
                <w:color w:val="auto"/>
                <w:sz w:val="22"/>
                <w:highlight w:val="none"/>
                <w:u w:val="none"/>
              </w:rPr>
              <w:t>为</w:t>
            </w:r>
            <w:r>
              <w:rPr>
                <w:rFonts w:hint="eastAsia" w:ascii="仿宋" w:hAnsi="仿宋" w:eastAsia="仿宋" w:cs="仿宋"/>
                <w:color w:val="auto"/>
                <w:highlight w:val="none"/>
                <w:u w:val="none"/>
              </w:rPr>
              <w:t>中国人民财产保险股份有限公司</w:t>
            </w:r>
            <w:r>
              <w:rPr>
                <w:rFonts w:hint="eastAsia" w:ascii="仿宋" w:hAnsi="仿宋" w:eastAsia="仿宋" w:cs="仿宋"/>
                <w:color w:val="auto"/>
                <w:highlight w:val="none"/>
                <w:u w:val="none"/>
                <w:lang w:eastAsia="zh-CN"/>
              </w:rPr>
              <w:t>资阳市</w:t>
            </w:r>
            <w:r>
              <w:rPr>
                <w:rFonts w:hint="eastAsia" w:ascii="仿宋" w:hAnsi="仿宋" w:eastAsia="仿宋" w:cs="仿宋"/>
                <w:color w:val="auto"/>
                <w:highlight w:val="none"/>
                <w:u w:val="none"/>
              </w:rPr>
              <w:t>分公司</w:t>
            </w:r>
            <w:r>
              <w:rPr>
                <w:rFonts w:hint="eastAsia" w:ascii="仿宋" w:hAnsi="仿宋" w:eastAsia="仿宋" w:cs="仿宋"/>
                <w:color w:val="auto"/>
                <w:sz w:val="22"/>
                <w:highlight w:val="none"/>
                <w:u w:val="none"/>
                <w:lang w:eastAsia="zh-CN"/>
              </w:rPr>
              <w:t>。</w:t>
            </w:r>
          </w:p>
        </w:tc>
      </w:tr>
    </w:tbl>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4"/>
        <w:jc w:val="left"/>
        <w:rPr>
          <w:rFonts w:ascii="仿宋" w:hAnsi="仿宋" w:eastAsia="仿宋" w:cs="仿宋"/>
          <w:color w:val="auto"/>
          <w:sz w:val="24"/>
          <w:szCs w:val="24"/>
          <w:highlight w:val="none"/>
        </w:rPr>
      </w:pPr>
      <w:bookmarkStart w:id="26" w:name="_Toc6047"/>
      <w:bookmarkStart w:id="27" w:name="_Toc19783313"/>
      <w:bookmarkStart w:id="28" w:name="_Toc517281816"/>
      <w:bookmarkStart w:id="29" w:name="_Toc287600118"/>
      <w:bookmarkStart w:id="30" w:name="_Toc444891336"/>
      <w:bookmarkStart w:id="31" w:name="_Toc27232"/>
      <w:bookmarkStart w:id="32" w:name="_Toc11071"/>
      <w:bookmarkStart w:id="33" w:name="_Toc20514"/>
      <w:bookmarkStart w:id="34" w:name="_Toc186737799"/>
      <w:bookmarkStart w:id="35" w:name="_Toc27220"/>
      <w:bookmarkStart w:id="36" w:name="_Toc26913"/>
      <w:r>
        <w:rPr>
          <w:rFonts w:hint="eastAsia" w:ascii="仿宋" w:hAnsi="仿宋" w:eastAsia="仿宋" w:cs="仿宋"/>
          <w:color w:val="auto"/>
          <w:sz w:val="24"/>
          <w:szCs w:val="24"/>
          <w:highlight w:val="none"/>
        </w:rPr>
        <w:t>二、供应商须知</w:t>
      </w:r>
      <w:bookmarkEnd w:id="26"/>
      <w:bookmarkEnd w:id="27"/>
      <w:bookmarkEnd w:id="28"/>
      <w:bookmarkEnd w:id="29"/>
      <w:bookmarkEnd w:id="30"/>
      <w:bookmarkEnd w:id="31"/>
      <w:bookmarkEnd w:id="32"/>
      <w:bookmarkEnd w:id="33"/>
      <w:r>
        <w:rPr>
          <w:rFonts w:hint="eastAsia" w:ascii="仿宋" w:hAnsi="仿宋" w:eastAsia="仿宋" w:cs="仿宋"/>
          <w:color w:val="auto"/>
          <w:sz w:val="24"/>
          <w:szCs w:val="24"/>
          <w:highlight w:val="none"/>
        </w:rPr>
        <w:t>正文</w:t>
      </w:r>
      <w:bookmarkEnd w:id="34"/>
      <w:bookmarkEnd w:id="35"/>
      <w:bookmarkEnd w:id="36"/>
    </w:p>
    <w:p>
      <w:pPr>
        <w:pStyle w:val="5"/>
        <w:spacing w:before="0" w:after="0" w:line="360" w:lineRule="auto"/>
        <w:ind w:firstLine="482"/>
        <w:rPr>
          <w:rFonts w:ascii="仿宋" w:hAnsi="仿宋" w:eastAsia="仿宋" w:cs="仿宋"/>
          <w:color w:val="auto"/>
          <w:sz w:val="24"/>
          <w:szCs w:val="24"/>
          <w:highlight w:val="none"/>
        </w:rPr>
      </w:pPr>
      <w:bookmarkStart w:id="37" w:name="_Toc3678"/>
      <w:bookmarkStart w:id="38" w:name="_Toc19783314"/>
      <w:bookmarkStart w:id="39" w:name="_Toc431"/>
      <w:bookmarkStart w:id="40" w:name="_Toc26187"/>
      <w:bookmarkStart w:id="41" w:name="_Toc186737800"/>
      <w:bookmarkStart w:id="42" w:name="_Toc16441"/>
      <w:bookmarkStart w:id="43" w:name="_Toc6681"/>
      <w:bookmarkStart w:id="44" w:name="_Toc517281817"/>
      <w:bookmarkStart w:id="45" w:name="_Toc444891337"/>
      <w:bookmarkStart w:id="46" w:name="_Toc287600119"/>
      <w:bookmarkStart w:id="47" w:name="_Toc11851"/>
      <w:bookmarkStart w:id="48" w:name="_Toc22969"/>
      <w:r>
        <w:rPr>
          <w:rFonts w:hint="eastAsia" w:ascii="仿宋" w:hAnsi="仿宋" w:eastAsia="仿宋" w:cs="仿宋"/>
          <w:color w:val="auto"/>
          <w:sz w:val="24"/>
          <w:szCs w:val="24"/>
          <w:highlight w:val="none"/>
        </w:rPr>
        <w:t>（一）总 则</w:t>
      </w:r>
      <w:bookmarkEnd w:id="37"/>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highlight w:val="none"/>
          <w:u w:val="single"/>
        </w:rPr>
        <w:t>详见本须知前附表。</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5.比价响应费用</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不论结果如何，</w:t>
      </w:r>
      <w:r>
        <w:rPr>
          <w:rFonts w:hint="eastAsia" w:ascii="仿宋" w:hAnsi="仿宋" w:eastAsia="仿宋" w:cs="仿宋"/>
          <w:color w:val="auto"/>
          <w:highlight w:val="none"/>
        </w:rPr>
        <w:t>供应商</w:t>
      </w:r>
      <w:r>
        <w:rPr>
          <w:rFonts w:hint="eastAsia" w:ascii="仿宋" w:hAnsi="仿宋" w:eastAsia="仿宋" w:cs="宋体"/>
          <w:color w:val="auto"/>
          <w:highlight w:val="none"/>
        </w:rPr>
        <w:t>自行承担所有准备和参与本次比价响应的有关费用。</w:t>
      </w:r>
    </w:p>
    <w:p>
      <w:pPr>
        <w:pStyle w:val="5"/>
        <w:spacing w:after="0" w:line="360" w:lineRule="auto"/>
        <w:ind w:firstLine="482"/>
        <w:rPr>
          <w:rFonts w:ascii="仿宋" w:hAnsi="仿宋" w:eastAsia="仿宋" w:cs="仿宋"/>
          <w:color w:val="auto"/>
          <w:sz w:val="24"/>
          <w:szCs w:val="24"/>
          <w:highlight w:val="none"/>
        </w:rPr>
      </w:pPr>
      <w:bookmarkStart w:id="49" w:name="_Toc3016"/>
      <w:bookmarkStart w:id="50" w:name="_Toc10975"/>
      <w:bookmarkStart w:id="51" w:name="_Toc24246"/>
      <w:bookmarkStart w:id="52" w:name="_Toc287600120"/>
      <w:bookmarkStart w:id="53" w:name="_Toc517281818"/>
      <w:bookmarkStart w:id="54" w:name="_Toc444891338"/>
      <w:bookmarkStart w:id="55" w:name="_Toc19783315"/>
      <w:bookmarkStart w:id="56" w:name="_Toc14164"/>
      <w:bookmarkStart w:id="57" w:name="_Toc25513"/>
      <w:bookmarkStart w:id="58" w:name="_Toc186737801"/>
      <w:bookmarkStart w:id="59" w:name="_Toc5255"/>
      <w:bookmarkStart w:id="60" w:name="_Toc20761"/>
      <w:r>
        <w:rPr>
          <w:rFonts w:hint="eastAsia" w:ascii="仿宋" w:hAnsi="仿宋" w:eastAsia="仿宋" w:cs="仿宋"/>
          <w:color w:val="auto"/>
          <w:sz w:val="24"/>
          <w:szCs w:val="24"/>
          <w:highlight w:val="none"/>
        </w:rPr>
        <w:t>（二）比价文件</w:t>
      </w:r>
      <w:bookmarkEnd w:id="49"/>
      <w:bookmarkEnd w:id="50"/>
      <w:bookmarkEnd w:id="51"/>
      <w:bookmarkEnd w:id="52"/>
      <w:bookmarkEnd w:id="53"/>
      <w:bookmarkEnd w:id="54"/>
      <w:bookmarkEnd w:id="55"/>
      <w:bookmarkEnd w:id="56"/>
      <w:bookmarkEnd w:id="57"/>
      <w:bookmarkEnd w:id="58"/>
      <w:bookmarkEnd w:id="59"/>
      <w:bookmarkEnd w:id="60"/>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6.比价文件的组成</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6.1比价文件包括下列内容：</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第一章 比价邀请</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第五章 采购需求</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6.</w:t>
      </w:r>
      <w:r>
        <w:rPr>
          <w:rFonts w:ascii="仿宋" w:hAnsi="仿宋" w:eastAsia="仿宋" w:cs="仿宋"/>
          <w:color w:val="auto"/>
          <w:highlight w:val="none"/>
        </w:rPr>
        <w:t>2</w:t>
      </w:r>
      <w:r>
        <w:rPr>
          <w:rFonts w:hint="eastAsia" w:ascii="仿宋" w:hAnsi="仿宋" w:eastAsia="仿宋" w:cs="仿宋"/>
          <w:color w:val="auto"/>
          <w:highlight w:val="none"/>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7.比价文件的修改</w:t>
      </w:r>
    </w:p>
    <w:p>
      <w:pPr>
        <w:topLinePunct/>
        <w:spacing w:line="360" w:lineRule="auto"/>
        <w:rPr>
          <w:rFonts w:ascii="仿宋_GB2312" w:hAnsi="宋体" w:eastAsia="仿宋_GB2312"/>
          <w:color w:val="auto"/>
          <w:highlight w:val="none"/>
        </w:rPr>
      </w:pPr>
      <w:r>
        <w:rPr>
          <w:rFonts w:hint="eastAsia" w:ascii="仿宋" w:hAnsi="仿宋" w:eastAsia="仿宋" w:cs="仿宋"/>
          <w:color w:val="auto"/>
          <w:highlight w:val="none"/>
        </w:rPr>
        <w:t>7.1</w:t>
      </w:r>
      <w:r>
        <w:rPr>
          <w:rFonts w:hint="eastAsia" w:ascii="仿宋_GB2312" w:hAnsi="宋体" w:eastAsia="仿宋_GB2312"/>
          <w:color w:val="auto"/>
          <w:highlight w:val="none"/>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auto"/>
          <w:highlight w:val="none"/>
        </w:rPr>
      </w:pPr>
      <w:r>
        <w:rPr>
          <w:rFonts w:hint="eastAsia" w:ascii="仿宋_GB2312" w:hAnsi="宋体" w:eastAsia="仿宋_GB2312"/>
          <w:color w:val="auto"/>
          <w:highlight w:val="none"/>
        </w:rPr>
        <w:t>7</w:t>
      </w:r>
      <w:r>
        <w:rPr>
          <w:rFonts w:ascii="仿宋_GB2312" w:hAnsi="宋体" w:eastAsia="仿宋_GB2312"/>
          <w:color w:val="auto"/>
          <w:highlight w:val="none"/>
        </w:rPr>
        <w:t>.2</w:t>
      </w:r>
      <w:r>
        <w:rPr>
          <w:rFonts w:hint="eastAsia" w:ascii="仿宋_GB2312" w:hAnsi="宋体" w:eastAsia="仿宋_GB2312"/>
          <w:color w:val="auto"/>
          <w:highlight w:val="none"/>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7.3</w:t>
      </w:r>
      <w:r>
        <w:rPr>
          <w:rFonts w:hint="eastAsia" w:ascii="仿宋_GB2312" w:hAnsi="宋体" w:eastAsia="仿宋_GB2312"/>
          <w:color w:val="auto"/>
          <w:highlight w:val="none"/>
        </w:rPr>
        <w:t>供应商对比价文件如有疑问,应在首次响应文件递交截止时间前按比价文件</w:t>
      </w:r>
      <w:r>
        <w:rPr>
          <w:rFonts w:hint="eastAsia" w:ascii="仿宋_GB2312" w:hAnsi="宋体" w:eastAsia="仿宋_GB2312"/>
          <w:color w:val="auto"/>
          <w:spacing w:val="-3"/>
          <w:highlight w:val="none"/>
        </w:rPr>
        <w:t>中的联系方式，通知采购人。采购人将视情况采用适当方式予</w:t>
      </w:r>
      <w:r>
        <w:rPr>
          <w:rFonts w:hint="eastAsia" w:ascii="仿宋_GB2312" w:hAnsi="宋体" w:eastAsia="仿宋_GB2312"/>
          <w:color w:val="auto"/>
          <w:highlight w:val="none"/>
        </w:rPr>
        <w:t>以澄清或以书面形式予以答复。</w:t>
      </w:r>
      <w:r>
        <w:rPr>
          <w:rFonts w:hint="eastAsia" w:ascii="仿宋_GB2312" w:hAnsi="宋体" w:eastAsia="仿宋_GB2312"/>
          <w:color w:val="auto"/>
          <w:spacing w:val="-3"/>
          <w:highlight w:val="none"/>
        </w:rPr>
        <w:t>供应商在收到上述通知后，应立即向采购人回复确认。供</w:t>
      </w:r>
      <w:r>
        <w:rPr>
          <w:rFonts w:hint="eastAsia" w:ascii="仿宋_GB2312" w:hAnsi="宋体" w:eastAsia="仿宋_GB2312"/>
          <w:color w:val="auto"/>
          <w:highlight w:val="none"/>
        </w:rPr>
        <w:t>应商将被视为编制响应文件时已考虑了上述修改。</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7.4</w:t>
      </w:r>
      <w:r>
        <w:rPr>
          <w:rFonts w:hint="eastAsia" w:ascii="仿宋_GB2312" w:hAnsi="宋体" w:eastAsia="仿宋_GB2312"/>
          <w:color w:val="auto"/>
          <w:highlight w:val="none"/>
        </w:rPr>
        <w:t>对于比价文件的修改，如影响供应商响应文件编制的，</w:t>
      </w:r>
      <w:r>
        <w:rPr>
          <w:rFonts w:hint="eastAsia" w:ascii="仿宋_GB2312" w:hAnsi="宋体" w:eastAsia="仿宋_GB2312"/>
          <w:color w:val="auto"/>
          <w:spacing w:val="-3"/>
          <w:highlight w:val="none"/>
        </w:rPr>
        <w:t>采购人应推迟响应文件递交截止日期，并以书面或邮件形式通知所有已获取比价文件</w:t>
      </w:r>
      <w:r>
        <w:rPr>
          <w:rFonts w:hint="eastAsia" w:ascii="仿宋_GB2312" w:hAnsi="宋体" w:eastAsia="仿宋_GB2312"/>
          <w:color w:val="auto"/>
          <w:highlight w:val="none"/>
        </w:rPr>
        <w:t>的供应商。</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7.5</w:t>
      </w:r>
      <w:r>
        <w:rPr>
          <w:rFonts w:hint="eastAsia" w:ascii="仿宋_GB2312" w:hAnsi="宋体" w:eastAsia="仿宋_GB2312"/>
          <w:color w:val="auto"/>
          <w:highlight w:val="none"/>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8.比价响应预备会</w:t>
      </w:r>
    </w:p>
    <w:p>
      <w:pPr>
        <w:spacing w:line="360" w:lineRule="auto"/>
        <w:textAlignment w:val="baseline"/>
        <w:rPr>
          <w:rFonts w:ascii="仿宋" w:hAnsi="仿宋" w:eastAsia="仿宋" w:cs="宋体"/>
          <w:color w:val="auto"/>
          <w:highlight w:val="none"/>
          <w:u w:val="single"/>
        </w:rPr>
      </w:pPr>
      <w:r>
        <w:rPr>
          <w:rFonts w:hint="eastAsia" w:ascii="仿宋" w:hAnsi="仿宋" w:eastAsia="仿宋" w:cs="宋体"/>
          <w:color w:val="auto"/>
          <w:highlight w:val="none"/>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auto"/>
          <w:sz w:val="24"/>
          <w:szCs w:val="24"/>
          <w:highlight w:val="none"/>
        </w:rPr>
      </w:pPr>
      <w:bookmarkStart w:id="61" w:name="_Toc14308"/>
      <w:bookmarkStart w:id="62" w:name="_Toc27642"/>
      <w:bookmarkStart w:id="63" w:name="_Toc19783316"/>
      <w:bookmarkStart w:id="64" w:name="_Toc27563"/>
      <w:bookmarkStart w:id="65" w:name="_Toc16985"/>
      <w:bookmarkStart w:id="66" w:name="_Toc517281819"/>
      <w:bookmarkStart w:id="67" w:name="_Toc13691"/>
      <w:bookmarkStart w:id="68" w:name="_Toc31141"/>
      <w:bookmarkStart w:id="69" w:name="_Toc186737802"/>
      <w:bookmarkStart w:id="70" w:name="_Toc11263"/>
      <w:bookmarkStart w:id="71" w:name="_Toc287600121"/>
      <w:bookmarkStart w:id="72" w:name="_Toc444891339"/>
      <w:r>
        <w:rPr>
          <w:rFonts w:hint="eastAsia" w:ascii="仿宋" w:hAnsi="仿宋" w:eastAsia="仿宋" w:cs="仿宋"/>
          <w:color w:val="auto"/>
          <w:sz w:val="24"/>
          <w:szCs w:val="24"/>
          <w:highlight w:val="none"/>
        </w:rPr>
        <w:t>（三）响应文件</w:t>
      </w:r>
      <w:bookmarkEnd w:id="61"/>
      <w:bookmarkEnd w:id="62"/>
      <w:bookmarkEnd w:id="63"/>
      <w:bookmarkEnd w:id="64"/>
      <w:bookmarkEnd w:id="65"/>
      <w:bookmarkEnd w:id="66"/>
      <w:bookmarkEnd w:id="67"/>
      <w:bookmarkEnd w:id="68"/>
      <w:bookmarkEnd w:id="69"/>
      <w:bookmarkEnd w:id="70"/>
      <w:bookmarkEnd w:id="71"/>
      <w:bookmarkEnd w:id="72"/>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0.3 </w:t>
      </w:r>
      <w:r>
        <w:rPr>
          <w:rFonts w:hint="eastAsia" w:ascii="仿宋" w:hAnsi="仿宋" w:eastAsia="仿宋" w:cs="宋体"/>
          <w:color w:val="auto"/>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0.4 </w:t>
      </w:r>
      <w:r>
        <w:rPr>
          <w:rFonts w:hint="eastAsia" w:ascii="仿宋" w:hAnsi="仿宋" w:eastAsia="仿宋" w:cs="宋体"/>
          <w:color w:val="auto"/>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5</w:t>
      </w:r>
      <w:r>
        <w:rPr>
          <w:rFonts w:hint="eastAsia" w:ascii="仿宋" w:hAnsi="仿宋" w:eastAsia="仿宋" w:cs="宋体"/>
          <w:color w:val="auto"/>
          <w:highlight w:val="none"/>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highlight w:val="none"/>
          <w:u w:val="singl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6</w:t>
      </w:r>
      <w:r>
        <w:rPr>
          <w:rFonts w:hint="eastAsia" w:ascii="仿宋" w:hAnsi="仿宋" w:eastAsia="仿宋" w:cs="宋体"/>
          <w:color w:val="auto"/>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3" w:name="_Hlk173250545"/>
      <w:r>
        <w:rPr>
          <w:rFonts w:hint="eastAsia" w:ascii="仿宋" w:hAnsi="仿宋" w:eastAsia="仿宋" w:cs="宋体"/>
          <w:color w:val="auto"/>
          <w:highlight w:val="none"/>
        </w:rPr>
        <w:t>盖章或者签字另有要求的，</w:t>
      </w:r>
      <w:r>
        <w:rPr>
          <w:rFonts w:hint="eastAsia" w:ascii="仿宋" w:hAnsi="仿宋" w:eastAsia="仿宋" w:cs="宋体"/>
          <w:color w:val="auto"/>
          <w:highlight w:val="none"/>
          <w:u w:val="single"/>
        </w:rPr>
        <w:t>见本须知前附表。</w:t>
      </w:r>
    </w:p>
    <w:bookmarkEnd w:id="73"/>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0.7</w:t>
      </w:r>
      <w:r>
        <w:rPr>
          <w:rFonts w:hint="eastAsia" w:ascii="仿宋" w:hAnsi="仿宋" w:eastAsia="仿宋" w:cs="仿宋"/>
          <w:color w:val="auto"/>
          <w:highlight w:val="none"/>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11.比价响应报价</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rPr>
        <w:t>见</w:t>
      </w:r>
      <w:r>
        <w:rPr>
          <w:rFonts w:hint="eastAsia" w:ascii="仿宋" w:hAnsi="仿宋" w:eastAsia="仿宋" w:cs="仿宋"/>
          <w:color w:val="auto"/>
          <w:highlight w:val="none"/>
          <w:u w:val="single"/>
        </w:rPr>
        <w:t>供应商须知前附表</w:t>
      </w:r>
      <w:r>
        <w:rPr>
          <w:rFonts w:hint="eastAsia" w:ascii="仿宋" w:hAnsi="仿宋" w:eastAsia="仿宋" w:cs="仿宋"/>
          <w:color w:val="auto"/>
          <w:highlight w:val="none"/>
        </w:rPr>
        <w:t>。</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.比价响应有效期</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.1 比价响应有效期从响应文件递交截止之日起算，具体时间</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.响应文件的式样、密封和标记</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.1 供应商应当编制一份响应文件“正本”和</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所述份数的“副本”和“电子版”，副本为正本复印件。纸质版文件与电子版文件不一致时，以</w:t>
      </w:r>
      <w:r>
        <w:rPr>
          <w:rFonts w:hint="eastAsia" w:ascii="仿宋" w:hAnsi="仿宋" w:eastAsia="仿宋" w:cs="宋体"/>
          <w:b/>
          <w:bCs/>
          <w:color w:val="auto"/>
          <w:highlight w:val="none"/>
          <w:lang w:eastAsia="zh-Hans"/>
        </w:rPr>
        <w:t>纸质版</w:t>
      </w:r>
      <w:r>
        <w:rPr>
          <w:rFonts w:hint="eastAsia" w:ascii="仿宋" w:hAnsi="仿宋" w:eastAsia="仿宋" w:cs="宋体"/>
          <w:color w:val="auto"/>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.2 每份纸质文件响应文件的正本、副本应当分别装订，并于封面上明确标明“正本”“副本”字样。具体要求</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auto"/>
          <w:sz w:val="24"/>
          <w:szCs w:val="24"/>
          <w:highlight w:val="none"/>
        </w:rPr>
      </w:pPr>
      <w:bookmarkStart w:id="74" w:name="_Toc444891340"/>
      <w:bookmarkStart w:id="75" w:name="_Toc19783317"/>
      <w:bookmarkStart w:id="76" w:name="_Toc287600122"/>
      <w:bookmarkStart w:id="77" w:name="_Toc7129"/>
      <w:bookmarkStart w:id="78" w:name="_Toc14726"/>
      <w:bookmarkStart w:id="79" w:name="_Toc21600"/>
      <w:bookmarkStart w:id="80" w:name="_Toc4155"/>
      <w:bookmarkStart w:id="81" w:name="_Toc517281820"/>
      <w:bookmarkStart w:id="82" w:name="_Toc18673"/>
      <w:bookmarkStart w:id="83" w:name="_Toc17865"/>
      <w:bookmarkStart w:id="84" w:name="_Toc17103"/>
      <w:bookmarkStart w:id="85" w:name="_Toc186737803"/>
      <w:r>
        <w:rPr>
          <w:rFonts w:hint="eastAsia" w:ascii="仿宋" w:hAnsi="仿宋" w:eastAsia="仿宋" w:cs="仿宋"/>
          <w:color w:val="auto"/>
          <w:sz w:val="24"/>
          <w:szCs w:val="24"/>
          <w:highlight w:val="none"/>
        </w:rPr>
        <w:t>（四）响应文件的</w:t>
      </w:r>
      <w:bookmarkEnd w:id="74"/>
      <w:bookmarkEnd w:id="75"/>
      <w:bookmarkEnd w:id="76"/>
      <w:bookmarkEnd w:id="77"/>
      <w:bookmarkEnd w:id="78"/>
      <w:bookmarkEnd w:id="79"/>
      <w:bookmarkEnd w:id="80"/>
      <w:bookmarkEnd w:id="81"/>
      <w:bookmarkEnd w:id="82"/>
      <w:r>
        <w:rPr>
          <w:rFonts w:hint="eastAsia" w:ascii="仿宋" w:hAnsi="仿宋" w:eastAsia="仿宋" w:cs="仿宋"/>
          <w:color w:val="auto"/>
          <w:sz w:val="24"/>
          <w:szCs w:val="24"/>
          <w:highlight w:val="none"/>
        </w:rPr>
        <w:t>递交</w:t>
      </w:r>
      <w:bookmarkEnd w:id="83"/>
      <w:bookmarkEnd w:id="84"/>
      <w:bookmarkEnd w:id="85"/>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.响应文件的递交</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4</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ascii="仿宋" w:hAnsi="仿宋" w:eastAsia="仿宋" w:cs="宋体"/>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4</w:t>
      </w:r>
      <w:r>
        <w:rPr>
          <w:rFonts w:hint="eastAsia" w:ascii="仿宋" w:hAnsi="仿宋" w:eastAsia="仿宋" w:cs="宋体"/>
          <w:color w:val="auto"/>
          <w:highlight w:val="none"/>
        </w:rPr>
        <w:t>.2出现下列情形之一时，</w:t>
      </w:r>
      <w:r>
        <w:rPr>
          <w:rFonts w:hint="eastAsia" w:ascii="仿宋" w:hAnsi="仿宋" w:eastAsia="仿宋" w:cs="宋体"/>
          <w:b/>
          <w:bCs/>
          <w:color w:val="auto"/>
          <w:highlight w:val="none"/>
        </w:rPr>
        <w:t>响应文件不予接收或已经递交的响应文件无效；</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（1）电子响应文件逾期递交的；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（2）纸质响应文件逾期递交或者未送达指定地点或者未按照比价文件要求封装的；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）未按比价公告或者响应公告书要求获得本项目比价文件的。</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15</w:t>
      </w:r>
      <w:r>
        <w:rPr>
          <w:rFonts w:hint="eastAsia" w:ascii="仿宋" w:hAnsi="仿宋" w:eastAsia="仿宋" w:cs="仿宋"/>
          <w:color w:val="auto"/>
          <w:sz w:val="24"/>
          <w:szCs w:val="24"/>
          <w:highlight w:val="none"/>
        </w:rPr>
        <w:t>.响应文件的修改、撤回和撤销</w:t>
      </w:r>
    </w:p>
    <w:p>
      <w:pPr>
        <w:spacing w:line="360" w:lineRule="auto"/>
        <w:rPr>
          <w:rFonts w:ascii="仿宋" w:hAnsi="仿宋" w:eastAsia="仿宋" w:cs="仿宋"/>
          <w:color w:val="auto"/>
          <w:highlight w:val="none"/>
        </w:rPr>
      </w:pPr>
      <w:r>
        <w:rPr>
          <w:rFonts w:ascii="仿宋" w:hAnsi="仿宋" w:eastAsia="仿宋" w:cs="仿宋"/>
          <w:color w:val="auto"/>
          <w:highlight w:val="none"/>
        </w:rPr>
        <w:t>15</w:t>
      </w:r>
      <w:r>
        <w:rPr>
          <w:rFonts w:hint="eastAsia" w:ascii="仿宋" w:hAnsi="仿宋" w:eastAsia="仿宋" w:cs="仿宋"/>
          <w:color w:val="auto"/>
          <w:highlight w:val="none"/>
        </w:rPr>
        <w:t>.1</w:t>
      </w:r>
      <w:r>
        <w:rPr>
          <w:rFonts w:hint="eastAsia" w:ascii="仿宋" w:hAnsi="仿宋" w:eastAsia="仿宋" w:cs="宋体"/>
          <w:color w:val="auto"/>
          <w:spacing w:val="-4"/>
          <w:highlight w:val="none"/>
        </w:rPr>
        <w:t>在</w:t>
      </w:r>
      <w:r>
        <w:rPr>
          <w:rFonts w:hint="eastAsia" w:ascii="仿宋" w:hAnsi="仿宋" w:eastAsia="仿宋" w:cs="宋体"/>
          <w:color w:val="auto"/>
          <w:highlight w:val="none"/>
        </w:rPr>
        <w:t>比价文件</w:t>
      </w:r>
      <w:r>
        <w:rPr>
          <w:rFonts w:hint="eastAsia" w:ascii="仿宋" w:hAnsi="仿宋" w:eastAsia="仿宋" w:cs="宋体"/>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宋体"/>
          <w:color w:val="auto"/>
          <w:spacing w:val="-4"/>
          <w:highlight w:val="none"/>
        </w:rPr>
        <w:t>递交截止时间前，</w:t>
      </w:r>
      <w:r>
        <w:rPr>
          <w:rFonts w:hint="eastAsia" w:ascii="仿宋" w:hAnsi="仿宋" w:eastAsia="仿宋" w:cs="宋体"/>
          <w:color w:val="auto"/>
          <w:highlight w:val="none"/>
        </w:rPr>
        <w:t>可以补充、修改或撤回已提交的响应文件。</w:t>
      </w:r>
      <w:r>
        <w:rPr>
          <w:rFonts w:ascii="仿宋" w:hAnsi="仿宋" w:eastAsia="仿宋" w:cs="宋体"/>
          <w:color w:val="auto"/>
          <w:highlight w:val="none"/>
        </w:rPr>
        <w:t>补充、修改的内容为</w:t>
      </w:r>
      <w:r>
        <w:rPr>
          <w:rFonts w:hint="eastAsia" w:ascii="仿宋" w:hAnsi="仿宋" w:eastAsia="仿宋" w:cs="宋体"/>
          <w:color w:val="auto"/>
          <w:highlight w:val="none"/>
        </w:rPr>
        <w:t>响应</w:t>
      </w:r>
      <w:r>
        <w:rPr>
          <w:rFonts w:ascii="仿宋" w:hAnsi="仿宋" w:eastAsia="仿宋" w:cs="宋体"/>
          <w:color w:val="auto"/>
          <w:highlight w:val="none"/>
        </w:rPr>
        <w:t>文件的组成部分</w:t>
      </w:r>
      <w:r>
        <w:rPr>
          <w:rFonts w:hint="eastAsia" w:ascii="仿宋" w:hAnsi="仿宋" w:eastAsia="仿宋" w:cs="宋体"/>
          <w:color w:val="auto"/>
          <w:highlight w:val="none"/>
        </w:rPr>
        <w:t>，应当在响应文件递交截止时间前按照比价文件的规定进行递交。</w:t>
      </w:r>
    </w:p>
    <w:p>
      <w:pPr>
        <w:pStyle w:val="2"/>
        <w:spacing w:line="360" w:lineRule="auto"/>
        <w:rPr>
          <w:color w:val="auto"/>
          <w:highlight w:val="none"/>
        </w:rPr>
      </w:pPr>
      <w:bookmarkStart w:id="86" w:name="_Toc152045558"/>
      <w:bookmarkStart w:id="87" w:name="_Toc247085716"/>
      <w:bookmarkStart w:id="88" w:name="_Toc179632576"/>
      <w:bookmarkStart w:id="89" w:name="_Toc144974526"/>
      <w:bookmarkStart w:id="90" w:name="_Toc332188194"/>
      <w:bookmarkStart w:id="91" w:name="_Toc152042334"/>
      <w:bookmarkStart w:id="92" w:name="_Toc334766948"/>
      <w:bookmarkStart w:id="93" w:name="_Toc326223561"/>
      <w:bookmarkStart w:id="94" w:name="_Toc246996945"/>
      <w:bookmarkStart w:id="95" w:name="_Toc246996202"/>
      <w:r>
        <w:rPr>
          <w:rFonts w:ascii="仿宋" w:hAnsi="仿宋" w:eastAsia="仿宋" w:cs="仿宋"/>
          <w:color w:val="auto"/>
          <w:highlight w:val="none"/>
        </w:rPr>
        <w:t>15.2</w:t>
      </w:r>
      <w:bookmarkEnd w:id="86"/>
      <w:bookmarkEnd w:id="87"/>
      <w:bookmarkEnd w:id="88"/>
      <w:bookmarkEnd w:id="89"/>
      <w:bookmarkEnd w:id="90"/>
      <w:bookmarkEnd w:id="91"/>
      <w:bookmarkEnd w:id="92"/>
      <w:bookmarkEnd w:id="93"/>
      <w:bookmarkEnd w:id="94"/>
      <w:bookmarkEnd w:id="95"/>
      <w:r>
        <w:rPr>
          <w:rFonts w:hint="eastAsia" w:ascii="仿宋" w:hAnsi="仿宋" w:eastAsia="仿宋" w:cs="仿宋"/>
          <w:color w:val="auto"/>
          <w:highlight w:val="none"/>
        </w:rPr>
        <w:t xml:space="preserve"> </w:t>
      </w:r>
      <w:r>
        <w:rPr>
          <w:rFonts w:hint="eastAsia" w:ascii="仿宋" w:hAnsi="仿宋" w:eastAsia="仿宋" w:cs="宋体"/>
          <w:color w:val="auto"/>
          <w:highlight w:val="none"/>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auto"/>
          <w:sz w:val="24"/>
          <w:szCs w:val="24"/>
          <w:highlight w:val="none"/>
        </w:rPr>
      </w:pPr>
      <w:bookmarkStart w:id="96" w:name="_Toc23435"/>
      <w:bookmarkStart w:id="97" w:name="_Toc20741"/>
      <w:bookmarkStart w:id="98" w:name="_Toc11361"/>
      <w:bookmarkStart w:id="99" w:name="_Toc12797"/>
      <w:bookmarkStart w:id="100" w:name="_Toc444891341"/>
      <w:bookmarkStart w:id="101" w:name="_Toc287600123"/>
      <w:bookmarkStart w:id="102" w:name="_Toc186737804"/>
      <w:bookmarkStart w:id="103" w:name="_Toc2636"/>
      <w:bookmarkStart w:id="104" w:name="_Toc30466"/>
      <w:bookmarkStart w:id="105" w:name="_Toc517281821"/>
      <w:bookmarkStart w:id="106" w:name="_Toc2055"/>
      <w:r>
        <w:rPr>
          <w:rFonts w:hint="eastAsia" w:ascii="仿宋" w:hAnsi="仿宋" w:eastAsia="仿宋" w:cs="仿宋"/>
          <w:color w:val="auto"/>
          <w:sz w:val="24"/>
          <w:szCs w:val="24"/>
          <w:highlight w:val="none"/>
        </w:rPr>
        <w:t>（五）比价和评审</w:t>
      </w:r>
      <w:bookmarkEnd w:id="96"/>
      <w:bookmarkEnd w:id="97"/>
      <w:bookmarkEnd w:id="98"/>
      <w:bookmarkEnd w:id="99"/>
      <w:bookmarkEnd w:id="100"/>
      <w:bookmarkEnd w:id="101"/>
      <w:bookmarkEnd w:id="102"/>
      <w:bookmarkEnd w:id="103"/>
      <w:bookmarkEnd w:id="104"/>
      <w:bookmarkEnd w:id="105"/>
      <w:bookmarkEnd w:id="106"/>
    </w:p>
    <w:p>
      <w:pPr>
        <w:pStyle w:val="6"/>
        <w:spacing w:before="0" w:after="0" w:line="360" w:lineRule="auto"/>
        <w:rPr>
          <w:rFonts w:ascii="仿宋" w:hAnsi="仿宋" w:eastAsia="仿宋" w:cs="仿宋"/>
          <w:color w:val="auto"/>
          <w:sz w:val="24"/>
          <w:szCs w:val="24"/>
          <w:highlight w:val="none"/>
        </w:rPr>
      </w:pPr>
      <w:bookmarkStart w:id="107" w:name="_Toc234223229"/>
      <w:bookmarkStart w:id="108" w:name="_Toc234223227"/>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.组建</w:t>
      </w:r>
      <w:bookmarkEnd w:id="107"/>
      <w:r>
        <w:rPr>
          <w:rFonts w:hint="eastAsia" w:ascii="仿宋" w:hAnsi="仿宋" w:eastAsia="仿宋" w:cs="仿宋"/>
          <w:color w:val="auto"/>
          <w:sz w:val="24"/>
          <w:szCs w:val="24"/>
          <w:highlight w:val="none"/>
        </w:rPr>
        <w:t>比价小组</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6.1</w:t>
      </w:r>
      <w:r>
        <w:rPr>
          <w:rFonts w:hint="eastAsia" w:ascii="仿宋" w:hAnsi="仿宋" w:eastAsia="仿宋" w:cs="宋体"/>
          <w:color w:val="auto"/>
          <w:highlight w:val="none"/>
        </w:rPr>
        <w:t>采购人依照企业采购管理制度的相关规定组建比价小组，具体人数</w:t>
      </w:r>
      <w:r>
        <w:rPr>
          <w:rFonts w:hint="eastAsia" w:ascii="仿宋" w:hAnsi="仿宋" w:eastAsia="仿宋" w:cs="仿宋"/>
          <w:color w:val="auto"/>
          <w:highlight w:val="none"/>
        </w:rPr>
        <w:t>见</w:t>
      </w:r>
      <w:r>
        <w:rPr>
          <w:rFonts w:hint="eastAsia" w:ascii="仿宋" w:hAnsi="仿宋" w:eastAsia="仿宋" w:cs="仿宋"/>
          <w:color w:val="auto"/>
          <w:highlight w:val="none"/>
          <w:u w:val="single"/>
        </w:rPr>
        <w:t>本须知前附表</w:t>
      </w:r>
      <w:r>
        <w:rPr>
          <w:rFonts w:hint="eastAsia" w:ascii="仿宋" w:hAnsi="仿宋" w:eastAsia="仿宋" w:cs="宋体"/>
          <w:color w:val="auto"/>
          <w:highlight w:val="none"/>
        </w:rPr>
        <w:t>，比价小组成员名单在成交结果确定前保密。</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6.2</w:t>
      </w:r>
      <w:r>
        <w:rPr>
          <w:rFonts w:hint="eastAsia" w:ascii="仿宋" w:hAnsi="仿宋" w:eastAsia="仿宋" w:cs="宋体"/>
          <w:color w:val="auto"/>
          <w:highlight w:val="none"/>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auto"/>
          <w:sz w:val="24"/>
          <w:szCs w:val="24"/>
          <w:highlight w:val="none"/>
        </w:rPr>
      </w:pPr>
      <w:bookmarkStart w:id="109" w:name="_Toc234223228"/>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.初步评审</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7.1</w:t>
      </w:r>
      <w:r>
        <w:rPr>
          <w:rFonts w:hint="eastAsia" w:ascii="仿宋" w:hAnsi="仿宋" w:eastAsia="仿宋" w:cs="宋体"/>
          <w:color w:val="auto"/>
          <w:highlight w:val="none"/>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7.2</w:t>
      </w:r>
      <w:r>
        <w:rPr>
          <w:rFonts w:hint="eastAsia" w:ascii="仿宋" w:hAnsi="仿宋" w:eastAsia="仿宋" w:cs="宋体"/>
          <w:color w:val="auto"/>
          <w:highlight w:val="none"/>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7.3</w:t>
      </w:r>
      <w:r>
        <w:rPr>
          <w:rFonts w:hint="eastAsia" w:ascii="仿宋" w:hAnsi="仿宋" w:eastAsia="仿宋" w:cs="宋体"/>
          <w:color w:val="auto"/>
          <w:highlight w:val="none"/>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auto"/>
          <w:highlight w:val="none"/>
        </w:rPr>
        <w:t>，比价小组有权对其响应做否决处理。</w:t>
      </w:r>
    </w:p>
    <w:p>
      <w:pPr>
        <w:topLinePunct/>
        <w:spacing w:line="360" w:lineRule="auto"/>
        <w:rPr>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7.4</w:t>
      </w:r>
      <w:r>
        <w:rPr>
          <w:rFonts w:hint="eastAsia" w:ascii="仿宋" w:hAnsi="仿宋" w:eastAsia="仿宋" w:cs="宋体"/>
          <w:color w:val="auto"/>
          <w:highlight w:val="none"/>
        </w:rPr>
        <w:t>比价小组必要时可以要求供应商提交有关证明和证件的原件，以便核验。拒不按要求提供原件的供应商，</w:t>
      </w:r>
      <w:r>
        <w:rPr>
          <w:rFonts w:hint="eastAsia" w:ascii="仿宋" w:hAnsi="仿宋" w:eastAsia="仿宋" w:cs="仿宋"/>
          <w:b/>
          <w:bCs/>
          <w:color w:val="auto"/>
          <w:highlight w:val="none"/>
        </w:rPr>
        <w:t>比价小组有权对其响应做否决处理。</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8.</w:t>
      </w:r>
      <w:r>
        <w:rPr>
          <w:rFonts w:hint="eastAsia" w:ascii="仿宋" w:hAnsi="仿宋" w:eastAsia="仿宋" w:cs="仿宋"/>
          <w:color w:val="auto"/>
          <w:sz w:val="24"/>
          <w:szCs w:val="24"/>
          <w:highlight w:val="none"/>
        </w:rPr>
        <w:t>比价程序</w:t>
      </w:r>
    </w:p>
    <w:p>
      <w:pPr>
        <w:spacing w:line="360" w:lineRule="auto"/>
        <w:rPr>
          <w:rFonts w:ascii="仿宋" w:hAnsi="仿宋" w:eastAsia="仿宋" w:cs="仿宋"/>
          <w:color w:val="auto"/>
          <w:highlight w:val="none"/>
          <w:u w:val="single"/>
        </w:rPr>
      </w:pPr>
      <w:r>
        <w:rPr>
          <w:rFonts w:ascii="仿宋" w:hAnsi="仿宋" w:eastAsia="仿宋" w:cs="仿宋"/>
          <w:color w:val="auto"/>
          <w:highlight w:val="none"/>
        </w:rPr>
        <w:t>18</w:t>
      </w:r>
      <w:r>
        <w:rPr>
          <w:rFonts w:hint="eastAsia" w:ascii="仿宋" w:hAnsi="仿宋" w:eastAsia="仿宋" w:cs="仿宋"/>
          <w:color w:val="auto"/>
          <w:highlight w:val="none"/>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highlight w:val="none"/>
          <w:u w:val="single"/>
        </w:rPr>
        <w:t>详见本须知前附表。</w:t>
      </w:r>
    </w:p>
    <w:p>
      <w:pPr>
        <w:spacing w:line="360" w:lineRule="auto"/>
        <w:rPr>
          <w:rFonts w:ascii="仿宋" w:hAnsi="仿宋" w:eastAsia="仿宋" w:cs="仿宋"/>
          <w:color w:val="auto"/>
          <w:highlight w:val="none"/>
        </w:rPr>
      </w:pPr>
      <w:r>
        <w:rPr>
          <w:rFonts w:ascii="仿宋" w:hAnsi="仿宋" w:eastAsia="仿宋" w:cs="仿宋"/>
          <w:color w:val="auto"/>
          <w:highlight w:val="none"/>
        </w:rPr>
        <w:t>18.2</w:t>
      </w:r>
      <w:r>
        <w:rPr>
          <w:rFonts w:hint="eastAsia" w:ascii="仿宋" w:hAnsi="仿宋" w:eastAsia="仿宋" w:cs="仿宋"/>
          <w:color w:val="auto"/>
          <w:highlight w:val="none"/>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8.3</w:t>
      </w:r>
      <w:r>
        <w:rPr>
          <w:rFonts w:hint="eastAsia" w:ascii="仿宋_GB2312" w:hAnsi="宋体" w:eastAsia="仿宋_GB2312"/>
          <w:color w:val="auto"/>
          <w:highlight w:val="none"/>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auto"/>
          <w:highlight w:val="none"/>
        </w:rPr>
      </w:pPr>
      <w:r>
        <w:rPr>
          <w:rFonts w:ascii="仿宋" w:hAnsi="仿宋" w:eastAsia="仿宋" w:cs="仿宋"/>
          <w:color w:val="auto"/>
          <w:highlight w:val="none"/>
        </w:rPr>
        <w:t>18.3</w:t>
      </w:r>
      <w:r>
        <w:rPr>
          <w:rFonts w:hint="eastAsia" w:ascii="仿宋" w:hAnsi="仿宋" w:eastAsia="仿宋" w:cs="仿宋"/>
          <w:color w:val="auto"/>
          <w:highlight w:val="none"/>
        </w:rPr>
        <w:t>比价小组可视情况要求供应商进行多轮比价及报价。比价中，任何一方不得向第三方透露与比价有关的任何信息。</w:t>
      </w:r>
    </w:p>
    <w:bookmarkEnd w:id="109"/>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108"/>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19</w:t>
      </w:r>
      <w:r>
        <w:rPr>
          <w:rFonts w:hint="eastAsia" w:ascii="仿宋" w:hAnsi="仿宋" w:eastAsia="仿宋" w:cs="仿宋"/>
          <w:color w:val="auto"/>
          <w:sz w:val="24"/>
          <w:szCs w:val="24"/>
          <w:highlight w:val="none"/>
        </w:rPr>
        <w:t>.详细评审</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auto"/>
          <w:highlight w:val="none"/>
        </w:rPr>
      </w:pPr>
      <w:r>
        <w:rPr>
          <w:rFonts w:ascii="仿宋" w:hAnsi="仿宋" w:eastAsia="仿宋" w:cs="仿宋"/>
          <w:color w:val="auto"/>
          <w:highlight w:val="none"/>
        </w:rPr>
        <w:t>19.2</w:t>
      </w:r>
      <w:r>
        <w:rPr>
          <w:rFonts w:hint="eastAsia" w:ascii="仿宋" w:hAnsi="仿宋" w:eastAsia="仿宋" w:cs="仿宋"/>
          <w:color w:val="auto"/>
          <w:highlight w:val="none"/>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auto"/>
          <w:highlight w:val="none"/>
        </w:rPr>
      </w:pPr>
      <w:r>
        <w:rPr>
          <w:rFonts w:ascii="仿宋" w:hAnsi="仿宋" w:eastAsia="仿宋" w:cs="仿宋"/>
          <w:color w:val="auto"/>
          <w:highlight w:val="none"/>
        </w:rPr>
        <w:t>19.3</w:t>
      </w:r>
      <w:r>
        <w:rPr>
          <w:rFonts w:hint="eastAsia" w:ascii="仿宋" w:hAnsi="仿宋" w:eastAsia="仿宋" w:cs="仿宋"/>
          <w:color w:val="auto"/>
          <w:highlight w:val="none"/>
        </w:rPr>
        <w:t>最后报价是供应商响应文件的有效组成部分。</w:t>
      </w:r>
    </w:p>
    <w:p>
      <w:pPr>
        <w:spacing w:line="360" w:lineRule="auto"/>
        <w:rPr>
          <w:rFonts w:ascii="仿宋" w:hAnsi="仿宋" w:eastAsia="仿宋" w:cs="仿宋"/>
          <w:color w:val="auto"/>
          <w:highlight w:val="none"/>
        </w:rPr>
      </w:pPr>
      <w:r>
        <w:rPr>
          <w:rFonts w:ascii="仿宋" w:hAnsi="仿宋" w:eastAsia="仿宋" w:cs="仿宋"/>
          <w:color w:val="auto"/>
          <w:highlight w:val="none"/>
        </w:rPr>
        <w:t>19.4</w:t>
      </w:r>
      <w:r>
        <w:rPr>
          <w:rFonts w:hint="eastAsia" w:ascii="仿宋" w:hAnsi="仿宋" w:eastAsia="仿宋" w:cs="仿宋"/>
          <w:color w:val="auto"/>
          <w:highlight w:val="none"/>
        </w:rPr>
        <w:t>发生以下情形之一的，原则上做终止采购处理：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（3）成交人为</w:t>
      </w:r>
      <w:r>
        <w:rPr>
          <w:rFonts w:ascii="仿宋" w:hAnsi="仿宋" w:eastAsia="仿宋" w:cs="仿宋"/>
          <w:color w:val="auto"/>
          <w:highlight w:val="none"/>
        </w:rPr>
        <w:t>1</w:t>
      </w:r>
      <w:r>
        <w:rPr>
          <w:rFonts w:hint="eastAsia" w:ascii="仿宋" w:hAnsi="仿宋" w:eastAsia="仿宋" w:cs="仿宋"/>
          <w:color w:val="auto"/>
          <w:highlight w:val="none"/>
        </w:rPr>
        <w:t>家的项目，有效供应商少于2家（不含本数）；成交人为N家（N＞1）的项目，有效供应商少于N+</w:t>
      </w:r>
      <w:r>
        <w:rPr>
          <w:rFonts w:ascii="仿宋" w:hAnsi="仿宋" w:eastAsia="仿宋" w:cs="仿宋"/>
          <w:color w:val="auto"/>
          <w:highlight w:val="none"/>
        </w:rPr>
        <w:t>2</w:t>
      </w:r>
      <w:r>
        <w:rPr>
          <w:rFonts w:hint="eastAsia" w:ascii="仿宋" w:hAnsi="仿宋" w:eastAsia="仿宋" w:cs="仿宋"/>
          <w:color w:val="auto"/>
          <w:highlight w:val="none"/>
        </w:rPr>
        <w:t>家（不含本数）；</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（4）因重大变故，采购任务取消。 </w:t>
      </w:r>
    </w:p>
    <w:p>
      <w:pPr>
        <w:topLinePunct/>
        <w:spacing w:line="360" w:lineRule="auto"/>
        <w:rPr>
          <w:rFonts w:ascii="仿宋" w:hAnsi="仿宋" w:eastAsia="仿宋" w:cs="宋体"/>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w:t>
      </w:r>
      <w:r>
        <w:rPr>
          <w:rFonts w:ascii="仿宋" w:hAnsi="仿宋" w:eastAsia="仿宋" w:cs="仿宋"/>
          <w:color w:val="auto"/>
          <w:highlight w:val="none"/>
        </w:rPr>
        <w:t>5</w:t>
      </w:r>
      <w:r>
        <w:rPr>
          <w:rFonts w:hint="eastAsia" w:ascii="仿宋" w:hAnsi="仿宋" w:eastAsia="仿宋" w:cs="仿宋"/>
          <w:color w:val="auto"/>
          <w:highlight w:val="none"/>
        </w:rPr>
        <w:t>比价小组应当从质量和服务均能满足采购文件实质性响应要求的供应商中，按照最后报价由低到高的顺序提出成交候选人，具体情况</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宋体"/>
          <w:color w:val="auto"/>
          <w:highlight w:val="none"/>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．特别声明</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20.1供应商</w:t>
      </w:r>
      <w:r>
        <w:rPr>
          <w:rFonts w:hint="eastAsia" w:ascii="仿宋_GB2312" w:hAnsi="宋体" w:eastAsia="仿宋_GB2312"/>
          <w:color w:val="auto"/>
          <w:highlight w:val="none"/>
        </w:rPr>
        <w:t>提供虚假材料或文件的，自动丧失参加资格。</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20.2供应商</w:t>
      </w:r>
      <w:r>
        <w:rPr>
          <w:rFonts w:hint="eastAsia" w:ascii="仿宋_GB2312" w:hAnsi="宋体" w:eastAsia="仿宋_GB2312"/>
          <w:color w:val="auto"/>
          <w:highlight w:val="none"/>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20.3</w:t>
      </w:r>
      <w:r>
        <w:rPr>
          <w:rFonts w:hint="eastAsia" w:ascii="仿宋_GB2312" w:hAnsi="宋体" w:eastAsia="仿宋_GB2312"/>
          <w:color w:val="auto"/>
          <w:highlight w:val="none"/>
        </w:rPr>
        <w:t>供应商不应将本次采购理解为政府采购与招标。</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20.4供应商</w:t>
      </w:r>
      <w:r>
        <w:rPr>
          <w:rFonts w:hint="eastAsia" w:ascii="仿宋_GB2312" w:hAnsi="宋体" w:eastAsia="仿宋_GB2312"/>
          <w:color w:val="auto"/>
          <w:highlight w:val="none"/>
        </w:rPr>
        <w:t>没有按规定时间和内容提供材料的，视为放弃。</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20.5</w:t>
      </w:r>
      <w:r>
        <w:rPr>
          <w:rFonts w:hint="eastAsia" w:ascii="仿宋_GB2312" w:hAnsi="宋体" w:eastAsia="仿宋_GB2312"/>
          <w:color w:val="auto"/>
          <w:highlight w:val="none"/>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21</w:t>
      </w:r>
      <w:r>
        <w:rPr>
          <w:rFonts w:hint="eastAsia" w:ascii="仿宋" w:hAnsi="仿宋" w:eastAsia="仿宋" w:cs="仿宋"/>
          <w:color w:val="auto"/>
          <w:sz w:val="24"/>
          <w:szCs w:val="24"/>
          <w:highlight w:val="none"/>
        </w:rPr>
        <w:t>．确定成交供应商</w:t>
      </w:r>
    </w:p>
    <w:p>
      <w:pPr>
        <w:pStyle w:val="2"/>
        <w:snapToGrid w:val="0"/>
        <w:spacing w:after="0" w:line="360" w:lineRule="auto"/>
        <w:ind w:right="-57" w:firstLine="480" w:firstLineChars="200"/>
        <w:rPr>
          <w:rFonts w:ascii="仿宋_GB2312" w:hAnsi="宋体" w:eastAsia="仿宋_GB2312"/>
          <w:color w:val="auto"/>
          <w:highlight w:val="none"/>
        </w:rPr>
      </w:pPr>
      <w:r>
        <w:rPr>
          <w:rFonts w:hint="eastAsia" w:ascii="仿宋_GB2312" w:hAnsi="宋体" w:eastAsia="仿宋_GB2312"/>
          <w:color w:val="auto"/>
          <w:highlight w:val="none"/>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highlight w:val="none"/>
        </w:rPr>
      </w:pPr>
      <w:bookmarkStart w:id="110" w:name="_Toc444891342"/>
      <w:bookmarkStart w:id="111" w:name="_Toc287600124"/>
      <w:bookmarkStart w:id="112" w:name="_Toc19451"/>
      <w:bookmarkStart w:id="113" w:name="_Toc234223231"/>
      <w:bookmarkStart w:id="114" w:name="_Toc2322"/>
      <w:bookmarkStart w:id="115" w:name="_Toc16781"/>
      <w:bookmarkStart w:id="116" w:name="_Toc186737805"/>
      <w:bookmarkStart w:id="117" w:name="_Toc28031"/>
      <w:bookmarkStart w:id="118" w:name="_Toc517281822"/>
      <w:bookmarkStart w:id="119" w:name="_Toc9911"/>
      <w:bookmarkStart w:id="120" w:name="_Toc13936"/>
      <w:r>
        <w:rPr>
          <w:rFonts w:hint="eastAsia" w:ascii="仿宋_GB2312" w:hAnsi="宋体" w:eastAsia="仿宋_GB2312"/>
          <w:color w:val="auto"/>
          <w:highlight w:val="none"/>
        </w:rPr>
        <w:t>（1）成交候选供应商存在违法、违纪行为的；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4</w:t>
      </w:r>
      <w:r>
        <w:rPr>
          <w:rFonts w:hint="eastAsia" w:ascii="仿宋_GB2312" w:hAnsi="宋体" w:eastAsia="仿宋_GB2312"/>
          <w:color w:val="auto"/>
          <w:highlight w:val="none"/>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5</w:t>
      </w:r>
      <w:r>
        <w:rPr>
          <w:rFonts w:hint="eastAsia" w:ascii="仿宋_GB2312" w:hAnsi="宋体" w:eastAsia="仿宋_GB2312"/>
          <w:color w:val="auto"/>
          <w:highlight w:val="none"/>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6</w:t>
      </w:r>
      <w:r>
        <w:rPr>
          <w:rFonts w:hint="eastAsia" w:ascii="仿宋_GB2312" w:hAnsi="宋体" w:eastAsia="仿宋_GB2312"/>
          <w:color w:val="auto"/>
          <w:highlight w:val="none"/>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7</w:t>
      </w:r>
      <w:r>
        <w:rPr>
          <w:rFonts w:hint="eastAsia" w:ascii="仿宋_GB2312" w:hAnsi="宋体" w:eastAsia="仿宋_GB2312"/>
          <w:color w:val="auto"/>
          <w:highlight w:val="none"/>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8</w:t>
      </w:r>
      <w:r>
        <w:rPr>
          <w:rFonts w:hint="eastAsia" w:ascii="仿宋_GB2312" w:hAnsi="宋体" w:eastAsia="仿宋_GB2312"/>
          <w:color w:val="auto"/>
          <w:highlight w:val="none"/>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_GB2312" w:hAnsi="宋体" w:eastAsia="仿宋_GB2312"/>
          <w:color w:val="auto"/>
          <w:highlight w:val="none"/>
        </w:rPr>
        <w:t>（</w:t>
      </w:r>
      <w:r>
        <w:rPr>
          <w:rFonts w:ascii="仿宋_GB2312" w:hAnsi="宋体" w:eastAsia="仿宋_GB2312"/>
          <w:color w:val="auto"/>
          <w:highlight w:val="none"/>
        </w:rPr>
        <w:t>9</w:t>
      </w:r>
      <w:r>
        <w:rPr>
          <w:rFonts w:hint="eastAsia" w:ascii="仿宋_GB2312" w:hAnsi="宋体" w:eastAsia="仿宋_GB2312"/>
          <w:color w:val="auto"/>
          <w:highlight w:val="none"/>
        </w:rPr>
        <w:t>）</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 w:hAnsi="仿宋" w:eastAsia="仿宋" w:cs="仿宋"/>
          <w:color w:val="auto"/>
          <w:highlight w:val="none"/>
          <w:lang w:bidi="ar"/>
        </w:rPr>
        <w:t>（1</w:t>
      </w:r>
      <w:r>
        <w:rPr>
          <w:rFonts w:ascii="仿宋" w:hAnsi="仿宋" w:eastAsia="仿宋" w:cs="仿宋"/>
          <w:color w:val="auto"/>
          <w:highlight w:val="none"/>
          <w:lang w:bidi="ar"/>
        </w:rPr>
        <w:t>0</w:t>
      </w:r>
      <w:r>
        <w:rPr>
          <w:rFonts w:hint="eastAsia" w:ascii="仿宋" w:hAnsi="仿宋" w:eastAsia="仿宋" w:cs="仿宋"/>
          <w:color w:val="auto"/>
          <w:highlight w:val="none"/>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11</w:t>
      </w:r>
      <w:r>
        <w:rPr>
          <w:rFonts w:hint="eastAsia" w:ascii="仿宋_GB2312" w:hAnsi="宋体" w:eastAsia="仿宋_GB2312"/>
          <w:color w:val="auto"/>
          <w:highlight w:val="none"/>
        </w:rPr>
        <w:t>）其他不应确定成交供应商的情形。</w:t>
      </w:r>
    </w:p>
    <w:p>
      <w:pPr>
        <w:pStyle w:val="5"/>
        <w:spacing w:before="0" w:after="0" w:line="360" w:lineRule="auto"/>
        <w:ind w:firstLine="482"/>
        <w:rPr>
          <w:rFonts w:ascii="仿宋" w:hAnsi="仿宋" w:eastAsia="仿宋" w:cs="仿宋"/>
          <w:color w:val="auto"/>
          <w:sz w:val="24"/>
          <w:szCs w:val="24"/>
          <w:highlight w:val="none"/>
        </w:rPr>
      </w:pPr>
      <w:bookmarkStart w:id="121" w:name="_Toc16064"/>
      <w:r>
        <w:rPr>
          <w:rFonts w:hint="eastAsia" w:ascii="仿宋" w:hAnsi="仿宋" w:eastAsia="仿宋" w:cs="仿宋"/>
          <w:color w:val="auto"/>
          <w:sz w:val="24"/>
          <w:szCs w:val="24"/>
          <w:highlight w:val="none"/>
        </w:rPr>
        <w:t>（六）授予合同</w:t>
      </w:r>
      <w:bookmarkEnd w:id="110"/>
      <w:bookmarkEnd w:id="111"/>
      <w:bookmarkEnd w:id="112"/>
      <w:bookmarkEnd w:id="113"/>
      <w:bookmarkEnd w:id="114"/>
      <w:bookmarkEnd w:id="115"/>
      <w:bookmarkEnd w:id="116"/>
      <w:bookmarkEnd w:id="117"/>
      <w:bookmarkEnd w:id="118"/>
      <w:bookmarkEnd w:id="119"/>
      <w:bookmarkEnd w:id="120"/>
      <w:bookmarkEnd w:id="121"/>
    </w:p>
    <w:p>
      <w:pPr>
        <w:pStyle w:val="6"/>
        <w:spacing w:before="0" w:after="0" w:line="360" w:lineRule="auto"/>
        <w:rPr>
          <w:rFonts w:ascii="仿宋" w:hAnsi="仿宋" w:eastAsia="仿宋" w:cs="仿宋"/>
          <w:color w:val="auto"/>
          <w:sz w:val="24"/>
          <w:szCs w:val="24"/>
          <w:highlight w:val="none"/>
        </w:rPr>
      </w:pPr>
      <w:bookmarkStart w:id="122"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确定</w:t>
      </w:r>
      <w:bookmarkEnd w:id="122"/>
      <w:r>
        <w:rPr>
          <w:rFonts w:hint="eastAsia" w:ascii="仿宋" w:hAnsi="仿宋" w:eastAsia="仿宋" w:cs="仿宋"/>
          <w:color w:val="auto"/>
          <w:sz w:val="24"/>
          <w:szCs w:val="24"/>
          <w:highlight w:val="none"/>
        </w:rPr>
        <w:t>成交人</w:t>
      </w:r>
    </w:p>
    <w:p>
      <w:pPr>
        <w:spacing w:line="360" w:lineRule="auto"/>
        <w:rPr>
          <w:rFonts w:ascii="仿宋" w:hAnsi="仿宋" w:eastAsia="仿宋" w:cs="仿宋"/>
          <w:color w:val="auto"/>
          <w:highlight w:val="none"/>
        </w:rPr>
      </w:pPr>
      <w:r>
        <w:rPr>
          <w:rFonts w:ascii="仿宋" w:hAnsi="仿宋" w:eastAsia="仿宋" w:cs="仿宋"/>
          <w:color w:val="auto"/>
          <w:highlight w:val="none"/>
        </w:rPr>
        <w:t>22.1</w:t>
      </w:r>
      <w:r>
        <w:rPr>
          <w:rFonts w:hint="eastAsia" w:ascii="仿宋" w:hAnsi="仿宋" w:eastAsia="仿宋" w:cs="仿宋"/>
          <w:color w:val="auto"/>
          <w:highlight w:val="none"/>
        </w:rPr>
        <w:t>采购人依据比价小组推荐的成交候选人名单确定成交人，成交人数量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22.</w:t>
      </w:r>
      <w:r>
        <w:rPr>
          <w:rFonts w:hint="eastAsia" w:ascii="仿宋" w:hAnsi="仿宋" w:eastAsia="仿宋" w:cs="宋体"/>
          <w:color w:val="auto"/>
          <w:highlight w:val="none"/>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3.1</w:t>
      </w:r>
      <w:r>
        <w:rPr>
          <w:rFonts w:hint="eastAsia" w:ascii="仿宋" w:hAnsi="仿宋" w:eastAsia="仿宋" w:cs="仿宋"/>
          <w:color w:val="auto"/>
          <w:highlight w:val="none"/>
        </w:rPr>
        <w:t>采购人与成交人按照比价文件和成交人的响应文件</w:t>
      </w:r>
      <w:r>
        <w:rPr>
          <w:rFonts w:hint="eastAsia" w:ascii="仿宋" w:hAnsi="仿宋" w:eastAsia="仿宋" w:cs="宋体"/>
          <w:color w:val="auto"/>
          <w:highlight w:val="none"/>
        </w:rPr>
        <w:t>订立书面合同。合同的标的、价款、质量、履行期限等主要条款应当与</w:t>
      </w:r>
      <w:r>
        <w:rPr>
          <w:rFonts w:hint="eastAsia" w:ascii="仿宋" w:hAnsi="仿宋" w:eastAsia="仿宋" w:cs="仿宋"/>
          <w:color w:val="auto"/>
          <w:highlight w:val="none"/>
        </w:rPr>
        <w:t>比价</w:t>
      </w:r>
      <w:r>
        <w:rPr>
          <w:rFonts w:hint="eastAsia" w:ascii="仿宋" w:hAnsi="仿宋" w:eastAsia="仿宋" w:cs="宋体"/>
          <w:color w:val="auto"/>
          <w:highlight w:val="none"/>
        </w:rPr>
        <w:t>文件和</w:t>
      </w:r>
      <w:r>
        <w:rPr>
          <w:rFonts w:hint="eastAsia" w:ascii="仿宋" w:hAnsi="仿宋" w:eastAsia="仿宋" w:cs="仿宋"/>
          <w:color w:val="auto"/>
          <w:highlight w:val="none"/>
        </w:rPr>
        <w:t>成交</w:t>
      </w:r>
      <w:r>
        <w:rPr>
          <w:rFonts w:hint="eastAsia" w:ascii="仿宋" w:hAnsi="仿宋" w:eastAsia="仿宋" w:cs="宋体"/>
          <w:color w:val="auto"/>
          <w:highlight w:val="none"/>
        </w:rPr>
        <w:t>人的</w:t>
      </w:r>
      <w:r>
        <w:rPr>
          <w:rFonts w:hint="eastAsia" w:ascii="仿宋" w:hAnsi="仿宋" w:eastAsia="仿宋" w:cs="仿宋"/>
          <w:color w:val="auto"/>
          <w:highlight w:val="none"/>
        </w:rPr>
        <w:t>响应</w:t>
      </w:r>
      <w:r>
        <w:rPr>
          <w:rFonts w:hint="eastAsia" w:ascii="仿宋" w:hAnsi="仿宋" w:eastAsia="仿宋" w:cs="宋体"/>
          <w:color w:val="auto"/>
          <w:highlight w:val="none"/>
        </w:rPr>
        <w:t>文件的内容一致。</w:t>
      </w:r>
    </w:p>
    <w:p>
      <w:pPr>
        <w:topLinePunct/>
        <w:spacing w:line="360" w:lineRule="auto"/>
        <w:rPr>
          <w:rFonts w:ascii="仿宋" w:hAnsi="仿宋" w:eastAsia="仿宋" w:cs="宋体"/>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3.2</w:t>
      </w:r>
      <w:r>
        <w:rPr>
          <w:rFonts w:hint="eastAsia" w:ascii="仿宋" w:hAnsi="仿宋" w:eastAsia="仿宋" w:cs="仿宋"/>
          <w:color w:val="auto"/>
          <w:highlight w:val="none"/>
        </w:rPr>
        <w:t xml:space="preserve"> </w:t>
      </w:r>
      <w:r>
        <w:rPr>
          <w:rFonts w:hint="eastAsia" w:ascii="仿宋" w:hAnsi="仿宋" w:eastAsia="仿宋" w:cs="宋体"/>
          <w:color w:val="auto"/>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23.3</w:t>
      </w:r>
      <w:r>
        <w:rPr>
          <w:rFonts w:hint="eastAsia" w:ascii="仿宋" w:hAnsi="仿宋" w:eastAsia="仿宋" w:cs="宋体"/>
          <w:color w:val="auto"/>
          <w:highlight w:val="none"/>
        </w:rPr>
        <w:t>比价文件要求成交人提交履约保证金的，成交人应当按照</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要求的金额和方式递交。成交人如不按要求提交履约保证金，将取消其成交资格。</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2</w:t>
      </w:r>
      <w:r>
        <w:rPr>
          <w:rFonts w:ascii="仿宋" w:hAnsi="仿宋" w:eastAsia="仿宋" w:cs="宋体"/>
          <w:color w:val="auto"/>
          <w:highlight w:val="none"/>
        </w:rPr>
        <w:t>3</w:t>
      </w:r>
      <w:r>
        <w:rPr>
          <w:rFonts w:hint="eastAsia" w:ascii="仿宋" w:hAnsi="仿宋" w:eastAsia="仿宋" w:cs="宋体"/>
          <w:color w:val="auto"/>
          <w:highlight w:val="none"/>
        </w:rPr>
        <w:t>.4成交供应商</w:t>
      </w:r>
      <w:r>
        <w:rPr>
          <w:rFonts w:ascii="仿宋" w:hAnsi="仿宋" w:eastAsia="仿宋" w:cs="宋体"/>
          <w:color w:val="auto"/>
          <w:highlight w:val="none"/>
        </w:rPr>
        <w:t>不履行与</w:t>
      </w:r>
      <w:r>
        <w:rPr>
          <w:rFonts w:hint="eastAsia" w:ascii="仿宋" w:hAnsi="仿宋" w:eastAsia="仿宋" w:cs="宋体"/>
          <w:color w:val="auto"/>
          <w:highlight w:val="none"/>
        </w:rPr>
        <w:t>采购</w:t>
      </w:r>
      <w:r>
        <w:rPr>
          <w:rFonts w:ascii="仿宋" w:hAnsi="仿宋" w:eastAsia="仿宋" w:cs="宋体"/>
          <w:color w:val="auto"/>
          <w:highlight w:val="none"/>
        </w:rPr>
        <w:t>人订立的合同的，</w:t>
      </w:r>
      <w:r>
        <w:rPr>
          <w:rFonts w:hint="eastAsia" w:ascii="仿宋" w:hAnsi="仿宋" w:eastAsia="仿宋" w:cs="宋体"/>
          <w:color w:val="auto"/>
          <w:highlight w:val="none"/>
        </w:rPr>
        <w:t>履约</w:t>
      </w:r>
      <w:r>
        <w:rPr>
          <w:rFonts w:ascii="仿宋" w:hAnsi="仿宋" w:eastAsia="仿宋" w:cs="宋体"/>
          <w:color w:val="auto"/>
          <w:highlight w:val="none"/>
        </w:rPr>
        <w:t>保证金不予退还，给</w:t>
      </w:r>
      <w:r>
        <w:rPr>
          <w:rFonts w:hint="eastAsia" w:ascii="仿宋" w:hAnsi="仿宋" w:eastAsia="仿宋" w:cs="宋体"/>
          <w:color w:val="auto"/>
          <w:highlight w:val="none"/>
        </w:rPr>
        <w:t>采购</w:t>
      </w:r>
      <w:r>
        <w:rPr>
          <w:rFonts w:ascii="仿宋" w:hAnsi="仿宋" w:eastAsia="仿宋" w:cs="宋体"/>
          <w:color w:val="auto"/>
          <w:highlight w:val="none"/>
        </w:rPr>
        <w:t>人造成的损失超过履约保证金数额的，还应当对超过部分予以赔偿；没有提交履约保证金的，应当对</w:t>
      </w:r>
      <w:r>
        <w:rPr>
          <w:rFonts w:hint="eastAsia" w:ascii="仿宋" w:hAnsi="仿宋" w:eastAsia="仿宋" w:cs="宋体"/>
          <w:color w:val="auto"/>
          <w:highlight w:val="none"/>
        </w:rPr>
        <w:t>采购</w:t>
      </w:r>
      <w:r>
        <w:rPr>
          <w:rFonts w:ascii="仿宋" w:hAnsi="仿宋" w:eastAsia="仿宋" w:cs="宋体"/>
          <w:color w:val="auto"/>
          <w:highlight w:val="none"/>
        </w:rPr>
        <w:t>人的损失承担赔偿责任。</w:t>
      </w:r>
    </w:p>
    <w:p>
      <w:pPr>
        <w:pStyle w:val="3"/>
        <w:spacing w:before="0" w:after="0"/>
        <w:jc w:val="left"/>
        <w:rPr>
          <w:rFonts w:ascii="仿宋" w:hAnsi="仿宋" w:eastAsia="仿宋" w:cs="仿宋"/>
          <w:color w:val="auto"/>
          <w:sz w:val="28"/>
          <w:szCs w:val="28"/>
          <w:highlight w:val="none"/>
        </w:rPr>
      </w:pPr>
      <w:bookmarkStart w:id="123" w:name="_Toc186737806"/>
      <w:bookmarkStart w:id="124" w:name="_Toc32273"/>
      <w:bookmarkStart w:id="125" w:name="_Toc10670"/>
      <w:bookmarkStart w:id="126" w:name="_Toc8109"/>
      <w:r>
        <w:rPr>
          <w:rFonts w:hint="eastAsia" w:ascii="仿宋" w:hAnsi="仿宋" w:eastAsia="仿宋" w:cs="仿宋"/>
          <w:color w:val="auto"/>
          <w:sz w:val="28"/>
          <w:szCs w:val="28"/>
          <w:highlight w:val="none"/>
        </w:rPr>
        <w:t>第三章 评审办法</w:t>
      </w:r>
      <w:bookmarkEnd w:id="123"/>
      <w:bookmarkEnd w:id="124"/>
      <w:bookmarkEnd w:id="125"/>
    </w:p>
    <w:p>
      <w:pPr>
        <w:pStyle w:val="4"/>
        <w:jc w:val="left"/>
        <w:rPr>
          <w:rFonts w:ascii="仿宋" w:hAnsi="仿宋" w:eastAsia="仿宋" w:cs="仿宋"/>
          <w:color w:val="auto"/>
          <w:sz w:val="24"/>
          <w:szCs w:val="24"/>
          <w:highlight w:val="none"/>
        </w:rPr>
      </w:pPr>
      <w:bookmarkStart w:id="127" w:name="_Toc444891344"/>
      <w:bookmarkStart w:id="128" w:name="_Toc517281825"/>
      <w:bookmarkStart w:id="129" w:name="_Toc29119"/>
      <w:bookmarkStart w:id="130" w:name="_Toc186737807"/>
      <w:bookmarkStart w:id="131" w:name="_Toc7201"/>
      <w:bookmarkStart w:id="132" w:name="_Toc226969358"/>
      <w:bookmarkStart w:id="133" w:name="_Toc227057964"/>
      <w:r>
        <w:rPr>
          <w:rFonts w:hint="eastAsia" w:ascii="仿宋" w:hAnsi="仿宋" w:eastAsia="仿宋" w:cs="仿宋"/>
          <w:color w:val="auto"/>
          <w:sz w:val="24"/>
          <w:szCs w:val="24"/>
          <w:highlight w:val="none"/>
        </w:rPr>
        <w:t>一、评审程序</w:t>
      </w:r>
      <w:bookmarkEnd w:id="127"/>
      <w:bookmarkEnd w:id="128"/>
      <w:bookmarkEnd w:id="129"/>
      <w:bookmarkEnd w:id="130"/>
      <w:bookmarkEnd w:id="131"/>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比价小组对响应文件中的相关内容进行评审。评审按照以下程序进行：</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1.熟悉比价文件；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3.供应商有以下情形之一的，比价小组应当否决其比价响应：</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（1）按照比价公告要求已经递交电子响应文件，但未按要求递交纸质响应文件；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（4）不符合国家或者比价文件规定的资格条件；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auto"/>
          <w:highlight w:val="none"/>
        </w:rPr>
      </w:pPr>
      <w:r>
        <w:rPr>
          <w:rFonts w:hint="eastAsia" w:ascii="仿宋" w:hAnsi="仿宋" w:eastAsia="仿宋" w:cs="仿宋"/>
          <w:color w:val="auto"/>
          <w:highlight w:val="none"/>
        </w:rPr>
        <w:t>（6）</w:t>
      </w:r>
      <w:r>
        <w:rPr>
          <w:rFonts w:hint="eastAsia" w:ascii="仿宋" w:hAnsi="仿宋" w:eastAsia="仿宋" w:cs="宋体"/>
          <w:color w:val="auto"/>
          <w:highlight w:val="none"/>
        </w:rPr>
        <w:t>最终报价低于成本或者高于比价文件设定的最高投标限价；</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 xml:space="preserve">（7）响应文件未对比价文件的实质性要求和条件作出响应； </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（8）供应商有串通投标、弄虚作假、行贿等违法行为；</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（9）不接受或不确认因算术性错误进行的价格修正；</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（10）响应文件附有采购人不能接受的条件；</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（11）不符合比价文件中规定的其他实质性要求。</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5.通过初步评审的供应商分别进行比价；</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hint="eastAsia" w:ascii="仿宋" w:hAnsi="仿宋" w:eastAsia="仿宋" w:cs="仿宋"/>
          <w:color w:val="auto"/>
          <w:highlight w:val="none"/>
        </w:rPr>
      </w:pPr>
      <w:bookmarkStart w:id="134" w:name="_Toc444891345"/>
      <w:bookmarkStart w:id="135" w:name="_Toc517281826"/>
      <w:r>
        <w:rPr>
          <w:rFonts w:hint="eastAsia" w:ascii="仿宋" w:hAnsi="仿宋" w:eastAsia="仿宋" w:cs="仿宋"/>
          <w:color w:val="auto"/>
          <w:highlight w:val="none"/>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136" w:name="_Toc31879"/>
      <w:bookmarkStart w:id="137" w:name="_Toc32019"/>
      <w:bookmarkStart w:id="138" w:name="_Toc186737808"/>
      <w:r>
        <w:rPr>
          <w:rFonts w:hint="eastAsia" w:ascii="仿宋" w:hAnsi="仿宋" w:eastAsia="仿宋" w:cs="仿宋"/>
          <w:color w:val="auto"/>
          <w:sz w:val="24"/>
          <w:szCs w:val="24"/>
          <w:highlight w:val="none"/>
        </w:rPr>
        <w:t>二、初步评审</w:t>
      </w:r>
      <w:bookmarkEnd w:id="134"/>
      <w:bookmarkEnd w:id="135"/>
      <w:bookmarkEnd w:id="136"/>
      <w:bookmarkEnd w:id="137"/>
      <w:bookmarkEnd w:id="138"/>
    </w:p>
    <w:bookmarkEnd w:id="132"/>
    <w:bookmarkEnd w:id="133"/>
    <w:tbl>
      <w:tblPr>
        <w:tblStyle w:val="29"/>
        <w:tblW w:w="494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9"/>
        <w:gridCol w:w="1155"/>
        <w:gridCol w:w="1927"/>
        <w:gridCol w:w="599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338" w:type="pct"/>
            <w:vAlign w:val="center"/>
          </w:tcPr>
          <w:p>
            <w:pPr>
              <w:spacing w:line="360" w:lineRule="auto"/>
              <w:jc w:val="center"/>
              <w:rPr>
                <w:rFonts w:ascii="仿宋" w:hAnsi="仿宋" w:eastAsia="仿宋" w:cs="仿宋"/>
                <w:b/>
                <w:color w:val="auto"/>
                <w:sz w:val="18"/>
                <w:szCs w:val="15"/>
                <w:highlight w:val="none"/>
              </w:rPr>
            </w:pPr>
            <w:r>
              <w:rPr>
                <w:rFonts w:hint="eastAsia" w:ascii="仿宋" w:hAnsi="仿宋" w:eastAsia="仿宋" w:cs="仿宋"/>
                <w:b/>
                <w:color w:val="auto"/>
                <w:sz w:val="18"/>
                <w:szCs w:val="15"/>
                <w:highlight w:val="none"/>
              </w:rPr>
              <w:t>序号</w:t>
            </w:r>
          </w:p>
        </w:tc>
        <w:tc>
          <w:tcPr>
            <w:tcW w:w="593" w:type="pct"/>
          </w:tcPr>
          <w:p>
            <w:pPr>
              <w:spacing w:before="24" w:after="24" w:line="360" w:lineRule="auto"/>
              <w:jc w:val="center"/>
              <w:rPr>
                <w:rFonts w:ascii="仿宋" w:hAnsi="仿宋" w:eastAsia="仿宋" w:cs="仿宋"/>
                <w:b/>
                <w:color w:val="auto"/>
                <w:sz w:val="18"/>
                <w:szCs w:val="15"/>
                <w:highlight w:val="none"/>
              </w:rPr>
            </w:pPr>
            <w:r>
              <w:rPr>
                <w:rFonts w:hint="eastAsia" w:ascii="仿宋" w:hAnsi="仿宋" w:eastAsia="仿宋" w:cs="仿宋"/>
                <w:b/>
                <w:color w:val="auto"/>
                <w:sz w:val="18"/>
                <w:szCs w:val="15"/>
                <w:highlight w:val="none"/>
              </w:rPr>
              <w:t>评审环节</w:t>
            </w:r>
          </w:p>
        </w:tc>
        <w:tc>
          <w:tcPr>
            <w:tcW w:w="989" w:type="pct"/>
            <w:vAlign w:val="center"/>
          </w:tcPr>
          <w:p>
            <w:pPr>
              <w:spacing w:before="24" w:after="24" w:line="360" w:lineRule="auto"/>
              <w:jc w:val="center"/>
              <w:rPr>
                <w:rFonts w:ascii="仿宋" w:hAnsi="仿宋" w:eastAsia="仿宋" w:cs="仿宋"/>
                <w:b/>
                <w:color w:val="auto"/>
                <w:sz w:val="18"/>
                <w:szCs w:val="15"/>
                <w:highlight w:val="none"/>
              </w:rPr>
            </w:pPr>
            <w:r>
              <w:rPr>
                <w:rFonts w:hint="eastAsia" w:ascii="仿宋" w:hAnsi="仿宋" w:eastAsia="仿宋" w:cs="仿宋"/>
                <w:b/>
                <w:color w:val="auto"/>
                <w:sz w:val="18"/>
                <w:szCs w:val="15"/>
                <w:highlight w:val="none"/>
              </w:rPr>
              <w:t>评审因素</w:t>
            </w:r>
          </w:p>
        </w:tc>
        <w:tc>
          <w:tcPr>
            <w:tcW w:w="3078" w:type="pct"/>
            <w:vAlign w:val="center"/>
          </w:tcPr>
          <w:p>
            <w:pPr>
              <w:spacing w:line="360" w:lineRule="auto"/>
              <w:jc w:val="center"/>
              <w:rPr>
                <w:rFonts w:ascii="仿宋" w:hAnsi="仿宋" w:eastAsia="仿宋" w:cs="仿宋"/>
                <w:b/>
                <w:color w:val="auto"/>
                <w:sz w:val="18"/>
                <w:szCs w:val="15"/>
                <w:highlight w:val="none"/>
              </w:rPr>
            </w:pPr>
            <w:r>
              <w:rPr>
                <w:rFonts w:hint="eastAsia" w:ascii="仿宋" w:hAnsi="仿宋" w:eastAsia="仿宋" w:cs="仿宋"/>
                <w:b/>
                <w:color w:val="auto"/>
                <w:sz w:val="18"/>
                <w:szCs w:val="15"/>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restart"/>
            <w:vAlign w:val="center"/>
          </w:tcPr>
          <w:p>
            <w:pPr>
              <w:spacing w:line="360"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1</w:t>
            </w:r>
          </w:p>
        </w:tc>
        <w:tc>
          <w:tcPr>
            <w:tcW w:w="593" w:type="pct"/>
            <w:vMerge w:val="restart"/>
            <w:vAlign w:val="center"/>
          </w:tcPr>
          <w:p>
            <w:pPr>
              <w:spacing w:before="24" w:after="24" w:line="360"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形式评审标准</w:t>
            </w: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供应商名称</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Cambria Math"/>
                <w:color w:val="auto"/>
                <w:sz w:val="18"/>
                <w:szCs w:val="15"/>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pacing w:val="-4"/>
                <w:sz w:val="18"/>
                <w:szCs w:val="15"/>
                <w:highlight w:val="none"/>
              </w:rPr>
            </w:pPr>
            <w:r>
              <w:rPr>
                <w:rFonts w:hint="eastAsia" w:ascii="仿宋" w:hAnsi="仿宋" w:eastAsia="仿宋" w:cs="仿宋"/>
                <w:color w:val="auto"/>
                <w:sz w:val="18"/>
                <w:szCs w:val="15"/>
                <w:highlight w:val="none"/>
              </w:rPr>
              <w:t>法定代表人（负责人）身份证明</w:t>
            </w:r>
          </w:p>
        </w:tc>
        <w:tc>
          <w:tcPr>
            <w:tcW w:w="3078" w:type="pct"/>
            <w:vAlign w:val="center"/>
          </w:tcPr>
          <w:p>
            <w:pPr>
              <w:pStyle w:val="73"/>
              <w:topLinePunct/>
              <w:jc w:val="left"/>
              <w:rPr>
                <w:rFonts w:ascii="仿宋" w:hAnsi="仿宋" w:eastAsia="仿宋" w:cs="仿宋"/>
                <w:color w:val="auto"/>
                <w:sz w:val="15"/>
                <w:szCs w:val="15"/>
                <w:highlight w:val="none"/>
              </w:rPr>
            </w:pPr>
            <w:r>
              <w:rPr>
                <w:rFonts w:hint="eastAsia" w:ascii="仿宋" w:hAnsi="仿宋" w:eastAsia="仿宋" w:cs="仿宋"/>
                <w:color w:val="auto"/>
                <w:sz w:val="15"/>
                <w:szCs w:val="15"/>
                <w:highlight w:val="none"/>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15"/>
                <w:szCs w:val="15"/>
                <w:highlight w:val="none"/>
              </w:rPr>
            </w:pPr>
            <w:r>
              <w:rPr>
                <w:rFonts w:hint="eastAsia" w:ascii="仿宋" w:hAnsi="仿宋" w:eastAsia="仿宋" w:cs="仿宋"/>
                <w:color w:val="auto"/>
                <w:sz w:val="16"/>
                <w:szCs w:val="13"/>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法定代表人（负责人）授权委托书</w:t>
            </w:r>
          </w:p>
        </w:tc>
        <w:tc>
          <w:tcPr>
            <w:tcW w:w="3078" w:type="pct"/>
            <w:vAlign w:val="center"/>
          </w:tcPr>
          <w:p>
            <w:pPr>
              <w:pStyle w:val="73"/>
              <w:topLinePunct/>
              <w:spacing w:line="276" w:lineRule="auto"/>
              <w:rPr>
                <w:rFonts w:ascii="仿宋" w:hAnsi="仿宋" w:eastAsia="仿宋" w:cs="仿宋"/>
                <w:color w:val="auto"/>
                <w:sz w:val="15"/>
                <w:szCs w:val="15"/>
                <w:highlight w:val="none"/>
              </w:rPr>
            </w:pPr>
            <w:r>
              <w:rPr>
                <w:rFonts w:hint="eastAsia" w:ascii="仿宋" w:hAnsi="仿宋" w:eastAsia="仿宋" w:cs="仿宋"/>
                <w:color w:val="auto"/>
                <w:sz w:val="15"/>
                <w:szCs w:val="15"/>
                <w:highlight w:val="none"/>
              </w:rPr>
              <w:t>1、提供委托代理人身份证复印件。</w:t>
            </w:r>
          </w:p>
          <w:p>
            <w:pPr>
              <w:pStyle w:val="73"/>
              <w:topLinePunct/>
              <w:spacing w:line="276" w:lineRule="auto"/>
              <w:rPr>
                <w:rFonts w:ascii="仿宋" w:hAnsi="仿宋" w:eastAsia="仿宋" w:cs="Cambria Math"/>
                <w:color w:val="auto"/>
                <w:sz w:val="15"/>
                <w:szCs w:val="15"/>
                <w:highlight w:val="none"/>
              </w:rPr>
            </w:pPr>
            <w:r>
              <w:rPr>
                <w:rFonts w:hint="eastAsia" w:ascii="仿宋" w:hAnsi="仿宋" w:eastAsia="仿宋" w:cs="仿宋"/>
                <w:color w:val="auto"/>
                <w:sz w:val="16"/>
                <w:szCs w:val="18"/>
                <w:highlight w:val="none"/>
              </w:rPr>
              <w:t>2、落款</w:t>
            </w:r>
            <w:r>
              <w:rPr>
                <w:rFonts w:hint="eastAsia" w:ascii="仿宋" w:hAnsi="仿宋" w:eastAsia="仿宋" w:cs="仿宋"/>
                <w:bCs/>
                <w:color w:val="auto"/>
                <w:sz w:val="16"/>
                <w:szCs w:val="18"/>
                <w:highlight w:val="none"/>
              </w:rPr>
              <w:t>加盖公章</w:t>
            </w:r>
            <w:r>
              <w:rPr>
                <w:rFonts w:hint="eastAsia" w:ascii="仿宋" w:hAnsi="仿宋" w:eastAsia="仿宋" w:cs="仿宋"/>
                <w:b/>
                <w:bCs/>
                <w:color w:val="auto"/>
                <w:sz w:val="16"/>
                <w:szCs w:val="18"/>
                <w:highlight w:val="none"/>
              </w:rPr>
              <w:t>并由</w:t>
            </w:r>
            <w:r>
              <w:rPr>
                <w:rFonts w:hint="eastAsia" w:ascii="仿宋" w:hAnsi="仿宋" w:eastAsia="仿宋" w:cs="仿宋"/>
                <w:color w:val="auto"/>
                <w:sz w:val="16"/>
                <w:szCs w:val="18"/>
                <w:highlight w:val="none"/>
              </w:rPr>
              <w:t>法定代表人（负责人）签字</w:t>
            </w:r>
            <w:r>
              <w:rPr>
                <w:rFonts w:hint="eastAsia" w:ascii="仿宋" w:hAnsi="仿宋" w:eastAsia="仿宋" w:cs="仿宋"/>
                <w:b/>
                <w:bCs/>
                <w:color w:val="auto"/>
                <w:sz w:val="16"/>
                <w:szCs w:val="18"/>
                <w:highlight w:val="none"/>
              </w:rPr>
              <w:t>和</w:t>
            </w:r>
            <w:r>
              <w:rPr>
                <w:rFonts w:hint="eastAsia" w:ascii="仿宋" w:hAnsi="仿宋" w:eastAsia="仿宋" w:cs="仿宋"/>
                <w:color w:val="auto"/>
                <w:sz w:val="16"/>
                <w:szCs w:val="18"/>
                <w:highlight w:val="none"/>
              </w:rPr>
              <w:t>其委托代理人</w:t>
            </w:r>
            <w:r>
              <w:rPr>
                <w:rFonts w:hint="eastAsia" w:ascii="仿宋" w:hAnsi="仿宋" w:eastAsia="仿宋" w:cs="仿宋"/>
                <w:b/>
                <w:bCs/>
                <w:color w:val="auto"/>
                <w:sz w:val="16"/>
                <w:szCs w:val="18"/>
                <w:highlight w:val="none"/>
              </w:rPr>
              <w:t>双方</w:t>
            </w:r>
            <w:r>
              <w:rPr>
                <w:rFonts w:hint="eastAsia" w:ascii="仿宋" w:hAnsi="仿宋" w:eastAsia="仿宋" w:cs="仿宋"/>
                <w:bCs/>
                <w:color w:val="auto"/>
                <w:sz w:val="16"/>
                <w:szCs w:val="18"/>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28"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响应文件签字或盖章</w:t>
            </w:r>
          </w:p>
        </w:tc>
        <w:tc>
          <w:tcPr>
            <w:tcW w:w="3078" w:type="pct"/>
            <w:vAlign w:val="center"/>
          </w:tcPr>
          <w:p>
            <w:pPr>
              <w:spacing w:before="24" w:after="24"/>
              <w:rPr>
                <w:rFonts w:ascii="仿宋" w:hAnsi="仿宋" w:eastAsia="仿宋" w:cs="宋体"/>
                <w:color w:val="auto"/>
                <w:sz w:val="18"/>
                <w:szCs w:val="15"/>
                <w:highlight w:val="none"/>
              </w:rPr>
            </w:pPr>
            <w:r>
              <w:rPr>
                <w:rFonts w:hint="eastAsia" w:ascii="仿宋" w:hAnsi="仿宋" w:eastAsia="仿宋" w:cs="宋体"/>
                <w:color w:val="auto"/>
                <w:sz w:val="18"/>
                <w:szCs w:val="15"/>
                <w:highlight w:val="none"/>
              </w:rPr>
              <w:t>1、上述两款以外的响应文件格式中有落款的文件，</w:t>
            </w:r>
            <w:r>
              <w:rPr>
                <w:rFonts w:hint="eastAsia" w:ascii="仿宋" w:hAnsi="仿宋" w:eastAsia="仿宋" w:cs="宋体"/>
                <w:b/>
                <w:color w:val="auto"/>
                <w:sz w:val="18"/>
                <w:szCs w:val="15"/>
                <w:highlight w:val="none"/>
              </w:rPr>
              <w:t>均需</w:t>
            </w:r>
            <w:r>
              <w:rPr>
                <w:rFonts w:hint="eastAsia" w:ascii="仿宋" w:hAnsi="仿宋" w:eastAsia="仿宋" w:cs="宋体"/>
                <w:color w:val="auto"/>
                <w:sz w:val="18"/>
                <w:szCs w:val="15"/>
                <w:highlight w:val="none"/>
              </w:rPr>
              <w:t>加盖公章</w:t>
            </w:r>
            <w:r>
              <w:rPr>
                <w:rFonts w:hint="eastAsia" w:ascii="仿宋" w:hAnsi="仿宋" w:eastAsia="仿宋" w:cs="宋体"/>
                <w:b/>
                <w:color w:val="auto"/>
                <w:sz w:val="18"/>
                <w:szCs w:val="15"/>
                <w:highlight w:val="none"/>
              </w:rPr>
              <w:t>或</w:t>
            </w:r>
            <w:r>
              <w:rPr>
                <w:rFonts w:hint="eastAsia" w:ascii="仿宋" w:hAnsi="仿宋" w:eastAsia="仿宋" w:cs="宋体"/>
                <w:color w:val="auto"/>
                <w:sz w:val="18"/>
                <w:szCs w:val="15"/>
                <w:highlight w:val="none"/>
              </w:rPr>
              <w:t>由法定代表人（负责人）签字</w:t>
            </w:r>
            <w:r>
              <w:rPr>
                <w:rFonts w:hint="eastAsia" w:ascii="仿宋" w:hAnsi="仿宋" w:eastAsia="仿宋" w:cs="宋体"/>
                <w:b/>
                <w:color w:val="auto"/>
                <w:sz w:val="18"/>
                <w:szCs w:val="15"/>
                <w:highlight w:val="none"/>
              </w:rPr>
              <w:t>或</w:t>
            </w:r>
            <w:r>
              <w:rPr>
                <w:rFonts w:hint="eastAsia" w:ascii="仿宋" w:hAnsi="仿宋" w:eastAsia="仿宋" w:cs="宋体"/>
                <w:color w:val="auto"/>
                <w:sz w:val="18"/>
                <w:szCs w:val="15"/>
                <w:highlight w:val="none"/>
              </w:rPr>
              <w:t>其委托代理人签字。</w:t>
            </w:r>
          </w:p>
          <w:p>
            <w:pPr>
              <w:pStyle w:val="61"/>
              <w:spacing w:before="62" w:beforeLines="20" w:after="62" w:afterLines="20" w:line="276" w:lineRule="auto"/>
              <w:rPr>
                <w:rFonts w:ascii="仿宋" w:hAnsi="仿宋" w:eastAsia="仿宋"/>
                <w:color w:val="auto"/>
                <w:sz w:val="15"/>
                <w:szCs w:val="15"/>
                <w:highlight w:val="none"/>
              </w:rPr>
            </w:pPr>
            <w:r>
              <w:rPr>
                <w:rFonts w:hint="eastAsia" w:ascii="仿宋" w:hAnsi="仿宋" w:eastAsia="仿宋"/>
                <w:color w:val="auto"/>
                <w:sz w:val="15"/>
                <w:szCs w:val="15"/>
                <w:highlight w:val="none"/>
              </w:rPr>
              <w:t>2、响应文件的所有签字处均指手写签字</w:t>
            </w:r>
            <w:r>
              <w:rPr>
                <w:rFonts w:hint="eastAsia" w:ascii="仿宋" w:hAnsi="仿宋" w:eastAsia="仿宋"/>
                <w:b/>
                <w:color w:val="auto"/>
                <w:sz w:val="15"/>
                <w:szCs w:val="15"/>
                <w:highlight w:val="none"/>
              </w:rPr>
              <w:t>或</w:t>
            </w:r>
            <w:r>
              <w:rPr>
                <w:rFonts w:hint="eastAsia" w:ascii="仿宋" w:hAnsi="仿宋" w:eastAsia="仿宋"/>
                <w:color w:val="auto"/>
                <w:sz w:val="15"/>
                <w:szCs w:val="15"/>
                <w:highlight w:val="none"/>
              </w:rPr>
              <w:t>签名章/印章</w:t>
            </w:r>
            <w:r>
              <w:rPr>
                <w:rFonts w:hint="eastAsia" w:ascii="仿宋" w:hAnsi="仿宋" w:eastAsia="仿宋"/>
                <w:b/>
                <w:bCs/>
                <w:color w:val="auto"/>
                <w:sz w:val="15"/>
                <w:szCs w:val="15"/>
                <w:highlight w:val="none"/>
              </w:rPr>
              <w:t>或</w:t>
            </w:r>
            <w:r>
              <w:rPr>
                <w:rFonts w:hint="eastAsia" w:ascii="仿宋" w:hAnsi="仿宋" w:eastAsia="仿宋"/>
                <w:color w:val="auto"/>
                <w:sz w:val="15"/>
                <w:szCs w:val="15"/>
                <w:highlight w:val="none"/>
              </w:rPr>
              <w:t>CA签名章，</w:t>
            </w:r>
            <w:r>
              <w:rPr>
                <w:rFonts w:hint="eastAsia" w:ascii="仿宋" w:hAnsi="仿宋" w:eastAsia="仿宋"/>
                <w:b/>
                <w:color w:val="auto"/>
                <w:sz w:val="15"/>
                <w:szCs w:val="15"/>
                <w:highlight w:val="none"/>
              </w:rPr>
              <w:t>不得</w:t>
            </w:r>
            <w:r>
              <w:rPr>
                <w:rFonts w:hint="eastAsia" w:ascii="仿宋" w:hAnsi="仿宋" w:eastAsia="仿宋"/>
                <w:color w:val="auto"/>
                <w:sz w:val="15"/>
                <w:szCs w:val="15"/>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restart"/>
            <w:vAlign w:val="center"/>
          </w:tcPr>
          <w:p>
            <w:pPr>
              <w:spacing w:line="360"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2</w:t>
            </w:r>
          </w:p>
        </w:tc>
        <w:tc>
          <w:tcPr>
            <w:tcW w:w="593" w:type="pct"/>
            <w:vMerge w:val="restart"/>
            <w:vAlign w:val="center"/>
          </w:tcPr>
          <w:p>
            <w:pPr>
              <w:spacing w:before="24" w:after="24" w:line="360"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资格评审标准</w:t>
            </w: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仿宋"/>
                <w:color w:val="auto"/>
                <w:sz w:val="16"/>
                <w:szCs w:val="15"/>
                <w:highlight w:val="none"/>
              </w:rPr>
              <w:t>具有独立承担民事责任的能力</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vAlign w:val="center"/>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jc w:val="center"/>
              <w:rPr>
                <w:rFonts w:ascii="仿宋" w:hAnsi="仿宋" w:eastAsia="仿宋" w:cs="仿宋"/>
                <w:color w:val="auto"/>
                <w:sz w:val="18"/>
                <w:szCs w:val="15"/>
                <w:highlight w:val="none"/>
              </w:rPr>
            </w:pPr>
            <w:r>
              <w:rPr>
                <w:rFonts w:hint="eastAsia" w:ascii="仿宋" w:hAnsi="仿宋" w:eastAsia="仿宋" w:cs="仿宋"/>
                <w:color w:val="auto"/>
                <w:sz w:val="16"/>
                <w:szCs w:val="15"/>
                <w:highlight w:val="none"/>
              </w:rPr>
              <w:t>具有良好的商业信誉和健全的财务会计制度</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vAlign w:val="center"/>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jc w:val="center"/>
              <w:rPr>
                <w:rFonts w:ascii="仿宋" w:hAnsi="仿宋" w:eastAsia="仿宋" w:cs="仿宋"/>
                <w:color w:val="auto"/>
                <w:sz w:val="18"/>
                <w:szCs w:val="15"/>
                <w:highlight w:val="none"/>
              </w:rPr>
            </w:pPr>
            <w:r>
              <w:rPr>
                <w:rFonts w:hint="eastAsia" w:ascii="仿宋" w:hAnsi="仿宋" w:eastAsia="仿宋" w:cs="Monaco"/>
                <w:color w:val="auto"/>
                <w:sz w:val="16"/>
                <w:szCs w:val="15"/>
                <w:highlight w:val="none"/>
              </w:rPr>
              <w:t>供应商应具有履行合同所必需的设备和专业技术能力</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jc w:val="center"/>
              <w:rPr>
                <w:rFonts w:ascii="仿宋" w:hAnsi="仿宋" w:eastAsia="仿宋" w:cs="仿宋"/>
                <w:color w:val="auto"/>
                <w:sz w:val="18"/>
                <w:szCs w:val="15"/>
                <w:highlight w:val="none"/>
              </w:rPr>
            </w:pPr>
            <w:r>
              <w:rPr>
                <w:rFonts w:hint="eastAsia" w:ascii="仿宋" w:hAnsi="仿宋" w:eastAsia="仿宋" w:cs="Cambria Math"/>
                <w:color w:val="auto"/>
                <w:sz w:val="16"/>
                <w:szCs w:val="15"/>
                <w:highlight w:val="none"/>
              </w:rPr>
              <w:t>近三年内无违法违规记录</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jc w:val="center"/>
              <w:rPr>
                <w:rFonts w:ascii="仿宋" w:hAnsi="仿宋" w:eastAsia="仿宋" w:cs="仿宋"/>
                <w:color w:val="auto"/>
                <w:sz w:val="18"/>
                <w:szCs w:val="15"/>
                <w:highlight w:val="none"/>
              </w:rPr>
            </w:pPr>
            <w:r>
              <w:rPr>
                <w:rFonts w:hint="eastAsia" w:ascii="仿宋" w:hAnsi="仿宋" w:eastAsia="仿宋" w:cs="Cambria Math"/>
                <w:color w:val="auto"/>
                <w:sz w:val="16"/>
                <w:szCs w:val="15"/>
                <w:highlight w:val="none"/>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Cambria Math"/>
                <w:color w:val="auto"/>
                <w:sz w:val="16"/>
                <w:szCs w:val="15"/>
                <w:highlight w:val="none"/>
              </w:rPr>
              <w:t>控股管理关系</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Cambria Math"/>
                <w:color w:val="auto"/>
                <w:sz w:val="16"/>
                <w:szCs w:val="15"/>
                <w:highlight w:val="none"/>
              </w:rPr>
              <w:t>非联合体投标</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Cambria Math"/>
                <w:color w:val="auto"/>
                <w:sz w:val="16"/>
                <w:szCs w:val="15"/>
                <w:highlight w:val="none"/>
              </w:rPr>
              <w:t>税收</w:t>
            </w:r>
            <w:r>
              <w:rPr>
                <w:rFonts w:hint="eastAsia" w:ascii="仿宋" w:hAnsi="仿宋" w:eastAsia="仿宋" w:cs="Cambria Math"/>
                <w:color w:val="auto"/>
                <w:sz w:val="16"/>
                <w:szCs w:val="15"/>
                <w:highlight w:val="none"/>
                <w:lang w:eastAsia="zh-CN"/>
              </w:rPr>
              <w:t>证明或</w:t>
            </w:r>
            <w:r>
              <w:rPr>
                <w:rFonts w:hint="eastAsia" w:ascii="仿宋" w:hAnsi="仿宋" w:eastAsia="仿宋" w:cs="Cambria Math"/>
                <w:color w:val="auto"/>
                <w:sz w:val="16"/>
                <w:szCs w:val="15"/>
                <w:highlight w:val="none"/>
              </w:rPr>
              <w:t>社会保障资金缴纳凭证</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符合第一章“比价邀请”</w:t>
            </w:r>
            <w:r>
              <w:rPr>
                <w:rFonts w:hint="eastAsia" w:ascii="仿宋" w:hAnsi="仿宋" w:eastAsia="仿宋" w:cs="Cambria Math"/>
                <w:color w:val="auto"/>
                <w:sz w:val="18"/>
                <w:szCs w:val="15"/>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restart"/>
            <w:vAlign w:val="center"/>
          </w:tcPr>
          <w:p>
            <w:pPr>
              <w:spacing w:line="360" w:lineRule="auto"/>
              <w:jc w:val="center"/>
              <w:rPr>
                <w:rFonts w:ascii="仿宋" w:hAnsi="仿宋" w:eastAsia="仿宋" w:cs="仿宋"/>
                <w:color w:val="auto"/>
                <w:sz w:val="18"/>
                <w:szCs w:val="15"/>
                <w:highlight w:val="none"/>
              </w:rPr>
            </w:pPr>
            <w:r>
              <w:rPr>
                <w:rFonts w:ascii="仿宋" w:hAnsi="仿宋" w:eastAsia="仿宋" w:cs="仿宋"/>
                <w:color w:val="auto"/>
                <w:sz w:val="18"/>
                <w:szCs w:val="15"/>
                <w:highlight w:val="none"/>
              </w:rPr>
              <w:t>3</w:t>
            </w:r>
          </w:p>
        </w:tc>
        <w:tc>
          <w:tcPr>
            <w:tcW w:w="593" w:type="pct"/>
            <w:vMerge w:val="restart"/>
            <w:vAlign w:val="center"/>
          </w:tcPr>
          <w:p>
            <w:pPr>
              <w:spacing w:before="24" w:after="24" w:line="360"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响应性评审标准</w:t>
            </w: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响应函</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olor w:val="auto"/>
                <w:sz w:val="18"/>
                <w:szCs w:val="15"/>
                <w:highlight w:val="none"/>
              </w:rPr>
              <w:t>除填写双方名称、项目名称外，未修改原文内容</w:t>
            </w:r>
            <w:r>
              <w:rPr>
                <w:rFonts w:hint="eastAsia" w:ascii="仿宋" w:hAnsi="仿宋" w:eastAsia="仿宋" w:cs="Cambria Math"/>
                <w:color w:val="auto"/>
                <w:sz w:val="18"/>
                <w:szCs w:val="15"/>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vAlign w:val="center"/>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Cambria Math"/>
                <w:color w:val="auto"/>
                <w:sz w:val="18"/>
                <w:szCs w:val="15"/>
                <w:highlight w:val="none"/>
              </w:rPr>
            </w:pPr>
            <w:r>
              <w:rPr>
                <w:rFonts w:hint="eastAsia" w:ascii="仿宋" w:hAnsi="仿宋" w:eastAsia="仿宋" w:cs="宋体"/>
                <w:color w:val="auto"/>
                <w:sz w:val="18"/>
                <w:szCs w:val="15"/>
                <w:highlight w:val="none"/>
              </w:rPr>
              <w:t>供应商行为准则承诺书</w:t>
            </w:r>
          </w:p>
        </w:tc>
        <w:tc>
          <w:tcPr>
            <w:tcW w:w="3078" w:type="pct"/>
            <w:vAlign w:val="center"/>
          </w:tcPr>
          <w:p>
            <w:pPr>
              <w:spacing w:before="24" w:after="24" w:line="276" w:lineRule="auto"/>
              <w:rPr>
                <w:rFonts w:ascii="仿宋" w:hAnsi="仿宋" w:eastAsia="仿宋" w:cs="Cambria Math"/>
                <w:color w:val="auto"/>
                <w:sz w:val="18"/>
                <w:szCs w:val="15"/>
                <w:highlight w:val="none"/>
              </w:rPr>
            </w:pPr>
            <w:r>
              <w:rPr>
                <w:rFonts w:hint="eastAsia" w:ascii="仿宋" w:hAnsi="仿宋" w:eastAsia="仿宋" w:cs="仿宋"/>
                <w:color w:val="auto"/>
                <w:sz w:val="18"/>
                <w:szCs w:val="15"/>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vAlign w:val="center"/>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Cambria Math"/>
                <w:color w:val="auto"/>
                <w:sz w:val="18"/>
                <w:szCs w:val="15"/>
                <w:highlight w:val="none"/>
              </w:rPr>
            </w:pPr>
            <w:r>
              <w:rPr>
                <w:rFonts w:hint="eastAsia" w:ascii="仿宋" w:hAnsi="仿宋" w:eastAsia="仿宋" w:cs="宋体"/>
                <w:color w:val="auto"/>
                <w:sz w:val="18"/>
                <w:szCs w:val="15"/>
                <w:highlight w:val="none"/>
              </w:rPr>
              <w:t>供应商廉洁诚信承诺书</w:t>
            </w:r>
          </w:p>
        </w:tc>
        <w:tc>
          <w:tcPr>
            <w:tcW w:w="3078" w:type="pct"/>
            <w:vAlign w:val="center"/>
          </w:tcPr>
          <w:p>
            <w:pPr>
              <w:spacing w:before="24" w:after="24" w:line="276" w:lineRule="auto"/>
              <w:rPr>
                <w:rFonts w:ascii="仿宋" w:hAnsi="仿宋" w:eastAsia="仿宋" w:cs="Cambria Math"/>
                <w:color w:val="auto"/>
                <w:sz w:val="18"/>
                <w:szCs w:val="15"/>
                <w:highlight w:val="none"/>
              </w:rPr>
            </w:pPr>
            <w:r>
              <w:rPr>
                <w:rFonts w:hint="eastAsia" w:ascii="仿宋" w:hAnsi="仿宋" w:eastAsia="仿宋" w:cs="仿宋"/>
                <w:color w:val="auto"/>
                <w:sz w:val="18"/>
                <w:szCs w:val="15"/>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338" w:type="pct"/>
            <w:vMerge w:val="continue"/>
            <w:vAlign w:val="center"/>
          </w:tcPr>
          <w:p>
            <w:pPr>
              <w:spacing w:line="360" w:lineRule="auto"/>
              <w:jc w:val="center"/>
              <w:rPr>
                <w:rFonts w:ascii="仿宋" w:hAnsi="仿宋" w:eastAsia="仿宋" w:cs="仿宋"/>
                <w:color w:val="auto"/>
                <w:sz w:val="18"/>
                <w:szCs w:val="15"/>
                <w:highlight w:val="none"/>
              </w:rPr>
            </w:pPr>
          </w:p>
        </w:tc>
        <w:tc>
          <w:tcPr>
            <w:tcW w:w="593" w:type="pct"/>
            <w:vMerge w:val="continue"/>
            <w:vAlign w:val="center"/>
          </w:tcPr>
          <w:p>
            <w:pPr>
              <w:spacing w:before="24" w:after="24" w:line="360" w:lineRule="auto"/>
              <w:jc w:val="center"/>
              <w:rPr>
                <w:rFonts w:ascii="仿宋" w:hAnsi="仿宋" w:eastAsia="仿宋" w:cs="仿宋"/>
                <w:color w:val="auto"/>
                <w:sz w:val="18"/>
                <w:szCs w:val="15"/>
                <w:highlight w:val="none"/>
              </w:rPr>
            </w:pPr>
          </w:p>
        </w:tc>
        <w:tc>
          <w:tcPr>
            <w:tcW w:w="989" w:type="pct"/>
            <w:vAlign w:val="center"/>
          </w:tcPr>
          <w:p>
            <w:pPr>
              <w:spacing w:before="24" w:after="24" w:line="276" w:lineRule="auto"/>
              <w:jc w:val="center"/>
              <w:rPr>
                <w:rFonts w:ascii="仿宋" w:hAnsi="仿宋" w:eastAsia="仿宋" w:cs="仿宋"/>
                <w:color w:val="auto"/>
                <w:sz w:val="18"/>
                <w:szCs w:val="15"/>
                <w:highlight w:val="none"/>
              </w:rPr>
            </w:pPr>
            <w:r>
              <w:rPr>
                <w:rFonts w:hint="eastAsia" w:ascii="仿宋" w:hAnsi="仿宋" w:eastAsia="仿宋" w:cs="Cambria Math"/>
                <w:color w:val="auto"/>
                <w:sz w:val="18"/>
                <w:szCs w:val="15"/>
                <w:highlight w:val="none"/>
              </w:rPr>
              <w:t>供应商偏离应答</w:t>
            </w:r>
          </w:p>
        </w:tc>
        <w:tc>
          <w:tcPr>
            <w:tcW w:w="3078" w:type="pct"/>
            <w:vAlign w:val="center"/>
          </w:tcPr>
          <w:p>
            <w:pPr>
              <w:spacing w:before="24" w:after="24" w:line="276" w:lineRule="auto"/>
              <w:rPr>
                <w:rFonts w:ascii="仿宋" w:hAnsi="仿宋" w:eastAsia="仿宋" w:cs="仿宋"/>
                <w:color w:val="auto"/>
                <w:sz w:val="18"/>
                <w:szCs w:val="15"/>
                <w:highlight w:val="none"/>
              </w:rPr>
            </w:pPr>
            <w:r>
              <w:rPr>
                <w:rFonts w:hint="eastAsia" w:ascii="仿宋" w:hAnsi="仿宋" w:eastAsia="仿宋" w:cs="仿宋"/>
                <w:color w:val="auto"/>
                <w:sz w:val="18"/>
                <w:szCs w:val="15"/>
                <w:highlight w:val="none"/>
              </w:rPr>
              <w:t>《供应商须知应答偏离表》、《合同条款应答偏离表》、《采购需求应答偏离表》》进行了符合第二章“供应商须知”的应答</w:t>
            </w:r>
          </w:p>
        </w:tc>
      </w:tr>
      <w:bookmarkEnd w:id="126"/>
    </w:tbl>
    <w:p>
      <w:pPr>
        <w:pStyle w:val="3"/>
        <w:spacing w:before="0" w:after="0"/>
        <w:jc w:val="left"/>
        <w:rPr>
          <w:rFonts w:hint="eastAsia" w:ascii="仿宋" w:hAnsi="仿宋" w:eastAsia="仿宋" w:cs="仿宋"/>
          <w:color w:val="auto"/>
          <w:sz w:val="28"/>
          <w:szCs w:val="28"/>
          <w:highlight w:val="none"/>
        </w:rPr>
      </w:pPr>
      <w:bookmarkStart w:id="139" w:name="_Toc15254"/>
      <w:bookmarkStart w:id="140" w:name="_Toc186737810"/>
    </w:p>
    <w:p>
      <w:pPr>
        <w:pStyle w:val="3"/>
        <w:spacing w:before="0" w:after="0"/>
        <w:jc w:val="left"/>
        <w:rPr>
          <w:rStyle w:val="34"/>
          <w:rFonts w:asciiTheme="minorHAnsi" w:hAnsiTheme="minorHAnsi" w:eastAsiaTheme="minorEastAsia"/>
          <w:b w:val="0"/>
          <w:bCs w:val="0"/>
          <w:color w:val="auto"/>
          <w:kern w:val="0"/>
          <w:szCs w:val="24"/>
          <w:highlight w:val="none"/>
        </w:rPr>
      </w:pPr>
      <w:bookmarkStart w:id="141" w:name="_Toc31398"/>
      <w:commentRangeStart w:id="0"/>
      <w:r>
        <w:rPr>
          <w:rFonts w:hint="eastAsia" w:ascii="仿宋" w:hAnsi="仿宋" w:eastAsia="仿宋" w:cs="仿宋"/>
          <w:color w:val="auto"/>
          <w:sz w:val="28"/>
          <w:szCs w:val="28"/>
          <w:highlight w:val="none"/>
        </w:rPr>
        <w:t>第四章 合同条</w:t>
      </w:r>
      <w:bookmarkEnd w:id="139"/>
      <w:r>
        <w:rPr>
          <w:rFonts w:hint="eastAsia" w:ascii="仿宋" w:hAnsi="仿宋" w:eastAsia="仿宋" w:cs="仿宋"/>
          <w:color w:val="auto"/>
          <w:sz w:val="28"/>
          <w:szCs w:val="28"/>
          <w:highlight w:val="none"/>
        </w:rPr>
        <w:t>款</w:t>
      </w:r>
      <w:commentRangeEnd w:id="0"/>
      <w:r>
        <w:rPr>
          <w:rStyle w:val="34"/>
          <w:rFonts w:asciiTheme="minorHAnsi" w:hAnsiTheme="minorHAnsi" w:eastAsiaTheme="minorEastAsia"/>
          <w:b w:val="0"/>
          <w:bCs w:val="0"/>
          <w:color w:val="auto"/>
          <w:kern w:val="0"/>
          <w:szCs w:val="24"/>
          <w:highlight w:val="none"/>
        </w:rPr>
        <w:commentReference w:id="0"/>
      </w:r>
      <w:bookmarkEnd w:id="140"/>
      <w:bookmarkEnd w:id="141"/>
    </w:p>
    <w:p>
      <w:pPr>
        <w:pStyle w:val="84"/>
        <w:spacing w:before="0" w:after="0" w:line="560" w:lineRule="exact"/>
        <w:ind w:left="0" w:firstLine="0"/>
        <w:jc w:val="center"/>
        <w:rPr>
          <w:rFonts w:hint="eastAsia" w:ascii="仿宋_GB2312" w:hAnsi="仿宋_GB2312" w:eastAsia="仿宋_GB2312" w:cs="仿宋_GB2312"/>
          <w:color w:val="auto"/>
          <w:sz w:val="28"/>
          <w:szCs w:val="28"/>
          <w:highlight w:val="none"/>
          <w:lang w:val="en-US" w:eastAsia="zh-CN"/>
        </w:rPr>
      </w:pPr>
      <w:bookmarkStart w:id="142" w:name="_Toc29973"/>
      <w:bookmarkStart w:id="143" w:name="_Toc1236"/>
      <w:r>
        <w:rPr>
          <w:rFonts w:hint="eastAsia" w:ascii="仿宋_GB2312" w:hAnsi="仿宋_GB2312" w:eastAsia="仿宋_GB2312" w:cs="仿宋_GB2312"/>
          <w:color w:val="auto"/>
          <w:sz w:val="28"/>
          <w:szCs w:val="28"/>
          <w:highlight w:val="none"/>
        </w:rPr>
        <w:t>人保财险四川省资阳市分公司安岳支公司营运客车“主动防御系统”网络服务采购项目</w:t>
      </w:r>
      <w:bookmarkEnd w:id="142"/>
    </w:p>
    <w:bookmarkEnd w:id="143"/>
    <w:p>
      <w:pPr>
        <w:jc w:val="center"/>
        <w:rPr>
          <w:rFonts w:hint="eastAsia" w:ascii="仿宋_GB2312" w:hAnsi="仿宋_GB2312" w:eastAsia="仿宋_GB2312" w:cs="仿宋_GB2312"/>
          <w:color w:val="auto"/>
          <w:highlight w:val="none"/>
        </w:rPr>
      </w:pP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甲方（买方）:</w:t>
      </w:r>
      <w:r>
        <w:rPr>
          <w:rFonts w:hint="eastAsia" w:ascii="仿宋_GB2312" w:hAnsi="仿宋_GB2312" w:eastAsia="仿宋_GB2312" w:cs="仿宋_GB2312"/>
          <w:color w:val="auto"/>
          <w:highlight w:val="none"/>
        </w:rPr>
        <w:t xml:space="preserve"> 中国人民财产保险股份有限公司资阳市分公司</w:t>
      </w: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地址:</w:t>
      </w:r>
      <w:r>
        <w:rPr>
          <w:rFonts w:hint="eastAsia" w:ascii="仿宋_GB2312" w:hAnsi="仿宋_GB2312" w:eastAsia="仿宋_GB2312" w:cs="仿宋_GB2312"/>
          <w:color w:val="auto"/>
          <w:highlight w:val="none"/>
        </w:rPr>
        <w:t xml:space="preserve">  四川省资阳市雁江区宝台镇黄泥村弘城水韵和中城建·新城市广场(一期)25 号楼 25(F)</w:t>
      </w:r>
    </w:p>
    <w:p>
      <w:pPr>
        <w:spacing w:line="36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rPr>
        <w:t>负责人/授权代表：</w:t>
      </w:r>
      <w:r>
        <w:rPr>
          <w:rFonts w:hint="eastAsia" w:ascii="仿宋_GB2312" w:hAnsi="仿宋_GB2312" w:eastAsia="仿宋_GB2312" w:cs="仿宋_GB2312"/>
          <w:color w:val="auto"/>
          <w:highlight w:val="none"/>
          <w:lang w:eastAsia="zh-CN"/>
        </w:rPr>
        <w:t>苏丹</w:t>
      </w: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w:t>
      </w: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乙方（卖方）:</w:t>
      </w:r>
      <w:r>
        <w:rPr>
          <w:rFonts w:hint="eastAsia" w:ascii="仿宋_GB2312" w:hAnsi="仿宋_GB2312" w:eastAsia="仿宋_GB2312" w:cs="仿宋_GB2312"/>
          <w:color w:val="auto"/>
          <w:highlight w:val="none"/>
        </w:rPr>
        <w:t xml:space="preserve"> </w:t>
      </w:r>
    </w:p>
    <w:p>
      <w:pPr>
        <w:spacing w:line="360" w:lineRule="auto"/>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 xml:space="preserve">地址: </w:t>
      </w: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w:t>
      </w:r>
    </w:p>
    <w:p>
      <w:pPr>
        <w:spacing w:line="360" w:lineRule="auto"/>
        <w:rPr>
          <w:rFonts w:hint="eastAsia" w:ascii="仿宋_GB2312" w:hAnsi="仿宋_GB2312" w:eastAsia="仿宋_GB2312" w:cs="仿宋_GB2312"/>
          <w:color w:val="auto"/>
          <w:highlight w:val="none"/>
        </w:rPr>
      </w:pP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鉴于</w:t>
      </w:r>
      <w:r>
        <w:rPr>
          <w:rFonts w:hint="eastAsia" w:ascii="仿宋_GB2312" w:hAnsi="仿宋_GB2312" w:eastAsia="仿宋_GB2312" w:cs="仿宋_GB2312"/>
          <w:color w:val="auto"/>
          <w:highlight w:val="none"/>
        </w:rPr>
        <w:t>：</w:t>
      </w:r>
    </w:p>
    <w:p>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本合同双方当事人（1）均为依照中华人民共和国法律成立并有效存续的独立民事主体，（2）并且已经获得签署本合同的相应授权，（3）具备履行本合同所必须的资质和条件。 </w:t>
      </w:r>
    </w:p>
    <w:p>
      <w:pPr>
        <w:spacing w:line="360" w:lineRule="auto"/>
        <w:ind w:firstLine="470"/>
        <w:rPr>
          <w:rFonts w:hint="eastAsia" w:ascii="仿宋_GB2312" w:hAnsi="仿宋_GB2312" w:eastAsia="仿宋_GB2312" w:cs="仿宋_GB2312"/>
          <w:bCs/>
          <w:color w:val="auto"/>
          <w:highlight w:val="none"/>
        </w:rPr>
      </w:pPr>
      <w:r>
        <w:rPr>
          <w:rFonts w:hint="eastAsia" w:ascii="仿宋_GB2312" w:hAnsi="仿宋_GB2312" w:eastAsia="仿宋_GB2312" w:cs="仿宋_GB2312"/>
          <w:bCs/>
          <w:color w:val="auto"/>
          <w:highlight w:val="none"/>
        </w:rPr>
        <w:t>为保障双方的合法权益，根据《中华人民共和国合同法》及相关法律法规的规定,</w:t>
      </w:r>
      <w:r>
        <w:rPr>
          <w:rFonts w:hint="eastAsia" w:ascii="仿宋_GB2312" w:hAnsi="仿宋_GB2312" w:eastAsia="仿宋_GB2312" w:cs="仿宋_GB2312"/>
          <w:color w:val="auto"/>
          <w:highlight w:val="none"/>
        </w:rPr>
        <w:t xml:space="preserve"> 甲、乙双方在平等互利、协商一致的基础上，达成协议如下，以资共同遵照执行。</w:t>
      </w:r>
    </w:p>
    <w:p>
      <w:pPr>
        <w:spacing w:line="360" w:lineRule="auto"/>
        <w:rPr>
          <w:rFonts w:hint="eastAsia" w:ascii="仿宋_GB2312" w:hAnsi="仿宋_GB2312" w:eastAsia="仿宋_GB2312" w:cs="仿宋_GB2312"/>
          <w:b/>
          <w:color w:val="auto"/>
          <w:highlight w:val="none"/>
        </w:rPr>
      </w:pPr>
    </w:p>
    <w:p>
      <w:pPr>
        <w:spacing w:line="360" w:lineRule="auto"/>
        <w:jc w:val="center"/>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第一部分 商务部分</w:t>
      </w:r>
    </w:p>
    <w:p>
      <w:pPr>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1.服务内容及要求</w:t>
      </w:r>
    </w:p>
    <w:p>
      <w:pPr>
        <w:pStyle w:val="85"/>
        <w:ind w:left="420" w:firstLine="0"/>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本合同项下甲乙双方约定的项目内容及要求见本合同【附件一】。</w:t>
      </w:r>
    </w:p>
    <w:p>
      <w:pPr>
        <w:pStyle w:val="85"/>
        <w:ind w:left="420" w:firstLine="0"/>
        <w:jc w:val="left"/>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2. 合同价格</w:t>
      </w:r>
    </w:p>
    <w:p>
      <w:pPr>
        <w:keepLines/>
        <w:spacing w:line="360" w:lineRule="auto"/>
        <w:ind w:firstLine="482"/>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rPr>
        <w:t xml:space="preserve">2.1 </w:t>
      </w:r>
      <w:r>
        <w:rPr>
          <w:rFonts w:hint="eastAsia" w:ascii="仿宋_GB2312" w:hAnsi="仿宋_GB2312" w:eastAsia="仿宋_GB2312" w:cs="仿宋_GB2312"/>
          <w:color w:val="auto"/>
          <w:highlight w:val="none"/>
          <w:lang w:eastAsia="zh-CN"/>
        </w:rPr>
        <w:t>本合同单价</w:t>
      </w:r>
      <w:r>
        <w:rPr>
          <w:rFonts w:hint="eastAsia" w:ascii="仿宋_GB2312" w:hAnsi="仿宋_GB2312" w:eastAsia="仿宋_GB2312" w:cs="仿宋_GB2312"/>
          <w:color w:val="auto"/>
          <w:highlight w:val="none"/>
          <w:lang w:val="en-US" w:eastAsia="zh-CN"/>
        </w:rPr>
        <w:t>**元/辆/年，服务</w:t>
      </w:r>
      <w:r>
        <w:rPr>
          <w:rFonts w:hint="eastAsia" w:ascii="仿宋_GB2312" w:hAnsi="仿宋_GB2312" w:eastAsia="仿宋_GB2312" w:cs="仿宋_GB2312"/>
          <w:color w:val="auto"/>
          <w:highlight w:val="none"/>
        </w:rPr>
        <w:t>项目价格明细及活动时间见【附件二】</w:t>
      </w:r>
      <w:r>
        <w:rPr>
          <w:rFonts w:hint="eastAsia" w:ascii="仿宋_GB2312" w:hAnsi="仿宋_GB2312" w:eastAsia="仿宋_GB2312" w:cs="仿宋_GB2312"/>
          <w:color w:val="auto"/>
          <w:highlight w:val="none"/>
          <w:lang w:val="en-US" w:eastAsia="zh-CN"/>
        </w:rPr>
        <w:t>。</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本合同</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费用包括但不限于乙方向甲方提供</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所收取的劳务费、乙方按照法律规定应当缴纳的税款等因本合同而发生的费用。除合同</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 xml:space="preserve">费用总额外，甲方无须就本合同项下乙方的任何义务支付任何额外费用。 </w:t>
      </w:r>
    </w:p>
    <w:p>
      <w:pPr>
        <w:spacing w:line="360" w:lineRule="auto"/>
        <w:ind w:firstLine="480"/>
        <w:rPr>
          <w:rFonts w:hint="eastAsia" w:ascii="仿宋_GB2312" w:hAnsi="仿宋_GB2312" w:eastAsia="仿宋_GB2312" w:cs="仿宋_GB2312"/>
          <w:bCs/>
          <w:color w:val="auto"/>
          <w:highlight w:val="none"/>
        </w:rPr>
      </w:pPr>
      <w:r>
        <w:rPr>
          <w:rFonts w:hint="eastAsia" w:ascii="仿宋_GB2312" w:hAnsi="仿宋_GB2312" w:eastAsia="仿宋_GB2312" w:cs="仿宋_GB2312"/>
          <w:bCs/>
          <w:color w:val="auto"/>
          <w:highlight w:val="none"/>
        </w:rPr>
        <w:t>2.</w:t>
      </w:r>
      <w:r>
        <w:rPr>
          <w:rFonts w:hint="eastAsia" w:ascii="仿宋_GB2312" w:hAnsi="仿宋_GB2312" w:eastAsia="仿宋_GB2312" w:cs="仿宋_GB2312"/>
          <w:bCs/>
          <w:color w:val="auto"/>
          <w:highlight w:val="none"/>
          <w:lang w:val="en-US" w:eastAsia="zh-CN"/>
        </w:rPr>
        <w:t>2</w:t>
      </w:r>
      <w:r>
        <w:rPr>
          <w:rFonts w:hint="eastAsia" w:ascii="仿宋_GB2312" w:hAnsi="仿宋_GB2312" w:eastAsia="仿宋_GB2312" w:cs="仿宋_GB2312"/>
          <w:bCs/>
          <w:color w:val="auto"/>
          <w:highlight w:val="none"/>
        </w:rPr>
        <w:t xml:space="preserve"> 本合同</w:t>
      </w:r>
      <w:r>
        <w:rPr>
          <w:rFonts w:hint="eastAsia" w:ascii="仿宋_GB2312" w:hAnsi="仿宋_GB2312" w:eastAsia="仿宋_GB2312" w:cs="仿宋_GB2312"/>
          <w:color w:val="auto"/>
          <w:highlight w:val="none"/>
        </w:rPr>
        <w:t>付款安排见【附件三】。</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bCs/>
          <w:color w:val="auto"/>
          <w:highlight w:val="none"/>
        </w:rPr>
        <w:t>2.</w:t>
      </w:r>
      <w:r>
        <w:rPr>
          <w:rFonts w:hint="eastAsia" w:ascii="仿宋_GB2312" w:hAnsi="仿宋_GB2312" w:eastAsia="仿宋_GB2312" w:cs="仿宋_GB2312"/>
          <w:bCs/>
          <w:color w:val="auto"/>
          <w:highlight w:val="none"/>
          <w:lang w:val="en-US" w:eastAsia="zh-CN"/>
        </w:rPr>
        <w:t>3</w:t>
      </w:r>
      <w:r>
        <w:rPr>
          <w:rFonts w:hint="eastAsia" w:ascii="仿宋_GB2312" w:hAnsi="仿宋_GB2312" w:eastAsia="仿宋_GB2312" w:cs="仿宋_GB2312"/>
          <w:bCs/>
          <w:color w:val="auto"/>
          <w:highlight w:val="none"/>
        </w:rPr>
        <w:t xml:space="preserve"> </w:t>
      </w:r>
      <w:r>
        <w:rPr>
          <w:rFonts w:hint="eastAsia" w:ascii="仿宋_GB2312" w:hAnsi="仿宋_GB2312" w:eastAsia="仿宋_GB2312" w:cs="仿宋_GB2312"/>
          <w:color w:val="auto"/>
          <w:highlight w:val="none"/>
        </w:rPr>
        <w:t>由于乙方未提供或未及时提供足额有效发票，或乙方变更账户信息但未提前通知甲方而导致的付款迟延，甲方不承担任何责任。</w:t>
      </w:r>
    </w:p>
    <w:p>
      <w:pPr>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3. 双方的权利和义务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除本合同约定的双方的权利义务外，甲乙双方在本合同项下的其他权利和义务见【附件四】的约定。</w:t>
      </w:r>
    </w:p>
    <w:p>
      <w:pPr>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4. 违约责任</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甲、乙任一方或双方违约的，违约一方应当向相对方承担相应的违约责任。违约责任的具体约定见【附件五】。</w:t>
      </w:r>
    </w:p>
    <w:p>
      <w:pPr>
        <w:spacing w:line="360" w:lineRule="auto"/>
        <w:jc w:val="center"/>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第二部分 通用部分</w:t>
      </w:r>
    </w:p>
    <w:p>
      <w:pPr>
        <w:spacing w:line="360" w:lineRule="auto"/>
        <w:ind w:firstLine="482"/>
        <w:jc w:val="both"/>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5. 双方的权利和义务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5.1甲方的权利和义务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（1）甲方有权获得本合同项下乙方应提供的全部合格的服务；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（2）甲方有权在合同期内对乙方的产品及服务进行监督；</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（3）乙方未按照合同约定履行义务的，甲方有权采取相应的措施；</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（4）甲方应按照合同约定向乙方支付合同价款；</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（5）甲方享有其它双方约定的权利、承担其它双方约定的义务。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5.2乙方的权利和义务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（1）乙方有权获得甲方支付的合同价款；</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（2）乙方应按照合同约定向甲方提供全部合格的服务；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（3）乙方应当按照合同约定的期限及要求完成项目内容；</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（5）乙方享有其它双方约定的权利、承担其它双方约定的义务。</w:t>
      </w:r>
    </w:p>
    <w:p>
      <w:pPr>
        <w:spacing w:line="360" w:lineRule="auto"/>
        <w:ind w:firstLine="480"/>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6. 禁止转让</w:t>
      </w:r>
    </w:p>
    <w:p>
      <w:pPr>
        <w:spacing w:line="360" w:lineRule="auto"/>
        <w:ind w:firstLine="480"/>
        <w:rPr>
          <w:rFonts w:hint="eastAsia" w:ascii="仿宋_GB2312" w:hAnsi="仿宋_GB2312" w:eastAsia="仿宋_GB2312" w:cs="仿宋_GB2312"/>
          <w:bCs/>
          <w:color w:val="auto"/>
          <w:highlight w:val="none"/>
        </w:rPr>
      </w:pPr>
      <w:r>
        <w:rPr>
          <w:rFonts w:hint="eastAsia" w:ascii="仿宋_GB2312" w:hAnsi="仿宋_GB2312" w:eastAsia="仿宋_GB2312" w:cs="仿宋_GB2312"/>
          <w:bCs/>
          <w:color w:val="auto"/>
          <w:highlight w:val="none"/>
        </w:rPr>
        <w:t>未经甲方书面同意，乙方不得将其本合同项下之全部义务或其中一部分义务转让给第三方执行。</w:t>
      </w:r>
    </w:p>
    <w:p>
      <w:pPr>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7.权利保证</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rPr>
          <w:rFonts w:hint="eastAsia" w:ascii="仿宋_GB2312" w:hAnsi="仿宋_GB2312" w:eastAsia="仿宋_GB2312" w:cs="仿宋_GB2312"/>
          <w:b/>
          <w:bCs/>
          <w:color w:val="auto"/>
          <w:spacing w:val="24"/>
          <w:highlight w:val="none"/>
        </w:rPr>
      </w:pPr>
      <w:r>
        <w:rPr>
          <w:rFonts w:hint="eastAsia" w:ascii="仿宋_GB2312" w:hAnsi="仿宋_GB2312" w:eastAsia="仿宋_GB2312" w:cs="仿宋_GB2312"/>
          <w:b/>
          <w:bCs/>
          <w:color w:val="auto"/>
          <w:highlight w:val="none"/>
        </w:rPr>
        <w:t>8. 违约责任</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8.1 由于甲方原因不能按合同约定时间付款的，每延迟10个工作日，甲方按合同应付金额的</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%向乙方支付违约金。</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8.2 乙方延迟交付的违约责任</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（1）由于乙方原因造成项目延迟的，每延迟10个工作日，乙方向甲方支付违约金为合同服务费用总额的</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（2）由于乙方原因造成项目迟延，经甲方催促后乙方继续延误的，甲方有权单方面解除合同，乙方应按照合同服务费用总额的</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%向甲方支付违约金，并赔偿由此引起的甲方全部损失。</w:t>
      </w:r>
    </w:p>
    <w:p>
      <w:pPr>
        <w:spacing w:line="360" w:lineRule="auto"/>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8.3 验收不合格并且乙方在甲方指定期限内无法完成整改、提交合格的工作成果的，乙方应向甲方支付合同服务费用总额</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%的违约金，并赔偿由此引起的甲方全部损失。</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8.4 如果乙方违反本合同约定的保密义务，乙方应向甲方支付相当于合同服务费用总额</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u w:val="single"/>
        </w:rPr>
        <w:t>%</w:t>
      </w:r>
      <w:r>
        <w:rPr>
          <w:rFonts w:hint="eastAsia" w:ascii="仿宋_GB2312" w:hAnsi="仿宋_GB2312" w:eastAsia="仿宋_GB2312" w:cs="仿宋_GB2312"/>
          <w:color w:val="auto"/>
          <w:highlight w:val="none"/>
        </w:rPr>
        <w:t>的违约金，甲方受到的损失超出违约金的部分，由乙方继续承担赔偿责任。</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8.5 除本合同的约定外，因乙方的违约行为给甲方造成损失的，乙方应向甲方支付相当于合同服务费用总额</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u w:val="single"/>
        </w:rPr>
        <w:t>%</w:t>
      </w:r>
      <w:r>
        <w:rPr>
          <w:rFonts w:hint="eastAsia" w:ascii="仿宋_GB2312" w:hAnsi="仿宋_GB2312" w:eastAsia="仿宋_GB2312" w:cs="仿宋_GB2312"/>
          <w:color w:val="auto"/>
          <w:highlight w:val="none"/>
        </w:rPr>
        <w:t>的违约金，如甲方受到的损失超过违约金的，超出部分由乙方继续承担赔偿责任。</w:t>
      </w:r>
    </w:p>
    <w:p>
      <w:pPr>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9.  保密义务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9.2 乙方在本合同中所受领的保密信息应及时返还甲方或在甲方监督下予以销毁。乙方擅自留存备份信息，视为违反保密约定。</w:t>
      </w:r>
    </w:p>
    <w:p>
      <w:pPr>
        <w:spacing w:line="360" w:lineRule="auto"/>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9.3 无论本合同因何种原因终止，本保密条款依然有效。</w:t>
      </w:r>
    </w:p>
    <w:p>
      <w:pPr>
        <w:keepNext w:val="0"/>
        <w:keepLines w:val="0"/>
        <w:pageBreakBefore w:val="0"/>
        <w:widowControl/>
        <w:bidi w:val="0"/>
        <w:spacing w:line="560" w:lineRule="exact"/>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10. 不可抗力</w:t>
      </w:r>
    </w:p>
    <w:p>
      <w:pPr>
        <w:keepNext w:val="0"/>
        <w:keepLines w:val="0"/>
        <w:pageBreakBefore w:val="0"/>
        <w:widowControl/>
        <w:bidi w:val="0"/>
        <w:spacing w:line="560" w:lineRule="exact"/>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bidi w:val="0"/>
        <w:spacing w:line="560" w:lineRule="exact"/>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keepNext w:val="0"/>
        <w:keepLines w:val="0"/>
        <w:pageBreakBefore w:val="0"/>
        <w:widowControl/>
        <w:bidi w:val="0"/>
        <w:spacing w:line="560" w:lineRule="exact"/>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10.3 合同一方迟延履行后发生不可抗力的，不能免除其责任。</w:t>
      </w:r>
    </w:p>
    <w:p>
      <w:pPr>
        <w:keepNext w:val="0"/>
        <w:keepLines w:val="0"/>
        <w:pageBreakBefore w:val="0"/>
        <w:widowControl/>
        <w:bidi w:val="0"/>
        <w:spacing w:line="560" w:lineRule="exact"/>
        <w:ind w:firstLine="4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10.4 不可抗力因素消除后，双方应立即进行磋商，就不可抗力所造成影响程度甲方有权决定是否继续履行或者终止本合同。如果甲方决定终止合同，如甲方已经付款，乙方应将未交付部分的款项在5日内向甲方返还。</w:t>
      </w:r>
    </w:p>
    <w:p>
      <w:pPr>
        <w:keepNext w:val="0"/>
        <w:keepLines w:val="0"/>
        <w:pageBreakBefore w:val="0"/>
        <w:widowControl/>
        <w:bidi w:val="0"/>
        <w:spacing w:line="560" w:lineRule="exact"/>
        <w:ind w:firstLine="47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11．合同变更</w:t>
      </w:r>
    </w:p>
    <w:p>
      <w:pPr>
        <w:keepNext w:val="0"/>
        <w:keepLines w:val="0"/>
        <w:pageBreakBefore w:val="0"/>
        <w:widowControl/>
        <w:bidi w:val="0"/>
        <w:spacing w:line="56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对本合同的任何变更或补充，须经甲乙双方协商一致，并另行签订书面补充协议。</w:t>
      </w:r>
    </w:p>
    <w:p>
      <w:pPr>
        <w:keepNext w:val="0"/>
        <w:keepLines w:val="0"/>
        <w:pageBreakBefore w:val="0"/>
        <w:widowControl/>
        <w:bidi w:val="0"/>
        <w:spacing w:line="560" w:lineRule="exact"/>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12. 合同特别终止</w:t>
      </w:r>
    </w:p>
    <w:p>
      <w:pPr>
        <w:keepNext w:val="0"/>
        <w:keepLines w:val="0"/>
        <w:pageBreakBefore w:val="0"/>
        <w:widowControl/>
        <w:bidi w:val="0"/>
        <w:spacing w:line="56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12.1 甲乙双方同意在乙方出现下列情形时，甲方可以书面形式通知乙方（或者乙方的破产清算组或相关管理人）提出终止合同而不向其提供任何补偿：</w:t>
      </w:r>
    </w:p>
    <w:p>
      <w:pPr>
        <w:keepNext w:val="0"/>
        <w:keepLines w:val="0"/>
        <w:pageBreakBefore w:val="0"/>
        <w:widowControl/>
        <w:bidi w:val="0"/>
        <w:spacing w:line="56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（1）乙方破产、解散（包括但不限于乙方股东会决议解散、乙方被吊销营业执照、被责令关闭、被撤销、被司法机关裁决解散等情形）；</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12.2 如果因上述原因导致本合同终止，甲方已经采取或者将要采取任何补救措施的权利不受任何影响。</w:t>
      </w:r>
    </w:p>
    <w:p>
      <w:pPr>
        <w:keepNext w:val="0"/>
        <w:keepLines w:val="0"/>
        <w:pageBreakBefore w:val="0"/>
        <w:widowControl/>
        <w:bidi w:val="0"/>
        <w:spacing w:line="500" w:lineRule="exact"/>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13. 法律适用与争议解决</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13.1 本合同的订立、效力、解释、履行和争议的解决均适用中华人民共和国法律（不包括港澳台地区法律）。</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13.2 凡因本合同引起的或与本合同有关的任何争议，双方首先应友好协商解决。协商不成的，任何一方均有权将争议提交甲方所在地有管辖权的人民法院诉讼。</w:t>
      </w:r>
    </w:p>
    <w:p>
      <w:pPr>
        <w:keepNext w:val="0"/>
        <w:keepLines w:val="0"/>
        <w:pageBreakBefore w:val="0"/>
        <w:widowControl/>
        <w:bidi w:val="0"/>
        <w:spacing w:line="500" w:lineRule="exact"/>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14.  合同生效及其他</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14.1 本合同经甲乙双方法定代表人或授权代表签字并加盖公章后生效。服务期限自</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日始，至</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日止。</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14.2 本合同一式贰份，甲乙双方各执壹份。</w:t>
      </w:r>
    </w:p>
    <w:p>
      <w:pPr>
        <w:keepNext w:val="0"/>
        <w:keepLines w:val="0"/>
        <w:pageBreakBefore w:val="0"/>
        <w:widowControl/>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14.3 无论本合同是否有相反约定，本合同附件作为本合同的组成部分，与本合同具有同等的法律效力，当附件条款与本合同条款发生冲突时，以本合同条款为准。</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14.4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14.5由于法律和法规而导致本合同任何条款无效或无法执行，则该条款无效，但不影响剩余其他条款的效力。</w:t>
      </w:r>
    </w:p>
    <w:p>
      <w:pPr>
        <w:tabs>
          <w:tab w:val="left" w:pos="1080"/>
        </w:tabs>
        <w:spacing w:line="360" w:lineRule="auto"/>
        <w:ind w:firstLine="482"/>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15.  附件的组成</w:t>
      </w:r>
    </w:p>
    <w:p>
      <w:pPr>
        <w:spacing w:line="360" w:lineRule="auto"/>
        <w:ind w:firstLine="48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附件一、服务内容及要求</w:t>
      </w:r>
    </w:p>
    <w:p>
      <w:pPr>
        <w:keepLines/>
        <w:spacing w:line="360" w:lineRule="auto"/>
        <w:ind w:firstLine="48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附件二、价格明细（单场）</w:t>
      </w:r>
    </w:p>
    <w:p>
      <w:pPr>
        <w:keepLines/>
        <w:spacing w:line="360" w:lineRule="auto"/>
        <w:ind w:firstLine="48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附件三、付款</w:t>
      </w:r>
    </w:p>
    <w:p>
      <w:pPr>
        <w:keepLines/>
        <w:spacing w:line="360" w:lineRule="auto"/>
        <w:ind w:firstLine="48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附件四、双方的权利和义务</w:t>
      </w:r>
    </w:p>
    <w:p>
      <w:pPr>
        <w:keepLines/>
        <w:spacing w:line="360" w:lineRule="auto"/>
        <w:ind w:firstLine="48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附件五、违约责任</w:t>
      </w:r>
    </w:p>
    <w:p>
      <w:pPr>
        <w:keepLines/>
        <w:spacing w:line="360" w:lineRule="auto"/>
        <w:ind w:firstLine="482"/>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附件</w:t>
      </w:r>
      <w:r>
        <w:rPr>
          <w:rFonts w:hint="eastAsia" w:ascii="仿宋_GB2312" w:hAnsi="仿宋_GB2312" w:eastAsia="仿宋_GB2312" w:cs="仿宋_GB2312"/>
          <w:color w:val="auto"/>
          <w:sz w:val="24"/>
          <w:szCs w:val="24"/>
          <w:highlight w:val="none"/>
          <w:lang w:val="en-US" w:eastAsia="zh-CN"/>
        </w:rPr>
        <w:t>六：廉洁诚信协议</w:t>
      </w:r>
    </w:p>
    <w:p>
      <w:pPr>
        <w:pStyle w:val="86"/>
        <w:rPr>
          <w:rFonts w:hint="eastAsia" w:ascii="仿宋_GB2312" w:hAnsi="仿宋_GB2312" w:eastAsia="仿宋_GB2312" w:cs="仿宋_GB2312"/>
          <w:color w:val="auto"/>
          <w:highlight w:val="none"/>
        </w:rPr>
      </w:pPr>
    </w:p>
    <w:p>
      <w:pPr>
        <w:pStyle w:val="86"/>
        <w:rPr>
          <w:rFonts w:hint="eastAsia" w:ascii="仿宋_GB2312" w:hAnsi="仿宋_GB2312" w:eastAsia="仿宋_GB2312" w:cs="仿宋_GB2312"/>
          <w:color w:val="auto"/>
          <w:highlight w:val="none"/>
        </w:rPr>
      </w:pPr>
    </w:p>
    <w:p>
      <w:pPr>
        <w:pStyle w:val="86"/>
        <w:rPr>
          <w:rFonts w:hint="eastAsia" w:ascii="仿宋_GB2312" w:hAnsi="仿宋_GB2312" w:eastAsia="仿宋_GB2312" w:cs="仿宋_GB2312"/>
          <w:color w:val="auto"/>
          <w:highlight w:val="none"/>
        </w:rPr>
      </w:pPr>
    </w:p>
    <w:p>
      <w:pPr>
        <w:pStyle w:val="86"/>
        <w:rPr>
          <w:rFonts w:hint="eastAsia" w:ascii="仿宋_GB2312" w:hAnsi="仿宋_GB2312" w:eastAsia="仿宋_GB2312" w:cs="仿宋_GB2312"/>
          <w:color w:val="auto"/>
          <w:highlight w:val="none"/>
        </w:rPr>
        <w:sectPr>
          <w:headerReference r:id="rId13" w:type="default"/>
          <w:footerReference r:id="rId14" w:type="default"/>
          <w:pgSz w:w="11906" w:h="16838"/>
          <w:pgMar w:top="1417" w:right="1134" w:bottom="1134" w:left="1134" w:header="851" w:footer="992" w:gutter="0"/>
          <w:pgNumType w:fmt="decimal"/>
          <w:cols w:space="1701" w:num="1"/>
        </w:sectPr>
      </w:pPr>
    </w:p>
    <w:p>
      <w:pPr>
        <w:spacing w:line="360" w:lineRule="auto"/>
        <w:rPr>
          <w:rFonts w:hint="eastAsia" w:ascii="仿宋_GB2312" w:hAnsi="仿宋_GB2312" w:eastAsia="仿宋_GB2312" w:cs="仿宋_GB2312"/>
          <w:b/>
          <w:color w:val="auto"/>
          <w:highlight w:val="none"/>
        </w:rPr>
      </w:pPr>
      <w:r>
        <w:rPr>
          <w:rFonts w:hint="eastAsia" w:ascii="仿宋_GB2312" w:hAnsi="仿宋_GB2312" w:eastAsia="仿宋_GB2312" w:cs="仿宋_GB2312"/>
          <w:b/>
          <w:bCs/>
          <w:color w:val="auto"/>
          <w:highlight w:val="none"/>
          <w:lang w:val="zh-CN"/>
        </w:rPr>
        <w:t>兹证明，各方于</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年</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月</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日</w:t>
      </w:r>
      <w:r>
        <w:rPr>
          <w:rFonts w:hint="eastAsia" w:ascii="仿宋_GB2312" w:hAnsi="仿宋_GB2312" w:eastAsia="仿宋_GB2312" w:cs="仿宋_GB2312"/>
          <w:b/>
          <w:bCs/>
          <w:color w:val="auto"/>
          <w:highlight w:val="none"/>
          <w:lang w:val="zh-CN"/>
        </w:rPr>
        <w:t>签订本合同。</w:t>
      </w:r>
    </w:p>
    <w:p>
      <w:pPr>
        <w:spacing w:line="360" w:lineRule="auto"/>
        <w:rPr>
          <w:rFonts w:hint="eastAsia" w:ascii="仿宋_GB2312" w:hAnsi="仿宋_GB2312" w:eastAsia="仿宋_GB2312" w:cs="仿宋_GB2312"/>
          <w:b/>
          <w:color w:val="auto"/>
          <w:highlight w:val="none"/>
        </w:rPr>
      </w:pPr>
    </w:p>
    <w:p>
      <w:pPr>
        <w:spacing w:line="360" w:lineRule="auto"/>
        <w:rPr>
          <w:rFonts w:hint="eastAsia" w:ascii="仿宋_GB2312" w:hAnsi="仿宋_GB2312" w:eastAsia="仿宋_GB2312" w:cs="仿宋_GB2312"/>
          <w:b/>
          <w:bCs/>
          <w:color w:val="auto"/>
          <w:highlight w:val="none"/>
        </w:rPr>
      </w:pPr>
      <w:r>
        <w:rPr>
          <w:rFonts w:hint="eastAsia" w:ascii="仿宋_GB2312" w:hAnsi="仿宋_GB2312" w:eastAsia="仿宋_GB2312" w:cs="仿宋_GB2312"/>
          <w:b/>
          <w:color w:val="auto"/>
          <w:highlight w:val="none"/>
        </w:rPr>
        <w:t>甲方（盖章）：</w:t>
      </w:r>
      <w:r>
        <w:rPr>
          <w:rFonts w:hint="eastAsia" w:ascii="仿宋_GB2312" w:hAnsi="仿宋_GB2312" w:eastAsia="仿宋_GB2312" w:cs="仿宋_GB2312"/>
          <w:b/>
          <w:bCs/>
          <w:color w:val="auto"/>
          <w:highlight w:val="none"/>
        </w:rPr>
        <w:t xml:space="preserve">中国人民财产保险 </w:t>
      </w:r>
      <w:r>
        <w:rPr>
          <w:rFonts w:hint="eastAsia" w:ascii="仿宋_GB2312" w:hAnsi="仿宋_GB2312" w:eastAsia="仿宋_GB2312" w:cs="仿宋_GB2312"/>
          <w:b/>
          <w:bCs/>
          <w:color w:val="auto"/>
          <w:highlight w:val="none"/>
          <w:lang w:val="en-US" w:eastAsia="zh-CN"/>
        </w:rPr>
        <w:t xml:space="preserve">        </w:t>
      </w:r>
      <w:r>
        <w:rPr>
          <w:rFonts w:hint="eastAsia" w:ascii="仿宋_GB2312" w:hAnsi="仿宋_GB2312" w:eastAsia="仿宋_GB2312" w:cs="仿宋_GB2312"/>
          <w:b/>
          <w:color w:val="auto"/>
          <w:highlight w:val="none"/>
        </w:rPr>
        <w:t>乙方（盖章）：</w:t>
      </w:r>
      <w:r>
        <w:rPr>
          <w:rFonts w:hint="eastAsia" w:ascii="仿宋_GB2312" w:hAnsi="仿宋_GB2312" w:eastAsia="仿宋_GB2312" w:cs="仿宋_GB2312"/>
          <w:b/>
          <w:bCs/>
          <w:color w:val="auto"/>
          <w:highlight w:val="none"/>
          <w:lang w:val="en-US" w:eastAsia="zh-CN"/>
        </w:rPr>
        <w:t xml:space="preserve"> </w:t>
      </w:r>
      <w:r>
        <w:rPr>
          <w:rFonts w:hint="eastAsia" w:ascii="仿宋_GB2312" w:hAnsi="仿宋_GB2312" w:eastAsia="仿宋_GB2312" w:cs="仿宋_GB2312"/>
          <w:b/>
          <w:bCs/>
          <w:color w:val="auto"/>
          <w:highlight w:val="none"/>
        </w:rPr>
        <w:t xml:space="preserve">        </w:t>
      </w:r>
    </w:p>
    <w:p>
      <w:pPr>
        <w:spacing w:line="360" w:lineRule="auto"/>
        <w:rPr>
          <w:rFonts w:hint="eastAsia" w:ascii="仿宋_GB2312" w:hAnsi="仿宋_GB2312" w:eastAsia="仿宋_GB2312" w:cs="仿宋_GB2312"/>
          <w:b/>
          <w:color w:val="auto"/>
          <w:highlight w:val="none"/>
          <w:u w:val="single"/>
        </w:rPr>
      </w:pPr>
      <w:r>
        <w:rPr>
          <w:rFonts w:hint="eastAsia" w:ascii="仿宋_GB2312" w:hAnsi="仿宋_GB2312" w:eastAsia="仿宋_GB2312" w:cs="仿宋_GB2312"/>
          <w:b/>
          <w:bCs/>
          <w:color w:val="auto"/>
          <w:highlight w:val="none"/>
        </w:rPr>
        <w:t>股份有限公司</w:t>
      </w:r>
      <w:r>
        <w:rPr>
          <w:rFonts w:hint="eastAsia" w:ascii="仿宋_GB2312" w:hAnsi="仿宋_GB2312" w:eastAsia="仿宋_GB2312" w:cs="仿宋_GB2312"/>
          <w:b/>
          <w:bCs/>
          <w:color w:val="auto"/>
          <w:highlight w:val="none"/>
          <w:lang w:eastAsia="zh-CN"/>
        </w:rPr>
        <w:t>资阳</w:t>
      </w:r>
      <w:r>
        <w:rPr>
          <w:rFonts w:hint="eastAsia" w:ascii="仿宋_GB2312" w:hAnsi="仿宋_GB2312" w:eastAsia="仿宋_GB2312" w:cs="仿宋_GB2312"/>
          <w:b/>
          <w:bCs/>
          <w:color w:val="auto"/>
          <w:highlight w:val="none"/>
        </w:rPr>
        <w:t>市分公司</w:t>
      </w:r>
    </w:p>
    <w:p>
      <w:pPr>
        <w:spacing w:line="360" w:lineRule="auto"/>
        <w:rPr>
          <w:rFonts w:hint="eastAsia" w:ascii="仿宋_GB2312" w:hAnsi="仿宋_GB2312" w:eastAsia="仿宋_GB2312" w:cs="仿宋_GB2312"/>
          <w:b/>
          <w:color w:val="auto"/>
          <w:highlight w:val="none"/>
        </w:rPr>
        <w:sectPr>
          <w:type w:val="continuous"/>
          <w:pgSz w:w="11906" w:h="16838"/>
          <w:pgMar w:top="1440" w:right="1800" w:bottom="1440" w:left="1800" w:header="851" w:footer="992" w:gutter="0"/>
          <w:pgNumType w:fmt="decimal"/>
          <w:cols w:space="1701" w:num="1"/>
        </w:sectPr>
      </w:pPr>
      <w:r>
        <w:rPr>
          <w:rFonts w:hint="eastAsia" w:ascii="仿宋_GB2312" w:hAnsi="仿宋_GB2312" w:eastAsia="仿宋_GB2312" w:cs="仿宋_GB2312"/>
          <w:b/>
          <w:bCs/>
          <w:color w:val="auto"/>
          <w:highlight w:val="none"/>
        </w:rPr>
        <w:t>负责人/授权代表（签字）：</w:t>
      </w:r>
      <w:r>
        <w:rPr>
          <w:rFonts w:hint="eastAsia" w:ascii="仿宋_GB2312" w:hAnsi="仿宋_GB2312" w:eastAsia="仿宋_GB2312" w:cs="仿宋_GB2312"/>
          <w:b/>
          <w:bCs/>
          <w:color w:val="auto"/>
          <w:highlight w:val="none"/>
          <w:lang w:val="en-US" w:eastAsia="zh-CN"/>
        </w:rPr>
        <w:t xml:space="preserve">              </w:t>
      </w:r>
      <w:r>
        <w:rPr>
          <w:rFonts w:hint="eastAsia" w:ascii="仿宋_GB2312" w:hAnsi="仿宋_GB2312" w:eastAsia="仿宋_GB2312" w:cs="仿宋_GB2312"/>
          <w:b/>
          <w:bCs/>
          <w:color w:val="auto"/>
          <w:highlight w:val="none"/>
        </w:rPr>
        <w:t>负责人/授权代表（签字）：</w:t>
      </w:r>
    </w:p>
    <w:p>
      <w:pPr>
        <w:pStyle w:val="84"/>
        <w:ind w:left="0" w:firstLine="0"/>
        <w:jc w:val="both"/>
        <w:rPr>
          <w:rFonts w:hint="eastAsia" w:ascii="仿宋_GB2312" w:hAnsi="仿宋_GB2312" w:eastAsia="仿宋_GB2312" w:cs="仿宋_GB2312"/>
          <w:color w:val="auto"/>
          <w:sz w:val="28"/>
          <w:szCs w:val="28"/>
          <w:highlight w:val="none"/>
        </w:rPr>
        <w:sectPr>
          <w:headerReference r:id="rId15" w:type="default"/>
          <w:footerReference r:id="rId16" w:type="default"/>
          <w:type w:val="continuous"/>
          <w:pgSz w:w="11906" w:h="16838"/>
          <w:pgMar w:top="1440" w:right="1134" w:bottom="1440" w:left="1134" w:header="851" w:footer="992" w:gutter="0"/>
          <w:pgNumType w:fmt="decimal"/>
          <w:cols w:space="1701" w:num="1"/>
        </w:sectPr>
      </w:pPr>
    </w:p>
    <w:p>
      <w:pPr>
        <w:pStyle w:val="84"/>
        <w:tabs>
          <w:tab w:val="left" w:pos="2190"/>
        </w:tabs>
        <w:ind w:left="0" w:firstLine="0"/>
        <w:jc w:val="left"/>
        <w:rPr>
          <w:rFonts w:hint="eastAsia" w:ascii="仿宋_GB2312" w:hAnsi="仿宋_GB2312" w:eastAsia="仿宋_GB2312" w:cs="仿宋_GB2312"/>
          <w:color w:val="auto"/>
          <w:sz w:val="24"/>
          <w:szCs w:val="24"/>
          <w:highlight w:val="none"/>
        </w:rPr>
      </w:pPr>
      <w:bookmarkStart w:id="144" w:name="_Toc5280"/>
      <w:bookmarkStart w:id="145" w:name="_Toc29405"/>
      <w:bookmarkStart w:id="146" w:name="_Toc30416"/>
      <w:r>
        <w:rPr>
          <w:rFonts w:hint="eastAsia" w:ascii="仿宋_GB2312" w:hAnsi="仿宋_GB2312" w:eastAsia="仿宋_GB2312" w:cs="仿宋_GB2312"/>
          <w:color w:val="auto"/>
          <w:sz w:val="24"/>
          <w:szCs w:val="24"/>
          <w:highlight w:val="none"/>
        </w:rPr>
        <w:t>附件一</w:t>
      </w:r>
      <w:bookmarkEnd w:id="144"/>
      <w:bookmarkEnd w:id="145"/>
      <w:bookmarkEnd w:id="146"/>
      <w:r>
        <w:rPr>
          <w:rFonts w:hint="eastAsia" w:ascii="仿宋_GB2312" w:hAnsi="仿宋_GB2312" w:eastAsia="仿宋_GB2312" w:cs="仿宋_GB2312"/>
          <w:color w:val="auto"/>
          <w:sz w:val="24"/>
          <w:szCs w:val="24"/>
          <w:highlight w:val="none"/>
        </w:rPr>
        <w:tab/>
      </w:r>
    </w:p>
    <w:p>
      <w:pPr>
        <w:rPr>
          <w:rFonts w:hint="eastAsia" w:ascii="仿宋_GB2312" w:hAnsi="仿宋_GB2312" w:eastAsia="仿宋_GB2312" w:cs="仿宋_GB2312"/>
          <w:color w:val="auto"/>
          <w:sz w:val="24"/>
          <w:szCs w:val="24"/>
          <w:highlight w:val="none"/>
        </w:rPr>
      </w:pPr>
    </w:p>
    <w:p>
      <w:pPr>
        <w:rPr>
          <w:rFonts w:hint="eastAsia" w:ascii="仿宋_GB2312" w:hAnsi="仿宋_GB2312" w:eastAsia="仿宋_GB2312" w:cs="仿宋_GB2312"/>
          <w:color w:val="auto"/>
          <w:sz w:val="24"/>
          <w:szCs w:val="24"/>
          <w:highlight w:val="none"/>
        </w:rPr>
      </w:pPr>
    </w:p>
    <w:p>
      <w:pPr>
        <w:spacing w:line="360" w:lineRule="auto"/>
        <w:jc w:val="center"/>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服务内容及要求</w:t>
      </w:r>
    </w:p>
    <w:p>
      <w:pPr>
        <w:tabs>
          <w:tab w:val="left" w:pos="165"/>
          <w:tab w:val="left" w:pos="315"/>
        </w:tabs>
        <w:spacing w:line="360" w:lineRule="auto"/>
        <w:ind w:firstLine="470"/>
        <w:rPr>
          <w:rFonts w:hint="eastAsia" w:ascii="仿宋_GB2312" w:hAnsi="仿宋_GB2312" w:eastAsia="仿宋_GB2312" w:cs="仿宋_GB2312"/>
          <w:color w:val="auto"/>
          <w:highlight w:val="none"/>
        </w:rPr>
      </w:pP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1.项目名称</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人保财险四川省资阳市分公司安岳支公司营运客车“主动防御系统”网络服务采购项目</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 项目内容</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2.1乙方向甲方提供的</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内容</w:t>
      </w:r>
    </w:p>
    <w:p>
      <w:pPr>
        <w:keepNext w:val="0"/>
        <w:keepLines w:val="0"/>
        <w:pageBreakBefore w:val="0"/>
        <w:widowControl/>
        <w:kinsoku/>
        <w:wordWrap/>
        <w:overflowPunct/>
        <w:topLinePunct w:val="0"/>
        <w:autoSpaceDE/>
        <w:autoSpaceDN/>
        <w:bidi w:val="0"/>
        <w:adjustRightInd/>
        <w:snapToGrid/>
        <w:spacing w:line="360" w:lineRule="auto"/>
        <w:ind w:firstLine="640"/>
        <w:jc w:val="left"/>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rPr>
        <w:t>本项目采购</w:t>
      </w:r>
      <w:r>
        <w:rPr>
          <w:rFonts w:hint="eastAsia" w:ascii="仿宋_GB2312" w:hAnsi="仿宋_GB2312" w:eastAsia="仿宋_GB2312" w:cs="仿宋_GB2312"/>
          <w:color w:val="auto"/>
          <w:highlight w:val="none"/>
          <w:lang w:eastAsia="zh-CN"/>
        </w:rPr>
        <w:t>一</w:t>
      </w:r>
      <w:r>
        <w:rPr>
          <w:rFonts w:hint="eastAsia" w:ascii="仿宋_GB2312" w:hAnsi="仿宋_GB2312" w:eastAsia="仿宋_GB2312" w:cs="仿宋_GB2312"/>
          <w:color w:val="auto"/>
          <w:highlight w:val="none"/>
        </w:rPr>
        <w:t>家供应商，</w:t>
      </w:r>
      <w:r>
        <w:rPr>
          <w:rFonts w:hint="eastAsia" w:ascii="仿宋_GB2312" w:hAnsi="仿宋_GB2312" w:eastAsia="仿宋_GB2312" w:cs="仿宋_GB2312"/>
          <w:color w:val="auto"/>
          <w:highlight w:val="none"/>
          <w:lang w:eastAsia="zh-CN"/>
        </w:rPr>
        <w:t>对客运车队的营运客车投放“主动防御系统”网络服务。通过北斗卫星定位监测车辆，并通过智能化技术提前预判和干预潜在风险，对影响安全驾驶的行为记录并报警，显著提升行车安全，网络</w:t>
      </w:r>
      <w:r>
        <w:rPr>
          <w:rFonts w:hint="eastAsia" w:ascii="仿宋_GB2312" w:hAnsi="仿宋_GB2312" w:eastAsia="仿宋_GB2312" w:cs="仿宋_GB2312"/>
          <w:color w:val="auto"/>
          <w:highlight w:val="none"/>
          <w:lang w:val="en-US" w:eastAsia="zh-CN"/>
        </w:rPr>
        <w:t>服务期限1年。</w:t>
      </w:r>
    </w:p>
    <w:p>
      <w:pPr>
        <w:widowControl/>
        <w:spacing w:line="600" w:lineRule="exact"/>
        <w:ind w:firstLine="64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具体服务要求如下：</w:t>
      </w:r>
    </w:p>
    <w:p>
      <w:pPr>
        <w:keepNext w:val="0"/>
        <w:keepLines w:val="0"/>
        <w:pageBreakBefore w:val="0"/>
        <w:widowControl/>
        <w:bidi w:val="0"/>
        <w:spacing w:line="600" w:lineRule="exact"/>
        <w:ind w:firstLine="72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2.2</w:t>
      </w: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1</w:t>
      </w: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rPr>
        <w:t>服务期限：    年     月     日至     年    月     日。</w:t>
      </w:r>
    </w:p>
    <w:p>
      <w:pPr>
        <w:keepNext w:val="0"/>
        <w:keepLines w:val="0"/>
        <w:pageBreakBefore w:val="0"/>
        <w:widowControl/>
        <w:numPr>
          <w:ilvl w:val="0"/>
          <w:numId w:val="3"/>
        </w:numPr>
        <w:bidi w:val="0"/>
        <w:spacing w:line="600" w:lineRule="exact"/>
        <w:ind w:firstLine="48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rPr>
        <w:t>本项目服务期限</w:t>
      </w:r>
      <w:r>
        <w:rPr>
          <w:rFonts w:hint="eastAsia" w:ascii="仿宋_GB2312" w:hAnsi="仿宋_GB2312" w:eastAsia="仿宋_GB2312" w:cs="仿宋_GB2312"/>
          <w:color w:val="auto"/>
          <w:highlight w:val="none"/>
          <w:lang w:val="en-US" w:eastAsia="zh-CN"/>
        </w:rPr>
        <w:t>1年</w:t>
      </w:r>
    </w:p>
    <w:p>
      <w:pPr>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r>
        <w:rPr>
          <w:rFonts w:hint="eastAsia" w:ascii="仿宋_GB2312" w:hAnsi="仿宋_GB2312" w:eastAsia="仿宋_GB2312" w:cs="仿宋_GB2312"/>
          <w:color w:val="auto"/>
          <w:highlight w:val="none"/>
          <w:lang w:val="en-US" w:eastAsia="zh-CN"/>
        </w:rPr>
        <w:t>.</w:t>
      </w:r>
      <w:r>
        <w:rPr>
          <w:rFonts w:hint="eastAsia" w:ascii="仿宋_GB2312" w:hAnsi="仿宋_GB2312" w:eastAsia="仿宋_GB2312" w:cs="仿宋_GB2312"/>
          <w:color w:val="auto"/>
          <w:highlight w:val="none"/>
        </w:rPr>
        <w:t>服务标准</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营运客车“主动防御系统”网络服务受众面广，并符合国家相关法规。</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4.告知</w:t>
      </w:r>
    </w:p>
    <w:p>
      <w:pPr>
        <w:keepNext w:val="0"/>
        <w:keepLines w:val="0"/>
        <w:pageBreakBefore w:val="0"/>
        <w:widowControl/>
        <w:bidi w:val="0"/>
        <w:spacing w:line="60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甲乙双方同意涉及本合同的一切事宜均以书面形式提交，双方应及时响应。</w:t>
      </w:r>
    </w:p>
    <w:p>
      <w:pPr>
        <w:keepNext w:val="0"/>
        <w:keepLines w:val="0"/>
        <w:pageBreakBefore w:val="0"/>
        <w:widowControl/>
        <w:bidi w:val="0"/>
        <w:spacing w:line="600" w:lineRule="exact"/>
        <w:ind w:firstLine="482"/>
        <w:rPr>
          <w:rFonts w:hint="eastAsia" w:ascii="仿宋_GB2312" w:hAnsi="仿宋_GB2312" w:eastAsia="仿宋_GB2312" w:cs="仿宋_GB2312"/>
          <w:b/>
          <w:bCs/>
          <w:color w:val="auto"/>
          <w:highlight w:val="none"/>
        </w:rPr>
      </w:pPr>
    </w:p>
    <w:p>
      <w:pPr>
        <w:rPr>
          <w:rFonts w:hint="eastAsia" w:ascii="仿宋_GB2312" w:hAnsi="仿宋_GB2312" w:eastAsia="仿宋_GB2312" w:cs="仿宋_GB2312"/>
          <w:b/>
          <w:bCs/>
          <w:color w:val="auto"/>
          <w:highlight w:val="none"/>
        </w:rPr>
      </w:pPr>
    </w:p>
    <w:p>
      <w:pPr>
        <w:rPr>
          <w:rFonts w:hint="eastAsia" w:ascii="仿宋_GB2312" w:hAnsi="仿宋_GB2312" w:eastAsia="仿宋_GB2312" w:cs="仿宋_GB2312"/>
          <w:b/>
          <w:bCs/>
          <w:color w:val="auto"/>
          <w:highlight w:val="none"/>
        </w:rPr>
      </w:pPr>
    </w:p>
    <w:p>
      <w:pPr>
        <w:pStyle w:val="87"/>
        <w:rPr>
          <w:rFonts w:hint="eastAsia" w:ascii="仿宋_GB2312" w:hAnsi="仿宋_GB2312" w:eastAsia="仿宋_GB2312" w:cs="仿宋_GB2312"/>
          <w:b/>
          <w:bCs/>
          <w:color w:val="auto"/>
          <w:highlight w:val="none"/>
        </w:rPr>
      </w:pPr>
    </w:p>
    <w:p>
      <w:pPr>
        <w:pStyle w:val="87"/>
        <w:rPr>
          <w:rFonts w:hint="eastAsia" w:ascii="仿宋_GB2312" w:hAnsi="仿宋_GB2312" w:eastAsia="仿宋_GB2312" w:cs="仿宋_GB2312"/>
          <w:b/>
          <w:bCs/>
          <w:color w:val="auto"/>
          <w:highlight w:val="none"/>
        </w:rPr>
      </w:pPr>
    </w:p>
    <w:p>
      <w:pPr>
        <w:pStyle w:val="87"/>
        <w:rPr>
          <w:rFonts w:hint="eastAsia" w:ascii="仿宋_GB2312" w:hAnsi="仿宋_GB2312" w:eastAsia="仿宋_GB2312" w:cs="仿宋_GB2312"/>
          <w:b/>
          <w:bCs/>
          <w:color w:val="auto"/>
          <w:highlight w:val="none"/>
        </w:rPr>
      </w:pPr>
    </w:p>
    <w:p>
      <w:pPr>
        <w:pStyle w:val="87"/>
        <w:rPr>
          <w:rFonts w:hint="eastAsia" w:ascii="仿宋_GB2312" w:hAnsi="仿宋_GB2312" w:eastAsia="仿宋_GB2312" w:cs="仿宋_GB2312"/>
          <w:b/>
          <w:bCs/>
          <w:color w:val="auto"/>
          <w:highlight w:val="none"/>
        </w:rPr>
      </w:pPr>
    </w:p>
    <w:p>
      <w:pPr>
        <w:pStyle w:val="87"/>
        <w:rPr>
          <w:rFonts w:hint="eastAsia" w:ascii="仿宋_GB2312" w:hAnsi="仿宋_GB2312" w:eastAsia="仿宋_GB2312" w:cs="仿宋_GB2312"/>
          <w:b/>
          <w:bCs/>
          <w:color w:val="auto"/>
          <w:highlight w:val="none"/>
        </w:rPr>
      </w:pPr>
    </w:p>
    <w:p>
      <w:pPr>
        <w:rPr>
          <w:rFonts w:hint="eastAsia" w:ascii="仿宋_GB2312" w:hAnsi="仿宋_GB2312" w:eastAsia="仿宋_GB2312" w:cs="仿宋_GB2312"/>
          <w:b/>
          <w:bCs/>
          <w:color w:val="auto"/>
          <w:highlight w:val="none"/>
        </w:rPr>
      </w:pPr>
    </w:p>
    <w:p>
      <w:pPr>
        <w:pStyle w:val="86"/>
        <w:rPr>
          <w:rFonts w:hint="eastAsia"/>
          <w:color w:val="auto"/>
          <w:highlight w:val="none"/>
        </w:rPr>
      </w:pPr>
    </w:p>
    <w:p>
      <w:pPr>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附件二</w:t>
      </w:r>
    </w:p>
    <w:p>
      <w:pPr>
        <w:spacing w:line="360" w:lineRule="auto"/>
        <w:jc w:val="center"/>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服务方案及费用结算</w:t>
      </w:r>
    </w:p>
    <w:p>
      <w:pPr>
        <w:pStyle w:val="88"/>
        <w:widowControl w:val="0"/>
        <w:spacing w:line="480" w:lineRule="auto"/>
        <w:ind w:firstLine="48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1、双方依据本协议附件注明的价格进行费用结算。本协议中涉及的各项结算金额均指含税金额。</w:t>
      </w:r>
    </w:p>
    <w:p>
      <w:pPr>
        <w:pStyle w:val="88"/>
        <w:widowControl w:val="0"/>
        <w:spacing w:line="480" w:lineRule="auto"/>
        <w:ind w:firstLine="48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2、本合同结算标准：</w:t>
      </w:r>
    </w:p>
    <w:tbl>
      <w:tblPr>
        <w:tblStyle w:val="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404"/>
        <w:gridCol w:w="2270"/>
        <w:gridCol w:w="2266"/>
        <w:gridCol w:w="19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91" w:hRule="atLeast"/>
        </w:trPr>
        <w:tc>
          <w:tcPr>
            <w:tcW w:w="1727"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等线"/>
                <w:b/>
                <w:bCs/>
                <w:color w:val="000000"/>
                <w:sz w:val="24"/>
                <w:szCs w:val="24"/>
                <w:lang w:val="en-US"/>
              </w:rPr>
            </w:pPr>
            <w:r>
              <w:rPr>
                <w:rFonts w:hint="eastAsia" w:ascii="仿宋" w:hAnsi="仿宋" w:eastAsia="仿宋" w:cs="等线"/>
                <w:b/>
                <w:bCs/>
                <w:color w:val="000000"/>
                <w:kern w:val="0"/>
                <w:sz w:val="24"/>
                <w:szCs w:val="24"/>
                <w:lang w:val="en-US" w:eastAsia="zh-CN" w:bidi="ar"/>
              </w:rPr>
              <w:t>项目名称</w:t>
            </w:r>
          </w:p>
        </w:tc>
        <w:tc>
          <w:tcPr>
            <w:tcW w:w="11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等线"/>
                <w:b/>
                <w:bCs/>
                <w:color w:val="000000"/>
                <w:sz w:val="24"/>
                <w:szCs w:val="24"/>
                <w:lang w:val="en-US"/>
              </w:rPr>
            </w:pPr>
            <w:r>
              <w:rPr>
                <w:rFonts w:hint="eastAsia" w:ascii="仿宋" w:hAnsi="仿宋" w:eastAsia="仿宋" w:cs="等线"/>
                <w:b/>
                <w:bCs/>
                <w:color w:val="000000"/>
                <w:kern w:val="0"/>
                <w:sz w:val="24"/>
                <w:szCs w:val="24"/>
                <w:lang w:val="en-US" w:eastAsia="zh-CN" w:bidi="ar"/>
              </w:rPr>
              <w:t>预计数量（辆）</w:t>
            </w:r>
          </w:p>
        </w:tc>
        <w:tc>
          <w:tcPr>
            <w:tcW w:w="115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等线"/>
                <w:b/>
                <w:bCs/>
                <w:color w:val="000000"/>
                <w:sz w:val="24"/>
                <w:szCs w:val="24"/>
                <w:lang w:val="en-US"/>
              </w:rPr>
            </w:pPr>
            <w:r>
              <w:rPr>
                <w:rFonts w:hint="eastAsia" w:ascii="仿宋" w:hAnsi="仿宋" w:eastAsia="仿宋" w:cs="等线"/>
                <w:b/>
                <w:bCs/>
                <w:color w:val="000000"/>
                <w:kern w:val="0"/>
                <w:sz w:val="24"/>
                <w:szCs w:val="24"/>
                <w:lang w:val="en-US" w:eastAsia="zh-CN" w:bidi="ar"/>
              </w:rPr>
              <w:t>服务周期（年）</w:t>
            </w:r>
          </w:p>
        </w:tc>
        <w:tc>
          <w:tcPr>
            <w:tcW w:w="969"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等线"/>
                <w:b/>
                <w:bCs/>
                <w:color w:val="000000"/>
                <w:sz w:val="24"/>
                <w:szCs w:val="24"/>
                <w:lang w:val="en-US"/>
              </w:rPr>
            </w:pPr>
            <w:r>
              <w:rPr>
                <w:rFonts w:hint="eastAsia" w:ascii="仿宋" w:hAnsi="仿宋" w:eastAsia="仿宋" w:cs="等线"/>
                <w:b/>
                <w:bCs/>
                <w:color w:val="000000"/>
                <w:kern w:val="0"/>
                <w:sz w:val="24"/>
                <w:szCs w:val="24"/>
                <w:lang w:val="en-US" w:eastAsia="zh-CN" w:bidi="ar"/>
              </w:rPr>
              <w:t>含税单价(元）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72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sz w:val="24"/>
                <w:szCs w:val="24"/>
                <w:lang w:val="en-US"/>
              </w:rPr>
            </w:pPr>
            <w:r>
              <w:rPr>
                <w:rFonts w:hint="eastAsia" w:ascii="仿宋" w:hAnsi="仿宋" w:eastAsia="仿宋" w:cs="等线"/>
                <w:color w:val="000000"/>
                <w:kern w:val="0"/>
                <w:sz w:val="24"/>
                <w:szCs w:val="24"/>
                <w:lang w:val="en-US" w:eastAsia="zh-CN" w:bidi="ar"/>
              </w:rPr>
              <w:t>人保财险四川省资阳市分公司安岳支公司营运客车“主动防御系统”网络服务采购项目</w:t>
            </w:r>
          </w:p>
        </w:tc>
        <w:tc>
          <w:tcPr>
            <w:tcW w:w="11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等线"/>
                <w:color w:val="000000"/>
                <w:sz w:val="24"/>
                <w:szCs w:val="24"/>
                <w:lang w:val="en-US"/>
              </w:rPr>
            </w:pPr>
          </w:p>
        </w:tc>
        <w:tc>
          <w:tcPr>
            <w:tcW w:w="115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等线"/>
                <w:color w:val="000000"/>
                <w:sz w:val="24"/>
                <w:szCs w:val="24"/>
                <w:lang w:val="en-US"/>
              </w:rPr>
            </w:pPr>
          </w:p>
        </w:tc>
        <w:tc>
          <w:tcPr>
            <w:tcW w:w="9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宋体"/>
                <w:color w:val="000000"/>
                <w:sz w:val="24"/>
                <w:szCs w:val="24"/>
                <w:lang w:val="en-US"/>
              </w:rPr>
            </w:pPr>
          </w:p>
        </w:tc>
      </w:tr>
    </w:tbl>
    <w:p>
      <w:pPr>
        <w:pStyle w:val="88"/>
        <w:widowControl w:val="0"/>
        <w:spacing w:line="480" w:lineRule="auto"/>
        <w:ind w:firstLine="480"/>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甲方向乙方支付的合同服务费用：根据实际服务数量据实结算费用，合同期限内总结算费用不超98000元，大写：玖万捌仟元整</w:t>
      </w:r>
      <w:r>
        <w:rPr>
          <w:rFonts w:hint="eastAsia" w:ascii="仿宋_GB2312" w:hAnsi="仿宋_GB2312" w:eastAsia="仿宋_GB2312" w:cs="仿宋_GB2312"/>
          <w:color w:val="auto"/>
          <w:highlight w:val="none"/>
          <w:lang w:eastAsia="zh-CN"/>
        </w:rPr>
        <w:t>。</w:t>
      </w:r>
    </w:p>
    <w:p>
      <w:pPr>
        <w:keepNext w:val="0"/>
        <w:keepLines w:val="0"/>
        <w:pageBreakBefore w:val="0"/>
        <w:bidi w:val="0"/>
        <w:spacing w:line="560" w:lineRule="exact"/>
        <w:ind w:firstLine="42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3、本协议中涉及的因双方本项目合作所产生的各自的投资及费用成本，由双方各自负。 </w:t>
      </w:r>
    </w:p>
    <w:p>
      <w:pPr>
        <w:keepNext w:val="0"/>
        <w:keepLines w:val="0"/>
        <w:pageBreakBefore w:val="0"/>
        <w:bidi w:val="0"/>
        <w:spacing w:line="560" w:lineRule="exact"/>
        <w:ind w:firstLine="42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w:t>
      </w: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firstLine="0"/>
        <w:jc w:val="left"/>
        <w:outlineLvl w:val="9"/>
        <w:rPr>
          <w:rFonts w:hint="eastAsia" w:ascii="仿宋_GB2312" w:hAnsi="仿宋_GB2312" w:eastAsia="仿宋_GB2312" w:cs="仿宋_GB2312"/>
          <w:color w:val="auto"/>
          <w:highlight w:val="none"/>
        </w:rPr>
      </w:pPr>
    </w:p>
    <w:p>
      <w:pPr>
        <w:pStyle w:val="88"/>
        <w:pageBreakBefore w:val="0"/>
        <w:widowControl w:val="0"/>
        <w:bidi w:val="0"/>
        <w:spacing w:line="600" w:lineRule="exact"/>
        <w:ind w:left="0" w:leftChars="0" w:firstLine="0" w:firstLineChars="0"/>
        <w:jc w:val="left"/>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bidi="ar-SA"/>
        </w:rPr>
        <w:t>附件三</w:t>
      </w:r>
      <w:r>
        <w:rPr>
          <w:rFonts w:hint="eastAsia" w:ascii="仿宋_GB2312" w:hAnsi="仿宋_GB2312" w:eastAsia="仿宋_GB2312" w:cs="仿宋_GB2312"/>
          <w:color w:val="auto"/>
          <w:sz w:val="24"/>
          <w:szCs w:val="24"/>
          <w:highlight w:val="none"/>
        </w:rPr>
        <w:t xml:space="preserve"> </w:t>
      </w:r>
    </w:p>
    <w:p>
      <w:pPr>
        <w:pageBreakBefore w:val="0"/>
        <w:bidi w:val="0"/>
        <w:spacing w:line="600" w:lineRule="exact"/>
        <w:ind w:firstLine="482"/>
        <w:jc w:val="center"/>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付款</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1.本合同使用货币种类为人民币。</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ab/>
      </w:r>
      <w:r>
        <w:rPr>
          <w:rFonts w:hint="eastAsia" w:ascii="仿宋_GB2312" w:hAnsi="仿宋_GB2312" w:eastAsia="仿宋_GB2312" w:cs="仿宋_GB2312"/>
          <w:color w:val="auto"/>
          <w:highlight w:val="none"/>
        </w:rPr>
        <w:t>开户行：</w:t>
      </w:r>
    </w:p>
    <w:p>
      <w:pPr>
        <w:pageBreakBefore w:val="0"/>
        <w:bidi w:val="0"/>
        <w:spacing w:after="120"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ab/>
      </w:r>
      <w:r>
        <w:rPr>
          <w:rFonts w:hint="eastAsia" w:ascii="仿宋_GB2312" w:hAnsi="仿宋_GB2312" w:eastAsia="仿宋_GB2312" w:cs="仿宋_GB2312"/>
          <w:color w:val="auto"/>
          <w:highlight w:val="none"/>
        </w:rPr>
        <w:t>账户名称：</w:t>
      </w:r>
    </w:p>
    <w:p>
      <w:pPr>
        <w:pageBreakBefore w:val="0"/>
        <w:bidi w:val="0"/>
        <w:spacing w:after="120"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ab/>
      </w:r>
      <w:r>
        <w:rPr>
          <w:rFonts w:hint="eastAsia" w:ascii="仿宋_GB2312" w:hAnsi="仿宋_GB2312" w:eastAsia="仿宋_GB2312" w:cs="仿宋_GB2312"/>
          <w:color w:val="auto"/>
          <w:highlight w:val="none"/>
        </w:rPr>
        <w:t>账号：</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乙方如需改变上述账户，应提前10日以书面通知甲方。</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3.付款安排</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我司与服务商双方根据</w:t>
      </w:r>
      <w:r>
        <w:rPr>
          <w:rFonts w:hint="eastAsia" w:ascii="仿宋_GB2312" w:hAnsi="仿宋_GB2312" w:eastAsia="仿宋_GB2312" w:cs="仿宋_GB2312"/>
          <w:color w:val="auto"/>
          <w:highlight w:val="none"/>
          <w:lang w:eastAsia="zh-CN"/>
        </w:rPr>
        <w:t>当期</w:t>
      </w:r>
      <w:r>
        <w:rPr>
          <w:rFonts w:hint="eastAsia" w:ascii="仿宋_GB2312" w:hAnsi="仿宋_GB2312" w:eastAsia="仿宋_GB2312" w:cs="仿宋_GB2312"/>
          <w:color w:val="auto"/>
          <w:highlight w:val="none"/>
        </w:rPr>
        <w:t>营运客车“主动防御系统”网络服务</w:t>
      </w:r>
      <w:r>
        <w:rPr>
          <w:rFonts w:hint="eastAsia" w:ascii="仿宋_GB2312" w:hAnsi="仿宋_GB2312" w:eastAsia="仿宋_GB2312" w:cs="仿宋_GB2312"/>
          <w:color w:val="auto"/>
          <w:highlight w:val="none"/>
          <w:lang w:eastAsia="zh-CN"/>
        </w:rPr>
        <w:t>实际产生的服务数量</w:t>
      </w:r>
      <w:r>
        <w:rPr>
          <w:rFonts w:hint="eastAsia" w:ascii="仿宋_GB2312" w:hAnsi="仿宋_GB2312" w:eastAsia="仿宋_GB2312" w:cs="仿宋_GB2312"/>
          <w:color w:val="auto"/>
          <w:highlight w:val="none"/>
        </w:rPr>
        <w:t>进行结算，付款前服务商须向我司出具足额有效的增值税专用发票；我司在收到服务商对应发票后15个工作日内向服务商支付合同服务费用。</w:t>
      </w:r>
    </w:p>
    <w:p>
      <w:pPr>
        <w:pageBreakBefore w:val="0"/>
        <w:numPr>
          <w:ilvl w:val="0"/>
          <w:numId w:val="4"/>
        </w:numPr>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乙方应向甲方开具专用增值税发票，甲方开票信息如下：</w:t>
      </w:r>
    </w:p>
    <w:p>
      <w:pPr>
        <w:pageBreakBefore w:val="0"/>
        <w:numPr>
          <w:ilvl w:val="0"/>
          <w:numId w:val="0"/>
        </w:numPr>
        <w:bidi w:val="0"/>
        <w:spacing w:line="600" w:lineRule="exact"/>
        <w:ind w:firstLine="96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公司名称：中国人民财产保险股份有限公司资阳市分公司</w:t>
      </w:r>
    </w:p>
    <w:p>
      <w:pPr>
        <w:pageBreakBefore w:val="0"/>
        <w:bidi w:val="0"/>
        <w:spacing w:line="600" w:lineRule="exact"/>
        <w:ind w:firstLine="96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纳税人识别号：</w:t>
      </w:r>
      <w:r>
        <w:rPr>
          <w:rFonts w:hint="eastAsia" w:ascii="仿宋_GB2312" w:hAnsi="仿宋_GB2312" w:eastAsia="仿宋_GB2312" w:cs="仿宋_GB2312"/>
          <w:color w:val="auto"/>
          <w:highlight w:val="none"/>
          <w:lang w:val="en-US" w:eastAsia="zh-CN"/>
        </w:rPr>
        <w:t xml:space="preserve">91512000731638278R </w:t>
      </w:r>
    </w:p>
    <w:p>
      <w:pPr>
        <w:pageBreakBefore w:val="0"/>
        <w:bidi w:val="0"/>
        <w:spacing w:line="600" w:lineRule="exact"/>
        <w:ind w:left="480"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地址：</w:t>
      </w:r>
      <w:r>
        <w:rPr>
          <w:rFonts w:hint="eastAsia" w:ascii="仿宋_GB2312" w:hAnsi="仿宋_GB2312" w:eastAsia="仿宋_GB2312" w:cs="仿宋_GB2312"/>
          <w:color w:val="auto"/>
          <w:highlight w:val="none"/>
          <w:lang w:val="en-US" w:eastAsia="zh-CN"/>
        </w:rPr>
        <w:t>四川省资阳市雁江区宝台镇黄泥村弘城水韵和中城建.新城市广场（一期）25号楼25（F）</w:t>
      </w:r>
    </w:p>
    <w:p>
      <w:pPr>
        <w:pageBreakBefore w:val="0"/>
        <w:bidi w:val="0"/>
        <w:spacing w:line="600" w:lineRule="exact"/>
        <w:ind w:firstLine="960"/>
        <w:jc w:val="left"/>
        <w:outlineLvl w:val="9"/>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电话：028-26758789</w:t>
      </w:r>
    </w:p>
    <w:p>
      <w:pPr>
        <w:pageBreakBefore w:val="0"/>
        <w:bidi w:val="0"/>
        <w:spacing w:line="600" w:lineRule="exact"/>
        <w:ind w:firstLine="960"/>
        <w:jc w:val="left"/>
        <w:outlineLvl w:val="9"/>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开户银行名称：中国工商银行股份有限公司资阳分行</w:t>
      </w:r>
    </w:p>
    <w:p>
      <w:pPr>
        <w:pageBreakBefore w:val="0"/>
        <w:bidi w:val="0"/>
        <w:spacing w:line="600" w:lineRule="exact"/>
        <w:ind w:firstLine="96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开户银行帐号：2307488109023100417</w:t>
      </w:r>
    </w:p>
    <w:p>
      <w:pPr>
        <w:pageBreakBefore w:val="0"/>
        <w:bidi w:val="0"/>
        <w:spacing w:line="600" w:lineRule="exact"/>
        <w:ind w:left="480" w:firstLine="482"/>
        <w:jc w:val="left"/>
        <w:outlineLvl w:val="9"/>
        <w:rPr>
          <w:rFonts w:hint="eastAsia" w:ascii="仿宋_GB2312" w:hAnsi="仿宋_GB2312" w:eastAsia="仿宋_GB2312" w:cs="仿宋_GB2312"/>
          <w:b/>
          <w:bCs/>
          <w:color w:val="auto"/>
          <w:sz w:val="24"/>
          <w:szCs w:val="24"/>
          <w:highlight w:val="none"/>
          <w:lang w:val="en-US" w:eastAsia="zh-CN" w:bidi="ar-SA"/>
        </w:rPr>
      </w:pPr>
    </w:p>
    <w:p>
      <w:pPr>
        <w:pStyle w:val="2"/>
        <w:rPr>
          <w:rFonts w:hint="eastAsia"/>
          <w:lang w:val="en-US" w:eastAsia="zh-CN"/>
        </w:rPr>
      </w:pPr>
    </w:p>
    <w:p>
      <w:pPr>
        <w:pageBreakBefore w:val="0"/>
        <w:bidi w:val="0"/>
        <w:spacing w:line="600" w:lineRule="exact"/>
        <w:jc w:val="left"/>
        <w:outlineLvl w:val="9"/>
        <w:rPr>
          <w:rFonts w:hint="eastAsia" w:ascii="仿宋_GB2312" w:hAnsi="仿宋_GB2312" w:eastAsia="仿宋_GB2312" w:cs="仿宋_GB2312"/>
          <w:b/>
          <w:bCs/>
          <w:color w:val="auto"/>
          <w:sz w:val="24"/>
          <w:szCs w:val="24"/>
          <w:highlight w:val="none"/>
          <w:lang w:val="en-US" w:eastAsia="zh-CN" w:bidi="ar-SA"/>
        </w:rPr>
      </w:pPr>
      <w:r>
        <w:rPr>
          <w:rFonts w:hint="eastAsia" w:ascii="仿宋_GB2312" w:hAnsi="仿宋_GB2312" w:eastAsia="仿宋_GB2312" w:cs="仿宋_GB2312"/>
          <w:b/>
          <w:bCs/>
          <w:color w:val="auto"/>
          <w:sz w:val="24"/>
          <w:szCs w:val="24"/>
          <w:highlight w:val="none"/>
          <w:lang w:val="en-US" w:eastAsia="zh-CN" w:bidi="ar-SA"/>
        </w:rPr>
        <w:t>附件四</w:t>
      </w:r>
    </w:p>
    <w:p>
      <w:pPr>
        <w:pageBreakBefore w:val="0"/>
        <w:bidi w:val="0"/>
        <w:spacing w:line="600" w:lineRule="exact"/>
        <w:ind w:firstLine="482"/>
        <w:jc w:val="center"/>
        <w:outlineLvl w:val="9"/>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双方的权利和义务</w:t>
      </w:r>
    </w:p>
    <w:p>
      <w:pPr>
        <w:pageBreakBefore w:val="0"/>
        <w:numPr>
          <w:ilvl w:val="0"/>
          <w:numId w:val="5"/>
        </w:numPr>
        <w:bidi w:val="0"/>
        <w:spacing w:line="600" w:lineRule="exact"/>
        <w:ind w:left="480"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甲方的权利和义务</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1.1甲方指派专人参与乙方提供服务时需要甲方参与的工作过程，并</w:t>
      </w:r>
      <w:r>
        <w:rPr>
          <w:rFonts w:hint="eastAsia" w:ascii="仿宋_GB2312" w:hAnsi="仿宋_GB2312" w:eastAsia="仿宋_GB2312" w:cs="仿宋_GB2312"/>
          <w:color w:val="auto"/>
          <w:highlight w:val="none"/>
          <w:lang w:eastAsia="zh-CN"/>
        </w:rPr>
        <w:t>检查</w:t>
      </w:r>
      <w:r>
        <w:rPr>
          <w:rFonts w:hint="eastAsia" w:ascii="仿宋_GB2312" w:hAnsi="仿宋_GB2312" w:eastAsia="仿宋_GB2312" w:cs="仿宋_GB2312"/>
          <w:color w:val="auto"/>
          <w:highlight w:val="none"/>
        </w:rPr>
        <w:t>乙方提供</w:t>
      </w:r>
      <w:r>
        <w:rPr>
          <w:rFonts w:hint="eastAsia" w:ascii="仿宋_GB2312" w:hAnsi="仿宋_GB2312" w:eastAsia="仿宋_GB2312" w:cs="仿宋_GB2312"/>
          <w:color w:val="auto"/>
          <w:highlight w:val="none"/>
          <w:lang w:eastAsia="zh-CN"/>
        </w:rPr>
        <w:t>服务的真实性</w:t>
      </w:r>
      <w:r>
        <w:rPr>
          <w:rFonts w:hint="eastAsia" w:ascii="仿宋_GB2312" w:hAnsi="仿宋_GB2312" w:eastAsia="仿宋_GB2312" w:cs="仿宋_GB2312"/>
          <w:color w:val="auto"/>
          <w:highlight w:val="none"/>
        </w:rPr>
        <w:t>；</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1.2甲方有权制止和纠正乙方违反甲方有关保险业务要求和管理规定的行为；</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r>
        <w:rPr>
          <w:rFonts w:hint="eastAsia" w:ascii="仿宋_GB2312" w:hAnsi="仿宋_GB2312" w:eastAsia="仿宋_GB2312" w:cs="仿宋_GB2312"/>
          <w:color w:val="auto"/>
          <w:highlight w:val="none"/>
          <w:lang w:val="en-US" w:eastAsia="zh-CN"/>
        </w:rPr>
        <w:t>3</w:t>
      </w:r>
      <w:r>
        <w:rPr>
          <w:rFonts w:hint="eastAsia" w:ascii="仿宋_GB2312" w:hAnsi="仿宋_GB2312" w:eastAsia="仿宋_GB2312" w:cs="仿宋_GB2312"/>
          <w:color w:val="auto"/>
          <w:highlight w:val="none"/>
        </w:rPr>
        <w:t>甲方有权利评估乙方服务质量与履行承诺的情况；</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r>
        <w:rPr>
          <w:rFonts w:hint="eastAsia" w:ascii="仿宋_GB2312" w:hAnsi="仿宋_GB2312" w:eastAsia="仿宋_GB2312" w:cs="仿宋_GB2312"/>
          <w:color w:val="auto"/>
          <w:highlight w:val="none"/>
          <w:lang w:val="en-US" w:eastAsia="zh-CN"/>
        </w:rPr>
        <w:t>4</w:t>
      </w:r>
      <w:r>
        <w:rPr>
          <w:rFonts w:hint="eastAsia" w:ascii="仿宋_GB2312" w:hAnsi="仿宋_GB2312" w:eastAsia="仿宋_GB2312" w:cs="仿宋_GB2312"/>
          <w:color w:val="auto"/>
          <w:highlight w:val="none"/>
        </w:rPr>
        <w:t>甲方有义务按照约定的日期、结算方式与乙方结算服务费用；</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r>
        <w:rPr>
          <w:rFonts w:hint="eastAsia" w:ascii="仿宋_GB2312" w:hAnsi="仿宋_GB2312" w:eastAsia="仿宋_GB2312" w:cs="仿宋_GB2312"/>
          <w:color w:val="auto"/>
          <w:highlight w:val="none"/>
          <w:lang w:val="en-US" w:eastAsia="zh-CN"/>
        </w:rPr>
        <w:t>5</w:t>
      </w:r>
      <w:r>
        <w:rPr>
          <w:rFonts w:hint="eastAsia" w:ascii="仿宋_GB2312" w:hAnsi="仿宋_GB2312" w:eastAsia="仿宋_GB2312" w:cs="仿宋_GB2312"/>
          <w:color w:val="auto"/>
          <w:highlight w:val="none"/>
        </w:rPr>
        <w:t>甲方指定</w:t>
      </w:r>
      <w:r>
        <w:rPr>
          <w:rFonts w:hint="eastAsia" w:ascii="仿宋_GB2312" w:hAnsi="仿宋_GB2312" w:eastAsia="仿宋_GB2312" w:cs="仿宋_GB2312"/>
          <w:color w:val="auto"/>
          <w:highlight w:val="none"/>
          <w:lang w:val="en-US" w:eastAsia="zh-CN"/>
        </w:rPr>
        <w:t>**</w:t>
      </w:r>
      <w:r>
        <w:rPr>
          <w:rFonts w:hint="eastAsia" w:ascii="仿宋_GB2312" w:hAnsi="仿宋_GB2312" w:eastAsia="仿宋_GB2312" w:cs="仿宋_GB2312"/>
          <w:color w:val="auto"/>
          <w:highlight w:val="none"/>
        </w:rPr>
        <w:t>作为商务联系人，电子邮箱</w:t>
      </w:r>
      <w:r>
        <w:rPr>
          <w:rFonts w:hint="eastAsia" w:ascii="仿宋_GB2312" w:hAnsi="仿宋_GB2312" w:eastAsia="仿宋_GB2312" w:cs="仿宋_GB2312"/>
          <w:color w:val="auto"/>
          <w:highlight w:val="none"/>
          <w:lang w:val="en-US" w:eastAsia="zh-CN"/>
        </w:rPr>
        <w:t xml:space="preserve">                 </w:t>
      </w:r>
      <w:r>
        <w:rPr>
          <w:rFonts w:hint="eastAsia" w:ascii="仿宋_GB2312" w:hAnsi="仿宋_GB2312" w:eastAsia="仿宋_GB2312" w:cs="仿宋_GB2312"/>
          <w:color w:val="auto"/>
          <w:highlight w:val="none"/>
        </w:rPr>
        <w:t>，甲乙双方联系人可通过前述指定邮箱以邮件形式就协议约定事项的具体执行事宜进行沟通，其内容表述（在不更改协议实质内容的前提下）可以作为双方执行协议的依据。</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2、乙方的权利和义务</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2.1乙方负责为甲方的整个</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流程与开展；</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2.2.乙方保证其拥有开展本协议约定业务的合法资质，且所提供</w:t>
      </w:r>
      <w:r>
        <w:rPr>
          <w:rFonts w:hint="eastAsia" w:ascii="仿宋_GB2312" w:hAnsi="仿宋_GB2312" w:eastAsia="仿宋_GB2312" w:cs="仿宋_GB2312"/>
          <w:color w:val="auto"/>
          <w:highlight w:val="none"/>
          <w:lang w:eastAsia="zh-CN"/>
        </w:rPr>
        <w:t>的服务</w:t>
      </w:r>
      <w:r>
        <w:rPr>
          <w:rFonts w:hint="eastAsia" w:ascii="仿宋_GB2312" w:hAnsi="仿宋_GB2312" w:eastAsia="仿宋_GB2312" w:cs="仿宋_GB2312"/>
          <w:color w:val="auto"/>
          <w:highlight w:val="none"/>
        </w:rPr>
        <w:t>合法合规，且取得相应的授权，并同意向甲方提供其拥有合法资质的相关证明文件及证照复印件。否则若因此引起法律纠纷，由乙方承担所有的法律责任；</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2.3.乙方负责承担</w:t>
      </w:r>
      <w:r>
        <w:rPr>
          <w:rFonts w:hint="eastAsia" w:ascii="仿宋_GB2312" w:hAnsi="仿宋_GB2312" w:eastAsia="仿宋_GB2312" w:cs="仿宋_GB2312"/>
          <w:color w:val="auto"/>
          <w:highlight w:val="none"/>
          <w:lang w:eastAsia="zh-CN"/>
        </w:rPr>
        <w:t>网络</w:t>
      </w:r>
      <w:r>
        <w:rPr>
          <w:rFonts w:hint="eastAsia" w:ascii="仿宋_GB2312" w:hAnsi="仿宋_GB2312" w:eastAsia="仿宋_GB2312" w:cs="仿宋_GB2312"/>
          <w:color w:val="auto"/>
          <w:highlight w:val="none"/>
        </w:rPr>
        <w:t>服务合作业务中产生的各种咨询和投诉的处理工作，并建立有效通畅的投诉处理机制，妥善处理用户投诉；</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2.4.乙方应自行承担合同约定的由其负责或完成事项的相关费用；</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2.5.乙方指定  作为商务联系人，电子邮箱为  ，甲乙双方联系人可通过前述指定邮箱以邮件形式就协议约定事项的具体执行事宜进行沟通，其内容表述（在不更改协议实质内容的前提下）可以作为双方执行协议的依据。</w:t>
      </w:r>
    </w:p>
    <w:p>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color w:val="auto"/>
          <w:sz w:val="24"/>
          <w:szCs w:val="24"/>
          <w:highlight w:val="none"/>
        </w:rPr>
      </w:pPr>
    </w:p>
    <w:p>
      <w:pPr>
        <w:pageBreakBefore w:val="0"/>
        <w:bidi w:val="0"/>
        <w:spacing w:line="600" w:lineRule="exact"/>
        <w:jc w:val="left"/>
        <w:outlineLvl w:val="9"/>
        <w:rPr>
          <w:rFonts w:hint="eastAsia" w:ascii="仿宋_GB2312" w:hAnsi="仿宋_GB2312" w:eastAsia="仿宋_GB2312" w:cs="仿宋_GB2312"/>
          <w:b/>
          <w:bCs/>
          <w:color w:val="auto"/>
          <w:sz w:val="24"/>
          <w:szCs w:val="24"/>
          <w:highlight w:val="none"/>
          <w:lang w:val="en-US" w:eastAsia="zh-CN" w:bidi="ar-SA"/>
        </w:rPr>
      </w:pPr>
      <w:r>
        <w:rPr>
          <w:rFonts w:hint="eastAsia" w:ascii="仿宋_GB2312" w:hAnsi="仿宋_GB2312" w:eastAsia="仿宋_GB2312" w:cs="仿宋_GB2312"/>
          <w:b/>
          <w:bCs/>
          <w:color w:val="auto"/>
          <w:sz w:val="24"/>
          <w:szCs w:val="24"/>
          <w:highlight w:val="none"/>
          <w:lang w:val="en-US" w:eastAsia="zh-CN" w:bidi="ar-SA"/>
        </w:rPr>
        <w:t>附件五</w:t>
      </w:r>
    </w:p>
    <w:p>
      <w:pPr>
        <w:pageBreakBefore w:val="0"/>
        <w:bidi w:val="0"/>
        <w:spacing w:line="600" w:lineRule="exact"/>
        <w:ind w:firstLine="482"/>
        <w:jc w:val="center"/>
        <w:outlineLvl w:val="9"/>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rPr>
        <w:t>违约责任</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除合同约定的违约责任以外，任何一方存在以下约定情形的，应承担相应的违约责任：</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1、由于乙方服务质量（包括但不限于：服务态度不佳、对客户不诚信）导致甲方客户投诉，甲方有权要求乙方协助查明事件真相，并在一个工作日内提交调查结果，对甲方客户造成的损失由乙方承担。</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2、因乙方服务人员工作疏忽导致客户产生重大投诉的，乙方需协助客户进行后续处理，办理过程中产生的费用由乙方承担。</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3、免责条款</w:t>
      </w:r>
    </w:p>
    <w:p>
      <w:pPr>
        <w:pageBreakBefore w:val="0"/>
        <w:bidi w:val="0"/>
        <w:spacing w:line="600" w:lineRule="exact"/>
        <w:ind w:firstLine="480"/>
        <w:jc w:val="left"/>
        <w:outlineLvl w:val="9"/>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因甲方服务人员误导客户造成投诉的，乙方不承担责任。</w:t>
      </w:r>
    </w:p>
    <w:p>
      <w:pPr>
        <w:numPr>
          <w:ilvl w:val="0"/>
          <w:numId w:val="0"/>
        </w:numPr>
        <w:rPr>
          <w:rFonts w:hint="eastAsia" w:ascii="仿宋_GB2312" w:hAnsi="仿宋_GB2312" w:eastAsia="仿宋_GB2312" w:cs="仿宋_GB2312"/>
          <w:color w:val="auto"/>
          <w:highlight w:val="none"/>
          <w:lang w:val="en-US" w:eastAsia="zh-CN"/>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color w:val="auto"/>
          <w:sz w:val="24"/>
          <w:szCs w:val="24"/>
          <w:highlight w:val="none"/>
        </w:rPr>
      </w:pPr>
    </w:p>
    <w:p>
      <w:pPr>
        <w:keepNext w:val="0"/>
        <w:keepLines w:val="0"/>
        <w:pageBreakBefore w:val="0"/>
        <w:bidi w:val="0"/>
        <w:spacing w:line="600" w:lineRule="exact"/>
        <w:ind w:left="0" w:firstLine="482"/>
        <w:jc w:val="both"/>
        <w:outlineLvl w:val="9"/>
        <w:rPr>
          <w:rFonts w:hint="eastAsia" w:ascii="仿宋_GB2312" w:hAnsi="仿宋_GB2312" w:eastAsia="仿宋_GB2312" w:cs="仿宋_GB2312"/>
          <w:b/>
          <w:bCs/>
          <w:color w:val="auto"/>
          <w:sz w:val="24"/>
          <w:szCs w:val="24"/>
          <w:highlight w:val="none"/>
        </w:rPr>
      </w:pPr>
    </w:p>
    <w:p>
      <w:pPr>
        <w:keepNext w:val="0"/>
        <w:keepLines w:val="0"/>
        <w:pageBreakBefore w:val="0"/>
        <w:bidi w:val="0"/>
        <w:spacing w:line="600" w:lineRule="exact"/>
        <w:ind w:left="0" w:firstLine="0"/>
        <w:jc w:val="both"/>
        <w:outlineLvl w:val="9"/>
        <w:rPr>
          <w:rFonts w:hint="eastAsia" w:ascii="仿宋_GB2312" w:hAnsi="仿宋_GB2312" w:eastAsia="仿宋_GB2312" w:cs="仿宋_GB2312"/>
          <w:b/>
          <w:bCs/>
          <w:color w:val="auto"/>
          <w:sz w:val="24"/>
          <w:szCs w:val="24"/>
          <w:highlight w:val="none"/>
        </w:rPr>
      </w:pPr>
    </w:p>
    <w:p>
      <w:pPr>
        <w:keepNext w:val="0"/>
        <w:keepLines w:val="0"/>
        <w:pageBreakBefore w:val="0"/>
        <w:bidi w:val="0"/>
        <w:spacing w:line="600" w:lineRule="exact"/>
        <w:jc w:val="both"/>
        <w:outlineLvl w:val="9"/>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rPr>
        <w:t>附件</w:t>
      </w:r>
      <w:r>
        <w:rPr>
          <w:rFonts w:hint="eastAsia" w:ascii="仿宋_GB2312" w:hAnsi="仿宋_GB2312" w:eastAsia="仿宋_GB2312" w:cs="仿宋_GB2312"/>
          <w:b/>
          <w:color w:val="auto"/>
          <w:sz w:val="24"/>
          <w:szCs w:val="24"/>
          <w:highlight w:val="none"/>
          <w:lang w:val="en-US" w:eastAsia="zh-CN"/>
        </w:rPr>
        <w:t>六</w:t>
      </w:r>
    </w:p>
    <w:p>
      <w:pPr>
        <w:keepNext w:val="0"/>
        <w:keepLines w:val="0"/>
        <w:pageBreakBefore w:val="0"/>
        <w:bidi w:val="0"/>
        <w:spacing w:line="600" w:lineRule="exact"/>
        <w:ind w:left="0" w:firstLine="482"/>
        <w:jc w:val="center"/>
        <w:outlineLvl w:val="9"/>
        <w:rPr>
          <w:rFonts w:hint="eastAsia" w:ascii="仿宋_GB2312" w:hAnsi="仿宋_GB2312" w:eastAsia="仿宋_GB2312" w:cs="仿宋_GB2312"/>
          <w:b/>
          <w:bCs/>
          <w:color w:val="auto"/>
          <w:sz w:val="24"/>
          <w:szCs w:val="24"/>
          <w:highlight w:val="none"/>
          <w:lang w:val="en-US" w:eastAsia="zh-CN" w:bidi="ar-SA"/>
        </w:rPr>
      </w:pPr>
      <w:r>
        <w:rPr>
          <w:rFonts w:hint="eastAsia" w:ascii="仿宋_GB2312" w:hAnsi="仿宋_GB2312" w:eastAsia="仿宋_GB2312" w:cs="仿宋_GB2312"/>
          <w:b/>
          <w:bCs/>
          <w:color w:val="auto"/>
          <w:sz w:val="24"/>
          <w:szCs w:val="24"/>
          <w:highlight w:val="none"/>
          <w:lang w:val="en-US" w:eastAsia="zh-CN" w:bidi="ar-SA"/>
        </w:rPr>
        <w:t>廉洁诚信协议</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第一条  总则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1.3本协议所称相关主体，对任何一方而言，包括但不限于以下单位或者个人：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（1）一方或其关联方之工作人员；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（2）受一方委托办理相关事务的单位或者个人；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（3）利用职权或者影响力影响交易的单位或者个人；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（4）前述相关人员的亲属；</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（5）与前述相关主体存在利害关系的其他单位或者人员。</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乙方相关主体实施违反本协议约定之行为的，均应视为乙方实施行为。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第二条  商业贿赂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2.3本条第1款所称其他形式，包括但不限于：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（1）以任何方式实施商业贿赂或违规提供回扣、折扣、宴请与游玩活动或其他不正当利益；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（2）为甲方或甲方相关主体安排有可能影响公平、公正交易的宴请、健身、娱乐等活动；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（3）为甲方或甲方相关主体投资入股、个人借款或买卖股票、债券等提供方便；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（6）向甲方或甲方相关主体提供借款、融资、担保等；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（7）给予或承诺给予其不正当利益的其他行为；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（8）其他违反国家法律法规或商业道德准则的影响公正交易的行为。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第三条  回扣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3.3乙方在账外暗中给予甲方相关主体回扣的，视为实施商业贿赂行为。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第四条  折扣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4.4乙方违反本条约定的，视为实施商业贿赂行为。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第五条  宴请与游玩活动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5.3乙方违反本条约定的，视为实施商业贿赂行为。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第六条  禁止行为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双方一致同意双方或双方相关主体的如下行为是应当禁止的营私舞弊或腐败行为：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6.1甲方及甲方相关主体向乙方索要或收受财物或其他形式的财产性利益、非财产性利益。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（1）报销甲方相关主体的私人费用；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（2）提供超过宴请标准的宴请或娱乐活动；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（3）介绍甲方相关主体亲友到乙方处工作；</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（4）提出、邀请或事实上接受甲方相关主体在乙方参股或参与乙方经营活动；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（5）组织或向甲方相关主体提供旅游等代偿活动利益；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（6）向甲方相关主体提供借款、融资、担保等；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（7）给予或承诺给予甲方相关主体不正当利益的其他行为；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（8）其他违反本协议约定、国家法律法规或商业道德准则的影响公正交易的行为。</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第七条  乙方承诺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乙方承诺在双方的商务接洽、合同关系、交易过程中遵守如下要求：</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7.1 避免利害关系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7.2 恪守廉洁自律原则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7.3 恪守诚实信用原则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7.3.3严格遵守甲方的供应商行为准则、合作协议、保密承诺书等政策文件中的相关规定。</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7.3.5严格遵守国家相关法律法规及甲方的管理规定，不参与任何违法活动。</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7.4 确保信息公开透明</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7.5 积极配合监督举报</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7.6 加强内部廉洁管理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7.6.3建立举报制度：鼓励员工积极举报违规行为，对举报人予以保护并给予奖励。</w:t>
      </w:r>
    </w:p>
    <w:p>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第八条  违约责任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8.3 如乙方违反本协议任何约定或承诺，</w:t>
      </w:r>
      <w:r>
        <w:rPr>
          <w:rFonts w:hint="eastAsia" w:ascii="仿宋_GB2312" w:hAnsi="仿宋_GB2312" w:eastAsia="仿宋_GB2312" w:cs="仿宋_GB2312"/>
          <w:b/>
          <w:bCs/>
          <w:color w:val="auto"/>
          <w:sz w:val="24"/>
          <w:szCs w:val="24"/>
          <w:highlight w:val="none"/>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8.4</w:t>
      </w:r>
      <w:r>
        <w:rPr>
          <w:rFonts w:hint="eastAsia" w:ascii="仿宋_GB2312" w:hAnsi="仿宋_GB2312" w:eastAsia="仿宋_GB2312" w:cs="仿宋_GB2312"/>
          <w:b/>
          <w:bCs/>
          <w:color w:val="auto"/>
          <w:sz w:val="24"/>
          <w:szCs w:val="24"/>
          <w:highlight w:val="none"/>
          <w:lang w:val="en-US" w:eastAsia="zh-CN" w:bidi="ar"/>
        </w:rPr>
        <w:t>甲方及甲方子公司按照前述条款要求乙方承担赔偿责任的，</w:t>
      </w:r>
      <w:r>
        <w:rPr>
          <w:rFonts w:hint="eastAsia" w:ascii="仿宋_GB2312" w:hAnsi="仿宋_GB2312" w:eastAsia="仿宋_GB2312" w:cs="仿宋_GB2312"/>
          <w:color w:val="auto"/>
          <w:sz w:val="24"/>
          <w:szCs w:val="24"/>
          <w:highlight w:val="none"/>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8.5乙方知悉并同意，对于上述情形的处理甲方有完全的判断权和自主权。</w:t>
      </w:r>
    </w:p>
    <w:p>
      <w:pPr>
        <w:keepNext w:val="0"/>
        <w:keepLines w:val="0"/>
        <w:pageBreakBefore w:val="0"/>
        <w:widowControl w:val="0"/>
        <w:suppressLineNumbers w:val="0"/>
        <w:bidi w:val="0"/>
        <w:spacing w:before="312" w:beforeAutospacing="0" w:after="312" w:afterAutospacing="0" w:line="600" w:lineRule="exact"/>
        <w:ind w:left="0" w:right="0" w:firstLine="482"/>
        <w:jc w:val="center"/>
        <w:outlineLvl w:val="9"/>
        <w:rPr>
          <w:rFonts w:hint="eastAsia" w:ascii="仿宋_GB2312" w:hAnsi="仿宋_GB2312" w:eastAsia="仿宋_GB2312" w:cs="仿宋_GB2312"/>
          <w:b/>
          <w:bCs/>
          <w:color w:val="auto"/>
          <w:sz w:val="24"/>
          <w:szCs w:val="24"/>
          <w:highlight w:val="none"/>
          <w:lang w:val="en-US"/>
        </w:rPr>
      </w:pPr>
      <w:r>
        <w:rPr>
          <w:rFonts w:hint="eastAsia" w:ascii="仿宋_GB2312" w:hAnsi="仿宋_GB2312" w:eastAsia="仿宋_GB2312" w:cs="仿宋_GB2312"/>
          <w:b/>
          <w:bCs/>
          <w:color w:val="auto"/>
          <w:sz w:val="24"/>
          <w:szCs w:val="24"/>
          <w:highlight w:val="none"/>
          <w:lang w:val="en-US" w:eastAsia="zh-CN" w:bidi="ar"/>
        </w:rPr>
        <w:t>第九条  附则</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bidi w:val="0"/>
        <w:spacing w:line="600" w:lineRule="exact"/>
        <w:ind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9.5本协议长期有效</w:t>
      </w:r>
    </w:p>
    <w:p>
      <w:pPr>
        <w:pStyle w:val="87"/>
        <w:rPr>
          <w:rFonts w:hint="eastAsia" w:ascii="仿宋_GB2312" w:hAnsi="仿宋_GB2312" w:eastAsia="仿宋_GB2312" w:cs="仿宋_GB2312"/>
          <w:color w:val="auto"/>
          <w:sz w:val="24"/>
          <w:szCs w:val="24"/>
          <w:highlight w:val="none"/>
          <w:lang w:val="en-US" w:eastAsia="zh-CN" w:bidi="ar"/>
        </w:rPr>
      </w:pPr>
    </w:p>
    <w:p>
      <w:pPr>
        <w:keepNext w:val="0"/>
        <w:keepLines w:val="0"/>
        <w:pageBreakBefore w:val="0"/>
        <w:bidi w:val="0"/>
        <w:spacing w:line="600" w:lineRule="exact"/>
        <w:jc w:val="both"/>
        <w:outlineLvl w:val="9"/>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rPr>
        <w:t>附件</w:t>
      </w:r>
      <w:r>
        <w:rPr>
          <w:rFonts w:hint="eastAsia" w:ascii="仿宋_GB2312" w:hAnsi="仿宋_GB2312" w:eastAsia="仿宋_GB2312" w:cs="仿宋_GB2312"/>
          <w:b/>
          <w:color w:val="auto"/>
          <w:sz w:val="24"/>
          <w:szCs w:val="24"/>
          <w:highlight w:val="none"/>
          <w:lang w:eastAsia="zh-CN"/>
        </w:rPr>
        <w:t>七</w:t>
      </w:r>
    </w:p>
    <w:p>
      <w:pPr>
        <w:keepNext w:val="0"/>
        <w:keepLines w:val="0"/>
        <w:pageBreakBefore w:val="0"/>
        <w:bidi w:val="0"/>
        <w:spacing w:line="600" w:lineRule="exact"/>
        <w:ind w:left="0" w:firstLine="723"/>
        <w:jc w:val="both"/>
        <w:outlineLvl w:val="9"/>
        <w:rPr>
          <w:rFonts w:hint="default" w:ascii="仿宋_GB2312" w:eastAsia="宋体"/>
          <w:b/>
          <w:color w:val="auto"/>
          <w:sz w:val="32"/>
          <w:szCs w:val="32"/>
          <w:highlight w:val="none"/>
          <w:lang w:val="en-US" w:eastAsia="zh-CN"/>
        </w:rPr>
      </w:pPr>
      <w:r>
        <w:rPr>
          <w:rFonts w:hint="eastAsia" w:ascii="仿宋_GB2312" w:hAnsi="仿宋_GB2312" w:eastAsia="仿宋_GB2312" w:cs="仿宋_GB2312"/>
          <w:b/>
          <w:bCs/>
          <w:color w:val="auto"/>
          <w:sz w:val="24"/>
          <w:szCs w:val="24"/>
          <w:highlight w:val="none"/>
          <w:lang w:val="en-US" w:eastAsia="zh-CN" w:bidi="ar-SA"/>
        </w:rPr>
        <w:t xml:space="preserve">                消费者权益保护条款 </w:t>
      </w:r>
      <w:r>
        <w:rPr>
          <w:rFonts w:hint="eastAsia" w:ascii="楷体" w:hAnsi="楷体" w:eastAsia="楷体" w:cs="楷体"/>
          <w:color w:val="auto"/>
          <w:sz w:val="28"/>
          <w:szCs w:val="28"/>
          <w:highlight w:val="none"/>
          <w:lang w:val="en-US" w:eastAsia="zh-CN"/>
        </w:rPr>
        <w:t xml:space="preserve">  </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1.双方应严格按照相关法律法规要求履行消费者权益保护相关责任和义务。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4.如乙方开展营销的，应履行销售适当性义务，建立适当性管理机制，严格落实监管机构对适当性管理的要求。</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5.甲方不得利用业务便利，强制指定乙方为消费者提供收费服务。</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6.甲、乙双方应建立健全消费者投诉处理机制，明示消费者投诉渠道和方式，完善投诉数据统计，妥善对接和处理合作过程中发生的保险消费纠纷。就消费投诉，</w:t>
      </w:r>
      <w:r>
        <w:rPr>
          <w:rFonts w:hint="eastAsia" w:ascii="仿宋_GB2312" w:hAnsi="仿宋_GB2312" w:eastAsia="仿宋_GB2312" w:cs="仿宋_GB2312"/>
          <w:color w:val="auto"/>
          <w:sz w:val="24"/>
          <w:szCs w:val="24"/>
          <w:highlight w:val="none"/>
          <w:lang w:val="zh-CN" w:eastAsia="zh-CN" w:bidi="ar"/>
        </w:rPr>
        <w:t>应积极落实首问负责制，在</w:t>
      </w:r>
      <w:r>
        <w:rPr>
          <w:rFonts w:hint="eastAsia" w:ascii="仿宋_GB2312" w:hAnsi="仿宋_GB2312" w:eastAsia="仿宋_GB2312" w:cs="仿宋_GB2312"/>
          <w:color w:val="auto"/>
          <w:sz w:val="24"/>
          <w:szCs w:val="24"/>
          <w:highlight w:val="none"/>
          <w:lang w:val="en-US" w:eastAsia="zh-CN" w:bidi="ar"/>
        </w:rPr>
        <w:t>消费者</w:t>
      </w:r>
      <w:r>
        <w:rPr>
          <w:rFonts w:hint="eastAsia" w:ascii="仿宋_GB2312" w:hAnsi="仿宋_GB2312" w:eastAsia="仿宋_GB2312" w:cs="仿宋_GB2312"/>
          <w:color w:val="auto"/>
          <w:sz w:val="24"/>
          <w:szCs w:val="24"/>
          <w:highlight w:val="none"/>
          <w:lang w:val="zh-CN" w:eastAsia="zh-CN" w:bidi="ar"/>
        </w:rPr>
        <w:t>投诉发生的第一时间及时处理并</w:t>
      </w:r>
      <w:r>
        <w:rPr>
          <w:rFonts w:hint="eastAsia" w:ascii="仿宋_GB2312" w:hAnsi="仿宋_GB2312" w:eastAsia="仿宋_GB2312" w:cs="仿宋_GB2312"/>
          <w:color w:val="auto"/>
          <w:sz w:val="24"/>
          <w:szCs w:val="24"/>
          <w:highlight w:val="none"/>
          <w:lang w:val="en-US" w:eastAsia="zh-CN" w:bidi="ar"/>
        </w:rPr>
        <w:t>妥善</w:t>
      </w:r>
      <w:r>
        <w:rPr>
          <w:rFonts w:hint="eastAsia" w:ascii="仿宋_GB2312" w:hAnsi="仿宋_GB2312" w:eastAsia="仿宋_GB2312" w:cs="仿宋_GB2312"/>
          <w:color w:val="auto"/>
          <w:sz w:val="24"/>
          <w:szCs w:val="24"/>
          <w:highlight w:val="none"/>
          <w:lang w:val="zh-CN" w:eastAsia="zh-CN" w:bidi="ar"/>
        </w:rPr>
        <w:t>解决，依法</w:t>
      </w:r>
      <w:r>
        <w:rPr>
          <w:rFonts w:hint="eastAsia" w:ascii="仿宋_GB2312" w:hAnsi="仿宋_GB2312" w:eastAsia="仿宋_GB2312" w:cs="仿宋_GB2312"/>
          <w:color w:val="auto"/>
          <w:sz w:val="24"/>
          <w:szCs w:val="24"/>
          <w:highlight w:val="none"/>
          <w:lang w:val="en-US" w:eastAsia="zh-CN" w:bidi="ar"/>
        </w:rPr>
        <w:t>合规</w:t>
      </w:r>
      <w:r>
        <w:rPr>
          <w:rFonts w:hint="eastAsia" w:ascii="仿宋_GB2312" w:hAnsi="仿宋_GB2312" w:eastAsia="仿宋_GB2312" w:cs="仿宋_GB2312"/>
          <w:color w:val="auto"/>
          <w:sz w:val="24"/>
          <w:szCs w:val="24"/>
          <w:highlight w:val="none"/>
          <w:lang w:val="zh-CN" w:eastAsia="zh-CN" w:bidi="ar"/>
        </w:rPr>
        <w:t>开展</w:t>
      </w:r>
      <w:r>
        <w:rPr>
          <w:rFonts w:hint="eastAsia" w:ascii="仿宋_GB2312" w:hAnsi="仿宋_GB2312" w:eastAsia="仿宋_GB2312" w:cs="仿宋_GB2312"/>
          <w:color w:val="auto"/>
          <w:sz w:val="24"/>
          <w:szCs w:val="24"/>
          <w:highlight w:val="none"/>
          <w:lang w:val="en-US" w:eastAsia="zh-CN" w:bidi="ar"/>
        </w:rPr>
        <w:t>消费者</w:t>
      </w:r>
      <w:r>
        <w:rPr>
          <w:rFonts w:hint="eastAsia" w:ascii="仿宋_GB2312" w:hAnsi="仿宋_GB2312" w:eastAsia="仿宋_GB2312" w:cs="仿宋_GB2312"/>
          <w:color w:val="auto"/>
          <w:sz w:val="24"/>
          <w:szCs w:val="24"/>
          <w:highlight w:val="none"/>
          <w:lang w:val="zh-CN" w:eastAsia="zh-CN" w:bidi="ar"/>
        </w:rPr>
        <w:t>投诉处理工作，避免</w:t>
      </w:r>
      <w:r>
        <w:rPr>
          <w:rFonts w:hint="eastAsia" w:ascii="仿宋_GB2312" w:hAnsi="仿宋_GB2312" w:eastAsia="仿宋_GB2312" w:cs="仿宋_GB2312"/>
          <w:color w:val="auto"/>
          <w:sz w:val="24"/>
          <w:szCs w:val="24"/>
          <w:highlight w:val="none"/>
          <w:lang w:val="en-US" w:eastAsia="zh-CN" w:bidi="ar"/>
        </w:rPr>
        <w:t>事态</w:t>
      </w:r>
      <w:r>
        <w:rPr>
          <w:rFonts w:hint="eastAsia" w:ascii="仿宋_GB2312" w:hAnsi="仿宋_GB2312" w:eastAsia="仿宋_GB2312" w:cs="仿宋_GB2312"/>
          <w:color w:val="auto"/>
          <w:sz w:val="24"/>
          <w:szCs w:val="24"/>
          <w:highlight w:val="none"/>
          <w:lang w:val="zh-CN" w:eastAsia="zh-CN" w:bidi="ar"/>
        </w:rPr>
        <w:t>扩大产生</w:t>
      </w:r>
      <w:r>
        <w:rPr>
          <w:rFonts w:hint="eastAsia" w:ascii="仿宋_GB2312" w:hAnsi="仿宋_GB2312" w:eastAsia="仿宋_GB2312" w:cs="仿宋_GB2312"/>
          <w:color w:val="auto"/>
          <w:sz w:val="24"/>
          <w:szCs w:val="24"/>
          <w:highlight w:val="none"/>
          <w:lang w:val="en-US" w:eastAsia="zh-CN" w:bidi="ar"/>
        </w:rPr>
        <w:t>负面</w:t>
      </w:r>
      <w:r>
        <w:rPr>
          <w:rFonts w:hint="eastAsia" w:ascii="仿宋_GB2312" w:hAnsi="仿宋_GB2312" w:eastAsia="仿宋_GB2312" w:cs="仿宋_GB2312"/>
          <w:color w:val="auto"/>
          <w:sz w:val="24"/>
          <w:szCs w:val="24"/>
          <w:highlight w:val="none"/>
          <w:lang w:val="zh-CN" w:eastAsia="zh-CN" w:bidi="ar"/>
        </w:rPr>
        <w:t>影响。</w:t>
      </w:r>
      <w:r>
        <w:rPr>
          <w:rFonts w:hint="eastAsia" w:ascii="仿宋_GB2312" w:hAnsi="仿宋_GB2312" w:eastAsia="仿宋_GB2312" w:cs="仿宋_GB2312"/>
          <w:color w:val="auto"/>
          <w:sz w:val="24"/>
          <w:szCs w:val="24"/>
          <w:highlight w:val="none"/>
          <w:lang w:val="en-US" w:eastAsia="zh-CN" w:bidi="ar"/>
        </w:rPr>
        <w:t>双方在投诉处理过程中应积极做好与政府、监管部门、新闻媒体等机构的沟通协调，防范风险扩散。</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7.甲、乙双方应根据消费者投诉反映出的问题积极进行溯源改进，查找服务薄弱环节和风险隐患，从源头上减少消费投诉的发生，提高服务水平，加强保险消费者权益保护。</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8.对于客户投诉较多、设计上存在缺陷的保险产品或服务，乙方及时通知甲方，并按照甲方要求妥善处理相关事宜，包括停止销售或提供服务等。</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9.甲、乙双方建立重大事件应急处理合作机制，密切关注群访群诉、群体性退保等事件，建立重大事项报告制度和问题处理应对预案，妥善处理客户纠纷，防止事态扩大。</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10.甲、乙双方均应严格遵照有关监管规定，全面、真实、客观地进行信息披露，不得有虚假记载、误导性陈述和重大遗漏。</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11.甲、乙双方应建立消费者权益保护内部培训机制，对从业人员开展消费者权益保护培训，提升培训效能，强化员工消费者权益保护意识。</w:t>
      </w:r>
    </w:p>
    <w:p>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4"/>
          <w:szCs w:val="24"/>
          <w:highlight w:val="none"/>
          <w:lang w:val="en-US" w:eastAsia="zh-CN" w:bidi="ar"/>
        </w:rPr>
      </w:pPr>
      <w:r>
        <w:rPr>
          <w:rFonts w:hint="eastAsia" w:ascii="仿宋_GB2312" w:hAnsi="仿宋_GB2312" w:eastAsia="仿宋_GB2312" w:cs="仿宋_GB2312"/>
          <w:color w:val="auto"/>
          <w:sz w:val="24"/>
          <w:szCs w:val="24"/>
          <w:highlight w:val="none"/>
          <w:lang w:val="en-US" w:eastAsia="zh-CN" w:bidi="ar"/>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rPr>
          <w:color w:val="auto"/>
          <w:highlight w:val="none"/>
        </w:rPr>
        <w:sectPr>
          <w:footerReference r:id="rId17" w:type="default"/>
          <w:pgSz w:w="11906" w:h="16838"/>
          <w:pgMar w:top="1417" w:right="1134" w:bottom="1134" w:left="1134" w:header="851" w:footer="992" w:gutter="0"/>
          <w:pgNumType w:fmt="decimal"/>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highlight w:val="none"/>
        </w:rPr>
      </w:pPr>
      <w:commentRangeStart w:id="1"/>
      <w:bookmarkStart w:id="147" w:name="_Toc4181"/>
      <w:bookmarkStart w:id="148" w:name="_Toc28727"/>
      <w:bookmarkStart w:id="149" w:name="_Toc186737811"/>
      <w:r>
        <w:rPr>
          <w:rFonts w:hint="eastAsia" w:ascii="仿宋_GB2312" w:hAnsi="宋体" w:eastAsia="仿宋_GB2312"/>
          <w:color w:val="auto"/>
          <w:sz w:val="28"/>
          <w:szCs w:val="28"/>
          <w:highlight w:val="none"/>
        </w:rPr>
        <w:t>第五章 采购</w:t>
      </w:r>
      <w:bookmarkEnd w:id="147"/>
      <w:r>
        <w:rPr>
          <w:rFonts w:hint="eastAsia" w:ascii="仿宋_GB2312" w:hAnsi="宋体" w:eastAsia="仿宋_GB2312"/>
          <w:color w:val="auto"/>
          <w:sz w:val="28"/>
          <w:szCs w:val="28"/>
          <w:highlight w:val="none"/>
        </w:rPr>
        <w:t>需求</w:t>
      </w:r>
      <w:commentRangeEnd w:id="1"/>
      <w:r>
        <w:rPr>
          <w:rStyle w:val="34"/>
          <w:rFonts w:asciiTheme="minorHAnsi" w:hAnsiTheme="minorHAnsi" w:eastAsiaTheme="minorEastAsia"/>
          <w:b w:val="0"/>
          <w:bCs w:val="0"/>
          <w:color w:val="auto"/>
          <w:kern w:val="0"/>
          <w:szCs w:val="24"/>
          <w:highlight w:val="none"/>
        </w:rPr>
        <w:commentReference w:id="1"/>
      </w:r>
      <w:bookmarkEnd w:id="148"/>
      <w:bookmarkEnd w:id="149"/>
    </w:p>
    <w:p>
      <w:pPr>
        <w:keepNext w:val="0"/>
        <w:keepLines w:val="0"/>
        <w:pageBreakBefore w:val="0"/>
        <w:widowControl w:val="0"/>
        <w:numPr>
          <w:ilvl w:val="0"/>
          <w:numId w:val="6"/>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采购项目背景</w:t>
      </w:r>
    </w:p>
    <w:p>
      <w:pPr>
        <w:keepNext w:val="0"/>
        <w:keepLines w:val="0"/>
        <w:pageBreakBefore w:val="0"/>
        <w:widowControl w:val="0"/>
        <w:numPr>
          <w:ilvl w:val="0"/>
          <w:numId w:val="0"/>
        </w:numPr>
        <w:suppressLineNumbers w:val="0"/>
        <w:bidi w:val="0"/>
        <w:spacing w:beforeAutospacing="0" w:afterAutospacing="0" w:line="600" w:lineRule="exact"/>
        <w:ind w:right="0" w:rightChars="0" w:firstLine="840" w:firstLineChars="40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主动防御系统”主要通过北斗卫星定位监测车辆，并通过智能化技术提前预判和干预潜在风险，对影响安全驾驶的行为记录并报警，显著提升行车安全。为了进一步提高营运客车的实时、动态监控水平，降低交通事故发生频率，防范经营风险，为营运客车安全行驶更好的做好管控，降低我司营运客车车队业务理赔赔付率。</w:t>
      </w:r>
    </w:p>
    <w:p>
      <w:pPr>
        <w:keepNext w:val="0"/>
        <w:keepLines w:val="0"/>
        <w:pageBreakBefore w:val="0"/>
        <w:widowControl w:val="0"/>
        <w:numPr>
          <w:ilvl w:val="0"/>
          <w:numId w:val="6"/>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采购内容</w:t>
      </w:r>
    </w:p>
    <w:p>
      <w:pPr>
        <w:keepNext w:val="0"/>
        <w:keepLines w:val="0"/>
        <w:pageBreakBefore w:val="0"/>
        <w:widowControl w:val="0"/>
        <w:numPr>
          <w:ilvl w:val="0"/>
          <w:numId w:val="0"/>
        </w:numPr>
        <w:suppressLineNumbers w:val="0"/>
        <w:bidi w:val="0"/>
        <w:spacing w:beforeAutospacing="0" w:afterAutospacing="0" w:line="600" w:lineRule="exact"/>
        <w:ind w:right="0" w:rightChars="0" w:firstLine="840" w:firstLineChars="40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拟向安岳县通达运业有限责任公司18辆，安岳兴和谐城市公共客运有限公司10辆，安岳县顺达运务有限公司70辆，3家公司所经营的共98辆客运车辆提供“主动防御系统”网络服务进行防灾防损活动,活动服务期限1年。</w:t>
      </w:r>
    </w:p>
    <w:p>
      <w:pPr>
        <w:keepNext w:val="0"/>
        <w:keepLines w:val="0"/>
        <w:pageBreakBefore w:val="0"/>
        <w:widowControl w:val="0"/>
        <w:numPr>
          <w:ilvl w:val="0"/>
          <w:numId w:val="6"/>
        </w:numPr>
        <w:suppressLineNumbers w:val="0"/>
        <w:bidi w:val="0"/>
        <w:spacing w:beforeAutospacing="0" w:afterAutospacing="0" w:line="600" w:lineRule="exact"/>
        <w:ind w:left="0" w:right="0" w:firstLine="480"/>
        <w:jc w:val="both"/>
        <w:outlineLvl w:val="9"/>
        <w:rPr>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bidi="ar"/>
        </w:rPr>
        <w:t>采购数量（“该数量为预估，仅作为供应商报价依据，不作为采购方承诺，最终据实结算”）</w:t>
      </w:r>
    </w:p>
    <w:p>
      <w:pPr>
        <w:keepNext w:val="0"/>
        <w:keepLines w:val="0"/>
        <w:pageBreakBefore w:val="0"/>
        <w:widowControl w:val="0"/>
        <w:numPr>
          <w:ilvl w:val="0"/>
          <w:numId w:val="0"/>
        </w:numPr>
        <w:spacing w:beforeAutospacing="0" w:afterAutospacing="0" w:line="600" w:lineRule="exact"/>
        <w:ind w:left="480" w:right="0" w:firstLine="480"/>
        <w:jc w:val="both"/>
        <w:rPr>
          <w:rFonts w:hint="eastAsia" w:ascii="仿宋_GB2312" w:hAnsi="仿宋_GB2312" w:eastAsia="仿宋_GB2312" w:cs="仿宋_GB2312"/>
          <w:color w:val="auto"/>
          <w:sz w:val="21"/>
          <w:szCs w:val="21"/>
          <w:highlight w:val="none"/>
          <w:lang w:val="en-US" w:eastAsia="zh-CN" w:bidi="ar"/>
          <w14:ligatures w14:val="none"/>
        </w:rPr>
      </w:pPr>
      <w:r>
        <w:rPr>
          <w:rFonts w:hint="eastAsia" w:ascii="仿宋_GB2312" w:hAnsi="仿宋_GB2312" w:eastAsia="仿宋_GB2312" w:cs="仿宋_GB2312"/>
          <w:color w:val="auto"/>
          <w:sz w:val="21"/>
          <w:szCs w:val="21"/>
          <w:highlight w:val="none"/>
          <w:lang w:val="en-US" w:eastAsia="zh-CN" w:bidi="ar"/>
        </w:rPr>
        <w:t>拟采购98辆客运车辆提供“主动防御系统”网络服务进行防灾防损活动。</w:t>
      </w:r>
    </w:p>
    <w:p>
      <w:pPr>
        <w:keepNext w:val="0"/>
        <w:keepLines w:val="0"/>
        <w:pageBreakBefore w:val="0"/>
        <w:widowControl w:val="0"/>
        <w:numPr>
          <w:ilvl w:val="0"/>
          <w:numId w:val="6"/>
        </w:numPr>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付款方式（应与合同条款中相关描述保持一致）</w:t>
      </w:r>
    </w:p>
    <w:p>
      <w:pPr>
        <w:pageBreakBefore w:val="0"/>
        <w:bidi w:val="0"/>
        <w:spacing w:line="60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1.本合同使用货币种类为人民币。</w:t>
      </w:r>
    </w:p>
    <w:p>
      <w:pPr>
        <w:pageBreakBefore w:val="0"/>
        <w:bidi w:val="0"/>
        <w:spacing w:line="60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 付款方式：银行转账，甲方应向乙方以下账户进行支付：</w:t>
      </w:r>
    </w:p>
    <w:p>
      <w:pPr>
        <w:pageBreakBefore w:val="0"/>
        <w:bidi w:val="0"/>
        <w:spacing w:after="120" w:line="600" w:lineRule="exact"/>
        <w:ind w:firstLine="48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ab/>
      </w:r>
      <w:r>
        <w:rPr>
          <w:rFonts w:hint="eastAsia" w:ascii="仿宋_GB2312" w:hAnsi="仿宋_GB2312" w:eastAsia="仿宋_GB2312" w:cs="仿宋_GB2312"/>
          <w:color w:val="auto"/>
          <w:sz w:val="21"/>
          <w:szCs w:val="21"/>
          <w:highlight w:val="none"/>
        </w:rPr>
        <w:t>开户行：</w:t>
      </w:r>
    </w:p>
    <w:p>
      <w:pPr>
        <w:pageBreakBefore w:val="0"/>
        <w:bidi w:val="0"/>
        <w:spacing w:after="120" w:line="600" w:lineRule="exact"/>
        <w:ind w:firstLine="48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ab/>
      </w:r>
      <w:r>
        <w:rPr>
          <w:rFonts w:hint="eastAsia" w:ascii="仿宋_GB2312" w:hAnsi="仿宋_GB2312" w:eastAsia="仿宋_GB2312" w:cs="仿宋_GB2312"/>
          <w:color w:val="auto"/>
          <w:sz w:val="21"/>
          <w:szCs w:val="21"/>
          <w:highlight w:val="none"/>
        </w:rPr>
        <w:t>账户名称：</w:t>
      </w:r>
    </w:p>
    <w:p>
      <w:pPr>
        <w:pageBreakBefore w:val="0"/>
        <w:bidi w:val="0"/>
        <w:spacing w:after="120" w:line="600" w:lineRule="exact"/>
        <w:ind w:firstLine="48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ab/>
      </w:r>
      <w:r>
        <w:rPr>
          <w:rFonts w:hint="eastAsia" w:ascii="仿宋_GB2312" w:hAnsi="仿宋_GB2312" w:eastAsia="仿宋_GB2312" w:cs="仿宋_GB2312"/>
          <w:color w:val="auto"/>
          <w:sz w:val="21"/>
          <w:szCs w:val="21"/>
          <w:highlight w:val="none"/>
        </w:rPr>
        <w:t>账号：</w:t>
      </w:r>
    </w:p>
    <w:p>
      <w:pPr>
        <w:pageBreakBefore w:val="0"/>
        <w:bidi w:val="0"/>
        <w:spacing w:line="60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乙方如需改变上述账户，应提前10日以书面通知甲方。</w:t>
      </w:r>
    </w:p>
    <w:p>
      <w:pPr>
        <w:keepNext w:val="0"/>
        <w:keepLines w:val="0"/>
        <w:pageBreakBefore w:val="0"/>
        <w:bidi w:val="0"/>
        <w:spacing w:line="56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3.付款安排</w:t>
      </w:r>
    </w:p>
    <w:p>
      <w:pPr>
        <w:keepNext w:val="0"/>
        <w:keepLines w:val="0"/>
        <w:pageBreakBefore w:val="0"/>
        <w:bidi w:val="0"/>
        <w:spacing w:line="560" w:lineRule="exact"/>
        <w:ind w:left="480" w:firstLine="480"/>
        <w:jc w:val="left"/>
        <w:outlineLvl w:val="9"/>
        <w:rPr>
          <w:rFonts w:hint="eastAsia" w:ascii="仿宋_GB2312" w:hAnsi="仿宋_GB2312" w:eastAsia="仿宋_GB2312" w:cs="仿宋_GB2312"/>
          <w:color w:val="auto"/>
          <w:sz w:val="21"/>
          <w:szCs w:val="21"/>
          <w:highlight w:val="none"/>
        </w:rPr>
      </w:pPr>
    </w:p>
    <w:p>
      <w:pPr>
        <w:keepNext w:val="0"/>
        <w:keepLines w:val="0"/>
        <w:pageBreakBefore w:val="0"/>
        <w:bidi w:val="0"/>
        <w:spacing w:line="560" w:lineRule="exact"/>
        <w:ind w:left="480" w:firstLine="480"/>
        <w:jc w:val="left"/>
        <w:outlineLvl w:val="9"/>
        <w:rPr>
          <w:rFonts w:hint="eastAsia" w:ascii="仿宋_GB2312" w:hAnsi="仿宋_GB2312" w:eastAsia="仿宋_GB2312" w:cs="仿宋_GB2312"/>
          <w:color w:val="auto"/>
          <w:sz w:val="21"/>
          <w:szCs w:val="21"/>
          <w:highlight w:val="none"/>
        </w:rPr>
      </w:pPr>
      <w:r>
        <w:rPr>
          <w:rFonts w:ascii="仿宋_GB2312" w:hAnsi="宋体" w:eastAsia="仿宋_GB2312" w:cs="仿宋_GB2312"/>
          <w:color w:val="000000"/>
          <w:sz w:val="21"/>
          <w:szCs w:val="21"/>
        </w:rPr>
        <w:t>我司与服务商双方根据实际宣传数量进行结算，</w:t>
      </w:r>
      <w:r>
        <w:rPr>
          <w:rFonts w:hint="eastAsia" w:ascii="仿宋_GB2312" w:hAnsi="仿宋_GB2312" w:eastAsia="仿宋_GB2312" w:cs="仿宋_GB2312"/>
          <w:color w:val="auto"/>
          <w:sz w:val="21"/>
          <w:szCs w:val="21"/>
          <w:highlight w:val="none"/>
        </w:rPr>
        <w:t>付款前服务商须向我司出具足额有效的增值税专用发票；我司在收到服务商对应发票后15个工作日内向服务商支付合同服务费用。</w:t>
      </w:r>
    </w:p>
    <w:p>
      <w:pPr>
        <w:keepNext w:val="0"/>
        <w:keepLines w:val="0"/>
        <w:pageBreakBefore w:val="0"/>
        <w:numPr>
          <w:ilvl w:val="0"/>
          <w:numId w:val="0"/>
        </w:numPr>
        <w:bidi w:val="0"/>
        <w:spacing w:line="560" w:lineRule="exact"/>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 xml:space="preserve">        4、</w:t>
      </w:r>
      <w:r>
        <w:rPr>
          <w:rFonts w:hint="eastAsia" w:ascii="仿宋_GB2312" w:hAnsi="仿宋_GB2312" w:eastAsia="仿宋_GB2312" w:cs="仿宋_GB2312"/>
          <w:color w:val="auto"/>
          <w:sz w:val="21"/>
          <w:szCs w:val="21"/>
          <w:highlight w:val="none"/>
        </w:rPr>
        <w:t>乙方应向甲方开具专用增值税发票，甲方开票信息如下：</w:t>
      </w:r>
    </w:p>
    <w:p>
      <w:pPr>
        <w:keepNext w:val="0"/>
        <w:keepLines w:val="0"/>
        <w:pageBreakBefore w:val="0"/>
        <w:numPr>
          <w:ilvl w:val="0"/>
          <w:numId w:val="0"/>
        </w:numPr>
        <w:bidi w:val="0"/>
        <w:spacing w:line="56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公司名称：中国人民财产保险股份有限公司资阳市分公司</w:t>
      </w:r>
    </w:p>
    <w:p>
      <w:pPr>
        <w:keepNext w:val="0"/>
        <w:keepLines w:val="0"/>
        <w:pageBreakBefore w:val="0"/>
        <w:bidi w:val="0"/>
        <w:spacing w:line="56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纳税人识别号：</w:t>
      </w:r>
      <w:r>
        <w:rPr>
          <w:rFonts w:hint="eastAsia" w:ascii="仿宋_GB2312" w:hAnsi="仿宋_GB2312" w:eastAsia="仿宋_GB2312" w:cs="仿宋_GB2312"/>
          <w:color w:val="auto"/>
          <w:sz w:val="21"/>
          <w:szCs w:val="21"/>
          <w:highlight w:val="none"/>
          <w:lang w:val="en-US" w:eastAsia="zh-CN"/>
        </w:rPr>
        <w:t xml:space="preserve">91512000731638278R </w:t>
      </w:r>
    </w:p>
    <w:p>
      <w:pPr>
        <w:keepNext w:val="0"/>
        <w:keepLines w:val="0"/>
        <w:pageBreakBefore w:val="0"/>
        <w:bidi w:val="0"/>
        <w:spacing w:line="560" w:lineRule="exact"/>
        <w:ind w:left="480" w:firstLine="48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地址：</w:t>
      </w:r>
      <w:r>
        <w:rPr>
          <w:rFonts w:hint="eastAsia" w:ascii="仿宋_GB2312" w:hAnsi="仿宋_GB2312" w:eastAsia="仿宋_GB2312" w:cs="仿宋_GB2312"/>
          <w:color w:val="auto"/>
          <w:sz w:val="21"/>
          <w:szCs w:val="21"/>
          <w:highlight w:val="none"/>
          <w:lang w:val="en-US" w:eastAsia="zh-CN"/>
        </w:rPr>
        <w:t>四川省资阳市雁江区宝台镇黄泥村弘城水韵和中城建.新城市广场（一期）25号楼25（F）</w:t>
      </w:r>
    </w:p>
    <w:p>
      <w:pPr>
        <w:keepNext w:val="0"/>
        <w:keepLines w:val="0"/>
        <w:pageBreakBefore w:val="0"/>
        <w:bidi w:val="0"/>
        <w:spacing w:line="560" w:lineRule="exact"/>
        <w:ind w:firstLine="96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电话：028-26758789</w:t>
      </w:r>
    </w:p>
    <w:p>
      <w:pPr>
        <w:keepNext w:val="0"/>
        <w:keepLines w:val="0"/>
        <w:pageBreakBefore w:val="0"/>
        <w:bidi w:val="0"/>
        <w:spacing w:line="560" w:lineRule="exact"/>
        <w:ind w:firstLine="96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开户银行名称：中国工商银行股份有限公司资阳分行</w:t>
      </w:r>
    </w:p>
    <w:p>
      <w:pPr>
        <w:keepNext w:val="0"/>
        <w:keepLines w:val="0"/>
        <w:pageBreakBefore w:val="0"/>
        <w:bidi w:val="0"/>
        <w:spacing w:line="560" w:lineRule="exact"/>
        <w:ind w:firstLine="96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开户银行帐号：2307488109023100417</w:t>
      </w:r>
    </w:p>
    <w:p>
      <w:pPr>
        <w:keepNext w:val="0"/>
        <w:keepLines w:val="0"/>
        <w:pageBreakBefore w:val="0"/>
        <w:bidi w:val="0"/>
        <w:spacing w:line="560" w:lineRule="exact"/>
        <w:ind w:firstLine="48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乙方如需改变上述账户，应提前10日以书面通知甲方。</w:t>
      </w:r>
    </w:p>
    <w:p>
      <w:pPr>
        <w:pStyle w:val="87"/>
        <w:keepNext w:val="0"/>
        <w:keepLines w:val="0"/>
        <w:pageBreakBefore w:val="0"/>
        <w:numPr>
          <w:ilvl w:val="0"/>
          <w:numId w:val="0"/>
        </w:numPr>
        <w:bidi w:val="0"/>
        <w:spacing w:line="560" w:lineRule="exact"/>
        <w:ind w:left="480"/>
        <w:rPr>
          <w:rFonts w:hint="eastAsia"/>
          <w:color w:val="auto"/>
          <w:sz w:val="21"/>
          <w:szCs w:val="21"/>
          <w:highlight w:val="none"/>
          <w:lang w:val="en-US" w:eastAsia="zh-CN"/>
        </w:rPr>
      </w:pPr>
    </w:p>
    <w:p>
      <w:pPr>
        <w:keepNext w:val="0"/>
        <w:keepLines w:val="0"/>
        <w:pageBreakBefore w:val="0"/>
        <w:widowControl w:val="0"/>
        <w:suppressLineNumbers w:val="0"/>
        <w:bidi w:val="0"/>
        <w:spacing w:beforeAutospacing="0" w:afterAutospacing="0" w:line="560" w:lineRule="exact"/>
        <w:ind w:left="0" w:right="0" w:firstLine="480"/>
        <w:jc w:val="both"/>
        <w:outlineLvl w:val="9"/>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五、服务要求</w:t>
      </w:r>
    </w:p>
    <w:p>
      <w:pPr>
        <w:keepNext w:val="0"/>
        <w:keepLines w:val="0"/>
        <w:pageBreakBefore w:val="0"/>
        <w:widowControl/>
        <w:bidi w:val="0"/>
        <w:spacing w:line="560" w:lineRule="exact"/>
        <w:ind w:firstLine="72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w:t>
      </w:r>
      <w:r>
        <w:rPr>
          <w:rFonts w:hint="eastAsia" w:ascii="仿宋_GB2312" w:hAnsi="仿宋_GB2312" w:eastAsia="仿宋_GB2312" w:cs="仿宋_GB2312"/>
          <w:color w:val="auto"/>
          <w:sz w:val="21"/>
          <w:szCs w:val="21"/>
          <w:highlight w:val="none"/>
          <w:lang w:eastAsia="zh-CN"/>
        </w:rPr>
        <w:t>、</w:t>
      </w:r>
      <w:r>
        <w:rPr>
          <w:rFonts w:hint="eastAsia" w:ascii="仿宋_GB2312" w:hAnsi="仿宋_GB2312" w:eastAsia="仿宋_GB2312" w:cs="仿宋_GB2312"/>
          <w:color w:val="auto"/>
          <w:sz w:val="21"/>
          <w:szCs w:val="21"/>
          <w:highlight w:val="none"/>
        </w:rPr>
        <w:t>乙方向甲方提供的</w:t>
      </w:r>
      <w:r>
        <w:rPr>
          <w:rFonts w:hint="eastAsia" w:ascii="仿宋_GB2312" w:hAnsi="仿宋_GB2312" w:eastAsia="仿宋_GB2312" w:cs="仿宋_GB2312"/>
          <w:color w:val="auto"/>
          <w:sz w:val="21"/>
          <w:szCs w:val="21"/>
          <w:highlight w:val="none"/>
          <w:lang w:eastAsia="zh-CN"/>
        </w:rPr>
        <w:t>服务</w:t>
      </w:r>
      <w:r>
        <w:rPr>
          <w:rFonts w:hint="eastAsia" w:ascii="仿宋_GB2312" w:hAnsi="仿宋_GB2312" w:eastAsia="仿宋_GB2312" w:cs="仿宋_GB2312"/>
          <w:color w:val="auto"/>
          <w:sz w:val="21"/>
          <w:szCs w:val="21"/>
          <w:highlight w:val="none"/>
        </w:rPr>
        <w:t>内容</w:t>
      </w:r>
    </w:p>
    <w:p>
      <w:pPr>
        <w:keepNext w:val="0"/>
        <w:keepLines w:val="0"/>
        <w:pageBreakBefore w:val="0"/>
        <w:widowControl/>
        <w:bidi w:val="0"/>
        <w:spacing w:line="560" w:lineRule="exact"/>
        <w:ind w:firstLine="640"/>
        <w:jc w:val="left"/>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本项目采购</w:t>
      </w:r>
      <w:r>
        <w:rPr>
          <w:rFonts w:hint="eastAsia" w:ascii="仿宋_GB2312" w:hAnsi="仿宋_GB2312" w:eastAsia="仿宋_GB2312" w:cs="仿宋_GB2312"/>
          <w:color w:val="auto"/>
          <w:sz w:val="21"/>
          <w:szCs w:val="21"/>
          <w:highlight w:val="none"/>
          <w:lang w:eastAsia="zh-CN"/>
        </w:rPr>
        <w:t>一</w:t>
      </w:r>
      <w:r>
        <w:rPr>
          <w:rFonts w:hint="eastAsia" w:ascii="仿宋_GB2312" w:hAnsi="仿宋_GB2312" w:eastAsia="仿宋_GB2312" w:cs="仿宋_GB2312"/>
          <w:color w:val="auto"/>
          <w:sz w:val="21"/>
          <w:szCs w:val="21"/>
          <w:highlight w:val="none"/>
        </w:rPr>
        <w:t>家供应商，</w:t>
      </w:r>
      <w:r>
        <w:rPr>
          <w:rFonts w:hint="eastAsia" w:ascii="仿宋_GB2312" w:hAnsi="仿宋_GB2312" w:eastAsia="仿宋_GB2312" w:cs="仿宋_GB2312"/>
          <w:color w:val="auto"/>
          <w:sz w:val="21"/>
          <w:szCs w:val="21"/>
          <w:highlight w:val="none"/>
          <w:lang w:eastAsia="zh-CN"/>
        </w:rPr>
        <w:t>对客运车队的营运客车投放“主动防御系统”网络服务。通过北斗卫星定位监测车辆，并通过智能化技术提前预判和干预潜在风险，对影响安全驾驶的行为记录并报警，显著提升行车安全，网络</w:t>
      </w:r>
      <w:r>
        <w:rPr>
          <w:rFonts w:hint="eastAsia" w:ascii="仿宋_GB2312" w:hAnsi="仿宋_GB2312" w:eastAsia="仿宋_GB2312" w:cs="仿宋_GB2312"/>
          <w:color w:val="auto"/>
          <w:sz w:val="21"/>
          <w:szCs w:val="21"/>
          <w:highlight w:val="none"/>
          <w:lang w:val="en-US" w:eastAsia="zh-CN"/>
        </w:rPr>
        <w:t>服务期限1年。</w:t>
      </w:r>
      <w:r>
        <w:rPr>
          <w:rFonts w:hint="eastAsia" w:ascii="仿宋_GB2312" w:hAnsi="仿宋_GB2312" w:eastAsia="仿宋_GB2312" w:cs="仿宋_GB2312"/>
          <w:color w:val="auto"/>
          <w:sz w:val="21"/>
          <w:szCs w:val="21"/>
          <w:highlight w:val="none"/>
        </w:rPr>
        <w:t>具体服务要求如下：</w:t>
      </w:r>
    </w:p>
    <w:p>
      <w:pPr>
        <w:keepNext w:val="0"/>
        <w:keepLines w:val="0"/>
        <w:pageBreakBefore w:val="0"/>
        <w:widowControl/>
        <w:numPr>
          <w:ilvl w:val="0"/>
          <w:numId w:val="7"/>
        </w:numPr>
        <w:bidi w:val="0"/>
        <w:spacing w:line="560" w:lineRule="exact"/>
        <w:ind w:firstLine="640"/>
        <w:jc w:val="left"/>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服务期限：    年     月     日至     年    月     日。</w:t>
      </w:r>
    </w:p>
    <w:p>
      <w:pPr>
        <w:keepNext w:val="0"/>
        <w:keepLines w:val="0"/>
        <w:pageBreakBefore w:val="0"/>
        <w:widowControl/>
        <w:numPr>
          <w:ilvl w:val="0"/>
          <w:numId w:val="7"/>
        </w:numPr>
        <w:bidi w:val="0"/>
        <w:spacing w:line="560" w:lineRule="exact"/>
        <w:ind w:firstLine="640"/>
        <w:jc w:val="left"/>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本项目服务期限</w:t>
      </w:r>
      <w:r>
        <w:rPr>
          <w:rFonts w:hint="eastAsia" w:ascii="仿宋_GB2312" w:hAnsi="仿宋_GB2312" w:eastAsia="仿宋_GB2312" w:cs="仿宋_GB2312"/>
          <w:color w:val="auto"/>
          <w:sz w:val="21"/>
          <w:szCs w:val="21"/>
          <w:highlight w:val="none"/>
          <w:lang w:val="en-US" w:eastAsia="zh-CN"/>
        </w:rPr>
        <w:t>1年</w:t>
      </w:r>
    </w:p>
    <w:p>
      <w:pPr>
        <w:keepNext w:val="0"/>
        <w:keepLines w:val="0"/>
        <w:pageBreakBefore w:val="0"/>
        <w:widowControl/>
        <w:numPr>
          <w:ilvl w:val="0"/>
          <w:numId w:val="0"/>
        </w:numPr>
        <w:bidi w:val="0"/>
        <w:spacing w:line="560" w:lineRule="exact"/>
        <w:ind w:firstLine="720"/>
        <w:jc w:val="left"/>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2、</w:t>
      </w:r>
      <w:r>
        <w:rPr>
          <w:rFonts w:hint="eastAsia" w:ascii="仿宋_GB2312" w:hAnsi="仿宋_GB2312" w:eastAsia="仿宋_GB2312" w:cs="仿宋_GB2312"/>
          <w:color w:val="auto"/>
          <w:sz w:val="21"/>
          <w:szCs w:val="21"/>
          <w:highlight w:val="none"/>
        </w:rPr>
        <w:t>服务标准</w:t>
      </w:r>
    </w:p>
    <w:p>
      <w:pPr>
        <w:keepNext w:val="0"/>
        <w:keepLines w:val="0"/>
        <w:pageBreakBefore w:val="0"/>
        <w:widowControl/>
        <w:bidi w:val="0"/>
        <w:spacing w:line="560" w:lineRule="exact"/>
        <w:ind w:firstLine="96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服务受众面广，并符合国家相关法规。</w:t>
      </w:r>
    </w:p>
    <w:p>
      <w:pPr>
        <w:keepNext w:val="0"/>
        <w:keepLines w:val="0"/>
        <w:pageBreakBefore w:val="0"/>
        <w:widowControl/>
        <w:bidi w:val="0"/>
        <w:spacing w:line="560" w:lineRule="exact"/>
        <w:ind w:firstLine="72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3、</w:t>
      </w:r>
      <w:r>
        <w:rPr>
          <w:rFonts w:hint="eastAsia" w:ascii="仿宋_GB2312" w:hAnsi="仿宋_GB2312" w:eastAsia="仿宋_GB2312" w:cs="仿宋_GB2312"/>
          <w:color w:val="auto"/>
          <w:sz w:val="21"/>
          <w:szCs w:val="21"/>
          <w:highlight w:val="none"/>
        </w:rPr>
        <w:t>告知</w:t>
      </w:r>
    </w:p>
    <w:p>
      <w:pPr>
        <w:keepNext w:val="0"/>
        <w:keepLines w:val="0"/>
        <w:pageBreakBefore w:val="0"/>
        <w:widowControl/>
        <w:bidi w:val="0"/>
        <w:spacing w:line="600" w:lineRule="exact"/>
        <w:ind w:firstLine="72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甲乙双方同意涉及本合同的一切事宜均以书面形式提交，双方应及时响应。</w:t>
      </w:r>
    </w:p>
    <w:p>
      <w:pPr>
        <w:pStyle w:val="2"/>
        <w:rPr>
          <w:color w:val="auto"/>
          <w:highlight w:val="none"/>
        </w:rPr>
      </w:pPr>
    </w:p>
    <w:p>
      <w:pPr>
        <w:pStyle w:val="2"/>
        <w:rPr>
          <w:color w:val="auto"/>
          <w:highlight w:val="none"/>
        </w:rPr>
      </w:pPr>
    </w:p>
    <w:p>
      <w:pPr>
        <w:pStyle w:val="2"/>
        <w:rPr>
          <w:color w:val="auto"/>
          <w:highlight w:val="none"/>
        </w:rPr>
      </w:pPr>
    </w:p>
    <w:p>
      <w:pPr>
        <w:pStyle w:val="3"/>
        <w:spacing w:before="0" w:after="0"/>
        <w:jc w:val="left"/>
        <w:rPr>
          <w:rFonts w:ascii="仿宋" w:hAnsi="仿宋" w:eastAsia="仿宋" w:cs="仿宋"/>
          <w:color w:val="auto"/>
          <w:sz w:val="28"/>
          <w:szCs w:val="28"/>
          <w:highlight w:val="none"/>
        </w:rPr>
      </w:pPr>
      <w:bookmarkStart w:id="150" w:name="_Toc3675"/>
      <w:bookmarkStart w:id="151" w:name="_Toc186737812"/>
      <w:bookmarkStart w:id="152" w:name="_Toc21296"/>
      <w:bookmarkStart w:id="153" w:name="_Toc9891"/>
      <w:r>
        <w:rPr>
          <w:rFonts w:hint="eastAsia" w:ascii="仿宋" w:hAnsi="仿宋" w:eastAsia="仿宋" w:cs="仿宋"/>
          <w:color w:val="auto"/>
          <w:sz w:val="28"/>
          <w:szCs w:val="28"/>
          <w:highlight w:val="none"/>
        </w:rPr>
        <w:t>第六章 响应文件格式</w:t>
      </w:r>
      <w:bookmarkEnd w:id="150"/>
      <w:bookmarkEnd w:id="151"/>
      <w:bookmarkEnd w:id="152"/>
    </w:p>
    <w:p>
      <w:pPr>
        <w:spacing w:line="360" w:lineRule="auto"/>
        <w:rPr>
          <w:rFonts w:ascii="仿宋" w:hAnsi="仿宋" w:eastAsia="仿宋" w:cs="仿宋"/>
          <w:b/>
          <w:color w:val="auto"/>
          <w:highlight w:val="none"/>
        </w:rPr>
      </w:pPr>
      <w:r>
        <w:rPr>
          <w:rFonts w:hint="eastAsia" w:ascii="仿宋" w:hAnsi="仿宋" w:eastAsia="仿宋" w:cs="宋体"/>
          <w:b/>
          <w:color w:val="auto"/>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1"/>
              <w:spacing w:before="156" w:after="312"/>
              <w:ind w:right="-284"/>
              <w:jc w:val="center"/>
              <w:rPr>
                <w:rFonts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61"/>
              <w:ind w:right="-284" w:firstLine="2240"/>
              <w:rPr>
                <w:rFonts w:ascii="仿宋" w:hAnsi="仿宋" w:eastAsia="仿宋" w:cs="仿宋"/>
                <w:color w:val="auto"/>
                <w:sz w:val="28"/>
                <w:highlight w:val="none"/>
                <w:u w:val="single"/>
              </w:rPr>
            </w:pPr>
          </w:p>
          <w:p>
            <w:pPr>
              <w:pStyle w:val="61"/>
              <w:spacing w:before="624" w:after="156" w:line="160" w:lineRule="atLeast"/>
              <w:ind w:right="-284"/>
              <w:jc w:val="center"/>
              <w:rPr>
                <w:rFonts w:ascii="仿宋" w:hAnsi="仿宋" w:eastAsia="仿宋" w:cs="仿宋"/>
                <w:color w:val="auto"/>
                <w:sz w:val="52"/>
                <w:highlight w:val="none"/>
              </w:rPr>
            </w:pPr>
            <w:r>
              <w:rPr>
                <w:rFonts w:hint="eastAsia" w:ascii="仿宋" w:hAnsi="仿宋" w:eastAsia="仿宋" w:cs="仿宋"/>
                <w:color w:val="auto"/>
                <w:sz w:val="52"/>
                <w:highlight w:val="none"/>
              </w:rPr>
              <w:t>比价响应文件</w:t>
            </w:r>
          </w:p>
          <w:p>
            <w:pPr>
              <w:pStyle w:val="61"/>
              <w:spacing w:before="624" w:after="156" w:line="160" w:lineRule="atLeast"/>
              <w:ind w:right="-284"/>
              <w:jc w:val="center"/>
              <w:rPr>
                <w:rFonts w:ascii="仿宋" w:hAnsi="仿宋" w:eastAsia="仿宋" w:cs="仿宋"/>
                <w:color w:val="auto"/>
                <w:sz w:val="52"/>
                <w:highlight w:val="none"/>
              </w:rPr>
            </w:pPr>
          </w:p>
          <w:p>
            <w:pPr>
              <w:pStyle w:val="61"/>
              <w:spacing w:before="624" w:after="156" w:line="240" w:lineRule="atLeast"/>
              <w:jc w:val="center"/>
              <w:rPr>
                <w:rFonts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1"/>
              <w:spacing w:before="1560" w:line="400" w:lineRule="atLeast"/>
              <w:ind w:right="-284" w:firstLine="2520" w:firstLineChars="1050"/>
              <w:rPr>
                <w:rFonts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61"/>
              <w:spacing w:after="156" w:line="400" w:lineRule="atLeast"/>
              <w:ind w:right="-284"/>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61"/>
              <w:spacing w:after="624"/>
              <w:ind w:right="-284"/>
              <w:jc w:val="center"/>
              <w:rPr>
                <w:rFonts w:ascii="仿宋" w:hAnsi="仿宋" w:eastAsia="仿宋" w:cs="仿宋"/>
                <w:color w:val="auto"/>
                <w:sz w:val="24"/>
                <w:highlight w:val="none"/>
              </w:rPr>
            </w:pPr>
          </w:p>
          <w:p>
            <w:pPr>
              <w:pStyle w:val="61"/>
              <w:spacing w:after="624"/>
              <w:ind w:right="-284"/>
              <w:jc w:val="center"/>
              <w:rPr>
                <w:rFonts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ascii="仿宋" w:hAnsi="仿宋" w:eastAsia="仿宋" w:cs="仿宋"/>
          <w:color w:val="auto"/>
          <w:szCs w:val="21"/>
          <w:highlight w:val="none"/>
        </w:rPr>
      </w:pPr>
    </w:p>
    <w:p>
      <w:pPr>
        <w:pStyle w:val="4"/>
        <w:jc w:val="both"/>
        <w:rPr>
          <w:rFonts w:ascii="仿宋" w:hAnsi="仿宋" w:eastAsia="仿宋" w:cs="仿宋"/>
          <w:color w:val="auto"/>
          <w:sz w:val="24"/>
          <w:szCs w:val="24"/>
          <w:highlight w:val="none"/>
        </w:rPr>
      </w:pPr>
      <w:bookmarkStart w:id="154" w:name="_Toc3936"/>
      <w:bookmarkStart w:id="155" w:name="_Toc444891353"/>
      <w:bookmarkStart w:id="156" w:name="_Toc25957"/>
      <w:bookmarkStart w:id="157" w:name="_Toc287600131"/>
      <w:bookmarkStart w:id="158" w:name="_Toc21280"/>
      <w:bookmarkStart w:id="159" w:name="_Toc11783"/>
      <w:bookmarkStart w:id="160" w:name="_Toc19783362"/>
      <w:bookmarkStart w:id="161" w:name="_Toc517281836"/>
      <w:bookmarkStart w:id="162" w:name="_Toc19910"/>
      <w:bookmarkStart w:id="163" w:name="_Toc19783360"/>
      <w:bookmarkStart w:id="164" w:name="_Toc287600129"/>
      <w:r>
        <w:rPr>
          <w:rFonts w:ascii="仿宋" w:hAnsi="仿宋" w:eastAsia="仿宋" w:cs="仿宋"/>
          <w:color w:val="auto"/>
          <w:sz w:val="24"/>
          <w:szCs w:val="24"/>
          <w:highlight w:val="none"/>
        </w:rPr>
        <w:br w:type="page"/>
      </w:r>
      <w:bookmarkStart w:id="165" w:name="_Toc186737813"/>
      <w:bookmarkStart w:id="166" w:name="_Toc7146"/>
      <w:bookmarkStart w:id="167" w:name="_Toc17191"/>
      <w:r>
        <w:rPr>
          <w:rFonts w:hint="eastAsia" w:ascii="仿宋" w:hAnsi="仿宋" w:eastAsia="仿宋" w:cs="仿宋"/>
          <w:color w:val="auto"/>
          <w:sz w:val="24"/>
          <w:szCs w:val="24"/>
          <w:highlight w:val="none"/>
        </w:rPr>
        <w:t>一、商务文件</w:t>
      </w:r>
      <w:bookmarkEnd w:id="154"/>
      <w:bookmarkEnd w:id="165"/>
      <w:bookmarkEnd w:id="166"/>
      <w:bookmarkEnd w:id="167"/>
    </w:p>
    <w:p>
      <w:pPr>
        <w:jc w:val="center"/>
        <w:rPr>
          <w:color w:val="auto"/>
          <w:highlight w:val="none"/>
        </w:rPr>
      </w:pPr>
      <w:bookmarkStart w:id="168" w:name="_Toc26744"/>
      <w:r>
        <w:rPr>
          <w:rFonts w:hint="eastAsia" w:ascii="仿宋" w:hAnsi="仿宋" w:eastAsia="仿宋" w:cs="仿宋"/>
          <w:b/>
          <w:bCs/>
          <w:color w:val="auto"/>
          <w:highlight w:val="none"/>
        </w:rPr>
        <w:t>初步评审索引表</w:t>
      </w:r>
      <w:bookmarkEnd w:id="168"/>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序号</w:t>
            </w:r>
          </w:p>
        </w:tc>
        <w:tc>
          <w:tcPr>
            <w:tcW w:w="1701" w:type="dxa"/>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评审环节</w:t>
            </w:r>
          </w:p>
        </w:tc>
        <w:tc>
          <w:tcPr>
            <w:tcW w:w="3300" w:type="dxa"/>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评审因素</w:t>
            </w:r>
          </w:p>
        </w:tc>
        <w:tc>
          <w:tcPr>
            <w:tcW w:w="4217" w:type="dxa"/>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7"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宋体"/>
                <w:color w:val="auto"/>
                <w:szCs w:val="21"/>
                <w:highlight w:val="none"/>
              </w:rPr>
            </w:pPr>
            <w:r>
              <w:rPr>
                <w:rFonts w:hint="eastAsia" w:ascii="仿宋" w:hAnsi="仿宋" w:eastAsia="仿宋" w:cs="仿宋"/>
                <w:color w:val="auto"/>
                <w:szCs w:val="21"/>
                <w:highlight w:val="none"/>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宋体"/>
                <w:color w:val="auto"/>
                <w:spacing w:val="-4"/>
                <w:szCs w:val="21"/>
                <w:highlight w:val="none"/>
              </w:rPr>
            </w:pPr>
            <w:r>
              <w:rPr>
                <w:rFonts w:hint="eastAsia" w:ascii="仿宋" w:hAnsi="仿宋" w:eastAsia="仿宋" w:cs="仿宋"/>
                <w:color w:val="auto"/>
                <w:szCs w:val="21"/>
                <w:highlight w:val="none"/>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仿宋"/>
                <w:color w:val="auto"/>
                <w:sz w:val="22"/>
                <w:szCs w:val="21"/>
                <w:highlight w:val="none"/>
              </w:rPr>
              <w:t>具有独立承担民事责任的能力</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仿宋"/>
                <w:color w:val="auto"/>
                <w:sz w:val="22"/>
                <w:szCs w:val="21"/>
                <w:highlight w:val="none"/>
              </w:rPr>
              <w:t>具有良好的商业信誉和健全的财务会计制度</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Monaco"/>
                <w:color w:val="auto"/>
                <w:sz w:val="22"/>
                <w:szCs w:val="21"/>
                <w:highlight w:val="none"/>
              </w:rPr>
              <w:t>供应商应具有履行合同所必需的设备和专业技术能力</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Cambria Math"/>
                <w:color w:val="auto"/>
                <w:sz w:val="22"/>
                <w:szCs w:val="21"/>
                <w:highlight w:val="none"/>
              </w:rPr>
              <w:t>近三年内无违法违规记录</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Cambria Math"/>
                <w:color w:val="auto"/>
                <w:sz w:val="22"/>
                <w:szCs w:val="21"/>
                <w:highlight w:val="none"/>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Cambria Math"/>
                <w:color w:val="auto"/>
                <w:sz w:val="22"/>
                <w:szCs w:val="21"/>
                <w:highlight w:val="none"/>
              </w:rPr>
              <w:t>控股管理关系</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hint="eastAsia"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非联合体投标</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jc w:val="center"/>
              <w:rPr>
                <w:rFonts w:ascii="仿宋" w:hAnsi="仿宋" w:eastAsia="仿宋" w:cs="仿宋"/>
                <w:color w:val="auto"/>
                <w:szCs w:val="21"/>
                <w:highlight w:val="none"/>
              </w:rPr>
            </w:pPr>
            <w:r>
              <w:rPr>
                <w:rFonts w:hint="eastAsia" w:ascii="仿宋" w:hAnsi="仿宋" w:eastAsia="仿宋" w:cs="Cambria Math"/>
                <w:color w:val="auto"/>
                <w:sz w:val="22"/>
                <w:szCs w:val="21"/>
                <w:highlight w:val="none"/>
              </w:rPr>
              <w:t>税收证明或社会保障资金缴纳凭证</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ascii="仿宋" w:hAnsi="仿宋" w:eastAsia="仿宋" w:cs="仿宋"/>
                <w:color w:val="auto"/>
                <w:szCs w:val="21"/>
                <w:highlight w:val="none"/>
              </w:rPr>
              <w:t>3</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供应商偏离应答</w:t>
            </w:r>
          </w:p>
        </w:tc>
        <w:tc>
          <w:tcPr>
            <w:tcW w:w="4217" w:type="dxa"/>
            <w:vAlign w:val="center"/>
          </w:tcPr>
          <w:p>
            <w:pPr>
              <w:spacing w:before="24" w:after="24" w:line="276" w:lineRule="auto"/>
              <w:rPr>
                <w:rFonts w:ascii="仿宋" w:hAnsi="仿宋" w:eastAsia="仿宋" w:cs="仿宋"/>
                <w:color w:val="auto"/>
                <w:szCs w:val="21"/>
                <w:highlight w:val="none"/>
              </w:rPr>
            </w:pPr>
          </w:p>
        </w:tc>
      </w:tr>
    </w:tbl>
    <w:p>
      <w:pPr>
        <w:rPr>
          <w:rFonts w:ascii="宋体" w:hAnsi="宋体"/>
          <w:color w:val="auto"/>
          <w:szCs w:val="21"/>
          <w:highlight w:val="none"/>
        </w:rPr>
        <w:sectPr>
          <w:footerReference r:id="rId18" w:type="default"/>
          <w:pgSz w:w="11906" w:h="16838"/>
          <w:pgMar w:top="1417" w:right="1134" w:bottom="1134" w:left="1134" w:header="964" w:footer="964" w:gutter="0"/>
          <w:pgNumType w:fmt="decimal"/>
          <w:cols w:space="720" w:num="1"/>
          <w:docGrid w:linePitch="312" w:charSpace="0"/>
        </w:sectPr>
      </w:pPr>
    </w:p>
    <w:bookmarkEnd w:id="155"/>
    <w:bookmarkEnd w:id="156"/>
    <w:bookmarkEnd w:id="157"/>
    <w:bookmarkEnd w:id="158"/>
    <w:bookmarkEnd w:id="159"/>
    <w:bookmarkEnd w:id="160"/>
    <w:bookmarkEnd w:id="161"/>
    <w:bookmarkEnd w:id="162"/>
    <w:p>
      <w:pPr>
        <w:pStyle w:val="5"/>
        <w:spacing w:before="0" w:line="440" w:lineRule="exact"/>
        <w:rPr>
          <w:rFonts w:ascii="仿宋" w:hAnsi="仿宋" w:eastAsia="仿宋" w:cs="仿宋"/>
          <w:color w:val="auto"/>
          <w:sz w:val="24"/>
          <w:szCs w:val="24"/>
          <w:highlight w:val="none"/>
        </w:rPr>
      </w:pPr>
      <w:bookmarkStart w:id="169" w:name="_Toc27958"/>
      <w:bookmarkStart w:id="170" w:name="_Toc186737814"/>
      <w:bookmarkStart w:id="171" w:name="_Toc3897"/>
      <w:bookmarkStart w:id="172" w:name="_Toc27799"/>
      <w:bookmarkStart w:id="173" w:name="_Toc517281837"/>
      <w:bookmarkStart w:id="174" w:name="_Toc444891354"/>
      <w:bookmarkStart w:id="175" w:name="_Toc25121"/>
      <w:bookmarkStart w:id="176" w:name="_Toc12140"/>
      <w:bookmarkStart w:id="177" w:name="_Toc7202"/>
      <w:r>
        <w:rPr>
          <w:rFonts w:hint="eastAsia" w:ascii="仿宋" w:hAnsi="仿宋" w:eastAsia="仿宋" w:cs="仿宋"/>
          <w:color w:val="auto"/>
          <w:sz w:val="24"/>
          <w:szCs w:val="24"/>
          <w:highlight w:val="none"/>
        </w:rPr>
        <w:t>（一）响应函</w:t>
      </w:r>
      <w:bookmarkEnd w:id="169"/>
      <w:bookmarkEnd w:id="170"/>
      <w:bookmarkEnd w:id="171"/>
    </w:p>
    <w:p>
      <w:pPr>
        <w:pStyle w:val="61"/>
        <w:spacing w:line="440" w:lineRule="exact"/>
        <w:rPr>
          <w:rFonts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 xml:space="preserve">致：中国人民财产保险股份有限公司资阳市分公司 </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u w:val="single"/>
        </w:rPr>
        <w:t xml:space="preserve">   （供应商名称）   </w:t>
      </w:r>
      <w:r>
        <w:rPr>
          <w:rFonts w:hint="eastAsia" w:ascii="仿宋" w:hAnsi="仿宋" w:eastAsia="仿宋" w:cs="Cambria Math"/>
          <w:color w:val="auto"/>
          <w:highlight w:val="none"/>
        </w:rPr>
        <w:t>（以下称“我方”）已仔细</w:t>
      </w:r>
      <w:r>
        <w:rPr>
          <w:rFonts w:hint="eastAsia" w:ascii="仿宋" w:hAnsi="仿宋" w:eastAsia="仿宋" w:cs="Cambria Math"/>
          <w:color w:val="auto"/>
          <w:highlight w:val="none"/>
          <w:u w:val="none"/>
        </w:rPr>
        <w:t>研究了</w:t>
      </w:r>
      <w:r>
        <w:rPr>
          <w:rFonts w:hint="eastAsia" w:ascii="仿宋" w:hAnsi="仿宋" w:eastAsia="仿宋" w:cs="Cambria Math"/>
          <w:color w:val="auto"/>
          <w:highlight w:val="none"/>
          <w:u w:val="single"/>
        </w:rPr>
        <w:t>人保财险四川省资阳市分公司安岳支公司营运客车“主动防御系统”网络服务采购项目</w:t>
      </w:r>
      <w:r>
        <w:rPr>
          <w:rFonts w:hint="eastAsia" w:ascii="仿宋" w:hAnsi="仿宋" w:eastAsia="仿宋" w:cs="Cambria Math"/>
          <w:color w:val="auto"/>
          <w:highlight w:val="none"/>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现我方承诺如下内容：</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 本响应函及比价响应文件自比价响应文件提交截止日起有效期为</w:t>
      </w:r>
      <w:r>
        <w:rPr>
          <w:rFonts w:hint="eastAsia" w:ascii="仿宋" w:hAnsi="仿宋" w:eastAsia="仿宋" w:cs="Cambria Math"/>
          <w:color w:val="auto"/>
          <w:highlight w:val="none"/>
          <w:u w:val="single"/>
          <w:lang w:val="en-US" w:eastAsia="zh-CN"/>
        </w:rPr>
        <w:t>180</w:t>
      </w:r>
      <w:r>
        <w:rPr>
          <w:rFonts w:hint="eastAsia" w:ascii="仿宋" w:hAnsi="仿宋" w:eastAsia="仿宋" w:cs="Cambria Math"/>
          <w:color w:val="auto"/>
          <w:highlight w:val="none"/>
          <w:u w:val="single"/>
        </w:rPr>
        <w:t>天</w:t>
      </w:r>
      <w:r>
        <w:rPr>
          <w:rFonts w:hint="eastAsia" w:ascii="仿宋" w:hAnsi="仿宋" w:eastAsia="仿宋" w:cs="Cambria Math"/>
          <w:color w:val="auto"/>
          <w:highlight w:val="none"/>
        </w:rPr>
        <w:t>，我方承诺在响应有效期内不修改、撤销比价响应文件。</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2</w:t>
      </w:r>
      <w:r>
        <w:rPr>
          <w:rFonts w:hint="eastAsia" w:ascii="仿宋" w:hAnsi="仿宋" w:eastAsia="仿宋" w:cs="Cambria Math"/>
          <w:color w:val="auto"/>
          <w:highlight w:val="none"/>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3</w:t>
      </w:r>
      <w:r>
        <w:rPr>
          <w:rFonts w:hint="eastAsia" w:ascii="仿宋" w:hAnsi="仿宋" w:eastAsia="仿宋" w:cs="Cambria Math"/>
          <w:color w:val="auto"/>
          <w:highlight w:val="none"/>
        </w:rPr>
        <w:t>. 我方同意提供贵方可能要求的与我方响应文件有关的一切数据、资料、证明原件、证件原件。</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4</w:t>
      </w:r>
      <w:r>
        <w:rPr>
          <w:rFonts w:hint="eastAsia" w:ascii="仿宋" w:hAnsi="仿宋" w:eastAsia="仿宋" w:cs="Cambria Math"/>
          <w:color w:val="auto"/>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highlight w:val="none"/>
        </w:rPr>
      </w:pPr>
      <w:r>
        <w:rPr>
          <w:rFonts w:ascii="仿宋" w:hAnsi="仿宋" w:eastAsia="仿宋" w:cs="宋体"/>
          <w:color w:val="auto"/>
          <w:highlight w:val="none"/>
        </w:rPr>
        <w:t>5</w:t>
      </w:r>
      <w:r>
        <w:rPr>
          <w:rFonts w:hint="eastAsia" w:ascii="仿宋" w:hAnsi="仿宋" w:eastAsia="仿宋" w:cs="宋体"/>
          <w:color w:val="auto"/>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6</w:t>
      </w:r>
      <w:r>
        <w:rPr>
          <w:rFonts w:hint="eastAsia" w:ascii="仿宋" w:hAnsi="仿宋" w:eastAsia="仿宋" w:cs="Cambria Math"/>
          <w:color w:val="auto"/>
          <w:highlight w:val="none"/>
        </w:rPr>
        <w:t>. 如我方成交：</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（1）我方承诺在收到成交通知书后，在成交通知书规定的期限内与贵方签订合同。</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（2）我方承诺按照比价文件规定递交履约保证金。</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（3）我方承诺按照比价文件的规定及合同约定履行相关责任和义务。</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（4）我方在此承诺，双方合作后可开具增值税专用发票。</w:t>
      </w: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63"/>
      <w:bookmarkEnd w:id="164"/>
      <w:bookmarkEnd w:id="172"/>
      <w:bookmarkEnd w:id="173"/>
      <w:bookmarkEnd w:id="174"/>
      <w:bookmarkEnd w:id="175"/>
      <w:bookmarkEnd w:id="176"/>
      <w:bookmarkEnd w:id="177"/>
      <w:bookmarkStart w:id="178" w:name="_Toc9602"/>
      <w:bookmarkStart w:id="179" w:name="_Toc186737815"/>
      <w:bookmarkStart w:id="180" w:name="_Toc13983"/>
      <w:r>
        <w:rPr>
          <w:rFonts w:hint="eastAsia" w:ascii="仿宋" w:hAnsi="仿宋" w:eastAsia="仿宋" w:cs="仿宋"/>
          <w:color w:val="auto"/>
          <w:sz w:val="24"/>
          <w:szCs w:val="24"/>
          <w:highlight w:val="none"/>
        </w:rPr>
        <w:t>（二）法定代表人（负责人）身份证明书</w:t>
      </w:r>
      <w:bookmarkEnd w:id="178"/>
      <w:bookmarkEnd w:id="179"/>
      <w:bookmarkEnd w:id="180"/>
      <w:r>
        <w:rPr>
          <w:rFonts w:hint="eastAsia" w:ascii="仿宋" w:hAnsi="仿宋" w:eastAsia="仿宋" w:cs="仿宋"/>
          <w:color w:val="auto"/>
          <w:sz w:val="24"/>
          <w:szCs w:val="24"/>
          <w:highlight w:val="none"/>
        </w:rPr>
        <w:tab/>
      </w:r>
    </w:p>
    <w:p>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ascii="仿宋" w:hAnsi="仿宋" w:eastAsia="仿宋" w:cs="仿宋"/>
          <w:b/>
          <w:color w:val="auto"/>
          <w:highlight w:val="none"/>
        </w:rPr>
      </w:pP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ascii="仿宋" w:hAnsi="仿宋" w:eastAsia="仿宋" w:cs="仿宋"/>
          <w:color w:val="auto"/>
          <w:highlight w:val="none"/>
        </w:rPr>
      </w:pP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highlight w:val="none"/>
        </w:rPr>
      </w:pPr>
    </w:p>
    <w:p>
      <w:pPr>
        <w:pStyle w:val="61"/>
        <w:spacing w:line="440" w:lineRule="atLeast"/>
        <w:ind w:firstLine="480"/>
        <w:jc w:val="left"/>
        <w:rPr>
          <w:rFonts w:ascii="仿宋" w:hAnsi="仿宋" w:eastAsia="仿宋" w:cs="仿宋"/>
          <w:color w:val="auto"/>
          <w:highlight w:val="none"/>
        </w:rPr>
      </w:pPr>
    </w:p>
    <w:p>
      <w:pPr>
        <w:pStyle w:val="61"/>
        <w:spacing w:line="440" w:lineRule="atLeast"/>
        <w:ind w:firstLine="480"/>
        <w:jc w:val="left"/>
        <w:rPr>
          <w:rFonts w:ascii="仿宋" w:hAnsi="仿宋" w:eastAsia="仿宋" w:cs="仿宋"/>
          <w:color w:val="auto"/>
          <w:highlight w:val="none"/>
        </w:rPr>
      </w:pPr>
    </w:p>
    <w:p>
      <w:pPr>
        <w:spacing w:line="360" w:lineRule="auto"/>
        <w:ind w:firstLine="610"/>
        <w:rPr>
          <w:rFonts w:ascii="仿宋" w:hAnsi="仿宋" w:eastAsia="仿宋" w:cs="仿宋"/>
          <w:color w:val="auto"/>
          <w:highlight w:val="none"/>
        </w:rPr>
      </w:pPr>
    </w:p>
    <w:p>
      <w:pPr>
        <w:tabs>
          <w:tab w:val="left" w:pos="720"/>
          <w:tab w:val="left" w:pos="900"/>
        </w:tabs>
        <w:spacing w:line="360" w:lineRule="auto"/>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wordWrap w:val="0"/>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ascii="仿宋" w:hAnsi="仿宋" w:eastAsia="仿宋" w:cs="仿宋"/>
          <w:color w:val="auto"/>
          <w:highlight w:val="none"/>
        </w:rPr>
      </w:pPr>
    </w:p>
    <w:p>
      <w:pPr>
        <w:tabs>
          <w:tab w:val="left" w:pos="720"/>
          <w:tab w:val="left" w:pos="900"/>
        </w:tabs>
        <w:spacing w:line="360" w:lineRule="auto"/>
        <w:ind w:left="1078"/>
        <w:rPr>
          <w:rFonts w:ascii="仿宋" w:hAnsi="仿宋" w:eastAsia="仿宋" w:cs="仿宋"/>
          <w:color w:val="auto"/>
          <w:highlight w:val="none"/>
        </w:rPr>
      </w:pP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81" w:name="_Toc24788"/>
      <w:bookmarkStart w:id="182" w:name="_Toc4426"/>
      <w:bookmarkStart w:id="183" w:name="_Toc444891355"/>
      <w:bookmarkStart w:id="184" w:name="_Toc18426"/>
      <w:bookmarkStart w:id="185" w:name="_Toc19783361"/>
      <w:bookmarkStart w:id="186" w:name="_Toc186737816"/>
      <w:bookmarkStart w:id="187" w:name="_Toc517281838"/>
      <w:bookmarkStart w:id="188" w:name="_Toc5582"/>
      <w:bookmarkStart w:id="189" w:name="_Toc20707"/>
      <w:bookmarkStart w:id="190" w:name="_Toc26267"/>
      <w:bookmarkStart w:id="191" w:name="_Toc287600130"/>
      <w:r>
        <w:rPr>
          <w:rFonts w:hint="eastAsia" w:ascii="仿宋" w:hAnsi="仿宋" w:eastAsia="仿宋" w:cs="仿宋"/>
          <w:color w:val="auto"/>
          <w:sz w:val="24"/>
          <w:szCs w:val="24"/>
          <w:highlight w:val="none"/>
        </w:rPr>
        <w:t>（三）法定代表人（负责人）授权委托书</w:t>
      </w:r>
      <w:bookmarkEnd w:id="181"/>
      <w:bookmarkEnd w:id="182"/>
      <w:bookmarkEnd w:id="183"/>
      <w:bookmarkEnd w:id="184"/>
      <w:bookmarkEnd w:id="185"/>
      <w:bookmarkEnd w:id="186"/>
      <w:bookmarkEnd w:id="187"/>
      <w:bookmarkEnd w:id="188"/>
      <w:bookmarkEnd w:id="189"/>
      <w:bookmarkEnd w:id="190"/>
      <w:bookmarkEnd w:id="191"/>
    </w:p>
    <w:p>
      <w:pPr>
        <w:pStyle w:val="61"/>
        <w:spacing w:before="240" w:after="240" w:line="360" w:lineRule="auto"/>
        <w:jc w:val="center"/>
        <w:rPr>
          <w:rFonts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61"/>
        <w:topLinePunct/>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highlight w:val="none"/>
          <w:u w:val="single"/>
        </w:rPr>
        <w:t>人保财险四川省资阳市分公司安岳支公司营运客车“主动防御系统”网络服务采购项目</w:t>
      </w:r>
      <w:r>
        <w:rPr>
          <w:rFonts w:hint="eastAsia" w:ascii="仿宋" w:hAnsi="仿宋" w:eastAsia="仿宋" w:cs="Cambria Math"/>
          <w:color w:val="auto"/>
          <w:sz w:val="24"/>
          <w:szCs w:val="24"/>
          <w:highlight w:val="none"/>
        </w:rPr>
        <w:t>比价响应文件、签订合同和处理有关事宜，其法律后果由我方承担。</w:t>
      </w:r>
    </w:p>
    <w:p>
      <w:pPr>
        <w:spacing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委托期限：</w:t>
      </w:r>
      <w:r>
        <w:rPr>
          <w:rFonts w:hint="eastAsia" w:ascii="仿宋" w:hAnsi="仿宋" w:eastAsia="仿宋" w:cs="Cambria Math"/>
          <w:color w:val="auto"/>
          <w:highlight w:val="none"/>
          <w:u w:val="single"/>
        </w:rPr>
        <w:t xml:space="preserve"> 自</w:t>
      </w:r>
      <w:r>
        <w:rPr>
          <w:rFonts w:hint="eastAsia" w:ascii="仿宋" w:hAnsi="仿宋" w:eastAsia="仿宋" w:cs="微软雅黑"/>
          <w:color w:val="auto"/>
          <w:highlight w:val="none"/>
          <w:u w:val="single"/>
        </w:rPr>
        <w:t>本委托书签字盖章生效</w:t>
      </w:r>
      <w:r>
        <w:rPr>
          <w:rFonts w:hint="eastAsia" w:ascii="仿宋" w:hAnsi="仿宋" w:eastAsia="仿宋" w:cs="Cambria Math"/>
          <w:color w:val="auto"/>
          <w:highlight w:val="none"/>
          <w:u w:val="single"/>
        </w:rPr>
        <w:t xml:space="preserve">之日起至比价响应有效期到期之日为止 </w:t>
      </w:r>
      <w:r>
        <w:rPr>
          <w:rFonts w:hint="eastAsia" w:ascii="仿宋" w:hAnsi="仿宋" w:eastAsia="仿宋" w:cs="Cambria Math"/>
          <w:color w:val="auto"/>
          <w:highlight w:val="none"/>
        </w:rPr>
        <w:t>。</w:t>
      </w:r>
    </w:p>
    <w:p>
      <w:pPr>
        <w:pStyle w:val="61"/>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61"/>
        <w:spacing w:line="360" w:lineRule="auto"/>
        <w:ind w:firstLine="482" w:firstLineChars="200"/>
        <w:rPr>
          <w:rFonts w:ascii="仿宋" w:hAnsi="仿宋" w:eastAsia="仿宋" w:cs="Cambria Math"/>
          <w:b/>
          <w:bCs/>
          <w:color w:val="auto"/>
          <w:sz w:val="24"/>
          <w:szCs w:val="24"/>
          <w:highlight w:val="none"/>
        </w:rPr>
      </w:pPr>
    </w:p>
    <w:p>
      <w:pPr>
        <w:pStyle w:val="61"/>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61"/>
        <w:spacing w:line="440" w:lineRule="atLeast"/>
        <w:ind w:firstLine="480"/>
        <w:jc w:val="left"/>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5408;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6432;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highlight w:val="none"/>
        </w:rPr>
      </w:pPr>
    </w:p>
    <w:p>
      <w:pPr>
        <w:spacing w:line="360" w:lineRule="auto"/>
        <w:ind w:left="720"/>
        <w:rPr>
          <w:rFonts w:ascii="仿宋" w:hAnsi="仿宋" w:eastAsia="仿宋" w:cs="仿宋"/>
          <w:b/>
          <w:color w:val="auto"/>
          <w:highlight w:val="none"/>
        </w:rPr>
      </w:pPr>
    </w:p>
    <w:p>
      <w:pPr>
        <w:tabs>
          <w:tab w:val="left" w:pos="540"/>
        </w:tabs>
        <w:rPr>
          <w:rFonts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ascii="宋体" w:hAnsi="宋体"/>
          <w:color w:val="auto"/>
          <w:szCs w:val="21"/>
          <w:highlight w:val="none"/>
        </w:rPr>
      </w:pPr>
    </w:p>
    <w:p>
      <w:pPr>
        <w:pStyle w:val="2"/>
        <w:rPr>
          <w:rFonts w:ascii="宋体" w:hAnsi="宋体"/>
          <w:color w:val="auto"/>
          <w:szCs w:val="21"/>
          <w:highlight w:val="none"/>
        </w:rPr>
      </w:pPr>
    </w:p>
    <w:p>
      <w:pPr>
        <w:pStyle w:val="2"/>
        <w:rPr>
          <w:rFonts w:ascii="宋体" w:hAnsi="宋体"/>
          <w:color w:val="auto"/>
          <w:szCs w:val="21"/>
          <w:highlight w:val="none"/>
        </w:rPr>
      </w:pPr>
    </w:p>
    <w:p>
      <w:pPr>
        <w:spacing w:line="360" w:lineRule="auto"/>
        <w:ind w:right="420" w:firstLine="4200" w:firstLineChars="1750"/>
        <w:rPr>
          <w:rFonts w:hint="eastAsia" w:ascii="仿宋" w:hAnsi="仿宋" w:eastAsia="仿宋" w:cs="Cambria Math"/>
          <w:color w:val="auto"/>
          <w:highlight w:val="none"/>
        </w:rPr>
      </w:pPr>
    </w:p>
    <w:p>
      <w:pPr>
        <w:spacing w:line="360" w:lineRule="auto"/>
        <w:ind w:right="420" w:firstLine="4200" w:firstLineChars="1750"/>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ind w:right="420" w:firstLine="3120" w:firstLineChars="1300"/>
        <w:rPr>
          <w:rFonts w:ascii="仿宋" w:hAnsi="仿宋" w:eastAsia="仿宋" w:cs="Cambria Math"/>
          <w:color w:val="auto"/>
          <w:highlight w:val="none"/>
        </w:rPr>
      </w:pPr>
      <w:r>
        <w:rPr>
          <w:rFonts w:hint="eastAsia" w:ascii="仿宋" w:hAnsi="仿宋" w:eastAsia="仿宋" w:cs="Cambria Math"/>
          <w:color w:val="auto"/>
          <w:highlight w:val="none"/>
        </w:rPr>
        <w:t>法定代表人（负责人）：</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（签字或盖章）</w:t>
      </w:r>
    </w:p>
    <w:p>
      <w:pPr>
        <w:pStyle w:val="61"/>
        <w:wordWrap w:val="0"/>
        <w:spacing w:line="360" w:lineRule="auto"/>
        <w:ind w:right="105" w:firstLine="4200" w:firstLineChars="175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tabs>
          <w:tab w:val="left" w:pos="540"/>
        </w:tabs>
        <w:rPr>
          <w:rFonts w:ascii="仿宋" w:hAnsi="仿宋" w:eastAsia="仿宋" w:cs="仿宋"/>
          <w:color w:val="auto"/>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highlight w:val="none"/>
        </w:rPr>
      </w:pPr>
      <w:bookmarkStart w:id="192" w:name="_Toc30551"/>
      <w:bookmarkStart w:id="193" w:name="_Toc20173"/>
      <w:bookmarkStart w:id="194" w:name="_Toc186737817"/>
      <w:bookmarkStart w:id="195" w:name="_Toc517281841"/>
      <w:r>
        <w:rPr>
          <w:rFonts w:hint="eastAsia" w:ascii="仿宋" w:hAnsi="仿宋" w:eastAsia="仿宋" w:cs="仿宋"/>
          <w:color w:val="auto"/>
          <w:sz w:val="24"/>
          <w:szCs w:val="24"/>
          <w:highlight w:val="none"/>
        </w:rPr>
        <w:t>（四）资格证明文件</w:t>
      </w:r>
      <w:bookmarkEnd w:id="192"/>
      <w:bookmarkEnd w:id="193"/>
      <w:bookmarkEnd w:id="194"/>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1"/>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bl>
    <w:p>
      <w:pPr>
        <w:pStyle w:val="61"/>
        <w:jc w:val="left"/>
        <w:rPr>
          <w:rFonts w:ascii="仿宋" w:hAnsi="仿宋" w:eastAsia="仿宋" w:cs="仿宋"/>
          <w:b/>
          <w:color w:val="auto"/>
          <w:sz w:val="24"/>
          <w:szCs w:val="24"/>
          <w:highlight w:val="none"/>
        </w:rPr>
      </w:pPr>
      <w:r>
        <w:rPr>
          <w:rFonts w:hint="eastAsia" w:ascii="仿宋" w:hAnsi="仿宋" w:eastAsia="仿宋"/>
          <w:b/>
          <w:color w:val="auto"/>
          <w:sz w:val="24"/>
          <w:szCs w:val="24"/>
          <w:highlight w:val="none"/>
        </w:rPr>
        <w:t>注：提供由工商部门核发的最新营业执照（正副本皆可）。</w:t>
      </w:r>
    </w:p>
    <w:p>
      <w:pPr>
        <w:pStyle w:val="61"/>
        <w:jc w:val="left"/>
        <w:rPr>
          <w:rFonts w:ascii="仿宋" w:hAnsi="仿宋" w:eastAsia="仿宋" w:cs="仿宋"/>
          <w:b/>
          <w:color w:val="auto"/>
          <w:highlight w:val="none"/>
        </w:rPr>
      </w:pPr>
    </w:p>
    <w:p>
      <w:pPr>
        <w:pStyle w:val="61"/>
        <w:jc w:val="left"/>
        <w:rPr>
          <w:rFonts w:ascii="仿宋" w:hAnsi="仿宋" w:eastAsia="仿宋" w:cs="仿宋"/>
          <w:b/>
          <w:color w:val="auto"/>
          <w:highlight w:val="none"/>
        </w:rPr>
      </w:pPr>
    </w:p>
    <w:p>
      <w:pPr>
        <w:pStyle w:val="61"/>
        <w:jc w:val="left"/>
        <w:rPr>
          <w:rFonts w:ascii="仿宋" w:hAnsi="仿宋" w:eastAsia="仿宋" w:cs="仿宋"/>
          <w:b/>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
        <w:spacing w:before="0" w:after="0" w:line="360" w:lineRule="auto"/>
        <w:rPr>
          <w:rFonts w:ascii="仿宋" w:hAnsi="仿宋" w:eastAsia="仿宋" w:cs="仿宋"/>
          <w:color w:val="auto"/>
          <w:sz w:val="24"/>
          <w:szCs w:val="24"/>
          <w:highlight w:val="none"/>
        </w:rPr>
      </w:pPr>
      <w:r>
        <w:rPr>
          <w:rFonts w:hint="eastAsia" w:ascii="仿宋" w:hAnsi="仿宋" w:cs="仿宋"/>
          <w:color w:val="auto"/>
          <w:highlight w:val="none"/>
        </w:rPr>
        <w:br w:type="page"/>
      </w:r>
      <w:r>
        <w:rPr>
          <w:rFonts w:hint="eastAsia" w:ascii="仿宋" w:hAnsi="仿宋" w:eastAsia="仿宋" w:cs="仿宋"/>
          <w:color w:val="auto"/>
          <w:sz w:val="24"/>
          <w:szCs w:val="24"/>
          <w:highlight w:val="none"/>
        </w:rPr>
        <w:t>2、财务报</w:t>
      </w:r>
      <w:r>
        <w:rPr>
          <w:rFonts w:hint="eastAsia" w:ascii="仿宋" w:hAnsi="仿宋" w:eastAsia="仿宋" w:cs="仿宋"/>
          <w:color w:val="auto"/>
          <w:sz w:val="24"/>
          <w:szCs w:val="24"/>
          <w:highlight w:val="none"/>
          <w:lang w:eastAsia="zh-CN"/>
        </w:rPr>
        <w:t>表</w:t>
      </w:r>
      <w:r>
        <w:rPr>
          <w:rFonts w:hint="eastAsia" w:ascii="仿宋" w:hAnsi="仿宋" w:eastAsia="仿宋" w:cs="仿宋"/>
          <w:color w:val="auto"/>
          <w:sz w:val="24"/>
          <w:szCs w:val="24"/>
          <w:highlight w:val="none"/>
        </w:rPr>
        <w:t>或银行资信证明</w:t>
      </w:r>
    </w:p>
    <w:p>
      <w:pPr>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2025</w:t>
      </w:r>
      <w:r>
        <w:rPr>
          <w:rFonts w:hint="eastAsia" w:ascii="仿宋" w:hAnsi="仿宋" w:eastAsia="仿宋" w:cs="仿宋"/>
          <w:color w:val="auto"/>
          <w:highlight w:val="none"/>
        </w:rPr>
        <w:t>年度财务报表（至少包含资产负债表、损益表/利润表）或</w:t>
      </w:r>
      <w:r>
        <w:rPr>
          <w:rFonts w:hint="eastAsia" w:ascii="仿宋" w:hAnsi="仿宋" w:eastAsia="仿宋" w:cs="Cambria Math"/>
          <w:color w:val="auto"/>
          <w:highlight w:val="none"/>
        </w:rPr>
        <w:t>响应文件递交截止日前</w:t>
      </w:r>
      <w:r>
        <w:rPr>
          <w:rFonts w:ascii="仿宋" w:hAnsi="仿宋" w:eastAsia="仿宋" w:cs="仿宋"/>
          <w:color w:val="auto"/>
          <w:highlight w:val="none"/>
        </w:rPr>
        <w:t>6</w:t>
      </w:r>
      <w:r>
        <w:rPr>
          <w:rFonts w:hint="eastAsia" w:ascii="仿宋" w:hAnsi="仿宋" w:eastAsia="仿宋" w:cs="仿宋"/>
          <w:color w:val="auto"/>
          <w:highlight w:val="none"/>
        </w:rPr>
        <w:t>个月内开具的银行资信证明。</w:t>
      </w:r>
    </w:p>
    <w:p>
      <w:pPr>
        <w:pStyle w:val="2"/>
        <w:rPr>
          <w:color w:val="auto"/>
          <w:highlight w:val="none"/>
        </w:rPr>
      </w:pPr>
    </w:p>
    <w:p>
      <w:pPr>
        <w:spacing w:line="360" w:lineRule="auto"/>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br w:type="page"/>
      </w:r>
    </w:p>
    <w:p>
      <w:pPr>
        <w:pStyle w:val="6"/>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p>
      <w:pPr>
        <w:rPr>
          <w:color w:val="auto"/>
          <w:highlight w:val="none"/>
        </w:rPr>
      </w:pPr>
      <w:r>
        <w:rPr>
          <w:rFonts w:hint="eastAsia" w:ascii="仿宋" w:hAnsi="仿宋" w:eastAsia="仿宋" w:cs="仿宋"/>
          <w:color w:val="auto"/>
          <w:highlight w:val="none"/>
        </w:rPr>
        <w:t>（可以根据项目实际情况选择是否设置）</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bl>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2）按照比价公告的资格要求提供有效的实施经验证明材料，作为资格后审的评审依据。</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highlight w:val="none"/>
        </w:rPr>
      </w:pPr>
    </w:p>
    <w:p>
      <w:pPr>
        <w:spacing w:line="360" w:lineRule="auto"/>
        <w:ind w:firstLine="480" w:firstLineChars="200"/>
        <w:rPr>
          <w:rFonts w:ascii="仿宋" w:hAnsi="仿宋" w:eastAsia="仿宋" w:cs="仿宋"/>
          <w:bCs/>
          <w:color w:val="auto"/>
          <w:highlight w:val="none"/>
        </w:rPr>
      </w:pPr>
    </w:p>
    <w:p>
      <w:pPr>
        <w:pStyle w:val="51"/>
        <w:topLinePunct/>
        <w:adjustRightInd w:val="0"/>
        <w:snapToGrid w:val="0"/>
        <w:spacing w:line="360" w:lineRule="auto"/>
        <w:ind w:left="1575" w:firstLine="0" w:firstLineChars="0"/>
        <w:rPr>
          <w:rFonts w:ascii="仿宋" w:hAnsi="仿宋" w:eastAsia="仿宋" w:cs="仿宋"/>
          <w:bCs/>
          <w:color w:val="auto"/>
          <w:highlight w:val="none"/>
        </w:rPr>
      </w:pPr>
    </w:p>
    <w:p>
      <w:pPr>
        <w:pStyle w:val="51"/>
        <w:topLinePunct/>
        <w:adjustRightInd w:val="0"/>
        <w:snapToGrid w:val="0"/>
        <w:spacing w:line="360" w:lineRule="auto"/>
        <w:ind w:left="1575" w:firstLine="0" w:firstLineChars="0"/>
        <w:rPr>
          <w:rFonts w:ascii="仿宋" w:hAnsi="仿宋" w:eastAsia="仿宋" w:cs="仿宋"/>
          <w:bCs/>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
        <w:spacing w:before="0" w:after="0" w:line="360" w:lineRule="auto"/>
        <w:rPr>
          <w:rFonts w:ascii="仿宋" w:hAnsi="仿宋" w:eastAsia="仿宋" w:cs="仿宋"/>
          <w:color w:val="auto"/>
          <w:sz w:val="24"/>
          <w:szCs w:val="24"/>
          <w:highlight w:val="none"/>
        </w:rPr>
      </w:pPr>
      <w:r>
        <w:rPr>
          <w:color w:val="auto"/>
          <w:highlight w:val="none"/>
        </w:rPr>
        <w:br w:type="page"/>
      </w:r>
      <w:r>
        <w:rPr>
          <w:rFonts w:hint="eastAsia" w:ascii="仿宋" w:hAnsi="仿宋" w:eastAsia="仿宋" w:cs="仿宋"/>
          <w:color w:val="auto"/>
          <w:sz w:val="24"/>
          <w:szCs w:val="24"/>
          <w:highlight w:val="none"/>
        </w:rPr>
        <w:t>4、税收</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社保证明材料</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提供6个月任意一个月的企业税收</w:t>
      </w:r>
      <w:r>
        <w:rPr>
          <w:rFonts w:hint="eastAsia" w:ascii="仿宋" w:hAnsi="仿宋" w:eastAsia="仿宋" w:cs="宋体"/>
          <w:color w:val="auto"/>
          <w:highlight w:val="none"/>
          <w:lang w:eastAsia="zh-CN"/>
        </w:rPr>
        <w:t>证明或</w:t>
      </w:r>
      <w:r>
        <w:rPr>
          <w:rFonts w:hint="eastAsia" w:ascii="仿宋" w:hAnsi="仿宋" w:eastAsia="仿宋" w:cs="宋体"/>
          <w:color w:val="auto"/>
          <w:highlight w:val="none"/>
        </w:rPr>
        <w:t>社会保障资金缴纳凭证。</w:t>
      </w: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t>https://www.creditchina.gov.cn/zhuanxiangchaxun/zhengfucaigouyanzhongweifashixinmingdan/</w:t>
      </w:r>
    </w:p>
    <w:p>
      <w:pPr>
        <w:spacing w:line="360" w:lineRule="auto"/>
        <w:textAlignment w:val="baseline"/>
        <w:rPr>
          <w:color w:val="auto"/>
          <w:highlight w:val="none"/>
        </w:rPr>
      </w:pPr>
      <w:r>
        <w:rPr>
          <w:rFonts w:hint="eastAsia" w:ascii="仿宋" w:hAnsi="仿宋" w:eastAsia="仿宋" w:cs="Cambria Math"/>
          <w:color w:val="auto"/>
          <w:highlight w:val="none"/>
        </w:rPr>
        <w:t>（1）失信被执行人查询截图范例：</w:t>
      </w:r>
    </w:p>
    <w:p>
      <w:pPr>
        <w:ind w:firstLine="240" w:firstLineChars="100"/>
        <w:rPr>
          <w:color w:val="auto"/>
          <w:highlight w:val="none"/>
        </w:rPr>
      </w:pPr>
      <w:r>
        <w:rPr>
          <w:rFonts w:hint="eastAsia" w:eastAsia="宋体"/>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2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highlight w:val="none"/>
        </w:rPr>
      </w:pPr>
      <w:r>
        <w:rPr>
          <w:rFonts w:hint="eastAsia" w:ascii="仿宋" w:hAnsi="仿宋" w:eastAsia="仿宋" w:cs="Cambria Math"/>
          <w:color w:val="auto"/>
          <w:highlight w:val="none"/>
        </w:rPr>
        <w:t>（2）</w:t>
      </w:r>
      <w:r>
        <w:rPr>
          <w:rFonts w:hint="eastAsia" w:ascii="仿宋" w:hAnsi="仿宋" w:eastAsia="仿宋" w:cs="微软雅黑"/>
          <w:color w:val="auto"/>
          <w:highlight w:val="none"/>
        </w:rPr>
        <w:t>重大</w:t>
      </w:r>
      <w:r>
        <w:rPr>
          <w:rFonts w:hint="eastAsia" w:ascii="仿宋" w:hAnsi="仿宋" w:eastAsia="仿宋" w:cs="仿宋"/>
          <w:color w:val="auto"/>
          <w:highlight w:val="none"/>
        </w:rPr>
        <w:t>税收违法失信主体</w:t>
      </w:r>
      <w:r>
        <w:rPr>
          <w:rFonts w:hint="eastAsia" w:ascii="仿宋" w:hAnsi="仿宋" w:eastAsia="仿宋" w:cs="微软雅黑"/>
          <w:color w:val="auto"/>
          <w:highlight w:val="none"/>
        </w:rPr>
        <w:t>查询截图范例：</w:t>
      </w:r>
    </w:p>
    <w:p>
      <w:pPr>
        <w:rPr>
          <w:rFonts w:ascii="仿宋" w:hAnsi="仿宋" w:eastAsia="仿宋" w:cs="Cambria Math"/>
          <w:color w:val="auto"/>
          <w:highlight w:val="none"/>
        </w:rPr>
      </w:pPr>
      <w:r>
        <w:rPr>
          <w:rFonts w:hint="eastAsia" w:ascii="仿宋" w:hAnsi="仿宋" w:eastAsia="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2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highlight w:val="none"/>
        </w:rPr>
      </w:pPr>
      <w:r>
        <w:rPr>
          <w:rFonts w:hint="eastAsia" w:ascii="仿宋" w:hAnsi="仿宋" w:eastAsia="仿宋" w:cs="Cambria Math"/>
          <w:color w:val="auto"/>
          <w:highlight w:val="none"/>
        </w:rPr>
        <w:t>（3）政府采购严重违法失信行为记录名单查询截图范例：</w:t>
      </w:r>
    </w:p>
    <w:p>
      <w:pPr>
        <w:ind w:firstLine="240" w:firstLineChars="100"/>
        <w:rPr>
          <w:rFonts w:ascii="仿宋" w:hAnsi="仿宋" w:eastAsia="仿宋" w:cs="仿宋"/>
          <w:color w:val="auto"/>
          <w:highlight w:val="none"/>
        </w:rPr>
      </w:pPr>
      <w:r>
        <w:rPr>
          <w:rFonts w:hint="eastAsia" w:eastAsia="宋体"/>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24"/>
                    <a:stretch>
                      <a:fillRect/>
                    </a:stretch>
                  </pic:blipFill>
                  <pic:spPr>
                    <a:xfrm>
                      <a:off x="0" y="0"/>
                      <a:ext cx="6117590" cy="3169285"/>
                    </a:xfrm>
                    <a:prstGeom prst="rect">
                      <a:avLst/>
                    </a:prstGeom>
                  </pic:spPr>
                </pic:pic>
              </a:graphicData>
            </a:graphic>
          </wp:inline>
        </w:drawing>
      </w:r>
      <w:r>
        <w:rPr>
          <w:rFonts w:ascii="仿宋" w:hAnsi="仿宋" w:eastAsia="仿宋" w:cs="仿宋"/>
          <w:color w:val="auto"/>
          <w:highlight w:val="none"/>
        </w:rPr>
        <w:br w:type="page"/>
      </w:r>
      <w:r>
        <w:rPr>
          <w:rFonts w:ascii="仿宋" w:hAnsi="仿宋" w:eastAsia="仿宋" w:cs="仿宋"/>
          <w:color w:val="auto"/>
          <w:highlight w:val="none"/>
        </w:rPr>
        <w:t>6</w:t>
      </w:r>
      <w:r>
        <w:rPr>
          <w:rFonts w:hint="eastAsia" w:ascii="仿宋" w:hAnsi="仿宋" w:eastAsia="仿宋" w:cs="仿宋"/>
          <w:color w:val="auto"/>
          <w:highlight w:val="none"/>
        </w:rPr>
        <w:t>、未列入供应商黑名单且未在禁入期承诺函</w:t>
      </w:r>
    </w:p>
    <w:p>
      <w:pPr>
        <w:pStyle w:val="2"/>
        <w:spacing w:before="240"/>
        <w:jc w:val="both"/>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sz w:val="24"/>
          <w:szCs w:val="24"/>
          <w:highlight w:val="none"/>
          <w:u w:val="single"/>
        </w:rPr>
        <w:t>中国人民财产保险股份有限公司资阳市分公司</w:t>
      </w:r>
      <w:r>
        <w:rPr>
          <w:rFonts w:hint="eastAsia" w:ascii="仿宋" w:hAnsi="仿宋" w:eastAsia="仿宋" w:cs="Cambria Math"/>
          <w:color w:val="auto"/>
          <w:sz w:val="24"/>
          <w:szCs w:val="24"/>
          <w:highlight w:val="none"/>
          <w:u w:val="single"/>
          <w:lang w:val="en-US" w:eastAsia="zh-CN"/>
        </w:rPr>
        <w:t xml:space="preserve"> </w:t>
      </w:r>
      <w:r>
        <w:rPr>
          <w:rFonts w:hint="eastAsia" w:ascii="仿宋" w:hAnsi="仿宋" w:eastAsia="仿宋" w:cs="Cambria Math"/>
          <w:color w:val="auto"/>
          <w:highlight w:val="none"/>
        </w:rPr>
        <w:t>：</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highlight w:val="none"/>
        </w:rPr>
      </w:pP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特此承诺。</w:t>
      </w: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6"/>
        <w:spacing w:line="360" w:lineRule="auto"/>
        <w:rPr>
          <w:rFonts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ascii="仿宋" w:hAnsi="仿宋" w:eastAsia="仿宋" w:cs="仿宋"/>
          <w:color w:val="auto"/>
          <w:sz w:val="24"/>
          <w:szCs w:val="24"/>
          <w:highlight w:val="none"/>
        </w:rPr>
      </w:pPr>
      <w:bookmarkStart w:id="196" w:name="_Hlk69983040"/>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、供应商控股及管理关系情况申报表</w:t>
      </w:r>
    </w:p>
    <w:p>
      <w:pPr>
        <w:pStyle w:val="51"/>
        <w:spacing w:before="240" w:after="240" w:line="360" w:lineRule="auto"/>
        <w:ind w:firstLine="0" w:firstLineChars="0"/>
        <w:jc w:val="center"/>
        <w:rPr>
          <w:rFonts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highlight w:val="none"/>
        </w:rPr>
      </w:pPr>
      <w:r>
        <w:rPr>
          <w:rFonts w:hint="eastAsia" w:ascii="仿宋" w:hAnsi="仿宋" w:eastAsia="仿宋" w:cs="宋体"/>
          <w:color w:val="auto"/>
          <w:highlight w:val="none"/>
        </w:rPr>
        <w:t>致：</w:t>
      </w:r>
      <w:r>
        <w:rPr>
          <w:rFonts w:hint="eastAsia" w:ascii="仿宋" w:hAnsi="仿宋" w:eastAsia="仿宋" w:cs="宋体"/>
          <w:color w:val="auto"/>
          <w:highlight w:val="none"/>
          <w:u w:val="single"/>
        </w:rPr>
        <w:t xml:space="preserve">  </w:t>
      </w:r>
      <w:r>
        <w:rPr>
          <w:rFonts w:hint="eastAsia" w:ascii="仿宋" w:hAnsi="仿宋" w:eastAsia="仿宋" w:cs="Cambria Math"/>
          <w:color w:val="auto"/>
          <w:highlight w:val="none"/>
          <w:u w:val="single"/>
        </w:rPr>
        <w:t>中国人民财产保险股份有限公司资阳市分公司</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w:t>
      </w:r>
    </w:p>
    <w:p>
      <w:pPr>
        <w:adjustRightInd w:val="0"/>
        <w:snapToGrid w:val="0"/>
        <w:spacing w:line="360" w:lineRule="auto"/>
        <w:ind w:left="-706" w:leftChars="-294" w:right="-586" w:rightChars="-244" w:firstLine="616" w:firstLineChars="257"/>
        <w:rPr>
          <w:rFonts w:ascii="仿宋" w:hAnsi="仿宋" w:eastAsia="仿宋" w:cs="宋体"/>
          <w:color w:val="auto"/>
          <w:highlight w:val="none"/>
        </w:rPr>
      </w:pPr>
      <w:r>
        <w:rPr>
          <w:rFonts w:hint="eastAsia" w:ascii="仿宋" w:hAnsi="仿宋" w:eastAsia="仿宋" w:cs="宋体"/>
          <w:color w:val="auto"/>
          <w:highlight w:val="none"/>
        </w:rPr>
        <w:t>我方参加</w:t>
      </w:r>
      <w:r>
        <w:rPr>
          <w:rFonts w:hint="eastAsia" w:ascii="仿宋" w:hAnsi="仿宋" w:eastAsia="仿宋" w:cs="Cambria Math"/>
          <w:color w:val="auto"/>
          <w:highlight w:val="none"/>
          <w:u w:val="single"/>
        </w:rPr>
        <w:t>人保财险四川省资阳市分公司安岳支公司营运客车“主动防御系统”网络服务采购项目</w:t>
      </w:r>
      <w:r>
        <w:rPr>
          <w:rFonts w:hint="eastAsia" w:ascii="仿宋" w:hAnsi="仿宋" w:eastAsia="仿宋" w:cs="宋体"/>
          <w:color w:val="auto"/>
          <w:highlight w:val="none"/>
        </w:rPr>
        <w:t>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姓    名</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身份证号</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控股关系</w:t>
            </w: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被控股/被投资单位名称及出资比例</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w:t>
            </w: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管理关系单位名称</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57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350"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备注：</w:t>
            </w:r>
          </w:p>
        </w:tc>
      </w:tr>
    </w:tbl>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注：</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highlight w:val="none"/>
        </w:rPr>
      </w:pPr>
      <w:r>
        <w:rPr>
          <w:rFonts w:hint="eastAsia" w:ascii="仿宋" w:hAnsi="仿宋" w:eastAsia="仿宋" w:cs="宋体"/>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3.如未有相关情况，请在相应栏填写“无”。</w:t>
      </w:r>
    </w:p>
    <w:p>
      <w:pPr>
        <w:pStyle w:val="78"/>
        <w:adjustRightInd w:val="0"/>
        <w:snapToGrid w:val="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pPr>
        <w:spacing w:line="360" w:lineRule="auto"/>
        <w:ind w:left="480" w:hanging="480" w:hangingChars="200"/>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8、非联合体比价响应声明</w:t>
      </w:r>
    </w:p>
    <w:bookmarkEnd w:id="195"/>
    <w:bookmarkEnd w:id="196"/>
    <w:p>
      <w:pPr>
        <w:pStyle w:val="2"/>
        <w:spacing w:before="240"/>
        <w:rPr>
          <w:rFonts w:ascii="仿宋" w:hAnsi="仿宋" w:eastAsia="仿宋" w:cs="Cambria Math"/>
          <w:b/>
          <w:bCs/>
          <w:color w:val="auto"/>
          <w:highlight w:val="none"/>
        </w:rPr>
      </w:pPr>
      <w:bookmarkStart w:id="197" w:name="_Toc71192048"/>
      <w:r>
        <w:rPr>
          <w:rFonts w:hint="eastAsia" w:ascii="仿宋" w:hAnsi="仿宋" w:eastAsia="仿宋" w:cs="Cambria Math"/>
          <w:b/>
          <w:bCs/>
          <w:color w:val="auto"/>
          <w:highlight w:val="none"/>
        </w:rPr>
        <w:t>非联合体比价响应声明</w:t>
      </w:r>
    </w:p>
    <w:p>
      <w:pPr>
        <w:adjustRightInd w:val="0"/>
        <w:snapToGrid w:val="0"/>
        <w:spacing w:before="240" w:line="360" w:lineRule="auto"/>
        <w:rPr>
          <w:rFonts w:ascii="仿宋" w:hAnsi="仿宋" w:eastAsia="仿宋" w:cs="Cambria Math"/>
          <w:color w:val="auto"/>
          <w:highlight w:val="none"/>
        </w:rPr>
      </w:pPr>
      <w:r>
        <w:rPr>
          <w:rFonts w:hint="eastAsia" w:ascii="仿宋" w:hAnsi="仿宋" w:eastAsia="仿宋" w:cs="Cambria Math"/>
          <w:color w:val="auto"/>
          <w:highlight w:val="none"/>
        </w:rPr>
        <w:t>致：中国人民财产保险股份有限公司资阳市分公司：</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独立参与</w:t>
      </w:r>
      <w:r>
        <w:rPr>
          <w:rFonts w:hint="eastAsia" w:ascii="仿宋" w:hAnsi="仿宋" w:eastAsia="仿宋" w:cs="Cambria Math"/>
          <w:color w:val="auto"/>
          <w:highlight w:val="none"/>
          <w:u w:val="single"/>
        </w:rPr>
        <w:t>人保财险四川省资阳市分公司安岳支公司营运客车“主动防御系统”网络服务采购项目</w:t>
      </w:r>
      <w:r>
        <w:rPr>
          <w:rFonts w:hint="eastAsia" w:ascii="仿宋" w:hAnsi="仿宋" w:eastAsia="仿宋" w:cs="Cambria Math"/>
          <w:color w:val="auto"/>
          <w:highlight w:val="none"/>
        </w:rPr>
        <w:t>比价响应，非联合体参与比价响应。</w:t>
      </w:r>
      <w:r>
        <w:rPr>
          <w:rFonts w:ascii="仿宋" w:hAnsi="仿宋" w:eastAsia="仿宋" w:cs="Cambria Math"/>
          <w:color w:val="auto"/>
          <w:highlight w:val="none"/>
        </w:rPr>
        <w:t xml:space="preserve"> </w:t>
      </w: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特此声明。</w:t>
      </w: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rFonts w:ascii="仿宋" w:hAnsi="仿宋" w:eastAsia="仿宋" w:cs="仿宋"/>
          <w:color w:val="auto"/>
          <w:highlight w:val="none"/>
        </w:rPr>
      </w:pPr>
      <w:r>
        <w:rPr>
          <w:rFonts w:ascii="仿宋" w:hAnsi="仿宋" w:eastAsia="仿宋" w:cs="仿宋"/>
          <w:color w:val="auto"/>
          <w:highlight w:val="none"/>
        </w:rPr>
        <w:br w:type="page"/>
      </w:r>
    </w:p>
    <w:p>
      <w:pPr>
        <w:pStyle w:val="5"/>
        <w:spacing w:before="0" w:after="0" w:line="360" w:lineRule="auto"/>
        <w:rPr>
          <w:rFonts w:ascii="仿宋" w:hAnsi="仿宋" w:cs="宋体"/>
          <w:color w:val="auto"/>
          <w:szCs w:val="24"/>
          <w:highlight w:val="none"/>
        </w:rPr>
      </w:pPr>
      <w:bookmarkStart w:id="198" w:name="_Toc112068411"/>
      <w:bookmarkStart w:id="199" w:name="_Toc65683009"/>
      <w:bookmarkStart w:id="200" w:name="_Toc15130"/>
      <w:bookmarkStart w:id="201" w:name="_Toc144139212"/>
      <w:bookmarkStart w:id="202" w:name="_Toc18208"/>
      <w:bookmarkStart w:id="203" w:name="_Toc186737818"/>
      <w:bookmarkStart w:id="204" w:name="_Toc21779"/>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198"/>
      <w:bookmarkEnd w:id="199"/>
      <w:bookmarkEnd w:id="200"/>
      <w:bookmarkEnd w:id="201"/>
      <w:bookmarkEnd w:id="202"/>
      <w:bookmarkEnd w:id="203"/>
      <w:bookmarkEnd w:id="204"/>
    </w:p>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供应商须知应答偏离表</w:t>
      </w:r>
    </w:p>
    <w:p>
      <w:pPr>
        <w:spacing w:line="360" w:lineRule="auto"/>
        <w:rPr>
          <w:rFonts w:ascii="仿宋" w:hAnsi="仿宋" w:eastAsia="仿宋" w:cs="宋体"/>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ascii="仿宋" w:hAnsi="仿宋" w:eastAsia="仿宋" w:cs="宋体"/>
          <w:color w:val="auto"/>
          <w:highlight w:val="none"/>
        </w:rPr>
        <w:t xml:space="preserve">        </w:t>
      </w:r>
      <w:r>
        <w:rPr>
          <w:rFonts w:hint="eastAsia" w:ascii="仿宋" w:hAnsi="仿宋" w:eastAsia="仿宋" w:cs="宋体"/>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bl>
    <w:p>
      <w:pPr>
        <w:spacing w:line="360" w:lineRule="auto"/>
        <w:ind w:left="480" w:hanging="480" w:hangingChars="200"/>
        <w:rPr>
          <w:rFonts w:ascii="仿宋" w:hAnsi="仿宋" w:eastAsia="仿宋" w:cs="宋体"/>
          <w:b/>
          <w:bCs/>
          <w:color w:val="auto"/>
          <w:highlight w:val="none"/>
        </w:rPr>
      </w:pPr>
      <w:r>
        <w:rPr>
          <w:rFonts w:hint="eastAsia" w:ascii="仿宋" w:hAnsi="仿宋" w:eastAsia="仿宋" w:cs="宋体"/>
          <w:color w:val="auto"/>
          <w:highlight w:val="none"/>
        </w:rPr>
        <w:t>注：所有偏离须在本表中列出，未在本偏离表中列出偏离，将视为供应商已完全接受比价文件要求</w:t>
      </w:r>
      <w:r>
        <w:rPr>
          <w:rFonts w:hint="eastAsia" w:ascii="仿宋" w:hAnsi="仿宋" w:eastAsia="仿宋" w:cs="宋体"/>
          <w:b/>
          <w:bCs/>
          <w:color w:val="auto"/>
          <w:highlight w:val="none"/>
        </w:rPr>
        <w:t>。如全部满足，在偏离表中应答“全部满足”即可。</w:t>
      </w: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jc w:val="right"/>
        <w:rPr>
          <w:rFonts w:ascii="仿宋" w:hAnsi="仿宋" w:eastAsia="仿宋" w:cs="宋体"/>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（六）合同条款应答偏</w:t>
      </w:r>
      <w:r>
        <w:rPr>
          <w:rFonts w:ascii="仿宋" w:hAnsi="仿宋" w:eastAsia="仿宋" w:cs="仿宋"/>
          <w:b/>
          <w:bCs/>
          <w:color w:val="auto"/>
          <w:highlight w:val="none"/>
        </w:rPr>
        <w:t>离表</w:t>
      </w:r>
    </w:p>
    <w:p>
      <w:pPr>
        <w:spacing w:line="360"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bl>
    <w:p>
      <w:pPr>
        <w:spacing w:before="240" w:line="360" w:lineRule="auto"/>
        <w:ind w:left="480" w:hanging="480" w:hangingChars="200"/>
        <w:rPr>
          <w:rFonts w:ascii="仿宋" w:hAnsi="仿宋" w:eastAsia="仿宋" w:cs="Cambria Math"/>
          <w:color w:val="auto"/>
          <w:highlight w:val="none"/>
        </w:rPr>
      </w:pPr>
      <w:r>
        <w:rPr>
          <w:rFonts w:hint="eastAsia" w:ascii="仿宋" w:hAnsi="仿宋" w:eastAsia="仿宋" w:cs="Cambria Math"/>
          <w:color w:val="auto"/>
          <w:highlight w:val="none"/>
        </w:rPr>
        <w:t>注：所有偏离必须在本表中列出，未在本偏离表中列出偏离，将视为供应商已完全接受比价文件要求；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600" w:lineRule="exact"/>
        <w:rPr>
          <w:rFonts w:ascii="仿宋" w:hAnsi="仿宋" w:eastAsia="仿宋" w:cs="仿宋"/>
          <w:color w:val="auto"/>
          <w:szCs w:val="21"/>
          <w:highlight w:val="none"/>
        </w:rPr>
      </w:pPr>
    </w:p>
    <w:p>
      <w:pPr>
        <w:spacing w:line="360" w:lineRule="auto"/>
        <w:ind w:firstLine="42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u w:val="single"/>
        </w:rPr>
      </w:pPr>
    </w:p>
    <w:p>
      <w:pPr>
        <w:pStyle w:val="5"/>
        <w:spacing w:before="0" w:after="0" w:line="360" w:lineRule="auto"/>
        <w:rPr>
          <w:rFonts w:ascii="仿宋" w:hAnsi="仿宋" w:eastAsia="仿宋" w:cs="宋体"/>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highlight w:val="none"/>
        </w:rPr>
        <w:br w:type="page"/>
      </w:r>
    </w:p>
    <w:p>
      <w:pPr>
        <w:pStyle w:val="5"/>
        <w:spacing w:before="0" w:after="0" w:line="360" w:lineRule="auto"/>
        <w:rPr>
          <w:rFonts w:ascii="仿宋" w:hAnsi="仿宋" w:eastAsia="仿宋" w:cs="仿宋"/>
          <w:color w:val="auto"/>
          <w:sz w:val="24"/>
          <w:szCs w:val="24"/>
          <w:highlight w:val="none"/>
        </w:rPr>
      </w:pPr>
      <w:bookmarkStart w:id="205" w:name="_Toc17890"/>
      <w:bookmarkStart w:id="206" w:name="_Toc433"/>
      <w:bookmarkStart w:id="207" w:name="_Toc186737819"/>
      <w:r>
        <w:rPr>
          <w:rFonts w:hint="eastAsia" w:ascii="仿宋" w:hAnsi="仿宋" w:eastAsia="仿宋" w:cs="仿宋"/>
          <w:color w:val="auto"/>
          <w:sz w:val="24"/>
          <w:szCs w:val="24"/>
          <w:highlight w:val="none"/>
        </w:rPr>
        <w:t>（七）供应商行为准则承诺书</w:t>
      </w:r>
      <w:bookmarkEnd w:id="205"/>
      <w:bookmarkEnd w:id="206"/>
      <w:bookmarkEnd w:id="207"/>
    </w:p>
    <w:p>
      <w:pPr>
        <w:jc w:val="center"/>
        <w:rPr>
          <w:rFonts w:ascii="仿宋" w:hAnsi="仿宋" w:eastAsia="仿宋" w:cs="宋体"/>
          <w:b/>
          <w:bCs/>
          <w:color w:val="auto"/>
          <w:sz w:val="28"/>
          <w:szCs w:val="28"/>
          <w:highlight w:val="none"/>
        </w:rPr>
      </w:pPr>
      <w:bookmarkStart w:id="208"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ascii="仿宋" w:hAnsi="仿宋" w:eastAsia="仿宋" w:cs="仿宋"/>
          <w:color w:val="auto"/>
          <w:highlight w:val="none"/>
        </w:rPr>
      </w:pP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7"/>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5"/>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209" w:name="_Toc186737820"/>
      <w:bookmarkStart w:id="210" w:name="_Toc8068"/>
      <w:bookmarkStart w:id="211" w:name="_Toc20088"/>
      <w:r>
        <w:rPr>
          <w:rFonts w:hint="eastAsia" w:ascii="仿宋" w:hAnsi="仿宋" w:eastAsia="仿宋" w:cs="宋体"/>
          <w:bCs w:val="0"/>
          <w:color w:val="auto"/>
          <w:sz w:val="24"/>
          <w:szCs w:val="24"/>
          <w:highlight w:val="none"/>
        </w:rPr>
        <w:t>（八）供应商廉洁诚信承诺书</w:t>
      </w:r>
      <w:bookmarkEnd w:id="208"/>
      <w:bookmarkEnd w:id="209"/>
      <w:bookmarkEnd w:id="210"/>
      <w:bookmarkEnd w:id="211"/>
    </w:p>
    <w:p>
      <w:pPr>
        <w:spacing w:line="600" w:lineRule="exact"/>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为维护公平竞争的市场秩序和公正透明的商业环境，保证与</w:t>
      </w:r>
      <w:r>
        <w:rPr>
          <w:rFonts w:hint="eastAsia" w:ascii="仿宋" w:hAnsi="仿宋" w:eastAsia="仿宋" w:cs="仿宋"/>
          <w:color w:val="auto"/>
          <w:highlight w:val="none"/>
        </w:rPr>
        <w:t>中国人民保险集团公司、各子公司以及各级分支机构（以下简称“中国人民保险”）</w:t>
      </w:r>
      <w:r>
        <w:rPr>
          <w:rFonts w:hint="eastAsia" w:ascii="仿宋" w:hAnsi="仿宋" w:eastAsia="仿宋" w:cs="宋体"/>
          <w:color w:val="auto"/>
          <w:highlight w:val="none"/>
        </w:rPr>
        <w:t>合作项目的顺利进行，我方作为参与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的合作过程中郑重承诺如下：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二、避免利害关系承诺。我们将在采购过程中主动申报与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及相关主体的关联及利害关系，包括我们的相关主体与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三、廉洁自律承诺。我们坚决不以任何形式为获取或意图获取交易机会、竞争优势或谋取不正当利益而向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或相关主体实施商业贿赂或营私舞弊行为，包括但不限于：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（2）为其安排有可能影响公平、公正交易的宴请、健身、娱乐等活动；</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（3）为其投资入股、个人借款或买卖股票、债券等提供方便；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（6）向其提供借款、融资、担保等；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（7）给予或承诺给予其不正当利益的其他行为；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（8）其他违反国家法律法规或商业道德准则的影响公正交易的行为。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我们也不会以任何方式向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出借、转让资质证书；</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伙同他人串标、围标或非法排挤竞争对手；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（4）隐瞒任何可能对贵方利益造成影响的信息，不配合贵方的审计。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七、配合监督承诺。我们将积极配合</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八、如违反上述承诺，我方自愿承担以下法律责任：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及其子公司等所有关联主体有权限制或取消我方在</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参与采购项目的资格；</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（4）如我方及我方工作人员违反本承诺书承诺，除承担前述（1）（2）（3）项责任外，</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本承诺书自承诺方签字和盖章之日起生效。如我方成功中选</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highlight w:val="none"/>
        </w:rPr>
      </w:pPr>
    </w:p>
    <w:p>
      <w:pPr>
        <w:tabs>
          <w:tab w:val="left" w:pos="458"/>
        </w:tabs>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91"/>
        <w:spacing w:before="0" w:after="0" w:line="360" w:lineRule="auto"/>
        <w:rPr>
          <w:rFonts w:ascii="仿宋" w:hAnsi="仿宋" w:eastAsia="仿宋" w:cs="宋体"/>
          <w:bCs w:val="0"/>
          <w:color w:val="auto"/>
          <w:sz w:val="21"/>
          <w:szCs w:val="24"/>
          <w:highlight w:val="none"/>
        </w:rPr>
      </w:pPr>
      <w:bookmarkStart w:id="212" w:name="_Toc186737821"/>
      <w:bookmarkStart w:id="213" w:name="_Toc32111"/>
      <w:r>
        <w:rPr>
          <w:rFonts w:hint="eastAsia" w:ascii="仿宋" w:hAnsi="仿宋" w:eastAsia="仿宋" w:cs="宋体"/>
          <w:bCs w:val="0"/>
          <w:color w:val="auto"/>
          <w:sz w:val="24"/>
          <w:szCs w:val="24"/>
          <w:highlight w:val="none"/>
        </w:rPr>
        <w:t>（九）</w:t>
      </w:r>
      <w:bookmarkEnd w:id="212"/>
      <w:r>
        <w:rPr>
          <w:rFonts w:hint="eastAsia" w:ascii="仿宋" w:hAnsi="仿宋" w:eastAsia="仿宋" w:cs="宋体"/>
          <w:color w:val="auto"/>
          <w:sz w:val="24"/>
          <w:highlight w:val="none"/>
        </w:rPr>
        <w:t>其他材料</w:t>
      </w:r>
      <w:bookmarkEnd w:id="213"/>
    </w:p>
    <w:p>
      <w:pPr>
        <w:spacing w:line="360" w:lineRule="auto"/>
        <w:rPr>
          <w:rFonts w:ascii="宋体" w:hAnsi="宋体"/>
          <w:color w:val="auto"/>
          <w:szCs w:val="21"/>
          <w:highlight w:val="none"/>
        </w:rPr>
        <w:sectPr>
          <w:pgSz w:w="11906" w:h="16838"/>
          <w:pgMar w:top="1417" w:right="1134" w:bottom="1134" w:left="1134" w:header="851" w:footer="992" w:gutter="0"/>
          <w:pgNumType w:fmt="decimal"/>
          <w:cols w:space="1701" w:num="1"/>
          <w:titlePg/>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rPr>
        <w:t>。</w:t>
      </w:r>
    </w:p>
    <w:bookmarkEnd w:id="197"/>
    <w:p>
      <w:pPr>
        <w:pStyle w:val="4"/>
        <w:jc w:val="both"/>
        <w:rPr>
          <w:rFonts w:ascii="仿宋" w:hAnsi="仿宋" w:eastAsia="仿宋" w:cs="仿宋"/>
          <w:color w:val="auto"/>
          <w:sz w:val="24"/>
          <w:szCs w:val="24"/>
          <w:highlight w:val="none"/>
        </w:rPr>
      </w:pPr>
      <w:bookmarkStart w:id="214" w:name="_Toc18712"/>
      <w:bookmarkStart w:id="215" w:name="_Toc28698"/>
      <w:bookmarkStart w:id="216" w:name="_Toc186737823"/>
      <w:r>
        <w:rPr>
          <w:rFonts w:hint="eastAsia" w:ascii="仿宋" w:hAnsi="仿宋" w:eastAsia="仿宋" w:cs="仿宋"/>
          <w:color w:val="auto"/>
          <w:sz w:val="24"/>
          <w:szCs w:val="24"/>
          <w:highlight w:val="none"/>
        </w:rPr>
        <w:t>二、技术文件</w:t>
      </w:r>
      <w:bookmarkEnd w:id="214"/>
      <w:bookmarkEnd w:id="215"/>
      <w:bookmarkEnd w:id="216"/>
    </w:p>
    <w:p>
      <w:pPr>
        <w:jc w:val="center"/>
        <w:rPr>
          <w:rFonts w:ascii="仿宋" w:hAnsi="仿宋" w:eastAsia="仿宋" w:cs="仿宋"/>
          <w:b/>
          <w:bCs/>
          <w:color w:val="auto"/>
          <w:highlight w:val="none"/>
        </w:rPr>
      </w:pPr>
      <w:bookmarkStart w:id="217" w:name="_Toc30870"/>
      <w:bookmarkStart w:id="218" w:name="_Toc23108"/>
      <w:r>
        <w:rPr>
          <w:rFonts w:hint="eastAsia" w:ascii="仿宋" w:hAnsi="仿宋" w:eastAsia="仿宋" w:cs="仿宋"/>
          <w:b/>
          <w:bCs/>
          <w:color w:val="auto"/>
          <w:highlight w:val="none"/>
        </w:rPr>
        <w:t>详细评审索引表</w:t>
      </w:r>
      <w:bookmarkEnd w:id="217"/>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highlight w:val="none"/>
                <w:lang w:bidi="ar"/>
              </w:rPr>
            </w:pPr>
            <w:r>
              <w:rPr>
                <w:rFonts w:hint="eastAsia" w:ascii="仿宋" w:hAnsi="仿宋" w:eastAsia="仿宋" w:cs="宋体"/>
                <w:b/>
                <w:bCs/>
                <w:color w:val="auto"/>
                <w:szCs w:val="21"/>
                <w:highlight w:val="none"/>
              </w:rPr>
              <w:t>评审项</w:t>
            </w:r>
          </w:p>
        </w:tc>
        <w:tc>
          <w:tcPr>
            <w:tcW w:w="2268" w:type="dxa"/>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rPr>
              <w:t>（XX分）</w:t>
            </w:r>
          </w:p>
        </w:tc>
        <w:tc>
          <w:tcPr>
            <w:tcW w:w="2268" w:type="dxa"/>
            <w:vAlign w:val="center"/>
          </w:tcPr>
          <w:p>
            <w:pPr>
              <w:jc w:val="center"/>
              <w:rPr>
                <w:rFonts w:ascii="仿宋" w:hAnsi="仿宋" w:eastAsia="仿宋" w:cs="宋体"/>
                <w:color w:val="auto"/>
                <w:szCs w:val="21"/>
                <w:highlight w:val="none"/>
              </w:rPr>
            </w:pP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rPr>
            </w:pPr>
          </w:p>
        </w:tc>
        <w:tc>
          <w:tcPr>
            <w:tcW w:w="2268" w:type="dxa"/>
            <w:vAlign w:val="center"/>
          </w:tcPr>
          <w:p>
            <w:pPr>
              <w:jc w:val="center"/>
              <w:textAlignment w:val="center"/>
              <w:rPr>
                <w:rFonts w:ascii="仿宋" w:hAnsi="仿宋" w:eastAsia="仿宋" w:cs="宋体"/>
                <w:color w:val="auto"/>
                <w:szCs w:val="21"/>
                <w:highlight w:val="none"/>
              </w:rPr>
            </w:pP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rPr>
            </w:pPr>
          </w:p>
        </w:tc>
        <w:tc>
          <w:tcPr>
            <w:tcW w:w="2268" w:type="dxa"/>
            <w:vAlign w:val="center"/>
          </w:tcPr>
          <w:p>
            <w:pPr>
              <w:jc w:val="center"/>
              <w:textAlignment w:val="center"/>
              <w:rPr>
                <w:rFonts w:ascii="仿宋" w:hAnsi="仿宋" w:eastAsia="仿宋" w:cs="宋体"/>
                <w:color w:val="auto"/>
                <w:szCs w:val="21"/>
                <w:highlight w:val="none"/>
              </w:rPr>
            </w:pP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rPr>
            </w:pPr>
          </w:p>
        </w:tc>
        <w:tc>
          <w:tcPr>
            <w:tcW w:w="2268" w:type="dxa"/>
            <w:vAlign w:val="center"/>
          </w:tcPr>
          <w:p>
            <w:pPr>
              <w:jc w:val="center"/>
              <w:textAlignment w:val="center"/>
              <w:rPr>
                <w:rFonts w:ascii="仿宋" w:hAnsi="仿宋" w:eastAsia="仿宋" w:cs="宋体"/>
                <w:color w:val="auto"/>
                <w:szCs w:val="21"/>
                <w:highlight w:val="none"/>
              </w:rPr>
            </w:pPr>
          </w:p>
        </w:tc>
        <w:tc>
          <w:tcPr>
            <w:tcW w:w="4820" w:type="dxa"/>
            <w:tcMar>
              <w:top w:w="15" w:type="dxa"/>
              <w:left w:w="15" w:type="dxa"/>
              <w:right w:w="15" w:type="dxa"/>
            </w:tcMar>
            <w:vAlign w:val="center"/>
          </w:tcPr>
          <w:p>
            <w:pPr>
              <w:rPr>
                <w:rStyle w:val="75"/>
                <w:rFonts w:hint="default" w:cs="宋体"/>
                <w:color w:val="auto"/>
                <w:highlight w:val="none"/>
                <w:lang w:bidi="ar"/>
              </w:rPr>
            </w:pPr>
          </w:p>
        </w:tc>
      </w:tr>
    </w:tbl>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ascii="仿宋" w:hAnsi="仿宋" w:eastAsia="仿宋" w:cs="仿宋"/>
          <w:color w:val="auto"/>
          <w:sz w:val="24"/>
          <w:szCs w:val="24"/>
          <w:highlight w:val="none"/>
        </w:rPr>
      </w:pPr>
      <w:bookmarkStart w:id="219" w:name="_Toc17302"/>
      <w:bookmarkStart w:id="220" w:name="_Toc21284"/>
      <w:bookmarkStart w:id="221" w:name="_Toc186737824"/>
      <w:r>
        <w:rPr>
          <w:rFonts w:hint="eastAsia" w:ascii="仿宋" w:hAnsi="仿宋" w:eastAsia="仿宋" w:cs="仿宋"/>
          <w:color w:val="auto"/>
          <w:sz w:val="24"/>
          <w:szCs w:val="24"/>
          <w:highlight w:val="none"/>
        </w:rPr>
        <w:t>（一）采购需求应答偏离表</w:t>
      </w:r>
      <w:bookmarkEnd w:id="218"/>
      <w:bookmarkEnd w:id="219"/>
      <w:bookmarkEnd w:id="220"/>
      <w:bookmarkEnd w:id="221"/>
    </w:p>
    <w:p>
      <w:pPr>
        <w:spacing w:line="360" w:lineRule="auto"/>
        <w:jc w:val="center"/>
        <w:rPr>
          <w:rFonts w:ascii="仿宋" w:hAnsi="仿宋" w:eastAsia="仿宋" w:cs="仿宋"/>
          <w:b/>
          <w:bCs/>
          <w:color w:val="auto"/>
          <w:highlight w:val="none"/>
        </w:rPr>
      </w:pPr>
      <w:bookmarkStart w:id="222" w:name="_Toc293297544"/>
      <w:bookmarkStart w:id="223" w:name="_Toc125561188"/>
      <w:bookmarkStart w:id="224" w:name="_Toc125771198"/>
      <w:r>
        <w:rPr>
          <w:rFonts w:hint="eastAsia" w:ascii="仿宋" w:hAnsi="仿宋" w:eastAsia="仿宋" w:cs="仿宋"/>
          <w:b/>
          <w:bCs/>
          <w:color w:val="auto"/>
          <w:highlight w:val="none"/>
        </w:rPr>
        <w:t>采购需求应答偏离表</w:t>
      </w:r>
      <w:bookmarkEnd w:id="222"/>
      <w:bookmarkEnd w:id="223"/>
      <w:bookmarkEnd w:id="224"/>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highlight w:val="none"/>
              </w:rPr>
            </w:pPr>
          </w:p>
        </w:tc>
      </w:tr>
    </w:tbl>
    <w:p>
      <w:pPr>
        <w:spacing w:before="240" w:line="360" w:lineRule="auto"/>
        <w:rPr>
          <w:rFonts w:ascii="仿宋" w:hAnsi="仿宋" w:eastAsia="仿宋" w:cs="Cambria Math"/>
          <w:color w:val="auto"/>
          <w:highlight w:val="none"/>
        </w:rPr>
      </w:pPr>
      <w:r>
        <w:rPr>
          <w:rFonts w:hint="eastAsia" w:ascii="仿宋" w:hAnsi="仿宋" w:eastAsia="仿宋" w:cs="仿宋"/>
          <w:color w:val="auto"/>
          <w:highlight w:val="none"/>
        </w:rPr>
        <w:t>注：</w:t>
      </w:r>
      <w:r>
        <w:rPr>
          <w:rFonts w:hint="eastAsia" w:ascii="仿宋" w:hAnsi="仿宋" w:eastAsia="仿宋" w:cs="Cambria Math"/>
          <w:color w:val="auto"/>
          <w:highlight w:val="none"/>
        </w:rPr>
        <w:t>对于未列出的偏离内容视同供应商已完全接受比价文件的要求，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360" w:lineRule="auto"/>
        <w:ind w:left="480" w:hanging="480" w:hangingChars="200"/>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rPr>
      </w:pP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225" w:name="_Toc186737825"/>
      <w:bookmarkStart w:id="226" w:name="_Toc18909"/>
      <w:bookmarkStart w:id="227" w:name="_Toc8284"/>
      <w:r>
        <w:rPr>
          <w:rFonts w:hint="eastAsia" w:ascii="仿宋" w:hAnsi="仿宋" w:eastAsia="仿宋" w:cs="仿宋"/>
          <w:color w:val="auto"/>
          <w:sz w:val="24"/>
          <w:szCs w:val="24"/>
          <w:highlight w:val="none"/>
        </w:rPr>
        <w:t>（二）技术方案</w:t>
      </w:r>
      <w:bookmarkEnd w:id="225"/>
      <w:bookmarkEnd w:id="226"/>
      <w:bookmarkEnd w:id="227"/>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 xml:space="preserve">供应商应根据采购需求的要求，提供相应的文件内容以及证明材料。 </w:t>
      </w:r>
      <w:bookmarkStart w:id="228" w:name="_Toc444891358"/>
      <w:bookmarkStart w:id="229" w:name="_Toc517281860"/>
      <w:r>
        <w:rPr>
          <w:rFonts w:hint="eastAsia" w:ascii="仿宋" w:hAnsi="仿宋" w:eastAsia="仿宋" w:cs="仿宋"/>
          <w:color w:val="auto"/>
          <w:highlight w:val="none"/>
        </w:rPr>
        <w:br w:type="page"/>
      </w:r>
    </w:p>
    <w:p>
      <w:pPr>
        <w:pStyle w:val="6"/>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bl>
    <w:p>
      <w:pPr>
        <w:adjustRightInd w:val="0"/>
        <w:snapToGrid w:val="0"/>
        <w:spacing w:before="240" w:line="360" w:lineRule="auto"/>
        <w:ind w:firstLine="482" w:firstLineChars="200"/>
        <w:rPr>
          <w:rFonts w:ascii="仿宋" w:hAnsi="仿宋" w:eastAsia="仿宋" w:cs="仿宋"/>
          <w:b/>
          <w:bCs/>
          <w:color w:val="auto"/>
          <w:highlight w:val="none"/>
        </w:rPr>
      </w:pPr>
      <w:r>
        <w:rPr>
          <w:rFonts w:hint="eastAsia" w:ascii="仿宋" w:hAnsi="仿宋" w:eastAsia="仿宋" w:cs="仿宋"/>
          <w:b/>
          <w:bCs/>
          <w:color w:val="auto"/>
          <w:highlight w:val="none"/>
        </w:rPr>
        <w:t>注：需按照采购需求中的相关要求，列明本项目服务团队所有人员信息及职责分工。</w:t>
      </w: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jc w:val="center"/>
              <w:rPr>
                <w:rFonts w:ascii="仿宋" w:hAnsi="仿宋" w:eastAsia="仿宋" w:cs="仿宋"/>
                <w:color w:val="auto"/>
                <w:highlight w:val="none"/>
              </w:rPr>
            </w:pPr>
          </w:p>
        </w:tc>
        <w:tc>
          <w:tcPr>
            <w:tcW w:w="945" w:type="dxa"/>
            <w:gridSpan w:val="2"/>
            <w:vAlign w:val="center"/>
          </w:tcPr>
          <w:p>
            <w:pPr>
              <w:rPr>
                <w:rFonts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rPr>
                <w:rFonts w:ascii="仿宋" w:hAnsi="仿宋" w:eastAsia="仿宋" w:cs="仿宋"/>
                <w:color w:val="auto"/>
                <w:highlight w:val="none"/>
              </w:rPr>
            </w:pPr>
          </w:p>
        </w:tc>
        <w:tc>
          <w:tcPr>
            <w:tcW w:w="1854" w:type="dxa"/>
            <w:gridSpan w:val="2"/>
            <w:vAlign w:val="center"/>
          </w:tcPr>
          <w:p>
            <w:pPr>
              <w:rPr>
                <w:rFonts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rPr>
                <w:rFonts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rPr>
                <w:rFonts w:ascii="仿宋" w:hAnsi="仿宋" w:eastAsia="仿宋" w:cs="仿宋"/>
                <w:color w:val="auto"/>
                <w:highlight w:val="none"/>
              </w:rPr>
            </w:pPr>
          </w:p>
        </w:tc>
        <w:tc>
          <w:tcPr>
            <w:tcW w:w="1854" w:type="dxa"/>
            <w:gridSpan w:val="2"/>
            <w:vAlign w:val="center"/>
          </w:tcPr>
          <w:p>
            <w:pPr>
              <w:ind w:left="-18"/>
              <w:jc w:val="center"/>
              <w:rPr>
                <w:rFonts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ind w:left="45"/>
              <w:rPr>
                <w:rFonts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1995" w:type="dxa"/>
            <w:gridSpan w:val="3"/>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rPr>
                <w:rFonts w:ascii="仿宋" w:hAnsi="仿宋" w:eastAsia="仿宋" w:cs="仿宋"/>
                <w:color w:val="auto"/>
                <w:highlight w:val="none"/>
              </w:rPr>
            </w:pPr>
          </w:p>
        </w:tc>
        <w:tc>
          <w:tcPr>
            <w:tcW w:w="2835" w:type="dxa"/>
            <w:gridSpan w:val="4"/>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995" w:type="dxa"/>
            <w:gridSpan w:val="3"/>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rPr>
                <w:rFonts w:ascii="仿宋" w:hAnsi="仿宋" w:eastAsia="仿宋" w:cs="仿宋"/>
                <w:color w:val="auto"/>
                <w:highlight w:val="none"/>
              </w:rPr>
            </w:pPr>
          </w:p>
        </w:tc>
        <w:tc>
          <w:tcPr>
            <w:tcW w:w="2835" w:type="dxa"/>
            <w:gridSpan w:val="4"/>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vAlign w:val="center"/>
          </w:tcPr>
          <w:p>
            <w:pPr>
              <w:ind w:firstLine="3360" w:firstLineChars="1400"/>
              <w:rPr>
                <w:rFonts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bl>
    <w:p>
      <w:pPr>
        <w:spacing w:before="240" w:line="360" w:lineRule="auto"/>
        <w:rPr>
          <w:rFonts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ascii="仿宋" w:hAnsi="仿宋" w:eastAsia="仿宋" w:cs="仿宋"/>
          <w:color w:val="auto"/>
          <w:sz w:val="24"/>
          <w:szCs w:val="24"/>
          <w:highlight w:val="none"/>
        </w:rPr>
      </w:pPr>
      <w:bookmarkStart w:id="230" w:name="_Toc21322"/>
      <w:bookmarkStart w:id="231" w:name="_Toc186737826"/>
      <w:bookmarkStart w:id="232" w:name="_Toc20365"/>
      <w:r>
        <w:rPr>
          <w:rFonts w:hint="eastAsia" w:ascii="仿宋" w:hAnsi="仿宋" w:eastAsia="仿宋" w:cs="仿宋"/>
          <w:color w:val="auto"/>
          <w:sz w:val="24"/>
          <w:szCs w:val="24"/>
          <w:highlight w:val="none"/>
        </w:rPr>
        <w:t>（三）</w:t>
      </w:r>
      <w:bookmarkEnd w:id="228"/>
      <w:bookmarkEnd w:id="229"/>
      <w:r>
        <w:rPr>
          <w:rFonts w:hint="eastAsia" w:ascii="仿宋" w:hAnsi="仿宋" w:eastAsia="仿宋" w:cs="仿宋"/>
          <w:color w:val="auto"/>
          <w:sz w:val="24"/>
          <w:szCs w:val="24"/>
          <w:highlight w:val="none"/>
        </w:rPr>
        <w:t>其他材料</w:t>
      </w:r>
      <w:bookmarkEnd w:id="230"/>
      <w:bookmarkEnd w:id="231"/>
      <w:bookmarkEnd w:id="232"/>
    </w:p>
    <w:p>
      <w:pPr>
        <w:spacing w:line="360" w:lineRule="auto"/>
        <w:rPr>
          <w:rFonts w:ascii="仿宋" w:hAnsi="仿宋" w:eastAsia="仿宋" w:cs="Cambria Math"/>
          <w:color w:val="auto"/>
          <w:highlight w:val="none"/>
        </w:r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rPr>
        <w:t>。</w:t>
      </w:r>
    </w:p>
    <w:p>
      <w:pPr>
        <w:spacing w:line="360" w:lineRule="auto"/>
        <w:rPr>
          <w:rFonts w:ascii="仿宋" w:hAnsi="仿宋" w:eastAsia="仿宋" w:cs="仿宋"/>
          <w:color w:val="auto"/>
          <w:highlight w:val="none"/>
        </w:rPr>
        <w:sectPr>
          <w:pgSz w:w="11906" w:h="16838"/>
          <w:pgMar w:top="1417" w:right="1134" w:bottom="1134" w:left="1134" w:header="964" w:footer="964" w:gutter="0"/>
          <w:pgNumType w:fmt="decimal"/>
          <w:cols w:space="720" w:num="1"/>
          <w:docGrid w:linePitch="312" w:charSpace="0"/>
        </w:sectPr>
      </w:pPr>
    </w:p>
    <w:p>
      <w:pPr>
        <w:pStyle w:val="4"/>
        <w:jc w:val="both"/>
        <w:rPr>
          <w:rFonts w:ascii="仿宋" w:hAnsi="仿宋" w:eastAsia="仿宋" w:cs="仿宋"/>
          <w:color w:val="auto"/>
          <w:sz w:val="24"/>
          <w:szCs w:val="24"/>
          <w:highlight w:val="none"/>
        </w:rPr>
      </w:pPr>
      <w:bookmarkStart w:id="233" w:name="_Toc186737827"/>
      <w:bookmarkStart w:id="234" w:name="_Toc10666"/>
      <w:bookmarkStart w:id="235" w:name="_Toc20443"/>
      <w:r>
        <w:rPr>
          <w:rFonts w:hint="eastAsia" w:ascii="仿宋" w:hAnsi="仿宋" w:eastAsia="仿宋" w:cs="仿宋"/>
          <w:color w:val="auto"/>
          <w:sz w:val="24"/>
          <w:szCs w:val="24"/>
          <w:highlight w:val="none"/>
        </w:rPr>
        <w:t>三、报价文件</w:t>
      </w:r>
      <w:bookmarkEnd w:id="233"/>
      <w:bookmarkEnd w:id="234"/>
      <w:bookmarkEnd w:id="235"/>
    </w:p>
    <w:p>
      <w:pPr>
        <w:pStyle w:val="5"/>
        <w:spacing w:before="0" w:after="0" w:line="360" w:lineRule="auto"/>
        <w:ind w:firstLine="482"/>
        <w:rPr>
          <w:rFonts w:ascii="仿宋" w:hAnsi="仿宋" w:eastAsia="仿宋" w:cs="仿宋"/>
          <w:color w:val="auto"/>
          <w:sz w:val="24"/>
          <w:szCs w:val="24"/>
          <w:highlight w:val="none"/>
        </w:rPr>
      </w:pPr>
      <w:bookmarkStart w:id="236" w:name="_Toc511726864"/>
      <w:bookmarkStart w:id="237" w:name="_Toc18942"/>
      <w:bookmarkStart w:id="238" w:name="_Toc186737828"/>
      <w:bookmarkStart w:id="239" w:name="_Toc23619"/>
      <w:r>
        <w:rPr>
          <w:rFonts w:hint="eastAsia" w:ascii="仿宋" w:hAnsi="仿宋" w:eastAsia="仿宋" w:cs="仿宋"/>
          <w:color w:val="auto"/>
          <w:sz w:val="24"/>
          <w:szCs w:val="24"/>
          <w:highlight w:val="none"/>
        </w:rPr>
        <w:t>报价</w:t>
      </w:r>
      <w:bookmarkEnd w:id="236"/>
      <w:r>
        <w:rPr>
          <w:rFonts w:hint="eastAsia" w:ascii="仿宋" w:hAnsi="仿宋" w:eastAsia="仿宋" w:cs="仿宋"/>
          <w:color w:val="auto"/>
          <w:sz w:val="24"/>
          <w:szCs w:val="24"/>
          <w:highlight w:val="none"/>
        </w:rPr>
        <w:t>一览表</w:t>
      </w:r>
      <w:bookmarkEnd w:id="237"/>
      <w:bookmarkEnd w:id="238"/>
      <w:bookmarkEnd w:id="239"/>
    </w:p>
    <w:p>
      <w:pPr>
        <w:pStyle w:val="11"/>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人保财险四川省资阳市分公司安岳支公司营运客车“主动防御系统”网络服务采购项目  </w:t>
      </w:r>
      <w:r>
        <w:rPr>
          <w:rFonts w:hint="eastAsia" w:ascii="仿宋" w:hAnsi="仿宋" w:eastAsia="仿宋" w:cs="仿宋"/>
          <w:color w:val="auto"/>
          <w:sz w:val="24"/>
          <w:szCs w:val="24"/>
          <w:highlight w:val="none"/>
        </w:rPr>
        <w:t xml:space="preserve">  </w:t>
      </w:r>
    </w:p>
    <w:p>
      <w:pPr>
        <w:pStyle w:val="11"/>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1"/>
        <w:gridCol w:w="2311"/>
        <w:gridCol w:w="1358"/>
        <w:gridCol w:w="1766"/>
        <w:gridCol w:w="759"/>
        <w:gridCol w:w="1358"/>
        <w:gridCol w:w="9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2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含税单价(元）</w:t>
            </w:r>
          </w:p>
        </w:tc>
        <w:tc>
          <w:tcPr>
            <w:tcW w:w="9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增值税发票类型（专票/普票）</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税率</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不含税单价(元）</w:t>
            </w:r>
          </w:p>
        </w:tc>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2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1"/>
                <w:szCs w:val="21"/>
                <w:u w:val="none"/>
              </w:rPr>
            </w:pPr>
          </w:p>
        </w:tc>
        <w:tc>
          <w:tcPr>
            <w:tcW w:w="5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r>
    </w:tbl>
    <w:p>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rPr>
          <w:rFonts w:ascii="仿宋" w:hAnsi="仿宋" w:eastAsia="仿宋"/>
          <w:bCs/>
          <w:color w:val="auto"/>
          <w:highlight w:val="none"/>
        </w:rPr>
      </w:pPr>
      <w:r>
        <w:rPr>
          <w:rFonts w:hint="eastAsia" w:ascii="仿宋" w:hAnsi="仿宋" w:eastAsia="仿宋"/>
          <w:bCs/>
          <w:color w:val="auto"/>
          <w:highlight w:val="none"/>
        </w:rPr>
        <w:t>1.本次报价精确到小数点后两位（四舍五入）。</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价为准进行修正，增值税普通发票以含税价进行修正。</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调整。</w:t>
      </w:r>
    </w:p>
    <w:p>
      <w:pPr>
        <w:spacing w:line="360" w:lineRule="auto"/>
        <w:rPr>
          <w:rFonts w:ascii="仿宋" w:hAnsi="仿宋" w:eastAsia="仿宋" w:cs="仿宋"/>
          <w:color w:val="auto"/>
          <w:highlight w:val="none"/>
        </w:rPr>
      </w:pPr>
    </w:p>
    <w:p>
      <w:pPr>
        <w:widowControl w:val="0"/>
        <w:numPr>
          <w:ilvl w:val="0"/>
          <w:numId w:val="1"/>
        </w:numPr>
        <w:spacing w:line="440" w:lineRule="exact"/>
        <w:jc w:val="right"/>
        <w:rPr>
          <w:rFonts w:ascii="仿宋" w:hAnsi="仿宋" w:eastAsia="仿宋" w:cs="宋体"/>
          <w:color w:val="auto"/>
          <w:highlight w:val="none"/>
        </w:rPr>
      </w:pPr>
      <w:bookmarkStart w:id="240" w:name="_Toc482180015"/>
      <w:bookmarkStart w:id="241" w:name="_Toc517281864"/>
      <w:bookmarkStart w:id="242" w:name="_Toc530319762"/>
      <w:bookmarkStart w:id="243" w:name="_Toc518302646"/>
      <w:bookmarkStart w:id="244" w:name="_Toc16591840"/>
      <w:bookmarkStart w:id="245" w:name="_Toc2267055"/>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法定代表人或其授权代理人：</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（签字）</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bookmarkEnd w:id="153"/>
    <w:bookmarkEnd w:id="240"/>
    <w:bookmarkEnd w:id="241"/>
    <w:bookmarkEnd w:id="242"/>
    <w:bookmarkEnd w:id="243"/>
    <w:bookmarkEnd w:id="244"/>
    <w:bookmarkEnd w:id="245"/>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highlight w:val="none"/>
        </w:rPr>
      </w:pPr>
    </w:p>
    <w:sectPr>
      <w:headerReference r:id="rId19" w:type="default"/>
      <w:footerReference r:id="rId20" w:type="default"/>
      <w:pgSz w:w="11906" w:h="16838"/>
      <w:pgMar w:top="1418" w:right="1555" w:bottom="1418" w:left="1531" w:header="851" w:footer="992" w:gutter="0"/>
      <w:pgNumType w:fmt="decimal"/>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w:date="2025-01-03T14:50:00Z" w:initials="l">
    <w:p w14:paraId="68FF0A46">
      <w:pPr>
        <w:pStyle w:val="12"/>
      </w:pPr>
      <w:r>
        <w:t>使用公司标准版合同模板</w:t>
      </w:r>
    </w:p>
  </w:comment>
  <w:comment w:id="1" w:author="刘娇" w:date="2025-01-03T14:51:00Z" w:initials="l">
    <w:p w14:paraId="7C8123BB">
      <w:pPr>
        <w:pStyle w:val="12"/>
      </w:pPr>
      <w:r>
        <w:t>根据项目实际明确各项要求</w:t>
      </w:r>
      <w:r>
        <w:rPr>
          <w:rFonts w:hint="eastAsia"/>
        </w:rPr>
        <w:t>，</w:t>
      </w:r>
      <w:r>
        <w:t>具体可参照</w:t>
      </w:r>
      <w:r>
        <w:rPr>
          <w:rFonts w:hint="eastAsia"/>
        </w:rPr>
        <w:t>《</w:t>
      </w:r>
      <w:r>
        <w:fldChar w:fldCharType="begin"/>
      </w:r>
      <w:r>
        <w:instrText xml:space="preserve"> HYPERLINK "http://10.2.10.29:9108/oa/view/page/gwForm.html?servId=OA_GW_GONGWEN_BMFW&amp;dataId=0wNGznsqsJ1Mb6JKpSPv5Al&amp;year=2024&amp;OdeptCode=201206161620110703l3je7" \t "_blank" \o "关于进一步加强采购需求管理的通知  川人保财险财会部函〔2024〕92号" </w:instrText>
      </w:r>
      <w:r>
        <w:fldChar w:fldCharType="separate"/>
      </w:r>
      <w:r>
        <w:rPr>
          <w:rStyle w:val="33"/>
          <w:rFonts w:hint="eastAsia" w:ascii="微软雅黑" w:hAnsi="微软雅黑" w:eastAsia="微软雅黑"/>
          <w:sz w:val="21"/>
          <w:szCs w:val="21"/>
          <w:shd w:val="clear" w:color="auto" w:fill="FFFFFF"/>
        </w:rPr>
        <w:t>关于进一步加强采购需求管理的通知</w:t>
      </w:r>
      <w:r>
        <w:rPr>
          <w:rStyle w:val="33"/>
          <w:rFonts w:hint="eastAsia" w:ascii="微软雅黑" w:hAnsi="微软雅黑" w:eastAsia="微软雅黑"/>
          <w:sz w:val="21"/>
          <w:szCs w:val="21"/>
          <w:shd w:val="clear" w:color="auto" w:fill="FFFFFF"/>
        </w:rPr>
        <w:fldChar w:fldCharType="end"/>
      </w:r>
      <w:r>
        <w:rPr>
          <w:rFonts w:hint="eastAsia"/>
        </w:rPr>
        <w:t>》（</w:t>
      </w:r>
      <w:r>
        <w:rPr>
          <w:rFonts w:hint="eastAsia" w:ascii="微软雅黑" w:hAnsi="微软雅黑" w:eastAsia="微软雅黑"/>
          <w:sz w:val="21"/>
          <w:szCs w:val="21"/>
          <w:shd w:val="clear" w:color="auto" w:fill="FFFFFF"/>
        </w:rPr>
        <w:t>川人保财险财会部函〔2024〕92号</w:t>
      </w:r>
      <w:r>
        <w:rPr>
          <w:rFonts w:hint="eastAsia"/>
        </w:rPr>
        <w:t>）采购需求样例模板编制</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8FF0A46" w15:done="0"/>
  <w15:commentEx w15:paraId="7C8123B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Tahoma">
    <w:panose1 w:val="020B0604030504040204"/>
    <w:charset w:val="00"/>
    <w:family w:val="auto"/>
    <w:pitch w:val="default"/>
    <w:sig w:usb0="E1002EFF" w:usb1="C000605B" w:usb2="00000029" w:usb3="00000000" w:csb0="200101FF" w:csb1="2028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w:t>
                    </w:r>
                    <w:r>
                      <w:fldChar w:fldCharType="end"/>
                    </w:r>
                  </w:p>
                </w:txbxContent>
              </v:textbox>
            </v:shape>
          </w:pict>
        </mc:Fallback>
      </mc:AlternateContent>
    </w:r>
  </w:p>
  <w:p>
    <w:pPr>
      <w:pStyle w:val="8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24</w:t>
                    </w:r>
                    <w:r>
                      <w:fldChar w:fldCharType="end"/>
                    </w:r>
                  </w:p>
                </w:txbxContent>
              </v:textbox>
            </v:shape>
          </w:pict>
        </mc:Fallback>
      </mc:AlternateContent>
    </w:r>
  </w:p>
  <w:p>
    <w:pPr>
      <w:pStyle w:val="1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40</w:t>
                    </w:r>
                    <w:r>
                      <w:fldChar w:fldCharType="end"/>
                    </w:r>
                  </w:p>
                </w:txbxContent>
              </v:textbox>
            </v:shape>
          </w:pict>
        </mc:Fallback>
      </mc:AlternateContent>
    </w:r>
  </w:p>
  <w:p>
    <w:pPr>
      <w:pStyle w:val="1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
      <w:pBdr>
        <w:bottom w:val="none" w:color="000000"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4"/>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4">
    <w:nsid w:val="0053208E"/>
    <w:multiLevelType w:val="multilevel"/>
    <w:tmpl w:val="0053208E"/>
    <w:lvl w:ilvl="0" w:tentative="0">
      <w:start w:val="2"/>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59ADCABA"/>
    <w:multiLevelType w:val="multilevel"/>
    <w:tmpl w:val="59ADCABA"/>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6">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3"/>
  </w:num>
  <w:num w:numId="2">
    <w:abstractNumId w:val="6"/>
  </w:num>
  <w:num w:numId="3">
    <w:abstractNumId w:val="4"/>
  </w:num>
  <w:num w:numId="4">
    <w:abstractNumId w:val="2"/>
  </w:num>
  <w:num w:numId="5">
    <w:abstractNumId w:val="5"/>
  </w:num>
  <w:num w:numId="6">
    <w:abstractNumId w:val="1"/>
  </w:num>
  <w:num w:numId="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w15:presenceInfo w15:providerId="None"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1A3B"/>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15F6D"/>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303D"/>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161"/>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868"/>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1C9253E"/>
    <w:rsid w:val="02016291"/>
    <w:rsid w:val="020715C0"/>
    <w:rsid w:val="023909C6"/>
    <w:rsid w:val="029251E2"/>
    <w:rsid w:val="02B07E7A"/>
    <w:rsid w:val="02E402C1"/>
    <w:rsid w:val="02FD0CF5"/>
    <w:rsid w:val="03B35EB3"/>
    <w:rsid w:val="03CA6EF6"/>
    <w:rsid w:val="040B4DC3"/>
    <w:rsid w:val="040E6732"/>
    <w:rsid w:val="045F7637"/>
    <w:rsid w:val="049C11EB"/>
    <w:rsid w:val="05280385"/>
    <w:rsid w:val="052851DF"/>
    <w:rsid w:val="0569312B"/>
    <w:rsid w:val="05885E20"/>
    <w:rsid w:val="058F7D8A"/>
    <w:rsid w:val="05B47F69"/>
    <w:rsid w:val="06375C5B"/>
    <w:rsid w:val="06452D03"/>
    <w:rsid w:val="06911A77"/>
    <w:rsid w:val="0703310E"/>
    <w:rsid w:val="07474082"/>
    <w:rsid w:val="075A46E1"/>
    <w:rsid w:val="076B5857"/>
    <w:rsid w:val="07CC05D8"/>
    <w:rsid w:val="08062C68"/>
    <w:rsid w:val="084C21AB"/>
    <w:rsid w:val="089E746B"/>
    <w:rsid w:val="08F62644"/>
    <w:rsid w:val="08FB0697"/>
    <w:rsid w:val="09146371"/>
    <w:rsid w:val="095852CB"/>
    <w:rsid w:val="098F1CD1"/>
    <w:rsid w:val="0A07342C"/>
    <w:rsid w:val="0A141145"/>
    <w:rsid w:val="0A9E520C"/>
    <w:rsid w:val="0AAF0097"/>
    <w:rsid w:val="0ACB4877"/>
    <w:rsid w:val="0AFB1C14"/>
    <w:rsid w:val="0B7231CF"/>
    <w:rsid w:val="0B883877"/>
    <w:rsid w:val="0B892115"/>
    <w:rsid w:val="0CB113C6"/>
    <w:rsid w:val="0CDF2F6F"/>
    <w:rsid w:val="0D441838"/>
    <w:rsid w:val="0E772366"/>
    <w:rsid w:val="101738D4"/>
    <w:rsid w:val="103D79C9"/>
    <w:rsid w:val="10A77A62"/>
    <w:rsid w:val="10B7227A"/>
    <w:rsid w:val="10BF1885"/>
    <w:rsid w:val="11D04CB8"/>
    <w:rsid w:val="11D66A9A"/>
    <w:rsid w:val="11F12EFC"/>
    <w:rsid w:val="11F57951"/>
    <w:rsid w:val="120D6BCB"/>
    <w:rsid w:val="122C3D05"/>
    <w:rsid w:val="12B409FA"/>
    <w:rsid w:val="131F68E3"/>
    <w:rsid w:val="133A44C3"/>
    <w:rsid w:val="13876815"/>
    <w:rsid w:val="13B40768"/>
    <w:rsid w:val="13BE11E1"/>
    <w:rsid w:val="154E4A13"/>
    <w:rsid w:val="15640325"/>
    <w:rsid w:val="15E16C1D"/>
    <w:rsid w:val="1628644E"/>
    <w:rsid w:val="16421F11"/>
    <w:rsid w:val="16445414"/>
    <w:rsid w:val="16A323C7"/>
    <w:rsid w:val="16E51558"/>
    <w:rsid w:val="1727128A"/>
    <w:rsid w:val="17334565"/>
    <w:rsid w:val="17416D43"/>
    <w:rsid w:val="17682586"/>
    <w:rsid w:val="177D4217"/>
    <w:rsid w:val="178772D7"/>
    <w:rsid w:val="18146217"/>
    <w:rsid w:val="1817678B"/>
    <w:rsid w:val="18215304"/>
    <w:rsid w:val="18340E4D"/>
    <w:rsid w:val="1835455A"/>
    <w:rsid w:val="18860E6A"/>
    <w:rsid w:val="18FE560D"/>
    <w:rsid w:val="19125F37"/>
    <w:rsid w:val="19332BB1"/>
    <w:rsid w:val="1A2A270E"/>
    <w:rsid w:val="1A68285F"/>
    <w:rsid w:val="1A725422"/>
    <w:rsid w:val="1A730DD5"/>
    <w:rsid w:val="1B5A0CF0"/>
    <w:rsid w:val="1BCA2744"/>
    <w:rsid w:val="1BE47E0E"/>
    <w:rsid w:val="1C2C4680"/>
    <w:rsid w:val="1C523975"/>
    <w:rsid w:val="1D190BBE"/>
    <w:rsid w:val="1D237383"/>
    <w:rsid w:val="1D40128F"/>
    <w:rsid w:val="1D4B72B1"/>
    <w:rsid w:val="1D7F1FF4"/>
    <w:rsid w:val="1DBE0159"/>
    <w:rsid w:val="1DBE3ED8"/>
    <w:rsid w:val="1EC16A83"/>
    <w:rsid w:val="1EC31F86"/>
    <w:rsid w:val="1ECC11F4"/>
    <w:rsid w:val="1F5171F9"/>
    <w:rsid w:val="1F81583C"/>
    <w:rsid w:val="200B1023"/>
    <w:rsid w:val="208E5D79"/>
    <w:rsid w:val="20B07E60"/>
    <w:rsid w:val="216A2189"/>
    <w:rsid w:val="21C76B17"/>
    <w:rsid w:val="21D70261"/>
    <w:rsid w:val="22181FFD"/>
    <w:rsid w:val="22226190"/>
    <w:rsid w:val="226C36E6"/>
    <w:rsid w:val="22A144DF"/>
    <w:rsid w:val="22EF67DD"/>
    <w:rsid w:val="230E7092"/>
    <w:rsid w:val="232457F5"/>
    <w:rsid w:val="2399560F"/>
    <w:rsid w:val="24B31941"/>
    <w:rsid w:val="24CF4FC0"/>
    <w:rsid w:val="24D06CF2"/>
    <w:rsid w:val="2566706B"/>
    <w:rsid w:val="256761A8"/>
    <w:rsid w:val="257A3B02"/>
    <w:rsid w:val="25ED6EF0"/>
    <w:rsid w:val="261A4896"/>
    <w:rsid w:val="262A41C4"/>
    <w:rsid w:val="26AD3740"/>
    <w:rsid w:val="26DF5848"/>
    <w:rsid w:val="27372D1B"/>
    <w:rsid w:val="273F207D"/>
    <w:rsid w:val="274D290A"/>
    <w:rsid w:val="274E2589"/>
    <w:rsid w:val="27634928"/>
    <w:rsid w:val="27734A58"/>
    <w:rsid w:val="2800049F"/>
    <w:rsid w:val="28844B85"/>
    <w:rsid w:val="28CE3CFF"/>
    <w:rsid w:val="29244525"/>
    <w:rsid w:val="292532D4"/>
    <w:rsid w:val="293E571B"/>
    <w:rsid w:val="29767964"/>
    <w:rsid w:val="298D0BBF"/>
    <w:rsid w:val="2A2342F0"/>
    <w:rsid w:val="2AC94DBF"/>
    <w:rsid w:val="2ADF6F62"/>
    <w:rsid w:val="2AEB5028"/>
    <w:rsid w:val="2B3E04F9"/>
    <w:rsid w:val="2B6F4FD6"/>
    <w:rsid w:val="2BFF06BF"/>
    <w:rsid w:val="2C205175"/>
    <w:rsid w:val="2C8A4A20"/>
    <w:rsid w:val="2C971B37"/>
    <w:rsid w:val="2D1F758D"/>
    <w:rsid w:val="2D24719C"/>
    <w:rsid w:val="2D7501E6"/>
    <w:rsid w:val="2D9D7D27"/>
    <w:rsid w:val="2DDB30C8"/>
    <w:rsid w:val="2DF81ACA"/>
    <w:rsid w:val="2E1E4E36"/>
    <w:rsid w:val="2E3461D7"/>
    <w:rsid w:val="2E85094C"/>
    <w:rsid w:val="2EE07A9B"/>
    <w:rsid w:val="2F742A09"/>
    <w:rsid w:val="2FA64F49"/>
    <w:rsid w:val="2FCA4353"/>
    <w:rsid w:val="2FDE6606"/>
    <w:rsid w:val="302E2617"/>
    <w:rsid w:val="302E5B2D"/>
    <w:rsid w:val="30650573"/>
    <w:rsid w:val="3087019A"/>
    <w:rsid w:val="30A41CFF"/>
    <w:rsid w:val="30F36EDD"/>
    <w:rsid w:val="31814C8C"/>
    <w:rsid w:val="318C680B"/>
    <w:rsid w:val="31C85C3C"/>
    <w:rsid w:val="31EC11BC"/>
    <w:rsid w:val="32FA49A1"/>
    <w:rsid w:val="33356193"/>
    <w:rsid w:val="33580FD6"/>
    <w:rsid w:val="33C83183"/>
    <w:rsid w:val="3430074D"/>
    <w:rsid w:val="34425E22"/>
    <w:rsid w:val="34DA0B7C"/>
    <w:rsid w:val="35154937"/>
    <w:rsid w:val="362C1207"/>
    <w:rsid w:val="363A5186"/>
    <w:rsid w:val="36926C7C"/>
    <w:rsid w:val="376F58CD"/>
    <w:rsid w:val="378B7CA4"/>
    <w:rsid w:val="37915A99"/>
    <w:rsid w:val="37AD4B11"/>
    <w:rsid w:val="37C0403D"/>
    <w:rsid w:val="38075385"/>
    <w:rsid w:val="38264F60"/>
    <w:rsid w:val="38464922"/>
    <w:rsid w:val="3869321C"/>
    <w:rsid w:val="39133709"/>
    <w:rsid w:val="397D76E1"/>
    <w:rsid w:val="399D5AD6"/>
    <w:rsid w:val="3A127D55"/>
    <w:rsid w:val="3A585CA7"/>
    <w:rsid w:val="3A912B12"/>
    <w:rsid w:val="3B1F0EF6"/>
    <w:rsid w:val="3B553864"/>
    <w:rsid w:val="3B80271C"/>
    <w:rsid w:val="3BCC25A9"/>
    <w:rsid w:val="3C166A9C"/>
    <w:rsid w:val="3C224958"/>
    <w:rsid w:val="3C934498"/>
    <w:rsid w:val="3CFC0E57"/>
    <w:rsid w:val="3D0137C6"/>
    <w:rsid w:val="3D931579"/>
    <w:rsid w:val="3E05314D"/>
    <w:rsid w:val="3E166C6B"/>
    <w:rsid w:val="3E49149C"/>
    <w:rsid w:val="3E6570ED"/>
    <w:rsid w:val="3EC43AF4"/>
    <w:rsid w:val="3F0C5C3F"/>
    <w:rsid w:val="3F7755AE"/>
    <w:rsid w:val="3FF46A69"/>
    <w:rsid w:val="40363F4D"/>
    <w:rsid w:val="4037567F"/>
    <w:rsid w:val="4039566C"/>
    <w:rsid w:val="414810EF"/>
    <w:rsid w:val="41837C0C"/>
    <w:rsid w:val="41F474C3"/>
    <w:rsid w:val="42721A93"/>
    <w:rsid w:val="42E02820"/>
    <w:rsid w:val="434F1459"/>
    <w:rsid w:val="43CE48C3"/>
    <w:rsid w:val="43EA6480"/>
    <w:rsid w:val="44004F9E"/>
    <w:rsid w:val="44A4522B"/>
    <w:rsid w:val="44B72D5C"/>
    <w:rsid w:val="44E93C84"/>
    <w:rsid w:val="4567157B"/>
    <w:rsid w:val="45CE06AA"/>
    <w:rsid w:val="4616768B"/>
    <w:rsid w:val="46EC05E8"/>
    <w:rsid w:val="46F825E5"/>
    <w:rsid w:val="47143D2B"/>
    <w:rsid w:val="47236543"/>
    <w:rsid w:val="474C46ED"/>
    <w:rsid w:val="47BF5887"/>
    <w:rsid w:val="47C15148"/>
    <w:rsid w:val="481925EE"/>
    <w:rsid w:val="481E7A60"/>
    <w:rsid w:val="486B4535"/>
    <w:rsid w:val="48BC4B7B"/>
    <w:rsid w:val="49860EEC"/>
    <w:rsid w:val="499861F8"/>
    <w:rsid w:val="49A05099"/>
    <w:rsid w:val="49FD5519"/>
    <w:rsid w:val="4A5E4DB0"/>
    <w:rsid w:val="4A8B6DED"/>
    <w:rsid w:val="4AAD305D"/>
    <w:rsid w:val="4ADC085D"/>
    <w:rsid w:val="4B892032"/>
    <w:rsid w:val="4BC56B3C"/>
    <w:rsid w:val="4C443EC1"/>
    <w:rsid w:val="4C5216C4"/>
    <w:rsid w:val="4C7B56DF"/>
    <w:rsid w:val="4C8038F5"/>
    <w:rsid w:val="4C8F1529"/>
    <w:rsid w:val="4CA70B1E"/>
    <w:rsid w:val="4CC43F81"/>
    <w:rsid w:val="4CC92EED"/>
    <w:rsid w:val="4D346BC1"/>
    <w:rsid w:val="4D874A06"/>
    <w:rsid w:val="4DA335EF"/>
    <w:rsid w:val="4DD328EA"/>
    <w:rsid w:val="4E233F7A"/>
    <w:rsid w:val="4E320BC9"/>
    <w:rsid w:val="4E4E3A88"/>
    <w:rsid w:val="4F342A81"/>
    <w:rsid w:val="4F6145D8"/>
    <w:rsid w:val="4FAF6CA3"/>
    <w:rsid w:val="4FB46852"/>
    <w:rsid w:val="4FB472CA"/>
    <w:rsid w:val="50173D1C"/>
    <w:rsid w:val="503C23C4"/>
    <w:rsid w:val="507142CF"/>
    <w:rsid w:val="50722108"/>
    <w:rsid w:val="51126C13"/>
    <w:rsid w:val="511730A2"/>
    <w:rsid w:val="51616E44"/>
    <w:rsid w:val="52655DBB"/>
    <w:rsid w:val="52736D9C"/>
    <w:rsid w:val="527A02DF"/>
    <w:rsid w:val="52B35EBB"/>
    <w:rsid w:val="53162231"/>
    <w:rsid w:val="53F039D9"/>
    <w:rsid w:val="5441700D"/>
    <w:rsid w:val="54DD728B"/>
    <w:rsid w:val="54E762B6"/>
    <w:rsid w:val="5532457A"/>
    <w:rsid w:val="559C6C03"/>
    <w:rsid w:val="55FE463F"/>
    <w:rsid w:val="56257777"/>
    <w:rsid w:val="565B07B7"/>
    <w:rsid w:val="56AB78FA"/>
    <w:rsid w:val="571F1304"/>
    <w:rsid w:val="57A10251"/>
    <w:rsid w:val="57D909D8"/>
    <w:rsid w:val="57DD4352"/>
    <w:rsid w:val="594B280B"/>
    <w:rsid w:val="5AE1183E"/>
    <w:rsid w:val="5AE96DB5"/>
    <w:rsid w:val="5AEB5017"/>
    <w:rsid w:val="5B1717C2"/>
    <w:rsid w:val="5B7D6727"/>
    <w:rsid w:val="5B98279E"/>
    <w:rsid w:val="5B9A01BB"/>
    <w:rsid w:val="5B9A723A"/>
    <w:rsid w:val="5BDD1924"/>
    <w:rsid w:val="5BE42EA3"/>
    <w:rsid w:val="5C5D0552"/>
    <w:rsid w:val="5C666806"/>
    <w:rsid w:val="5CD91AE3"/>
    <w:rsid w:val="5CEB5280"/>
    <w:rsid w:val="5CF87643"/>
    <w:rsid w:val="5CFA6D74"/>
    <w:rsid w:val="5D30766A"/>
    <w:rsid w:val="5D5418FE"/>
    <w:rsid w:val="5D6F15DA"/>
    <w:rsid w:val="5D8B11F0"/>
    <w:rsid w:val="5E1E4379"/>
    <w:rsid w:val="5E401709"/>
    <w:rsid w:val="5E8E293D"/>
    <w:rsid w:val="5F9D43EE"/>
    <w:rsid w:val="5FB47775"/>
    <w:rsid w:val="5FEA5396"/>
    <w:rsid w:val="5FEC366F"/>
    <w:rsid w:val="603F5678"/>
    <w:rsid w:val="60611566"/>
    <w:rsid w:val="606E247F"/>
    <w:rsid w:val="612358EA"/>
    <w:rsid w:val="613065C0"/>
    <w:rsid w:val="619E04DC"/>
    <w:rsid w:val="61AF2F50"/>
    <w:rsid w:val="61D62C68"/>
    <w:rsid w:val="61EB0C67"/>
    <w:rsid w:val="627035D2"/>
    <w:rsid w:val="629A41D2"/>
    <w:rsid w:val="629C0C19"/>
    <w:rsid w:val="62A30F2A"/>
    <w:rsid w:val="635A680F"/>
    <w:rsid w:val="638717B1"/>
    <w:rsid w:val="63936F88"/>
    <w:rsid w:val="6398189A"/>
    <w:rsid w:val="644545DB"/>
    <w:rsid w:val="648C22EA"/>
    <w:rsid w:val="649A7590"/>
    <w:rsid w:val="64FB3A69"/>
    <w:rsid w:val="650D3C56"/>
    <w:rsid w:val="65411548"/>
    <w:rsid w:val="654354C3"/>
    <w:rsid w:val="65AB6F91"/>
    <w:rsid w:val="66235798"/>
    <w:rsid w:val="66254614"/>
    <w:rsid w:val="67210FD7"/>
    <w:rsid w:val="672F4D6E"/>
    <w:rsid w:val="673E3173"/>
    <w:rsid w:val="67880AE7"/>
    <w:rsid w:val="679819A7"/>
    <w:rsid w:val="67B45E22"/>
    <w:rsid w:val="67B66B94"/>
    <w:rsid w:val="68115650"/>
    <w:rsid w:val="689D4940"/>
    <w:rsid w:val="68B14593"/>
    <w:rsid w:val="6936651F"/>
    <w:rsid w:val="69586DB1"/>
    <w:rsid w:val="69943146"/>
    <w:rsid w:val="6A034B76"/>
    <w:rsid w:val="6B061D23"/>
    <w:rsid w:val="6B2C198F"/>
    <w:rsid w:val="6BA0061E"/>
    <w:rsid w:val="6C003240"/>
    <w:rsid w:val="6C0D6B20"/>
    <w:rsid w:val="6C305F8D"/>
    <w:rsid w:val="6CCF2537"/>
    <w:rsid w:val="6CD5015F"/>
    <w:rsid w:val="6CD9769F"/>
    <w:rsid w:val="6CF76415"/>
    <w:rsid w:val="6CF95D71"/>
    <w:rsid w:val="6D4312CD"/>
    <w:rsid w:val="6D535020"/>
    <w:rsid w:val="6D610AD4"/>
    <w:rsid w:val="6D671F13"/>
    <w:rsid w:val="6D88366D"/>
    <w:rsid w:val="6DEE71E8"/>
    <w:rsid w:val="6DF25BEE"/>
    <w:rsid w:val="6E4730F9"/>
    <w:rsid w:val="6E8A2EC6"/>
    <w:rsid w:val="6E9B7BC7"/>
    <w:rsid w:val="6F0547B1"/>
    <w:rsid w:val="6FA50AB7"/>
    <w:rsid w:val="6FAD010A"/>
    <w:rsid w:val="6FE63C91"/>
    <w:rsid w:val="701E7516"/>
    <w:rsid w:val="70437C95"/>
    <w:rsid w:val="71092523"/>
    <w:rsid w:val="71774CEC"/>
    <w:rsid w:val="71861B2D"/>
    <w:rsid w:val="719426FE"/>
    <w:rsid w:val="71CE2A46"/>
    <w:rsid w:val="720E21AB"/>
    <w:rsid w:val="72185AC4"/>
    <w:rsid w:val="72700D2E"/>
    <w:rsid w:val="733C6CD7"/>
    <w:rsid w:val="735478CA"/>
    <w:rsid w:val="737963C8"/>
    <w:rsid w:val="73C053F4"/>
    <w:rsid w:val="73C50541"/>
    <w:rsid w:val="73E81FA9"/>
    <w:rsid w:val="73F11447"/>
    <w:rsid w:val="74594A1A"/>
    <w:rsid w:val="746305B1"/>
    <w:rsid w:val="74862811"/>
    <w:rsid w:val="74E42560"/>
    <w:rsid w:val="74E975A9"/>
    <w:rsid w:val="7523181C"/>
    <w:rsid w:val="772B54F6"/>
    <w:rsid w:val="7762336C"/>
    <w:rsid w:val="77846CDF"/>
    <w:rsid w:val="7794361D"/>
    <w:rsid w:val="77A33DD6"/>
    <w:rsid w:val="77A8025E"/>
    <w:rsid w:val="77AE0952"/>
    <w:rsid w:val="780C7C8D"/>
    <w:rsid w:val="788C75D7"/>
    <w:rsid w:val="78AE1D0A"/>
    <w:rsid w:val="78B47496"/>
    <w:rsid w:val="78D97F71"/>
    <w:rsid w:val="79035E58"/>
    <w:rsid w:val="7913570D"/>
    <w:rsid w:val="792F64D1"/>
    <w:rsid w:val="794F1893"/>
    <w:rsid w:val="79820DE8"/>
    <w:rsid w:val="799B46CB"/>
    <w:rsid w:val="79F833BF"/>
    <w:rsid w:val="7A1D26C5"/>
    <w:rsid w:val="7A644042"/>
    <w:rsid w:val="7A7C1F6E"/>
    <w:rsid w:val="7ABE598B"/>
    <w:rsid w:val="7ACB4CB1"/>
    <w:rsid w:val="7AE46FE0"/>
    <w:rsid w:val="7B2C55A1"/>
    <w:rsid w:val="7B5876EA"/>
    <w:rsid w:val="7B661E49"/>
    <w:rsid w:val="7BC96724"/>
    <w:rsid w:val="7C562FD2"/>
    <w:rsid w:val="7CF96E16"/>
    <w:rsid w:val="7D2F2363"/>
    <w:rsid w:val="7D5C493C"/>
    <w:rsid w:val="7DC120E2"/>
    <w:rsid w:val="7E4A0726"/>
    <w:rsid w:val="7E502C4A"/>
    <w:rsid w:val="7F75049E"/>
    <w:rsid w:val="7F842F5E"/>
    <w:rsid w:val="7FFA7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paragraph" w:customStyle="1" w:styleId="84">
    <w:name w:val="标题 1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customStyle="1" w:styleId="85">
    <w:name w:val="彩色列表 - 着色 11"/>
    <w:basedOn w:val="1"/>
    <w:qFormat/>
    <w:uiPriority w:val="0"/>
    <w:pPr>
      <w:ind w:firstLine="420"/>
      <w:jc w:val="both"/>
    </w:pPr>
    <w:rPr>
      <w:sz w:val="21"/>
    </w:rPr>
  </w:style>
  <w:style w:type="paragraph" w:customStyle="1" w:styleId="86">
    <w:name w:val="无间隔1"/>
    <w:qFormat/>
    <w:uiPriority w:val="0"/>
    <w:rPr>
      <w:rFonts w:hint="default" w:ascii="Tahoma" w:hAnsi="Tahoma" w:eastAsia="微软雅黑" w:cs="Times New Roman"/>
      <w:sz w:val="22"/>
      <w:szCs w:val="22"/>
      <w:lang w:val="en-US" w:eastAsia="zh-CN" w:bidi="ar-SA"/>
    </w:rPr>
  </w:style>
  <w:style w:type="paragraph" w:customStyle="1" w:styleId="87">
    <w:name w:val="正文文本1"/>
    <w:basedOn w:val="1"/>
    <w:next w:val="1"/>
    <w:qFormat/>
    <w:uiPriority w:val="99"/>
    <w:pPr>
      <w:spacing w:after="120"/>
    </w:pPr>
  </w:style>
  <w:style w:type="paragraph" w:customStyle="1" w:styleId="88">
    <w:name w:val="列出段落1"/>
    <w:basedOn w:val="1"/>
    <w:qFormat/>
    <w:uiPriority w:val="99"/>
    <w:pPr>
      <w:ind w:firstLine="420"/>
    </w:pPr>
  </w:style>
  <w:style w:type="paragraph" w:customStyle="1" w:styleId="89">
    <w:name w:val="页脚1"/>
    <w:basedOn w:val="1"/>
    <w:qFormat/>
    <w:uiPriority w:val="99"/>
    <w:pPr>
      <w:tabs>
        <w:tab w:val="center" w:pos="4153"/>
        <w:tab w:val="right" w:pos="8306"/>
      </w:tabs>
    </w:pPr>
    <w:rPr>
      <w:sz w:val="18"/>
      <w:szCs w:val="18"/>
    </w:rPr>
  </w:style>
  <w:style w:type="paragraph" w:customStyle="1" w:styleId="90">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91">
    <w:name w:val="标题 31"/>
    <w:basedOn w:val="1"/>
    <w:next w:val="1"/>
    <w:unhideWhenUsed/>
    <w:qFormat/>
    <w:uiPriority w:val="0"/>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9" Type="http://schemas.microsoft.com/office/2011/relationships/people" Target="people.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3.jpeg"/><Relationship Id="rId23" Type="http://schemas.openxmlformats.org/officeDocument/2006/relationships/image" Target="media/image2.jpe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E8B95-5672-4171-B859-B8401DE69E05}">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3797</Words>
  <Characters>21648</Characters>
  <Lines>180</Lines>
  <Paragraphs>50</Paragraphs>
  <TotalTime>18</TotalTime>
  <ScaleCrop>false</ScaleCrop>
  <LinksUpToDate>false</LinksUpToDate>
  <CharactersWithSpaces>25395</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卢哑韵</cp:lastModifiedBy>
  <cp:lastPrinted>2019-12-03T09:03:00Z</cp:lastPrinted>
  <dcterms:modified xsi:type="dcterms:W3CDTF">2026-09-04T08:38:06Z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54F51B07C17F4D36BF258F6D00FCC9DD</vt:lpwstr>
  </property>
</Properties>
</file>