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EEF25B">
      <w:pPr>
        <w:tabs>
          <w:tab w:val="left" w:pos="720"/>
          <w:tab w:val="left" w:pos="8295"/>
        </w:tabs>
        <w:spacing w:before="240"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人保财险宁夏分公司2026年招标代理服务供应商入库项目</w:t>
      </w:r>
    </w:p>
    <w:p w14:paraId="010CF651">
      <w:pPr>
        <w:tabs>
          <w:tab w:val="left" w:pos="720"/>
          <w:tab w:val="left" w:pos="8295"/>
        </w:tabs>
        <w:spacing w:line="360" w:lineRule="auto"/>
        <w:jc w:val="center"/>
        <w:rPr>
          <w:rFonts w:hint="eastAsia" w:ascii="仿宋" w:hAnsi="仿宋" w:eastAsia="仿宋" w:cs="仿宋"/>
          <w:b/>
          <w:color w:val="000000"/>
          <w:sz w:val="28"/>
          <w:szCs w:val="28"/>
          <w:highlight w:val="none"/>
        </w:rPr>
      </w:pPr>
    </w:p>
    <w:p w14:paraId="695231D4">
      <w:pPr>
        <w:pStyle w:val="18"/>
        <w:rPr>
          <w:rFonts w:hint="eastAsia" w:ascii="仿宋" w:hAnsi="仿宋" w:eastAsia="仿宋" w:cs="仿宋"/>
          <w:highlight w:val="none"/>
        </w:rPr>
      </w:pPr>
    </w:p>
    <w:p w14:paraId="114E78E6">
      <w:pPr>
        <w:tabs>
          <w:tab w:val="left" w:pos="720"/>
          <w:tab w:val="left" w:pos="8295"/>
        </w:tabs>
        <w:spacing w:line="360" w:lineRule="auto"/>
        <w:jc w:val="center"/>
        <w:rPr>
          <w:rFonts w:hint="eastAsia" w:ascii="仿宋" w:hAnsi="仿宋" w:eastAsia="仿宋" w:cs="仿宋"/>
          <w:b/>
          <w:bCs/>
          <w:color w:val="000000"/>
          <w:sz w:val="84"/>
          <w:szCs w:val="84"/>
          <w:highlight w:val="none"/>
        </w:rPr>
      </w:pPr>
      <w:r>
        <w:rPr>
          <w:rFonts w:hint="eastAsia" w:ascii="仿宋" w:hAnsi="仿宋" w:eastAsia="仿宋" w:cs="仿宋"/>
          <w:b/>
          <w:bCs/>
          <w:color w:val="000000"/>
          <w:sz w:val="84"/>
          <w:szCs w:val="84"/>
          <w:highlight w:val="none"/>
        </w:rPr>
        <w:t>比选文件</w:t>
      </w:r>
    </w:p>
    <w:p w14:paraId="0A80B732">
      <w:pPr>
        <w:tabs>
          <w:tab w:val="left" w:pos="720"/>
          <w:tab w:val="left" w:pos="8295"/>
        </w:tabs>
        <w:spacing w:line="360" w:lineRule="auto"/>
        <w:jc w:val="center"/>
        <w:rPr>
          <w:rFonts w:hint="eastAsia" w:ascii="仿宋" w:hAnsi="仿宋" w:eastAsia="仿宋" w:cs="仿宋"/>
          <w:b/>
          <w:color w:val="000000"/>
          <w:sz w:val="28"/>
          <w:szCs w:val="28"/>
          <w:highlight w:val="none"/>
        </w:rPr>
      </w:pPr>
    </w:p>
    <w:p w14:paraId="0700B004">
      <w:pPr>
        <w:tabs>
          <w:tab w:val="left" w:pos="720"/>
          <w:tab w:val="left" w:pos="8295"/>
        </w:tabs>
        <w:spacing w:line="360" w:lineRule="auto"/>
        <w:jc w:val="center"/>
        <w:rPr>
          <w:rFonts w:hint="eastAsia" w:ascii="仿宋" w:hAnsi="仿宋" w:eastAsia="仿宋" w:cs="仿宋"/>
          <w:b/>
          <w:color w:val="000000"/>
          <w:sz w:val="28"/>
          <w:szCs w:val="28"/>
          <w:highlight w:val="none"/>
        </w:rPr>
      </w:pPr>
    </w:p>
    <w:p w14:paraId="406D3B6E">
      <w:pPr>
        <w:tabs>
          <w:tab w:val="left" w:pos="720"/>
          <w:tab w:val="left" w:pos="8295"/>
        </w:tabs>
        <w:spacing w:line="360" w:lineRule="auto"/>
        <w:jc w:val="center"/>
        <w:rPr>
          <w:rFonts w:hint="eastAsia" w:ascii="仿宋" w:hAnsi="仿宋" w:eastAsia="仿宋" w:cs="仿宋"/>
          <w:b/>
          <w:color w:val="000000"/>
          <w:sz w:val="28"/>
          <w:szCs w:val="28"/>
          <w:highlight w:val="none"/>
        </w:rPr>
      </w:pPr>
    </w:p>
    <w:p w14:paraId="398DCAB8">
      <w:pPr>
        <w:tabs>
          <w:tab w:val="left" w:pos="720"/>
          <w:tab w:val="left" w:pos="8295"/>
        </w:tabs>
        <w:spacing w:line="360" w:lineRule="auto"/>
        <w:jc w:val="center"/>
        <w:rPr>
          <w:rFonts w:hint="eastAsia" w:ascii="仿宋" w:hAnsi="仿宋" w:eastAsia="仿宋" w:cs="仿宋"/>
          <w:b/>
          <w:color w:val="000000"/>
          <w:sz w:val="36"/>
          <w:szCs w:val="36"/>
          <w:highlight w:val="none"/>
        </w:rPr>
      </w:pPr>
    </w:p>
    <w:p w14:paraId="0FA6D3EE">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0E1D1832">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0D35FBA0">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6B02EB36">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6A065865">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107A1C8C">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013FF9F0">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64F9B383">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p>
    <w:p w14:paraId="37A5D205">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r>
        <w:rPr>
          <w:rFonts w:hint="eastAsia" w:ascii="仿宋" w:hAnsi="仿宋" w:eastAsia="仿宋" w:cs="仿宋"/>
          <w:b/>
          <w:color w:val="000000" w:themeColor="text1"/>
          <w:kern w:val="0"/>
          <w:sz w:val="28"/>
          <w:szCs w:val="28"/>
          <w:highlight w:val="none"/>
          <w14:textFill>
            <w14:solidFill>
              <w14:schemeClr w14:val="tx1"/>
            </w14:solidFill>
          </w14:textFill>
        </w:rPr>
        <w:t>采购人：中国人民财产保险股份有限公司宁夏回族自治区分公司</w:t>
      </w:r>
    </w:p>
    <w:p w14:paraId="3CE08E89">
      <w:pPr>
        <w:tabs>
          <w:tab w:val="left" w:pos="720"/>
          <w:tab w:val="left" w:pos="8295"/>
        </w:tabs>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日期：2026年0</w:t>
      </w:r>
      <w:r>
        <w:rPr>
          <w:rFonts w:hint="eastAsia" w:ascii="仿宋" w:hAnsi="仿宋" w:eastAsia="仿宋" w:cs="仿宋"/>
          <w:b/>
          <w:color w:val="000000" w:themeColor="text1"/>
          <w:sz w:val="28"/>
          <w:szCs w:val="28"/>
          <w:highlight w:val="none"/>
          <w:lang w:val="en-US" w:eastAsia="zh-CN"/>
          <w14:textFill>
            <w14:solidFill>
              <w14:schemeClr w14:val="tx1"/>
            </w14:solidFill>
          </w14:textFill>
        </w:rPr>
        <w:t>9</w:t>
      </w:r>
      <w:r>
        <w:rPr>
          <w:rFonts w:hint="eastAsia" w:ascii="仿宋" w:hAnsi="仿宋" w:eastAsia="仿宋" w:cs="仿宋"/>
          <w:b/>
          <w:color w:val="000000" w:themeColor="text1"/>
          <w:sz w:val="28"/>
          <w:szCs w:val="28"/>
          <w:highlight w:val="none"/>
          <w14:textFill>
            <w14:solidFill>
              <w14:schemeClr w14:val="tx1"/>
            </w14:solidFill>
          </w14:textFill>
        </w:rPr>
        <w:t>月</w:t>
      </w:r>
    </w:p>
    <w:p w14:paraId="066BD926">
      <w:pPr>
        <w:spacing w:line="360" w:lineRule="auto"/>
        <w:jc w:val="center"/>
        <w:rPr>
          <w:rFonts w:hint="eastAsia" w:ascii="仿宋" w:hAnsi="仿宋" w:eastAsia="仿宋" w:cs="仿宋"/>
          <w:color w:val="000000"/>
          <w:sz w:val="36"/>
          <w:highlight w:val="none"/>
        </w:rPr>
        <w:sectPr>
          <w:headerReference r:id="rId4" w:type="first"/>
          <w:footerReference r:id="rId7" w:type="first"/>
          <w:headerReference r:id="rId3" w:type="default"/>
          <w:footerReference r:id="rId5" w:type="default"/>
          <w:footerReference r:id="rId6" w:type="even"/>
          <w:pgSz w:w="11906" w:h="16838"/>
          <w:pgMar w:top="1417" w:right="1274" w:bottom="1134" w:left="1418" w:header="964" w:footer="964" w:gutter="0"/>
          <w:pgNumType w:start="1"/>
          <w:cols w:space="720" w:num="1"/>
          <w:docGrid w:linePitch="312" w:charSpace="0"/>
        </w:sectPr>
      </w:pPr>
    </w:p>
    <w:p w14:paraId="6F9C86B0">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14:paraId="6A1A4A56">
      <w:pPr>
        <w:pStyle w:val="29"/>
        <w:tabs>
          <w:tab w:val="right" w:leader="dot" w:pos="9628"/>
        </w:tabs>
        <w:spacing w:line="360" w:lineRule="auto"/>
        <w:rPr>
          <w:rFonts w:hint="eastAsia" w:ascii="仿宋" w:hAnsi="仿宋" w:eastAsia="仿宋" w:cs="仿宋"/>
          <w:b w:val="0"/>
          <w:bCs w:val="0"/>
          <w:caps w:val="0"/>
          <w:sz w:val="22"/>
          <w:szCs w:val="22"/>
          <w:highlight w:val="none"/>
          <w14:ligatures w14:val="standardContextual"/>
        </w:rPr>
      </w:pPr>
      <w:r>
        <w:rPr>
          <w:rFonts w:hint="eastAsia" w:ascii="仿宋" w:hAnsi="仿宋" w:eastAsia="仿宋" w:cs="仿宋"/>
          <w:b w:val="0"/>
          <w:bCs w:val="0"/>
          <w:caps w:val="0"/>
          <w:color w:val="000000"/>
          <w:sz w:val="22"/>
          <w:szCs w:val="22"/>
          <w:highlight w:val="none"/>
        </w:rPr>
        <w:fldChar w:fldCharType="begin"/>
      </w:r>
      <w:r>
        <w:rPr>
          <w:rFonts w:hint="eastAsia" w:ascii="仿宋" w:hAnsi="仿宋" w:eastAsia="仿宋" w:cs="仿宋"/>
          <w:b w:val="0"/>
          <w:bCs w:val="0"/>
          <w:caps w:val="0"/>
          <w:color w:val="000000"/>
          <w:sz w:val="22"/>
          <w:szCs w:val="22"/>
          <w:highlight w:val="none"/>
        </w:rPr>
        <w:instrText xml:space="preserve"> TOC \o "1-3" \h \z \u </w:instrText>
      </w:r>
      <w:r>
        <w:rPr>
          <w:rFonts w:hint="eastAsia" w:ascii="仿宋" w:hAnsi="仿宋" w:eastAsia="仿宋" w:cs="仿宋"/>
          <w:b w:val="0"/>
          <w:bCs w:val="0"/>
          <w:caps w:val="0"/>
          <w:color w:val="000000"/>
          <w:sz w:val="22"/>
          <w:szCs w:val="22"/>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"_Toc233292425" </w:instrText>
      </w:r>
      <w:r>
        <w:rPr>
          <w:rFonts w:hint="eastAsia" w:ascii="仿宋" w:hAnsi="仿宋" w:eastAsia="仿宋" w:cs="仿宋"/>
          <w:highlight w:val="none"/>
        </w:rPr>
        <w:fldChar w:fldCharType="separate"/>
      </w:r>
      <w:r>
        <w:rPr>
          <w:rStyle w:val="49"/>
          <w:rFonts w:hint="eastAsia" w:ascii="仿宋" w:hAnsi="仿宋" w:eastAsia="仿宋" w:cs="仿宋"/>
          <w:b w:val="0"/>
          <w:bCs w:val="0"/>
          <w:sz w:val="22"/>
          <w:szCs w:val="22"/>
          <w:highlight w:val="none"/>
        </w:rPr>
        <w:t>第一章 比选公告</w:t>
      </w:r>
      <w:r>
        <w:rPr>
          <w:rFonts w:hint="eastAsia" w:ascii="仿宋" w:hAnsi="仿宋" w:eastAsia="仿宋" w:cs="仿宋"/>
          <w:b w:val="0"/>
          <w:bCs w:val="0"/>
          <w:sz w:val="22"/>
          <w:szCs w:val="22"/>
          <w:highlight w:val="none"/>
        </w:rPr>
        <w:tab/>
      </w: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 PAGEREF _Toc233292425 \h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2"/>
          <w:szCs w:val="22"/>
          <w:highlight w:val="none"/>
        </w:rPr>
        <w:t>3</w:t>
      </w:r>
      <w:r>
        <w:rPr>
          <w:rFonts w:hint="eastAsia" w:ascii="仿宋" w:hAnsi="仿宋" w:eastAsia="仿宋" w:cs="仿宋"/>
          <w:b w:val="0"/>
          <w:bCs w:val="0"/>
          <w:sz w:val="22"/>
          <w:szCs w:val="22"/>
          <w:highlight w:val="none"/>
        </w:rPr>
        <w:fldChar w:fldCharType="end"/>
      </w:r>
      <w:r>
        <w:rPr>
          <w:rFonts w:hint="eastAsia" w:ascii="仿宋" w:hAnsi="仿宋" w:eastAsia="仿宋" w:cs="仿宋"/>
          <w:b w:val="0"/>
          <w:bCs w:val="0"/>
          <w:sz w:val="22"/>
          <w:szCs w:val="22"/>
          <w:highlight w:val="none"/>
        </w:rPr>
        <w:fldChar w:fldCharType="end"/>
      </w:r>
    </w:p>
    <w:p w14:paraId="65A5CA0F">
      <w:pPr>
        <w:pStyle w:val="29"/>
        <w:tabs>
          <w:tab w:val="right" w:leader="dot" w:pos="9628"/>
        </w:tabs>
        <w:spacing w:line="360" w:lineRule="auto"/>
        <w:rPr>
          <w:rFonts w:hint="eastAsia" w:ascii="仿宋" w:hAnsi="仿宋" w:eastAsia="仿宋" w:cs="仿宋"/>
          <w:b w:val="0"/>
          <w:bCs w:val="0"/>
          <w:caps w:val="0"/>
          <w:sz w:val="22"/>
          <w:szCs w:val="22"/>
          <w:highlight w:val="none"/>
          <w14:ligatures w14:val="standardContextual"/>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"_Toc233292433" </w:instrText>
      </w:r>
      <w:r>
        <w:rPr>
          <w:rFonts w:hint="eastAsia" w:ascii="仿宋" w:hAnsi="仿宋" w:eastAsia="仿宋" w:cs="仿宋"/>
          <w:highlight w:val="none"/>
        </w:rPr>
        <w:fldChar w:fldCharType="separate"/>
      </w:r>
      <w:r>
        <w:rPr>
          <w:rStyle w:val="49"/>
          <w:rFonts w:hint="eastAsia" w:ascii="仿宋" w:hAnsi="仿宋" w:eastAsia="仿宋" w:cs="仿宋"/>
          <w:b w:val="0"/>
          <w:bCs w:val="0"/>
          <w:sz w:val="22"/>
          <w:szCs w:val="22"/>
          <w:highlight w:val="none"/>
        </w:rPr>
        <w:t>第二章 供应商须知</w:t>
      </w:r>
      <w:r>
        <w:rPr>
          <w:rFonts w:hint="eastAsia" w:ascii="仿宋" w:hAnsi="仿宋" w:eastAsia="仿宋" w:cs="仿宋"/>
          <w:b w:val="0"/>
          <w:bCs w:val="0"/>
          <w:sz w:val="22"/>
          <w:szCs w:val="22"/>
          <w:highlight w:val="none"/>
        </w:rPr>
        <w:tab/>
      </w: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 PAGEREF _Toc233292433 \h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2"/>
          <w:szCs w:val="22"/>
          <w:highlight w:val="none"/>
        </w:rPr>
        <w:t>7</w:t>
      </w:r>
      <w:r>
        <w:rPr>
          <w:rFonts w:hint="eastAsia" w:ascii="仿宋" w:hAnsi="仿宋" w:eastAsia="仿宋" w:cs="仿宋"/>
          <w:b w:val="0"/>
          <w:bCs w:val="0"/>
          <w:sz w:val="22"/>
          <w:szCs w:val="22"/>
          <w:highlight w:val="none"/>
        </w:rPr>
        <w:fldChar w:fldCharType="end"/>
      </w:r>
      <w:r>
        <w:rPr>
          <w:rFonts w:hint="eastAsia" w:ascii="仿宋" w:hAnsi="仿宋" w:eastAsia="仿宋" w:cs="仿宋"/>
          <w:b w:val="0"/>
          <w:bCs w:val="0"/>
          <w:sz w:val="22"/>
          <w:szCs w:val="22"/>
          <w:highlight w:val="none"/>
        </w:rPr>
        <w:fldChar w:fldCharType="end"/>
      </w:r>
    </w:p>
    <w:p w14:paraId="07403C2C">
      <w:pPr>
        <w:pStyle w:val="29"/>
        <w:tabs>
          <w:tab w:val="right" w:leader="dot" w:pos="9628"/>
        </w:tabs>
        <w:spacing w:line="360" w:lineRule="auto"/>
        <w:rPr>
          <w:rFonts w:hint="eastAsia" w:ascii="仿宋" w:hAnsi="仿宋" w:eastAsia="仿宋" w:cs="仿宋"/>
          <w:b w:val="0"/>
          <w:bCs w:val="0"/>
          <w:caps w:val="0"/>
          <w:sz w:val="22"/>
          <w:szCs w:val="22"/>
          <w:highlight w:val="none"/>
          <w14:ligatures w14:val="standardContextual"/>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"_Toc233292443" </w:instrText>
      </w:r>
      <w:r>
        <w:rPr>
          <w:rFonts w:hint="eastAsia" w:ascii="仿宋" w:hAnsi="仿宋" w:eastAsia="仿宋" w:cs="仿宋"/>
          <w:highlight w:val="none"/>
        </w:rPr>
        <w:fldChar w:fldCharType="separate"/>
      </w:r>
      <w:r>
        <w:rPr>
          <w:rStyle w:val="49"/>
          <w:rFonts w:hint="eastAsia" w:ascii="仿宋" w:hAnsi="仿宋" w:eastAsia="仿宋" w:cs="仿宋"/>
          <w:b w:val="0"/>
          <w:bCs w:val="0"/>
          <w:sz w:val="22"/>
          <w:szCs w:val="22"/>
          <w:highlight w:val="none"/>
        </w:rPr>
        <w:t>第三章 评审办法</w:t>
      </w:r>
      <w:r>
        <w:rPr>
          <w:rFonts w:hint="eastAsia" w:ascii="仿宋" w:hAnsi="仿宋" w:eastAsia="仿宋" w:cs="仿宋"/>
          <w:b w:val="0"/>
          <w:bCs w:val="0"/>
          <w:sz w:val="22"/>
          <w:szCs w:val="22"/>
          <w:highlight w:val="none"/>
        </w:rPr>
        <w:tab/>
      </w: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 PAGEREF _Toc233292443 \h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2"/>
          <w:szCs w:val="22"/>
          <w:highlight w:val="none"/>
        </w:rPr>
        <w:t>19</w:t>
      </w:r>
      <w:r>
        <w:rPr>
          <w:rFonts w:hint="eastAsia" w:ascii="仿宋" w:hAnsi="仿宋" w:eastAsia="仿宋" w:cs="仿宋"/>
          <w:b w:val="0"/>
          <w:bCs w:val="0"/>
          <w:sz w:val="22"/>
          <w:szCs w:val="22"/>
          <w:highlight w:val="none"/>
        </w:rPr>
        <w:fldChar w:fldCharType="end"/>
      </w:r>
      <w:r>
        <w:rPr>
          <w:rFonts w:hint="eastAsia" w:ascii="仿宋" w:hAnsi="仿宋" w:eastAsia="仿宋" w:cs="仿宋"/>
          <w:b w:val="0"/>
          <w:bCs w:val="0"/>
          <w:sz w:val="22"/>
          <w:szCs w:val="22"/>
          <w:highlight w:val="none"/>
        </w:rPr>
        <w:fldChar w:fldCharType="end"/>
      </w:r>
    </w:p>
    <w:p w14:paraId="55633BF9">
      <w:pPr>
        <w:pStyle w:val="29"/>
        <w:tabs>
          <w:tab w:val="right" w:leader="dot" w:pos="9628"/>
        </w:tabs>
        <w:spacing w:line="360" w:lineRule="auto"/>
        <w:rPr>
          <w:rFonts w:hint="eastAsia" w:ascii="仿宋" w:hAnsi="仿宋" w:eastAsia="仿宋" w:cs="仿宋"/>
          <w:b w:val="0"/>
          <w:bCs w:val="0"/>
          <w:caps w:val="0"/>
          <w:sz w:val="22"/>
          <w:szCs w:val="22"/>
          <w:highlight w:val="none"/>
          <w14:ligatures w14:val="standardContextual"/>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"_Toc233292455" </w:instrText>
      </w:r>
      <w:r>
        <w:rPr>
          <w:rFonts w:hint="eastAsia" w:ascii="仿宋" w:hAnsi="仿宋" w:eastAsia="仿宋" w:cs="仿宋"/>
          <w:highlight w:val="none"/>
        </w:rPr>
        <w:fldChar w:fldCharType="separate"/>
      </w:r>
      <w:r>
        <w:rPr>
          <w:rStyle w:val="49"/>
          <w:rFonts w:hint="eastAsia" w:ascii="仿宋" w:hAnsi="仿宋" w:eastAsia="仿宋" w:cs="仿宋"/>
          <w:b w:val="0"/>
          <w:bCs w:val="0"/>
          <w:sz w:val="22"/>
          <w:szCs w:val="22"/>
          <w:highlight w:val="none"/>
        </w:rPr>
        <w:t>第四章 合同条款</w:t>
      </w:r>
      <w:r>
        <w:rPr>
          <w:rFonts w:hint="eastAsia" w:ascii="仿宋" w:hAnsi="仿宋" w:eastAsia="仿宋" w:cs="仿宋"/>
          <w:b w:val="0"/>
          <w:bCs w:val="0"/>
          <w:sz w:val="22"/>
          <w:szCs w:val="22"/>
          <w:highlight w:val="none"/>
        </w:rPr>
        <w:tab/>
      </w: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 PAGEREF _Toc233292455 \h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2"/>
          <w:szCs w:val="22"/>
          <w:highlight w:val="none"/>
        </w:rPr>
        <w:t>26</w:t>
      </w:r>
      <w:r>
        <w:rPr>
          <w:rFonts w:hint="eastAsia" w:ascii="仿宋" w:hAnsi="仿宋" w:eastAsia="仿宋" w:cs="仿宋"/>
          <w:b w:val="0"/>
          <w:bCs w:val="0"/>
          <w:sz w:val="22"/>
          <w:szCs w:val="22"/>
          <w:highlight w:val="none"/>
        </w:rPr>
        <w:fldChar w:fldCharType="end"/>
      </w:r>
      <w:r>
        <w:rPr>
          <w:rFonts w:hint="eastAsia" w:ascii="仿宋" w:hAnsi="仿宋" w:eastAsia="仿宋" w:cs="仿宋"/>
          <w:b w:val="0"/>
          <w:bCs w:val="0"/>
          <w:sz w:val="22"/>
          <w:szCs w:val="22"/>
          <w:highlight w:val="none"/>
        </w:rPr>
        <w:fldChar w:fldCharType="end"/>
      </w:r>
    </w:p>
    <w:p w14:paraId="5B00B578">
      <w:pPr>
        <w:pStyle w:val="29"/>
        <w:tabs>
          <w:tab w:val="right" w:leader="dot" w:pos="9628"/>
        </w:tabs>
        <w:spacing w:line="360" w:lineRule="auto"/>
        <w:rPr>
          <w:rFonts w:hint="eastAsia" w:ascii="仿宋" w:hAnsi="仿宋" w:eastAsia="仿宋" w:cs="仿宋"/>
          <w:b w:val="0"/>
          <w:bCs w:val="0"/>
          <w:caps w:val="0"/>
          <w:sz w:val="22"/>
          <w:szCs w:val="22"/>
          <w:highlight w:val="none"/>
          <w14:ligatures w14:val="standardContextual"/>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"_Toc233292456" </w:instrText>
      </w:r>
      <w:r>
        <w:rPr>
          <w:rFonts w:hint="eastAsia" w:ascii="仿宋" w:hAnsi="仿宋" w:eastAsia="仿宋" w:cs="仿宋"/>
          <w:highlight w:val="none"/>
        </w:rPr>
        <w:fldChar w:fldCharType="separate"/>
      </w:r>
      <w:r>
        <w:rPr>
          <w:rStyle w:val="49"/>
          <w:rFonts w:hint="eastAsia" w:ascii="仿宋" w:hAnsi="仿宋" w:eastAsia="仿宋" w:cs="仿宋"/>
          <w:b w:val="0"/>
          <w:bCs w:val="0"/>
          <w:sz w:val="22"/>
          <w:szCs w:val="22"/>
          <w:highlight w:val="none"/>
        </w:rPr>
        <w:t>第五章 采购需求</w:t>
      </w:r>
      <w:r>
        <w:rPr>
          <w:rFonts w:hint="eastAsia" w:ascii="仿宋" w:hAnsi="仿宋" w:eastAsia="仿宋" w:cs="仿宋"/>
          <w:b w:val="0"/>
          <w:bCs w:val="0"/>
          <w:sz w:val="22"/>
          <w:szCs w:val="22"/>
          <w:highlight w:val="none"/>
        </w:rPr>
        <w:tab/>
      </w: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 PAGEREF _Toc233292456 \h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2"/>
          <w:szCs w:val="22"/>
          <w:highlight w:val="none"/>
        </w:rPr>
        <w:t>37</w:t>
      </w:r>
      <w:r>
        <w:rPr>
          <w:rFonts w:hint="eastAsia" w:ascii="仿宋" w:hAnsi="仿宋" w:eastAsia="仿宋" w:cs="仿宋"/>
          <w:b w:val="0"/>
          <w:bCs w:val="0"/>
          <w:sz w:val="22"/>
          <w:szCs w:val="22"/>
          <w:highlight w:val="none"/>
        </w:rPr>
        <w:fldChar w:fldCharType="end"/>
      </w:r>
      <w:r>
        <w:rPr>
          <w:rFonts w:hint="eastAsia" w:ascii="仿宋" w:hAnsi="仿宋" w:eastAsia="仿宋" w:cs="仿宋"/>
          <w:b w:val="0"/>
          <w:bCs w:val="0"/>
          <w:sz w:val="22"/>
          <w:szCs w:val="22"/>
          <w:highlight w:val="none"/>
        </w:rPr>
        <w:fldChar w:fldCharType="end"/>
      </w:r>
    </w:p>
    <w:p w14:paraId="453E99A8">
      <w:pPr>
        <w:pStyle w:val="29"/>
        <w:tabs>
          <w:tab w:val="right" w:leader="dot" w:pos="9628"/>
        </w:tabs>
        <w:spacing w:line="360" w:lineRule="auto"/>
        <w:rPr>
          <w:rFonts w:hint="eastAsia" w:ascii="仿宋" w:hAnsi="仿宋" w:eastAsia="仿宋" w:cs="仿宋"/>
          <w:b w:val="0"/>
          <w:bCs w:val="0"/>
          <w:caps w:val="0"/>
          <w:sz w:val="22"/>
          <w:szCs w:val="22"/>
          <w:highlight w:val="none"/>
          <w14:ligatures w14:val="standardContextual"/>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"_Toc233292457" </w:instrText>
      </w:r>
      <w:r>
        <w:rPr>
          <w:rFonts w:hint="eastAsia" w:ascii="仿宋" w:hAnsi="仿宋" w:eastAsia="仿宋" w:cs="仿宋"/>
          <w:highlight w:val="none"/>
        </w:rPr>
        <w:fldChar w:fldCharType="separate"/>
      </w:r>
      <w:r>
        <w:rPr>
          <w:rStyle w:val="49"/>
          <w:rFonts w:hint="eastAsia" w:ascii="仿宋" w:hAnsi="仿宋" w:eastAsia="仿宋" w:cs="仿宋"/>
          <w:b w:val="0"/>
          <w:bCs w:val="0"/>
          <w:sz w:val="22"/>
          <w:szCs w:val="22"/>
          <w:highlight w:val="none"/>
        </w:rPr>
        <w:t>第六章 响应文件格式</w:t>
      </w:r>
      <w:r>
        <w:rPr>
          <w:rFonts w:hint="eastAsia" w:ascii="仿宋" w:hAnsi="仿宋" w:eastAsia="仿宋" w:cs="仿宋"/>
          <w:b w:val="0"/>
          <w:bCs w:val="0"/>
          <w:sz w:val="22"/>
          <w:szCs w:val="22"/>
          <w:highlight w:val="none"/>
        </w:rPr>
        <w:tab/>
      </w: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 PAGEREF _Toc233292457 \h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2"/>
          <w:szCs w:val="22"/>
          <w:highlight w:val="none"/>
        </w:rPr>
        <w:t>42</w:t>
      </w:r>
      <w:r>
        <w:rPr>
          <w:rFonts w:hint="eastAsia" w:ascii="仿宋" w:hAnsi="仿宋" w:eastAsia="仿宋" w:cs="仿宋"/>
          <w:b w:val="0"/>
          <w:bCs w:val="0"/>
          <w:sz w:val="22"/>
          <w:szCs w:val="22"/>
          <w:highlight w:val="none"/>
        </w:rPr>
        <w:fldChar w:fldCharType="end"/>
      </w:r>
      <w:r>
        <w:rPr>
          <w:rFonts w:hint="eastAsia" w:ascii="仿宋" w:hAnsi="仿宋" w:eastAsia="仿宋" w:cs="仿宋"/>
          <w:b w:val="0"/>
          <w:bCs w:val="0"/>
          <w:sz w:val="22"/>
          <w:szCs w:val="22"/>
          <w:highlight w:val="none"/>
        </w:rPr>
        <w:fldChar w:fldCharType="end"/>
      </w:r>
    </w:p>
    <w:p w14:paraId="286C8A8D">
      <w:pPr>
        <w:pStyle w:val="21"/>
        <w:tabs>
          <w:tab w:val="right" w:leader="dot" w:pos="9638"/>
        </w:tabs>
        <w:spacing w:line="360" w:lineRule="auto"/>
        <w:rPr>
          <w:rFonts w:hint="eastAsia" w:ascii="仿宋" w:hAnsi="仿宋" w:eastAsia="仿宋" w:cs="仿宋"/>
          <w:i w:val="0"/>
          <w:iCs w:val="0"/>
          <w:color w:val="000000"/>
          <w:sz w:val="24"/>
          <w:highlight w:val="none"/>
        </w:rPr>
        <w:sectPr>
          <w:headerReference r:id="rId8" w:type="default"/>
          <w:footerReference r:id="rId9" w:type="default"/>
          <w:pgSz w:w="11906" w:h="16838"/>
          <w:pgMar w:top="1417" w:right="1134" w:bottom="1134" w:left="1134" w:header="851" w:footer="992" w:gutter="0"/>
          <w:pgNumType w:start="2"/>
          <w:cols w:space="720" w:num="1"/>
          <w:docGrid w:type="lines" w:linePitch="312" w:charSpace="0"/>
        </w:sectPr>
      </w:pPr>
      <w:r>
        <w:rPr>
          <w:rFonts w:hint="eastAsia" w:ascii="仿宋" w:hAnsi="仿宋" w:eastAsia="仿宋" w:cs="仿宋"/>
          <w:caps/>
          <w:color w:val="000000"/>
          <w:sz w:val="22"/>
          <w:szCs w:val="22"/>
          <w:highlight w:val="none"/>
        </w:rPr>
        <w:fldChar w:fldCharType="end"/>
      </w:r>
    </w:p>
    <w:p w14:paraId="57C40ED2">
      <w:pPr>
        <w:pStyle w:val="2"/>
        <w:spacing w:before="0" w:after="0" w:line="360" w:lineRule="auto"/>
        <w:jc w:val="center"/>
        <w:rPr>
          <w:rFonts w:hint="eastAsia" w:ascii="仿宋" w:hAnsi="仿宋" w:eastAsia="仿宋" w:cs="仿宋"/>
          <w:bCs w:val="0"/>
          <w:color w:val="000000"/>
          <w:sz w:val="28"/>
          <w:szCs w:val="28"/>
          <w:highlight w:val="none"/>
        </w:rPr>
      </w:pPr>
      <w:bookmarkStart w:id="1" w:name="_Toc233292425"/>
      <w:bookmarkStart w:id="2" w:name="_Toc287600115"/>
      <w:bookmarkStart w:id="3" w:name="_Toc11826"/>
      <w:bookmarkStart w:id="4" w:name="_Toc517281813"/>
      <w:bookmarkStart w:id="5" w:name="_Toc19709"/>
      <w:bookmarkStart w:id="6" w:name="_Toc7300"/>
      <w:bookmarkStart w:id="7" w:name="_Toc444891333"/>
      <w:bookmarkStart w:id="8" w:name="_Toc11838"/>
      <w:r>
        <w:rPr>
          <w:rFonts w:hint="eastAsia" w:ascii="仿宋" w:hAnsi="仿宋" w:eastAsia="仿宋" w:cs="仿宋"/>
          <w:bCs w:val="0"/>
          <w:color w:val="000000"/>
          <w:sz w:val="28"/>
          <w:szCs w:val="28"/>
          <w:highlight w:val="none"/>
        </w:rPr>
        <w:t xml:space="preserve">第一章 </w:t>
      </w:r>
      <w:bookmarkStart w:id="9" w:name="OLE_LINK3"/>
      <w:bookmarkStart w:id="10" w:name="_Hlk208586539"/>
      <w:r>
        <w:rPr>
          <w:rFonts w:hint="eastAsia" w:ascii="仿宋" w:hAnsi="仿宋" w:eastAsia="仿宋" w:cs="仿宋"/>
          <w:bCs w:val="0"/>
          <w:color w:val="000000"/>
          <w:sz w:val="28"/>
          <w:szCs w:val="28"/>
          <w:highlight w:val="none"/>
        </w:rPr>
        <w:t>比选公告</w:t>
      </w:r>
      <w:bookmarkEnd w:id="1"/>
    </w:p>
    <w:p w14:paraId="1779758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color w:val="000000" w:themeColor="text1"/>
          <w:sz w:val="24"/>
          <w:highlight w:val="none"/>
          <w14:textFill>
            <w14:solidFill>
              <w14:schemeClr w14:val="tx1"/>
            </w14:solidFill>
          </w14:textFill>
        </w:rPr>
      </w:pPr>
      <w:bookmarkStart w:id="11" w:name="OLE_LINK2"/>
      <w:r>
        <w:rPr>
          <w:rFonts w:hint="eastAsia" w:ascii="仿宋" w:hAnsi="仿宋" w:eastAsia="仿宋" w:cs="仿宋"/>
          <w:color w:val="000000" w:themeColor="text1"/>
          <w:sz w:val="24"/>
          <w:highlight w:val="none"/>
          <w14:textFill>
            <w14:solidFill>
              <w14:schemeClr w14:val="tx1"/>
            </w14:solidFill>
          </w14:textFill>
        </w:rPr>
        <w:t>本项目为</w:t>
      </w:r>
      <w:r>
        <w:rPr>
          <w:rFonts w:hint="eastAsia" w:ascii="仿宋" w:hAnsi="仿宋" w:eastAsia="仿宋" w:cs="仿宋"/>
          <w:color w:val="000000" w:themeColor="text1"/>
          <w:sz w:val="24"/>
          <w:highlight w:val="none"/>
          <w:u w:val="single"/>
          <w14:textFill>
            <w14:solidFill>
              <w14:schemeClr w14:val="tx1"/>
            </w14:solidFill>
          </w14:textFill>
        </w:rPr>
        <w:t>人保财险宁夏分公司2026年招标代理服务供应商入库项目</w:t>
      </w:r>
      <w:r>
        <w:rPr>
          <w:rFonts w:hint="eastAsia" w:ascii="仿宋" w:hAnsi="仿宋" w:eastAsia="仿宋" w:cs="仿宋"/>
          <w:color w:val="000000" w:themeColor="text1"/>
          <w:sz w:val="24"/>
          <w:highlight w:val="none"/>
          <w:u w:val="none"/>
          <w14:textFill>
            <w14:solidFill>
              <w14:schemeClr w14:val="tx1"/>
            </w14:solidFill>
          </w14:textFill>
        </w:rPr>
        <w:t>，</w:t>
      </w:r>
      <w:r>
        <w:rPr>
          <w:rFonts w:hint="eastAsia" w:ascii="仿宋" w:hAnsi="仿宋" w:eastAsia="仿宋" w:cs="仿宋"/>
          <w:color w:val="000000" w:themeColor="text1"/>
          <w:sz w:val="24"/>
          <w:highlight w:val="none"/>
          <w:u w:val="none"/>
          <w:lang w:eastAsia="zh-CN"/>
          <w14:textFill>
            <w14:solidFill>
              <w14:schemeClr w14:val="tx1"/>
            </w14:solidFill>
          </w14:textFill>
        </w:rPr>
        <w:t>已</w:t>
      </w:r>
      <w:r>
        <w:rPr>
          <w:rFonts w:hint="eastAsia" w:ascii="仿宋" w:hAnsi="仿宋" w:eastAsia="仿宋" w:cs="仿宋"/>
          <w:color w:val="000000" w:themeColor="text1"/>
          <w:sz w:val="24"/>
          <w:highlight w:val="none"/>
          <w14:textFill>
            <w14:solidFill>
              <w14:schemeClr w14:val="tx1"/>
            </w14:solidFill>
          </w14:textFill>
        </w:rPr>
        <w:t>由</w:t>
      </w:r>
      <w:r>
        <w:rPr>
          <w:rFonts w:hint="eastAsia" w:ascii="仿宋" w:hAnsi="仿宋" w:eastAsia="仿宋" w:cs="仿宋"/>
          <w:color w:val="000000" w:themeColor="text1"/>
          <w:sz w:val="24"/>
          <w:highlight w:val="none"/>
          <w:u w:val="single"/>
          <w14:textFill>
            <w14:solidFill>
              <w14:schemeClr w14:val="tx1"/>
            </w14:solidFill>
          </w14:textFill>
        </w:rPr>
        <w:t>中国人民财产保险股份有限公司宁夏回族自治区分公司</w:t>
      </w:r>
      <w:r>
        <w:rPr>
          <w:rFonts w:hint="eastAsia" w:ascii="仿宋" w:hAnsi="仿宋" w:eastAsia="仿宋" w:cs="仿宋"/>
          <w:color w:val="000000" w:themeColor="text1"/>
          <w:sz w:val="24"/>
          <w:highlight w:val="none"/>
          <w14:textFill>
            <w14:solidFill>
              <w14:schemeClr w14:val="tx1"/>
            </w14:solidFill>
          </w14:textFill>
        </w:rPr>
        <w:t>（以下简称“采购人”）批准并落实资金，</w:t>
      </w:r>
      <w:r>
        <w:rPr>
          <w:rFonts w:hint="eastAsia" w:ascii="仿宋" w:hAnsi="仿宋" w:eastAsia="仿宋" w:cs="仿宋"/>
          <w:color w:val="000000" w:themeColor="text1"/>
          <w:sz w:val="24"/>
          <w:highlight w:val="none"/>
          <w:lang w:eastAsia="zh-CN"/>
          <w14:textFill>
            <w14:solidFill>
              <w14:schemeClr w14:val="tx1"/>
            </w14:solidFill>
          </w14:textFill>
        </w:rPr>
        <w:t>采购人</w:t>
      </w:r>
      <w:r>
        <w:rPr>
          <w:rFonts w:hint="eastAsia" w:ascii="仿宋" w:hAnsi="仿宋" w:eastAsia="仿宋" w:cs="仿宋"/>
          <w:color w:val="000000" w:themeColor="text1"/>
          <w:sz w:val="24"/>
          <w:highlight w:val="none"/>
          <w14:textFill>
            <w14:solidFill>
              <w14:schemeClr w14:val="tx1"/>
            </w14:solidFill>
          </w14:textFill>
        </w:rPr>
        <w:t>组织本项目的比选工作，采购合同由</w:t>
      </w:r>
      <w:r>
        <w:rPr>
          <w:rFonts w:hint="eastAsia" w:ascii="仿宋" w:hAnsi="仿宋" w:eastAsia="仿宋" w:cs="仿宋"/>
          <w:color w:val="000000" w:themeColor="text1"/>
          <w:sz w:val="24"/>
          <w:highlight w:val="none"/>
          <w:u w:val="single"/>
          <w14:textFill>
            <w14:solidFill>
              <w14:schemeClr w14:val="tx1"/>
            </w14:solidFill>
          </w14:textFill>
        </w:rPr>
        <w:t>中国人民财产保险股份有限公司宁夏回族自治区分公司</w:t>
      </w:r>
      <w:r>
        <w:rPr>
          <w:rFonts w:hint="eastAsia" w:ascii="仿宋" w:hAnsi="仿宋" w:eastAsia="仿宋" w:cs="仿宋"/>
          <w:color w:val="000000" w:themeColor="text1"/>
          <w:sz w:val="24"/>
          <w:highlight w:val="none"/>
          <w14:textFill>
            <w14:solidFill>
              <w14:schemeClr w14:val="tx1"/>
            </w14:solidFill>
          </w14:textFill>
        </w:rPr>
        <w:t>（以下简称“人保财险宁夏分公司”）根据成交结果与成交人签署。</w:t>
      </w:r>
      <w:bookmarkStart w:id="12" w:name="_Hlk219819245"/>
      <w:r>
        <w:rPr>
          <w:rFonts w:hint="eastAsia" w:ascii="仿宋" w:hAnsi="仿宋" w:eastAsia="仿宋" w:cs="仿宋"/>
          <w:color w:val="000000" w:themeColor="text1"/>
          <w:sz w:val="24"/>
          <w:highlight w:val="none"/>
          <w14:textFill>
            <w14:solidFill>
              <w14:schemeClr w14:val="tx1"/>
            </w14:solidFill>
          </w14:textFill>
        </w:rPr>
        <w:t>现</w:t>
      </w:r>
      <w:bookmarkEnd w:id="12"/>
      <w:r>
        <w:rPr>
          <w:rFonts w:hint="eastAsia" w:ascii="仿宋" w:hAnsi="仿宋" w:eastAsia="仿宋" w:cs="仿宋"/>
          <w:color w:val="000000" w:themeColor="text1"/>
          <w:sz w:val="24"/>
          <w:highlight w:val="none"/>
          <w14:textFill>
            <w14:solidFill>
              <w14:schemeClr w14:val="tx1"/>
            </w14:solidFill>
          </w14:textFill>
        </w:rPr>
        <w:t>进行公开比选，有意向且具</w:t>
      </w:r>
      <w:r>
        <w:rPr>
          <w:rFonts w:hint="eastAsia" w:ascii="仿宋" w:hAnsi="仿宋" w:eastAsia="仿宋" w:cs="仿宋"/>
          <w:color w:val="000000" w:themeColor="text1"/>
          <w:sz w:val="24"/>
          <w:highlight w:val="none"/>
          <w:lang w:eastAsia="zh-CN"/>
          <w14:textFill>
            <w14:solidFill>
              <w14:schemeClr w14:val="tx1"/>
            </w14:solidFill>
          </w14:textFill>
        </w:rPr>
        <w:t>备</w:t>
      </w:r>
      <w:r>
        <w:rPr>
          <w:rFonts w:hint="eastAsia" w:ascii="仿宋" w:hAnsi="仿宋" w:eastAsia="仿宋" w:cs="仿宋"/>
          <w:color w:val="000000" w:themeColor="text1"/>
          <w:sz w:val="24"/>
          <w:highlight w:val="none"/>
          <w14:textFill>
            <w14:solidFill>
              <w14:schemeClr w14:val="tx1"/>
            </w14:solidFill>
          </w14:textFill>
        </w:rPr>
        <w:t xml:space="preserve">提供标的物能力的潜在供应商（以下简称“供应商”）可前来参与比选响应。 </w:t>
      </w:r>
    </w:p>
    <w:p w14:paraId="299F1483">
      <w:pPr>
        <w:pStyle w:val="3"/>
        <w:spacing w:before="156" w:beforeLines="50" w:after="156" w:afterLines="50"/>
        <w:ind w:firstLine="0" w:firstLineChars="0"/>
        <w:jc w:val="left"/>
        <w:rPr>
          <w:rFonts w:hint="eastAsia" w:ascii="仿宋" w:hAnsi="仿宋" w:eastAsia="仿宋" w:cs="仿宋"/>
          <w:color w:val="000000"/>
          <w:sz w:val="24"/>
          <w:szCs w:val="24"/>
          <w:highlight w:val="none"/>
        </w:rPr>
      </w:pPr>
      <w:bookmarkStart w:id="13" w:name="_Toc21237"/>
      <w:bookmarkStart w:id="14" w:name="_Toc231201463"/>
      <w:bookmarkStart w:id="15" w:name="_Toc216971018"/>
      <w:bookmarkStart w:id="16" w:name="_Toc219195968"/>
      <w:bookmarkStart w:id="17" w:name="_Toc197680968"/>
      <w:bookmarkStart w:id="18" w:name="_Toc233292426"/>
      <w:r>
        <w:rPr>
          <w:rFonts w:hint="eastAsia" w:ascii="仿宋" w:hAnsi="仿宋" w:eastAsia="仿宋" w:cs="仿宋"/>
          <w:color w:val="000000"/>
          <w:sz w:val="24"/>
          <w:szCs w:val="24"/>
          <w:highlight w:val="none"/>
        </w:rPr>
        <w:t>一、项目概况与采购范围</w:t>
      </w:r>
      <w:bookmarkEnd w:id="13"/>
      <w:bookmarkEnd w:id="14"/>
      <w:bookmarkEnd w:id="15"/>
      <w:bookmarkEnd w:id="16"/>
      <w:bookmarkEnd w:id="17"/>
      <w:bookmarkEnd w:id="18"/>
    </w:p>
    <w:p w14:paraId="56E2B636">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1.1项目名称：人保财险宁夏分公司2026年招标代理服务供应商入库项目。</w:t>
      </w:r>
    </w:p>
    <w:p w14:paraId="5275208A">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1.2采购需求：拟</w:t>
      </w:r>
      <w:r>
        <w:rPr>
          <w:rFonts w:hint="eastAsia" w:ascii="仿宋" w:hAnsi="仿宋" w:eastAsia="仿宋" w:cs="仿宋"/>
          <w:color w:val="000000" w:themeColor="text1"/>
          <w:sz w:val="24"/>
          <w:highlight w:val="none"/>
          <w:lang w:val="en-US" w:eastAsia="zh-CN"/>
          <w14:textFill>
            <w14:solidFill>
              <w14:schemeClr w14:val="tx1"/>
            </w14:solidFill>
          </w14:textFill>
        </w:rPr>
        <w:t>采购2家供应商为我司提供招标代理服务</w:t>
      </w:r>
      <w:r>
        <w:rPr>
          <w:rFonts w:hint="eastAsia" w:ascii="仿宋" w:hAnsi="仿宋" w:eastAsia="仿宋" w:cs="仿宋"/>
          <w:color w:val="000000" w:themeColor="text1"/>
          <w:sz w:val="24"/>
          <w:highlight w:val="none"/>
          <w14:textFill>
            <w14:solidFill>
              <w14:schemeClr w14:val="tx1"/>
            </w14:solidFill>
          </w14:textFill>
        </w:rPr>
        <w:t>。具体技术要求详见第五章采购需求。</w:t>
      </w:r>
    </w:p>
    <w:p w14:paraId="726E2FB0">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1.3标包划分：本项目不划分标包</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入围供应商数量为2家</w:t>
      </w:r>
      <w:r>
        <w:rPr>
          <w:rFonts w:hint="eastAsia" w:ascii="仿宋" w:hAnsi="仿宋" w:eastAsia="仿宋" w:cs="仿宋"/>
          <w:color w:val="000000" w:themeColor="text1"/>
          <w:sz w:val="24"/>
          <w:highlight w:val="none"/>
          <w14:textFill>
            <w14:solidFill>
              <w14:schemeClr w14:val="tx1"/>
            </w14:solidFill>
          </w14:textFill>
        </w:rPr>
        <w:t>。</w:t>
      </w:r>
    </w:p>
    <w:p w14:paraId="08285FD0">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1.4项目性质：</w:t>
      </w:r>
      <w:r>
        <w:rPr>
          <w:rFonts w:hint="eastAsia" w:ascii="仿宋" w:hAnsi="仿宋" w:eastAsia="仿宋" w:cs="仿宋"/>
          <w:color w:val="000000" w:themeColor="text1"/>
          <w:sz w:val="24"/>
          <w:highlight w:val="none"/>
          <w:lang w:val="en-US" w:eastAsia="zh-CN"/>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w:t>
      </w:r>
    </w:p>
    <w:p w14:paraId="0FF05F32">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1.5合同期限：自合同签订之日起</w:t>
      </w:r>
      <w:r>
        <w:rPr>
          <w:rFonts w:hint="eastAsia" w:ascii="仿宋" w:hAnsi="仿宋" w:eastAsia="仿宋" w:cs="仿宋"/>
          <w:color w:val="000000" w:themeColor="text1"/>
          <w:sz w:val="24"/>
          <w:highlight w:val="none"/>
          <w:lang w:val="en-US" w:eastAsia="zh-CN"/>
          <w14:textFill>
            <w14:solidFill>
              <w14:schemeClr w14:val="tx1"/>
            </w14:solidFill>
          </w14:textFill>
        </w:rPr>
        <w:t>三</w:t>
      </w:r>
      <w:r>
        <w:rPr>
          <w:rFonts w:hint="eastAsia" w:ascii="仿宋" w:hAnsi="仿宋" w:eastAsia="仿宋" w:cs="仿宋"/>
          <w:color w:val="000000" w:themeColor="text1"/>
          <w:sz w:val="24"/>
          <w:highlight w:val="none"/>
          <w14:textFill>
            <w14:solidFill>
              <w14:schemeClr w14:val="tx1"/>
            </w14:solidFill>
          </w14:textFill>
        </w:rPr>
        <w:t>年。</w:t>
      </w:r>
    </w:p>
    <w:p w14:paraId="4AF530E1">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服务地点：宁夏回族自治区银川市。</w:t>
      </w:r>
    </w:p>
    <w:p w14:paraId="3B610E17">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bookmarkStart w:id="19" w:name="OLE_LINK9"/>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本项目设置最高限价：最高限价</w:t>
      </w:r>
      <w:r>
        <w:rPr>
          <w:rFonts w:hint="eastAsia" w:ascii="仿宋" w:hAnsi="仿宋" w:eastAsia="仿宋" w:cs="仿宋"/>
          <w:color w:val="000000" w:themeColor="text1"/>
          <w:sz w:val="24"/>
          <w:highlight w:val="none"/>
          <w:lang w:val="en-US" w:eastAsia="zh-CN"/>
          <w14:textFill>
            <w14:solidFill>
              <w14:schemeClr w14:val="tx1"/>
            </w14:solidFill>
          </w14:textFill>
        </w:rPr>
        <w:t>报价折扣率为100%</w:t>
      </w:r>
      <w:r>
        <w:rPr>
          <w:rFonts w:hint="eastAsia" w:ascii="仿宋" w:hAnsi="仿宋" w:eastAsia="仿宋" w:cs="仿宋"/>
          <w:color w:val="000000" w:themeColor="text1"/>
          <w:sz w:val="24"/>
          <w:highlight w:val="none"/>
          <w14:textFill>
            <w14:solidFill>
              <w14:schemeClr w14:val="tx1"/>
            </w14:solidFill>
          </w14:textFill>
        </w:rPr>
        <w:t>，供应商报价高于最高限价的，其响应将被否决。</w:t>
      </w:r>
    </w:p>
    <w:bookmarkEnd w:id="19"/>
    <w:p w14:paraId="156666D8">
      <w:pPr>
        <w:pStyle w:val="3"/>
        <w:spacing w:before="156" w:beforeLines="50" w:after="156" w:afterLines="50"/>
        <w:ind w:firstLine="0" w:firstLineChars="0"/>
        <w:jc w:val="left"/>
        <w:rPr>
          <w:rFonts w:hint="eastAsia" w:ascii="仿宋" w:hAnsi="仿宋" w:eastAsia="仿宋" w:cs="仿宋"/>
          <w:color w:val="000000"/>
          <w:sz w:val="24"/>
          <w:szCs w:val="24"/>
          <w:highlight w:val="none"/>
        </w:rPr>
      </w:pPr>
      <w:bookmarkStart w:id="20" w:name="_Toc233292427"/>
      <w:bookmarkStart w:id="21" w:name="_Toc216971019"/>
      <w:bookmarkStart w:id="22" w:name="_Toc219195969"/>
      <w:bookmarkStart w:id="23" w:name="_Toc197680969"/>
      <w:bookmarkStart w:id="24" w:name="_Toc17569"/>
      <w:bookmarkStart w:id="25" w:name="_Toc231201464"/>
      <w:r>
        <w:rPr>
          <w:rFonts w:hint="eastAsia" w:ascii="仿宋" w:hAnsi="仿宋" w:eastAsia="仿宋" w:cs="仿宋"/>
          <w:color w:val="000000"/>
          <w:sz w:val="24"/>
          <w:szCs w:val="24"/>
          <w:highlight w:val="none"/>
        </w:rPr>
        <w:t>二、供应商资格要求</w:t>
      </w:r>
      <w:bookmarkEnd w:id="20"/>
      <w:bookmarkEnd w:id="21"/>
      <w:bookmarkEnd w:id="22"/>
      <w:bookmarkEnd w:id="23"/>
      <w:bookmarkEnd w:id="24"/>
      <w:bookmarkEnd w:id="25"/>
    </w:p>
    <w:p w14:paraId="22BEF68D">
      <w:pPr>
        <w:adjustRightInd w:val="0"/>
        <w:snapToGrid w:val="0"/>
        <w:spacing w:line="360" w:lineRule="auto"/>
        <w:ind w:firstLine="482"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2.1在中华人民共和国境内依法登记的法人或其他组织，</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具有独立承担民事责任的能力，供应商如为企业法人，须提供企业法人营业执照（复印件）；供应商如为事业单位或其他组织，须提供事业单位法人证书或登记证或组织机构代码证或其他有效证明文件（复印件）</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7C2B1146">
      <w:pPr>
        <w:adjustRightInd w:val="0"/>
        <w:snapToGrid w:val="0"/>
        <w:spacing w:line="360" w:lineRule="auto"/>
        <w:ind w:firstLine="482" w:firstLineChars="200"/>
        <w:rPr>
          <w:rFonts w:hint="eastAsia" w:ascii="仿宋" w:hAnsi="仿宋" w:eastAsia="仿宋" w:cs="仿宋"/>
          <w:color w:val="000000" w:themeColor="text1"/>
          <w:sz w:val="24"/>
          <w:szCs w:val="24"/>
          <w:highlight w:val="none"/>
          <w14:textFill>
            <w14:solidFill>
              <w14:schemeClr w14:val="tx1"/>
            </w14:solidFill>
          </w14:textFill>
        </w:rPr>
      </w:pPr>
      <w:bookmarkStart w:id="26" w:name="OLE_LINK4"/>
      <w:r>
        <w:rPr>
          <w:rFonts w:hint="eastAsia" w:ascii="仿宋" w:hAnsi="仿宋" w:eastAsia="仿宋" w:cs="仿宋"/>
          <w:b/>
          <w:bCs/>
          <w:color w:val="000000" w:themeColor="text1"/>
          <w:sz w:val="24"/>
          <w:szCs w:val="24"/>
          <w:highlight w:val="none"/>
          <w14:textFill>
            <w14:solidFill>
              <w14:schemeClr w14:val="tx1"/>
            </w14:solidFill>
          </w14:textFill>
        </w:rPr>
        <w:t>2.</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w:t>
      </w:r>
      <w:bookmarkEnd w:id="26"/>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具有良好的商业信誉和健全的财务会计制度，</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需提供2024或2025年度经会计师事务所或审计机构审计的财务审计报告及财务报表（至少包含会计师事务所或审计机构签章页、资产负债表、现金流量表、损益表/利润表），或开标日前6个月内开具的银行资信证明</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0993E49A">
      <w:pPr>
        <w:adjustRightInd w:val="0"/>
        <w:snapToGrid w:val="0"/>
        <w:spacing w:line="360" w:lineRule="auto"/>
        <w:ind w:firstLine="482"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2.3供应商应具有履行合同所必需的设备和专业技术能力，</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近三年（2023年1月1日至本项目响应文件递交截止之日）应具有1个同类项目（同类项目指招标代理服务项目）实施案例，并提供符合上述要求的招标代理项目采购公告截图或代理委托书（函）</w:t>
      </w:r>
      <w:r>
        <w:rPr>
          <w:rFonts w:hint="eastAsia" w:ascii="仿宋" w:hAnsi="仿宋" w:eastAsia="仿宋" w:cs="仿宋"/>
          <w:color w:val="000000" w:themeColor="text1"/>
          <w:sz w:val="24"/>
          <w:szCs w:val="24"/>
          <w:highlight w:val="none"/>
          <w14:textFill>
            <w14:solidFill>
              <w14:schemeClr w14:val="tx1"/>
            </w14:solidFill>
          </w14:textFill>
        </w:rPr>
        <w:t>。</w:t>
      </w:r>
    </w:p>
    <w:p w14:paraId="36EB749D">
      <w:pPr>
        <w:adjustRightInd w:val="0"/>
        <w:snapToGrid w:val="0"/>
        <w:spacing w:line="360" w:lineRule="auto"/>
        <w:ind w:firstLine="482" w:firstLineChars="200"/>
        <w:rPr>
          <w:rFonts w:hint="eastAsia" w:ascii="仿宋" w:hAnsi="仿宋" w:eastAsia="仿宋" w:cs="仿宋"/>
          <w:color w:val="000000" w:themeColor="text1"/>
          <w:sz w:val="24"/>
          <w:szCs w:val="24"/>
          <w:highlight w:val="none"/>
          <w14:textFill>
            <w14:solidFill>
              <w14:schemeClr w14:val="tx1"/>
            </w14:solidFill>
          </w14:textFill>
        </w:rPr>
      </w:pPr>
      <w:bookmarkStart w:id="27" w:name="OLE_LINK5"/>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2.4具有依法缴纳税收和社会保障资金的良好记录，</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提供近6个月内任意一个月的税收和社会保障资金缴纳凭证</w:t>
      </w:r>
      <w:r>
        <w:rPr>
          <w:rFonts w:hint="eastAsia" w:ascii="仿宋" w:hAnsi="仿宋" w:eastAsia="仿宋" w:cs="仿宋"/>
          <w:color w:val="000000" w:themeColor="text1"/>
          <w:sz w:val="24"/>
          <w:szCs w:val="24"/>
          <w:highlight w:val="none"/>
          <w14:textFill>
            <w14:solidFill>
              <w14:schemeClr w14:val="tx1"/>
            </w14:solidFill>
          </w14:textFill>
        </w:rPr>
        <w:t>。</w:t>
      </w:r>
    </w:p>
    <w:p w14:paraId="04F08251">
      <w:pPr>
        <w:adjustRightInd w:val="0"/>
        <w:snapToGrid w:val="0"/>
        <w:spacing w:line="360" w:lineRule="auto"/>
        <w:ind w:firstLine="482" w:firstLineChars="20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2.5供应商应经营状况良好，</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且近三年内（2023年1月1日至今）无违法违规记录。违法违规记录是指被“信用中国”列入失信被执行人、重大税收违法失信主体、政府采购严重违法失信行为记录名单。供应商需提供自比选公告发布之日至应答截止之日期间对以上三项内容的查询截图。</w:t>
      </w:r>
    </w:p>
    <w:p w14:paraId="59C3D025">
      <w:pPr>
        <w:adjustRightInd w:val="0"/>
        <w:snapToGrid w:val="0"/>
        <w:spacing w:line="360" w:lineRule="auto"/>
        <w:ind w:firstLine="480" w:firstLineChars="20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信用中国查询网址：https://www.creditchina.gov.cn/xinyongfuwu/?navPage=5</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20466CE2">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2.6</w:t>
      </w:r>
      <w:r>
        <w:rPr>
          <w:rFonts w:hint="eastAsia" w:ascii="仿宋" w:hAnsi="仿宋" w:eastAsia="仿宋" w:cs="仿宋"/>
          <w:color w:val="000000" w:themeColor="text1"/>
          <w:sz w:val="24"/>
          <w:szCs w:val="24"/>
          <w:highlight w:val="none"/>
          <w14:textFill>
            <w14:solidFill>
              <w14:schemeClr w14:val="tx1"/>
            </w14:solidFill>
          </w14:textFill>
        </w:rPr>
        <w:t>严禁被列入采购人及其所隶属的中国人民保险各级机构供应商黑名单且在禁入期内的供应商参与本采购活动。</w:t>
      </w:r>
    </w:p>
    <w:p w14:paraId="60B2A60E">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2.7</w:t>
      </w:r>
      <w:r>
        <w:rPr>
          <w:rFonts w:hint="eastAsia" w:ascii="仿宋" w:hAnsi="仿宋" w:eastAsia="仿宋" w:cs="仿宋"/>
          <w:color w:val="000000" w:themeColor="text1"/>
          <w:sz w:val="24"/>
          <w:szCs w:val="24"/>
          <w:highlight w:val="none"/>
          <w14:textFill>
            <w14:solidFill>
              <w14:schemeClr w14:val="tx1"/>
            </w14:solidFill>
          </w14:textFill>
        </w:rPr>
        <w:t>单位负责人为同一人或者存在控股、管理关系的不同单位，不得参加未划分标包的同一采购项目的比选响应，</w:t>
      </w:r>
      <w:r>
        <w:rPr>
          <w:rFonts w:hint="eastAsia" w:ascii="仿宋" w:hAnsi="仿宋" w:eastAsia="仿宋" w:cs="仿宋"/>
          <w:b/>
          <w:bCs/>
          <w:color w:val="000000" w:themeColor="text1"/>
          <w:sz w:val="24"/>
          <w:szCs w:val="24"/>
          <w:highlight w:val="none"/>
          <w14:textFill>
            <w14:solidFill>
              <w14:schemeClr w14:val="tx1"/>
            </w14:solidFill>
          </w14:textFill>
        </w:rPr>
        <w:t>供应商需填写《供应商控股及管理关系情况申报表》</w:t>
      </w:r>
      <w:r>
        <w:rPr>
          <w:rFonts w:hint="eastAsia" w:ascii="仿宋" w:hAnsi="仿宋" w:eastAsia="仿宋" w:cs="仿宋"/>
          <w:color w:val="000000" w:themeColor="text1"/>
          <w:sz w:val="24"/>
          <w:szCs w:val="24"/>
          <w:highlight w:val="none"/>
          <w14:textFill>
            <w14:solidFill>
              <w14:schemeClr w14:val="tx1"/>
            </w14:solidFill>
          </w14:textFill>
        </w:rPr>
        <w:t>。</w:t>
      </w:r>
    </w:p>
    <w:p w14:paraId="18ACE035">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2.8</w:t>
      </w:r>
      <w:r>
        <w:rPr>
          <w:rFonts w:hint="eastAsia" w:ascii="仿宋" w:hAnsi="仿宋" w:eastAsia="仿宋" w:cs="仿宋"/>
          <w:color w:val="000000" w:themeColor="text1"/>
          <w:sz w:val="24"/>
          <w:szCs w:val="24"/>
          <w:highlight w:val="none"/>
          <w14:textFill>
            <w14:solidFill>
              <w14:schemeClr w14:val="tx1"/>
            </w14:solidFill>
          </w14:textFill>
        </w:rPr>
        <w:t>本项目不接受联合体响应，不允许成交后分包、转包，</w:t>
      </w:r>
      <w:r>
        <w:rPr>
          <w:rFonts w:hint="eastAsia" w:ascii="仿宋" w:hAnsi="仿宋" w:eastAsia="仿宋" w:cs="仿宋"/>
          <w:b/>
          <w:bCs/>
          <w:color w:val="000000" w:themeColor="text1"/>
          <w:sz w:val="24"/>
          <w:szCs w:val="24"/>
          <w:highlight w:val="none"/>
          <w14:textFill>
            <w14:solidFill>
              <w14:schemeClr w14:val="tx1"/>
            </w14:solidFill>
          </w14:textFill>
        </w:rPr>
        <w:t>供应商须提供承诺书并加盖公章</w:t>
      </w:r>
      <w:r>
        <w:rPr>
          <w:rFonts w:hint="eastAsia" w:ascii="仿宋" w:hAnsi="仿宋" w:eastAsia="仿宋" w:cs="仿宋"/>
          <w:color w:val="000000" w:themeColor="text1"/>
          <w:sz w:val="24"/>
          <w:szCs w:val="24"/>
          <w:highlight w:val="none"/>
          <w14:textFill>
            <w14:solidFill>
              <w14:schemeClr w14:val="tx1"/>
            </w14:solidFill>
          </w14:textFill>
        </w:rPr>
        <w:t>。</w:t>
      </w:r>
      <w:bookmarkEnd w:id="27"/>
    </w:p>
    <w:p w14:paraId="50CF7518">
      <w:pPr>
        <w:adjustRightInd w:val="0"/>
        <w:snapToGrid w:val="0"/>
        <w:spacing w:line="360" w:lineRule="auto"/>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2.9供应商须满足《中华人民共和国招标投标法》第十三条规定的招标代理机构应当具备的以下条件，</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并提供承诺函。</w:t>
      </w:r>
    </w:p>
    <w:p w14:paraId="553D14E8">
      <w:pPr>
        <w:adjustRightInd w:val="0"/>
        <w:snapToGrid w:val="0"/>
        <w:spacing w:line="360" w:lineRule="auto"/>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（1）有从事招标代理业务的营业场所和相应资金；</w:t>
      </w:r>
    </w:p>
    <w:p w14:paraId="69B04A96">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（2）有能够编制招标文件和组织评标的相应专业力量。</w:t>
      </w:r>
    </w:p>
    <w:p w14:paraId="1A4B7CA5">
      <w:pPr>
        <w:pStyle w:val="3"/>
        <w:spacing w:before="156" w:beforeLines="50" w:after="156" w:afterLines="50"/>
        <w:ind w:firstLine="0" w:firstLineChars="0"/>
        <w:jc w:val="left"/>
        <w:rPr>
          <w:rFonts w:hint="eastAsia" w:ascii="仿宋" w:hAnsi="仿宋" w:eastAsia="仿宋" w:cs="仿宋"/>
          <w:color w:val="000000"/>
          <w:sz w:val="24"/>
          <w:szCs w:val="24"/>
          <w:highlight w:val="none"/>
        </w:rPr>
      </w:pPr>
      <w:bookmarkStart w:id="28" w:name="_Toc233292428"/>
      <w:bookmarkStart w:id="29" w:name="_Toc219195970"/>
      <w:bookmarkStart w:id="30" w:name="_Toc231201465"/>
      <w:bookmarkStart w:id="31" w:name="_Toc28263"/>
      <w:bookmarkStart w:id="32" w:name="_Toc216971020"/>
      <w:bookmarkStart w:id="33" w:name="_Toc197680970"/>
      <w:r>
        <w:rPr>
          <w:rFonts w:hint="eastAsia" w:ascii="仿宋" w:hAnsi="仿宋" w:eastAsia="仿宋" w:cs="仿宋"/>
          <w:color w:val="000000"/>
          <w:sz w:val="24"/>
          <w:szCs w:val="24"/>
          <w:highlight w:val="none"/>
        </w:rPr>
        <w:t>三、资格审查方法</w:t>
      </w:r>
      <w:bookmarkEnd w:id="28"/>
      <w:bookmarkEnd w:id="29"/>
      <w:bookmarkEnd w:id="30"/>
      <w:bookmarkEnd w:id="31"/>
      <w:bookmarkEnd w:id="32"/>
      <w:bookmarkEnd w:id="33"/>
    </w:p>
    <w:p w14:paraId="5CF97598">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本项目将进行资格后审，资格审查方法为合格制，资格审查标准和内容见比选文件第三章评审办法。未通过资格后审的供应商，响应文件将被否决，不进入后续比选、详细评审等后续环节。</w:t>
      </w:r>
    </w:p>
    <w:p w14:paraId="69213623">
      <w:pPr>
        <w:pStyle w:val="3"/>
        <w:spacing w:before="156" w:beforeLines="50" w:after="156" w:afterLines="50"/>
        <w:ind w:firstLine="0" w:firstLineChars="0"/>
        <w:jc w:val="left"/>
        <w:rPr>
          <w:rFonts w:hint="eastAsia" w:ascii="仿宋" w:hAnsi="仿宋" w:eastAsia="仿宋" w:cs="仿宋"/>
          <w:color w:val="000000"/>
          <w:sz w:val="24"/>
          <w:szCs w:val="24"/>
          <w:highlight w:val="none"/>
        </w:rPr>
      </w:pPr>
      <w:bookmarkStart w:id="34" w:name="_Toc233292429"/>
      <w:bookmarkStart w:id="35" w:name="_Toc219195971"/>
      <w:bookmarkStart w:id="36" w:name="_Toc2019"/>
      <w:bookmarkStart w:id="37" w:name="_Toc231201466"/>
      <w:bookmarkStart w:id="38" w:name="_Toc216971021"/>
      <w:bookmarkStart w:id="39" w:name="_Toc197680971"/>
      <w:r>
        <w:rPr>
          <w:rFonts w:hint="eastAsia" w:ascii="仿宋" w:hAnsi="仿宋" w:eastAsia="仿宋" w:cs="仿宋"/>
          <w:color w:val="000000"/>
          <w:sz w:val="24"/>
          <w:szCs w:val="24"/>
          <w:highlight w:val="none"/>
        </w:rPr>
        <w:t>四、比选文件的获取</w:t>
      </w:r>
      <w:bookmarkEnd w:id="34"/>
      <w:bookmarkEnd w:id="35"/>
      <w:bookmarkEnd w:id="36"/>
      <w:bookmarkEnd w:id="37"/>
      <w:bookmarkEnd w:id="38"/>
      <w:bookmarkEnd w:id="39"/>
    </w:p>
    <w:p w14:paraId="3A26C876">
      <w:pPr>
        <w:adjustRightInd w:val="0"/>
        <w:snapToGrid w:val="0"/>
        <w:spacing w:line="360" w:lineRule="auto"/>
        <w:ind w:firstLine="480" w:firstLineChars="200"/>
        <w:rPr>
          <w:rFonts w:hint="eastAsia" w:ascii="仿宋" w:hAnsi="仿宋" w:eastAsia="仿宋" w:cs="仿宋"/>
          <w:color w:val="auto"/>
          <w:sz w:val="24"/>
          <w:highlight w:val="none"/>
        </w:rPr>
      </w:pPr>
      <w:bookmarkStart w:id="40" w:name="_Hlk219819359"/>
      <w:r>
        <w:rPr>
          <w:rFonts w:hint="eastAsia" w:ascii="仿宋" w:hAnsi="仿宋" w:eastAsia="仿宋" w:cs="仿宋"/>
          <w:color w:val="auto"/>
          <w:sz w:val="24"/>
          <w:highlight w:val="none"/>
        </w:rPr>
        <w:t>4.1比选文件获取时间：</w:t>
      </w:r>
      <w:r>
        <w:rPr>
          <w:rFonts w:hint="eastAsia" w:ascii="仿宋" w:hAnsi="仿宋" w:eastAsia="仿宋" w:cs="仿宋"/>
          <w:b/>
          <w:bCs/>
          <w:color w:val="auto"/>
          <w:sz w:val="24"/>
          <w:highlight w:val="none"/>
        </w:rPr>
        <w:t>2026年</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月</w:t>
      </w:r>
      <w:r>
        <w:rPr>
          <w:rFonts w:hint="eastAsia" w:ascii="仿宋" w:hAnsi="仿宋" w:eastAsia="仿宋" w:cs="仿宋"/>
          <w:b/>
          <w:bCs/>
          <w:color w:val="auto"/>
          <w:sz w:val="24"/>
          <w:highlight w:val="none"/>
          <w:lang w:val="en-US" w:eastAsia="zh-CN"/>
        </w:rPr>
        <w:t>17</w:t>
      </w:r>
      <w:r>
        <w:rPr>
          <w:rFonts w:hint="eastAsia" w:ascii="仿宋" w:hAnsi="仿宋" w:eastAsia="仿宋" w:cs="仿宋"/>
          <w:b/>
          <w:bCs/>
          <w:color w:val="auto"/>
          <w:sz w:val="24"/>
          <w:highlight w:val="none"/>
        </w:rPr>
        <w:t>日</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时</w:t>
      </w:r>
      <w:r>
        <w:rPr>
          <w:rFonts w:hint="eastAsia" w:ascii="仿宋" w:hAnsi="仿宋" w:eastAsia="仿宋" w:cs="仿宋"/>
          <w:b/>
          <w:bCs/>
          <w:color w:val="auto"/>
          <w:sz w:val="24"/>
          <w:highlight w:val="none"/>
          <w:lang w:val="en-US" w:eastAsia="zh-CN"/>
        </w:rPr>
        <w:t>00</w:t>
      </w:r>
      <w:r>
        <w:rPr>
          <w:rFonts w:hint="eastAsia" w:ascii="仿宋" w:hAnsi="仿宋" w:eastAsia="仿宋" w:cs="仿宋"/>
          <w:b/>
          <w:bCs/>
          <w:color w:val="auto"/>
          <w:sz w:val="24"/>
          <w:highlight w:val="none"/>
        </w:rPr>
        <w:t>分至2026年</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月</w:t>
      </w:r>
      <w:r>
        <w:rPr>
          <w:rFonts w:hint="eastAsia" w:ascii="仿宋" w:hAnsi="仿宋" w:eastAsia="仿宋" w:cs="仿宋"/>
          <w:b/>
          <w:bCs/>
          <w:color w:val="auto"/>
          <w:sz w:val="24"/>
          <w:highlight w:val="none"/>
          <w:lang w:val="en-US" w:eastAsia="zh-CN"/>
        </w:rPr>
        <w:t>22</w:t>
      </w:r>
      <w:r>
        <w:rPr>
          <w:rFonts w:hint="eastAsia" w:ascii="仿宋" w:hAnsi="仿宋" w:eastAsia="仿宋" w:cs="仿宋"/>
          <w:b/>
          <w:bCs/>
          <w:color w:val="auto"/>
          <w:sz w:val="24"/>
          <w:highlight w:val="none"/>
        </w:rPr>
        <w:t>日</w:t>
      </w:r>
      <w:r>
        <w:rPr>
          <w:rFonts w:hint="eastAsia" w:ascii="仿宋" w:hAnsi="仿宋" w:eastAsia="仿宋" w:cs="仿宋"/>
          <w:b/>
          <w:bCs/>
          <w:color w:val="auto"/>
          <w:sz w:val="24"/>
          <w:highlight w:val="none"/>
          <w:lang w:val="en-US" w:eastAsia="zh-CN"/>
        </w:rPr>
        <w:t>17</w:t>
      </w:r>
      <w:r>
        <w:rPr>
          <w:rFonts w:hint="eastAsia" w:ascii="仿宋" w:hAnsi="仿宋" w:eastAsia="仿宋" w:cs="仿宋"/>
          <w:b/>
          <w:bCs/>
          <w:color w:val="auto"/>
          <w:sz w:val="24"/>
          <w:highlight w:val="none"/>
        </w:rPr>
        <w:t>时</w:t>
      </w:r>
      <w:r>
        <w:rPr>
          <w:rFonts w:hint="eastAsia" w:ascii="仿宋" w:hAnsi="仿宋" w:eastAsia="仿宋" w:cs="仿宋"/>
          <w:b/>
          <w:bCs/>
          <w:color w:val="auto"/>
          <w:sz w:val="24"/>
          <w:highlight w:val="none"/>
          <w:lang w:val="en-US" w:eastAsia="zh-CN"/>
        </w:rPr>
        <w:t>00</w:t>
      </w:r>
      <w:r>
        <w:rPr>
          <w:rFonts w:hint="eastAsia" w:ascii="仿宋" w:hAnsi="仿宋" w:eastAsia="仿宋" w:cs="仿宋"/>
          <w:b/>
          <w:bCs/>
          <w:color w:val="auto"/>
          <w:sz w:val="24"/>
          <w:highlight w:val="none"/>
        </w:rPr>
        <w:t>分</w:t>
      </w:r>
      <w:r>
        <w:rPr>
          <w:rFonts w:hint="eastAsia" w:ascii="仿宋" w:hAnsi="仿宋" w:eastAsia="仿宋" w:cs="仿宋"/>
          <w:color w:val="auto"/>
          <w:sz w:val="24"/>
          <w:highlight w:val="none"/>
        </w:rPr>
        <w:t>（北京时间，下同）。</w:t>
      </w:r>
    </w:p>
    <w:bookmarkEnd w:id="40"/>
    <w:p w14:paraId="1AE5ED07">
      <w:pPr>
        <w:adjustRightInd w:val="0"/>
        <w:snapToGrid w:val="0"/>
        <w:spacing w:line="360" w:lineRule="auto"/>
        <w:ind w:firstLine="480" w:firstLineChars="200"/>
        <w:rPr>
          <w:rFonts w:hint="eastAsia" w:ascii="仿宋" w:hAnsi="仿宋" w:eastAsia="仿宋" w:cs="仿宋"/>
          <w:color w:val="auto"/>
          <w:sz w:val="24"/>
          <w:highlight w:val="none"/>
        </w:rPr>
      </w:pPr>
      <w:bookmarkStart w:id="41" w:name="_Toc219195972"/>
      <w:bookmarkStart w:id="42" w:name="_Toc231201467"/>
      <w:bookmarkStart w:id="43" w:name="_Toc233292430"/>
      <w:bookmarkStart w:id="44" w:name="_Toc216971022"/>
      <w:bookmarkStart w:id="45" w:name="_Toc197680972"/>
      <w:bookmarkStart w:id="46" w:name="_Toc32115"/>
      <w:r>
        <w:rPr>
          <w:rFonts w:hint="eastAsia" w:ascii="仿宋" w:hAnsi="仿宋" w:eastAsia="仿宋" w:cs="仿宋"/>
          <w:color w:val="auto"/>
          <w:sz w:val="24"/>
          <w:highlight w:val="none"/>
        </w:rPr>
        <w:t>4.2人保e采门户注册入库：登录中国人保e采门户（https://ec.picc.com/）申请注册入库，审核通过后</w:t>
      </w:r>
      <w:r>
        <w:rPr>
          <w:rFonts w:hint="eastAsia" w:ascii="仿宋" w:hAnsi="仿宋" w:eastAsia="仿宋" w:cs="仿宋"/>
          <w:color w:val="auto"/>
          <w:sz w:val="24"/>
          <w:highlight w:val="none"/>
          <w:lang w:eastAsia="zh-CN"/>
        </w:rPr>
        <w:t>进行报名</w:t>
      </w:r>
      <w:r>
        <w:rPr>
          <w:rFonts w:hint="eastAsia" w:ascii="仿宋" w:hAnsi="仿宋" w:eastAsia="仿宋" w:cs="仿宋"/>
          <w:color w:val="auto"/>
          <w:sz w:val="24"/>
          <w:highlight w:val="none"/>
        </w:rPr>
        <w:t>。</w:t>
      </w:r>
    </w:p>
    <w:p w14:paraId="4E5F3107">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4.3“人保e采”管理系统供应商注册入库详情可在登录“人保e采”外网门户后查阅《人保e采管理系统供应商入库操作指南》。</w:t>
      </w:r>
    </w:p>
    <w:p w14:paraId="32169A02">
      <w:pPr>
        <w:adjustRightInd w:val="0"/>
        <w:snapToGrid w:val="0"/>
        <w:spacing w:line="360"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4.4</w:t>
      </w:r>
      <w:r>
        <w:rPr>
          <w:rFonts w:hint="eastAsia" w:ascii="仿宋" w:hAnsi="仿宋" w:eastAsia="仿宋" w:cs="仿宋"/>
          <w:color w:val="auto"/>
          <w:sz w:val="24"/>
          <w:highlight w:val="none"/>
        </w:rPr>
        <w:t>潜在供应商须登录“人保e采”管理系统完成项目报名后，免费获取电子比选文件，请在规定日期内完成比选文件的获取。</w:t>
      </w:r>
    </w:p>
    <w:p w14:paraId="66F93C76">
      <w:pPr>
        <w:pStyle w:val="3"/>
        <w:spacing w:before="156" w:beforeLines="50" w:after="156" w:afterLines="50"/>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五、响应文件的递交</w:t>
      </w:r>
      <w:bookmarkEnd w:id="41"/>
      <w:bookmarkEnd w:id="42"/>
      <w:bookmarkEnd w:id="43"/>
      <w:bookmarkEnd w:id="44"/>
      <w:bookmarkEnd w:id="45"/>
      <w:bookmarkEnd w:id="46"/>
    </w:p>
    <w:p w14:paraId="029158A5">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5.1响应文件递交截止时间：</w:t>
      </w:r>
      <w:r>
        <w:rPr>
          <w:rFonts w:hint="eastAsia" w:ascii="仿宋" w:hAnsi="仿宋" w:eastAsia="仿宋" w:cs="仿宋"/>
          <w:b/>
          <w:bCs/>
          <w:color w:val="000000" w:themeColor="text1"/>
          <w:sz w:val="24"/>
          <w:highlight w:val="none"/>
          <w14:textFill>
            <w14:solidFill>
              <w14:schemeClr w14:val="tx1"/>
            </w14:solidFill>
          </w14:textFill>
        </w:rPr>
        <w:t>2026年</w:t>
      </w:r>
      <w:r>
        <w:rPr>
          <w:rFonts w:hint="eastAsia" w:ascii="仿宋" w:hAnsi="仿宋" w:eastAsia="仿宋" w:cs="仿宋"/>
          <w:b/>
          <w:bCs/>
          <w:color w:val="000000" w:themeColor="text1"/>
          <w:sz w:val="24"/>
          <w:highlight w:val="none"/>
          <w:lang w:val="en-US" w:eastAsia="zh-CN"/>
          <w14:textFill>
            <w14:solidFill>
              <w14:schemeClr w14:val="tx1"/>
            </w14:solidFill>
          </w14:textFill>
        </w:rPr>
        <w:t>9</w:t>
      </w:r>
      <w:r>
        <w:rPr>
          <w:rFonts w:hint="eastAsia" w:ascii="仿宋" w:hAnsi="仿宋" w:eastAsia="仿宋" w:cs="仿宋"/>
          <w:b/>
          <w:bCs/>
          <w:color w:val="000000" w:themeColor="text1"/>
          <w:sz w:val="24"/>
          <w:highlight w:val="none"/>
          <w14:textFill>
            <w14:solidFill>
              <w14:schemeClr w14:val="tx1"/>
            </w14:solidFill>
          </w14:textFill>
        </w:rPr>
        <w:t>月</w:t>
      </w:r>
      <w:r>
        <w:rPr>
          <w:rFonts w:hint="eastAsia" w:ascii="仿宋" w:hAnsi="仿宋" w:eastAsia="仿宋" w:cs="仿宋"/>
          <w:b/>
          <w:bCs/>
          <w:color w:val="000000" w:themeColor="text1"/>
          <w:sz w:val="24"/>
          <w:highlight w:val="none"/>
          <w:lang w:val="en-US" w:eastAsia="zh-CN"/>
          <w14:textFill>
            <w14:solidFill>
              <w14:schemeClr w14:val="tx1"/>
            </w14:solidFill>
          </w14:textFill>
        </w:rPr>
        <w:t>29</w:t>
      </w:r>
      <w:r>
        <w:rPr>
          <w:rFonts w:hint="eastAsia" w:ascii="仿宋" w:hAnsi="仿宋" w:eastAsia="仿宋" w:cs="仿宋"/>
          <w:b/>
          <w:bCs/>
          <w:color w:val="000000" w:themeColor="text1"/>
          <w:sz w:val="24"/>
          <w:highlight w:val="none"/>
          <w14:textFill>
            <w14:solidFill>
              <w14:schemeClr w14:val="tx1"/>
            </w14:solidFill>
          </w14:textFill>
        </w:rPr>
        <w:t>日</w:t>
      </w:r>
      <w:r>
        <w:rPr>
          <w:rFonts w:hint="eastAsia" w:ascii="仿宋" w:hAnsi="仿宋" w:eastAsia="仿宋" w:cs="仿宋"/>
          <w:b/>
          <w:bCs/>
          <w:color w:val="000000" w:themeColor="text1"/>
          <w:sz w:val="24"/>
          <w:highlight w:val="none"/>
          <w:lang w:val="en-US" w:eastAsia="zh-CN"/>
          <w14:textFill>
            <w14:solidFill>
              <w14:schemeClr w14:val="tx1"/>
            </w14:solidFill>
          </w14:textFill>
        </w:rPr>
        <w:t>9</w:t>
      </w:r>
      <w:r>
        <w:rPr>
          <w:rFonts w:hint="eastAsia" w:ascii="仿宋" w:hAnsi="仿宋" w:eastAsia="仿宋" w:cs="仿宋"/>
          <w:b/>
          <w:bCs/>
          <w:color w:val="000000" w:themeColor="text1"/>
          <w:sz w:val="24"/>
          <w:highlight w:val="none"/>
          <w14:textFill>
            <w14:solidFill>
              <w14:schemeClr w14:val="tx1"/>
            </w14:solidFill>
          </w14:textFill>
        </w:rPr>
        <w:t>时</w:t>
      </w:r>
      <w:r>
        <w:rPr>
          <w:rFonts w:hint="eastAsia" w:ascii="仿宋" w:hAnsi="仿宋" w:eastAsia="仿宋" w:cs="仿宋"/>
          <w:b/>
          <w:bCs/>
          <w:color w:val="000000" w:themeColor="text1"/>
          <w:sz w:val="24"/>
          <w:highlight w:val="none"/>
          <w:lang w:val="en-US" w:eastAsia="zh-CN"/>
          <w14:textFill>
            <w14:solidFill>
              <w14:schemeClr w14:val="tx1"/>
            </w14:solidFill>
          </w14:textFill>
        </w:rPr>
        <w:t>00</w:t>
      </w:r>
      <w:r>
        <w:rPr>
          <w:rFonts w:hint="eastAsia" w:ascii="仿宋" w:hAnsi="仿宋" w:eastAsia="仿宋" w:cs="仿宋"/>
          <w:b/>
          <w:bCs/>
          <w:color w:val="000000" w:themeColor="text1"/>
          <w:sz w:val="24"/>
          <w:highlight w:val="none"/>
          <w14:textFill>
            <w14:solidFill>
              <w14:schemeClr w14:val="tx1"/>
            </w14:solidFill>
          </w14:textFill>
        </w:rPr>
        <w:t>分</w:t>
      </w:r>
      <w:r>
        <w:rPr>
          <w:rFonts w:hint="eastAsia" w:ascii="仿宋" w:hAnsi="仿宋" w:eastAsia="仿宋" w:cs="仿宋"/>
          <w:color w:val="000000" w:themeColor="text1"/>
          <w:sz w:val="24"/>
          <w:highlight w:val="none"/>
          <w14:textFill>
            <w14:solidFill>
              <w14:schemeClr w14:val="tx1"/>
            </w14:solidFill>
          </w14:textFill>
        </w:rPr>
        <w:t>。</w:t>
      </w:r>
    </w:p>
    <w:p w14:paraId="1D025E9A">
      <w:pPr>
        <w:adjustRightInd w:val="0"/>
        <w:snapToGrid w:val="0"/>
        <w:spacing w:line="360" w:lineRule="auto"/>
        <w:ind w:firstLine="480" w:firstLineChars="20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5.2纸质响应文件递交地点：</w:t>
      </w:r>
      <w:r>
        <w:rPr>
          <w:rFonts w:hint="eastAsia" w:ascii="仿宋" w:hAnsi="仿宋" w:eastAsia="仿宋" w:cs="仿宋"/>
          <w:color w:val="000000" w:themeColor="text1"/>
          <w:sz w:val="24"/>
          <w:highlight w:val="none"/>
          <w:lang w:eastAsia="zh-CN"/>
          <w14:textFill>
            <w14:solidFill>
              <w14:schemeClr w14:val="tx1"/>
            </w14:solidFill>
          </w14:textFill>
        </w:rPr>
        <w:t>银川市金凤区尹家渠北街</w:t>
      </w:r>
      <w:r>
        <w:rPr>
          <w:rFonts w:hint="eastAsia" w:ascii="仿宋" w:hAnsi="仿宋" w:eastAsia="仿宋" w:cs="仿宋"/>
          <w:color w:val="000000" w:themeColor="text1"/>
          <w:sz w:val="24"/>
          <w:highlight w:val="none"/>
          <w:lang w:val="en-US" w:eastAsia="zh-CN"/>
          <w14:textFill>
            <w14:solidFill>
              <w14:schemeClr w14:val="tx1"/>
            </w14:solidFill>
          </w14:textFill>
        </w:rPr>
        <w:t>120号人保财险大厦8楼2号会议室</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14:textFill>
            <w14:solidFill>
              <w14:schemeClr w14:val="tx1"/>
            </w14:solidFill>
          </w14:textFill>
        </w:rPr>
        <w:t>逾期送达或者未送达指定地点或者未按照比选文件要求封装的纸质响应文件不予接收。</w:t>
      </w:r>
    </w:p>
    <w:p w14:paraId="7EF3F74F">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5.3本项目将于上述同一时间、地点进行比选，采购人邀请供应商代表准时参加。</w:t>
      </w:r>
    </w:p>
    <w:p w14:paraId="70639FD6">
      <w:pPr>
        <w:adjustRightInd w:val="0"/>
        <w:snapToGrid w:val="0"/>
        <w:spacing w:line="360" w:lineRule="auto"/>
        <w:ind w:firstLine="480" w:firstLineChars="20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5.4</w:t>
      </w:r>
      <w:r>
        <w:rPr>
          <w:rFonts w:hint="eastAsia" w:ascii="仿宋" w:hAnsi="仿宋" w:eastAsia="仿宋" w:cs="仿宋"/>
          <w:b/>
          <w:bCs/>
          <w:color w:val="000000" w:themeColor="text1"/>
          <w:sz w:val="24"/>
          <w:highlight w:val="none"/>
          <w14:textFill>
            <w14:solidFill>
              <w14:schemeClr w14:val="tx1"/>
            </w14:solidFill>
          </w14:textFill>
        </w:rPr>
        <w:t>出现以下情形之一时，采购人不予接收响应文件：</w:t>
      </w:r>
    </w:p>
    <w:p w14:paraId="38F7C49C">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5.4.1逾期送达或者未送达指定地点的；</w:t>
      </w:r>
    </w:p>
    <w:p w14:paraId="143E75DB">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5.4.2未按照</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文件要求密封的；</w:t>
      </w:r>
    </w:p>
    <w:p w14:paraId="3B3C1C97">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5.4.3未按照比选公告要求获取比选文件的。</w:t>
      </w:r>
    </w:p>
    <w:p w14:paraId="0C219205">
      <w:pPr>
        <w:pStyle w:val="3"/>
        <w:spacing w:before="156" w:beforeLines="50" w:after="156" w:afterLines="50"/>
        <w:ind w:firstLine="0" w:firstLineChars="0"/>
        <w:jc w:val="left"/>
        <w:rPr>
          <w:rFonts w:hint="eastAsia" w:ascii="仿宋" w:hAnsi="仿宋" w:eastAsia="仿宋" w:cs="仿宋"/>
          <w:color w:val="000000"/>
          <w:sz w:val="24"/>
          <w:szCs w:val="24"/>
          <w:highlight w:val="none"/>
        </w:rPr>
      </w:pPr>
      <w:bookmarkStart w:id="47" w:name="_Toc219195973"/>
      <w:bookmarkStart w:id="48" w:name="_Toc233292431"/>
      <w:bookmarkStart w:id="49" w:name="_Toc216971023"/>
      <w:bookmarkStart w:id="50" w:name="_Toc874"/>
      <w:bookmarkStart w:id="51" w:name="_Toc197680973"/>
      <w:bookmarkStart w:id="52" w:name="_Toc231201468"/>
      <w:r>
        <w:rPr>
          <w:rFonts w:hint="eastAsia" w:ascii="仿宋" w:hAnsi="仿宋" w:eastAsia="仿宋" w:cs="仿宋"/>
          <w:color w:val="000000"/>
          <w:sz w:val="24"/>
          <w:szCs w:val="24"/>
          <w:highlight w:val="none"/>
        </w:rPr>
        <w:t>六、发布公告的媒介</w:t>
      </w:r>
      <w:bookmarkEnd w:id="47"/>
      <w:bookmarkEnd w:id="48"/>
      <w:bookmarkEnd w:id="49"/>
      <w:bookmarkEnd w:id="50"/>
      <w:bookmarkEnd w:id="51"/>
      <w:bookmarkEnd w:id="52"/>
    </w:p>
    <w:p w14:paraId="7EEB700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本项目比选公告同时在中国人保e采门户（https://ec.picc.com/）</w:t>
      </w:r>
      <w:r>
        <w:rPr>
          <w:rFonts w:hint="eastAsia" w:ascii="仿宋" w:hAnsi="仿宋" w:eastAsia="仿宋" w:cs="仿宋"/>
          <w:color w:val="000000" w:themeColor="text1"/>
          <w:sz w:val="24"/>
          <w:highlight w:val="none"/>
          <w:lang w:eastAsia="zh-CN"/>
          <w14:textFill>
            <w14:solidFill>
              <w14:schemeClr w14:val="tx1"/>
            </w14:solidFill>
          </w14:textFill>
        </w:rPr>
        <w:t>、</w:t>
      </w:r>
      <w:bookmarkStart w:id="451" w:name="_GoBack"/>
      <w:r>
        <w:rPr>
          <w:rFonts w:hint="eastAsia" w:ascii="仿宋" w:hAnsi="仿宋" w:eastAsia="仿宋" w:cs="仿宋"/>
          <w:b w:val="0"/>
          <w:bCs w:val="0"/>
          <w:color w:val="000000"/>
          <w:kern w:val="2"/>
          <w:sz w:val="24"/>
          <w:szCs w:val="24"/>
          <w:highlight w:val="none"/>
          <w:lang w:val="en-US" w:eastAsia="zh-CN" w:bidi="ar-SA"/>
        </w:rPr>
        <w:t>金采网（www.cfcpn.com）上</w:t>
      </w:r>
      <w:r>
        <w:rPr>
          <w:rFonts w:hint="eastAsia" w:ascii="仿宋" w:hAnsi="仿宋" w:eastAsia="仿宋" w:cs="仿宋"/>
          <w:b w:val="0"/>
          <w:bCs w:val="0"/>
          <w:color w:val="000000" w:themeColor="text1"/>
          <w:sz w:val="24"/>
          <w:highlight w:val="none"/>
          <w14:textFill>
            <w14:solidFill>
              <w14:schemeClr w14:val="tx1"/>
            </w14:solidFill>
          </w14:textFill>
        </w:rPr>
        <w:t>发布。除</w:t>
      </w:r>
      <w:bookmarkEnd w:id="451"/>
      <w:r>
        <w:rPr>
          <w:rFonts w:hint="eastAsia" w:ascii="仿宋" w:hAnsi="仿宋" w:eastAsia="仿宋" w:cs="仿宋"/>
          <w:color w:val="000000" w:themeColor="text1"/>
          <w:sz w:val="24"/>
          <w:highlight w:val="none"/>
          <w14:textFill>
            <w14:solidFill>
              <w14:schemeClr w14:val="tx1"/>
            </w14:solidFill>
          </w14:textFill>
        </w:rPr>
        <w:t>上述外，采购人不在其他任何网站、论坛等媒介发布任何采购信息。其他任何媒介上转载的、以采购人为采购主体的采购信息均为非法转载，均为无效。对于非法转载、篡改采购公告信息的组织或个人，采购人保留追究其法律责任的权利。</w:t>
      </w:r>
    </w:p>
    <w:p w14:paraId="2935AECF">
      <w:pPr>
        <w:pStyle w:val="3"/>
        <w:spacing w:before="156" w:beforeLines="50" w:after="156" w:afterLines="50"/>
        <w:ind w:firstLine="0" w:firstLineChars="0"/>
        <w:jc w:val="left"/>
        <w:rPr>
          <w:rFonts w:hint="eastAsia" w:ascii="仿宋" w:hAnsi="仿宋" w:eastAsia="仿宋" w:cs="仿宋"/>
          <w:color w:val="000000"/>
          <w:sz w:val="24"/>
          <w:szCs w:val="24"/>
          <w:highlight w:val="none"/>
        </w:rPr>
      </w:pPr>
      <w:bookmarkStart w:id="53" w:name="_Toc233292432"/>
      <w:bookmarkStart w:id="54" w:name="_Toc219195974"/>
      <w:bookmarkStart w:id="55" w:name="_Toc30596"/>
      <w:bookmarkStart w:id="56" w:name="_Toc197680974"/>
      <w:bookmarkStart w:id="57" w:name="_Toc231201469"/>
      <w:bookmarkStart w:id="58" w:name="_Toc216971024"/>
      <w:r>
        <w:rPr>
          <w:rFonts w:hint="eastAsia" w:ascii="仿宋" w:hAnsi="仿宋" w:eastAsia="仿宋" w:cs="仿宋"/>
          <w:color w:val="000000"/>
          <w:sz w:val="24"/>
          <w:szCs w:val="24"/>
          <w:highlight w:val="none"/>
        </w:rPr>
        <w:t>七、联系方式</w:t>
      </w:r>
      <w:bookmarkEnd w:id="53"/>
      <w:bookmarkEnd w:id="54"/>
      <w:bookmarkEnd w:id="55"/>
      <w:bookmarkEnd w:id="56"/>
      <w:bookmarkEnd w:id="57"/>
      <w:bookmarkEnd w:id="58"/>
    </w:p>
    <w:bookmarkEnd w:id="2"/>
    <w:bookmarkEnd w:id="3"/>
    <w:bookmarkEnd w:id="4"/>
    <w:bookmarkEnd w:id="5"/>
    <w:bookmarkEnd w:id="6"/>
    <w:bookmarkEnd w:id="7"/>
    <w:bookmarkEnd w:id="8"/>
    <w:p w14:paraId="0B801531">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bookmarkStart w:id="59" w:name="_Toc287600116"/>
      <w:bookmarkStart w:id="60" w:name="_Toc17103"/>
      <w:bookmarkStart w:id="61" w:name="_Toc1895"/>
      <w:bookmarkStart w:id="62" w:name="_Toc444891334"/>
      <w:bookmarkStart w:id="63" w:name="_Toc23165"/>
      <w:bookmarkStart w:id="64" w:name="_Toc2797"/>
      <w:bookmarkStart w:id="65" w:name="_Toc517281814"/>
      <w:r>
        <w:rPr>
          <w:rFonts w:hint="eastAsia" w:ascii="仿宋" w:hAnsi="仿宋" w:eastAsia="仿宋" w:cs="仿宋"/>
          <w:color w:val="000000" w:themeColor="text1"/>
          <w:sz w:val="24"/>
          <w:szCs w:val="24"/>
          <w:highlight w:val="none"/>
          <w14:textFill>
            <w14:solidFill>
              <w14:schemeClr w14:val="tx1"/>
            </w14:solidFill>
          </w14:textFill>
        </w:rPr>
        <w:t>采购人：</w:t>
      </w:r>
      <w:bookmarkStart w:id="66" w:name="OLE_LINK13"/>
      <w:r>
        <w:rPr>
          <w:rFonts w:hint="eastAsia" w:ascii="仿宋" w:hAnsi="仿宋" w:eastAsia="仿宋" w:cs="仿宋"/>
          <w:color w:val="000000" w:themeColor="text1"/>
          <w:sz w:val="24"/>
          <w:szCs w:val="24"/>
          <w:highlight w:val="none"/>
          <w14:textFill>
            <w14:solidFill>
              <w14:schemeClr w14:val="tx1"/>
            </w14:solidFill>
          </w14:textFill>
        </w:rPr>
        <w:t>中国人民财产保险股份有限公司宁夏回族自治区分公司</w:t>
      </w:r>
      <w:bookmarkEnd w:id="66"/>
    </w:p>
    <w:p w14:paraId="4BB9B20C">
      <w:pPr>
        <w:adjustRightInd w:val="0"/>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地址：</w:t>
      </w:r>
      <w:r>
        <w:rPr>
          <w:rFonts w:hint="eastAsia" w:ascii="仿宋" w:hAnsi="仿宋" w:eastAsia="仿宋" w:cs="仿宋"/>
          <w:color w:val="000000"/>
          <w:sz w:val="24"/>
          <w:szCs w:val="24"/>
          <w:highlight w:val="none"/>
        </w:rPr>
        <w:t>宁夏回族自治区银川市金凤区尹家渠北街120号</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79FB4D26">
      <w:pPr>
        <w:adjustRightInd w:val="0"/>
        <w:snapToGrid w:val="0"/>
        <w:spacing w:line="360" w:lineRule="auto"/>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bookmarkStart w:id="67" w:name="_Hlk219819288"/>
      <w:r>
        <w:rPr>
          <w:rFonts w:hint="eastAsia" w:ascii="仿宋" w:hAnsi="仿宋" w:eastAsia="仿宋" w:cs="仿宋"/>
          <w:color w:val="000000" w:themeColor="text1"/>
          <w:sz w:val="24"/>
          <w:szCs w:val="24"/>
          <w:highlight w:val="none"/>
          <w:lang w:val="en-US" w:eastAsia="zh-CN"/>
          <w14:textFill>
            <w14:solidFill>
              <w14:schemeClr w14:val="tx1"/>
            </w14:solidFill>
          </w14:textFill>
        </w:rPr>
        <w:t>联系人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赵玥</w:t>
      </w:r>
    </w:p>
    <w:p w14:paraId="38CB9667">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lang w:val="en-US" w:eastAsia="zh-CN"/>
          <w14:textFill>
            <w14:solidFill>
              <w14:schemeClr w14:val="tx1"/>
            </w14:solidFill>
          </w14:textFill>
        </w:rPr>
        <w:t>0951-6095518-8537</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09624203">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电子邮件（异议接收邮箱）：</w:t>
      </w:r>
      <w:r>
        <w:rPr>
          <w:rFonts w:hint="eastAsia" w:ascii="仿宋" w:hAnsi="仿宋" w:eastAsia="仿宋" w:cs="仿宋"/>
          <w:color w:val="000000" w:themeColor="text1"/>
          <w:sz w:val="24"/>
          <w:szCs w:val="24"/>
          <w:highlight w:val="none"/>
          <w:lang w:val="en-US" w:eastAsia="zh-CN"/>
          <w14:textFill>
            <w14:solidFill>
              <w14:schemeClr w14:val="tx1"/>
            </w14:solidFill>
          </w14:textFill>
        </w:rPr>
        <w:t>zhaoyue08@ningx.picc.com</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556C0474">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14:paraId="7555C0F6">
      <w:pPr>
        <w:adjustRightInd w:val="0"/>
        <w:snapToGrid w:val="0"/>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bookmarkEnd w:id="67"/>
    <w:p w14:paraId="0BB69309">
      <w:pPr>
        <w:adjustRightInd w:val="0"/>
        <w:snapToGrid w:val="0"/>
        <w:spacing w:line="360" w:lineRule="auto"/>
        <w:ind w:firstLine="480" w:firstLineChars="200"/>
        <w:jc w:val="righ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采购人：中国人民财产保险股份有限公司宁夏回族自治区分公司</w:t>
      </w:r>
    </w:p>
    <w:p w14:paraId="1BBF8377">
      <w:pPr>
        <w:adjustRightInd w:val="0"/>
        <w:snapToGrid w:val="0"/>
        <w:spacing w:line="360" w:lineRule="auto"/>
        <w:ind w:firstLine="480" w:firstLineChars="200"/>
        <w:jc w:val="right"/>
        <w:rPr>
          <w:rFonts w:hint="eastAsia" w:ascii="仿宋" w:hAnsi="仿宋" w:eastAsia="仿宋" w:cs="仿宋"/>
          <w:color w:val="EE0000"/>
          <w:sz w:val="28"/>
          <w:szCs w:val="28"/>
          <w:highlight w:val="none"/>
        </w:rPr>
      </w:pPr>
      <w:r>
        <w:rPr>
          <w:rFonts w:hint="eastAsia" w:ascii="仿宋" w:hAnsi="仿宋" w:eastAsia="仿宋" w:cs="仿宋"/>
          <w:color w:val="000000" w:themeColor="text1"/>
          <w:sz w:val="24"/>
          <w:szCs w:val="24"/>
          <w:highlight w:val="none"/>
          <w14:textFill>
            <w14:solidFill>
              <w14:schemeClr w14:val="tx1"/>
            </w14:solidFill>
          </w14:textFill>
        </w:rPr>
        <w:t>日期：2026年</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日</w:t>
      </w:r>
      <w:bookmarkEnd w:id="9"/>
      <w:bookmarkEnd w:id="10"/>
      <w:bookmarkEnd w:id="11"/>
      <w:r>
        <w:rPr>
          <w:rFonts w:hint="eastAsia" w:ascii="仿宋" w:hAnsi="仿宋" w:eastAsia="仿宋" w:cs="仿宋"/>
          <w:bCs/>
          <w:color w:val="000000"/>
          <w:sz w:val="24"/>
          <w:szCs w:val="24"/>
          <w:highlight w:val="none"/>
        </w:rPr>
        <w:br w:type="page"/>
      </w:r>
    </w:p>
    <w:p w14:paraId="1D232122">
      <w:pPr>
        <w:pStyle w:val="2"/>
        <w:spacing w:before="0" w:after="0" w:line="360" w:lineRule="auto"/>
        <w:jc w:val="center"/>
        <w:rPr>
          <w:rFonts w:hint="eastAsia" w:ascii="仿宋" w:hAnsi="仿宋" w:eastAsia="仿宋" w:cs="仿宋"/>
          <w:bCs w:val="0"/>
          <w:color w:val="000000"/>
          <w:sz w:val="28"/>
          <w:szCs w:val="28"/>
          <w:highlight w:val="none"/>
        </w:rPr>
      </w:pPr>
      <w:bookmarkStart w:id="68" w:name="_Toc233292433"/>
      <w:r>
        <w:rPr>
          <w:rFonts w:hint="eastAsia" w:ascii="仿宋" w:hAnsi="仿宋" w:eastAsia="仿宋" w:cs="仿宋"/>
          <w:bCs w:val="0"/>
          <w:color w:val="000000"/>
          <w:sz w:val="28"/>
          <w:szCs w:val="28"/>
          <w:highlight w:val="none"/>
        </w:rPr>
        <w:t>第二章 供应商须知</w:t>
      </w:r>
      <w:bookmarkEnd w:id="59"/>
      <w:bookmarkEnd w:id="60"/>
      <w:bookmarkEnd w:id="61"/>
      <w:bookmarkEnd w:id="62"/>
      <w:bookmarkEnd w:id="63"/>
      <w:bookmarkEnd w:id="64"/>
      <w:bookmarkEnd w:id="65"/>
      <w:bookmarkEnd w:id="68"/>
    </w:p>
    <w:p w14:paraId="67BAD1F7">
      <w:pPr>
        <w:pStyle w:val="3"/>
        <w:ind w:firstLine="0" w:firstLineChars="0"/>
        <w:jc w:val="both"/>
        <w:rPr>
          <w:rFonts w:hint="eastAsia" w:ascii="仿宋" w:hAnsi="仿宋" w:eastAsia="仿宋" w:cs="仿宋"/>
          <w:color w:val="000000"/>
          <w:sz w:val="24"/>
          <w:szCs w:val="24"/>
          <w:highlight w:val="none"/>
        </w:rPr>
      </w:pPr>
      <w:bookmarkStart w:id="69" w:name="_Toc29571"/>
      <w:bookmarkStart w:id="70" w:name="_Toc287600117"/>
      <w:bookmarkStart w:id="71" w:name="_Toc17721"/>
      <w:bookmarkStart w:id="72" w:name="_Toc219195976"/>
      <w:bookmarkStart w:id="73" w:name="_Toc233292434"/>
      <w:bookmarkStart w:id="74" w:name="_Toc14477"/>
      <w:bookmarkStart w:id="75" w:name="_Toc517281815"/>
      <w:bookmarkStart w:id="76" w:name="_Toc27353"/>
      <w:bookmarkStart w:id="77" w:name="_Toc231201471"/>
      <w:bookmarkStart w:id="78" w:name="_Toc32464"/>
      <w:bookmarkStart w:id="79" w:name="_Toc444891335"/>
      <w:bookmarkStart w:id="80" w:name="_Toc197680976"/>
      <w:bookmarkStart w:id="81" w:name="_Toc19783312"/>
      <w:bookmarkStart w:id="82" w:name="_Toc216971026"/>
      <w:r>
        <w:rPr>
          <w:rFonts w:hint="eastAsia" w:ascii="仿宋" w:hAnsi="仿宋" w:eastAsia="仿宋" w:cs="仿宋"/>
          <w:color w:val="000000"/>
          <w:sz w:val="24"/>
          <w:szCs w:val="24"/>
          <w:highlight w:val="none"/>
        </w:rPr>
        <w:t>一、供应商须知前附表</w:t>
      </w:r>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0515EEEA">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1"/>
        <w:tblW w:w="50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887"/>
        <w:gridCol w:w="1539"/>
        <w:gridCol w:w="7036"/>
      </w:tblGrid>
      <w:tr w14:paraId="65977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96" w:hRule="atLeast"/>
          <w:tblHeader/>
          <w:jc w:val="center"/>
        </w:trPr>
        <w:tc>
          <w:tcPr>
            <w:tcW w:w="469" w:type="pct"/>
            <w:vAlign w:val="center"/>
          </w:tcPr>
          <w:p w14:paraId="357B35FD">
            <w:pPr>
              <w:adjustRightInd w:val="0"/>
              <w:snapToGrid w:val="0"/>
              <w:spacing w:line="360" w:lineRule="auto"/>
              <w:jc w:val="center"/>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条款号</w:t>
            </w:r>
          </w:p>
        </w:tc>
        <w:tc>
          <w:tcPr>
            <w:tcW w:w="813" w:type="pct"/>
            <w:vAlign w:val="center"/>
          </w:tcPr>
          <w:p w14:paraId="52D3007A">
            <w:pPr>
              <w:adjustRightInd w:val="0"/>
              <w:snapToGrid w:val="0"/>
              <w:spacing w:line="360" w:lineRule="auto"/>
              <w:jc w:val="center"/>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条款名称</w:t>
            </w:r>
          </w:p>
        </w:tc>
        <w:tc>
          <w:tcPr>
            <w:tcW w:w="3718" w:type="pct"/>
            <w:vAlign w:val="center"/>
          </w:tcPr>
          <w:p w14:paraId="03C632CC">
            <w:pPr>
              <w:tabs>
                <w:tab w:val="left" w:pos="1180"/>
              </w:tabs>
              <w:adjustRightInd w:val="0"/>
              <w:snapToGrid w:val="0"/>
              <w:spacing w:line="360" w:lineRule="auto"/>
              <w:jc w:val="center"/>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编列内容</w:t>
            </w:r>
          </w:p>
        </w:tc>
      </w:tr>
      <w:tr w14:paraId="46717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69" w:type="pct"/>
            <w:vAlign w:val="center"/>
          </w:tcPr>
          <w:p w14:paraId="7E4477CA">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w:t>
            </w:r>
          </w:p>
        </w:tc>
        <w:tc>
          <w:tcPr>
            <w:tcW w:w="813" w:type="pct"/>
            <w:vAlign w:val="center"/>
          </w:tcPr>
          <w:p w14:paraId="23B47B6B">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采购范围</w:t>
            </w:r>
          </w:p>
        </w:tc>
        <w:tc>
          <w:tcPr>
            <w:tcW w:w="3718" w:type="pct"/>
            <w:vAlign w:val="center"/>
          </w:tcPr>
          <w:p w14:paraId="5DEF753C">
            <w:pPr>
              <w:pStyle w:val="157"/>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详见</w:t>
            </w:r>
            <w:r>
              <w:rPr>
                <w:rFonts w:hint="eastAsia" w:ascii="仿宋" w:hAnsi="仿宋" w:eastAsia="仿宋" w:cs="仿宋"/>
                <w:color w:val="000000"/>
                <w:sz w:val="22"/>
                <w:szCs w:val="22"/>
                <w:highlight w:val="none"/>
                <w:u w:val="single"/>
              </w:rPr>
              <w:t>第一章 比选公告“一、项目概况与采购范围”</w:t>
            </w:r>
            <w:r>
              <w:rPr>
                <w:rFonts w:hint="eastAsia" w:ascii="仿宋" w:hAnsi="仿宋" w:eastAsia="仿宋" w:cs="仿宋"/>
                <w:color w:val="000000"/>
                <w:sz w:val="22"/>
                <w:szCs w:val="22"/>
                <w:highlight w:val="none"/>
              </w:rPr>
              <w:t>。</w:t>
            </w:r>
          </w:p>
        </w:tc>
      </w:tr>
      <w:tr w14:paraId="075CE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09C62453">
            <w:pPr>
              <w:adjustRightInd w:val="0"/>
              <w:snapToGrid w:val="0"/>
              <w:spacing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4.2</w:t>
            </w:r>
          </w:p>
        </w:tc>
        <w:tc>
          <w:tcPr>
            <w:tcW w:w="813" w:type="pct"/>
            <w:vAlign w:val="center"/>
          </w:tcPr>
          <w:p w14:paraId="116C371B">
            <w:pPr>
              <w:adjustRightInd w:val="0"/>
              <w:snapToGrid w:val="0"/>
              <w:spacing w:line="360" w:lineRule="auto"/>
              <w:ind w:left="36" w:leftChars="17"/>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资格审查方式及供应商应具备的资格条件</w:t>
            </w:r>
          </w:p>
        </w:tc>
        <w:tc>
          <w:tcPr>
            <w:tcW w:w="3718" w:type="pct"/>
            <w:vAlign w:val="center"/>
          </w:tcPr>
          <w:p w14:paraId="7F8ACE10">
            <w:pPr>
              <w:pStyle w:val="140"/>
              <w:topLinePunct/>
              <w:spacing w:before="62" w:beforeLines="20" w:after="62" w:afterLines="2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□资格预审</w:t>
            </w:r>
          </w:p>
          <w:p w14:paraId="0B10320E">
            <w:pPr>
              <w:pStyle w:val="157"/>
              <w:spacing w:before="62" w:beforeLines="20" w:after="62" w:afterLines="2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■资格后审，详见</w:t>
            </w:r>
            <w:r>
              <w:rPr>
                <w:rFonts w:hint="eastAsia" w:ascii="仿宋" w:hAnsi="仿宋" w:eastAsia="仿宋" w:cs="仿宋"/>
                <w:color w:val="000000" w:themeColor="text1"/>
                <w:sz w:val="22"/>
                <w:szCs w:val="22"/>
                <w:highlight w:val="none"/>
                <w:u w:val="single"/>
                <w14:textFill>
                  <w14:solidFill>
                    <w14:schemeClr w14:val="tx1"/>
                  </w14:solidFill>
                </w14:textFill>
              </w:rPr>
              <w:t>第一章 比选公告“二、供应商资格要求”</w:t>
            </w:r>
            <w:r>
              <w:rPr>
                <w:rFonts w:hint="eastAsia" w:ascii="仿宋" w:hAnsi="仿宋" w:eastAsia="仿宋" w:cs="仿宋"/>
                <w:color w:val="000000" w:themeColor="text1"/>
                <w:sz w:val="22"/>
                <w:szCs w:val="22"/>
                <w:highlight w:val="none"/>
                <w14:textFill>
                  <w14:solidFill>
                    <w14:schemeClr w14:val="tx1"/>
                  </w14:solidFill>
                </w14:textFill>
              </w:rPr>
              <w:t>。</w:t>
            </w:r>
          </w:p>
        </w:tc>
      </w:tr>
      <w:tr w14:paraId="464F6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124F5C4D">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6.2</w:t>
            </w:r>
          </w:p>
        </w:tc>
        <w:tc>
          <w:tcPr>
            <w:tcW w:w="813" w:type="pct"/>
            <w:vAlign w:val="center"/>
          </w:tcPr>
          <w:p w14:paraId="0994B07F">
            <w:pPr>
              <w:spacing w:before="62" w:beforeLines="20" w:after="62" w:afterLines="20"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★比选文件实质性要求的标识</w:t>
            </w:r>
          </w:p>
        </w:tc>
        <w:tc>
          <w:tcPr>
            <w:tcW w:w="3718" w:type="pct"/>
            <w:vAlign w:val="center"/>
          </w:tcPr>
          <w:p w14:paraId="2843A64B">
            <w:pPr>
              <w:pStyle w:val="140"/>
              <w:topLinePunct/>
              <w:spacing w:before="62" w:beforeLines="20" w:after="62" w:afterLines="20" w:line="360" w:lineRule="auto"/>
              <w:rPr>
                <w:rFonts w:hint="eastAsia" w:ascii="仿宋" w:hAnsi="仿宋" w:eastAsia="仿宋" w:cs="仿宋"/>
                <w:b/>
                <w:color w:val="000000"/>
                <w:sz w:val="22"/>
                <w:szCs w:val="22"/>
                <w:highlight w:val="none"/>
              </w:rPr>
            </w:pPr>
            <w:r>
              <w:rPr>
                <w:rFonts w:hint="eastAsia" w:ascii="仿宋" w:hAnsi="仿宋" w:eastAsia="仿宋" w:cs="仿宋"/>
                <w:color w:val="000000"/>
                <w:sz w:val="22"/>
                <w:szCs w:val="22"/>
                <w:highlight w:val="none"/>
                <w:u w:val="single"/>
              </w:rPr>
              <w:t>比选文件中标识“</w:t>
            </w:r>
            <w:bookmarkStart w:id="83" w:name="OLE_LINK18"/>
            <w:r>
              <w:rPr>
                <w:rFonts w:hint="eastAsia" w:ascii="仿宋" w:hAnsi="仿宋" w:eastAsia="仿宋" w:cs="仿宋"/>
                <w:color w:val="000000"/>
                <w:sz w:val="22"/>
                <w:szCs w:val="22"/>
                <w:highlight w:val="none"/>
                <w:u w:val="single"/>
              </w:rPr>
              <w:t>★</w:t>
            </w:r>
            <w:bookmarkEnd w:id="83"/>
            <w:r>
              <w:rPr>
                <w:rFonts w:hint="eastAsia" w:ascii="仿宋" w:hAnsi="仿宋" w:eastAsia="仿宋" w:cs="仿宋"/>
                <w:color w:val="000000"/>
                <w:sz w:val="22"/>
                <w:szCs w:val="22"/>
                <w:highlight w:val="none"/>
                <w:u w:val="single"/>
              </w:rPr>
              <w:t>”条款、注明“响应将被否决”、“对其响应做否决处理”等的条款</w:t>
            </w:r>
            <w:r>
              <w:rPr>
                <w:rFonts w:hint="eastAsia" w:ascii="仿宋" w:hAnsi="仿宋" w:eastAsia="仿宋" w:cs="仿宋"/>
                <w:color w:val="000000"/>
                <w:sz w:val="22"/>
                <w:szCs w:val="22"/>
                <w:highlight w:val="none"/>
              </w:rPr>
              <w:t>，均为实质性条款，</w:t>
            </w:r>
            <w:r>
              <w:rPr>
                <w:rFonts w:hint="eastAsia" w:ascii="仿宋" w:hAnsi="仿宋" w:eastAsia="仿宋" w:cs="仿宋"/>
                <w:b/>
                <w:color w:val="000000"/>
                <w:sz w:val="22"/>
                <w:szCs w:val="22"/>
                <w:highlight w:val="none"/>
              </w:rPr>
              <w:t>不满足任意一项实质性条款的响应将被否决。</w:t>
            </w:r>
          </w:p>
        </w:tc>
      </w:tr>
      <w:tr w14:paraId="25F4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6E44D5E7">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7.1</w:t>
            </w:r>
          </w:p>
        </w:tc>
        <w:tc>
          <w:tcPr>
            <w:tcW w:w="813" w:type="pct"/>
            <w:vAlign w:val="center"/>
          </w:tcPr>
          <w:p w14:paraId="61CEFF45">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供应商提出澄清的截止时间和方式</w:t>
            </w:r>
          </w:p>
        </w:tc>
        <w:tc>
          <w:tcPr>
            <w:tcW w:w="3718" w:type="pct"/>
            <w:vAlign w:val="center"/>
          </w:tcPr>
          <w:p w14:paraId="5D23D9C0">
            <w:pPr>
              <w:pStyle w:val="140"/>
              <w:topLinePunct/>
              <w:spacing w:before="62" w:beforeLines="20" w:after="62" w:afterLines="2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截止时间：</w:t>
            </w:r>
            <w:r>
              <w:rPr>
                <w:rFonts w:hint="eastAsia" w:ascii="仿宋" w:hAnsi="仿宋" w:eastAsia="仿宋" w:cs="仿宋"/>
                <w:b/>
                <w:color w:val="000000" w:themeColor="text1"/>
                <w:sz w:val="22"/>
                <w:szCs w:val="22"/>
                <w:highlight w:val="none"/>
                <w:u w:val="single"/>
                <w14:textFill>
                  <w14:solidFill>
                    <w14:schemeClr w14:val="tx1"/>
                  </w14:solidFill>
                </w14:textFill>
              </w:rPr>
              <w:t>2026年</w:t>
            </w:r>
            <w:r>
              <w:rPr>
                <w:rFonts w:hint="eastAsia" w:ascii="仿宋" w:hAnsi="仿宋" w:eastAsia="仿宋" w:cs="仿宋"/>
                <w:b/>
                <w:color w:val="000000" w:themeColor="text1"/>
                <w:sz w:val="22"/>
                <w:szCs w:val="22"/>
                <w:highlight w:val="none"/>
                <w:u w:val="single"/>
                <w:lang w:val="en-US" w:eastAsia="zh-CN"/>
                <w14:textFill>
                  <w14:solidFill>
                    <w14:schemeClr w14:val="tx1"/>
                  </w14:solidFill>
                </w14:textFill>
              </w:rPr>
              <w:t>9</w:t>
            </w:r>
            <w:r>
              <w:rPr>
                <w:rFonts w:hint="eastAsia" w:ascii="仿宋" w:hAnsi="仿宋" w:eastAsia="仿宋" w:cs="仿宋"/>
                <w:b/>
                <w:color w:val="000000" w:themeColor="text1"/>
                <w:sz w:val="22"/>
                <w:szCs w:val="22"/>
                <w:highlight w:val="none"/>
                <w:u w:val="single"/>
                <w14:textFill>
                  <w14:solidFill>
                    <w14:schemeClr w14:val="tx1"/>
                  </w14:solidFill>
                </w14:textFill>
              </w:rPr>
              <w:t>月</w:t>
            </w:r>
            <w:r>
              <w:rPr>
                <w:rFonts w:hint="eastAsia" w:ascii="仿宋" w:hAnsi="仿宋" w:eastAsia="仿宋" w:cs="仿宋"/>
                <w:b/>
                <w:color w:val="000000" w:themeColor="text1"/>
                <w:sz w:val="22"/>
                <w:szCs w:val="22"/>
                <w:highlight w:val="none"/>
                <w:u w:val="single"/>
                <w:lang w:val="en-US" w:eastAsia="zh-CN"/>
                <w14:textFill>
                  <w14:solidFill>
                    <w14:schemeClr w14:val="tx1"/>
                  </w14:solidFill>
                </w14:textFill>
              </w:rPr>
              <w:t>24</w:t>
            </w:r>
            <w:r>
              <w:rPr>
                <w:rFonts w:hint="eastAsia" w:ascii="仿宋" w:hAnsi="仿宋" w:eastAsia="仿宋" w:cs="仿宋"/>
                <w:b/>
                <w:color w:val="000000" w:themeColor="text1"/>
                <w:sz w:val="22"/>
                <w:szCs w:val="22"/>
                <w:highlight w:val="none"/>
                <w:u w:val="single"/>
                <w14:textFill>
                  <w14:solidFill>
                    <w14:schemeClr w14:val="tx1"/>
                  </w14:solidFill>
                </w14:textFill>
              </w:rPr>
              <w:t>日17时 00分</w:t>
            </w:r>
            <w:r>
              <w:rPr>
                <w:rFonts w:hint="eastAsia" w:ascii="仿宋" w:hAnsi="仿宋" w:eastAsia="仿宋" w:cs="仿宋"/>
                <w:b/>
                <w:color w:val="000000" w:themeColor="text1"/>
                <w:sz w:val="22"/>
                <w:szCs w:val="22"/>
                <w:highlight w:val="none"/>
                <w14:textFill>
                  <w14:solidFill>
                    <w14:schemeClr w14:val="tx1"/>
                  </w14:solidFill>
                </w14:textFill>
              </w:rPr>
              <w:t>（北京时间）。</w:t>
            </w:r>
          </w:p>
          <w:p w14:paraId="436572DE">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提出澄清的方式：需澄清的疑问以书面形式（盖章扫描件及WORD文档）发送至</w:t>
            </w:r>
            <w:bookmarkStart w:id="84" w:name="OLE_LINK6"/>
            <w:r>
              <w:rPr>
                <w:rFonts w:hint="eastAsia" w:ascii="仿宋" w:hAnsi="仿宋" w:eastAsia="仿宋" w:cs="仿宋"/>
                <w:color w:val="000000" w:themeColor="text1"/>
                <w:sz w:val="22"/>
                <w:szCs w:val="22"/>
                <w:highlight w:val="none"/>
                <w:lang w:val="en-US" w:eastAsia="zh-CN"/>
                <w14:textFill>
                  <w14:solidFill>
                    <w14:schemeClr w14:val="tx1"/>
                  </w14:solidFill>
                </w14:textFill>
              </w:rPr>
              <w:t>zhaoyue08@ningx.picc.com</w:t>
            </w:r>
            <w:bookmarkEnd w:id="84"/>
            <w:r>
              <w:rPr>
                <w:rFonts w:hint="eastAsia" w:ascii="仿宋" w:hAnsi="仿宋" w:eastAsia="仿宋" w:cs="仿宋"/>
                <w:color w:val="000000" w:themeColor="text1"/>
                <w:sz w:val="22"/>
                <w:szCs w:val="22"/>
                <w:highlight w:val="none"/>
                <w:lang w:val="en-US" w:eastAsia="zh-CN"/>
                <w14:textFill>
                  <w14:solidFill>
                    <w14:schemeClr w14:val="tx1"/>
                  </w14:solidFill>
                </w14:textFill>
              </w:rPr>
              <w:t>邮箱</w:t>
            </w:r>
            <w:r>
              <w:rPr>
                <w:rFonts w:hint="eastAsia" w:ascii="仿宋" w:hAnsi="仿宋" w:eastAsia="仿宋" w:cs="仿宋"/>
                <w:color w:val="000000" w:themeColor="text1"/>
                <w:sz w:val="22"/>
                <w:szCs w:val="22"/>
                <w:highlight w:val="none"/>
                <w14:textFill>
                  <w14:solidFill>
                    <w14:schemeClr w14:val="tx1"/>
                  </w14:solidFill>
                </w14:textFill>
              </w:rPr>
              <w:t>。</w:t>
            </w:r>
          </w:p>
        </w:tc>
      </w:tr>
      <w:tr w14:paraId="070B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2EE60EF3">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7.3</w:t>
            </w:r>
          </w:p>
        </w:tc>
        <w:tc>
          <w:tcPr>
            <w:tcW w:w="813" w:type="pct"/>
            <w:vAlign w:val="center"/>
          </w:tcPr>
          <w:p w14:paraId="4AD845E3">
            <w:pPr>
              <w:adjustRightInd w:val="0"/>
              <w:snapToGrid w:val="0"/>
              <w:spacing w:line="360" w:lineRule="auto"/>
              <w:ind w:left="36" w:leftChars="17"/>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供应商确认收到澄清或修改的截止时间和方式</w:t>
            </w:r>
          </w:p>
        </w:tc>
        <w:tc>
          <w:tcPr>
            <w:tcW w:w="3718" w:type="pct"/>
            <w:vAlign w:val="center"/>
          </w:tcPr>
          <w:p w14:paraId="65FDE57C">
            <w:pPr>
              <w:spacing w:line="360" w:lineRule="auto"/>
              <w:rPr>
                <w:rFonts w:hint="eastAsia" w:ascii="仿宋" w:hAnsi="仿宋" w:eastAsia="仿宋" w:cs="仿宋"/>
                <w:bCs/>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确认收到澄清或修改的时间：</w:t>
            </w:r>
            <w:r>
              <w:rPr>
                <w:rFonts w:hint="eastAsia" w:ascii="仿宋" w:hAnsi="仿宋" w:eastAsia="仿宋" w:cs="仿宋"/>
                <w:bCs/>
                <w:color w:val="000000" w:themeColor="text1"/>
                <w:sz w:val="22"/>
                <w:szCs w:val="22"/>
                <w:highlight w:val="none"/>
                <w:u w:val="single"/>
                <w14:textFill>
                  <w14:solidFill>
                    <w14:schemeClr w14:val="tx1"/>
                  </w14:solidFill>
                </w14:textFill>
              </w:rPr>
              <w:t>收到比选文件澄清或修改通知后1个工作日内。</w:t>
            </w:r>
          </w:p>
          <w:p w14:paraId="5859C5F3">
            <w:pPr>
              <w:spacing w:line="360" w:lineRule="auto"/>
              <w:rPr>
                <w:rFonts w:hint="eastAsia" w:ascii="仿宋" w:hAnsi="仿宋" w:eastAsia="仿宋" w:cs="仿宋"/>
                <w:color w:val="000000" w:themeColor="text1"/>
                <w:sz w:val="22"/>
                <w:szCs w:val="22"/>
                <w:highlight w:val="none"/>
                <w14:textFill>
                  <w14:solidFill>
                    <w14:schemeClr w14:val="tx1"/>
                  </w14:solidFill>
                </w14:textFill>
              </w:rPr>
            </w:pPr>
            <w:bookmarkStart w:id="85" w:name="OLE_LINK8"/>
            <w:r>
              <w:rPr>
                <w:rFonts w:hint="eastAsia" w:ascii="仿宋" w:hAnsi="仿宋" w:eastAsia="仿宋" w:cs="仿宋"/>
                <w:color w:val="000000" w:themeColor="text1"/>
                <w:sz w:val="22"/>
                <w:szCs w:val="22"/>
                <w:highlight w:val="none"/>
                <w14:textFill>
                  <w14:solidFill>
                    <w14:schemeClr w14:val="tx1"/>
                  </w14:solidFill>
                </w14:textFill>
              </w:rPr>
              <w:t>书面确认收到澄清或者修改的方式：填写相关回执页后，将盖章扫描件发送至</w:t>
            </w:r>
            <w:r>
              <w:rPr>
                <w:rFonts w:hint="eastAsia" w:ascii="仿宋" w:hAnsi="仿宋" w:eastAsia="仿宋" w:cs="仿宋"/>
                <w:color w:val="000000" w:themeColor="text1"/>
                <w:sz w:val="22"/>
                <w:szCs w:val="22"/>
                <w:highlight w:val="none"/>
                <w:lang w:val="en-US" w:eastAsia="zh-CN"/>
                <w14:textFill>
                  <w14:solidFill>
                    <w14:schemeClr w14:val="tx1"/>
                  </w14:solidFill>
                </w14:textFill>
              </w:rPr>
              <w:t>zhaoyue08@ningx.picc.com邮箱</w:t>
            </w:r>
            <w:r>
              <w:rPr>
                <w:rFonts w:hint="eastAsia" w:ascii="仿宋" w:hAnsi="仿宋" w:eastAsia="仿宋" w:cs="仿宋"/>
                <w:color w:val="000000" w:themeColor="text1"/>
                <w:sz w:val="22"/>
                <w:szCs w:val="22"/>
                <w:highlight w:val="none"/>
                <w14:textFill>
                  <w14:solidFill>
                    <w14:schemeClr w14:val="tx1"/>
                  </w14:solidFill>
                </w14:textFill>
              </w:rPr>
              <w:t>确认。</w:t>
            </w:r>
            <w:bookmarkEnd w:id="85"/>
          </w:p>
        </w:tc>
      </w:tr>
      <w:tr w14:paraId="3BF01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6C54CD8F">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9</w:t>
            </w:r>
          </w:p>
        </w:tc>
        <w:tc>
          <w:tcPr>
            <w:tcW w:w="813" w:type="pct"/>
            <w:vAlign w:val="center"/>
          </w:tcPr>
          <w:p w14:paraId="0C5EDA0B">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响应文件的组成</w:t>
            </w:r>
          </w:p>
        </w:tc>
        <w:tc>
          <w:tcPr>
            <w:tcW w:w="3718" w:type="pct"/>
            <w:vAlign w:val="center"/>
          </w:tcPr>
          <w:p w14:paraId="2DDF8B79">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响应文件按照以下架构分成三册并顺序编制：</w:t>
            </w:r>
          </w:p>
          <w:p w14:paraId="73F672A0">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一、商务文件</w:t>
            </w:r>
          </w:p>
          <w:p w14:paraId="509863E1">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（一）响应函</w:t>
            </w:r>
          </w:p>
          <w:p w14:paraId="013C7D0B">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（二）法定代表人（负责人）身份证明</w:t>
            </w:r>
          </w:p>
          <w:p w14:paraId="0895BB5B">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（三）法定代表人（负责人）授权委托书</w:t>
            </w:r>
          </w:p>
          <w:p w14:paraId="734159EA">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（四）资格证明文件</w:t>
            </w:r>
          </w:p>
          <w:p w14:paraId="2D2352C5">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（五）供应商须知应答偏离表</w:t>
            </w:r>
          </w:p>
          <w:p w14:paraId="3F2B08E3">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（六）合同条款应答偏离表</w:t>
            </w:r>
          </w:p>
          <w:p w14:paraId="7100C494">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（七）供应商行为准则承诺书</w:t>
            </w:r>
          </w:p>
          <w:p w14:paraId="458252FB">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（八）供应商廉洁诚信承诺书</w:t>
            </w:r>
          </w:p>
          <w:p w14:paraId="33B652B5">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（九）其他材料（如有）</w:t>
            </w:r>
          </w:p>
          <w:p w14:paraId="748FB654">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二、技术文件</w:t>
            </w:r>
          </w:p>
          <w:p w14:paraId="4852A6C8">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（一）采购需求应答偏离表</w:t>
            </w:r>
          </w:p>
          <w:p w14:paraId="25D520A6">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（二）技术方案</w:t>
            </w:r>
          </w:p>
          <w:p w14:paraId="7C52398C">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（三）其他材料（如有）</w:t>
            </w:r>
          </w:p>
          <w:p w14:paraId="7976A75E">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三、报价文件</w:t>
            </w:r>
          </w:p>
          <w:p w14:paraId="57FFB68F">
            <w:pPr>
              <w:pStyle w:val="150"/>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（一）报价一览表</w:t>
            </w:r>
          </w:p>
          <w:p w14:paraId="080B7E12">
            <w:pPr>
              <w:pStyle w:val="157"/>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（二）分项报价表（如有）</w:t>
            </w:r>
          </w:p>
        </w:tc>
      </w:tr>
      <w:tr w14:paraId="4962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05C19F0E">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15</w:t>
            </w:r>
          </w:p>
        </w:tc>
        <w:tc>
          <w:tcPr>
            <w:tcW w:w="813" w:type="pct"/>
            <w:vAlign w:val="center"/>
          </w:tcPr>
          <w:p w14:paraId="6FFF8A3D">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响应文件的递交</w:t>
            </w:r>
          </w:p>
        </w:tc>
        <w:tc>
          <w:tcPr>
            <w:tcW w:w="3718" w:type="pct"/>
            <w:vAlign w:val="center"/>
          </w:tcPr>
          <w:p w14:paraId="3967422B">
            <w:pPr>
              <w:autoSpaceDE w:val="0"/>
              <w:autoSpaceDN w:val="0"/>
              <w:spacing w:line="360" w:lineRule="auto"/>
              <w:rPr>
                <w:rFonts w:hint="eastAsia" w:ascii="仿宋" w:hAnsi="仿宋" w:eastAsia="仿宋" w:cs="仿宋"/>
                <w:bCs/>
                <w:color w:val="000000"/>
                <w:sz w:val="22"/>
                <w:szCs w:val="22"/>
                <w:highlight w:val="none"/>
              </w:rPr>
            </w:pPr>
            <w:r>
              <w:rPr>
                <w:rFonts w:hint="eastAsia" w:ascii="仿宋" w:hAnsi="仿宋" w:eastAsia="仿宋" w:cs="仿宋"/>
                <w:color w:val="000000"/>
                <w:sz w:val="22"/>
                <w:szCs w:val="22"/>
                <w:highlight w:val="none"/>
              </w:rPr>
              <w:t>详见</w:t>
            </w:r>
            <w:r>
              <w:rPr>
                <w:rFonts w:hint="eastAsia" w:ascii="仿宋" w:hAnsi="仿宋" w:eastAsia="仿宋" w:cs="仿宋"/>
                <w:color w:val="000000"/>
                <w:sz w:val="22"/>
                <w:szCs w:val="22"/>
                <w:highlight w:val="none"/>
                <w:u w:val="single"/>
              </w:rPr>
              <w:t>第一章 比选公告</w:t>
            </w:r>
          </w:p>
        </w:tc>
      </w:tr>
      <w:tr w14:paraId="5B74A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57DC2AE3">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10.6</w:t>
            </w:r>
          </w:p>
        </w:tc>
        <w:tc>
          <w:tcPr>
            <w:tcW w:w="813" w:type="pct"/>
            <w:vAlign w:val="center"/>
          </w:tcPr>
          <w:p w14:paraId="346621F4">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★响应文件的盖章或签字要求</w:t>
            </w:r>
          </w:p>
        </w:tc>
        <w:tc>
          <w:tcPr>
            <w:tcW w:w="3718" w:type="pct"/>
            <w:vAlign w:val="center"/>
          </w:tcPr>
          <w:p w14:paraId="4D315F2A">
            <w:pPr>
              <w:pStyle w:val="140"/>
              <w:topLinePunct/>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（1）《法定代表人（负责人）身份证明》的落款处应加盖公章。</w:t>
            </w:r>
          </w:p>
          <w:p w14:paraId="7A1C99B5">
            <w:pPr>
              <w:pStyle w:val="140"/>
              <w:topLinePunct/>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（2）《法定代表人（负责人）授权委托书》的落款处应加盖公章</w:t>
            </w:r>
            <w:r>
              <w:rPr>
                <w:rFonts w:hint="eastAsia" w:ascii="仿宋" w:hAnsi="仿宋" w:eastAsia="仿宋" w:cs="仿宋"/>
                <w:b/>
                <w:color w:val="000000"/>
                <w:sz w:val="22"/>
                <w:szCs w:val="22"/>
                <w:highlight w:val="none"/>
              </w:rPr>
              <w:t>并由</w:t>
            </w:r>
            <w:r>
              <w:rPr>
                <w:rFonts w:hint="eastAsia" w:ascii="仿宋" w:hAnsi="仿宋" w:eastAsia="仿宋" w:cs="仿宋"/>
                <w:color w:val="000000"/>
                <w:sz w:val="22"/>
                <w:szCs w:val="22"/>
                <w:highlight w:val="none"/>
              </w:rPr>
              <w:t>法定代表人（负责人）</w:t>
            </w:r>
            <w:r>
              <w:rPr>
                <w:rFonts w:hint="eastAsia" w:ascii="仿宋" w:hAnsi="仿宋" w:eastAsia="仿宋" w:cs="仿宋"/>
                <w:b/>
                <w:color w:val="000000"/>
                <w:sz w:val="22"/>
                <w:szCs w:val="22"/>
                <w:highlight w:val="none"/>
              </w:rPr>
              <w:t>和</w:t>
            </w:r>
            <w:r>
              <w:rPr>
                <w:rFonts w:hint="eastAsia" w:ascii="仿宋" w:hAnsi="仿宋" w:eastAsia="仿宋" w:cs="仿宋"/>
                <w:color w:val="000000"/>
                <w:sz w:val="22"/>
                <w:szCs w:val="22"/>
                <w:highlight w:val="none"/>
              </w:rPr>
              <w:t>其委托代理人</w:t>
            </w:r>
            <w:r>
              <w:rPr>
                <w:rFonts w:hint="eastAsia" w:ascii="仿宋" w:hAnsi="仿宋" w:eastAsia="仿宋" w:cs="仿宋"/>
                <w:b/>
                <w:color w:val="000000"/>
                <w:sz w:val="22"/>
                <w:szCs w:val="22"/>
                <w:highlight w:val="none"/>
              </w:rPr>
              <w:t>双方</w:t>
            </w:r>
            <w:r>
              <w:rPr>
                <w:rFonts w:hint="eastAsia" w:ascii="仿宋" w:hAnsi="仿宋" w:eastAsia="仿宋" w:cs="仿宋"/>
                <w:color w:val="000000"/>
                <w:sz w:val="22"/>
                <w:szCs w:val="22"/>
                <w:highlight w:val="none"/>
              </w:rPr>
              <w:t>签字。</w:t>
            </w:r>
          </w:p>
          <w:p w14:paraId="3641B196">
            <w:pPr>
              <w:pStyle w:val="140"/>
              <w:topLinePunct/>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（3）响应文件格式中其他有落款的文件，</w:t>
            </w:r>
            <w:r>
              <w:rPr>
                <w:rFonts w:hint="eastAsia" w:ascii="仿宋" w:hAnsi="仿宋" w:eastAsia="仿宋" w:cs="仿宋"/>
                <w:b/>
                <w:color w:val="000000"/>
                <w:sz w:val="22"/>
                <w:szCs w:val="22"/>
                <w:highlight w:val="none"/>
              </w:rPr>
              <w:t>均需</w:t>
            </w:r>
            <w:r>
              <w:rPr>
                <w:rFonts w:hint="eastAsia" w:ascii="仿宋" w:hAnsi="仿宋" w:eastAsia="仿宋" w:cs="仿宋"/>
                <w:color w:val="000000"/>
                <w:sz w:val="22"/>
                <w:szCs w:val="22"/>
                <w:highlight w:val="none"/>
              </w:rPr>
              <w:t>加盖公章。</w:t>
            </w:r>
          </w:p>
          <w:p w14:paraId="114692A6">
            <w:pPr>
              <w:pStyle w:val="140"/>
              <w:topLinePunct/>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（4）响应文件的所有签字处均指手写签字</w:t>
            </w:r>
            <w:r>
              <w:rPr>
                <w:rFonts w:hint="eastAsia" w:ascii="仿宋" w:hAnsi="仿宋" w:eastAsia="仿宋" w:cs="仿宋"/>
                <w:b/>
                <w:color w:val="000000"/>
                <w:sz w:val="22"/>
                <w:szCs w:val="22"/>
                <w:highlight w:val="none"/>
              </w:rPr>
              <w:t>或</w:t>
            </w:r>
            <w:r>
              <w:rPr>
                <w:rFonts w:hint="eastAsia" w:ascii="仿宋" w:hAnsi="仿宋" w:eastAsia="仿宋" w:cs="仿宋"/>
                <w:color w:val="000000"/>
                <w:sz w:val="22"/>
                <w:szCs w:val="22"/>
                <w:highlight w:val="none"/>
              </w:rPr>
              <w:t>签名章/印章，</w:t>
            </w:r>
            <w:r>
              <w:rPr>
                <w:rFonts w:hint="eastAsia" w:ascii="仿宋" w:hAnsi="仿宋" w:eastAsia="仿宋" w:cs="仿宋"/>
                <w:b/>
                <w:color w:val="000000"/>
                <w:sz w:val="22"/>
                <w:szCs w:val="22"/>
                <w:highlight w:val="none"/>
              </w:rPr>
              <w:t>不得</w:t>
            </w:r>
            <w:r>
              <w:rPr>
                <w:rFonts w:hint="eastAsia" w:ascii="仿宋" w:hAnsi="仿宋" w:eastAsia="仿宋" w:cs="仿宋"/>
                <w:color w:val="000000"/>
                <w:sz w:val="22"/>
                <w:szCs w:val="22"/>
                <w:highlight w:val="none"/>
              </w:rPr>
              <w:t>以打印体代替。</w:t>
            </w:r>
          </w:p>
        </w:tc>
      </w:tr>
      <w:tr w14:paraId="1013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24E6E70B">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11</w:t>
            </w:r>
          </w:p>
        </w:tc>
        <w:tc>
          <w:tcPr>
            <w:tcW w:w="813" w:type="pct"/>
            <w:vAlign w:val="center"/>
          </w:tcPr>
          <w:p w14:paraId="493A6285">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比选响应报价</w:t>
            </w:r>
          </w:p>
        </w:tc>
        <w:tc>
          <w:tcPr>
            <w:tcW w:w="3718" w:type="pct"/>
            <w:vAlign w:val="center"/>
          </w:tcPr>
          <w:p w14:paraId="5FE253C4">
            <w:pPr>
              <w:pStyle w:val="157"/>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（1）供应商应结合自身实力与经验、市场价格竞争及合同实施风险等因素进行综合考虑进行报价。</w:t>
            </w:r>
          </w:p>
          <w:p w14:paraId="08B4830A">
            <w:pPr>
              <w:pStyle w:val="157"/>
              <w:spacing w:before="62" w:beforeLines="20" w:after="62" w:afterLines="20" w:line="360" w:lineRule="auto"/>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（2）</w:t>
            </w:r>
            <w:r>
              <w:rPr>
                <w:rFonts w:hint="eastAsia" w:ascii="仿宋" w:hAnsi="仿宋" w:eastAsia="仿宋" w:cs="仿宋"/>
                <w:b/>
                <w:bCs/>
                <w:color w:val="000000"/>
                <w:sz w:val="22"/>
                <w:szCs w:val="22"/>
                <w:highlight w:val="none"/>
                <w:lang w:val="en-US" w:eastAsia="zh-CN"/>
              </w:rPr>
              <w:t>本项目</w:t>
            </w:r>
            <w:r>
              <w:rPr>
                <w:rFonts w:hint="eastAsia" w:ascii="仿宋" w:hAnsi="仿宋" w:eastAsia="仿宋" w:cs="仿宋"/>
                <w:b/>
                <w:bCs/>
                <w:color w:val="000000"/>
                <w:sz w:val="22"/>
                <w:szCs w:val="22"/>
                <w:highlight w:val="none"/>
              </w:rPr>
              <w:t>评审委员会将视比选情况决定是否进行多轮次报价，供应商</w:t>
            </w:r>
            <w:r>
              <w:rPr>
                <w:rFonts w:hint="eastAsia" w:ascii="仿宋" w:hAnsi="仿宋" w:eastAsia="仿宋" w:cs="仿宋"/>
                <w:b/>
                <w:bCs/>
                <w:color w:val="000000"/>
                <w:sz w:val="22"/>
                <w:szCs w:val="22"/>
                <w:highlight w:val="none"/>
                <w:u w:val="single"/>
              </w:rPr>
              <w:t>最后一轮比选提交的报价</w:t>
            </w:r>
            <w:r>
              <w:rPr>
                <w:rFonts w:hint="eastAsia" w:ascii="仿宋" w:hAnsi="仿宋" w:eastAsia="仿宋" w:cs="仿宋"/>
                <w:b/>
                <w:bCs/>
                <w:color w:val="000000"/>
                <w:sz w:val="22"/>
                <w:szCs w:val="22"/>
                <w:highlight w:val="none"/>
              </w:rPr>
              <w:t>将作为该供应商的最终报价进行评审。</w:t>
            </w:r>
          </w:p>
        </w:tc>
      </w:tr>
      <w:tr w14:paraId="07E7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60043F73">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12.1</w:t>
            </w:r>
          </w:p>
        </w:tc>
        <w:tc>
          <w:tcPr>
            <w:tcW w:w="813" w:type="pct"/>
            <w:vAlign w:val="center"/>
          </w:tcPr>
          <w:p w14:paraId="1E030282">
            <w:pPr>
              <w:adjustRightInd w:val="0"/>
              <w:snapToGrid w:val="0"/>
              <w:spacing w:line="360" w:lineRule="auto"/>
              <w:ind w:left="36" w:leftChars="17"/>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★比选响应有效期</w:t>
            </w:r>
          </w:p>
        </w:tc>
        <w:tc>
          <w:tcPr>
            <w:tcW w:w="3718" w:type="pct"/>
            <w:vAlign w:val="center"/>
          </w:tcPr>
          <w:p w14:paraId="748405FF">
            <w:pPr>
              <w:pStyle w:val="157"/>
              <w:spacing w:before="62" w:beforeLines="20" w:after="62" w:afterLines="2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比选响应有效期：120天。</w:t>
            </w:r>
          </w:p>
        </w:tc>
      </w:tr>
      <w:tr w14:paraId="10331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440AE187">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13</w:t>
            </w:r>
          </w:p>
        </w:tc>
        <w:tc>
          <w:tcPr>
            <w:tcW w:w="813" w:type="pct"/>
            <w:vAlign w:val="center"/>
          </w:tcPr>
          <w:p w14:paraId="707AC644">
            <w:pPr>
              <w:adjustRightInd w:val="0"/>
              <w:snapToGrid w:val="0"/>
              <w:spacing w:line="360" w:lineRule="auto"/>
              <w:ind w:left="36" w:leftChars="17"/>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比选保证金的金额</w:t>
            </w:r>
          </w:p>
        </w:tc>
        <w:tc>
          <w:tcPr>
            <w:tcW w:w="3718" w:type="pct"/>
            <w:vAlign w:val="center"/>
          </w:tcPr>
          <w:p w14:paraId="311510D2">
            <w:pPr>
              <w:pStyle w:val="157"/>
              <w:spacing w:before="62" w:beforeLines="20" w:after="62" w:afterLines="20" w:line="360" w:lineRule="auto"/>
              <w:rPr>
                <w:rFonts w:hint="eastAsia" w:ascii="仿宋" w:hAnsi="仿宋" w:eastAsia="仿宋" w:cs="仿宋"/>
                <w:color w:val="000000" w:themeColor="text1"/>
                <w:sz w:val="22"/>
                <w:szCs w:val="22"/>
                <w:highlight w:val="none"/>
                <w:u w:val="singl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不收取。</w:t>
            </w:r>
          </w:p>
        </w:tc>
      </w:tr>
      <w:tr w14:paraId="15D3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12A03576">
            <w:pPr>
              <w:adjustRightInd w:val="0"/>
              <w:snapToGrid w:val="0"/>
              <w:spacing w:line="360" w:lineRule="auto"/>
              <w:jc w:val="center"/>
              <w:rPr>
                <w:rFonts w:hint="eastAsia" w:ascii="仿宋" w:hAnsi="仿宋" w:eastAsia="仿宋" w:cs="仿宋"/>
                <w:color w:val="000000"/>
                <w:sz w:val="22"/>
                <w:szCs w:val="22"/>
                <w:highlight w:val="none"/>
              </w:rPr>
            </w:pPr>
            <w:bookmarkStart w:id="86" w:name="OfficeAI_Del_4_27" w:colFirst="2" w:colLast="2"/>
            <w:r>
              <w:rPr>
                <w:rFonts w:hint="eastAsia" w:ascii="仿宋" w:hAnsi="仿宋" w:eastAsia="仿宋" w:cs="仿宋"/>
                <w:color w:val="000000"/>
                <w:sz w:val="22"/>
                <w:szCs w:val="22"/>
                <w:highlight w:val="none"/>
              </w:rPr>
              <w:t>13.1</w:t>
            </w:r>
          </w:p>
        </w:tc>
        <w:tc>
          <w:tcPr>
            <w:tcW w:w="813" w:type="pct"/>
            <w:vAlign w:val="center"/>
          </w:tcPr>
          <w:p w14:paraId="272F99E7">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比选保证金的形式</w:t>
            </w:r>
          </w:p>
        </w:tc>
        <w:tc>
          <w:tcPr>
            <w:tcW w:w="3718" w:type="pct"/>
            <w:vAlign w:val="center"/>
          </w:tcPr>
          <w:p w14:paraId="683008EF">
            <w:pPr>
              <w:pStyle w:val="157"/>
              <w:spacing w:before="62" w:beforeLines="20" w:after="62" w:afterLines="20" w:line="360" w:lineRule="auto"/>
              <w:rPr>
                <w:rFonts w:hint="eastAsia" w:ascii="仿宋" w:hAnsi="仿宋" w:eastAsia="仿宋" w:cs="仿宋"/>
                <w:strike/>
                <w:color w:val="FF0000"/>
                <w:sz w:val="22"/>
                <w:szCs w:val="22"/>
                <w:highlight w:val="none"/>
              </w:rPr>
            </w:pPr>
            <w:r>
              <w:rPr>
                <w:rFonts w:hint="eastAsia" w:ascii="仿宋" w:hAnsi="仿宋" w:eastAsia="仿宋" w:cs="仿宋"/>
                <w:color w:val="000000"/>
                <w:sz w:val="22"/>
                <w:szCs w:val="22"/>
                <w:highlight w:val="none"/>
              </w:rPr>
              <w:t>不涉及。</w:t>
            </w:r>
          </w:p>
        </w:tc>
      </w:tr>
      <w:bookmarkEnd w:id="86"/>
      <w:tr w14:paraId="1CB5C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73B0B2C4">
            <w:pPr>
              <w:pStyle w:val="157"/>
              <w:spacing w:before="62" w:beforeLines="20" w:after="62" w:afterLines="20"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13.2</w:t>
            </w:r>
          </w:p>
        </w:tc>
        <w:tc>
          <w:tcPr>
            <w:tcW w:w="813" w:type="pct"/>
            <w:vAlign w:val="center"/>
          </w:tcPr>
          <w:p w14:paraId="5CC7110C">
            <w:pPr>
              <w:pStyle w:val="157"/>
              <w:spacing w:before="62" w:beforeLines="20" w:after="62" w:afterLines="20" w:line="360" w:lineRule="auto"/>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比选保证金不予退还情形</w:t>
            </w:r>
          </w:p>
        </w:tc>
        <w:tc>
          <w:tcPr>
            <w:tcW w:w="3718" w:type="pct"/>
            <w:vAlign w:val="center"/>
          </w:tcPr>
          <w:p w14:paraId="5BE5DF56">
            <w:pPr>
              <w:pStyle w:val="157"/>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sz w:val="22"/>
                <w:szCs w:val="22"/>
                <w:highlight w:val="none"/>
                <w:lang w:bidi="ar"/>
              </w:rPr>
              <w:t>不涉及</w:t>
            </w:r>
          </w:p>
        </w:tc>
      </w:tr>
      <w:tr w14:paraId="089A4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04D00935">
            <w:pPr>
              <w:pStyle w:val="157"/>
              <w:spacing w:before="62" w:beforeLines="20" w:after="62" w:afterLines="20"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14.1</w:t>
            </w:r>
          </w:p>
        </w:tc>
        <w:tc>
          <w:tcPr>
            <w:tcW w:w="813" w:type="pct"/>
            <w:vAlign w:val="center"/>
          </w:tcPr>
          <w:p w14:paraId="3BFDF472">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响应文件的份数</w:t>
            </w:r>
          </w:p>
        </w:tc>
        <w:tc>
          <w:tcPr>
            <w:tcW w:w="3718" w:type="pct"/>
            <w:vAlign w:val="center"/>
          </w:tcPr>
          <w:p w14:paraId="18978A1D">
            <w:pPr>
              <w:pStyle w:val="16"/>
              <w:spacing w:line="360" w:lineRule="auto"/>
              <w:rPr>
                <w:rFonts w:hint="eastAsia" w:ascii="仿宋" w:hAnsi="仿宋" w:eastAsia="仿宋" w:cs="仿宋"/>
                <w:color w:val="000000"/>
                <w:sz w:val="22"/>
                <w:szCs w:val="22"/>
                <w:highlight w:val="none"/>
              </w:rPr>
            </w:pPr>
            <w:r>
              <w:rPr>
                <w:rFonts w:hint="eastAsia" w:ascii="仿宋" w:hAnsi="仿宋" w:eastAsia="仿宋" w:cs="仿宋"/>
                <w:color w:val="000000" w:themeColor="text1"/>
                <w:sz w:val="22"/>
                <w:szCs w:val="22"/>
                <w:highlight w:val="none"/>
                <w14:textFill>
                  <w14:solidFill>
                    <w14:schemeClr w14:val="tx1"/>
                  </w14:solidFill>
                </w14:textFill>
              </w:rPr>
              <w:t>电子文件</w:t>
            </w:r>
            <w:r>
              <w:rPr>
                <w:rFonts w:hint="eastAsia" w:ascii="仿宋" w:hAnsi="仿宋" w:eastAsia="仿宋" w:cs="仿宋"/>
                <w:color w:val="000000" w:themeColor="text1"/>
                <w:sz w:val="22"/>
                <w:szCs w:val="22"/>
                <w:highlight w:val="none"/>
                <w:u w:val="single"/>
                <w14:textFill>
                  <w14:solidFill>
                    <w14:schemeClr w14:val="tx1"/>
                  </w14:solidFill>
                </w14:textFill>
              </w:rPr>
              <w:t>1</w:t>
            </w:r>
            <w:r>
              <w:rPr>
                <w:rFonts w:hint="eastAsia" w:ascii="仿宋" w:hAnsi="仿宋" w:eastAsia="仿宋" w:cs="仿宋"/>
                <w:color w:val="000000" w:themeColor="text1"/>
                <w:sz w:val="22"/>
                <w:szCs w:val="22"/>
                <w:highlight w:val="none"/>
                <w14:textFill>
                  <w14:solidFill>
                    <w14:schemeClr w14:val="tx1"/>
                  </w14:solidFill>
                </w14:textFill>
              </w:rPr>
              <w:t>份；纸质文件正本</w:t>
            </w:r>
            <w:r>
              <w:rPr>
                <w:rFonts w:hint="eastAsia" w:ascii="仿宋" w:hAnsi="仿宋" w:eastAsia="仿宋" w:cs="仿宋"/>
                <w:color w:val="000000" w:themeColor="text1"/>
                <w:sz w:val="22"/>
                <w:szCs w:val="22"/>
                <w:highlight w:val="none"/>
                <w:u w:val="single"/>
                <w14:textFill>
                  <w14:solidFill>
                    <w14:schemeClr w14:val="tx1"/>
                  </w14:solidFill>
                </w14:textFill>
              </w:rPr>
              <w:t xml:space="preserve"> 1 </w:t>
            </w:r>
            <w:r>
              <w:rPr>
                <w:rFonts w:hint="eastAsia" w:ascii="仿宋" w:hAnsi="仿宋" w:eastAsia="仿宋" w:cs="仿宋"/>
                <w:color w:val="000000" w:themeColor="text1"/>
                <w:sz w:val="22"/>
                <w:szCs w:val="22"/>
                <w:highlight w:val="none"/>
                <w14:textFill>
                  <w14:solidFill>
                    <w14:schemeClr w14:val="tx1"/>
                  </w14:solidFill>
                </w14:textFill>
              </w:rPr>
              <w:t>份，副本</w:t>
            </w:r>
            <w:r>
              <w:rPr>
                <w:rFonts w:hint="eastAsia" w:ascii="仿宋" w:hAnsi="仿宋" w:eastAsia="仿宋" w:cs="仿宋"/>
                <w:color w:val="000000" w:themeColor="text1"/>
                <w:sz w:val="22"/>
                <w:szCs w:val="22"/>
                <w:highlight w:val="none"/>
                <w:u w:val="single"/>
                <w14:textFill>
                  <w14:solidFill>
                    <w14:schemeClr w14:val="tx1"/>
                  </w14:solidFill>
                </w14:textFill>
              </w:rPr>
              <w:t>1</w:t>
            </w:r>
            <w:r>
              <w:rPr>
                <w:rFonts w:hint="eastAsia" w:ascii="仿宋" w:hAnsi="仿宋" w:eastAsia="仿宋" w:cs="仿宋"/>
                <w:color w:val="000000" w:themeColor="text1"/>
                <w:sz w:val="22"/>
                <w:szCs w:val="22"/>
                <w:highlight w:val="none"/>
                <w14:textFill>
                  <w14:solidFill>
                    <w14:schemeClr w14:val="tx1"/>
                  </w14:solidFill>
                </w14:textFill>
              </w:rPr>
              <w:t>份。</w:t>
            </w:r>
          </w:p>
        </w:tc>
      </w:tr>
      <w:tr w14:paraId="68D7E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217EB140">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14.2</w:t>
            </w:r>
          </w:p>
        </w:tc>
        <w:tc>
          <w:tcPr>
            <w:tcW w:w="813" w:type="pct"/>
            <w:vAlign w:val="center"/>
          </w:tcPr>
          <w:p w14:paraId="1462AB23">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纸质响应文件的装订、密封和标记</w:t>
            </w:r>
          </w:p>
        </w:tc>
        <w:tc>
          <w:tcPr>
            <w:tcW w:w="3718" w:type="pct"/>
            <w:vAlign w:val="center"/>
          </w:tcPr>
          <w:p w14:paraId="284C0AC0">
            <w:pPr>
              <w:spacing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w:t>
            </w:r>
            <w:r>
              <w:rPr>
                <w:rFonts w:hint="eastAsia" w:ascii="仿宋" w:hAnsi="仿宋" w:eastAsia="仿宋" w:cs="仿宋"/>
                <w:b/>
                <w:bCs/>
                <w:color w:val="000000"/>
                <w:sz w:val="22"/>
                <w:szCs w:val="22"/>
                <w:highlight w:val="none"/>
              </w:rPr>
              <w:t>采用A4纸胶装，商务、技术、报价文件分别装订成册，密封粘接缝隙加盖供应商公章或由法定代表人（负责人）或其委托代理人签字</w:t>
            </w:r>
            <w:r>
              <w:rPr>
                <w:rFonts w:hint="eastAsia" w:ascii="仿宋" w:hAnsi="仿宋" w:eastAsia="仿宋" w:cs="仿宋"/>
                <w:color w:val="000000"/>
                <w:sz w:val="22"/>
                <w:szCs w:val="22"/>
                <w:highlight w:val="none"/>
              </w:rPr>
              <w:t>。未按要求密封的纸质响应文件不予接收。</w:t>
            </w:r>
          </w:p>
          <w:p w14:paraId="08452199">
            <w:pPr>
              <w:spacing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（2）外层包封具体样式如下：</w:t>
            </w:r>
          </w:p>
          <w:p w14:paraId="5F26A6BF">
            <w:pPr>
              <w:pStyle w:val="157"/>
              <w:spacing w:before="62" w:beforeLines="20" w:after="62" w:afterLines="20" w:line="360" w:lineRule="auto"/>
              <w:rPr>
                <w:rFonts w:hint="eastAsia" w:ascii="仿宋" w:hAnsi="仿宋" w:eastAsia="仿宋" w:cs="仿宋"/>
                <w:b/>
                <w:color w:val="000000"/>
                <w:sz w:val="22"/>
                <w:szCs w:val="22"/>
                <w:highlight w:val="none"/>
              </w:rPr>
            </w:pPr>
            <w:r>
              <w:rPr>
                <w:rFonts w:hint="eastAsia" w:ascii="仿宋" w:hAnsi="仿宋" w:eastAsia="仿宋" w:cs="仿宋"/>
                <w:color w:val="000000"/>
                <w:sz w:val="22"/>
                <w:szCs w:val="22"/>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BAD628">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0BB67AB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728EDBE7">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6D971ECE">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5985C8A2">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7C6EDC2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44015E5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25BAD628">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0BB67AB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728EDBE7">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6D971ECE">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5985C8A2">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7C6EDC2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44015E5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5BB79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3DF0B4F8">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15.1</w:t>
            </w:r>
          </w:p>
        </w:tc>
        <w:tc>
          <w:tcPr>
            <w:tcW w:w="813" w:type="pct"/>
            <w:vAlign w:val="center"/>
          </w:tcPr>
          <w:p w14:paraId="565B616A">
            <w:pPr>
              <w:pStyle w:val="157"/>
              <w:spacing w:before="62" w:beforeLines="20" w:after="62" w:afterLines="20"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响应文件的递交</w:t>
            </w:r>
          </w:p>
        </w:tc>
        <w:tc>
          <w:tcPr>
            <w:tcW w:w="3718" w:type="pct"/>
            <w:vAlign w:val="center"/>
          </w:tcPr>
          <w:p w14:paraId="0AB4F8C0">
            <w:pPr>
              <w:pStyle w:val="157"/>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详见</w:t>
            </w:r>
            <w:r>
              <w:rPr>
                <w:rFonts w:hint="eastAsia" w:ascii="仿宋" w:hAnsi="仿宋" w:eastAsia="仿宋" w:cs="仿宋"/>
                <w:color w:val="000000"/>
                <w:sz w:val="22"/>
                <w:szCs w:val="22"/>
                <w:highlight w:val="none"/>
                <w:u w:val="single"/>
              </w:rPr>
              <w:t>第一章 比选公告“五、响应文件的递交”</w:t>
            </w:r>
            <w:r>
              <w:rPr>
                <w:rFonts w:hint="eastAsia" w:ascii="仿宋" w:hAnsi="仿宋" w:eastAsia="仿宋" w:cs="仿宋"/>
                <w:color w:val="000000"/>
                <w:sz w:val="22"/>
                <w:szCs w:val="22"/>
                <w:highlight w:val="none"/>
              </w:rPr>
              <w:t>。</w:t>
            </w:r>
          </w:p>
        </w:tc>
      </w:tr>
      <w:tr w14:paraId="7E50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2E36B9A1">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17.1</w:t>
            </w:r>
          </w:p>
        </w:tc>
        <w:tc>
          <w:tcPr>
            <w:tcW w:w="813" w:type="pct"/>
            <w:vAlign w:val="center"/>
          </w:tcPr>
          <w:p w14:paraId="047C20B8">
            <w:pPr>
              <w:adjustRightInd w:val="0"/>
              <w:snapToGrid w:val="0"/>
              <w:spacing w:line="360" w:lineRule="auto"/>
              <w:ind w:left="36" w:leftChars="17"/>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组建评审委员会</w:t>
            </w:r>
          </w:p>
        </w:tc>
        <w:tc>
          <w:tcPr>
            <w:tcW w:w="3718" w:type="pct"/>
            <w:vAlign w:val="center"/>
          </w:tcPr>
          <w:p w14:paraId="28FFF468">
            <w:pPr>
              <w:pStyle w:val="157"/>
              <w:spacing w:before="62" w:beforeLines="20" w:after="62" w:afterLines="2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本项目评审委员会成员人数为</w:t>
            </w:r>
            <w:r>
              <w:rPr>
                <w:rFonts w:hint="eastAsia" w:ascii="仿宋" w:hAnsi="仿宋" w:eastAsia="仿宋" w:cs="仿宋"/>
                <w:color w:val="000000" w:themeColor="text1"/>
                <w:sz w:val="22"/>
                <w:szCs w:val="22"/>
                <w:highlight w:val="none"/>
                <w:lang w:val="en-US" w:eastAsia="zh-CN"/>
                <w14:textFill>
                  <w14:solidFill>
                    <w14:schemeClr w14:val="tx1"/>
                  </w14:solidFill>
                </w14:textFill>
              </w:rPr>
              <w:t>5</w:t>
            </w:r>
            <w:r>
              <w:rPr>
                <w:rFonts w:hint="eastAsia" w:ascii="仿宋" w:hAnsi="仿宋" w:eastAsia="仿宋" w:cs="仿宋"/>
                <w:color w:val="000000" w:themeColor="text1"/>
                <w:sz w:val="22"/>
                <w:szCs w:val="22"/>
                <w:highlight w:val="none"/>
                <w14:textFill>
                  <w14:solidFill>
                    <w14:schemeClr w14:val="tx1"/>
                  </w14:solidFill>
                </w14:textFill>
              </w:rPr>
              <w:t>人。</w:t>
            </w:r>
          </w:p>
        </w:tc>
      </w:tr>
      <w:tr w14:paraId="7F16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60AEB0B3">
            <w:pPr>
              <w:adjustRightInd w:val="0"/>
              <w:snapToGrid w:val="0"/>
              <w:spacing w:line="360" w:lineRule="auto"/>
              <w:jc w:val="center"/>
              <w:rPr>
                <w:rFonts w:hint="eastAsia" w:ascii="仿宋" w:hAnsi="仿宋" w:eastAsia="仿宋" w:cs="仿宋"/>
                <w:color w:val="000000"/>
                <w:sz w:val="22"/>
                <w:szCs w:val="22"/>
                <w:highlight w:val="none"/>
              </w:rPr>
            </w:pPr>
            <w:bookmarkStart w:id="87" w:name="OfficeAI_Del_1_150" w:colFirst="2" w:colLast="2"/>
            <w:r>
              <w:rPr>
                <w:rFonts w:hint="eastAsia" w:ascii="仿宋" w:hAnsi="仿宋" w:eastAsia="仿宋" w:cs="仿宋"/>
                <w:color w:val="000000"/>
                <w:sz w:val="22"/>
                <w:szCs w:val="22"/>
                <w:highlight w:val="none"/>
              </w:rPr>
              <w:t>19.1</w:t>
            </w:r>
          </w:p>
        </w:tc>
        <w:tc>
          <w:tcPr>
            <w:tcW w:w="813" w:type="pct"/>
            <w:vAlign w:val="center"/>
          </w:tcPr>
          <w:p w14:paraId="28BDB166">
            <w:pPr>
              <w:adjustRightInd w:val="0"/>
              <w:snapToGrid w:val="0"/>
              <w:spacing w:line="360" w:lineRule="auto"/>
              <w:ind w:left="36" w:leftChars="17"/>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rPr>
              <w:t>比选程序及方式</w:t>
            </w:r>
          </w:p>
        </w:tc>
        <w:tc>
          <w:tcPr>
            <w:tcW w:w="3718" w:type="pct"/>
            <w:vAlign w:val="center"/>
          </w:tcPr>
          <w:p w14:paraId="104B5EE3">
            <w:pPr>
              <w:pStyle w:val="157"/>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（1）评审委员会将与通过初步评审的有效供应商按照</w:t>
            </w:r>
            <w:r>
              <w:rPr>
                <w:rFonts w:hint="eastAsia" w:ascii="仿宋" w:hAnsi="仿宋" w:eastAsia="仿宋" w:cs="仿宋"/>
                <w:color w:val="000000"/>
                <w:sz w:val="22"/>
                <w:szCs w:val="22"/>
                <w:highlight w:val="none"/>
                <w:u w:val="single"/>
              </w:rPr>
              <w:t>供应商随机抽取顺序</w:t>
            </w:r>
            <w:r>
              <w:rPr>
                <w:rFonts w:hint="eastAsia" w:ascii="仿宋" w:hAnsi="仿宋" w:eastAsia="仿宋" w:cs="仿宋"/>
                <w:color w:val="000000"/>
                <w:sz w:val="22"/>
                <w:szCs w:val="22"/>
                <w:highlight w:val="none"/>
              </w:rPr>
              <w:t>逐一进行</w:t>
            </w:r>
            <w:r>
              <w:rPr>
                <w:rFonts w:hint="eastAsia" w:ascii="仿宋" w:hAnsi="仿宋" w:eastAsia="仿宋" w:cs="仿宋"/>
                <w:color w:val="000000"/>
                <w:sz w:val="22"/>
                <w:szCs w:val="22"/>
                <w:highlight w:val="none"/>
                <w:lang w:val="en-US" w:eastAsia="zh-CN"/>
              </w:rPr>
              <w:t>谈判</w:t>
            </w:r>
            <w:r>
              <w:rPr>
                <w:rFonts w:hint="eastAsia" w:ascii="仿宋" w:hAnsi="仿宋" w:eastAsia="仿宋" w:cs="仿宋"/>
                <w:color w:val="000000"/>
                <w:sz w:val="22"/>
                <w:szCs w:val="22"/>
                <w:highlight w:val="none"/>
              </w:rPr>
              <w:t>，供应商至少应派法定代表人或其授权委托人准时参会。</w:t>
            </w:r>
          </w:p>
          <w:p w14:paraId="3683F339">
            <w:pPr>
              <w:pStyle w:val="157"/>
              <w:spacing w:before="62" w:beforeLines="20" w:after="62" w:afterLines="20" w:line="360" w:lineRule="auto"/>
              <w:rPr>
                <w:rFonts w:hint="eastAsia" w:ascii="仿宋" w:hAnsi="仿宋" w:eastAsia="仿宋" w:cs="仿宋"/>
                <w:strike/>
                <w:color w:val="FF0000"/>
                <w:sz w:val="22"/>
                <w:szCs w:val="22"/>
                <w:highlight w:val="none"/>
              </w:rPr>
            </w:pPr>
            <w:r>
              <w:rPr>
                <w:rFonts w:hint="eastAsia" w:ascii="仿宋" w:hAnsi="仿宋" w:eastAsia="仿宋" w:cs="仿宋"/>
                <w:color w:val="000000"/>
                <w:sz w:val="22"/>
                <w:szCs w:val="22"/>
                <w:highlight w:val="none"/>
              </w:rPr>
              <w:t>（2）评审委员会有权要求供应商对响应文件中含义不明确、同类问题表述不一致或者有明显文字和计算错误的内容等进行澄清、说明或更正。第一轮比选结束后，供应商提交第一轮报价及评审委员会要求提供的其他文件，评审委员会将视具体情况决定是否进行多轮比选及报价。最后一轮比选结束后，供应商提交最终报价并签署相关承诺性文件。</w:t>
            </w:r>
          </w:p>
        </w:tc>
      </w:tr>
      <w:bookmarkEnd w:id="87"/>
      <w:tr w14:paraId="76F4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2025350C">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19.3</w:t>
            </w:r>
          </w:p>
        </w:tc>
        <w:tc>
          <w:tcPr>
            <w:tcW w:w="813" w:type="pct"/>
            <w:vAlign w:val="center"/>
          </w:tcPr>
          <w:p w14:paraId="4E70D2F8">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比选内容</w:t>
            </w:r>
          </w:p>
        </w:tc>
        <w:tc>
          <w:tcPr>
            <w:tcW w:w="3718" w:type="pct"/>
            <w:vAlign w:val="center"/>
          </w:tcPr>
          <w:p w14:paraId="595A441E">
            <w:pPr>
              <w:pStyle w:val="157"/>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包含但不仅限于</w:t>
            </w:r>
            <w:r>
              <w:rPr>
                <w:rFonts w:hint="eastAsia" w:ascii="仿宋" w:hAnsi="仿宋" w:eastAsia="仿宋" w:cs="仿宋"/>
                <w:color w:val="000000"/>
                <w:sz w:val="22"/>
                <w:szCs w:val="22"/>
                <w:highlight w:val="none"/>
                <w:u w:val="single"/>
              </w:rPr>
              <w:t>报价、对采购需求的理解、实施方案、人员配置、服务承诺、商务条款</w:t>
            </w:r>
            <w:r>
              <w:rPr>
                <w:rFonts w:hint="eastAsia" w:ascii="仿宋" w:hAnsi="仿宋" w:eastAsia="仿宋" w:cs="仿宋"/>
                <w:color w:val="000000"/>
                <w:sz w:val="22"/>
                <w:szCs w:val="22"/>
                <w:highlight w:val="none"/>
              </w:rPr>
              <w:t>等。</w:t>
            </w:r>
          </w:p>
        </w:tc>
      </w:tr>
      <w:tr w14:paraId="5EDC3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1233" w:hRule="atLeast"/>
          <w:jc w:val="center"/>
        </w:trPr>
        <w:tc>
          <w:tcPr>
            <w:tcW w:w="469" w:type="pct"/>
            <w:vAlign w:val="center"/>
          </w:tcPr>
          <w:p w14:paraId="0B8E00DA">
            <w:pPr>
              <w:adjustRightInd w:val="0"/>
              <w:snapToGrid w:val="0"/>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21.1</w:t>
            </w:r>
          </w:p>
        </w:tc>
        <w:tc>
          <w:tcPr>
            <w:tcW w:w="813" w:type="pct"/>
            <w:vAlign w:val="center"/>
          </w:tcPr>
          <w:p w14:paraId="61C36EDB">
            <w:pPr>
              <w:adjustRightInd w:val="0"/>
              <w:snapToGrid w:val="0"/>
              <w:spacing w:line="360" w:lineRule="auto"/>
              <w:ind w:left="36" w:leftChars="17"/>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成交候选人推荐原则</w:t>
            </w:r>
          </w:p>
        </w:tc>
        <w:tc>
          <w:tcPr>
            <w:tcW w:w="3718" w:type="pct"/>
            <w:vAlign w:val="center"/>
          </w:tcPr>
          <w:p w14:paraId="2180A239">
            <w:pPr>
              <w:pStyle w:val="157"/>
              <w:spacing w:before="62" w:beforeLines="20" w:after="62" w:afterLines="2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评审委员会根据有效供应商综合得分由高至低进行排名，</w:t>
            </w:r>
            <w:r>
              <w:rPr>
                <w:rFonts w:hint="eastAsia" w:ascii="仿宋" w:hAnsi="仿宋" w:eastAsia="仿宋" w:cs="仿宋"/>
                <w:b/>
                <w:bCs/>
                <w:color w:val="000000" w:themeColor="text1"/>
                <w:sz w:val="22"/>
                <w:szCs w:val="22"/>
                <w:highlight w:val="none"/>
                <w14:textFill>
                  <w14:solidFill>
                    <w14:schemeClr w14:val="tx1"/>
                  </w14:solidFill>
                </w14:textFill>
              </w:rPr>
              <w:t>推荐</w:t>
            </w:r>
            <w:r>
              <w:rPr>
                <w:rFonts w:hint="eastAsia" w:ascii="仿宋" w:hAnsi="仿宋" w:eastAsia="仿宋" w:cs="仿宋"/>
                <w:b/>
                <w:bCs/>
                <w:color w:val="000000" w:themeColor="text1"/>
                <w:sz w:val="22"/>
                <w:szCs w:val="22"/>
                <w:highlight w:val="none"/>
                <w:u w:val="single"/>
                <w14:textFill>
                  <w14:solidFill>
                    <w14:schemeClr w14:val="tx1"/>
                  </w14:solidFill>
                </w14:textFill>
              </w:rPr>
              <w:t>综合得分前</w:t>
            </w:r>
            <w:r>
              <w:rPr>
                <w:rFonts w:hint="eastAsia" w:ascii="仿宋" w:hAnsi="仿宋" w:eastAsia="仿宋" w:cs="仿宋"/>
                <w:b/>
                <w:bCs/>
                <w:color w:val="000000" w:themeColor="text1"/>
                <w:sz w:val="22"/>
                <w:szCs w:val="22"/>
                <w:highlight w:val="none"/>
                <w:u w:val="single"/>
                <w:lang w:val="en-US" w:eastAsia="zh-CN"/>
                <w14:textFill>
                  <w14:solidFill>
                    <w14:schemeClr w14:val="tx1"/>
                  </w14:solidFill>
                </w14:textFill>
              </w:rPr>
              <w:t>3</w:t>
            </w:r>
            <w:r>
              <w:rPr>
                <w:rFonts w:hint="eastAsia" w:ascii="仿宋" w:hAnsi="仿宋" w:eastAsia="仿宋" w:cs="仿宋"/>
                <w:b/>
                <w:bCs/>
                <w:color w:val="000000" w:themeColor="text1"/>
                <w:sz w:val="22"/>
                <w:szCs w:val="22"/>
                <w:highlight w:val="none"/>
                <w:u w:val="single"/>
                <w14:textFill>
                  <w14:solidFill>
                    <w14:schemeClr w14:val="tx1"/>
                  </w14:solidFill>
                </w14:textFill>
              </w:rPr>
              <w:t>名的供应商</w:t>
            </w:r>
            <w:r>
              <w:rPr>
                <w:rFonts w:hint="eastAsia" w:ascii="仿宋" w:hAnsi="仿宋" w:eastAsia="仿宋" w:cs="仿宋"/>
                <w:b/>
                <w:bCs/>
                <w:color w:val="000000" w:themeColor="text1"/>
                <w:sz w:val="22"/>
                <w:szCs w:val="22"/>
                <w:highlight w:val="none"/>
                <w14:textFill>
                  <w14:solidFill>
                    <w14:schemeClr w14:val="tx1"/>
                  </w14:solidFill>
                </w14:textFill>
              </w:rPr>
              <w:t>为成交候选人</w:t>
            </w:r>
            <w:r>
              <w:rPr>
                <w:rFonts w:hint="eastAsia" w:ascii="仿宋" w:hAnsi="仿宋" w:eastAsia="仿宋" w:cs="仿宋"/>
                <w:color w:val="000000" w:themeColor="text1"/>
                <w:sz w:val="22"/>
                <w:szCs w:val="22"/>
                <w:highlight w:val="none"/>
                <w14:textFill>
                  <w14:solidFill>
                    <w14:schemeClr w14:val="tx1"/>
                  </w14:solidFill>
                </w14:textFill>
              </w:rPr>
              <w:t>。综合得分相同时，价格得分高者排名优先；价格得分也相同时，</w:t>
            </w:r>
            <w:r>
              <w:rPr>
                <w:rFonts w:hint="eastAsia" w:ascii="仿宋" w:hAnsi="仿宋" w:eastAsia="仿宋" w:cs="仿宋"/>
                <w:color w:val="000000" w:themeColor="text1"/>
                <w:sz w:val="22"/>
                <w:szCs w:val="22"/>
                <w:highlight w:val="none"/>
                <w:u w:val="single"/>
                <w14:textFill>
                  <w14:solidFill>
                    <w14:schemeClr w14:val="tx1"/>
                  </w14:solidFill>
                </w14:textFill>
              </w:rPr>
              <w:t>商务</w:t>
            </w:r>
            <w:r>
              <w:rPr>
                <w:rFonts w:hint="eastAsia" w:ascii="仿宋" w:hAnsi="仿宋" w:eastAsia="仿宋" w:cs="仿宋"/>
                <w:color w:val="000000" w:themeColor="text1"/>
                <w:sz w:val="22"/>
                <w:szCs w:val="22"/>
                <w:highlight w:val="none"/>
                <w14:textFill>
                  <w14:solidFill>
                    <w14:schemeClr w14:val="tx1"/>
                  </w14:solidFill>
                </w14:textFill>
              </w:rPr>
              <w:t>得分高者排名优先。</w:t>
            </w:r>
          </w:p>
        </w:tc>
      </w:tr>
      <w:tr w14:paraId="606DA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411C20C2">
            <w:pPr>
              <w:adjustRightInd w:val="0"/>
              <w:snapToGrid w:val="0"/>
              <w:spacing w:line="360" w:lineRule="auto"/>
              <w:jc w:val="center"/>
              <w:rPr>
                <w:rFonts w:hint="eastAsia" w:ascii="仿宋" w:hAnsi="仿宋" w:eastAsia="仿宋" w:cs="仿宋"/>
                <w:color w:val="000000"/>
                <w:sz w:val="22"/>
                <w:szCs w:val="22"/>
                <w:highlight w:val="none"/>
              </w:rPr>
            </w:pPr>
            <w:bookmarkStart w:id="88" w:name="OfficeAI_Del_1_160" w:colFirst="2" w:colLast="2"/>
            <w:r>
              <w:rPr>
                <w:rFonts w:hint="eastAsia" w:ascii="仿宋" w:hAnsi="仿宋" w:eastAsia="仿宋" w:cs="仿宋"/>
                <w:color w:val="000000"/>
                <w:sz w:val="22"/>
                <w:szCs w:val="22"/>
                <w:highlight w:val="none"/>
              </w:rPr>
              <w:t>21.2</w:t>
            </w:r>
          </w:p>
        </w:tc>
        <w:tc>
          <w:tcPr>
            <w:tcW w:w="813" w:type="pct"/>
            <w:vAlign w:val="center"/>
          </w:tcPr>
          <w:p w14:paraId="6F2184D2">
            <w:pPr>
              <w:pStyle w:val="157"/>
              <w:spacing w:before="62" w:beforeLines="20" w:after="62" w:afterLines="20"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成交人数量</w:t>
            </w:r>
          </w:p>
        </w:tc>
        <w:tc>
          <w:tcPr>
            <w:tcW w:w="3718" w:type="pct"/>
            <w:vAlign w:val="center"/>
          </w:tcPr>
          <w:p w14:paraId="73F15E07">
            <w:pPr>
              <w:pStyle w:val="157"/>
              <w:spacing w:before="62" w:beforeLines="20" w:after="62" w:afterLines="20" w:line="360" w:lineRule="auto"/>
              <w:rPr>
                <w:rFonts w:hint="eastAsia" w:ascii="仿宋" w:hAnsi="仿宋" w:eastAsia="仿宋" w:cs="仿宋"/>
                <w:b/>
                <w:bCs/>
                <w:color w:val="000000" w:themeColor="text1"/>
                <w:sz w:val="22"/>
                <w:szCs w:val="22"/>
                <w:highlight w:val="none"/>
                <w:u w:val="singl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成交人数量：</w:t>
            </w:r>
            <w:r>
              <w:rPr>
                <w:rFonts w:hint="eastAsia" w:ascii="仿宋" w:hAnsi="仿宋" w:eastAsia="仿宋" w:cs="仿宋"/>
                <w:b/>
                <w:bCs/>
                <w:color w:val="000000" w:themeColor="text1"/>
                <w:sz w:val="22"/>
                <w:szCs w:val="22"/>
                <w:highlight w:val="none"/>
                <w:u w:val="single"/>
                <w:lang w:val="en-US" w:eastAsia="zh-CN"/>
                <w14:textFill>
                  <w14:solidFill>
                    <w14:schemeClr w14:val="tx1"/>
                  </w14:solidFill>
                </w14:textFill>
              </w:rPr>
              <w:t>2</w:t>
            </w:r>
            <w:r>
              <w:rPr>
                <w:rFonts w:hint="eastAsia" w:ascii="仿宋" w:hAnsi="仿宋" w:eastAsia="仿宋" w:cs="仿宋"/>
                <w:b/>
                <w:bCs/>
                <w:color w:val="000000" w:themeColor="text1"/>
                <w:sz w:val="22"/>
                <w:szCs w:val="22"/>
                <w:highlight w:val="none"/>
                <w:u w:val="single"/>
                <w14:textFill>
                  <w14:solidFill>
                    <w14:schemeClr w14:val="tx1"/>
                  </w14:solidFill>
                </w14:textFill>
              </w:rPr>
              <w:t>家</w:t>
            </w:r>
          </w:p>
          <w:p w14:paraId="0DB1288F">
            <w:pPr>
              <w:pStyle w:val="157"/>
              <w:spacing w:before="62" w:beforeLines="20" w:after="62" w:afterLines="20" w:line="360" w:lineRule="auto"/>
              <w:rPr>
                <w:rFonts w:hint="eastAsia" w:ascii="仿宋" w:hAnsi="仿宋" w:eastAsia="仿宋" w:cs="仿宋"/>
                <w:strike/>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采购人根据评审委员会推荐的成交候选人名单确定综合排名</w:t>
            </w:r>
            <w:r>
              <w:rPr>
                <w:rFonts w:hint="eastAsia" w:ascii="仿宋" w:hAnsi="仿宋" w:eastAsia="仿宋" w:cs="仿宋"/>
                <w:color w:val="000000" w:themeColor="text1"/>
                <w:sz w:val="22"/>
                <w:szCs w:val="22"/>
                <w:highlight w:val="none"/>
                <w:lang w:val="en-US" w:eastAsia="zh-CN"/>
                <w14:textFill>
                  <w14:solidFill>
                    <w14:schemeClr w14:val="tx1"/>
                  </w14:solidFill>
                </w14:textFill>
              </w:rPr>
              <w:t>前2名</w:t>
            </w:r>
            <w:r>
              <w:rPr>
                <w:rFonts w:hint="eastAsia" w:ascii="仿宋" w:hAnsi="仿宋" w:eastAsia="仿宋" w:cs="仿宋"/>
                <w:color w:val="000000" w:themeColor="text1"/>
                <w:sz w:val="22"/>
                <w:szCs w:val="22"/>
                <w:highlight w:val="none"/>
                <w14:textFill>
                  <w14:solidFill>
                    <w14:schemeClr w14:val="tx1"/>
                  </w14:solidFill>
                </w14:textFill>
              </w:rPr>
              <w:t>的成交候选人为成交人。若综合排名</w:t>
            </w:r>
            <w:r>
              <w:rPr>
                <w:rFonts w:hint="eastAsia" w:ascii="仿宋" w:hAnsi="仿宋" w:eastAsia="仿宋" w:cs="仿宋"/>
                <w:color w:val="000000" w:themeColor="text1"/>
                <w:sz w:val="22"/>
                <w:szCs w:val="22"/>
                <w:highlight w:val="none"/>
                <w:lang w:val="en-US" w:eastAsia="zh-CN"/>
                <w14:textFill>
                  <w14:solidFill>
                    <w14:schemeClr w14:val="tx1"/>
                  </w14:solidFill>
                </w14:textFill>
              </w:rPr>
              <w:t>前2名</w:t>
            </w:r>
            <w:r>
              <w:rPr>
                <w:rFonts w:hint="eastAsia" w:ascii="仿宋" w:hAnsi="仿宋" w:eastAsia="仿宋" w:cs="仿宋"/>
                <w:color w:val="000000" w:themeColor="text1"/>
                <w:sz w:val="22"/>
                <w:szCs w:val="22"/>
                <w:highlight w:val="none"/>
                <w14:textFill>
                  <w14:solidFill>
                    <w14:schemeClr w14:val="tx1"/>
                  </w14:solidFill>
                </w14:textFill>
              </w:rPr>
              <w:t>的成交候选人放弃成交、因不可抗力不能履行合同、不按照比选文件要求提交履约保证金、存在重大经营或法律风险、被查实存在影响采购结果的违法行为等情形，采购人按照评审委员会提出的成交候选人名单排序依次确定其他成交候选人为成交人，或者重新采购。</w:t>
            </w:r>
          </w:p>
        </w:tc>
      </w:tr>
      <w:bookmarkEnd w:id="88"/>
      <w:tr w14:paraId="71F75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6A880694">
            <w:pPr>
              <w:adjustRightInd w:val="0"/>
              <w:snapToGrid w:val="0"/>
              <w:spacing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22.4</w:t>
            </w:r>
          </w:p>
        </w:tc>
        <w:tc>
          <w:tcPr>
            <w:tcW w:w="813" w:type="pct"/>
            <w:vAlign w:val="center"/>
          </w:tcPr>
          <w:p w14:paraId="7F713FA4">
            <w:pPr>
              <w:adjustRightInd w:val="0"/>
              <w:snapToGrid w:val="0"/>
              <w:spacing w:line="360" w:lineRule="auto"/>
              <w:ind w:left="36" w:leftChars="17"/>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履约保证金</w:t>
            </w:r>
          </w:p>
        </w:tc>
        <w:tc>
          <w:tcPr>
            <w:tcW w:w="3718" w:type="pct"/>
            <w:vAlign w:val="center"/>
          </w:tcPr>
          <w:p w14:paraId="36A37BA7">
            <w:pPr>
              <w:pStyle w:val="157"/>
              <w:spacing w:before="62" w:beforeLines="20" w:after="62" w:afterLines="2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□收取，形式及比例：</w:t>
            </w:r>
          </w:p>
          <w:p w14:paraId="38CB7FEC">
            <w:pPr>
              <w:autoSpaceDE w:val="0"/>
              <w:autoSpaceDN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■不收取</w:t>
            </w:r>
          </w:p>
        </w:tc>
      </w:tr>
      <w:tr w14:paraId="70D0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39632AB0">
            <w:pPr>
              <w:adjustRightInd w:val="0"/>
              <w:snapToGrid w:val="0"/>
              <w:spacing w:line="360" w:lineRule="auto"/>
              <w:jc w:val="center"/>
              <w:rPr>
                <w:rFonts w:hint="eastAsia" w:ascii="仿宋" w:hAnsi="仿宋" w:eastAsia="仿宋" w:cs="仿宋"/>
                <w:color w:val="000000"/>
                <w:sz w:val="22"/>
                <w:szCs w:val="22"/>
                <w:highlight w:val="none"/>
              </w:rPr>
            </w:pPr>
            <w:bookmarkStart w:id="89" w:name="_Hlk219819842"/>
            <w:r>
              <w:rPr>
                <w:rFonts w:hint="eastAsia" w:ascii="仿宋" w:hAnsi="仿宋" w:eastAsia="仿宋" w:cs="仿宋"/>
                <w:color w:val="000000"/>
                <w:sz w:val="22"/>
                <w:szCs w:val="22"/>
                <w:highlight w:val="none"/>
              </w:rPr>
              <w:t>23</w:t>
            </w:r>
          </w:p>
        </w:tc>
        <w:tc>
          <w:tcPr>
            <w:tcW w:w="813" w:type="pct"/>
            <w:vAlign w:val="center"/>
          </w:tcPr>
          <w:p w14:paraId="2C696F0A">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采购代理服务费</w:t>
            </w:r>
          </w:p>
        </w:tc>
        <w:tc>
          <w:tcPr>
            <w:tcW w:w="3718" w:type="pct"/>
            <w:vAlign w:val="center"/>
          </w:tcPr>
          <w:p w14:paraId="4547DC04">
            <w:pPr>
              <w:autoSpaceDE w:val="0"/>
              <w:autoSpaceDN w:val="0"/>
              <w:spacing w:line="360"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不涉及。</w:t>
            </w:r>
          </w:p>
        </w:tc>
      </w:tr>
      <w:bookmarkEnd w:id="89"/>
      <w:tr w14:paraId="24F52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69" w:type="pct"/>
            <w:vAlign w:val="center"/>
          </w:tcPr>
          <w:p w14:paraId="06434225">
            <w:pPr>
              <w:adjustRightInd w:val="0"/>
              <w:snapToGrid w:val="0"/>
              <w:spacing w:line="360" w:lineRule="auto"/>
              <w:jc w:val="center"/>
              <w:rPr>
                <w:rFonts w:hint="eastAsia" w:ascii="仿宋" w:hAnsi="仿宋" w:eastAsia="仿宋" w:cs="仿宋"/>
                <w:color w:val="000000"/>
                <w:sz w:val="22"/>
                <w:szCs w:val="22"/>
                <w:highlight w:val="none"/>
              </w:rPr>
            </w:pPr>
            <w:bookmarkStart w:id="90" w:name="OfficeAI_Del_1_53" w:colFirst="2" w:colLast="2"/>
            <w:bookmarkStart w:id="91" w:name="_Hlk219818210"/>
            <w:r>
              <w:rPr>
                <w:rFonts w:hint="eastAsia" w:ascii="仿宋" w:hAnsi="仿宋" w:eastAsia="仿宋" w:cs="仿宋"/>
                <w:color w:val="000000"/>
                <w:sz w:val="22"/>
                <w:szCs w:val="22"/>
                <w:highlight w:val="none"/>
              </w:rPr>
              <w:t>24</w:t>
            </w:r>
          </w:p>
        </w:tc>
        <w:tc>
          <w:tcPr>
            <w:tcW w:w="813" w:type="pct"/>
            <w:vAlign w:val="center"/>
          </w:tcPr>
          <w:p w14:paraId="5D4D346C">
            <w:pPr>
              <w:adjustRightInd w:val="0"/>
              <w:snapToGrid w:val="0"/>
              <w:spacing w:line="360" w:lineRule="auto"/>
              <w:ind w:left="36" w:leftChars="17"/>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异常处理情况</w:t>
            </w:r>
          </w:p>
        </w:tc>
        <w:tc>
          <w:tcPr>
            <w:tcW w:w="3718" w:type="pct"/>
            <w:vAlign w:val="center"/>
          </w:tcPr>
          <w:p w14:paraId="75E0E8CD">
            <w:pPr>
              <w:pStyle w:val="140"/>
              <w:topLinePunct/>
              <w:spacing w:before="62" w:beforeLines="20" w:after="62" w:afterLines="2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（1）应答截止时间止，若供应商少于</w:t>
            </w:r>
            <w:r>
              <w:rPr>
                <w:rFonts w:hint="eastAsia" w:ascii="仿宋" w:hAnsi="仿宋" w:eastAsia="仿宋" w:cs="仿宋"/>
                <w:sz w:val="22"/>
                <w:szCs w:val="22"/>
                <w:highlight w:val="none"/>
                <w:lang w:val="en-US" w:eastAsia="zh-CN"/>
              </w:rPr>
              <w:t>4</w:t>
            </w:r>
            <w:r>
              <w:rPr>
                <w:rFonts w:hint="eastAsia" w:ascii="仿宋" w:hAnsi="仿宋" w:eastAsia="仿宋" w:cs="仿宋"/>
                <w:sz w:val="22"/>
                <w:szCs w:val="22"/>
                <w:highlight w:val="none"/>
              </w:rPr>
              <w:t>家的，不得唱价，采购人应重新采购；</w:t>
            </w:r>
          </w:p>
          <w:p w14:paraId="504FEAF2">
            <w:pPr>
              <w:autoSpaceDE w:val="0"/>
              <w:autoSpaceDN w:val="0"/>
              <w:spacing w:line="360" w:lineRule="auto"/>
              <w:rPr>
                <w:rFonts w:hint="eastAsia" w:ascii="仿宋" w:hAnsi="仿宋" w:eastAsia="仿宋" w:cs="仿宋"/>
                <w:strike/>
                <w:color w:val="FF0000"/>
                <w:sz w:val="22"/>
                <w:szCs w:val="22"/>
                <w:highlight w:val="none"/>
              </w:rPr>
            </w:pPr>
            <w:r>
              <w:rPr>
                <w:rFonts w:hint="eastAsia" w:ascii="仿宋" w:hAnsi="仿宋" w:eastAsia="仿宋" w:cs="仿宋"/>
                <w:sz w:val="22"/>
                <w:szCs w:val="22"/>
                <w:highlight w:val="none"/>
              </w:rPr>
              <w:t>（2）通过初步评审的有效供应商数量：若通过初步评审的有效供应商数量少于</w:t>
            </w:r>
            <w:r>
              <w:rPr>
                <w:rFonts w:hint="eastAsia" w:ascii="仿宋" w:hAnsi="仿宋" w:eastAsia="仿宋" w:cs="仿宋"/>
                <w:sz w:val="22"/>
                <w:szCs w:val="22"/>
                <w:highlight w:val="none"/>
                <w:lang w:val="en-US" w:eastAsia="zh-CN"/>
              </w:rPr>
              <w:t>4</w:t>
            </w:r>
            <w:r>
              <w:rPr>
                <w:rFonts w:hint="eastAsia" w:ascii="仿宋" w:hAnsi="仿宋" w:eastAsia="仿宋" w:cs="仿宋"/>
                <w:sz w:val="22"/>
                <w:szCs w:val="22"/>
                <w:highlight w:val="none"/>
              </w:rPr>
              <w:t>家，采购人应重新采购。</w:t>
            </w:r>
          </w:p>
        </w:tc>
      </w:tr>
      <w:bookmarkEnd w:id="90"/>
      <w:bookmarkEnd w:id="91"/>
    </w:tbl>
    <w:p w14:paraId="6B76B948">
      <w:pPr>
        <w:pStyle w:val="3"/>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92" w:name="_Toc287600118"/>
      <w:bookmarkStart w:id="93" w:name="_Toc11071"/>
      <w:bookmarkStart w:id="94" w:name="_Toc20514"/>
      <w:bookmarkStart w:id="95" w:name="_Toc19783313"/>
      <w:bookmarkStart w:id="96" w:name="_Toc444891336"/>
      <w:bookmarkStart w:id="97" w:name="_Toc6047"/>
      <w:bookmarkStart w:id="98" w:name="_Toc27232"/>
      <w:bookmarkStart w:id="99" w:name="_Toc517281816"/>
      <w:bookmarkStart w:id="100" w:name="_Toc27220"/>
      <w:bookmarkStart w:id="101" w:name="_Toc219195977"/>
      <w:bookmarkStart w:id="102" w:name="_Toc233292435"/>
      <w:bookmarkStart w:id="103" w:name="_Toc216971027"/>
      <w:bookmarkStart w:id="104" w:name="_Toc197680977"/>
      <w:bookmarkStart w:id="105" w:name="_Toc231201472"/>
      <w:r>
        <w:rPr>
          <w:rFonts w:hint="eastAsia" w:ascii="仿宋" w:hAnsi="仿宋" w:eastAsia="仿宋" w:cs="仿宋"/>
          <w:color w:val="000000"/>
          <w:sz w:val="24"/>
          <w:szCs w:val="24"/>
          <w:highlight w:val="none"/>
        </w:rPr>
        <w:t>二、供应商须知</w:t>
      </w:r>
      <w:bookmarkEnd w:id="92"/>
      <w:bookmarkEnd w:id="93"/>
      <w:bookmarkEnd w:id="94"/>
      <w:bookmarkEnd w:id="95"/>
      <w:bookmarkEnd w:id="96"/>
      <w:bookmarkEnd w:id="97"/>
      <w:bookmarkEnd w:id="98"/>
      <w:bookmarkEnd w:id="99"/>
      <w:r>
        <w:rPr>
          <w:rFonts w:hint="eastAsia" w:ascii="仿宋" w:hAnsi="仿宋" w:eastAsia="仿宋" w:cs="仿宋"/>
          <w:color w:val="000000"/>
          <w:sz w:val="24"/>
          <w:szCs w:val="24"/>
          <w:highlight w:val="none"/>
        </w:rPr>
        <w:t>正文</w:t>
      </w:r>
      <w:bookmarkEnd w:id="100"/>
      <w:bookmarkEnd w:id="101"/>
      <w:bookmarkEnd w:id="102"/>
      <w:bookmarkEnd w:id="103"/>
      <w:bookmarkEnd w:id="104"/>
      <w:bookmarkEnd w:id="105"/>
    </w:p>
    <w:p w14:paraId="44AEF611">
      <w:pPr>
        <w:pStyle w:val="4"/>
        <w:spacing w:before="0" w:after="0" w:line="360" w:lineRule="auto"/>
        <w:rPr>
          <w:rFonts w:hint="eastAsia" w:ascii="仿宋" w:hAnsi="仿宋" w:eastAsia="仿宋" w:cs="仿宋"/>
          <w:color w:val="000000"/>
          <w:sz w:val="24"/>
          <w:szCs w:val="24"/>
          <w:highlight w:val="none"/>
        </w:rPr>
      </w:pPr>
      <w:bookmarkStart w:id="106" w:name="_Toc233292436"/>
      <w:bookmarkStart w:id="107" w:name="_Toc6681"/>
      <w:bookmarkStart w:id="108" w:name="_Toc16441"/>
      <w:bookmarkStart w:id="109" w:name="_Toc431"/>
      <w:bookmarkStart w:id="110" w:name="_Toc216971028"/>
      <w:bookmarkStart w:id="111" w:name="_Toc11851"/>
      <w:bookmarkStart w:id="112" w:name="_Toc197680978"/>
      <w:bookmarkStart w:id="113" w:name="_Toc219195978"/>
      <w:bookmarkStart w:id="114" w:name="_Toc19783314"/>
      <w:bookmarkStart w:id="115" w:name="_Toc231201473"/>
      <w:bookmarkStart w:id="116" w:name="_Toc287600119"/>
      <w:bookmarkStart w:id="117" w:name="_Toc22969"/>
      <w:bookmarkStart w:id="118" w:name="_Toc444891337"/>
      <w:bookmarkStart w:id="119" w:name="_Toc517281817"/>
      <w:bookmarkStart w:id="120" w:name="_Toc3678"/>
      <w:r>
        <w:rPr>
          <w:rFonts w:hint="eastAsia" w:ascii="仿宋" w:hAnsi="仿宋" w:eastAsia="仿宋" w:cs="仿宋"/>
          <w:color w:val="000000"/>
          <w:sz w:val="24"/>
          <w:szCs w:val="24"/>
          <w:highlight w:val="none"/>
        </w:rPr>
        <w:t>（一）总 则</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0722CE35">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14:paraId="5D4D8D8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本项目按照中华人民共和国有关法律、行政法规和部门规章以及采购人的采购管理制度，通过比选方式确定签约供应商。</w:t>
      </w:r>
    </w:p>
    <w:p w14:paraId="033BA926">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14:paraId="22D4CB42">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14:paraId="58865C26">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14:paraId="3589FEFD">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14:paraId="0A07F9F1">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14:paraId="6F0C57B5">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4.1资格预审：是指在递交响应文件前对潜在供应商进行的资格审查。采用资格预审方式的，资格条件已经在比选文件发出前的资格预审文件中作出规定。</w:t>
      </w:r>
    </w:p>
    <w:p w14:paraId="478DADB2">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4.2资格后审：是指在首次响应文件递交截止时间后由评审委员会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000000"/>
          <w:kern w:val="0"/>
          <w:sz w:val="24"/>
          <w:highlight w:val="none"/>
          <w:u w:val="single"/>
        </w:rPr>
        <w:t>详见本须知前附表。</w:t>
      </w:r>
    </w:p>
    <w:p w14:paraId="214D51B8">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5.比选响应费用</w:t>
      </w:r>
    </w:p>
    <w:p w14:paraId="2E44C155">
      <w:pPr>
        <w:spacing w:line="360" w:lineRule="auto"/>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不论结果如何，供应商自行承担所有准备和参与本次比选响应的有关费用。</w:t>
      </w:r>
    </w:p>
    <w:p w14:paraId="1EB9AA48">
      <w:pPr>
        <w:pStyle w:val="4"/>
        <w:spacing w:after="0" w:line="360" w:lineRule="auto"/>
        <w:rPr>
          <w:rFonts w:hint="eastAsia" w:ascii="仿宋" w:hAnsi="仿宋" w:eastAsia="仿宋" w:cs="仿宋"/>
          <w:color w:val="000000"/>
          <w:sz w:val="24"/>
          <w:szCs w:val="24"/>
          <w:highlight w:val="none"/>
        </w:rPr>
      </w:pPr>
      <w:bookmarkStart w:id="121" w:name="_Toc287600120"/>
      <w:bookmarkStart w:id="122" w:name="_Toc25513"/>
      <w:bookmarkStart w:id="123" w:name="_Toc444891338"/>
      <w:bookmarkStart w:id="124" w:name="_Toc3016"/>
      <w:bookmarkStart w:id="125" w:name="_Toc24246"/>
      <w:bookmarkStart w:id="126" w:name="_Toc5255"/>
      <w:bookmarkStart w:id="127" w:name="_Toc197680979"/>
      <w:bookmarkStart w:id="128" w:name="_Toc233292437"/>
      <w:bookmarkStart w:id="129" w:name="_Toc216971029"/>
      <w:bookmarkStart w:id="130" w:name="_Toc231201474"/>
      <w:bookmarkStart w:id="131" w:name="_Toc19783315"/>
      <w:bookmarkStart w:id="132" w:name="_Toc517281818"/>
      <w:bookmarkStart w:id="133" w:name="_Toc14164"/>
      <w:bookmarkStart w:id="134" w:name="_Toc219195979"/>
      <w:bookmarkStart w:id="135" w:name="_Toc10975"/>
      <w:r>
        <w:rPr>
          <w:rFonts w:hint="eastAsia" w:ascii="仿宋" w:hAnsi="仿宋" w:eastAsia="仿宋" w:cs="仿宋"/>
          <w:color w:val="000000"/>
          <w:sz w:val="24"/>
          <w:szCs w:val="24"/>
          <w:highlight w:val="none"/>
        </w:rPr>
        <w:t>（二）比选文件</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53C63BCF">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6.比选文件的组成</w:t>
      </w:r>
    </w:p>
    <w:p w14:paraId="76F1621E">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6.1比选文件包括下列内容：</w:t>
      </w:r>
    </w:p>
    <w:p w14:paraId="254E04A6">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第一章 比选公告</w:t>
      </w:r>
    </w:p>
    <w:p w14:paraId="3D150F93">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14:paraId="6C0347E0">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14:paraId="54E95588">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14:paraId="168337AC">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14:paraId="42FB7F3A">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14:paraId="454CA152">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6.2采购人在比选文件中以显著的方式标明实质性要求、条件以及不满足实质性要求和条件的响应文件将被否决的提示。实质性标识方式和具体要求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14:paraId="27D5AB0B">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7.比选文件的修改</w:t>
      </w:r>
    </w:p>
    <w:p w14:paraId="4B0FA02F">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仿宋"/>
          <w:color w:val="000000"/>
          <w:kern w:val="0"/>
          <w:sz w:val="24"/>
          <w:highlight w:val="none"/>
        </w:rPr>
        <w:t>供应商对</w:t>
      </w:r>
      <w:r>
        <w:rPr>
          <w:rFonts w:hint="eastAsia" w:ascii="仿宋" w:hAnsi="仿宋" w:eastAsia="仿宋" w:cs="仿宋"/>
          <w:color w:val="000000"/>
          <w:sz w:val="24"/>
          <w:highlight w:val="none"/>
        </w:rPr>
        <w:t>比选文件</w:t>
      </w:r>
      <w:r>
        <w:rPr>
          <w:rFonts w:hint="eastAsia" w:ascii="仿宋" w:hAnsi="仿宋" w:eastAsia="仿宋" w:cs="仿宋"/>
          <w:color w:val="000000"/>
          <w:kern w:val="0"/>
          <w:sz w:val="24"/>
          <w:highlight w:val="none"/>
        </w:rPr>
        <w:t>有疑问的，应当按照</w:t>
      </w:r>
      <w:r>
        <w:rPr>
          <w:rFonts w:hint="eastAsia" w:ascii="仿宋" w:hAnsi="仿宋" w:eastAsia="仿宋" w:cs="仿宋"/>
          <w:color w:val="000000"/>
          <w:kern w:val="0"/>
          <w:sz w:val="24"/>
          <w:highlight w:val="none"/>
          <w:u w:val="single"/>
        </w:rPr>
        <w:t>本须知前附表</w:t>
      </w:r>
      <w:r>
        <w:rPr>
          <w:rFonts w:hint="eastAsia" w:ascii="仿宋" w:hAnsi="仿宋" w:eastAsia="仿宋" w:cs="仿宋"/>
          <w:color w:val="000000"/>
          <w:kern w:val="0"/>
          <w:sz w:val="24"/>
          <w:highlight w:val="none"/>
        </w:rPr>
        <w:t>规定的时间和方式，要求采购人对</w:t>
      </w:r>
      <w:r>
        <w:rPr>
          <w:rFonts w:hint="eastAsia" w:ascii="仿宋" w:hAnsi="仿宋" w:eastAsia="仿宋" w:cs="仿宋"/>
          <w:color w:val="000000"/>
          <w:sz w:val="24"/>
          <w:highlight w:val="none"/>
        </w:rPr>
        <w:t>比选文件</w:t>
      </w:r>
      <w:r>
        <w:rPr>
          <w:rFonts w:hint="eastAsia" w:ascii="仿宋" w:hAnsi="仿宋" w:eastAsia="仿宋" w:cs="仿宋"/>
          <w:color w:val="000000"/>
          <w:kern w:val="0"/>
          <w:sz w:val="24"/>
          <w:highlight w:val="none"/>
        </w:rPr>
        <w:t>进行澄清。</w:t>
      </w:r>
    </w:p>
    <w:p w14:paraId="31810716">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采购人在响应文件递交截止时间前，可以书面形式发出的对比选文件的澄清或修改内容，</w:t>
      </w:r>
      <w:r>
        <w:rPr>
          <w:rFonts w:hint="eastAsia" w:ascii="仿宋" w:hAnsi="仿宋" w:eastAsia="仿宋" w:cs="仿宋"/>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rPr>
        <w:t>比选文件</w:t>
      </w:r>
      <w:r>
        <w:rPr>
          <w:rFonts w:hint="eastAsia" w:ascii="仿宋" w:hAnsi="仿宋" w:eastAsia="仿宋" w:cs="仿宋"/>
          <w:color w:val="000000"/>
          <w:kern w:val="0"/>
          <w:sz w:val="24"/>
          <w:highlight w:val="none"/>
        </w:rPr>
        <w:t>的潜在供应商，不足3个工作日的，原则上应顺延响应文件递交截止时间。</w:t>
      </w:r>
    </w:p>
    <w:p w14:paraId="3DF9B2EE">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7.3  供应商收到澄清或修改后，应当按照供应商须知前附表规定的时间和方式通知采购人，确认已收到该澄清或修改。</w:t>
      </w:r>
    </w:p>
    <w:p w14:paraId="2F52296E">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kern w:val="0"/>
          <w:sz w:val="24"/>
          <w:highlight w:val="none"/>
        </w:rPr>
        <w:t>7.4</w:t>
      </w:r>
      <w:r>
        <w:rPr>
          <w:rFonts w:hint="eastAsia" w:ascii="仿宋" w:hAnsi="仿宋" w:eastAsia="仿宋" w:cs="仿宋"/>
          <w:color w:val="000000"/>
          <w:sz w:val="24"/>
          <w:highlight w:val="none"/>
        </w:rPr>
        <w:t xml:space="preserve"> </w:t>
      </w:r>
      <w:r>
        <w:rPr>
          <w:rFonts w:hint="eastAsia" w:ascii="仿宋" w:hAnsi="仿宋" w:eastAsia="仿宋" w:cs="仿宋"/>
          <w:color w:val="000000"/>
          <w:kern w:val="0"/>
          <w:sz w:val="24"/>
          <w:highlight w:val="none"/>
        </w:rPr>
        <w:t>所有关于</w:t>
      </w:r>
      <w:r>
        <w:rPr>
          <w:rFonts w:hint="eastAsia" w:ascii="仿宋" w:hAnsi="仿宋" w:eastAsia="仿宋" w:cs="仿宋"/>
          <w:color w:val="000000"/>
          <w:sz w:val="24"/>
          <w:highlight w:val="none"/>
        </w:rPr>
        <w:t>比选文件</w:t>
      </w:r>
      <w:r>
        <w:rPr>
          <w:rFonts w:hint="eastAsia" w:ascii="仿宋" w:hAnsi="仿宋" w:eastAsia="仿宋" w:cs="仿宋"/>
          <w:color w:val="000000"/>
          <w:kern w:val="0"/>
          <w:sz w:val="24"/>
          <w:highlight w:val="none"/>
        </w:rPr>
        <w:t>的澄清和修改均作为</w:t>
      </w:r>
      <w:r>
        <w:rPr>
          <w:rFonts w:hint="eastAsia" w:ascii="仿宋" w:hAnsi="仿宋" w:eastAsia="仿宋" w:cs="仿宋"/>
          <w:color w:val="000000"/>
          <w:sz w:val="24"/>
          <w:highlight w:val="none"/>
        </w:rPr>
        <w:t>比选文件</w:t>
      </w:r>
      <w:r>
        <w:rPr>
          <w:rFonts w:hint="eastAsia" w:ascii="仿宋" w:hAnsi="仿宋" w:eastAsia="仿宋" w:cs="仿宋"/>
          <w:color w:val="000000"/>
          <w:kern w:val="0"/>
          <w:sz w:val="24"/>
          <w:highlight w:val="none"/>
        </w:rPr>
        <w:t>的补充部分。</w:t>
      </w:r>
      <w:r>
        <w:rPr>
          <w:rFonts w:hint="eastAsia" w:ascii="仿宋" w:hAnsi="仿宋" w:eastAsia="仿宋" w:cs="仿宋"/>
          <w:color w:val="000000"/>
          <w:sz w:val="24"/>
          <w:highlight w:val="none"/>
        </w:rPr>
        <w:t>当比选文件、比选文件的澄清或修改等在同一内容的表述上不一致时，以最后发出的书面文件为准。</w:t>
      </w:r>
    </w:p>
    <w:p w14:paraId="7E0C3A0C">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8.比选响应预备会</w:t>
      </w:r>
    </w:p>
    <w:p w14:paraId="361BDD70">
      <w:pPr>
        <w:spacing w:line="360" w:lineRule="auto"/>
        <w:textAlignment w:val="baseline"/>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采购人认为必要时，将召开比选响应预备会(答疑会)，公开解答潜在供应商对比选文件提出的疑问。</w:t>
      </w:r>
    </w:p>
    <w:p w14:paraId="660AEDEC">
      <w:pPr>
        <w:pStyle w:val="4"/>
        <w:spacing w:after="0" w:line="360" w:lineRule="auto"/>
        <w:ind w:left="0" w:firstLine="0"/>
        <w:rPr>
          <w:rFonts w:hint="eastAsia" w:ascii="仿宋" w:hAnsi="仿宋" w:eastAsia="仿宋" w:cs="仿宋"/>
          <w:color w:val="000000"/>
          <w:sz w:val="24"/>
          <w:szCs w:val="24"/>
          <w:highlight w:val="none"/>
        </w:rPr>
      </w:pPr>
      <w:bookmarkStart w:id="136" w:name="_Toc517281819"/>
      <w:bookmarkStart w:id="137" w:name="_Toc14308"/>
      <w:bookmarkStart w:id="138" w:name="_Toc219195980"/>
      <w:bookmarkStart w:id="139" w:name="_Toc13691"/>
      <w:bookmarkStart w:id="140" w:name="_Toc233292438"/>
      <w:bookmarkStart w:id="141" w:name="_Toc287600121"/>
      <w:bookmarkStart w:id="142" w:name="_Toc231201475"/>
      <w:bookmarkStart w:id="143" w:name="_Toc27563"/>
      <w:bookmarkStart w:id="144" w:name="_Toc27642"/>
      <w:bookmarkStart w:id="145" w:name="_Toc197680980"/>
      <w:bookmarkStart w:id="146" w:name="_Toc16985"/>
      <w:bookmarkStart w:id="147" w:name="_Toc444891339"/>
      <w:bookmarkStart w:id="148" w:name="_Toc19783316"/>
      <w:bookmarkStart w:id="149" w:name="_Toc216971030"/>
      <w:bookmarkStart w:id="150" w:name="_Toc31141"/>
      <w:r>
        <w:rPr>
          <w:rFonts w:hint="eastAsia" w:ascii="仿宋" w:hAnsi="仿宋" w:eastAsia="仿宋" w:cs="仿宋"/>
          <w:color w:val="000000"/>
          <w:sz w:val="24"/>
          <w:szCs w:val="24"/>
          <w:highlight w:val="none"/>
        </w:rPr>
        <w:t>（三）响应文件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C566793">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9.响应文件的组成</w:t>
      </w:r>
    </w:p>
    <w:p w14:paraId="29D0615F">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3A3453BA">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10.响应文件的编制</w:t>
      </w:r>
    </w:p>
    <w:p w14:paraId="047CD4B9">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 xml:space="preserve">10.1 供应商应当按照比选文件的要求编制响应文件，并对其提交的响应文件的真实性、合法性承担法律责任。响应文件应当对比选文件提出的实质性要求和条件作出响应。 </w:t>
      </w:r>
    </w:p>
    <w:p w14:paraId="43F981FE">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 xml:space="preserve">10.2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55FCBD5F">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5BF9C605">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182E85DC">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10.5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4BD20CCE">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151" w:name="_Hlk173250545"/>
      <w:r>
        <w:rPr>
          <w:rFonts w:hint="eastAsia" w:ascii="仿宋" w:hAnsi="仿宋" w:eastAsia="仿宋" w:cs="仿宋"/>
          <w:color w:val="000000"/>
          <w:kern w:val="0"/>
          <w:sz w:val="24"/>
          <w:highlight w:val="none"/>
        </w:rPr>
        <w:t>盖章或者签字另有要求的，</w:t>
      </w:r>
      <w:r>
        <w:rPr>
          <w:rFonts w:hint="eastAsia" w:ascii="仿宋" w:hAnsi="仿宋" w:eastAsia="仿宋" w:cs="仿宋"/>
          <w:color w:val="000000"/>
          <w:kern w:val="0"/>
          <w:sz w:val="24"/>
          <w:highlight w:val="none"/>
          <w:u w:val="single"/>
        </w:rPr>
        <w:t>见本须知前附表。</w:t>
      </w:r>
    </w:p>
    <w:bookmarkEnd w:id="151"/>
    <w:p w14:paraId="54422A67">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10.7除工程规范另有规定外，响应文件使用的度量衡单位，均采用中华人民共和国法定计量单位。</w:t>
      </w:r>
    </w:p>
    <w:p w14:paraId="09619D05">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11.比选响应报价</w:t>
      </w:r>
    </w:p>
    <w:p w14:paraId="00D17601">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14:paraId="7EA8A5C7">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12.比选响应有效期</w:t>
      </w:r>
    </w:p>
    <w:p w14:paraId="26ECC3F3">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12.1 比选响应有效期从响应文件递交截止之日起算，具体时间</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，在此期间，供应商不得要求撤销或修改其响应文件。供应商承诺的比选响应有效期必须不短于比选文件规定的比选响应有效期，否则将构成对比选文件的非实质性响应，比选响应将被否决。</w:t>
      </w:r>
    </w:p>
    <w:p w14:paraId="6425FBA5">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12.2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2033D5E4">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13.比选保证金</w:t>
      </w:r>
    </w:p>
    <w:p w14:paraId="7FA1435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13.1</w:t>
      </w:r>
      <w:r>
        <w:rPr>
          <w:rFonts w:hint="eastAsia" w:ascii="仿宋" w:hAnsi="仿宋" w:eastAsia="仿宋" w:cs="仿宋"/>
          <w:color w:val="000000"/>
          <w:kern w:val="0"/>
          <w:sz w:val="24"/>
          <w:highlight w:val="none"/>
        </w:rPr>
        <w:t>采购人要求</w:t>
      </w:r>
      <w:r>
        <w:rPr>
          <w:rFonts w:hint="eastAsia" w:ascii="仿宋" w:hAnsi="仿宋" w:eastAsia="仿宋" w:cs="仿宋"/>
          <w:color w:val="000000"/>
          <w:sz w:val="24"/>
          <w:highlight w:val="none"/>
        </w:rPr>
        <w:t>供应商</w:t>
      </w:r>
      <w:r>
        <w:rPr>
          <w:rFonts w:hint="eastAsia" w:ascii="仿宋" w:hAnsi="仿宋" w:eastAsia="仿宋" w:cs="仿宋"/>
          <w:color w:val="000000"/>
          <w:kern w:val="0"/>
          <w:sz w:val="24"/>
          <w:highlight w:val="none"/>
        </w:rPr>
        <w:t>提交比选保证金的，比选</w:t>
      </w:r>
      <w:r>
        <w:rPr>
          <w:rFonts w:hint="eastAsia" w:ascii="仿宋" w:hAnsi="仿宋" w:eastAsia="仿宋" w:cs="仿宋"/>
          <w:color w:val="000000"/>
          <w:sz w:val="24"/>
          <w:highlight w:val="none"/>
        </w:rPr>
        <w:t>保证金数额应当不超过采购项目预算的2%，比选保证金有效期与比选响应有效期一致，本项目比选保证金金额、形式见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68A19E06">
      <w:pPr>
        <w:widowControl/>
        <w:topLinePunct/>
        <w:spacing w:line="360" w:lineRule="auto"/>
        <w:rPr>
          <w:rFonts w:hint="eastAsia" w:ascii="仿宋" w:hAnsi="仿宋" w:eastAsia="仿宋" w:cs="仿宋"/>
          <w:kern w:val="0"/>
          <w:sz w:val="24"/>
          <w:highlight w:val="none"/>
          <w:lang w:bidi="ar"/>
        </w:rPr>
      </w:pPr>
      <w:r>
        <w:rPr>
          <w:rFonts w:hint="eastAsia" w:ascii="仿宋" w:hAnsi="仿宋" w:eastAsia="仿宋" w:cs="仿宋"/>
          <w:color w:val="000000"/>
          <w:sz w:val="24"/>
          <w:highlight w:val="none"/>
        </w:rPr>
        <w:t>13.2</w:t>
      </w:r>
      <w:r>
        <w:rPr>
          <w:rFonts w:hint="eastAsia" w:ascii="仿宋" w:hAnsi="仿宋" w:eastAsia="仿宋" w:cs="仿宋"/>
          <w:kern w:val="0"/>
          <w:sz w:val="24"/>
          <w:highlight w:val="none"/>
          <w:lang w:bidi="ar"/>
        </w:rPr>
        <w:t>供应商或成交供应商出现下列行为之一，</w:t>
      </w:r>
      <w:r>
        <w:rPr>
          <w:rFonts w:hint="eastAsia" w:ascii="仿宋" w:hAnsi="仿宋" w:eastAsia="仿宋" w:cs="仿宋"/>
          <w:sz w:val="24"/>
          <w:highlight w:val="none"/>
        </w:rPr>
        <w:t>比选</w:t>
      </w:r>
      <w:r>
        <w:rPr>
          <w:rFonts w:hint="eastAsia" w:ascii="仿宋" w:hAnsi="仿宋" w:eastAsia="仿宋" w:cs="仿宋"/>
          <w:kern w:val="0"/>
          <w:sz w:val="24"/>
          <w:highlight w:val="none"/>
          <w:lang w:bidi="ar"/>
        </w:rPr>
        <w:t>保证金不予退还：</w:t>
      </w:r>
    </w:p>
    <w:p w14:paraId="1B382D37">
      <w:pPr>
        <w:pStyle w:val="18"/>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（1）供应商在比选截止后至比选有效期期满前,要求撤回已递交的响应文件；</w:t>
      </w:r>
    </w:p>
    <w:p w14:paraId="552B5312">
      <w:pPr>
        <w:pStyle w:val="18"/>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（2）成交后放弃成交的；</w:t>
      </w:r>
    </w:p>
    <w:p w14:paraId="7A1ECD4D">
      <w:pPr>
        <w:pStyle w:val="18"/>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（3）成交后无正当理由不与采购人订立合同的；</w:t>
      </w:r>
    </w:p>
    <w:p w14:paraId="0AB6F52B">
      <w:pPr>
        <w:pStyle w:val="18"/>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（4）成交供应商在签订合同时向采购人提出附加条件或要求变更实质性合同条款的；</w:t>
      </w:r>
    </w:p>
    <w:p w14:paraId="27E81F35">
      <w:pPr>
        <w:pStyle w:val="18"/>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（5）成交供应商不按照比选文件要求提交履约保证金的；</w:t>
      </w:r>
    </w:p>
    <w:p w14:paraId="0F01EAA8">
      <w:pPr>
        <w:pStyle w:val="18"/>
        <w:spacing w:line="360" w:lineRule="auto"/>
        <w:jc w:val="left"/>
        <w:rPr>
          <w:rStyle w:val="90"/>
          <w:rFonts w:hint="eastAsia" w:ascii="仿宋" w:hAnsi="仿宋" w:eastAsia="仿宋" w:cs="仿宋"/>
          <w:highlight w:val="none"/>
        </w:rPr>
      </w:pPr>
      <w:r>
        <w:rPr>
          <w:rFonts w:hint="eastAsia" w:ascii="仿宋" w:hAnsi="仿宋" w:eastAsia="仿宋" w:cs="仿宋"/>
          <w:kern w:val="0"/>
          <w:sz w:val="24"/>
          <w:highlight w:val="none"/>
          <w:lang w:bidi="ar"/>
        </w:rPr>
        <w:t>（6）供应商有恶意欺诈、弄虚作假、围标串标、哄抬标价、徇私行贿等法律法规中所列违规行为的</w:t>
      </w:r>
      <w:r>
        <w:rPr>
          <w:rStyle w:val="90"/>
          <w:rFonts w:hint="eastAsia" w:ascii="仿宋" w:hAnsi="仿宋" w:eastAsia="仿宋" w:cs="仿宋"/>
          <w:highlight w:val="none"/>
        </w:rPr>
        <w:t>。</w:t>
      </w:r>
    </w:p>
    <w:p w14:paraId="5793DD90">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14.响应文件的式样、密封和标记</w:t>
      </w:r>
    </w:p>
    <w:p w14:paraId="5EA7AF6F">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14.1 供应商应当编制一份响应文件“正本”和</w:t>
      </w:r>
      <w:r>
        <w:rPr>
          <w:rFonts w:hint="eastAsia" w:ascii="仿宋" w:hAnsi="仿宋" w:eastAsia="仿宋" w:cs="仿宋"/>
          <w:color w:val="000000"/>
          <w:kern w:val="0"/>
          <w:sz w:val="24"/>
          <w:highlight w:val="none"/>
          <w:u w:val="single"/>
        </w:rPr>
        <w:t>本须知前附表</w:t>
      </w:r>
      <w:r>
        <w:rPr>
          <w:rFonts w:hint="eastAsia" w:ascii="仿宋" w:hAnsi="仿宋" w:eastAsia="仿宋" w:cs="仿宋"/>
          <w:color w:val="000000"/>
          <w:kern w:val="0"/>
          <w:sz w:val="24"/>
          <w:highlight w:val="none"/>
        </w:rPr>
        <w:t>所述份数的“副本”和“电子版”，副本为正本复印件。纸质版文件与电子版文件不一致时，以</w:t>
      </w:r>
      <w:r>
        <w:rPr>
          <w:rFonts w:hint="eastAsia" w:ascii="仿宋" w:hAnsi="仿宋" w:eastAsia="仿宋" w:cs="仿宋"/>
          <w:b/>
          <w:bCs/>
          <w:kern w:val="0"/>
          <w:sz w:val="24"/>
          <w:highlight w:val="none"/>
          <w:lang w:eastAsia="zh-Hans"/>
        </w:rPr>
        <w:t>电子版</w:t>
      </w:r>
      <w:r>
        <w:rPr>
          <w:rFonts w:hint="eastAsia" w:ascii="仿宋" w:hAnsi="仿宋" w:eastAsia="仿宋" w:cs="仿宋"/>
          <w:color w:val="000000"/>
          <w:kern w:val="0"/>
          <w:sz w:val="24"/>
          <w:highlight w:val="none"/>
        </w:rPr>
        <w:t xml:space="preserve">文件为准;响应文件正本与副本不一致时，以正本为准。 </w:t>
      </w:r>
    </w:p>
    <w:p w14:paraId="62021229">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14.2 每份纸质文件响应文件的正本、副本应当分别装订，并于封面上明确标明“正本”“副本”字样。具体要求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14:paraId="047F8AC3">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14.3 对于比选文件中提及的原件或复印件要求，照片件、扫描件、影印件、截图件等与其具有同等效力（比选文件有特殊要求的除外）。</w:t>
      </w:r>
    </w:p>
    <w:p w14:paraId="2BFB027A">
      <w:pPr>
        <w:pStyle w:val="4"/>
        <w:spacing w:after="0" w:line="360" w:lineRule="auto"/>
        <w:rPr>
          <w:rFonts w:hint="eastAsia" w:ascii="仿宋" w:hAnsi="仿宋" w:eastAsia="仿宋" w:cs="仿宋"/>
          <w:color w:val="000000"/>
          <w:sz w:val="24"/>
          <w:szCs w:val="24"/>
          <w:highlight w:val="none"/>
        </w:rPr>
      </w:pPr>
      <w:bookmarkStart w:id="152" w:name="_Toc287600122"/>
      <w:bookmarkStart w:id="153" w:name="_Toc14726"/>
      <w:bookmarkStart w:id="154" w:name="_Toc4155"/>
      <w:bookmarkStart w:id="155" w:name="_Toc517281820"/>
      <w:bookmarkStart w:id="156" w:name="_Toc19783317"/>
      <w:bookmarkStart w:id="157" w:name="_Toc21600"/>
      <w:bookmarkStart w:id="158" w:name="_Toc7129"/>
      <w:bookmarkStart w:id="159" w:name="_Toc18673"/>
      <w:bookmarkStart w:id="160" w:name="_Toc444891340"/>
      <w:bookmarkStart w:id="161" w:name="_Toc17865"/>
      <w:bookmarkStart w:id="162" w:name="_Toc233292439"/>
      <w:bookmarkStart w:id="163" w:name="_Toc197680981"/>
      <w:bookmarkStart w:id="164" w:name="_Toc219195981"/>
      <w:bookmarkStart w:id="165" w:name="_Toc216971031"/>
      <w:bookmarkStart w:id="166" w:name="_Toc231201476"/>
      <w:r>
        <w:rPr>
          <w:rFonts w:hint="eastAsia" w:ascii="仿宋" w:hAnsi="仿宋" w:eastAsia="仿宋" w:cs="仿宋"/>
          <w:color w:val="000000"/>
          <w:sz w:val="24"/>
          <w:szCs w:val="24"/>
          <w:highlight w:val="none"/>
        </w:rPr>
        <w:t>（四）响应文件的</w:t>
      </w:r>
      <w:bookmarkEnd w:id="152"/>
      <w:bookmarkEnd w:id="153"/>
      <w:bookmarkEnd w:id="154"/>
      <w:bookmarkEnd w:id="155"/>
      <w:bookmarkEnd w:id="156"/>
      <w:bookmarkEnd w:id="157"/>
      <w:bookmarkEnd w:id="158"/>
      <w:bookmarkEnd w:id="159"/>
      <w:bookmarkEnd w:id="160"/>
      <w:r>
        <w:rPr>
          <w:rFonts w:hint="eastAsia" w:ascii="仿宋" w:hAnsi="仿宋" w:eastAsia="仿宋" w:cs="仿宋"/>
          <w:color w:val="000000"/>
          <w:sz w:val="24"/>
          <w:szCs w:val="24"/>
          <w:highlight w:val="none"/>
        </w:rPr>
        <w:t>递交</w:t>
      </w:r>
      <w:bookmarkEnd w:id="161"/>
      <w:bookmarkEnd w:id="162"/>
      <w:bookmarkEnd w:id="163"/>
      <w:bookmarkEnd w:id="164"/>
      <w:bookmarkEnd w:id="165"/>
      <w:bookmarkEnd w:id="166"/>
    </w:p>
    <w:p w14:paraId="579ADF88">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15.响应文件的递交</w:t>
      </w:r>
    </w:p>
    <w:p w14:paraId="6B7E3CBF">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15.1供应商应按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14:paraId="64ED4B25">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15.2出现下列情形之一时，</w:t>
      </w:r>
      <w:r>
        <w:rPr>
          <w:rFonts w:hint="eastAsia" w:ascii="仿宋" w:hAnsi="仿宋" w:eastAsia="仿宋" w:cs="仿宋"/>
          <w:b/>
          <w:bCs/>
          <w:color w:val="000000"/>
          <w:sz w:val="24"/>
          <w:highlight w:val="none"/>
        </w:rPr>
        <w:t>响应文件不予接收或已经递交的响应文件无效；</w:t>
      </w:r>
    </w:p>
    <w:p w14:paraId="7E68A9AC">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（1）电子响应文件逾期递交的；</w:t>
      </w:r>
    </w:p>
    <w:p w14:paraId="10422685">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（2）纸质响应文件逾期递交或者未送达指定地点或者未按照比选文件要求封装的；</w:t>
      </w:r>
    </w:p>
    <w:p w14:paraId="54CC79AF">
      <w:pPr>
        <w:spacing w:line="360" w:lineRule="auto"/>
        <w:jc w:val="left"/>
        <w:rPr>
          <w:rFonts w:hint="eastAsia" w:ascii="仿宋" w:hAnsi="仿宋" w:eastAsia="仿宋" w:cs="仿宋"/>
          <w:sz w:val="24"/>
          <w:highlight w:val="none"/>
        </w:rPr>
      </w:pPr>
      <w:r>
        <w:rPr>
          <w:rFonts w:hint="eastAsia" w:ascii="仿宋" w:hAnsi="仿宋" w:eastAsia="仿宋" w:cs="仿宋"/>
          <w:color w:val="000000"/>
          <w:sz w:val="24"/>
          <w:highlight w:val="none"/>
        </w:rPr>
        <w:t>（3）未通过资格预审的申请供应商递交的；</w:t>
      </w:r>
      <w:r>
        <w:rPr>
          <w:rFonts w:hint="eastAsia" w:ascii="仿宋" w:hAnsi="仿宋" w:eastAsia="仿宋" w:cs="仿宋"/>
          <w:i/>
          <w:sz w:val="24"/>
          <w:highlight w:val="none"/>
        </w:rPr>
        <w:t>（资格预审项目适用）</w:t>
      </w:r>
    </w:p>
    <w:p w14:paraId="4364FF5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（4）未按比选公告或者响应公告书要求获得本项目比选文件的。</w:t>
      </w:r>
    </w:p>
    <w:p w14:paraId="14A4CBD5">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16.响应文件的修改、撤回和撤销</w:t>
      </w:r>
    </w:p>
    <w:p w14:paraId="112C5D55">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16.1</w:t>
      </w:r>
      <w:r>
        <w:rPr>
          <w:rFonts w:hint="eastAsia" w:ascii="仿宋" w:hAnsi="仿宋" w:eastAsia="仿宋" w:cs="仿宋"/>
          <w:color w:val="000000"/>
          <w:spacing w:val="-4"/>
          <w:kern w:val="0"/>
          <w:sz w:val="24"/>
          <w:highlight w:val="none"/>
        </w:rPr>
        <w:t>在</w:t>
      </w:r>
      <w:r>
        <w:rPr>
          <w:rFonts w:hint="eastAsia" w:ascii="仿宋" w:hAnsi="仿宋" w:eastAsia="仿宋" w:cs="仿宋"/>
          <w:color w:val="000000"/>
          <w:kern w:val="0"/>
          <w:sz w:val="24"/>
          <w:highlight w:val="none"/>
        </w:rPr>
        <w:t>比选文件</w:t>
      </w:r>
      <w:r>
        <w:rPr>
          <w:rFonts w:hint="eastAsia" w:ascii="仿宋" w:hAnsi="仿宋" w:eastAsia="仿宋" w:cs="仿宋"/>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仿宋"/>
          <w:color w:val="000000"/>
          <w:spacing w:val="-4"/>
          <w:kern w:val="0"/>
          <w:sz w:val="24"/>
          <w:highlight w:val="none"/>
        </w:rPr>
        <w:t>递交截止时间前，</w:t>
      </w:r>
      <w:r>
        <w:rPr>
          <w:rFonts w:hint="eastAsia" w:ascii="仿宋" w:hAnsi="仿宋" w:eastAsia="仿宋" w:cs="仿宋"/>
          <w:color w:val="000000"/>
          <w:kern w:val="0"/>
          <w:sz w:val="24"/>
          <w:highlight w:val="none"/>
        </w:rPr>
        <w:t>可以补充、修改或撤回已提交的响应文件。补充、修改的内容为响应文件的组成部分，应当在响应文件递交截止时间前按照比选文件的规定进行递交。</w:t>
      </w:r>
    </w:p>
    <w:p w14:paraId="6E054D22">
      <w:pPr>
        <w:pStyle w:val="18"/>
        <w:spacing w:line="360" w:lineRule="auto"/>
        <w:jc w:val="left"/>
        <w:rPr>
          <w:rFonts w:hint="eastAsia" w:ascii="仿宋" w:hAnsi="仿宋" w:eastAsia="仿宋" w:cs="仿宋"/>
          <w:highlight w:val="none"/>
        </w:rPr>
      </w:pPr>
      <w:bookmarkStart w:id="167" w:name="_Toc246996945"/>
      <w:bookmarkStart w:id="168" w:name="_Toc179632576"/>
      <w:bookmarkStart w:id="169" w:name="_Toc152045558"/>
      <w:bookmarkStart w:id="170" w:name="_Toc334766948"/>
      <w:bookmarkStart w:id="171" w:name="_Toc332188194"/>
      <w:bookmarkStart w:id="172" w:name="_Toc246996202"/>
      <w:bookmarkStart w:id="173" w:name="_Toc144974526"/>
      <w:bookmarkStart w:id="174" w:name="_Toc152042334"/>
      <w:bookmarkStart w:id="175" w:name="_Toc247085716"/>
      <w:bookmarkStart w:id="176" w:name="_Toc326223561"/>
      <w:r>
        <w:rPr>
          <w:rFonts w:hint="eastAsia" w:ascii="仿宋" w:hAnsi="仿宋" w:eastAsia="仿宋" w:cs="仿宋"/>
          <w:color w:val="000000"/>
          <w:sz w:val="24"/>
          <w:highlight w:val="none"/>
        </w:rPr>
        <w:t>16.2</w:t>
      </w:r>
      <w:bookmarkEnd w:id="167"/>
      <w:bookmarkEnd w:id="168"/>
      <w:bookmarkEnd w:id="169"/>
      <w:bookmarkEnd w:id="170"/>
      <w:bookmarkEnd w:id="171"/>
      <w:bookmarkEnd w:id="172"/>
      <w:bookmarkEnd w:id="173"/>
      <w:bookmarkEnd w:id="174"/>
      <w:bookmarkEnd w:id="175"/>
      <w:bookmarkEnd w:id="176"/>
      <w:r>
        <w:rPr>
          <w:rFonts w:hint="eastAsia" w:ascii="仿宋" w:hAnsi="仿宋" w:eastAsia="仿宋" w:cs="仿宋"/>
          <w:color w:val="000000"/>
          <w:sz w:val="24"/>
          <w:highlight w:val="none"/>
        </w:rPr>
        <w:t xml:space="preserve"> </w:t>
      </w:r>
      <w:r>
        <w:rPr>
          <w:rFonts w:hint="eastAsia" w:ascii="仿宋" w:hAnsi="仿宋" w:eastAsia="仿宋" w:cs="仿宋"/>
          <w:color w:val="000000"/>
          <w:kern w:val="0"/>
          <w:sz w:val="24"/>
          <w:highlight w:val="none"/>
        </w:rPr>
        <w:t>响应文件递交截止时间后，供应商在响应有效期内撤销其响应文件，比选保证金不予退还。</w:t>
      </w:r>
    </w:p>
    <w:p w14:paraId="5C6D0796">
      <w:pPr>
        <w:pStyle w:val="4"/>
        <w:spacing w:before="0" w:after="0" w:line="360" w:lineRule="auto"/>
        <w:rPr>
          <w:rFonts w:hint="eastAsia" w:ascii="仿宋" w:hAnsi="仿宋" w:eastAsia="仿宋" w:cs="仿宋"/>
          <w:color w:val="000000"/>
          <w:sz w:val="24"/>
          <w:szCs w:val="24"/>
          <w:highlight w:val="none"/>
        </w:rPr>
      </w:pPr>
      <w:bookmarkStart w:id="177" w:name="_Toc20741"/>
      <w:bookmarkStart w:id="178" w:name="_Toc2055"/>
      <w:bookmarkStart w:id="179" w:name="_Toc233292440"/>
      <w:bookmarkStart w:id="180" w:name="_Toc216971032"/>
      <w:bookmarkStart w:id="181" w:name="_Toc2636"/>
      <w:bookmarkStart w:id="182" w:name="_Toc444891341"/>
      <w:bookmarkStart w:id="183" w:name="_Toc30466"/>
      <w:bookmarkStart w:id="184" w:name="_Toc287600123"/>
      <w:bookmarkStart w:id="185" w:name="_Toc12797"/>
      <w:bookmarkStart w:id="186" w:name="_Toc197680982"/>
      <w:bookmarkStart w:id="187" w:name="_Toc219195982"/>
      <w:bookmarkStart w:id="188" w:name="_Toc231201477"/>
      <w:bookmarkStart w:id="189" w:name="_Toc11361"/>
      <w:bookmarkStart w:id="190" w:name="_Toc517281821"/>
      <w:r>
        <w:rPr>
          <w:rFonts w:hint="eastAsia" w:ascii="仿宋" w:hAnsi="仿宋" w:eastAsia="仿宋" w:cs="仿宋"/>
          <w:color w:val="000000"/>
          <w:sz w:val="24"/>
          <w:szCs w:val="24"/>
          <w:highlight w:val="none"/>
        </w:rPr>
        <w:t>（五）比选和评审</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5DC8F79B">
      <w:pPr>
        <w:pStyle w:val="5"/>
        <w:spacing w:before="0" w:after="0" w:line="360" w:lineRule="auto"/>
        <w:jc w:val="left"/>
        <w:rPr>
          <w:rFonts w:hint="eastAsia" w:ascii="仿宋" w:hAnsi="仿宋" w:eastAsia="仿宋" w:cs="仿宋"/>
          <w:color w:val="000000"/>
          <w:sz w:val="24"/>
          <w:szCs w:val="24"/>
          <w:highlight w:val="none"/>
        </w:rPr>
      </w:pPr>
      <w:bookmarkStart w:id="191" w:name="_Toc234223229"/>
      <w:bookmarkStart w:id="192" w:name="_Toc234223227"/>
      <w:r>
        <w:rPr>
          <w:rFonts w:hint="eastAsia" w:ascii="仿宋" w:hAnsi="仿宋" w:eastAsia="仿宋" w:cs="仿宋"/>
          <w:color w:val="000000"/>
          <w:sz w:val="24"/>
          <w:szCs w:val="24"/>
          <w:highlight w:val="none"/>
        </w:rPr>
        <w:t>17.组建</w:t>
      </w:r>
      <w:bookmarkEnd w:id="191"/>
      <w:r>
        <w:rPr>
          <w:rFonts w:hint="eastAsia" w:ascii="仿宋" w:hAnsi="仿宋" w:eastAsia="仿宋" w:cs="仿宋"/>
          <w:color w:val="000000"/>
          <w:sz w:val="24"/>
          <w:szCs w:val="24"/>
          <w:highlight w:val="none"/>
        </w:rPr>
        <w:t>评审委员会</w:t>
      </w:r>
    </w:p>
    <w:p w14:paraId="01CFE7A7">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17.1采购人依照企业采购管理制度的相关规定组建X人及以上单数的评审委员会，具体人数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kern w:val="0"/>
          <w:sz w:val="24"/>
          <w:highlight w:val="none"/>
        </w:rPr>
        <w:t>，评审委员会成员名单在成交结果确定前保密。</w:t>
      </w:r>
    </w:p>
    <w:p w14:paraId="1FF6AC30">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17.2评审委员会成员应当按照客观、公正、审慎的原则，根据比选文件规定的评审程序、评审方法和评审标准进行独立评审。</w:t>
      </w:r>
    </w:p>
    <w:p w14:paraId="553881F5">
      <w:pPr>
        <w:pStyle w:val="5"/>
        <w:spacing w:before="0" w:after="0" w:line="360" w:lineRule="auto"/>
        <w:jc w:val="left"/>
        <w:rPr>
          <w:rFonts w:hint="eastAsia" w:ascii="仿宋" w:hAnsi="仿宋" w:eastAsia="仿宋" w:cs="仿宋"/>
          <w:color w:val="000000"/>
          <w:sz w:val="24"/>
          <w:szCs w:val="24"/>
          <w:highlight w:val="none"/>
        </w:rPr>
      </w:pPr>
      <w:bookmarkStart w:id="193" w:name="_Toc234223228"/>
      <w:r>
        <w:rPr>
          <w:rFonts w:hint="eastAsia" w:ascii="仿宋" w:hAnsi="仿宋" w:eastAsia="仿宋" w:cs="仿宋"/>
          <w:color w:val="000000"/>
          <w:sz w:val="24"/>
          <w:szCs w:val="24"/>
          <w:highlight w:val="none"/>
        </w:rPr>
        <w:t>18.初步评审</w:t>
      </w:r>
    </w:p>
    <w:p w14:paraId="73DE80A6">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18.1评审委员会按照第三章评审办法中初步评审的内容及要求，对响应文件进行初步评审。通过初步评审的供应商进入比选环节，未通过初步评审的供应商，其比选响应将被否决，不进入比选、详细评审等后续环节。</w:t>
      </w:r>
    </w:p>
    <w:p w14:paraId="39FA48AE">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18.2评审委员会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51C31619">
      <w:pPr>
        <w:widowControl/>
        <w:topLinePunct/>
        <w:spacing w:line="360" w:lineRule="auto"/>
        <w:rPr>
          <w:rFonts w:hint="eastAsia" w:ascii="仿宋" w:hAnsi="仿宋" w:eastAsia="仿宋" w:cs="仿宋"/>
          <w:b/>
          <w:bCs/>
          <w:sz w:val="24"/>
          <w:highlight w:val="none"/>
        </w:rPr>
      </w:pPr>
      <w:r>
        <w:rPr>
          <w:rFonts w:hint="eastAsia" w:ascii="仿宋" w:hAnsi="仿宋" w:eastAsia="仿宋" w:cs="仿宋"/>
          <w:color w:val="000000"/>
          <w:kern w:val="0"/>
          <w:sz w:val="24"/>
          <w:highlight w:val="none"/>
        </w:rPr>
        <w:t>18.3评审委员会对供应商递交的澄清、说明或补正有疑问的，可以要求供应商进一步澄清、说明或者补正，直至满足评审委员会的要求。拒不按要求进行澄清、说明或者补正的供应商</w:t>
      </w:r>
      <w:r>
        <w:rPr>
          <w:rFonts w:hint="eastAsia" w:ascii="仿宋" w:hAnsi="仿宋" w:eastAsia="仿宋" w:cs="仿宋"/>
          <w:b/>
          <w:bCs/>
          <w:sz w:val="24"/>
          <w:highlight w:val="none"/>
        </w:rPr>
        <w:t>，评审委员会有权对其响应做否决处理。</w:t>
      </w:r>
    </w:p>
    <w:p w14:paraId="4433A396">
      <w:pPr>
        <w:widowControl/>
        <w:topLinePunct/>
        <w:spacing w:line="360" w:lineRule="auto"/>
        <w:rPr>
          <w:rFonts w:hint="eastAsia" w:ascii="仿宋" w:hAnsi="仿宋" w:eastAsia="仿宋" w:cs="仿宋"/>
          <w:highlight w:val="none"/>
        </w:rPr>
      </w:pPr>
      <w:r>
        <w:rPr>
          <w:rFonts w:hint="eastAsia" w:ascii="仿宋" w:hAnsi="仿宋" w:eastAsia="仿宋" w:cs="仿宋"/>
          <w:color w:val="000000"/>
          <w:kern w:val="0"/>
          <w:sz w:val="24"/>
          <w:highlight w:val="none"/>
        </w:rPr>
        <w:t>18.4评审委员会必要时可以要求供应商提交有关证明和证件的原件，以便核验。拒不按要求提供原件的供应商，</w:t>
      </w:r>
      <w:r>
        <w:rPr>
          <w:rFonts w:hint="eastAsia" w:ascii="仿宋" w:hAnsi="仿宋" w:eastAsia="仿宋" w:cs="仿宋"/>
          <w:b/>
          <w:bCs/>
          <w:sz w:val="24"/>
          <w:highlight w:val="none"/>
        </w:rPr>
        <w:t>评审委员会有权对其响应做否决处理。</w:t>
      </w:r>
    </w:p>
    <w:p w14:paraId="0C17778E">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19.比选程序</w:t>
      </w:r>
    </w:p>
    <w:p w14:paraId="7B522FB1">
      <w:pPr>
        <w:spacing w:line="360" w:lineRule="auto"/>
        <w:jc w:val="lef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19.1评审委员会所有成员应当集中与通过初步评审的单一供应商分别进行比选，并给予所有参加比选的供应商平等的比选机会。供应商比选顺序、比选形式以及其他要求等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sz w:val="24"/>
          <w:highlight w:val="none"/>
          <w:u w:val="single"/>
        </w:rPr>
        <w:t>详见本须知前附表。</w:t>
      </w:r>
    </w:p>
    <w:p w14:paraId="1AFC807B">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19.2评审委员会与供应商就比选文件中的价格、商务内容、技术内容或有待供应商进一步明确的内容等进行一对一比选，并要求实质性响应的供应商提交最终报价。具体比选内容详见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63D9A6CE">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19.3评审委员会可视情况要求供应商进行多轮比选及报价。比选中，任何一方不得向第三方透露与比选有关的任何信息。</w:t>
      </w:r>
    </w:p>
    <w:bookmarkEnd w:id="193"/>
    <w:p w14:paraId="2FE1088D">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19.4各轮报价有算术错误的，评审委员会按照以下原则对报价进行修正，修正的价格经供应商书面确认后具有约束力。供应商不接受或不确认修正后价格的，评审委员会</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14:paraId="6711C94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14:paraId="3063DAF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92"/>
    <w:p w14:paraId="01D45A0D">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20.详细评审</w:t>
      </w:r>
    </w:p>
    <w:p w14:paraId="4A8F652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20.1评审委员会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7A28B7D3">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20.2发生以下情形之一的，原则上做终止采购处理：</w:t>
      </w:r>
    </w:p>
    <w:p w14:paraId="07211A02">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14:paraId="1BEF780D">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14:paraId="4CDD3C7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（3）成交人为N家（1＜N≤3）的项目，有效供应商少于2N家（不含本数）；成交人为N家（N＞3）的项目，有效供应商少于1.5N家（不含本数）。 </w:t>
      </w:r>
    </w:p>
    <w:p w14:paraId="5E65DF2C">
      <w:pPr>
        <w:widowControl/>
        <w:topLinePunc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20.3成交候选人推荐原则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color w:val="000000"/>
          <w:kern w:val="0"/>
          <w:sz w:val="24"/>
          <w:highlight w:val="none"/>
        </w:rPr>
        <w:t>成交候选人的经营、财务状况发生较大变化或者存在违法行为，采购人认为可能影响其履约能力的，应当在发出成交通知书前由原评审委员会会按照比选文件规定的标准和方法审查确认。</w:t>
      </w:r>
    </w:p>
    <w:p w14:paraId="052F866F">
      <w:pPr>
        <w:pStyle w:val="4"/>
        <w:spacing w:before="0" w:after="0" w:line="360" w:lineRule="auto"/>
        <w:rPr>
          <w:rFonts w:hint="eastAsia" w:ascii="仿宋" w:hAnsi="仿宋" w:eastAsia="仿宋" w:cs="仿宋"/>
          <w:color w:val="000000"/>
          <w:sz w:val="24"/>
          <w:szCs w:val="24"/>
          <w:highlight w:val="none"/>
        </w:rPr>
      </w:pPr>
      <w:bookmarkStart w:id="194" w:name="_Toc28031"/>
      <w:bookmarkStart w:id="195" w:name="_Toc13936"/>
      <w:bookmarkStart w:id="196" w:name="_Toc219195983"/>
      <w:bookmarkStart w:id="197" w:name="_Toc287600124"/>
      <w:bookmarkStart w:id="198" w:name="_Toc16781"/>
      <w:bookmarkStart w:id="199" w:name="_Toc444891342"/>
      <w:bookmarkStart w:id="200" w:name="_Toc234223231"/>
      <w:bookmarkStart w:id="201" w:name="_Toc517281822"/>
      <w:bookmarkStart w:id="202" w:name="_Toc2322"/>
      <w:bookmarkStart w:id="203" w:name="_Toc216971033"/>
      <w:bookmarkStart w:id="204" w:name="_Toc197680983"/>
      <w:bookmarkStart w:id="205" w:name="_Toc231201478"/>
      <w:bookmarkStart w:id="206" w:name="_Toc19451"/>
      <w:bookmarkStart w:id="207" w:name="_Toc9911"/>
      <w:bookmarkStart w:id="208" w:name="_Toc233292441"/>
      <w:r>
        <w:rPr>
          <w:rFonts w:hint="eastAsia" w:ascii="仿宋" w:hAnsi="仿宋" w:eastAsia="仿宋" w:cs="仿宋"/>
          <w:color w:val="000000"/>
          <w:sz w:val="24"/>
          <w:szCs w:val="24"/>
          <w:highlight w:val="none"/>
        </w:rPr>
        <w:t>（六）授予合同</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0B4515F0">
      <w:pPr>
        <w:pStyle w:val="5"/>
        <w:spacing w:before="0" w:after="0" w:line="360" w:lineRule="auto"/>
        <w:jc w:val="left"/>
        <w:rPr>
          <w:rFonts w:hint="eastAsia" w:ascii="仿宋" w:hAnsi="仿宋" w:eastAsia="仿宋" w:cs="仿宋"/>
          <w:color w:val="000000"/>
          <w:sz w:val="24"/>
          <w:szCs w:val="24"/>
          <w:highlight w:val="none"/>
        </w:rPr>
      </w:pPr>
      <w:bookmarkStart w:id="209" w:name="_Toc234223232"/>
      <w:r>
        <w:rPr>
          <w:rFonts w:hint="eastAsia" w:ascii="仿宋" w:hAnsi="仿宋" w:eastAsia="仿宋" w:cs="仿宋"/>
          <w:color w:val="000000"/>
          <w:sz w:val="24"/>
          <w:szCs w:val="24"/>
          <w:highlight w:val="none"/>
        </w:rPr>
        <w:t>21.确定</w:t>
      </w:r>
      <w:bookmarkEnd w:id="209"/>
      <w:r>
        <w:rPr>
          <w:rFonts w:hint="eastAsia" w:ascii="仿宋" w:hAnsi="仿宋" w:eastAsia="仿宋" w:cs="仿宋"/>
          <w:color w:val="000000"/>
          <w:sz w:val="24"/>
          <w:szCs w:val="24"/>
          <w:highlight w:val="none"/>
        </w:rPr>
        <w:t>成交人</w:t>
      </w:r>
    </w:p>
    <w:p w14:paraId="746741D8">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21.1采购人依据评审委员会推荐的成交候选人名单确定成交人，成交人数量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3855FB5F">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21.2成交人确定后，采购人应当向成交人发出成交通知书，同时将成交结果通知所有未成交的供应商。成交通知书对采购人和成交人均具有法律效力。成交人收到成交通知书后放弃成交的，应当承担法律责任。</w:t>
      </w:r>
    </w:p>
    <w:p w14:paraId="559947BF">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22.签订合同</w:t>
      </w:r>
    </w:p>
    <w:p w14:paraId="74625B3A">
      <w:pPr>
        <w:widowControl/>
        <w:topLinePunc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22.1采购人与成交人按照比选文件和成交人的响应文件</w:t>
      </w:r>
      <w:r>
        <w:rPr>
          <w:rFonts w:hint="eastAsia" w:ascii="仿宋" w:hAnsi="仿宋" w:eastAsia="仿宋" w:cs="仿宋"/>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rPr>
        <w:t>比选文件</w:t>
      </w:r>
      <w:r>
        <w:rPr>
          <w:rFonts w:hint="eastAsia" w:ascii="仿宋" w:hAnsi="仿宋" w:eastAsia="仿宋" w:cs="仿宋"/>
          <w:color w:val="000000"/>
          <w:kern w:val="0"/>
          <w:sz w:val="24"/>
          <w:highlight w:val="none"/>
        </w:rPr>
        <w:t>和</w:t>
      </w:r>
      <w:r>
        <w:rPr>
          <w:rFonts w:hint="eastAsia" w:ascii="仿宋" w:hAnsi="仿宋" w:eastAsia="仿宋" w:cs="仿宋"/>
          <w:color w:val="000000"/>
          <w:sz w:val="24"/>
          <w:highlight w:val="none"/>
        </w:rPr>
        <w:t>成交</w:t>
      </w:r>
      <w:r>
        <w:rPr>
          <w:rFonts w:hint="eastAsia" w:ascii="仿宋" w:hAnsi="仿宋" w:eastAsia="仿宋" w:cs="仿宋"/>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仿宋"/>
          <w:color w:val="000000"/>
          <w:kern w:val="0"/>
          <w:sz w:val="24"/>
          <w:highlight w:val="none"/>
        </w:rPr>
        <w:t>文件的内容一致。</w:t>
      </w:r>
    </w:p>
    <w:p w14:paraId="7C52AF09">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 xml:space="preserve">22.2 </w:t>
      </w:r>
      <w:r>
        <w:rPr>
          <w:rFonts w:hint="eastAsia" w:ascii="仿宋" w:hAnsi="仿宋" w:eastAsia="仿宋" w:cs="仿宋"/>
          <w:color w:val="000000"/>
          <w:kern w:val="0"/>
          <w:sz w:val="24"/>
          <w:highlight w:val="none"/>
        </w:rPr>
        <w:t>成交人无正当理由不与采购人订立合同，在签订合同时向采购人提出附加条件，将取消其成交资格。给采购人造成损失的，成交人应当予以赔偿。</w:t>
      </w:r>
    </w:p>
    <w:p w14:paraId="0B11ECED">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22.3比选文件要求成交人提交履约保证金的，成交人应当按照</w:t>
      </w:r>
      <w:r>
        <w:rPr>
          <w:rFonts w:hint="eastAsia" w:ascii="仿宋" w:hAnsi="仿宋" w:eastAsia="仿宋" w:cs="仿宋"/>
          <w:color w:val="000000"/>
          <w:kern w:val="0"/>
          <w:sz w:val="24"/>
          <w:highlight w:val="none"/>
          <w:u w:val="single"/>
        </w:rPr>
        <w:t>本须知前附表</w:t>
      </w:r>
      <w:r>
        <w:rPr>
          <w:rFonts w:hint="eastAsia" w:ascii="仿宋" w:hAnsi="仿宋" w:eastAsia="仿宋" w:cs="仿宋"/>
          <w:color w:val="000000"/>
          <w:kern w:val="0"/>
          <w:sz w:val="24"/>
          <w:highlight w:val="none"/>
        </w:rPr>
        <w:t>要求的金额和方式递交。成交人如不按要求提交履约保证金，将取消其成交资格，比选保证金不予退还。</w:t>
      </w:r>
    </w:p>
    <w:p w14:paraId="49BAEEED">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22.4成交供应商不履行与采购人订立的合同的，履约保证金不予退还，给采购人造成的损失超过履约保证金数额的，还应当对超过部分予以赔偿；没有提交履约保证金的，应当对采购人的损失承担赔偿责任。</w:t>
      </w:r>
    </w:p>
    <w:p w14:paraId="236CE818">
      <w:pPr>
        <w:pStyle w:val="4"/>
        <w:spacing w:before="0" w:after="0" w:line="360" w:lineRule="auto"/>
        <w:rPr>
          <w:rFonts w:hint="eastAsia" w:ascii="仿宋" w:hAnsi="仿宋" w:eastAsia="仿宋" w:cs="仿宋"/>
          <w:color w:val="000000"/>
          <w:sz w:val="24"/>
          <w:szCs w:val="24"/>
          <w:highlight w:val="none"/>
        </w:rPr>
      </w:pPr>
      <w:bookmarkStart w:id="210" w:name="_Toc216971034"/>
      <w:bookmarkStart w:id="211" w:name="_Toc197680984"/>
      <w:bookmarkStart w:id="212" w:name="_Toc219195984"/>
      <w:bookmarkStart w:id="213" w:name="_Toc6132"/>
      <w:bookmarkStart w:id="214" w:name="_Toc14533"/>
      <w:bookmarkStart w:id="215" w:name="_Toc233292442"/>
      <w:bookmarkStart w:id="216" w:name="_Toc231201479"/>
      <w:bookmarkStart w:id="217" w:name="_Toc234223235"/>
      <w:r>
        <w:rPr>
          <w:rFonts w:hint="eastAsia" w:ascii="仿宋" w:hAnsi="仿宋" w:eastAsia="仿宋" w:cs="仿宋"/>
          <w:color w:val="000000"/>
          <w:sz w:val="24"/>
          <w:szCs w:val="24"/>
          <w:highlight w:val="none"/>
        </w:rPr>
        <w:t>（七）其他</w:t>
      </w:r>
      <w:bookmarkEnd w:id="210"/>
      <w:bookmarkEnd w:id="211"/>
      <w:bookmarkEnd w:id="212"/>
      <w:bookmarkEnd w:id="213"/>
      <w:bookmarkEnd w:id="214"/>
      <w:bookmarkEnd w:id="215"/>
      <w:bookmarkEnd w:id="216"/>
    </w:p>
    <w:p w14:paraId="2410AD13">
      <w:pPr>
        <w:pStyle w:val="5"/>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23.采购代理服务费</w:t>
      </w:r>
      <w:bookmarkEnd w:id="217"/>
    </w:p>
    <w:p w14:paraId="2ECC68E7">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72E125D4">
      <w:pPr>
        <w:pStyle w:val="5"/>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24.其他情况</w:t>
      </w:r>
    </w:p>
    <w:p w14:paraId="427533E5">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31118C58">
      <w:pPr>
        <w:rPr>
          <w:rFonts w:hint="eastAsia" w:ascii="仿宋" w:hAnsi="仿宋" w:eastAsia="仿宋" w:cs="仿宋"/>
          <w:color w:val="000000"/>
          <w:highlight w:val="none"/>
        </w:rPr>
        <w:sectPr>
          <w:footerReference r:id="rId10" w:type="default"/>
          <w:pgSz w:w="11906" w:h="16838"/>
          <w:pgMar w:top="1418" w:right="1418" w:bottom="1134" w:left="1418" w:header="851" w:footer="992" w:gutter="0"/>
          <w:cols w:space="720" w:num="1"/>
          <w:docGrid w:type="lines" w:linePitch="312" w:charSpace="0"/>
        </w:sectPr>
      </w:pPr>
    </w:p>
    <w:p w14:paraId="3E24A43C">
      <w:pPr>
        <w:pStyle w:val="2"/>
        <w:spacing w:before="0" w:after="0" w:line="360" w:lineRule="auto"/>
        <w:jc w:val="center"/>
        <w:rPr>
          <w:rFonts w:hint="eastAsia" w:ascii="仿宋" w:hAnsi="仿宋" w:eastAsia="仿宋" w:cs="仿宋"/>
          <w:bCs w:val="0"/>
          <w:color w:val="000000"/>
          <w:sz w:val="28"/>
          <w:szCs w:val="28"/>
          <w:highlight w:val="none"/>
        </w:rPr>
      </w:pPr>
      <w:bookmarkStart w:id="218" w:name="_Toc233292443"/>
      <w:bookmarkStart w:id="219" w:name="_Toc444891343"/>
      <w:bookmarkStart w:id="220" w:name="_Toc517281824"/>
      <w:r>
        <w:rPr>
          <w:rFonts w:hint="eastAsia" w:ascii="仿宋" w:hAnsi="仿宋" w:eastAsia="仿宋" w:cs="仿宋"/>
          <w:bCs w:val="0"/>
          <w:color w:val="000000"/>
          <w:sz w:val="28"/>
          <w:szCs w:val="28"/>
          <w:highlight w:val="none"/>
        </w:rPr>
        <w:t>第三章 评审办法</w:t>
      </w:r>
      <w:bookmarkEnd w:id="218"/>
    </w:p>
    <w:p w14:paraId="1EBD5469">
      <w:pPr>
        <w:pStyle w:val="3"/>
        <w:ind w:firstLine="0" w:firstLineChars="0"/>
        <w:jc w:val="left"/>
        <w:rPr>
          <w:rFonts w:hint="eastAsia" w:ascii="仿宋" w:hAnsi="仿宋" w:eastAsia="仿宋" w:cs="仿宋"/>
          <w:color w:val="000000"/>
          <w:sz w:val="24"/>
          <w:szCs w:val="24"/>
          <w:highlight w:val="none"/>
        </w:rPr>
      </w:pPr>
      <w:bookmarkStart w:id="221" w:name="_Toc231201481"/>
      <w:bookmarkStart w:id="222" w:name="_Toc219195986"/>
      <w:bookmarkStart w:id="223" w:name="_Toc7201"/>
      <w:bookmarkStart w:id="224" w:name="_Toc197680986"/>
      <w:bookmarkStart w:id="225" w:name="_Toc216971036"/>
      <w:bookmarkStart w:id="226" w:name="_Toc444891344"/>
      <w:bookmarkStart w:id="227" w:name="_Toc233292444"/>
      <w:bookmarkStart w:id="228" w:name="_Toc517281825"/>
      <w:bookmarkStart w:id="229" w:name="_Toc227057964"/>
      <w:bookmarkStart w:id="230" w:name="_Toc226969358"/>
      <w:r>
        <w:rPr>
          <w:rFonts w:hint="eastAsia" w:ascii="仿宋" w:hAnsi="仿宋" w:eastAsia="仿宋" w:cs="仿宋"/>
          <w:color w:val="000000"/>
          <w:sz w:val="24"/>
          <w:szCs w:val="24"/>
          <w:highlight w:val="none"/>
        </w:rPr>
        <w:t>一、评审程序</w:t>
      </w:r>
      <w:bookmarkEnd w:id="221"/>
      <w:bookmarkEnd w:id="222"/>
      <w:bookmarkEnd w:id="223"/>
      <w:bookmarkEnd w:id="224"/>
      <w:bookmarkEnd w:id="225"/>
      <w:bookmarkEnd w:id="226"/>
      <w:bookmarkEnd w:id="227"/>
      <w:bookmarkEnd w:id="228"/>
    </w:p>
    <w:p w14:paraId="605C05FA">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评审委员会</w:t>
      </w:r>
      <w:r>
        <w:rPr>
          <w:rFonts w:hint="eastAsia" w:ascii="仿宋" w:hAnsi="仿宋" w:eastAsia="仿宋" w:cs="仿宋"/>
          <w:color w:val="000000"/>
          <w:kern w:val="0"/>
          <w:sz w:val="24"/>
          <w:highlight w:val="none"/>
        </w:rPr>
        <w:t>对响应文件中的相关内容进行评审。评审按照以下程序进行：</w:t>
      </w:r>
    </w:p>
    <w:p w14:paraId="455E2CC0">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1.熟悉比选文件；</w:t>
      </w:r>
    </w:p>
    <w:p w14:paraId="48E78EED">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2.对响应文件进行初步评审，检查响应文件是否满足比选文件的初审要求；初步评审中不符合评审标准的，将做否决比选响应处理；</w:t>
      </w:r>
    </w:p>
    <w:p w14:paraId="7662F761">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3.供应商有以下情形之一的，评审委员会应当否决其比选响应：</w:t>
      </w:r>
    </w:p>
    <w:p w14:paraId="4DB949E9">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（1）按照比选公告要求已经递交电子响应文件，但未按要求递交纸质响应文件；</w:t>
      </w:r>
    </w:p>
    <w:p w14:paraId="58554B48">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14:paraId="5B35E89D">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14:paraId="3E29B89C">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（4）不符合国家或者比选文件规定的资格条件；</w:t>
      </w:r>
    </w:p>
    <w:p w14:paraId="619C0FE3">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（5）同一供应商提交两个以上不同的响应文件或者响应报价，但比选文件要求提交备选文件的除外；</w:t>
      </w:r>
    </w:p>
    <w:p w14:paraId="3B1A61CA">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rPr>
        <w:t>（6）</w:t>
      </w:r>
      <w:r>
        <w:rPr>
          <w:rFonts w:hint="eastAsia" w:ascii="仿宋" w:hAnsi="仿宋" w:eastAsia="仿宋" w:cs="仿宋"/>
          <w:color w:val="000000"/>
          <w:kern w:val="0"/>
          <w:sz w:val="24"/>
          <w:highlight w:val="none"/>
        </w:rPr>
        <w:t>最终报价低于成本或者高于比选文件设定的最高投标限价；</w:t>
      </w:r>
    </w:p>
    <w:p w14:paraId="7E26528D">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 xml:space="preserve">（7）响应文件未对比选文件的实质性要求和条件作出响应； </w:t>
      </w:r>
    </w:p>
    <w:p w14:paraId="1F39F910">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（8）供应商有串通投标、弄虚作假、行贿等违法行为；</w:t>
      </w:r>
    </w:p>
    <w:p w14:paraId="0E14AECF">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（9）不接受或不确认因算术性错误进行的价格修正；</w:t>
      </w:r>
    </w:p>
    <w:p w14:paraId="4A83066D">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（10）响应文件附有采购人不能接受的条件；</w:t>
      </w:r>
    </w:p>
    <w:p w14:paraId="1F9A6B87">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（11）不符合比选文件中规定的其他实质性要求。</w:t>
      </w:r>
    </w:p>
    <w:p w14:paraId="021BCB0D">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rPr>
        <w:t>4.初步评审</w:t>
      </w:r>
      <w:r>
        <w:rPr>
          <w:rFonts w:hint="eastAsia" w:ascii="仿宋" w:hAnsi="仿宋" w:eastAsia="仿宋" w:cs="仿宋"/>
          <w:color w:val="000000"/>
          <w:kern w:val="0"/>
          <w:sz w:val="24"/>
          <w:highlight w:val="none"/>
          <w:lang w:val="zh-CN"/>
        </w:rPr>
        <w:t>内容允许在比选过程中按评审委员会规定的时间内补充，若未在规定时间内补充则将导致响应无效。</w:t>
      </w:r>
    </w:p>
    <w:p w14:paraId="7F495D41">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5.通过初步评审的供应商分别进行比选；</w:t>
      </w:r>
    </w:p>
    <w:p w14:paraId="3C8B74E9">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6.通过初步评审的供应商进行最终报价；</w:t>
      </w:r>
    </w:p>
    <w:p w14:paraId="4D10E795">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7.通过初步评审的响应文件进行详细评审及打分；</w:t>
      </w:r>
    </w:p>
    <w:p w14:paraId="1C913046">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rPr>
        <w:t>8.按照综合评分由高到低的次序推荐成交候选人，提交评审报告，评审报告应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14:paraId="08F5AB8D">
      <w:pPr>
        <w:pStyle w:val="3"/>
        <w:ind w:firstLine="0" w:firstLineChars="0"/>
        <w:jc w:val="left"/>
        <w:rPr>
          <w:rFonts w:hint="eastAsia" w:ascii="仿宋" w:hAnsi="仿宋" w:eastAsia="仿宋" w:cs="仿宋"/>
          <w:color w:val="000000"/>
          <w:sz w:val="24"/>
          <w:szCs w:val="24"/>
          <w:highlight w:val="none"/>
        </w:rPr>
      </w:pPr>
      <w:bookmarkStart w:id="231" w:name="_Toc517281826"/>
      <w:bookmarkStart w:id="232" w:name="_Toc444891345"/>
      <w:r>
        <w:rPr>
          <w:rFonts w:hint="eastAsia" w:ascii="仿宋" w:hAnsi="仿宋" w:eastAsia="仿宋" w:cs="仿宋"/>
          <w:color w:val="000000"/>
          <w:sz w:val="24"/>
          <w:szCs w:val="24"/>
          <w:highlight w:val="none"/>
        </w:rPr>
        <w:br w:type="page"/>
      </w:r>
      <w:bookmarkStart w:id="233" w:name="_Toc32019"/>
      <w:bookmarkStart w:id="234" w:name="_Toc216971037"/>
      <w:bookmarkStart w:id="235" w:name="_Toc233292445"/>
      <w:bookmarkStart w:id="236" w:name="_Toc219195987"/>
      <w:bookmarkStart w:id="237" w:name="_Toc231201482"/>
      <w:bookmarkStart w:id="238" w:name="_Toc197680987"/>
      <w:r>
        <w:rPr>
          <w:rFonts w:hint="eastAsia" w:ascii="仿宋" w:hAnsi="仿宋" w:eastAsia="仿宋" w:cs="仿宋"/>
          <w:color w:val="000000"/>
          <w:sz w:val="24"/>
          <w:szCs w:val="24"/>
          <w:highlight w:val="none"/>
        </w:rPr>
        <w:t>二、初步评审</w:t>
      </w:r>
      <w:bookmarkEnd w:id="231"/>
      <w:bookmarkEnd w:id="232"/>
      <w:bookmarkEnd w:id="233"/>
      <w:bookmarkEnd w:id="234"/>
      <w:bookmarkEnd w:id="235"/>
      <w:bookmarkEnd w:id="236"/>
      <w:bookmarkEnd w:id="237"/>
      <w:bookmarkEnd w:id="238"/>
    </w:p>
    <w:bookmarkEnd w:id="229"/>
    <w:bookmarkEnd w:id="230"/>
    <w:tbl>
      <w:tblPr>
        <w:tblStyle w:val="41"/>
        <w:tblW w:w="507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580"/>
        <w:gridCol w:w="1059"/>
        <w:gridCol w:w="1725"/>
        <w:gridCol w:w="6035"/>
      </w:tblGrid>
      <w:tr w14:paraId="795B283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Align w:val="center"/>
          </w:tcPr>
          <w:p w14:paraId="53C2E397">
            <w:pPr>
              <w:widowControl/>
              <w:spacing w:line="360" w:lineRule="auto"/>
              <w:jc w:val="center"/>
              <w:rPr>
                <w:rFonts w:hint="eastAsia" w:ascii="仿宋" w:hAnsi="仿宋" w:eastAsia="仿宋" w:cs="仿宋"/>
                <w:b/>
                <w:color w:val="000000"/>
                <w:kern w:val="0"/>
                <w:sz w:val="22"/>
                <w:szCs w:val="22"/>
                <w:highlight w:val="none"/>
              </w:rPr>
            </w:pPr>
            <w:bookmarkStart w:id="239" w:name="_Toc444891346"/>
            <w:bookmarkStart w:id="240" w:name="_Toc4633"/>
            <w:bookmarkStart w:id="241" w:name="_Toc517281827"/>
            <w:bookmarkStart w:id="242" w:name="_Toc426620345"/>
            <w:bookmarkStart w:id="243" w:name="_Toc13468"/>
            <w:bookmarkStart w:id="244" w:name="_Toc9003"/>
            <w:r>
              <w:rPr>
                <w:rFonts w:hint="eastAsia" w:ascii="仿宋" w:hAnsi="仿宋" w:eastAsia="仿宋" w:cs="仿宋"/>
                <w:b/>
                <w:color w:val="000000"/>
                <w:kern w:val="0"/>
                <w:sz w:val="22"/>
                <w:szCs w:val="22"/>
                <w:highlight w:val="none"/>
              </w:rPr>
              <w:t>序号</w:t>
            </w:r>
          </w:p>
        </w:tc>
        <w:tc>
          <w:tcPr>
            <w:tcW w:w="563" w:type="pct"/>
          </w:tcPr>
          <w:p w14:paraId="76A1E780">
            <w:pPr>
              <w:widowControl/>
              <w:spacing w:before="24" w:after="24" w:line="360" w:lineRule="auto"/>
              <w:jc w:val="center"/>
              <w:rPr>
                <w:rFonts w:hint="eastAsia" w:ascii="仿宋" w:hAnsi="仿宋" w:eastAsia="仿宋" w:cs="仿宋"/>
                <w:b/>
                <w:color w:val="000000"/>
                <w:kern w:val="0"/>
                <w:sz w:val="22"/>
                <w:szCs w:val="22"/>
                <w:highlight w:val="none"/>
              </w:rPr>
            </w:pPr>
            <w:r>
              <w:rPr>
                <w:rFonts w:hint="eastAsia" w:ascii="仿宋" w:hAnsi="仿宋" w:eastAsia="仿宋" w:cs="仿宋"/>
                <w:b/>
                <w:color w:val="000000"/>
                <w:kern w:val="0"/>
                <w:sz w:val="22"/>
                <w:szCs w:val="22"/>
                <w:highlight w:val="none"/>
              </w:rPr>
              <w:t>评审环节</w:t>
            </w:r>
          </w:p>
        </w:tc>
        <w:tc>
          <w:tcPr>
            <w:tcW w:w="917" w:type="pct"/>
            <w:vAlign w:val="center"/>
          </w:tcPr>
          <w:p w14:paraId="3C3B1CED">
            <w:pPr>
              <w:widowControl/>
              <w:spacing w:before="24" w:after="24" w:line="360" w:lineRule="auto"/>
              <w:jc w:val="center"/>
              <w:rPr>
                <w:rFonts w:hint="eastAsia" w:ascii="仿宋" w:hAnsi="仿宋" w:eastAsia="仿宋" w:cs="仿宋"/>
                <w:b/>
                <w:color w:val="000000"/>
                <w:kern w:val="0"/>
                <w:sz w:val="22"/>
                <w:szCs w:val="22"/>
                <w:highlight w:val="none"/>
              </w:rPr>
            </w:pPr>
            <w:r>
              <w:rPr>
                <w:rFonts w:hint="eastAsia" w:ascii="仿宋" w:hAnsi="仿宋" w:eastAsia="仿宋" w:cs="仿宋"/>
                <w:b/>
                <w:color w:val="000000"/>
                <w:kern w:val="0"/>
                <w:sz w:val="22"/>
                <w:szCs w:val="22"/>
                <w:highlight w:val="none"/>
              </w:rPr>
              <w:t>评审因素</w:t>
            </w:r>
          </w:p>
        </w:tc>
        <w:tc>
          <w:tcPr>
            <w:tcW w:w="3209" w:type="pct"/>
            <w:vAlign w:val="center"/>
          </w:tcPr>
          <w:p w14:paraId="42D17AA7">
            <w:pPr>
              <w:widowControl/>
              <w:spacing w:line="360" w:lineRule="auto"/>
              <w:jc w:val="center"/>
              <w:rPr>
                <w:rFonts w:hint="eastAsia" w:ascii="仿宋" w:hAnsi="仿宋" w:eastAsia="仿宋" w:cs="仿宋"/>
                <w:b/>
                <w:color w:val="000000"/>
                <w:kern w:val="0"/>
                <w:sz w:val="22"/>
                <w:szCs w:val="22"/>
                <w:highlight w:val="none"/>
              </w:rPr>
            </w:pPr>
            <w:r>
              <w:rPr>
                <w:rFonts w:hint="eastAsia" w:ascii="仿宋" w:hAnsi="仿宋" w:eastAsia="仿宋" w:cs="仿宋"/>
                <w:b/>
                <w:color w:val="000000"/>
                <w:kern w:val="0"/>
                <w:sz w:val="22"/>
                <w:szCs w:val="22"/>
                <w:highlight w:val="none"/>
              </w:rPr>
              <w:t>评审标准</w:t>
            </w:r>
          </w:p>
        </w:tc>
      </w:tr>
      <w:tr w14:paraId="4ACFB16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restart"/>
            <w:vAlign w:val="center"/>
          </w:tcPr>
          <w:p w14:paraId="3923A89E">
            <w:pPr>
              <w:widowControl/>
              <w:spacing w:line="360" w:lineRule="auto"/>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rPr>
              <w:t>1</w:t>
            </w:r>
          </w:p>
        </w:tc>
        <w:tc>
          <w:tcPr>
            <w:tcW w:w="563" w:type="pct"/>
            <w:vMerge w:val="restart"/>
            <w:vAlign w:val="center"/>
          </w:tcPr>
          <w:p w14:paraId="28088400">
            <w:pPr>
              <w:spacing w:before="24" w:after="24"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形式评审标准</w:t>
            </w:r>
          </w:p>
        </w:tc>
        <w:tc>
          <w:tcPr>
            <w:tcW w:w="917" w:type="pct"/>
            <w:vAlign w:val="center"/>
          </w:tcPr>
          <w:p w14:paraId="69BCBC3B">
            <w:pPr>
              <w:spacing w:before="24" w:after="24" w:line="360" w:lineRule="auto"/>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sz w:val="22"/>
                <w:szCs w:val="22"/>
                <w:highlight w:val="none"/>
              </w:rPr>
              <w:t>供应商名称</w:t>
            </w:r>
          </w:p>
        </w:tc>
        <w:tc>
          <w:tcPr>
            <w:tcW w:w="3209" w:type="pct"/>
            <w:vAlign w:val="center"/>
          </w:tcPr>
          <w:p w14:paraId="088E012C">
            <w:pPr>
              <w:spacing w:before="24" w:after="24" w:line="360" w:lineRule="auto"/>
              <w:jc w:val="left"/>
              <w:rPr>
                <w:rFonts w:hint="eastAsia" w:ascii="仿宋" w:hAnsi="仿宋" w:eastAsia="仿宋" w:cs="仿宋"/>
                <w:color w:val="000000"/>
                <w:kern w:val="0"/>
                <w:sz w:val="22"/>
                <w:szCs w:val="22"/>
                <w:highlight w:val="none"/>
              </w:rPr>
            </w:pPr>
            <w:r>
              <w:rPr>
                <w:rFonts w:hint="eastAsia" w:ascii="仿宋" w:hAnsi="仿宋" w:eastAsia="仿宋" w:cs="仿宋"/>
                <w:color w:val="000000"/>
                <w:sz w:val="22"/>
                <w:szCs w:val="22"/>
                <w:highlight w:val="none"/>
              </w:rPr>
              <w:t>与企业营业执照、单位公章等保持一致。</w:t>
            </w:r>
          </w:p>
        </w:tc>
      </w:tr>
      <w:tr w14:paraId="76F36DE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1CD49927">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tcPr>
          <w:p w14:paraId="23042883">
            <w:pPr>
              <w:spacing w:before="24" w:after="24" w:line="360" w:lineRule="auto"/>
              <w:jc w:val="center"/>
              <w:rPr>
                <w:rFonts w:hint="eastAsia" w:ascii="仿宋" w:hAnsi="仿宋" w:eastAsia="仿宋" w:cs="仿宋"/>
                <w:color w:val="000000"/>
                <w:sz w:val="22"/>
                <w:szCs w:val="22"/>
                <w:highlight w:val="none"/>
              </w:rPr>
            </w:pPr>
          </w:p>
        </w:tc>
        <w:tc>
          <w:tcPr>
            <w:tcW w:w="917" w:type="pct"/>
            <w:vAlign w:val="center"/>
          </w:tcPr>
          <w:p w14:paraId="7192FE08">
            <w:pPr>
              <w:spacing w:before="24" w:after="24" w:line="360" w:lineRule="auto"/>
              <w:jc w:val="center"/>
              <w:rPr>
                <w:rFonts w:hint="eastAsia" w:ascii="仿宋" w:hAnsi="仿宋" w:eastAsia="仿宋" w:cs="仿宋"/>
                <w:color w:val="000000"/>
                <w:spacing w:val="-4"/>
                <w:kern w:val="0"/>
                <w:sz w:val="22"/>
                <w:szCs w:val="22"/>
                <w:highlight w:val="none"/>
              </w:rPr>
            </w:pPr>
            <w:r>
              <w:rPr>
                <w:rFonts w:hint="eastAsia" w:ascii="仿宋" w:hAnsi="仿宋" w:eastAsia="仿宋" w:cs="仿宋"/>
                <w:color w:val="000000"/>
                <w:sz w:val="22"/>
                <w:szCs w:val="22"/>
                <w:highlight w:val="none"/>
              </w:rPr>
              <w:t>法定代表人（负责人）身份证明</w:t>
            </w:r>
          </w:p>
        </w:tc>
        <w:tc>
          <w:tcPr>
            <w:tcW w:w="3209" w:type="pct"/>
            <w:vAlign w:val="center"/>
          </w:tcPr>
          <w:p w14:paraId="2F286DF2">
            <w:pPr>
              <w:pStyle w:val="175"/>
              <w:topLinePunct/>
              <w:spacing w:line="360" w:lineRule="auto"/>
              <w:jc w:val="lef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1、提供法定代表人（负责人）身份证复印件。</w:t>
            </w:r>
          </w:p>
          <w:p w14:paraId="3D0EAC43">
            <w:pPr>
              <w:pStyle w:val="138"/>
              <w:tabs>
                <w:tab w:val="left" w:pos="630"/>
              </w:tabs>
              <w:topLinePunct/>
              <w:spacing w:before="62" w:beforeLines="20" w:after="62" w:afterLines="20"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2、落款加盖公章。</w:t>
            </w:r>
          </w:p>
        </w:tc>
      </w:tr>
      <w:tr w14:paraId="2D65509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73CB9EB7">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tcPr>
          <w:p w14:paraId="6594B90E">
            <w:pPr>
              <w:spacing w:before="24" w:after="24" w:line="360" w:lineRule="auto"/>
              <w:jc w:val="center"/>
              <w:rPr>
                <w:rFonts w:hint="eastAsia" w:ascii="仿宋" w:hAnsi="仿宋" w:eastAsia="仿宋" w:cs="仿宋"/>
                <w:color w:val="000000"/>
                <w:sz w:val="22"/>
                <w:szCs w:val="22"/>
                <w:highlight w:val="none"/>
              </w:rPr>
            </w:pPr>
          </w:p>
        </w:tc>
        <w:tc>
          <w:tcPr>
            <w:tcW w:w="917" w:type="pct"/>
            <w:vAlign w:val="center"/>
          </w:tcPr>
          <w:p w14:paraId="158C418E">
            <w:pPr>
              <w:spacing w:before="24" w:after="24"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法定代表人（负责人）授权委托书</w:t>
            </w:r>
          </w:p>
        </w:tc>
        <w:tc>
          <w:tcPr>
            <w:tcW w:w="3209" w:type="pct"/>
            <w:vAlign w:val="center"/>
          </w:tcPr>
          <w:p w14:paraId="40BB948A">
            <w:pPr>
              <w:pStyle w:val="175"/>
              <w:topLinePunct/>
              <w:spacing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1、提供委托代理人身份证复印件。</w:t>
            </w:r>
          </w:p>
          <w:p w14:paraId="773E558F">
            <w:pPr>
              <w:pStyle w:val="175"/>
              <w:topLinePunct/>
              <w:spacing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2、落款</w:t>
            </w:r>
            <w:r>
              <w:rPr>
                <w:rFonts w:hint="eastAsia" w:ascii="仿宋" w:hAnsi="仿宋" w:eastAsia="仿宋" w:cs="仿宋"/>
                <w:bCs/>
                <w:color w:val="000000"/>
                <w:sz w:val="22"/>
                <w:szCs w:val="22"/>
                <w:highlight w:val="none"/>
              </w:rPr>
              <w:t>加盖公章</w:t>
            </w:r>
            <w:r>
              <w:rPr>
                <w:rFonts w:hint="eastAsia" w:ascii="仿宋" w:hAnsi="仿宋" w:eastAsia="仿宋" w:cs="仿宋"/>
                <w:b/>
                <w:bCs/>
                <w:color w:val="000000"/>
                <w:sz w:val="22"/>
                <w:szCs w:val="22"/>
                <w:highlight w:val="none"/>
              </w:rPr>
              <w:t>并由</w:t>
            </w:r>
            <w:r>
              <w:rPr>
                <w:rFonts w:hint="eastAsia" w:ascii="仿宋" w:hAnsi="仿宋" w:eastAsia="仿宋" w:cs="仿宋"/>
                <w:color w:val="000000"/>
                <w:sz w:val="22"/>
                <w:szCs w:val="22"/>
                <w:highlight w:val="none"/>
              </w:rPr>
              <w:t>法定代表人（负责人）签字</w:t>
            </w:r>
            <w:r>
              <w:rPr>
                <w:rFonts w:hint="eastAsia" w:ascii="仿宋" w:hAnsi="仿宋" w:eastAsia="仿宋" w:cs="仿宋"/>
                <w:b/>
                <w:bCs/>
                <w:color w:val="000000"/>
                <w:sz w:val="22"/>
                <w:szCs w:val="22"/>
                <w:highlight w:val="none"/>
              </w:rPr>
              <w:t>和</w:t>
            </w:r>
            <w:r>
              <w:rPr>
                <w:rFonts w:hint="eastAsia" w:ascii="仿宋" w:hAnsi="仿宋" w:eastAsia="仿宋" w:cs="仿宋"/>
                <w:color w:val="000000"/>
                <w:sz w:val="22"/>
                <w:szCs w:val="22"/>
                <w:highlight w:val="none"/>
              </w:rPr>
              <w:t>其委托代理人</w:t>
            </w:r>
            <w:r>
              <w:rPr>
                <w:rFonts w:hint="eastAsia" w:ascii="仿宋" w:hAnsi="仿宋" w:eastAsia="仿宋" w:cs="仿宋"/>
                <w:b/>
                <w:bCs/>
                <w:color w:val="000000"/>
                <w:sz w:val="22"/>
                <w:szCs w:val="22"/>
                <w:highlight w:val="none"/>
              </w:rPr>
              <w:t>双方</w:t>
            </w:r>
            <w:r>
              <w:rPr>
                <w:rFonts w:hint="eastAsia" w:ascii="仿宋" w:hAnsi="仿宋" w:eastAsia="仿宋" w:cs="仿宋"/>
                <w:bCs/>
                <w:color w:val="000000"/>
                <w:sz w:val="22"/>
                <w:szCs w:val="22"/>
                <w:highlight w:val="none"/>
              </w:rPr>
              <w:t>签字。</w:t>
            </w:r>
          </w:p>
        </w:tc>
      </w:tr>
      <w:tr w14:paraId="51A13B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22D0FA89">
            <w:pPr>
              <w:widowControl/>
              <w:spacing w:line="360" w:lineRule="auto"/>
              <w:jc w:val="center"/>
              <w:rPr>
                <w:rFonts w:hint="eastAsia" w:ascii="仿宋" w:hAnsi="仿宋" w:eastAsia="仿宋" w:cs="仿宋"/>
                <w:color w:val="000000"/>
                <w:kern w:val="0"/>
                <w:sz w:val="22"/>
                <w:szCs w:val="22"/>
                <w:highlight w:val="none"/>
              </w:rPr>
            </w:pPr>
            <w:bookmarkStart w:id="245" w:name="OfficeAI_Del_1_35" w:colFirst="3" w:colLast="3"/>
          </w:p>
        </w:tc>
        <w:tc>
          <w:tcPr>
            <w:tcW w:w="563" w:type="pct"/>
            <w:vMerge w:val="continue"/>
          </w:tcPr>
          <w:p w14:paraId="46281929">
            <w:pPr>
              <w:spacing w:before="24" w:after="24" w:line="360" w:lineRule="auto"/>
              <w:jc w:val="center"/>
              <w:rPr>
                <w:rFonts w:hint="eastAsia" w:ascii="仿宋" w:hAnsi="仿宋" w:eastAsia="仿宋" w:cs="仿宋"/>
                <w:color w:val="000000"/>
                <w:sz w:val="22"/>
                <w:szCs w:val="22"/>
                <w:highlight w:val="none"/>
              </w:rPr>
            </w:pPr>
          </w:p>
        </w:tc>
        <w:tc>
          <w:tcPr>
            <w:tcW w:w="917" w:type="pct"/>
            <w:vAlign w:val="center"/>
          </w:tcPr>
          <w:p w14:paraId="0B5A0700">
            <w:pPr>
              <w:spacing w:before="24" w:after="24" w:line="360" w:lineRule="auto"/>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sz w:val="22"/>
                <w:szCs w:val="22"/>
                <w:highlight w:val="none"/>
              </w:rPr>
              <w:t>响应文件签字或盖章</w:t>
            </w:r>
          </w:p>
        </w:tc>
        <w:tc>
          <w:tcPr>
            <w:tcW w:w="3209" w:type="pct"/>
            <w:vAlign w:val="center"/>
          </w:tcPr>
          <w:p w14:paraId="17CB3AF5">
            <w:pPr>
              <w:spacing w:before="24" w:after="24" w:line="360" w:lineRule="auto"/>
              <w:jc w:val="lef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1、上述两款以外的响应文件格式中有落款的文件，</w:t>
            </w:r>
            <w:r>
              <w:rPr>
                <w:rFonts w:hint="eastAsia" w:ascii="仿宋" w:hAnsi="仿宋" w:eastAsia="仿宋" w:cs="仿宋"/>
                <w:b/>
                <w:color w:val="000000"/>
                <w:sz w:val="22"/>
                <w:szCs w:val="22"/>
                <w:highlight w:val="none"/>
              </w:rPr>
              <w:t>均需</w:t>
            </w:r>
            <w:r>
              <w:rPr>
                <w:rFonts w:hint="eastAsia" w:ascii="仿宋" w:hAnsi="仿宋" w:eastAsia="仿宋" w:cs="仿宋"/>
                <w:color w:val="000000"/>
                <w:sz w:val="22"/>
                <w:szCs w:val="22"/>
                <w:highlight w:val="none"/>
              </w:rPr>
              <w:t>加盖公章</w:t>
            </w:r>
            <w:r>
              <w:rPr>
                <w:rFonts w:hint="eastAsia" w:ascii="仿宋" w:hAnsi="仿宋" w:eastAsia="仿宋" w:cs="仿宋"/>
                <w:b/>
                <w:color w:val="000000"/>
                <w:sz w:val="22"/>
                <w:szCs w:val="22"/>
                <w:highlight w:val="none"/>
              </w:rPr>
              <w:t>或</w:t>
            </w:r>
            <w:r>
              <w:rPr>
                <w:rFonts w:hint="eastAsia" w:ascii="仿宋" w:hAnsi="仿宋" w:eastAsia="仿宋" w:cs="仿宋"/>
                <w:color w:val="000000"/>
                <w:sz w:val="22"/>
                <w:szCs w:val="22"/>
                <w:highlight w:val="none"/>
              </w:rPr>
              <w:t>由法定代表人（负责人）签字</w:t>
            </w:r>
            <w:r>
              <w:rPr>
                <w:rFonts w:hint="eastAsia" w:ascii="仿宋" w:hAnsi="仿宋" w:eastAsia="仿宋" w:cs="仿宋"/>
                <w:b/>
                <w:color w:val="000000"/>
                <w:sz w:val="22"/>
                <w:szCs w:val="22"/>
                <w:highlight w:val="none"/>
              </w:rPr>
              <w:t>或</w:t>
            </w:r>
            <w:r>
              <w:rPr>
                <w:rFonts w:hint="eastAsia" w:ascii="仿宋" w:hAnsi="仿宋" w:eastAsia="仿宋" w:cs="仿宋"/>
                <w:color w:val="000000"/>
                <w:sz w:val="22"/>
                <w:szCs w:val="22"/>
                <w:highlight w:val="none"/>
              </w:rPr>
              <w:t>其委托代理人签字。</w:t>
            </w:r>
          </w:p>
          <w:p w14:paraId="6AA18611">
            <w:pPr>
              <w:pStyle w:val="157"/>
              <w:spacing w:before="62" w:beforeLines="20" w:after="62" w:afterLines="20" w:line="360" w:lineRule="auto"/>
              <w:rPr>
                <w:rFonts w:hint="eastAsia" w:ascii="仿宋" w:hAnsi="仿宋" w:eastAsia="仿宋" w:cs="仿宋"/>
                <w:strike/>
                <w:color w:val="FF0000"/>
                <w:sz w:val="22"/>
                <w:szCs w:val="22"/>
                <w:highlight w:val="none"/>
              </w:rPr>
            </w:pPr>
            <w:r>
              <w:rPr>
                <w:rFonts w:hint="eastAsia" w:ascii="仿宋" w:hAnsi="仿宋" w:eastAsia="仿宋" w:cs="仿宋"/>
                <w:color w:val="000000"/>
                <w:sz w:val="22"/>
                <w:szCs w:val="22"/>
                <w:highlight w:val="none"/>
              </w:rPr>
              <w:t>2、响应文件的所有签字处均指手写签字</w:t>
            </w:r>
            <w:r>
              <w:rPr>
                <w:rFonts w:hint="eastAsia" w:ascii="仿宋" w:hAnsi="仿宋" w:eastAsia="仿宋" w:cs="仿宋"/>
                <w:b/>
                <w:color w:val="000000"/>
                <w:sz w:val="22"/>
                <w:szCs w:val="22"/>
                <w:highlight w:val="none"/>
              </w:rPr>
              <w:t>或</w:t>
            </w:r>
            <w:r>
              <w:rPr>
                <w:rFonts w:hint="eastAsia" w:ascii="仿宋" w:hAnsi="仿宋" w:eastAsia="仿宋" w:cs="仿宋"/>
                <w:color w:val="000000"/>
                <w:sz w:val="22"/>
                <w:szCs w:val="22"/>
                <w:highlight w:val="none"/>
              </w:rPr>
              <w:t>签名章/印章，</w:t>
            </w:r>
            <w:r>
              <w:rPr>
                <w:rFonts w:hint="eastAsia" w:ascii="仿宋" w:hAnsi="仿宋" w:eastAsia="仿宋" w:cs="仿宋"/>
                <w:b/>
                <w:color w:val="000000"/>
                <w:sz w:val="22"/>
                <w:szCs w:val="22"/>
                <w:highlight w:val="none"/>
              </w:rPr>
              <w:t>不得</w:t>
            </w:r>
            <w:r>
              <w:rPr>
                <w:rFonts w:hint="eastAsia" w:ascii="仿宋" w:hAnsi="仿宋" w:eastAsia="仿宋" w:cs="仿宋"/>
                <w:color w:val="000000"/>
                <w:sz w:val="22"/>
                <w:szCs w:val="22"/>
                <w:highlight w:val="none"/>
              </w:rPr>
              <w:t>以打印体代替。</w:t>
            </w:r>
          </w:p>
        </w:tc>
      </w:tr>
      <w:bookmarkEnd w:id="245"/>
      <w:tr w14:paraId="0503340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restart"/>
            <w:vAlign w:val="center"/>
          </w:tcPr>
          <w:p w14:paraId="31800A74">
            <w:pPr>
              <w:widowControl/>
              <w:spacing w:line="360" w:lineRule="auto"/>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rPr>
              <w:t>2</w:t>
            </w:r>
          </w:p>
        </w:tc>
        <w:tc>
          <w:tcPr>
            <w:tcW w:w="563" w:type="pct"/>
            <w:vMerge w:val="restart"/>
            <w:vAlign w:val="center"/>
          </w:tcPr>
          <w:p w14:paraId="181DDBF6">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资格评审标准</w:t>
            </w:r>
          </w:p>
        </w:tc>
        <w:tc>
          <w:tcPr>
            <w:tcW w:w="917" w:type="pct"/>
            <w:vAlign w:val="center"/>
          </w:tcPr>
          <w:p w14:paraId="4C8C1B59">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营业执照</w:t>
            </w:r>
          </w:p>
        </w:tc>
        <w:tc>
          <w:tcPr>
            <w:tcW w:w="3209" w:type="pct"/>
            <w:vAlign w:val="center"/>
          </w:tcPr>
          <w:p w14:paraId="4D4067BF">
            <w:pPr>
              <w:spacing w:before="24" w:after="24" w:line="360" w:lineRule="auto"/>
              <w:jc w:val="lef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lang w:val="en-US" w:eastAsia="zh-CN"/>
                <w14:textFill>
                  <w14:solidFill>
                    <w14:schemeClr w14:val="tx1"/>
                  </w14:solidFill>
                </w14:textFill>
              </w:rPr>
              <w:t>在中华人民共和国境内依法登记的法人或其他组织，</w:t>
            </w:r>
            <w:r>
              <w:rPr>
                <w:rFonts w:hint="eastAsia" w:ascii="仿宋" w:hAnsi="仿宋" w:eastAsia="仿宋" w:cs="仿宋"/>
                <w:color w:val="000000" w:themeColor="text1"/>
                <w:sz w:val="22"/>
                <w:szCs w:val="22"/>
                <w:highlight w:val="none"/>
                <w:lang w:val="en-US" w:eastAsia="zh-CN"/>
                <w14:textFill>
                  <w14:solidFill>
                    <w14:schemeClr w14:val="tx1"/>
                  </w14:solidFill>
                </w14:textFill>
              </w:rPr>
              <w:t>具有独立承担民事责任的能力，供应商如为企业法人，须提供企业法人营业执照（复印件）；供应商如为事业单位或其他组织，须提供事业单位法人证书或登记证或组织机构代码证或其他有效证明文件（复印件）</w:t>
            </w:r>
            <w:r>
              <w:rPr>
                <w:rFonts w:hint="eastAsia" w:ascii="仿宋" w:hAnsi="仿宋" w:eastAsia="仿宋" w:cs="仿宋"/>
                <w:color w:val="000000" w:themeColor="text1"/>
                <w:sz w:val="22"/>
                <w:szCs w:val="22"/>
                <w:highlight w:val="none"/>
                <w14:textFill>
                  <w14:solidFill>
                    <w14:schemeClr w14:val="tx1"/>
                  </w14:solidFill>
                </w14:textFill>
              </w:rPr>
              <w:t>。</w:t>
            </w:r>
          </w:p>
        </w:tc>
      </w:tr>
      <w:tr w14:paraId="4B95EAB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66EFCEA7">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18D7BBE8">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vAlign w:val="center"/>
          </w:tcPr>
          <w:p w14:paraId="27506197">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商业信誉和健全的财务会计制度</w:t>
            </w:r>
          </w:p>
        </w:tc>
        <w:tc>
          <w:tcPr>
            <w:tcW w:w="3209" w:type="pct"/>
            <w:vAlign w:val="center"/>
          </w:tcPr>
          <w:p w14:paraId="51BC9B12">
            <w:pPr>
              <w:spacing w:before="24" w:after="24" w:line="360" w:lineRule="auto"/>
              <w:jc w:val="lef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lang w:val="en-US" w:eastAsia="zh-CN"/>
                <w14:textFill>
                  <w14:solidFill>
                    <w14:schemeClr w14:val="tx1"/>
                  </w14:solidFill>
                </w14:textFill>
              </w:rPr>
              <w:t>具有良好的商业信誉和健全的财务会计制度，</w:t>
            </w:r>
            <w:r>
              <w:rPr>
                <w:rFonts w:hint="eastAsia" w:ascii="仿宋" w:hAnsi="仿宋" w:eastAsia="仿宋" w:cs="仿宋"/>
                <w:color w:val="000000" w:themeColor="text1"/>
                <w:sz w:val="22"/>
                <w:szCs w:val="22"/>
                <w:highlight w:val="none"/>
                <w:lang w:val="en-US" w:eastAsia="zh-CN"/>
                <w14:textFill>
                  <w14:solidFill>
                    <w14:schemeClr w14:val="tx1"/>
                  </w14:solidFill>
                </w14:textFill>
              </w:rPr>
              <w:t>需提供2024或2025年度经会计师事务所或审计机构审计的财务审计报告及财务报表（至少包含会计师事务所或审计机构签章页、资产负债表、现金流量表、损益表/利润表），或开标日前6个月内开具的银行资信证明</w:t>
            </w:r>
            <w:r>
              <w:rPr>
                <w:rFonts w:hint="eastAsia" w:ascii="仿宋" w:hAnsi="仿宋" w:eastAsia="仿宋" w:cs="仿宋"/>
                <w:color w:val="000000" w:themeColor="text1"/>
                <w:sz w:val="22"/>
                <w:szCs w:val="22"/>
                <w:highlight w:val="none"/>
                <w14:textFill>
                  <w14:solidFill>
                    <w14:schemeClr w14:val="tx1"/>
                  </w14:solidFill>
                </w14:textFill>
              </w:rPr>
              <w:t>。</w:t>
            </w:r>
          </w:p>
        </w:tc>
      </w:tr>
      <w:tr w14:paraId="77D159F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691A7B39">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7BF1CF8B">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vAlign w:val="center"/>
          </w:tcPr>
          <w:p w14:paraId="15EC5DE2">
            <w:pPr>
              <w:spacing w:before="24" w:after="24" w:line="360" w:lineRule="auto"/>
              <w:jc w:val="cente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业绩要求</w:t>
            </w:r>
          </w:p>
        </w:tc>
        <w:tc>
          <w:tcPr>
            <w:tcW w:w="3209" w:type="pct"/>
            <w:vAlign w:val="center"/>
          </w:tcPr>
          <w:p w14:paraId="25B974BA">
            <w:pPr>
              <w:widowControl w:val="0"/>
              <w:spacing w:before="24" w:after="24" w:line="360" w:lineRule="auto"/>
              <w:jc w:val="left"/>
              <w:rPr>
                <w:rFonts w:hint="eastAsia" w:ascii="仿宋" w:hAnsi="仿宋" w:eastAsia="仿宋" w:cs="仿宋"/>
                <w:b w:val="0"/>
                <w:bCs w:val="0"/>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2"/>
                <w:szCs w:val="22"/>
                <w:highlight w:val="none"/>
                <w:lang w:val="en-US" w:eastAsia="zh-CN" w:bidi="ar-SA"/>
                <w14:textFill>
                  <w14:solidFill>
                    <w14:schemeClr w14:val="tx1"/>
                  </w14:solidFill>
                </w14:textFill>
              </w:rPr>
              <w:t>供应商应具有履行合同所必需的设备和专业技术能力，</w:t>
            </w:r>
            <w:r>
              <w:rPr>
                <w:rFonts w:hint="eastAsia" w:ascii="仿宋" w:hAnsi="仿宋" w:eastAsia="仿宋" w:cs="仿宋"/>
                <w:b w:val="0"/>
                <w:bCs w:val="0"/>
                <w:color w:val="000000" w:themeColor="text1"/>
                <w:kern w:val="2"/>
                <w:sz w:val="22"/>
                <w:szCs w:val="22"/>
                <w:highlight w:val="none"/>
                <w:lang w:val="en-US" w:eastAsia="zh-CN" w:bidi="ar-SA"/>
                <w14:textFill>
                  <w14:solidFill>
                    <w14:schemeClr w14:val="tx1"/>
                  </w14:solidFill>
                </w14:textFill>
              </w:rPr>
              <w:t>近三年（2023年1月1日至本项目响应文件递交截止之日）应具有1个同类项目（同类项目指招标代理服务项目）实施案例，并提供符合上述要求的招标代理项目采购公告截图或代理委托书（函）。</w:t>
            </w:r>
          </w:p>
        </w:tc>
      </w:tr>
      <w:tr w14:paraId="1B04DDA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09" w:type="pct"/>
            <w:vMerge w:val="continue"/>
            <w:vAlign w:val="center"/>
          </w:tcPr>
          <w:p w14:paraId="343F39AB">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3236349F">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vAlign w:val="center"/>
          </w:tcPr>
          <w:p w14:paraId="648D860F">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纳税和社会保障资金要求</w:t>
            </w:r>
          </w:p>
        </w:tc>
        <w:tc>
          <w:tcPr>
            <w:tcW w:w="3209" w:type="pct"/>
            <w:vAlign w:val="center"/>
          </w:tcPr>
          <w:p w14:paraId="245CE689">
            <w:pPr>
              <w:spacing w:before="24" w:after="24" w:line="360" w:lineRule="auto"/>
              <w:jc w:val="left"/>
              <w:rPr>
                <w:rFonts w:hint="eastAsia" w:ascii="仿宋" w:hAnsi="仿宋" w:eastAsia="仿宋" w:cs="仿宋"/>
                <w:color w:val="000000" w:themeColor="text1"/>
                <w:sz w:val="22"/>
                <w:szCs w:val="22"/>
                <w:highlight w:val="none"/>
                <w14:textFill>
                  <w14:solidFill>
                    <w14:schemeClr w14:val="tx1"/>
                  </w14:solidFill>
                </w14:textFill>
              </w:rPr>
            </w:pPr>
            <w:bookmarkStart w:id="246" w:name="OLE_LINK17"/>
            <w:r>
              <w:rPr>
                <w:rFonts w:hint="eastAsia" w:ascii="仿宋" w:hAnsi="仿宋" w:eastAsia="仿宋" w:cs="仿宋"/>
                <w:b/>
                <w:bCs/>
                <w:color w:val="000000" w:themeColor="text1"/>
                <w:sz w:val="22"/>
                <w:szCs w:val="22"/>
                <w:highlight w:val="none"/>
                <w14:textFill>
                  <w14:solidFill>
                    <w14:schemeClr w14:val="tx1"/>
                  </w14:solidFill>
                </w14:textFill>
              </w:rPr>
              <w:t>具有依法缴纳税收和社会保障资金的良好记录，</w:t>
            </w:r>
            <w:r>
              <w:rPr>
                <w:rFonts w:hint="eastAsia" w:ascii="仿宋" w:hAnsi="仿宋" w:eastAsia="仿宋" w:cs="仿宋"/>
                <w:color w:val="000000" w:themeColor="text1"/>
                <w:sz w:val="22"/>
                <w:szCs w:val="22"/>
                <w:highlight w:val="none"/>
                <w14:textFill>
                  <w14:solidFill>
                    <w14:schemeClr w14:val="tx1"/>
                  </w14:solidFill>
                </w14:textFill>
              </w:rPr>
              <w:t>提供近6个月任意一个月的税收和社会保障资金缴纳凭证。</w:t>
            </w:r>
            <w:bookmarkEnd w:id="246"/>
          </w:p>
        </w:tc>
      </w:tr>
      <w:tr w14:paraId="3A97E94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24B72462">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20FB949A">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vAlign w:val="center"/>
          </w:tcPr>
          <w:p w14:paraId="6E8098FB">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无违法违规记录</w:t>
            </w:r>
          </w:p>
        </w:tc>
        <w:tc>
          <w:tcPr>
            <w:tcW w:w="3209" w:type="pct"/>
            <w:vAlign w:val="center"/>
          </w:tcPr>
          <w:p w14:paraId="5679C87F">
            <w:pPr>
              <w:wordWrap w:val="0"/>
              <w:adjustRightInd w:val="0"/>
              <w:snapToGrid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供应商应经营状况良好，</w:t>
            </w:r>
            <w:r>
              <w:rPr>
                <w:rFonts w:hint="eastAsia" w:ascii="仿宋" w:hAnsi="仿宋" w:eastAsia="仿宋" w:cs="仿宋"/>
                <w:color w:val="000000" w:themeColor="text1"/>
                <w:sz w:val="22"/>
                <w:szCs w:val="22"/>
                <w:highlight w:val="none"/>
                <w14:textFill>
                  <w14:solidFill>
                    <w14:schemeClr w14:val="tx1"/>
                  </w14:solidFill>
                </w14:textFill>
              </w:rPr>
              <w:t>且近三年内（2023年1月1日至今）无违法违规记录。违法违规记录是指被“信用中国”列入失信被执行人、重大税收违法失信主体、政府采购严重违法失信行为记录名单。供应商需提供自比选公告发布之日至应答截止之日期间对以上三项内容的查询截图。</w:t>
            </w:r>
          </w:p>
          <w:p w14:paraId="190D9EF5">
            <w:pPr>
              <w:wordWrap w:val="0"/>
              <w:adjustRightInd w:val="0"/>
              <w:snapToGrid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信用中国查询网址：https://www.creditchina.gov.cn/xinyongfuwu/?navPage=5</w:t>
            </w:r>
          </w:p>
        </w:tc>
      </w:tr>
      <w:tr w14:paraId="60D4883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70DD458C">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1995F54F">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shd w:val="clear" w:color="auto" w:fill="auto"/>
            <w:vAlign w:val="center"/>
          </w:tcPr>
          <w:p w14:paraId="08D690AA">
            <w:pPr>
              <w:spacing w:before="24" w:after="24" w:line="360" w:lineRule="auto"/>
              <w:jc w:val="center"/>
              <w:rPr>
                <w:rFonts w:hint="eastAsia" w:ascii="仿宋" w:hAnsi="仿宋" w:eastAsia="仿宋" w:cs="仿宋"/>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未被列入黑名单</w:t>
            </w:r>
          </w:p>
        </w:tc>
        <w:tc>
          <w:tcPr>
            <w:tcW w:w="3209" w:type="pct"/>
            <w:shd w:val="clear" w:color="auto" w:fill="auto"/>
            <w:vAlign w:val="center"/>
          </w:tcPr>
          <w:p w14:paraId="708937AB">
            <w:pPr>
              <w:spacing w:before="24" w:after="24" w:line="360" w:lineRule="auto"/>
              <w:jc w:val="left"/>
              <w:rPr>
                <w:rFonts w:hint="eastAsia" w:ascii="仿宋" w:hAnsi="仿宋" w:eastAsia="仿宋" w:cs="仿宋"/>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严禁被列入采购人及其所隶属的中国人民保险各级机构的供应商黑名单且在禁入期内的供应商参与采购活动。</w:t>
            </w:r>
          </w:p>
        </w:tc>
      </w:tr>
      <w:tr w14:paraId="7A49E51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323ED08F">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34AF0DE7">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shd w:val="clear" w:color="auto" w:fill="auto"/>
            <w:vAlign w:val="center"/>
          </w:tcPr>
          <w:p w14:paraId="754F1DE7">
            <w:pPr>
              <w:spacing w:before="24" w:after="24" w:line="360" w:lineRule="auto"/>
              <w:jc w:val="center"/>
              <w:rPr>
                <w:rFonts w:hint="eastAsia" w:ascii="仿宋" w:hAnsi="仿宋" w:eastAsia="仿宋" w:cs="仿宋"/>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控股及管理关系</w:t>
            </w:r>
          </w:p>
        </w:tc>
        <w:tc>
          <w:tcPr>
            <w:tcW w:w="3209" w:type="pct"/>
            <w:shd w:val="clear" w:color="auto" w:fill="auto"/>
            <w:vAlign w:val="center"/>
          </w:tcPr>
          <w:p w14:paraId="3498491A">
            <w:pPr>
              <w:spacing w:before="24" w:after="24" w:line="360" w:lineRule="auto"/>
              <w:jc w:val="left"/>
              <w:rPr>
                <w:rFonts w:hint="eastAsia" w:ascii="仿宋" w:hAnsi="仿宋" w:eastAsia="仿宋" w:cs="仿宋"/>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单位负责人为同一人或存在控股、管理关系的不同单位，不得参加未划分标包的同一采购项目的比选响应，</w:t>
            </w:r>
            <w:r>
              <w:rPr>
                <w:rFonts w:hint="eastAsia" w:ascii="仿宋" w:hAnsi="仿宋" w:eastAsia="仿宋" w:cs="仿宋"/>
                <w:b/>
                <w:bCs/>
                <w:color w:val="000000" w:themeColor="text1"/>
                <w:sz w:val="22"/>
                <w:szCs w:val="22"/>
                <w:highlight w:val="none"/>
                <w14:textFill>
                  <w14:solidFill>
                    <w14:schemeClr w14:val="tx1"/>
                  </w14:solidFill>
                </w14:textFill>
              </w:rPr>
              <w:t>需填写《供应商控股及管理关系情况申报表》。</w:t>
            </w:r>
          </w:p>
        </w:tc>
      </w:tr>
      <w:tr w14:paraId="23D7ACD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5F58D677">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73C1F641">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vAlign w:val="center"/>
          </w:tcPr>
          <w:p w14:paraId="7311191E">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联合体要求</w:t>
            </w:r>
          </w:p>
        </w:tc>
        <w:tc>
          <w:tcPr>
            <w:tcW w:w="3209" w:type="pct"/>
            <w:vAlign w:val="center"/>
          </w:tcPr>
          <w:p w14:paraId="71FD7753">
            <w:pPr>
              <w:spacing w:before="24" w:after="24" w:line="360" w:lineRule="auto"/>
              <w:jc w:val="lef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本项目不接受联合体应答，</w:t>
            </w:r>
            <w:r>
              <w:rPr>
                <w:rFonts w:hint="eastAsia" w:ascii="仿宋" w:hAnsi="仿宋" w:eastAsia="仿宋" w:cs="仿宋"/>
                <w:b/>
                <w:bCs/>
                <w:color w:val="000000" w:themeColor="text1"/>
                <w:sz w:val="22"/>
                <w:szCs w:val="22"/>
                <w:highlight w:val="none"/>
                <w14:textFill>
                  <w14:solidFill>
                    <w14:schemeClr w14:val="tx1"/>
                  </w14:solidFill>
                </w14:textFill>
              </w:rPr>
              <w:t>须提供承诺书并加盖公章</w:t>
            </w:r>
            <w:r>
              <w:rPr>
                <w:rFonts w:hint="eastAsia" w:ascii="仿宋" w:hAnsi="仿宋" w:eastAsia="仿宋" w:cs="仿宋"/>
                <w:color w:val="000000" w:themeColor="text1"/>
                <w:sz w:val="22"/>
                <w:szCs w:val="22"/>
                <w:highlight w:val="none"/>
                <w14:textFill>
                  <w14:solidFill>
                    <w14:schemeClr w14:val="tx1"/>
                  </w14:solidFill>
                </w14:textFill>
              </w:rPr>
              <w:t>。</w:t>
            </w:r>
          </w:p>
        </w:tc>
      </w:tr>
      <w:tr w14:paraId="2F575D9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240F1139">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71146C01">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vAlign w:val="center"/>
          </w:tcPr>
          <w:p w14:paraId="37805A53">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转包分包要求</w:t>
            </w:r>
          </w:p>
        </w:tc>
        <w:tc>
          <w:tcPr>
            <w:tcW w:w="3209" w:type="pct"/>
            <w:vAlign w:val="center"/>
          </w:tcPr>
          <w:p w14:paraId="5215F4A6">
            <w:pPr>
              <w:spacing w:before="24" w:after="24" w:line="360" w:lineRule="auto"/>
              <w:jc w:val="lef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本项目不允许成交后分包、转包，</w:t>
            </w:r>
            <w:r>
              <w:rPr>
                <w:rFonts w:hint="eastAsia" w:ascii="仿宋" w:hAnsi="仿宋" w:eastAsia="仿宋" w:cs="仿宋"/>
                <w:b/>
                <w:bCs/>
                <w:color w:val="000000" w:themeColor="text1"/>
                <w:sz w:val="22"/>
                <w:szCs w:val="22"/>
                <w:highlight w:val="none"/>
                <w14:textFill>
                  <w14:solidFill>
                    <w14:schemeClr w14:val="tx1"/>
                  </w14:solidFill>
                </w14:textFill>
              </w:rPr>
              <w:t>须提供承诺书并加盖公章</w:t>
            </w:r>
            <w:r>
              <w:rPr>
                <w:rFonts w:hint="eastAsia" w:ascii="仿宋" w:hAnsi="仿宋" w:eastAsia="仿宋" w:cs="仿宋"/>
                <w:color w:val="000000" w:themeColor="text1"/>
                <w:sz w:val="22"/>
                <w:szCs w:val="22"/>
                <w:highlight w:val="none"/>
                <w14:textFill>
                  <w14:solidFill>
                    <w14:schemeClr w14:val="tx1"/>
                  </w14:solidFill>
                </w14:textFill>
              </w:rPr>
              <w:t>。</w:t>
            </w:r>
          </w:p>
        </w:tc>
      </w:tr>
      <w:tr w14:paraId="064CEF3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45AF6405">
            <w:pPr>
              <w:widowControl/>
              <w:spacing w:line="360" w:lineRule="auto"/>
              <w:jc w:val="center"/>
              <w:rPr>
                <w:rFonts w:hint="eastAsia" w:ascii="仿宋" w:hAnsi="仿宋" w:eastAsia="仿宋" w:cs="仿宋"/>
                <w:color w:val="000000"/>
                <w:kern w:val="0"/>
                <w:sz w:val="22"/>
                <w:szCs w:val="22"/>
                <w:highlight w:val="none"/>
              </w:rPr>
            </w:pPr>
            <w:bookmarkStart w:id="247" w:name="_Hlk231283746"/>
          </w:p>
        </w:tc>
        <w:tc>
          <w:tcPr>
            <w:tcW w:w="563" w:type="pct"/>
            <w:vMerge w:val="continue"/>
            <w:vAlign w:val="center"/>
          </w:tcPr>
          <w:p w14:paraId="75B78619">
            <w:pPr>
              <w:spacing w:before="24" w:after="24"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p>
        </w:tc>
        <w:tc>
          <w:tcPr>
            <w:tcW w:w="917" w:type="pct"/>
            <w:vAlign w:val="center"/>
          </w:tcPr>
          <w:p w14:paraId="6F07F346">
            <w:pPr>
              <w:spacing w:before="24" w:after="24" w:line="360" w:lineRule="auto"/>
              <w:jc w:val="center"/>
              <w:rPr>
                <w:rFonts w:hint="eastAsia" w:ascii="仿宋" w:hAnsi="仿宋" w:eastAsia="仿宋" w:cs="仿宋"/>
                <w:color w:val="000000" w:themeColor="text1"/>
                <w:sz w:val="22"/>
                <w:szCs w:val="22"/>
                <w:highlight w:val="none"/>
                <w:lang w:val="en-US"/>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经营要求</w:t>
            </w:r>
          </w:p>
        </w:tc>
        <w:tc>
          <w:tcPr>
            <w:tcW w:w="3209" w:type="pct"/>
            <w:vAlign w:val="center"/>
          </w:tcPr>
          <w:p w14:paraId="72E801E7">
            <w:pPr>
              <w:spacing w:before="24" w:after="24" w:line="360" w:lineRule="auto"/>
              <w:jc w:val="both"/>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供应商须满足《中华人民共和国招标投标法》第十三条规定的招标代理机构应当具备的以下条件，并提供承诺函。</w:t>
            </w:r>
          </w:p>
          <w:p w14:paraId="502AFA60">
            <w:pPr>
              <w:spacing w:before="24" w:after="24" w:line="360" w:lineRule="auto"/>
              <w:jc w:val="both"/>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（1）有从事招标代理业务的营业场所和相应资金；</w:t>
            </w:r>
          </w:p>
          <w:p w14:paraId="2B279B4B">
            <w:pPr>
              <w:spacing w:before="24" w:after="24" w:line="360" w:lineRule="auto"/>
              <w:jc w:val="both"/>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（2）有能够编制招标文件和组织评标的相应专业力量。</w:t>
            </w:r>
          </w:p>
        </w:tc>
      </w:tr>
      <w:bookmarkEnd w:id="247"/>
      <w:tr w14:paraId="42F0EBD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restart"/>
            <w:vAlign w:val="center"/>
          </w:tcPr>
          <w:p w14:paraId="51F09166">
            <w:pPr>
              <w:widowControl/>
              <w:spacing w:line="360" w:lineRule="auto"/>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rPr>
              <w:t>3</w:t>
            </w:r>
          </w:p>
        </w:tc>
        <w:tc>
          <w:tcPr>
            <w:tcW w:w="563" w:type="pct"/>
            <w:vMerge w:val="restart"/>
            <w:vAlign w:val="center"/>
          </w:tcPr>
          <w:p w14:paraId="1506E4E0">
            <w:pPr>
              <w:spacing w:before="24" w:after="24" w:line="360" w:lineRule="auto"/>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rPr>
              <w:t>响应性评审标准</w:t>
            </w:r>
          </w:p>
        </w:tc>
        <w:tc>
          <w:tcPr>
            <w:tcW w:w="917" w:type="pct"/>
            <w:vAlign w:val="center"/>
          </w:tcPr>
          <w:p w14:paraId="448731A7">
            <w:pPr>
              <w:spacing w:before="24" w:after="24"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响应函</w:t>
            </w:r>
          </w:p>
        </w:tc>
        <w:tc>
          <w:tcPr>
            <w:tcW w:w="3209" w:type="pct"/>
            <w:vAlign w:val="center"/>
          </w:tcPr>
          <w:p w14:paraId="1188AA10">
            <w:pPr>
              <w:spacing w:before="24" w:after="24" w:line="360" w:lineRule="auto"/>
              <w:jc w:val="lef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除填写双方名称、项目名称外，未修改原文内容。</w:t>
            </w:r>
          </w:p>
        </w:tc>
      </w:tr>
      <w:tr w14:paraId="0DF7F2B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2F94BAFA">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77D5C5CF">
            <w:pPr>
              <w:spacing w:before="24" w:after="24" w:line="360" w:lineRule="auto"/>
              <w:jc w:val="center"/>
              <w:rPr>
                <w:rFonts w:hint="eastAsia" w:ascii="仿宋" w:hAnsi="仿宋" w:eastAsia="仿宋" w:cs="仿宋"/>
                <w:color w:val="000000"/>
                <w:kern w:val="0"/>
                <w:sz w:val="22"/>
                <w:szCs w:val="22"/>
                <w:highlight w:val="none"/>
              </w:rPr>
            </w:pPr>
          </w:p>
        </w:tc>
        <w:tc>
          <w:tcPr>
            <w:tcW w:w="917" w:type="pct"/>
            <w:vAlign w:val="center"/>
          </w:tcPr>
          <w:p w14:paraId="5F1290DB">
            <w:pPr>
              <w:spacing w:before="24" w:after="24"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供应商行为准则承诺书</w:t>
            </w:r>
          </w:p>
        </w:tc>
        <w:tc>
          <w:tcPr>
            <w:tcW w:w="3209" w:type="pct"/>
            <w:vAlign w:val="center"/>
          </w:tcPr>
          <w:p w14:paraId="664C08BC">
            <w:pPr>
              <w:spacing w:before="24" w:after="24" w:line="360" w:lineRule="auto"/>
              <w:jc w:val="lef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除供应商填写内容外，未修改原文内容。</w:t>
            </w:r>
          </w:p>
        </w:tc>
      </w:tr>
      <w:tr w14:paraId="3A7CC45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7C26DE7F">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7A3298AE">
            <w:pPr>
              <w:spacing w:before="24" w:after="24" w:line="360" w:lineRule="auto"/>
              <w:jc w:val="center"/>
              <w:rPr>
                <w:rFonts w:hint="eastAsia" w:ascii="仿宋" w:hAnsi="仿宋" w:eastAsia="仿宋" w:cs="仿宋"/>
                <w:color w:val="000000"/>
                <w:kern w:val="0"/>
                <w:sz w:val="22"/>
                <w:szCs w:val="22"/>
                <w:highlight w:val="none"/>
              </w:rPr>
            </w:pPr>
          </w:p>
        </w:tc>
        <w:tc>
          <w:tcPr>
            <w:tcW w:w="917" w:type="pct"/>
            <w:vAlign w:val="center"/>
          </w:tcPr>
          <w:p w14:paraId="021856CE">
            <w:pPr>
              <w:spacing w:before="24" w:after="24"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供应商廉洁诚信承诺书</w:t>
            </w:r>
          </w:p>
        </w:tc>
        <w:tc>
          <w:tcPr>
            <w:tcW w:w="3209" w:type="pct"/>
            <w:vAlign w:val="center"/>
          </w:tcPr>
          <w:p w14:paraId="7AC6DF98">
            <w:pPr>
              <w:spacing w:before="24" w:after="24" w:line="360" w:lineRule="auto"/>
              <w:jc w:val="lef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除供应商填写内容外，未修改原文内容。</w:t>
            </w:r>
          </w:p>
        </w:tc>
      </w:tr>
      <w:tr w14:paraId="3A1A9D3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5F85A475">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25030EB2">
            <w:pPr>
              <w:spacing w:before="24" w:after="24" w:line="360" w:lineRule="auto"/>
              <w:jc w:val="center"/>
              <w:rPr>
                <w:rFonts w:hint="eastAsia" w:ascii="仿宋" w:hAnsi="仿宋" w:eastAsia="仿宋" w:cs="仿宋"/>
                <w:color w:val="000000"/>
                <w:kern w:val="0"/>
                <w:sz w:val="22"/>
                <w:szCs w:val="22"/>
                <w:highlight w:val="none"/>
              </w:rPr>
            </w:pPr>
          </w:p>
        </w:tc>
        <w:tc>
          <w:tcPr>
            <w:tcW w:w="917" w:type="pct"/>
            <w:vAlign w:val="center"/>
          </w:tcPr>
          <w:p w14:paraId="0157959D">
            <w:pPr>
              <w:spacing w:before="24" w:after="24" w:line="360" w:lineRule="auto"/>
              <w:jc w:val="center"/>
              <w:rPr>
                <w:rFonts w:hint="eastAsia" w:ascii="仿宋" w:hAnsi="仿宋" w:eastAsia="仿宋" w:cs="仿宋"/>
                <w:color w:val="000000"/>
                <w:sz w:val="22"/>
                <w:szCs w:val="22"/>
                <w:highlight w:val="none"/>
              </w:rPr>
            </w:pPr>
            <w:r>
              <w:rPr>
                <w:rFonts w:hint="eastAsia" w:ascii="仿宋" w:hAnsi="仿宋" w:eastAsia="仿宋" w:cs="仿宋"/>
                <w:kern w:val="0"/>
                <w:sz w:val="22"/>
                <w:szCs w:val="22"/>
                <w:highlight w:val="none"/>
              </w:rPr>
              <w:t>报价唯一且有效</w:t>
            </w:r>
          </w:p>
        </w:tc>
        <w:tc>
          <w:tcPr>
            <w:tcW w:w="3209" w:type="pct"/>
            <w:vAlign w:val="center"/>
          </w:tcPr>
          <w:p w14:paraId="18135E70">
            <w:pPr>
              <w:spacing w:before="24" w:after="24" w:line="360" w:lineRule="auto"/>
              <w:jc w:val="left"/>
              <w:rPr>
                <w:rFonts w:hint="eastAsia" w:ascii="仿宋" w:hAnsi="仿宋" w:eastAsia="仿宋" w:cs="仿宋"/>
                <w:color w:val="000000"/>
                <w:sz w:val="22"/>
                <w:szCs w:val="22"/>
                <w:highlight w:val="none"/>
              </w:rPr>
            </w:pPr>
            <w:r>
              <w:rPr>
                <w:rFonts w:hint="eastAsia" w:ascii="仿宋" w:hAnsi="仿宋" w:eastAsia="仿宋" w:cs="仿宋"/>
                <w:kern w:val="0"/>
                <w:sz w:val="22"/>
                <w:szCs w:val="22"/>
                <w:highlight w:val="none"/>
              </w:rPr>
              <w:t>按比选文件提供的格式和要求提交。</w:t>
            </w:r>
          </w:p>
        </w:tc>
      </w:tr>
      <w:tr w14:paraId="606162C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2A0E4AF8">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015ED12F">
            <w:pPr>
              <w:spacing w:before="24" w:after="24" w:line="360" w:lineRule="auto"/>
              <w:jc w:val="center"/>
              <w:rPr>
                <w:rFonts w:hint="eastAsia" w:ascii="仿宋" w:hAnsi="仿宋" w:eastAsia="仿宋" w:cs="仿宋"/>
                <w:color w:val="000000"/>
                <w:kern w:val="0"/>
                <w:sz w:val="22"/>
                <w:szCs w:val="22"/>
                <w:highlight w:val="none"/>
              </w:rPr>
            </w:pPr>
          </w:p>
        </w:tc>
        <w:tc>
          <w:tcPr>
            <w:tcW w:w="917" w:type="pct"/>
            <w:vAlign w:val="center"/>
          </w:tcPr>
          <w:p w14:paraId="2D8B9752">
            <w:pPr>
              <w:spacing w:before="24" w:after="24" w:line="360" w:lineRule="auto"/>
              <w:jc w:val="center"/>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供应商偏离应答</w:t>
            </w:r>
          </w:p>
        </w:tc>
        <w:tc>
          <w:tcPr>
            <w:tcW w:w="3209" w:type="pct"/>
            <w:vAlign w:val="center"/>
          </w:tcPr>
          <w:p w14:paraId="5F38F4D0">
            <w:pPr>
              <w:pStyle w:val="18"/>
              <w:spacing w:line="360" w:lineRule="auto"/>
              <w:jc w:val="left"/>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1）供应商必须对比选文件中的第二章【供应商须知前附表】、第四章【合同条款】、第五章【采购需求】中的内容进行应答，并将应答情况在“供应商须知前附表偏离表”“合同条款偏离表”和“技术条款偏离表”中体现。本项目不允许负偏离，有“负偏离”的不得通过初步评审。“部分满足”和“不满足”均视为负偏离。</w:t>
            </w:r>
          </w:p>
          <w:p w14:paraId="2714B49B">
            <w:pPr>
              <w:spacing w:before="24" w:after="24" w:line="360" w:lineRule="auto"/>
              <w:jc w:val="left"/>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（2）符合比选文件其他实质性要求。</w:t>
            </w:r>
          </w:p>
        </w:tc>
      </w:tr>
      <w:tr w14:paraId="112221D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09" w:type="pct"/>
            <w:vMerge w:val="continue"/>
            <w:vAlign w:val="center"/>
          </w:tcPr>
          <w:p w14:paraId="1317E056">
            <w:pPr>
              <w:widowControl/>
              <w:spacing w:line="360" w:lineRule="auto"/>
              <w:jc w:val="center"/>
              <w:rPr>
                <w:rFonts w:hint="eastAsia" w:ascii="仿宋" w:hAnsi="仿宋" w:eastAsia="仿宋" w:cs="仿宋"/>
                <w:color w:val="000000"/>
                <w:kern w:val="0"/>
                <w:sz w:val="22"/>
                <w:szCs w:val="22"/>
                <w:highlight w:val="none"/>
              </w:rPr>
            </w:pPr>
          </w:p>
        </w:tc>
        <w:tc>
          <w:tcPr>
            <w:tcW w:w="563" w:type="pct"/>
            <w:vMerge w:val="continue"/>
            <w:vAlign w:val="center"/>
          </w:tcPr>
          <w:p w14:paraId="16060DE0">
            <w:pPr>
              <w:spacing w:before="24" w:after="24" w:line="360" w:lineRule="auto"/>
              <w:jc w:val="center"/>
              <w:rPr>
                <w:rFonts w:hint="eastAsia" w:ascii="仿宋" w:hAnsi="仿宋" w:eastAsia="仿宋" w:cs="仿宋"/>
                <w:color w:val="000000"/>
                <w:kern w:val="0"/>
                <w:sz w:val="22"/>
                <w:szCs w:val="22"/>
                <w:highlight w:val="none"/>
              </w:rPr>
            </w:pPr>
          </w:p>
        </w:tc>
        <w:tc>
          <w:tcPr>
            <w:tcW w:w="917" w:type="pct"/>
            <w:vAlign w:val="center"/>
          </w:tcPr>
          <w:p w14:paraId="014EFA8F">
            <w:pPr>
              <w:spacing w:before="24" w:after="24" w:line="360" w:lineRule="auto"/>
              <w:jc w:val="center"/>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异常响应情形</w:t>
            </w:r>
          </w:p>
        </w:tc>
        <w:tc>
          <w:tcPr>
            <w:tcW w:w="3209" w:type="pct"/>
            <w:vAlign w:val="center"/>
          </w:tcPr>
          <w:p w14:paraId="4DEEEB8F">
            <w:pPr>
              <w:wordWrap w:val="0"/>
              <w:snapToGrid w:val="0"/>
              <w:spacing w:line="360" w:lineRule="auto"/>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核查供应商是否存在下列情形：</w:t>
            </w:r>
          </w:p>
          <w:p w14:paraId="61CF9BD9">
            <w:pPr>
              <w:wordWrap w:val="0"/>
              <w:snapToGrid w:val="0"/>
              <w:spacing w:line="360" w:lineRule="auto"/>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（1）法律法规规定视为串通投标的情形；</w:t>
            </w:r>
          </w:p>
          <w:p w14:paraId="749AC366">
            <w:pPr>
              <w:wordWrap w:val="0"/>
              <w:snapToGrid w:val="0"/>
              <w:spacing w:line="360" w:lineRule="auto"/>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（2）响应文件异常一致；</w:t>
            </w:r>
          </w:p>
          <w:p w14:paraId="70470BA6">
            <w:pPr>
              <w:wordWrap w:val="0"/>
              <w:snapToGrid w:val="0"/>
              <w:spacing w:line="360" w:lineRule="auto"/>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（3）响应活动异常关联；</w:t>
            </w:r>
          </w:p>
          <w:p w14:paraId="7096D936">
            <w:pPr>
              <w:wordWrap w:val="0"/>
              <w:snapToGrid w:val="0"/>
              <w:spacing w:line="360" w:lineRule="auto"/>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（4）通过受让、租借、挂靠资质响应，伪造、变造资质、资格证书或者其他许可证件，提供虚假业绩、奖项、项目负责人等材料。</w:t>
            </w:r>
          </w:p>
          <w:p w14:paraId="6617DAD6">
            <w:pPr>
              <w:wordWrap w:val="0"/>
              <w:snapToGrid w:val="0"/>
              <w:spacing w:line="360" w:lineRule="auto"/>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针对供应商出现上述（2）（3）项的情形，评审委员会应通知供应商作出解释说明，供应商在规定时间内提供说明材料，若说明材料不能合法、合理说明情况的，评审委员会作否决响应处理。</w:t>
            </w:r>
          </w:p>
          <w:p w14:paraId="3C332513">
            <w:pPr>
              <w:pStyle w:val="18"/>
              <w:spacing w:line="360" w:lineRule="auto"/>
              <w:jc w:val="left"/>
              <w:rPr>
                <w:rFonts w:hint="eastAsia" w:ascii="仿宋" w:hAnsi="仿宋" w:eastAsia="仿宋" w:cs="仿宋"/>
                <w:kern w:val="0"/>
                <w:sz w:val="22"/>
                <w:szCs w:val="22"/>
                <w:highlight w:val="none"/>
              </w:rPr>
            </w:pPr>
            <w:r>
              <w:rPr>
                <w:rFonts w:hint="eastAsia" w:ascii="仿宋" w:hAnsi="仿宋" w:eastAsia="仿宋" w:cs="仿宋"/>
                <w:kern w:val="0"/>
                <w:sz w:val="22"/>
                <w:szCs w:val="22"/>
                <w:highlight w:val="none"/>
              </w:rPr>
              <w:t>针对供应商出现上述（1）（4）项的情形，评审委员会按照法律法规规定进行处理。</w:t>
            </w:r>
          </w:p>
        </w:tc>
      </w:tr>
    </w:tbl>
    <w:p w14:paraId="657A24ED">
      <w:pPr>
        <w:pStyle w:val="3"/>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248" w:name="_Toc216971038"/>
      <w:bookmarkStart w:id="249" w:name="_Toc231201483"/>
      <w:bookmarkStart w:id="250" w:name="_Toc25550"/>
      <w:bookmarkStart w:id="251" w:name="_Toc233292446"/>
      <w:bookmarkStart w:id="252" w:name="_Toc219195988"/>
      <w:bookmarkStart w:id="253" w:name="_Toc197680988"/>
      <w:r>
        <w:rPr>
          <w:rFonts w:hint="eastAsia" w:ascii="仿宋" w:hAnsi="仿宋" w:eastAsia="仿宋" w:cs="仿宋"/>
          <w:color w:val="000000"/>
          <w:sz w:val="24"/>
          <w:szCs w:val="24"/>
          <w:highlight w:val="none"/>
        </w:rPr>
        <w:t>三、</w:t>
      </w:r>
      <w:bookmarkEnd w:id="239"/>
      <w:bookmarkEnd w:id="240"/>
      <w:bookmarkEnd w:id="241"/>
      <w:bookmarkEnd w:id="242"/>
      <w:bookmarkEnd w:id="243"/>
      <w:bookmarkEnd w:id="244"/>
      <w:r>
        <w:rPr>
          <w:rFonts w:hint="eastAsia" w:ascii="仿宋" w:hAnsi="仿宋" w:eastAsia="仿宋" w:cs="仿宋"/>
          <w:color w:val="000000"/>
          <w:sz w:val="24"/>
          <w:szCs w:val="24"/>
          <w:highlight w:val="none"/>
        </w:rPr>
        <w:t>详细评审</w:t>
      </w:r>
      <w:bookmarkEnd w:id="248"/>
      <w:bookmarkEnd w:id="249"/>
      <w:bookmarkEnd w:id="250"/>
      <w:bookmarkEnd w:id="251"/>
      <w:bookmarkEnd w:id="252"/>
      <w:bookmarkEnd w:id="253"/>
    </w:p>
    <w:tbl>
      <w:tblPr>
        <w:tblStyle w:val="41"/>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2"/>
        <w:gridCol w:w="1208"/>
        <w:gridCol w:w="6078"/>
        <w:gridCol w:w="735"/>
      </w:tblGrid>
      <w:tr w14:paraId="3C60C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62" w:type="pct"/>
            <w:vAlign w:val="center"/>
          </w:tcPr>
          <w:p w14:paraId="0BF0C309">
            <w:pPr>
              <w:pStyle w:val="3"/>
              <w:keepNext w:val="0"/>
              <w:keepLines w:val="0"/>
              <w:spacing w:before="0" w:after="0" w:line="360" w:lineRule="auto"/>
              <w:ind w:left="0" w:leftChars="0" w:firstLine="0" w:firstLineChars="0"/>
              <w:jc w:val="center"/>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分值构成</w:t>
            </w:r>
          </w:p>
          <w:p w14:paraId="74006016">
            <w:pPr>
              <w:pStyle w:val="3"/>
              <w:keepNext w:val="0"/>
              <w:keepLines w:val="0"/>
              <w:spacing w:before="0" w:after="0" w:line="360" w:lineRule="auto"/>
              <w:ind w:left="0" w:leftChars="0" w:firstLine="0" w:firstLineChars="0"/>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（总100分)</w:t>
            </w:r>
          </w:p>
        </w:tc>
        <w:tc>
          <w:tcPr>
            <w:tcW w:w="4237" w:type="pct"/>
            <w:gridSpan w:val="3"/>
            <w:vAlign w:val="center"/>
          </w:tcPr>
          <w:p w14:paraId="4D731EDB">
            <w:pPr>
              <w:pStyle w:val="3"/>
              <w:keepNext w:val="0"/>
              <w:keepLines w:val="0"/>
              <w:spacing w:before="0" w:after="0" w:line="360" w:lineRule="auto"/>
              <w:ind w:left="0" w:leftChars="0" w:firstLine="0" w:firstLineChars="0"/>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商务部分：1</w:t>
            </w:r>
            <w:r>
              <w:rPr>
                <w:rFonts w:hint="eastAsia" w:ascii="仿宋" w:hAnsi="仿宋" w:eastAsia="仿宋" w:cs="仿宋"/>
                <w:b w:val="0"/>
                <w:color w:val="auto"/>
                <w:sz w:val="24"/>
                <w:szCs w:val="24"/>
                <w:highlight w:val="none"/>
                <w:lang w:val="en-US" w:eastAsia="zh-CN"/>
              </w:rPr>
              <w:t>0</w:t>
            </w:r>
            <w:r>
              <w:rPr>
                <w:rFonts w:hint="eastAsia" w:ascii="仿宋" w:hAnsi="仿宋" w:eastAsia="仿宋" w:cs="仿宋"/>
                <w:b w:val="0"/>
                <w:color w:val="auto"/>
                <w:sz w:val="24"/>
                <w:szCs w:val="24"/>
                <w:highlight w:val="none"/>
              </w:rPr>
              <w:t>分</w:t>
            </w:r>
          </w:p>
          <w:p w14:paraId="5473A2EE">
            <w:pPr>
              <w:pStyle w:val="3"/>
              <w:keepNext w:val="0"/>
              <w:keepLines w:val="0"/>
              <w:spacing w:before="0" w:after="0" w:line="360" w:lineRule="auto"/>
              <w:ind w:left="0" w:leftChars="0" w:firstLine="0" w:firstLineChars="0"/>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技术部分：</w:t>
            </w:r>
            <w:r>
              <w:rPr>
                <w:rFonts w:hint="eastAsia" w:ascii="仿宋" w:hAnsi="仿宋" w:eastAsia="仿宋" w:cs="仿宋"/>
                <w:b w:val="0"/>
                <w:color w:val="auto"/>
                <w:sz w:val="24"/>
                <w:szCs w:val="24"/>
                <w:highlight w:val="none"/>
                <w:lang w:val="en-US" w:eastAsia="zh-CN"/>
              </w:rPr>
              <w:t>50</w:t>
            </w:r>
            <w:r>
              <w:rPr>
                <w:rFonts w:hint="eastAsia" w:ascii="仿宋" w:hAnsi="仿宋" w:eastAsia="仿宋" w:cs="仿宋"/>
                <w:b w:val="0"/>
                <w:color w:val="auto"/>
                <w:sz w:val="24"/>
                <w:szCs w:val="24"/>
                <w:highlight w:val="none"/>
              </w:rPr>
              <w:t>分</w:t>
            </w:r>
          </w:p>
          <w:p w14:paraId="733E6976">
            <w:pPr>
              <w:pStyle w:val="3"/>
              <w:keepNext w:val="0"/>
              <w:keepLines w:val="0"/>
              <w:spacing w:before="0" w:after="0" w:line="360" w:lineRule="auto"/>
              <w:ind w:left="0" w:leftChars="0" w:firstLine="0" w:firstLineChars="0"/>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lang w:val="en-US" w:eastAsia="zh-CN"/>
              </w:rPr>
              <w:t>价格部分</w:t>
            </w:r>
            <w:r>
              <w:rPr>
                <w:rFonts w:hint="eastAsia" w:ascii="仿宋" w:hAnsi="仿宋" w:eastAsia="仿宋" w:cs="仿宋"/>
                <w:b w:val="0"/>
                <w:color w:val="auto"/>
                <w:sz w:val="24"/>
                <w:szCs w:val="24"/>
                <w:highlight w:val="none"/>
              </w:rPr>
              <w:t>：</w:t>
            </w:r>
            <w:r>
              <w:rPr>
                <w:rFonts w:hint="eastAsia" w:ascii="仿宋" w:hAnsi="仿宋" w:eastAsia="仿宋" w:cs="仿宋"/>
                <w:b w:val="0"/>
                <w:color w:val="auto"/>
                <w:sz w:val="24"/>
                <w:szCs w:val="24"/>
                <w:highlight w:val="none"/>
                <w:lang w:val="en-US" w:eastAsia="zh-CN"/>
              </w:rPr>
              <w:t>4</w:t>
            </w:r>
            <w:r>
              <w:rPr>
                <w:rFonts w:hint="eastAsia" w:ascii="仿宋" w:hAnsi="仿宋" w:eastAsia="仿宋" w:cs="仿宋"/>
                <w:b w:val="0"/>
                <w:color w:val="auto"/>
                <w:sz w:val="24"/>
                <w:szCs w:val="24"/>
                <w:highlight w:val="none"/>
              </w:rPr>
              <w:t>0分</w:t>
            </w:r>
          </w:p>
        </w:tc>
      </w:tr>
      <w:tr w14:paraId="1D3E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762" w:type="pct"/>
            <w:vAlign w:val="center"/>
          </w:tcPr>
          <w:p w14:paraId="68DA121D">
            <w:pPr>
              <w:pStyle w:val="3"/>
              <w:keepNext w:val="0"/>
              <w:keepLines w:val="0"/>
              <w:spacing w:before="0" w:after="0" w:line="360" w:lineRule="auto"/>
              <w:ind w:left="0" w:lef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内容</w:t>
            </w:r>
          </w:p>
        </w:tc>
        <w:tc>
          <w:tcPr>
            <w:tcW w:w="638" w:type="pct"/>
            <w:vAlign w:val="center"/>
          </w:tcPr>
          <w:p w14:paraId="10F5C931">
            <w:pPr>
              <w:pStyle w:val="3"/>
              <w:keepNext w:val="0"/>
              <w:keepLines w:val="0"/>
              <w:spacing w:before="0" w:after="0" w:line="360" w:lineRule="auto"/>
              <w:ind w:left="0" w:lef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3211" w:type="pct"/>
            <w:vAlign w:val="center"/>
          </w:tcPr>
          <w:p w14:paraId="40340A6F">
            <w:pPr>
              <w:pStyle w:val="3"/>
              <w:keepNext w:val="0"/>
              <w:keepLines w:val="0"/>
              <w:spacing w:before="0" w:after="0" w:line="360" w:lineRule="auto"/>
              <w:ind w:left="0" w:lef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评审说明</w:t>
            </w:r>
          </w:p>
        </w:tc>
        <w:tc>
          <w:tcPr>
            <w:tcW w:w="387" w:type="pct"/>
            <w:vAlign w:val="center"/>
          </w:tcPr>
          <w:p w14:paraId="27810F8E">
            <w:pPr>
              <w:pStyle w:val="3"/>
              <w:keepNext w:val="0"/>
              <w:keepLines w:val="0"/>
              <w:spacing w:before="0" w:after="0" w:line="360" w:lineRule="auto"/>
              <w:ind w:left="0" w:leftChars="0" w:firstLine="0" w:firstLineChars="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分值</w:t>
            </w:r>
          </w:p>
        </w:tc>
      </w:tr>
      <w:tr w14:paraId="2E9A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atLeast"/>
          <w:jc w:val="center"/>
        </w:trPr>
        <w:tc>
          <w:tcPr>
            <w:tcW w:w="762" w:type="pct"/>
            <w:vAlign w:val="center"/>
          </w:tcPr>
          <w:p w14:paraId="3796C4DA">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p w14:paraId="175579E3">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价格部分</w:t>
            </w:r>
          </w:p>
          <w:p w14:paraId="51F7EEDA">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b w:val="0"/>
                <w:bCs w:val="0"/>
                <w:i w:val="0"/>
                <w:iCs w:val="0"/>
                <w:color w:val="000000"/>
                <w:kern w:val="0"/>
                <w:sz w:val="24"/>
                <w:szCs w:val="24"/>
                <w:highlight w:val="none"/>
                <w:u w:val="none"/>
                <w:lang w:val="en-US" w:eastAsia="zh-CN" w:bidi="ar"/>
              </w:rPr>
              <w:t>(40分）</w:t>
            </w:r>
          </w:p>
        </w:tc>
        <w:tc>
          <w:tcPr>
            <w:tcW w:w="638" w:type="pct"/>
            <w:vAlign w:val="center"/>
          </w:tcPr>
          <w:p w14:paraId="46D28414">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p w14:paraId="3EBEF115">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b w:val="0"/>
                <w:bCs w:val="0"/>
                <w:i w:val="0"/>
                <w:iCs w:val="0"/>
                <w:color w:val="000000"/>
                <w:kern w:val="0"/>
                <w:sz w:val="24"/>
                <w:szCs w:val="24"/>
                <w:highlight w:val="none"/>
                <w:u w:val="none"/>
                <w:lang w:val="en-US" w:eastAsia="zh-CN" w:bidi="ar"/>
              </w:rPr>
              <w:t>响应报价</w:t>
            </w:r>
          </w:p>
        </w:tc>
        <w:tc>
          <w:tcPr>
            <w:tcW w:w="3211" w:type="pct"/>
            <w:vAlign w:val="center"/>
          </w:tcPr>
          <w:p w14:paraId="496CFF05">
            <w:pPr>
              <w:keepNext w:val="0"/>
              <w:keepLines w:val="0"/>
              <w:widowControl/>
              <w:suppressLineNumbers w:val="0"/>
              <w:spacing w:line="360" w:lineRule="auto"/>
              <w:jc w:val="left"/>
              <w:textAlignment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一、项目预算范围</w:t>
            </w:r>
          </w:p>
          <w:p w14:paraId="073E46D9">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1.预算金额＜50万元；</w:t>
            </w:r>
          </w:p>
          <w:p w14:paraId="31FCAE77">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2.50万元≤预算金额＜300万元；</w:t>
            </w:r>
          </w:p>
          <w:p w14:paraId="3139A4F1">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3.300万元≤预算金额＜1000 万元；</w:t>
            </w:r>
          </w:p>
          <w:p w14:paraId="48BF5100">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4.预算金额≧1000万元。</w:t>
            </w:r>
          </w:p>
          <w:p w14:paraId="5068A520">
            <w:pPr>
              <w:keepNext w:val="0"/>
              <w:keepLines w:val="0"/>
              <w:widowControl/>
              <w:suppressLineNumbers w:val="0"/>
              <w:spacing w:line="360" w:lineRule="auto"/>
              <w:jc w:val="left"/>
              <w:textAlignment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二、价格分计算方法</w:t>
            </w:r>
          </w:p>
          <w:p w14:paraId="435FF56A">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按照项目预算金额分别报折扣率，1、2、3、4档的价格权重分别为10%、15%、10%、5%，4档合计为40分，汇总分项计算最终得分。</w:t>
            </w:r>
          </w:p>
          <w:p w14:paraId="5424D72F">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1.偏离度计算法</w:t>
            </w:r>
          </w:p>
          <w:p w14:paraId="4FABD4A1">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1）评审价：满足比选文件要求的某预算范围报价折扣率；</w:t>
            </w:r>
          </w:p>
          <w:p w14:paraId="4ECF93F3">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2）评审基准价：取所有有效评审价的算术平均值，作为基准价；</w:t>
            </w:r>
          </w:p>
          <w:p w14:paraId="748CCB2A">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3）价格分计算：按照以下公式计算，并精确到小数点后两位：</w:t>
            </w:r>
          </w:p>
          <w:p w14:paraId="0EC08B16">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价格得分=(1-A*│1－该供应商的评审价／评审基准价│)*某预算范围分值</w:t>
            </w:r>
          </w:p>
          <w:p w14:paraId="1BEC6460">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A：价格调整系数，当该供应商的评审价低于评审基准价时，A=0.5；当该供应商的评审价高于评审基准价时，A=1；当价格得分&lt;0时，取0。</w:t>
            </w:r>
          </w:p>
          <w:p w14:paraId="42EA6C50">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评审委员会认为供应商的报价明显低于其他通过初步评审的供应商报价，有可能影响质量或者不能诚信履约的，会要求其在评审现场合理的时间内提供书面说明，必要时提交相关证明材料；供应商不能证明其报价合理性的，评审委员会应当将其作为无效响应处理。</w:t>
            </w:r>
          </w:p>
          <w:p w14:paraId="085047D1">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lang w:val="en-US" w:eastAsia="zh-CN"/>
              </w:rPr>
              <w:t>4）评审委员会认为供应商的报价明显低于其他通过初步评审的供应商报价，有可能影响质量或者不能诚信履约的，会要求其在评审现场合理的时间内提供书面说明，必要时提交相关证明材料；供应商不能证明其报价合理性的，评审委员会应当将其作为无效响应处理。</w:t>
            </w:r>
          </w:p>
        </w:tc>
        <w:tc>
          <w:tcPr>
            <w:tcW w:w="387" w:type="pct"/>
            <w:vAlign w:val="center"/>
          </w:tcPr>
          <w:p w14:paraId="782E986B">
            <w:pPr>
              <w:spacing w:line="360" w:lineRule="auto"/>
              <w:jc w:val="center"/>
              <w:rPr>
                <w:rFonts w:hint="eastAsia" w:ascii="仿宋" w:hAnsi="仿宋" w:eastAsia="仿宋" w:cs="仿宋"/>
                <w:b/>
                <w:color w:val="auto"/>
                <w:w w:val="99"/>
                <w:sz w:val="24"/>
                <w:szCs w:val="24"/>
                <w:highlight w:val="none"/>
              </w:rPr>
            </w:pPr>
            <w:r>
              <w:rPr>
                <w:rFonts w:hint="eastAsia" w:ascii="仿宋" w:hAnsi="仿宋" w:eastAsia="仿宋" w:cs="仿宋"/>
                <w:color w:val="auto"/>
                <w:kern w:val="0"/>
                <w:sz w:val="24"/>
                <w:szCs w:val="24"/>
                <w:highlight w:val="none"/>
                <w:lang w:val="en-US" w:eastAsia="zh-CN" w:bidi="ar"/>
              </w:rPr>
              <w:t>4</w:t>
            </w:r>
            <w:r>
              <w:rPr>
                <w:rFonts w:hint="eastAsia" w:ascii="仿宋" w:hAnsi="仿宋" w:eastAsia="仿宋" w:cs="仿宋"/>
                <w:color w:val="auto"/>
                <w:kern w:val="0"/>
                <w:sz w:val="24"/>
                <w:szCs w:val="24"/>
                <w:highlight w:val="none"/>
                <w:lang w:bidi="ar"/>
              </w:rPr>
              <w:t>0</w:t>
            </w:r>
          </w:p>
        </w:tc>
      </w:tr>
      <w:tr w14:paraId="097E5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762" w:type="pct"/>
            <w:vMerge w:val="restart"/>
            <w:vAlign w:val="center"/>
          </w:tcPr>
          <w:p w14:paraId="6B116CDF">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商务部分（10分）</w:t>
            </w:r>
          </w:p>
        </w:tc>
        <w:tc>
          <w:tcPr>
            <w:tcW w:w="638" w:type="pct"/>
            <w:vAlign w:val="center"/>
          </w:tcPr>
          <w:p w14:paraId="168A9768">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管理体系认证证书</w:t>
            </w:r>
          </w:p>
        </w:tc>
        <w:tc>
          <w:tcPr>
            <w:tcW w:w="3211" w:type="pct"/>
            <w:vAlign w:val="center"/>
          </w:tcPr>
          <w:p w14:paraId="76725196">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根据供应商提供的管理体系认证证书情况进行评</w:t>
            </w:r>
            <w:r>
              <w:rPr>
                <w:rFonts w:hint="eastAsia" w:ascii="仿宋" w:hAnsi="仿宋" w:eastAsia="仿宋" w:cs="仿宋"/>
                <w:color w:val="auto"/>
                <w:kern w:val="0"/>
                <w:sz w:val="24"/>
                <w:szCs w:val="24"/>
                <w:highlight w:val="none"/>
                <w:lang w:val="en-US" w:eastAsia="zh-CN"/>
              </w:rPr>
              <w:t>审</w:t>
            </w:r>
            <w:r>
              <w:rPr>
                <w:rFonts w:hint="eastAsia" w:ascii="仿宋" w:hAnsi="仿宋" w:eastAsia="仿宋" w:cs="仿宋"/>
                <w:color w:val="auto"/>
                <w:kern w:val="0"/>
                <w:sz w:val="24"/>
                <w:szCs w:val="24"/>
                <w:highlight w:val="none"/>
              </w:rPr>
              <w:t>：</w:t>
            </w:r>
          </w:p>
          <w:p w14:paraId="4709496B">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1.具有有效的质量管理体系认证证书</w:t>
            </w:r>
            <w:r>
              <w:rPr>
                <w:rFonts w:hint="eastAsia" w:ascii="仿宋" w:hAnsi="仿宋" w:eastAsia="仿宋" w:cs="仿宋"/>
                <w:color w:val="auto"/>
                <w:kern w:val="0"/>
                <w:sz w:val="24"/>
                <w:szCs w:val="24"/>
                <w:highlight w:val="none"/>
                <w:lang w:val="en-US" w:eastAsia="zh-CN"/>
              </w:rPr>
              <w:t>的得1分</w:t>
            </w:r>
            <w:r>
              <w:rPr>
                <w:rFonts w:hint="eastAsia" w:ascii="仿宋" w:hAnsi="仿宋" w:eastAsia="仿宋" w:cs="仿宋"/>
                <w:color w:val="auto"/>
                <w:kern w:val="0"/>
                <w:sz w:val="24"/>
                <w:szCs w:val="24"/>
                <w:highlight w:val="none"/>
              </w:rPr>
              <w:t>；</w:t>
            </w:r>
          </w:p>
          <w:p w14:paraId="41CADD0A">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2.具有有效的环境管理体系认证证书</w:t>
            </w:r>
            <w:r>
              <w:rPr>
                <w:rFonts w:hint="eastAsia" w:ascii="仿宋" w:hAnsi="仿宋" w:eastAsia="仿宋" w:cs="仿宋"/>
                <w:color w:val="auto"/>
                <w:kern w:val="0"/>
                <w:sz w:val="24"/>
                <w:szCs w:val="24"/>
                <w:highlight w:val="none"/>
                <w:lang w:val="en-US" w:eastAsia="zh-CN"/>
              </w:rPr>
              <w:t>的得1分</w:t>
            </w:r>
            <w:r>
              <w:rPr>
                <w:rFonts w:hint="eastAsia" w:ascii="仿宋" w:hAnsi="仿宋" w:eastAsia="仿宋" w:cs="仿宋"/>
                <w:color w:val="auto"/>
                <w:kern w:val="0"/>
                <w:sz w:val="24"/>
                <w:szCs w:val="24"/>
                <w:highlight w:val="none"/>
              </w:rPr>
              <w:t>；</w:t>
            </w:r>
          </w:p>
          <w:p w14:paraId="0C555F9C">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3.具有有效的职业健康安全管理体系认证证书</w:t>
            </w:r>
            <w:r>
              <w:rPr>
                <w:rFonts w:hint="eastAsia" w:ascii="仿宋" w:hAnsi="仿宋" w:eastAsia="仿宋" w:cs="仿宋"/>
                <w:color w:val="auto"/>
                <w:kern w:val="0"/>
                <w:sz w:val="24"/>
                <w:szCs w:val="24"/>
                <w:highlight w:val="none"/>
                <w:lang w:val="en-US" w:eastAsia="zh-CN"/>
              </w:rPr>
              <w:t>的得1分</w:t>
            </w:r>
            <w:r>
              <w:rPr>
                <w:rFonts w:hint="eastAsia" w:ascii="仿宋" w:hAnsi="仿宋" w:eastAsia="仿宋" w:cs="仿宋"/>
                <w:color w:val="auto"/>
                <w:kern w:val="0"/>
                <w:sz w:val="24"/>
                <w:szCs w:val="24"/>
                <w:highlight w:val="none"/>
              </w:rPr>
              <w:t>。</w:t>
            </w:r>
          </w:p>
          <w:p w14:paraId="0E98B222">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rPr>
              <w:t>注：须提供有效的、清晰的管理体系认证证书扫描件，未提供得0分</w:t>
            </w:r>
            <w:r>
              <w:rPr>
                <w:rFonts w:hint="eastAsia" w:ascii="仿宋" w:hAnsi="仿宋" w:eastAsia="仿宋" w:cs="仿宋"/>
                <w:color w:val="auto"/>
                <w:kern w:val="0"/>
                <w:sz w:val="24"/>
                <w:szCs w:val="24"/>
                <w:highlight w:val="none"/>
                <w:lang w:eastAsia="zh-CN"/>
              </w:rPr>
              <w:t>。</w:t>
            </w:r>
          </w:p>
        </w:tc>
        <w:tc>
          <w:tcPr>
            <w:tcW w:w="387" w:type="pct"/>
            <w:vAlign w:val="center"/>
          </w:tcPr>
          <w:p w14:paraId="48B2AC07">
            <w:pPr>
              <w:keepNext w:val="0"/>
              <w:keepLines w:val="0"/>
              <w:widowControl/>
              <w:suppressLineNumbers w:val="0"/>
              <w:spacing w:line="360" w:lineRule="auto"/>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i w:val="0"/>
                <w:iCs w:val="0"/>
                <w:color w:val="000000"/>
                <w:kern w:val="0"/>
                <w:sz w:val="24"/>
                <w:szCs w:val="24"/>
                <w:highlight w:val="none"/>
                <w:u w:val="none"/>
                <w:lang w:val="en-US" w:eastAsia="zh-CN" w:bidi="ar"/>
              </w:rPr>
              <w:t>3</w:t>
            </w:r>
          </w:p>
        </w:tc>
      </w:tr>
      <w:tr w14:paraId="70C3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62" w:type="pct"/>
            <w:vMerge w:val="continue"/>
            <w:vAlign w:val="center"/>
          </w:tcPr>
          <w:p w14:paraId="2DF49038">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p>
        </w:tc>
        <w:tc>
          <w:tcPr>
            <w:tcW w:w="638" w:type="pct"/>
            <w:vAlign w:val="center"/>
          </w:tcPr>
          <w:p w14:paraId="1A4D80C6">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同类业绩</w:t>
            </w:r>
          </w:p>
        </w:tc>
        <w:tc>
          <w:tcPr>
            <w:tcW w:w="3211" w:type="pct"/>
            <w:vAlign w:val="center"/>
          </w:tcPr>
          <w:p w14:paraId="6470BAAF">
            <w:pPr>
              <w:keepNext w:val="0"/>
              <w:keepLines w:val="0"/>
              <w:widowControl/>
              <w:suppressLineNumbers w:val="0"/>
              <w:spacing w:line="360" w:lineRule="auto"/>
              <w:jc w:val="left"/>
              <w:textAlignment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根据供应商提供的</w:t>
            </w:r>
            <w:r>
              <w:rPr>
                <w:rFonts w:hint="eastAsia" w:ascii="仿宋" w:hAnsi="仿宋" w:eastAsia="仿宋" w:cs="仿宋"/>
                <w:color w:val="auto"/>
                <w:kern w:val="0"/>
                <w:sz w:val="24"/>
                <w:szCs w:val="24"/>
                <w:highlight w:val="none"/>
                <w:lang w:val="en-US" w:eastAsia="zh-CN"/>
              </w:rPr>
              <w:t>自</w:t>
            </w:r>
            <w:r>
              <w:rPr>
                <w:rFonts w:hint="eastAsia" w:ascii="仿宋" w:hAnsi="仿宋" w:eastAsia="仿宋" w:cs="仿宋"/>
                <w:color w:val="auto"/>
                <w:kern w:val="0"/>
                <w:sz w:val="24"/>
                <w:szCs w:val="24"/>
                <w:highlight w:val="none"/>
              </w:rPr>
              <w:t>2023年1月1日至</w:t>
            </w:r>
            <w:r>
              <w:rPr>
                <w:rFonts w:hint="eastAsia" w:ascii="仿宋" w:hAnsi="仿宋" w:eastAsia="仿宋" w:cs="仿宋"/>
                <w:color w:val="auto"/>
                <w:kern w:val="0"/>
                <w:sz w:val="24"/>
                <w:szCs w:val="24"/>
                <w:highlight w:val="none"/>
                <w:lang w:val="en-US" w:eastAsia="zh-CN"/>
              </w:rPr>
              <w:t>本项目响应文件递交截止之日承接</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lang w:val="en-US" w:eastAsia="zh-CN"/>
              </w:rPr>
              <w:t>招标代理服务项目</w:t>
            </w:r>
            <w:r>
              <w:rPr>
                <w:rFonts w:hint="eastAsia" w:ascii="仿宋" w:hAnsi="仿宋" w:eastAsia="仿宋" w:cs="仿宋"/>
                <w:color w:val="auto"/>
                <w:kern w:val="0"/>
                <w:sz w:val="24"/>
                <w:szCs w:val="24"/>
                <w:highlight w:val="none"/>
              </w:rPr>
              <w:t>业绩数量</w:t>
            </w:r>
            <w:r>
              <w:rPr>
                <w:rFonts w:hint="eastAsia" w:ascii="仿宋" w:hAnsi="仿宋" w:eastAsia="仿宋" w:cs="仿宋"/>
                <w:color w:val="auto"/>
                <w:kern w:val="0"/>
                <w:sz w:val="24"/>
                <w:szCs w:val="24"/>
                <w:highlight w:val="none"/>
                <w:lang w:val="en-US" w:eastAsia="zh-CN"/>
              </w:rPr>
              <w:t>进行评审</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在满足资格条件的基础上，</w:t>
            </w:r>
            <w:r>
              <w:rPr>
                <w:rFonts w:hint="eastAsia" w:ascii="仿宋" w:hAnsi="仿宋" w:eastAsia="仿宋" w:cs="仿宋"/>
                <w:color w:val="auto"/>
                <w:kern w:val="0"/>
                <w:sz w:val="24"/>
                <w:szCs w:val="24"/>
                <w:highlight w:val="none"/>
              </w:rPr>
              <w:t>每</w:t>
            </w:r>
            <w:r>
              <w:rPr>
                <w:rFonts w:hint="eastAsia" w:ascii="仿宋" w:hAnsi="仿宋" w:eastAsia="仿宋" w:cs="仿宋"/>
                <w:color w:val="auto"/>
                <w:kern w:val="0"/>
                <w:sz w:val="24"/>
                <w:szCs w:val="24"/>
                <w:highlight w:val="none"/>
                <w:lang w:val="en-US" w:eastAsia="zh-CN"/>
              </w:rPr>
              <w:t>多提供1份招标代理服务项目业绩的</w:t>
            </w:r>
            <w:r>
              <w:rPr>
                <w:rFonts w:hint="eastAsia" w:ascii="仿宋" w:hAnsi="仿宋" w:eastAsia="仿宋" w:cs="仿宋"/>
                <w:color w:val="auto"/>
                <w:kern w:val="0"/>
                <w:sz w:val="24"/>
                <w:szCs w:val="24"/>
                <w:highlight w:val="none"/>
              </w:rPr>
              <w:t>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分，最高</w:t>
            </w:r>
            <w:r>
              <w:rPr>
                <w:rFonts w:hint="eastAsia" w:ascii="仿宋" w:hAnsi="仿宋" w:eastAsia="仿宋" w:cs="仿宋"/>
                <w:color w:val="auto"/>
                <w:kern w:val="0"/>
                <w:sz w:val="24"/>
                <w:szCs w:val="24"/>
                <w:highlight w:val="none"/>
                <w:lang w:val="en-US" w:eastAsia="zh-CN"/>
              </w:rPr>
              <w:t>得7</w:t>
            </w:r>
            <w:r>
              <w:rPr>
                <w:rFonts w:hint="eastAsia" w:ascii="仿宋" w:hAnsi="仿宋" w:eastAsia="仿宋" w:cs="仿宋"/>
                <w:color w:val="auto"/>
                <w:kern w:val="0"/>
                <w:sz w:val="24"/>
                <w:szCs w:val="24"/>
                <w:highlight w:val="none"/>
              </w:rPr>
              <w:t>分。</w:t>
            </w:r>
          </w:p>
          <w:p w14:paraId="0C12BA85">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lang w:val="en-US" w:eastAsia="zh-CN"/>
              </w:rPr>
              <w:t>注</w:t>
            </w:r>
            <w:r>
              <w:rPr>
                <w:rFonts w:hint="eastAsia" w:ascii="仿宋" w:hAnsi="仿宋" w:eastAsia="仿宋" w:cs="仿宋"/>
                <w:color w:val="auto"/>
                <w:kern w:val="0"/>
                <w:sz w:val="24"/>
                <w:szCs w:val="24"/>
                <w:highlight w:val="none"/>
              </w:rPr>
              <w:t>：须提供代理项目采购公告</w:t>
            </w:r>
            <w:r>
              <w:rPr>
                <w:rFonts w:hint="eastAsia" w:ascii="仿宋" w:hAnsi="仿宋" w:eastAsia="仿宋" w:cs="仿宋"/>
                <w:color w:val="auto"/>
                <w:kern w:val="0"/>
                <w:sz w:val="24"/>
                <w:szCs w:val="24"/>
                <w:highlight w:val="none"/>
                <w:lang w:val="en-US" w:eastAsia="zh-CN"/>
              </w:rPr>
              <w:t>截图</w:t>
            </w:r>
            <w:r>
              <w:rPr>
                <w:rFonts w:hint="eastAsia" w:ascii="仿宋" w:hAnsi="仿宋" w:eastAsia="仿宋" w:cs="仿宋"/>
                <w:color w:val="auto"/>
                <w:kern w:val="0"/>
                <w:sz w:val="24"/>
                <w:szCs w:val="24"/>
                <w:highlight w:val="none"/>
              </w:rPr>
              <w:t>或代理委托书（函）。</w:t>
            </w:r>
          </w:p>
        </w:tc>
        <w:tc>
          <w:tcPr>
            <w:tcW w:w="387" w:type="pct"/>
            <w:vAlign w:val="center"/>
          </w:tcPr>
          <w:p w14:paraId="0726A63A">
            <w:pPr>
              <w:keepNext w:val="0"/>
              <w:keepLines w:val="0"/>
              <w:widowControl/>
              <w:suppressLineNumbers w:val="0"/>
              <w:spacing w:line="360" w:lineRule="auto"/>
              <w:jc w:val="center"/>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7</w:t>
            </w:r>
          </w:p>
        </w:tc>
      </w:tr>
      <w:tr w14:paraId="1D7E8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pct"/>
            <w:vMerge w:val="restart"/>
            <w:vAlign w:val="center"/>
          </w:tcPr>
          <w:p w14:paraId="03D4BF44">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技术部分（50分）</w:t>
            </w:r>
          </w:p>
        </w:tc>
        <w:tc>
          <w:tcPr>
            <w:tcW w:w="638" w:type="pct"/>
            <w:vAlign w:val="center"/>
          </w:tcPr>
          <w:p w14:paraId="13BA4EE6">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项目负责人</w:t>
            </w:r>
          </w:p>
        </w:tc>
        <w:tc>
          <w:tcPr>
            <w:tcW w:w="3211" w:type="pct"/>
            <w:vAlign w:val="center"/>
          </w:tcPr>
          <w:p w14:paraId="11D0929B">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供应商须为本项目配置一名项目负责人，评委根据以下内容进行评审：</w:t>
            </w:r>
          </w:p>
          <w:p w14:paraId="065FA1A7">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（1）具有5年及以上招标代理从业经验的，得2分；</w:t>
            </w:r>
          </w:p>
          <w:p w14:paraId="07FF10C2">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（2）具有中国招标投标协会颁发的中级及以上招采人员证书的，得2分。</w:t>
            </w:r>
          </w:p>
          <w:p w14:paraId="628C1A14">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注1：从业经验证明材料，须提供公告截图，截图须体现拟派项目负责人信息，每年至少提供1份公告截图。</w:t>
            </w:r>
          </w:p>
          <w:p w14:paraId="6F4DF5DC">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2：须提供上述人员身份证正反面复印件、从业经验证明材料复印件、招采人员有效证书复印件、在本单位2026年1月至应答截止之日前任意连续3个月的社保缴纳证明（若社保为第三方劳务派遣代缴，还须同时提供应答单位与劳务派遣公司签订的劳务派遣合同或协议，否则不予认可）。</w:t>
            </w:r>
          </w:p>
        </w:tc>
        <w:tc>
          <w:tcPr>
            <w:tcW w:w="387" w:type="pct"/>
            <w:vAlign w:val="center"/>
          </w:tcPr>
          <w:p w14:paraId="25829443">
            <w:pPr>
              <w:keepNext w:val="0"/>
              <w:keepLines w:val="0"/>
              <w:widowControl/>
              <w:suppressLineNumbers w:val="0"/>
              <w:spacing w:line="360" w:lineRule="auto"/>
              <w:jc w:val="center"/>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w:t>
            </w:r>
          </w:p>
        </w:tc>
      </w:tr>
      <w:tr w14:paraId="1EDC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62" w:type="pct"/>
            <w:vMerge w:val="continue"/>
            <w:vAlign w:val="center"/>
          </w:tcPr>
          <w:p w14:paraId="6BD1C4B5">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p>
        </w:tc>
        <w:tc>
          <w:tcPr>
            <w:tcW w:w="638" w:type="pct"/>
            <w:vAlign w:val="center"/>
          </w:tcPr>
          <w:p w14:paraId="69744D6F">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项目经理要求</w:t>
            </w:r>
          </w:p>
        </w:tc>
        <w:tc>
          <w:tcPr>
            <w:tcW w:w="3211" w:type="pct"/>
            <w:vAlign w:val="center"/>
          </w:tcPr>
          <w:p w14:paraId="6CC03FB6">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供应商须至少为本项目配置2名项目经理，评委根据以下内容进行评审：</w:t>
            </w:r>
          </w:p>
          <w:p w14:paraId="21F562C3">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（1）2名项目经理中每有1名具备3年及以上招标代理从业经验的，得2分，满分4分。</w:t>
            </w:r>
          </w:p>
          <w:p w14:paraId="1397B9A6">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（2）2名项目经理中每有1名具有中国招标投标协会颁发的初级及以上招采人员证书的得1分，满分2分；</w:t>
            </w:r>
          </w:p>
          <w:p w14:paraId="799B83B4">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注1：从业经验证明材料，须提供采购公告截图，截图须体现拟派项目经理信息，每年至少提供1份采购公告截图。</w:t>
            </w:r>
          </w:p>
          <w:p w14:paraId="61361590">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2：须提供上述人员身份证正反面复印件、从业经验证明材料复印件、招采人员有效证书复印件、在本单位2026年1月至应答截止之日前任意连续3个月的社保缴纳证明（若社保为第三方劳务派遣代缴，还须同时提供应答单位与劳务派遣公司签订的劳务派遣合同或协议，否则不予认可）。项目经理与项目负责人不得复用。</w:t>
            </w:r>
          </w:p>
        </w:tc>
        <w:tc>
          <w:tcPr>
            <w:tcW w:w="387" w:type="pct"/>
            <w:vAlign w:val="center"/>
          </w:tcPr>
          <w:p w14:paraId="70E8679F">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w:t>
            </w:r>
          </w:p>
        </w:tc>
      </w:tr>
      <w:tr w14:paraId="52D55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2" w:type="pct"/>
            <w:vMerge w:val="continue"/>
            <w:vAlign w:val="center"/>
          </w:tcPr>
          <w:p w14:paraId="0146089E">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p>
        </w:tc>
        <w:tc>
          <w:tcPr>
            <w:tcW w:w="638" w:type="pct"/>
            <w:vAlign w:val="center"/>
          </w:tcPr>
          <w:p w14:paraId="76C55097">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项目组织及重点服务保障方案</w:t>
            </w:r>
          </w:p>
        </w:tc>
        <w:tc>
          <w:tcPr>
            <w:tcW w:w="3211" w:type="pct"/>
            <w:vAlign w:val="center"/>
          </w:tcPr>
          <w:p w14:paraId="0DEB2C00">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根据供应商针对本项目制定的项目组织及重点服务保障方案进行评审，方案内容包括但不限于：人员组织安排、时效保障、资料归档、沟通协调、疑难事项专项处置等。</w:t>
            </w:r>
          </w:p>
          <w:p w14:paraId="363C173E">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1.组织方案科学合理，各项保障措施全面详实、落地性强，得（7-10</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50B04043">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2.组织方案基本合理，保障措施较为完整，具备一定可操作性，得（3-7</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522527BF">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3.组织方案不完善，保障措施简单笼统，可操作性弱，得[0-3]分。未提供得0分。</w:t>
            </w:r>
          </w:p>
        </w:tc>
        <w:tc>
          <w:tcPr>
            <w:tcW w:w="387" w:type="pct"/>
            <w:vAlign w:val="center"/>
          </w:tcPr>
          <w:p w14:paraId="7568DC39">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r>
      <w:tr w14:paraId="0348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2" w:type="pct"/>
            <w:vMerge w:val="continue"/>
            <w:vAlign w:val="center"/>
          </w:tcPr>
          <w:p w14:paraId="0A000536">
            <w:pPr>
              <w:spacing w:line="360" w:lineRule="auto"/>
              <w:jc w:val="center"/>
              <w:rPr>
                <w:rFonts w:hint="eastAsia" w:ascii="仿宋" w:hAnsi="仿宋" w:eastAsia="仿宋" w:cs="仿宋"/>
                <w:b w:val="0"/>
                <w:color w:val="auto"/>
                <w:sz w:val="24"/>
                <w:szCs w:val="24"/>
                <w:highlight w:val="none"/>
              </w:rPr>
            </w:pPr>
          </w:p>
        </w:tc>
        <w:tc>
          <w:tcPr>
            <w:tcW w:w="638" w:type="pct"/>
            <w:vAlign w:val="center"/>
          </w:tcPr>
          <w:p w14:paraId="39B4C9E3">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质量控制及项目进度保证措施</w:t>
            </w:r>
          </w:p>
        </w:tc>
        <w:tc>
          <w:tcPr>
            <w:tcW w:w="3211" w:type="pct"/>
            <w:vAlign w:val="center"/>
          </w:tcPr>
          <w:p w14:paraId="4206B999">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根据供应商提供的招标代理服务质量控制及项目进度保证措施进行评审，方案内容包括但不限于：质量控制措施、项目审核管理措施、项目进度保证措施、项目文档管理等。</w:t>
            </w:r>
          </w:p>
          <w:p w14:paraId="52615D5F">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1.</w:t>
            </w:r>
            <w:r>
              <w:rPr>
                <w:rFonts w:hint="eastAsia" w:ascii="仿宋" w:hAnsi="仿宋" w:eastAsia="仿宋" w:cs="仿宋"/>
                <w:i w:val="0"/>
                <w:iCs w:val="0"/>
                <w:color w:val="000000"/>
                <w:sz w:val="24"/>
                <w:szCs w:val="24"/>
                <w:highlight w:val="none"/>
                <w:u w:val="none"/>
              </w:rPr>
              <w:t>管理措施合理、详细、可实施性强，得</w:t>
            </w:r>
            <w:r>
              <w:rPr>
                <w:rFonts w:hint="eastAsia" w:ascii="仿宋" w:hAnsi="仿宋" w:eastAsia="仿宋" w:cs="仿宋"/>
                <w:i w:val="0"/>
                <w:iCs w:val="0"/>
                <w:color w:val="000000"/>
                <w:kern w:val="0"/>
                <w:sz w:val="24"/>
                <w:szCs w:val="24"/>
                <w:highlight w:val="none"/>
                <w:u w:val="none"/>
                <w:lang w:val="en-US" w:eastAsia="zh-CN" w:bidi="ar"/>
              </w:rPr>
              <w:t>（7-10</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sz w:val="24"/>
                <w:szCs w:val="24"/>
                <w:highlight w:val="none"/>
                <w:u w:val="none"/>
              </w:rPr>
              <w:t>分；</w:t>
            </w:r>
          </w:p>
          <w:p w14:paraId="75AFBC8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2.</w:t>
            </w:r>
            <w:r>
              <w:rPr>
                <w:rFonts w:hint="eastAsia" w:ascii="仿宋" w:hAnsi="仿宋" w:eastAsia="仿宋" w:cs="仿宋"/>
                <w:i w:val="0"/>
                <w:iCs w:val="0"/>
                <w:color w:val="000000"/>
                <w:sz w:val="24"/>
                <w:szCs w:val="24"/>
                <w:highlight w:val="none"/>
                <w:u w:val="none"/>
              </w:rPr>
              <w:t>管理措施较合理、较详细、可实施性较强，得</w:t>
            </w:r>
            <w:r>
              <w:rPr>
                <w:rFonts w:hint="eastAsia" w:ascii="仿宋" w:hAnsi="仿宋" w:eastAsia="仿宋" w:cs="仿宋"/>
                <w:i w:val="0"/>
                <w:iCs w:val="0"/>
                <w:color w:val="000000"/>
                <w:kern w:val="0"/>
                <w:sz w:val="24"/>
                <w:szCs w:val="24"/>
                <w:highlight w:val="none"/>
                <w:u w:val="none"/>
                <w:lang w:val="en-US" w:eastAsia="zh-CN" w:bidi="ar"/>
              </w:rPr>
              <w:t>（3-7</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sz w:val="24"/>
                <w:szCs w:val="24"/>
                <w:highlight w:val="none"/>
                <w:u w:val="none"/>
              </w:rPr>
              <w:t>分；</w:t>
            </w:r>
          </w:p>
          <w:p w14:paraId="67609CD3">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lang w:eastAsia="zh-CN"/>
              </w:rPr>
            </w:pPr>
            <w:r>
              <w:rPr>
                <w:rFonts w:hint="eastAsia" w:ascii="仿宋" w:hAnsi="仿宋" w:eastAsia="仿宋" w:cs="仿宋"/>
                <w:i w:val="0"/>
                <w:iCs w:val="0"/>
                <w:color w:val="000000"/>
                <w:sz w:val="24"/>
                <w:szCs w:val="24"/>
                <w:highlight w:val="none"/>
                <w:u w:val="none"/>
                <w:lang w:val="en-US" w:eastAsia="zh-CN"/>
              </w:rPr>
              <w:t>3.</w:t>
            </w:r>
            <w:r>
              <w:rPr>
                <w:rFonts w:hint="eastAsia" w:ascii="仿宋" w:hAnsi="仿宋" w:eastAsia="仿宋" w:cs="仿宋"/>
                <w:i w:val="0"/>
                <w:iCs w:val="0"/>
                <w:color w:val="000000"/>
                <w:sz w:val="24"/>
                <w:szCs w:val="24"/>
                <w:highlight w:val="none"/>
                <w:u w:val="none"/>
              </w:rPr>
              <w:t>管理措施欠合理、措施简单、实施性不强，得</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0-3</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sz w:val="24"/>
                <w:szCs w:val="24"/>
                <w:highlight w:val="none"/>
                <w:u w:val="none"/>
              </w:rPr>
              <w:t>分</w:t>
            </w:r>
            <w:r>
              <w:rPr>
                <w:rFonts w:hint="eastAsia" w:ascii="仿宋" w:hAnsi="仿宋" w:eastAsia="仿宋" w:cs="仿宋"/>
                <w:i w:val="0"/>
                <w:iCs w:val="0"/>
                <w:color w:val="000000"/>
                <w:sz w:val="24"/>
                <w:szCs w:val="24"/>
                <w:highlight w:val="none"/>
                <w:u w:val="none"/>
                <w:lang w:eastAsia="zh-CN"/>
              </w:rPr>
              <w:t>。</w:t>
            </w:r>
          </w:p>
          <w:p w14:paraId="4694CB6B">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未提供得0分。</w:t>
            </w:r>
          </w:p>
        </w:tc>
        <w:tc>
          <w:tcPr>
            <w:tcW w:w="387" w:type="pct"/>
            <w:vAlign w:val="center"/>
          </w:tcPr>
          <w:p w14:paraId="2307D362">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r>
      <w:tr w14:paraId="2781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2" w:type="pct"/>
            <w:vMerge w:val="continue"/>
            <w:vAlign w:val="center"/>
          </w:tcPr>
          <w:p w14:paraId="4741E33B">
            <w:pPr>
              <w:spacing w:line="360" w:lineRule="auto"/>
              <w:jc w:val="center"/>
              <w:rPr>
                <w:rFonts w:hint="eastAsia" w:ascii="仿宋" w:hAnsi="仿宋" w:eastAsia="仿宋" w:cs="仿宋"/>
                <w:b w:val="0"/>
                <w:color w:val="auto"/>
                <w:sz w:val="24"/>
                <w:szCs w:val="24"/>
                <w:highlight w:val="none"/>
              </w:rPr>
            </w:pPr>
          </w:p>
        </w:tc>
        <w:tc>
          <w:tcPr>
            <w:tcW w:w="638" w:type="pct"/>
            <w:vAlign w:val="center"/>
          </w:tcPr>
          <w:p w14:paraId="2734B8E6">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项目风险管控措施</w:t>
            </w:r>
          </w:p>
        </w:tc>
        <w:tc>
          <w:tcPr>
            <w:tcW w:w="3211" w:type="pct"/>
            <w:vAlign w:val="center"/>
          </w:tcPr>
          <w:p w14:paraId="19522838">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根据供应商提供的招标代理项目风险管控措施方案进行评审：</w:t>
            </w:r>
          </w:p>
          <w:p w14:paraId="0905076A">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1.风险管控措施完整，有具体的可操作性，得（6-8</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 xml:space="preserve">分； </w:t>
            </w:r>
          </w:p>
          <w:p w14:paraId="7CDCFE69">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2.风险管控措施较完整，可操作性较强，得（2-6</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 xml:space="preserve">分； </w:t>
            </w:r>
          </w:p>
          <w:p w14:paraId="75F798DF">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3.风险管控措施不完整，可操作性不强，得</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0-2</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分。未提供得0分。</w:t>
            </w:r>
          </w:p>
        </w:tc>
        <w:tc>
          <w:tcPr>
            <w:tcW w:w="387" w:type="pct"/>
            <w:vAlign w:val="center"/>
          </w:tcPr>
          <w:p w14:paraId="2D1F5D64">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8</w:t>
            </w:r>
          </w:p>
        </w:tc>
      </w:tr>
      <w:tr w14:paraId="2E3D9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2" w:type="pct"/>
            <w:vMerge w:val="continue"/>
            <w:vAlign w:val="center"/>
          </w:tcPr>
          <w:p w14:paraId="233B07CF">
            <w:pPr>
              <w:spacing w:line="360" w:lineRule="auto"/>
              <w:jc w:val="center"/>
              <w:rPr>
                <w:rFonts w:hint="eastAsia" w:ascii="仿宋" w:hAnsi="仿宋" w:eastAsia="仿宋" w:cs="仿宋"/>
                <w:b w:val="0"/>
                <w:color w:val="auto"/>
                <w:sz w:val="24"/>
                <w:szCs w:val="24"/>
                <w:highlight w:val="none"/>
              </w:rPr>
            </w:pPr>
          </w:p>
        </w:tc>
        <w:tc>
          <w:tcPr>
            <w:tcW w:w="638" w:type="pct"/>
            <w:vAlign w:val="center"/>
          </w:tcPr>
          <w:p w14:paraId="2D32DAE3">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整体服务流程</w:t>
            </w:r>
          </w:p>
        </w:tc>
        <w:tc>
          <w:tcPr>
            <w:tcW w:w="3211" w:type="pct"/>
            <w:vAlign w:val="center"/>
          </w:tcPr>
          <w:p w14:paraId="52546017">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根据供应商提供的招标代理服务整体服务流程方案进行评审：</w:t>
            </w:r>
          </w:p>
          <w:p w14:paraId="15EFC7A5">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1.招标、采购整体服务流程完整，涉及项目类型全面（包含招标、比选、询价、竞争性谈判、单一来源），流程清晰、可实施性强，得（4-6</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分；</w:t>
            </w:r>
          </w:p>
          <w:p w14:paraId="550A0ADF">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2.招标、采购整体服务流程思路较为完整，涉及项目类型比较全面，流程较清晰、可实施性较强，得（2-4</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分；</w:t>
            </w:r>
          </w:p>
          <w:p w14:paraId="166EC84A">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sz w:val="24"/>
                <w:szCs w:val="24"/>
                <w:highlight w:val="none"/>
                <w:u w:val="none"/>
                <w:lang w:val="en-US" w:eastAsia="zh-CN"/>
              </w:rPr>
              <w:t>3.招标、采购整体服务流程不够完整，涉及项目类型不全面，流程欠清晰、可实施性不强，得</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0-2</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分。未提供得0分。</w:t>
            </w:r>
          </w:p>
        </w:tc>
        <w:tc>
          <w:tcPr>
            <w:tcW w:w="387" w:type="pct"/>
            <w:vAlign w:val="center"/>
          </w:tcPr>
          <w:p w14:paraId="6269BB83">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6</w:t>
            </w:r>
          </w:p>
        </w:tc>
      </w:tr>
      <w:tr w14:paraId="7AF57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62" w:type="pct"/>
            <w:vMerge w:val="continue"/>
            <w:vAlign w:val="center"/>
          </w:tcPr>
          <w:p w14:paraId="25C8E3A8">
            <w:pPr>
              <w:spacing w:line="360" w:lineRule="auto"/>
              <w:jc w:val="center"/>
              <w:rPr>
                <w:rFonts w:hint="eastAsia" w:ascii="仿宋" w:hAnsi="仿宋" w:eastAsia="仿宋" w:cs="仿宋"/>
                <w:b w:val="0"/>
                <w:color w:val="auto"/>
                <w:sz w:val="24"/>
                <w:szCs w:val="24"/>
                <w:highlight w:val="none"/>
              </w:rPr>
            </w:pPr>
          </w:p>
        </w:tc>
        <w:tc>
          <w:tcPr>
            <w:tcW w:w="638" w:type="pct"/>
            <w:vAlign w:val="center"/>
          </w:tcPr>
          <w:p w14:paraId="594AA1D7">
            <w:pPr>
              <w:keepNext w:val="0"/>
              <w:keepLines w:val="0"/>
              <w:widowControl/>
              <w:suppressLineNumbers w:val="0"/>
              <w:spacing w:line="360" w:lineRule="auto"/>
              <w:jc w:val="center"/>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有关廉洁和保密方面的措施</w:t>
            </w:r>
          </w:p>
        </w:tc>
        <w:tc>
          <w:tcPr>
            <w:tcW w:w="3211" w:type="pct"/>
            <w:vAlign w:val="center"/>
          </w:tcPr>
          <w:p w14:paraId="77F78A14">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提供针对招标（采购）项目相关信息、资料保存、评审/评标等全过程的保密措施；</w:t>
            </w:r>
          </w:p>
          <w:p w14:paraId="02F55843">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1.具备完善保密措施，有具体的可操作性且能够保障项目顺利开展的，得（4-6</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619AE488">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2.具备较完善保密措施，可操作性较强且能够基本保障项目顺利开展的，得（2-4</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225F19A2">
            <w:pPr>
              <w:keepNext w:val="0"/>
              <w:keepLines w:val="0"/>
              <w:widowControl/>
              <w:suppressLineNumbers w:val="0"/>
              <w:spacing w:line="360" w:lineRule="auto"/>
              <w:jc w:val="left"/>
              <w:textAlignment w:val="center"/>
              <w:rPr>
                <w:rFonts w:hint="eastAsia" w:ascii="仿宋" w:hAnsi="仿宋" w:eastAsia="仿宋" w:cs="仿宋"/>
                <w:b w:val="0"/>
                <w:color w:val="auto"/>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3.保密措施不完善，可操作性不强且不能保障项目顺利开展的，得</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0-2</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 xml:space="preserve">分。未提供得0分。            </w:t>
            </w:r>
          </w:p>
        </w:tc>
        <w:tc>
          <w:tcPr>
            <w:tcW w:w="387" w:type="pct"/>
            <w:vAlign w:val="center"/>
          </w:tcPr>
          <w:p w14:paraId="4147CFA3">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bidi="ar"/>
              </w:rPr>
            </w:pPr>
            <w:r>
              <w:rPr>
                <w:rFonts w:hint="eastAsia" w:ascii="仿宋" w:hAnsi="仿宋" w:eastAsia="仿宋" w:cs="仿宋"/>
                <w:i w:val="0"/>
                <w:iCs w:val="0"/>
                <w:color w:val="000000"/>
                <w:kern w:val="0"/>
                <w:sz w:val="24"/>
                <w:szCs w:val="24"/>
                <w:highlight w:val="none"/>
                <w:u w:val="none"/>
                <w:lang w:val="en-US" w:eastAsia="zh-CN" w:bidi="ar"/>
              </w:rPr>
              <w:t>6</w:t>
            </w:r>
          </w:p>
        </w:tc>
      </w:tr>
    </w:tbl>
    <w:p w14:paraId="76EB0F2E">
      <w:pPr>
        <w:spacing w:line="600" w:lineRule="atLeast"/>
        <w:rPr>
          <w:rFonts w:hint="eastAsia" w:ascii="仿宋" w:hAnsi="仿宋" w:eastAsia="仿宋" w:cs="仿宋"/>
          <w:sz w:val="28"/>
          <w:szCs w:val="28"/>
          <w:highlight w:val="none"/>
        </w:rPr>
      </w:pPr>
    </w:p>
    <w:p w14:paraId="75363FC2">
      <w:pPr>
        <w:widowControl/>
        <w:jc w:val="left"/>
        <w:rPr>
          <w:rFonts w:hint="eastAsia" w:ascii="仿宋" w:hAnsi="仿宋" w:eastAsia="仿宋" w:cs="仿宋"/>
          <w:b/>
          <w:color w:val="000000"/>
          <w:kern w:val="44"/>
          <w:sz w:val="28"/>
          <w:szCs w:val="28"/>
          <w:highlight w:val="none"/>
        </w:rPr>
      </w:pPr>
      <w:r>
        <w:rPr>
          <w:rFonts w:hint="eastAsia" w:ascii="仿宋" w:hAnsi="仿宋" w:eastAsia="仿宋" w:cs="仿宋"/>
          <w:bCs/>
          <w:color w:val="000000"/>
          <w:sz w:val="28"/>
          <w:szCs w:val="28"/>
          <w:highlight w:val="none"/>
        </w:rPr>
        <w:br w:type="page"/>
      </w:r>
    </w:p>
    <w:p w14:paraId="3D38DA8E">
      <w:pPr>
        <w:pStyle w:val="2"/>
        <w:pageBreakBefore w:val="0"/>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仿宋" w:hAnsi="仿宋" w:eastAsia="仿宋" w:cs="仿宋"/>
          <w:bCs w:val="0"/>
          <w:color w:val="000000"/>
          <w:sz w:val="28"/>
          <w:szCs w:val="28"/>
          <w:highlight w:val="none"/>
        </w:rPr>
      </w:pPr>
      <w:bookmarkStart w:id="254" w:name="_Toc233292455"/>
      <w:r>
        <w:rPr>
          <w:rFonts w:hint="eastAsia" w:ascii="仿宋" w:hAnsi="仿宋" w:eastAsia="仿宋" w:cs="仿宋"/>
          <w:bCs w:val="0"/>
          <w:color w:val="000000"/>
          <w:sz w:val="28"/>
          <w:szCs w:val="28"/>
          <w:highlight w:val="none"/>
        </w:rPr>
        <w:t>第四章 合同条款</w:t>
      </w:r>
      <w:bookmarkEnd w:id="219"/>
      <w:bookmarkEnd w:id="220"/>
      <w:bookmarkEnd w:id="254"/>
      <w:bookmarkStart w:id="255" w:name="_Toc16424"/>
      <w:bookmarkStart w:id="256" w:name="_Toc444891347"/>
      <w:bookmarkStart w:id="257" w:name="_Toc24217"/>
      <w:bookmarkStart w:id="258" w:name="_Toc28349"/>
      <w:bookmarkStart w:id="259" w:name="_Toc24143"/>
      <w:bookmarkStart w:id="260" w:name="_Toc517281828"/>
    </w:p>
    <w:p w14:paraId="6790AD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sz w:val="24"/>
          <w:szCs w:val="32"/>
          <w:highlight w:val="none"/>
        </w:rPr>
      </w:pPr>
      <w:r>
        <w:rPr>
          <w:rFonts w:hint="eastAsia" w:ascii="仿宋" w:hAnsi="仿宋" w:eastAsia="仿宋" w:cs="仿宋"/>
          <w:b/>
          <w:bCs/>
          <w:sz w:val="24"/>
          <w:szCs w:val="24"/>
          <w:highlight w:val="none"/>
        </w:rPr>
        <w:t>商务部分</w:t>
      </w:r>
    </w:p>
    <w:p w14:paraId="429EEA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第一条 </w:t>
      </w:r>
      <w:r>
        <w:rPr>
          <w:rFonts w:hint="eastAsia" w:ascii="仿宋" w:hAnsi="仿宋" w:eastAsia="仿宋" w:cs="仿宋"/>
          <w:sz w:val="24"/>
          <w:szCs w:val="24"/>
          <w:highlight w:val="none"/>
        </w:rPr>
        <w:t>委托项目及招标方式</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委托项目及招标方式</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本合同项下甲乙双方约定的项目内容及要求见本合同【附件】。</w:t>
      </w:r>
    </w:p>
    <w:p w14:paraId="799C86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第二条 </w:t>
      </w:r>
      <w:r>
        <w:rPr>
          <w:rFonts w:hint="eastAsia" w:ascii="仿宋" w:hAnsi="仿宋" w:eastAsia="仿宋" w:cs="仿宋"/>
          <w:b/>
          <w:bCs/>
          <w:sz w:val="24"/>
          <w:szCs w:val="24"/>
          <w:highlight w:val="none"/>
        </w:rPr>
        <w:t>合同价格</w:t>
      </w:r>
    </w:p>
    <w:p w14:paraId="19DD28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乙方按照《国家发展改革委关于降低部分建设项目收费标准规范收费行为等有关问题的通知》（[2011]534号）以及《招标代理服务收费管理暂行办法》（[2002]1980号文件）的有关规定，向中标方收取招标代理服务费。如果以上规定有任何变更，则按照合同签订时有效的收费标准的规定执行。</w:t>
      </w:r>
    </w:p>
    <w:p w14:paraId="547A75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w:t>
      </w:r>
    </w:p>
    <w:p w14:paraId="7BCABD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（三） 本合同总价款为_______元（大写：_______）。合同价格明细见【附件】。</w:t>
      </w:r>
    </w:p>
    <w:p w14:paraId="342186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（四） 合同服务费用包括但不限于乙方为履行本合同约定、完成符合甲方要求而产生的费用及相关税费等一切费用，除此以外甲方无需向乙方另行支付任何其它费用。</w:t>
      </w:r>
    </w:p>
    <w:p w14:paraId="7A1F3B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（五） 本合同付款安排见【附件】。</w:t>
      </w:r>
    </w:p>
    <w:p w14:paraId="0AE83A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（六） 由于乙方未提供或未及时提供足额有效的增值税专用发票，或乙方变更账户信息但未提前通知甲方而导致的付款迟延，甲方不承担任何责任。</w:t>
      </w:r>
    </w:p>
    <w:p w14:paraId="36526C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（七） ......</w:t>
      </w:r>
    </w:p>
    <w:p w14:paraId="06704A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第三条 </w:t>
      </w:r>
      <w:r>
        <w:rPr>
          <w:rFonts w:hint="eastAsia" w:ascii="仿宋" w:hAnsi="仿宋" w:eastAsia="仿宋" w:cs="仿宋"/>
          <w:sz w:val="24"/>
          <w:szCs w:val="24"/>
          <w:highlight w:val="none"/>
        </w:rPr>
        <w:t>双方的权利和义务</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双方的权利和义务</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除本合同约定的双方的权利义务外，甲乙双方在本合同项下的其他权利和义务见【附件】的约定。</w:t>
      </w:r>
    </w:p>
    <w:p w14:paraId="636DD3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第四条 </w:t>
      </w:r>
      <w:r>
        <w:rPr>
          <w:rFonts w:hint="eastAsia" w:ascii="仿宋" w:hAnsi="仿宋" w:eastAsia="仿宋" w:cs="仿宋"/>
          <w:sz w:val="24"/>
          <w:szCs w:val="24"/>
          <w:highlight w:val="none"/>
        </w:rPr>
        <w:t>违约责任</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违约责任</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甲、乙任一方或双方违约的，违约一方应当向相对方承担相应的违约责任。违约责任的具体约定见【附件】。</w:t>
      </w:r>
    </w:p>
    <w:p w14:paraId="50626C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sz w:val="24"/>
          <w:szCs w:val="32"/>
          <w:highlight w:val="none"/>
        </w:rPr>
      </w:pPr>
      <w:r>
        <w:rPr>
          <w:rFonts w:hint="eastAsia" w:ascii="仿宋" w:hAnsi="仿宋" w:eastAsia="仿宋" w:cs="仿宋"/>
          <w:b/>
          <w:bCs/>
          <w:sz w:val="24"/>
          <w:szCs w:val="24"/>
          <w:highlight w:val="none"/>
        </w:rPr>
        <w:t>通用部分</w:t>
      </w:r>
    </w:p>
    <w:p w14:paraId="23A3E0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第五条 </w:t>
      </w:r>
      <w:r>
        <w:rPr>
          <w:rFonts w:hint="eastAsia" w:ascii="仿宋" w:hAnsi="仿宋" w:eastAsia="仿宋" w:cs="仿宋"/>
          <w:b/>
          <w:bCs/>
          <w:sz w:val="24"/>
          <w:szCs w:val="24"/>
          <w:highlight w:val="none"/>
        </w:rPr>
        <w:t>双方的权利和义务</w:t>
      </w:r>
    </w:p>
    <w:p w14:paraId="6EF844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甲方的权利和义务</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（1）有权要求乙方按本协议的约定提供招标代理服务；</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（2）提供编写招标文件技术部分所需的招标项目图纸、相应的技术参数、技术要求等技术资料及具体要求，审定招标文件；</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（3）协助乙方进行有关招标文件的澄清、答疑和修改工作，参加标前会；</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（4）参加开标仪式、协同乙方组建评标委员会，参与评标工作；</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（5）协同乙方共同编写评标报告，审定评标报告和评标结果；</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（6）甲方享有其它双方约定的权利、承担其它双方约定的义务。</w:t>
      </w:r>
    </w:p>
    <w:p w14:paraId="009D8F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乙方的权利和义务</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（1）根据本协议的约定取得招标代理服务费；</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（2）在甲方要求的时间内按照甲方的要求完成全部招标代理工作；</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（3）乙方负责组织发标、开标、评标活动。乙方在招标活动中坚持公开、公平、公正的原则，认真履行职责，充分尊重甲方意见，并保证招标活动符合法律法规的规定；</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（4）乙方将依据甲方授权的范围及提供的相关技术资料，在充分了解甲方要求及招标内容的前提下，负责编制招标文件；</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（5）澄清投标人提出的有关招标文件中的问题。如需修改招标文件，需经甲方事先书面同意后方可修改。组织标前会；</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（6）负责接收投标文件、组织和主持开标仪式，提供开标必需的场地和设备；</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（7）经甲方确认，聘请技术专家，组建由甲方、乙方、技术专家等有关人员组成的评标委员会；</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（8）组织评标会议、撰写评标报告、推荐中标候选人；</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（9）评标结果经甲方确认后，向中标人发出中标通知书，并负责联络甲方与中标单位签订合同事宜；</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（10）整理招标、评标等与本次招标有关的文件，交甲方保管；</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（11）乙方享有其它双方约定的权利、承担其它双方约定的义务。</w:t>
      </w:r>
    </w:p>
    <w:p w14:paraId="185D78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（三） ......</w:t>
      </w:r>
    </w:p>
    <w:p w14:paraId="7688F3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第六条 </w:t>
      </w:r>
      <w:r>
        <w:rPr>
          <w:rFonts w:hint="eastAsia" w:ascii="仿宋" w:hAnsi="仿宋" w:eastAsia="仿宋" w:cs="仿宋"/>
          <w:sz w:val="24"/>
          <w:szCs w:val="24"/>
          <w:highlight w:val="none"/>
        </w:rPr>
        <w:t>禁止转让</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禁止转让</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未经甲方事先书面同意，乙方不得将其本合同项下之全部义务或其中一部分义务转让给第三方执行。</w:t>
      </w:r>
    </w:p>
    <w:p w14:paraId="785732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第七条 </w:t>
      </w:r>
      <w:r>
        <w:rPr>
          <w:rFonts w:hint="eastAsia" w:ascii="仿宋" w:hAnsi="仿宋" w:eastAsia="仿宋" w:cs="仿宋"/>
          <w:sz w:val="24"/>
          <w:szCs w:val="24"/>
          <w:highlight w:val="none"/>
        </w:rPr>
        <w:t>商标使用</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商标使用</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未经甲方书面许可，乙方不得将甲方的商标、公司名称、标识等用于宣传和/或展示。</w:t>
      </w:r>
    </w:p>
    <w:p w14:paraId="130129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第八条 </w:t>
      </w:r>
      <w:r>
        <w:rPr>
          <w:rFonts w:hint="eastAsia" w:ascii="仿宋" w:hAnsi="仿宋" w:eastAsia="仿宋" w:cs="仿宋"/>
          <w:sz w:val="24"/>
          <w:szCs w:val="24"/>
          <w:highlight w:val="none"/>
        </w:rPr>
        <w:t>权利保证</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权利保证</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1FFCE6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第九条 </w:t>
      </w:r>
      <w:r>
        <w:rPr>
          <w:rFonts w:hint="eastAsia" w:ascii="仿宋" w:hAnsi="仿宋" w:eastAsia="仿宋" w:cs="仿宋"/>
          <w:b/>
          <w:bCs/>
          <w:sz w:val="24"/>
          <w:szCs w:val="24"/>
          <w:highlight w:val="none"/>
        </w:rPr>
        <w:t>违约责任</w:t>
      </w:r>
    </w:p>
    <w:p w14:paraId="670B16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一方违反本协议或国家法律法规，给另一方造成经济损失的，应赔偿受损方的全部损失。</w:t>
      </w:r>
    </w:p>
    <w:p w14:paraId="0800A9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如果乙方违反本合同约定的保密义务，乙方应向甲方支付相当于本合同总价款_______%的违约金，甲方受到的损失超出违约金的部分，由乙方继续承担赔偿责任。</w:t>
      </w:r>
    </w:p>
    <w:p w14:paraId="30DAA0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（三） 除本合同的约定外，因乙方的违约行为给甲方造成损失的，乙方应向甲方支付相当于本合同总价款_______%的违约金，如甲方受到的损失超过违约金的，超出部分由乙方继续承担赔偿责任。</w:t>
      </w:r>
    </w:p>
    <w:p w14:paraId="5CEBF8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第十条 </w:t>
      </w:r>
      <w:r>
        <w:rPr>
          <w:rFonts w:hint="eastAsia" w:ascii="仿宋" w:hAnsi="仿宋" w:eastAsia="仿宋" w:cs="仿宋"/>
          <w:b/>
          <w:bCs/>
          <w:sz w:val="24"/>
          <w:szCs w:val="24"/>
          <w:highlight w:val="none"/>
        </w:rPr>
        <w:t>保密义务</w:t>
      </w:r>
    </w:p>
    <w:p w14:paraId="5A9985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5627B2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乙方在本合同中所受领的保密信息应及时返还甲方或在甲方监督下予以销毁。乙方擅自留存备份信息，视为违反保密约定。</w:t>
      </w:r>
    </w:p>
    <w:p w14:paraId="55352A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（三） 无论本合同因何种原因终止，本保密条款依然有效。</w:t>
      </w:r>
    </w:p>
    <w:p w14:paraId="1D037C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第十一条 </w:t>
      </w:r>
      <w:r>
        <w:rPr>
          <w:rFonts w:hint="eastAsia" w:ascii="仿宋" w:hAnsi="仿宋" w:eastAsia="仿宋" w:cs="仿宋"/>
          <w:sz w:val="24"/>
          <w:szCs w:val="24"/>
          <w:highlight w:val="none"/>
        </w:rPr>
        <w:t>特别保密</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特别保密</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有关领取招标文件的潜在投标人名单，投标文件的审查、澄清、评估、比较，以及有关授予合同的意向等任何与本协议项下招标有关的信息，双方均不得透露给任何他人（包括投标人），也不得向本单位与本项目无关的人员披露。如有违反，违约方应承担由此给相对方造成的一切损失。</w:t>
      </w:r>
    </w:p>
    <w:p w14:paraId="0073B0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第十二条 </w:t>
      </w:r>
      <w:r>
        <w:rPr>
          <w:rFonts w:hint="eastAsia" w:ascii="仿宋" w:hAnsi="仿宋" w:eastAsia="仿宋" w:cs="仿宋"/>
          <w:b/>
          <w:bCs/>
          <w:sz w:val="24"/>
          <w:szCs w:val="24"/>
          <w:highlight w:val="none"/>
        </w:rPr>
        <w:t>不可抗力</w:t>
      </w:r>
    </w:p>
    <w:p w14:paraId="40F099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69C90C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0B4B14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（三） 合同一方迟延履行后发生不可抗力的，不能免除其责任。</w:t>
      </w:r>
    </w:p>
    <w:p w14:paraId="430AF7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192911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第十三条 </w:t>
      </w:r>
      <w:r>
        <w:rPr>
          <w:rFonts w:hint="eastAsia" w:ascii="仿宋" w:hAnsi="仿宋" w:eastAsia="仿宋" w:cs="仿宋"/>
          <w:b/>
          <w:bCs/>
          <w:sz w:val="24"/>
          <w:szCs w:val="24"/>
          <w:highlight w:val="none"/>
        </w:rPr>
        <w:t>合同变更</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合同变更</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对本合同的任何变更或补充，须经甲乙双方协商一致，并另行签订书面补充协议。</w:t>
      </w:r>
    </w:p>
    <w:p w14:paraId="3FF6C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第十四条 合同解除（适用于招标代理协议）</w:t>
      </w:r>
      <w:r>
        <w:rPr>
          <w:rFonts w:hint="eastAsia" w:ascii="仿宋" w:hAnsi="仿宋" w:eastAsia="仿宋" w:cs="仿宋"/>
          <w:b/>
          <w:bCs w:val="0"/>
          <w:sz w:val="24"/>
          <w:szCs w:val="24"/>
          <w:highlight w:val="none"/>
        </w:rPr>
        <w:br w:type="textWrapping"/>
      </w:r>
      <w:r>
        <w:rPr>
          <w:rFonts w:hint="eastAsia" w:ascii="仿宋" w:hAnsi="仿宋" w:eastAsia="仿宋" w:cs="仿宋"/>
          <w:b/>
          <w:bCs/>
          <w:sz w:val="24"/>
          <w:szCs w:val="24"/>
          <w:highlight w:val="none"/>
        </w:rPr>
        <w:t>合同解除</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因乙方未按本协议履行义务的，甲方有权解除协议，并不承担任何责任。乙方应当于收到解除通知之日起3日内，将所获得的甲方信息及资料全部归还给甲方。</w:t>
      </w:r>
    </w:p>
    <w:p w14:paraId="3D7129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第十五条 </w:t>
      </w:r>
      <w:r>
        <w:rPr>
          <w:rFonts w:hint="eastAsia" w:ascii="仿宋" w:hAnsi="仿宋" w:eastAsia="仿宋" w:cs="仿宋"/>
          <w:b/>
          <w:bCs/>
          <w:sz w:val="24"/>
          <w:szCs w:val="24"/>
          <w:highlight w:val="none"/>
        </w:rPr>
        <w:t>合同特别终止</w:t>
      </w:r>
    </w:p>
    <w:p w14:paraId="66097F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（1）乙方破产、解散（包括但不限于乙方股东会决议解散、乙方被吊销营业执照、被责令关闭、被撤销、被司法机关裁决解散等情形）；</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（2）乙方发生未经甲方书面同意的重大产权变更（包括但不限于合并、分立、注销等情形)；（如系上市公司）被勒令停止上市；以及任何原因背负重大债务导致无履行能力。</w:t>
      </w:r>
    </w:p>
    <w:p w14:paraId="69821A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如果因上述原因导致本合同终止，甲方已经采取或者将要采取任何补救措施的权利不受任何影响。</w:t>
      </w:r>
    </w:p>
    <w:p w14:paraId="7E95E0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第十六条 </w:t>
      </w:r>
      <w:r>
        <w:rPr>
          <w:rFonts w:hint="eastAsia" w:ascii="仿宋" w:hAnsi="仿宋" w:eastAsia="仿宋" w:cs="仿宋"/>
          <w:b/>
          <w:bCs/>
          <w:sz w:val="24"/>
          <w:szCs w:val="24"/>
          <w:highlight w:val="none"/>
        </w:rPr>
        <w:t>法律适用与争议解决</w:t>
      </w:r>
    </w:p>
    <w:p w14:paraId="07E379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本合同的订立、效力、解释、履行和争议的解决均适用中华人民共和国法律（不包括港澳台地区法律）。</w:t>
      </w:r>
    </w:p>
    <w:p w14:paraId="10564B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 xml:space="preserve">（二） 凡因本合同引起的或与本合同有关的任何争议，双方首先应友好协商解决。协商不成的，任何一方均可向甲方所在地有管辖权的法院提起诉讼。 </w:t>
      </w:r>
    </w:p>
    <w:p w14:paraId="78CDB7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第十七条 </w:t>
      </w:r>
      <w:r>
        <w:rPr>
          <w:rFonts w:hint="eastAsia" w:ascii="仿宋" w:hAnsi="仿宋" w:eastAsia="仿宋" w:cs="仿宋"/>
          <w:b/>
          <w:bCs/>
          <w:sz w:val="24"/>
          <w:szCs w:val="24"/>
          <w:highlight w:val="none"/>
        </w:rPr>
        <w:t>合同生效及其他</w:t>
      </w:r>
    </w:p>
    <w:p w14:paraId="11BA35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本合同经甲乙双方法定代表人或授权代表签字并加盖公章或合同专用章后生效。</w:t>
      </w:r>
    </w:p>
    <w:p w14:paraId="76F251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本合同一式_______份，其中正本_______份，副本_______份。甲方执_______份正本，_______份副本；乙方执_______份正本，_______份副本。</w:t>
      </w:r>
    </w:p>
    <w:p w14:paraId="77B585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第十八条 </w:t>
      </w:r>
      <w:r>
        <w:rPr>
          <w:rFonts w:hint="eastAsia" w:ascii="仿宋" w:hAnsi="仿宋" w:eastAsia="仿宋" w:cs="仿宋"/>
          <w:b/>
          <w:bCs/>
          <w:sz w:val="24"/>
          <w:szCs w:val="24"/>
          <w:highlight w:val="none"/>
        </w:rPr>
        <w:t>合同效力</w:t>
      </w:r>
    </w:p>
    <w:p w14:paraId="54B148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（一） 无论本合同是否有相反约定，本合同附件（如有）作为本合同的组成部分，与本合同具有同等法律效力，当附件条款与本合同条款发生冲突时，以本合同条款为准。</w:t>
      </w:r>
    </w:p>
    <w:p w14:paraId="240D18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09F4C7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sz w:val="24"/>
          <w:szCs w:val="24"/>
          <w:highlight w:val="none"/>
        </w:rPr>
        <w:t>（三） 由于法律和法规、政策而导致本合同任何条款无效或无法执行，则该条款无效，但不影响剩余其他条款的效力。</w:t>
      </w:r>
    </w:p>
    <w:p w14:paraId="189549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32"/>
          <w:highlight w:val="none"/>
        </w:rPr>
      </w:pPr>
      <w:r>
        <w:rPr>
          <w:rFonts w:hint="eastAsia" w:ascii="仿宋" w:hAnsi="仿宋" w:eastAsia="仿宋" w:cs="仿宋"/>
          <w:b/>
          <w:bCs w:val="0"/>
          <w:sz w:val="24"/>
          <w:szCs w:val="24"/>
          <w:highlight w:val="none"/>
        </w:rPr>
        <w:t xml:space="preserve">第十九条 </w:t>
      </w:r>
      <w:r>
        <w:rPr>
          <w:rFonts w:hint="eastAsia" w:ascii="仿宋" w:hAnsi="仿宋" w:eastAsia="仿宋" w:cs="仿宋"/>
          <w:sz w:val="24"/>
          <w:szCs w:val="24"/>
          <w:highlight w:val="none"/>
        </w:rPr>
        <w:t>附件的组成（适用于招标代理协议）</w:t>
      </w:r>
      <w:r>
        <w:rPr>
          <w:rFonts w:hint="eastAsia" w:ascii="仿宋" w:hAnsi="仿宋" w:eastAsia="仿宋" w:cs="仿宋"/>
          <w:sz w:val="24"/>
          <w:szCs w:val="24"/>
          <w:highlight w:val="none"/>
        </w:rPr>
        <w:br w:type="textWrapping"/>
      </w:r>
      <w:r>
        <w:rPr>
          <w:rFonts w:hint="eastAsia" w:ascii="仿宋" w:hAnsi="仿宋" w:eastAsia="仿宋" w:cs="仿宋"/>
          <w:b/>
          <w:bCs/>
          <w:sz w:val="24"/>
          <w:szCs w:val="24"/>
          <w:highlight w:val="none"/>
        </w:rPr>
        <w:t>附件的组成</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附件一、委托项目及招标方式</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附件二、付款</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附件三、双方的权利和义务</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附件四、违约责任</w:t>
      </w:r>
    </w:p>
    <w:p w14:paraId="4380E107">
      <w:pPr>
        <w:pStyle w:val="2"/>
        <w:spacing w:before="0" w:after="0" w:line="360" w:lineRule="auto"/>
        <w:jc w:val="center"/>
        <w:rPr>
          <w:rFonts w:hint="eastAsia" w:ascii="仿宋" w:hAnsi="仿宋" w:eastAsia="仿宋" w:cs="仿宋"/>
          <w:bCs w:val="0"/>
          <w:color w:val="000000"/>
          <w:sz w:val="28"/>
          <w:szCs w:val="28"/>
          <w:highlight w:val="none"/>
        </w:rPr>
      </w:pPr>
      <w:bookmarkStart w:id="261" w:name="_Toc233292456"/>
    </w:p>
    <w:p w14:paraId="3CE985BD">
      <w:pPr>
        <w:rPr>
          <w:rFonts w:hint="eastAsia" w:ascii="仿宋" w:hAnsi="仿宋" w:eastAsia="仿宋" w:cs="仿宋"/>
          <w:bCs w:val="0"/>
          <w:color w:val="000000"/>
          <w:sz w:val="28"/>
          <w:szCs w:val="28"/>
          <w:highlight w:val="none"/>
        </w:rPr>
      </w:pPr>
    </w:p>
    <w:p w14:paraId="0FC0E88E">
      <w:pPr>
        <w:rPr>
          <w:rFonts w:hint="eastAsia" w:ascii="仿宋" w:hAnsi="仿宋" w:eastAsia="仿宋" w:cs="仿宋"/>
          <w:bCs w:val="0"/>
          <w:color w:val="000000"/>
          <w:sz w:val="28"/>
          <w:szCs w:val="28"/>
          <w:highlight w:val="none"/>
        </w:rPr>
      </w:pPr>
    </w:p>
    <w:p w14:paraId="4A4431F9">
      <w:pPr>
        <w:rPr>
          <w:rFonts w:hint="eastAsia" w:ascii="仿宋" w:hAnsi="仿宋" w:eastAsia="仿宋" w:cs="仿宋"/>
          <w:bCs w:val="0"/>
          <w:color w:val="000000"/>
          <w:sz w:val="28"/>
          <w:szCs w:val="28"/>
          <w:highlight w:val="none"/>
        </w:rPr>
      </w:pPr>
    </w:p>
    <w:p w14:paraId="095A3C60">
      <w:pPr>
        <w:pStyle w:val="2"/>
        <w:pageBreakBefore w:val="0"/>
        <w:widowControl w:val="0"/>
        <w:kinsoku/>
        <w:wordWrap/>
        <w:overflowPunct/>
        <w:topLinePunct w:val="0"/>
        <w:autoSpaceDE/>
        <w:autoSpaceDN/>
        <w:bidi w:val="0"/>
        <w:adjustRightInd/>
        <w:snapToGrid/>
        <w:spacing w:before="0" w:after="0" w:line="360" w:lineRule="auto"/>
        <w:ind w:firstLine="3373" w:firstLineChars="1200"/>
        <w:jc w:val="both"/>
        <w:textAlignment w:val="auto"/>
        <w:rPr>
          <w:rFonts w:hint="eastAsia" w:ascii="仿宋" w:hAnsi="仿宋" w:eastAsia="仿宋" w:cs="仿宋"/>
          <w:bCs w:val="0"/>
          <w:color w:val="000000"/>
          <w:sz w:val="28"/>
          <w:szCs w:val="28"/>
          <w:highlight w:val="none"/>
        </w:rPr>
      </w:pPr>
      <w:r>
        <w:rPr>
          <w:rFonts w:hint="eastAsia" w:ascii="仿宋" w:hAnsi="仿宋" w:eastAsia="仿宋" w:cs="仿宋"/>
          <w:bCs w:val="0"/>
          <w:color w:val="000000"/>
          <w:sz w:val="28"/>
          <w:szCs w:val="28"/>
          <w:highlight w:val="none"/>
        </w:rPr>
        <w:t xml:space="preserve">第五章 </w:t>
      </w:r>
      <w:bookmarkEnd w:id="255"/>
      <w:bookmarkEnd w:id="256"/>
      <w:bookmarkEnd w:id="257"/>
      <w:bookmarkEnd w:id="258"/>
      <w:bookmarkEnd w:id="259"/>
      <w:r>
        <w:rPr>
          <w:rFonts w:hint="eastAsia" w:ascii="仿宋" w:hAnsi="仿宋" w:eastAsia="仿宋" w:cs="仿宋"/>
          <w:bCs w:val="0"/>
          <w:color w:val="000000"/>
          <w:sz w:val="28"/>
          <w:szCs w:val="28"/>
          <w:highlight w:val="none"/>
        </w:rPr>
        <w:t>采购需求</w:t>
      </w:r>
      <w:bookmarkEnd w:id="260"/>
      <w:bookmarkEnd w:id="261"/>
    </w:p>
    <w:p w14:paraId="65CAE8F1">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32"/>
          <w:highlight w:val="none"/>
          <w:lang w:val="en-US" w:eastAsia="zh-CN"/>
        </w:rPr>
      </w:pPr>
      <w:bookmarkStart w:id="262" w:name="OLE_LINK52"/>
      <w:bookmarkStart w:id="263" w:name="OLE_LINK27"/>
      <w:bookmarkStart w:id="264" w:name="OLE_LINK26"/>
      <w:bookmarkStart w:id="265" w:name="_Toc444891352"/>
      <w:bookmarkStart w:id="266" w:name="_Toc10693"/>
      <w:bookmarkStart w:id="267" w:name="_Toc287600128"/>
      <w:bookmarkStart w:id="268" w:name="_Toc517281835"/>
      <w:bookmarkStart w:id="269" w:name="_Toc17141"/>
      <w:bookmarkStart w:id="270" w:name="_Toc21125"/>
      <w:bookmarkStart w:id="271" w:name="_Toc11206"/>
      <w:r>
        <w:rPr>
          <w:rFonts w:hint="eastAsia" w:ascii="仿宋" w:hAnsi="仿宋" w:eastAsia="仿宋" w:cs="仿宋"/>
          <w:b/>
          <w:bCs/>
          <w:sz w:val="24"/>
          <w:szCs w:val="32"/>
          <w:highlight w:val="none"/>
        </w:rPr>
        <w:t>一、</w:t>
      </w:r>
      <w:r>
        <w:rPr>
          <w:rFonts w:hint="eastAsia" w:ascii="仿宋" w:hAnsi="仿宋" w:eastAsia="仿宋" w:cs="仿宋"/>
          <w:b/>
          <w:bCs/>
          <w:sz w:val="24"/>
          <w:szCs w:val="32"/>
          <w:highlight w:val="none"/>
          <w:lang w:val="en-US" w:eastAsia="zh-CN"/>
        </w:rPr>
        <w:t>采购背景</w:t>
      </w:r>
    </w:p>
    <w:bookmarkEnd w:id="262"/>
    <w:p w14:paraId="34575CF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rPr>
      </w:pPr>
      <w:r>
        <w:rPr>
          <w:rFonts w:hint="eastAsia" w:ascii="仿宋" w:hAnsi="仿宋" w:eastAsia="仿宋" w:cs="仿宋"/>
          <w:sz w:val="24"/>
          <w:szCs w:val="32"/>
          <w:highlight w:val="none"/>
          <w:lang w:eastAsia="zh-CN"/>
        </w:rPr>
        <w:t>为保证分公司招投标项目的顺利实施，财会部拟对</w:t>
      </w:r>
      <w:r>
        <w:rPr>
          <w:rFonts w:hint="eastAsia" w:ascii="仿宋" w:hAnsi="仿宋" w:eastAsia="仿宋" w:cs="仿宋"/>
          <w:sz w:val="24"/>
          <w:szCs w:val="32"/>
          <w:highlight w:val="none"/>
          <w:lang w:val="en-US" w:eastAsia="zh-CN"/>
        </w:rPr>
        <w:t>2026年招标代理服务供应商实施采购。</w:t>
      </w:r>
      <w:r>
        <w:rPr>
          <w:rFonts w:hint="eastAsia" w:ascii="仿宋" w:hAnsi="仿宋" w:eastAsia="仿宋" w:cs="仿宋"/>
          <w:sz w:val="24"/>
          <w:szCs w:val="32"/>
          <w:highlight w:val="none"/>
          <w:lang w:eastAsia="zh-CN"/>
        </w:rPr>
        <w:t>原招标代理服务合作协议已于</w:t>
      </w:r>
      <w:r>
        <w:rPr>
          <w:rFonts w:hint="eastAsia" w:ascii="仿宋" w:hAnsi="仿宋" w:eastAsia="仿宋" w:cs="仿宋"/>
          <w:sz w:val="24"/>
          <w:szCs w:val="32"/>
          <w:highlight w:val="none"/>
          <w:lang w:val="en-US" w:eastAsia="zh-CN"/>
        </w:rPr>
        <w:t>2026年2月28日到期，服务期限2年</w:t>
      </w:r>
      <w:r>
        <w:rPr>
          <w:rFonts w:hint="eastAsia" w:ascii="仿宋" w:hAnsi="仿宋" w:eastAsia="仿宋" w:cs="仿宋"/>
          <w:sz w:val="24"/>
          <w:szCs w:val="32"/>
          <w:highlight w:val="none"/>
        </w:rPr>
        <w:t>。</w:t>
      </w:r>
    </w:p>
    <w:p w14:paraId="16971DE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32"/>
          <w:highlight w:val="none"/>
        </w:rPr>
      </w:pPr>
      <w:r>
        <w:rPr>
          <w:rFonts w:hint="eastAsia" w:ascii="仿宋" w:hAnsi="仿宋" w:eastAsia="仿宋" w:cs="仿宋"/>
          <w:b/>
          <w:bCs/>
          <w:sz w:val="24"/>
          <w:szCs w:val="32"/>
          <w:highlight w:val="none"/>
        </w:rPr>
        <w:t>二、采购需求</w:t>
      </w:r>
    </w:p>
    <w:p w14:paraId="3E63893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rPr>
        <w:t>1.</w:t>
      </w:r>
      <w:r>
        <w:rPr>
          <w:rFonts w:hint="eastAsia" w:ascii="仿宋" w:hAnsi="仿宋" w:eastAsia="仿宋" w:cs="仿宋"/>
          <w:sz w:val="24"/>
          <w:szCs w:val="32"/>
          <w:highlight w:val="none"/>
          <w:lang w:val="en-US" w:eastAsia="zh-CN"/>
        </w:rPr>
        <w:t>计划采购2家供应商为我司提供招标代理服务，服务内容主要包括：协助编制采购方案、编制采购文件、发布采购公告、采购文件答疑和澄清、协助组建评审委员会、组织开评标、评标结果公示、协助处理异议和质疑、发布中标通知、办理项目备案、协助签订合同、采购过程资料归档等。招标代理服务费收取原则上由各项目的中标单位支付，服务费收取范围包含文件编制费、专家劳务费、交通费、食宿费、停车费、招标相关评标会议费、税费等一切费用。</w:t>
      </w:r>
    </w:p>
    <w:p w14:paraId="77C6BC9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eastAsia="zh-CN"/>
        </w:rPr>
      </w:pPr>
      <w:r>
        <w:rPr>
          <w:rFonts w:hint="eastAsia" w:ascii="仿宋" w:hAnsi="仿宋" w:eastAsia="仿宋" w:cs="仿宋"/>
          <w:sz w:val="24"/>
          <w:szCs w:val="32"/>
          <w:highlight w:val="none"/>
          <w:lang w:val="en-US" w:eastAsia="zh-CN"/>
        </w:rPr>
        <w:t>本次报价以</w:t>
      </w:r>
      <w:r>
        <w:rPr>
          <w:rFonts w:hint="eastAsia" w:ascii="仿宋" w:hAnsi="仿宋" w:eastAsia="仿宋" w:cs="仿宋"/>
          <w:sz w:val="24"/>
          <w:szCs w:val="32"/>
          <w:highlight w:val="none"/>
        </w:rPr>
        <w:t>国家计委颁布的《招标代理服务收费管理暂行办</w:t>
      </w:r>
      <w:r>
        <w:rPr>
          <w:rFonts w:hint="eastAsia" w:ascii="仿宋" w:hAnsi="仿宋" w:eastAsia="仿宋" w:cs="仿宋"/>
          <w:sz w:val="24"/>
          <w:szCs w:val="32"/>
          <w:highlight w:val="none"/>
          <w:lang w:val="en-US" w:eastAsia="zh-CN"/>
        </w:rPr>
        <w:t>法》（计价格[2002]1980号）、发改办价格[2003]857号文件以及2011年《国家发展改革委关于降低部分建设项目收费标准规范收费行为等有关问题的通知》</w:t>
      </w:r>
      <w:r>
        <w:rPr>
          <w:rFonts w:hint="eastAsia" w:ascii="仿宋" w:hAnsi="仿宋" w:eastAsia="仿宋" w:cs="仿宋"/>
          <w:sz w:val="24"/>
          <w:szCs w:val="32"/>
          <w:highlight w:val="none"/>
          <w:lang w:eastAsia="zh-CN"/>
        </w:rPr>
        <w:t>的收费标准作为</w:t>
      </w:r>
      <w:r>
        <w:rPr>
          <w:rFonts w:hint="eastAsia" w:ascii="仿宋" w:hAnsi="仿宋" w:eastAsia="仿宋" w:cs="仿宋"/>
          <w:sz w:val="24"/>
          <w:szCs w:val="32"/>
          <w:highlight w:val="none"/>
          <w:lang w:val="en-US" w:eastAsia="zh-CN"/>
        </w:rPr>
        <w:t>参考</w:t>
      </w:r>
      <w:r>
        <w:rPr>
          <w:rFonts w:hint="eastAsia" w:ascii="仿宋" w:hAnsi="仿宋" w:eastAsia="仿宋" w:cs="仿宋"/>
          <w:sz w:val="24"/>
          <w:szCs w:val="32"/>
          <w:highlight w:val="none"/>
          <w:lang w:eastAsia="zh-CN"/>
        </w:rPr>
        <w:t>依据，供应商在此基础上</w:t>
      </w:r>
      <w:r>
        <w:rPr>
          <w:rFonts w:hint="eastAsia" w:ascii="仿宋" w:hAnsi="仿宋" w:eastAsia="仿宋" w:cs="仿宋"/>
          <w:sz w:val="24"/>
          <w:szCs w:val="32"/>
          <w:highlight w:val="none"/>
          <w:lang w:val="en-US" w:eastAsia="zh-CN"/>
        </w:rPr>
        <w:t>以“折扣率”进行报价。</w:t>
      </w:r>
    </w:p>
    <w:p w14:paraId="17762BB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32"/>
          <w:highlight w:val="none"/>
          <w:lang w:val="en-US" w:eastAsia="zh-CN"/>
        </w:rPr>
      </w:pPr>
      <w:r>
        <w:rPr>
          <w:rFonts w:hint="eastAsia" w:ascii="仿宋" w:hAnsi="仿宋" w:eastAsia="仿宋" w:cs="仿宋"/>
          <w:b/>
          <w:bCs/>
          <w:sz w:val="24"/>
          <w:szCs w:val="32"/>
          <w:highlight w:val="none"/>
          <w:lang w:val="en-US" w:eastAsia="zh-CN"/>
        </w:rPr>
        <w:t>三、服务要求</w:t>
      </w:r>
    </w:p>
    <w:p w14:paraId="75F11D3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1.人员团队服务要求</w:t>
      </w:r>
    </w:p>
    <w:p w14:paraId="1E9F98F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须组建专属团队，形成专属团队人员名单（不得随意更换核心经办人员；若确需调整，须提前7个工作日书面报备采购人并完成工作交接），名单中应包含人员的工作分工、基本情况介绍、专业资格认证情况、项目经验介绍和熟悉的专业领域等内容。公司重大或重点项目，招标代理机构应做好采购方案会商前的各项准备工作，并选派项目经办人员和团队负责人参加采购方案会商会议。</w:t>
      </w:r>
    </w:p>
    <w:p w14:paraId="1AB2645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2.采购文件编制合规要求</w:t>
      </w:r>
    </w:p>
    <w:p w14:paraId="47D29B4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严格依据采购人需求编制采购文件，科学划分评审指标、合理设置分值权重，杜绝设置排他性、倾向性、歧视性条款；所有资质、业绩、技术参数、加分项均提供合法合规依据，及时完成采购文件编制，按反馈意见限时修改完善。</w:t>
      </w:r>
    </w:p>
    <w:p w14:paraId="0193DE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3.全流程组织实施服务要求</w:t>
      </w:r>
    </w:p>
    <w:p w14:paraId="44865AF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（1）按法定时限完成公告发布、供应商报名答疑、踏勘组织、标书发售工作；收到供应商疑问24小时内出具统一书面答疑文件，同步推送采购人备案，答疑内容不得改变采购核心需求。</w:t>
      </w:r>
    </w:p>
    <w:p w14:paraId="06320EB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（2）负责评审会场布置、专家抽取、资料分发、全程录音录像、评审过程记录；评审现场出现评委打分分歧、业绩认定争议等问题，第一时间依法依规规范处置，全程书面留痕，主动向采购人同步处置过程。</w:t>
      </w:r>
    </w:p>
    <w:p w14:paraId="291F000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4.档案及报告交付要求</w:t>
      </w:r>
    </w:p>
    <w:p w14:paraId="350ABC1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（1）评审结束后1个工作日内出具完整规范的评审报告，报告要素齐全、打分明细清晰，同步提供全套招标过程原始资料；所有公示、公告文本符合财政监管、公司管理标准。</w:t>
      </w:r>
    </w:p>
    <w:p w14:paraId="24AE5AE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项目结束15个工作日内，整理全套纸质归档档案，包含招标文件、投标文件、评审资料、公示截图、答疑记录等，分类装订移交采购人，满足各项检查调阅要求。代理机构必须为公司免费保存招标过程全部资料（副本或复印件一套，含过程文档、中标人投标文件、非中标人投标文件）15年。如公司需要查阅相关音视频档案，需做好配合工作。</w:t>
      </w:r>
    </w:p>
    <w:p w14:paraId="4659BD7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5.风险防控与售后保障要求</w:t>
      </w:r>
    </w:p>
    <w:p w14:paraId="5BBFDEE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（1）全程主动开展合规自查，提前预判采购风险并提前优化；若因代理方编制疏漏、流程操作违规产生质疑投诉、监管处罚，由代理方全权承担整改及相关责任。</w:t>
      </w:r>
    </w:p>
    <w:p w14:paraId="15D4D1F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（2）项目合同履约阶段提供免费配套咨询服务，协助对接供应商履约验收、资料核对；建立7×12小时响应机制，工作日采购相关咨询1小时内回复。</w:t>
      </w:r>
    </w:p>
    <w:p w14:paraId="472F74B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6.廉洁纪律要求</w:t>
      </w:r>
    </w:p>
    <w:p w14:paraId="3835429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（1）严禁代理机构工作人员与供应商私下接触、收受礼品、泄露采购保密信息，严禁诱导、暗示评委倾向性打分；签订廉洁服务协议，若出现违规违纪行为，采购人有权单方面终止合作并扣除全部服务费用。</w:t>
      </w:r>
    </w:p>
    <w:p w14:paraId="6CA5F55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（2）严格执行阳光收费标准，所有代理服务费、工本费明码标价，据实开具增值税发票，全程无任何隐形收费。</w:t>
      </w:r>
    </w:p>
    <w:p w14:paraId="0B9358A6">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32"/>
          <w:highlight w:val="none"/>
        </w:rPr>
      </w:pPr>
      <w:r>
        <w:rPr>
          <w:rFonts w:hint="eastAsia" w:ascii="仿宋" w:hAnsi="仿宋" w:eastAsia="仿宋" w:cs="仿宋"/>
          <w:b/>
          <w:bCs/>
          <w:sz w:val="24"/>
          <w:szCs w:val="32"/>
          <w:highlight w:val="none"/>
          <w:lang w:val="en-US" w:eastAsia="zh-CN"/>
        </w:rPr>
        <w:t>7</w:t>
      </w:r>
      <w:r>
        <w:rPr>
          <w:rFonts w:hint="eastAsia" w:ascii="仿宋" w:hAnsi="仿宋" w:eastAsia="仿宋" w:cs="仿宋"/>
          <w:b/>
          <w:bCs/>
          <w:sz w:val="24"/>
          <w:szCs w:val="32"/>
          <w:highlight w:val="none"/>
        </w:rPr>
        <w:t>.</w:t>
      </w:r>
      <w:r>
        <w:rPr>
          <w:rFonts w:hint="eastAsia" w:ascii="仿宋" w:hAnsi="仿宋" w:eastAsia="仿宋" w:cs="仿宋"/>
          <w:b/>
          <w:bCs/>
          <w:sz w:val="24"/>
          <w:szCs w:val="32"/>
          <w:highlight w:val="none"/>
          <w:lang w:val="en-US" w:eastAsia="zh-CN"/>
        </w:rPr>
        <w:t>项目预算：</w:t>
      </w:r>
      <w:r>
        <w:rPr>
          <w:rFonts w:hint="eastAsia" w:ascii="仿宋" w:hAnsi="仿宋" w:eastAsia="仿宋" w:cs="仿宋"/>
          <w:b w:val="0"/>
          <w:bCs w:val="0"/>
          <w:sz w:val="24"/>
          <w:szCs w:val="32"/>
          <w:highlight w:val="none"/>
          <w:lang w:val="en-US" w:eastAsia="zh-CN"/>
        </w:rPr>
        <w:t>本项目年度预算金额14万元，签订3年期服务合同，合计42万元</w:t>
      </w:r>
      <w:r>
        <w:rPr>
          <w:rFonts w:hint="eastAsia" w:ascii="仿宋" w:hAnsi="仿宋" w:eastAsia="仿宋" w:cs="仿宋"/>
          <w:b w:val="0"/>
          <w:bCs w:val="0"/>
          <w:sz w:val="24"/>
          <w:szCs w:val="32"/>
          <w:highlight w:val="none"/>
        </w:rPr>
        <w:t>。</w:t>
      </w:r>
    </w:p>
    <w:p w14:paraId="6FC17B86">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32"/>
          <w:highlight w:val="none"/>
        </w:rPr>
      </w:pPr>
      <w:bookmarkStart w:id="272" w:name="_Toc21575"/>
      <w:bookmarkStart w:id="273" w:name="_Toc18977"/>
      <w:r>
        <w:rPr>
          <w:rFonts w:hint="eastAsia" w:ascii="仿宋" w:hAnsi="仿宋" w:eastAsia="仿宋" w:cs="仿宋"/>
          <w:b/>
          <w:bCs/>
          <w:sz w:val="24"/>
          <w:szCs w:val="32"/>
          <w:highlight w:val="none"/>
          <w:lang w:val="en-US" w:eastAsia="zh-CN"/>
        </w:rPr>
        <w:t>8.</w:t>
      </w:r>
      <w:r>
        <w:rPr>
          <w:rFonts w:hint="eastAsia" w:ascii="仿宋" w:hAnsi="仿宋" w:eastAsia="仿宋" w:cs="仿宋"/>
          <w:b/>
          <w:bCs/>
          <w:sz w:val="24"/>
          <w:szCs w:val="32"/>
          <w:highlight w:val="none"/>
        </w:rPr>
        <w:t>服务期限：</w:t>
      </w:r>
      <w:r>
        <w:rPr>
          <w:rFonts w:hint="eastAsia" w:ascii="仿宋" w:hAnsi="仿宋" w:eastAsia="仿宋" w:cs="仿宋"/>
          <w:sz w:val="24"/>
          <w:szCs w:val="32"/>
          <w:highlight w:val="none"/>
        </w:rPr>
        <w:t>自合同签订之日起</w:t>
      </w:r>
      <w:r>
        <w:rPr>
          <w:rFonts w:hint="eastAsia" w:ascii="仿宋" w:hAnsi="仿宋" w:eastAsia="仿宋" w:cs="仿宋"/>
          <w:sz w:val="24"/>
          <w:szCs w:val="32"/>
          <w:highlight w:val="none"/>
          <w:lang w:val="en-US" w:eastAsia="zh-CN"/>
        </w:rPr>
        <w:t>三</w:t>
      </w:r>
      <w:r>
        <w:rPr>
          <w:rFonts w:hint="eastAsia" w:ascii="仿宋" w:hAnsi="仿宋" w:eastAsia="仿宋" w:cs="仿宋"/>
          <w:sz w:val="24"/>
          <w:szCs w:val="32"/>
          <w:highlight w:val="none"/>
        </w:rPr>
        <w:t>年。</w:t>
      </w:r>
    </w:p>
    <w:p w14:paraId="560B199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32"/>
          <w:highlight w:val="none"/>
        </w:rPr>
      </w:pPr>
      <w:bookmarkStart w:id="274" w:name="OLE_LINK19"/>
      <w:r>
        <w:rPr>
          <w:rFonts w:hint="eastAsia" w:ascii="仿宋" w:hAnsi="仿宋" w:eastAsia="仿宋" w:cs="仿宋"/>
          <w:b/>
          <w:bCs/>
          <w:sz w:val="24"/>
          <w:szCs w:val="32"/>
          <w:highlight w:val="none"/>
          <w:lang w:val="en-US" w:eastAsia="zh-CN"/>
        </w:rPr>
        <w:t>四</w:t>
      </w:r>
      <w:r>
        <w:rPr>
          <w:rFonts w:hint="eastAsia" w:ascii="仿宋" w:hAnsi="仿宋" w:eastAsia="仿宋" w:cs="仿宋"/>
          <w:b/>
          <w:bCs/>
          <w:sz w:val="24"/>
          <w:szCs w:val="32"/>
          <w:highlight w:val="none"/>
        </w:rPr>
        <w:t>、验收/考核标准及付款安排</w:t>
      </w:r>
    </w:p>
    <w:bookmarkEnd w:id="263"/>
    <w:bookmarkEnd w:id="264"/>
    <w:bookmarkEnd w:id="272"/>
    <w:bookmarkEnd w:id="273"/>
    <w:bookmarkEnd w:id="274"/>
    <w:p w14:paraId="28FC3F9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bookmarkStart w:id="275" w:name="_Toc233292457"/>
      <w:r>
        <w:rPr>
          <w:rFonts w:hint="eastAsia" w:ascii="仿宋" w:hAnsi="仿宋" w:eastAsia="仿宋" w:cs="仿宋"/>
          <w:sz w:val="24"/>
          <w:szCs w:val="32"/>
          <w:highlight w:val="none"/>
          <w:lang w:val="en-US" w:eastAsia="zh-CN"/>
        </w:rPr>
        <w:t>1.验收/考核</w:t>
      </w:r>
    </w:p>
    <w:p w14:paraId="4486522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评价内容包括职业道德、专业能力与实施质量三个方面。职业道德评价要点主要围绕是否积极维护委托人的合法利益；专业能力主要围绕执行法律法规、采购政策和我公司制度要求是否准确、到位，是否保证响应及时、沟通顺畅；实施质量主要围绕文件编制质量、现场协助复核、不存在因工作失误导致投诉质疑等情况方面开展。</w:t>
      </w:r>
    </w:p>
    <w:p w14:paraId="666DEE3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根据代理项目进行事前、事中、事后三个维度验收和考核。事前主要包括对我司现行分散采购制度及法律法规和相关政策的熟悉和把握程度，其次是招标文件编制质量和问题解答的及时性和配合度；事中主要包括评审项目的统筹安排及评审现场把控等；事后主要包括评标报告的撰写质量、公示公告发布、对接中标供应商及应对争议和投诉的解决能力。以上将按照“项目制”由需求（归口）部门打分，财会部进行复核。每个年度结束后，组织对该年度代理机构服务质量进行评价，年度考核得分=本年度项目考核平均得分。</w:t>
      </w:r>
    </w:p>
    <w:p w14:paraId="246759D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考核标准为：优秀：90分以上；良好：80分≤年度评价综合得分&lt;90分；合格：60分≤年度评价综合得分&lt;80分；不合格：60分以下。</w:t>
      </w:r>
    </w:p>
    <w:p w14:paraId="19EA245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供应商如发生</w:t>
      </w:r>
      <w:bookmarkStart w:id="276" w:name="OLE_LINK102"/>
      <w:bookmarkStart w:id="277" w:name="OLE_LINK103"/>
      <w:bookmarkStart w:id="278" w:name="OLE_LINK101"/>
      <w:bookmarkStart w:id="279" w:name="OLE_LINK100"/>
      <w:r>
        <w:rPr>
          <w:rFonts w:hint="eastAsia" w:ascii="仿宋" w:hAnsi="仿宋" w:eastAsia="仿宋" w:cs="仿宋"/>
          <w:sz w:val="24"/>
          <w:szCs w:val="32"/>
          <w:highlight w:val="none"/>
          <w:lang w:val="en-US" w:eastAsia="zh-CN"/>
        </w:rPr>
        <w:t>《中国人民保险集团集中采购供应商管理办法》</w:t>
      </w:r>
      <w:bookmarkEnd w:id="276"/>
      <w:bookmarkEnd w:id="277"/>
      <w:bookmarkEnd w:id="278"/>
      <w:bookmarkEnd w:id="279"/>
      <w:r>
        <w:rPr>
          <w:rFonts w:hint="eastAsia" w:ascii="仿宋" w:hAnsi="仿宋" w:eastAsia="仿宋" w:cs="仿宋"/>
          <w:sz w:val="24"/>
          <w:szCs w:val="32"/>
          <w:highlight w:val="none"/>
          <w:lang w:val="en-US" w:eastAsia="zh-CN"/>
        </w:rPr>
        <w:t>第九章所列的较大或重大不良行为的，供应商本年度内不得评为“合格”及以上的等次；发生一般不良行为的，不得评为“良好”及以上等次。</w:t>
      </w:r>
    </w:p>
    <w:p w14:paraId="67935ED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2.付款安排</w:t>
      </w:r>
    </w:p>
    <w:p w14:paraId="196D1EF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考核完成及中标通知书发出后，由招标代理服务商向中标人收取招标代理费（按合同约定折扣）。</w:t>
      </w:r>
    </w:p>
    <w:p w14:paraId="695C19C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3.合同解除或终止条件</w:t>
      </w:r>
    </w:p>
    <w:p w14:paraId="49573DC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1.因乙方未按本协议履行义务的，甲方有权解除协议，并不承担任何责任。乙方应当于收到解除通知之日起3日内，将所获得的甲方信息及资料全部归还给甲方。</w:t>
      </w:r>
    </w:p>
    <w:p w14:paraId="07EB68E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2.甲乙双方同意在乙方出现下列情形时，甲方可以书面形式通知乙方（或者乙方的破产清算组或相关管理人）提出终止合同而不向其提供任何补偿：</w:t>
      </w:r>
    </w:p>
    <w:p w14:paraId="697F91C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（1）乙方破产、解散（包括但不限于乙方股东会决议解散、乙方被吊销营业执照、被责令关闭、被撤销、被司法机关裁决解散等情形）；</w:t>
      </w:r>
      <w:r>
        <w:rPr>
          <w:rFonts w:hint="eastAsia" w:ascii="仿宋" w:hAnsi="仿宋" w:eastAsia="仿宋" w:cs="仿宋"/>
          <w:sz w:val="24"/>
          <w:szCs w:val="32"/>
          <w:highlight w:val="none"/>
          <w:lang w:val="en-US" w:eastAsia="zh-CN"/>
        </w:rPr>
        <w:br w:type="textWrapping"/>
      </w:r>
      <w:r>
        <w:rPr>
          <w:rFonts w:hint="eastAsia" w:ascii="仿宋" w:hAnsi="仿宋" w:eastAsia="仿宋" w:cs="仿宋"/>
          <w:sz w:val="24"/>
          <w:szCs w:val="32"/>
          <w:highlight w:val="none"/>
          <w:lang w:val="en-US" w:eastAsia="zh-CN"/>
        </w:rPr>
        <w:t xml:space="preserve">   （2）乙方发生未经甲方书面同意的重大产权变更（包括但不限于合并、分立、注销等情形)；（如系上市公司）被勒令停止上市；以及任何原因背负重大债务导致无履行能力。</w:t>
      </w:r>
    </w:p>
    <w:p w14:paraId="31620C3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3.如果因上述原因导致本合同终止，甲方已经采取或者将要采取任何补救措施的权利不受任何影响。</w:t>
      </w:r>
    </w:p>
    <w:p w14:paraId="008AE04C">
      <w:pPr>
        <w:spacing w:line="360" w:lineRule="auto"/>
        <w:ind w:firstLine="482" w:firstLineChars="200"/>
        <w:rPr>
          <w:rFonts w:hint="default" w:ascii="仿宋" w:hAnsi="仿宋" w:eastAsia="仿宋" w:cs="仿宋"/>
          <w:b/>
          <w:bCs/>
          <w:sz w:val="24"/>
          <w:szCs w:val="32"/>
          <w:highlight w:val="none"/>
          <w:lang w:val="en-US" w:eastAsia="zh-CN"/>
        </w:rPr>
      </w:pPr>
    </w:p>
    <w:p w14:paraId="25B6CF72">
      <w:pPr>
        <w:rPr>
          <w:rFonts w:hint="eastAsia" w:ascii="仿宋" w:hAnsi="仿宋" w:eastAsia="仿宋" w:cs="仿宋"/>
          <w:bCs w:val="0"/>
          <w:color w:val="000000"/>
          <w:sz w:val="28"/>
          <w:szCs w:val="28"/>
          <w:highlight w:val="none"/>
        </w:rPr>
      </w:pPr>
      <w:r>
        <w:rPr>
          <w:rFonts w:hint="eastAsia" w:ascii="仿宋" w:hAnsi="仿宋" w:eastAsia="仿宋" w:cs="仿宋"/>
          <w:bCs w:val="0"/>
          <w:color w:val="000000"/>
          <w:sz w:val="28"/>
          <w:szCs w:val="28"/>
          <w:highlight w:val="none"/>
        </w:rPr>
        <w:br w:type="page"/>
      </w:r>
    </w:p>
    <w:p w14:paraId="67CF7828">
      <w:pPr>
        <w:pStyle w:val="2"/>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仿宋"/>
          <w:bCs w:val="0"/>
          <w:color w:val="000000"/>
          <w:sz w:val="28"/>
          <w:szCs w:val="28"/>
          <w:highlight w:val="none"/>
        </w:rPr>
        <w:t>第六章 响应文件格式</w:t>
      </w:r>
      <w:bookmarkEnd w:id="265"/>
      <w:bookmarkEnd w:id="266"/>
      <w:bookmarkEnd w:id="267"/>
      <w:bookmarkEnd w:id="268"/>
      <w:bookmarkEnd w:id="269"/>
      <w:bookmarkEnd w:id="270"/>
      <w:bookmarkEnd w:id="271"/>
      <w:bookmarkEnd w:id="275"/>
    </w:p>
    <w:p w14:paraId="1D417492">
      <w:pPr>
        <w:spacing w:line="360" w:lineRule="auto"/>
        <w:rPr>
          <w:rFonts w:hint="eastAsia" w:ascii="仿宋" w:hAnsi="仿宋" w:eastAsia="仿宋" w:cs="仿宋"/>
          <w:b/>
          <w:color w:val="000000"/>
          <w:highlight w:val="none"/>
        </w:rPr>
      </w:pPr>
      <w:r>
        <w:rPr>
          <w:rFonts w:hint="eastAsia" w:ascii="仿宋" w:hAnsi="仿宋" w:eastAsia="仿宋" w:cs="仿宋"/>
          <w:b/>
          <w:color w:val="000000"/>
          <w:sz w:val="24"/>
          <w:highlight w:val="none"/>
        </w:rPr>
        <w:t>封面格式</w:t>
      </w:r>
    </w:p>
    <w:tbl>
      <w:tblPr>
        <w:tblStyle w:val="41"/>
        <w:tblW w:w="5000" w:type="pct"/>
        <w:jc w:val="center"/>
        <w:tblLayout w:type="autofit"/>
        <w:tblCellMar>
          <w:top w:w="0" w:type="dxa"/>
          <w:left w:w="108" w:type="dxa"/>
          <w:bottom w:w="0" w:type="dxa"/>
          <w:right w:w="108" w:type="dxa"/>
        </w:tblCellMar>
      </w:tblPr>
      <w:tblGrid>
        <w:gridCol w:w="9256"/>
      </w:tblGrid>
      <w:tr w14:paraId="74EC7438">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7321B6F0">
            <w:pPr>
              <w:pStyle w:val="157"/>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14:paraId="6F741457">
            <w:pPr>
              <w:pStyle w:val="157"/>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14:paraId="533D30E2">
            <w:pPr>
              <w:pStyle w:val="157"/>
              <w:ind w:right="-284" w:firstLine="2240"/>
              <w:rPr>
                <w:rFonts w:hint="eastAsia" w:ascii="仿宋" w:hAnsi="仿宋" w:eastAsia="仿宋" w:cs="仿宋"/>
                <w:color w:val="000000"/>
                <w:sz w:val="28"/>
                <w:highlight w:val="none"/>
                <w:u w:val="single"/>
              </w:rPr>
            </w:pPr>
          </w:p>
          <w:p w14:paraId="6D8941DD">
            <w:pPr>
              <w:pStyle w:val="157"/>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响应文件</w:t>
            </w:r>
          </w:p>
          <w:p w14:paraId="45B0AD7A">
            <w:pPr>
              <w:pStyle w:val="157"/>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（商务文件/技术文件/报价文件）</w:t>
            </w:r>
          </w:p>
          <w:p w14:paraId="25FBF445">
            <w:pPr>
              <w:pStyle w:val="157"/>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14:paraId="4DD6B177">
            <w:pPr>
              <w:pStyle w:val="157"/>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14:paraId="4062F720">
            <w:pPr>
              <w:pStyle w:val="157"/>
              <w:spacing w:after="624"/>
              <w:ind w:right="-284"/>
              <w:jc w:val="center"/>
              <w:rPr>
                <w:rFonts w:hint="eastAsia" w:ascii="仿宋" w:hAnsi="仿宋" w:eastAsia="仿宋" w:cs="仿宋"/>
                <w:color w:val="000000"/>
                <w:sz w:val="24"/>
                <w:highlight w:val="none"/>
              </w:rPr>
            </w:pPr>
          </w:p>
          <w:p w14:paraId="2FAF58BF">
            <w:pPr>
              <w:pStyle w:val="157"/>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14:paraId="50D98F97">
      <w:pPr>
        <w:spacing w:line="360" w:lineRule="auto"/>
        <w:rPr>
          <w:rFonts w:hint="eastAsia" w:ascii="仿宋" w:hAnsi="仿宋" w:eastAsia="仿宋" w:cs="仿宋"/>
          <w:highlight w:val="none"/>
        </w:rPr>
      </w:pPr>
      <w:bookmarkStart w:id="280" w:name="_Toc27958"/>
      <w:bookmarkStart w:id="281" w:name="_Toc27799"/>
      <w:bookmarkStart w:id="282" w:name="_Toc7202"/>
      <w:bookmarkStart w:id="283" w:name="_Toc19783360"/>
      <w:bookmarkStart w:id="284" w:name="_Toc517281837"/>
      <w:bookmarkStart w:id="285" w:name="_Toc287600129"/>
      <w:bookmarkStart w:id="286" w:name="_Toc12140"/>
      <w:bookmarkStart w:id="287" w:name="_Toc444891354"/>
      <w:bookmarkStart w:id="288" w:name="_Toc25121"/>
      <w:r>
        <w:rPr>
          <w:rFonts w:hint="eastAsia" w:ascii="仿宋" w:hAnsi="仿宋" w:eastAsia="仿宋" w:cs="仿宋"/>
          <w:highlight w:val="none"/>
        </w:rPr>
        <w:br w:type="page"/>
      </w:r>
    </w:p>
    <w:p w14:paraId="4566745D">
      <w:pPr>
        <w:pStyle w:val="3"/>
        <w:rPr>
          <w:rFonts w:hint="eastAsia" w:ascii="仿宋" w:hAnsi="仿宋" w:eastAsia="仿宋" w:cs="仿宋"/>
          <w:color w:val="000000"/>
          <w:szCs w:val="28"/>
          <w:highlight w:val="none"/>
        </w:rPr>
      </w:pPr>
      <w:bookmarkStart w:id="289" w:name="_Toc233292458"/>
      <w:bookmarkStart w:id="290" w:name="_Toc219196008"/>
      <w:bookmarkStart w:id="291" w:name="_Toc231201493"/>
      <w:bookmarkStart w:id="292" w:name="_Toc216971042"/>
      <w:bookmarkStart w:id="293" w:name="_Toc197680992"/>
      <w:r>
        <w:rPr>
          <w:rFonts w:hint="eastAsia" w:ascii="仿宋" w:hAnsi="仿宋" w:eastAsia="仿宋" w:cs="仿宋"/>
          <w:color w:val="000000"/>
          <w:szCs w:val="28"/>
          <w:highlight w:val="none"/>
        </w:rPr>
        <w:t>一、商务文件</w:t>
      </w:r>
      <w:bookmarkEnd w:id="289"/>
      <w:bookmarkEnd w:id="290"/>
      <w:bookmarkEnd w:id="291"/>
      <w:bookmarkEnd w:id="292"/>
    </w:p>
    <w:p w14:paraId="068AEBD4">
      <w:pPr>
        <w:pStyle w:val="4"/>
        <w:spacing w:before="0" w:line="360" w:lineRule="auto"/>
        <w:ind w:left="0" w:firstLine="0"/>
        <w:rPr>
          <w:rFonts w:hint="eastAsia" w:ascii="仿宋" w:hAnsi="仿宋" w:eastAsia="仿宋" w:cs="仿宋"/>
          <w:color w:val="000000"/>
          <w:sz w:val="24"/>
          <w:szCs w:val="24"/>
          <w:highlight w:val="none"/>
        </w:rPr>
      </w:pPr>
      <w:bookmarkStart w:id="294" w:name="_Toc216971043"/>
      <w:bookmarkStart w:id="295" w:name="_Toc219196009"/>
      <w:bookmarkStart w:id="296" w:name="_Toc231201494"/>
      <w:bookmarkStart w:id="297" w:name="_Toc233292459"/>
      <w:r>
        <w:rPr>
          <w:rFonts w:hint="eastAsia" w:ascii="仿宋" w:hAnsi="仿宋" w:eastAsia="仿宋" w:cs="仿宋"/>
          <w:color w:val="000000"/>
          <w:sz w:val="24"/>
          <w:szCs w:val="24"/>
          <w:highlight w:val="none"/>
        </w:rPr>
        <w:t>1、响应函</w:t>
      </w:r>
      <w:bookmarkEnd w:id="280"/>
      <w:bookmarkEnd w:id="293"/>
      <w:bookmarkEnd w:id="294"/>
      <w:bookmarkEnd w:id="295"/>
      <w:bookmarkEnd w:id="296"/>
      <w:bookmarkEnd w:id="297"/>
    </w:p>
    <w:p w14:paraId="1A85E7E7">
      <w:pPr>
        <w:pStyle w:val="15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致：（采购人名称）     </w:t>
      </w:r>
    </w:p>
    <w:p w14:paraId="1E1E5220">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u w:val="single"/>
        </w:rPr>
        <w:t xml:space="preserve">   （供应商名称）  </w:t>
      </w:r>
      <w:r>
        <w:rPr>
          <w:rFonts w:hint="eastAsia" w:ascii="仿宋" w:hAnsi="仿宋" w:eastAsia="仿宋" w:cs="仿宋"/>
          <w:color w:val="000000"/>
          <w:kern w:val="0"/>
          <w:sz w:val="24"/>
          <w:highlight w:val="none"/>
        </w:rPr>
        <w:t>（以下称“我方”）已仔细研究了</w:t>
      </w:r>
      <w:r>
        <w:rPr>
          <w:rFonts w:hint="eastAsia" w:ascii="仿宋" w:hAnsi="仿宋" w:eastAsia="仿宋" w:cs="仿宋"/>
          <w:b/>
          <w:bCs/>
          <w:color w:val="000000"/>
          <w:kern w:val="0"/>
          <w:sz w:val="24"/>
          <w:highlight w:val="none"/>
          <w:u w:val="single"/>
        </w:rPr>
        <w:t xml:space="preserve">  （项目名称） </w:t>
      </w:r>
      <w:r>
        <w:rPr>
          <w:rFonts w:hint="eastAsia" w:ascii="仿宋" w:hAnsi="仿宋" w:eastAsia="仿宋" w:cs="仿宋"/>
          <w:color w:val="000000"/>
          <w:kern w:val="0"/>
          <w:sz w:val="24"/>
          <w:highlight w:val="none"/>
        </w:rPr>
        <w:t>比选文件的全部内容，包括澄清或者修改文件以及有关附件，我方将严格按照比选文件要求递交符合要求的响应文件。</w:t>
      </w:r>
    </w:p>
    <w:p w14:paraId="0C415ADD">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现我方承诺如下内容：</w:t>
      </w:r>
    </w:p>
    <w:p w14:paraId="42477D78">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1.本响应函及响应文件自响应文件提交截止日起有效期为</w:t>
      </w:r>
      <w:r>
        <w:rPr>
          <w:rFonts w:hint="eastAsia" w:ascii="仿宋" w:hAnsi="仿宋" w:eastAsia="仿宋" w:cs="仿宋"/>
          <w:color w:val="000000"/>
          <w:kern w:val="0"/>
          <w:sz w:val="24"/>
          <w:highlight w:val="none"/>
          <w:u w:val="single"/>
        </w:rPr>
        <w:t>120天</w:t>
      </w:r>
      <w:r>
        <w:rPr>
          <w:rFonts w:hint="eastAsia" w:ascii="仿宋" w:hAnsi="仿宋" w:eastAsia="仿宋" w:cs="仿宋"/>
          <w:color w:val="000000"/>
          <w:kern w:val="0"/>
          <w:sz w:val="24"/>
          <w:highlight w:val="none"/>
        </w:rPr>
        <w:t>，我方承诺在响应有效期内不修改、撤销响应文件。</w:t>
      </w:r>
    </w:p>
    <w:p w14:paraId="4BA52C60">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2.随同本响应函提交比选保证金一份</w:t>
      </w:r>
      <w:r>
        <w:rPr>
          <w:rFonts w:hint="eastAsia" w:ascii="仿宋" w:hAnsi="仿宋" w:eastAsia="仿宋" w:cs="仿宋"/>
          <w:color w:val="000000"/>
          <w:kern w:val="0"/>
          <w:sz w:val="24"/>
          <w:highlight w:val="none"/>
          <w:lang w:eastAsia="zh-CN"/>
        </w:rPr>
        <w:t>（</w:t>
      </w:r>
      <w:r>
        <w:rPr>
          <w:rFonts w:hint="eastAsia" w:ascii="仿宋" w:hAnsi="仿宋" w:eastAsia="仿宋" w:cs="仿宋"/>
          <w:color w:val="000000"/>
          <w:kern w:val="0"/>
          <w:sz w:val="24"/>
          <w:highlight w:val="none"/>
          <w:lang w:val="en-US" w:eastAsia="zh-CN"/>
        </w:rPr>
        <w:t>如有</w:t>
      </w:r>
      <w:r>
        <w:rPr>
          <w:rFonts w:hint="eastAsia" w:ascii="仿宋" w:hAnsi="仿宋" w:eastAsia="仿宋" w:cs="仿宋"/>
          <w:color w:val="000000"/>
          <w:kern w:val="0"/>
          <w:sz w:val="24"/>
          <w:highlight w:val="none"/>
          <w:lang w:eastAsia="zh-CN"/>
        </w:rPr>
        <w:t>）</w:t>
      </w:r>
      <w:r>
        <w:rPr>
          <w:rFonts w:hint="eastAsia" w:ascii="仿宋" w:hAnsi="仿宋" w:eastAsia="仿宋" w:cs="仿宋"/>
          <w:color w:val="000000"/>
          <w:kern w:val="0"/>
          <w:sz w:val="24"/>
          <w:highlight w:val="none"/>
        </w:rPr>
        <w:t>。</w:t>
      </w:r>
    </w:p>
    <w:p w14:paraId="1AA4392B">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3.我方承诺提供比选过程中可能要求的澄清、说明、补正或者算术性错误修正确认，并同意我方提供的以上材料构成我方响应文件的组成部分。</w:t>
      </w:r>
    </w:p>
    <w:p w14:paraId="2931D561">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4.我方同意提供贵方可能要求的与我方响应文件有关的一切数据、资料、证明原件、证件原件，并完全理解贵方不一定接受最低价的响应。</w:t>
      </w:r>
    </w:p>
    <w:p w14:paraId="77D3AAE6">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5.我方承诺对在本次采购活动过程中所获知贵方一切商业秘密保密，不会向任何第三方泄露，不会用于本次采购活动之外的任何其他目的。</w:t>
      </w:r>
    </w:p>
    <w:p w14:paraId="0E503065">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6.我方承诺对所递交的响应文件及有关材料的真实性、合法性、完整性、准确性承担法律责任。如有弄虚作假、串通投标、行贿等违法违规行为，将承担相应的法律责任，并赔偿由此给贵方造成的一切损失。</w:t>
      </w:r>
    </w:p>
    <w:p w14:paraId="355D4977">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7.如我方成交：</w:t>
      </w:r>
    </w:p>
    <w:p w14:paraId="56D82B9A">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（1）我方承诺在收到成交通知书后，在成交通知书规定的期限内与贵方签订合同。</w:t>
      </w:r>
    </w:p>
    <w:p w14:paraId="3E0D96D3">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（2）我方承诺按照比选文件规定递交履约保证金、支付采购代理服务费。</w:t>
      </w:r>
    </w:p>
    <w:p w14:paraId="2A5FFB5D">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（3）我方承诺按照比选文件的规定及合同约定履行相关责任和义务。</w:t>
      </w:r>
    </w:p>
    <w:p w14:paraId="3F3AE90A">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（4）我方在此承诺，双方合作后可开具增值税专用发票。</w:t>
      </w:r>
    </w:p>
    <w:p w14:paraId="520AFEB2">
      <w:pPr>
        <w:widowControl/>
        <w:spacing w:line="360" w:lineRule="auto"/>
        <w:ind w:firstLine="420"/>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（5）我方在此承诺，本项目不转包、</w:t>
      </w:r>
      <w:r>
        <w:rPr>
          <w:rFonts w:hint="eastAsia" w:ascii="仿宋" w:hAnsi="仿宋" w:eastAsia="仿宋" w:cs="仿宋"/>
          <w:color w:val="000000"/>
          <w:kern w:val="0"/>
          <w:sz w:val="24"/>
          <w:highlight w:val="none"/>
          <w:lang w:eastAsia="zh-CN"/>
        </w:rPr>
        <w:t>不</w:t>
      </w:r>
      <w:r>
        <w:rPr>
          <w:rFonts w:hint="eastAsia" w:ascii="仿宋" w:hAnsi="仿宋" w:eastAsia="仿宋" w:cs="仿宋"/>
          <w:color w:val="000000"/>
          <w:kern w:val="0"/>
          <w:sz w:val="24"/>
          <w:highlight w:val="none"/>
        </w:rPr>
        <w:t>违法分包。</w:t>
      </w:r>
    </w:p>
    <w:p w14:paraId="0AD9D93F">
      <w:pPr>
        <w:spacing w:line="360" w:lineRule="auto"/>
        <w:ind w:right="960"/>
        <w:rPr>
          <w:rFonts w:hint="eastAsia" w:ascii="仿宋" w:hAnsi="仿宋" w:eastAsia="仿宋" w:cs="仿宋"/>
          <w:color w:val="000000"/>
          <w:sz w:val="24"/>
          <w:highlight w:val="none"/>
        </w:rPr>
      </w:pPr>
    </w:p>
    <w:p w14:paraId="626FEC8C">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7AD2AC92">
      <w:pPr>
        <w:spacing w:line="360" w:lineRule="auto"/>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7F334496">
      <w:pPr>
        <w:pStyle w:val="4"/>
        <w:spacing w:before="0" w:line="360" w:lineRule="auto"/>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End w:id="281"/>
      <w:bookmarkEnd w:id="282"/>
      <w:bookmarkEnd w:id="283"/>
      <w:bookmarkEnd w:id="284"/>
      <w:bookmarkEnd w:id="285"/>
      <w:bookmarkEnd w:id="286"/>
      <w:bookmarkEnd w:id="287"/>
      <w:bookmarkEnd w:id="288"/>
      <w:bookmarkStart w:id="298" w:name="_Toc13983"/>
      <w:bookmarkStart w:id="299" w:name="_Toc219196010"/>
      <w:bookmarkStart w:id="300" w:name="_Toc233292460"/>
      <w:bookmarkStart w:id="301" w:name="_Toc231201495"/>
      <w:bookmarkStart w:id="302" w:name="_Toc197680993"/>
      <w:bookmarkStart w:id="303" w:name="_Toc216971044"/>
      <w:r>
        <w:rPr>
          <w:rFonts w:hint="eastAsia" w:ascii="仿宋" w:hAnsi="仿宋" w:eastAsia="仿宋" w:cs="仿宋"/>
          <w:color w:val="000000"/>
          <w:sz w:val="24"/>
          <w:szCs w:val="24"/>
          <w:highlight w:val="none"/>
        </w:rPr>
        <w:t>2、法定代表人（负责人）身份证明书</w:t>
      </w:r>
      <w:bookmarkEnd w:id="298"/>
      <w:bookmarkEnd w:id="299"/>
      <w:bookmarkEnd w:id="300"/>
      <w:bookmarkEnd w:id="301"/>
      <w:bookmarkEnd w:id="302"/>
      <w:bookmarkEnd w:id="303"/>
      <w:r>
        <w:rPr>
          <w:rFonts w:hint="eastAsia" w:ascii="仿宋" w:hAnsi="仿宋" w:eastAsia="仿宋" w:cs="仿宋"/>
          <w:color w:val="000000"/>
          <w:sz w:val="24"/>
          <w:szCs w:val="24"/>
          <w:highlight w:val="none"/>
        </w:rPr>
        <w:tab/>
      </w:r>
    </w:p>
    <w:p w14:paraId="6CDB2FE4">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14:paraId="2FC93258">
      <w:pPr>
        <w:spacing w:line="360" w:lineRule="auto"/>
        <w:rPr>
          <w:rFonts w:hint="eastAsia" w:ascii="仿宋" w:hAnsi="仿宋" w:eastAsia="仿宋" w:cs="仿宋"/>
          <w:b/>
          <w:color w:val="000000"/>
          <w:sz w:val="24"/>
          <w:highlight w:val="none"/>
        </w:rPr>
      </w:pPr>
    </w:p>
    <w:p w14:paraId="549D1ED4">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14:paraId="2AB48215">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14:paraId="69EF3C03">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14:paraId="19DE3DDF">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14:paraId="7DF8545F">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14:paraId="3AC9C1D7">
      <w:pPr>
        <w:widowControl/>
        <w:topLinePunct/>
        <w:spacing w:line="360" w:lineRule="auto"/>
        <w:rPr>
          <w:rFonts w:hint="eastAsia" w:ascii="仿宋" w:hAnsi="仿宋" w:eastAsia="仿宋" w:cs="仿宋"/>
          <w:color w:val="000000"/>
          <w:kern w:val="0"/>
          <w:sz w:val="24"/>
          <w:highlight w:val="none"/>
        </w:rPr>
      </w:pPr>
    </w:p>
    <w:p w14:paraId="691E1C5C">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14:paraId="4332EBA9">
      <w:pPr>
        <w:widowControl/>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sz w:val="24"/>
          <w:highlight w:val="none"/>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13877E00">
      <w:pPr>
        <w:pStyle w:val="157"/>
        <w:spacing w:line="360" w:lineRule="auto"/>
        <w:ind w:firstLine="480"/>
        <w:jc w:val="left"/>
        <w:rPr>
          <w:rFonts w:hint="eastAsia" w:ascii="仿宋" w:hAnsi="仿宋" w:eastAsia="仿宋" w:cs="仿宋"/>
          <w:color w:val="000000"/>
          <w:sz w:val="24"/>
          <w:szCs w:val="24"/>
          <w:highlight w:val="none"/>
        </w:rPr>
      </w:pPr>
    </w:p>
    <w:p w14:paraId="4FF9840A">
      <w:pPr>
        <w:pStyle w:val="157"/>
        <w:spacing w:line="360" w:lineRule="auto"/>
        <w:ind w:firstLine="480"/>
        <w:jc w:val="left"/>
        <w:rPr>
          <w:rFonts w:hint="eastAsia" w:ascii="仿宋" w:hAnsi="仿宋" w:eastAsia="仿宋" w:cs="仿宋"/>
          <w:color w:val="000000"/>
          <w:sz w:val="24"/>
          <w:szCs w:val="24"/>
          <w:highlight w:val="none"/>
        </w:rPr>
      </w:pPr>
    </w:p>
    <w:p w14:paraId="324B5CC2">
      <w:pPr>
        <w:pStyle w:val="157"/>
        <w:spacing w:line="360" w:lineRule="auto"/>
        <w:ind w:firstLine="480"/>
        <w:jc w:val="left"/>
        <w:rPr>
          <w:rFonts w:hint="eastAsia" w:ascii="仿宋" w:hAnsi="仿宋" w:eastAsia="仿宋" w:cs="仿宋"/>
          <w:color w:val="000000"/>
          <w:sz w:val="24"/>
          <w:szCs w:val="24"/>
          <w:highlight w:val="none"/>
        </w:rPr>
      </w:pPr>
    </w:p>
    <w:p w14:paraId="10325240">
      <w:pPr>
        <w:spacing w:line="360" w:lineRule="auto"/>
        <w:ind w:firstLine="610"/>
        <w:rPr>
          <w:rFonts w:hint="eastAsia" w:ascii="仿宋" w:hAnsi="仿宋" w:eastAsia="仿宋" w:cs="仿宋"/>
          <w:color w:val="000000"/>
          <w:sz w:val="24"/>
          <w:highlight w:val="none"/>
        </w:rPr>
      </w:pPr>
    </w:p>
    <w:p w14:paraId="758A1792">
      <w:pPr>
        <w:tabs>
          <w:tab w:val="left" w:pos="720"/>
          <w:tab w:val="left" w:pos="900"/>
        </w:tabs>
        <w:spacing w:line="360" w:lineRule="auto"/>
        <w:rPr>
          <w:rFonts w:hint="eastAsia" w:ascii="仿宋" w:hAnsi="仿宋" w:eastAsia="仿宋" w:cs="仿宋"/>
          <w:color w:val="000000"/>
          <w:sz w:val="24"/>
          <w:highlight w:val="none"/>
        </w:rPr>
      </w:pPr>
    </w:p>
    <w:p w14:paraId="4DB73054">
      <w:pPr>
        <w:spacing w:line="360" w:lineRule="auto"/>
        <w:ind w:firstLine="4080" w:firstLineChars="1700"/>
        <w:jc w:val="right"/>
        <w:rPr>
          <w:rFonts w:hint="eastAsia" w:ascii="仿宋" w:hAnsi="仿宋" w:eastAsia="仿宋" w:cs="仿宋"/>
          <w:color w:val="000000"/>
          <w:sz w:val="24"/>
          <w:highlight w:val="none"/>
        </w:rPr>
      </w:pPr>
    </w:p>
    <w:p w14:paraId="07C5DCC3">
      <w:pPr>
        <w:wordWrap w:val="0"/>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p w14:paraId="4CB2DAF0">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p w14:paraId="04860893">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p w14:paraId="2503ABA6">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18DCB448">
      <w:pPr>
        <w:spacing w:line="360" w:lineRule="auto"/>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65FCF1BD">
      <w:pPr>
        <w:tabs>
          <w:tab w:val="left" w:pos="720"/>
          <w:tab w:val="left" w:pos="900"/>
        </w:tabs>
        <w:spacing w:line="360" w:lineRule="auto"/>
        <w:ind w:left="1078"/>
        <w:rPr>
          <w:rFonts w:hint="eastAsia" w:ascii="仿宋" w:hAnsi="仿宋" w:eastAsia="仿宋" w:cs="仿宋"/>
          <w:color w:val="000000"/>
          <w:sz w:val="24"/>
          <w:highlight w:val="none"/>
        </w:rPr>
      </w:pPr>
    </w:p>
    <w:p w14:paraId="33D2D9B8">
      <w:pPr>
        <w:tabs>
          <w:tab w:val="left" w:pos="720"/>
          <w:tab w:val="left" w:pos="900"/>
        </w:tabs>
        <w:spacing w:line="360" w:lineRule="auto"/>
        <w:ind w:left="1078"/>
        <w:rPr>
          <w:rFonts w:hint="eastAsia" w:ascii="仿宋" w:hAnsi="仿宋" w:eastAsia="仿宋" w:cs="仿宋"/>
          <w:color w:val="000000"/>
          <w:sz w:val="24"/>
          <w:highlight w:val="none"/>
        </w:rPr>
      </w:pPr>
    </w:p>
    <w:p w14:paraId="3AF73D90">
      <w:pPr>
        <w:pStyle w:val="4"/>
        <w:spacing w:before="0" w:line="360" w:lineRule="auto"/>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304" w:name="_Toc231201496"/>
      <w:bookmarkStart w:id="305" w:name="_Toc517281838"/>
      <w:bookmarkStart w:id="306" w:name="_Toc197680994"/>
      <w:bookmarkStart w:id="307" w:name="_Toc216971045"/>
      <w:bookmarkStart w:id="308" w:name="_Toc5582"/>
      <w:bookmarkStart w:id="309" w:name="_Toc20707"/>
      <w:bookmarkStart w:id="310" w:name="_Toc26267"/>
      <w:bookmarkStart w:id="311" w:name="_Toc4426"/>
      <w:bookmarkStart w:id="312" w:name="_Toc233292461"/>
      <w:bookmarkStart w:id="313" w:name="_Toc19783361"/>
      <w:bookmarkStart w:id="314" w:name="_Toc444891355"/>
      <w:bookmarkStart w:id="315" w:name="_Toc219196011"/>
      <w:bookmarkStart w:id="316" w:name="_Toc24788"/>
      <w:bookmarkStart w:id="317" w:name="_Toc287600130"/>
      <w:r>
        <w:rPr>
          <w:rFonts w:hint="eastAsia" w:ascii="仿宋" w:hAnsi="仿宋" w:eastAsia="仿宋" w:cs="仿宋"/>
          <w:color w:val="000000"/>
          <w:sz w:val="24"/>
          <w:szCs w:val="24"/>
          <w:highlight w:val="none"/>
        </w:rPr>
        <w:t>3、法定代表人（负责人）授权委托书</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3A018F5C">
      <w:pPr>
        <w:pStyle w:val="157"/>
        <w:spacing w:before="240" w:after="240"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法定代表人（负责人）授权委托书</w:t>
      </w:r>
    </w:p>
    <w:p w14:paraId="68E5924A">
      <w:pPr>
        <w:pStyle w:val="157"/>
        <w:topLinePunct/>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本人</w:t>
      </w:r>
      <w:r>
        <w:rPr>
          <w:rFonts w:hint="eastAsia" w:ascii="仿宋" w:hAnsi="仿宋" w:eastAsia="仿宋" w:cs="仿宋"/>
          <w:color w:val="000000"/>
          <w:sz w:val="24"/>
          <w:szCs w:val="24"/>
          <w:highlight w:val="none"/>
          <w:u w:val="single"/>
        </w:rPr>
        <w:t xml:space="preserve"> （姓名）</w:t>
      </w: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rPr>
        <w:t>（供应商名称）</w:t>
      </w:r>
      <w:r>
        <w:rPr>
          <w:rFonts w:hint="eastAsia" w:ascii="仿宋" w:hAnsi="仿宋" w:eastAsia="仿宋" w:cs="仿宋"/>
          <w:color w:val="000000"/>
          <w:sz w:val="24"/>
          <w:szCs w:val="24"/>
          <w:highlight w:val="none"/>
        </w:rPr>
        <w:t>的法定代表人（负责人），现授权委托</w:t>
      </w:r>
      <w:r>
        <w:rPr>
          <w:rFonts w:hint="eastAsia" w:ascii="仿宋" w:hAnsi="仿宋" w:eastAsia="仿宋" w:cs="仿宋"/>
          <w:color w:val="000000"/>
          <w:sz w:val="24"/>
          <w:szCs w:val="24"/>
          <w:highlight w:val="none"/>
          <w:u w:val="single"/>
        </w:rPr>
        <w:t xml:space="preserve"> （姓名）</w:t>
      </w:r>
      <w:r>
        <w:rPr>
          <w:rFonts w:hint="eastAsia" w:ascii="仿宋" w:hAnsi="仿宋" w:eastAsia="仿宋" w:cs="仿宋"/>
          <w:color w:val="000000"/>
          <w:sz w:val="24"/>
          <w:szCs w:val="24"/>
          <w:highlight w:val="none"/>
        </w:rPr>
        <w:t>为我方代理人。代理人根据授权，以我方名义签署、澄清、说明、补正、递交、撤回、修改</w:t>
      </w:r>
      <w:r>
        <w:rPr>
          <w:rFonts w:hint="eastAsia" w:ascii="仿宋" w:hAnsi="仿宋" w:eastAsia="仿宋" w:cs="仿宋"/>
          <w:b/>
          <w:bCs/>
          <w:color w:val="000000"/>
          <w:sz w:val="24"/>
          <w:szCs w:val="24"/>
          <w:highlight w:val="none"/>
          <w:u w:val="single"/>
        </w:rPr>
        <w:t>（项目名称）</w:t>
      </w:r>
      <w:r>
        <w:rPr>
          <w:rFonts w:hint="eastAsia" w:ascii="仿宋" w:hAnsi="仿宋" w:eastAsia="仿宋" w:cs="仿宋"/>
          <w:color w:val="000000"/>
          <w:sz w:val="24"/>
          <w:szCs w:val="24"/>
          <w:highlight w:val="none"/>
        </w:rPr>
        <w:t>响应文件、签订合同和处理有关事宜，其法律后果由我方承担。</w:t>
      </w:r>
    </w:p>
    <w:p w14:paraId="4A2A00DE">
      <w:pPr>
        <w:widowControl/>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委托期限：</w:t>
      </w:r>
      <w:r>
        <w:rPr>
          <w:rFonts w:hint="eastAsia" w:ascii="仿宋" w:hAnsi="仿宋" w:eastAsia="仿宋" w:cs="仿宋"/>
          <w:color w:val="000000"/>
          <w:kern w:val="0"/>
          <w:sz w:val="24"/>
          <w:highlight w:val="none"/>
          <w:u w:val="single"/>
        </w:rPr>
        <w:t xml:space="preserve"> 自本委托书签字盖章生效之日起至响应有效期到期之日为止 </w:t>
      </w:r>
      <w:r>
        <w:rPr>
          <w:rFonts w:hint="eastAsia" w:ascii="仿宋" w:hAnsi="仿宋" w:eastAsia="仿宋" w:cs="仿宋"/>
          <w:color w:val="000000"/>
          <w:kern w:val="0"/>
          <w:sz w:val="24"/>
          <w:highlight w:val="none"/>
        </w:rPr>
        <w:t>。</w:t>
      </w:r>
    </w:p>
    <w:p w14:paraId="48701246">
      <w:pPr>
        <w:pStyle w:val="157"/>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代理人无转委托权。</w:t>
      </w:r>
    </w:p>
    <w:p w14:paraId="0E79E82A">
      <w:pPr>
        <w:pStyle w:val="157"/>
        <w:spacing w:line="360" w:lineRule="auto"/>
        <w:ind w:firstLine="482" w:firstLineChars="200"/>
        <w:rPr>
          <w:rFonts w:hint="eastAsia" w:ascii="仿宋" w:hAnsi="仿宋" w:eastAsia="仿宋" w:cs="仿宋"/>
          <w:b/>
          <w:bCs/>
          <w:color w:val="000000"/>
          <w:sz w:val="24"/>
          <w:szCs w:val="24"/>
          <w:highlight w:val="none"/>
        </w:rPr>
      </w:pPr>
    </w:p>
    <w:p w14:paraId="75CC59D6">
      <w:pPr>
        <w:pStyle w:val="157"/>
        <w:spacing w:line="360" w:lineRule="auto"/>
        <w:ind w:firstLine="482" w:firstLineChars="200"/>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附：委托代理人身份证复印件（需同时提供正面及背面）</w:t>
      </w:r>
      <w:r>
        <w:rPr>
          <w:rFonts w:hint="eastAsia" w:ascii="仿宋" w:hAnsi="仿宋" w:eastAsia="仿宋" w:cs="仿宋"/>
          <w:color w:val="000000"/>
          <w:sz w:val="24"/>
          <w:szCs w:val="24"/>
          <w:highlight w:val="none"/>
        </w:rPr>
        <w:t>。</w:t>
      </w:r>
    </w:p>
    <w:p w14:paraId="3B9F6AFE">
      <w:pPr>
        <w:pStyle w:val="157"/>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6DD85CAD">
      <w:pPr>
        <w:pStyle w:val="157"/>
        <w:spacing w:line="360" w:lineRule="auto"/>
        <w:ind w:firstLine="480"/>
        <w:jc w:val="left"/>
        <w:rPr>
          <w:rFonts w:hint="eastAsia" w:ascii="仿宋" w:hAnsi="仿宋" w:eastAsia="仿宋" w:cs="仿宋"/>
          <w:color w:val="000000"/>
          <w:sz w:val="24"/>
          <w:szCs w:val="24"/>
          <w:highlight w:val="none"/>
        </w:rPr>
      </w:pPr>
    </w:p>
    <w:p w14:paraId="206840DA">
      <w:pPr>
        <w:spacing w:line="360" w:lineRule="auto"/>
        <w:ind w:left="720"/>
        <w:rPr>
          <w:rFonts w:hint="eastAsia" w:ascii="仿宋" w:hAnsi="仿宋" w:eastAsia="仿宋" w:cs="仿宋"/>
          <w:b/>
          <w:color w:val="000000"/>
          <w:sz w:val="24"/>
          <w:highlight w:val="none"/>
        </w:rPr>
      </w:pPr>
    </w:p>
    <w:p w14:paraId="5A8CA32A">
      <w:pPr>
        <w:tabs>
          <w:tab w:val="left" w:pos="540"/>
        </w:tabs>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ab/>
      </w:r>
    </w:p>
    <w:p w14:paraId="605C7665">
      <w:pPr>
        <w:pStyle w:val="18"/>
        <w:spacing w:line="360" w:lineRule="auto"/>
        <w:rPr>
          <w:rFonts w:hint="eastAsia" w:ascii="仿宋" w:hAnsi="仿宋" w:eastAsia="仿宋" w:cs="仿宋"/>
          <w:kern w:val="0"/>
          <w:sz w:val="24"/>
          <w:highlight w:val="none"/>
        </w:rPr>
      </w:pPr>
    </w:p>
    <w:p w14:paraId="5636EF5C">
      <w:pPr>
        <w:pStyle w:val="18"/>
        <w:spacing w:line="360" w:lineRule="auto"/>
        <w:rPr>
          <w:rFonts w:hint="eastAsia" w:ascii="仿宋" w:hAnsi="仿宋" w:eastAsia="仿宋" w:cs="仿宋"/>
          <w:kern w:val="0"/>
          <w:sz w:val="24"/>
          <w:highlight w:val="none"/>
        </w:rPr>
      </w:pPr>
    </w:p>
    <w:p w14:paraId="14898121">
      <w:pPr>
        <w:pStyle w:val="18"/>
        <w:spacing w:line="360" w:lineRule="auto"/>
        <w:rPr>
          <w:rFonts w:hint="eastAsia" w:ascii="仿宋" w:hAnsi="仿宋" w:eastAsia="仿宋" w:cs="仿宋"/>
          <w:kern w:val="0"/>
          <w:sz w:val="24"/>
          <w:highlight w:val="none"/>
        </w:rPr>
      </w:pPr>
    </w:p>
    <w:p w14:paraId="7A2B8742">
      <w:pPr>
        <w:spacing w:line="360" w:lineRule="auto"/>
        <w:ind w:right="420" w:firstLine="4200" w:firstLineChars="17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72F0D89F">
      <w:pPr>
        <w:spacing w:line="360" w:lineRule="auto"/>
        <w:ind w:right="420" w:firstLine="3120" w:firstLineChars="13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法定代表人（负责人）：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（签字或盖章）</w:t>
      </w:r>
    </w:p>
    <w:p w14:paraId="1CB35076">
      <w:pPr>
        <w:pStyle w:val="157"/>
        <w:wordWrap w:val="0"/>
        <w:spacing w:line="360" w:lineRule="auto"/>
        <w:ind w:right="105" w:firstLine="4200" w:firstLineChars="175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（签字或盖章） </w:t>
      </w:r>
    </w:p>
    <w:p w14:paraId="26228CB8">
      <w:pPr>
        <w:wordWrap w:val="0"/>
        <w:spacing w:line="360" w:lineRule="auto"/>
        <w:ind w:firstLine="4200" w:firstLineChars="1750"/>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0BE8EC0F">
      <w:pPr>
        <w:tabs>
          <w:tab w:val="left" w:pos="540"/>
        </w:tabs>
        <w:spacing w:line="360" w:lineRule="auto"/>
        <w:rPr>
          <w:rFonts w:hint="eastAsia" w:ascii="仿宋" w:hAnsi="仿宋" w:eastAsia="仿宋" w:cs="仿宋"/>
          <w:color w:val="000000"/>
          <w:kern w:val="0"/>
          <w:sz w:val="24"/>
          <w:highlight w:val="none"/>
        </w:rPr>
        <w:sectPr>
          <w:footerReference r:id="rId11" w:type="default"/>
          <w:pgSz w:w="11906" w:h="16838"/>
          <w:pgMar w:top="1135" w:right="1370" w:bottom="1134" w:left="1496" w:header="851" w:footer="992" w:gutter="0"/>
          <w:cols w:space="720" w:num="1"/>
          <w:titlePg/>
          <w:docGrid w:type="lines" w:linePitch="312" w:charSpace="0"/>
        </w:sectPr>
      </w:pPr>
    </w:p>
    <w:p w14:paraId="5DC4E57B">
      <w:pPr>
        <w:pStyle w:val="4"/>
        <w:spacing w:before="0" w:line="360" w:lineRule="auto"/>
        <w:ind w:left="0" w:firstLine="0"/>
        <w:rPr>
          <w:rFonts w:hint="eastAsia" w:ascii="仿宋" w:hAnsi="仿宋" w:eastAsia="仿宋" w:cs="仿宋"/>
          <w:color w:val="000000"/>
          <w:sz w:val="24"/>
          <w:szCs w:val="24"/>
          <w:highlight w:val="none"/>
        </w:rPr>
      </w:pPr>
      <w:bookmarkStart w:id="318" w:name="_Toc233292462"/>
      <w:bookmarkStart w:id="319" w:name="_Toc219196012"/>
      <w:bookmarkStart w:id="320" w:name="_Toc197680995"/>
      <w:bookmarkStart w:id="321" w:name="_Toc231201497"/>
      <w:bookmarkStart w:id="322" w:name="_Toc216971046"/>
      <w:bookmarkStart w:id="323" w:name="_Toc517281841"/>
      <w:bookmarkStart w:id="324" w:name="_Toc287600132"/>
      <w:bookmarkStart w:id="325" w:name="_Toc16561"/>
      <w:bookmarkStart w:id="326" w:name="_Toc5406"/>
      <w:bookmarkStart w:id="327" w:name="_Toc27026"/>
      <w:bookmarkStart w:id="328" w:name="_Toc444891357"/>
      <w:bookmarkStart w:id="329" w:name="_Toc11396"/>
      <w:bookmarkStart w:id="330" w:name="_Toc34779170"/>
      <w:bookmarkStart w:id="331" w:name="_Toc34779216"/>
      <w:bookmarkStart w:id="332" w:name="_Toc287600135"/>
      <w:bookmarkStart w:id="333" w:name="_Toc35957216"/>
      <w:bookmarkStart w:id="334" w:name="_Toc34779120"/>
      <w:bookmarkStart w:id="335" w:name="_Toc34822258"/>
      <w:r>
        <w:rPr>
          <w:rFonts w:hint="eastAsia" w:ascii="仿宋" w:hAnsi="仿宋" w:eastAsia="仿宋" w:cs="仿宋"/>
          <w:color w:val="000000"/>
          <w:sz w:val="24"/>
          <w:szCs w:val="24"/>
          <w:highlight w:val="none"/>
        </w:rPr>
        <w:t>4、供应商基本情况信息表</w:t>
      </w:r>
      <w:bookmarkEnd w:id="318"/>
      <w:bookmarkEnd w:id="319"/>
      <w:bookmarkEnd w:id="320"/>
      <w:bookmarkEnd w:id="321"/>
      <w:bookmarkEnd w:id="322"/>
    </w:p>
    <w:p w14:paraId="65A47EB1">
      <w:pPr>
        <w:pStyle w:val="157"/>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1"/>
        <w:tblW w:w="4792" w:type="pct"/>
        <w:jc w:val="center"/>
        <w:tblLayout w:type="autofit"/>
        <w:tblCellMar>
          <w:top w:w="0" w:type="dxa"/>
          <w:left w:w="108" w:type="dxa"/>
          <w:bottom w:w="0" w:type="dxa"/>
          <w:right w:w="108" w:type="dxa"/>
        </w:tblCellMar>
      </w:tblPr>
      <w:tblGrid>
        <w:gridCol w:w="1754"/>
        <w:gridCol w:w="741"/>
        <w:gridCol w:w="351"/>
        <w:gridCol w:w="938"/>
        <w:gridCol w:w="683"/>
        <w:gridCol w:w="723"/>
        <w:gridCol w:w="1712"/>
        <w:gridCol w:w="98"/>
        <w:gridCol w:w="944"/>
        <w:gridCol w:w="1094"/>
      </w:tblGrid>
      <w:tr w14:paraId="2657E95C">
        <w:tblPrEx>
          <w:tblCellMar>
            <w:top w:w="0" w:type="dxa"/>
            <w:left w:w="108" w:type="dxa"/>
            <w:bottom w:w="0" w:type="dxa"/>
            <w:right w:w="108" w:type="dxa"/>
          </w:tblCellMar>
        </w:tblPrEx>
        <w:trPr>
          <w:trHeight w:val="283" w:hRule="atLeast"/>
          <w:jc w:val="center"/>
        </w:trPr>
        <w:tc>
          <w:tcPr>
            <w:tcW w:w="971" w:type="pct"/>
            <w:tcBorders>
              <w:top w:val="single" w:color="000000" w:sz="4" w:space="0"/>
              <w:left w:val="single" w:color="000000" w:sz="4" w:space="0"/>
              <w:bottom w:val="single" w:color="000000" w:sz="4" w:space="0"/>
              <w:right w:val="single" w:color="000000" w:sz="4" w:space="0"/>
            </w:tcBorders>
            <w:vAlign w:val="center"/>
          </w:tcPr>
          <w:p w14:paraId="729D326D">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w:t>
            </w:r>
          </w:p>
        </w:tc>
        <w:tc>
          <w:tcPr>
            <w:tcW w:w="4029" w:type="pct"/>
            <w:gridSpan w:val="9"/>
            <w:tcBorders>
              <w:top w:val="single" w:color="000000" w:sz="4" w:space="0"/>
              <w:left w:val="nil"/>
              <w:bottom w:val="single" w:color="000000" w:sz="4" w:space="0"/>
              <w:right w:val="single" w:color="000000" w:sz="4" w:space="0"/>
            </w:tcBorders>
            <w:vAlign w:val="center"/>
          </w:tcPr>
          <w:p w14:paraId="13A46F8B">
            <w:pPr>
              <w:pStyle w:val="157"/>
              <w:topLinePunct/>
              <w:spacing w:line="360" w:lineRule="auto"/>
              <w:jc w:val="center"/>
              <w:rPr>
                <w:rFonts w:hint="eastAsia" w:ascii="仿宋" w:hAnsi="仿宋" w:eastAsia="仿宋" w:cs="仿宋"/>
                <w:color w:val="000000"/>
                <w:sz w:val="24"/>
                <w:szCs w:val="24"/>
                <w:highlight w:val="none"/>
              </w:rPr>
            </w:pPr>
          </w:p>
        </w:tc>
      </w:tr>
      <w:tr w14:paraId="3C70B790">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15A03B4D">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注册地址</w:t>
            </w:r>
          </w:p>
        </w:tc>
        <w:tc>
          <w:tcPr>
            <w:tcW w:w="1900" w:type="pct"/>
            <w:gridSpan w:val="5"/>
            <w:tcBorders>
              <w:top w:val="nil"/>
              <w:left w:val="nil"/>
              <w:bottom w:val="single" w:color="000000" w:sz="4" w:space="0"/>
              <w:right w:val="single" w:color="000000" w:sz="4" w:space="0"/>
            </w:tcBorders>
            <w:vAlign w:val="center"/>
          </w:tcPr>
          <w:p w14:paraId="3F0FBA63">
            <w:pPr>
              <w:pStyle w:val="157"/>
              <w:topLinePunct/>
              <w:spacing w:line="360" w:lineRule="auto"/>
              <w:jc w:val="center"/>
              <w:rPr>
                <w:rFonts w:hint="eastAsia" w:ascii="仿宋" w:hAnsi="仿宋" w:eastAsia="仿宋" w:cs="仿宋"/>
                <w:color w:val="000000"/>
                <w:sz w:val="24"/>
                <w:szCs w:val="24"/>
                <w:highlight w:val="none"/>
              </w:rPr>
            </w:pPr>
          </w:p>
        </w:tc>
        <w:tc>
          <w:tcPr>
            <w:tcW w:w="947" w:type="pct"/>
            <w:tcBorders>
              <w:top w:val="single" w:color="000000" w:sz="4" w:space="0"/>
              <w:left w:val="nil"/>
              <w:bottom w:val="single" w:color="000000" w:sz="4" w:space="0"/>
              <w:right w:val="single" w:color="000000" w:sz="4" w:space="0"/>
            </w:tcBorders>
            <w:vAlign w:val="center"/>
          </w:tcPr>
          <w:p w14:paraId="596E3165">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p>
        </w:tc>
        <w:tc>
          <w:tcPr>
            <w:tcW w:w="1182" w:type="pct"/>
            <w:gridSpan w:val="3"/>
            <w:tcBorders>
              <w:top w:val="single" w:color="000000" w:sz="4" w:space="0"/>
              <w:left w:val="nil"/>
              <w:bottom w:val="single" w:color="000000" w:sz="4" w:space="0"/>
              <w:right w:val="single" w:color="000000" w:sz="4" w:space="0"/>
            </w:tcBorders>
            <w:vAlign w:val="center"/>
          </w:tcPr>
          <w:p w14:paraId="7369C9D4">
            <w:pPr>
              <w:pStyle w:val="157"/>
              <w:topLinePunct/>
              <w:spacing w:line="360" w:lineRule="auto"/>
              <w:jc w:val="center"/>
              <w:rPr>
                <w:rFonts w:hint="eastAsia" w:ascii="仿宋" w:hAnsi="仿宋" w:eastAsia="仿宋" w:cs="仿宋"/>
                <w:color w:val="000000"/>
                <w:sz w:val="24"/>
                <w:szCs w:val="24"/>
                <w:highlight w:val="none"/>
              </w:rPr>
            </w:pPr>
          </w:p>
        </w:tc>
      </w:tr>
      <w:tr w14:paraId="7222E5E1">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4B3ED85E">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公司办公场所面积</w:t>
            </w:r>
          </w:p>
        </w:tc>
        <w:tc>
          <w:tcPr>
            <w:tcW w:w="1900" w:type="pct"/>
            <w:gridSpan w:val="5"/>
            <w:tcBorders>
              <w:top w:val="nil"/>
              <w:left w:val="nil"/>
              <w:bottom w:val="single" w:color="000000" w:sz="4" w:space="0"/>
              <w:right w:val="single" w:color="000000" w:sz="4" w:space="0"/>
            </w:tcBorders>
            <w:vAlign w:val="center"/>
          </w:tcPr>
          <w:p w14:paraId="44FF6BCF">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平米</w:t>
            </w:r>
          </w:p>
        </w:tc>
        <w:tc>
          <w:tcPr>
            <w:tcW w:w="947" w:type="pct"/>
            <w:tcBorders>
              <w:top w:val="nil"/>
              <w:left w:val="nil"/>
              <w:bottom w:val="single" w:color="000000" w:sz="4" w:space="0"/>
              <w:right w:val="single" w:color="000000" w:sz="4" w:space="0"/>
            </w:tcBorders>
            <w:vAlign w:val="center"/>
          </w:tcPr>
          <w:p w14:paraId="15D7BFFD">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办事处地址</w:t>
            </w:r>
          </w:p>
        </w:tc>
        <w:tc>
          <w:tcPr>
            <w:tcW w:w="1182" w:type="pct"/>
            <w:gridSpan w:val="3"/>
            <w:tcBorders>
              <w:top w:val="nil"/>
              <w:left w:val="nil"/>
              <w:bottom w:val="single" w:color="000000" w:sz="4" w:space="0"/>
              <w:right w:val="single" w:color="000000" w:sz="4" w:space="0"/>
            </w:tcBorders>
            <w:vAlign w:val="center"/>
          </w:tcPr>
          <w:p w14:paraId="10ED13F2">
            <w:pPr>
              <w:pStyle w:val="157"/>
              <w:topLinePunct/>
              <w:spacing w:line="360" w:lineRule="auto"/>
              <w:jc w:val="center"/>
              <w:rPr>
                <w:rFonts w:hint="eastAsia" w:ascii="仿宋" w:hAnsi="仿宋" w:eastAsia="仿宋" w:cs="仿宋"/>
                <w:color w:val="000000"/>
                <w:sz w:val="24"/>
                <w:szCs w:val="24"/>
                <w:highlight w:val="none"/>
              </w:rPr>
            </w:pPr>
          </w:p>
        </w:tc>
      </w:tr>
      <w:tr w14:paraId="013CBE33">
        <w:tblPrEx>
          <w:tblCellMar>
            <w:top w:w="0" w:type="dxa"/>
            <w:left w:w="108" w:type="dxa"/>
            <w:bottom w:w="0" w:type="dxa"/>
            <w:right w:w="108" w:type="dxa"/>
          </w:tblCellMar>
        </w:tblPrEx>
        <w:trPr>
          <w:trHeight w:val="283" w:hRule="atLeast"/>
          <w:jc w:val="center"/>
        </w:trPr>
        <w:tc>
          <w:tcPr>
            <w:tcW w:w="971" w:type="pct"/>
            <w:vMerge w:val="restart"/>
            <w:tcBorders>
              <w:top w:val="nil"/>
              <w:left w:val="single" w:color="000000" w:sz="4" w:space="0"/>
              <w:bottom w:val="single" w:color="000000" w:sz="4" w:space="0"/>
              <w:right w:val="single" w:color="000000" w:sz="4" w:space="0"/>
            </w:tcBorders>
            <w:vAlign w:val="center"/>
          </w:tcPr>
          <w:p w14:paraId="3FD9E711">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联系方式</w:t>
            </w:r>
          </w:p>
        </w:tc>
        <w:tc>
          <w:tcPr>
            <w:tcW w:w="604" w:type="pct"/>
            <w:gridSpan w:val="2"/>
            <w:tcBorders>
              <w:top w:val="nil"/>
              <w:left w:val="nil"/>
              <w:bottom w:val="single" w:color="000000" w:sz="4" w:space="0"/>
              <w:right w:val="single" w:color="000000" w:sz="4" w:space="0"/>
            </w:tcBorders>
            <w:vAlign w:val="center"/>
          </w:tcPr>
          <w:p w14:paraId="25825A9C">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联系人</w:t>
            </w:r>
          </w:p>
        </w:tc>
        <w:tc>
          <w:tcPr>
            <w:tcW w:w="1296" w:type="pct"/>
            <w:gridSpan w:val="3"/>
            <w:tcBorders>
              <w:top w:val="nil"/>
              <w:left w:val="nil"/>
              <w:bottom w:val="single" w:color="000000" w:sz="4" w:space="0"/>
              <w:right w:val="single" w:color="000000" w:sz="4" w:space="0"/>
            </w:tcBorders>
            <w:vAlign w:val="center"/>
          </w:tcPr>
          <w:p w14:paraId="14DAC793">
            <w:pPr>
              <w:pStyle w:val="157"/>
              <w:topLinePunct/>
              <w:spacing w:line="360" w:lineRule="auto"/>
              <w:jc w:val="center"/>
              <w:rPr>
                <w:rFonts w:hint="eastAsia" w:ascii="仿宋" w:hAnsi="仿宋" w:eastAsia="仿宋" w:cs="仿宋"/>
                <w:color w:val="000000"/>
                <w:sz w:val="24"/>
                <w:szCs w:val="24"/>
                <w:highlight w:val="none"/>
              </w:rPr>
            </w:pPr>
          </w:p>
        </w:tc>
        <w:tc>
          <w:tcPr>
            <w:tcW w:w="947" w:type="pct"/>
            <w:tcBorders>
              <w:top w:val="nil"/>
              <w:left w:val="nil"/>
              <w:bottom w:val="single" w:color="000000" w:sz="4" w:space="0"/>
              <w:right w:val="single" w:color="000000" w:sz="4" w:space="0"/>
            </w:tcBorders>
            <w:vAlign w:val="center"/>
          </w:tcPr>
          <w:p w14:paraId="28270F05">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w:t>
            </w:r>
          </w:p>
        </w:tc>
        <w:tc>
          <w:tcPr>
            <w:tcW w:w="1182" w:type="pct"/>
            <w:gridSpan w:val="3"/>
            <w:tcBorders>
              <w:top w:val="single" w:color="000000" w:sz="4" w:space="0"/>
              <w:left w:val="nil"/>
              <w:bottom w:val="single" w:color="000000" w:sz="4" w:space="0"/>
              <w:right w:val="single" w:color="000000" w:sz="4" w:space="0"/>
            </w:tcBorders>
            <w:vAlign w:val="center"/>
          </w:tcPr>
          <w:p w14:paraId="7D780AA1">
            <w:pPr>
              <w:pStyle w:val="157"/>
              <w:topLinePunct/>
              <w:spacing w:line="360" w:lineRule="auto"/>
              <w:jc w:val="center"/>
              <w:rPr>
                <w:rFonts w:hint="eastAsia" w:ascii="仿宋" w:hAnsi="仿宋" w:eastAsia="仿宋" w:cs="仿宋"/>
                <w:color w:val="000000"/>
                <w:sz w:val="24"/>
                <w:szCs w:val="24"/>
                <w:highlight w:val="none"/>
              </w:rPr>
            </w:pPr>
          </w:p>
        </w:tc>
      </w:tr>
      <w:tr w14:paraId="04B0BC5D">
        <w:tblPrEx>
          <w:tblCellMar>
            <w:top w:w="0" w:type="dxa"/>
            <w:left w:w="108" w:type="dxa"/>
            <w:bottom w:w="0" w:type="dxa"/>
            <w:right w:w="108" w:type="dxa"/>
          </w:tblCellMar>
        </w:tblPrEx>
        <w:trPr>
          <w:trHeight w:val="283" w:hRule="atLeast"/>
          <w:jc w:val="center"/>
        </w:trPr>
        <w:tc>
          <w:tcPr>
            <w:tcW w:w="971" w:type="pct"/>
            <w:vMerge w:val="continue"/>
            <w:tcBorders>
              <w:top w:val="nil"/>
              <w:left w:val="single" w:color="000000" w:sz="4" w:space="0"/>
              <w:bottom w:val="single" w:color="000000" w:sz="4" w:space="0"/>
              <w:right w:val="single" w:color="000000" w:sz="4" w:space="0"/>
            </w:tcBorders>
            <w:vAlign w:val="center"/>
          </w:tcPr>
          <w:p w14:paraId="125959CF">
            <w:pPr>
              <w:spacing w:line="360" w:lineRule="auto"/>
              <w:rPr>
                <w:rFonts w:hint="eastAsia" w:ascii="仿宋" w:hAnsi="仿宋" w:eastAsia="仿宋" w:cs="仿宋"/>
                <w:color w:val="000000"/>
                <w:sz w:val="24"/>
                <w:highlight w:val="none"/>
              </w:rPr>
            </w:pPr>
          </w:p>
        </w:tc>
        <w:tc>
          <w:tcPr>
            <w:tcW w:w="604" w:type="pct"/>
            <w:gridSpan w:val="2"/>
            <w:tcBorders>
              <w:top w:val="nil"/>
              <w:left w:val="nil"/>
              <w:bottom w:val="single" w:color="000000" w:sz="4" w:space="0"/>
              <w:right w:val="single" w:color="000000" w:sz="4" w:space="0"/>
            </w:tcBorders>
            <w:vAlign w:val="center"/>
          </w:tcPr>
          <w:p w14:paraId="08D72548">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传真</w:t>
            </w:r>
          </w:p>
        </w:tc>
        <w:tc>
          <w:tcPr>
            <w:tcW w:w="1296" w:type="pct"/>
            <w:gridSpan w:val="3"/>
            <w:tcBorders>
              <w:top w:val="nil"/>
              <w:left w:val="nil"/>
              <w:bottom w:val="single" w:color="000000" w:sz="4" w:space="0"/>
              <w:right w:val="single" w:color="000000" w:sz="4" w:space="0"/>
            </w:tcBorders>
            <w:vAlign w:val="center"/>
          </w:tcPr>
          <w:p w14:paraId="40BDFA49">
            <w:pPr>
              <w:pStyle w:val="157"/>
              <w:topLinePunct/>
              <w:spacing w:line="360" w:lineRule="auto"/>
              <w:jc w:val="center"/>
              <w:rPr>
                <w:rFonts w:hint="eastAsia" w:ascii="仿宋" w:hAnsi="仿宋" w:eastAsia="仿宋" w:cs="仿宋"/>
                <w:color w:val="000000"/>
                <w:sz w:val="24"/>
                <w:szCs w:val="24"/>
                <w:highlight w:val="none"/>
              </w:rPr>
            </w:pPr>
          </w:p>
        </w:tc>
        <w:tc>
          <w:tcPr>
            <w:tcW w:w="947" w:type="pct"/>
            <w:tcBorders>
              <w:top w:val="nil"/>
              <w:left w:val="nil"/>
              <w:bottom w:val="single" w:color="000000" w:sz="4" w:space="0"/>
              <w:right w:val="single" w:color="000000" w:sz="4" w:space="0"/>
            </w:tcBorders>
            <w:vAlign w:val="center"/>
          </w:tcPr>
          <w:p w14:paraId="53378A6A">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网址</w:t>
            </w:r>
          </w:p>
        </w:tc>
        <w:tc>
          <w:tcPr>
            <w:tcW w:w="1182" w:type="pct"/>
            <w:gridSpan w:val="3"/>
            <w:tcBorders>
              <w:top w:val="nil"/>
              <w:left w:val="nil"/>
              <w:bottom w:val="single" w:color="000000" w:sz="4" w:space="0"/>
              <w:right w:val="single" w:color="000000" w:sz="4" w:space="0"/>
            </w:tcBorders>
            <w:vAlign w:val="center"/>
          </w:tcPr>
          <w:p w14:paraId="14C5D608">
            <w:pPr>
              <w:pStyle w:val="157"/>
              <w:topLinePunct/>
              <w:spacing w:line="360" w:lineRule="auto"/>
              <w:jc w:val="center"/>
              <w:rPr>
                <w:rFonts w:hint="eastAsia" w:ascii="仿宋" w:hAnsi="仿宋" w:eastAsia="仿宋" w:cs="仿宋"/>
                <w:color w:val="000000"/>
                <w:sz w:val="24"/>
                <w:szCs w:val="24"/>
                <w:highlight w:val="none"/>
              </w:rPr>
            </w:pPr>
          </w:p>
        </w:tc>
      </w:tr>
      <w:tr w14:paraId="22374267">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0B36EBE5">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组织结构</w:t>
            </w:r>
          </w:p>
        </w:tc>
        <w:tc>
          <w:tcPr>
            <w:tcW w:w="4029" w:type="pct"/>
            <w:gridSpan w:val="9"/>
            <w:tcBorders>
              <w:top w:val="nil"/>
              <w:left w:val="nil"/>
              <w:bottom w:val="single" w:color="000000" w:sz="4" w:space="0"/>
              <w:right w:val="single" w:color="000000" w:sz="4" w:space="0"/>
            </w:tcBorders>
            <w:vAlign w:val="center"/>
          </w:tcPr>
          <w:p w14:paraId="550454D5">
            <w:pPr>
              <w:pStyle w:val="157"/>
              <w:topLinePunct/>
              <w:spacing w:line="360" w:lineRule="auto"/>
              <w:jc w:val="center"/>
              <w:rPr>
                <w:rFonts w:hint="eastAsia" w:ascii="仿宋" w:hAnsi="仿宋" w:eastAsia="仿宋" w:cs="仿宋"/>
                <w:color w:val="000000"/>
                <w:sz w:val="24"/>
                <w:szCs w:val="24"/>
                <w:highlight w:val="none"/>
              </w:rPr>
            </w:pPr>
          </w:p>
        </w:tc>
      </w:tr>
      <w:tr w14:paraId="1A4FCAEF">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3CFB26C9">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p>
        </w:tc>
        <w:tc>
          <w:tcPr>
            <w:tcW w:w="410" w:type="pct"/>
            <w:tcBorders>
              <w:top w:val="nil"/>
              <w:left w:val="nil"/>
              <w:bottom w:val="single" w:color="000000" w:sz="4" w:space="0"/>
              <w:right w:val="single" w:color="000000" w:sz="4" w:space="0"/>
            </w:tcBorders>
            <w:vAlign w:val="center"/>
          </w:tcPr>
          <w:p w14:paraId="0A0BBDCC">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姓名</w:t>
            </w:r>
          </w:p>
        </w:tc>
        <w:tc>
          <w:tcPr>
            <w:tcW w:w="713" w:type="pct"/>
            <w:gridSpan w:val="2"/>
            <w:tcBorders>
              <w:top w:val="single" w:color="000000" w:sz="4" w:space="0"/>
              <w:left w:val="nil"/>
              <w:bottom w:val="single" w:color="000000" w:sz="4" w:space="0"/>
              <w:right w:val="single" w:color="000000" w:sz="4" w:space="0"/>
            </w:tcBorders>
            <w:vAlign w:val="center"/>
          </w:tcPr>
          <w:p w14:paraId="7F7CE73D">
            <w:pPr>
              <w:pStyle w:val="157"/>
              <w:topLinePunct/>
              <w:spacing w:line="360" w:lineRule="auto"/>
              <w:jc w:val="center"/>
              <w:rPr>
                <w:rFonts w:hint="eastAsia" w:ascii="仿宋" w:hAnsi="仿宋" w:eastAsia="仿宋" w:cs="仿宋"/>
                <w:color w:val="000000"/>
                <w:sz w:val="24"/>
                <w:szCs w:val="24"/>
                <w:highlight w:val="none"/>
              </w:rPr>
            </w:pPr>
          </w:p>
        </w:tc>
        <w:tc>
          <w:tcPr>
            <w:tcW w:w="777" w:type="pct"/>
            <w:gridSpan w:val="2"/>
            <w:tcBorders>
              <w:top w:val="single" w:color="000000" w:sz="4" w:space="0"/>
              <w:left w:val="nil"/>
              <w:bottom w:val="single" w:color="000000" w:sz="4" w:space="0"/>
              <w:right w:val="single" w:color="000000" w:sz="4" w:space="0"/>
            </w:tcBorders>
            <w:vAlign w:val="center"/>
          </w:tcPr>
          <w:p w14:paraId="75C00ED6">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p>
        </w:tc>
        <w:tc>
          <w:tcPr>
            <w:tcW w:w="1001" w:type="pct"/>
            <w:gridSpan w:val="2"/>
            <w:tcBorders>
              <w:top w:val="single" w:color="000000" w:sz="4" w:space="0"/>
              <w:left w:val="nil"/>
              <w:bottom w:val="single" w:color="000000" w:sz="4" w:space="0"/>
              <w:right w:val="single" w:color="000000" w:sz="4" w:space="0"/>
            </w:tcBorders>
            <w:vAlign w:val="center"/>
          </w:tcPr>
          <w:p w14:paraId="6406155C">
            <w:pPr>
              <w:pStyle w:val="157"/>
              <w:topLinePunct/>
              <w:spacing w:line="360" w:lineRule="auto"/>
              <w:jc w:val="center"/>
              <w:rPr>
                <w:rFonts w:hint="eastAsia" w:ascii="仿宋" w:hAnsi="仿宋" w:eastAsia="仿宋" w:cs="仿宋"/>
                <w:color w:val="000000"/>
                <w:sz w:val="24"/>
                <w:szCs w:val="24"/>
                <w:highlight w:val="none"/>
              </w:rPr>
            </w:pPr>
          </w:p>
        </w:tc>
        <w:tc>
          <w:tcPr>
            <w:tcW w:w="522" w:type="pct"/>
            <w:tcBorders>
              <w:top w:val="single" w:color="000000" w:sz="4" w:space="0"/>
              <w:left w:val="nil"/>
              <w:bottom w:val="single" w:color="000000" w:sz="4" w:space="0"/>
              <w:right w:val="single" w:color="000000" w:sz="4" w:space="0"/>
            </w:tcBorders>
            <w:vAlign w:val="center"/>
          </w:tcPr>
          <w:p w14:paraId="586E60BC">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w:t>
            </w:r>
          </w:p>
        </w:tc>
        <w:tc>
          <w:tcPr>
            <w:tcW w:w="606" w:type="pct"/>
            <w:tcBorders>
              <w:top w:val="single" w:color="000000" w:sz="4" w:space="0"/>
              <w:left w:val="nil"/>
              <w:bottom w:val="single" w:color="000000" w:sz="4" w:space="0"/>
              <w:right w:val="single" w:color="000000" w:sz="4" w:space="0"/>
            </w:tcBorders>
            <w:vAlign w:val="center"/>
          </w:tcPr>
          <w:p w14:paraId="1D81DEDF">
            <w:pPr>
              <w:pStyle w:val="157"/>
              <w:topLinePunct/>
              <w:spacing w:line="360" w:lineRule="auto"/>
              <w:jc w:val="center"/>
              <w:rPr>
                <w:rFonts w:hint="eastAsia" w:ascii="仿宋" w:hAnsi="仿宋" w:eastAsia="仿宋" w:cs="仿宋"/>
                <w:color w:val="000000"/>
                <w:sz w:val="24"/>
                <w:szCs w:val="24"/>
                <w:highlight w:val="none"/>
              </w:rPr>
            </w:pPr>
          </w:p>
        </w:tc>
      </w:tr>
      <w:tr w14:paraId="632EFF2C">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0228F5F7">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技术负责人</w:t>
            </w:r>
          </w:p>
        </w:tc>
        <w:tc>
          <w:tcPr>
            <w:tcW w:w="410" w:type="pct"/>
            <w:tcBorders>
              <w:top w:val="nil"/>
              <w:left w:val="nil"/>
              <w:bottom w:val="single" w:color="000000" w:sz="4" w:space="0"/>
              <w:right w:val="single" w:color="000000" w:sz="4" w:space="0"/>
            </w:tcBorders>
            <w:vAlign w:val="center"/>
          </w:tcPr>
          <w:p w14:paraId="7870AE9D">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姓名</w:t>
            </w:r>
          </w:p>
        </w:tc>
        <w:tc>
          <w:tcPr>
            <w:tcW w:w="713" w:type="pct"/>
            <w:gridSpan w:val="2"/>
            <w:tcBorders>
              <w:top w:val="nil"/>
              <w:left w:val="nil"/>
              <w:bottom w:val="single" w:color="000000" w:sz="4" w:space="0"/>
              <w:right w:val="single" w:color="000000" w:sz="4" w:space="0"/>
            </w:tcBorders>
            <w:vAlign w:val="center"/>
          </w:tcPr>
          <w:p w14:paraId="15E7AB7C">
            <w:pPr>
              <w:pStyle w:val="157"/>
              <w:topLinePunct/>
              <w:spacing w:line="360" w:lineRule="auto"/>
              <w:jc w:val="center"/>
              <w:rPr>
                <w:rFonts w:hint="eastAsia" w:ascii="仿宋" w:hAnsi="仿宋" w:eastAsia="仿宋" w:cs="仿宋"/>
                <w:color w:val="000000"/>
                <w:sz w:val="24"/>
                <w:szCs w:val="24"/>
                <w:highlight w:val="none"/>
              </w:rPr>
            </w:pPr>
          </w:p>
        </w:tc>
        <w:tc>
          <w:tcPr>
            <w:tcW w:w="777" w:type="pct"/>
            <w:gridSpan w:val="2"/>
            <w:tcBorders>
              <w:top w:val="nil"/>
              <w:left w:val="nil"/>
              <w:bottom w:val="single" w:color="000000" w:sz="4" w:space="0"/>
              <w:right w:val="single" w:color="000000" w:sz="4" w:space="0"/>
            </w:tcBorders>
            <w:vAlign w:val="center"/>
          </w:tcPr>
          <w:p w14:paraId="73AA748F">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p>
        </w:tc>
        <w:tc>
          <w:tcPr>
            <w:tcW w:w="1001" w:type="pct"/>
            <w:gridSpan w:val="2"/>
            <w:tcBorders>
              <w:top w:val="nil"/>
              <w:left w:val="nil"/>
              <w:bottom w:val="single" w:color="000000" w:sz="4" w:space="0"/>
              <w:right w:val="single" w:color="000000" w:sz="4" w:space="0"/>
            </w:tcBorders>
            <w:vAlign w:val="center"/>
          </w:tcPr>
          <w:p w14:paraId="6D467AD9">
            <w:pPr>
              <w:pStyle w:val="157"/>
              <w:topLinePunct/>
              <w:spacing w:line="360" w:lineRule="auto"/>
              <w:jc w:val="center"/>
              <w:rPr>
                <w:rFonts w:hint="eastAsia" w:ascii="仿宋" w:hAnsi="仿宋" w:eastAsia="仿宋" w:cs="仿宋"/>
                <w:color w:val="000000"/>
                <w:sz w:val="24"/>
                <w:szCs w:val="24"/>
                <w:highlight w:val="none"/>
              </w:rPr>
            </w:pPr>
          </w:p>
        </w:tc>
        <w:tc>
          <w:tcPr>
            <w:tcW w:w="522" w:type="pct"/>
            <w:tcBorders>
              <w:top w:val="nil"/>
              <w:left w:val="nil"/>
              <w:bottom w:val="single" w:color="000000" w:sz="4" w:space="0"/>
              <w:right w:val="single" w:color="000000" w:sz="4" w:space="0"/>
            </w:tcBorders>
            <w:vAlign w:val="center"/>
          </w:tcPr>
          <w:p w14:paraId="43E3BC0F">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w:t>
            </w:r>
          </w:p>
        </w:tc>
        <w:tc>
          <w:tcPr>
            <w:tcW w:w="606" w:type="pct"/>
            <w:tcBorders>
              <w:top w:val="nil"/>
              <w:left w:val="nil"/>
              <w:bottom w:val="single" w:color="000000" w:sz="4" w:space="0"/>
              <w:right w:val="single" w:color="000000" w:sz="4" w:space="0"/>
            </w:tcBorders>
            <w:vAlign w:val="center"/>
          </w:tcPr>
          <w:p w14:paraId="12B27494">
            <w:pPr>
              <w:pStyle w:val="157"/>
              <w:topLinePunct/>
              <w:spacing w:line="360" w:lineRule="auto"/>
              <w:jc w:val="center"/>
              <w:rPr>
                <w:rFonts w:hint="eastAsia" w:ascii="仿宋" w:hAnsi="仿宋" w:eastAsia="仿宋" w:cs="仿宋"/>
                <w:color w:val="000000"/>
                <w:sz w:val="24"/>
                <w:szCs w:val="24"/>
                <w:highlight w:val="none"/>
              </w:rPr>
            </w:pPr>
          </w:p>
        </w:tc>
      </w:tr>
      <w:tr w14:paraId="02AF636E">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1D0017AC">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成立时间</w:t>
            </w:r>
          </w:p>
        </w:tc>
        <w:tc>
          <w:tcPr>
            <w:tcW w:w="1122" w:type="pct"/>
            <w:gridSpan w:val="3"/>
            <w:tcBorders>
              <w:top w:val="nil"/>
              <w:left w:val="nil"/>
              <w:bottom w:val="single" w:color="000000" w:sz="4" w:space="0"/>
              <w:right w:val="single" w:color="000000" w:sz="4" w:space="0"/>
            </w:tcBorders>
            <w:vAlign w:val="center"/>
          </w:tcPr>
          <w:p w14:paraId="2798EF69">
            <w:pPr>
              <w:pStyle w:val="157"/>
              <w:topLinePunct/>
              <w:spacing w:line="360" w:lineRule="auto"/>
              <w:jc w:val="center"/>
              <w:rPr>
                <w:rFonts w:hint="eastAsia" w:ascii="仿宋" w:hAnsi="仿宋" w:eastAsia="仿宋" w:cs="仿宋"/>
                <w:color w:val="000000"/>
                <w:sz w:val="24"/>
                <w:szCs w:val="24"/>
                <w:highlight w:val="none"/>
              </w:rPr>
            </w:pPr>
          </w:p>
        </w:tc>
        <w:tc>
          <w:tcPr>
            <w:tcW w:w="2907" w:type="pct"/>
            <w:gridSpan w:val="6"/>
            <w:tcBorders>
              <w:top w:val="nil"/>
              <w:left w:val="nil"/>
              <w:bottom w:val="single" w:color="000000" w:sz="4" w:space="0"/>
              <w:right w:val="single" w:color="000000" w:sz="4" w:space="0"/>
            </w:tcBorders>
            <w:vAlign w:val="center"/>
          </w:tcPr>
          <w:p w14:paraId="31256563">
            <w:pPr>
              <w:pStyle w:val="157"/>
              <w:topLinePunct/>
              <w:spacing w:line="360" w:lineRule="auto"/>
              <w:ind w:firstLine="10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员工总人数：</w:t>
            </w:r>
          </w:p>
        </w:tc>
      </w:tr>
      <w:tr w14:paraId="28FB5005">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1D862BFC">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企业资质等级</w:t>
            </w:r>
          </w:p>
        </w:tc>
        <w:tc>
          <w:tcPr>
            <w:tcW w:w="1122" w:type="pct"/>
            <w:gridSpan w:val="3"/>
            <w:tcBorders>
              <w:top w:val="nil"/>
              <w:left w:val="nil"/>
              <w:bottom w:val="single" w:color="000000" w:sz="4" w:space="0"/>
              <w:right w:val="single" w:color="000000" w:sz="4" w:space="0"/>
            </w:tcBorders>
            <w:vAlign w:val="center"/>
          </w:tcPr>
          <w:p w14:paraId="3F521ECB">
            <w:pPr>
              <w:pStyle w:val="157"/>
              <w:topLinePunct/>
              <w:spacing w:line="360" w:lineRule="auto"/>
              <w:jc w:val="center"/>
              <w:rPr>
                <w:rFonts w:hint="eastAsia" w:ascii="仿宋" w:hAnsi="仿宋" w:eastAsia="仿宋" w:cs="仿宋"/>
                <w:color w:val="000000"/>
                <w:sz w:val="24"/>
                <w:szCs w:val="24"/>
                <w:highlight w:val="none"/>
              </w:rPr>
            </w:pPr>
          </w:p>
        </w:tc>
        <w:tc>
          <w:tcPr>
            <w:tcW w:w="378" w:type="pct"/>
            <w:vMerge w:val="restart"/>
            <w:tcBorders>
              <w:top w:val="nil"/>
              <w:left w:val="nil"/>
              <w:bottom w:val="single" w:color="000000" w:sz="4" w:space="0"/>
              <w:right w:val="single" w:color="000000" w:sz="4" w:space="0"/>
            </w:tcBorders>
            <w:vAlign w:val="center"/>
          </w:tcPr>
          <w:p w14:paraId="4C741DB9">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其中</w:t>
            </w:r>
          </w:p>
        </w:tc>
        <w:tc>
          <w:tcPr>
            <w:tcW w:w="1401" w:type="pct"/>
            <w:gridSpan w:val="3"/>
            <w:tcBorders>
              <w:top w:val="single" w:color="000000" w:sz="4" w:space="0"/>
              <w:left w:val="nil"/>
              <w:bottom w:val="single" w:color="000000" w:sz="4" w:space="0"/>
              <w:right w:val="single" w:color="000000" w:sz="4" w:space="0"/>
            </w:tcBorders>
            <w:vAlign w:val="center"/>
          </w:tcPr>
          <w:p w14:paraId="1DA52317">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项目负责人</w:t>
            </w:r>
          </w:p>
        </w:tc>
        <w:tc>
          <w:tcPr>
            <w:tcW w:w="1128" w:type="pct"/>
            <w:gridSpan w:val="2"/>
            <w:tcBorders>
              <w:top w:val="single" w:color="000000" w:sz="4" w:space="0"/>
              <w:left w:val="nil"/>
              <w:bottom w:val="single" w:color="000000" w:sz="4" w:space="0"/>
              <w:right w:val="single" w:color="000000" w:sz="4" w:space="0"/>
            </w:tcBorders>
            <w:vAlign w:val="center"/>
          </w:tcPr>
          <w:p w14:paraId="633FFDDF">
            <w:pPr>
              <w:pStyle w:val="157"/>
              <w:topLinePunct/>
              <w:spacing w:line="360" w:lineRule="auto"/>
              <w:jc w:val="center"/>
              <w:rPr>
                <w:rFonts w:hint="eastAsia" w:ascii="仿宋" w:hAnsi="仿宋" w:eastAsia="仿宋" w:cs="仿宋"/>
                <w:color w:val="000000"/>
                <w:sz w:val="24"/>
                <w:szCs w:val="24"/>
                <w:highlight w:val="none"/>
              </w:rPr>
            </w:pPr>
          </w:p>
        </w:tc>
      </w:tr>
      <w:tr w14:paraId="08D3E8F9">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4C399AE5">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营业执照号</w:t>
            </w:r>
          </w:p>
        </w:tc>
        <w:tc>
          <w:tcPr>
            <w:tcW w:w="1122" w:type="pct"/>
            <w:gridSpan w:val="3"/>
            <w:tcBorders>
              <w:top w:val="nil"/>
              <w:left w:val="nil"/>
              <w:bottom w:val="single" w:color="000000" w:sz="4" w:space="0"/>
              <w:right w:val="single" w:color="000000" w:sz="4" w:space="0"/>
            </w:tcBorders>
            <w:vAlign w:val="center"/>
          </w:tcPr>
          <w:p w14:paraId="58F81D2E">
            <w:pPr>
              <w:pStyle w:val="157"/>
              <w:topLinePunct/>
              <w:spacing w:line="360" w:lineRule="auto"/>
              <w:jc w:val="center"/>
              <w:rPr>
                <w:rFonts w:hint="eastAsia" w:ascii="仿宋" w:hAnsi="仿宋" w:eastAsia="仿宋" w:cs="仿宋"/>
                <w:color w:val="000000"/>
                <w:sz w:val="24"/>
                <w:szCs w:val="24"/>
                <w:highlight w:val="none"/>
              </w:rPr>
            </w:pPr>
          </w:p>
        </w:tc>
        <w:tc>
          <w:tcPr>
            <w:tcW w:w="378" w:type="pct"/>
            <w:vMerge w:val="continue"/>
            <w:tcBorders>
              <w:top w:val="nil"/>
              <w:left w:val="nil"/>
              <w:bottom w:val="single" w:color="000000" w:sz="4" w:space="0"/>
              <w:right w:val="single" w:color="000000" w:sz="4" w:space="0"/>
            </w:tcBorders>
            <w:vAlign w:val="center"/>
          </w:tcPr>
          <w:p w14:paraId="41844D52">
            <w:pPr>
              <w:spacing w:line="360" w:lineRule="auto"/>
              <w:rPr>
                <w:rFonts w:hint="eastAsia" w:ascii="仿宋" w:hAnsi="仿宋" w:eastAsia="仿宋" w:cs="仿宋"/>
                <w:color w:val="000000"/>
                <w:sz w:val="24"/>
                <w:highlight w:val="none"/>
              </w:rPr>
            </w:pPr>
          </w:p>
        </w:tc>
        <w:tc>
          <w:tcPr>
            <w:tcW w:w="1401" w:type="pct"/>
            <w:gridSpan w:val="3"/>
            <w:tcBorders>
              <w:top w:val="nil"/>
              <w:left w:val="nil"/>
              <w:bottom w:val="single" w:color="000000" w:sz="4" w:space="0"/>
              <w:right w:val="single" w:color="000000" w:sz="4" w:space="0"/>
            </w:tcBorders>
            <w:vAlign w:val="center"/>
          </w:tcPr>
          <w:p w14:paraId="0B9713F1">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高级职称人员</w:t>
            </w:r>
          </w:p>
        </w:tc>
        <w:tc>
          <w:tcPr>
            <w:tcW w:w="1128" w:type="pct"/>
            <w:gridSpan w:val="2"/>
            <w:tcBorders>
              <w:top w:val="nil"/>
              <w:left w:val="nil"/>
              <w:bottom w:val="single" w:color="000000" w:sz="4" w:space="0"/>
              <w:right w:val="single" w:color="000000" w:sz="4" w:space="0"/>
            </w:tcBorders>
            <w:vAlign w:val="center"/>
          </w:tcPr>
          <w:p w14:paraId="3DE4AD2A">
            <w:pPr>
              <w:pStyle w:val="157"/>
              <w:topLinePunct/>
              <w:spacing w:line="360" w:lineRule="auto"/>
              <w:jc w:val="center"/>
              <w:rPr>
                <w:rFonts w:hint="eastAsia" w:ascii="仿宋" w:hAnsi="仿宋" w:eastAsia="仿宋" w:cs="仿宋"/>
                <w:color w:val="000000"/>
                <w:sz w:val="24"/>
                <w:szCs w:val="24"/>
                <w:highlight w:val="none"/>
              </w:rPr>
            </w:pPr>
          </w:p>
        </w:tc>
      </w:tr>
      <w:tr w14:paraId="211C7D22">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449D3B39">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注册资金</w:t>
            </w:r>
          </w:p>
        </w:tc>
        <w:tc>
          <w:tcPr>
            <w:tcW w:w="1122" w:type="pct"/>
            <w:gridSpan w:val="3"/>
            <w:tcBorders>
              <w:top w:val="nil"/>
              <w:left w:val="nil"/>
              <w:bottom w:val="single" w:color="000000" w:sz="4" w:space="0"/>
              <w:right w:val="single" w:color="000000" w:sz="4" w:space="0"/>
            </w:tcBorders>
            <w:vAlign w:val="center"/>
          </w:tcPr>
          <w:p w14:paraId="5EF5DE56">
            <w:pPr>
              <w:pStyle w:val="157"/>
              <w:topLinePunct/>
              <w:spacing w:line="360" w:lineRule="auto"/>
              <w:jc w:val="center"/>
              <w:rPr>
                <w:rFonts w:hint="eastAsia" w:ascii="仿宋" w:hAnsi="仿宋" w:eastAsia="仿宋" w:cs="仿宋"/>
                <w:color w:val="000000"/>
                <w:sz w:val="24"/>
                <w:szCs w:val="24"/>
                <w:highlight w:val="none"/>
              </w:rPr>
            </w:pPr>
          </w:p>
        </w:tc>
        <w:tc>
          <w:tcPr>
            <w:tcW w:w="378" w:type="pct"/>
            <w:vMerge w:val="continue"/>
            <w:tcBorders>
              <w:top w:val="nil"/>
              <w:left w:val="nil"/>
              <w:bottom w:val="single" w:color="000000" w:sz="4" w:space="0"/>
              <w:right w:val="single" w:color="000000" w:sz="4" w:space="0"/>
            </w:tcBorders>
            <w:vAlign w:val="center"/>
          </w:tcPr>
          <w:p w14:paraId="195F60E9">
            <w:pPr>
              <w:spacing w:line="360" w:lineRule="auto"/>
              <w:rPr>
                <w:rFonts w:hint="eastAsia" w:ascii="仿宋" w:hAnsi="仿宋" w:eastAsia="仿宋" w:cs="仿宋"/>
                <w:color w:val="000000"/>
                <w:sz w:val="24"/>
                <w:highlight w:val="none"/>
              </w:rPr>
            </w:pPr>
          </w:p>
        </w:tc>
        <w:tc>
          <w:tcPr>
            <w:tcW w:w="1401" w:type="pct"/>
            <w:gridSpan w:val="3"/>
            <w:tcBorders>
              <w:top w:val="nil"/>
              <w:left w:val="nil"/>
              <w:bottom w:val="single" w:color="000000" w:sz="4" w:space="0"/>
              <w:right w:val="single" w:color="000000" w:sz="4" w:space="0"/>
            </w:tcBorders>
            <w:vAlign w:val="center"/>
          </w:tcPr>
          <w:p w14:paraId="7B15920C">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中级职称人员</w:t>
            </w:r>
          </w:p>
        </w:tc>
        <w:tc>
          <w:tcPr>
            <w:tcW w:w="1128" w:type="pct"/>
            <w:gridSpan w:val="2"/>
            <w:tcBorders>
              <w:top w:val="nil"/>
              <w:left w:val="nil"/>
              <w:bottom w:val="single" w:color="000000" w:sz="4" w:space="0"/>
              <w:right w:val="single" w:color="000000" w:sz="4" w:space="0"/>
            </w:tcBorders>
            <w:vAlign w:val="center"/>
          </w:tcPr>
          <w:p w14:paraId="0590DA89">
            <w:pPr>
              <w:pStyle w:val="157"/>
              <w:topLinePunct/>
              <w:spacing w:line="360" w:lineRule="auto"/>
              <w:jc w:val="center"/>
              <w:rPr>
                <w:rFonts w:hint="eastAsia" w:ascii="仿宋" w:hAnsi="仿宋" w:eastAsia="仿宋" w:cs="仿宋"/>
                <w:color w:val="000000"/>
                <w:sz w:val="24"/>
                <w:szCs w:val="24"/>
                <w:highlight w:val="none"/>
              </w:rPr>
            </w:pPr>
          </w:p>
        </w:tc>
      </w:tr>
      <w:tr w14:paraId="6349E403">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5CF94024">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开户银行</w:t>
            </w:r>
          </w:p>
        </w:tc>
        <w:tc>
          <w:tcPr>
            <w:tcW w:w="1122" w:type="pct"/>
            <w:gridSpan w:val="3"/>
            <w:tcBorders>
              <w:top w:val="nil"/>
              <w:left w:val="nil"/>
              <w:bottom w:val="single" w:color="000000" w:sz="4" w:space="0"/>
              <w:right w:val="single" w:color="000000" w:sz="4" w:space="0"/>
            </w:tcBorders>
            <w:vAlign w:val="center"/>
          </w:tcPr>
          <w:p w14:paraId="611E8728">
            <w:pPr>
              <w:pStyle w:val="157"/>
              <w:topLinePunct/>
              <w:spacing w:line="360" w:lineRule="auto"/>
              <w:jc w:val="center"/>
              <w:rPr>
                <w:rFonts w:hint="eastAsia" w:ascii="仿宋" w:hAnsi="仿宋" w:eastAsia="仿宋" w:cs="仿宋"/>
                <w:color w:val="000000"/>
                <w:sz w:val="24"/>
                <w:szCs w:val="24"/>
                <w:highlight w:val="none"/>
              </w:rPr>
            </w:pPr>
          </w:p>
        </w:tc>
        <w:tc>
          <w:tcPr>
            <w:tcW w:w="378" w:type="pct"/>
            <w:vMerge w:val="continue"/>
            <w:tcBorders>
              <w:top w:val="nil"/>
              <w:left w:val="nil"/>
              <w:bottom w:val="single" w:color="000000" w:sz="4" w:space="0"/>
              <w:right w:val="single" w:color="000000" w:sz="4" w:space="0"/>
            </w:tcBorders>
            <w:vAlign w:val="center"/>
          </w:tcPr>
          <w:p w14:paraId="6B3400D1">
            <w:pPr>
              <w:spacing w:line="360" w:lineRule="auto"/>
              <w:rPr>
                <w:rFonts w:hint="eastAsia" w:ascii="仿宋" w:hAnsi="仿宋" w:eastAsia="仿宋" w:cs="仿宋"/>
                <w:color w:val="000000"/>
                <w:sz w:val="24"/>
                <w:highlight w:val="none"/>
              </w:rPr>
            </w:pPr>
          </w:p>
        </w:tc>
        <w:tc>
          <w:tcPr>
            <w:tcW w:w="1401" w:type="pct"/>
            <w:gridSpan w:val="3"/>
            <w:vMerge w:val="restart"/>
            <w:tcBorders>
              <w:top w:val="nil"/>
              <w:left w:val="nil"/>
              <w:right w:val="single" w:color="000000" w:sz="4" w:space="0"/>
            </w:tcBorders>
            <w:vAlign w:val="center"/>
          </w:tcPr>
          <w:p w14:paraId="4510325C">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初级职称人员</w:t>
            </w:r>
          </w:p>
        </w:tc>
        <w:tc>
          <w:tcPr>
            <w:tcW w:w="1128" w:type="pct"/>
            <w:gridSpan w:val="2"/>
            <w:vMerge w:val="restart"/>
            <w:tcBorders>
              <w:top w:val="nil"/>
              <w:left w:val="nil"/>
              <w:right w:val="single" w:color="000000" w:sz="4" w:space="0"/>
            </w:tcBorders>
            <w:vAlign w:val="center"/>
          </w:tcPr>
          <w:p w14:paraId="1968C492">
            <w:pPr>
              <w:pStyle w:val="157"/>
              <w:topLinePunct/>
              <w:spacing w:line="360" w:lineRule="auto"/>
              <w:jc w:val="center"/>
              <w:rPr>
                <w:rFonts w:hint="eastAsia" w:ascii="仿宋" w:hAnsi="仿宋" w:eastAsia="仿宋" w:cs="仿宋"/>
                <w:color w:val="000000"/>
                <w:sz w:val="24"/>
                <w:szCs w:val="24"/>
                <w:highlight w:val="none"/>
              </w:rPr>
            </w:pPr>
          </w:p>
        </w:tc>
      </w:tr>
      <w:tr w14:paraId="204655D3">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24BD322A">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账号</w:t>
            </w:r>
          </w:p>
        </w:tc>
        <w:tc>
          <w:tcPr>
            <w:tcW w:w="1122" w:type="pct"/>
            <w:gridSpan w:val="3"/>
            <w:tcBorders>
              <w:top w:val="nil"/>
              <w:left w:val="nil"/>
              <w:bottom w:val="single" w:color="000000" w:sz="4" w:space="0"/>
              <w:right w:val="single" w:color="000000" w:sz="4" w:space="0"/>
            </w:tcBorders>
            <w:vAlign w:val="center"/>
          </w:tcPr>
          <w:p w14:paraId="093A3E64">
            <w:pPr>
              <w:pStyle w:val="157"/>
              <w:topLinePunct/>
              <w:spacing w:line="360" w:lineRule="auto"/>
              <w:jc w:val="center"/>
              <w:rPr>
                <w:rFonts w:hint="eastAsia" w:ascii="仿宋" w:hAnsi="仿宋" w:eastAsia="仿宋" w:cs="仿宋"/>
                <w:color w:val="000000"/>
                <w:sz w:val="24"/>
                <w:szCs w:val="24"/>
                <w:highlight w:val="none"/>
              </w:rPr>
            </w:pPr>
          </w:p>
        </w:tc>
        <w:tc>
          <w:tcPr>
            <w:tcW w:w="378" w:type="pct"/>
            <w:vMerge w:val="continue"/>
            <w:tcBorders>
              <w:top w:val="nil"/>
              <w:left w:val="nil"/>
              <w:bottom w:val="single" w:color="000000" w:sz="4" w:space="0"/>
              <w:right w:val="single" w:color="000000" w:sz="4" w:space="0"/>
            </w:tcBorders>
            <w:vAlign w:val="center"/>
          </w:tcPr>
          <w:p w14:paraId="1A784099">
            <w:pPr>
              <w:spacing w:line="360" w:lineRule="auto"/>
              <w:rPr>
                <w:rFonts w:hint="eastAsia" w:ascii="仿宋" w:hAnsi="仿宋" w:eastAsia="仿宋" w:cs="仿宋"/>
                <w:color w:val="000000"/>
                <w:sz w:val="24"/>
                <w:highlight w:val="none"/>
              </w:rPr>
            </w:pPr>
          </w:p>
        </w:tc>
        <w:tc>
          <w:tcPr>
            <w:tcW w:w="1401" w:type="pct"/>
            <w:gridSpan w:val="3"/>
            <w:vMerge w:val="continue"/>
            <w:tcBorders>
              <w:left w:val="nil"/>
              <w:bottom w:val="single" w:color="000000" w:sz="4" w:space="0"/>
              <w:right w:val="single" w:color="000000" w:sz="4" w:space="0"/>
            </w:tcBorders>
            <w:vAlign w:val="center"/>
          </w:tcPr>
          <w:p w14:paraId="1252DEE3">
            <w:pPr>
              <w:pStyle w:val="157"/>
              <w:topLinePunct/>
              <w:spacing w:line="360" w:lineRule="auto"/>
              <w:jc w:val="center"/>
              <w:rPr>
                <w:rFonts w:hint="eastAsia" w:ascii="仿宋" w:hAnsi="仿宋" w:eastAsia="仿宋" w:cs="仿宋"/>
                <w:color w:val="000000"/>
                <w:sz w:val="24"/>
                <w:szCs w:val="24"/>
                <w:highlight w:val="none"/>
              </w:rPr>
            </w:pPr>
          </w:p>
        </w:tc>
        <w:tc>
          <w:tcPr>
            <w:tcW w:w="1128" w:type="pct"/>
            <w:gridSpan w:val="2"/>
            <w:vMerge w:val="continue"/>
            <w:tcBorders>
              <w:left w:val="nil"/>
              <w:bottom w:val="single" w:color="000000" w:sz="4" w:space="0"/>
              <w:right w:val="single" w:color="000000" w:sz="4" w:space="0"/>
            </w:tcBorders>
            <w:vAlign w:val="center"/>
          </w:tcPr>
          <w:p w14:paraId="103D71E0">
            <w:pPr>
              <w:pStyle w:val="157"/>
              <w:topLinePunct/>
              <w:spacing w:line="360" w:lineRule="auto"/>
              <w:jc w:val="center"/>
              <w:rPr>
                <w:rFonts w:hint="eastAsia" w:ascii="仿宋" w:hAnsi="仿宋" w:eastAsia="仿宋" w:cs="仿宋"/>
                <w:color w:val="000000"/>
                <w:sz w:val="24"/>
                <w:szCs w:val="24"/>
                <w:highlight w:val="none"/>
              </w:rPr>
            </w:pPr>
          </w:p>
        </w:tc>
      </w:tr>
      <w:tr w14:paraId="44F9BF9B">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45574303">
            <w:pPr>
              <w:pStyle w:val="157"/>
              <w:topLinePunct/>
              <w:spacing w:line="360" w:lineRule="auto"/>
              <w:ind w:firstLine="21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经营范围</w:t>
            </w:r>
          </w:p>
        </w:tc>
        <w:tc>
          <w:tcPr>
            <w:tcW w:w="4029" w:type="pct"/>
            <w:gridSpan w:val="9"/>
            <w:tcBorders>
              <w:top w:val="nil"/>
              <w:left w:val="nil"/>
              <w:bottom w:val="single" w:color="000000" w:sz="4" w:space="0"/>
              <w:right w:val="single" w:color="000000" w:sz="4" w:space="0"/>
            </w:tcBorders>
            <w:vAlign w:val="center"/>
          </w:tcPr>
          <w:p w14:paraId="3FB2AF3E">
            <w:pPr>
              <w:pStyle w:val="157"/>
              <w:topLinePunct/>
              <w:spacing w:line="360" w:lineRule="auto"/>
              <w:rPr>
                <w:rFonts w:hint="eastAsia" w:ascii="仿宋" w:hAnsi="仿宋" w:eastAsia="仿宋" w:cs="仿宋"/>
                <w:color w:val="000000"/>
                <w:sz w:val="24"/>
                <w:szCs w:val="24"/>
                <w:highlight w:val="none"/>
              </w:rPr>
            </w:pPr>
          </w:p>
        </w:tc>
      </w:tr>
      <w:tr w14:paraId="2EBFEEB9">
        <w:tblPrEx>
          <w:tblCellMar>
            <w:top w:w="0" w:type="dxa"/>
            <w:left w:w="108" w:type="dxa"/>
            <w:bottom w:w="0" w:type="dxa"/>
            <w:right w:w="108" w:type="dxa"/>
          </w:tblCellMar>
        </w:tblPrEx>
        <w:trPr>
          <w:trHeight w:val="283" w:hRule="atLeast"/>
          <w:jc w:val="center"/>
        </w:trPr>
        <w:tc>
          <w:tcPr>
            <w:tcW w:w="971" w:type="pct"/>
            <w:tcBorders>
              <w:top w:val="nil"/>
              <w:left w:val="single" w:color="000000" w:sz="4" w:space="0"/>
              <w:bottom w:val="single" w:color="000000" w:sz="4" w:space="0"/>
              <w:right w:val="single" w:color="000000" w:sz="4" w:space="0"/>
            </w:tcBorders>
            <w:vAlign w:val="center"/>
          </w:tcPr>
          <w:p w14:paraId="3C386E3B">
            <w:pPr>
              <w:pStyle w:val="157"/>
              <w:topLinePunct/>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c>
          <w:tcPr>
            <w:tcW w:w="4029" w:type="pct"/>
            <w:gridSpan w:val="9"/>
            <w:tcBorders>
              <w:top w:val="nil"/>
              <w:left w:val="nil"/>
              <w:bottom w:val="single" w:color="000000" w:sz="4" w:space="0"/>
              <w:right w:val="single" w:color="000000" w:sz="4" w:space="0"/>
            </w:tcBorders>
            <w:vAlign w:val="center"/>
          </w:tcPr>
          <w:p w14:paraId="5BE9ADDD">
            <w:pPr>
              <w:pStyle w:val="157"/>
              <w:topLinePunct/>
              <w:spacing w:line="360" w:lineRule="auto"/>
              <w:jc w:val="center"/>
              <w:rPr>
                <w:rFonts w:hint="eastAsia" w:ascii="仿宋" w:hAnsi="仿宋" w:eastAsia="仿宋" w:cs="仿宋"/>
                <w:color w:val="000000"/>
                <w:sz w:val="24"/>
                <w:szCs w:val="24"/>
                <w:highlight w:val="none"/>
              </w:rPr>
            </w:pPr>
          </w:p>
        </w:tc>
      </w:tr>
    </w:tbl>
    <w:p w14:paraId="1435F737">
      <w:pPr>
        <w:pStyle w:val="157"/>
        <w:spacing w:line="360" w:lineRule="auto"/>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注：提供由工商部门核发的最新营业执照复印件（正副本皆可）。</w:t>
      </w:r>
    </w:p>
    <w:p w14:paraId="7559C1CF">
      <w:pPr>
        <w:pStyle w:val="157"/>
        <w:spacing w:line="360" w:lineRule="auto"/>
        <w:jc w:val="left"/>
        <w:rPr>
          <w:rFonts w:hint="eastAsia" w:ascii="仿宋" w:hAnsi="仿宋" w:eastAsia="仿宋" w:cs="仿宋"/>
          <w:b/>
          <w:color w:val="000000"/>
          <w:sz w:val="24"/>
          <w:szCs w:val="24"/>
          <w:highlight w:val="none"/>
        </w:rPr>
      </w:pPr>
    </w:p>
    <w:p w14:paraId="0F6D1152">
      <w:pPr>
        <w:pStyle w:val="4"/>
        <w:spacing w:before="0" w:line="360" w:lineRule="auto"/>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336" w:name="_Toc231201498"/>
      <w:bookmarkStart w:id="337" w:name="_Toc233292463"/>
      <w:bookmarkStart w:id="338" w:name="_Toc219196013"/>
      <w:bookmarkStart w:id="339" w:name="_Toc216971047"/>
      <w:bookmarkStart w:id="340" w:name="_Toc197680996"/>
      <w:r>
        <w:rPr>
          <w:rFonts w:hint="eastAsia" w:ascii="仿宋" w:hAnsi="仿宋" w:eastAsia="仿宋" w:cs="仿宋"/>
          <w:color w:val="000000"/>
          <w:sz w:val="24"/>
          <w:szCs w:val="24"/>
          <w:highlight w:val="none"/>
        </w:rPr>
        <w:t>5、企业证书</w:t>
      </w:r>
      <w:bookmarkEnd w:id="336"/>
      <w:bookmarkEnd w:id="337"/>
      <w:bookmarkEnd w:id="338"/>
      <w:bookmarkEnd w:id="339"/>
    </w:p>
    <w:p w14:paraId="663E38A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32"/>
          <w:highlight w:val="none"/>
        </w:rPr>
      </w:pPr>
      <w:r>
        <w:rPr>
          <w:rFonts w:hint="eastAsia" w:ascii="仿宋" w:hAnsi="仿宋" w:eastAsia="仿宋" w:cs="仿宋"/>
          <w:sz w:val="24"/>
          <w:szCs w:val="32"/>
          <w:highlight w:val="none"/>
        </w:rPr>
        <w:t>5.1</w:t>
      </w:r>
      <w:r>
        <w:rPr>
          <w:rFonts w:hint="eastAsia" w:ascii="仿宋" w:hAnsi="仿宋" w:eastAsia="仿宋" w:cs="仿宋"/>
          <w:sz w:val="24"/>
          <w:szCs w:val="32"/>
          <w:highlight w:val="none"/>
          <w:lang w:eastAsia="zh-CN"/>
        </w:rPr>
        <w:t xml:space="preserve"> </w:t>
      </w:r>
      <w:r>
        <w:rPr>
          <w:rFonts w:hint="eastAsia" w:ascii="仿宋" w:hAnsi="仿宋" w:eastAsia="仿宋" w:cs="仿宋"/>
          <w:sz w:val="24"/>
          <w:szCs w:val="32"/>
          <w:highlight w:val="none"/>
        </w:rPr>
        <w:t>营业执照或法人证书或登记证或组织机构代码证或其他有效证明文件（复印件）。</w:t>
      </w:r>
    </w:p>
    <w:p w14:paraId="0709A55F">
      <w:pPr>
        <w:keepNext w:val="0"/>
        <w:keepLines w:val="0"/>
        <w:pageBreakBefore w:val="0"/>
        <w:widowControl/>
        <w:kinsoku/>
        <w:wordWrap/>
        <w:overflowPunct/>
        <w:topLinePunct w:val="0"/>
        <w:autoSpaceDE/>
        <w:autoSpaceDN/>
        <w:bidi w:val="0"/>
        <w:spacing w:line="360" w:lineRule="auto"/>
        <w:jc w:val="left"/>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5.2 质量管理体系认证证书复印件。</w:t>
      </w:r>
    </w:p>
    <w:p w14:paraId="674C21C5">
      <w:pPr>
        <w:keepNext w:val="0"/>
        <w:keepLines w:val="0"/>
        <w:pageBreakBefore w:val="0"/>
        <w:widowControl/>
        <w:kinsoku/>
        <w:wordWrap/>
        <w:overflowPunct/>
        <w:topLinePunct w:val="0"/>
        <w:autoSpaceDE/>
        <w:autoSpaceDN/>
        <w:bidi w:val="0"/>
        <w:spacing w:line="360" w:lineRule="auto"/>
        <w:jc w:val="left"/>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5.3 环境管理体系认证证书复印件</w:t>
      </w:r>
      <w:r>
        <w:rPr>
          <w:rFonts w:hint="eastAsia" w:ascii="仿宋" w:hAnsi="仿宋" w:eastAsia="仿宋" w:cs="仿宋"/>
          <w:color w:val="000000"/>
          <w:sz w:val="24"/>
          <w:highlight w:val="none"/>
        </w:rPr>
        <w:t>。</w:t>
      </w:r>
    </w:p>
    <w:p w14:paraId="0B6B7351">
      <w:pPr>
        <w:keepNext w:val="0"/>
        <w:keepLines w:val="0"/>
        <w:pageBreakBefore w:val="0"/>
        <w:widowControl/>
        <w:kinsoku/>
        <w:wordWrap/>
        <w:overflowPunct/>
        <w:topLinePunct w:val="0"/>
        <w:autoSpaceDE/>
        <w:autoSpaceDN/>
        <w:bidi w:val="0"/>
        <w:spacing w:line="360" w:lineRule="auto"/>
        <w:jc w:val="left"/>
        <w:textAlignment w:val="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5.4 职业健康安全管理体系认证证书复印件</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rPr>
        <w:br w:type="page"/>
      </w:r>
    </w:p>
    <w:p w14:paraId="34339AD5">
      <w:pPr>
        <w:pStyle w:val="4"/>
        <w:spacing w:before="0" w:line="360" w:lineRule="auto"/>
        <w:ind w:left="0" w:firstLine="0"/>
        <w:rPr>
          <w:rFonts w:hint="eastAsia" w:ascii="仿宋" w:hAnsi="仿宋" w:eastAsia="仿宋" w:cs="仿宋"/>
          <w:color w:val="000000"/>
          <w:sz w:val="24"/>
          <w:szCs w:val="24"/>
          <w:highlight w:val="none"/>
        </w:rPr>
      </w:pPr>
      <w:bookmarkStart w:id="341" w:name="_Toc233292464"/>
      <w:bookmarkStart w:id="342" w:name="_Toc216971048"/>
      <w:bookmarkStart w:id="343" w:name="_Toc231201499"/>
      <w:bookmarkStart w:id="344" w:name="_Toc219196014"/>
      <w:r>
        <w:rPr>
          <w:rFonts w:hint="eastAsia" w:ascii="仿宋" w:hAnsi="仿宋" w:eastAsia="仿宋" w:cs="仿宋"/>
          <w:color w:val="000000"/>
          <w:sz w:val="24"/>
          <w:szCs w:val="24"/>
          <w:highlight w:val="none"/>
        </w:rPr>
        <w:t>6、</w:t>
      </w:r>
      <w:bookmarkEnd w:id="340"/>
      <w:r>
        <w:rPr>
          <w:rFonts w:hint="eastAsia" w:ascii="仿宋" w:hAnsi="仿宋" w:eastAsia="仿宋" w:cs="仿宋"/>
          <w:color w:val="000000"/>
          <w:sz w:val="24"/>
          <w:szCs w:val="24"/>
          <w:highlight w:val="none"/>
        </w:rPr>
        <w:t>商业信誉和健全的财务会计制度</w:t>
      </w:r>
      <w:bookmarkEnd w:id="341"/>
      <w:bookmarkEnd w:id="342"/>
      <w:bookmarkEnd w:id="343"/>
      <w:bookmarkEnd w:id="344"/>
    </w:p>
    <w:p w14:paraId="3AC79DE5">
      <w:pPr>
        <w:pStyle w:val="18"/>
        <w:spacing w:line="360" w:lineRule="auto"/>
        <w:jc w:val="both"/>
        <w:rPr>
          <w:rFonts w:hint="eastAsia" w:ascii="仿宋" w:hAnsi="仿宋" w:eastAsia="仿宋" w:cs="仿宋"/>
          <w:highlight w:val="none"/>
        </w:rPr>
      </w:pPr>
      <w:r>
        <w:rPr>
          <w:rFonts w:hint="eastAsia" w:ascii="仿宋" w:hAnsi="仿宋" w:eastAsia="仿宋" w:cs="仿宋"/>
          <w:b/>
          <w:bCs/>
          <w:color w:val="000000" w:themeColor="text1"/>
          <w:sz w:val="24"/>
          <w:highlight w:val="none"/>
          <w:lang w:val="en-US" w:eastAsia="zh-CN"/>
          <w14:textFill>
            <w14:solidFill>
              <w14:schemeClr w14:val="tx1"/>
            </w14:solidFill>
          </w14:textFill>
        </w:rPr>
        <w:t>具有良好的商业信誉和健全的财务会计制度</w:t>
      </w:r>
      <w:r>
        <w:rPr>
          <w:rFonts w:hint="eastAsia" w:ascii="仿宋" w:hAnsi="仿宋" w:eastAsia="仿宋" w:cs="仿宋"/>
          <w:color w:val="000000" w:themeColor="text1"/>
          <w:sz w:val="24"/>
          <w:highlight w:val="none"/>
          <w:lang w:val="en-US" w:eastAsia="zh-CN"/>
          <w14:textFill>
            <w14:solidFill>
              <w14:schemeClr w14:val="tx1"/>
            </w14:solidFill>
          </w14:textFill>
        </w:rPr>
        <w:t>，需提供2024或2025年度经会计师事务所或审计机构审计的财务审计报告及财务报表（至少包含会计师事务所或审计机构签章页、资产负债表、现金流量表、损益表/利润表），或开标日前6个月内开具的银行资信证明</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highlight w:val="none"/>
        </w:rPr>
        <w:br w:type="page"/>
      </w:r>
    </w:p>
    <w:p w14:paraId="17011CBB">
      <w:pPr>
        <w:pStyle w:val="4"/>
        <w:spacing w:before="0" w:line="360" w:lineRule="auto"/>
        <w:ind w:left="0" w:firstLine="0"/>
        <w:rPr>
          <w:rFonts w:hint="eastAsia" w:ascii="仿宋" w:hAnsi="仿宋" w:eastAsia="仿宋" w:cs="仿宋"/>
          <w:color w:val="000000"/>
          <w:sz w:val="24"/>
          <w:szCs w:val="24"/>
          <w:highlight w:val="none"/>
        </w:rPr>
      </w:pPr>
      <w:bookmarkStart w:id="345" w:name="_Toc231201500"/>
      <w:bookmarkStart w:id="346" w:name="_Toc233292465"/>
      <w:bookmarkStart w:id="347" w:name="_Toc219196015"/>
      <w:bookmarkStart w:id="348" w:name="_Toc197680997"/>
      <w:bookmarkStart w:id="349" w:name="_Toc216971050"/>
      <w:r>
        <w:rPr>
          <w:rFonts w:hint="eastAsia" w:ascii="仿宋" w:hAnsi="仿宋" w:eastAsia="仿宋" w:cs="仿宋"/>
          <w:color w:val="000000"/>
          <w:sz w:val="24"/>
          <w:szCs w:val="24"/>
          <w:highlight w:val="none"/>
        </w:rPr>
        <w:t>7、同类项目实施经验</w:t>
      </w:r>
      <w:bookmarkEnd w:id="345"/>
      <w:bookmarkEnd w:id="346"/>
      <w:bookmarkEnd w:id="347"/>
      <w:bookmarkEnd w:id="348"/>
      <w:bookmarkEnd w:id="349"/>
      <w:r>
        <w:rPr>
          <w:rFonts w:hint="eastAsia" w:ascii="仿宋" w:hAnsi="仿宋" w:eastAsia="仿宋" w:cs="仿宋"/>
          <w:color w:val="000000"/>
          <w:sz w:val="24"/>
          <w:szCs w:val="24"/>
          <w:highlight w:val="none"/>
        </w:rPr>
        <w:t xml:space="preserve">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890"/>
        <w:gridCol w:w="1279"/>
        <w:gridCol w:w="1216"/>
        <w:gridCol w:w="1211"/>
        <w:gridCol w:w="1067"/>
        <w:gridCol w:w="1548"/>
        <w:gridCol w:w="1333"/>
      </w:tblGrid>
      <w:tr w14:paraId="7778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70" w:type="pct"/>
            <w:vAlign w:val="center"/>
          </w:tcPr>
          <w:p w14:paraId="20B7F0CD">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472" w:type="pct"/>
            <w:vAlign w:val="center"/>
          </w:tcPr>
          <w:p w14:paraId="4B9DAB29">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合同名称</w:t>
            </w:r>
          </w:p>
        </w:tc>
        <w:tc>
          <w:tcPr>
            <w:tcW w:w="678" w:type="pct"/>
            <w:vAlign w:val="center"/>
          </w:tcPr>
          <w:p w14:paraId="7ABC10B1">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合同签订时间</w:t>
            </w:r>
          </w:p>
        </w:tc>
        <w:tc>
          <w:tcPr>
            <w:tcW w:w="645" w:type="pct"/>
            <w:vAlign w:val="center"/>
          </w:tcPr>
          <w:p w14:paraId="1BD95D79">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采购内容</w:t>
            </w:r>
          </w:p>
        </w:tc>
        <w:tc>
          <w:tcPr>
            <w:tcW w:w="642" w:type="pct"/>
            <w:vAlign w:val="center"/>
          </w:tcPr>
          <w:p w14:paraId="7CE3B881">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合同金额（万元）</w:t>
            </w:r>
          </w:p>
        </w:tc>
        <w:tc>
          <w:tcPr>
            <w:tcW w:w="566" w:type="pct"/>
            <w:vAlign w:val="center"/>
          </w:tcPr>
          <w:p w14:paraId="472A2CFE">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合同甲方</w:t>
            </w:r>
          </w:p>
        </w:tc>
        <w:tc>
          <w:tcPr>
            <w:tcW w:w="821" w:type="pct"/>
            <w:vAlign w:val="center"/>
          </w:tcPr>
          <w:p w14:paraId="380CD721">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合同甲方联系人及电话</w:t>
            </w:r>
          </w:p>
        </w:tc>
        <w:tc>
          <w:tcPr>
            <w:tcW w:w="706" w:type="pct"/>
            <w:vAlign w:val="center"/>
          </w:tcPr>
          <w:p w14:paraId="5FA5D212">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备注</w:t>
            </w:r>
          </w:p>
        </w:tc>
      </w:tr>
      <w:tr w14:paraId="67C6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70" w:type="pct"/>
            <w:vAlign w:val="center"/>
          </w:tcPr>
          <w:p w14:paraId="747CB99C">
            <w:pPr>
              <w:spacing w:line="360" w:lineRule="auto"/>
              <w:jc w:val="center"/>
              <w:rPr>
                <w:rFonts w:hint="eastAsia" w:ascii="仿宋" w:hAnsi="仿宋" w:eastAsia="仿宋" w:cs="仿宋"/>
                <w:sz w:val="24"/>
                <w:highlight w:val="none"/>
              </w:rPr>
            </w:pPr>
          </w:p>
        </w:tc>
        <w:tc>
          <w:tcPr>
            <w:tcW w:w="472" w:type="pct"/>
            <w:vAlign w:val="center"/>
          </w:tcPr>
          <w:p w14:paraId="6FE99592">
            <w:pPr>
              <w:spacing w:line="360" w:lineRule="auto"/>
              <w:jc w:val="center"/>
              <w:rPr>
                <w:rFonts w:hint="eastAsia" w:ascii="仿宋" w:hAnsi="仿宋" w:eastAsia="仿宋" w:cs="仿宋"/>
                <w:sz w:val="24"/>
                <w:highlight w:val="none"/>
              </w:rPr>
            </w:pPr>
          </w:p>
        </w:tc>
        <w:tc>
          <w:tcPr>
            <w:tcW w:w="678" w:type="pct"/>
            <w:vAlign w:val="center"/>
          </w:tcPr>
          <w:p w14:paraId="6F1C04A3">
            <w:pPr>
              <w:spacing w:line="360" w:lineRule="auto"/>
              <w:jc w:val="center"/>
              <w:rPr>
                <w:rFonts w:hint="eastAsia" w:ascii="仿宋" w:hAnsi="仿宋" w:eastAsia="仿宋" w:cs="仿宋"/>
                <w:sz w:val="24"/>
                <w:highlight w:val="none"/>
              </w:rPr>
            </w:pPr>
          </w:p>
        </w:tc>
        <w:tc>
          <w:tcPr>
            <w:tcW w:w="645" w:type="pct"/>
            <w:vAlign w:val="center"/>
          </w:tcPr>
          <w:p w14:paraId="20EAD222">
            <w:pPr>
              <w:spacing w:line="360" w:lineRule="auto"/>
              <w:jc w:val="center"/>
              <w:rPr>
                <w:rFonts w:hint="eastAsia" w:ascii="仿宋" w:hAnsi="仿宋" w:eastAsia="仿宋" w:cs="仿宋"/>
                <w:sz w:val="24"/>
                <w:highlight w:val="none"/>
              </w:rPr>
            </w:pPr>
          </w:p>
        </w:tc>
        <w:tc>
          <w:tcPr>
            <w:tcW w:w="642" w:type="pct"/>
            <w:vAlign w:val="center"/>
          </w:tcPr>
          <w:p w14:paraId="6B8C31FF">
            <w:pPr>
              <w:spacing w:line="360" w:lineRule="auto"/>
              <w:jc w:val="center"/>
              <w:rPr>
                <w:rFonts w:hint="eastAsia" w:ascii="仿宋" w:hAnsi="仿宋" w:eastAsia="仿宋" w:cs="仿宋"/>
                <w:sz w:val="24"/>
                <w:highlight w:val="none"/>
              </w:rPr>
            </w:pPr>
          </w:p>
        </w:tc>
        <w:tc>
          <w:tcPr>
            <w:tcW w:w="566" w:type="pct"/>
            <w:vAlign w:val="center"/>
          </w:tcPr>
          <w:p w14:paraId="7C67070F">
            <w:pPr>
              <w:spacing w:line="360" w:lineRule="auto"/>
              <w:jc w:val="center"/>
              <w:rPr>
                <w:rFonts w:hint="eastAsia" w:ascii="仿宋" w:hAnsi="仿宋" w:eastAsia="仿宋" w:cs="仿宋"/>
                <w:sz w:val="24"/>
                <w:highlight w:val="none"/>
              </w:rPr>
            </w:pPr>
          </w:p>
        </w:tc>
        <w:tc>
          <w:tcPr>
            <w:tcW w:w="821" w:type="pct"/>
            <w:vAlign w:val="center"/>
          </w:tcPr>
          <w:p w14:paraId="1786BB5E">
            <w:pPr>
              <w:spacing w:line="360" w:lineRule="auto"/>
              <w:jc w:val="center"/>
              <w:rPr>
                <w:rFonts w:hint="eastAsia" w:ascii="仿宋" w:hAnsi="仿宋" w:eastAsia="仿宋" w:cs="仿宋"/>
                <w:sz w:val="24"/>
                <w:highlight w:val="none"/>
              </w:rPr>
            </w:pPr>
          </w:p>
        </w:tc>
        <w:tc>
          <w:tcPr>
            <w:tcW w:w="706" w:type="pct"/>
            <w:vAlign w:val="center"/>
          </w:tcPr>
          <w:p w14:paraId="26CED4CD">
            <w:pPr>
              <w:spacing w:line="360" w:lineRule="auto"/>
              <w:jc w:val="center"/>
              <w:rPr>
                <w:rFonts w:hint="eastAsia" w:ascii="仿宋" w:hAnsi="仿宋" w:eastAsia="仿宋" w:cs="仿宋"/>
                <w:sz w:val="24"/>
                <w:highlight w:val="none"/>
              </w:rPr>
            </w:pPr>
          </w:p>
        </w:tc>
      </w:tr>
      <w:tr w14:paraId="0FA5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70" w:type="pct"/>
            <w:vAlign w:val="center"/>
          </w:tcPr>
          <w:p w14:paraId="433D2963">
            <w:pPr>
              <w:spacing w:line="360" w:lineRule="auto"/>
              <w:jc w:val="center"/>
              <w:rPr>
                <w:rFonts w:hint="eastAsia" w:ascii="仿宋" w:hAnsi="仿宋" w:eastAsia="仿宋" w:cs="仿宋"/>
                <w:sz w:val="24"/>
                <w:highlight w:val="none"/>
              </w:rPr>
            </w:pPr>
          </w:p>
          <w:p w14:paraId="1C69A2F8">
            <w:pPr>
              <w:spacing w:line="360" w:lineRule="auto"/>
              <w:jc w:val="center"/>
              <w:rPr>
                <w:rFonts w:hint="eastAsia" w:ascii="仿宋" w:hAnsi="仿宋" w:eastAsia="仿宋" w:cs="仿宋"/>
                <w:sz w:val="24"/>
                <w:highlight w:val="none"/>
              </w:rPr>
            </w:pPr>
          </w:p>
        </w:tc>
        <w:tc>
          <w:tcPr>
            <w:tcW w:w="472" w:type="pct"/>
            <w:vAlign w:val="center"/>
          </w:tcPr>
          <w:p w14:paraId="1B9DBC11">
            <w:pPr>
              <w:spacing w:line="360" w:lineRule="auto"/>
              <w:jc w:val="center"/>
              <w:rPr>
                <w:rFonts w:hint="eastAsia" w:ascii="仿宋" w:hAnsi="仿宋" w:eastAsia="仿宋" w:cs="仿宋"/>
                <w:sz w:val="24"/>
                <w:highlight w:val="none"/>
              </w:rPr>
            </w:pPr>
          </w:p>
        </w:tc>
        <w:tc>
          <w:tcPr>
            <w:tcW w:w="678" w:type="pct"/>
            <w:vAlign w:val="center"/>
          </w:tcPr>
          <w:p w14:paraId="0D44A5F4">
            <w:pPr>
              <w:spacing w:line="360" w:lineRule="auto"/>
              <w:jc w:val="center"/>
              <w:rPr>
                <w:rFonts w:hint="eastAsia" w:ascii="仿宋" w:hAnsi="仿宋" w:eastAsia="仿宋" w:cs="仿宋"/>
                <w:sz w:val="24"/>
                <w:highlight w:val="none"/>
              </w:rPr>
            </w:pPr>
          </w:p>
        </w:tc>
        <w:tc>
          <w:tcPr>
            <w:tcW w:w="645" w:type="pct"/>
            <w:vAlign w:val="center"/>
          </w:tcPr>
          <w:p w14:paraId="1D9F49F3">
            <w:pPr>
              <w:spacing w:line="360" w:lineRule="auto"/>
              <w:jc w:val="center"/>
              <w:rPr>
                <w:rFonts w:hint="eastAsia" w:ascii="仿宋" w:hAnsi="仿宋" w:eastAsia="仿宋" w:cs="仿宋"/>
                <w:sz w:val="24"/>
                <w:highlight w:val="none"/>
              </w:rPr>
            </w:pPr>
          </w:p>
        </w:tc>
        <w:tc>
          <w:tcPr>
            <w:tcW w:w="642" w:type="pct"/>
            <w:vAlign w:val="center"/>
          </w:tcPr>
          <w:p w14:paraId="02E4AD9F">
            <w:pPr>
              <w:spacing w:line="360" w:lineRule="auto"/>
              <w:jc w:val="center"/>
              <w:rPr>
                <w:rFonts w:hint="eastAsia" w:ascii="仿宋" w:hAnsi="仿宋" w:eastAsia="仿宋" w:cs="仿宋"/>
                <w:sz w:val="24"/>
                <w:highlight w:val="none"/>
              </w:rPr>
            </w:pPr>
          </w:p>
        </w:tc>
        <w:tc>
          <w:tcPr>
            <w:tcW w:w="566" w:type="pct"/>
            <w:vAlign w:val="center"/>
          </w:tcPr>
          <w:p w14:paraId="19E56509">
            <w:pPr>
              <w:spacing w:line="360" w:lineRule="auto"/>
              <w:jc w:val="center"/>
              <w:rPr>
                <w:rFonts w:hint="eastAsia" w:ascii="仿宋" w:hAnsi="仿宋" w:eastAsia="仿宋" w:cs="仿宋"/>
                <w:sz w:val="24"/>
                <w:highlight w:val="none"/>
              </w:rPr>
            </w:pPr>
          </w:p>
        </w:tc>
        <w:tc>
          <w:tcPr>
            <w:tcW w:w="821" w:type="pct"/>
            <w:vAlign w:val="center"/>
          </w:tcPr>
          <w:p w14:paraId="1061CD90">
            <w:pPr>
              <w:spacing w:line="360" w:lineRule="auto"/>
              <w:jc w:val="center"/>
              <w:rPr>
                <w:rFonts w:hint="eastAsia" w:ascii="仿宋" w:hAnsi="仿宋" w:eastAsia="仿宋" w:cs="仿宋"/>
                <w:sz w:val="24"/>
                <w:highlight w:val="none"/>
              </w:rPr>
            </w:pPr>
          </w:p>
        </w:tc>
        <w:tc>
          <w:tcPr>
            <w:tcW w:w="706" w:type="pct"/>
            <w:vAlign w:val="center"/>
          </w:tcPr>
          <w:p w14:paraId="1317B5C7">
            <w:pPr>
              <w:spacing w:line="360" w:lineRule="auto"/>
              <w:jc w:val="center"/>
              <w:rPr>
                <w:rFonts w:hint="eastAsia" w:ascii="仿宋" w:hAnsi="仿宋" w:eastAsia="仿宋" w:cs="仿宋"/>
                <w:sz w:val="24"/>
                <w:highlight w:val="none"/>
              </w:rPr>
            </w:pPr>
          </w:p>
        </w:tc>
      </w:tr>
      <w:tr w14:paraId="18D4F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70" w:type="pct"/>
            <w:vAlign w:val="center"/>
          </w:tcPr>
          <w:p w14:paraId="53173F8C">
            <w:pPr>
              <w:spacing w:line="360" w:lineRule="auto"/>
              <w:jc w:val="center"/>
              <w:rPr>
                <w:rFonts w:hint="eastAsia" w:ascii="仿宋" w:hAnsi="仿宋" w:eastAsia="仿宋" w:cs="仿宋"/>
                <w:sz w:val="24"/>
                <w:highlight w:val="none"/>
              </w:rPr>
            </w:pPr>
          </w:p>
        </w:tc>
        <w:tc>
          <w:tcPr>
            <w:tcW w:w="472" w:type="pct"/>
            <w:vAlign w:val="center"/>
          </w:tcPr>
          <w:p w14:paraId="3DEDC1BD">
            <w:pPr>
              <w:spacing w:line="360" w:lineRule="auto"/>
              <w:jc w:val="center"/>
              <w:rPr>
                <w:rFonts w:hint="eastAsia" w:ascii="仿宋" w:hAnsi="仿宋" w:eastAsia="仿宋" w:cs="仿宋"/>
                <w:sz w:val="24"/>
                <w:highlight w:val="none"/>
              </w:rPr>
            </w:pPr>
          </w:p>
        </w:tc>
        <w:tc>
          <w:tcPr>
            <w:tcW w:w="678" w:type="pct"/>
            <w:vAlign w:val="center"/>
          </w:tcPr>
          <w:p w14:paraId="652E4E5E">
            <w:pPr>
              <w:spacing w:line="360" w:lineRule="auto"/>
              <w:jc w:val="center"/>
              <w:rPr>
                <w:rFonts w:hint="eastAsia" w:ascii="仿宋" w:hAnsi="仿宋" w:eastAsia="仿宋" w:cs="仿宋"/>
                <w:sz w:val="24"/>
                <w:highlight w:val="none"/>
              </w:rPr>
            </w:pPr>
          </w:p>
        </w:tc>
        <w:tc>
          <w:tcPr>
            <w:tcW w:w="645" w:type="pct"/>
            <w:vAlign w:val="center"/>
          </w:tcPr>
          <w:p w14:paraId="3C815CC4">
            <w:pPr>
              <w:spacing w:line="360" w:lineRule="auto"/>
              <w:jc w:val="center"/>
              <w:rPr>
                <w:rFonts w:hint="eastAsia" w:ascii="仿宋" w:hAnsi="仿宋" w:eastAsia="仿宋" w:cs="仿宋"/>
                <w:sz w:val="24"/>
                <w:highlight w:val="none"/>
              </w:rPr>
            </w:pPr>
          </w:p>
        </w:tc>
        <w:tc>
          <w:tcPr>
            <w:tcW w:w="642" w:type="pct"/>
            <w:vAlign w:val="center"/>
          </w:tcPr>
          <w:p w14:paraId="49D0A544">
            <w:pPr>
              <w:spacing w:line="360" w:lineRule="auto"/>
              <w:jc w:val="center"/>
              <w:rPr>
                <w:rFonts w:hint="eastAsia" w:ascii="仿宋" w:hAnsi="仿宋" w:eastAsia="仿宋" w:cs="仿宋"/>
                <w:sz w:val="24"/>
                <w:highlight w:val="none"/>
              </w:rPr>
            </w:pPr>
          </w:p>
        </w:tc>
        <w:tc>
          <w:tcPr>
            <w:tcW w:w="566" w:type="pct"/>
            <w:vAlign w:val="center"/>
          </w:tcPr>
          <w:p w14:paraId="64610847">
            <w:pPr>
              <w:spacing w:line="360" w:lineRule="auto"/>
              <w:jc w:val="center"/>
              <w:rPr>
                <w:rFonts w:hint="eastAsia" w:ascii="仿宋" w:hAnsi="仿宋" w:eastAsia="仿宋" w:cs="仿宋"/>
                <w:sz w:val="24"/>
                <w:highlight w:val="none"/>
              </w:rPr>
            </w:pPr>
          </w:p>
        </w:tc>
        <w:tc>
          <w:tcPr>
            <w:tcW w:w="821" w:type="pct"/>
            <w:vAlign w:val="center"/>
          </w:tcPr>
          <w:p w14:paraId="79877F2E">
            <w:pPr>
              <w:spacing w:line="360" w:lineRule="auto"/>
              <w:jc w:val="center"/>
              <w:rPr>
                <w:rFonts w:hint="eastAsia" w:ascii="仿宋" w:hAnsi="仿宋" w:eastAsia="仿宋" w:cs="仿宋"/>
                <w:sz w:val="24"/>
                <w:highlight w:val="none"/>
              </w:rPr>
            </w:pPr>
          </w:p>
        </w:tc>
        <w:tc>
          <w:tcPr>
            <w:tcW w:w="706" w:type="pct"/>
            <w:vAlign w:val="center"/>
          </w:tcPr>
          <w:p w14:paraId="5E26FD6C">
            <w:pPr>
              <w:spacing w:line="360" w:lineRule="auto"/>
              <w:jc w:val="center"/>
              <w:rPr>
                <w:rFonts w:hint="eastAsia" w:ascii="仿宋" w:hAnsi="仿宋" w:eastAsia="仿宋" w:cs="仿宋"/>
                <w:sz w:val="24"/>
                <w:highlight w:val="none"/>
              </w:rPr>
            </w:pPr>
          </w:p>
        </w:tc>
      </w:tr>
      <w:tr w14:paraId="3DD2A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70" w:type="pct"/>
            <w:vAlign w:val="center"/>
          </w:tcPr>
          <w:p w14:paraId="3E687CC7">
            <w:pPr>
              <w:spacing w:line="360" w:lineRule="auto"/>
              <w:jc w:val="center"/>
              <w:rPr>
                <w:rFonts w:hint="eastAsia" w:ascii="仿宋" w:hAnsi="仿宋" w:eastAsia="仿宋" w:cs="仿宋"/>
                <w:sz w:val="24"/>
                <w:highlight w:val="none"/>
              </w:rPr>
            </w:pPr>
          </w:p>
        </w:tc>
        <w:tc>
          <w:tcPr>
            <w:tcW w:w="472" w:type="pct"/>
            <w:vAlign w:val="center"/>
          </w:tcPr>
          <w:p w14:paraId="4987C0AC">
            <w:pPr>
              <w:spacing w:line="360" w:lineRule="auto"/>
              <w:jc w:val="center"/>
              <w:rPr>
                <w:rFonts w:hint="eastAsia" w:ascii="仿宋" w:hAnsi="仿宋" w:eastAsia="仿宋" w:cs="仿宋"/>
                <w:sz w:val="24"/>
                <w:highlight w:val="none"/>
              </w:rPr>
            </w:pPr>
          </w:p>
        </w:tc>
        <w:tc>
          <w:tcPr>
            <w:tcW w:w="678" w:type="pct"/>
            <w:vAlign w:val="center"/>
          </w:tcPr>
          <w:p w14:paraId="77F77347">
            <w:pPr>
              <w:spacing w:line="360" w:lineRule="auto"/>
              <w:jc w:val="center"/>
              <w:rPr>
                <w:rFonts w:hint="eastAsia" w:ascii="仿宋" w:hAnsi="仿宋" w:eastAsia="仿宋" w:cs="仿宋"/>
                <w:sz w:val="24"/>
                <w:highlight w:val="none"/>
              </w:rPr>
            </w:pPr>
          </w:p>
        </w:tc>
        <w:tc>
          <w:tcPr>
            <w:tcW w:w="645" w:type="pct"/>
            <w:vAlign w:val="center"/>
          </w:tcPr>
          <w:p w14:paraId="6B0E611A">
            <w:pPr>
              <w:spacing w:line="360" w:lineRule="auto"/>
              <w:jc w:val="center"/>
              <w:rPr>
                <w:rFonts w:hint="eastAsia" w:ascii="仿宋" w:hAnsi="仿宋" w:eastAsia="仿宋" w:cs="仿宋"/>
                <w:sz w:val="24"/>
                <w:highlight w:val="none"/>
              </w:rPr>
            </w:pPr>
          </w:p>
        </w:tc>
        <w:tc>
          <w:tcPr>
            <w:tcW w:w="642" w:type="pct"/>
            <w:vAlign w:val="center"/>
          </w:tcPr>
          <w:p w14:paraId="21B01B75">
            <w:pPr>
              <w:spacing w:line="360" w:lineRule="auto"/>
              <w:jc w:val="center"/>
              <w:rPr>
                <w:rFonts w:hint="eastAsia" w:ascii="仿宋" w:hAnsi="仿宋" w:eastAsia="仿宋" w:cs="仿宋"/>
                <w:sz w:val="24"/>
                <w:highlight w:val="none"/>
              </w:rPr>
            </w:pPr>
          </w:p>
        </w:tc>
        <w:tc>
          <w:tcPr>
            <w:tcW w:w="566" w:type="pct"/>
            <w:vAlign w:val="center"/>
          </w:tcPr>
          <w:p w14:paraId="7C1A1877">
            <w:pPr>
              <w:spacing w:line="360" w:lineRule="auto"/>
              <w:jc w:val="center"/>
              <w:rPr>
                <w:rFonts w:hint="eastAsia" w:ascii="仿宋" w:hAnsi="仿宋" w:eastAsia="仿宋" w:cs="仿宋"/>
                <w:sz w:val="24"/>
                <w:highlight w:val="none"/>
              </w:rPr>
            </w:pPr>
          </w:p>
        </w:tc>
        <w:tc>
          <w:tcPr>
            <w:tcW w:w="821" w:type="pct"/>
            <w:vAlign w:val="center"/>
          </w:tcPr>
          <w:p w14:paraId="10297994">
            <w:pPr>
              <w:spacing w:line="360" w:lineRule="auto"/>
              <w:jc w:val="center"/>
              <w:rPr>
                <w:rFonts w:hint="eastAsia" w:ascii="仿宋" w:hAnsi="仿宋" w:eastAsia="仿宋" w:cs="仿宋"/>
                <w:sz w:val="24"/>
                <w:highlight w:val="none"/>
              </w:rPr>
            </w:pPr>
          </w:p>
        </w:tc>
        <w:tc>
          <w:tcPr>
            <w:tcW w:w="706" w:type="pct"/>
            <w:vAlign w:val="center"/>
          </w:tcPr>
          <w:p w14:paraId="2229EF6B">
            <w:pPr>
              <w:spacing w:line="360" w:lineRule="auto"/>
              <w:jc w:val="center"/>
              <w:rPr>
                <w:rFonts w:hint="eastAsia" w:ascii="仿宋" w:hAnsi="仿宋" w:eastAsia="仿宋" w:cs="仿宋"/>
                <w:sz w:val="24"/>
                <w:highlight w:val="none"/>
              </w:rPr>
            </w:pPr>
          </w:p>
        </w:tc>
      </w:tr>
      <w:tr w14:paraId="067E8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70" w:type="pct"/>
            <w:vAlign w:val="center"/>
          </w:tcPr>
          <w:p w14:paraId="568684D1">
            <w:pPr>
              <w:spacing w:line="360" w:lineRule="auto"/>
              <w:jc w:val="center"/>
              <w:rPr>
                <w:rFonts w:hint="eastAsia" w:ascii="仿宋" w:hAnsi="仿宋" w:eastAsia="仿宋" w:cs="仿宋"/>
                <w:sz w:val="24"/>
                <w:highlight w:val="none"/>
              </w:rPr>
            </w:pPr>
          </w:p>
        </w:tc>
        <w:tc>
          <w:tcPr>
            <w:tcW w:w="472" w:type="pct"/>
            <w:vAlign w:val="center"/>
          </w:tcPr>
          <w:p w14:paraId="01A21EF2">
            <w:pPr>
              <w:spacing w:line="360" w:lineRule="auto"/>
              <w:jc w:val="center"/>
              <w:rPr>
                <w:rFonts w:hint="eastAsia" w:ascii="仿宋" w:hAnsi="仿宋" w:eastAsia="仿宋" w:cs="仿宋"/>
                <w:sz w:val="24"/>
                <w:highlight w:val="none"/>
              </w:rPr>
            </w:pPr>
          </w:p>
        </w:tc>
        <w:tc>
          <w:tcPr>
            <w:tcW w:w="678" w:type="pct"/>
            <w:vAlign w:val="center"/>
          </w:tcPr>
          <w:p w14:paraId="4389D54C">
            <w:pPr>
              <w:spacing w:line="360" w:lineRule="auto"/>
              <w:jc w:val="center"/>
              <w:rPr>
                <w:rFonts w:hint="eastAsia" w:ascii="仿宋" w:hAnsi="仿宋" w:eastAsia="仿宋" w:cs="仿宋"/>
                <w:sz w:val="24"/>
                <w:highlight w:val="none"/>
              </w:rPr>
            </w:pPr>
          </w:p>
        </w:tc>
        <w:tc>
          <w:tcPr>
            <w:tcW w:w="645" w:type="pct"/>
            <w:vAlign w:val="center"/>
          </w:tcPr>
          <w:p w14:paraId="19C8A4F9">
            <w:pPr>
              <w:spacing w:line="360" w:lineRule="auto"/>
              <w:jc w:val="center"/>
              <w:rPr>
                <w:rFonts w:hint="eastAsia" w:ascii="仿宋" w:hAnsi="仿宋" w:eastAsia="仿宋" w:cs="仿宋"/>
                <w:sz w:val="24"/>
                <w:highlight w:val="none"/>
              </w:rPr>
            </w:pPr>
          </w:p>
        </w:tc>
        <w:tc>
          <w:tcPr>
            <w:tcW w:w="642" w:type="pct"/>
            <w:vAlign w:val="center"/>
          </w:tcPr>
          <w:p w14:paraId="416D93A9">
            <w:pPr>
              <w:spacing w:line="360" w:lineRule="auto"/>
              <w:jc w:val="center"/>
              <w:rPr>
                <w:rFonts w:hint="eastAsia" w:ascii="仿宋" w:hAnsi="仿宋" w:eastAsia="仿宋" w:cs="仿宋"/>
                <w:sz w:val="24"/>
                <w:highlight w:val="none"/>
              </w:rPr>
            </w:pPr>
          </w:p>
        </w:tc>
        <w:tc>
          <w:tcPr>
            <w:tcW w:w="566" w:type="pct"/>
            <w:vAlign w:val="center"/>
          </w:tcPr>
          <w:p w14:paraId="23C6A4DF">
            <w:pPr>
              <w:spacing w:line="360" w:lineRule="auto"/>
              <w:jc w:val="center"/>
              <w:rPr>
                <w:rFonts w:hint="eastAsia" w:ascii="仿宋" w:hAnsi="仿宋" w:eastAsia="仿宋" w:cs="仿宋"/>
                <w:sz w:val="24"/>
                <w:highlight w:val="none"/>
              </w:rPr>
            </w:pPr>
          </w:p>
        </w:tc>
        <w:tc>
          <w:tcPr>
            <w:tcW w:w="821" w:type="pct"/>
            <w:vAlign w:val="center"/>
          </w:tcPr>
          <w:p w14:paraId="16AFB6C3">
            <w:pPr>
              <w:spacing w:line="360" w:lineRule="auto"/>
              <w:jc w:val="center"/>
              <w:rPr>
                <w:rFonts w:hint="eastAsia" w:ascii="仿宋" w:hAnsi="仿宋" w:eastAsia="仿宋" w:cs="仿宋"/>
                <w:sz w:val="24"/>
                <w:highlight w:val="none"/>
              </w:rPr>
            </w:pPr>
          </w:p>
        </w:tc>
        <w:tc>
          <w:tcPr>
            <w:tcW w:w="706" w:type="pct"/>
            <w:vAlign w:val="center"/>
          </w:tcPr>
          <w:p w14:paraId="6E030FB5">
            <w:pPr>
              <w:spacing w:line="360" w:lineRule="auto"/>
              <w:jc w:val="center"/>
              <w:rPr>
                <w:rFonts w:hint="eastAsia" w:ascii="仿宋" w:hAnsi="仿宋" w:eastAsia="仿宋" w:cs="仿宋"/>
                <w:sz w:val="24"/>
                <w:highlight w:val="none"/>
              </w:rPr>
            </w:pPr>
          </w:p>
        </w:tc>
      </w:tr>
      <w:tr w14:paraId="797D1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70" w:type="pct"/>
            <w:vAlign w:val="center"/>
          </w:tcPr>
          <w:p w14:paraId="40123BC0">
            <w:pPr>
              <w:spacing w:line="360" w:lineRule="auto"/>
              <w:jc w:val="center"/>
              <w:rPr>
                <w:rFonts w:hint="eastAsia" w:ascii="仿宋" w:hAnsi="仿宋" w:eastAsia="仿宋" w:cs="仿宋"/>
                <w:sz w:val="24"/>
                <w:highlight w:val="none"/>
              </w:rPr>
            </w:pPr>
          </w:p>
        </w:tc>
        <w:tc>
          <w:tcPr>
            <w:tcW w:w="472" w:type="pct"/>
            <w:vAlign w:val="center"/>
          </w:tcPr>
          <w:p w14:paraId="168B0587">
            <w:pPr>
              <w:spacing w:line="360" w:lineRule="auto"/>
              <w:jc w:val="center"/>
              <w:rPr>
                <w:rFonts w:hint="eastAsia" w:ascii="仿宋" w:hAnsi="仿宋" w:eastAsia="仿宋" w:cs="仿宋"/>
                <w:sz w:val="24"/>
                <w:highlight w:val="none"/>
              </w:rPr>
            </w:pPr>
          </w:p>
        </w:tc>
        <w:tc>
          <w:tcPr>
            <w:tcW w:w="678" w:type="pct"/>
            <w:vAlign w:val="center"/>
          </w:tcPr>
          <w:p w14:paraId="6E5FB82C">
            <w:pPr>
              <w:spacing w:line="360" w:lineRule="auto"/>
              <w:jc w:val="center"/>
              <w:rPr>
                <w:rFonts w:hint="eastAsia" w:ascii="仿宋" w:hAnsi="仿宋" w:eastAsia="仿宋" w:cs="仿宋"/>
                <w:sz w:val="24"/>
                <w:highlight w:val="none"/>
              </w:rPr>
            </w:pPr>
          </w:p>
        </w:tc>
        <w:tc>
          <w:tcPr>
            <w:tcW w:w="645" w:type="pct"/>
            <w:vAlign w:val="center"/>
          </w:tcPr>
          <w:p w14:paraId="69296FA9">
            <w:pPr>
              <w:spacing w:line="360" w:lineRule="auto"/>
              <w:jc w:val="center"/>
              <w:rPr>
                <w:rFonts w:hint="eastAsia" w:ascii="仿宋" w:hAnsi="仿宋" w:eastAsia="仿宋" w:cs="仿宋"/>
                <w:sz w:val="24"/>
                <w:highlight w:val="none"/>
              </w:rPr>
            </w:pPr>
          </w:p>
        </w:tc>
        <w:tc>
          <w:tcPr>
            <w:tcW w:w="642" w:type="pct"/>
            <w:vAlign w:val="center"/>
          </w:tcPr>
          <w:p w14:paraId="75AD9403">
            <w:pPr>
              <w:spacing w:line="360" w:lineRule="auto"/>
              <w:jc w:val="center"/>
              <w:rPr>
                <w:rFonts w:hint="eastAsia" w:ascii="仿宋" w:hAnsi="仿宋" w:eastAsia="仿宋" w:cs="仿宋"/>
                <w:sz w:val="24"/>
                <w:highlight w:val="none"/>
              </w:rPr>
            </w:pPr>
          </w:p>
        </w:tc>
        <w:tc>
          <w:tcPr>
            <w:tcW w:w="566" w:type="pct"/>
            <w:vAlign w:val="center"/>
          </w:tcPr>
          <w:p w14:paraId="1F142D54">
            <w:pPr>
              <w:spacing w:line="360" w:lineRule="auto"/>
              <w:jc w:val="center"/>
              <w:rPr>
                <w:rFonts w:hint="eastAsia" w:ascii="仿宋" w:hAnsi="仿宋" w:eastAsia="仿宋" w:cs="仿宋"/>
                <w:sz w:val="24"/>
                <w:highlight w:val="none"/>
              </w:rPr>
            </w:pPr>
          </w:p>
        </w:tc>
        <w:tc>
          <w:tcPr>
            <w:tcW w:w="821" w:type="pct"/>
            <w:vAlign w:val="center"/>
          </w:tcPr>
          <w:p w14:paraId="641BBB44">
            <w:pPr>
              <w:spacing w:line="360" w:lineRule="auto"/>
              <w:jc w:val="center"/>
              <w:rPr>
                <w:rFonts w:hint="eastAsia" w:ascii="仿宋" w:hAnsi="仿宋" w:eastAsia="仿宋" w:cs="仿宋"/>
                <w:sz w:val="24"/>
                <w:highlight w:val="none"/>
              </w:rPr>
            </w:pPr>
          </w:p>
        </w:tc>
        <w:tc>
          <w:tcPr>
            <w:tcW w:w="706" w:type="pct"/>
            <w:vAlign w:val="center"/>
          </w:tcPr>
          <w:p w14:paraId="16EC120C">
            <w:pPr>
              <w:spacing w:line="360" w:lineRule="auto"/>
              <w:jc w:val="center"/>
              <w:rPr>
                <w:rFonts w:hint="eastAsia" w:ascii="仿宋" w:hAnsi="仿宋" w:eastAsia="仿宋" w:cs="仿宋"/>
                <w:sz w:val="24"/>
                <w:highlight w:val="none"/>
              </w:rPr>
            </w:pPr>
          </w:p>
        </w:tc>
      </w:tr>
      <w:tr w14:paraId="5B70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70" w:type="pct"/>
            <w:vAlign w:val="center"/>
          </w:tcPr>
          <w:p w14:paraId="4DFD5C42">
            <w:pPr>
              <w:spacing w:line="360" w:lineRule="auto"/>
              <w:jc w:val="center"/>
              <w:rPr>
                <w:rFonts w:hint="eastAsia" w:ascii="仿宋" w:hAnsi="仿宋" w:eastAsia="仿宋" w:cs="仿宋"/>
                <w:sz w:val="24"/>
                <w:highlight w:val="none"/>
              </w:rPr>
            </w:pPr>
          </w:p>
        </w:tc>
        <w:tc>
          <w:tcPr>
            <w:tcW w:w="472" w:type="pct"/>
            <w:vAlign w:val="center"/>
          </w:tcPr>
          <w:p w14:paraId="0BC925A0">
            <w:pPr>
              <w:spacing w:line="360" w:lineRule="auto"/>
              <w:jc w:val="center"/>
              <w:rPr>
                <w:rFonts w:hint="eastAsia" w:ascii="仿宋" w:hAnsi="仿宋" w:eastAsia="仿宋" w:cs="仿宋"/>
                <w:sz w:val="24"/>
                <w:highlight w:val="none"/>
              </w:rPr>
            </w:pPr>
          </w:p>
        </w:tc>
        <w:tc>
          <w:tcPr>
            <w:tcW w:w="678" w:type="pct"/>
            <w:vAlign w:val="center"/>
          </w:tcPr>
          <w:p w14:paraId="3EB50FD7">
            <w:pPr>
              <w:spacing w:line="360" w:lineRule="auto"/>
              <w:jc w:val="center"/>
              <w:rPr>
                <w:rFonts w:hint="eastAsia" w:ascii="仿宋" w:hAnsi="仿宋" w:eastAsia="仿宋" w:cs="仿宋"/>
                <w:sz w:val="24"/>
                <w:highlight w:val="none"/>
              </w:rPr>
            </w:pPr>
          </w:p>
        </w:tc>
        <w:tc>
          <w:tcPr>
            <w:tcW w:w="645" w:type="pct"/>
            <w:vAlign w:val="center"/>
          </w:tcPr>
          <w:p w14:paraId="432D8518">
            <w:pPr>
              <w:spacing w:line="360" w:lineRule="auto"/>
              <w:jc w:val="center"/>
              <w:rPr>
                <w:rFonts w:hint="eastAsia" w:ascii="仿宋" w:hAnsi="仿宋" w:eastAsia="仿宋" w:cs="仿宋"/>
                <w:sz w:val="24"/>
                <w:highlight w:val="none"/>
              </w:rPr>
            </w:pPr>
          </w:p>
        </w:tc>
        <w:tc>
          <w:tcPr>
            <w:tcW w:w="642" w:type="pct"/>
            <w:vAlign w:val="center"/>
          </w:tcPr>
          <w:p w14:paraId="4457C954">
            <w:pPr>
              <w:spacing w:line="360" w:lineRule="auto"/>
              <w:jc w:val="center"/>
              <w:rPr>
                <w:rFonts w:hint="eastAsia" w:ascii="仿宋" w:hAnsi="仿宋" w:eastAsia="仿宋" w:cs="仿宋"/>
                <w:sz w:val="24"/>
                <w:highlight w:val="none"/>
              </w:rPr>
            </w:pPr>
          </w:p>
        </w:tc>
        <w:tc>
          <w:tcPr>
            <w:tcW w:w="566" w:type="pct"/>
            <w:vAlign w:val="center"/>
          </w:tcPr>
          <w:p w14:paraId="76D36CA9">
            <w:pPr>
              <w:spacing w:line="360" w:lineRule="auto"/>
              <w:jc w:val="center"/>
              <w:rPr>
                <w:rFonts w:hint="eastAsia" w:ascii="仿宋" w:hAnsi="仿宋" w:eastAsia="仿宋" w:cs="仿宋"/>
                <w:sz w:val="24"/>
                <w:highlight w:val="none"/>
              </w:rPr>
            </w:pPr>
          </w:p>
        </w:tc>
        <w:tc>
          <w:tcPr>
            <w:tcW w:w="821" w:type="pct"/>
            <w:vAlign w:val="center"/>
          </w:tcPr>
          <w:p w14:paraId="27FC84BC">
            <w:pPr>
              <w:spacing w:line="360" w:lineRule="auto"/>
              <w:jc w:val="center"/>
              <w:rPr>
                <w:rFonts w:hint="eastAsia" w:ascii="仿宋" w:hAnsi="仿宋" w:eastAsia="仿宋" w:cs="仿宋"/>
                <w:sz w:val="24"/>
                <w:highlight w:val="none"/>
              </w:rPr>
            </w:pPr>
          </w:p>
        </w:tc>
        <w:tc>
          <w:tcPr>
            <w:tcW w:w="706" w:type="pct"/>
            <w:vAlign w:val="center"/>
          </w:tcPr>
          <w:p w14:paraId="1D7CE529">
            <w:pPr>
              <w:spacing w:line="360" w:lineRule="auto"/>
              <w:jc w:val="center"/>
              <w:rPr>
                <w:rFonts w:hint="eastAsia" w:ascii="仿宋" w:hAnsi="仿宋" w:eastAsia="仿宋" w:cs="仿宋"/>
                <w:sz w:val="24"/>
                <w:highlight w:val="none"/>
              </w:rPr>
            </w:pPr>
          </w:p>
        </w:tc>
      </w:tr>
      <w:tr w14:paraId="3FF3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70" w:type="pct"/>
            <w:vAlign w:val="center"/>
          </w:tcPr>
          <w:p w14:paraId="73B9F7F7">
            <w:pPr>
              <w:spacing w:line="360" w:lineRule="auto"/>
              <w:jc w:val="center"/>
              <w:rPr>
                <w:rFonts w:hint="eastAsia" w:ascii="仿宋" w:hAnsi="仿宋" w:eastAsia="仿宋" w:cs="仿宋"/>
                <w:sz w:val="24"/>
                <w:highlight w:val="none"/>
              </w:rPr>
            </w:pPr>
          </w:p>
        </w:tc>
        <w:tc>
          <w:tcPr>
            <w:tcW w:w="472" w:type="pct"/>
            <w:vAlign w:val="center"/>
          </w:tcPr>
          <w:p w14:paraId="406ABD82">
            <w:pPr>
              <w:spacing w:line="360" w:lineRule="auto"/>
              <w:jc w:val="center"/>
              <w:rPr>
                <w:rFonts w:hint="eastAsia" w:ascii="仿宋" w:hAnsi="仿宋" w:eastAsia="仿宋" w:cs="仿宋"/>
                <w:sz w:val="24"/>
                <w:highlight w:val="none"/>
              </w:rPr>
            </w:pPr>
          </w:p>
        </w:tc>
        <w:tc>
          <w:tcPr>
            <w:tcW w:w="678" w:type="pct"/>
            <w:vAlign w:val="center"/>
          </w:tcPr>
          <w:p w14:paraId="59F50AF4">
            <w:pPr>
              <w:spacing w:line="360" w:lineRule="auto"/>
              <w:jc w:val="center"/>
              <w:rPr>
                <w:rFonts w:hint="eastAsia" w:ascii="仿宋" w:hAnsi="仿宋" w:eastAsia="仿宋" w:cs="仿宋"/>
                <w:sz w:val="24"/>
                <w:highlight w:val="none"/>
              </w:rPr>
            </w:pPr>
          </w:p>
        </w:tc>
        <w:tc>
          <w:tcPr>
            <w:tcW w:w="645" w:type="pct"/>
            <w:vAlign w:val="center"/>
          </w:tcPr>
          <w:p w14:paraId="28B20D9B">
            <w:pPr>
              <w:spacing w:line="360" w:lineRule="auto"/>
              <w:jc w:val="center"/>
              <w:rPr>
                <w:rFonts w:hint="eastAsia" w:ascii="仿宋" w:hAnsi="仿宋" w:eastAsia="仿宋" w:cs="仿宋"/>
                <w:sz w:val="24"/>
                <w:highlight w:val="none"/>
              </w:rPr>
            </w:pPr>
          </w:p>
        </w:tc>
        <w:tc>
          <w:tcPr>
            <w:tcW w:w="642" w:type="pct"/>
            <w:vAlign w:val="center"/>
          </w:tcPr>
          <w:p w14:paraId="51C0BA6A">
            <w:pPr>
              <w:spacing w:line="360" w:lineRule="auto"/>
              <w:jc w:val="center"/>
              <w:rPr>
                <w:rFonts w:hint="eastAsia" w:ascii="仿宋" w:hAnsi="仿宋" w:eastAsia="仿宋" w:cs="仿宋"/>
                <w:sz w:val="24"/>
                <w:highlight w:val="none"/>
              </w:rPr>
            </w:pPr>
          </w:p>
        </w:tc>
        <w:tc>
          <w:tcPr>
            <w:tcW w:w="566" w:type="pct"/>
            <w:vAlign w:val="center"/>
          </w:tcPr>
          <w:p w14:paraId="69BC5CCE">
            <w:pPr>
              <w:spacing w:line="360" w:lineRule="auto"/>
              <w:jc w:val="center"/>
              <w:rPr>
                <w:rFonts w:hint="eastAsia" w:ascii="仿宋" w:hAnsi="仿宋" w:eastAsia="仿宋" w:cs="仿宋"/>
                <w:sz w:val="24"/>
                <w:highlight w:val="none"/>
              </w:rPr>
            </w:pPr>
          </w:p>
        </w:tc>
        <w:tc>
          <w:tcPr>
            <w:tcW w:w="821" w:type="pct"/>
            <w:vAlign w:val="center"/>
          </w:tcPr>
          <w:p w14:paraId="7A41450A">
            <w:pPr>
              <w:spacing w:line="360" w:lineRule="auto"/>
              <w:jc w:val="center"/>
              <w:rPr>
                <w:rFonts w:hint="eastAsia" w:ascii="仿宋" w:hAnsi="仿宋" w:eastAsia="仿宋" w:cs="仿宋"/>
                <w:sz w:val="24"/>
                <w:highlight w:val="none"/>
              </w:rPr>
            </w:pPr>
          </w:p>
        </w:tc>
        <w:tc>
          <w:tcPr>
            <w:tcW w:w="706" w:type="pct"/>
            <w:vAlign w:val="center"/>
          </w:tcPr>
          <w:p w14:paraId="35029AA7">
            <w:pPr>
              <w:spacing w:line="360" w:lineRule="auto"/>
              <w:jc w:val="center"/>
              <w:rPr>
                <w:rFonts w:hint="eastAsia" w:ascii="仿宋" w:hAnsi="仿宋" w:eastAsia="仿宋" w:cs="仿宋"/>
                <w:sz w:val="24"/>
                <w:highlight w:val="none"/>
              </w:rPr>
            </w:pPr>
          </w:p>
        </w:tc>
      </w:tr>
    </w:tbl>
    <w:p w14:paraId="555D1E1F">
      <w:pPr>
        <w:pStyle w:val="108"/>
        <w:topLinePunct/>
        <w:adjustRightInd w:val="0"/>
        <w:snapToGrid w:val="0"/>
        <w:spacing w:line="360" w:lineRule="auto"/>
        <w:ind w:left="0" w:leftChars="0" w:firstLine="0" w:firstLineChars="0"/>
        <w:rPr>
          <w:rFonts w:hint="eastAsia" w:ascii="仿宋" w:hAnsi="仿宋" w:eastAsia="仿宋" w:cs="仿宋"/>
          <w:bCs/>
          <w:color w:val="000000"/>
          <w:sz w:val="24"/>
          <w:szCs w:val="24"/>
          <w:highlight w:val="none"/>
        </w:rPr>
      </w:pPr>
      <w:r>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t>并提供符合上述要求的招标代理项目采购公告截图或代理委托书（函）。</w:t>
      </w:r>
    </w:p>
    <w:p w14:paraId="70597D26">
      <w:pPr>
        <w:widowControl/>
        <w:spacing w:line="360" w:lineRule="auto"/>
        <w:jc w:val="left"/>
        <w:rPr>
          <w:rFonts w:hint="eastAsia" w:ascii="仿宋" w:hAnsi="仿宋" w:eastAsia="仿宋" w:cs="仿宋"/>
          <w:b/>
          <w:bCs/>
          <w:sz w:val="24"/>
          <w:highlight w:val="none"/>
        </w:rPr>
      </w:pPr>
      <w:bookmarkStart w:id="350" w:name="_Toc197680998"/>
      <w:r>
        <w:rPr>
          <w:rFonts w:hint="eastAsia" w:ascii="仿宋" w:hAnsi="仿宋" w:eastAsia="仿宋" w:cs="仿宋"/>
          <w:color w:val="000000"/>
          <w:sz w:val="24"/>
          <w:highlight w:val="none"/>
        </w:rPr>
        <w:br w:type="page"/>
      </w:r>
    </w:p>
    <w:p w14:paraId="34231E9B">
      <w:pPr>
        <w:pStyle w:val="4"/>
        <w:spacing w:before="0" w:line="360" w:lineRule="auto"/>
        <w:ind w:left="0" w:firstLine="0"/>
        <w:rPr>
          <w:rFonts w:hint="eastAsia" w:ascii="仿宋" w:hAnsi="仿宋" w:eastAsia="仿宋" w:cs="仿宋"/>
          <w:color w:val="000000"/>
          <w:sz w:val="24"/>
          <w:szCs w:val="24"/>
          <w:highlight w:val="none"/>
        </w:rPr>
      </w:pPr>
      <w:bookmarkStart w:id="351" w:name="_Toc219196016"/>
      <w:bookmarkStart w:id="352" w:name="_Toc233292466"/>
      <w:bookmarkStart w:id="353" w:name="_Toc231201501"/>
      <w:bookmarkStart w:id="354" w:name="_Toc216971051"/>
      <w:r>
        <w:rPr>
          <w:rFonts w:hint="eastAsia" w:ascii="仿宋" w:hAnsi="仿宋" w:eastAsia="仿宋" w:cs="仿宋"/>
          <w:color w:val="000000"/>
          <w:sz w:val="24"/>
          <w:szCs w:val="24"/>
          <w:highlight w:val="none"/>
        </w:rPr>
        <w:t>8、</w:t>
      </w:r>
      <w:bookmarkEnd w:id="350"/>
      <w:r>
        <w:rPr>
          <w:rFonts w:hint="eastAsia" w:ascii="仿宋" w:hAnsi="仿宋" w:eastAsia="仿宋" w:cs="仿宋"/>
          <w:color w:val="000000"/>
          <w:sz w:val="24"/>
          <w:szCs w:val="24"/>
          <w:highlight w:val="none"/>
        </w:rPr>
        <w:t>纳税和社会保障资金要求</w:t>
      </w:r>
      <w:bookmarkEnd w:id="351"/>
      <w:bookmarkEnd w:id="352"/>
      <w:bookmarkEnd w:id="353"/>
      <w:bookmarkEnd w:id="354"/>
    </w:p>
    <w:p w14:paraId="4259E744">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具有依法缴纳税收和社会保障资金的良好记录，提供近6个月任意一个月的税收和社会保障资金缴纳凭证。</w:t>
      </w:r>
    </w:p>
    <w:p w14:paraId="0E09F612">
      <w:pPr>
        <w:pStyle w:val="108"/>
        <w:numPr>
          <w:ilvl w:val="0"/>
          <w:numId w:val="0"/>
        </w:numPr>
        <w:spacing w:line="360" w:lineRule="auto"/>
        <w:ind w:leftChars="0"/>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8.1</w:t>
      </w:r>
      <w:r>
        <w:rPr>
          <w:rFonts w:hint="eastAsia" w:ascii="仿宋" w:hAnsi="仿宋" w:eastAsia="仿宋" w:cs="仿宋"/>
          <w:b/>
          <w:bCs/>
          <w:color w:val="000000"/>
          <w:sz w:val="24"/>
          <w:highlight w:val="none"/>
        </w:rPr>
        <w:t>税收缴纳凭证复印件</w:t>
      </w:r>
    </w:p>
    <w:p w14:paraId="2F31C644">
      <w:pPr>
        <w:spacing w:line="360" w:lineRule="auto"/>
        <w:rPr>
          <w:rFonts w:hint="eastAsia" w:ascii="仿宋" w:hAnsi="仿宋" w:eastAsia="仿宋" w:cs="仿宋"/>
          <w:color w:val="000000"/>
          <w:sz w:val="24"/>
          <w:highlight w:val="none"/>
        </w:rPr>
      </w:pPr>
    </w:p>
    <w:p w14:paraId="238FDB3F">
      <w:pPr>
        <w:spacing w:line="360" w:lineRule="auto"/>
        <w:rPr>
          <w:rFonts w:hint="eastAsia" w:ascii="仿宋" w:hAnsi="仿宋" w:eastAsia="仿宋" w:cs="仿宋"/>
          <w:color w:val="000000"/>
          <w:sz w:val="24"/>
          <w:highlight w:val="none"/>
        </w:rPr>
      </w:pPr>
    </w:p>
    <w:p w14:paraId="60DAD0BC">
      <w:pPr>
        <w:spacing w:line="360" w:lineRule="auto"/>
        <w:rPr>
          <w:rFonts w:hint="eastAsia" w:ascii="仿宋" w:hAnsi="仿宋" w:eastAsia="仿宋" w:cs="仿宋"/>
          <w:color w:val="000000"/>
          <w:sz w:val="24"/>
          <w:highlight w:val="none"/>
        </w:rPr>
      </w:pPr>
    </w:p>
    <w:p w14:paraId="458695C3">
      <w:pPr>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val="en-US" w:eastAsia="zh-CN"/>
        </w:rPr>
        <w:t>8.2</w:t>
      </w:r>
      <w:r>
        <w:rPr>
          <w:rFonts w:hint="eastAsia" w:ascii="仿宋" w:hAnsi="仿宋" w:eastAsia="仿宋" w:cs="仿宋"/>
          <w:b/>
          <w:bCs/>
          <w:color w:val="000000"/>
          <w:sz w:val="24"/>
          <w:highlight w:val="none"/>
        </w:rPr>
        <w:t>社会保证金缴纳凭证复印件</w:t>
      </w:r>
      <w:r>
        <w:rPr>
          <w:rFonts w:hint="eastAsia" w:ascii="仿宋" w:hAnsi="仿宋" w:eastAsia="仿宋" w:cs="仿宋"/>
          <w:color w:val="000000"/>
          <w:sz w:val="24"/>
          <w:highlight w:val="none"/>
        </w:rPr>
        <w:br w:type="page"/>
      </w:r>
    </w:p>
    <w:p w14:paraId="572C2F08">
      <w:pPr>
        <w:pStyle w:val="4"/>
        <w:spacing w:before="0" w:after="0" w:line="360" w:lineRule="auto"/>
        <w:ind w:left="0" w:firstLine="0"/>
        <w:rPr>
          <w:rFonts w:hint="eastAsia" w:ascii="仿宋" w:hAnsi="仿宋" w:eastAsia="仿宋" w:cs="仿宋"/>
          <w:color w:val="000000"/>
          <w:sz w:val="24"/>
          <w:szCs w:val="24"/>
          <w:highlight w:val="none"/>
        </w:rPr>
      </w:pPr>
      <w:bookmarkStart w:id="355" w:name="_Toc197680999"/>
      <w:bookmarkStart w:id="356" w:name="_Toc231201502"/>
      <w:bookmarkStart w:id="357" w:name="_Toc219196017"/>
      <w:bookmarkStart w:id="358" w:name="_Toc233292467"/>
      <w:bookmarkStart w:id="359" w:name="_Toc216971052"/>
      <w:r>
        <w:rPr>
          <w:rFonts w:hint="eastAsia" w:ascii="仿宋" w:hAnsi="仿宋" w:eastAsia="仿宋" w:cs="仿宋"/>
          <w:color w:val="000000"/>
          <w:sz w:val="24"/>
          <w:szCs w:val="24"/>
          <w:highlight w:val="none"/>
        </w:rPr>
        <w:t>9、</w:t>
      </w:r>
      <w:bookmarkEnd w:id="355"/>
      <w:r>
        <w:rPr>
          <w:rFonts w:hint="eastAsia" w:ascii="仿宋" w:hAnsi="仿宋" w:eastAsia="仿宋" w:cs="仿宋"/>
          <w:color w:val="000000"/>
          <w:sz w:val="24"/>
          <w:szCs w:val="24"/>
          <w:highlight w:val="none"/>
        </w:rPr>
        <w:t>无违法违规记录</w:t>
      </w:r>
      <w:bookmarkEnd w:id="356"/>
      <w:bookmarkEnd w:id="357"/>
      <w:bookmarkEnd w:id="358"/>
      <w:bookmarkEnd w:id="359"/>
    </w:p>
    <w:p w14:paraId="551533E6">
      <w:pPr>
        <w:spacing w:line="360" w:lineRule="auto"/>
        <w:textAlignment w:val="baseline"/>
        <w:rPr>
          <w:rStyle w:val="49"/>
          <w:rFonts w:hint="eastAsia" w:ascii="仿宋" w:hAnsi="仿宋" w:eastAsia="仿宋" w:cs="仿宋"/>
          <w:sz w:val="24"/>
          <w:highlight w:val="none"/>
        </w:rPr>
      </w:pPr>
      <w:r>
        <w:rPr>
          <w:rFonts w:hint="eastAsia" w:ascii="仿宋" w:hAnsi="仿宋" w:eastAsia="仿宋" w:cs="仿宋"/>
          <w:color w:val="000000"/>
          <w:sz w:val="24"/>
          <w:highlight w:val="none"/>
        </w:rPr>
        <w:t>信用中国查询网址：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"https://www.creditchina.gov.cn/xinyongfuwu/?navPage=5" </w:instrText>
      </w:r>
      <w:r>
        <w:rPr>
          <w:rFonts w:hint="eastAsia" w:ascii="仿宋" w:hAnsi="仿宋" w:eastAsia="仿宋" w:cs="仿宋"/>
          <w:highlight w:val="none"/>
        </w:rPr>
        <w:fldChar w:fldCharType="separate"/>
      </w:r>
      <w:r>
        <w:rPr>
          <w:rStyle w:val="49"/>
          <w:rFonts w:hint="eastAsia" w:ascii="仿宋" w:hAnsi="仿宋" w:eastAsia="仿宋" w:cs="仿宋"/>
          <w:sz w:val="24"/>
          <w:highlight w:val="none"/>
        </w:rPr>
        <w:t>https://www.creditchina.gov.cn/xinyongfuwu/?navPage=5</w:t>
      </w:r>
      <w:r>
        <w:rPr>
          <w:rStyle w:val="49"/>
          <w:rFonts w:hint="eastAsia" w:ascii="仿宋" w:hAnsi="仿宋" w:eastAsia="仿宋" w:cs="仿宋"/>
          <w:sz w:val="24"/>
          <w:highlight w:val="none"/>
        </w:rPr>
        <w:fldChar w:fldCharType="end"/>
      </w:r>
    </w:p>
    <w:p w14:paraId="2974F146">
      <w:pPr>
        <w:spacing w:line="360" w:lineRule="auto"/>
        <w:textAlignment w:val="baseline"/>
        <w:rPr>
          <w:rFonts w:hint="eastAsia" w:ascii="仿宋" w:hAnsi="仿宋" w:eastAsia="仿宋" w:cs="仿宋"/>
          <w:color w:val="333333"/>
          <w:sz w:val="24"/>
          <w:highlight w:val="none"/>
        </w:rPr>
      </w:pPr>
      <w:r>
        <w:rPr>
          <w:rFonts w:hint="eastAsia" w:ascii="仿宋" w:hAnsi="仿宋" w:eastAsia="仿宋" w:cs="仿宋"/>
          <w:sz w:val="24"/>
          <w:highlight w:val="none"/>
        </w:rPr>
        <w:t>（1）失信被执行人查询截图范例：</w:t>
      </w:r>
    </w:p>
    <w:p w14:paraId="0658C16E">
      <w:pPr>
        <w:spacing w:line="360" w:lineRule="auto"/>
        <w:ind w:firstLine="240" w:firstLineChars="100"/>
        <w:rPr>
          <w:rFonts w:hint="eastAsia" w:ascii="仿宋" w:hAnsi="仿宋" w:eastAsia="仿宋" w:cs="仿宋"/>
          <w:sz w:val="24"/>
          <w:highlight w:val="none"/>
        </w:rPr>
      </w:pPr>
      <w:r>
        <w:rPr>
          <w:rFonts w:hint="eastAsia" w:ascii="仿宋" w:hAnsi="仿宋" w:eastAsia="仿宋" w:cs="仿宋"/>
          <w:sz w:val="24"/>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rcRect b="11951"/>
                    <a:stretch>
                      <a:fillRect/>
                    </a:stretch>
                  </pic:blipFill>
                  <pic:spPr>
                    <a:xfrm>
                      <a:off x="0" y="0"/>
                      <a:ext cx="5909310" cy="3769360"/>
                    </a:xfrm>
                    <a:prstGeom prst="rect">
                      <a:avLst/>
                    </a:prstGeom>
                    <a:noFill/>
                    <a:ln>
                      <a:noFill/>
                    </a:ln>
                  </pic:spPr>
                </pic:pic>
              </a:graphicData>
            </a:graphic>
          </wp:inline>
        </w:drawing>
      </w:r>
    </w:p>
    <w:p w14:paraId="160158E1">
      <w:pPr>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（2）</w:t>
      </w:r>
      <w:r>
        <w:rPr>
          <w:rFonts w:hint="eastAsia" w:ascii="仿宋" w:hAnsi="仿宋" w:eastAsia="仿宋" w:cs="仿宋"/>
          <w:color w:val="000000"/>
          <w:sz w:val="24"/>
          <w:highlight w:val="none"/>
        </w:rPr>
        <w:t>重大税收违法失信主体查询截图范例：</w:t>
      </w:r>
    </w:p>
    <w:p w14:paraId="4CBB60E4">
      <w:pPr>
        <w:spacing w:line="360" w:lineRule="auto"/>
        <w:rPr>
          <w:rFonts w:hint="eastAsia" w:ascii="仿宋" w:hAnsi="仿宋" w:eastAsia="仿宋" w:cs="仿宋"/>
          <w:sz w:val="24"/>
          <w:highlight w:val="none"/>
        </w:rPr>
      </w:pPr>
      <w:r>
        <w:rPr>
          <w:rFonts w:hint="eastAsia" w:ascii="仿宋" w:hAnsi="仿宋" w:eastAsia="仿宋" w:cs="仿宋"/>
          <w:color w:val="000000"/>
          <w:sz w:val="24"/>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4"/>
                    <a:stretch>
                      <a:fillRect/>
                    </a:stretch>
                  </pic:blipFill>
                  <pic:spPr>
                    <a:xfrm>
                      <a:off x="0" y="0"/>
                      <a:ext cx="6119495" cy="3312795"/>
                    </a:xfrm>
                    <a:prstGeom prst="rect">
                      <a:avLst/>
                    </a:prstGeom>
                    <a:noFill/>
                    <a:ln>
                      <a:noFill/>
                    </a:ln>
                  </pic:spPr>
                </pic:pic>
              </a:graphicData>
            </a:graphic>
          </wp:inline>
        </w:drawing>
      </w:r>
    </w:p>
    <w:p w14:paraId="4B80EAA9">
      <w:pPr>
        <w:spacing w:line="360" w:lineRule="auto"/>
        <w:ind w:firstLine="240" w:firstLineChars="100"/>
        <w:rPr>
          <w:rFonts w:hint="eastAsia" w:ascii="仿宋" w:hAnsi="仿宋" w:eastAsia="仿宋" w:cs="仿宋"/>
          <w:sz w:val="24"/>
          <w:highlight w:val="none"/>
        </w:rPr>
      </w:pPr>
      <w:r>
        <w:rPr>
          <w:rFonts w:hint="eastAsia" w:ascii="仿宋" w:hAnsi="仿宋" w:eastAsia="仿宋" w:cs="仿宋"/>
          <w:sz w:val="24"/>
          <w:highlight w:val="none"/>
        </w:rPr>
        <w:t>（3）政府采购严重违法失信行为记录名单查询截图范例：</w:t>
      </w:r>
    </w:p>
    <w:p w14:paraId="2BB73B73">
      <w:pPr>
        <w:spacing w:line="360" w:lineRule="auto"/>
        <w:ind w:firstLine="240" w:firstLineChars="100"/>
        <w:rPr>
          <w:rFonts w:hint="eastAsia" w:ascii="仿宋" w:hAnsi="仿宋" w:eastAsia="仿宋" w:cs="仿宋"/>
          <w:sz w:val="24"/>
          <w:highlight w:val="none"/>
        </w:rPr>
      </w:pPr>
      <w:r>
        <w:rPr>
          <w:rFonts w:hint="eastAsia" w:ascii="仿宋" w:hAnsi="仿宋" w:eastAsia="仿宋" w:cs="仿宋"/>
          <w:sz w:val="24"/>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14:paraId="2F706D64">
      <w:pPr>
        <w:rPr>
          <w:rFonts w:hint="eastAsia" w:ascii="仿宋" w:hAnsi="仿宋" w:eastAsia="仿宋" w:cs="仿宋"/>
          <w:highlight w:val="none"/>
        </w:rPr>
      </w:pPr>
      <w:bookmarkStart w:id="360" w:name="_Toc197681000"/>
      <w:r>
        <w:rPr>
          <w:rFonts w:hint="eastAsia" w:ascii="仿宋" w:hAnsi="仿宋" w:eastAsia="仿宋" w:cs="仿宋"/>
          <w:color w:val="000000"/>
          <w:sz w:val="24"/>
          <w:highlight w:val="none"/>
        </w:rPr>
        <w:br w:type="page"/>
      </w:r>
    </w:p>
    <w:p w14:paraId="07215B2A">
      <w:pPr>
        <w:pStyle w:val="4"/>
        <w:spacing w:before="0" w:after="0" w:line="360" w:lineRule="auto"/>
        <w:ind w:left="0" w:firstLine="0"/>
        <w:rPr>
          <w:rFonts w:hint="eastAsia" w:ascii="仿宋" w:hAnsi="仿宋" w:eastAsia="仿宋" w:cs="仿宋"/>
          <w:color w:val="000000"/>
          <w:sz w:val="24"/>
          <w:szCs w:val="24"/>
          <w:highlight w:val="none"/>
        </w:rPr>
      </w:pPr>
      <w:bookmarkStart w:id="361" w:name="_Toc231201503"/>
      <w:bookmarkStart w:id="362" w:name="_Toc219196018"/>
      <w:bookmarkStart w:id="363" w:name="_Toc216971053"/>
      <w:bookmarkStart w:id="364" w:name="_Toc233292468"/>
      <w:r>
        <w:rPr>
          <w:rFonts w:hint="eastAsia" w:ascii="仿宋" w:hAnsi="仿宋" w:eastAsia="仿宋" w:cs="仿宋"/>
          <w:color w:val="000000"/>
          <w:sz w:val="24"/>
          <w:szCs w:val="24"/>
          <w:highlight w:val="none"/>
        </w:rPr>
        <w:t>10、未列入供应商黑名单且未在禁入期承诺函</w:t>
      </w:r>
      <w:bookmarkEnd w:id="360"/>
      <w:bookmarkEnd w:id="361"/>
      <w:bookmarkEnd w:id="362"/>
      <w:bookmarkEnd w:id="363"/>
      <w:bookmarkEnd w:id="364"/>
    </w:p>
    <w:p w14:paraId="25B318D3">
      <w:pPr>
        <w:pStyle w:val="18"/>
        <w:spacing w:before="240" w:line="360" w:lineRule="auto"/>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致：</w:t>
      </w:r>
      <w:r>
        <w:rPr>
          <w:rFonts w:hint="eastAsia" w:ascii="仿宋" w:hAnsi="仿宋" w:eastAsia="仿宋" w:cs="仿宋"/>
          <w:color w:val="000000"/>
          <w:sz w:val="24"/>
          <w:highlight w:val="none"/>
          <w:u w:val="single"/>
        </w:rPr>
        <w:t>（采购人名称）</w:t>
      </w:r>
    </w:p>
    <w:p w14:paraId="62CC23D4">
      <w:pPr>
        <w:adjustRightInd w:val="0"/>
        <w:snapToGrid w:val="0"/>
        <w:spacing w:before="240"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我方</w:t>
      </w:r>
      <w:r>
        <w:rPr>
          <w:rFonts w:hint="eastAsia" w:ascii="仿宋" w:hAnsi="仿宋" w:eastAsia="仿宋" w:cs="仿宋"/>
          <w:color w:val="000000"/>
          <w:sz w:val="24"/>
          <w:highlight w:val="none"/>
          <w:u w:val="single"/>
        </w:rPr>
        <w:t xml:space="preserve">      （供应商名称）      </w:t>
      </w:r>
      <w:r>
        <w:rPr>
          <w:rFonts w:hint="eastAsia" w:ascii="仿宋" w:hAnsi="仿宋" w:eastAsia="仿宋" w:cs="仿宋"/>
          <w:color w:val="000000"/>
          <w:sz w:val="24"/>
          <w:highlight w:val="none"/>
        </w:rPr>
        <w:t>承诺：截至本项目响应文件递交截止时间，我方未被采购人及其所隶属的中国人民保险各级机构列入供应商黑名单且处于禁入期内。</w:t>
      </w:r>
    </w:p>
    <w:p w14:paraId="4C87594D">
      <w:pPr>
        <w:pStyle w:val="18"/>
        <w:spacing w:line="360" w:lineRule="auto"/>
        <w:ind w:firstLine="480" w:firstLineChars="200"/>
        <w:jc w:val="both"/>
        <w:rPr>
          <w:rFonts w:hint="eastAsia" w:ascii="仿宋" w:hAnsi="仿宋" w:eastAsia="仿宋" w:cs="仿宋"/>
          <w:color w:val="000000"/>
          <w:sz w:val="24"/>
          <w:highlight w:val="none"/>
        </w:rPr>
      </w:pPr>
    </w:p>
    <w:p w14:paraId="7F79BE47">
      <w:pPr>
        <w:pStyle w:val="18"/>
        <w:spacing w:line="360" w:lineRule="auto"/>
        <w:ind w:firstLine="480" w:firstLineChars="2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特此承诺。</w:t>
      </w:r>
    </w:p>
    <w:p w14:paraId="7C85ABCA">
      <w:pPr>
        <w:pStyle w:val="127"/>
        <w:spacing w:line="360" w:lineRule="auto"/>
        <w:ind w:firstLine="480"/>
        <w:rPr>
          <w:rFonts w:hint="eastAsia" w:ascii="仿宋" w:hAnsi="仿宋" w:eastAsia="仿宋" w:cs="仿宋"/>
          <w:sz w:val="24"/>
          <w:highlight w:val="none"/>
        </w:rPr>
      </w:pPr>
    </w:p>
    <w:p w14:paraId="2F1C6A48">
      <w:pPr>
        <w:pStyle w:val="127"/>
        <w:spacing w:line="360" w:lineRule="auto"/>
        <w:ind w:firstLine="480"/>
        <w:rPr>
          <w:rFonts w:hint="eastAsia" w:ascii="仿宋" w:hAnsi="仿宋" w:eastAsia="仿宋" w:cs="仿宋"/>
          <w:sz w:val="24"/>
          <w:highlight w:val="none"/>
        </w:rPr>
      </w:pPr>
    </w:p>
    <w:p w14:paraId="70261668">
      <w:pPr>
        <w:spacing w:line="360" w:lineRule="auto"/>
        <w:ind w:firstLine="4080" w:firstLineChars="1700"/>
        <w:jc w:val="right"/>
        <w:rPr>
          <w:rFonts w:hint="eastAsia" w:ascii="仿宋" w:hAnsi="仿宋" w:eastAsia="仿宋" w:cs="仿宋"/>
          <w:color w:val="000000"/>
          <w:sz w:val="24"/>
          <w:highlight w:val="none"/>
        </w:rPr>
      </w:pPr>
    </w:p>
    <w:p w14:paraId="00369436">
      <w:pPr>
        <w:spacing w:line="360" w:lineRule="auto"/>
        <w:ind w:firstLine="4080" w:firstLineChars="1700"/>
        <w:jc w:val="right"/>
        <w:rPr>
          <w:rFonts w:hint="eastAsia" w:ascii="仿宋" w:hAnsi="仿宋" w:eastAsia="仿宋" w:cs="仿宋"/>
          <w:color w:val="000000"/>
          <w:sz w:val="24"/>
          <w:highlight w:val="none"/>
        </w:rPr>
      </w:pPr>
    </w:p>
    <w:p w14:paraId="48E09BFB">
      <w:pPr>
        <w:spacing w:line="360" w:lineRule="auto"/>
        <w:ind w:firstLine="4080" w:firstLineChars="1700"/>
        <w:jc w:val="right"/>
        <w:rPr>
          <w:rFonts w:hint="eastAsia" w:ascii="仿宋" w:hAnsi="仿宋" w:eastAsia="仿宋" w:cs="仿宋"/>
          <w:color w:val="000000"/>
          <w:sz w:val="24"/>
          <w:highlight w:val="none"/>
        </w:rPr>
      </w:pPr>
    </w:p>
    <w:p w14:paraId="6BCCC725">
      <w:pPr>
        <w:spacing w:line="360" w:lineRule="auto"/>
        <w:ind w:firstLine="4080" w:firstLineChars="1700"/>
        <w:jc w:val="right"/>
        <w:rPr>
          <w:rFonts w:hint="eastAsia" w:ascii="仿宋" w:hAnsi="仿宋" w:eastAsia="仿宋" w:cs="仿宋"/>
          <w:color w:val="000000"/>
          <w:sz w:val="24"/>
          <w:highlight w:val="none"/>
        </w:rPr>
      </w:pPr>
    </w:p>
    <w:p w14:paraId="2A00D24D">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7C909130">
      <w:pPr>
        <w:spacing w:line="360" w:lineRule="auto"/>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511EC7A3">
      <w:pPr>
        <w:pStyle w:val="150"/>
        <w:spacing w:line="360"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br w:type="page"/>
      </w:r>
    </w:p>
    <w:p w14:paraId="24DD92F4">
      <w:pPr>
        <w:pStyle w:val="4"/>
        <w:spacing w:before="0" w:after="0" w:line="360" w:lineRule="auto"/>
        <w:ind w:left="0" w:firstLine="0"/>
        <w:rPr>
          <w:rFonts w:hint="eastAsia" w:ascii="仿宋" w:hAnsi="仿宋" w:eastAsia="仿宋" w:cs="仿宋"/>
          <w:color w:val="000000"/>
          <w:sz w:val="24"/>
          <w:szCs w:val="24"/>
          <w:highlight w:val="none"/>
        </w:rPr>
      </w:pPr>
      <w:bookmarkStart w:id="365" w:name="_Toc216971054"/>
      <w:bookmarkStart w:id="366" w:name="_Toc219196019"/>
      <w:bookmarkStart w:id="367" w:name="_Toc197681001"/>
      <w:bookmarkStart w:id="368" w:name="_Toc231201504"/>
      <w:bookmarkStart w:id="369" w:name="_Toc233292469"/>
      <w:bookmarkStart w:id="370" w:name="_Hlk69983040"/>
      <w:r>
        <w:rPr>
          <w:rFonts w:hint="eastAsia" w:ascii="仿宋" w:hAnsi="仿宋" w:eastAsia="仿宋" w:cs="仿宋"/>
          <w:color w:val="000000"/>
          <w:sz w:val="24"/>
          <w:szCs w:val="24"/>
          <w:highlight w:val="none"/>
        </w:rPr>
        <w:t>11、供应商控股及管理关系情况申报表</w:t>
      </w:r>
      <w:bookmarkEnd w:id="365"/>
      <w:bookmarkEnd w:id="366"/>
      <w:bookmarkEnd w:id="367"/>
      <w:bookmarkEnd w:id="368"/>
      <w:bookmarkEnd w:id="369"/>
    </w:p>
    <w:p w14:paraId="635B7334">
      <w:pPr>
        <w:pStyle w:val="108"/>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14:paraId="465F868E">
      <w:pPr>
        <w:adjustRightInd w:val="0"/>
        <w:snapToGrid w:val="0"/>
        <w:spacing w:line="360" w:lineRule="auto"/>
        <w:ind w:left="-2" w:leftChars="-1" w:firstLine="141" w:firstLineChars="59"/>
        <w:rPr>
          <w:rFonts w:hint="eastAsia" w:ascii="仿宋" w:hAnsi="仿宋" w:eastAsia="仿宋" w:cs="仿宋"/>
          <w:color w:val="000000"/>
          <w:sz w:val="24"/>
          <w:highlight w:val="none"/>
        </w:rPr>
      </w:pPr>
      <w:r>
        <w:rPr>
          <w:rFonts w:hint="eastAsia" w:ascii="仿宋" w:hAnsi="仿宋" w:eastAsia="仿宋" w:cs="仿宋"/>
          <w:color w:val="000000"/>
          <w:sz w:val="24"/>
          <w:highlight w:val="none"/>
        </w:rPr>
        <w:t>致：</w:t>
      </w:r>
      <w:r>
        <w:rPr>
          <w:rFonts w:hint="eastAsia" w:ascii="仿宋" w:hAnsi="仿宋" w:eastAsia="仿宋" w:cs="仿宋"/>
          <w:color w:val="000000"/>
          <w:sz w:val="24"/>
          <w:highlight w:val="none"/>
          <w:u w:val="single"/>
        </w:rPr>
        <w:t xml:space="preserve">  （采购人名称）  </w:t>
      </w:r>
      <w:r>
        <w:rPr>
          <w:rFonts w:hint="eastAsia" w:ascii="仿宋" w:hAnsi="仿宋" w:eastAsia="仿宋" w:cs="仿宋"/>
          <w:color w:val="000000"/>
          <w:sz w:val="24"/>
          <w:highlight w:val="none"/>
        </w:rPr>
        <w:t>：</w:t>
      </w:r>
    </w:p>
    <w:p w14:paraId="59B9C84E">
      <w:pPr>
        <w:adjustRightInd w:val="0"/>
        <w:snapToGrid w:val="0"/>
        <w:spacing w:line="360" w:lineRule="auto"/>
        <w:ind w:firstLine="616" w:firstLineChars="257"/>
        <w:rPr>
          <w:rFonts w:hint="eastAsia" w:ascii="仿宋" w:hAnsi="仿宋" w:eastAsia="仿宋" w:cs="仿宋"/>
          <w:color w:val="000000"/>
          <w:sz w:val="24"/>
          <w:highlight w:val="none"/>
        </w:rPr>
      </w:pPr>
      <w:r>
        <w:rPr>
          <w:rFonts w:hint="eastAsia" w:ascii="仿宋" w:hAnsi="仿宋" w:eastAsia="仿宋" w:cs="仿宋"/>
          <w:color w:val="000000"/>
          <w:sz w:val="24"/>
          <w:highlight w:val="none"/>
        </w:rPr>
        <w:t>我方参加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w:t>
      </w:r>
      <w:r>
        <w:rPr>
          <w:rFonts w:hint="eastAsia" w:ascii="仿宋" w:hAnsi="仿宋" w:eastAsia="仿宋" w:cs="仿宋"/>
          <w:b/>
          <w:bCs/>
          <w:color w:val="000000"/>
          <w:sz w:val="24"/>
          <w:highlight w:val="none"/>
        </w:rPr>
        <w:t>项目名称</w:t>
      </w:r>
      <w:r>
        <w:rPr>
          <w:rFonts w:hint="eastAsia" w:ascii="仿宋" w:hAnsi="仿宋" w:eastAsia="仿宋" w:cs="仿宋"/>
          <w:color w:val="000000"/>
          <w:sz w:val="24"/>
          <w:highlight w:val="none"/>
        </w:rPr>
        <w:t>）的比选，根据法律法规维护投标公正性的相关规定，我方与采购人之间</w:t>
      </w:r>
      <w:r>
        <w:rPr>
          <w:rFonts w:hint="eastAsia" w:ascii="仿宋" w:hAnsi="仿宋" w:eastAsia="仿宋" w:cs="仿宋"/>
          <w:sz w:val="24"/>
          <w:highlight w:val="none"/>
        </w:rPr>
        <w:t>不存在利害关系可</w:t>
      </w:r>
      <w:r>
        <w:rPr>
          <w:rFonts w:hint="eastAsia" w:ascii="仿宋" w:hAnsi="仿宋" w:eastAsia="仿宋" w:cs="仿宋"/>
          <w:color w:val="000000"/>
          <w:sz w:val="24"/>
          <w:highlight w:val="none"/>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4394"/>
        <w:gridCol w:w="2801"/>
      </w:tblGrid>
      <w:tr w14:paraId="1A60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185" w:type="pct"/>
            <w:vAlign w:val="center"/>
          </w:tcPr>
          <w:p w14:paraId="4746468E">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申报人名称</w:t>
            </w:r>
          </w:p>
        </w:tc>
        <w:tc>
          <w:tcPr>
            <w:tcW w:w="3815" w:type="pct"/>
            <w:gridSpan w:val="2"/>
            <w:vAlign w:val="center"/>
          </w:tcPr>
          <w:p w14:paraId="6E0D96D7">
            <w:pPr>
              <w:adjustRightInd w:val="0"/>
              <w:snapToGrid w:val="0"/>
              <w:spacing w:line="360" w:lineRule="auto"/>
              <w:rPr>
                <w:rFonts w:hint="eastAsia" w:ascii="仿宋" w:hAnsi="仿宋" w:eastAsia="仿宋" w:cs="仿宋"/>
                <w:color w:val="000000"/>
                <w:sz w:val="24"/>
                <w:highlight w:val="none"/>
              </w:rPr>
            </w:pPr>
          </w:p>
        </w:tc>
      </w:tr>
      <w:tr w14:paraId="612BF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185" w:type="pct"/>
            <w:vMerge w:val="restart"/>
            <w:vAlign w:val="center"/>
          </w:tcPr>
          <w:p w14:paraId="09EB95B6">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法定代表人/单位负责人</w:t>
            </w:r>
          </w:p>
        </w:tc>
        <w:tc>
          <w:tcPr>
            <w:tcW w:w="2330" w:type="pct"/>
            <w:vAlign w:val="center"/>
          </w:tcPr>
          <w:p w14:paraId="2DDB14AD">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485" w:type="pct"/>
            <w:vAlign w:val="center"/>
          </w:tcPr>
          <w:p w14:paraId="48B4F51B">
            <w:pPr>
              <w:adjustRightInd w:val="0"/>
              <w:snapToGrid w:val="0"/>
              <w:spacing w:line="360" w:lineRule="auto"/>
              <w:rPr>
                <w:rFonts w:hint="eastAsia" w:ascii="仿宋" w:hAnsi="仿宋" w:eastAsia="仿宋" w:cs="仿宋"/>
                <w:color w:val="000000"/>
                <w:sz w:val="24"/>
                <w:highlight w:val="none"/>
              </w:rPr>
            </w:pPr>
          </w:p>
        </w:tc>
      </w:tr>
      <w:tr w14:paraId="2164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185" w:type="pct"/>
            <w:vMerge w:val="continue"/>
            <w:vAlign w:val="center"/>
          </w:tcPr>
          <w:p w14:paraId="6EF6C08C">
            <w:pPr>
              <w:adjustRightInd w:val="0"/>
              <w:snapToGrid w:val="0"/>
              <w:spacing w:line="360" w:lineRule="auto"/>
              <w:rPr>
                <w:rFonts w:hint="eastAsia" w:ascii="仿宋" w:hAnsi="仿宋" w:eastAsia="仿宋" w:cs="仿宋"/>
                <w:color w:val="000000"/>
                <w:sz w:val="24"/>
                <w:highlight w:val="none"/>
              </w:rPr>
            </w:pPr>
          </w:p>
        </w:tc>
        <w:tc>
          <w:tcPr>
            <w:tcW w:w="2330" w:type="pct"/>
            <w:vAlign w:val="center"/>
          </w:tcPr>
          <w:p w14:paraId="0B45B6A5">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身份证号</w:t>
            </w:r>
          </w:p>
        </w:tc>
        <w:tc>
          <w:tcPr>
            <w:tcW w:w="1485" w:type="pct"/>
            <w:vAlign w:val="center"/>
          </w:tcPr>
          <w:p w14:paraId="0C7C8E1E">
            <w:pPr>
              <w:adjustRightInd w:val="0"/>
              <w:snapToGrid w:val="0"/>
              <w:spacing w:line="360" w:lineRule="auto"/>
              <w:rPr>
                <w:rFonts w:hint="eastAsia" w:ascii="仿宋" w:hAnsi="仿宋" w:eastAsia="仿宋" w:cs="仿宋"/>
                <w:color w:val="000000"/>
                <w:sz w:val="24"/>
                <w:highlight w:val="none"/>
              </w:rPr>
            </w:pPr>
          </w:p>
        </w:tc>
      </w:tr>
      <w:tr w14:paraId="0798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185" w:type="pct"/>
            <w:vAlign w:val="center"/>
          </w:tcPr>
          <w:p w14:paraId="3447E6F3">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单位负责人为同一人单位名称</w:t>
            </w:r>
          </w:p>
        </w:tc>
        <w:tc>
          <w:tcPr>
            <w:tcW w:w="3815" w:type="pct"/>
            <w:gridSpan w:val="2"/>
            <w:vAlign w:val="center"/>
          </w:tcPr>
          <w:p w14:paraId="4573D3FD">
            <w:pPr>
              <w:adjustRightInd w:val="0"/>
              <w:snapToGrid w:val="0"/>
              <w:spacing w:line="360" w:lineRule="auto"/>
              <w:rPr>
                <w:rFonts w:hint="eastAsia" w:ascii="仿宋" w:hAnsi="仿宋" w:eastAsia="仿宋" w:cs="仿宋"/>
                <w:color w:val="000000"/>
                <w:sz w:val="24"/>
                <w:highlight w:val="none"/>
              </w:rPr>
            </w:pPr>
          </w:p>
        </w:tc>
      </w:tr>
      <w:tr w14:paraId="3846E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185" w:type="pct"/>
            <w:vMerge w:val="restart"/>
            <w:vAlign w:val="center"/>
          </w:tcPr>
          <w:p w14:paraId="7F2703B1">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控股关系</w:t>
            </w:r>
          </w:p>
        </w:tc>
        <w:tc>
          <w:tcPr>
            <w:tcW w:w="2330" w:type="pct"/>
            <w:vAlign w:val="center"/>
          </w:tcPr>
          <w:p w14:paraId="16C59B42">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控股股东/投资人名称及出资比例</w:t>
            </w:r>
          </w:p>
        </w:tc>
        <w:tc>
          <w:tcPr>
            <w:tcW w:w="1485" w:type="pct"/>
            <w:vAlign w:val="center"/>
          </w:tcPr>
          <w:p w14:paraId="35E1F37E">
            <w:pPr>
              <w:adjustRightInd w:val="0"/>
              <w:snapToGrid w:val="0"/>
              <w:spacing w:line="360" w:lineRule="auto"/>
              <w:rPr>
                <w:rFonts w:hint="eastAsia" w:ascii="仿宋" w:hAnsi="仿宋" w:eastAsia="仿宋" w:cs="仿宋"/>
                <w:color w:val="000000"/>
                <w:sz w:val="24"/>
                <w:highlight w:val="none"/>
              </w:rPr>
            </w:pPr>
          </w:p>
        </w:tc>
      </w:tr>
      <w:tr w14:paraId="7114F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185" w:type="pct"/>
            <w:vMerge w:val="continue"/>
            <w:vAlign w:val="center"/>
          </w:tcPr>
          <w:p w14:paraId="13BE1AEE">
            <w:pPr>
              <w:adjustRightInd w:val="0"/>
              <w:snapToGrid w:val="0"/>
              <w:spacing w:line="360" w:lineRule="auto"/>
              <w:rPr>
                <w:rFonts w:hint="eastAsia" w:ascii="仿宋" w:hAnsi="仿宋" w:eastAsia="仿宋" w:cs="仿宋"/>
                <w:color w:val="000000"/>
                <w:sz w:val="24"/>
                <w:highlight w:val="none"/>
              </w:rPr>
            </w:pPr>
          </w:p>
        </w:tc>
        <w:tc>
          <w:tcPr>
            <w:tcW w:w="2330" w:type="pct"/>
            <w:vAlign w:val="center"/>
          </w:tcPr>
          <w:p w14:paraId="7F1BDF25">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被控股/被投资单位名称及出资比例</w:t>
            </w:r>
          </w:p>
        </w:tc>
        <w:tc>
          <w:tcPr>
            <w:tcW w:w="1485" w:type="pct"/>
            <w:vAlign w:val="center"/>
          </w:tcPr>
          <w:p w14:paraId="6B4C819B">
            <w:pPr>
              <w:adjustRightInd w:val="0"/>
              <w:snapToGrid w:val="0"/>
              <w:spacing w:line="360" w:lineRule="auto"/>
              <w:rPr>
                <w:rFonts w:hint="eastAsia" w:ascii="仿宋" w:hAnsi="仿宋" w:eastAsia="仿宋" w:cs="仿宋"/>
                <w:color w:val="000000"/>
                <w:sz w:val="24"/>
                <w:highlight w:val="none"/>
              </w:rPr>
            </w:pPr>
          </w:p>
        </w:tc>
      </w:tr>
      <w:tr w14:paraId="07D5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185" w:type="pct"/>
            <w:vMerge w:val="restart"/>
            <w:vAlign w:val="center"/>
          </w:tcPr>
          <w:p w14:paraId="4C824465">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管理关系</w:t>
            </w:r>
          </w:p>
        </w:tc>
        <w:tc>
          <w:tcPr>
            <w:tcW w:w="2330" w:type="pct"/>
            <w:vAlign w:val="center"/>
          </w:tcPr>
          <w:p w14:paraId="3C86B361">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管理关系单位名称</w:t>
            </w:r>
          </w:p>
        </w:tc>
        <w:tc>
          <w:tcPr>
            <w:tcW w:w="1485" w:type="pct"/>
            <w:vAlign w:val="center"/>
          </w:tcPr>
          <w:p w14:paraId="169C5E2B">
            <w:pPr>
              <w:adjustRightInd w:val="0"/>
              <w:snapToGrid w:val="0"/>
              <w:spacing w:line="360" w:lineRule="auto"/>
              <w:rPr>
                <w:rFonts w:hint="eastAsia" w:ascii="仿宋" w:hAnsi="仿宋" w:eastAsia="仿宋" w:cs="仿宋"/>
                <w:color w:val="000000"/>
                <w:sz w:val="24"/>
                <w:highlight w:val="none"/>
              </w:rPr>
            </w:pPr>
          </w:p>
        </w:tc>
      </w:tr>
      <w:tr w14:paraId="60254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185" w:type="pct"/>
            <w:vMerge w:val="continue"/>
            <w:vAlign w:val="center"/>
          </w:tcPr>
          <w:p w14:paraId="1C24D5F7">
            <w:pPr>
              <w:adjustRightInd w:val="0"/>
              <w:snapToGrid w:val="0"/>
              <w:spacing w:line="360" w:lineRule="auto"/>
              <w:rPr>
                <w:rFonts w:hint="eastAsia" w:ascii="仿宋" w:hAnsi="仿宋" w:eastAsia="仿宋" w:cs="仿宋"/>
                <w:color w:val="000000"/>
                <w:sz w:val="24"/>
                <w:highlight w:val="none"/>
              </w:rPr>
            </w:pPr>
          </w:p>
        </w:tc>
        <w:tc>
          <w:tcPr>
            <w:tcW w:w="2330" w:type="pct"/>
            <w:vAlign w:val="center"/>
          </w:tcPr>
          <w:p w14:paraId="4C311DC0">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被管理关系单位名称</w:t>
            </w:r>
          </w:p>
        </w:tc>
        <w:tc>
          <w:tcPr>
            <w:tcW w:w="1485" w:type="pct"/>
            <w:vAlign w:val="center"/>
          </w:tcPr>
          <w:p w14:paraId="134F315C">
            <w:pPr>
              <w:adjustRightInd w:val="0"/>
              <w:snapToGrid w:val="0"/>
              <w:spacing w:line="360" w:lineRule="auto"/>
              <w:rPr>
                <w:rFonts w:hint="eastAsia" w:ascii="仿宋" w:hAnsi="仿宋" w:eastAsia="仿宋" w:cs="仿宋"/>
                <w:color w:val="000000"/>
                <w:sz w:val="24"/>
                <w:highlight w:val="none"/>
              </w:rPr>
            </w:pPr>
          </w:p>
        </w:tc>
      </w:tr>
      <w:tr w14:paraId="18C4A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000" w:type="pct"/>
            <w:gridSpan w:val="3"/>
            <w:vAlign w:val="center"/>
          </w:tcPr>
          <w:p w14:paraId="11CA4BA5">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w:t>
            </w:r>
          </w:p>
        </w:tc>
      </w:tr>
    </w:tbl>
    <w:p w14:paraId="4B2BA126">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注：</w:t>
      </w:r>
    </w:p>
    <w:p w14:paraId="63D200D9">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1.控股股东/投资人是指出资比例在50%以上，或者出资比例不足50%，但享有公司股东会/董事会控制权的投资方（含单位或者个人）</w:t>
      </w:r>
    </w:p>
    <w:p w14:paraId="0A778111">
      <w:pPr>
        <w:adjustRightInd w:val="0"/>
        <w:snapToGrid w:val="0"/>
        <w:spacing w:line="360" w:lineRule="auto"/>
        <w:ind w:left="10" w:leftChars="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2.管理关系单位是指与不具有出资持股关系的其他单位之间存在管理与被管理关系的单位； </w:t>
      </w:r>
    </w:p>
    <w:p w14:paraId="259F22CC">
      <w:pPr>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3.如未有相关情况，请在相应栏填写“无”。</w:t>
      </w:r>
    </w:p>
    <w:p w14:paraId="6506B9BC">
      <w:pPr>
        <w:pStyle w:val="162"/>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2.管理关系单位是指与不具有出资持股关系的其他单位之间存在管理与被管理关系的单位； </w:t>
      </w:r>
    </w:p>
    <w:p w14:paraId="4E104207">
      <w:pPr>
        <w:pStyle w:val="162"/>
        <w:adjustRightInd w:val="0"/>
        <w:snapToGrid w:val="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3.如未有相关情况，请在相应栏填写“无”。</w:t>
      </w:r>
    </w:p>
    <w:p w14:paraId="60C1F37D">
      <w:pPr>
        <w:spacing w:line="360" w:lineRule="auto"/>
        <w:ind w:right="960" w:firstLine="5520" w:firstLineChars="23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0BA6E04C">
      <w:pPr>
        <w:spacing w:line="360" w:lineRule="auto"/>
        <w:ind w:right="960"/>
        <w:jc w:val="center"/>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                                             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1BF78DF1">
      <w:pPr>
        <w:pStyle w:val="4"/>
        <w:spacing w:before="0" w:after="0" w:line="360" w:lineRule="auto"/>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371" w:name="_Toc233292470"/>
      <w:bookmarkStart w:id="372" w:name="_Toc219196020"/>
      <w:bookmarkStart w:id="373" w:name="_Toc231201505"/>
      <w:bookmarkStart w:id="374" w:name="_Toc216971055"/>
      <w:r>
        <w:rPr>
          <w:rFonts w:hint="eastAsia" w:ascii="仿宋" w:hAnsi="仿宋" w:eastAsia="仿宋" w:cs="仿宋"/>
          <w:color w:val="000000"/>
          <w:sz w:val="24"/>
          <w:szCs w:val="24"/>
          <w:highlight w:val="none"/>
        </w:rPr>
        <w:t>12、非联合体及分包、转包响应声明</w:t>
      </w:r>
      <w:bookmarkEnd w:id="371"/>
      <w:bookmarkEnd w:id="372"/>
      <w:bookmarkEnd w:id="373"/>
      <w:bookmarkEnd w:id="374"/>
    </w:p>
    <w:bookmarkEnd w:id="323"/>
    <w:bookmarkEnd w:id="370"/>
    <w:p w14:paraId="030D1139">
      <w:pPr>
        <w:pStyle w:val="18"/>
        <w:spacing w:before="240" w:line="360" w:lineRule="auto"/>
        <w:rPr>
          <w:rFonts w:hint="eastAsia" w:ascii="仿宋" w:hAnsi="仿宋" w:eastAsia="仿宋" w:cs="仿宋"/>
          <w:b/>
          <w:bCs/>
          <w:color w:val="000000"/>
          <w:sz w:val="24"/>
          <w:highlight w:val="none"/>
        </w:rPr>
      </w:pPr>
      <w:bookmarkStart w:id="375" w:name="_Toc71192048"/>
      <w:bookmarkStart w:id="376" w:name="_Toc517281859"/>
      <w:bookmarkStart w:id="377" w:name="_Toc432420841"/>
      <w:bookmarkStart w:id="378" w:name="_Toc20195"/>
      <w:r>
        <w:rPr>
          <w:rFonts w:hint="eastAsia" w:ascii="仿宋" w:hAnsi="仿宋" w:eastAsia="仿宋" w:cs="仿宋"/>
          <w:b/>
          <w:bCs/>
          <w:color w:val="000000"/>
          <w:sz w:val="24"/>
          <w:highlight w:val="none"/>
        </w:rPr>
        <w:t>承诺函</w:t>
      </w:r>
    </w:p>
    <w:p w14:paraId="275A73CD">
      <w:pPr>
        <w:adjustRightInd w:val="0"/>
        <w:snapToGrid w:val="0"/>
        <w:spacing w:before="24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致：</w:t>
      </w:r>
      <w:r>
        <w:rPr>
          <w:rFonts w:hint="eastAsia" w:ascii="仿宋" w:hAnsi="仿宋" w:eastAsia="仿宋" w:cs="仿宋"/>
          <w:color w:val="000000"/>
          <w:sz w:val="24"/>
          <w:highlight w:val="none"/>
          <w:u w:val="single"/>
        </w:rPr>
        <w:t>（采购人）</w:t>
      </w:r>
      <w:r>
        <w:rPr>
          <w:rFonts w:hint="eastAsia" w:ascii="仿宋" w:hAnsi="仿宋" w:eastAsia="仿宋" w:cs="仿宋"/>
          <w:color w:val="000000"/>
          <w:sz w:val="24"/>
          <w:highlight w:val="none"/>
        </w:rPr>
        <w:t>：</w:t>
      </w:r>
    </w:p>
    <w:p w14:paraId="54194CE0">
      <w:pPr>
        <w:adjustRightInd w:val="0"/>
        <w:snapToGrid w:val="0"/>
        <w:spacing w:before="240"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我方</w:t>
      </w:r>
      <w:r>
        <w:rPr>
          <w:rFonts w:hint="eastAsia" w:ascii="仿宋" w:hAnsi="仿宋" w:eastAsia="仿宋" w:cs="仿宋"/>
          <w:color w:val="000000"/>
          <w:sz w:val="24"/>
          <w:highlight w:val="none"/>
          <w:u w:val="single"/>
        </w:rPr>
        <w:t xml:space="preserve">      （供应商名称）   </w:t>
      </w:r>
      <w:r>
        <w:rPr>
          <w:rFonts w:hint="eastAsia" w:ascii="仿宋" w:hAnsi="仿宋" w:eastAsia="仿宋" w:cs="仿宋"/>
          <w:color w:val="000000"/>
          <w:sz w:val="24"/>
          <w:highlight w:val="none"/>
        </w:rPr>
        <w:t>参与</w:t>
      </w:r>
      <w:r>
        <w:rPr>
          <w:rFonts w:hint="eastAsia" w:ascii="仿宋" w:hAnsi="仿宋" w:eastAsia="仿宋" w:cs="仿宋"/>
          <w:color w:val="000000"/>
          <w:sz w:val="24"/>
          <w:highlight w:val="none"/>
          <w:u w:val="single"/>
        </w:rPr>
        <w:t xml:space="preserve">    </w:t>
      </w:r>
      <w:r>
        <w:rPr>
          <w:rFonts w:hint="eastAsia" w:ascii="仿宋" w:hAnsi="仿宋" w:eastAsia="仿宋" w:cs="仿宋"/>
          <w:b/>
          <w:bCs/>
          <w:color w:val="000000"/>
          <w:sz w:val="24"/>
          <w:highlight w:val="none"/>
          <w:u w:val="single"/>
        </w:rPr>
        <w:t>（项目名称）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比选响应，我单位承诺我单位非联合体应答，且成交后不分包、转包。 </w:t>
      </w:r>
    </w:p>
    <w:p w14:paraId="69A71034">
      <w:pPr>
        <w:pStyle w:val="18"/>
        <w:spacing w:line="360" w:lineRule="auto"/>
        <w:ind w:firstLine="480" w:firstLineChars="2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特此声明。</w:t>
      </w:r>
    </w:p>
    <w:p w14:paraId="49258B22">
      <w:pPr>
        <w:pStyle w:val="127"/>
        <w:spacing w:line="360" w:lineRule="auto"/>
        <w:ind w:firstLine="480"/>
        <w:rPr>
          <w:rFonts w:hint="eastAsia" w:ascii="仿宋" w:hAnsi="仿宋" w:eastAsia="仿宋" w:cs="仿宋"/>
          <w:sz w:val="24"/>
          <w:highlight w:val="none"/>
        </w:rPr>
      </w:pPr>
    </w:p>
    <w:p w14:paraId="405774F0">
      <w:pPr>
        <w:pStyle w:val="127"/>
        <w:spacing w:line="360" w:lineRule="auto"/>
        <w:ind w:firstLine="480"/>
        <w:rPr>
          <w:rFonts w:hint="eastAsia" w:ascii="仿宋" w:hAnsi="仿宋" w:eastAsia="仿宋" w:cs="仿宋"/>
          <w:sz w:val="24"/>
          <w:highlight w:val="none"/>
        </w:rPr>
      </w:pPr>
    </w:p>
    <w:p w14:paraId="762DF001">
      <w:pPr>
        <w:pStyle w:val="127"/>
        <w:spacing w:line="360" w:lineRule="auto"/>
        <w:ind w:firstLine="480"/>
        <w:rPr>
          <w:rFonts w:hint="eastAsia" w:ascii="仿宋" w:hAnsi="仿宋" w:eastAsia="仿宋" w:cs="仿宋"/>
          <w:sz w:val="24"/>
          <w:highlight w:val="none"/>
        </w:rPr>
      </w:pPr>
    </w:p>
    <w:p w14:paraId="5B5D47E1">
      <w:pPr>
        <w:pStyle w:val="127"/>
        <w:spacing w:line="360" w:lineRule="auto"/>
        <w:ind w:firstLine="480"/>
        <w:rPr>
          <w:rFonts w:hint="eastAsia" w:ascii="仿宋" w:hAnsi="仿宋" w:eastAsia="仿宋" w:cs="仿宋"/>
          <w:sz w:val="24"/>
          <w:highlight w:val="none"/>
        </w:rPr>
      </w:pPr>
    </w:p>
    <w:p w14:paraId="249B63C6">
      <w:pPr>
        <w:pStyle w:val="127"/>
        <w:spacing w:line="360" w:lineRule="auto"/>
        <w:ind w:firstLine="480"/>
        <w:rPr>
          <w:rFonts w:hint="eastAsia" w:ascii="仿宋" w:hAnsi="仿宋" w:eastAsia="仿宋" w:cs="仿宋"/>
          <w:sz w:val="24"/>
          <w:highlight w:val="none"/>
        </w:rPr>
      </w:pPr>
    </w:p>
    <w:p w14:paraId="784F5F05">
      <w:pPr>
        <w:pStyle w:val="127"/>
        <w:spacing w:line="360" w:lineRule="auto"/>
        <w:ind w:firstLine="480"/>
        <w:rPr>
          <w:rFonts w:hint="eastAsia" w:ascii="仿宋" w:hAnsi="仿宋" w:eastAsia="仿宋" w:cs="仿宋"/>
          <w:sz w:val="24"/>
          <w:highlight w:val="none"/>
        </w:rPr>
      </w:pPr>
    </w:p>
    <w:p w14:paraId="17FD3695">
      <w:pPr>
        <w:pStyle w:val="127"/>
        <w:spacing w:line="360" w:lineRule="auto"/>
        <w:ind w:firstLine="480"/>
        <w:rPr>
          <w:rFonts w:hint="eastAsia" w:ascii="仿宋" w:hAnsi="仿宋" w:eastAsia="仿宋" w:cs="仿宋"/>
          <w:sz w:val="24"/>
          <w:highlight w:val="none"/>
        </w:rPr>
      </w:pPr>
    </w:p>
    <w:p w14:paraId="6823BE07">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3E3E12D2">
      <w:pPr>
        <w:spacing w:line="360" w:lineRule="auto"/>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6E64DAED">
      <w:pPr>
        <w:rPr>
          <w:rFonts w:hint="eastAsia" w:ascii="仿宋" w:hAnsi="仿宋" w:eastAsia="仿宋" w:cs="仿宋"/>
          <w:highlight w:val="none"/>
        </w:rPr>
      </w:pPr>
      <w:r>
        <w:rPr>
          <w:rFonts w:hint="eastAsia" w:ascii="仿宋" w:hAnsi="仿宋" w:eastAsia="仿宋" w:cs="仿宋"/>
          <w:color w:val="000000"/>
          <w:sz w:val="24"/>
          <w:highlight w:val="none"/>
        </w:rPr>
        <w:br w:type="page"/>
      </w:r>
    </w:p>
    <w:p w14:paraId="2E2FB1BB">
      <w:pPr>
        <w:pStyle w:val="4"/>
        <w:spacing w:before="0" w:after="0" w:line="360" w:lineRule="auto"/>
        <w:ind w:left="0" w:firstLine="0"/>
        <w:rPr>
          <w:rFonts w:hint="eastAsia" w:ascii="仿宋" w:hAnsi="仿宋" w:eastAsia="仿宋" w:cs="仿宋"/>
          <w:color w:val="000000"/>
          <w:sz w:val="24"/>
          <w:szCs w:val="24"/>
          <w:highlight w:val="none"/>
        </w:rPr>
      </w:pPr>
      <w:bookmarkStart w:id="379" w:name="_Toc219196022"/>
      <w:bookmarkStart w:id="380" w:name="_Toc15130"/>
      <w:bookmarkStart w:id="381" w:name="_Toc233292471"/>
      <w:bookmarkStart w:id="382" w:name="_Toc65683009"/>
      <w:bookmarkStart w:id="383" w:name="_Toc112068411"/>
      <w:bookmarkStart w:id="384" w:name="_Toc216971057"/>
      <w:bookmarkStart w:id="385" w:name="_Toc231201506"/>
      <w:bookmarkStart w:id="386" w:name="_Toc144139212"/>
      <w:bookmarkStart w:id="387" w:name="_Toc18208"/>
      <w:bookmarkStart w:id="388" w:name="_Toc197681002"/>
      <w:r>
        <w:rPr>
          <w:rFonts w:hint="eastAsia" w:ascii="仿宋" w:hAnsi="仿宋" w:eastAsia="仿宋" w:cs="仿宋"/>
          <w:color w:val="000000"/>
          <w:sz w:val="24"/>
          <w:szCs w:val="24"/>
          <w:highlight w:val="none"/>
        </w:rPr>
        <w:t>13、供应商须知应答偏离表</w:t>
      </w:r>
      <w:bookmarkEnd w:id="379"/>
      <w:bookmarkEnd w:id="380"/>
      <w:bookmarkEnd w:id="381"/>
      <w:bookmarkEnd w:id="382"/>
      <w:bookmarkEnd w:id="383"/>
      <w:bookmarkEnd w:id="384"/>
      <w:bookmarkEnd w:id="385"/>
      <w:bookmarkEnd w:id="386"/>
      <w:bookmarkEnd w:id="387"/>
      <w:bookmarkEnd w:id="388"/>
    </w:p>
    <w:p w14:paraId="76C221AE">
      <w:p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供应商须知应答偏离表</w:t>
      </w:r>
    </w:p>
    <w:p w14:paraId="10930CBF">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2188"/>
        <w:gridCol w:w="2390"/>
        <w:gridCol w:w="2589"/>
        <w:gridCol w:w="1348"/>
      </w:tblGrid>
      <w:tr w14:paraId="4F0421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vAlign w:val="center"/>
          </w:tcPr>
          <w:p w14:paraId="745CAAAA">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1160" w:type="pct"/>
            <w:vAlign w:val="center"/>
          </w:tcPr>
          <w:p w14:paraId="220C2D34">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条目号</w:t>
            </w:r>
          </w:p>
        </w:tc>
        <w:tc>
          <w:tcPr>
            <w:tcW w:w="1267" w:type="pct"/>
            <w:vAlign w:val="center"/>
          </w:tcPr>
          <w:p w14:paraId="482ED7AA">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原文内容</w:t>
            </w:r>
          </w:p>
        </w:tc>
        <w:tc>
          <w:tcPr>
            <w:tcW w:w="1373" w:type="pct"/>
            <w:vAlign w:val="center"/>
          </w:tcPr>
          <w:p w14:paraId="4814824E">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应答</w:t>
            </w:r>
          </w:p>
        </w:tc>
        <w:tc>
          <w:tcPr>
            <w:tcW w:w="715" w:type="pct"/>
            <w:vAlign w:val="center"/>
          </w:tcPr>
          <w:p w14:paraId="55D7B33D">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说明</w:t>
            </w:r>
          </w:p>
        </w:tc>
      </w:tr>
      <w:tr w14:paraId="76B869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6C7C51EA">
            <w:pPr>
              <w:spacing w:line="360" w:lineRule="auto"/>
              <w:rPr>
                <w:rFonts w:hint="eastAsia" w:ascii="仿宋" w:hAnsi="仿宋" w:eastAsia="仿宋" w:cs="仿宋"/>
                <w:color w:val="000000"/>
                <w:sz w:val="24"/>
                <w:highlight w:val="none"/>
              </w:rPr>
            </w:pPr>
          </w:p>
        </w:tc>
        <w:tc>
          <w:tcPr>
            <w:tcW w:w="1160" w:type="pct"/>
          </w:tcPr>
          <w:p w14:paraId="785F6AA7">
            <w:pPr>
              <w:spacing w:line="360" w:lineRule="auto"/>
              <w:rPr>
                <w:rFonts w:hint="eastAsia" w:ascii="仿宋" w:hAnsi="仿宋" w:eastAsia="仿宋" w:cs="仿宋"/>
                <w:color w:val="000000"/>
                <w:sz w:val="24"/>
                <w:highlight w:val="none"/>
              </w:rPr>
            </w:pPr>
          </w:p>
        </w:tc>
        <w:tc>
          <w:tcPr>
            <w:tcW w:w="1267" w:type="pct"/>
          </w:tcPr>
          <w:p w14:paraId="7F8B7130">
            <w:pPr>
              <w:spacing w:line="360" w:lineRule="auto"/>
              <w:rPr>
                <w:rFonts w:hint="eastAsia" w:ascii="仿宋" w:hAnsi="仿宋" w:eastAsia="仿宋" w:cs="仿宋"/>
                <w:color w:val="000000"/>
                <w:sz w:val="24"/>
                <w:highlight w:val="none"/>
              </w:rPr>
            </w:pPr>
          </w:p>
        </w:tc>
        <w:tc>
          <w:tcPr>
            <w:tcW w:w="1373" w:type="pct"/>
          </w:tcPr>
          <w:p w14:paraId="23824DA1">
            <w:pPr>
              <w:spacing w:line="360" w:lineRule="auto"/>
              <w:rPr>
                <w:rFonts w:hint="eastAsia" w:ascii="仿宋" w:hAnsi="仿宋" w:eastAsia="仿宋" w:cs="仿宋"/>
                <w:color w:val="000000"/>
                <w:sz w:val="24"/>
                <w:highlight w:val="none"/>
              </w:rPr>
            </w:pPr>
          </w:p>
        </w:tc>
        <w:tc>
          <w:tcPr>
            <w:tcW w:w="715" w:type="pct"/>
          </w:tcPr>
          <w:p w14:paraId="58E8D175">
            <w:pPr>
              <w:spacing w:line="360" w:lineRule="auto"/>
              <w:rPr>
                <w:rFonts w:hint="eastAsia" w:ascii="仿宋" w:hAnsi="仿宋" w:eastAsia="仿宋" w:cs="仿宋"/>
                <w:color w:val="000000"/>
                <w:sz w:val="24"/>
                <w:highlight w:val="none"/>
              </w:rPr>
            </w:pPr>
          </w:p>
        </w:tc>
      </w:tr>
      <w:tr w14:paraId="251695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5" w:type="pct"/>
          </w:tcPr>
          <w:p w14:paraId="1BB9A740">
            <w:pPr>
              <w:spacing w:line="360" w:lineRule="auto"/>
              <w:rPr>
                <w:rFonts w:hint="eastAsia" w:ascii="仿宋" w:hAnsi="仿宋" w:eastAsia="仿宋" w:cs="仿宋"/>
                <w:color w:val="000000"/>
                <w:sz w:val="24"/>
                <w:highlight w:val="none"/>
              </w:rPr>
            </w:pPr>
          </w:p>
        </w:tc>
        <w:tc>
          <w:tcPr>
            <w:tcW w:w="1160" w:type="pct"/>
          </w:tcPr>
          <w:p w14:paraId="3C5200AA">
            <w:pPr>
              <w:spacing w:line="360" w:lineRule="auto"/>
              <w:rPr>
                <w:rFonts w:hint="eastAsia" w:ascii="仿宋" w:hAnsi="仿宋" w:eastAsia="仿宋" w:cs="仿宋"/>
                <w:color w:val="000000"/>
                <w:sz w:val="24"/>
                <w:highlight w:val="none"/>
              </w:rPr>
            </w:pPr>
          </w:p>
        </w:tc>
        <w:tc>
          <w:tcPr>
            <w:tcW w:w="1267" w:type="pct"/>
          </w:tcPr>
          <w:p w14:paraId="30F05F5D">
            <w:pPr>
              <w:spacing w:line="360" w:lineRule="auto"/>
              <w:rPr>
                <w:rFonts w:hint="eastAsia" w:ascii="仿宋" w:hAnsi="仿宋" w:eastAsia="仿宋" w:cs="仿宋"/>
                <w:color w:val="000000"/>
                <w:sz w:val="24"/>
                <w:highlight w:val="none"/>
              </w:rPr>
            </w:pPr>
          </w:p>
        </w:tc>
        <w:tc>
          <w:tcPr>
            <w:tcW w:w="1373" w:type="pct"/>
          </w:tcPr>
          <w:p w14:paraId="108731F4">
            <w:pPr>
              <w:spacing w:line="360" w:lineRule="auto"/>
              <w:rPr>
                <w:rFonts w:hint="eastAsia" w:ascii="仿宋" w:hAnsi="仿宋" w:eastAsia="仿宋" w:cs="仿宋"/>
                <w:color w:val="000000"/>
                <w:sz w:val="24"/>
                <w:highlight w:val="none"/>
              </w:rPr>
            </w:pPr>
          </w:p>
        </w:tc>
        <w:tc>
          <w:tcPr>
            <w:tcW w:w="715" w:type="pct"/>
          </w:tcPr>
          <w:p w14:paraId="2D9415D7">
            <w:pPr>
              <w:spacing w:line="360" w:lineRule="auto"/>
              <w:rPr>
                <w:rFonts w:hint="eastAsia" w:ascii="仿宋" w:hAnsi="仿宋" w:eastAsia="仿宋" w:cs="仿宋"/>
                <w:color w:val="000000"/>
                <w:sz w:val="24"/>
                <w:highlight w:val="none"/>
              </w:rPr>
            </w:pPr>
          </w:p>
        </w:tc>
      </w:tr>
      <w:tr w14:paraId="2185B5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6E6F328A">
            <w:pPr>
              <w:spacing w:line="360" w:lineRule="auto"/>
              <w:rPr>
                <w:rFonts w:hint="eastAsia" w:ascii="仿宋" w:hAnsi="仿宋" w:eastAsia="仿宋" w:cs="仿宋"/>
                <w:color w:val="000000"/>
                <w:sz w:val="24"/>
                <w:highlight w:val="none"/>
              </w:rPr>
            </w:pPr>
          </w:p>
        </w:tc>
        <w:tc>
          <w:tcPr>
            <w:tcW w:w="1160" w:type="pct"/>
          </w:tcPr>
          <w:p w14:paraId="3AF2BDF6">
            <w:pPr>
              <w:spacing w:line="360" w:lineRule="auto"/>
              <w:rPr>
                <w:rFonts w:hint="eastAsia" w:ascii="仿宋" w:hAnsi="仿宋" w:eastAsia="仿宋" w:cs="仿宋"/>
                <w:color w:val="000000"/>
                <w:sz w:val="24"/>
                <w:highlight w:val="none"/>
              </w:rPr>
            </w:pPr>
          </w:p>
        </w:tc>
        <w:tc>
          <w:tcPr>
            <w:tcW w:w="1267" w:type="pct"/>
          </w:tcPr>
          <w:p w14:paraId="0D6E5A84">
            <w:pPr>
              <w:spacing w:line="360" w:lineRule="auto"/>
              <w:rPr>
                <w:rFonts w:hint="eastAsia" w:ascii="仿宋" w:hAnsi="仿宋" w:eastAsia="仿宋" w:cs="仿宋"/>
                <w:color w:val="000000"/>
                <w:sz w:val="24"/>
                <w:highlight w:val="none"/>
              </w:rPr>
            </w:pPr>
          </w:p>
        </w:tc>
        <w:tc>
          <w:tcPr>
            <w:tcW w:w="1373" w:type="pct"/>
          </w:tcPr>
          <w:p w14:paraId="5D932CC1">
            <w:pPr>
              <w:spacing w:line="360" w:lineRule="auto"/>
              <w:rPr>
                <w:rFonts w:hint="eastAsia" w:ascii="仿宋" w:hAnsi="仿宋" w:eastAsia="仿宋" w:cs="仿宋"/>
                <w:color w:val="000000"/>
                <w:sz w:val="24"/>
                <w:highlight w:val="none"/>
              </w:rPr>
            </w:pPr>
          </w:p>
        </w:tc>
        <w:tc>
          <w:tcPr>
            <w:tcW w:w="715" w:type="pct"/>
          </w:tcPr>
          <w:p w14:paraId="7228C7CB">
            <w:pPr>
              <w:spacing w:line="360" w:lineRule="auto"/>
              <w:rPr>
                <w:rFonts w:hint="eastAsia" w:ascii="仿宋" w:hAnsi="仿宋" w:eastAsia="仿宋" w:cs="仿宋"/>
                <w:color w:val="000000"/>
                <w:sz w:val="24"/>
                <w:highlight w:val="none"/>
              </w:rPr>
            </w:pPr>
          </w:p>
        </w:tc>
      </w:tr>
      <w:tr w14:paraId="37E912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21863CED">
            <w:pPr>
              <w:spacing w:line="360" w:lineRule="auto"/>
              <w:rPr>
                <w:rFonts w:hint="eastAsia" w:ascii="仿宋" w:hAnsi="仿宋" w:eastAsia="仿宋" w:cs="仿宋"/>
                <w:color w:val="000000"/>
                <w:sz w:val="24"/>
                <w:highlight w:val="none"/>
              </w:rPr>
            </w:pPr>
          </w:p>
        </w:tc>
        <w:tc>
          <w:tcPr>
            <w:tcW w:w="1160" w:type="pct"/>
          </w:tcPr>
          <w:p w14:paraId="35DC152F">
            <w:pPr>
              <w:spacing w:line="360" w:lineRule="auto"/>
              <w:rPr>
                <w:rFonts w:hint="eastAsia" w:ascii="仿宋" w:hAnsi="仿宋" w:eastAsia="仿宋" w:cs="仿宋"/>
                <w:color w:val="000000"/>
                <w:sz w:val="24"/>
                <w:highlight w:val="none"/>
              </w:rPr>
            </w:pPr>
          </w:p>
        </w:tc>
        <w:tc>
          <w:tcPr>
            <w:tcW w:w="1267" w:type="pct"/>
          </w:tcPr>
          <w:p w14:paraId="572571AE">
            <w:pPr>
              <w:spacing w:line="360" w:lineRule="auto"/>
              <w:rPr>
                <w:rFonts w:hint="eastAsia" w:ascii="仿宋" w:hAnsi="仿宋" w:eastAsia="仿宋" w:cs="仿宋"/>
                <w:color w:val="000000"/>
                <w:sz w:val="24"/>
                <w:highlight w:val="none"/>
              </w:rPr>
            </w:pPr>
          </w:p>
        </w:tc>
        <w:tc>
          <w:tcPr>
            <w:tcW w:w="1373" w:type="pct"/>
          </w:tcPr>
          <w:p w14:paraId="52871699">
            <w:pPr>
              <w:spacing w:line="360" w:lineRule="auto"/>
              <w:rPr>
                <w:rFonts w:hint="eastAsia" w:ascii="仿宋" w:hAnsi="仿宋" w:eastAsia="仿宋" w:cs="仿宋"/>
                <w:color w:val="000000"/>
                <w:sz w:val="24"/>
                <w:highlight w:val="none"/>
              </w:rPr>
            </w:pPr>
          </w:p>
        </w:tc>
        <w:tc>
          <w:tcPr>
            <w:tcW w:w="715" w:type="pct"/>
          </w:tcPr>
          <w:p w14:paraId="237AC520">
            <w:pPr>
              <w:spacing w:line="360" w:lineRule="auto"/>
              <w:rPr>
                <w:rFonts w:hint="eastAsia" w:ascii="仿宋" w:hAnsi="仿宋" w:eastAsia="仿宋" w:cs="仿宋"/>
                <w:color w:val="000000"/>
                <w:sz w:val="24"/>
                <w:highlight w:val="none"/>
              </w:rPr>
            </w:pPr>
          </w:p>
        </w:tc>
      </w:tr>
      <w:tr w14:paraId="7BAFFF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5" w:type="pct"/>
          </w:tcPr>
          <w:p w14:paraId="0374A31D">
            <w:pPr>
              <w:spacing w:line="360" w:lineRule="auto"/>
              <w:rPr>
                <w:rFonts w:hint="eastAsia" w:ascii="仿宋" w:hAnsi="仿宋" w:eastAsia="仿宋" w:cs="仿宋"/>
                <w:color w:val="000000"/>
                <w:sz w:val="24"/>
                <w:highlight w:val="none"/>
              </w:rPr>
            </w:pPr>
          </w:p>
        </w:tc>
        <w:tc>
          <w:tcPr>
            <w:tcW w:w="1160" w:type="pct"/>
          </w:tcPr>
          <w:p w14:paraId="2CA235E6">
            <w:pPr>
              <w:spacing w:line="360" w:lineRule="auto"/>
              <w:rPr>
                <w:rFonts w:hint="eastAsia" w:ascii="仿宋" w:hAnsi="仿宋" w:eastAsia="仿宋" w:cs="仿宋"/>
                <w:color w:val="000000"/>
                <w:sz w:val="24"/>
                <w:highlight w:val="none"/>
              </w:rPr>
            </w:pPr>
          </w:p>
        </w:tc>
        <w:tc>
          <w:tcPr>
            <w:tcW w:w="1267" w:type="pct"/>
          </w:tcPr>
          <w:p w14:paraId="65FA9264">
            <w:pPr>
              <w:spacing w:line="360" w:lineRule="auto"/>
              <w:rPr>
                <w:rFonts w:hint="eastAsia" w:ascii="仿宋" w:hAnsi="仿宋" w:eastAsia="仿宋" w:cs="仿宋"/>
                <w:color w:val="000000"/>
                <w:sz w:val="24"/>
                <w:highlight w:val="none"/>
              </w:rPr>
            </w:pPr>
          </w:p>
        </w:tc>
        <w:tc>
          <w:tcPr>
            <w:tcW w:w="1373" w:type="pct"/>
          </w:tcPr>
          <w:p w14:paraId="58CEFE5D">
            <w:pPr>
              <w:spacing w:line="360" w:lineRule="auto"/>
              <w:rPr>
                <w:rFonts w:hint="eastAsia" w:ascii="仿宋" w:hAnsi="仿宋" w:eastAsia="仿宋" w:cs="仿宋"/>
                <w:color w:val="000000"/>
                <w:sz w:val="24"/>
                <w:highlight w:val="none"/>
              </w:rPr>
            </w:pPr>
          </w:p>
        </w:tc>
        <w:tc>
          <w:tcPr>
            <w:tcW w:w="715" w:type="pct"/>
          </w:tcPr>
          <w:p w14:paraId="18010F2D">
            <w:pPr>
              <w:spacing w:line="360" w:lineRule="auto"/>
              <w:rPr>
                <w:rFonts w:hint="eastAsia" w:ascii="仿宋" w:hAnsi="仿宋" w:eastAsia="仿宋" w:cs="仿宋"/>
                <w:color w:val="000000"/>
                <w:sz w:val="24"/>
                <w:highlight w:val="none"/>
              </w:rPr>
            </w:pPr>
          </w:p>
        </w:tc>
      </w:tr>
    </w:tbl>
    <w:p w14:paraId="29EC7628">
      <w:pPr>
        <w:spacing w:line="360" w:lineRule="auto"/>
        <w:ind w:left="480" w:hanging="480" w:hangingChars="200"/>
        <w:jc w:val="lef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注：所有偏离须在本表中列出，未在本偏离表中列出偏离，将视为供应商已完全接受比选文件要求</w:t>
      </w:r>
      <w:r>
        <w:rPr>
          <w:rFonts w:hint="eastAsia" w:ascii="仿宋" w:hAnsi="仿宋" w:eastAsia="仿宋" w:cs="仿宋"/>
          <w:b/>
          <w:bCs/>
          <w:color w:val="000000"/>
          <w:sz w:val="24"/>
          <w:highlight w:val="none"/>
        </w:rPr>
        <w:t>。如全部满足，在偏离表中应答“全部满足”即可。</w:t>
      </w:r>
    </w:p>
    <w:p w14:paraId="6F7DA895">
      <w:pPr>
        <w:spacing w:line="360" w:lineRule="auto"/>
        <w:ind w:firstLine="4080" w:firstLineChars="1700"/>
        <w:jc w:val="right"/>
        <w:rPr>
          <w:rFonts w:hint="eastAsia" w:ascii="仿宋" w:hAnsi="仿宋" w:eastAsia="仿宋" w:cs="仿宋"/>
          <w:color w:val="000000"/>
          <w:sz w:val="24"/>
          <w:highlight w:val="none"/>
        </w:rPr>
      </w:pPr>
    </w:p>
    <w:p w14:paraId="42B943FB">
      <w:pPr>
        <w:spacing w:line="360" w:lineRule="auto"/>
        <w:ind w:firstLine="4080" w:firstLineChars="1700"/>
        <w:jc w:val="right"/>
        <w:rPr>
          <w:rFonts w:hint="eastAsia" w:ascii="仿宋" w:hAnsi="仿宋" w:eastAsia="仿宋" w:cs="仿宋"/>
          <w:color w:val="000000"/>
          <w:sz w:val="24"/>
          <w:highlight w:val="none"/>
        </w:rPr>
      </w:pPr>
    </w:p>
    <w:p w14:paraId="5871C4BB">
      <w:pPr>
        <w:spacing w:line="360" w:lineRule="auto"/>
        <w:ind w:firstLine="4080" w:firstLineChars="1700"/>
        <w:jc w:val="right"/>
        <w:rPr>
          <w:rFonts w:hint="eastAsia" w:ascii="仿宋" w:hAnsi="仿宋" w:eastAsia="仿宋" w:cs="仿宋"/>
          <w:color w:val="000000"/>
          <w:sz w:val="24"/>
          <w:highlight w:val="none"/>
        </w:rPr>
      </w:pPr>
    </w:p>
    <w:p w14:paraId="1F951DE4">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542BFB65">
      <w:pPr>
        <w:spacing w:line="360" w:lineRule="auto"/>
        <w:jc w:val="right"/>
        <w:rPr>
          <w:rFonts w:hint="eastAsia" w:ascii="仿宋" w:hAnsi="仿宋" w:eastAsia="仿宋" w:cs="仿宋"/>
          <w:color w:val="000000"/>
          <w:sz w:val="24"/>
          <w:highlight w:val="none"/>
        </w:rPr>
        <w:sectPr>
          <w:pgSz w:w="11906" w:h="16838"/>
          <w:pgMar w:top="1417" w:right="1558" w:bottom="1134" w:left="1134" w:header="851" w:footer="992" w:gutter="0"/>
          <w:cols w:space="720" w:num="1"/>
          <w:titlePg/>
          <w:docGrid w:type="lines" w:linePitch="312" w:charSpace="0"/>
        </w:sect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77561892">
      <w:pPr>
        <w:pStyle w:val="4"/>
        <w:spacing w:before="0" w:after="0" w:line="360" w:lineRule="auto"/>
        <w:ind w:left="0" w:firstLine="0"/>
        <w:rPr>
          <w:rFonts w:hint="eastAsia" w:ascii="仿宋" w:hAnsi="仿宋" w:eastAsia="仿宋" w:cs="仿宋"/>
          <w:color w:val="000000"/>
          <w:sz w:val="24"/>
          <w:szCs w:val="24"/>
          <w:highlight w:val="none"/>
        </w:rPr>
      </w:pPr>
      <w:bookmarkStart w:id="389" w:name="_Toc216971058"/>
      <w:bookmarkStart w:id="390" w:name="_Toc231201507"/>
      <w:bookmarkStart w:id="391" w:name="_Toc233292472"/>
      <w:bookmarkStart w:id="392" w:name="_Toc197681003"/>
      <w:bookmarkStart w:id="393" w:name="_Toc219196023"/>
      <w:r>
        <w:rPr>
          <w:rFonts w:hint="eastAsia" w:ascii="仿宋" w:hAnsi="仿宋" w:eastAsia="仿宋" w:cs="仿宋"/>
          <w:color w:val="000000"/>
          <w:sz w:val="24"/>
          <w:szCs w:val="24"/>
          <w:highlight w:val="none"/>
        </w:rPr>
        <w:t>14、合同条款应答偏离表</w:t>
      </w:r>
      <w:bookmarkEnd w:id="389"/>
      <w:bookmarkEnd w:id="390"/>
      <w:bookmarkEnd w:id="391"/>
      <w:bookmarkEnd w:id="392"/>
      <w:bookmarkEnd w:id="393"/>
    </w:p>
    <w:p w14:paraId="3CF999D7">
      <w:p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14:paraId="4E8FB03C">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286"/>
        <w:gridCol w:w="2497"/>
        <w:gridCol w:w="2706"/>
        <w:gridCol w:w="1409"/>
      </w:tblGrid>
      <w:tr w14:paraId="449259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vAlign w:val="center"/>
          </w:tcPr>
          <w:p w14:paraId="7968D38C">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1160" w:type="pct"/>
            <w:vAlign w:val="center"/>
          </w:tcPr>
          <w:p w14:paraId="45889553">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条目号</w:t>
            </w:r>
          </w:p>
        </w:tc>
        <w:tc>
          <w:tcPr>
            <w:tcW w:w="1267" w:type="pct"/>
            <w:vAlign w:val="center"/>
          </w:tcPr>
          <w:p w14:paraId="23D5678C">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原文内容</w:t>
            </w:r>
          </w:p>
        </w:tc>
        <w:tc>
          <w:tcPr>
            <w:tcW w:w="1373" w:type="pct"/>
            <w:vAlign w:val="center"/>
          </w:tcPr>
          <w:p w14:paraId="4CF229E5">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应答</w:t>
            </w:r>
          </w:p>
        </w:tc>
        <w:tc>
          <w:tcPr>
            <w:tcW w:w="715" w:type="pct"/>
            <w:vAlign w:val="center"/>
          </w:tcPr>
          <w:p w14:paraId="013E0D56">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说明</w:t>
            </w:r>
          </w:p>
        </w:tc>
      </w:tr>
      <w:tr w14:paraId="4EE93C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3D762718">
            <w:pPr>
              <w:spacing w:line="360" w:lineRule="auto"/>
              <w:rPr>
                <w:rFonts w:hint="eastAsia" w:ascii="仿宋" w:hAnsi="仿宋" w:eastAsia="仿宋" w:cs="仿宋"/>
                <w:color w:val="000000"/>
                <w:sz w:val="24"/>
                <w:highlight w:val="none"/>
              </w:rPr>
            </w:pPr>
          </w:p>
        </w:tc>
        <w:tc>
          <w:tcPr>
            <w:tcW w:w="1160" w:type="pct"/>
          </w:tcPr>
          <w:p w14:paraId="78C68FEB">
            <w:pPr>
              <w:spacing w:line="360" w:lineRule="auto"/>
              <w:rPr>
                <w:rFonts w:hint="eastAsia" w:ascii="仿宋" w:hAnsi="仿宋" w:eastAsia="仿宋" w:cs="仿宋"/>
                <w:color w:val="000000"/>
                <w:sz w:val="24"/>
                <w:highlight w:val="none"/>
              </w:rPr>
            </w:pPr>
          </w:p>
        </w:tc>
        <w:tc>
          <w:tcPr>
            <w:tcW w:w="1267" w:type="pct"/>
          </w:tcPr>
          <w:p w14:paraId="748C2028">
            <w:pPr>
              <w:spacing w:line="360" w:lineRule="auto"/>
              <w:rPr>
                <w:rFonts w:hint="eastAsia" w:ascii="仿宋" w:hAnsi="仿宋" w:eastAsia="仿宋" w:cs="仿宋"/>
                <w:color w:val="000000"/>
                <w:sz w:val="24"/>
                <w:highlight w:val="none"/>
              </w:rPr>
            </w:pPr>
          </w:p>
        </w:tc>
        <w:tc>
          <w:tcPr>
            <w:tcW w:w="1373" w:type="pct"/>
          </w:tcPr>
          <w:p w14:paraId="3EBA8D0D">
            <w:pPr>
              <w:spacing w:line="360" w:lineRule="auto"/>
              <w:rPr>
                <w:rFonts w:hint="eastAsia" w:ascii="仿宋" w:hAnsi="仿宋" w:eastAsia="仿宋" w:cs="仿宋"/>
                <w:color w:val="000000"/>
                <w:sz w:val="24"/>
                <w:highlight w:val="none"/>
              </w:rPr>
            </w:pPr>
          </w:p>
        </w:tc>
        <w:tc>
          <w:tcPr>
            <w:tcW w:w="715" w:type="pct"/>
          </w:tcPr>
          <w:p w14:paraId="15C20291">
            <w:pPr>
              <w:spacing w:line="360" w:lineRule="auto"/>
              <w:rPr>
                <w:rFonts w:hint="eastAsia" w:ascii="仿宋" w:hAnsi="仿宋" w:eastAsia="仿宋" w:cs="仿宋"/>
                <w:color w:val="000000"/>
                <w:sz w:val="24"/>
                <w:highlight w:val="none"/>
              </w:rPr>
            </w:pPr>
          </w:p>
        </w:tc>
      </w:tr>
      <w:tr w14:paraId="201F0D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5" w:type="pct"/>
          </w:tcPr>
          <w:p w14:paraId="64B5AF4F">
            <w:pPr>
              <w:spacing w:line="360" w:lineRule="auto"/>
              <w:rPr>
                <w:rFonts w:hint="eastAsia" w:ascii="仿宋" w:hAnsi="仿宋" w:eastAsia="仿宋" w:cs="仿宋"/>
                <w:color w:val="000000"/>
                <w:sz w:val="24"/>
                <w:highlight w:val="none"/>
              </w:rPr>
            </w:pPr>
          </w:p>
        </w:tc>
        <w:tc>
          <w:tcPr>
            <w:tcW w:w="1160" w:type="pct"/>
          </w:tcPr>
          <w:p w14:paraId="29134F4E">
            <w:pPr>
              <w:spacing w:line="360" w:lineRule="auto"/>
              <w:rPr>
                <w:rFonts w:hint="eastAsia" w:ascii="仿宋" w:hAnsi="仿宋" w:eastAsia="仿宋" w:cs="仿宋"/>
                <w:color w:val="000000"/>
                <w:sz w:val="24"/>
                <w:highlight w:val="none"/>
              </w:rPr>
            </w:pPr>
          </w:p>
        </w:tc>
        <w:tc>
          <w:tcPr>
            <w:tcW w:w="1267" w:type="pct"/>
          </w:tcPr>
          <w:p w14:paraId="64D62280">
            <w:pPr>
              <w:spacing w:line="360" w:lineRule="auto"/>
              <w:rPr>
                <w:rFonts w:hint="eastAsia" w:ascii="仿宋" w:hAnsi="仿宋" w:eastAsia="仿宋" w:cs="仿宋"/>
                <w:color w:val="000000"/>
                <w:sz w:val="24"/>
                <w:highlight w:val="none"/>
              </w:rPr>
            </w:pPr>
          </w:p>
        </w:tc>
        <w:tc>
          <w:tcPr>
            <w:tcW w:w="1373" w:type="pct"/>
          </w:tcPr>
          <w:p w14:paraId="05F66710">
            <w:pPr>
              <w:spacing w:line="360" w:lineRule="auto"/>
              <w:rPr>
                <w:rFonts w:hint="eastAsia" w:ascii="仿宋" w:hAnsi="仿宋" w:eastAsia="仿宋" w:cs="仿宋"/>
                <w:color w:val="000000"/>
                <w:sz w:val="24"/>
                <w:highlight w:val="none"/>
              </w:rPr>
            </w:pPr>
          </w:p>
        </w:tc>
        <w:tc>
          <w:tcPr>
            <w:tcW w:w="715" w:type="pct"/>
          </w:tcPr>
          <w:p w14:paraId="58DC8D21">
            <w:pPr>
              <w:spacing w:line="360" w:lineRule="auto"/>
              <w:rPr>
                <w:rFonts w:hint="eastAsia" w:ascii="仿宋" w:hAnsi="仿宋" w:eastAsia="仿宋" w:cs="仿宋"/>
                <w:color w:val="000000"/>
                <w:sz w:val="24"/>
                <w:highlight w:val="none"/>
              </w:rPr>
            </w:pPr>
          </w:p>
        </w:tc>
      </w:tr>
      <w:tr w14:paraId="491392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624DDC12">
            <w:pPr>
              <w:spacing w:line="360" w:lineRule="auto"/>
              <w:rPr>
                <w:rFonts w:hint="eastAsia" w:ascii="仿宋" w:hAnsi="仿宋" w:eastAsia="仿宋" w:cs="仿宋"/>
                <w:color w:val="000000"/>
                <w:sz w:val="24"/>
                <w:highlight w:val="none"/>
              </w:rPr>
            </w:pPr>
          </w:p>
        </w:tc>
        <w:tc>
          <w:tcPr>
            <w:tcW w:w="1160" w:type="pct"/>
          </w:tcPr>
          <w:p w14:paraId="600098F8">
            <w:pPr>
              <w:spacing w:line="360" w:lineRule="auto"/>
              <w:rPr>
                <w:rFonts w:hint="eastAsia" w:ascii="仿宋" w:hAnsi="仿宋" w:eastAsia="仿宋" w:cs="仿宋"/>
                <w:color w:val="000000"/>
                <w:sz w:val="24"/>
                <w:highlight w:val="none"/>
              </w:rPr>
            </w:pPr>
          </w:p>
        </w:tc>
        <w:tc>
          <w:tcPr>
            <w:tcW w:w="1267" w:type="pct"/>
          </w:tcPr>
          <w:p w14:paraId="11F95AA8">
            <w:pPr>
              <w:spacing w:line="360" w:lineRule="auto"/>
              <w:rPr>
                <w:rFonts w:hint="eastAsia" w:ascii="仿宋" w:hAnsi="仿宋" w:eastAsia="仿宋" w:cs="仿宋"/>
                <w:color w:val="000000"/>
                <w:sz w:val="24"/>
                <w:highlight w:val="none"/>
              </w:rPr>
            </w:pPr>
          </w:p>
        </w:tc>
        <w:tc>
          <w:tcPr>
            <w:tcW w:w="1373" w:type="pct"/>
          </w:tcPr>
          <w:p w14:paraId="26179C79">
            <w:pPr>
              <w:spacing w:line="360" w:lineRule="auto"/>
              <w:rPr>
                <w:rFonts w:hint="eastAsia" w:ascii="仿宋" w:hAnsi="仿宋" w:eastAsia="仿宋" w:cs="仿宋"/>
                <w:color w:val="000000"/>
                <w:sz w:val="24"/>
                <w:highlight w:val="none"/>
              </w:rPr>
            </w:pPr>
          </w:p>
        </w:tc>
        <w:tc>
          <w:tcPr>
            <w:tcW w:w="715" w:type="pct"/>
          </w:tcPr>
          <w:p w14:paraId="72DAA5B2">
            <w:pPr>
              <w:spacing w:line="360" w:lineRule="auto"/>
              <w:rPr>
                <w:rFonts w:hint="eastAsia" w:ascii="仿宋" w:hAnsi="仿宋" w:eastAsia="仿宋" w:cs="仿宋"/>
                <w:color w:val="000000"/>
                <w:sz w:val="24"/>
                <w:highlight w:val="none"/>
              </w:rPr>
            </w:pPr>
          </w:p>
        </w:tc>
      </w:tr>
      <w:tr w14:paraId="2CBD8C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0EE45343">
            <w:pPr>
              <w:spacing w:line="360" w:lineRule="auto"/>
              <w:rPr>
                <w:rFonts w:hint="eastAsia" w:ascii="仿宋" w:hAnsi="仿宋" w:eastAsia="仿宋" w:cs="仿宋"/>
                <w:color w:val="000000"/>
                <w:sz w:val="24"/>
                <w:highlight w:val="none"/>
              </w:rPr>
            </w:pPr>
          </w:p>
        </w:tc>
        <w:tc>
          <w:tcPr>
            <w:tcW w:w="1160" w:type="pct"/>
          </w:tcPr>
          <w:p w14:paraId="685ADCA5">
            <w:pPr>
              <w:spacing w:line="360" w:lineRule="auto"/>
              <w:rPr>
                <w:rFonts w:hint="eastAsia" w:ascii="仿宋" w:hAnsi="仿宋" w:eastAsia="仿宋" w:cs="仿宋"/>
                <w:color w:val="000000"/>
                <w:sz w:val="24"/>
                <w:highlight w:val="none"/>
              </w:rPr>
            </w:pPr>
          </w:p>
        </w:tc>
        <w:tc>
          <w:tcPr>
            <w:tcW w:w="1267" w:type="pct"/>
          </w:tcPr>
          <w:p w14:paraId="00CFA5B3">
            <w:pPr>
              <w:spacing w:line="360" w:lineRule="auto"/>
              <w:rPr>
                <w:rFonts w:hint="eastAsia" w:ascii="仿宋" w:hAnsi="仿宋" w:eastAsia="仿宋" w:cs="仿宋"/>
                <w:color w:val="000000"/>
                <w:sz w:val="24"/>
                <w:highlight w:val="none"/>
              </w:rPr>
            </w:pPr>
          </w:p>
        </w:tc>
        <w:tc>
          <w:tcPr>
            <w:tcW w:w="1373" w:type="pct"/>
          </w:tcPr>
          <w:p w14:paraId="39146BE4">
            <w:pPr>
              <w:spacing w:line="360" w:lineRule="auto"/>
              <w:rPr>
                <w:rFonts w:hint="eastAsia" w:ascii="仿宋" w:hAnsi="仿宋" w:eastAsia="仿宋" w:cs="仿宋"/>
                <w:color w:val="000000"/>
                <w:sz w:val="24"/>
                <w:highlight w:val="none"/>
              </w:rPr>
            </w:pPr>
          </w:p>
        </w:tc>
        <w:tc>
          <w:tcPr>
            <w:tcW w:w="715" w:type="pct"/>
          </w:tcPr>
          <w:p w14:paraId="5F7BD595">
            <w:pPr>
              <w:spacing w:line="360" w:lineRule="auto"/>
              <w:rPr>
                <w:rFonts w:hint="eastAsia" w:ascii="仿宋" w:hAnsi="仿宋" w:eastAsia="仿宋" w:cs="仿宋"/>
                <w:color w:val="000000"/>
                <w:sz w:val="24"/>
                <w:highlight w:val="none"/>
              </w:rPr>
            </w:pPr>
          </w:p>
        </w:tc>
      </w:tr>
      <w:tr w14:paraId="160BC9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5" w:type="pct"/>
          </w:tcPr>
          <w:p w14:paraId="7EC695E7">
            <w:pPr>
              <w:spacing w:line="360" w:lineRule="auto"/>
              <w:rPr>
                <w:rFonts w:hint="eastAsia" w:ascii="仿宋" w:hAnsi="仿宋" w:eastAsia="仿宋" w:cs="仿宋"/>
                <w:color w:val="000000"/>
                <w:sz w:val="24"/>
                <w:highlight w:val="none"/>
              </w:rPr>
            </w:pPr>
          </w:p>
        </w:tc>
        <w:tc>
          <w:tcPr>
            <w:tcW w:w="1160" w:type="pct"/>
          </w:tcPr>
          <w:p w14:paraId="2371A918">
            <w:pPr>
              <w:spacing w:line="360" w:lineRule="auto"/>
              <w:rPr>
                <w:rFonts w:hint="eastAsia" w:ascii="仿宋" w:hAnsi="仿宋" w:eastAsia="仿宋" w:cs="仿宋"/>
                <w:color w:val="000000"/>
                <w:sz w:val="24"/>
                <w:highlight w:val="none"/>
              </w:rPr>
            </w:pPr>
          </w:p>
        </w:tc>
        <w:tc>
          <w:tcPr>
            <w:tcW w:w="1267" w:type="pct"/>
          </w:tcPr>
          <w:p w14:paraId="5A70C007">
            <w:pPr>
              <w:spacing w:line="360" w:lineRule="auto"/>
              <w:rPr>
                <w:rFonts w:hint="eastAsia" w:ascii="仿宋" w:hAnsi="仿宋" w:eastAsia="仿宋" w:cs="仿宋"/>
                <w:color w:val="000000"/>
                <w:sz w:val="24"/>
                <w:highlight w:val="none"/>
              </w:rPr>
            </w:pPr>
          </w:p>
        </w:tc>
        <w:tc>
          <w:tcPr>
            <w:tcW w:w="1373" w:type="pct"/>
          </w:tcPr>
          <w:p w14:paraId="3283C33B">
            <w:pPr>
              <w:spacing w:line="360" w:lineRule="auto"/>
              <w:rPr>
                <w:rFonts w:hint="eastAsia" w:ascii="仿宋" w:hAnsi="仿宋" w:eastAsia="仿宋" w:cs="仿宋"/>
                <w:color w:val="000000"/>
                <w:sz w:val="24"/>
                <w:highlight w:val="none"/>
              </w:rPr>
            </w:pPr>
          </w:p>
        </w:tc>
        <w:tc>
          <w:tcPr>
            <w:tcW w:w="715" w:type="pct"/>
          </w:tcPr>
          <w:p w14:paraId="03E57D7D">
            <w:pPr>
              <w:spacing w:line="360" w:lineRule="auto"/>
              <w:rPr>
                <w:rFonts w:hint="eastAsia" w:ascii="仿宋" w:hAnsi="仿宋" w:eastAsia="仿宋" w:cs="仿宋"/>
                <w:color w:val="000000"/>
                <w:sz w:val="24"/>
                <w:highlight w:val="none"/>
              </w:rPr>
            </w:pPr>
          </w:p>
        </w:tc>
      </w:tr>
      <w:tr w14:paraId="0F471A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5D46A994">
            <w:pPr>
              <w:spacing w:line="360" w:lineRule="auto"/>
              <w:rPr>
                <w:rFonts w:hint="eastAsia" w:ascii="仿宋" w:hAnsi="仿宋" w:eastAsia="仿宋" w:cs="仿宋"/>
                <w:color w:val="000000"/>
                <w:sz w:val="24"/>
                <w:highlight w:val="none"/>
              </w:rPr>
            </w:pPr>
          </w:p>
        </w:tc>
        <w:tc>
          <w:tcPr>
            <w:tcW w:w="1160" w:type="pct"/>
          </w:tcPr>
          <w:p w14:paraId="7AE477C4">
            <w:pPr>
              <w:spacing w:line="360" w:lineRule="auto"/>
              <w:rPr>
                <w:rFonts w:hint="eastAsia" w:ascii="仿宋" w:hAnsi="仿宋" w:eastAsia="仿宋" w:cs="仿宋"/>
                <w:color w:val="000000"/>
                <w:sz w:val="24"/>
                <w:highlight w:val="none"/>
              </w:rPr>
            </w:pPr>
          </w:p>
        </w:tc>
        <w:tc>
          <w:tcPr>
            <w:tcW w:w="1267" w:type="pct"/>
          </w:tcPr>
          <w:p w14:paraId="29D394B6">
            <w:pPr>
              <w:spacing w:line="360" w:lineRule="auto"/>
              <w:rPr>
                <w:rFonts w:hint="eastAsia" w:ascii="仿宋" w:hAnsi="仿宋" w:eastAsia="仿宋" w:cs="仿宋"/>
                <w:color w:val="000000"/>
                <w:sz w:val="24"/>
                <w:highlight w:val="none"/>
              </w:rPr>
            </w:pPr>
          </w:p>
        </w:tc>
        <w:tc>
          <w:tcPr>
            <w:tcW w:w="1373" w:type="pct"/>
          </w:tcPr>
          <w:p w14:paraId="34FCE35C">
            <w:pPr>
              <w:spacing w:line="360" w:lineRule="auto"/>
              <w:rPr>
                <w:rFonts w:hint="eastAsia" w:ascii="仿宋" w:hAnsi="仿宋" w:eastAsia="仿宋" w:cs="仿宋"/>
                <w:color w:val="000000"/>
                <w:sz w:val="24"/>
                <w:highlight w:val="none"/>
              </w:rPr>
            </w:pPr>
          </w:p>
        </w:tc>
        <w:tc>
          <w:tcPr>
            <w:tcW w:w="715" w:type="pct"/>
          </w:tcPr>
          <w:p w14:paraId="64AB00B5">
            <w:pPr>
              <w:spacing w:line="360" w:lineRule="auto"/>
              <w:rPr>
                <w:rFonts w:hint="eastAsia" w:ascii="仿宋" w:hAnsi="仿宋" w:eastAsia="仿宋" w:cs="仿宋"/>
                <w:color w:val="000000"/>
                <w:sz w:val="24"/>
                <w:highlight w:val="none"/>
              </w:rPr>
            </w:pPr>
          </w:p>
        </w:tc>
      </w:tr>
      <w:tr w14:paraId="49B2AB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35C195C4">
            <w:pPr>
              <w:spacing w:line="360" w:lineRule="auto"/>
              <w:rPr>
                <w:rFonts w:hint="eastAsia" w:ascii="仿宋" w:hAnsi="仿宋" w:eastAsia="仿宋" w:cs="仿宋"/>
                <w:color w:val="000000"/>
                <w:sz w:val="24"/>
                <w:highlight w:val="none"/>
              </w:rPr>
            </w:pPr>
          </w:p>
        </w:tc>
        <w:tc>
          <w:tcPr>
            <w:tcW w:w="1160" w:type="pct"/>
          </w:tcPr>
          <w:p w14:paraId="5E9B41C4">
            <w:pPr>
              <w:spacing w:line="360" w:lineRule="auto"/>
              <w:rPr>
                <w:rFonts w:hint="eastAsia" w:ascii="仿宋" w:hAnsi="仿宋" w:eastAsia="仿宋" w:cs="仿宋"/>
                <w:color w:val="000000"/>
                <w:sz w:val="24"/>
                <w:highlight w:val="none"/>
              </w:rPr>
            </w:pPr>
          </w:p>
        </w:tc>
        <w:tc>
          <w:tcPr>
            <w:tcW w:w="1267" w:type="pct"/>
          </w:tcPr>
          <w:p w14:paraId="0536D393">
            <w:pPr>
              <w:spacing w:line="360" w:lineRule="auto"/>
              <w:rPr>
                <w:rFonts w:hint="eastAsia" w:ascii="仿宋" w:hAnsi="仿宋" w:eastAsia="仿宋" w:cs="仿宋"/>
                <w:color w:val="000000"/>
                <w:sz w:val="24"/>
                <w:highlight w:val="none"/>
              </w:rPr>
            </w:pPr>
          </w:p>
        </w:tc>
        <w:tc>
          <w:tcPr>
            <w:tcW w:w="1373" w:type="pct"/>
          </w:tcPr>
          <w:p w14:paraId="235F59F0">
            <w:pPr>
              <w:spacing w:line="360" w:lineRule="auto"/>
              <w:rPr>
                <w:rFonts w:hint="eastAsia" w:ascii="仿宋" w:hAnsi="仿宋" w:eastAsia="仿宋" w:cs="仿宋"/>
                <w:color w:val="000000"/>
                <w:sz w:val="24"/>
                <w:highlight w:val="none"/>
              </w:rPr>
            </w:pPr>
          </w:p>
        </w:tc>
        <w:tc>
          <w:tcPr>
            <w:tcW w:w="715" w:type="pct"/>
          </w:tcPr>
          <w:p w14:paraId="1C0A141F">
            <w:pPr>
              <w:spacing w:line="360" w:lineRule="auto"/>
              <w:rPr>
                <w:rFonts w:hint="eastAsia" w:ascii="仿宋" w:hAnsi="仿宋" w:eastAsia="仿宋" w:cs="仿宋"/>
                <w:color w:val="000000"/>
                <w:sz w:val="24"/>
                <w:highlight w:val="none"/>
              </w:rPr>
            </w:pPr>
          </w:p>
        </w:tc>
      </w:tr>
      <w:tr w14:paraId="575F04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5" w:type="pct"/>
          </w:tcPr>
          <w:p w14:paraId="665BB780">
            <w:pPr>
              <w:spacing w:line="360" w:lineRule="auto"/>
              <w:rPr>
                <w:rFonts w:hint="eastAsia" w:ascii="仿宋" w:hAnsi="仿宋" w:eastAsia="仿宋" w:cs="仿宋"/>
                <w:color w:val="000000"/>
                <w:sz w:val="24"/>
                <w:highlight w:val="none"/>
              </w:rPr>
            </w:pPr>
          </w:p>
        </w:tc>
        <w:tc>
          <w:tcPr>
            <w:tcW w:w="1160" w:type="pct"/>
          </w:tcPr>
          <w:p w14:paraId="679B9146">
            <w:pPr>
              <w:spacing w:line="360" w:lineRule="auto"/>
              <w:rPr>
                <w:rFonts w:hint="eastAsia" w:ascii="仿宋" w:hAnsi="仿宋" w:eastAsia="仿宋" w:cs="仿宋"/>
                <w:color w:val="000000"/>
                <w:sz w:val="24"/>
                <w:highlight w:val="none"/>
              </w:rPr>
            </w:pPr>
          </w:p>
        </w:tc>
        <w:tc>
          <w:tcPr>
            <w:tcW w:w="1267" w:type="pct"/>
          </w:tcPr>
          <w:p w14:paraId="56211A39">
            <w:pPr>
              <w:spacing w:line="360" w:lineRule="auto"/>
              <w:rPr>
                <w:rFonts w:hint="eastAsia" w:ascii="仿宋" w:hAnsi="仿宋" w:eastAsia="仿宋" w:cs="仿宋"/>
                <w:color w:val="000000"/>
                <w:sz w:val="24"/>
                <w:highlight w:val="none"/>
              </w:rPr>
            </w:pPr>
          </w:p>
        </w:tc>
        <w:tc>
          <w:tcPr>
            <w:tcW w:w="1373" w:type="pct"/>
          </w:tcPr>
          <w:p w14:paraId="4EF7D6D8">
            <w:pPr>
              <w:spacing w:line="360" w:lineRule="auto"/>
              <w:rPr>
                <w:rFonts w:hint="eastAsia" w:ascii="仿宋" w:hAnsi="仿宋" w:eastAsia="仿宋" w:cs="仿宋"/>
                <w:color w:val="000000"/>
                <w:sz w:val="24"/>
                <w:highlight w:val="none"/>
              </w:rPr>
            </w:pPr>
          </w:p>
        </w:tc>
        <w:tc>
          <w:tcPr>
            <w:tcW w:w="715" w:type="pct"/>
          </w:tcPr>
          <w:p w14:paraId="14FA0A04">
            <w:pPr>
              <w:spacing w:line="360" w:lineRule="auto"/>
              <w:rPr>
                <w:rFonts w:hint="eastAsia" w:ascii="仿宋" w:hAnsi="仿宋" w:eastAsia="仿宋" w:cs="仿宋"/>
                <w:color w:val="000000"/>
                <w:sz w:val="24"/>
                <w:highlight w:val="none"/>
              </w:rPr>
            </w:pPr>
          </w:p>
        </w:tc>
      </w:tr>
      <w:tr w14:paraId="246079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85" w:type="pct"/>
          </w:tcPr>
          <w:p w14:paraId="73370D25">
            <w:pPr>
              <w:spacing w:line="360" w:lineRule="auto"/>
              <w:rPr>
                <w:rFonts w:hint="eastAsia" w:ascii="仿宋" w:hAnsi="仿宋" w:eastAsia="仿宋" w:cs="仿宋"/>
                <w:color w:val="000000"/>
                <w:sz w:val="24"/>
                <w:highlight w:val="none"/>
              </w:rPr>
            </w:pPr>
          </w:p>
        </w:tc>
        <w:tc>
          <w:tcPr>
            <w:tcW w:w="1160" w:type="pct"/>
          </w:tcPr>
          <w:p w14:paraId="22002879">
            <w:pPr>
              <w:spacing w:line="360" w:lineRule="auto"/>
              <w:rPr>
                <w:rFonts w:hint="eastAsia" w:ascii="仿宋" w:hAnsi="仿宋" w:eastAsia="仿宋" w:cs="仿宋"/>
                <w:color w:val="000000"/>
                <w:sz w:val="24"/>
                <w:highlight w:val="none"/>
              </w:rPr>
            </w:pPr>
          </w:p>
        </w:tc>
        <w:tc>
          <w:tcPr>
            <w:tcW w:w="1267" w:type="pct"/>
          </w:tcPr>
          <w:p w14:paraId="7B1D7050">
            <w:pPr>
              <w:spacing w:line="360" w:lineRule="auto"/>
              <w:rPr>
                <w:rFonts w:hint="eastAsia" w:ascii="仿宋" w:hAnsi="仿宋" w:eastAsia="仿宋" w:cs="仿宋"/>
                <w:color w:val="000000"/>
                <w:sz w:val="24"/>
                <w:highlight w:val="none"/>
              </w:rPr>
            </w:pPr>
          </w:p>
        </w:tc>
        <w:tc>
          <w:tcPr>
            <w:tcW w:w="1373" w:type="pct"/>
          </w:tcPr>
          <w:p w14:paraId="336A9C68">
            <w:pPr>
              <w:spacing w:line="360" w:lineRule="auto"/>
              <w:rPr>
                <w:rFonts w:hint="eastAsia" w:ascii="仿宋" w:hAnsi="仿宋" w:eastAsia="仿宋" w:cs="仿宋"/>
                <w:color w:val="000000"/>
                <w:sz w:val="24"/>
                <w:highlight w:val="none"/>
              </w:rPr>
            </w:pPr>
          </w:p>
        </w:tc>
        <w:tc>
          <w:tcPr>
            <w:tcW w:w="715" w:type="pct"/>
          </w:tcPr>
          <w:p w14:paraId="1BFF18A0">
            <w:pPr>
              <w:spacing w:line="360" w:lineRule="auto"/>
              <w:rPr>
                <w:rFonts w:hint="eastAsia" w:ascii="仿宋" w:hAnsi="仿宋" w:eastAsia="仿宋" w:cs="仿宋"/>
                <w:color w:val="000000"/>
                <w:sz w:val="24"/>
                <w:highlight w:val="none"/>
              </w:rPr>
            </w:pPr>
          </w:p>
        </w:tc>
      </w:tr>
      <w:tr w14:paraId="6B707D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5" w:type="pct"/>
          </w:tcPr>
          <w:p w14:paraId="24261417">
            <w:pPr>
              <w:spacing w:line="360" w:lineRule="auto"/>
              <w:rPr>
                <w:rFonts w:hint="eastAsia" w:ascii="仿宋" w:hAnsi="仿宋" w:eastAsia="仿宋" w:cs="仿宋"/>
                <w:color w:val="000000"/>
                <w:sz w:val="24"/>
                <w:highlight w:val="none"/>
              </w:rPr>
            </w:pPr>
          </w:p>
        </w:tc>
        <w:tc>
          <w:tcPr>
            <w:tcW w:w="1160" w:type="pct"/>
          </w:tcPr>
          <w:p w14:paraId="63DD7598">
            <w:pPr>
              <w:spacing w:line="360" w:lineRule="auto"/>
              <w:rPr>
                <w:rFonts w:hint="eastAsia" w:ascii="仿宋" w:hAnsi="仿宋" w:eastAsia="仿宋" w:cs="仿宋"/>
                <w:color w:val="000000"/>
                <w:sz w:val="24"/>
                <w:highlight w:val="none"/>
              </w:rPr>
            </w:pPr>
          </w:p>
        </w:tc>
        <w:tc>
          <w:tcPr>
            <w:tcW w:w="1267" w:type="pct"/>
          </w:tcPr>
          <w:p w14:paraId="41F52DBF">
            <w:pPr>
              <w:spacing w:line="360" w:lineRule="auto"/>
              <w:rPr>
                <w:rFonts w:hint="eastAsia" w:ascii="仿宋" w:hAnsi="仿宋" w:eastAsia="仿宋" w:cs="仿宋"/>
                <w:color w:val="000000"/>
                <w:sz w:val="24"/>
                <w:highlight w:val="none"/>
              </w:rPr>
            </w:pPr>
          </w:p>
        </w:tc>
        <w:tc>
          <w:tcPr>
            <w:tcW w:w="1373" w:type="pct"/>
          </w:tcPr>
          <w:p w14:paraId="75E8D6F1">
            <w:pPr>
              <w:spacing w:line="360" w:lineRule="auto"/>
              <w:rPr>
                <w:rFonts w:hint="eastAsia" w:ascii="仿宋" w:hAnsi="仿宋" w:eastAsia="仿宋" w:cs="仿宋"/>
                <w:color w:val="000000"/>
                <w:sz w:val="24"/>
                <w:highlight w:val="none"/>
              </w:rPr>
            </w:pPr>
          </w:p>
        </w:tc>
        <w:tc>
          <w:tcPr>
            <w:tcW w:w="715" w:type="pct"/>
          </w:tcPr>
          <w:p w14:paraId="008AE499">
            <w:pPr>
              <w:spacing w:line="360" w:lineRule="auto"/>
              <w:rPr>
                <w:rFonts w:hint="eastAsia" w:ascii="仿宋" w:hAnsi="仿宋" w:eastAsia="仿宋" w:cs="仿宋"/>
                <w:color w:val="000000"/>
                <w:sz w:val="24"/>
                <w:highlight w:val="none"/>
              </w:rPr>
            </w:pPr>
          </w:p>
        </w:tc>
      </w:tr>
    </w:tbl>
    <w:p w14:paraId="558F4361">
      <w:pPr>
        <w:spacing w:before="240" w:line="360" w:lineRule="auto"/>
        <w:ind w:left="480" w:hanging="480" w:hanging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注：所有偏离必须在本表中列出，未在本偏离表中列出偏离，将视为供应商已完全接受比选文件要求；</w:t>
      </w:r>
      <w:r>
        <w:rPr>
          <w:rFonts w:hint="eastAsia" w:ascii="仿宋" w:hAnsi="仿宋" w:eastAsia="仿宋" w:cs="仿宋"/>
          <w:b/>
          <w:bCs/>
          <w:color w:val="000000"/>
          <w:sz w:val="24"/>
          <w:highlight w:val="none"/>
        </w:rPr>
        <w:t>如全部满足，在偏离表中应答“全部满足”即可</w:t>
      </w:r>
      <w:r>
        <w:rPr>
          <w:rFonts w:hint="eastAsia" w:ascii="仿宋" w:hAnsi="仿宋" w:eastAsia="仿宋" w:cs="仿宋"/>
          <w:color w:val="000000"/>
          <w:sz w:val="24"/>
          <w:highlight w:val="none"/>
        </w:rPr>
        <w:t>。</w:t>
      </w:r>
    </w:p>
    <w:p w14:paraId="7418BBB9">
      <w:pPr>
        <w:spacing w:line="360" w:lineRule="auto"/>
        <w:rPr>
          <w:rFonts w:hint="eastAsia" w:ascii="仿宋" w:hAnsi="仿宋" w:eastAsia="仿宋" w:cs="仿宋"/>
          <w:color w:val="000000"/>
          <w:sz w:val="24"/>
          <w:highlight w:val="none"/>
        </w:rPr>
      </w:pPr>
    </w:p>
    <w:p w14:paraId="73E6A017">
      <w:pPr>
        <w:spacing w:line="360" w:lineRule="auto"/>
        <w:ind w:firstLine="420"/>
        <w:jc w:val="right"/>
        <w:rPr>
          <w:rFonts w:hint="eastAsia" w:ascii="仿宋" w:hAnsi="仿宋" w:eastAsia="仿宋" w:cs="仿宋"/>
          <w:color w:val="000000"/>
          <w:sz w:val="24"/>
          <w:highlight w:val="none"/>
        </w:rPr>
      </w:pPr>
    </w:p>
    <w:p w14:paraId="7198842B">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03136288">
      <w:pPr>
        <w:spacing w:line="360" w:lineRule="auto"/>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19B7A718">
      <w:pPr>
        <w:pStyle w:val="18"/>
        <w:spacing w:line="360" w:lineRule="auto"/>
        <w:rPr>
          <w:rFonts w:hint="eastAsia" w:ascii="仿宋" w:hAnsi="仿宋" w:eastAsia="仿宋" w:cs="仿宋"/>
          <w:sz w:val="24"/>
          <w:highlight w:val="none"/>
        </w:rPr>
      </w:pPr>
      <w:r>
        <w:rPr>
          <w:rFonts w:hint="eastAsia" w:ascii="仿宋" w:hAnsi="仿宋" w:eastAsia="仿宋" w:cs="仿宋"/>
          <w:sz w:val="24"/>
          <w:highlight w:val="none"/>
        </w:rPr>
        <w:br w:type="page"/>
      </w:r>
    </w:p>
    <w:p w14:paraId="3591F33A">
      <w:pPr>
        <w:pStyle w:val="4"/>
        <w:spacing w:before="0" w:after="0" w:line="360" w:lineRule="auto"/>
        <w:ind w:left="0" w:firstLine="0"/>
        <w:rPr>
          <w:rFonts w:hint="eastAsia" w:ascii="仿宋" w:hAnsi="仿宋" w:eastAsia="仿宋" w:cs="仿宋"/>
          <w:color w:val="000000"/>
          <w:sz w:val="24"/>
          <w:szCs w:val="24"/>
          <w:highlight w:val="none"/>
        </w:rPr>
      </w:pPr>
      <w:bookmarkStart w:id="394" w:name="_Toc216971059"/>
      <w:bookmarkStart w:id="395" w:name="_Toc233292473"/>
      <w:bookmarkStart w:id="396" w:name="_Toc197681005"/>
      <w:bookmarkStart w:id="397" w:name="_Toc17890"/>
      <w:bookmarkStart w:id="398" w:name="_Toc219196024"/>
      <w:bookmarkStart w:id="399" w:name="_Toc231201508"/>
      <w:r>
        <w:rPr>
          <w:rFonts w:hint="eastAsia" w:ascii="仿宋" w:hAnsi="仿宋" w:eastAsia="仿宋" w:cs="仿宋"/>
          <w:color w:val="000000"/>
          <w:sz w:val="24"/>
          <w:szCs w:val="24"/>
          <w:highlight w:val="none"/>
        </w:rPr>
        <w:t>15、供应商行为准则承诺书</w:t>
      </w:r>
      <w:bookmarkEnd w:id="394"/>
      <w:bookmarkEnd w:id="395"/>
      <w:bookmarkEnd w:id="396"/>
      <w:bookmarkEnd w:id="397"/>
      <w:bookmarkEnd w:id="398"/>
      <w:bookmarkEnd w:id="399"/>
    </w:p>
    <w:p w14:paraId="3B2CC8B2">
      <w:pPr>
        <w:spacing w:line="360" w:lineRule="auto"/>
        <w:jc w:val="center"/>
        <w:rPr>
          <w:rFonts w:hint="eastAsia" w:ascii="仿宋" w:hAnsi="仿宋" w:eastAsia="仿宋" w:cs="仿宋"/>
          <w:b/>
          <w:bCs/>
          <w:color w:val="000000"/>
          <w:sz w:val="24"/>
          <w:highlight w:val="none"/>
        </w:rPr>
      </w:pPr>
      <w:bookmarkStart w:id="400" w:name="_Toc15599"/>
      <w:r>
        <w:rPr>
          <w:rFonts w:hint="eastAsia" w:ascii="仿宋" w:hAnsi="仿宋" w:eastAsia="仿宋" w:cs="仿宋"/>
          <w:b/>
          <w:bCs/>
          <w:color w:val="000000"/>
          <w:sz w:val="24"/>
          <w:highlight w:val="none"/>
        </w:rPr>
        <w:t>供应商行为准则承诺书</w:t>
      </w:r>
    </w:p>
    <w:p w14:paraId="401C1939">
      <w:pPr>
        <w:spacing w:line="360" w:lineRule="auto"/>
        <w:ind w:firstLine="480" w:firstLineChars="200"/>
        <w:rPr>
          <w:rFonts w:hint="eastAsia" w:ascii="仿宋" w:hAnsi="仿宋" w:eastAsia="仿宋" w:cs="仿宋"/>
          <w:color w:val="000000"/>
          <w:sz w:val="24"/>
          <w:highlight w:val="none"/>
        </w:rPr>
      </w:pPr>
    </w:p>
    <w:p w14:paraId="11008144">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5B6BD436">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14:paraId="52B8F288">
      <w:pPr>
        <w:spacing w:line="360" w:lineRule="auto"/>
        <w:ind w:firstLine="470" w:firstLineChars="196"/>
        <w:rPr>
          <w:rFonts w:hint="eastAsia" w:ascii="仿宋" w:hAnsi="仿宋" w:eastAsia="仿宋" w:cs="仿宋"/>
          <w:color w:val="000000"/>
          <w:sz w:val="24"/>
          <w:highlight w:val="none"/>
        </w:rPr>
      </w:pPr>
      <w:r>
        <w:rPr>
          <w:rFonts w:hint="eastAsia" w:ascii="仿宋" w:hAnsi="仿宋" w:eastAsia="仿宋" w:cs="仿宋"/>
          <w:color w:val="000000"/>
          <w:sz w:val="24"/>
          <w:highlight w:val="none"/>
        </w:rPr>
        <w:t>二、供应商应有道德地从事商业活动，坚持公平竞争原则，遵守其经营所在地及国家所有适用的反腐败法律、法规，不得有贿赂、腐败、恶意串通、恶意欺诈或其他损害中国人民保险利益的不良行为。</w:t>
      </w:r>
    </w:p>
    <w:p w14:paraId="1C3D4039">
      <w:pPr>
        <w:spacing w:line="360" w:lineRule="auto"/>
        <w:ind w:firstLine="470" w:firstLineChars="196"/>
        <w:rPr>
          <w:rFonts w:hint="eastAsia" w:ascii="仿宋" w:hAnsi="仿宋" w:eastAsia="仿宋" w:cs="仿宋"/>
          <w:color w:val="000000"/>
          <w:sz w:val="24"/>
          <w:highlight w:val="none"/>
        </w:rPr>
      </w:pPr>
      <w:r>
        <w:rPr>
          <w:rFonts w:hint="eastAsia" w:ascii="仿宋" w:hAnsi="仿宋" w:eastAsia="仿宋" w:cs="仿宋"/>
          <w:color w:val="000000"/>
          <w:sz w:val="24"/>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74D58500">
      <w:pPr>
        <w:spacing w:line="360" w:lineRule="auto"/>
        <w:ind w:firstLine="470" w:firstLineChars="196"/>
        <w:rPr>
          <w:rFonts w:hint="eastAsia" w:ascii="仿宋" w:hAnsi="仿宋" w:eastAsia="仿宋" w:cs="仿宋"/>
          <w:color w:val="000000"/>
          <w:sz w:val="24"/>
          <w:highlight w:val="none"/>
        </w:rPr>
      </w:pPr>
      <w:r>
        <w:rPr>
          <w:rFonts w:hint="eastAsia" w:ascii="仿宋" w:hAnsi="仿宋" w:eastAsia="仿宋" w:cs="仿宋"/>
          <w:color w:val="000000"/>
          <w:sz w:val="24"/>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E5C36FA">
      <w:pPr>
        <w:spacing w:line="360" w:lineRule="auto"/>
        <w:ind w:firstLine="470" w:firstLineChars="196"/>
        <w:rPr>
          <w:rFonts w:hint="eastAsia" w:ascii="仿宋" w:hAnsi="仿宋" w:eastAsia="仿宋" w:cs="仿宋"/>
          <w:color w:val="000000"/>
          <w:sz w:val="24"/>
          <w:highlight w:val="none"/>
        </w:rPr>
      </w:pPr>
      <w:r>
        <w:rPr>
          <w:rFonts w:hint="eastAsia" w:ascii="仿宋" w:hAnsi="仿宋" w:eastAsia="仿宋" w:cs="仿宋"/>
          <w:color w:val="000000"/>
          <w:sz w:val="24"/>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2B5F6E6">
      <w:pPr>
        <w:spacing w:line="360" w:lineRule="auto"/>
        <w:ind w:firstLine="470" w:firstLineChars="196"/>
        <w:rPr>
          <w:rFonts w:hint="eastAsia" w:ascii="仿宋" w:hAnsi="仿宋" w:eastAsia="仿宋" w:cs="仿宋"/>
          <w:color w:val="000000"/>
          <w:sz w:val="24"/>
          <w:highlight w:val="none"/>
        </w:rPr>
      </w:pPr>
      <w:r>
        <w:rPr>
          <w:rFonts w:hint="eastAsia" w:ascii="仿宋" w:hAnsi="仿宋" w:eastAsia="仿宋" w:cs="仿宋"/>
          <w:color w:val="000000"/>
          <w:sz w:val="24"/>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49CDCCD7">
      <w:pPr>
        <w:spacing w:line="360" w:lineRule="auto"/>
        <w:ind w:firstLine="470" w:firstLineChars="196"/>
        <w:rPr>
          <w:rFonts w:hint="eastAsia" w:ascii="仿宋" w:hAnsi="仿宋" w:eastAsia="仿宋" w:cs="仿宋"/>
          <w:color w:val="000000"/>
          <w:sz w:val="24"/>
          <w:highlight w:val="none"/>
        </w:rPr>
      </w:pPr>
      <w:r>
        <w:rPr>
          <w:rFonts w:hint="eastAsia" w:ascii="仿宋" w:hAnsi="仿宋" w:eastAsia="仿宋" w:cs="仿宋"/>
          <w:color w:val="000000"/>
          <w:sz w:val="24"/>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7383489">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八、供应商承诺遵守中国人民保险有关采购管理和供应商管理的相关规定、履行相应义务。</w:t>
      </w:r>
    </w:p>
    <w:p w14:paraId="42446335">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九、供应商参与中国人民保险采购过程中，将认真阅读并理解邀请文件的内容，并保证严格保密文件内容，不泄露中国人民保险任何信息。</w:t>
      </w:r>
    </w:p>
    <w:p w14:paraId="549EB069">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十、供应商保证所递交的投标文件、资格证明、产品资料、合同等文件内容的真实性、有效性；愿意承担虚构信息及伪造资格证明、合同等违背诚实信用原则导致的一切不利后果。</w:t>
      </w:r>
    </w:p>
    <w:p w14:paraId="66E282E9">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14:paraId="1AC50B86">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十二、如果供应商（包括咨询顾问、董事、雇员、代理人和代表）违反或未履行本承诺下的任何规定、保证及陈述，将自愿对因违反或未履行承诺书的规定而对中国人民保险造成的直接损失进行赔偿。</w:t>
      </w:r>
    </w:p>
    <w:p w14:paraId="1457D638">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十三、采购过程中涉及函件往来的，使用供应商以下地址及联系方式：</w:t>
      </w:r>
    </w:p>
    <w:p w14:paraId="08C1E136">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公司名称（全称、盖章）：________________</w:t>
      </w:r>
    </w:p>
    <w:p w14:paraId="10E9974E">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法定代表人（负责人）姓名、职务：__________________</w:t>
      </w:r>
    </w:p>
    <w:p w14:paraId="6C5E5823">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邮编：__________地址：__________________</w:t>
      </w:r>
    </w:p>
    <w:p w14:paraId="7A681785">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电话：__________传真：__________________</w:t>
      </w:r>
    </w:p>
    <w:p w14:paraId="065B3D3C">
      <w:pPr>
        <w:pStyle w:val="142"/>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法定代表人（负责人）或授权代表签字：______________</w:t>
      </w:r>
    </w:p>
    <w:p w14:paraId="7548DA45">
      <w:pPr>
        <w:pStyle w:val="4"/>
        <w:spacing w:before="0" w:after="0" w:line="360" w:lineRule="auto"/>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401" w:name="_Toc233292474"/>
      <w:bookmarkStart w:id="402" w:name="_Toc216971060"/>
      <w:bookmarkStart w:id="403" w:name="_Toc231201509"/>
      <w:bookmarkStart w:id="404" w:name="_Toc197681006"/>
      <w:bookmarkStart w:id="405" w:name="_Toc219196025"/>
      <w:bookmarkStart w:id="406" w:name="_Toc8068"/>
      <w:r>
        <w:rPr>
          <w:rFonts w:hint="eastAsia" w:ascii="仿宋" w:hAnsi="仿宋" w:eastAsia="仿宋" w:cs="仿宋"/>
          <w:color w:val="000000"/>
          <w:sz w:val="24"/>
          <w:szCs w:val="24"/>
          <w:highlight w:val="none"/>
        </w:rPr>
        <w:t>16、供应商廉洁诚信承诺书</w:t>
      </w:r>
      <w:bookmarkEnd w:id="400"/>
      <w:bookmarkEnd w:id="401"/>
      <w:bookmarkEnd w:id="402"/>
      <w:bookmarkEnd w:id="403"/>
      <w:bookmarkEnd w:id="404"/>
      <w:bookmarkEnd w:id="405"/>
      <w:bookmarkEnd w:id="406"/>
    </w:p>
    <w:p w14:paraId="06EA811B">
      <w:p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供应商廉洁诚信承诺书</w:t>
      </w:r>
    </w:p>
    <w:p w14:paraId="6D679BFB">
      <w:pPr>
        <w:spacing w:line="360" w:lineRule="auto"/>
        <w:ind w:firstLine="480" w:firstLineChars="200"/>
        <w:rPr>
          <w:rFonts w:hint="eastAsia" w:ascii="仿宋" w:hAnsi="仿宋" w:eastAsia="仿宋" w:cs="仿宋"/>
          <w:color w:val="000000"/>
          <w:sz w:val="24"/>
          <w:highlight w:val="none"/>
        </w:rPr>
      </w:pPr>
    </w:p>
    <w:p w14:paraId="3AD7EEB6">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14:paraId="08ED7FC8">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14:paraId="1A4BCFF5">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14:paraId="6975BB99">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64AAD55D">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三、廉洁自律承诺。我们坚决不以任何形式为获取或意图获取交易机会、竞争优势或谋取不正当利益而向中国人民保险或相关主体实施商业贿赂或营私舞弊行为，包括但不限于：</w:t>
      </w:r>
    </w:p>
    <w:p w14:paraId="08C84980">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（1）以任何方式实施商业贿赂或违规提供金钱、实物、回扣、折扣、宴请与游玩活动或其他不正当利益；</w:t>
      </w:r>
    </w:p>
    <w:p w14:paraId="06B85885">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（2）为其安排有可能影响公平、公正交易的宴请、健身、娱乐等活动；</w:t>
      </w:r>
    </w:p>
    <w:p w14:paraId="69288F73">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（3）为其投资入股、个人借款或买卖股票、债券等提供方便；</w:t>
      </w:r>
    </w:p>
    <w:p w14:paraId="54142444">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（4）为其购买或装修住房、婚丧嫁娶、配偶子女上学或工作安排以及出国出境、旅游等提供方便；</w:t>
      </w:r>
    </w:p>
    <w:p w14:paraId="23C0175A">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（5）违反规定为其在我方相关企业工作、挂名兼职、合伙经营、介绍承揽业务等提供方便；</w:t>
      </w:r>
    </w:p>
    <w:p w14:paraId="1B4C9896">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（6）向其提供借款、融资、担保等；</w:t>
      </w:r>
    </w:p>
    <w:p w14:paraId="64867181">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（7）给予或承诺给予其不正当利益的其他行为；</w:t>
      </w:r>
    </w:p>
    <w:p w14:paraId="14BD58DA">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（8）其他违反国家法律法规或商业道德准则的影响公正交易的行为。</w:t>
      </w:r>
    </w:p>
    <w:p w14:paraId="3F0667C1">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我们也不会以任何方式向中国人民保险或相关主体索要金钱、实物等不正当利益，或收受中国人保或相关主体给予的金钱、实物等不正当利益。</w:t>
      </w:r>
    </w:p>
    <w:p w14:paraId="73C738AB">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四、诚实信用承诺。我们坚决不进行任何违背诚实信用原则的行为，包括但不限于：</w:t>
      </w:r>
    </w:p>
    <w:p w14:paraId="3CD5E4FE">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出借、转让资质证书；</w:t>
      </w:r>
    </w:p>
    <w:p w14:paraId="74BEBB43">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伙同他人串标、围标或非法排挤竞争对手；</w:t>
      </w:r>
    </w:p>
    <w:p w14:paraId="5422F51F">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在采购活动中提供虚假资料，以他人名义参与或者以其他方式弄虚作假，夸大自身技术和提供服务的能力，损害贵方合法权益；</w:t>
      </w:r>
    </w:p>
    <w:p w14:paraId="5C2282CC">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（4）隐瞒任何可能对贵方利益造成影响的信息，不配合贵方的审计。</w:t>
      </w:r>
    </w:p>
    <w:p w14:paraId="3300B276">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3CCB375A">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六、加强内部管理承诺。为了实现以上承诺要求，我们将积极配合采取以下措施，不断加强自身内部管理：</w:t>
      </w:r>
    </w:p>
    <w:p w14:paraId="5B175368">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（1）廉洁教育培训：加强对员工的廉洁教育和培训，提高员工的道德素质和法律意识，建立健全内部管理制度，确保员工行为的合规性和廉洁性；</w:t>
      </w:r>
    </w:p>
    <w:p w14:paraId="28E7A336">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（2）设立监督机制：通过专门的监督机构或人员，对我方的业务活动进行实时监督，确保员工行为的合规性；</w:t>
      </w:r>
    </w:p>
    <w:p w14:paraId="596D0DB5">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（3）建立举报制度：鼓励员工积极举报违规行为，对举报人予以保护并给予奖励。</w:t>
      </w:r>
    </w:p>
    <w:p w14:paraId="47B3B058">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38106C5">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八、如违反上述承诺，我方自愿承担以下法律责任：</w:t>
      </w:r>
    </w:p>
    <w:p w14:paraId="17ED9580">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（1）如我方及我方工作人员违反本承诺书承诺，中国人民保险有权依据其采购管理、供应商管理和采购文件相关要求，对我方进行严肃处理，相关处罚结果记入供应商诚信档案；</w:t>
      </w:r>
    </w:p>
    <w:p w14:paraId="108D127D">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（2）如我方及我方工作人员违反本承诺书承诺，中国人民保险及其子公司等所有关联主体有权限制或取消我方在中国人民保险参与采购项目的资格；</w:t>
      </w:r>
    </w:p>
    <w:p w14:paraId="0F0B07BA">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（3）如我方及我方工作人员违反本承诺书承诺，中国人民保险及其子公司等所有关联主体有权选择单方全面终止与我方的合同及合作而无需承担任何责任；</w:t>
      </w:r>
    </w:p>
    <w:p w14:paraId="35341488">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14:paraId="2A047475">
      <w:pPr>
        <w:spacing w:line="360" w:lineRule="auto"/>
        <w:ind w:firstLine="480" w:firstLineChars="200"/>
        <w:rPr>
          <w:rFonts w:hint="eastAsia" w:ascii="仿宋" w:hAnsi="仿宋" w:eastAsia="仿宋" w:cs="仿宋"/>
          <w:color w:val="000000"/>
          <w:sz w:val="24"/>
          <w:highlight w:val="none"/>
        </w:rPr>
      </w:pPr>
    </w:p>
    <w:p w14:paraId="07F4782F">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本承诺书自承诺方签字和盖章之日起生效。如我方成功中选中国人民保险采购项目，将按中国人民保险管理要求签署廉洁诚信协议作为采购合同附件，并严格遵守协议相关条款。</w:t>
      </w:r>
    </w:p>
    <w:p w14:paraId="48B36815">
      <w:pPr>
        <w:spacing w:line="360" w:lineRule="auto"/>
        <w:ind w:firstLine="480" w:firstLineChars="200"/>
        <w:rPr>
          <w:rFonts w:hint="eastAsia" w:ascii="仿宋" w:hAnsi="仿宋" w:eastAsia="仿宋" w:cs="仿宋"/>
          <w:color w:val="000000"/>
          <w:sz w:val="24"/>
          <w:highlight w:val="none"/>
        </w:rPr>
      </w:pPr>
    </w:p>
    <w:p w14:paraId="25ACD2A2">
      <w:pPr>
        <w:tabs>
          <w:tab w:val="left" w:pos="458"/>
        </w:tabs>
        <w:spacing w:line="360" w:lineRule="auto"/>
        <w:ind w:firstLine="3578" w:firstLineChars="1491"/>
        <w:rPr>
          <w:rFonts w:hint="eastAsia" w:ascii="仿宋" w:hAnsi="仿宋" w:eastAsia="仿宋" w:cs="仿宋"/>
          <w:color w:val="000000"/>
          <w:sz w:val="24"/>
          <w:highlight w:val="none"/>
        </w:rPr>
      </w:pPr>
      <w:r>
        <w:rPr>
          <w:rFonts w:hint="eastAsia" w:ascii="仿宋" w:hAnsi="仿宋" w:eastAsia="仿宋" w:cs="仿宋"/>
          <w:color w:val="000000"/>
          <w:sz w:val="24"/>
          <w:highlight w:val="none"/>
        </w:rPr>
        <w:t>公司名称（全称、盖章）：________________</w:t>
      </w:r>
    </w:p>
    <w:p w14:paraId="721964FE">
      <w:pPr>
        <w:spacing w:line="360" w:lineRule="auto"/>
        <w:ind w:firstLine="3578" w:firstLineChars="1491"/>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法定代表人姓名、职务：__________________</w:t>
      </w:r>
    </w:p>
    <w:p w14:paraId="534463CD">
      <w:pPr>
        <w:spacing w:line="360" w:lineRule="auto"/>
        <w:ind w:firstLine="3578" w:firstLineChars="1491"/>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法定代表人或授权代表签字：______________</w:t>
      </w:r>
    </w:p>
    <w:p w14:paraId="404C91B4">
      <w:pPr>
        <w:spacing w:line="360" w:lineRule="auto"/>
        <w:ind w:firstLine="3578" w:firstLineChars="1491"/>
        <w:rPr>
          <w:rFonts w:hint="eastAsia" w:ascii="仿宋" w:hAnsi="仿宋" w:eastAsia="仿宋" w:cs="仿宋"/>
          <w:kern w:val="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仿宋"/>
          <w:color w:val="000000"/>
          <w:sz w:val="24"/>
          <w:highlight w:val="none"/>
        </w:rPr>
        <w:t>日期：_________________________________</w:t>
      </w:r>
    </w:p>
    <w:bookmarkEnd w:id="324"/>
    <w:bookmarkEnd w:id="325"/>
    <w:bookmarkEnd w:id="326"/>
    <w:bookmarkEnd w:id="327"/>
    <w:bookmarkEnd w:id="328"/>
    <w:bookmarkEnd w:id="329"/>
    <w:bookmarkEnd w:id="375"/>
    <w:bookmarkEnd w:id="376"/>
    <w:bookmarkEnd w:id="377"/>
    <w:bookmarkEnd w:id="378"/>
    <w:p w14:paraId="2D478964">
      <w:pPr>
        <w:pStyle w:val="18"/>
        <w:jc w:val="both"/>
        <w:rPr>
          <w:rFonts w:hint="eastAsia" w:ascii="仿宋" w:hAnsi="仿宋" w:eastAsia="仿宋" w:cs="仿宋"/>
          <w:highlight w:val="none"/>
        </w:rPr>
      </w:pPr>
      <w:bookmarkStart w:id="407" w:name="_Toc444891358"/>
      <w:bookmarkStart w:id="408" w:name="_Toc517281860"/>
      <w:r>
        <w:rPr>
          <w:rFonts w:hint="eastAsia" w:ascii="仿宋" w:hAnsi="仿宋" w:eastAsia="仿宋" w:cs="仿宋"/>
          <w:highlight w:val="none"/>
        </w:rPr>
        <w:br w:type="page"/>
      </w:r>
    </w:p>
    <w:p w14:paraId="2C6E83F1">
      <w:pPr>
        <w:pStyle w:val="4"/>
        <w:spacing w:before="0" w:after="0" w:line="360" w:lineRule="auto"/>
        <w:ind w:left="0" w:firstLine="0"/>
        <w:rPr>
          <w:rFonts w:hint="eastAsia" w:ascii="仿宋" w:hAnsi="仿宋" w:eastAsia="仿宋" w:cs="仿宋"/>
          <w:color w:val="000000"/>
          <w:sz w:val="24"/>
          <w:szCs w:val="24"/>
          <w:highlight w:val="none"/>
          <w:lang w:val="en-US" w:eastAsia="zh-CN"/>
        </w:rPr>
      </w:pPr>
      <w:bookmarkStart w:id="409" w:name="_Toc216971061"/>
      <w:bookmarkStart w:id="410" w:name="_Toc233292475"/>
      <w:bookmarkStart w:id="411" w:name="_Toc219196026"/>
      <w:bookmarkStart w:id="412" w:name="_Toc231201510"/>
      <w:r>
        <w:rPr>
          <w:rFonts w:hint="eastAsia" w:ascii="仿宋" w:hAnsi="仿宋" w:eastAsia="仿宋" w:cs="仿宋"/>
          <w:color w:val="000000"/>
          <w:sz w:val="24"/>
          <w:szCs w:val="24"/>
          <w:highlight w:val="none"/>
        </w:rPr>
        <w:t>17、</w:t>
      </w:r>
      <w:bookmarkEnd w:id="409"/>
      <w:bookmarkEnd w:id="410"/>
      <w:bookmarkEnd w:id="411"/>
      <w:bookmarkEnd w:id="412"/>
      <w:r>
        <w:rPr>
          <w:rFonts w:hint="eastAsia" w:ascii="仿宋" w:hAnsi="仿宋" w:eastAsia="仿宋" w:cs="仿宋"/>
          <w:color w:val="000000"/>
          <w:sz w:val="24"/>
          <w:szCs w:val="24"/>
          <w:highlight w:val="none"/>
          <w:lang w:val="en-US" w:eastAsia="zh-CN"/>
        </w:rPr>
        <w:t>经营要求</w:t>
      </w:r>
    </w:p>
    <w:p w14:paraId="26C89164">
      <w:pPr>
        <w:topLinePunct/>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lang w:val="en-US" w:eastAsia="zh-CN"/>
        </w:rPr>
        <w:t>经营要求</w:t>
      </w:r>
      <w:r>
        <w:rPr>
          <w:rFonts w:hint="eastAsia" w:ascii="仿宋" w:hAnsi="仿宋" w:eastAsia="仿宋" w:cs="仿宋"/>
          <w:b/>
          <w:sz w:val="24"/>
          <w:highlight w:val="none"/>
        </w:rPr>
        <w:t>承诺函</w:t>
      </w:r>
    </w:p>
    <w:p w14:paraId="777E5ED3">
      <w:pPr>
        <w:topLinePunct/>
        <w:spacing w:line="360" w:lineRule="auto"/>
        <w:ind w:firstLine="120" w:firstLineChars="5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采购人名称</w:t>
      </w:r>
      <w:r>
        <w:rPr>
          <w:rFonts w:hint="eastAsia" w:ascii="仿宋" w:hAnsi="仿宋" w:eastAsia="仿宋" w:cs="仿宋"/>
          <w:sz w:val="24"/>
          <w:highlight w:val="none"/>
        </w:rPr>
        <w:t>）：</w:t>
      </w:r>
    </w:p>
    <w:p w14:paraId="2B230C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我方</w:t>
      </w:r>
      <w:r>
        <w:rPr>
          <w:rFonts w:hint="eastAsia" w:ascii="仿宋" w:hAnsi="仿宋" w:eastAsia="仿宋" w:cs="仿宋"/>
          <w:color w:val="000000"/>
          <w:sz w:val="24"/>
          <w:highlight w:val="none"/>
          <w:u w:val="single"/>
        </w:rPr>
        <w:t xml:space="preserve">      （供应商名称）   </w:t>
      </w:r>
      <w:r>
        <w:rPr>
          <w:rFonts w:hint="eastAsia" w:ascii="仿宋" w:hAnsi="仿宋" w:eastAsia="仿宋" w:cs="仿宋"/>
          <w:color w:val="000000"/>
          <w:sz w:val="24"/>
          <w:highlight w:val="none"/>
        </w:rPr>
        <w:t>参与</w:t>
      </w:r>
      <w:r>
        <w:rPr>
          <w:rFonts w:hint="eastAsia" w:ascii="仿宋" w:hAnsi="仿宋" w:eastAsia="仿宋" w:cs="仿宋"/>
          <w:color w:val="000000"/>
          <w:sz w:val="24"/>
          <w:highlight w:val="none"/>
          <w:u w:val="single"/>
        </w:rPr>
        <w:t xml:space="preserve">    </w:t>
      </w:r>
      <w:r>
        <w:rPr>
          <w:rFonts w:hint="eastAsia" w:ascii="仿宋" w:hAnsi="仿宋" w:eastAsia="仿宋" w:cs="仿宋"/>
          <w:b/>
          <w:bCs/>
          <w:color w:val="000000"/>
          <w:sz w:val="24"/>
          <w:highlight w:val="none"/>
          <w:u w:val="single"/>
        </w:rPr>
        <w:t>（项目名称）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比选响应，我单位承诺</w:t>
      </w:r>
      <w:r>
        <w:rPr>
          <w:rFonts w:hint="eastAsia" w:ascii="仿宋" w:hAnsi="仿宋" w:eastAsia="仿宋" w:cs="仿宋"/>
          <w:color w:val="000000"/>
          <w:sz w:val="24"/>
          <w:highlight w:val="none"/>
          <w:lang w:val="en-US" w:eastAsia="zh-CN"/>
        </w:rPr>
        <w:t>满足《中华人民共和国招标投标法》第十三条规定的招标代理机构应当具备的以下条件。</w:t>
      </w:r>
    </w:p>
    <w:p w14:paraId="398453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（1）有从事招标代理业务的营业场所和相应资金；</w:t>
      </w:r>
    </w:p>
    <w:p w14:paraId="59A52F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（2）有能够编制招标文件和组织评标的相应专业力量。</w:t>
      </w:r>
      <w:r>
        <w:rPr>
          <w:rFonts w:hint="eastAsia" w:ascii="仿宋" w:hAnsi="仿宋" w:eastAsia="仿宋" w:cs="仿宋"/>
          <w:color w:val="000000"/>
          <w:sz w:val="24"/>
          <w:highlight w:val="none"/>
        </w:rPr>
        <w:t xml:space="preserve"> </w:t>
      </w:r>
    </w:p>
    <w:p w14:paraId="2345BB32">
      <w:pPr>
        <w:pStyle w:val="18"/>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特此声明。</w:t>
      </w:r>
    </w:p>
    <w:p w14:paraId="60D9EA89">
      <w:pPr>
        <w:pStyle w:val="12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4"/>
          <w:highlight w:val="none"/>
        </w:rPr>
      </w:pPr>
    </w:p>
    <w:p w14:paraId="3294EC54">
      <w:pPr>
        <w:pStyle w:val="12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4"/>
          <w:highlight w:val="none"/>
        </w:rPr>
      </w:pPr>
    </w:p>
    <w:p w14:paraId="675BEA69">
      <w:pPr>
        <w:pStyle w:val="12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4"/>
          <w:highlight w:val="none"/>
        </w:rPr>
      </w:pPr>
    </w:p>
    <w:p w14:paraId="793AD26D">
      <w:pPr>
        <w:pStyle w:val="12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4"/>
          <w:highlight w:val="none"/>
        </w:rPr>
      </w:pPr>
    </w:p>
    <w:p w14:paraId="0E889AD1">
      <w:pPr>
        <w:pStyle w:val="12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4"/>
          <w:highlight w:val="none"/>
        </w:rPr>
      </w:pPr>
    </w:p>
    <w:p w14:paraId="6E20095C">
      <w:pPr>
        <w:pStyle w:val="12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4"/>
          <w:highlight w:val="none"/>
        </w:rPr>
      </w:pPr>
    </w:p>
    <w:p w14:paraId="752B97A0">
      <w:pPr>
        <w:pStyle w:val="12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4"/>
          <w:highlight w:val="none"/>
        </w:rPr>
      </w:pPr>
    </w:p>
    <w:p w14:paraId="24AAE8EB">
      <w:pPr>
        <w:keepNext w:val="0"/>
        <w:keepLines w:val="0"/>
        <w:pageBreakBefore w:val="0"/>
        <w:widowControl w:val="0"/>
        <w:kinsoku/>
        <w:wordWrap/>
        <w:overflowPunct/>
        <w:topLinePunct w:val="0"/>
        <w:autoSpaceDE/>
        <w:autoSpaceDN/>
        <w:bidi w:val="0"/>
        <w:spacing w:line="360" w:lineRule="auto"/>
        <w:ind w:firstLine="4080" w:firstLineChars="1700"/>
        <w:jc w:val="right"/>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41581130">
      <w:pPr>
        <w:keepNext w:val="0"/>
        <w:keepLines w:val="0"/>
        <w:pageBreakBefore w:val="0"/>
        <w:widowControl w:val="0"/>
        <w:kinsoku/>
        <w:wordWrap/>
        <w:overflowPunct/>
        <w:topLinePunct w:val="0"/>
        <w:autoSpaceDE/>
        <w:autoSpaceDN/>
        <w:bidi w:val="0"/>
        <w:spacing w:line="360" w:lineRule="auto"/>
        <w:jc w:val="right"/>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6368940D">
      <w:pPr>
        <w:widowControl/>
        <w:jc w:val="lef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br w:type="page"/>
      </w:r>
    </w:p>
    <w:p w14:paraId="3E049BE0">
      <w:pPr>
        <w:pStyle w:val="4"/>
        <w:spacing w:before="0" w:after="0" w:line="360" w:lineRule="auto"/>
        <w:ind w:left="0" w:firstLine="0"/>
        <w:rPr>
          <w:rFonts w:hint="eastAsia" w:ascii="仿宋" w:hAnsi="仿宋" w:eastAsia="仿宋" w:cs="仿宋"/>
          <w:color w:val="000000"/>
          <w:sz w:val="24"/>
          <w:szCs w:val="24"/>
          <w:highlight w:val="none"/>
        </w:rPr>
      </w:pPr>
      <w:bookmarkStart w:id="413" w:name="_Toc233292476"/>
      <w:bookmarkStart w:id="414" w:name="_Toc216971062"/>
      <w:bookmarkStart w:id="415" w:name="_Toc231201511"/>
      <w:bookmarkStart w:id="416" w:name="_Toc219196027"/>
      <w:r>
        <w:rPr>
          <w:rFonts w:hint="eastAsia" w:ascii="仿宋" w:hAnsi="仿宋" w:eastAsia="仿宋" w:cs="仿宋"/>
          <w:color w:val="000000"/>
          <w:sz w:val="24"/>
          <w:szCs w:val="24"/>
          <w:highlight w:val="none"/>
        </w:rPr>
        <w:t>18、其他资料</w:t>
      </w:r>
      <w:bookmarkEnd w:id="413"/>
      <w:bookmarkEnd w:id="414"/>
      <w:bookmarkEnd w:id="415"/>
      <w:bookmarkEnd w:id="416"/>
    </w:p>
    <w:p w14:paraId="51DCC275">
      <w:pPr>
        <w:rPr>
          <w:rFonts w:hint="eastAsia" w:ascii="仿宋" w:hAnsi="仿宋" w:eastAsia="仿宋" w:cs="仿宋"/>
          <w:sz w:val="24"/>
          <w:szCs w:val="32"/>
          <w:highlight w:val="none"/>
        </w:rPr>
      </w:pPr>
      <w:r>
        <w:rPr>
          <w:rFonts w:hint="eastAsia" w:ascii="仿宋" w:hAnsi="仿宋" w:eastAsia="仿宋" w:cs="仿宋"/>
          <w:sz w:val="24"/>
          <w:szCs w:val="32"/>
          <w:highlight w:val="none"/>
        </w:rPr>
        <w:t>供应商认为需提供的其他材料。</w:t>
      </w:r>
    </w:p>
    <w:p w14:paraId="1D1CD36E">
      <w:pPr>
        <w:rPr>
          <w:rFonts w:hint="eastAsia" w:ascii="仿宋" w:hAnsi="仿宋" w:eastAsia="仿宋" w:cs="仿宋"/>
          <w:sz w:val="24"/>
          <w:szCs w:val="32"/>
          <w:highlight w:val="none"/>
        </w:rPr>
      </w:pPr>
    </w:p>
    <w:p w14:paraId="75E7DD07">
      <w:pPr>
        <w:widowControl/>
        <w:jc w:val="left"/>
        <w:rPr>
          <w:rFonts w:hint="eastAsia" w:ascii="仿宋" w:hAnsi="仿宋" w:eastAsia="仿宋" w:cs="仿宋"/>
          <w:b/>
          <w:bCs/>
          <w:color w:val="000000"/>
          <w:sz w:val="24"/>
          <w:highlight w:val="none"/>
        </w:rPr>
      </w:pPr>
      <w:bookmarkStart w:id="417" w:name="_Toc197681008"/>
      <w:r>
        <w:rPr>
          <w:rFonts w:hint="eastAsia" w:ascii="仿宋" w:hAnsi="仿宋" w:eastAsia="仿宋" w:cs="仿宋"/>
          <w:color w:val="000000"/>
          <w:sz w:val="24"/>
          <w:highlight w:val="none"/>
        </w:rPr>
        <w:br w:type="page"/>
      </w:r>
    </w:p>
    <w:p w14:paraId="5B174CFA">
      <w:pPr>
        <w:pStyle w:val="3"/>
        <w:rPr>
          <w:rFonts w:hint="eastAsia" w:ascii="仿宋" w:hAnsi="仿宋" w:eastAsia="仿宋" w:cs="仿宋"/>
          <w:color w:val="000000"/>
          <w:sz w:val="24"/>
          <w:highlight w:val="none"/>
        </w:rPr>
      </w:pPr>
      <w:bookmarkStart w:id="418" w:name="_Toc219196028"/>
      <w:bookmarkStart w:id="419" w:name="_Toc233292477"/>
      <w:bookmarkStart w:id="420" w:name="_Toc231201512"/>
      <w:bookmarkStart w:id="421" w:name="_Toc216971063"/>
      <w:r>
        <w:rPr>
          <w:rFonts w:hint="eastAsia" w:ascii="仿宋" w:hAnsi="仿宋" w:eastAsia="仿宋" w:cs="仿宋"/>
          <w:color w:val="000000"/>
          <w:szCs w:val="28"/>
          <w:highlight w:val="none"/>
        </w:rPr>
        <w:t>二、技术文件</w:t>
      </w:r>
      <w:bookmarkEnd w:id="330"/>
      <w:bookmarkEnd w:id="331"/>
      <w:bookmarkEnd w:id="332"/>
      <w:bookmarkEnd w:id="333"/>
      <w:bookmarkEnd w:id="334"/>
      <w:bookmarkEnd w:id="335"/>
      <w:bookmarkEnd w:id="407"/>
      <w:bookmarkEnd w:id="408"/>
      <w:bookmarkEnd w:id="417"/>
      <w:bookmarkEnd w:id="418"/>
      <w:bookmarkEnd w:id="419"/>
      <w:bookmarkEnd w:id="420"/>
      <w:bookmarkEnd w:id="421"/>
      <w:bookmarkStart w:id="422" w:name="_Toc197681009"/>
    </w:p>
    <w:bookmarkEnd w:id="422"/>
    <w:p w14:paraId="27F10157">
      <w:pPr>
        <w:pStyle w:val="4"/>
        <w:spacing w:before="0" w:after="0" w:line="360" w:lineRule="auto"/>
        <w:ind w:left="0" w:firstLine="0"/>
        <w:rPr>
          <w:rFonts w:hint="eastAsia" w:ascii="仿宋" w:hAnsi="仿宋" w:eastAsia="仿宋" w:cs="仿宋"/>
          <w:color w:val="000000"/>
          <w:sz w:val="24"/>
          <w:szCs w:val="24"/>
          <w:highlight w:val="none"/>
          <w:lang w:val="en-US" w:eastAsia="zh-CN"/>
        </w:rPr>
      </w:pPr>
      <w:bookmarkStart w:id="423" w:name="_Toc219196029"/>
      <w:bookmarkStart w:id="424" w:name="_Toc216971064"/>
      <w:bookmarkStart w:id="425" w:name="_Toc231201513"/>
      <w:bookmarkStart w:id="426" w:name="_Toc233292478"/>
      <w:r>
        <w:rPr>
          <w:rFonts w:hint="eastAsia" w:ascii="仿宋" w:hAnsi="仿宋" w:eastAsia="仿宋" w:cs="仿宋"/>
          <w:color w:val="000000"/>
          <w:sz w:val="24"/>
          <w:szCs w:val="24"/>
          <w:highlight w:val="none"/>
        </w:rPr>
        <w:t>1、</w:t>
      </w:r>
      <w:bookmarkEnd w:id="423"/>
      <w:bookmarkEnd w:id="424"/>
      <w:bookmarkEnd w:id="425"/>
      <w:bookmarkEnd w:id="426"/>
      <w:r>
        <w:rPr>
          <w:rFonts w:hint="eastAsia" w:ascii="仿宋" w:hAnsi="仿宋" w:eastAsia="仿宋" w:cs="仿宋"/>
          <w:color w:val="000000"/>
          <w:sz w:val="24"/>
          <w:szCs w:val="24"/>
          <w:highlight w:val="none"/>
          <w:lang w:val="en-US" w:eastAsia="zh-CN"/>
        </w:rPr>
        <w:t>项目负责人</w:t>
      </w:r>
    </w:p>
    <w:tbl>
      <w:tblPr>
        <w:tblStyle w:val="4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176"/>
        <w:gridCol w:w="2358"/>
        <w:gridCol w:w="1020"/>
        <w:gridCol w:w="2947"/>
        <w:gridCol w:w="1531"/>
      </w:tblGrid>
      <w:tr w14:paraId="24CF9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vAlign w:val="center"/>
          </w:tcPr>
          <w:p w14:paraId="63CD3D5F">
            <w:pPr>
              <w:snapToGrid w:val="0"/>
              <w:spacing w:line="360" w:lineRule="auto"/>
              <w:jc w:val="center"/>
              <w:rPr>
                <w:rFonts w:hint="eastAsia" w:ascii="仿宋" w:hAnsi="仿宋" w:eastAsia="仿宋" w:cs="仿宋"/>
                <w:sz w:val="24"/>
                <w:highlight w:val="none"/>
              </w:rPr>
            </w:pPr>
            <w:r>
              <w:rPr>
                <w:rFonts w:hint="eastAsia" w:ascii="仿宋" w:hAnsi="仿宋" w:eastAsia="仿宋" w:cs="仿宋"/>
                <w:kern w:val="0"/>
                <w:sz w:val="24"/>
                <w:highlight w:val="none"/>
              </w:rPr>
              <w:t>序号</w:t>
            </w:r>
          </w:p>
        </w:tc>
        <w:tc>
          <w:tcPr>
            <w:tcW w:w="597" w:type="pct"/>
            <w:vAlign w:val="center"/>
          </w:tcPr>
          <w:p w14:paraId="53B84C63">
            <w:pPr>
              <w:snapToGrid w:val="0"/>
              <w:spacing w:line="360" w:lineRule="auto"/>
              <w:jc w:val="center"/>
              <w:rPr>
                <w:rFonts w:hint="eastAsia" w:ascii="仿宋" w:hAnsi="仿宋" w:eastAsia="仿宋" w:cs="仿宋"/>
                <w:sz w:val="24"/>
                <w:highlight w:val="none"/>
              </w:rPr>
            </w:pPr>
            <w:r>
              <w:rPr>
                <w:rFonts w:hint="eastAsia" w:ascii="仿宋" w:hAnsi="仿宋" w:eastAsia="仿宋" w:cs="仿宋"/>
                <w:kern w:val="0"/>
                <w:sz w:val="24"/>
                <w:highlight w:val="none"/>
              </w:rPr>
              <w:t>姓名</w:t>
            </w:r>
          </w:p>
        </w:tc>
        <w:tc>
          <w:tcPr>
            <w:tcW w:w="1197" w:type="pct"/>
            <w:vAlign w:val="center"/>
          </w:tcPr>
          <w:p w14:paraId="60575ADD">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身份证号码</w:t>
            </w:r>
          </w:p>
        </w:tc>
        <w:tc>
          <w:tcPr>
            <w:tcW w:w="518" w:type="pct"/>
            <w:vAlign w:val="center"/>
          </w:tcPr>
          <w:p w14:paraId="1245B584">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性别</w:t>
            </w:r>
          </w:p>
        </w:tc>
        <w:tc>
          <w:tcPr>
            <w:tcW w:w="1496" w:type="pct"/>
            <w:vAlign w:val="center"/>
          </w:tcPr>
          <w:p w14:paraId="5A5AB88B">
            <w:pPr>
              <w:snapToGrid w:val="0"/>
              <w:spacing w:line="360" w:lineRule="auto"/>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拟在本项目担任的职责</w:t>
            </w:r>
          </w:p>
        </w:tc>
        <w:tc>
          <w:tcPr>
            <w:tcW w:w="777" w:type="pct"/>
            <w:vAlign w:val="center"/>
          </w:tcPr>
          <w:p w14:paraId="17514BA4">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证书名称</w:t>
            </w:r>
          </w:p>
        </w:tc>
      </w:tr>
      <w:tr w14:paraId="41A8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vAlign w:val="center"/>
          </w:tcPr>
          <w:p w14:paraId="4700498D">
            <w:pPr>
              <w:snapToGrid w:val="0"/>
              <w:spacing w:line="360" w:lineRule="auto"/>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p>
        </w:tc>
        <w:tc>
          <w:tcPr>
            <w:tcW w:w="597" w:type="pct"/>
            <w:vAlign w:val="center"/>
          </w:tcPr>
          <w:p w14:paraId="6D6FE8A8">
            <w:pPr>
              <w:snapToGrid w:val="0"/>
              <w:spacing w:line="360" w:lineRule="auto"/>
              <w:jc w:val="center"/>
              <w:rPr>
                <w:rFonts w:hint="eastAsia" w:ascii="仿宋" w:hAnsi="仿宋" w:eastAsia="仿宋" w:cs="仿宋"/>
                <w:sz w:val="24"/>
                <w:highlight w:val="none"/>
              </w:rPr>
            </w:pPr>
          </w:p>
        </w:tc>
        <w:tc>
          <w:tcPr>
            <w:tcW w:w="1197" w:type="pct"/>
            <w:vAlign w:val="center"/>
          </w:tcPr>
          <w:p w14:paraId="52273B65">
            <w:pPr>
              <w:snapToGrid w:val="0"/>
              <w:spacing w:line="360" w:lineRule="auto"/>
              <w:jc w:val="center"/>
              <w:rPr>
                <w:rFonts w:hint="eastAsia" w:ascii="仿宋" w:hAnsi="仿宋" w:eastAsia="仿宋" w:cs="仿宋"/>
                <w:sz w:val="24"/>
                <w:highlight w:val="none"/>
              </w:rPr>
            </w:pPr>
          </w:p>
        </w:tc>
        <w:tc>
          <w:tcPr>
            <w:tcW w:w="518" w:type="pct"/>
            <w:vAlign w:val="center"/>
          </w:tcPr>
          <w:p w14:paraId="3619F95D">
            <w:pPr>
              <w:snapToGrid w:val="0"/>
              <w:spacing w:line="360" w:lineRule="auto"/>
              <w:jc w:val="center"/>
              <w:rPr>
                <w:rFonts w:hint="eastAsia" w:ascii="仿宋" w:hAnsi="仿宋" w:eastAsia="仿宋" w:cs="仿宋"/>
                <w:sz w:val="24"/>
                <w:highlight w:val="none"/>
              </w:rPr>
            </w:pPr>
          </w:p>
        </w:tc>
        <w:tc>
          <w:tcPr>
            <w:tcW w:w="1496" w:type="pct"/>
            <w:vAlign w:val="center"/>
          </w:tcPr>
          <w:p w14:paraId="62CD0D8E">
            <w:pPr>
              <w:snapToGrid w:val="0"/>
              <w:spacing w:line="360" w:lineRule="auto"/>
              <w:jc w:val="center"/>
              <w:rPr>
                <w:rFonts w:hint="eastAsia" w:ascii="仿宋" w:hAnsi="仿宋" w:eastAsia="仿宋" w:cs="仿宋"/>
                <w:sz w:val="24"/>
                <w:highlight w:val="none"/>
              </w:rPr>
            </w:pPr>
          </w:p>
        </w:tc>
        <w:tc>
          <w:tcPr>
            <w:tcW w:w="777" w:type="pct"/>
            <w:vAlign w:val="center"/>
          </w:tcPr>
          <w:p w14:paraId="2F6F3932">
            <w:pPr>
              <w:snapToGrid w:val="0"/>
              <w:spacing w:line="360" w:lineRule="auto"/>
              <w:jc w:val="center"/>
              <w:rPr>
                <w:rFonts w:hint="eastAsia" w:ascii="仿宋" w:hAnsi="仿宋" w:eastAsia="仿宋" w:cs="仿宋"/>
                <w:sz w:val="24"/>
                <w:highlight w:val="none"/>
              </w:rPr>
            </w:pPr>
          </w:p>
        </w:tc>
      </w:tr>
      <w:tr w14:paraId="6285B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412" w:type="pct"/>
            <w:vAlign w:val="center"/>
          </w:tcPr>
          <w:p w14:paraId="3A0DE313">
            <w:pPr>
              <w:snapToGrid w:val="0"/>
              <w:spacing w:line="360" w:lineRule="auto"/>
              <w:jc w:val="center"/>
              <w:rPr>
                <w:rFonts w:hint="eastAsia" w:ascii="仿宋" w:hAnsi="仿宋" w:eastAsia="仿宋" w:cs="仿宋"/>
                <w:sz w:val="24"/>
                <w:highlight w:val="none"/>
                <w:lang w:val="en-US" w:eastAsia="zh-CN"/>
              </w:rPr>
            </w:pPr>
          </w:p>
        </w:tc>
        <w:tc>
          <w:tcPr>
            <w:tcW w:w="597" w:type="pct"/>
            <w:vAlign w:val="center"/>
          </w:tcPr>
          <w:p w14:paraId="7223A9E4">
            <w:pPr>
              <w:snapToGrid w:val="0"/>
              <w:spacing w:line="360" w:lineRule="auto"/>
              <w:jc w:val="center"/>
              <w:rPr>
                <w:rFonts w:hint="eastAsia" w:ascii="仿宋" w:hAnsi="仿宋" w:eastAsia="仿宋" w:cs="仿宋"/>
                <w:sz w:val="24"/>
                <w:highlight w:val="none"/>
              </w:rPr>
            </w:pPr>
          </w:p>
        </w:tc>
        <w:tc>
          <w:tcPr>
            <w:tcW w:w="1197" w:type="pct"/>
            <w:vAlign w:val="center"/>
          </w:tcPr>
          <w:p w14:paraId="543DD2D9">
            <w:pPr>
              <w:snapToGrid w:val="0"/>
              <w:spacing w:line="360" w:lineRule="auto"/>
              <w:jc w:val="center"/>
              <w:rPr>
                <w:rFonts w:hint="eastAsia" w:ascii="仿宋" w:hAnsi="仿宋" w:eastAsia="仿宋" w:cs="仿宋"/>
                <w:sz w:val="24"/>
                <w:highlight w:val="none"/>
              </w:rPr>
            </w:pPr>
          </w:p>
        </w:tc>
        <w:tc>
          <w:tcPr>
            <w:tcW w:w="518" w:type="pct"/>
            <w:vAlign w:val="center"/>
          </w:tcPr>
          <w:p w14:paraId="0EF27798">
            <w:pPr>
              <w:snapToGrid w:val="0"/>
              <w:spacing w:line="360" w:lineRule="auto"/>
              <w:jc w:val="center"/>
              <w:rPr>
                <w:rFonts w:hint="eastAsia" w:ascii="仿宋" w:hAnsi="仿宋" w:eastAsia="仿宋" w:cs="仿宋"/>
                <w:sz w:val="24"/>
                <w:highlight w:val="none"/>
              </w:rPr>
            </w:pPr>
          </w:p>
        </w:tc>
        <w:tc>
          <w:tcPr>
            <w:tcW w:w="1496" w:type="pct"/>
            <w:vAlign w:val="center"/>
          </w:tcPr>
          <w:p w14:paraId="68753078">
            <w:pPr>
              <w:snapToGrid w:val="0"/>
              <w:spacing w:line="360" w:lineRule="auto"/>
              <w:jc w:val="center"/>
              <w:rPr>
                <w:rFonts w:hint="eastAsia" w:ascii="仿宋" w:hAnsi="仿宋" w:eastAsia="仿宋" w:cs="仿宋"/>
                <w:sz w:val="24"/>
                <w:highlight w:val="none"/>
              </w:rPr>
            </w:pPr>
          </w:p>
        </w:tc>
        <w:tc>
          <w:tcPr>
            <w:tcW w:w="777" w:type="pct"/>
            <w:vAlign w:val="center"/>
          </w:tcPr>
          <w:p w14:paraId="42726855">
            <w:pPr>
              <w:snapToGrid w:val="0"/>
              <w:spacing w:line="360" w:lineRule="auto"/>
              <w:jc w:val="center"/>
              <w:rPr>
                <w:rFonts w:hint="eastAsia" w:ascii="仿宋" w:hAnsi="仿宋" w:eastAsia="仿宋" w:cs="仿宋"/>
                <w:sz w:val="24"/>
                <w:highlight w:val="none"/>
              </w:rPr>
            </w:pPr>
          </w:p>
        </w:tc>
      </w:tr>
    </w:tbl>
    <w:p w14:paraId="4ABE0A41">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bookmarkStart w:id="427" w:name="_Toc219196030"/>
      <w:bookmarkStart w:id="428" w:name="_Toc197681004"/>
      <w:bookmarkStart w:id="429" w:name="_Toc17302"/>
      <w:bookmarkStart w:id="430" w:name="_Toc216971065"/>
      <w:bookmarkStart w:id="431" w:name="_Toc231201516"/>
      <w:bookmarkStart w:id="432" w:name="_Toc197681010"/>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注1：从业经验证明材料，须提供公告截图，截图须体现拟派项目负责人信息，每年至少提供1份公告截图。</w:t>
      </w:r>
    </w:p>
    <w:p w14:paraId="6C7B90FC">
      <w:pPr>
        <w:widowControl/>
        <w:spacing w:line="360" w:lineRule="auto"/>
        <w:jc w:val="left"/>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2：须提供上述人员身份证正反面复印件、从业经验证明材料复印件、招采人员证书复印件、在本单位2026年1月至应答截止之日前任意连续3个月的社保缴纳证明（若社保为第三方劳务派遣代缴，还须同时提供应答单位与劳务派遣公司签订的劳务派遣合同或协议，否则不予认可）。</w:t>
      </w:r>
    </w:p>
    <w:p w14:paraId="1EAAA438">
      <w:pP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br w:type="page"/>
      </w:r>
    </w:p>
    <w:p w14:paraId="1D9BF283">
      <w:pPr>
        <w:pStyle w:val="4"/>
        <w:spacing w:before="0" w:after="0" w:line="360" w:lineRule="auto"/>
        <w:ind w:left="0" w:firstLine="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项目经理</w:t>
      </w:r>
    </w:p>
    <w:tbl>
      <w:tblPr>
        <w:tblStyle w:val="4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176"/>
        <w:gridCol w:w="2358"/>
        <w:gridCol w:w="1020"/>
        <w:gridCol w:w="2947"/>
        <w:gridCol w:w="1531"/>
      </w:tblGrid>
      <w:tr w14:paraId="08B1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vAlign w:val="center"/>
          </w:tcPr>
          <w:p w14:paraId="45424624">
            <w:pPr>
              <w:snapToGrid w:val="0"/>
              <w:spacing w:line="360" w:lineRule="auto"/>
              <w:jc w:val="center"/>
              <w:rPr>
                <w:rFonts w:hint="eastAsia" w:ascii="仿宋" w:hAnsi="仿宋" w:eastAsia="仿宋" w:cs="仿宋"/>
                <w:sz w:val="24"/>
                <w:highlight w:val="none"/>
              </w:rPr>
            </w:pPr>
            <w:r>
              <w:rPr>
                <w:rFonts w:hint="eastAsia" w:ascii="仿宋" w:hAnsi="仿宋" w:eastAsia="仿宋" w:cs="仿宋"/>
                <w:kern w:val="0"/>
                <w:sz w:val="24"/>
                <w:highlight w:val="none"/>
              </w:rPr>
              <w:t>序号</w:t>
            </w:r>
          </w:p>
        </w:tc>
        <w:tc>
          <w:tcPr>
            <w:tcW w:w="597" w:type="pct"/>
            <w:vAlign w:val="center"/>
          </w:tcPr>
          <w:p w14:paraId="55D2006D">
            <w:pPr>
              <w:snapToGrid w:val="0"/>
              <w:spacing w:line="360" w:lineRule="auto"/>
              <w:jc w:val="center"/>
              <w:rPr>
                <w:rFonts w:hint="eastAsia" w:ascii="仿宋" w:hAnsi="仿宋" w:eastAsia="仿宋" w:cs="仿宋"/>
                <w:sz w:val="24"/>
                <w:highlight w:val="none"/>
              </w:rPr>
            </w:pPr>
            <w:r>
              <w:rPr>
                <w:rFonts w:hint="eastAsia" w:ascii="仿宋" w:hAnsi="仿宋" w:eastAsia="仿宋" w:cs="仿宋"/>
                <w:kern w:val="0"/>
                <w:sz w:val="24"/>
                <w:highlight w:val="none"/>
              </w:rPr>
              <w:t>姓名</w:t>
            </w:r>
          </w:p>
        </w:tc>
        <w:tc>
          <w:tcPr>
            <w:tcW w:w="1197" w:type="pct"/>
            <w:vAlign w:val="center"/>
          </w:tcPr>
          <w:p w14:paraId="501F1642">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身份证号码</w:t>
            </w:r>
          </w:p>
        </w:tc>
        <w:tc>
          <w:tcPr>
            <w:tcW w:w="518" w:type="pct"/>
            <w:vAlign w:val="center"/>
          </w:tcPr>
          <w:p w14:paraId="50B89E2A">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性别</w:t>
            </w:r>
          </w:p>
        </w:tc>
        <w:tc>
          <w:tcPr>
            <w:tcW w:w="1496" w:type="pct"/>
            <w:vAlign w:val="center"/>
          </w:tcPr>
          <w:p w14:paraId="7254F974">
            <w:pPr>
              <w:snapToGrid w:val="0"/>
              <w:spacing w:line="360" w:lineRule="auto"/>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拟在本项目担任的职责</w:t>
            </w:r>
          </w:p>
        </w:tc>
        <w:tc>
          <w:tcPr>
            <w:tcW w:w="777" w:type="pct"/>
            <w:vAlign w:val="center"/>
          </w:tcPr>
          <w:p w14:paraId="4997F09A">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证书名称</w:t>
            </w:r>
          </w:p>
        </w:tc>
      </w:tr>
      <w:tr w14:paraId="78C72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vAlign w:val="center"/>
          </w:tcPr>
          <w:p w14:paraId="2EF95977">
            <w:pPr>
              <w:snapToGrid w:val="0"/>
              <w:spacing w:line="360" w:lineRule="auto"/>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p>
        </w:tc>
        <w:tc>
          <w:tcPr>
            <w:tcW w:w="597" w:type="pct"/>
            <w:vAlign w:val="center"/>
          </w:tcPr>
          <w:p w14:paraId="29538276">
            <w:pPr>
              <w:snapToGrid w:val="0"/>
              <w:spacing w:line="360" w:lineRule="auto"/>
              <w:jc w:val="center"/>
              <w:rPr>
                <w:rFonts w:hint="eastAsia" w:ascii="仿宋" w:hAnsi="仿宋" w:eastAsia="仿宋" w:cs="仿宋"/>
                <w:sz w:val="24"/>
                <w:highlight w:val="none"/>
              </w:rPr>
            </w:pPr>
          </w:p>
        </w:tc>
        <w:tc>
          <w:tcPr>
            <w:tcW w:w="1197" w:type="pct"/>
            <w:vAlign w:val="center"/>
          </w:tcPr>
          <w:p w14:paraId="2248DB00">
            <w:pPr>
              <w:snapToGrid w:val="0"/>
              <w:spacing w:line="360" w:lineRule="auto"/>
              <w:jc w:val="center"/>
              <w:rPr>
                <w:rFonts w:hint="eastAsia" w:ascii="仿宋" w:hAnsi="仿宋" w:eastAsia="仿宋" w:cs="仿宋"/>
                <w:sz w:val="24"/>
                <w:highlight w:val="none"/>
              </w:rPr>
            </w:pPr>
          </w:p>
        </w:tc>
        <w:tc>
          <w:tcPr>
            <w:tcW w:w="518" w:type="pct"/>
            <w:vAlign w:val="center"/>
          </w:tcPr>
          <w:p w14:paraId="07D3294E">
            <w:pPr>
              <w:snapToGrid w:val="0"/>
              <w:spacing w:line="360" w:lineRule="auto"/>
              <w:jc w:val="center"/>
              <w:rPr>
                <w:rFonts w:hint="eastAsia" w:ascii="仿宋" w:hAnsi="仿宋" w:eastAsia="仿宋" w:cs="仿宋"/>
                <w:sz w:val="24"/>
                <w:highlight w:val="none"/>
              </w:rPr>
            </w:pPr>
          </w:p>
        </w:tc>
        <w:tc>
          <w:tcPr>
            <w:tcW w:w="1496" w:type="pct"/>
            <w:vAlign w:val="center"/>
          </w:tcPr>
          <w:p w14:paraId="4F50588A">
            <w:pPr>
              <w:snapToGrid w:val="0"/>
              <w:spacing w:line="360" w:lineRule="auto"/>
              <w:jc w:val="center"/>
              <w:rPr>
                <w:rFonts w:hint="eastAsia" w:ascii="仿宋" w:hAnsi="仿宋" w:eastAsia="仿宋" w:cs="仿宋"/>
                <w:sz w:val="24"/>
                <w:highlight w:val="none"/>
              </w:rPr>
            </w:pPr>
          </w:p>
        </w:tc>
        <w:tc>
          <w:tcPr>
            <w:tcW w:w="777" w:type="pct"/>
            <w:vAlign w:val="center"/>
          </w:tcPr>
          <w:p w14:paraId="0A206E58">
            <w:pPr>
              <w:snapToGrid w:val="0"/>
              <w:spacing w:line="360" w:lineRule="auto"/>
              <w:jc w:val="center"/>
              <w:rPr>
                <w:rFonts w:hint="eastAsia" w:ascii="仿宋" w:hAnsi="仿宋" w:eastAsia="仿宋" w:cs="仿宋"/>
                <w:sz w:val="24"/>
                <w:highlight w:val="none"/>
              </w:rPr>
            </w:pPr>
          </w:p>
        </w:tc>
      </w:tr>
      <w:tr w14:paraId="7F70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vAlign w:val="center"/>
          </w:tcPr>
          <w:p w14:paraId="0198ABC6">
            <w:pPr>
              <w:snapToGrid w:val="0"/>
              <w:spacing w:line="360" w:lineRule="auto"/>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597" w:type="pct"/>
            <w:vAlign w:val="center"/>
          </w:tcPr>
          <w:p w14:paraId="6C16AEE0">
            <w:pPr>
              <w:snapToGrid w:val="0"/>
              <w:spacing w:line="360" w:lineRule="auto"/>
              <w:jc w:val="center"/>
              <w:rPr>
                <w:rFonts w:hint="eastAsia" w:ascii="仿宋" w:hAnsi="仿宋" w:eastAsia="仿宋" w:cs="仿宋"/>
                <w:sz w:val="24"/>
                <w:highlight w:val="none"/>
              </w:rPr>
            </w:pPr>
          </w:p>
        </w:tc>
        <w:tc>
          <w:tcPr>
            <w:tcW w:w="1197" w:type="pct"/>
            <w:vAlign w:val="center"/>
          </w:tcPr>
          <w:p w14:paraId="32CB18B4">
            <w:pPr>
              <w:snapToGrid w:val="0"/>
              <w:spacing w:line="360" w:lineRule="auto"/>
              <w:jc w:val="center"/>
              <w:rPr>
                <w:rFonts w:hint="eastAsia" w:ascii="仿宋" w:hAnsi="仿宋" w:eastAsia="仿宋" w:cs="仿宋"/>
                <w:sz w:val="24"/>
                <w:highlight w:val="none"/>
              </w:rPr>
            </w:pPr>
          </w:p>
        </w:tc>
        <w:tc>
          <w:tcPr>
            <w:tcW w:w="518" w:type="pct"/>
            <w:vAlign w:val="center"/>
          </w:tcPr>
          <w:p w14:paraId="37EAAA4E">
            <w:pPr>
              <w:snapToGrid w:val="0"/>
              <w:spacing w:line="360" w:lineRule="auto"/>
              <w:jc w:val="center"/>
              <w:rPr>
                <w:rFonts w:hint="eastAsia" w:ascii="仿宋" w:hAnsi="仿宋" w:eastAsia="仿宋" w:cs="仿宋"/>
                <w:sz w:val="24"/>
                <w:highlight w:val="none"/>
              </w:rPr>
            </w:pPr>
          </w:p>
        </w:tc>
        <w:tc>
          <w:tcPr>
            <w:tcW w:w="1496" w:type="pct"/>
            <w:vAlign w:val="center"/>
          </w:tcPr>
          <w:p w14:paraId="44E5E0B8">
            <w:pPr>
              <w:snapToGrid w:val="0"/>
              <w:spacing w:line="360" w:lineRule="auto"/>
              <w:jc w:val="center"/>
              <w:rPr>
                <w:rFonts w:hint="eastAsia" w:ascii="仿宋" w:hAnsi="仿宋" w:eastAsia="仿宋" w:cs="仿宋"/>
                <w:sz w:val="24"/>
                <w:highlight w:val="none"/>
              </w:rPr>
            </w:pPr>
          </w:p>
        </w:tc>
        <w:tc>
          <w:tcPr>
            <w:tcW w:w="777" w:type="pct"/>
            <w:vAlign w:val="center"/>
          </w:tcPr>
          <w:p w14:paraId="0529893D">
            <w:pPr>
              <w:snapToGrid w:val="0"/>
              <w:spacing w:line="360" w:lineRule="auto"/>
              <w:jc w:val="center"/>
              <w:rPr>
                <w:rFonts w:hint="eastAsia" w:ascii="仿宋" w:hAnsi="仿宋" w:eastAsia="仿宋" w:cs="仿宋"/>
                <w:sz w:val="24"/>
                <w:highlight w:val="none"/>
              </w:rPr>
            </w:pPr>
          </w:p>
        </w:tc>
      </w:tr>
      <w:tr w14:paraId="3E60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vAlign w:val="center"/>
          </w:tcPr>
          <w:p w14:paraId="27A2F15E">
            <w:pPr>
              <w:snapToGrid w:val="0"/>
              <w:spacing w:line="360" w:lineRule="auto"/>
              <w:jc w:val="center"/>
              <w:rPr>
                <w:rFonts w:hint="eastAsia" w:ascii="仿宋" w:hAnsi="仿宋" w:eastAsia="仿宋" w:cs="仿宋"/>
                <w:sz w:val="24"/>
                <w:highlight w:val="none"/>
                <w:lang w:val="en-US" w:eastAsia="zh-CN"/>
              </w:rPr>
            </w:pPr>
          </w:p>
        </w:tc>
        <w:tc>
          <w:tcPr>
            <w:tcW w:w="597" w:type="pct"/>
            <w:vAlign w:val="center"/>
          </w:tcPr>
          <w:p w14:paraId="49132666">
            <w:pPr>
              <w:snapToGrid w:val="0"/>
              <w:spacing w:line="360" w:lineRule="auto"/>
              <w:jc w:val="center"/>
              <w:rPr>
                <w:rFonts w:hint="eastAsia" w:ascii="仿宋" w:hAnsi="仿宋" w:eastAsia="仿宋" w:cs="仿宋"/>
                <w:sz w:val="24"/>
                <w:highlight w:val="none"/>
              </w:rPr>
            </w:pPr>
          </w:p>
        </w:tc>
        <w:tc>
          <w:tcPr>
            <w:tcW w:w="1197" w:type="pct"/>
            <w:vAlign w:val="center"/>
          </w:tcPr>
          <w:p w14:paraId="7E575E92">
            <w:pPr>
              <w:snapToGrid w:val="0"/>
              <w:spacing w:line="360" w:lineRule="auto"/>
              <w:jc w:val="center"/>
              <w:rPr>
                <w:rFonts w:hint="eastAsia" w:ascii="仿宋" w:hAnsi="仿宋" w:eastAsia="仿宋" w:cs="仿宋"/>
                <w:sz w:val="24"/>
                <w:highlight w:val="none"/>
              </w:rPr>
            </w:pPr>
          </w:p>
        </w:tc>
        <w:tc>
          <w:tcPr>
            <w:tcW w:w="518" w:type="pct"/>
            <w:vAlign w:val="center"/>
          </w:tcPr>
          <w:p w14:paraId="55FEF65E">
            <w:pPr>
              <w:snapToGrid w:val="0"/>
              <w:spacing w:line="360" w:lineRule="auto"/>
              <w:jc w:val="center"/>
              <w:rPr>
                <w:rFonts w:hint="eastAsia" w:ascii="仿宋" w:hAnsi="仿宋" w:eastAsia="仿宋" w:cs="仿宋"/>
                <w:sz w:val="24"/>
                <w:highlight w:val="none"/>
              </w:rPr>
            </w:pPr>
          </w:p>
        </w:tc>
        <w:tc>
          <w:tcPr>
            <w:tcW w:w="1496" w:type="pct"/>
            <w:vAlign w:val="center"/>
          </w:tcPr>
          <w:p w14:paraId="3DAA4180">
            <w:pPr>
              <w:snapToGrid w:val="0"/>
              <w:spacing w:line="360" w:lineRule="auto"/>
              <w:jc w:val="center"/>
              <w:rPr>
                <w:rFonts w:hint="eastAsia" w:ascii="仿宋" w:hAnsi="仿宋" w:eastAsia="仿宋" w:cs="仿宋"/>
                <w:sz w:val="24"/>
                <w:highlight w:val="none"/>
              </w:rPr>
            </w:pPr>
          </w:p>
        </w:tc>
        <w:tc>
          <w:tcPr>
            <w:tcW w:w="777" w:type="pct"/>
            <w:vAlign w:val="center"/>
          </w:tcPr>
          <w:p w14:paraId="753743C6">
            <w:pPr>
              <w:snapToGrid w:val="0"/>
              <w:spacing w:line="360" w:lineRule="auto"/>
              <w:jc w:val="center"/>
              <w:rPr>
                <w:rFonts w:hint="eastAsia" w:ascii="仿宋" w:hAnsi="仿宋" w:eastAsia="仿宋" w:cs="仿宋"/>
                <w:sz w:val="24"/>
                <w:highlight w:val="none"/>
              </w:rPr>
            </w:pPr>
          </w:p>
        </w:tc>
      </w:tr>
    </w:tbl>
    <w:p w14:paraId="2B626BF0">
      <w:pPr>
        <w:keepNext w:val="0"/>
        <w:keepLines w:val="0"/>
        <w:widowControl/>
        <w:suppressLineNumbers w:val="0"/>
        <w:spacing w:line="360" w:lineRule="auto"/>
        <w:jc w:val="left"/>
        <w:textAlignment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注1：从业经验证明材料，须提供采购公告截图，截图须体现拟派项目经理信息，每年至少提供1份采购公告截图。</w:t>
      </w:r>
    </w:p>
    <w:p w14:paraId="7FB92451">
      <w:pPr>
        <w:widowControl/>
        <w:spacing w:line="360" w:lineRule="auto"/>
        <w:jc w:val="left"/>
        <w:rPr>
          <w:rFonts w:hint="eastAsia" w:ascii="仿宋" w:hAnsi="仿宋" w:eastAsia="仿宋" w:cs="仿宋"/>
          <w:b/>
          <w:bCs/>
          <w:sz w:val="24"/>
          <w:highlight w:val="none"/>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注2：须提供上述人员身份证正反面复印件、从业经验证明材料复印件、招采人员证书复印件、在本单位2026年1月至应答截止之日前任意连续3个月的社保缴纳证明（若社保为第三方劳务派遣代缴，还须同时提供应答单位与劳务派遣公司签订的劳务派遣合同或协议，否则不予认可）。项目经理与项目负责人不得复用。</w:t>
      </w:r>
      <w:r>
        <w:rPr>
          <w:rFonts w:hint="eastAsia" w:ascii="仿宋" w:hAnsi="仿宋" w:eastAsia="仿宋" w:cs="仿宋"/>
          <w:sz w:val="24"/>
          <w:highlight w:val="none"/>
        </w:rPr>
        <w:br w:type="page"/>
      </w:r>
    </w:p>
    <w:p w14:paraId="2086D45D">
      <w:pPr>
        <w:pStyle w:val="4"/>
        <w:spacing w:before="0" w:after="0" w:line="360" w:lineRule="auto"/>
        <w:ind w:left="0" w:firstLine="0"/>
        <w:rPr>
          <w:rFonts w:hint="eastAsia" w:ascii="仿宋" w:hAnsi="仿宋" w:eastAsia="仿宋" w:cs="仿宋"/>
          <w:color w:val="000000"/>
          <w:sz w:val="24"/>
          <w:szCs w:val="24"/>
          <w:highlight w:val="none"/>
        </w:rPr>
      </w:pPr>
      <w:bookmarkStart w:id="433" w:name="_Toc233292481"/>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、采购需求应答偏离表</w:t>
      </w:r>
      <w:bookmarkEnd w:id="427"/>
      <w:bookmarkEnd w:id="428"/>
      <w:bookmarkEnd w:id="429"/>
      <w:bookmarkEnd w:id="430"/>
      <w:bookmarkEnd w:id="431"/>
      <w:bookmarkEnd w:id="433"/>
    </w:p>
    <w:p w14:paraId="6F8DA5C2">
      <w:pPr>
        <w:spacing w:line="360" w:lineRule="auto"/>
        <w:jc w:val="center"/>
        <w:rPr>
          <w:rFonts w:hint="eastAsia" w:ascii="仿宋" w:hAnsi="仿宋" w:eastAsia="仿宋" w:cs="仿宋"/>
          <w:b/>
          <w:bCs/>
          <w:color w:val="000000"/>
          <w:sz w:val="24"/>
          <w:highlight w:val="none"/>
        </w:rPr>
      </w:pPr>
      <w:bookmarkStart w:id="434" w:name="_Toc293297544"/>
      <w:bookmarkStart w:id="435" w:name="_Toc125561188"/>
      <w:bookmarkStart w:id="436" w:name="_Toc125771198"/>
      <w:r>
        <w:rPr>
          <w:rFonts w:hint="eastAsia" w:ascii="仿宋" w:hAnsi="仿宋" w:eastAsia="仿宋" w:cs="仿宋"/>
          <w:b/>
          <w:bCs/>
          <w:color w:val="000000"/>
          <w:sz w:val="24"/>
          <w:highlight w:val="none"/>
        </w:rPr>
        <w:t>采购需求应答偏离表</w:t>
      </w:r>
      <w:bookmarkEnd w:id="434"/>
      <w:bookmarkEnd w:id="435"/>
      <w:bookmarkEnd w:id="436"/>
    </w:p>
    <w:p w14:paraId="281D099A">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6"/>
      </w:tblGrid>
      <w:tr w14:paraId="3C1EA0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7D0611D0">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6CE65398">
            <w:p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5B21D1F2">
            <w:p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3B802820">
            <w:p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3E902D17">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备注</w:t>
            </w:r>
          </w:p>
        </w:tc>
      </w:tr>
      <w:tr w14:paraId="504990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E0208DA">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2F1A85E9">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27901915">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5E1F0182">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6689D1FC">
            <w:pPr>
              <w:spacing w:line="360" w:lineRule="auto"/>
              <w:rPr>
                <w:rFonts w:hint="eastAsia" w:ascii="仿宋" w:hAnsi="仿宋" w:eastAsia="仿宋" w:cs="仿宋"/>
                <w:color w:val="000000"/>
                <w:sz w:val="24"/>
                <w:highlight w:val="none"/>
              </w:rPr>
            </w:pPr>
          </w:p>
        </w:tc>
      </w:tr>
      <w:tr w14:paraId="590B32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1431EA5">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76FB744F">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27A9E8C5">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3C53A0F6">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6F52DD93">
            <w:pPr>
              <w:spacing w:line="360" w:lineRule="auto"/>
              <w:rPr>
                <w:rFonts w:hint="eastAsia" w:ascii="仿宋" w:hAnsi="仿宋" w:eastAsia="仿宋" w:cs="仿宋"/>
                <w:color w:val="000000"/>
                <w:sz w:val="24"/>
                <w:highlight w:val="none"/>
              </w:rPr>
            </w:pPr>
          </w:p>
        </w:tc>
      </w:tr>
      <w:tr w14:paraId="583FDD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DADCF45">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2FF558BE">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725A4038">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0B5EA453">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48D2C0EB">
            <w:pPr>
              <w:spacing w:line="360" w:lineRule="auto"/>
              <w:rPr>
                <w:rFonts w:hint="eastAsia" w:ascii="仿宋" w:hAnsi="仿宋" w:eastAsia="仿宋" w:cs="仿宋"/>
                <w:color w:val="000000"/>
                <w:sz w:val="24"/>
                <w:highlight w:val="none"/>
              </w:rPr>
            </w:pPr>
          </w:p>
        </w:tc>
      </w:tr>
      <w:tr w14:paraId="4F016E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512E1BA">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606A72E3">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6EC651E4">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49409974">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4E4BDA45">
            <w:pPr>
              <w:spacing w:line="360" w:lineRule="auto"/>
              <w:rPr>
                <w:rFonts w:hint="eastAsia" w:ascii="仿宋" w:hAnsi="仿宋" w:eastAsia="仿宋" w:cs="仿宋"/>
                <w:color w:val="000000"/>
                <w:sz w:val="24"/>
                <w:highlight w:val="none"/>
              </w:rPr>
            </w:pPr>
          </w:p>
        </w:tc>
      </w:tr>
      <w:tr w14:paraId="37BD89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5053B65">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34C441A6">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68173A5E">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5E2729C6">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1F7A73EA">
            <w:pPr>
              <w:spacing w:line="360" w:lineRule="auto"/>
              <w:rPr>
                <w:rFonts w:hint="eastAsia" w:ascii="仿宋" w:hAnsi="仿宋" w:eastAsia="仿宋" w:cs="仿宋"/>
                <w:color w:val="000000"/>
                <w:sz w:val="24"/>
                <w:highlight w:val="none"/>
              </w:rPr>
            </w:pPr>
          </w:p>
        </w:tc>
      </w:tr>
      <w:tr w14:paraId="718483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D4F4935">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65B8722F">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70015FB2">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7FC11BB5">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2E50EC43">
            <w:pPr>
              <w:spacing w:line="360" w:lineRule="auto"/>
              <w:rPr>
                <w:rFonts w:hint="eastAsia" w:ascii="仿宋" w:hAnsi="仿宋" w:eastAsia="仿宋" w:cs="仿宋"/>
                <w:color w:val="000000"/>
                <w:sz w:val="24"/>
                <w:highlight w:val="none"/>
              </w:rPr>
            </w:pPr>
          </w:p>
        </w:tc>
      </w:tr>
      <w:tr w14:paraId="51F380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03B2080C">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5FEB7120">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665FBE60">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02175C58">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553E4BEC">
            <w:pPr>
              <w:spacing w:line="360" w:lineRule="auto"/>
              <w:rPr>
                <w:rFonts w:hint="eastAsia" w:ascii="仿宋" w:hAnsi="仿宋" w:eastAsia="仿宋" w:cs="仿宋"/>
                <w:color w:val="000000"/>
                <w:sz w:val="24"/>
                <w:highlight w:val="none"/>
              </w:rPr>
            </w:pPr>
          </w:p>
        </w:tc>
      </w:tr>
      <w:tr w14:paraId="18525C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588BD87">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69DB9797">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28537ADC">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259D1F31">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17C26967">
            <w:pPr>
              <w:spacing w:line="360" w:lineRule="auto"/>
              <w:rPr>
                <w:rFonts w:hint="eastAsia" w:ascii="仿宋" w:hAnsi="仿宋" w:eastAsia="仿宋" w:cs="仿宋"/>
                <w:color w:val="000000"/>
                <w:sz w:val="24"/>
                <w:highlight w:val="none"/>
              </w:rPr>
            </w:pPr>
          </w:p>
        </w:tc>
      </w:tr>
      <w:tr w14:paraId="69B308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AB92A0B">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1C8EA464">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2745533E">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29972CDE">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27A11518">
            <w:pPr>
              <w:spacing w:line="360" w:lineRule="auto"/>
              <w:rPr>
                <w:rFonts w:hint="eastAsia" w:ascii="仿宋" w:hAnsi="仿宋" w:eastAsia="仿宋" w:cs="仿宋"/>
                <w:color w:val="000000"/>
                <w:sz w:val="24"/>
                <w:highlight w:val="none"/>
              </w:rPr>
            </w:pPr>
          </w:p>
        </w:tc>
      </w:tr>
      <w:tr w14:paraId="786B4A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1455D9E5">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3C94D971">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3566A72F">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3E287577">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312F2355">
            <w:pPr>
              <w:spacing w:line="360" w:lineRule="auto"/>
              <w:rPr>
                <w:rFonts w:hint="eastAsia" w:ascii="仿宋" w:hAnsi="仿宋" w:eastAsia="仿宋" w:cs="仿宋"/>
                <w:color w:val="000000"/>
                <w:sz w:val="24"/>
                <w:highlight w:val="none"/>
              </w:rPr>
            </w:pPr>
          </w:p>
        </w:tc>
      </w:tr>
      <w:tr w14:paraId="686983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470A4398">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6FCFF98E">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18A5A68A">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25F2A99E">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6961CFB0">
            <w:pPr>
              <w:spacing w:line="360" w:lineRule="auto"/>
              <w:rPr>
                <w:rFonts w:hint="eastAsia" w:ascii="仿宋" w:hAnsi="仿宋" w:eastAsia="仿宋" w:cs="仿宋"/>
                <w:color w:val="000000"/>
                <w:sz w:val="24"/>
                <w:highlight w:val="none"/>
              </w:rPr>
            </w:pPr>
          </w:p>
        </w:tc>
      </w:tr>
      <w:tr w14:paraId="640B05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2D7796D">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0F5A238A">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10122FEA">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24C4E220">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3023AF5B">
            <w:pPr>
              <w:spacing w:line="360" w:lineRule="auto"/>
              <w:rPr>
                <w:rFonts w:hint="eastAsia" w:ascii="仿宋" w:hAnsi="仿宋" w:eastAsia="仿宋" w:cs="仿宋"/>
                <w:color w:val="000000"/>
                <w:sz w:val="24"/>
                <w:highlight w:val="none"/>
              </w:rPr>
            </w:pPr>
          </w:p>
        </w:tc>
      </w:tr>
      <w:tr w14:paraId="154A60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15E6CDD1">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single" w:color="auto" w:sz="4" w:space="0"/>
              <w:right w:val="single" w:color="auto" w:sz="4" w:space="0"/>
            </w:tcBorders>
          </w:tcPr>
          <w:p w14:paraId="52729554">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single" w:color="auto" w:sz="4" w:space="0"/>
              <w:right w:val="single" w:color="auto" w:sz="4" w:space="0"/>
            </w:tcBorders>
          </w:tcPr>
          <w:p w14:paraId="10D79F85">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single" w:color="auto" w:sz="4" w:space="0"/>
              <w:right w:val="single" w:color="auto" w:sz="4" w:space="0"/>
            </w:tcBorders>
          </w:tcPr>
          <w:p w14:paraId="3B0F694A">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single" w:color="auto" w:sz="4" w:space="0"/>
              <w:right w:val="double" w:color="auto" w:sz="4" w:space="0"/>
            </w:tcBorders>
          </w:tcPr>
          <w:p w14:paraId="594709A8">
            <w:pPr>
              <w:spacing w:line="360" w:lineRule="auto"/>
              <w:rPr>
                <w:rFonts w:hint="eastAsia" w:ascii="仿宋" w:hAnsi="仿宋" w:eastAsia="仿宋" w:cs="仿宋"/>
                <w:color w:val="000000"/>
                <w:sz w:val="24"/>
                <w:highlight w:val="none"/>
              </w:rPr>
            </w:pPr>
          </w:p>
        </w:tc>
      </w:tr>
      <w:tr w14:paraId="651D4B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616C97BB">
            <w:pPr>
              <w:spacing w:line="360" w:lineRule="auto"/>
              <w:rPr>
                <w:rFonts w:hint="eastAsia" w:ascii="仿宋" w:hAnsi="仿宋" w:eastAsia="仿宋" w:cs="仿宋"/>
                <w:color w:val="000000"/>
                <w:sz w:val="24"/>
                <w:highlight w:val="none"/>
              </w:rPr>
            </w:pPr>
          </w:p>
        </w:tc>
        <w:tc>
          <w:tcPr>
            <w:tcW w:w="1154" w:type="pct"/>
            <w:tcBorders>
              <w:top w:val="single" w:color="auto" w:sz="4" w:space="0"/>
              <w:left w:val="single" w:color="auto" w:sz="4" w:space="0"/>
              <w:bottom w:val="double" w:color="auto" w:sz="4" w:space="0"/>
              <w:right w:val="single" w:color="auto" w:sz="4" w:space="0"/>
            </w:tcBorders>
          </w:tcPr>
          <w:p w14:paraId="1E05BF92">
            <w:pPr>
              <w:spacing w:line="360" w:lineRule="auto"/>
              <w:rPr>
                <w:rFonts w:hint="eastAsia" w:ascii="仿宋" w:hAnsi="仿宋" w:eastAsia="仿宋" w:cs="仿宋"/>
                <w:color w:val="000000"/>
                <w:sz w:val="24"/>
                <w:highlight w:val="none"/>
              </w:rPr>
            </w:pPr>
          </w:p>
        </w:tc>
        <w:tc>
          <w:tcPr>
            <w:tcW w:w="1254" w:type="pct"/>
            <w:tcBorders>
              <w:top w:val="single" w:color="auto" w:sz="4" w:space="0"/>
              <w:left w:val="single" w:color="auto" w:sz="4" w:space="0"/>
              <w:bottom w:val="double" w:color="auto" w:sz="4" w:space="0"/>
              <w:right w:val="single" w:color="auto" w:sz="4" w:space="0"/>
            </w:tcBorders>
          </w:tcPr>
          <w:p w14:paraId="5D930753">
            <w:pPr>
              <w:spacing w:line="360" w:lineRule="auto"/>
              <w:rPr>
                <w:rFonts w:hint="eastAsia" w:ascii="仿宋" w:hAnsi="仿宋" w:eastAsia="仿宋" w:cs="仿宋"/>
                <w:color w:val="000000"/>
                <w:sz w:val="24"/>
                <w:highlight w:val="none"/>
              </w:rPr>
            </w:pPr>
          </w:p>
        </w:tc>
        <w:tc>
          <w:tcPr>
            <w:tcW w:w="1355" w:type="pct"/>
            <w:tcBorders>
              <w:top w:val="single" w:color="auto" w:sz="4" w:space="0"/>
              <w:left w:val="single" w:color="auto" w:sz="4" w:space="0"/>
              <w:bottom w:val="double" w:color="auto" w:sz="4" w:space="0"/>
              <w:right w:val="single" w:color="auto" w:sz="4" w:space="0"/>
            </w:tcBorders>
          </w:tcPr>
          <w:p w14:paraId="6C8CD956">
            <w:pPr>
              <w:spacing w:line="360" w:lineRule="auto"/>
              <w:rPr>
                <w:rFonts w:hint="eastAsia" w:ascii="仿宋" w:hAnsi="仿宋" w:eastAsia="仿宋" w:cs="仿宋"/>
                <w:color w:val="000000"/>
                <w:sz w:val="24"/>
                <w:highlight w:val="none"/>
              </w:rPr>
            </w:pPr>
          </w:p>
        </w:tc>
        <w:tc>
          <w:tcPr>
            <w:tcW w:w="728" w:type="pct"/>
            <w:tcBorders>
              <w:top w:val="single" w:color="auto" w:sz="4" w:space="0"/>
              <w:left w:val="single" w:color="auto" w:sz="4" w:space="0"/>
              <w:bottom w:val="double" w:color="auto" w:sz="4" w:space="0"/>
              <w:right w:val="double" w:color="auto" w:sz="4" w:space="0"/>
            </w:tcBorders>
          </w:tcPr>
          <w:p w14:paraId="727A9E71">
            <w:pPr>
              <w:spacing w:line="360" w:lineRule="auto"/>
              <w:rPr>
                <w:rFonts w:hint="eastAsia" w:ascii="仿宋" w:hAnsi="仿宋" w:eastAsia="仿宋" w:cs="仿宋"/>
                <w:color w:val="000000"/>
                <w:sz w:val="24"/>
                <w:highlight w:val="none"/>
              </w:rPr>
            </w:pPr>
          </w:p>
        </w:tc>
      </w:tr>
    </w:tbl>
    <w:p w14:paraId="2FF80066">
      <w:pPr>
        <w:spacing w:before="24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注：对于未列出的偏离内容视同供应商已完全接受比选文件的要求，</w:t>
      </w:r>
      <w:r>
        <w:rPr>
          <w:rFonts w:hint="eastAsia" w:ascii="仿宋" w:hAnsi="仿宋" w:eastAsia="仿宋" w:cs="仿宋"/>
          <w:b/>
          <w:bCs/>
          <w:color w:val="000000"/>
          <w:sz w:val="24"/>
          <w:highlight w:val="none"/>
        </w:rPr>
        <w:t>如全部满足，在偏离表中应答“全部满足”即可</w:t>
      </w:r>
      <w:r>
        <w:rPr>
          <w:rFonts w:hint="eastAsia" w:ascii="仿宋" w:hAnsi="仿宋" w:eastAsia="仿宋" w:cs="仿宋"/>
          <w:color w:val="000000"/>
          <w:sz w:val="24"/>
          <w:highlight w:val="none"/>
        </w:rPr>
        <w:t>。</w:t>
      </w:r>
    </w:p>
    <w:p w14:paraId="58340F56">
      <w:pPr>
        <w:spacing w:line="360" w:lineRule="auto"/>
        <w:ind w:left="480" w:hanging="480" w:hangingChars="200"/>
        <w:rPr>
          <w:rFonts w:hint="eastAsia" w:ascii="仿宋" w:hAnsi="仿宋" w:eastAsia="仿宋" w:cs="仿宋"/>
          <w:color w:val="000000"/>
          <w:sz w:val="24"/>
          <w:highlight w:val="none"/>
        </w:rPr>
      </w:pPr>
    </w:p>
    <w:p w14:paraId="603D3E9E">
      <w:pPr>
        <w:spacing w:line="360" w:lineRule="auto"/>
        <w:ind w:firstLine="4080" w:firstLineChars="1700"/>
        <w:jc w:val="right"/>
        <w:rPr>
          <w:rFonts w:hint="eastAsia" w:ascii="仿宋" w:hAnsi="仿宋" w:eastAsia="仿宋" w:cs="仿宋"/>
          <w:color w:val="000000"/>
          <w:sz w:val="24"/>
          <w:highlight w:val="none"/>
        </w:rPr>
      </w:pPr>
    </w:p>
    <w:p w14:paraId="28980E37">
      <w:pPr>
        <w:spacing w:line="360" w:lineRule="auto"/>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6C660D26">
      <w:pPr>
        <w:spacing w:line="360" w:lineRule="auto"/>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bookmarkEnd w:id="432"/>
      <w:r>
        <w:rPr>
          <w:rFonts w:hint="eastAsia" w:ascii="仿宋" w:hAnsi="仿宋" w:eastAsia="仿宋" w:cs="仿宋"/>
          <w:highlight w:val="none"/>
        </w:rPr>
        <w:br w:type="page"/>
      </w:r>
    </w:p>
    <w:p w14:paraId="22135B59">
      <w:pPr>
        <w:pStyle w:val="4"/>
        <w:spacing w:before="0" w:after="0" w:line="360" w:lineRule="auto"/>
        <w:ind w:left="0" w:firstLine="0"/>
        <w:rPr>
          <w:rFonts w:hint="eastAsia" w:ascii="仿宋" w:hAnsi="仿宋" w:eastAsia="仿宋" w:cs="仿宋"/>
          <w:color w:val="000000"/>
          <w:sz w:val="24"/>
          <w:szCs w:val="24"/>
          <w:highlight w:val="none"/>
        </w:rPr>
      </w:pPr>
      <w:bookmarkStart w:id="437" w:name="_Toc231201517"/>
      <w:bookmarkStart w:id="438" w:name="_Toc233292482"/>
      <w:bookmarkStart w:id="439" w:name="_Toc219196034"/>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、采购方案</w:t>
      </w:r>
      <w:bookmarkEnd w:id="437"/>
      <w:bookmarkEnd w:id="438"/>
      <w:bookmarkEnd w:id="439"/>
    </w:p>
    <w:p w14:paraId="5BA43893">
      <w:pPr>
        <w:pStyle w:val="5"/>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项目组织及重点服务保障方案</w:t>
      </w:r>
    </w:p>
    <w:p w14:paraId="1E8273C6">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根据供应商针对本项目制定的项目组织及重点服务保障方案进行评审，方案内容包括但不限于：人员组织安排、时效保障、资料归档、沟通协调、疑难事项专项处置等。</w:t>
      </w:r>
    </w:p>
    <w:p w14:paraId="599F781B">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1.组织方案科学合理，各项保障措施全面详实、落地性强，得（7-10</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5816AF56">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2.组织方案基本合理，保障措施较为完整，具备一定可操作性，得（3-7</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0B8FC10D">
      <w:pPr>
        <w:widowControl/>
        <w:spacing w:line="360" w:lineRule="auto"/>
        <w:jc w:val="left"/>
        <w:rPr>
          <w:rFonts w:hint="eastAsia" w:ascii="仿宋" w:hAnsi="仿宋" w:eastAsia="仿宋" w:cs="仿宋"/>
          <w:sz w:val="24"/>
          <w:highlight w:val="none"/>
        </w:rPr>
      </w:pPr>
      <w:r>
        <w:rPr>
          <w:rFonts w:hint="eastAsia" w:ascii="仿宋" w:hAnsi="仿宋" w:eastAsia="仿宋" w:cs="仿宋"/>
          <w:i w:val="0"/>
          <w:iCs w:val="0"/>
          <w:color w:val="000000"/>
          <w:kern w:val="0"/>
          <w:sz w:val="24"/>
          <w:szCs w:val="24"/>
          <w:highlight w:val="none"/>
          <w:u w:val="none"/>
          <w:lang w:val="en-US" w:eastAsia="zh-CN" w:bidi="ar"/>
        </w:rPr>
        <w:t>3.组织方案不完善，保障措施简单笼统，可操作性弱，得[0-3]分。未提供得0分。</w:t>
      </w:r>
      <w:r>
        <w:rPr>
          <w:rFonts w:hint="eastAsia" w:ascii="仿宋" w:hAnsi="仿宋" w:eastAsia="仿宋" w:cs="仿宋"/>
          <w:sz w:val="24"/>
          <w:highlight w:val="none"/>
        </w:rPr>
        <w:br w:type="page"/>
      </w:r>
    </w:p>
    <w:p w14:paraId="24EDC5D3">
      <w:pPr>
        <w:pStyle w:val="5"/>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质量控制及项目进度保证措施</w:t>
      </w:r>
    </w:p>
    <w:p w14:paraId="16B30A5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根据供应商提供的招标代理服务质量控制及项目进度保证措施进行评审，方案内容包括但不限于：质量控制措施、项目审核管理措施、项目进度保证措施、项目文档管理等。</w:t>
      </w:r>
    </w:p>
    <w:p w14:paraId="426DCF6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1.</w:t>
      </w:r>
      <w:r>
        <w:rPr>
          <w:rFonts w:hint="eastAsia" w:ascii="仿宋" w:hAnsi="仿宋" w:eastAsia="仿宋" w:cs="仿宋"/>
          <w:i w:val="0"/>
          <w:iCs w:val="0"/>
          <w:color w:val="000000"/>
          <w:sz w:val="24"/>
          <w:szCs w:val="24"/>
          <w:highlight w:val="none"/>
          <w:u w:val="none"/>
        </w:rPr>
        <w:t>管理措施合理、详细、可实施性强，得</w:t>
      </w:r>
      <w:r>
        <w:rPr>
          <w:rFonts w:hint="eastAsia" w:ascii="仿宋" w:hAnsi="仿宋" w:eastAsia="仿宋" w:cs="仿宋"/>
          <w:i w:val="0"/>
          <w:iCs w:val="0"/>
          <w:color w:val="000000"/>
          <w:kern w:val="0"/>
          <w:sz w:val="24"/>
          <w:szCs w:val="24"/>
          <w:highlight w:val="none"/>
          <w:u w:val="none"/>
          <w:lang w:val="en-US" w:eastAsia="zh-CN" w:bidi="ar"/>
        </w:rPr>
        <w:t>（7-10</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sz w:val="24"/>
          <w:szCs w:val="24"/>
          <w:highlight w:val="none"/>
          <w:u w:val="none"/>
        </w:rPr>
        <w:t>分；</w:t>
      </w:r>
    </w:p>
    <w:p w14:paraId="582CC01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2.</w:t>
      </w:r>
      <w:r>
        <w:rPr>
          <w:rFonts w:hint="eastAsia" w:ascii="仿宋" w:hAnsi="仿宋" w:eastAsia="仿宋" w:cs="仿宋"/>
          <w:i w:val="0"/>
          <w:iCs w:val="0"/>
          <w:color w:val="000000"/>
          <w:sz w:val="24"/>
          <w:szCs w:val="24"/>
          <w:highlight w:val="none"/>
          <w:u w:val="none"/>
        </w:rPr>
        <w:t>管理措施较合理、较详细、可实施性较强，得</w:t>
      </w:r>
      <w:r>
        <w:rPr>
          <w:rFonts w:hint="eastAsia" w:ascii="仿宋" w:hAnsi="仿宋" w:eastAsia="仿宋" w:cs="仿宋"/>
          <w:i w:val="0"/>
          <w:iCs w:val="0"/>
          <w:color w:val="000000"/>
          <w:kern w:val="0"/>
          <w:sz w:val="24"/>
          <w:szCs w:val="24"/>
          <w:highlight w:val="none"/>
          <w:u w:val="none"/>
          <w:lang w:val="en-US" w:eastAsia="zh-CN" w:bidi="ar"/>
        </w:rPr>
        <w:t>（3-7</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sz w:val="24"/>
          <w:szCs w:val="24"/>
          <w:highlight w:val="none"/>
          <w:u w:val="none"/>
        </w:rPr>
        <w:t>分；</w:t>
      </w:r>
    </w:p>
    <w:p w14:paraId="5D8817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highlight w:val="none"/>
          <w:u w:val="none"/>
          <w:lang w:eastAsia="zh-CN"/>
        </w:rPr>
      </w:pPr>
      <w:r>
        <w:rPr>
          <w:rFonts w:hint="eastAsia" w:ascii="仿宋" w:hAnsi="仿宋" w:eastAsia="仿宋" w:cs="仿宋"/>
          <w:i w:val="0"/>
          <w:iCs w:val="0"/>
          <w:color w:val="000000"/>
          <w:sz w:val="24"/>
          <w:szCs w:val="24"/>
          <w:highlight w:val="none"/>
          <w:u w:val="none"/>
          <w:lang w:val="en-US" w:eastAsia="zh-CN"/>
        </w:rPr>
        <w:t>3.</w:t>
      </w:r>
      <w:r>
        <w:rPr>
          <w:rFonts w:hint="eastAsia" w:ascii="仿宋" w:hAnsi="仿宋" w:eastAsia="仿宋" w:cs="仿宋"/>
          <w:i w:val="0"/>
          <w:iCs w:val="0"/>
          <w:color w:val="000000"/>
          <w:sz w:val="24"/>
          <w:szCs w:val="24"/>
          <w:highlight w:val="none"/>
          <w:u w:val="none"/>
        </w:rPr>
        <w:t>管理措施欠合理、措施简单、实施性不强，得</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0-3</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sz w:val="24"/>
          <w:szCs w:val="24"/>
          <w:highlight w:val="none"/>
          <w:u w:val="none"/>
        </w:rPr>
        <w:t>分</w:t>
      </w:r>
      <w:r>
        <w:rPr>
          <w:rFonts w:hint="eastAsia" w:ascii="仿宋" w:hAnsi="仿宋" w:eastAsia="仿宋" w:cs="仿宋"/>
          <w:i w:val="0"/>
          <w:iCs w:val="0"/>
          <w:color w:val="000000"/>
          <w:sz w:val="24"/>
          <w:szCs w:val="24"/>
          <w:highlight w:val="none"/>
          <w:u w:val="none"/>
          <w:lang w:eastAsia="zh-CN"/>
        </w:rPr>
        <w:t>。</w:t>
      </w:r>
    </w:p>
    <w:p w14:paraId="2E7844F2">
      <w:pPr>
        <w:pStyle w:val="127"/>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 w:hAnsi="仿宋" w:eastAsia="仿宋" w:cs="仿宋"/>
          <w:b/>
          <w:bCs/>
          <w:color w:val="000000"/>
          <w:kern w:val="0"/>
          <w:highlight w:val="none"/>
        </w:rPr>
      </w:pPr>
      <w:r>
        <w:rPr>
          <w:rFonts w:hint="eastAsia" w:ascii="仿宋" w:hAnsi="仿宋" w:eastAsia="仿宋" w:cs="仿宋"/>
          <w:i w:val="0"/>
          <w:iCs w:val="0"/>
          <w:color w:val="000000"/>
          <w:kern w:val="0"/>
          <w:sz w:val="24"/>
          <w:szCs w:val="24"/>
          <w:highlight w:val="none"/>
          <w:u w:val="none"/>
          <w:lang w:val="en-US" w:eastAsia="zh-CN" w:bidi="ar"/>
        </w:rPr>
        <w:t>未提供得0分。</w:t>
      </w:r>
      <w:r>
        <w:rPr>
          <w:rFonts w:hint="eastAsia" w:ascii="仿宋" w:hAnsi="仿宋" w:eastAsia="仿宋" w:cs="仿宋"/>
          <w:b/>
          <w:bCs/>
          <w:color w:val="000000"/>
          <w:kern w:val="0"/>
          <w:highlight w:val="none"/>
        </w:rPr>
        <w:br w:type="page"/>
      </w:r>
    </w:p>
    <w:p w14:paraId="56F9CDA2">
      <w:pPr>
        <w:pStyle w:val="5"/>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项目风险管控措施</w:t>
      </w:r>
    </w:p>
    <w:p w14:paraId="3919140C">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根据供应商提供的招标代理项目风险管控措施方案进行评审：</w:t>
      </w:r>
    </w:p>
    <w:p w14:paraId="4B51D4A5">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1.风险管控措施完整，有具体的可操作性，得（6-8</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 xml:space="preserve">分； </w:t>
      </w:r>
    </w:p>
    <w:p w14:paraId="716927E6">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2.风险管控措施较完整，可操作性较强，得（2-6</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 xml:space="preserve">分； </w:t>
      </w:r>
    </w:p>
    <w:p w14:paraId="41635EB5">
      <w:pPr>
        <w:widowControl/>
        <w:spacing w:line="360" w:lineRule="auto"/>
        <w:jc w:val="left"/>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3.风险管控措施不完整，可操作性不强，得</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0-2</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分。未提供得0分。</w:t>
      </w:r>
    </w:p>
    <w:p w14:paraId="329E44CF">
      <w:pP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br w:type="page"/>
      </w:r>
    </w:p>
    <w:p w14:paraId="10595D75">
      <w:pPr>
        <w:pStyle w:val="5"/>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4整体服务流程</w:t>
      </w:r>
    </w:p>
    <w:p w14:paraId="16A84480">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根据供应商提供的招标代理服务整体服务流程方案进行评审：</w:t>
      </w:r>
    </w:p>
    <w:p w14:paraId="6AC12F02">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1.招标、采购整体服务流程完整，涉及项目类型全面（包含招标、比选、询价、竞争性谈判、单一来源），流程清晰、可实施性强，得（4-6</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分；</w:t>
      </w:r>
    </w:p>
    <w:p w14:paraId="55ADABE1">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2.招标、采购整体服务流程思路较为完整，涉及项目类型比较全面，流程较清晰、可实施性较强，得（2-4</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分；</w:t>
      </w:r>
    </w:p>
    <w:p w14:paraId="6CD6D808">
      <w:pPr>
        <w:widowControl/>
        <w:spacing w:line="360" w:lineRule="auto"/>
        <w:jc w:val="left"/>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3.招标、采购整体服务流程不够完整，涉及项目类型不全面，流程欠清晰、可实施性不强，得</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0-2</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val="en-US" w:eastAsia="zh-CN"/>
        </w:rPr>
        <w:t>分。未提供得0分。</w:t>
      </w:r>
    </w:p>
    <w:p w14:paraId="71351A95">
      <w:pP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br w:type="page"/>
      </w:r>
    </w:p>
    <w:p w14:paraId="183CAE92">
      <w:pPr>
        <w:pStyle w:val="5"/>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5有关廉洁和保密方面的措施</w:t>
      </w:r>
    </w:p>
    <w:p w14:paraId="770EC6AC">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提供针对招标（采购）项目相关信息、资料保存、评审/评标等全过程的保密措施；</w:t>
      </w:r>
    </w:p>
    <w:p w14:paraId="2DAA7DAD">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1.具备完善保密措施，有具体的可操作性且能够保障项目顺利开展的，得（4-6</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09984C77">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2.具备较完善保密措施，可操作性较强且能够基本保障项目顺利开展的，得（2-4</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分；</w:t>
      </w:r>
    </w:p>
    <w:p w14:paraId="5CE280D3">
      <w:pPr>
        <w:widowControl/>
        <w:spacing w:line="360" w:lineRule="auto"/>
        <w:jc w:val="left"/>
        <w:rPr>
          <w:rFonts w:hint="eastAsia" w:ascii="仿宋" w:hAnsi="仿宋" w:eastAsia="仿宋" w:cs="仿宋"/>
          <w:b/>
          <w:bCs/>
          <w:color w:val="000000"/>
          <w:kern w:val="0"/>
          <w:sz w:val="22"/>
          <w:szCs w:val="22"/>
          <w:highlight w:val="none"/>
        </w:rPr>
      </w:pPr>
      <w:r>
        <w:rPr>
          <w:rFonts w:hint="eastAsia" w:ascii="仿宋" w:hAnsi="仿宋" w:eastAsia="仿宋" w:cs="仿宋"/>
          <w:i w:val="0"/>
          <w:iCs w:val="0"/>
          <w:color w:val="000000"/>
          <w:kern w:val="0"/>
          <w:sz w:val="24"/>
          <w:szCs w:val="24"/>
          <w:highlight w:val="none"/>
          <w:u w:val="none"/>
          <w:lang w:val="en-US" w:eastAsia="zh-CN" w:bidi="ar"/>
        </w:rPr>
        <w:t>3.保密措施不完善，可操作性不强且不能保障项目顺利开展的，得</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0-2</w:t>
      </w:r>
      <w:r>
        <w:rPr>
          <w:rStyle w:val="118"/>
          <w:rFonts w:hint="eastAsia" w:ascii="仿宋" w:hAnsi="仿宋" w:eastAsia="仿宋" w:cs="仿宋"/>
          <w:b w:val="0"/>
          <w:bCs w:val="0"/>
          <w:color w:val="000000"/>
          <w:sz w:val="24"/>
          <w:szCs w:val="24"/>
          <w:highlight w:val="none"/>
          <w:lang w:bidi="ar"/>
        </w:rPr>
        <w:t>]</w:t>
      </w:r>
      <w:r>
        <w:rPr>
          <w:rFonts w:hint="eastAsia" w:ascii="仿宋" w:hAnsi="仿宋" w:eastAsia="仿宋" w:cs="仿宋"/>
          <w:i w:val="0"/>
          <w:iCs w:val="0"/>
          <w:color w:val="000000"/>
          <w:kern w:val="0"/>
          <w:sz w:val="24"/>
          <w:szCs w:val="24"/>
          <w:highlight w:val="none"/>
          <w:u w:val="none"/>
          <w:lang w:val="en-US" w:eastAsia="zh-CN" w:bidi="ar"/>
        </w:rPr>
        <w:t xml:space="preserve">分。未提供得0分。  </w:t>
      </w:r>
      <w:r>
        <w:rPr>
          <w:rFonts w:hint="eastAsia" w:ascii="仿宋" w:hAnsi="仿宋" w:eastAsia="仿宋" w:cs="仿宋"/>
          <w:b/>
          <w:bCs/>
          <w:color w:val="000000"/>
          <w:kern w:val="0"/>
          <w:sz w:val="22"/>
          <w:szCs w:val="22"/>
          <w:highlight w:val="none"/>
        </w:rPr>
        <w:br w:type="page"/>
      </w:r>
    </w:p>
    <w:p w14:paraId="78750B98">
      <w:pPr>
        <w:pStyle w:val="4"/>
        <w:spacing w:before="0" w:after="0" w:line="360" w:lineRule="auto"/>
        <w:ind w:left="0" w:firstLine="0"/>
        <w:rPr>
          <w:rFonts w:hint="eastAsia" w:ascii="仿宋" w:hAnsi="仿宋" w:eastAsia="仿宋" w:cs="仿宋"/>
          <w:color w:val="000000"/>
          <w:sz w:val="24"/>
          <w:szCs w:val="24"/>
          <w:highlight w:val="none"/>
        </w:rPr>
      </w:pPr>
      <w:bookmarkStart w:id="440" w:name="_Toc231201518"/>
      <w:bookmarkStart w:id="441" w:name="_Toc233292483"/>
      <w:bookmarkStart w:id="442" w:name="_Toc219196035"/>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、其他资料</w:t>
      </w:r>
      <w:bookmarkEnd w:id="440"/>
      <w:bookmarkEnd w:id="441"/>
      <w:bookmarkEnd w:id="442"/>
    </w:p>
    <w:p w14:paraId="3D4ACA78">
      <w:pPr>
        <w:rPr>
          <w:rFonts w:hint="eastAsia" w:ascii="仿宋" w:hAnsi="仿宋" w:eastAsia="仿宋" w:cs="仿宋"/>
          <w:sz w:val="22"/>
          <w:szCs w:val="28"/>
          <w:highlight w:val="none"/>
        </w:rPr>
      </w:pPr>
    </w:p>
    <w:p w14:paraId="794627FF">
      <w:pPr>
        <w:spacing w:line="360" w:lineRule="auto"/>
        <w:ind w:right="240"/>
        <w:jc w:val="right"/>
        <w:rPr>
          <w:rFonts w:hint="eastAsia" w:ascii="仿宋" w:hAnsi="仿宋" w:eastAsia="仿宋" w:cs="仿宋"/>
          <w:b/>
          <w:bCs/>
          <w:color w:val="000000"/>
          <w:sz w:val="24"/>
          <w:highlight w:val="none"/>
        </w:rPr>
      </w:pPr>
    </w:p>
    <w:p w14:paraId="137949A4">
      <w:pPr>
        <w:pStyle w:val="3"/>
        <w:ind w:firstLine="46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443" w:name="_Toc216971072"/>
      <w:bookmarkStart w:id="444" w:name="_Toc233292484"/>
      <w:bookmarkStart w:id="445" w:name="_Toc20443"/>
      <w:bookmarkStart w:id="446" w:name="_Toc219196036"/>
      <w:bookmarkStart w:id="447" w:name="_Toc197681013"/>
      <w:bookmarkStart w:id="448" w:name="_Toc231201519"/>
      <w:r>
        <w:rPr>
          <w:rFonts w:hint="eastAsia" w:ascii="仿宋" w:hAnsi="仿宋" w:eastAsia="仿宋" w:cs="仿宋"/>
          <w:color w:val="000000"/>
          <w:szCs w:val="28"/>
          <w:highlight w:val="none"/>
        </w:rPr>
        <w:t>三、报价文件</w:t>
      </w:r>
      <w:bookmarkEnd w:id="443"/>
      <w:bookmarkEnd w:id="444"/>
      <w:bookmarkEnd w:id="445"/>
      <w:bookmarkEnd w:id="446"/>
      <w:bookmarkEnd w:id="447"/>
      <w:bookmarkEnd w:id="448"/>
    </w:p>
    <w:p w14:paraId="2F0AD08D">
      <w:pPr>
        <w:pStyle w:val="138"/>
        <w:jc w:val="center"/>
        <w:rPr>
          <w:rFonts w:hint="eastAsia" w:ascii="仿宋" w:hAnsi="仿宋" w:eastAsia="仿宋" w:cs="仿宋"/>
          <w:b/>
          <w:bCs/>
          <w:highlight w:val="none"/>
        </w:rPr>
      </w:pPr>
      <w:bookmarkStart w:id="449" w:name="_Toc511726864"/>
      <w:bookmarkStart w:id="450" w:name="_Toc18942"/>
      <w:r>
        <w:rPr>
          <w:rFonts w:hint="eastAsia" w:ascii="仿宋" w:hAnsi="仿宋" w:eastAsia="仿宋" w:cs="仿宋"/>
          <w:b/>
          <w:bCs/>
          <w:highlight w:val="none"/>
        </w:rPr>
        <w:t>报价</w:t>
      </w:r>
      <w:bookmarkEnd w:id="449"/>
      <w:r>
        <w:rPr>
          <w:rFonts w:hint="eastAsia" w:ascii="仿宋" w:hAnsi="仿宋" w:eastAsia="仿宋" w:cs="仿宋"/>
          <w:b/>
          <w:bCs/>
          <w:highlight w:val="none"/>
        </w:rPr>
        <w:t>一览表</w:t>
      </w:r>
      <w:bookmarkEnd w:id="450"/>
    </w:p>
    <w:tbl>
      <w:tblPr>
        <w:tblStyle w:val="41"/>
        <w:tblpPr w:leftFromText="180" w:rightFromText="180" w:vertAnchor="text" w:horzAnchor="page" w:tblpX="1347" w:tblpY="62"/>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7"/>
        <w:gridCol w:w="4313"/>
      </w:tblGrid>
      <w:tr w14:paraId="0B4B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10" w:type="pct"/>
            <w:vAlign w:val="center"/>
          </w:tcPr>
          <w:p w14:paraId="65BA83A2">
            <w:pPr>
              <w:widowControl/>
              <w:spacing w:line="360" w:lineRule="auto"/>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项目预算范围</w:t>
            </w:r>
          </w:p>
        </w:tc>
        <w:tc>
          <w:tcPr>
            <w:tcW w:w="2189" w:type="pct"/>
            <w:vAlign w:val="center"/>
          </w:tcPr>
          <w:p w14:paraId="699C2BFD">
            <w:pPr>
              <w:widowControl/>
              <w:spacing w:line="360" w:lineRule="auto"/>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报价折扣</w:t>
            </w:r>
          </w:p>
        </w:tc>
      </w:tr>
      <w:tr w14:paraId="4CA5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10" w:type="pct"/>
            <w:noWrap/>
            <w:vAlign w:val="center"/>
          </w:tcPr>
          <w:p w14:paraId="119C725B">
            <w:pPr>
              <w:keepNext w:val="0"/>
              <w:keepLines w:val="0"/>
              <w:pageBreakBefore w:val="0"/>
              <w:widowControl/>
              <w:kinsoku/>
              <w:wordWrap/>
              <w:overflowPunct/>
              <w:topLinePunct w:val="0"/>
              <w:autoSpaceDE/>
              <w:autoSpaceDN/>
              <w:bidi w:val="0"/>
              <w:adjustRightInd/>
              <w:snapToGrid/>
              <w:spacing w:line="240" w:lineRule="auto"/>
              <w:jc w:val="center"/>
              <w:rPr>
                <w:rFonts w:hint="eastAsia" w:ascii="仿宋" w:hAnsi="仿宋" w:eastAsia="仿宋" w:cs="仿宋"/>
                <w:sz w:val="22"/>
                <w:szCs w:val="22"/>
                <w:highlight w:val="none"/>
              </w:rPr>
            </w:pPr>
            <w:r>
              <w:rPr>
                <w:rFonts w:hint="eastAsia" w:ascii="仿宋" w:hAnsi="仿宋" w:eastAsia="仿宋" w:cs="仿宋"/>
                <w:b w:val="0"/>
                <w:bCs w:val="0"/>
                <w:color w:val="auto"/>
                <w:sz w:val="21"/>
                <w:szCs w:val="21"/>
                <w:highlight w:val="none"/>
                <w:lang w:val="en-US" w:eastAsia="zh-CN"/>
              </w:rPr>
              <w:t>预算金额＜50万元</w:t>
            </w:r>
          </w:p>
        </w:tc>
        <w:tc>
          <w:tcPr>
            <w:tcW w:w="2189" w:type="pct"/>
            <w:vAlign w:val="center"/>
          </w:tcPr>
          <w:p w14:paraId="5772FAA0">
            <w:pPr>
              <w:widowControl/>
              <w:spacing w:line="360" w:lineRule="auto"/>
              <w:jc w:val="center"/>
              <w:rPr>
                <w:rFonts w:hint="eastAsia" w:ascii="仿宋" w:hAnsi="仿宋" w:eastAsia="仿宋" w:cs="仿宋"/>
                <w:sz w:val="22"/>
                <w:szCs w:val="22"/>
                <w:highlight w:val="none"/>
              </w:rPr>
            </w:pPr>
          </w:p>
        </w:tc>
      </w:tr>
      <w:tr w14:paraId="5D353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10" w:type="pct"/>
            <w:noWrap/>
            <w:vAlign w:val="center"/>
          </w:tcPr>
          <w:p w14:paraId="3AE32BB2">
            <w:pPr>
              <w:keepNext w:val="0"/>
              <w:keepLines w:val="0"/>
              <w:pageBreakBefore w:val="0"/>
              <w:widowControl/>
              <w:kinsoku/>
              <w:wordWrap/>
              <w:overflowPunct/>
              <w:topLinePunct w:val="0"/>
              <w:autoSpaceDE/>
              <w:autoSpaceDN/>
              <w:bidi w:val="0"/>
              <w:adjustRightInd/>
              <w:snapToGrid/>
              <w:spacing w:line="240" w:lineRule="auto"/>
              <w:jc w:val="center"/>
              <w:rPr>
                <w:rFonts w:hint="eastAsia" w:ascii="仿宋" w:hAnsi="仿宋" w:eastAsia="仿宋" w:cs="仿宋"/>
                <w:sz w:val="22"/>
                <w:szCs w:val="22"/>
                <w:highlight w:val="none"/>
              </w:rPr>
            </w:pPr>
            <w:r>
              <w:rPr>
                <w:rFonts w:hint="eastAsia" w:ascii="仿宋" w:hAnsi="仿宋" w:eastAsia="仿宋" w:cs="仿宋"/>
                <w:b w:val="0"/>
                <w:bCs w:val="0"/>
                <w:color w:val="auto"/>
                <w:sz w:val="21"/>
                <w:szCs w:val="21"/>
                <w:highlight w:val="none"/>
                <w:lang w:val="en-US" w:eastAsia="zh-CN"/>
              </w:rPr>
              <w:t>50万元≤预算金额＜300万元</w:t>
            </w:r>
          </w:p>
        </w:tc>
        <w:tc>
          <w:tcPr>
            <w:tcW w:w="2189" w:type="pct"/>
            <w:vAlign w:val="center"/>
          </w:tcPr>
          <w:p w14:paraId="5080D91E">
            <w:pPr>
              <w:widowControl/>
              <w:spacing w:line="360" w:lineRule="auto"/>
              <w:jc w:val="center"/>
              <w:rPr>
                <w:rFonts w:hint="eastAsia" w:ascii="仿宋" w:hAnsi="仿宋" w:eastAsia="仿宋" w:cs="仿宋"/>
                <w:sz w:val="22"/>
                <w:szCs w:val="22"/>
                <w:highlight w:val="none"/>
              </w:rPr>
            </w:pPr>
          </w:p>
        </w:tc>
      </w:tr>
      <w:tr w14:paraId="0C7BD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10" w:type="pct"/>
            <w:noWrap/>
            <w:vAlign w:val="center"/>
          </w:tcPr>
          <w:p w14:paraId="25F070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sz w:val="22"/>
                <w:szCs w:val="22"/>
                <w:highlight w:val="none"/>
              </w:rPr>
            </w:pPr>
            <w:r>
              <w:rPr>
                <w:rFonts w:hint="eastAsia" w:ascii="仿宋" w:hAnsi="仿宋" w:eastAsia="仿宋" w:cs="仿宋"/>
                <w:b w:val="0"/>
                <w:bCs w:val="0"/>
                <w:color w:val="auto"/>
                <w:sz w:val="21"/>
                <w:szCs w:val="21"/>
                <w:highlight w:val="none"/>
                <w:lang w:val="en-US" w:eastAsia="zh-CN"/>
              </w:rPr>
              <w:t>300万元≤预算金额＜1000 万元</w:t>
            </w:r>
          </w:p>
        </w:tc>
        <w:tc>
          <w:tcPr>
            <w:tcW w:w="2189" w:type="pct"/>
            <w:vAlign w:val="center"/>
          </w:tcPr>
          <w:p w14:paraId="120D7362">
            <w:pPr>
              <w:widowControl/>
              <w:spacing w:line="360" w:lineRule="auto"/>
              <w:jc w:val="center"/>
              <w:rPr>
                <w:rFonts w:hint="eastAsia" w:ascii="仿宋" w:hAnsi="仿宋" w:eastAsia="仿宋" w:cs="仿宋"/>
                <w:sz w:val="22"/>
                <w:szCs w:val="22"/>
                <w:highlight w:val="none"/>
              </w:rPr>
            </w:pPr>
          </w:p>
        </w:tc>
      </w:tr>
      <w:tr w14:paraId="528D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10" w:type="pct"/>
            <w:noWrap/>
            <w:vAlign w:val="center"/>
          </w:tcPr>
          <w:p w14:paraId="47DA3B32">
            <w:pPr>
              <w:keepNext w:val="0"/>
              <w:keepLines w:val="0"/>
              <w:pageBreakBefore w:val="0"/>
              <w:widowControl/>
              <w:kinsoku/>
              <w:wordWrap/>
              <w:overflowPunct/>
              <w:topLinePunct w:val="0"/>
              <w:autoSpaceDE/>
              <w:autoSpaceDN/>
              <w:bidi w:val="0"/>
              <w:adjustRightInd/>
              <w:snapToGrid/>
              <w:spacing w:line="240" w:lineRule="auto"/>
              <w:jc w:val="center"/>
              <w:rPr>
                <w:rFonts w:hint="eastAsia" w:ascii="仿宋" w:hAnsi="仿宋" w:eastAsia="仿宋" w:cs="仿宋"/>
                <w:sz w:val="22"/>
                <w:szCs w:val="22"/>
                <w:highlight w:val="none"/>
              </w:rPr>
            </w:pPr>
            <w:r>
              <w:rPr>
                <w:rFonts w:hint="eastAsia" w:ascii="仿宋" w:hAnsi="仿宋" w:eastAsia="仿宋" w:cs="仿宋"/>
                <w:b w:val="0"/>
                <w:bCs w:val="0"/>
                <w:color w:val="auto"/>
                <w:sz w:val="21"/>
                <w:szCs w:val="21"/>
                <w:highlight w:val="none"/>
                <w:lang w:val="en-US" w:eastAsia="zh-CN"/>
              </w:rPr>
              <w:t>预算金额</w:t>
            </w:r>
            <w:r>
              <w:rPr>
                <w:rFonts w:hint="eastAsia" w:ascii="宋体" w:hAnsi="宋体" w:eastAsia="宋体" w:cs="宋体"/>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lang w:val="en-US" w:eastAsia="zh-CN"/>
              </w:rPr>
              <w:t>1000万元</w:t>
            </w:r>
          </w:p>
        </w:tc>
        <w:tc>
          <w:tcPr>
            <w:tcW w:w="2189" w:type="pct"/>
            <w:vAlign w:val="center"/>
          </w:tcPr>
          <w:p w14:paraId="35D21BD5">
            <w:pPr>
              <w:widowControl/>
              <w:spacing w:line="360" w:lineRule="auto"/>
              <w:jc w:val="center"/>
              <w:rPr>
                <w:rFonts w:hint="eastAsia" w:ascii="仿宋" w:hAnsi="仿宋" w:eastAsia="仿宋" w:cs="仿宋"/>
                <w:sz w:val="22"/>
                <w:szCs w:val="22"/>
                <w:highlight w:val="none"/>
              </w:rPr>
            </w:pPr>
          </w:p>
        </w:tc>
      </w:tr>
    </w:tbl>
    <w:p w14:paraId="35FEAD66">
      <w:pPr>
        <w:pStyle w:val="18"/>
        <w:spacing w:line="360" w:lineRule="auto"/>
        <w:jc w:val="both"/>
        <w:rPr>
          <w:rFonts w:hint="eastAsia" w:ascii="仿宋" w:hAnsi="仿宋" w:eastAsia="仿宋" w:cs="仿宋"/>
          <w:bCs/>
          <w:sz w:val="24"/>
          <w:highlight w:val="none"/>
        </w:rPr>
      </w:pPr>
      <w:r>
        <w:rPr>
          <w:rFonts w:hint="eastAsia" w:ascii="仿宋" w:hAnsi="仿宋" w:eastAsia="仿宋" w:cs="仿宋"/>
          <w:bCs/>
          <w:sz w:val="24"/>
          <w:highlight w:val="none"/>
        </w:rPr>
        <w:t>备注：</w:t>
      </w:r>
    </w:p>
    <w:p w14:paraId="1C5971F0">
      <w:pPr>
        <w:pStyle w:val="18"/>
        <w:spacing w:line="360" w:lineRule="auto"/>
        <w:jc w:val="both"/>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rPr>
        <w:t>.本项目设置最高限价：最高限价</w:t>
      </w:r>
      <w:r>
        <w:rPr>
          <w:rFonts w:hint="eastAsia" w:ascii="仿宋" w:hAnsi="仿宋" w:eastAsia="仿宋" w:cs="仿宋"/>
          <w:bCs/>
          <w:sz w:val="24"/>
          <w:highlight w:val="none"/>
          <w:lang w:val="en-US" w:eastAsia="zh-CN"/>
        </w:rPr>
        <w:t>折扣率为100%</w:t>
      </w:r>
      <w:r>
        <w:rPr>
          <w:rFonts w:hint="eastAsia" w:ascii="仿宋" w:hAnsi="仿宋" w:eastAsia="仿宋" w:cs="仿宋"/>
          <w:bCs/>
          <w:sz w:val="24"/>
          <w:highlight w:val="none"/>
        </w:rPr>
        <w:t>，供应商报价</w:t>
      </w:r>
      <w:r>
        <w:rPr>
          <w:rFonts w:hint="eastAsia" w:ascii="仿宋" w:hAnsi="仿宋" w:eastAsia="仿宋" w:cs="仿宋"/>
          <w:bCs/>
          <w:sz w:val="24"/>
          <w:highlight w:val="none"/>
          <w:lang w:eastAsia="zh-CN"/>
        </w:rPr>
        <w:t>折扣率</w:t>
      </w:r>
      <w:r>
        <w:rPr>
          <w:rFonts w:hint="eastAsia" w:ascii="仿宋" w:hAnsi="仿宋" w:eastAsia="仿宋" w:cs="仿宋"/>
          <w:bCs/>
          <w:sz w:val="24"/>
          <w:highlight w:val="none"/>
        </w:rPr>
        <w:t>高于最高限价的，其响应将被否决。</w:t>
      </w:r>
      <w:r>
        <w:rPr>
          <w:rFonts w:hint="eastAsia" w:ascii="仿宋" w:hAnsi="仿宋" w:eastAsia="仿宋" w:cs="仿宋"/>
          <w:bCs/>
          <w:sz w:val="24"/>
          <w:highlight w:val="none"/>
          <w:lang w:eastAsia="zh-CN"/>
        </w:rPr>
        <w:t>参照《招标代理服务收费管理暂行办</w:t>
      </w:r>
      <w:r>
        <w:rPr>
          <w:rFonts w:hint="eastAsia" w:ascii="仿宋" w:hAnsi="仿宋" w:eastAsia="仿宋" w:cs="仿宋"/>
          <w:bCs/>
          <w:sz w:val="24"/>
          <w:highlight w:val="none"/>
          <w:lang w:val="en-US" w:eastAsia="zh-CN"/>
        </w:rPr>
        <w:t>法》（审计价格〔2002〕1980号）各收费区间标准进行报价。</w:t>
      </w:r>
    </w:p>
    <w:p w14:paraId="4ED97DE1">
      <w:pPr>
        <w:topLinePunct w:val="0"/>
        <w:spacing w:line="360" w:lineRule="auto"/>
        <w:rPr>
          <w:rFonts w:hint="eastAsia" w:ascii="仿宋" w:hAnsi="仿宋" w:eastAsia="仿宋" w:cs="仿宋"/>
          <w:bCs/>
          <w:sz w:val="24"/>
          <w:highlight w:val="none"/>
        </w:rPr>
      </w:pPr>
      <w:r>
        <w:rPr>
          <w:rFonts w:hint="eastAsia" w:ascii="仿宋" w:hAnsi="仿宋" w:eastAsia="仿宋" w:cs="仿宋"/>
          <w:sz w:val="22"/>
          <w:szCs w:val="22"/>
          <w:highlight w:val="none"/>
          <w:lang w:val="en-US" w:eastAsia="zh-CN"/>
        </w:rPr>
        <w:t>2.</w:t>
      </w:r>
      <w:r>
        <w:rPr>
          <w:rFonts w:hint="eastAsia" w:ascii="仿宋" w:hAnsi="仿宋" w:eastAsia="仿宋" w:cs="仿宋"/>
          <w:sz w:val="22"/>
          <w:szCs w:val="22"/>
          <w:highlight w:val="none"/>
        </w:rPr>
        <w:t>本次报价方式为以百分比进行报价，精确到整数位（如</w:t>
      </w:r>
      <w:r>
        <w:rPr>
          <w:rFonts w:hint="eastAsia" w:ascii="仿宋" w:hAnsi="仿宋" w:eastAsia="仿宋" w:cs="仿宋"/>
          <w:sz w:val="22"/>
          <w:szCs w:val="22"/>
          <w:highlight w:val="none"/>
          <w:lang w:val="en-US" w:eastAsia="zh-CN"/>
        </w:rPr>
        <w:t>90</w:t>
      </w:r>
      <w:r>
        <w:rPr>
          <w:rFonts w:hint="eastAsia" w:ascii="仿宋" w:hAnsi="仿宋" w:eastAsia="仿宋" w:cs="仿宋"/>
          <w:sz w:val="22"/>
          <w:szCs w:val="22"/>
          <w:highlight w:val="none"/>
        </w:rPr>
        <w:t>%），对于</w:t>
      </w:r>
      <w:r>
        <w:rPr>
          <w:rFonts w:hint="eastAsia" w:ascii="仿宋" w:hAnsi="仿宋" w:eastAsia="仿宋" w:cs="仿宋"/>
          <w:sz w:val="22"/>
          <w:szCs w:val="22"/>
          <w:highlight w:val="none"/>
          <w:lang w:val="en-US" w:eastAsia="zh-CN"/>
        </w:rPr>
        <w:t>报价</w:t>
      </w:r>
      <w:r>
        <w:rPr>
          <w:rFonts w:hint="eastAsia" w:ascii="仿宋" w:hAnsi="仿宋" w:eastAsia="仿宋" w:cs="仿宋"/>
          <w:sz w:val="22"/>
          <w:szCs w:val="22"/>
          <w:highlight w:val="none"/>
        </w:rPr>
        <w:t>折扣</w:t>
      </w:r>
      <w:r>
        <w:rPr>
          <w:rFonts w:hint="eastAsia" w:ascii="仿宋" w:hAnsi="仿宋" w:eastAsia="仿宋" w:cs="仿宋"/>
          <w:sz w:val="22"/>
          <w:szCs w:val="22"/>
          <w:highlight w:val="none"/>
          <w:lang w:eastAsia="zh-CN"/>
        </w:rPr>
        <w:t>的</w:t>
      </w:r>
      <w:r>
        <w:rPr>
          <w:rFonts w:hint="eastAsia" w:ascii="仿宋" w:hAnsi="仿宋" w:eastAsia="仿宋" w:cs="仿宋"/>
          <w:sz w:val="22"/>
          <w:szCs w:val="22"/>
          <w:highlight w:val="none"/>
        </w:rPr>
        <w:t>小数点后数字，无论大小，一律舍去（不得出现</w:t>
      </w:r>
      <w:r>
        <w:rPr>
          <w:rFonts w:hint="eastAsia" w:ascii="仿宋" w:hAnsi="仿宋" w:eastAsia="仿宋" w:cs="仿宋"/>
          <w:sz w:val="22"/>
          <w:szCs w:val="22"/>
          <w:highlight w:val="none"/>
          <w:lang w:val="en-US" w:eastAsia="zh-CN"/>
        </w:rPr>
        <w:t>90</w:t>
      </w:r>
      <w:r>
        <w:rPr>
          <w:rFonts w:hint="eastAsia" w:ascii="仿宋" w:hAnsi="仿宋" w:eastAsia="仿宋" w:cs="仿宋"/>
          <w:sz w:val="22"/>
          <w:szCs w:val="22"/>
          <w:highlight w:val="none"/>
        </w:rPr>
        <w:t>.1%），且合同价执行舍去后的折扣系数。</w:t>
      </w:r>
    </w:p>
    <w:p w14:paraId="14128B4E">
      <w:pPr>
        <w:numPr>
          <w:ilvl w:val="0"/>
          <w:numId w:val="2"/>
        </w:numPr>
        <w:spacing w:line="360" w:lineRule="auto"/>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2676FD57">
      <w:pPr>
        <w:numPr>
          <w:ilvl w:val="0"/>
          <w:numId w:val="2"/>
        </w:numPr>
        <w:spacing w:line="360" w:lineRule="auto"/>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法定代表人或其授权代理人：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（签字）</w:t>
      </w:r>
    </w:p>
    <w:p w14:paraId="3DE1A974">
      <w:pPr>
        <w:numPr>
          <w:ilvl w:val="0"/>
          <w:numId w:val="2"/>
        </w:numPr>
        <w:spacing w:line="360" w:lineRule="auto"/>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modern"/>
    <w:pitch w:val="default"/>
    <w:sig w:usb0="E10002FF" w:usb1="4000FCFF" w:usb2="00000009"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2FF" w:usb1="42002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5945592"/>
    </w:sdtPr>
    <w:sdtContent>
      <w:p w14:paraId="5DEE299A">
        <w:pPr>
          <w:pStyle w:val="27"/>
          <w:ind w:firstLine="400"/>
          <w:jc w:val="cente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889D6">
    <w:pPr>
      <w:pStyle w:val="27"/>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14:paraId="325CA0FF">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636D1">
    <w:pPr>
      <w:pStyle w:val="27"/>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14:paraId="40D1E45D">
    <w:pPr>
      <w:pStyle w:val="27"/>
      <w:framePr w:wrap="around" w:vAnchor="text" w:hAnchor="margin" w:xAlign="center" w:y="1"/>
      <w:rPr>
        <w:rStyle w:val="45"/>
      </w:rPr>
    </w:pPr>
  </w:p>
  <w:p w14:paraId="4F32A7F7">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6367094"/>
    </w:sdtPr>
    <w:sdtContent>
      <w:p w14:paraId="3CC6773F">
        <w:pPr>
          <w:pStyle w:val="27"/>
          <w:ind w:firstLine="400"/>
          <w:jc w:val="center"/>
        </w:pPr>
        <w:r>
          <w:fldChar w:fldCharType="begin"/>
        </w:r>
        <w:r>
          <w:instrText xml:space="preserve">PAGE   \* MERGEFORMAT</w:instrText>
        </w:r>
        <w:r>
          <w:fldChar w:fldCharType="separate"/>
        </w:r>
        <w:r>
          <w:rPr>
            <w:lang w:val="zh-CN"/>
          </w:rPr>
          <w:t>2</w:t>
        </w:r>
        <w:r>
          <w:fldChar w:fldCharType="end"/>
        </w:r>
      </w:p>
    </w:sdtContent>
  </w:sdt>
  <w:p w14:paraId="24D97338">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4469813"/>
    </w:sdtPr>
    <w:sdtContent>
      <w:p w14:paraId="5E2EB2EB">
        <w:pPr>
          <w:pStyle w:val="27"/>
          <w:ind w:firstLine="400"/>
          <w:jc w:val="center"/>
        </w:pPr>
        <w:r>
          <w:fldChar w:fldCharType="begin"/>
        </w:r>
        <w:r>
          <w:instrText xml:space="preserve">PAGE   \* MERGEFORMAT</w:instrText>
        </w:r>
        <w:r>
          <w:fldChar w:fldCharType="separate"/>
        </w:r>
        <w:r>
          <w:rPr>
            <w:lang w:val="zh-CN"/>
          </w:rPr>
          <w:t>2</w:t>
        </w:r>
        <w:r>
          <w:fldChar w:fldCharType="end"/>
        </w:r>
      </w:p>
    </w:sdtContent>
  </w:sdt>
  <w:p w14:paraId="4092C626">
    <w:pPr>
      <w:pStyle w:val="2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7964604"/>
    </w:sdtPr>
    <w:sdtContent>
      <w:p w14:paraId="7CB2CC4E">
        <w:pPr>
          <w:pStyle w:val="27"/>
          <w:ind w:firstLine="400"/>
          <w:jc w:val="center"/>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50ECC">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D6E97">
    <w:pPr>
      <w:pStyle w:val="28"/>
    </w:pPr>
    <w:r>
      <w:rPr>
        <w:rFonts w:hint="eastAsia" w:ascii="仿宋" w:hAnsi="仿宋" w:eastAsia="仿宋" w:cs="仿宋"/>
      </w:rPr>
      <w:t>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6846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48"/>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06646"/>
    <w:rsid w:val="000073CD"/>
    <w:rsid w:val="00010063"/>
    <w:rsid w:val="000103E0"/>
    <w:rsid w:val="00011042"/>
    <w:rsid w:val="000119BA"/>
    <w:rsid w:val="00011D27"/>
    <w:rsid w:val="00012A95"/>
    <w:rsid w:val="00012EE9"/>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0DE"/>
    <w:rsid w:val="000231B2"/>
    <w:rsid w:val="0002344E"/>
    <w:rsid w:val="00026205"/>
    <w:rsid w:val="000264E5"/>
    <w:rsid w:val="00026569"/>
    <w:rsid w:val="00026658"/>
    <w:rsid w:val="00027989"/>
    <w:rsid w:val="000304CB"/>
    <w:rsid w:val="000312EA"/>
    <w:rsid w:val="000320F3"/>
    <w:rsid w:val="000329A7"/>
    <w:rsid w:val="00033190"/>
    <w:rsid w:val="00033374"/>
    <w:rsid w:val="00033627"/>
    <w:rsid w:val="00034296"/>
    <w:rsid w:val="00034DFA"/>
    <w:rsid w:val="00034E42"/>
    <w:rsid w:val="000351F8"/>
    <w:rsid w:val="0003529C"/>
    <w:rsid w:val="00035A17"/>
    <w:rsid w:val="00035CFA"/>
    <w:rsid w:val="00036255"/>
    <w:rsid w:val="000374B5"/>
    <w:rsid w:val="00037E56"/>
    <w:rsid w:val="00040D21"/>
    <w:rsid w:val="00041A8D"/>
    <w:rsid w:val="00042142"/>
    <w:rsid w:val="000426DF"/>
    <w:rsid w:val="00043183"/>
    <w:rsid w:val="0004435A"/>
    <w:rsid w:val="00044460"/>
    <w:rsid w:val="00044E13"/>
    <w:rsid w:val="00045B86"/>
    <w:rsid w:val="00045C99"/>
    <w:rsid w:val="00045CFE"/>
    <w:rsid w:val="00046E00"/>
    <w:rsid w:val="0004702B"/>
    <w:rsid w:val="000478CA"/>
    <w:rsid w:val="00047D37"/>
    <w:rsid w:val="000507EF"/>
    <w:rsid w:val="0005091C"/>
    <w:rsid w:val="00050B93"/>
    <w:rsid w:val="000512B5"/>
    <w:rsid w:val="00051337"/>
    <w:rsid w:val="0005144D"/>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8E1"/>
    <w:rsid w:val="00060910"/>
    <w:rsid w:val="00060972"/>
    <w:rsid w:val="00060F00"/>
    <w:rsid w:val="00060F58"/>
    <w:rsid w:val="00061005"/>
    <w:rsid w:val="00061861"/>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171"/>
    <w:rsid w:val="00071882"/>
    <w:rsid w:val="00071894"/>
    <w:rsid w:val="00071CD4"/>
    <w:rsid w:val="00071DD3"/>
    <w:rsid w:val="0007208A"/>
    <w:rsid w:val="000720F1"/>
    <w:rsid w:val="000729F4"/>
    <w:rsid w:val="00072F45"/>
    <w:rsid w:val="00072F60"/>
    <w:rsid w:val="0007328C"/>
    <w:rsid w:val="000732F7"/>
    <w:rsid w:val="000737DE"/>
    <w:rsid w:val="0007411F"/>
    <w:rsid w:val="00074851"/>
    <w:rsid w:val="00074970"/>
    <w:rsid w:val="00074BAC"/>
    <w:rsid w:val="00074D1C"/>
    <w:rsid w:val="00075544"/>
    <w:rsid w:val="000758BD"/>
    <w:rsid w:val="0007653D"/>
    <w:rsid w:val="00076CB7"/>
    <w:rsid w:val="00077474"/>
    <w:rsid w:val="000778F9"/>
    <w:rsid w:val="00077C78"/>
    <w:rsid w:val="00077F59"/>
    <w:rsid w:val="00080654"/>
    <w:rsid w:val="00080FDF"/>
    <w:rsid w:val="00081022"/>
    <w:rsid w:val="00081408"/>
    <w:rsid w:val="00082A5B"/>
    <w:rsid w:val="00082E1E"/>
    <w:rsid w:val="00083204"/>
    <w:rsid w:val="00083702"/>
    <w:rsid w:val="00083888"/>
    <w:rsid w:val="00084733"/>
    <w:rsid w:val="00084926"/>
    <w:rsid w:val="00084B6F"/>
    <w:rsid w:val="00084F2E"/>
    <w:rsid w:val="00084F38"/>
    <w:rsid w:val="000850BB"/>
    <w:rsid w:val="00085105"/>
    <w:rsid w:val="00085443"/>
    <w:rsid w:val="000856DA"/>
    <w:rsid w:val="00085DD0"/>
    <w:rsid w:val="0008618E"/>
    <w:rsid w:val="0008680D"/>
    <w:rsid w:val="00087653"/>
    <w:rsid w:val="000876F5"/>
    <w:rsid w:val="00087A02"/>
    <w:rsid w:val="00087EBA"/>
    <w:rsid w:val="0009029E"/>
    <w:rsid w:val="00090A50"/>
    <w:rsid w:val="00091757"/>
    <w:rsid w:val="00091F16"/>
    <w:rsid w:val="0009205C"/>
    <w:rsid w:val="00092992"/>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6BDD"/>
    <w:rsid w:val="000A6F8D"/>
    <w:rsid w:val="000A7F7D"/>
    <w:rsid w:val="000B0142"/>
    <w:rsid w:val="000B0E5C"/>
    <w:rsid w:val="000B11F9"/>
    <w:rsid w:val="000B165B"/>
    <w:rsid w:val="000B167C"/>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450"/>
    <w:rsid w:val="000C0664"/>
    <w:rsid w:val="000C0B40"/>
    <w:rsid w:val="000C0E03"/>
    <w:rsid w:val="000C0E20"/>
    <w:rsid w:val="000C0F7B"/>
    <w:rsid w:val="000C165E"/>
    <w:rsid w:val="000C2A88"/>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0A0D"/>
    <w:rsid w:val="000D13B9"/>
    <w:rsid w:val="000D17E8"/>
    <w:rsid w:val="000D17EC"/>
    <w:rsid w:val="000D1AA6"/>
    <w:rsid w:val="000D2162"/>
    <w:rsid w:val="000D2B36"/>
    <w:rsid w:val="000D2D2C"/>
    <w:rsid w:val="000D39A4"/>
    <w:rsid w:val="000D46C4"/>
    <w:rsid w:val="000D4806"/>
    <w:rsid w:val="000D49D6"/>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AA8"/>
    <w:rsid w:val="000E2B2C"/>
    <w:rsid w:val="000E2BE6"/>
    <w:rsid w:val="000E303C"/>
    <w:rsid w:val="000E3085"/>
    <w:rsid w:val="000E3B31"/>
    <w:rsid w:val="000E3B9E"/>
    <w:rsid w:val="000E4089"/>
    <w:rsid w:val="000E4749"/>
    <w:rsid w:val="000E48DB"/>
    <w:rsid w:val="000E4C45"/>
    <w:rsid w:val="000E6193"/>
    <w:rsid w:val="000E61B9"/>
    <w:rsid w:val="000E7654"/>
    <w:rsid w:val="000E7708"/>
    <w:rsid w:val="000E7E8F"/>
    <w:rsid w:val="000F02F9"/>
    <w:rsid w:val="000F08DC"/>
    <w:rsid w:val="000F0D64"/>
    <w:rsid w:val="000F0E50"/>
    <w:rsid w:val="000F1B22"/>
    <w:rsid w:val="000F23EB"/>
    <w:rsid w:val="000F264B"/>
    <w:rsid w:val="000F2766"/>
    <w:rsid w:val="000F28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22E"/>
    <w:rsid w:val="00102700"/>
    <w:rsid w:val="00103B85"/>
    <w:rsid w:val="0010450A"/>
    <w:rsid w:val="001057B7"/>
    <w:rsid w:val="0010600E"/>
    <w:rsid w:val="00106754"/>
    <w:rsid w:val="00106D0F"/>
    <w:rsid w:val="00106DE3"/>
    <w:rsid w:val="00106F36"/>
    <w:rsid w:val="0010724D"/>
    <w:rsid w:val="00107682"/>
    <w:rsid w:val="00107857"/>
    <w:rsid w:val="0011082D"/>
    <w:rsid w:val="001108D8"/>
    <w:rsid w:val="00110E57"/>
    <w:rsid w:val="001114E7"/>
    <w:rsid w:val="00111514"/>
    <w:rsid w:val="001118FD"/>
    <w:rsid w:val="00111EF3"/>
    <w:rsid w:val="00111F9B"/>
    <w:rsid w:val="00112483"/>
    <w:rsid w:val="0011292D"/>
    <w:rsid w:val="00112AD4"/>
    <w:rsid w:val="00112E38"/>
    <w:rsid w:val="0011358D"/>
    <w:rsid w:val="00113719"/>
    <w:rsid w:val="001138A5"/>
    <w:rsid w:val="00113BFE"/>
    <w:rsid w:val="001140C9"/>
    <w:rsid w:val="0011446B"/>
    <w:rsid w:val="00114E60"/>
    <w:rsid w:val="00115153"/>
    <w:rsid w:val="0011525E"/>
    <w:rsid w:val="00115730"/>
    <w:rsid w:val="0011708E"/>
    <w:rsid w:val="00117108"/>
    <w:rsid w:val="001173B3"/>
    <w:rsid w:val="00117E40"/>
    <w:rsid w:val="00117E87"/>
    <w:rsid w:val="001200AE"/>
    <w:rsid w:val="00120386"/>
    <w:rsid w:val="00121005"/>
    <w:rsid w:val="001211BF"/>
    <w:rsid w:val="001216A0"/>
    <w:rsid w:val="00122156"/>
    <w:rsid w:val="001221DB"/>
    <w:rsid w:val="00123D5E"/>
    <w:rsid w:val="00124324"/>
    <w:rsid w:val="001244DD"/>
    <w:rsid w:val="001249D9"/>
    <w:rsid w:val="00124BEC"/>
    <w:rsid w:val="00124DC2"/>
    <w:rsid w:val="00124E29"/>
    <w:rsid w:val="00125000"/>
    <w:rsid w:val="0012681D"/>
    <w:rsid w:val="001268D2"/>
    <w:rsid w:val="00126F22"/>
    <w:rsid w:val="00127CBC"/>
    <w:rsid w:val="00127FD7"/>
    <w:rsid w:val="001300CC"/>
    <w:rsid w:val="001305FE"/>
    <w:rsid w:val="00130FBE"/>
    <w:rsid w:val="0013175D"/>
    <w:rsid w:val="001318EF"/>
    <w:rsid w:val="0013198D"/>
    <w:rsid w:val="00132473"/>
    <w:rsid w:val="0013256D"/>
    <w:rsid w:val="00132ACE"/>
    <w:rsid w:val="00132CB7"/>
    <w:rsid w:val="00132D26"/>
    <w:rsid w:val="00134486"/>
    <w:rsid w:val="00134547"/>
    <w:rsid w:val="001349C9"/>
    <w:rsid w:val="001350DD"/>
    <w:rsid w:val="001359CF"/>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6065"/>
    <w:rsid w:val="001468CA"/>
    <w:rsid w:val="00147296"/>
    <w:rsid w:val="0015104B"/>
    <w:rsid w:val="001518AF"/>
    <w:rsid w:val="0015210A"/>
    <w:rsid w:val="00152716"/>
    <w:rsid w:val="00152899"/>
    <w:rsid w:val="001530F3"/>
    <w:rsid w:val="00153395"/>
    <w:rsid w:val="00153A6E"/>
    <w:rsid w:val="00154021"/>
    <w:rsid w:val="0015410E"/>
    <w:rsid w:val="00154177"/>
    <w:rsid w:val="001544E7"/>
    <w:rsid w:val="00154A30"/>
    <w:rsid w:val="00154A56"/>
    <w:rsid w:val="00154D63"/>
    <w:rsid w:val="00154DA6"/>
    <w:rsid w:val="0015692A"/>
    <w:rsid w:val="00157566"/>
    <w:rsid w:val="00157676"/>
    <w:rsid w:val="0015790C"/>
    <w:rsid w:val="00157D1E"/>
    <w:rsid w:val="00160100"/>
    <w:rsid w:val="00160707"/>
    <w:rsid w:val="001609BA"/>
    <w:rsid w:val="00160A3C"/>
    <w:rsid w:val="00160D71"/>
    <w:rsid w:val="00161433"/>
    <w:rsid w:val="00161C1D"/>
    <w:rsid w:val="00162152"/>
    <w:rsid w:val="001629F5"/>
    <w:rsid w:val="00163C0D"/>
    <w:rsid w:val="001645A2"/>
    <w:rsid w:val="001645E5"/>
    <w:rsid w:val="0016486D"/>
    <w:rsid w:val="00164ABB"/>
    <w:rsid w:val="00164C45"/>
    <w:rsid w:val="00164D56"/>
    <w:rsid w:val="00164F56"/>
    <w:rsid w:val="00165F01"/>
    <w:rsid w:val="00165F8F"/>
    <w:rsid w:val="00167491"/>
    <w:rsid w:val="00167577"/>
    <w:rsid w:val="00170537"/>
    <w:rsid w:val="0017070B"/>
    <w:rsid w:val="001711D7"/>
    <w:rsid w:val="0017151A"/>
    <w:rsid w:val="001717AC"/>
    <w:rsid w:val="0017240A"/>
    <w:rsid w:val="00172475"/>
    <w:rsid w:val="00172575"/>
    <w:rsid w:val="001728F3"/>
    <w:rsid w:val="00172A27"/>
    <w:rsid w:val="00173053"/>
    <w:rsid w:val="001738B7"/>
    <w:rsid w:val="001743A2"/>
    <w:rsid w:val="00174506"/>
    <w:rsid w:val="001745BB"/>
    <w:rsid w:val="00175009"/>
    <w:rsid w:val="00175A5F"/>
    <w:rsid w:val="0017627F"/>
    <w:rsid w:val="0017647F"/>
    <w:rsid w:val="00176505"/>
    <w:rsid w:val="0017658D"/>
    <w:rsid w:val="0017688A"/>
    <w:rsid w:val="00176A14"/>
    <w:rsid w:val="001775F7"/>
    <w:rsid w:val="001778C4"/>
    <w:rsid w:val="00177F89"/>
    <w:rsid w:val="001807A3"/>
    <w:rsid w:val="00180943"/>
    <w:rsid w:val="00180968"/>
    <w:rsid w:val="00180D08"/>
    <w:rsid w:val="00180D73"/>
    <w:rsid w:val="00180E9C"/>
    <w:rsid w:val="00180EBF"/>
    <w:rsid w:val="001812E4"/>
    <w:rsid w:val="00181507"/>
    <w:rsid w:val="00182191"/>
    <w:rsid w:val="00182329"/>
    <w:rsid w:val="001824AA"/>
    <w:rsid w:val="001824F9"/>
    <w:rsid w:val="00182812"/>
    <w:rsid w:val="00182BE3"/>
    <w:rsid w:val="00182FA0"/>
    <w:rsid w:val="00183B8B"/>
    <w:rsid w:val="00183C0C"/>
    <w:rsid w:val="001846E0"/>
    <w:rsid w:val="00185258"/>
    <w:rsid w:val="0018559F"/>
    <w:rsid w:val="00185EAF"/>
    <w:rsid w:val="00186748"/>
    <w:rsid w:val="00186C4E"/>
    <w:rsid w:val="00186D30"/>
    <w:rsid w:val="001874E4"/>
    <w:rsid w:val="00187C3A"/>
    <w:rsid w:val="00190111"/>
    <w:rsid w:val="00190B5E"/>
    <w:rsid w:val="001918EA"/>
    <w:rsid w:val="0019207F"/>
    <w:rsid w:val="00192207"/>
    <w:rsid w:val="001924DF"/>
    <w:rsid w:val="00192622"/>
    <w:rsid w:val="00193772"/>
    <w:rsid w:val="00193DF2"/>
    <w:rsid w:val="001946ED"/>
    <w:rsid w:val="0019587F"/>
    <w:rsid w:val="00195E1A"/>
    <w:rsid w:val="0019614A"/>
    <w:rsid w:val="001964CD"/>
    <w:rsid w:val="001965C4"/>
    <w:rsid w:val="00196C8E"/>
    <w:rsid w:val="00196D86"/>
    <w:rsid w:val="001974A2"/>
    <w:rsid w:val="001977C3"/>
    <w:rsid w:val="001978C1"/>
    <w:rsid w:val="00197A46"/>
    <w:rsid w:val="00197F55"/>
    <w:rsid w:val="001A0959"/>
    <w:rsid w:val="001A11DC"/>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803"/>
    <w:rsid w:val="001A6E49"/>
    <w:rsid w:val="001A7EC2"/>
    <w:rsid w:val="001A7ED3"/>
    <w:rsid w:val="001B0171"/>
    <w:rsid w:val="001B0AC8"/>
    <w:rsid w:val="001B1530"/>
    <w:rsid w:val="001B1917"/>
    <w:rsid w:val="001B1C61"/>
    <w:rsid w:val="001B20E0"/>
    <w:rsid w:val="001B2437"/>
    <w:rsid w:val="001B2727"/>
    <w:rsid w:val="001B2B52"/>
    <w:rsid w:val="001B2C63"/>
    <w:rsid w:val="001B347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2DFC"/>
    <w:rsid w:val="001C4169"/>
    <w:rsid w:val="001C4DA5"/>
    <w:rsid w:val="001C5CCF"/>
    <w:rsid w:val="001C731E"/>
    <w:rsid w:val="001C7616"/>
    <w:rsid w:val="001C7867"/>
    <w:rsid w:val="001C7EC2"/>
    <w:rsid w:val="001D0AE6"/>
    <w:rsid w:val="001D15A2"/>
    <w:rsid w:val="001D1756"/>
    <w:rsid w:val="001D1797"/>
    <w:rsid w:val="001D1A92"/>
    <w:rsid w:val="001D1BD5"/>
    <w:rsid w:val="001D1E5A"/>
    <w:rsid w:val="001D1F37"/>
    <w:rsid w:val="001D2F29"/>
    <w:rsid w:val="001D3882"/>
    <w:rsid w:val="001D3A1A"/>
    <w:rsid w:val="001D3E29"/>
    <w:rsid w:val="001D4058"/>
    <w:rsid w:val="001D425D"/>
    <w:rsid w:val="001D5286"/>
    <w:rsid w:val="001D564E"/>
    <w:rsid w:val="001D572A"/>
    <w:rsid w:val="001D62CA"/>
    <w:rsid w:val="001D6E6A"/>
    <w:rsid w:val="001D7063"/>
    <w:rsid w:val="001D71DE"/>
    <w:rsid w:val="001D772B"/>
    <w:rsid w:val="001D7EE6"/>
    <w:rsid w:val="001E041A"/>
    <w:rsid w:val="001E0422"/>
    <w:rsid w:val="001E0E77"/>
    <w:rsid w:val="001E0F7F"/>
    <w:rsid w:val="001E1073"/>
    <w:rsid w:val="001E12F2"/>
    <w:rsid w:val="001E2340"/>
    <w:rsid w:val="001E2A3F"/>
    <w:rsid w:val="001E3EA6"/>
    <w:rsid w:val="001E40A3"/>
    <w:rsid w:val="001E4655"/>
    <w:rsid w:val="001E471B"/>
    <w:rsid w:val="001E4F27"/>
    <w:rsid w:val="001E582C"/>
    <w:rsid w:val="001E5A42"/>
    <w:rsid w:val="001E5AA3"/>
    <w:rsid w:val="001E5DAE"/>
    <w:rsid w:val="001E61F6"/>
    <w:rsid w:val="001E6606"/>
    <w:rsid w:val="001E680D"/>
    <w:rsid w:val="001E69ED"/>
    <w:rsid w:val="001E6B5D"/>
    <w:rsid w:val="001E6C90"/>
    <w:rsid w:val="001E6E41"/>
    <w:rsid w:val="001E6EB8"/>
    <w:rsid w:val="001E7510"/>
    <w:rsid w:val="001E7DCA"/>
    <w:rsid w:val="001F005B"/>
    <w:rsid w:val="001F015C"/>
    <w:rsid w:val="001F0A23"/>
    <w:rsid w:val="001F0BA2"/>
    <w:rsid w:val="001F20D1"/>
    <w:rsid w:val="001F23CB"/>
    <w:rsid w:val="001F27A4"/>
    <w:rsid w:val="001F2CFE"/>
    <w:rsid w:val="001F3B59"/>
    <w:rsid w:val="001F4A3D"/>
    <w:rsid w:val="001F4A43"/>
    <w:rsid w:val="001F525E"/>
    <w:rsid w:val="001F5D9B"/>
    <w:rsid w:val="001F6903"/>
    <w:rsid w:val="001F6BFA"/>
    <w:rsid w:val="001F7081"/>
    <w:rsid w:val="001F7795"/>
    <w:rsid w:val="001F77A1"/>
    <w:rsid w:val="001F7D52"/>
    <w:rsid w:val="002009C3"/>
    <w:rsid w:val="002009F7"/>
    <w:rsid w:val="00201DCA"/>
    <w:rsid w:val="00201FD0"/>
    <w:rsid w:val="00202592"/>
    <w:rsid w:val="00202B7E"/>
    <w:rsid w:val="00202D91"/>
    <w:rsid w:val="002034CE"/>
    <w:rsid w:val="00203EE2"/>
    <w:rsid w:val="002044A4"/>
    <w:rsid w:val="00204859"/>
    <w:rsid w:val="00204C3C"/>
    <w:rsid w:val="00205008"/>
    <w:rsid w:val="00205329"/>
    <w:rsid w:val="00205DDF"/>
    <w:rsid w:val="00205FBF"/>
    <w:rsid w:val="002066A6"/>
    <w:rsid w:val="002066ED"/>
    <w:rsid w:val="0020672C"/>
    <w:rsid w:val="002068DA"/>
    <w:rsid w:val="00206CD5"/>
    <w:rsid w:val="00207CD0"/>
    <w:rsid w:val="00207DE7"/>
    <w:rsid w:val="0021005B"/>
    <w:rsid w:val="00210E4F"/>
    <w:rsid w:val="00211068"/>
    <w:rsid w:val="0021175D"/>
    <w:rsid w:val="00211793"/>
    <w:rsid w:val="002127D0"/>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393"/>
    <w:rsid w:val="00222729"/>
    <w:rsid w:val="002227F6"/>
    <w:rsid w:val="0022281D"/>
    <w:rsid w:val="00222E03"/>
    <w:rsid w:val="00223096"/>
    <w:rsid w:val="00224348"/>
    <w:rsid w:val="00224380"/>
    <w:rsid w:val="00224599"/>
    <w:rsid w:val="00224A12"/>
    <w:rsid w:val="00224A60"/>
    <w:rsid w:val="00224EB0"/>
    <w:rsid w:val="00224F41"/>
    <w:rsid w:val="0022506C"/>
    <w:rsid w:val="00225289"/>
    <w:rsid w:val="00225680"/>
    <w:rsid w:val="00225DF3"/>
    <w:rsid w:val="00226E2E"/>
    <w:rsid w:val="00227444"/>
    <w:rsid w:val="002274BE"/>
    <w:rsid w:val="002301DD"/>
    <w:rsid w:val="00230DA2"/>
    <w:rsid w:val="00231145"/>
    <w:rsid w:val="0023161F"/>
    <w:rsid w:val="002321F5"/>
    <w:rsid w:val="00233CF7"/>
    <w:rsid w:val="00233EED"/>
    <w:rsid w:val="00233F74"/>
    <w:rsid w:val="002349B5"/>
    <w:rsid w:val="00234A04"/>
    <w:rsid w:val="00234A36"/>
    <w:rsid w:val="00234D32"/>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159"/>
    <w:rsid w:val="00243675"/>
    <w:rsid w:val="00243DED"/>
    <w:rsid w:val="002442EE"/>
    <w:rsid w:val="0024444D"/>
    <w:rsid w:val="002447C8"/>
    <w:rsid w:val="00244AAD"/>
    <w:rsid w:val="002450B8"/>
    <w:rsid w:val="0024533B"/>
    <w:rsid w:val="0024550F"/>
    <w:rsid w:val="002461A2"/>
    <w:rsid w:val="00246DBC"/>
    <w:rsid w:val="00246DC5"/>
    <w:rsid w:val="00246EE0"/>
    <w:rsid w:val="00246FCF"/>
    <w:rsid w:val="00247256"/>
    <w:rsid w:val="0024735F"/>
    <w:rsid w:val="00247C35"/>
    <w:rsid w:val="00247C39"/>
    <w:rsid w:val="00247F4B"/>
    <w:rsid w:val="00250336"/>
    <w:rsid w:val="00250822"/>
    <w:rsid w:val="00250F7A"/>
    <w:rsid w:val="00252189"/>
    <w:rsid w:val="0025240B"/>
    <w:rsid w:val="00253C75"/>
    <w:rsid w:val="002540C2"/>
    <w:rsid w:val="00254217"/>
    <w:rsid w:val="002545AF"/>
    <w:rsid w:val="00254DE9"/>
    <w:rsid w:val="00255ADB"/>
    <w:rsid w:val="00255E20"/>
    <w:rsid w:val="00255E85"/>
    <w:rsid w:val="00255ED9"/>
    <w:rsid w:val="00255FEE"/>
    <w:rsid w:val="002560D9"/>
    <w:rsid w:val="00256E54"/>
    <w:rsid w:val="00256EA0"/>
    <w:rsid w:val="00256FDE"/>
    <w:rsid w:val="002578F4"/>
    <w:rsid w:val="00257ED5"/>
    <w:rsid w:val="0026001C"/>
    <w:rsid w:val="00260393"/>
    <w:rsid w:val="00263232"/>
    <w:rsid w:val="002634BF"/>
    <w:rsid w:val="002648E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4A1"/>
    <w:rsid w:val="00275615"/>
    <w:rsid w:val="00275983"/>
    <w:rsid w:val="00275D05"/>
    <w:rsid w:val="002772C2"/>
    <w:rsid w:val="00277B47"/>
    <w:rsid w:val="00277D94"/>
    <w:rsid w:val="00280158"/>
    <w:rsid w:val="0028081D"/>
    <w:rsid w:val="00280A9D"/>
    <w:rsid w:val="002819F5"/>
    <w:rsid w:val="00282C51"/>
    <w:rsid w:val="0028439F"/>
    <w:rsid w:val="00284BC8"/>
    <w:rsid w:val="00285249"/>
    <w:rsid w:val="0028539A"/>
    <w:rsid w:val="0028577A"/>
    <w:rsid w:val="00286555"/>
    <w:rsid w:val="002866BA"/>
    <w:rsid w:val="00286DF1"/>
    <w:rsid w:val="00287ED0"/>
    <w:rsid w:val="002905F2"/>
    <w:rsid w:val="00290C1E"/>
    <w:rsid w:val="002911BB"/>
    <w:rsid w:val="002917E4"/>
    <w:rsid w:val="00291957"/>
    <w:rsid w:val="00291AA2"/>
    <w:rsid w:val="00291D07"/>
    <w:rsid w:val="00292107"/>
    <w:rsid w:val="00292553"/>
    <w:rsid w:val="002930D1"/>
    <w:rsid w:val="00293339"/>
    <w:rsid w:val="0029364A"/>
    <w:rsid w:val="00293D18"/>
    <w:rsid w:val="00293DDA"/>
    <w:rsid w:val="002943A5"/>
    <w:rsid w:val="00294CA8"/>
    <w:rsid w:val="002950E3"/>
    <w:rsid w:val="00295157"/>
    <w:rsid w:val="0029554C"/>
    <w:rsid w:val="002960CF"/>
    <w:rsid w:val="002963B2"/>
    <w:rsid w:val="002963B9"/>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4F7A"/>
    <w:rsid w:val="002A5052"/>
    <w:rsid w:val="002A69A9"/>
    <w:rsid w:val="002A6B68"/>
    <w:rsid w:val="002A7720"/>
    <w:rsid w:val="002A7CBA"/>
    <w:rsid w:val="002B086F"/>
    <w:rsid w:val="002B0A17"/>
    <w:rsid w:val="002B0C81"/>
    <w:rsid w:val="002B11CF"/>
    <w:rsid w:val="002B1363"/>
    <w:rsid w:val="002B189D"/>
    <w:rsid w:val="002B28F3"/>
    <w:rsid w:val="002B32BD"/>
    <w:rsid w:val="002B369B"/>
    <w:rsid w:val="002B395E"/>
    <w:rsid w:val="002B45F4"/>
    <w:rsid w:val="002B4EFA"/>
    <w:rsid w:val="002B5049"/>
    <w:rsid w:val="002B55C4"/>
    <w:rsid w:val="002B5F0E"/>
    <w:rsid w:val="002B683E"/>
    <w:rsid w:val="002B6F56"/>
    <w:rsid w:val="002B7152"/>
    <w:rsid w:val="002B76FD"/>
    <w:rsid w:val="002C0007"/>
    <w:rsid w:val="002C00C5"/>
    <w:rsid w:val="002C0AC4"/>
    <w:rsid w:val="002C0B15"/>
    <w:rsid w:val="002C0D40"/>
    <w:rsid w:val="002C11AE"/>
    <w:rsid w:val="002C1A73"/>
    <w:rsid w:val="002C1CA7"/>
    <w:rsid w:val="002C22C5"/>
    <w:rsid w:val="002C2B8A"/>
    <w:rsid w:val="002C2CFF"/>
    <w:rsid w:val="002C328E"/>
    <w:rsid w:val="002C3298"/>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417"/>
    <w:rsid w:val="002E2807"/>
    <w:rsid w:val="002E31F8"/>
    <w:rsid w:val="002E3B05"/>
    <w:rsid w:val="002E3E1F"/>
    <w:rsid w:val="002E43B6"/>
    <w:rsid w:val="002E4CB6"/>
    <w:rsid w:val="002E5A78"/>
    <w:rsid w:val="002E5C4E"/>
    <w:rsid w:val="002E63A3"/>
    <w:rsid w:val="002E67CD"/>
    <w:rsid w:val="002E6B74"/>
    <w:rsid w:val="002E6D5A"/>
    <w:rsid w:val="002E6E97"/>
    <w:rsid w:val="002E6F21"/>
    <w:rsid w:val="002F1304"/>
    <w:rsid w:val="002F1513"/>
    <w:rsid w:val="002F2239"/>
    <w:rsid w:val="002F227B"/>
    <w:rsid w:val="002F26B9"/>
    <w:rsid w:val="002F279B"/>
    <w:rsid w:val="002F2B25"/>
    <w:rsid w:val="002F2BFC"/>
    <w:rsid w:val="002F2C4F"/>
    <w:rsid w:val="002F2CE8"/>
    <w:rsid w:val="002F30A1"/>
    <w:rsid w:val="002F3C0B"/>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4732"/>
    <w:rsid w:val="00305257"/>
    <w:rsid w:val="003058D8"/>
    <w:rsid w:val="00305ED9"/>
    <w:rsid w:val="00306527"/>
    <w:rsid w:val="00306DDE"/>
    <w:rsid w:val="003071C3"/>
    <w:rsid w:val="00307BDF"/>
    <w:rsid w:val="0031016A"/>
    <w:rsid w:val="003105A1"/>
    <w:rsid w:val="0031093C"/>
    <w:rsid w:val="00311AC4"/>
    <w:rsid w:val="00311B37"/>
    <w:rsid w:val="0031257C"/>
    <w:rsid w:val="00312F8C"/>
    <w:rsid w:val="0031356C"/>
    <w:rsid w:val="0031357E"/>
    <w:rsid w:val="00313EB3"/>
    <w:rsid w:val="0031498D"/>
    <w:rsid w:val="003149B0"/>
    <w:rsid w:val="00314E14"/>
    <w:rsid w:val="00315219"/>
    <w:rsid w:val="00315407"/>
    <w:rsid w:val="003154C7"/>
    <w:rsid w:val="0031658B"/>
    <w:rsid w:val="00316790"/>
    <w:rsid w:val="00317393"/>
    <w:rsid w:val="003176C8"/>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72B"/>
    <w:rsid w:val="0032495B"/>
    <w:rsid w:val="00325DD5"/>
    <w:rsid w:val="00325E64"/>
    <w:rsid w:val="0032601D"/>
    <w:rsid w:val="0032653D"/>
    <w:rsid w:val="003266D6"/>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3C6"/>
    <w:rsid w:val="00334E2F"/>
    <w:rsid w:val="00334EF4"/>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58DD"/>
    <w:rsid w:val="0034605A"/>
    <w:rsid w:val="0034628E"/>
    <w:rsid w:val="003463A5"/>
    <w:rsid w:val="00346AF9"/>
    <w:rsid w:val="00346EE3"/>
    <w:rsid w:val="00346F30"/>
    <w:rsid w:val="00347388"/>
    <w:rsid w:val="003474AD"/>
    <w:rsid w:val="0034758B"/>
    <w:rsid w:val="00347727"/>
    <w:rsid w:val="00350142"/>
    <w:rsid w:val="00350860"/>
    <w:rsid w:val="00351729"/>
    <w:rsid w:val="00351A01"/>
    <w:rsid w:val="00351C8B"/>
    <w:rsid w:val="00352DA5"/>
    <w:rsid w:val="00353064"/>
    <w:rsid w:val="00353940"/>
    <w:rsid w:val="0035434A"/>
    <w:rsid w:val="00354E06"/>
    <w:rsid w:val="0035511E"/>
    <w:rsid w:val="0035539B"/>
    <w:rsid w:val="00355E10"/>
    <w:rsid w:val="003569B8"/>
    <w:rsid w:val="00356CB3"/>
    <w:rsid w:val="003577E5"/>
    <w:rsid w:val="00357C4F"/>
    <w:rsid w:val="00357E8E"/>
    <w:rsid w:val="00360741"/>
    <w:rsid w:val="003625E3"/>
    <w:rsid w:val="003626C3"/>
    <w:rsid w:val="00362844"/>
    <w:rsid w:val="00362AD4"/>
    <w:rsid w:val="0036320D"/>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2BF0"/>
    <w:rsid w:val="00372E86"/>
    <w:rsid w:val="003736C3"/>
    <w:rsid w:val="00374551"/>
    <w:rsid w:val="00374C68"/>
    <w:rsid w:val="0037519D"/>
    <w:rsid w:val="0037531B"/>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383F"/>
    <w:rsid w:val="00384028"/>
    <w:rsid w:val="0038402B"/>
    <w:rsid w:val="0038425D"/>
    <w:rsid w:val="0038439A"/>
    <w:rsid w:val="003849B4"/>
    <w:rsid w:val="00384E2A"/>
    <w:rsid w:val="00385878"/>
    <w:rsid w:val="00385C3F"/>
    <w:rsid w:val="003869C0"/>
    <w:rsid w:val="00387355"/>
    <w:rsid w:val="003877EA"/>
    <w:rsid w:val="003900F1"/>
    <w:rsid w:val="00390604"/>
    <w:rsid w:val="00390899"/>
    <w:rsid w:val="003914BA"/>
    <w:rsid w:val="00391584"/>
    <w:rsid w:val="003918C7"/>
    <w:rsid w:val="00392F3C"/>
    <w:rsid w:val="003934D5"/>
    <w:rsid w:val="00394129"/>
    <w:rsid w:val="00394302"/>
    <w:rsid w:val="00394308"/>
    <w:rsid w:val="00394A39"/>
    <w:rsid w:val="00394A67"/>
    <w:rsid w:val="00394BBD"/>
    <w:rsid w:val="00394D5E"/>
    <w:rsid w:val="00395F55"/>
    <w:rsid w:val="00396803"/>
    <w:rsid w:val="003973C5"/>
    <w:rsid w:val="00397D17"/>
    <w:rsid w:val="00397E62"/>
    <w:rsid w:val="00397F8F"/>
    <w:rsid w:val="00397FE2"/>
    <w:rsid w:val="00397FE8"/>
    <w:rsid w:val="003A069F"/>
    <w:rsid w:val="003A06D0"/>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87C"/>
    <w:rsid w:val="003B5B37"/>
    <w:rsid w:val="003B5B59"/>
    <w:rsid w:val="003B5C8E"/>
    <w:rsid w:val="003B5E7C"/>
    <w:rsid w:val="003B6087"/>
    <w:rsid w:val="003B67A8"/>
    <w:rsid w:val="003C0363"/>
    <w:rsid w:val="003C11B3"/>
    <w:rsid w:val="003C127A"/>
    <w:rsid w:val="003C1A23"/>
    <w:rsid w:val="003C1C6B"/>
    <w:rsid w:val="003C249A"/>
    <w:rsid w:val="003C2AE0"/>
    <w:rsid w:val="003C2F3D"/>
    <w:rsid w:val="003C3D5A"/>
    <w:rsid w:val="003C3EFC"/>
    <w:rsid w:val="003C4E6F"/>
    <w:rsid w:val="003C53D0"/>
    <w:rsid w:val="003C59C3"/>
    <w:rsid w:val="003C5FB7"/>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2F89"/>
    <w:rsid w:val="003D31D4"/>
    <w:rsid w:val="003D3CB2"/>
    <w:rsid w:val="003D3F4C"/>
    <w:rsid w:val="003D47B0"/>
    <w:rsid w:val="003D48E0"/>
    <w:rsid w:val="003D580E"/>
    <w:rsid w:val="003D5BF3"/>
    <w:rsid w:val="003D6CF0"/>
    <w:rsid w:val="003D7069"/>
    <w:rsid w:val="003D7820"/>
    <w:rsid w:val="003E0697"/>
    <w:rsid w:val="003E103D"/>
    <w:rsid w:val="003E113D"/>
    <w:rsid w:val="003E149F"/>
    <w:rsid w:val="003E1523"/>
    <w:rsid w:val="003E17B1"/>
    <w:rsid w:val="003E18A3"/>
    <w:rsid w:val="003E1E8A"/>
    <w:rsid w:val="003E1F95"/>
    <w:rsid w:val="003E255A"/>
    <w:rsid w:val="003E2818"/>
    <w:rsid w:val="003E2D45"/>
    <w:rsid w:val="003E2DD2"/>
    <w:rsid w:val="003E2F99"/>
    <w:rsid w:val="003E45F2"/>
    <w:rsid w:val="003E4FB1"/>
    <w:rsid w:val="003E6750"/>
    <w:rsid w:val="003E6EA7"/>
    <w:rsid w:val="003E72F3"/>
    <w:rsid w:val="003E765A"/>
    <w:rsid w:val="003E79B3"/>
    <w:rsid w:val="003F015E"/>
    <w:rsid w:val="003F07FB"/>
    <w:rsid w:val="003F0CAF"/>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C3C"/>
    <w:rsid w:val="00400FFF"/>
    <w:rsid w:val="004012A0"/>
    <w:rsid w:val="0040146A"/>
    <w:rsid w:val="004016EC"/>
    <w:rsid w:val="0040228D"/>
    <w:rsid w:val="00402388"/>
    <w:rsid w:val="00402F60"/>
    <w:rsid w:val="0040311E"/>
    <w:rsid w:val="0040345C"/>
    <w:rsid w:val="00403DE1"/>
    <w:rsid w:val="00403EB4"/>
    <w:rsid w:val="00403FEB"/>
    <w:rsid w:val="00404DF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37A4"/>
    <w:rsid w:val="00423FCF"/>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37D18"/>
    <w:rsid w:val="00440221"/>
    <w:rsid w:val="00441C45"/>
    <w:rsid w:val="0044227F"/>
    <w:rsid w:val="00444166"/>
    <w:rsid w:val="0044440D"/>
    <w:rsid w:val="004444E6"/>
    <w:rsid w:val="00444EB2"/>
    <w:rsid w:val="00444F46"/>
    <w:rsid w:val="004454A4"/>
    <w:rsid w:val="00445D53"/>
    <w:rsid w:val="00445E59"/>
    <w:rsid w:val="004462EB"/>
    <w:rsid w:val="0044684D"/>
    <w:rsid w:val="00446ED0"/>
    <w:rsid w:val="00447647"/>
    <w:rsid w:val="0045015F"/>
    <w:rsid w:val="0045094C"/>
    <w:rsid w:val="004512B4"/>
    <w:rsid w:val="00451454"/>
    <w:rsid w:val="004516F3"/>
    <w:rsid w:val="00451FEF"/>
    <w:rsid w:val="0045211E"/>
    <w:rsid w:val="00452A70"/>
    <w:rsid w:val="00453685"/>
    <w:rsid w:val="00453D03"/>
    <w:rsid w:val="004546C0"/>
    <w:rsid w:val="0045502A"/>
    <w:rsid w:val="004559CF"/>
    <w:rsid w:val="00455A3F"/>
    <w:rsid w:val="00456096"/>
    <w:rsid w:val="004560EB"/>
    <w:rsid w:val="00457E02"/>
    <w:rsid w:val="0046038D"/>
    <w:rsid w:val="004608E3"/>
    <w:rsid w:val="00460F41"/>
    <w:rsid w:val="00460FE4"/>
    <w:rsid w:val="00461582"/>
    <w:rsid w:val="004616FE"/>
    <w:rsid w:val="00461821"/>
    <w:rsid w:val="00462C0B"/>
    <w:rsid w:val="004630CD"/>
    <w:rsid w:val="004636CE"/>
    <w:rsid w:val="00463944"/>
    <w:rsid w:val="00464462"/>
    <w:rsid w:val="0046481D"/>
    <w:rsid w:val="00464C8E"/>
    <w:rsid w:val="00465A25"/>
    <w:rsid w:val="00466327"/>
    <w:rsid w:val="00466B86"/>
    <w:rsid w:val="00466C31"/>
    <w:rsid w:val="004674A7"/>
    <w:rsid w:val="00467674"/>
    <w:rsid w:val="00467915"/>
    <w:rsid w:val="004700B2"/>
    <w:rsid w:val="00470A9B"/>
    <w:rsid w:val="00470C2B"/>
    <w:rsid w:val="00470D83"/>
    <w:rsid w:val="00471511"/>
    <w:rsid w:val="00472884"/>
    <w:rsid w:val="00472B1B"/>
    <w:rsid w:val="00472FF7"/>
    <w:rsid w:val="00473174"/>
    <w:rsid w:val="00474915"/>
    <w:rsid w:val="00475059"/>
    <w:rsid w:val="004751DB"/>
    <w:rsid w:val="0047620F"/>
    <w:rsid w:val="0047652A"/>
    <w:rsid w:val="0047687E"/>
    <w:rsid w:val="004769BC"/>
    <w:rsid w:val="00476EAB"/>
    <w:rsid w:val="0047705C"/>
    <w:rsid w:val="00477634"/>
    <w:rsid w:val="00477725"/>
    <w:rsid w:val="004778F9"/>
    <w:rsid w:val="00480477"/>
    <w:rsid w:val="00480CCA"/>
    <w:rsid w:val="00482425"/>
    <w:rsid w:val="004828D5"/>
    <w:rsid w:val="0048329E"/>
    <w:rsid w:val="0048356F"/>
    <w:rsid w:val="004837EE"/>
    <w:rsid w:val="004842BC"/>
    <w:rsid w:val="004843EA"/>
    <w:rsid w:val="00484AD0"/>
    <w:rsid w:val="00484C96"/>
    <w:rsid w:val="00484FBF"/>
    <w:rsid w:val="00485659"/>
    <w:rsid w:val="00485C2B"/>
    <w:rsid w:val="00485F0E"/>
    <w:rsid w:val="00487388"/>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BB8"/>
    <w:rsid w:val="00494E83"/>
    <w:rsid w:val="00495112"/>
    <w:rsid w:val="00495A32"/>
    <w:rsid w:val="004972C7"/>
    <w:rsid w:val="004974A9"/>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171"/>
    <w:rsid w:val="004A6B25"/>
    <w:rsid w:val="004A7878"/>
    <w:rsid w:val="004A7990"/>
    <w:rsid w:val="004A7DB3"/>
    <w:rsid w:val="004B008F"/>
    <w:rsid w:val="004B025B"/>
    <w:rsid w:val="004B0484"/>
    <w:rsid w:val="004B0883"/>
    <w:rsid w:val="004B0BD3"/>
    <w:rsid w:val="004B0EA7"/>
    <w:rsid w:val="004B0F2C"/>
    <w:rsid w:val="004B17A5"/>
    <w:rsid w:val="004B17C0"/>
    <w:rsid w:val="004B19E7"/>
    <w:rsid w:val="004B267D"/>
    <w:rsid w:val="004B2A36"/>
    <w:rsid w:val="004B2F6A"/>
    <w:rsid w:val="004B30D6"/>
    <w:rsid w:val="004B3B0B"/>
    <w:rsid w:val="004B40CB"/>
    <w:rsid w:val="004B58A1"/>
    <w:rsid w:val="004B61B1"/>
    <w:rsid w:val="004B6B64"/>
    <w:rsid w:val="004B6C7E"/>
    <w:rsid w:val="004B6F88"/>
    <w:rsid w:val="004B73DF"/>
    <w:rsid w:val="004B7434"/>
    <w:rsid w:val="004B7549"/>
    <w:rsid w:val="004B785C"/>
    <w:rsid w:val="004C014F"/>
    <w:rsid w:val="004C05C6"/>
    <w:rsid w:val="004C1ACD"/>
    <w:rsid w:val="004C1B6C"/>
    <w:rsid w:val="004C26A5"/>
    <w:rsid w:val="004C27EA"/>
    <w:rsid w:val="004C3572"/>
    <w:rsid w:val="004C3928"/>
    <w:rsid w:val="004C3AE9"/>
    <w:rsid w:val="004C4624"/>
    <w:rsid w:val="004C474F"/>
    <w:rsid w:val="004C495C"/>
    <w:rsid w:val="004C56C0"/>
    <w:rsid w:val="004C5C96"/>
    <w:rsid w:val="004C69F7"/>
    <w:rsid w:val="004C6FEC"/>
    <w:rsid w:val="004C77F2"/>
    <w:rsid w:val="004C7AE9"/>
    <w:rsid w:val="004C7B40"/>
    <w:rsid w:val="004C7C51"/>
    <w:rsid w:val="004C7CA3"/>
    <w:rsid w:val="004C7CFD"/>
    <w:rsid w:val="004D05A7"/>
    <w:rsid w:val="004D189B"/>
    <w:rsid w:val="004D195F"/>
    <w:rsid w:val="004D1E91"/>
    <w:rsid w:val="004D22E1"/>
    <w:rsid w:val="004D283A"/>
    <w:rsid w:val="004D2C04"/>
    <w:rsid w:val="004D2C48"/>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4AD"/>
    <w:rsid w:val="004E3A3C"/>
    <w:rsid w:val="004E4C0E"/>
    <w:rsid w:val="004E5404"/>
    <w:rsid w:val="004E598E"/>
    <w:rsid w:val="004E608E"/>
    <w:rsid w:val="004E7359"/>
    <w:rsid w:val="004E7635"/>
    <w:rsid w:val="004E7C98"/>
    <w:rsid w:val="004E7DD7"/>
    <w:rsid w:val="004F10D4"/>
    <w:rsid w:val="004F1271"/>
    <w:rsid w:val="004F1374"/>
    <w:rsid w:val="004F15A5"/>
    <w:rsid w:val="004F2084"/>
    <w:rsid w:val="004F26F8"/>
    <w:rsid w:val="004F29FD"/>
    <w:rsid w:val="004F2D4B"/>
    <w:rsid w:val="004F32CB"/>
    <w:rsid w:val="004F3519"/>
    <w:rsid w:val="004F36F4"/>
    <w:rsid w:val="004F375A"/>
    <w:rsid w:val="004F42AE"/>
    <w:rsid w:val="004F4B44"/>
    <w:rsid w:val="004F4C15"/>
    <w:rsid w:val="004F5285"/>
    <w:rsid w:val="004F5584"/>
    <w:rsid w:val="004F59DE"/>
    <w:rsid w:val="004F615C"/>
    <w:rsid w:val="004F61F9"/>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821"/>
    <w:rsid w:val="00503B0E"/>
    <w:rsid w:val="00503C2C"/>
    <w:rsid w:val="00503CEE"/>
    <w:rsid w:val="0050454D"/>
    <w:rsid w:val="005057F1"/>
    <w:rsid w:val="00505860"/>
    <w:rsid w:val="00507211"/>
    <w:rsid w:val="00507960"/>
    <w:rsid w:val="00507A46"/>
    <w:rsid w:val="00510109"/>
    <w:rsid w:val="005102DD"/>
    <w:rsid w:val="005110AE"/>
    <w:rsid w:val="0051152B"/>
    <w:rsid w:val="00511660"/>
    <w:rsid w:val="00511DAE"/>
    <w:rsid w:val="00511EAD"/>
    <w:rsid w:val="00512307"/>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2A54"/>
    <w:rsid w:val="005235ED"/>
    <w:rsid w:val="005238BD"/>
    <w:rsid w:val="00524BCA"/>
    <w:rsid w:val="00524E7B"/>
    <w:rsid w:val="00525222"/>
    <w:rsid w:val="00525BFA"/>
    <w:rsid w:val="00525DD2"/>
    <w:rsid w:val="005266F1"/>
    <w:rsid w:val="00527316"/>
    <w:rsid w:val="005310C4"/>
    <w:rsid w:val="005320E4"/>
    <w:rsid w:val="005327EA"/>
    <w:rsid w:val="00532C3F"/>
    <w:rsid w:val="00532DA1"/>
    <w:rsid w:val="005340F9"/>
    <w:rsid w:val="00534335"/>
    <w:rsid w:val="00534A1B"/>
    <w:rsid w:val="00534B2D"/>
    <w:rsid w:val="00535C7C"/>
    <w:rsid w:val="00535ED4"/>
    <w:rsid w:val="00536299"/>
    <w:rsid w:val="005367ED"/>
    <w:rsid w:val="005375FC"/>
    <w:rsid w:val="0053781B"/>
    <w:rsid w:val="00537845"/>
    <w:rsid w:val="00540261"/>
    <w:rsid w:val="005407F1"/>
    <w:rsid w:val="00540BFF"/>
    <w:rsid w:val="00541086"/>
    <w:rsid w:val="00541359"/>
    <w:rsid w:val="00541AE5"/>
    <w:rsid w:val="00541B8B"/>
    <w:rsid w:val="00542378"/>
    <w:rsid w:val="00542C29"/>
    <w:rsid w:val="00542CBE"/>
    <w:rsid w:val="0054303C"/>
    <w:rsid w:val="00543A85"/>
    <w:rsid w:val="00543FD8"/>
    <w:rsid w:val="005454C9"/>
    <w:rsid w:val="00545741"/>
    <w:rsid w:val="005457F9"/>
    <w:rsid w:val="005466EE"/>
    <w:rsid w:val="00546AA4"/>
    <w:rsid w:val="00546B67"/>
    <w:rsid w:val="00546CE4"/>
    <w:rsid w:val="0054744D"/>
    <w:rsid w:val="005501FA"/>
    <w:rsid w:val="00550AD4"/>
    <w:rsid w:val="005512C6"/>
    <w:rsid w:val="00551792"/>
    <w:rsid w:val="0055213B"/>
    <w:rsid w:val="00553005"/>
    <w:rsid w:val="00553AE2"/>
    <w:rsid w:val="00554172"/>
    <w:rsid w:val="005544BE"/>
    <w:rsid w:val="00554DA9"/>
    <w:rsid w:val="00554E34"/>
    <w:rsid w:val="00554E70"/>
    <w:rsid w:val="00556D14"/>
    <w:rsid w:val="00556E03"/>
    <w:rsid w:val="0055728F"/>
    <w:rsid w:val="005577A1"/>
    <w:rsid w:val="0055783C"/>
    <w:rsid w:val="0056145C"/>
    <w:rsid w:val="00561578"/>
    <w:rsid w:val="005615A9"/>
    <w:rsid w:val="005615DD"/>
    <w:rsid w:val="00561669"/>
    <w:rsid w:val="00561708"/>
    <w:rsid w:val="00561CC4"/>
    <w:rsid w:val="00561D57"/>
    <w:rsid w:val="0056350A"/>
    <w:rsid w:val="00563645"/>
    <w:rsid w:val="005646B2"/>
    <w:rsid w:val="00564D98"/>
    <w:rsid w:val="00564EF6"/>
    <w:rsid w:val="00565605"/>
    <w:rsid w:val="005657DE"/>
    <w:rsid w:val="00566236"/>
    <w:rsid w:val="0056649A"/>
    <w:rsid w:val="00566DCA"/>
    <w:rsid w:val="00567210"/>
    <w:rsid w:val="00567345"/>
    <w:rsid w:val="005674C4"/>
    <w:rsid w:val="0056783E"/>
    <w:rsid w:val="00567A79"/>
    <w:rsid w:val="005700A2"/>
    <w:rsid w:val="0057020C"/>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5D7B"/>
    <w:rsid w:val="00576441"/>
    <w:rsid w:val="005765AA"/>
    <w:rsid w:val="00577C4F"/>
    <w:rsid w:val="00577D4F"/>
    <w:rsid w:val="005800AB"/>
    <w:rsid w:val="00581514"/>
    <w:rsid w:val="00581C64"/>
    <w:rsid w:val="00581CBB"/>
    <w:rsid w:val="00581FD8"/>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23"/>
    <w:rsid w:val="005875E1"/>
    <w:rsid w:val="00587B61"/>
    <w:rsid w:val="00587C4E"/>
    <w:rsid w:val="005900F3"/>
    <w:rsid w:val="005909FE"/>
    <w:rsid w:val="00591755"/>
    <w:rsid w:val="005918D5"/>
    <w:rsid w:val="00591D82"/>
    <w:rsid w:val="00592000"/>
    <w:rsid w:val="005924A3"/>
    <w:rsid w:val="00592A89"/>
    <w:rsid w:val="00592D63"/>
    <w:rsid w:val="00592E0C"/>
    <w:rsid w:val="00593460"/>
    <w:rsid w:val="00594819"/>
    <w:rsid w:val="00594972"/>
    <w:rsid w:val="00594A27"/>
    <w:rsid w:val="005961FD"/>
    <w:rsid w:val="005963E3"/>
    <w:rsid w:val="005975AD"/>
    <w:rsid w:val="00597919"/>
    <w:rsid w:val="00597AB4"/>
    <w:rsid w:val="005A0E03"/>
    <w:rsid w:val="005A0F73"/>
    <w:rsid w:val="005A287D"/>
    <w:rsid w:val="005A3012"/>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4B94"/>
    <w:rsid w:val="005B4E33"/>
    <w:rsid w:val="005B6199"/>
    <w:rsid w:val="005B68DE"/>
    <w:rsid w:val="005B6BFD"/>
    <w:rsid w:val="005B6E31"/>
    <w:rsid w:val="005B6FAC"/>
    <w:rsid w:val="005B788B"/>
    <w:rsid w:val="005B7992"/>
    <w:rsid w:val="005C0327"/>
    <w:rsid w:val="005C0B97"/>
    <w:rsid w:val="005C0CA8"/>
    <w:rsid w:val="005C0DFC"/>
    <w:rsid w:val="005C1417"/>
    <w:rsid w:val="005C189A"/>
    <w:rsid w:val="005C1B72"/>
    <w:rsid w:val="005C1D9A"/>
    <w:rsid w:val="005C222A"/>
    <w:rsid w:val="005C2A65"/>
    <w:rsid w:val="005C2C55"/>
    <w:rsid w:val="005C3B90"/>
    <w:rsid w:val="005C3C5D"/>
    <w:rsid w:val="005C3F3A"/>
    <w:rsid w:val="005C5800"/>
    <w:rsid w:val="005C5D2E"/>
    <w:rsid w:val="005C5DC7"/>
    <w:rsid w:val="005C6494"/>
    <w:rsid w:val="005C66C4"/>
    <w:rsid w:val="005C706F"/>
    <w:rsid w:val="005C7376"/>
    <w:rsid w:val="005C76E0"/>
    <w:rsid w:val="005C773B"/>
    <w:rsid w:val="005C786D"/>
    <w:rsid w:val="005C7A25"/>
    <w:rsid w:val="005D030F"/>
    <w:rsid w:val="005D0C26"/>
    <w:rsid w:val="005D0E17"/>
    <w:rsid w:val="005D14A7"/>
    <w:rsid w:val="005D18A4"/>
    <w:rsid w:val="005D19B9"/>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7C"/>
    <w:rsid w:val="005E14A9"/>
    <w:rsid w:val="005E14F6"/>
    <w:rsid w:val="005E15B3"/>
    <w:rsid w:val="005E17BB"/>
    <w:rsid w:val="005E18C6"/>
    <w:rsid w:val="005E1FD9"/>
    <w:rsid w:val="005E26CF"/>
    <w:rsid w:val="005E4058"/>
    <w:rsid w:val="005E46D4"/>
    <w:rsid w:val="005E4CC7"/>
    <w:rsid w:val="005E60EB"/>
    <w:rsid w:val="005E6690"/>
    <w:rsid w:val="005E6B51"/>
    <w:rsid w:val="005E6B5E"/>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3B3D"/>
    <w:rsid w:val="005F497C"/>
    <w:rsid w:val="005F49AE"/>
    <w:rsid w:val="005F4B4C"/>
    <w:rsid w:val="005F4DAB"/>
    <w:rsid w:val="005F6C15"/>
    <w:rsid w:val="005F7A78"/>
    <w:rsid w:val="005F7AF7"/>
    <w:rsid w:val="005F7DC9"/>
    <w:rsid w:val="005F7F98"/>
    <w:rsid w:val="006002F8"/>
    <w:rsid w:val="006017DE"/>
    <w:rsid w:val="006018CF"/>
    <w:rsid w:val="0060215F"/>
    <w:rsid w:val="00602429"/>
    <w:rsid w:val="0060298D"/>
    <w:rsid w:val="00603227"/>
    <w:rsid w:val="006037B0"/>
    <w:rsid w:val="00603876"/>
    <w:rsid w:val="0060457D"/>
    <w:rsid w:val="006051DE"/>
    <w:rsid w:val="00605281"/>
    <w:rsid w:val="00605A3E"/>
    <w:rsid w:val="00605ADD"/>
    <w:rsid w:val="00605C1F"/>
    <w:rsid w:val="00606768"/>
    <w:rsid w:val="00606DB3"/>
    <w:rsid w:val="00606E49"/>
    <w:rsid w:val="00607448"/>
    <w:rsid w:val="006074CE"/>
    <w:rsid w:val="006076DC"/>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5FD2"/>
    <w:rsid w:val="0061618F"/>
    <w:rsid w:val="006165B7"/>
    <w:rsid w:val="006169FE"/>
    <w:rsid w:val="00616AF4"/>
    <w:rsid w:val="00617175"/>
    <w:rsid w:val="00617189"/>
    <w:rsid w:val="00617E07"/>
    <w:rsid w:val="00620024"/>
    <w:rsid w:val="0062034F"/>
    <w:rsid w:val="00620597"/>
    <w:rsid w:val="00621025"/>
    <w:rsid w:val="0062108F"/>
    <w:rsid w:val="006214BA"/>
    <w:rsid w:val="006214ED"/>
    <w:rsid w:val="00621BA7"/>
    <w:rsid w:val="00623254"/>
    <w:rsid w:val="00623468"/>
    <w:rsid w:val="00623550"/>
    <w:rsid w:val="00623CF6"/>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106"/>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299"/>
    <w:rsid w:val="00657E83"/>
    <w:rsid w:val="006603F7"/>
    <w:rsid w:val="00661633"/>
    <w:rsid w:val="00661D1E"/>
    <w:rsid w:val="00662216"/>
    <w:rsid w:val="00662396"/>
    <w:rsid w:val="00663146"/>
    <w:rsid w:val="00663EF2"/>
    <w:rsid w:val="00663F55"/>
    <w:rsid w:val="00664855"/>
    <w:rsid w:val="006652F3"/>
    <w:rsid w:val="006655B0"/>
    <w:rsid w:val="006657D4"/>
    <w:rsid w:val="00665A5F"/>
    <w:rsid w:val="00665E15"/>
    <w:rsid w:val="00665E59"/>
    <w:rsid w:val="00665EA5"/>
    <w:rsid w:val="006661C3"/>
    <w:rsid w:val="00666296"/>
    <w:rsid w:val="0066714A"/>
    <w:rsid w:val="00667644"/>
    <w:rsid w:val="00667B74"/>
    <w:rsid w:val="00670619"/>
    <w:rsid w:val="0067067C"/>
    <w:rsid w:val="00671118"/>
    <w:rsid w:val="0067116F"/>
    <w:rsid w:val="00671509"/>
    <w:rsid w:val="006715E9"/>
    <w:rsid w:val="0067182C"/>
    <w:rsid w:val="00671ACB"/>
    <w:rsid w:val="00671D8C"/>
    <w:rsid w:val="006729D5"/>
    <w:rsid w:val="006729EB"/>
    <w:rsid w:val="00672AE6"/>
    <w:rsid w:val="00672CD8"/>
    <w:rsid w:val="00672DE9"/>
    <w:rsid w:val="006738FF"/>
    <w:rsid w:val="00673F7E"/>
    <w:rsid w:val="00674105"/>
    <w:rsid w:val="00675073"/>
    <w:rsid w:val="006753FF"/>
    <w:rsid w:val="0067546D"/>
    <w:rsid w:val="00675BEA"/>
    <w:rsid w:val="00675F3B"/>
    <w:rsid w:val="00676113"/>
    <w:rsid w:val="00676E07"/>
    <w:rsid w:val="00677693"/>
    <w:rsid w:val="00677D78"/>
    <w:rsid w:val="006802E7"/>
    <w:rsid w:val="00680436"/>
    <w:rsid w:val="006808E9"/>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89C"/>
    <w:rsid w:val="00690922"/>
    <w:rsid w:val="006912AE"/>
    <w:rsid w:val="00691956"/>
    <w:rsid w:val="006924E5"/>
    <w:rsid w:val="00692DB2"/>
    <w:rsid w:val="00693010"/>
    <w:rsid w:val="0069317D"/>
    <w:rsid w:val="00693BD6"/>
    <w:rsid w:val="00694202"/>
    <w:rsid w:val="00694A5D"/>
    <w:rsid w:val="00694BCF"/>
    <w:rsid w:val="00695183"/>
    <w:rsid w:val="00695233"/>
    <w:rsid w:val="0069548B"/>
    <w:rsid w:val="006956DE"/>
    <w:rsid w:val="006957E5"/>
    <w:rsid w:val="00697882"/>
    <w:rsid w:val="00697E8C"/>
    <w:rsid w:val="006A00CC"/>
    <w:rsid w:val="006A033C"/>
    <w:rsid w:val="006A0406"/>
    <w:rsid w:val="006A05DD"/>
    <w:rsid w:val="006A07E1"/>
    <w:rsid w:val="006A21E5"/>
    <w:rsid w:val="006A36A1"/>
    <w:rsid w:val="006A3E71"/>
    <w:rsid w:val="006A3F5F"/>
    <w:rsid w:val="006A458A"/>
    <w:rsid w:val="006A4D59"/>
    <w:rsid w:val="006A5017"/>
    <w:rsid w:val="006A51C2"/>
    <w:rsid w:val="006A524B"/>
    <w:rsid w:val="006A56A4"/>
    <w:rsid w:val="006A5F08"/>
    <w:rsid w:val="006A6021"/>
    <w:rsid w:val="006A6215"/>
    <w:rsid w:val="006A67F6"/>
    <w:rsid w:val="006A6EED"/>
    <w:rsid w:val="006A6FB7"/>
    <w:rsid w:val="006A74F9"/>
    <w:rsid w:val="006A7BA8"/>
    <w:rsid w:val="006B07B1"/>
    <w:rsid w:val="006B1425"/>
    <w:rsid w:val="006B14DE"/>
    <w:rsid w:val="006B150B"/>
    <w:rsid w:val="006B1954"/>
    <w:rsid w:val="006B1E36"/>
    <w:rsid w:val="006B1EA0"/>
    <w:rsid w:val="006B27B8"/>
    <w:rsid w:val="006B3B2E"/>
    <w:rsid w:val="006B3F7C"/>
    <w:rsid w:val="006B3FA8"/>
    <w:rsid w:val="006B4108"/>
    <w:rsid w:val="006B42C6"/>
    <w:rsid w:val="006B443E"/>
    <w:rsid w:val="006B46B0"/>
    <w:rsid w:val="006B52DC"/>
    <w:rsid w:val="006B58EF"/>
    <w:rsid w:val="006B6CCB"/>
    <w:rsid w:val="006B7766"/>
    <w:rsid w:val="006B7FD7"/>
    <w:rsid w:val="006C00D8"/>
    <w:rsid w:val="006C0AF5"/>
    <w:rsid w:val="006C0E1E"/>
    <w:rsid w:val="006C10B8"/>
    <w:rsid w:val="006C16D1"/>
    <w:rsid w:val="006C38A6"/>
    <w:rsid w:val="006C39DE"/>
    <w:rsid w:val="006C3EC7"/>
    <w:rsid w:val="006C400A"/>
    <w:rsid w:val="006C43B3"/>
    <w:rsid w:val="006C43C2"/>
    <w:rsid w:val="006C47DB"/>
    <w:rsid w:val="006C4D22"/>
    <w:rsid w:val="006C5339"/>
    <w:rsid w:val="006C549F"/>
    <w:rsid w:val="006C5799"/>
    <w:rsid w:val="006C5A94"/>
    <w:rsid w:val="006C5C42"/>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CD7"/>
    <w:rsid w:val="006D6D1B"/>
    <w:rsid w:val="006D6DD1"/>
    <w:rsid w:val="006D7872"/>
    <w:rsid w:val="006D7AC3"/>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AE9"/>
    <w:rsid w:val="006F2C7D"/>
    <w:rsid w:val="006F3197"/>
    <w:rsid w:val="006F38CC"/>
    <w:rsid w:val="006F3A42"/>
    <w:rsid w:val="006F41B1"/>
    <w:rsid w:val="006F4862"/>
    <w:rsid w:val="006F4FD1"/>
    <w:rsid w:val="006F54A3"/>
    <w:rsid w:val="006F609B"/>
    <w:rsid w:val="006F64E2"/>
    <w:rsid w:val="006F6F49"/>
    <w:rsid w:val="006F6FC6"/>
    <w:rsid w:val="006F7646"/>
    <w:rsid w:val="006F7662"/>
    <w:rsid w:val="006F7676"/>
    <w:rsid w:val="006F7A8A"/>
    <w:rsid w:val="006F7B6D"/>
    <w:rsid w:val="006F7C5B"/>
    <w:rsid w:val="006F7D83"/>
    <w:rsid w:val="007005BB"/>
    <w:rsid w:val="007005DC"/>
    <w:rsid w:val="007006F7"/>
    <w:rsid w:val="007009E1"/>
    <w:rsid w:val="00700E58"/>
    <w:rsid w:val="0070164E"/>
    <w:rsid w:val="00702387"/>
    <w:rsid w:val="00702B05"/>
    <w:rsid w:val="007038F8"/>
    <w:rsid w:val="007053B5"/>
    <w:rsid w:val="007055FF"/>
    <w:rsid w:val="00705B38"/>
    <w:rsid w:val="0070622D"/>
    <w:rsid w:val="007065FA"/>
    <w:rsid w:val="00706991"/>
    <w:rsid w:val="0070793C"/>
    <w:rsid w:val="00710A89"/>
    <w:rsid w:val="00710B31"/>
    <w:rsid w:val="00710C12"/>
    <w:rsid w:val="00711A6E"/>
    <w:rsid w:val="00711F04"/>
    <w:rsid w:val="00712006"/>
    <w:rsid w:val="00712031"/>
    <w:rsid w:val="00712521"/>
    <w:rsid w:val="00712AD6"/>
    <w:rsid w:val="00713112"/>
    <w:rsid w:val="007132A4"/>
    <w:rsid w:val="007135C3"/>
    <w:rsid w:val="007137D8"/>
    <w:rsid w:val="00714594"/>
    <w:rsid w:val="007146B1"/>
    <w:rsid w:val="00714B8E"/>
    <w:rsid w:val="00714DC5"/>
    <w:rsid w:val="00715292"/>
    <w:rsid w:val="00715378"/>
    <w:rsid w:val="007161C3"/>
    <w:rsid w:val="00716271"/>
    <w:rsid w:val="00716848"/>
    <w:rsid w:val="007172BD"/>
    <w:rsid w:val="00720127"/>
    <w:rsid w:val="00721764"/>
    <w:rsid w:val="00721D61"/>
    <w:rsid w:val="007226AD"/>
    <w:rsid w:val="00722F90"/>
    <w:rsid w:val="0072303A"/>
    <w:rsid w:val="007240ED"/>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8A9"/>
    <w:rsid w:val="00751CFE"/>
    <w:rsid w:val="00751F64"/>
    <w:rsid w:val="0075206C"/>
    <w:rsid w:val="00752ABB"/>
    <w:rsid w:val="00752C1F"/>
    <w:rsid w:val="00752E5F"/>
    <w:rsid w:val="0075302F"/>
    <w:rsid w:val="007532E9"/>
    <w:rsid w:val="00753ABB"/>
    <w:rsid w:val="00753B9D"/>
    <w:rsid w:val="00753BA1"/>
    <w:rsid w:val="00753C34"/>
    <w:rsid w:val="00753D82"/>
    <w:rsid w:val="00754E64"/>
    <w:rsid w:val="007553A9"/>
    <w:rsid w:val="00755584"/>
    <w:rsid w:val="00755AAD"/>
    <w:rsid w:val="007564AA"/>
    <w:rsid w:val="007569A7"/>
    <w:rsid w:val="00756CB2"/>
    <w:rsid w:val="007571D5"/>
    <w:rsid w:val="0076041E"/>
    <w:rsid w:val="007608E5"/>
    <w:rsid w:val="007624F0"/>
    <w:rsid w:val="0076257A"/>
    <w:rsid w:val="007637BF"/>
    <w:rsid w:val="00763945"/>
    <w:rsid w:val="00764E1E"/>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273F"/>
    <w:rsid w:val="007735E4"/>
    <w:rsid w:val="00773678"/>
    <w:rsid w:val="0077417E"/>
    <w:rsid w:val="00774311"/>
    <w:rsid w:val="00775172"/>
    <w:rsid w:val="00775800"/>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14"/>
    <w:rsid w:val="007922C3"/>
    <w:rsid w:val="00792BF5"/>
    <w:rsid w:val="00792CB3"/>
    <w:rsid w:val="00793457"/>
    <w:rsid w:val="00793751"/>
    <w:rsid w:val="00793C4D"/>
    <w:rsid w:val="00794412"/>
    <w:rsid w:val="007949F2"/>
    <w:rsid w:val="00794F35"/>
    <w:rsid w:val="007A003E"/>
    <w:rsid w:val="007A0255"/>
    <w:rsid w:val="007A10C0"/>
    <w:rsid w:val="007A17C0"/>
    <w:rsid w:val="007A1F8E"/>
    <w:rsid w:val="007A2909"/>
    <w:rsid w:val="007A2927"/>
    <w:rsid w:val="007A3539"/>
    <w:rsid w:val="007A3D6A"/>
    <w:rsid w:val="007A3F8E"/>
    <w:rsid w:val="007A4434"/>
    <w:rsid w:val="007A445F"/>
    <w:rsid w:val="007A4707"/>
    <w:rsid w:val="007A48F1"/>
    <w:rsid w:val="007A4F3C"/>
    <w:rsid w:val="007A4F91"/>
    <w:rsid w:val="007A57A1"/>
    <w:rsid w:val="007A5A36"/>
    <w:rsid w:val="007A5C05"/>
    <w:rsid w:val="007A5CA7"/>
    <w:rsid w:val="007A62B2"/>
    <w:rsid w:val="007A6ACD"/>
    <w:rsid w:val="007A71A8"/>
    <w:rsid w:val="007A7570"/>
    <w:rsid w:val="007A766F"/>
    <w:rsid w:val="007B0F78"/>
    <w:rsid w:val="007B13C1"/>
    <w:rsid w:val="007B2BD2"/>
    <w:rsid w:val="007B329C"/>
    <w:rsid w:val="007B37E3"/>
    <w:rsid w:val="007B4596"/>
    <w:rsid w:val="007B6A5C"/>
    <w:rsid w:val="007B72DC"/>
    <w:rsid w:val="007B73DD"/>
    <w:rsid w:val="007B74F1"/>
    <w:rsid w:val="007B7704"/>
    <w:rsid w:val="007B7A6E"/>
    <w:rsid w:val="007C0108"/>
    <w:rsid w:val="007C0226"/>
    <w:rsid w:val="007C0B55"/>
    <w:rsid w:val="007C14DB"/>
    <w:rsid w:val="007C155F"/>
    <w:rsid w:val="007C1B2E"/>
    <w:rsid w:val="007C2059"/>
    <w:rsid w:val="007C24A8"/>
    <w:rsid w:val="007C2899"/>
    <w:rsid w:val="007C294D"/>
    <w:rsid w:val="007C2DAB"/>
    <w:rsid w:val="007C3351"/>
    <w:rsid w:val="007C3BA7"/>
    <w:rsid w:val="007C3BD6"/>
    <w:rsid w:val="007C3E5E"/>
    <w:rsid w:val="007C466E"/>
    <w:rsid w:val="007C523B"/>
    <w:rsid w:val="007C5E70"/>
    <w:rsid w:val="007C60C5"/>
    <w:rsid w:val="007C68F3"/>
    <w:rsid w:val="007C7455"/>
    <w:rsid w:val="007C794A"/>
    <w:rsid w:val="007D0669"/>
    <w:rsid w:val="007D0AAB"/>
    <w:rsid w:val="007D0F9A"/>
    <w:rsid w:val="007D10A5"/>
    <w:rsid w:val="007D20E6"/>
    <w:rsid w:val="007D2815"/>
    <w:rsid w:val="007D2A2F"/>
    <w:rsid w:val="007D3622"/>
    <w:rsid w:val="007D39DB"/>
    <w:rsid w:val="007D3B89"/>
    <w:rsid w:val="007D3CE2"/>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3E37"/>
    <w:rsid w:val="007E4416"/>
    <w:rsid w:val="007E5137"/>
    <w:rsid w:val="007E563B"/>
    <w:rsid w:val="007E6013"/>
    <w:rsid w:val="007E63A1"/>
    <w:rsid w:val="007E6656"/>
    <w:rsid w:val="007E74DD"/>
    <w:rsid w:val="007E7540"/>
    <w:rsid w:val="007E79F7"/>
    <w:rsid w:val="007E7F70"/>
    <w:rsid w:val="007F0897"/>
    <w:rsid w:val="007F0F0F"/>
    <w:rsid w:val="007F1172"/>
    <w:rsid w:val="007F168A"/>
    <w:rsid w:val="007F1F62"/>
    <w:rsid w:val="007F2457"/>
    <w:rsid w:val="007F2779"/>
    <w:rsid w:val="007F29CD"/>
    <w:rsid w:val="007F3478"/>
    <w:rsid w:val="007F3E8A"/>
    <w:rsid w:val="007F448E"/>
    <w:rsid w:val="007F45E3"/>
    <w:rsid w:val="007F4ABC"/>
    <w:rsid w:val="007F509B"/>
    <w:rsid w:val="007F5321"/>
    <w:rsid w:val="007F53A8"/>
    <w:rsid w:val="007F5820"/>
    <w:rsid w:val="007F5B37"/>
    <w:rsid w:val="007F5E7C"/>
    <w:rsid w:val="007F62F4"/>
    <w:rsid w:val="007F641A"/>
    <w:rsid w:val="007F6439"/>
    <w:rsid w:val="007F680B"/>
    <w:rsid w:val="007F6C28"/>
    <w:rsid w:val="007F797B"/>
    <w:rsid w:val="00801A5E"/>
    <w:rsid w:val="0080231C"/>
    <w:rsid w:val="00802465"/>
    <w:rsid w:val="00802695"/>
    <w:rsid w:val="00802F88"/>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734"/>
    <w:rsid w:val="008138C1"/>
    <w:rsid w:val="00813B69"/>
    <w:rsid w:val="00813F4E"/>
    <w:rsid w:val="00813F82"/>
    <w:rsid w:val="00814FEA"/>
    <w:rsid w:val="0081509F"/>
    <w:rsid w:val="008152A8"/>
    <w:rsid w:val="00815BB8"/>
    <w:rsid w:val="00815D52"/>
    <w:rsid w:val="00815DBB"/>
    <w:rsid w:val="00815E2D"/>
    <w:rsid w:val="00815E65"/>
    <w:rsid w:val="00816E58"/>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1C1"/>
    <w:rsid w:val="008279DE"/>
    <w:rsid w:val="00827CB6"/>
    <w:rsid w:val="00827F30"/>
    <w:rsid w:val="0083001F"/>
    <w:rsid w:val="008304AC"/>
    <w:rsid w:val="0083116B"/>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46E"/>
    <w:rsid w:val="00835FC2"/>
    <w:rsid w:val="00837598"/>
    <w:rsid w:val="00837D0C"/>
    <w:rsid w:val="00837D6A"/>
    <w:rsid w:val="008407A3"/>
    <w:rsid w:val="00840A1F"/>
    <w:rsid w:val="00841287"/>
    <w:rsid w:val="008419A1"/>
    <w:rsid w:val="00841A2C"/>
    <w:rsid w:val="0084222D"/>
    <w:rsid w:val="00842CEA"/>
    <w:rsid w:val="00842DA5"/>
    <w:rsid w:val="0084335C"/>
    <w:rsid w:val="008436AC"/>
    <w:rsid w:val="00843EC1"/>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93C"/>
    <w:rsid w:val="00854A77"/>
    <w:rsid w:val="00855310"/>
    <w:rsid w:val="00855374"/>
    <w:rsid w:val="0085579E"/>
    <w:rsid w:val="008558D4"/>
    <w:rsid w:val="00855B88"/>
    <w:rsid w:val="00856694"/>
    <w:rsid w:val="00856CA8"/>
    <w:rsid w:val="00856CFB"/>
    <w:rsid w:val="00856D2D"/>
    <w:rsid w:val="00857548"/>
    <w:rsid w:val="00857C5A"/>
    <w:rsid w:val="00857CC9"/>
    <w:rsid w:val="00857E53"/>
    <w:rsid w:val="00860289"/>
    <w:rsid w:val="00860602"/>
    <w:rsid w:val="00860A1B"/>
    <w:rsid w:val="00860BCB"/>
    <w:rsid w:val="00860C2B"/>
    <w:rsid w:val="008612CD"/>
    <w:rsid w:val="00861847"/>
    <w:rsid w:val="00861E6D"/>
    <w:rsid w:val="00862582"/>
    <w:rsid w:val="00862797"/>
    <w:rsid w:val="00862A0D"/>
    <w:rsid w:val="00862B96"/>
    <w:rsid w:val="00862EF8"/>
    <w:rsid w:val="00862F78"/>
    <w:rsid w:val="00863875"/>
    <w:rsid w:val="008640D9"/>
    <w:rsid w:val="008644B9"/>
    <w:rsid w:val="008647F5"/>
    <w:rsid w:val="008649BE"/>
    <w:rsid w:val="00864B35"/>
    <w:rsid w:val="00864BEF"/>
    <w:rsid w:val="00865C16"/>
    <w:rsid w:val="00865F1A"/>
    <w:rsid w:val="0086613D"/>
    <w:rsid w:val="0086636E"/>
    <w:rsid w:val="0086703A"/>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921"/>
    <w:rsid w:val="00872B40"/>
    <w:rsid w:val="00872ED7"/>
    <w:rsid w:val="00873E35"/>
    <w:rsid w:val="00874C79"/>
    <w:rsid w:val="00874E31"/>
    <w:rsid w:val="00875251"/>
    <w:rsid w:val="008753F0"/>
    <w:rsid w:val="008757A0"/>
    <w:rsid w:val="008758DF"/>
    <w:rsid w:val="00876B7B"/>
    <w:rsid w:val="00876BF9"/>
    <w:rsid w:val="00876D18"/>
    <w:rsid w:val="00876F21"/>
    <w:rsid w:val="00877229"/>
    <w:rsid w:val="00877FE9"/>
    <w:rsid w:val="0088015A"/>
    <w:rsid w:val="00880E0D"/>
    <w:rsid w:val="0088166D"/>
    <w:rsid w:val="008816EB"/>
    <w:rsid w:val="00881DA7"/>
    <w:rsid w:val="00882146"/>
    <w:rsid w:val="008823FF"/>
    <w:rsid w:val="00882A68"/>
    <w:rsid w:val="00884CA1"/>
    <w:rsid w:val="008850A4"/>
    <w:rsid w:val="008855D7"/>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3E7A"/>
    <w:rsid w:val="00894B60"/>
    <w:rsid w:val="00894FE4"/>
    <w:rsid w:val="008959BD"/>
    <w:rsid w:val="00895A65"/>
    <w:rsid w:val="00895D2B"/>
    <w:rsid w:val="00896059"/>
    <w:rsid w:val="00896C2E"/>
    <w:rsid w:val="00896D94"/>
    <w:rsid w:val="00897B6B"/>
    <w:rsid w:val="008A04A2"/>
    <w:rsid w:val="008A0E72"/>
    <w:rsid w:val="008A12D9"/>
    <w:rsid w:val="008A1ACD"/>
    <w:rsid w:val="008A27C1"/>
    <w:rsid w:val="008A302F"/>
    <w:rsid w:val="008A399E"/>
    <w:rsid w:val="008A4033"/>
    <w:rsid w:val="008A4633"/>
    <w:rsid w:val="008A4AAE"/>
    <w:rsid w:val="008A5648"/>
    <w:rsid w:val="008A5E6E"/>
    <w:rsid w:val="008A5EDE"/>
    <w:rsid w:val="008A7044"/>
    <w:rsid w:val="008A70C4"/>
    <w:rsid w:val="008A7482"/>
    <w:rsid w:val="008A75BA"/>
    <w:rsid w:val="008A7629"/>
    <w:rsid w:val="008A772B"/>
    <w:rsid w:val="008A7B2B"/>
    <w:rsid w:val="008A7CED"/>
    <w:rsid w:val="008B062B"/>
    <w:rsid w:val="008B09EE"/>
    <w:rsid w:val="008B143C"/>
    <w:rsid w:val="008B1445"/>
    <w:rsid w:val="008B1A10"/>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690B"/>
    <w:rsid w:val="008B73E2"/>
    <w:rsid w:val="008B755B"/>
    <w:rsid w:val="008B7A1C"/>
    <w:rsid w:val="008B7A2E"/>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C7B4E"/>
    <w:rsid w:val="008D1028"/>
    <w:rsid w:val="008D1234"/>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178"/>
    <w:rsid w:val="008E096F"/>
    <w:rsid w:val="008E13B2"/>
    <w:rsid w:val="008E14DE"/>
    <w:rsid w:val="008E19D4"/>
    <w:rsid w:val="008E1E0B"/>
    <w:rsid w:val="008E20D0"/>
    <w:rsid w:val="008E27FD"/>
    <w:rsid w:val="008E2A09"/>
    <w:rsid w:val="008E35E2"/>
    <w:rsid w:val="008E462E"/>
    <w:rsid w:val="008E4AB4"/>
    <w:rsid w:val="008E50A9"/>
    <w:rsid w:val="008E5141"/>
    <w:rsid w:val="008E516C"/>
    <w:rsid w:val="008E60C2"/>
    <w:rsid w:val="008E624D"/>
    <w:rsid w:val="008E6397"/>
    <w:rsid w:val="008E648B"/>
    <w:rsid w:val="008E6509"/>
    <w:rsid w:val="008E681C"/>
    <w:rsid w:val="008E6EE6"/>
    <w:rsid w:val="008E7196"/>
    <w:rsid w:val="008E7271"/>
    <w:rsid w:val="008E75FF"/>
    <w:rsid w:val="008E773E"/>
    <w:rsid w:val="008E7D5C"/>
    <w:rsid w:val="008F042A"/>
    <w:rsid w:val="008F0554"/>
    <w:rsid w:val="008F056F"/>
    <w:rsid w:val="008F0DB9"/>
    <w:rsid w:val="008F104B"/>
    <w:rsid w:val="008F145E"/>
    <w:rsid w:val="008F1780"/>
    <w:rsid w:val="008F183F"/>
    <w:rsid w:val="008F1F62"/>
    <w:rsid w:val="008F1FF6"/>
    <w:rsid w:val="008F21CB"/>
    <w:rsid w:val="008F2C14"/>
    <w:rsid w:val="008F2C2A"/>
    <w:rsid w:val="008F3FE7"/>
    <w:rsid w:val="008F45E9"/>
    <w:rsid w:val="008F557D"/>
    <w:rsid w:val="008F6BCA"/>
    <w:rsid w:val="008F7F17"/>
    <w:rsid w:val="00901C58"/>
    <w:rsid w:val="00903006"/>
    <w:rsid w:val="00903561"/>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902"/>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5CF"/>
    <w:rsid w:val="009227AA"/>
    <w:rsid w:val="00922E89"/>
    <w:rsid w:val="00923008"/>
    <w:rsid w:val="0092311B"/>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09AE"/>
    <w:rsid w:val="00931E86"/>
    <w:rsid w:val="009326E2"/>
    <w:rsid w:val="009336A1"/>
    <w:rsid w:val="00933E70"/>
    <w:rsid w:val="00933EA5"/>
    <w:rsid w:val="009341E9"/>
    <w:rsid w:val="00934780"/>
    <w:rsid w:val="00935466"/>
    <w:rsid w:val="00935709"/>
    <w:rsid w:val="00937752"/>
    <w:rsid w:val="009377EC"/>
    <w:rsid w:val="00937FEB"/>
    <w:rsid w:val="009403E4"/>
    <w:rsid w:val="009403FF"/>
    <w:rsid w:val="0094160C"/>
    <w:rsid w:val="0094235E"/>
    <w:rsid w:val="00942EBC"/>
    <w:rsid w:val="009433CB"/>
    <w:rsid w:val="00943713"/>
    <w:rsid w:val="00944523"/>
    <w:rsid w:val="009446C4"/>
    <w:rsid w:val="00944EBF"/>
    <w:rsid w:val="00944FAA"/>
    <w:rsid w:val="009450C8"/>
    <w:rsid w:val="0094522C"/>
    <w:rsid w:val="0094552A"/>
    <w:rsid w:val="00945D51"/>
    <w:rsid w:val="00945EE3"/>
    <w:rsid w:val="00945F11"/>
    <w:rsid w:val="0094600F"/>
    <w:rsid w:val="009463B4"/>
    <w:rsid w:val="009463F9"/>
    <w:rsid w:val="0094677D"/>
    <w:rsid w:val="00946881"/>
    <w:rsid w:val="00947496"/>
    <w:rsid w:val="00947C83"/>
    <w:rsid w:val="00947F50"/>
    <w:rsid w:val="0095008D"/>
    <w:rsid w:val="00950205"/>
    <w:rsid w:val="00950EB2"/>
    <w:rsid w:val="00951789"/>
    <w:rsid w:val="00952685"/>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4AF5"/>
    <w:rsid w:val="009652BD"/>
    <w:rsid w:val="009654A4"/>
    <w:rsid w:val="00965849"/>
    <w:rsid w:val="00965EFB"/>
    <w:rsid w:val="0096615D"/>
    <w:rsid w:val="00966346"/>
    <w:rsid w:val="009669B1"/>
    <w:rsid w:val="00966EE6"/>
    <w:rsid w:val="0096754D"/>
    <w:rsid w:val="009676EF"/>
    <w:rsid w:val="0096786B"/>
    <w:rsid w:val="00970498"/>
    <w:rsid w:val="00970557"/>
    <w:rsid w:val="00970648"/>
    <w:rsid w:val="009706F4"/>
    <w:rsid w:val="00971185"/>
    <w:rsid w:val="00971564"/>
    <w:rsid w:val="00971B19"/>
    <w:rsid w:val="00971D20"/>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16B"/>
    <w:rsid w:val="00976480"/>
    <w:rsid w:val="00977EDB"/>
    <w:rsid w:val="00980571"/>
    <w:rsid w:val="009807F4"/>
    <w:rsid w:val="00980C50"/>
    <w:rsid w:val="00980E81"/>
    <w:rsid w:val="009810CA"/>
    <w:rsid w:val="00981173"/>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B66"/>
    <w:rsid w:val="00986CCA"/>
    <w:rsid w:val="00987475"/>
    <w:rsid w:val="00987894"/>
    <w:rsid w:val="00987B44"/>
    <w:rsid w:val="00987CF8"/>
    <w:rsid w:val="009903BB"/>
    <w:rsid w:val="0099065A"/>
    <w:rsid w:val="00993113"/>
    <w:rsid w:val="00993DFB"/>
    <w:rsid w:val="0099417A"/>
    <w:rsid w:val="00994C19"/>
    <w:rsid w:val="0099545A"/>
    <w:rsid w:val="009960DB"/>
    <w:rsid w:val="0099670D"/>
    <w:rsid w:val="009A0969"/>
    <w:rsid w:val="009A0F47"/>
    <w:rsid w:val="009A1177"/>
    <w:rsid w:val="009A1266"/>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E44"/>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120"/>
    <w:rsid w:val="009C457D"/>
    <w:rsid w:val="009C491C"/>
    <w:rsid w:val="009C4A22"/>
    <w:rsid w:val="009C4B5A"/>
    <w:rsid w:val="009C4BB1"/>
    <w:rsid w:val="009C4DE2"/>
    <w:rsid w:val="009C55B9"/>
    <w:rsid w:val="009C5FD5"/>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0F7"/>
    <w:rsid w:val="009D2150"/>
    <w:rsid w:val="009D2404"/>
    <w:rsid w:val="009D24C2"/>
    <w:rsid w:val="009D2D4F"/>
    <w:rsid w:val="009D2E31"/>
    <w:rsid w:val="009D36FB"/>
    <w:rsid w:val="009D3733"/>
    <w:rsid w:val="009D4566"/>
    <w:rsid w:val="009D4D9A"/>
    <w:rsid w:val="009D5943"/>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396"/>
    <w:rsid w:val="009F04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279"/>
    <w:rsid w:val="00A02385"/>
    <w:rsid w:val="00A02449"/>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980"/>
    <w:rsid w:val="00A1362E"/>
    <w:rsid w:val="00A13BF6"/>
    <w:rsid w:val="00A14335"/>
    <w:rsid w:val="00A1443D"/>
    <w:rsid w:val="00A1486C"/>
    <w:rsid w:val="00A149BA"/>
    <w:rsid w:val="00A150A5"/>
    <w:rsid w:val="00A151AE"/>
    <w:rsid w:val="00A154C7"/>
    <w:rsid w:val="00A15855"/>
    <w:rsid w:val="00A158E3"/>
    <w:rsid w:val="00A15C25"/>
    <w:rsid w:val="00A17C20"/>
    <w:rsid w:val="00A17EA7"/>
    <w:rsid w:val="00A20059"/>
    <w:rsid w:val="00A20681"/>
    <w:rsid w:val="00A206FA"/>
    <w:rsid w:val="00A20965"/>
    <w:rsid w:val="00A20D9F"/>
    <w:rsid w:val="00A20F6E"/>
    <w:rsid w:val="00A2173F"/>
    <w:rsid w:val="00A217C2"/>
    <w:rsid w:val="00A21C06"/>
    <w:rsid w:val="00A22B71"/>
    <w:rsid w:val="00A22BA3"/>
    <w:rsid w:val="00A22D20"/>
    <w:rsid w:val="00A23357"/>
    <w:rsid w:val="00A2347A"/>
    <w:rsid w:val="00A24EDB"/>
    <w:rsid w:val="00A253F1"/>
    <w:rsid w:val="00A2562A"/>
    <w:rsid w:val="00A2605C"/>
    <w:rsid w:val="00A262DB"/>
    <w:rsid w:val="00A263F5"/>
    <w:rsid w:val="00A27667"/>
    <w:rsid w:val="00A3012A"/>
    <w:rsid w:val="00A3013C"/>
    <w:rsid w:val="00A30340"/>
    <w:rsid w:val="00A3036D"/>
    <w:rsid w:val="00A305E7"/>
    <w:rsid w:val="00A3094B"/>
    <w:rsid w:val="00A30C42"/>
    <w:rsid w:val="00A319E7"/>
    <w:rsid w:val="00A31EE4"/>
    <w:rsid w:val="00A32746"/>
    <w:rsid w:val="00A32749"/>
    <w:rsid w:val="00A33ADA"/>
    <w:rsid w:val="00A3412A"/>
    <w:rsid w:val="00A34BCB"/>
    <w:rsid w:val="00A350A1"/>
    <w:rsid w:val="00A355F0"/>
    <w:rsid w:val="00A35BC3"/>
    <w:rsid w:val="00A36BAF"/>
    <w:rsid w:val="00A36D68"/>
    <w:rsid w:val="00A37058"/>
    <w:rsid w:val="00A373E1"/>
    <w:rsid w:val="00A3740B"/>
    <w:rsid w:val="00A377C0"/>
    <w:rsid w:val="00A37A51"/>
    <w:rsid w:val="00A40F87"/>
    <w:rsid w:val="00A40FAE"/>
    <w:rsid w:val="00A4108C"/>
    <w:rsid w:val="00A41211"/>
    <w:rsid w:val="00A4146F"/>
    <w:rsid w:val="00A42048"/>
    <w:rsid w:val="00A42182"/>
    <w:rsid w:val="00A4268F"/>
    <w:rsid w:val="00A43234"/>
    <w:rsid w:val="00A4399B"/>
    <w:rsid w:val="00A43C75"/>
    <w:rsid w:val="00A43D56"/>
    <w:rsid w:val="00A43EB6"/>
    <w:rsid w:val="00A44FDD"/>
    <w:rsid w:val="00A45641"/>
    <w:rsid w:val="00A45A8D"/>
    <w:rsid w:val="00A45FA8"/>
    <w:rsid w:val="00A46347"/>
    <w:rsid w:val="00A463CA"/>
    <w:rsid w:val="00A46947"/>
    <w:rsid w:val="00A46EB9"/>
    <w:rsid w:val="00A50443"/>
    <w:rsid w:val="00A505D1"/>
    <w:rsid w:val="00A52D0B"/>
    <w:rsid w:val="00A546BA"/>
    <w:rsid w:val="00A5482D"/>
    <w:rsid w:val="00A54A95"/>
    <w:rsid w:val="00A550AD"/>
    <w:rsid w:val="00A55702"/>
    <w:rsid w:val="00A55778"/>
    <w:rsid w:val="00A55859"/>
    <w:rsid w:val="00A55F30"/>
    <w:rsid w:val="00A56476"/>
    <w:rsid w:val="00A5699C"/>
    <w:rsid w:val="00A56E85"/>
    <w:rsid w:val="00A579DC"/>
    <w:rsid w:val="00A60085"/>
    <w:rsid w:val="00A600A9"/>
    <w:rsid w:val="00A60812"/>
    <w:rsid w:val="00A60DD1"/>
    <w:rsid w:val="00A60E10"/>
    <w:rsid w:val="00A61187"/>
    <w:rsid w:val="00A61586"/>
    <w:rsid w:val="00A616AD"/>
    <w:rsid w:val="00A61709"/>
    <w:rsid w:val="00A618EC"/>
    <w:rsid w:val="00A619AC"/>
    <w:rsid w:val="00A61BFF"/>
    <w:rsid w:val="00A620CA"/>
    <w:rsid w:val="00A62215"/>
    <w:rsid w:val="00A623D3"/>
    <w:rsid w:val="00A62441"/>
    <w:rsid w:val="00A63042"/>
    <w:rsid w:val="00A6336A"/>
    <w:rsid w:val="00A634A1"/>
    <w:rsid w:val="00A64085"/>
    <w:rsid w:val="00A64560"/>
    <w:rsid w:val="00A647F5"/>
    <w:rsid w:val="00A64A99"/>
    <w:rsid w:val="00A64AB3"/>
    <w:rsid w:val="00A654D1"/>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3859"/>
    <w:rsid w:val="00A745CC"/>
    <w:rsid w:val="00A74F9B"/>
    <w:rsid w:val="00A75179"/>
    <w:rsid w:val="00A75918"/>
    <w:rsid w:val="00A75D41"/>
    <w:rsid w:val="00A76276"/>
    <w:rsid w:val="00A764A8"/>
    <w:rsid w:val="00A77308"/>
    <w:rsid w:val="00A7748B"/>
    <w:rsid w:val="00A779DA"/>
    <w:rsid w:val="00A77F2D"/>
    <w:rsid w:val="00A80351"/>
    <w:rsid w:val="00A80551"/>
    <w:rsid w:val="00A8166C"/>
    <w:rsid w:val="00A821A2"/>
    <w:rsid w:val="00A82809"/>
    <w:rsid w:val="00A82B44"/>
    <w:rsid w:val="00A82E3B"/>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DED"/>
    <w:rsid w:val="00A87E80"/>
    <w:rsid w:val="00A901BC"/>
    <w:rsid w:val="00A9058F"/>
    <w:rsid w:val="00A905DE"/>
    <w:rsid w:val="00A9134C"/>
    <w:rsid w:val="00A9238E"/>
    <w:rsid w:val="00A9323B"/>
    <w:rsid w:val="00A9361B"/>
    <w:rsid w:val="00A936A7"/>
    <w:rsid w:val="00A9390C"/>
    <w:rsid w:val="00A947C9"/>
    <w:rsid w:val="00A949F0"/>
    <w:rsid w:val="00A94FF7"/>
    <w:rsid w:val="00A950DC"/>
    <w:rsid w:val="00A9585B"/>
    <w:rsid w:val="00A96A60"/>
    <w:rsid w:val="00A96A71"/>
    <w:rsid w:val="00A970CC"/>
    <w:rsid w:val="00A973E1"/>
    <w:rsid w:val="00A97430"/>
    <w:rsid w:val="00A97CFC"/>
    <w:rsid w:val="00AA08DC"/>
    <w:rsid w:val="00AA1024"/>
    <w:rsid w:val="00AA17DB"/>
    <w:rsid w:val="00AA1813"/>
    <w:rsid w:val="00AA33D2"/>
    <w:rsid w:val="00AA3FF7"/>
    <w:rsid w:val="00AA483A"/>
    <w:rsid w:val="00AA4D57"/>
    <w:rsid w:val="00AA5998"/>
    <w:rsid w:val="00AA6E2D"/>
    <w:rsid w:val="00AA6FDF"/>
    <w:rsid w:val="00AA7071"/>
    <w:rsid w:val="00AA7724"/>
    <w:rsid w:val="00AA7EC5"/>
    <w:rsid w:val="00AB0120"/>
    <w:rsid w:val="00AB0535"/>
    <w:rsid w:val="00AB0873"/>
    <w:rsid w:val="00AB12DF"/>
    <w:rsid w:val="00AB210B"/>
    <w:rsid w:val="00AB2211"/>
    <w:rsid w:val="00AB2225"/>
    <w:rsid w:val="00AB270E"/>
    <w:rsid w:val="00AB2950"/>
    <w:rsid w:val="00AB3C9B"/>
    <w:rsid w:val="00AB600B"/>
    <w:rsid w:val="00AB659C"/>
    <w:rsid w:val="00AB6732"/>
    <w:rsid w:val="00AB6785"/>
    <w:rsid w:val="00AB7583"/>
    <w:rsid w:val="00AB7D4C"/>
    <w:rsid w:val="00AB7E3F"/>
    <w:rsid w:val="00AC0D27"/>
    <w:rsid w:val="00AC126A"/>
    <w:rsid w:val="00AC1526"/>
    <w:rsid w:val="00AC1658"/>
    <w:rsid w:val="00AC174B"/>
    <w:rsid w:val="00AC17A3"/>
    <w:rsid w:val="00AC1B22"/>
    <w:rsid w:val="00AC1BFA"/>
    <w:rsid w:val="00AC1C4A"/>
    <w:rsid w:val="00AC222D"/>
    <w:rsid w:val="00AC22CA"/>
    <w:rsid w:val="00AC268C"/>
    <w:rsid w:val="00AC2805"/>
    <w:rsid w:val="00AC2DB9"/>
    <w:rsid w:val="00AC3610"/>
    <w:rsid w:val="00AC397F"/>
    <w:rsid w:val="00AC3A3A"/>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3ED"/>
    <w:rsid w:val="00AE161B"/>
    <w:rsid w:val="00AE16F1"/>
    <w:rsid w:val="00AE1CB3"/>
    <w:rsid w:val="00AE2323"/>
    <w:rsid w:val="00AE3089"/>
    <w:rsid w:val="00AE317C"/>
    <w:rsid w:val="00AE3330"/>
    <w:rsid w:val="00AE3C2A"/>
    <w:rsid w:val="00AE46F1"/>
    <w:rsid w:val="00AE4E3B"/>
    <w:rsid w:val="00AE50E8"/>
    <w:rsid w:val="00AE579C"/>
    <w:rsid w:val="00AE57E8"/>
    <w:rsid w:val="00AE7992"/>
    <w:rsid w:val="00AF0254"/>
    <w:rsid w:val="00AF03D3"/>
    <w:rsid w:val="00AF08D3"/>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37F"/>
    <w:rsid w:val="00B00514"/>
    <w:rsid w:val="00B008E2"/>
    <w:rsid w:val="00B00BD3"/>
    <w:rsid w:val="00B00C4A"/>
    <w:rsid w:val="00B01A02"/>
    <w:rsid w:val="00B02390"/>
    <w:rsid w:val="00B03177"/>
    <w:rsid w:val="00B04473"/>
    <w:rsid w:val="00B050D1"/>
    <w:rsid w:val="00B055D9"/>
    <w:rsid w:val="00B05725"/>
    <w:rsid w:val="00B057D1"/>
    <w:rsid w:val="00B05968"/>
    <w:rsid w:val="00B0650A"/>
    <w:rsid w:val="00B06EC9"/>
    <w:rsid w:val="00B06FD1"/>
    <w:rsid w:val="00B07DC6"/>
    <w:rsid w:val="00B07F1D"/>
    <w:rsid w:val="00B108DC"/>
    <w:rsid w:val="00B10B26"/>
    <w:rsid w:val="00B111B2"/>
    <w:rsid w:val="00B11338"/>
    <w:rsid w:val="00B11387"/>
    <w:rsid w:val="00B115D2"/>
    <w:rsid w:val="00B11B77"/>
    <w:rsid w:val="00B11F21"/>
    <w:rsid w:val="00B123A9"/>
    <w:rsid w:val="00B128A2"/>
    <w:rsid w:val="00B12A55"/>
    <w:rsid w:val="00B1323D"/>
    <w:rsid w:val="00B1346F"/>
    <w:rsid w:val="00B13947"/>
    <w:rsid w:val="00B13C21"/>
    <w:rsid w:val="00B13C57"/>
    <w:rsid w:val="00B13F1F"/>
    <w:rsid w:val="00B14387"/>
    <w:rsid w:val="00B14563"/>
    <w:rsid w:val="00B1462B"/>
    <w:rsid w:val="00B14A56"/>
    <w:rsid w:val="00B14E16"/>
    <w:rsid w:val="00B15FBC"/>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49BF"/>
    <w:rsid w:val="00B267BC"/>
    <w:rsid w:val="00B269CB"/>
    <w:rsid w:val="00B272B6"/>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4E10"/>
    <w:rsid w:val="00B350C1"/>
    <w:rsid w:val="00B35607"/>
    <w:rsid w:val="00B3585E"/>
    <w:rsid w:val="00B35DA9"/>
    <w:rsid w:val="00B35E2E"/>
    <w:rsid w:val="00B36397"/>
    <w:rsid w:val="00B364EE"/>
    <w:rsid w:val="00B3699E"/>
    <w:rsid w:val="00B36DF4"/>
    <w:rsid w:val="00B3788F"/>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670"/>
    <w:rsid w:val="00B567E5"/>
    <w:rsid w:val="00B56BBD"/>
    <w:rsid w:val="00B5772D"/>
    <w:rsid w:val="00B577E1"/>
    <w:rsid w:val="00B60410"/>
    <w:rsid w:val="00B60D37"/>
    <w:rsid w:val="00B61F09"/>
    <w:rsid w:val="00B622B7"/>
    <w:rsid w:val="00B63CE8"/>
    <w:rsid w:val="00B651F3"/>
    <w:rsid w:val="00B6538B"/>
    <w:rsid w:val="00B65757"/>
    <w:rsid w:val="00B65A60"/>
    <w:rsid w:val="00B65CEE"/>
    <w:rsid w:val="00B663E9"/>
    <w:rsid w:val="00B66EB0"/>
    <w:rsid w:val="00B67527"/>
    <w:rsid w:val="00B67557"/>
    <w:rsid w:val="00B67C9E"/>
    <w:rsid w:val="00B7038C"/>
    <w:rsid w:val="00B710EF"/>
    <w:rsid w:val="00B7124B"/>
    <w:rsid w:val="00B71354"/>
    <w:rsid w:val="00B718CE"/>
    <w:rsid w:val="00B719B3"/>
    <w:rsid w:val="00B7201E"/>
    <w:rsid w:val="00B720A8"/>
    <w:rsid w:val="00B7247F"/>
    <w:rsid w:val="00B7392D"/>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233"/>
    <w:rsid w:val="00B86465"/>
    <w:rsid w:val="00B87E04"/>
    <w:rsid w:val="00B87F8A"/>
    <w:rsid w:val="00B9086D"/>
    <w:rsid w:val="00B910F6"/>
    <w:rsid w:val="00B916AA"/>
    <w:rsid w:val="00B92A7B"/>
    <w:rsid w:val="00B92F6E"/>
    <w:rsid w:val="00B93000"/>
    <w:rsid w:val="00B930DD"/>
    <w:rsid w:val="00B930EE"/>
    <w:rsid w:val="00B94481"/>
    <w:rsid w:val="00B944D1"/>
    <w:rsid w:val="00B94B6D"/>
    <w:rsid w:val="00B94D4A"/>
    <w:rsid w:val="00B953DB"/>
    <w:rsid w:val="00B95907"/>
    <w:rsid w:val="00B96399"/>
    <w:rsid w:val="00B96B61"/>
    <w:rsid w:val="00B97708"/>
    <w:rsid w:val="00BA0272"/>
    <w:rsid w:val="00BA07C8"/>
    <w:rsid w:val="00BA0EFC"/>
    <w:rsid w:val="00BA14C4"/>
    <w:rsid w:val="00BA15FF"/>
    <w:rsid w:val="00BA1678"/>
    <w:rsid w:val="00BA3439"/>
    <w:rsid w:val="00BA35B6"/>
    <w:rsid w:val="00BA382B"/>
    <w:rsid w:val="00BA38D3"/>
    <w:rsid w:val="00BA38D5"/>
    <w:rsid w:val="00BA3979"/>
    <w:rsid w:val="00BA39EC"/>
    <w:rsid w:val="00BA3C08"/>
    <w:rsid w:val="00BA3C4D"/>
    <w:rsid w:val="00BA3DE4"/>
    <w:rsid w:val="00BA4314"/>
    <w:rsid w:val="00BA4F30"/>
    <w:rsid w:val="00BA4F7B"/>
    <w:rsid w:val="00BA4F88"/>
    <w:rsid w:val="00BA5072"/>
    <w:rsid w:val="00BA5F66"/>
    <w:rsid w:val="00BA6661"/>
    <w:rsid w:val="00BA6994"/>
    <w:rsid w:val="00BA6D54"/>
    <w:rsid w:val="00BA6F01"/>
    <w:rsid w:val="00BA6F25"/>
    <w:rsid w:val="00BA7C2F"/>
    <w:rsid w:val="00BB0CF6"/>
    <w:rsid w:val="00BB1156"/>
    <w:rsid w:val="00BB188A"/>
    <w:rsid w:val="00BB21E8"/>
    <w:rsid w:val="00BB266E"/>
    <w:rsid w:val="00BB2F27"/>
    <w:rsid w:val="00BB31DB"/>
    <w:rsid w:val="00BB3F8A"/>
    <w:rsid w:val="00BB4009"/>
    <w:rsid w:val="00BB473C"/>
    <w:rsid w:val="00BB4A3F"/>
    <w:rsid w:val="00BB4FC6"/>
    <w:rsid w:val="00BB5077"/>
    <w:rsid w:val="00BB51BE"/>
    <w:rsid w:val="00BB594B"/>
    <w:rsid w:val="00BB5A60"/>
    <w:rsid w:val="00BB60DD"/>
    <w:rsid w:val="00BB61F5"/>
    <w:rsid w:val="00BB6681"/>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3815"/>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3F78"/>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137"/>
    <w:rsid w:val="00BF4532"/>
    <w:rsid w:val="00BF47B5"/>
    <w:rsid w:val="00BF4B41"/>
    <w:rsid w:val="00BF4CB9"/>
    <w:rsid w:val="00BF4D0A"/>
    <w:rsid w:val="00BF52F5"/>
    <w:rsid w:val="00BF53B3"/>
    <w:rsid w:val="00BF5545"/>
    <w:rsid w:val="00BF5718"/>
    <w:rsid w:val="00BF5818"/>
    <w:rsid w:val="00BF586E"/>
    <w:rsid w:val="00BF5BD2"/>
    <w:rsid w:val="00BF6B6C"/>
    <w:rsid w:val="00BF776D"/>
    <w:rsid w:val="00BF7860"/>
    <w:rsid w:val="00BF7861"/>
    <w:rsid w:val="00BF7DFE"/>
    <w:rsid w:val="00C004AD"/>
    <w:rsid w:val="00C00785"/>
    <w:rsid w:val="00C013F5"/>
    <w:rsid w:val="00C019D1"/>
    <w:rsid w:val="00C01C42"/>
    <w:rsid w:val="00C01CAD"/>
    <w:rsid w:val="00C0209A"/>
    <w:rsid w:val="00C02877"/>
    <w:rsid w:val="00C02E95"/>
    <w:rsid w:val="00C037A6"/>
    <w:rsid w:val="00C03B9B"/>
    <w:rsid w:val="00C0451D"/>
    <w:rsid w:val="00C04BB0"/>
    <w:rsid w:val="00C04F00"/>
    <w:rsid w:val="00C05555"/>
    <w:rsid w:val="00C05EC1"/>
    <w:rsid w:val="00C063F0"/>
    <w:rsid w:val="00C07226"/>
    <w:rsid w:val="00C0731B"/>
    <w:rsid w:val="00C076C6"/>
    <w:rsid w:val="00C076F9"/>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487"/>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ADF"/>
    <w:rsid w:val="00C22BB3"/>
    <w:rsid w:val="00C2301D"/>
    <w:rsid w:val="00C23AC2"/>
    <w:rsid w:val="00C24057"/>
    <w:rsid w:val="00C24660"/>
    <w:rsid w:val="00C24BE2"/>
    <w:rsid w:val="00C24E37"/>
    <w:rsid w:val="00C25DD5"/>
    <w:rsid w:val="00C26212"/>
    <w:rsid w:val="00C264E6"/>
    <w:rsid w:val="00C26B2C"/>
    <w:rsid w:val="00C270E0"/>
    <w:rsid w:val="00C275C9"/>
    <w:rsid w:val="00C30D6A"/>
    <w:rsid w:val="00C3107C"/>
    <w:rsid w:val="00C31230"/>
    <w:rsid w:val="00C31258"/>
    <w:rsid w:val="00C32643"/>
    <w:rsid w:val="00C337BB"/>
    <w:rsid w:val="00C33A05"/>
    <w:rsid w:val="00C33A86"/>
    <w:rsid w:val="00C33ADF"/>
    <w:rsid w:val="00C341B7"/>
    <w:rsid w:val="00C34BE3"/>
    <w:rsid w:val="00C34E89"/>
    <w:rsid w:val="00C356D4"/>
    <w:rsid w:val="00C358C4"/>
    <w:rsid w:val="00C36570"/>
    <w:rsid w:val="00C36E04"/>
    <w:rsid w:val="00C37C99"/>
    <w:rsid w:val="00C409F1"/>
    <w:rsid w:val="00C40C85"/>
    <w:rsid w:val="00C40DBF"/>
    <w:rsid w:val="00C40EB3"/>
    <w:rsid w:val="00C4206C"/>
    <w:rsid w:val="00C422C0"/>
    <w:rsid w:val="00C42B83"/>
    <w:rsid w:val="00C44A9F"/>
    <w:rsid w:val="00C459F2"/>
    <w:rsid w:val="00C4634B"/>
    <w:rsid w:val="00C46966"/>
    <w:rsid w:val="00C46B38"/>
    <w:rsid w:val="00C46D44"/>
    <w:rsid w:val="00C46F57"/>
    <w:rsid w:val="00C4737E"/>
    <w:rsid w:val="00C47A0F"/>
    <w:rsid w:val="00C47B52"/>
    <w:rsid w:val="00C47F09"/>
    <w:rsid w:val="00C50627"/>
    <w:rsid w:val="00C50D7D"/>
    <w:rsid w:val="00C511AE"/>
    <w:rsid w:val="00C512D9"/>
    <w:rsid w:val="00C51546"/>
    <w:rsid w:val="00C51550"/>
    <w:rsid w:val="00C52D4E"/>
    <w:rsid w:val="00C52FAD"/>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5F2"/>
    <w:rsid w:val="00C6193F"/>
    <w:rsid w:val="00C61F80"/>
    <w:rsid w:val="00C62804"/>
    <w:rsid w:val="00C62E39"/>
    <w:rsid w:val="00C63E61"/>
    <w:rsid w:val="00C63FFE"/>
    <w:rsid w:val="00C64348"/>
    <w:rsid w:val="00C643AF"/>
    <w:rsid w:val="00C644F2"/>
    <w:rsid w:val="00C64817"/>
    <w:rsid w:val="00C6498D"/>
    <w:rsid w:val="00C64CFE"/>
    <w:rsid w:val="00C6553B"/>
    <w:rsid w:val="00C65A2C"/>
    <w:rsid w:val="00C65AA6"/>
    <w:rsid w:val="00C65AF9"/>
    <w:rsid w:val="00C65D5F"/>
    <w:rsid w:val="00C65ED5"/>
    <w:rsid w:val="00C65FCF"/>
    <w:rsid w:val="00C67499"/>
    <w:rsid w:val="00C67A73"/>
    <w:rsid w:val="00C70423"/>
    <w:rsid w:val="00C711F2"/>
    <w:rsid w:val="00C71209"/>
    <w:rsid w:val="00C71C64"/>
    <w:rsid w:val="00C71FCC"/>
    <w:rsid w:val="00C726C2"/>
    <w:rsid w:val="00C726F5"/>
    <w:rsid w:val="00C72ACF"/>
    <w:rsid w:val="00C73889"/>
    <w:rsid w:val="00C74AA7"/>
    <w:rsid w:val="00C74C23"/>
    <w:rsid w:val="00C751AE"/>
    <w:rsid w:val="00C753B5"/>
    <w:rsid w:val="00C75A3B"/>
    <w:rsid w:val="00C760ED"/>
    <w:rsid w:val="00C76EEF"/>
    <w:rsid w:val="00C77151"/>
    <w:rsid w:val="00C77199"/>
    <w:rsid w:val="00C80BC6"/>
    <w:rsid w:val="00C80C2B"/>
    <w:rsid w:val="00C81255"/>
    <w:rsid w:val="00C8176A"/>
    <w:rsid w:val="00C82689"/>
    <w:rsid w:val="00C82C05"/>
    <w:rsid w:val="00C8322E"/>
    <w:rsid w:val="00C855C7"/>
    <w:rsid w:val="00C8600E"/>
    <w:rsid w:val="00C86077"/>
    <w:rsid w:val="00C8647F"/>
    <w:rsid w:val="00C86C21"/>
    <w:rsid w:val="00C87313"/>
    <w:rsid w:val="00C874D1"/>
    <w:rsid w:val="00C87881"/>
    <w:rsid w:val="00C87FE6"/>
    <w:rsid w:val="00C90019"/>
    <w:rsid w:val="00C906B4"/>
    <w:rsid w:val="00C906E0"/>
    <w:rsid w:val="00C9074D"/>
    <w:rsid w:val="00C90C9E"/>
    <w:rsid w:val="00C91779"/>
    <w:rsid w:val="00C91DB1"/>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6EE9"/>
    <w:rsid w:val="00C970A8"/>
    <w:rsid w:val="00C9742A"/>
    <w:rsid w:val="00C976AD"/>
    <w:rsid w:val="00C977D7"/>
    <w:rsid w:val="00C979D5"/>
    <w:rsid w:val="00C97A9D"/>
    <w:rsid w:val="00C97AF3"/>
    <w:rsid w:val="00C97F1F"/>
    <w:rsid w:val="00C97F97"/>
    <w:rsid w:val="00CA0E6C"/>
    <w:rsid w:val="00CA169E"/>
    <w:rsid w:val="00CA1A82"/>
    <w:rsid w:val="00CA1EA6"/>
    <w:rsid w:val="00CA1F03"/>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1A4"/>
    <w:rsid w:val="00CB026A"/>
    <w:rsid w:val="00CB0B2C"/>
    <w:rsid w:val="00CB17A6"/>
    <w:rsid w:val="00CB22FC"/>
    <w:rsid w:val="00CB24F2"/>
    <w:rsid w:val="00CB29BE"/>
    <w:rsid w:val="00CB33CF"/>
    <w:rsid w:val="00CB3707"/>
    <w:rsid w:val="00CB4889"/>
    <w:rsid w:val="00CB534A"/>
    <w:rsid w:val="00CB594C"/>
    <w:rsid w:val="00CB680D"/>
    <w:rsid w:val="00CB6C9B"/>
    <w:rsid w:val="00CB74DB"/>
    <w:rsid w:val="00CC185E"/>
    <w:rsid w:val="00CC1F92"/>
    <w:rsid w:val="00CC266E"/>
    <w:rsid w:val="00CC29D9"/>
    <w:rsid w:val="00CC2D9F"/>
    <w:rsid w:val="00CC2DFE"/>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298C"/>
    <w:rsid w:val="00CD344E"/>
    <w:rsid w:val="00CD385C"/>
    <w:rsid w:val="00CD391D"/>
    <w:rsid w:val="00CD52A1"/>
    <w:rsid w:val="00CD655F"/>
    <w:rsid w:val="00CD6A64"/>
    <w:rsid w:val="00CD6C7C"/>
    <w:rsid w:val="00CD78D4"/>
    <w:rsid w:val="00CE0A3A"/>
    <w:rsid w:val="00CE16DE"/>
    <w:rsid w:val="00CE17B3"/>
    <w:rsid w:val="00CE1A4A"/>
    <w:rsid w:val="00CE1CD7"/>
    <w:rsid w:val="00CE1E25"/>
    <w:rsid w:val="00CE25FD"/>
    <w:rsid w:val="00CE2626"/>
    <w:rsid w:val="00CE321C"/>
    <w:rsid w:val="00CE390F"/>
    <w:rsid w:val="00CE3D8C"/>
    <w:rsid w:val="00CE460F"/>
    <w:rsid w:val="00CE4A22"/>
    <w:rsid w:val="00CE4B11"/>
    <w:rsid w:val="00CE4D94"/>
    <w:rsid w:val="00CE4F71"/>
    <w:rsid w:val="00CE52B0"/>
    <w:rsid w:val="00CE5480"/>
    <w:rsid w:val="00CE5872"/>
    <w:rsid w:val="00CE5DE9"/>
    <w:rsid w:val="00CE5EB5"/>
    <w:rsid w:val="00CE6533"/>
    <w:rsid w:val="00CE674B"/>
    <w:rsid w:val="00CE6D13"/>
    <w:rsid w:val="00CE6E7E"/>
    <w:rsid w:val="00CE7669"/>
    <w:rsid w:val="00CE7FB6"/>
    <w:rsid w:val="00CF058A"/>
    <w:rsid w:val="00CF09CC"/>
    <w:rsid w:val="00CF0CC6"/>
    <w:rsid w:val="00CF1418"/>
    <w:rsid w:val="00CF1690"/>
    <w:rsid w:val="00CF16A1"/>
    <w:rsid w:val="00CF19E3"/>
    <w:rsid w:val="00CF1A8E"/>
    <w:rsid w:val="00CF1E61"/>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187F"/>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E0C"/>
    <w:rsid w:val="00D21F28"/>
    <w:rsid w:val="00D221F1"/>
    <w:rsid w:val="00D22789"/>
    <w:rsid w:val="00D232F4"/>
    <w:rsid w:val="00D236C8"/>
    <w:rsid w:val="00D237BA"/>
    <w:rsid w:val="00D23C14"/>
    <w:rsid w:val="00D247CD"/>
    <w:rsid w:val="00D24BE5"/>
    <w:rsid w:val="00D24FF6"/>
    <w:rsid w:val="00D25110"/>
    <w:rsid w:val="00D255D4"/>
    <w:rsid w:val="00D25960"/>
    <w:rsid w:val="00D25EBE"/>
    <w:rsid w:val="00D25FE1"/>
    <w:rsid w:val="00D26018"/>
    <w:rsid w:val="00D26BEE"/>
    <w:rsid w:val="00D27668"/>
    <w:rsid w:val="00D2776A"/>
    <w:rsid w:val="00D279F3"/>
    <w:rsid w:val="00D27C28"/>
    <w:rsid w:val="00D303CD"/>
    <w:rsid w:val="00D30BBC"/>
    <w:rsid w:val="00D30C6D"/>
    <w:rsid w:val="00D31F58"/>
    <w:rsid w:val="00D32617"/>
    <w:rsid w:val="00D32B45"/>
    <w:rsid w:val="00D32B82"/>
    <w:rsid w:val="00D32FC7"/>
    <w:rsid w:val="00D335FF"/>
    <w:rsid w:val="00D33685"/>
    <w:rsid w:val="00D3390C"/>
    <w:rsid w:val="00D33FE3"/>
    <w:rsid w:val="00D34810"/>
    <w:rsid w:val="00D349BB"/>
    <w:rsid w:val="00D34F83"/>
    <w:rsid w:val="00D3512E"/>
    <w:rsid w:val="00D35C92"/>
    <w:rsid w:val="00D36E79"/>
    <w:rsid w:val="00D377E5"/>
    <w:rsid w:val="00D41397"/>
    <w:rsid w:val="00D41AAF"/>
    <w:rsid w:val="00D4211D"/>
    <w:rsid w:val="00D4233C"/>
    <w:rsid w:val="00D43140"/>
    <w:rsid w:val="00D432CB"/>
    <w:rsid w:val="00D437A4"/>
    <w:rsid w:val="00D443DF"/>
    <w:rsid w:val="00D4472E"/>
    <w:rsid w:val="00D449D0"/>
    <w:rsid w:val="00D44BA8"/>
    <w:rsid w:val="00D45CFE"/>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5E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196B"/>
    <w:rsid w:val="00D727ED"/>
    <w:rsid w:val="00D72AF8"/>
    <w:rsid w:val="00D7336C"/>
    <w:rsid w:val="00D73533"/>
    <w:rsid w:val="00D736E8"/>
    <w:rsid w:val="00D73709"/>
    <w:rsid w:val="00D743FF"/>
    <w:rsid w:val="00D7489A"/>
    <w:rsid w:val="00D74C4E"/>
    <w:rsid w:val="00D74E9A"/>
    <w:rsid w:val="00D75306"/>
    <w:rsid w:val="00D755FC"/>
    <w:rsid w:val="00D757A2"/>
    <w:rsid w:val="00D75D0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3C4F"/>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134"/>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6E2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A"/>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6EDB"/>
    <w:rsid w:val="00DC706C"/>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31F4"/>
    <w:rsid w:val="00DD401B"/>
    <w:rsid w:val="00DD4E10"/>
    <w:rsid w:val="00DD588D"/>
    <w:rsid w:val="00DD65EA"/>
    <w:rsid w:val="00DD66A7"/>
    <w:rsid w:val="00DD66AF"/>
    <w:rsid w:val="00DD6E9F"/>
    <w:rsid w:val="00DD6FB4"/>
    <w:rsid w:val="00DE05C8"/>
    <w:rsid w:val="00DE0F4C"/>
    <w:rsid w:val="00DE1418"/>
    <w:rsid w:val="00DE176B"/>
    <w:rsid w:val="00DE1B7C"/>
    <w:rsid w:val="00DE1CC2"/>
    <w:rsid w:val="00DE22CA"/>
    <w:rsid w:val="00DE2D2D"/>
    <w:rsid w:val="00DE32FC"/>
    <w:rsid w:val="00DE51B5"/>
    <w:rsid w:val="00DE592E"/>
    <w:rsid w:val="00DE5B82"/>
    <w:rsid w:val="00DE5DB3"/>
    <w:rsid w:val="00DE5EC9"/>
    <w:rsid w:val="00DE60DB"/>
    <w:rsid w:val="00DE6181"/>
    <w:rsid w:val="00DE64D2"/>
    <w:rsid w:val="00DE674C"/>
    <w:rsid w:val="00DE6AF7"/>
    <w:rsid w:val="00DE7361"/>
    <w:rsid w:val="00DF041D"/>
    <w:rsid w:val="00DF0E07"/>
    <w:rsid w:val="00DF0F34"/>
    <w:rsid w:val="00DF148E"/>
    <w:rsid w:val="00DF1F3D"/>
    <w:rsid w:val="00DF236A"/>
    <w:rsid w:val="00DF2E2A"/>
    <w:rsid w:val="00DF317E"/>
    <w:rsid w:val="00DF34B5"/>
    <w:rsid w:val="00DF4653"/>
    <w:rsid w:val="00DF47F0"/>
    <w:rsid w:val="00DF4A94"/>
    <w:rsid w:val="00DF52B9"/>
    <w:rsid w:val="00DF531A"/>
    <w:rsid w:val="00DF5817"/>
    <w:rsid w:val="00DF5930"/>
    <w:rsid w:val="00DF5D00"/>
    <w:rsid w:val="00DF656F"/>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677"/>
    <w:rsid w:val="00E0673F"/>
    <w:rsid w:val="00E07161"/>
    <w:rsid w:val="00E07218"/>
    <w:rsid w:val="00E07FA4"/>
    <w:rsid w:val="00E1002C"/>
    <w:rsid w:val="00E100DE"/>
    <w:rsid w:val="00E10A93"/>
    <w:rsid w:val="00E10AC9"/>
    <w:rsid w:val="00E10E53"/>
    <w:rsid w:val="00E113A0"/>
    <w:rsid w:val="00E11EC6"/>
    <w:rsid w:val="00E126FA"/>
    <w:rsid w:val="00E12C24"/>
    <w:rsid w:val="00E12D7B"/>
    <w:rsid w:val="00E134F8"/>
    <w:rsid w:val="00E13CD3"/>
    <w:rsid w:val="00E14518"/>
    <w:rsid w:val="00E14FAC"/>
    <w:rsid w:val="00E15037"/>
    <w:rsid w:val="00E1575C"/>
    <w:rsid w:val="00E157FD"/>
    <w:rsid w:val="00E15D9B"/>
    <w:rsid w:val="00E16D73"/>
    <w:rsid w:val="00E17ACE"/>
    <w:rsid w:val="00E17B85"/>
    <w:rsid w:val="00E17E3C"/>
    <w:rsid w:val="00E20B5C"/>
    <w:rsid w:val="00E20B5F"/>
    <w:rsid w:val="00E20EF7"/>
    <w:rsid w:val="00E21CFE"/>
    <w:rsid w:val="00E21FD4"/>
    <w:rsid w:val="00E22FDB"/>
    <w:rsid w:val="00E23B98"/>
    <w:rsid w:val="00E23F4F"/>
    <w:rsid w:val="00E245C8"/>
    <w:rsid w:val="00E24620"/>
    <w:rsid w:val="00E2462D"/>
    <w:rsid w:val="00E25789"/>
    <w:rsid w:val="00E2656A"/>
    <w:rsid w:val="00E26E10"/>
    <w:rsid w:val="00E27222"/>
    <w:rsid w:val="00E279B5"/>
    <w:rsid w:val="00E307F8"/>
    <w:rsid w:val="00E30B81"/>
    <w:rsid w:val="00E3138F"/>
    <w:rsid w:val="00E32145"/>
    <w:rsid w:val="00E32509"/>
    <w:rsid w:val="00E325C4"/>
    <w:rsid w:val="00E32EF8"/>
    <w:rsid w:val="00E33565"/>
    <w:rsid w:val="00E33DDB"/>
    <w:rsid w:val="00E33F9C"/>
    <w:rsid w:val="00E33FF1"/>
    <w:rsid w:val="00E345A3"/>
    <w:rsid w:val="00E347B6"/>
    <w:rsid w:val="00E349D8"/>
    <w:rsid w:val="00E35078"/>
    <w:rsid w:val="00E3649D"/>
    <w:rsid w:val="00E3741C"/>
    <w:rsid w:val="00E374C7"/>
    <w:rsid w:val="00E375AD"/>
    <w:rsid w:val="00E400D9"/>
    <w:rsid w:val="00E4068E"/>
    <w:rsid w:val="00E4097C"/>
    <w:rsid w:val="00E40E6A"/>
    <w:rsid w:val="00E4146D"/>
    <w:rsid w:val="00E421A1"/>
    <w:rsid w:val="00E42338"/>
    <w:rsid w:val="00E427C7"/>
    <w:rsid w:val="00E4305A"/>
    <w:rsid w:val="00E4348F"/>
    <w:rsid w:val="00E43ECC"/>
    <w:rsid w:val="00E44431"/>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0B8C"/>
    <w:rsid w:val="00E51EF5"/>
    <w:rsid w:val="00E5230D"/>
    <w:rsid w:val="00E5330B"/>
    <w:rsid w:val="00E53445"/>
    <w:rsid w:val="00E53A11"/>
    <w:rsid w:val="00E5410D"/>
    <w:rsid w:val="00E54FCF"/>
    <w:rsid w:val="00E55247"/>
    <w:rsid w:val="00E55375"/>
    <w:rsid w:val="00E55705"/>
    <w:rsid w:val="00E55B76"/>
    <w:rsid w:val="00E561E6"/>
    <w:rsid w:val="00E5642B"/>
    <w:rsid w:val="00E564DE"/>
    <w:rsid w:val="00E56756"/>
    <w:rsid w:val="00E56798"/>
    <w:rsid w:val="00E56E39"/>
    <w:rsid w:val="00E570DD"/>
    <w:rsid w:val="00E57625"/>
    <w:rsid w:val="00E57B65"/>
    <w:rsid w:val="00E57D48"/>
    <w:rsid w:val="00E60523"/>
    <w:rsid w:val="00E60D5E"/>
    <w:rsid w:val="00E60EED"/>
    <w:rsid w:val="00E610CF"/>
    <w:rsid w:val="00E6136A"/>
    <w:rsid w:val="00E61443"/>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2BA"/>
    <w:rsid w:val="00E71AF4"/>
    <w:rsid w:val="00E71EDA"/>
    <w:rsid w:val="00E71F0B"/>
    <w:rsid w:val="00E726FE"/>
    <w:rsid w:val="00E72F63"/>
    <w:rsid w:val="00E73B25"/>
    <w:rsid w:val="00E74353"/>
    <w:rsid w:val="00E74787"/>
    <w:rsid w:val="00E74E5F"/>
    <w:rsid w:val="00E750DA"/>
    <w:rsid w:val="00E75B53"/>
    <w:rsid w:val="00E75DE0"/>
    <w:rsid w:val="00E7682E"/>
    <w:rsid w:val="00E769DA"/>
    <w:rsid w:val="00E76F22"/>
    <w:rsid w:val="00E7715E"/>
    <w:rsid w:val="00E7779A"/>
    <w:rsid w:val="00E77E5C"/>
    <w:rsid w:val="00E77F90"/>
    <w:rsid w:val="00E80358"/>
    <w:rsid w:val="00E808FC"/>
    <w:rsid w:val="00E80A4E"/>
    <w:rsid w:val="00E80D27"/>
    <w:rsid w:val="00E817C8"/>
    <w:rsid w:val="00E823A1"/>
    <w:rsid w:val="00E82B49"/>
    <w:rsid w:val="00E83183"/>
    <w:rsid w:val="00E833C7"/>
    <w:rsid w:val="00E838CC"/>
    <w:rsid w:val="00E838D1"/>
    <w:rsid w:val="00E8395C"/>
    <w:rsid w:val="00E83DC3"/>
    <w:rsid w:val="00E83F68"/>
    <w:rsid w:val="00E84286"/>
    <w:rsid w:val="00E8470E"/>
    <w:rsid w:val="00E8493D"/>
    <w:rsid w:val="00E84B10"/>
    <w:rsid w:val="00E84D70"/>
    <w:rsid w:val="00E84DD3"/>
    <w:rsid w:val="00E862FA"/>
    <w:rsid w:val="00E868E2"/>
    <w:rsid w:val="00E86B78"/>
    <w:rsid w:val="00E86FC5"/>
    <w:rsid w:val="00E87091"/>
    <w:rsid w:val="00E8713D"/>
    <w:rsid w:val="00E879C6"/>
    <w:rsid w:val="00E87D1C"/>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2A6"/>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32A"/>
    <w:rsid w:val="00EB69A2"/>
    <w:rsid w:val="00EB7237"/>
    <w:rsid w:val="00EB76D6"/>
    <w:rsid w:val="00EC08D6"/>
    <w:rsid w:val="00EC0D63"/>
    <w:rsid w:val="00EC1393"/>
    <w:rsid w:val="00EC16ED"/>
    <w:rsid w:val="00EC1924"/>
    <w:rsid w:val="00EC2038"/>
    <w:rsid w:val="00EC2765"/>
    <w:rsid w:val="00EC3A33"/>
    <w:rsid w:val="00EC3EB8"/>
    <w:rsid w:val="00EC4051"/>
    <w:rsid w:val="00EC410E"/>
    <w:rsid w:val="00EC46A5"/>
    <w:rsid w:val="00EC4FC4"/>
    <w:rsid w:val="00EC5391"/>
    <w:rsid w:val="00EC55AC"/>
    <w:rsid w:val="00EC57A3"/>
    <w:rsid w:val="00EC5D77"/>
    <w:rsid w:val="00EC7449"/>
    <w:rsid w:val="00EC79B1"/>
    <w:rsid w:val="00EC79DF"/>
    <w:rsid w:val="00EC7AEA"/>
    <w:rsid w:val="00EC7D77"/>
    <w:rsid w:val="00ED0A4B"/>
    <w:rsid w:val="00ED1288"/>
    <w:rsid w:val="00ED129D"/>
    <w:rsid w:val="00ED18EF"/>
    <w:rsid w:val="00ED19BF"/>
    <w:rsid w:val="00ED2416"/>
    <w:rsid w:val="00ED253F"/>
    <w:rsid w:val="00ED2C07"/>
    <w:rsid w:val="00ED2F08"/>
    <w:rsid w:val="00ED31F5"/>
    <w:rsid w:val="00ED394C"/>
    <w:rsid w:val="00ED3FDA"/>
    <w:rsid w:val="00ED5079"/>
    <w:rsid w:val="00ED5465"/>
    <w:rsid w:val="00ED550C"/>
    <w:rsid w:val="00ED61B3"/>
    <w:rsid w:val="00ED6374"/>
    <w:rsid w:val="00ED6693"/>
    <w:rsid w:val="00ED6ED2"/>
    <w:rsid w:val="00ED6FA1"/>
    <w:rsid w:val="00ED7087"/>
    <w:rsid w:val="00ED79A8"/>
    <w:rsid w:val="00ED7B8F"/>
    <w:rsid w:val="00EE04EC"/>
    <w:rsid w:val="00EE0571"/>
    <w:rsid w:val="00EE09C3"/>
    <w:rsid w:val="00EE0A46"/>
    <w:rsid w:val="00EE0C5F"/>
    <w:rsid w:val="00EE0CBF"/>
    <w:rsid w:val="00EE0D86"/>
    <w:rsid w:val="00EE3636"/>
    <w:rsid w:val="00EE363D"/>
    <w:rsid w:val="00EE3752"/>
    <w:rsid w:val="00EE4B6E"/>
    <w:rsid w:val="00EE4BBB"/>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088"/>
    <w:rsid w:val="00EF74FF"/>
    <w:rsid w:val="00EF7CF7"/>
    <w:rsid w:val="00EF7D0F"/>
    <w:rsid w:val="00F0075F"/>
    <w:rsid w:val="00F0076F"/>
    <w:rsid w:val="00F00B97"/>
    <w:rsid w:val="00F00BE2"/>
    <w:rsid w:val="00F01332"/>
    <w:rsid w:val="00F01BA4"/>
    <w:rsid w:val="00F01C96"/>
    <w:rsid w:val="00F0258A"/>
    <w:rsid w:val="00F026B5"/>
    <w:rsid w:val="00F026BD"/>
    <w:rsid w:val="00F02757"/>
    <w:rsid w:val="00F02D19"/>
    <w:rsid w:val="00F02F26"/>
    <w:rsid w:val="00F03E59"/>
    <w:rsid w:val="00F04711"/>
    <w:rsid w:val="00F0482D"/>
    <w:rsid w:val="00F0489F"/>
    <w:rsid w:val="00F04DA3"/>
    <w:rsid w:val="00F05067"/>
    <w:rsid w:val="00F05A7E"/>
    <w:rsid w:val="00F05B7A"/>
    <w:rsid w:val="00F06F72"/>
    <w:rsid w:val="00F07178"/>
    <w:rsid w:val="00F07496"/>
    <w:rsid w:val="00F07B5E"/>
    <w:rsid w:val="00F07B99"/>
    <w:rsid w:val="00F106C4"/>
    <w:rsid w:val="00F10BA5"/>
    <w:rsid w:val="00F10E4A"/>
    <w:rsid w:val="00F111ED"/>
    <w:rsid w:val="00F11371"/>
    <w:rsid w:val="00F118BA"/>
    <w:rsid w:val="00F12268"/>
    <w:rsid w:val="00F122A0"/>
    <w:rsid w:val="00F1231F"/>
    <w:rsid w:val="00F12C55"/>
    <w:rsid w:val="00F12C98"/>
    <w:rsid w:val="00F12D03"/>
    <w:rsid w:val="00F12DA7"/>
    <w:rsid w:val="00F12E56"/>
    <w:rsid w:val="00F12E82"/>
    <w:rsid w:val="00F131AE"/>
    <w:rsid w:val="00F138E4"/>
    <w:rsid w:val="00F1425F"/>
    <w:rsid w:val="00F14325"/>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2F3"/>
    <w:rsid w:val="00F22393"/>
    <w:rsid w:val="00F225A5"/>
    <w:rsid w:val="00F23375"/>
    <w:rsid w:val="00F23B68"/>
    <w:rsid w:val="00F25376"/>
    <w:rsid w:val="00F25FBD"/>
    <w:rsid w:val="00F261B4"/>
    <w:rsid w:val="00F2647A"/>
    <w:rsid w:val="00F26544"/>
    <w:rsid w:val="00F26C6F"/>
    <w:rsid w:val="00F26D7B"/>
    <w:rsid w:val="00F26E42"/>
    <w:rsid w:val="00F2776F"/>
    <w:rsid w:val="00F27DAF"/>
    <w:rsid w:val="00F30800"/>
    <w:rsid w:val="00F31117"/>
    <w:rsid w:val="00F3326B"/>
    <w:rsid w:val="00F33C2F"/>
    <w:rsid w:val="00F3434F"/>
    <w:rsid w:val="00F34536"/>
    <w:rsid w:val="00F345DF"/>
    <w:rsid w:val="00F34D95"/>
    <w:rsid w:val="00F3543E"/>
    <w:rsid w:val="00F3591B"/>
    <w:rsid w:val="00F36036"/>
    <w:rsid w:val="00F36396"/>
    <w:rsid w:val="00F37886"/>
    <w:rsid w:val="00F37D27"/>
    <w:rsid w:val="00F402E6"/>
    <w:rsid w:val="00F409C6"/>
    <w:rsid w:val="00F40B5C"/>
    <w:rsid w:val="00F40DD6"/>
    <w:rsid w:val="00F41D48"/>
    <w:rsid w:val="00F428C3"/>
    <w:rsid w:val="00F42DBC"/>
    <w:rsid w:val="00F42F44"/>
    <w:rsid w:val="00F438FB"/>
    <w:rsid w:val="00F45F59"/>
    <w:rsid w:val="00F4606D"/>
    <w:rsid w:val="00F46C1D"/>
    <w:rsid w:val="00F46C54"/>
    <w:rsid w:val="00F46EBE"/>
    <w:rsid w:val="00F4701F"/>
    <w:rsid w:val="00F474B7"/>
    <w:rsid w:val="00F47EEC"/>
    <w:rsid w:val="00F47F89"/>
    <w:rsid w:val="00F5026D"/>
    <w:rsid w:val="00F513FC"/>
    <w:rsid w:val="00F517F7"/>
    <w:rsid w:val="00F51821"/>
    <w:rsid w:val="00F5215D"/>
    <w:rsid w:val="00F52B01"/>
    <w:rsid w:val="00F53994"/>
    <w:rsid w:val="00F53AD9"/>
    <w:rsid w:val="00F5454C"/>
    <w:rsid w:val="00F54AD8"/>
    <w:rsid w:val="00F552CE"/>
    <w:rsid w:val="00F5575B"/>
    <w:rsid w:val="00F55941"/>
    <w:rsid w:val="00F55F02"/>
    <w:rsid w:val="00F56F2F"/>
    <w:rsid w:val="00F57481"/>
    <w:rsid w:val="00F57D6E"/>
    <w:rsid w:val="00F60124"/>
    <w:rsid w:val="00F60C1A"/>
    <w:rsid w:val="00F61393"/>
    <w:rsid w:val="00F615E2"/>
    <w:rsid w:val="00F61AA4"/>
    <w:rsid w:val="00F628B3"/>
    <w:rsid w:val="00F639F2"/>
    <w:rsid w:val="00F63E96"/>
    <w:rsid w:val="00F63FD0"/>
    <w:rsid w:val="00F64756"/>
    <w:rsid w:val="00F6518B"/>
    <w:rsid w:val="00F6561E"/>
    <w:rsid w:val="00F65995"/>
    <w:rsid w:val="00F65AD1"/>
    <w:rsid w:val="00F65BBA"/>
    <w:rsid w:val="00F66EA6"/>
    <w:rsid w:val="00F66F0C"/>
    <w:rsid w:val="00F679B4"/>
    <w:rsid w:val="00F67FB4"/>
    <w:rsid w:val="00F7038A"/>
    <w:rsid w:val="00F7143B"/>
    <w:rsid w:val="00F71C5A"/>
    <w:rsid w:val="00F72DE0"/>
    <w:rsid w:val="00F734C8"/>
    <w:rsid w:val="00F736B4"/>
    <w:rsid w:val="00F73703"/>
    <w:rsid w:val="00F7383E"/>
    <w:rsid w:val="00F739AE"/>
    <w:rsid w:val="00F73FDA"/>
    <w:rsid w:val="00F73FF7"/>
    <w:rsid w:val="00F7415D"/>
    <w:rsid w:val="00F741FD"/>
    <w:rsid w:val="00F7470F"/>
    <w:rsid w:val="00F74A9C"/>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6F9F"/>
    <w:rsid w:val="00F86FEE"/>
    <w:rsid w:val="00F87105"/>
    <w:rsid w:val="00F8729C"/>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2EE"/>
    <w:rsid w:val="00F933BF"/>
    <w:rsid w:val="00F938B8"/>
    <w:rsid w:val="00F93933"/>
    <w:rsid w:val="00F93B01"/>
    <w:rsid w:val="00F93FD8"/>
    <w:rsid w:val="00F93FE0"/>
    <w:rsid w:val="00F941BF"/>
    <w:rsid w:val="00F94807"/>
    <w:rsid w:val="00F94C34"/>
    <w:rsid w:val="00F95491"/>
    <w:rsid w:val="00F959BF"/>
    <w:rsid w:val="00F95BA6"/>
    <w:rsid w:val="00F95EB0"/>
    <w:rsid w:val="00F960D0"/>
    <w:rsid w:val="00F96309"/>
    <w:rsid w:val="00F96C2E"/>
    <w:rsid w:val="00F97452"/>
    <w:rsid w:val="00F976F8"/>
    <w:rsid w:val="00F97F3A"/>
    <w:rsid w:val="00FA0A73"/>
    <w:rsid w:val="00FA0DD7"/>
    <w:rsid w:val="00FA0F6A"/>
    <w:rsid w:val="00FA10DC"/>
    <w:rsid w:val="00FA1349"/>
    <w:rsid w:val="00FA168B"/>
    <w:rsid w:val="00FA1BAE"/>
    <w:rsid w:val="00FA373F"/>
    <w:rsid w:val="00FA4017"/>
    <w:rsid w:val="00FA4EA3"/>
    <w:rsid w:val="00FA5565"/>
    <w:rsid w:val="00FA59B8"/>
    <w:rsid w:val="00FA5D53"/>
    <w:rsid w:val="00FA62BD"/>
    <w:rsid w:val="00FA6808"/>
    <w:rsid w:val="00FA6F66"/>
    <w:rsid w:val="00FA6FCB"/>
    <w:rsid w:val="00FA74D4"/>
    <w:rsid w:val="00FA7558"/>
    <w:rsid w:val="00FA79D1"/>
    <w:rsid w:val="00FA7B25"/>
    <w:rsid w:val="00FA7F89"/>
    <w:rsid w:val="00FB00AF"/>
    <w:rsid w:val="00FB048D"/>
    <w:rsid w:val="00FB19F8"/>
    <w:rsid w:val="00FB1A55"/>
    <w:rsid w:val="00FB1E1D"/>
    <w:rsid w:val="00FB1E27"/>
    <w:rsid w:val="00FB2186"/>
    <w:rsid w:val="00FB2A4E"/>
    <w:rsid w:val="00FB2E6C"/>
    <w:rsid w:val="00FB3149"/>
    <w:rsid w:val="00FB32C0"/>
    <w:rsid w:val="00FB3D4C"/>
    <w:rsid w:val="00FB3F62"/>
    <w:rsid w:val="00FB40B4"/>
    <w:rsid w:val="00FB45DA"/>
    <w:rsid w:val="00FB49B6"/>
    <w:rsid w:val="00FB49E5"/>
    <w:rsid w:val="00FB4C8D"/>
    <w:rsid w:val="00FB4F31"/>
    <w:rsid w:val="00FB4FD0"/>
    <w:rsid w:val="00FB53AB"/>
    <w:rsid w:val="00FB5C03"/>
    <w:rsid w:val="00FB5D7C"/>
    <w:rsid w:val="00FB5F35"/>
    <w:rsid w:val="00FB6217"/>
    <w:rsid w:val="00FB6728"/>
    <w:rsid w:val="00FB6D44"/>
    <w:rsid w:val="00FB70CC"/>
    <w:rsid w:val="00FB72D5"/>
    <w:rsid w:val="00FC00B2"/>
    <w:rsid w:val="00FC0387"/>
    <w:rsid w:val="00FC05DF"/>
    <w:rsid w:val="00FC0869"/>
    <w:rsid w:val="00FC0FC1"/>
    <w:rsid w:val="00FC17C7"/>
    <w:rsid w:val="00FC2257"/>
    <w:rsid w:val="00FC2304"/>
    <w:rsid w:val="00FC2408"/>
    <w:rsid w:val="00FC25EA"/>
    <w:rsid w:val="00FC3936"/>
    <w:rsid w:val="00FC3BD2"/>
    <w:rsid w:val="00FC3E4E"/>
    <w:rsid w:val="00FC4212"/>
    <w:rsid w:val="00FC4C0F"/>
    <w:rsid w:val="00FC529A"/>
    <w:rsid w:val="00FC5607"/>
    <w:rsid w:val="00FC67C5"/>
    <w:rsid w:val="00FC6A71"/>
    <w:rsid w:val="00FC7489"/>
    <w:rsid w:val="00FC79A0"/>
    <w:rsid w:val="00FC7F2A"/>
    <w:rsid w:val="00FD0765"/>
    <w:rsid w:val="00FD0875"/>
    <w:rsid w:val="00FD0A40"/>
    <w:rsid w:val="00FD0C56"/>
    <w:rsid w:val="00FD147D"/>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4F6"/>
    <w:rsid w:val="00FF0810"/>
    <w:rsid w:val="00FF0AD1"/>
    <w:rsid w:val="00FF128C"/>
    <w:rsid w:val="00FF161E"/>
    <w:rsid w:val="00FF2BEF"/>
    <w:rsid w:val="00FF2CE7"/>
    <w:rsid w:val="00FF324F"/>
    <w:rsid w:val="00FF3256"/>
    <w:rsid w:val="00FF38A6"/>
    <w:rsid w:val="00FF3A06"/>
    <w:rsid w:val="00FF3A2F"/>
    <w:rsid w:val="00FF3CE0"/>
    <w:rsid w:val="00FF3F1A"/>
    <w:rsid w:val="00FF488F"/>
    <w:rsid w:val="00FF4C3E"/>
    <w:rsid w:val="00FF4F8F"/>
    <w:rsid w:val="00FF5458"/>
    <w:rsid w:val="00FF5AD6"/>
    <w:rsid w:val="00FF60F4"/>
    <w:rsid w:val="00FF6276"/>
    <w:rsid w:val="00FF66EB"/>
    <w:rsid w:val="00FF7054"/>
    <w:rsid w:val="00FF7625"/>
    <w:rsid w:val="00FF7759"/>
    <w:rsid w:val="00FF7DD5"/>
    <w:rsid w:val="01021808"/>
    <w:rsid w:val="01064676"/>
    <w:rsid w:val="01137ECF"/>
    <w:rsid w:val="01191F36"/>
    <w:rsid w:val="01241D66"/>
    <w:rsid w:val="014A3244"/>
    <w:rsid w:val="01A51AFF"/>
    <w:rsid w:val="01B95421"/>
    <w:rsid w:val="01FA65AD"/>
    <w:rsid w:val="020B1354"/>
    <w:rsid w:val="021F4265"/>
    <w:rsid w:val="022D32CB"/>
    <w:rsid w:val="025A55E9"/>
    <w:rsid w:val="025D6B3C"/>
    <w:rsid w:val="029442A4"/>
    <w:rsid w:val="02A23766"/>
    <w:rsid w:val="02BC63B4"/>
    <w:rsid w:val="0317318F"/>
    <w:rsid w:val="034A0893"/>
    <w:rsid w:val="034D12D4"/>
    <w:rsid w:val="03522419"/>
    <w:rsid w:val="035C2662"/>
    <w:rsid w:val="03637FE7"/>
    <w:rsid w:val="0370466A"/>
    <w:rsid w:val="0376348B"/>
    <w:rsid w:val="0388663C"/>
    <w:rsid w:val="038E443C"/>
    <w:rsid w:val="03A32F32"/>
    <w:rsid w:val="03A97929"/>
    <w:rsid w:val="03C32A6F"/>
    <w:rsid w:val="03CE20DF"/>
    <w:rsid w:val="03D57B0C"/>
    <w:rsid w:val="03E531F1"/>
    <w:rsid w:val="03FB034A"/>
    <w:rsid w:val="040E0780"/>
    <w:rsid w:val="04504BAA"/>
    <w:rsid w:val="047A6254"/>
    <w:rsid w:val="04AC5D4F"/>
    <w:rsid w:val="04BE1034"/>
    <w:rsid w:val="04D0480D"/>
    <w:rsid w:val="04D34B21"/>
    <w:rsid w:val="04D81D11"/>
    <w:rsid w:val="04E142F5"/>
    <w:rsid w:val="04E366BD"/>
    <w:rsid w:val="04F10A9B"/>
    <w:rsid w:val="050E1D07"/>
    <w:rsid w:val="0515460A"/>
    <w:rsid w:val="052076F5"/>
    <w:rsid w:val="053F6840"/>
    <w:rsid w:val="05525152"/>
    <w:rsid w:val="055764B5"/>
    <w:rsid w:val="05656DAB"/>
    <w:rsid w:val="059874F0"/>
    <w:rsid w:val="059E0622"/>
    <w:rsid w:val="05CD1AD2"/>
    <w:rsid w:val="05D050F7"/>
    <w:rsid w:val="05E3348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6F4C31"/>
    <w:rsid w:val="079E0D8E"/>
    <w:rsid w:val="07A677DC"/>
    <w:rsid w:val="07CD7297"/>
    <w:rsid w:val="07E069DA"/>
    <w:rsid w:val="085C77EA"/>
    <w:rsid w:val="08684168"/>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0F48D1"/>
    <w:rsid w:val="0A2B31CA"/>
    <w:rsid w:val="0A534AFF"/>
    <w:rsid w:val="0A5A5EB7"/>
    <w:rsid w:val="0A6F3443"/>
    <w:rsid w:val="0AAE469B"/>
    <w:rsid w:val="0AB51B2D"/>
    <w:rsid w:val="0B104CB8"/>
    <w:rsid w:val="0B107D8C"/>
    <w:rsid w:val="0B154BBD"/>
    <w:rsid w:val="0B1F6566"/>
    <w:rsid w:val="0B325F44"/>
    <w:rsid w:val="0B471BC9"/>
    <w:rsid w:val="0B6866EB"/>
    <w:rsid w:val="0B7071B5"/>
    <w:rsid w:val="0B825EDB"/>
    <w:rsid w:val="0BB9777C"/>
    <w:rsid w:val="0BC9076D"/>
    <w:rsid w:val="0BCA3D41"/>
    <w:rsid w:val="0BCC1983"/>
    <w:rsid w:val="0BD848FB"/>
    <w:rsid w:val="0C2057FC"/>
    <w:rsid w:val="0C2D66FE"/>
    <w:rsid w:val="0C417392"/>
    <w:rsid w:val="0C567CA0"/>
    <w:rsid w:val="0C5E25D5"/>
    <w:rsid w:val="0C5E3191"/>
    <w:rsid w:val="0C616454"/>
    <w:rsid w:val="0C764AAB"/>
    <w:rsid w:val="0C7A707B"/>
    <w:rsid w:val="0C864E88"/>
    <w:rsid w:val="0C8C7B9F"/>
    <w:rsid w:val="0C9475E1"/>
    <w:rsid w:val="0CA62E5A"/>
    <w:rsid w:val="0CAE6912"/>
    <w:rsid w:val="0CAF01B1"/>
    <w:rsid w:val="0CB43017"/>
    <w:rsid w:val="0CD32AA0"/>
    <w:rsid w:val="0CE363A9"/>
    <w:rsid w:val="0CE41E67"/>
    <w:rsid w:val="0D17585D"/>
    <w:rsid w:val="0D3E33CC"/>
    <w:rsid w:val="0D57121E"/>
    <w:rsid w:val="0D5745CD"/>
    <w:rsid w:val="0D575B85"/>
    <w:rsid w:val="0D5E04FB"/>
    <w:rsid w:val="0D607B2A"/>
    <w:rsid w:val="0D7E21C9"/>
    <w:rsid w:val="0D885EF1"/>
    <w:rsid w:val="0D9376BC"/>
    <w:rsid w:val="0DA37C00"/>
    <w:rsid w:val="0DAF0AF5"/>
    <w:rsid w:val="0DC343D2"/>
    <w:rsid w:val="0DDF7C6E"/>
    <w:rsid w:val="0DF317F5"/>
    <w:rsid w:val="0DF626F7"/>
    <w:rsid w:val="0DF7405B"/>
    <w:rsid w:val="0DF96E8C"/>
    <w:rsid w:val="0E183F30"/>
    <w:rsid w:val="0E1C1B02"/>
    <w:rsid w:val="0E1D2CA7"/>
    <w:rsid w:val="0E2E2851"/>
    <w:rsid w:val="0E4571B4"/>
    <w:rsid w:val="0E513A96"/>
    <w:rsid w:val="0E63197E"/>
    <w:rsid w:val="0E6A0CB4"/>
    <w:rsid w:val="0E79874A"/>
    <w:rsid w:val="0E7F55DC"/>
    <w:rsid w:val="0E824CB1"/>
    <w:rsid w:val="0E893E01"/>
    <w:rsid w:val="0EEC37BE"/>
    <w:rsid w:val="0EF44B98"/>
    <w:rsid w:val="0F1555F1"/>
    <w:rsid w:val="0F22624D"/>
    <w:rsid w:val="0F2643D8"/>
    <w:rsid w:val="0F5A309E"/>
    <w:rsid w:val="0F7F0CB4"/>
    <w:rsid w:val="0F864AF8"/>
    <w:rsid w:val="0F891808"/>
    <w:rsid w:val="0FD05B7C"/>
    <w:rsid w:val="0FE26F7E"/>
    <w:rsid w:val="0FF86998"/>
    <w:rsid w:val="0FFB69DA"/>
    <w:rsid w:val="0FFF9E23"/>
    <w:rsid w:val="104D2298"/>
    <w:rsid w:val="10732690"/>
    <w:rsid w:val="108A3181"/>
    <w:rsid w:val="10933928"/>
    <w:rsid w:val="10E053CE"/>
    <w:rsid w:val="10EA5F4D"/>
    <w:rsid w:val="11437F75"/>
    <w:rsid w:val="115A4A6C"/>
    <w:rsid w:val="117A67CD"/>
    <w:rsid w:val="118A5482"/>
    <w:rsid w:val="11CB154F"/>
    <w:rsid w:val="11CE088E"/>
    <w:rsid w:val="11D57FF6"/>
    <w:rsid w:val="11EC0DBF"/>
    <w:rsid w:val="11EF5B10"/>
    <w:rsid w:val="12003074"/>
    <w:rsid w:val="12042B6A"/>
    <w:rsid w:val="120668A8"/>
    <w:rsid w:val="12124836"/>
    <w:rsid w:val="1274141C"/>
    <w:rsid w:val="1283653C"/>
    <w:rsid w:val="128D0ACD"/>
    <w:rsid w:val="12934B57"/>
    <w:rsid w:val="12A800CB"/>
    <w:rsid w:val="12AF0785"/>
    <w:rsid w:val="12B5001B"/>
    <w:rsid w:val="12B74C45"/>
    <w:rsid w:val="12B97E85"/>
    <w:rsid w:val="12DD05C9"/>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A93F80"/>
    <w:rsid w:val="14CD3D4D"/>
    <w:rsid w:val="14E145A4"/>
    <w:rsid w:val="14E20675"/>
    <w:rsid w:val="151D2E85"/>
    <w:rsid w:val="152315CE"/>
    <w:rsid w:val="153A298B"/>
    <w:rsid w:val="155C7174"/>
    <w:rsid w:val="15702ADB"/>
    <w:rsid w:val="157F4238"/>
    <w:rsid w:val="15942E62"/>
    <w:rsid w:val="159F4A92"/>
    <w:rsid w:val="15B8776F"/>
    <w:rsid w:val="15C80049"/>
    <w:rsid w:val="15DC403B"/>
    <w:rsid w:val="15FC4DAB"/>
    <w:rsid w:val="161F262E"/>
    <w:rsid w:val="16444AAD"/>
    <w:rsid w:val="164729D6"/>
    <w:rsid w:val="16623343"/>
    <w:rsid w:val="167639EE"/>
    <w:rsid w:val="16952AE1"/>
    <w:rsid w:val="16987D08"/>
    <w:rsid w:val="16B000D0"/>
    <w:rsid w:val="16C06700"/>
    <w:rsid w:val="16E558F6"/>
    <w:rsid w:val="16EC0D31"/>
    <w:rsid w:val="16F64A51"/>
    <w:rsid w:val="1703020F"/>
    <w:rsid w:val="1712563F"/>
    <w:rsid w:val="171728C0"/>
    <w:rsid w:val="1731377E"/>
    <w:rsid w:val="173B45EA"/>
    <w:rsid w:val="174A7E44"/>
    <w:rsid w:val="175824DC"/>
    <w:rsid w:val="17684F4D"/>
    <w:rsid w:val="177C00C0"/>
    <w:rsid w:val="17A02F74"/>
    <w:rsid w:val="17A64703"/>
    <w:rsid w:val="17AF94C5"/>
    <w:rsid w:val="17D426A8"/>
    <w:rsid w:val="17D430F8"/>
    <w:rsid w:val="17F10988"/>
    <w:rsid w:val="180F222F"/>
    <w:rsid w:val="18420450"/>
    <w:rsid w:val="184719C8"/>
    <w:rsid w:val="18932160"/>
    <w:rsid w:val="18AC5CCF"/>
    <w:rsid w:val="18B45502"/>
    <w:rsid w:val="1925275C"/>
    <w:rsid w:val="19325F66"/>
    <w:rsid w:val="195F03D1"/>
    <w:rsid w:val="19784F04"/>
    <w:rsid w:val="197B27AB"/>
    <w:rsid w:val="19853DFD"/>
    <w:rsid w:val="198B0A33"/>
    <w:rsid w:val="19A73E3E"/>
    <w:rsid w:val="19B377DB"/>
    <w:rsid w:val="19B63D32"/>
    <w:rsid w:val="1A03730E"/>
    <w:rsid w:val="1A143B33"/>
    <w:rsid w:val="1A2D49E8"/>
    <w:rsid w:val="1A2E4342"/>
    <w:rsid w:val="1A306299"/>
    <w:rsid w:val="1A3503C3"/>
    <w:rsid w:val="1A4E6FE1"/>
    <w:rsid w:val="1A627DE6"/>
    <w:rsid w:val="1A761976"/>
    <w:rsid w:val="1A7D4CCC"/>
    <w:rsid w:val="1A8E6CD5"/>
    <w:rsid w:val="1A9452B0"/>
    <w:rsid w:val="1A986C8A"/>
    <w:rsid w:val="1AB84712"/>
    <w:rsid w:val="1ACF3752"/>
    <w:rsid w:val="1AD86012"/>
    <w:rsid w:val="1AD9181C"/>
    <w:rsid w:val="1AE60D31"/>
    <w:rsid w:val="1AE9346B"/>
    <w:rsid w:val="1AED79C0"/>
    <w:rsid w:val="1B0537E4"/>
    <w:rsid w:val="1B2E771E"/>
    <w:rsid w:val="1B3E2362"/>
    <w:rsid w:val="1B476529"/>
    <w:rsid w:val="1B4E3302"/>
    <w:rsid w:val="1B6212E1"/>
    <w:rsid w:val="1B77204D"/>
    <w:rsid w:val="1B857BD8"/>
    <w:rsid w:val="1B8C1890"/>
    <w:rsid w:val="1B976D3F"/>
    <w:rsid w:val="1BBF2D87"/>
    <w:rsid w:val="1BC23A48"/>
    <w:rsid w:val="1BC349DE"/>
    <w:rsid w:val="1BF442EC"/>
    <w:rsid w:val="1C3F7FA6"/>
    <w:rsid w:val="1C492B76"/>
    <w:rsid w:val="1C747EF9"/>
    <w:rsid w:val="1C813E89"/>
    <w:rsid w:val="1C844B5B"/>
    <w:rsid w:val="1C86668C"/>
    <w:rsid w:val="1C8C6C33"/>
    <w:rsid w:val="1CC20B2B"/>
    <w:rsid w:val="1CC64637"/>
    <w:rsid w:val="1CCA25EF"/>
    <w:rsid w:val="1CCA789A"/>
    <w:rsid w:val="1CCC4A9D"/>
    <w:rsid w:val="1CD67896"/>
    <w:rsid w:val="1CE03735"/>
    <w:rsid w:val="1D0853B5"/>
    <w:rsid w:val="1D3348B9"/>
    <w:rsid w:val="1D6BA2A5"/>
    <w:rsid w:val="1D70483F"/>
    <w:rsid w:val="1D755250"/>
    <w:rsid w:val="1D760B5F"/>
    <w:rsid w:val="1D7736AA"/>
    <w:rsid w:val="1D7EDBAC"/>
    <w:rsid w:val="1DA55031"/>
    <w:rsid w:val="1DA90101"/>
    <w:rsid w:val="1DB72178"/>
    <w:rsid w:val="1DE33932"/>
    <w:rsid w:val="1DE547AB"/>
    <w:rsid w:val="1DEA3BDA"/>
    <w:rsid w:val="1DF1708C"/>
    <w:rsid w:val="1E1B3FC3"/>
    <w:rsid w:val="1E3D42AB"/>
    <w:rsid w:val="1E45337F"/>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7750CC"/>
    <w:rsid w:val="21822CFB"/>
    <w:rsid w:val="21D63963"/>
    <w:rsid w:val="21ED4624"/>
    <w:rsid w:val="22294218"/>
    <w:rsid w:val="22512901"/>
    <w:rsid w:val="2267492F"/>
    <w:rsid w:val="22A44447"/>
    <w:rsid w:val="22AC22D4"/>
    <w:rsid w:val="22B346F2"/>
    <w:rsid w:val="22D05B48"/>
    <w:rsid w:val="22E006EF"/>
    <w:rsid w:val="22F00A92"/>
    <w:rsid w:val="2301712C"/>
    <w:rsid w:val="23444268"/>
    <w:rsid w:val="23961D95"/>
    <w:rsid w:val="23B302CE"/>
    <w:rsid w:val="23D16EFC"/>
    <w:rsid w:val="23EF3232"/>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B85DB9"/>
    <w:rsid w:val="25C915FC"/>
    <w:rsid w:val="260874E8"/>
    <w:rsid w:val="26124ED4"/>
    <w:rsid w:val="2632366A"/>
    <w:rsid w:val="26333878"/>
    <w:rsid w:val="263537A8"/>
    <w:rsid w:val="264F5CE3"/>
    <w:rsid w:val="26520DBA"/>
    <w:rsid w:val="26595760"/>
    <w:rsid w:val="267E7E2B"/>
    <w:rsid w:val="26B613FF"/>
    <w:rsid w:val="26C62C95"/>
    <w:rsid w:val="26C848AF"/>
    <w:rsid w:val="26CE2A68"/>
    <w:rsid w:val="26D97433"/>
    <w:rsid w:val="271C5FE7"/>
    <w:rsid w:val="27315631"/>
    <w:rsid w:val="27380387"/>
    <w:rsid w:val="275C465E"/>
    <w:rsid w:val="278007E4"/>
    <w:rsid w:val="27992D3B"/>
    <w:rsid w:val="27A07774"/>
    <w:rsid w:val="27AA2CA3"/>
    <w:rsid w:val="27B01683"/>
    <w:rsid w:val="27B8211C"/>
    <w:rsid w:val="27C82253"/>
    <w:rsid w:val="27EC4E71"/>
    <w:rsid w:val="28247BB6"/>
    <w:rsid w:val="283E4B96"/>
    <w:rsid w:val="28933CCC"/>
    <w:rsid w:val="28AE7984"/>
    <w:rsid w:val="28C80D3F"/>
    <w:rsid w:val="28D96965"/>
    <w:rsid w:val="28DE3958"/>
    <w:rsid w:val="29055F95"/>
    <w:rsid w:val="29341888"/>
    <w:rsid w:val="2945508F"/>
    <w:rsid w:val="296740FF"/>
    <w:rsid w:val="29701219"/>
    <w:rsid w:val="298E09C9"/>
    <w:rsid w:val="299E2D9B"/>
    <w:rsid w:val="29B421E7"/>
    <w:rsid w:val="29BF5862"/>
    <w:rsid w:val="29DE1DBA"/>
    <w:rsid w:val="29FB3EBB"/>
    <w:rsid w:val="29FD2F6F"/>
    <w:rsid w:val="2A0A5C85"/>
    <w:rsid w:val="2A0F28F4"/>
    <w:rsid w:val="2A0F54AF"/>
    <w:rsid w:val="2A1D03C7"/>
    <w:rsid w:val="2A24301A"/>
    <w:rsid w:val="2A2E41C8"/>
    <w:rsid w:val="2A446D64"/>
    <w:rsid w:val="2A4F5FF4"/>
    <w:rsid w:val="2A8C02FC"/>
    <w:rsid w:val="2AC11AAE"/>
    <w:rsid w:val="2AC12DBF"/>
    <w:rsid w:val="2AEE531A"/>
    <w:rsid w:val="2AFB6893"/>
    <w:rsid w:val="2B1C66E6"/>
    <w:rsid w:val="2B22793F"/>
    <w:rsid w:val="2B2E77B1"/>
    <w:rsid w:val="2B3C5C6D"/>
    <w:rsid w:val="2B6C4470"/>
    <w:rsid w:val="2B7D5189"/>
    <w:rsid w:val="2B8F6C63"/>
    <w:rsid w:val="2BDE868F"/>
    <w:rsid w:val="2C05036B"/>
    <w:rsid w:val="2C091874"/>
    <w:rsid w:val="2C0C2E05"/>
    <w:rsid w:val="2C187F64"/>
    <w:rsid w:val="2C2A6F85"/>
    <w:rsid w:val="2C301EDF"/>
    <w:rsid w:val="2C363D63"/>
    <w:rsid w:val="2C4A7F5F"/>
    <w:rsid w:val="2C515B6D"/>
    <w:rsid w:val="2C5F0A97"/>
    <w:rsid w:val="2C854E4C"/>
    <w:rsid w:val="2C8A3639"/>
    <w:rsid w:val="2CA376BD"/>
    <w:rsid w:val="2CA8549C"/>
    <w:rsid w:val="2CB350D1"/>
    <w:rsid w:val="2CC35E7E"/>
    <w:rsid w:val="2CD63D6C"/>
    <w:rsid w:val="2CF748AA"/>
    <w:rsid w:val="2D157538"/>
    <w:rsid w:val="2D2F720D"/>
    <w:rsid w:val="2D310B09"/>
    <w:rsid w:val="2D4828C3"/>
    <w:rsid w:val="2D57345B"/>
    <w:rsid w:val="2D5F3EE2"/>
    <w:rsid w:val="2D764F47"/>
    <w:rsid w:val="2DD91851"/>
    <w:rsid w:val="2DDC770B"/>
    <w:rsid w:val="2DF9093A"/>
    <w:rsid w:val="2E4D6A38"/>
    <w:rsid w:val="2E69053E"/>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5111DE"/>
    <w:rsid w:val="3086347F"/>
    <w:rsid w:val="308F4B91"/>
    <w:rsid w:val="30941DB6"/>
    <w:rsid w:val="309E7091"/>
    <w:rsid w:val="30A13F14"/>
    <w:rsid w:val="30BD4B70"/>
    <w:rsid w:val="30DE49F0"/>
    <w:rsid w:val="30E20ADF"/>
    <w:rsid w:val="30E74A8B"/>
    <w:rsid w:val="31104BE6"/>
    <w:rsid w:val="31107C6B"/>
    <w:rsid w:val="3135407B"/>
    <w:rsid w:val="31421084"/>
    <w:rsid w:val="31887B7C"/>
    <w:rsid w:val="31895649"/>
    <w:rsid w:val="31AD34E7"/>
    <w:rsid w:val="31B02544"/>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32E3950"/>
    <w:rsid w:val="335202DB"/>
    <w:rsid w:val="336E5F6C"/>
    <w:rsid w:val="33732317"/>
    <w:rsid w:val="33790B91"/>
    <w:rsid w:val="337B4EF0"/>
    <w:rsid w:val="337E678E"/>
    <w:rsid w:val="3396767F"/>
    <w:rsid w:val="33A337D5"/>
    <w:rsid w:val="33F71CC8"/>
    <w:rsid w:val="33FA57B0"/>
    <w:rsid w:val="34016A86"/>
    <w:rsid w:val="34050C5E"/>
    <w:rsid w:val="34184C5D"/>
    <w:rsid w:val="34391824"/>
    <w:rsid w:val="34475E33"/>
    <w:rsid w:val="347312F7"/>
    <w:rsid w:val="34751871"/>
    <w:rsid w:val="3492234F"/>
    <w:rsid w:val="34AA0645"/>
    <w:rsid w:val="34C61DEF"/>
    <w:rsid w:val="34D349C1"/>
    <w:rsid w:val="34D65FE2"/>
    <w:rsid w:val="34DD141E"/>
    <w:rsid w:val="34EF48D4"/>
    <w:rsid w:val="34F832A2"/>
    <w:rsid w:val="353323D5"/>
    <w:rsid w:val="35515D53"/>
    <w:rsid w:val="35767350"/>
    <w:rsid w:val="359A52D2"/>
    <w:rsid w:val="359E1B8E"/>
    <w:rsid w:val="35BE26D5"/>
    <w:rsid w:val="360006C2"/>
    <w:rsid w:val="36011B29"/>
    <w:rsid w:val="36231CDE"/>
    <w:rsid w:val="36457F31"/>
    <w:rsid w:val="36A861E5"/>
    <w:rsid w:val="36B91A9C"/>
    <w:rsid w:val="36BC6408"/>
    <w:rsid w:val="36E55AEB"/>
    <w:rsid w:val="372F3093"/>
    <w:rsid w:val="3734013D"/>
    <w:rsid w:val="373B7D1B"/>
    <w:rsid w:val="378123A9"/>
    <w:rsid w:val="37883D9D"/>
    <w:rsid w:val="37987CE3"/>
    <w:rsid w:val="379DF0C9"/>
    <w:rsid w:val="37D66124"/>
    <w:rsid w:val="37DA5F5D"/>
    <w:rsid w:val="37ED036A"/>
    <w:rsid w:val="37F913BE"/>
    <w:rsid w:val="37FF6BD7"/>
    <w:rsid w:val="38177FF1"/>
    <w:rsid w:val="386523B0"/>
    <w:rsid w:val="389E4DF7"/>
    <w:rsid w:val="38A230B5"/>
    <w:rsid w:val="38B5305A"/>
    <w:rsid w:val="38D63A95"/>
    <w:rsid w:val="3914125A"/>
    <w:rsid w:val="3915611C"/>
    <w:rsid w:val="39260D0B"/>
    <w:rsid w:val="397158ED"/>
    <w:rsid w:val="39724B96"/>
    <w:rsid w:val="39D84653"/>
    <w:rsid w:val="39E37660"/>
    <w:rsid w:val="3A257964"/>
    <w:rsid w:val="3A291850"/>
    <w:rsid w:val="3A2A56F0"/>
    <w:rsid w:val="3A347BA7"/>
    <w:rsid w:val="3A86131C"/>
    <w:rsid w:val="3A904DA0"/>
    <w:rsid w:val="3AA14CC2"/>
    <w:rsid w:val="3AC96B3C"/>
    <w:rsid w:val="3ADA7F84"/>
    <w:rsid w:val="3AE22A52"/>
    <w:rsid w:val="3AF91D20"/>
    <w:rsid w:val="3B0A2B10"/>
    <w:rsid w:val="3B2A3A82"/>
    <w:rsid w:val="3B303AF9"/>
    <w:rsid w:val="3B470C18"/>
    <w:rsid w:val="3B5269DA"/>
    <w:rsid w:val="3B7675A0"/>
    <w:rsid w:val="3B9A0AD5"/>
    <w:rsid w:val="3BAA2DFB"/>
    <w:rsid w:val="3BB98257"/>
    <w:rsid w:val="3BD45B11"/>
    <w:rsid w:val="3BDE4E31"/>
    <w:rsid w:val="3BE376CF"/>
    <w:rsid w:val="3BEB5437"/>
    <w:rsid w:val="3C195C5A"/>
    <w:rsid w:val="3C504855"/>
    <w:rsid w:val="3CA91485"/>
    <w:rsid w:val="3CB50DAE"/>
    <w:rsid w:val="3CC17E22"/>
    <w:rsid w:val="3D0A686C"/>
    <w:rsid w:val="3D833044"/>
    <w:rsid w:val="3D98639D"/>
    <w:rsid w:val="3DBD4CAC"/>
    <w:rsid w:val="3DE76D88"/>
    <w:rsid w:val="3DFDB1AE"/>
    <w:rsid w:val="3E0655B4"/>
    <w:rsid w:val="3E337FDD"/>
    <w:rsid w:val="3E5FED92"/>
    <w:rsid w:val="3E6D4856"/>
    <w:rsid w:val="3E835940"/>
    <w:rsid w:val="3E8B628D"/>
    <w:rsid w:val="3E8C18E6"/>
    <w:rsid w:val="3EBD617F"/>
    <w:rsid w:val="3EBF3A5F"/>
    <w:rsid w:val="3ECA28FD"/>
    <w:rsid w:val="3F257157"/>
    <w:rsid w:val="3F285800"/>
    <w:rsid w:val="3F384761"/>
    <w:rsid w:val="3F3F6505"/>
    <w:rsid w:val="3F526712"/>
    <w:rsid w:val="3F5B5216"/>
    <w:rsid w:val="3F640B0B"/>
    <w:rsid w:val="3F812A3A"/>
    <w:rsid w:val="3FD062C0"/>
    <w:rsid w:val="3FD3BFEC"/>
    <w:rsid w:val="3FE1772E"/>
    <w:rsid w:val="3FFD8E96"/>
    <w:rsid w:val="3FFE1AF6"/>
    <w:rsid w:val="3FFE70B7"/>
    <w:rsid w:val="400B31E9"/>
    <w:rsid w:val="40141D1D"/>
    <w:rsid w:val="401B4FD8"/>
    <w:rsid w:val="40307C69"/>
    <w:rsid w:val="404D7AC8"/>
    <w:rsid w:val="40634C41"/>
    <w:rsid w:val="40791BF6"/>
    <w:rsid w:val="407B722C"/>
    <w:rsid w:val="407C2AAB"/>
    <w:rsid w:val="40AB4C9D"/>
    <w:rsid w:val="40DD16D8"/>
    <w:rsid w:val="413063A6"/>
    <w:rsid w:val="41391FB6"/>
    <w:rsid w:val="4145485A"/>
    <w:rsid w:val="417530DD"/>
    <w:rsid w:val="417B40A4"/>
    <w:rsid w:val="41814A29"/>
    <w:rsid w:val="41920DF4"/>
    <w:rsid w:val="41A36DCF"/>
    <w:rsid w:val="41C06248"/>
    <w:rsid w:val="42226A27"/>
    <w:rsid w:val="425C78EF"/>
    <w:rsid w:val="425D4FF7"/>
    <w:rsid w:val="425F7C30"/>
    <w:rsid w:val="42655A33"/>
    <w:rsid w:val="42680B06"/>
    <w:rsid w:val="429F46BC"/>
    <w:rsid w:val="42A34DFA"/>
    <w:rsid w:val="42DE4AB0"/>
    <w:rsid w:val="42F26E0D"/>
    <w:rsid w:val="43005F1C"/>
    <w:rsid w:val="43100FE2"/>
    <w:rsid w:val="43242DC6"/>
    <w:rsid w:val="43463A91"/>
    <w:rsid w:val="439E6277"/>
    <w:rsid w:val="43A254B1"/>
    <w:rsid w:val="43B943DD"/>
    <w:rsid w:val="43BE2A1B"/>
    <w:rsid w:val="43BF143F"/>
    <w:rsid w:val="43F50014"/>
    <w:rsid w:val="44240C6A"/>
    <w:rsid w:val="44272CAC"/>
    <w:rsid w:val="443A54EB"/>
    <w:rsid w:val="44451BDC"/>
    <w:rsid w:val="444F6481"/>
    <w:rsid w:val="447B6726"/>
    <w:rsid w:val="449A1973"/>
    <w:rsid w:val="449D0031"/>
    <w:rsid w:val="44C24FB4"/>
    <w:rsid w:val="44F02F62"/>
    <w:rsid w:val="451A0FD3"/>
    <w:rsid w:val="45712308"/>
    <w:rsid w:val="457D2990"/>
    <w:rsid w:val="458B1522"/>
    <w:rsid w:val="459E6747"/>
    <w:rsid w:val="45AE0D0B"/>
    <w:rsid w:val="45C168FC"/>
    <w:rsid w:val="45ED0241"/>
    <w:rsid w:val="460434E4"/>
    <w:rsid w:val="464B7DBD"/>
    <w:rsid w:val="466B00B6"/>
    <w:rsid w:val="46706F3F"/>
    <w:rsid w:val="46742883"/>
    <w:rsid w:val="46757EF5"/>
    <w:rsid w:val="468375BE"/>
    <w:rsid w:val="46876032"/>
    <w:rsid w:val="46A87C88"/>
    <w:rsid w:val="46C96C6F"/>
    <w:rsid w:val="46D72EC2"/>
    <w:rsid w:val="46FD0882"/>
    <w:rsid w:val="471513C1"/>
    <w:rsid w:val="47245012"/>
    <w:rsid w:val="472B40E0"/>
    <w:rsid w:val="473461A6"/>
    <w:rsid w:val="473D42FE"/>
    <w:rsid w:val="47793752"/>
    <w:rsid w:val="477E751F"/>
    <w:rsid w:val="47A31B07"/>
    <w:rsid w:val="47A9364D"/>
    <w:rsid w:val="47C81250"/>
    <w:rsid w:val="47C84FBA"/>
    <w:rsid w:val="47E051A9"/>
    <w:rsid w:val="47EFACDD"/>
    <w:rsid w:val="481B4028"/>
    <w:rsid w:val="485278BE"/>
    <w:rsid w:val="487D2A9B"/>
    <w:rsid w:val="48C75219"/>
    <w:rsid w:val="48D23E7A"/>
    <w:rsid w:val="48F04FAA"/>
    <w:rsid w:val="49383A95"/>
    <w:rsid w:val="495864E3"/>
    <w:rsid w:val="49897021"/>
    <w:rsid w:val="499B766C"/>
    <w:rsid w:val="49A85CE0"/>
    <w:rsid w:val="49BB73C2"/>
    <w:rsid w:val="49CB0635"/>
    <w:rsid w:val="49CC464E"/>
    <w:rsid w:val="49E815C6"/>
    <w:rsid w:val="4A0E66D8"/>
    <w:rsid w:val="4A203730"/>
    <w:rsid w:val="4A203D36"/>
    <w:rsid w:val="4A3F1F54"/>
    <w:rsid w:val="4A5943E4"/>
    <w:rsid w:val="4A6050DB"/>
    <w:rsid w:val="4A6278FA"/>
    <w:rsid w:val="4A693AF6"/>
    <w:rsid w:val="4AD43451"/>
    <w:rsid w:val="4ADD07E4"/>
    <w:rsid w:val="4B4E3F99"/>
    <w:rsid w:val="4B5A348C"/>
    <w:rsid w:val="4B715FB2"/>
    <w:rsid w:val="4B8C55E8"/>
    <w:rsid w:val="4BB858C5"/>
    <w:rsid w:val="4C083C31"/>
    <w:rsid w:val="4C100B51"/>
    <w:rsid w:val="4C673E0C"/>
    <w:rsid w:val="4C875D8A"/>
    <w:rsid w:val="4C88552C"/>
    <w:rsid w:val="4CD90354"/>
    <w:rsid w:val="4CE354D3"/>
    <w:rsid w:val="4D092A65"/>
    <w:rsid w:val="4D3E119B"/>
    <w:rsid w:val="4D5D5079"/>
    <w:rsid w:val="4D63426D"/>
    <w:rsid w:val="4D6F1F18"/>
    <w:rsid w:val="4D7376F9"/>
    <w:rsid w:val="4D9E38E4"/>
    <w:rsid w:val="4DA42E3E"/>
    <w:rsid w:val="4DC82BF0"/>
    <w:rsid w:val="4DD013FD"/>
    <w:rsid w:val="4DE577AB"/>
    <w:rsid w:val="4E7B4448"/>
    <w:rsid w:val="4EBA1CDB"/>
    <w:rsid w:val="4EDB1BC9"/>
    <w:rsid w:val="4EE51D2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502775"/>
    <w:rsid w:val="506B2F52"/>
    <w:rsid w:val="507951EA"/>
    <w:rsid w:val="508F2AB3"/>
    <w:rsid w:val="50B138D1"/>
    <w:rsid w:val="50DD45B4"/>
    <w:rsid w:val="50F0046A"/>
    <w:rsid w:val="50F31B7F"/>
    <w:rsid w:val="511756F1"/>
    <w:rsid w:val="511A61BA"/>
    <w:rsid w:val="511B3417"/>
    <w:rsid w:val="511E35F8"/>
    <w:rsid w:val="51503FA0"/>
    <w:rsid w:val="5156017D"/>
    <w:rsid w:val="51596E11"/>
    <w:rsid w:val="519B5CC2"/>
    <w:rsid w:val="51CD03C6"/>
    <w:rsid w:val="51FE7D93"/>
    <w:rsid w:val="52121DCF"/>
    <w:rsid w:val="52137423"/>
    <w:rsid w:val="521C6302"/>
    <w:rsid w:val="522105B9"/>
    <w:rsid w:val="52263BCA"/>
    <w:rsid w:val="52AF3E2F"/>
    <w:rsid w:val="52F01D6E"/>
    <w:rsid w:val="52F41DED"/>
    <w:rsid w:val="52FB705C"/>
    <w:rsid w:val="5304202F"/>
    <w:rsid w:val="530C3017"/>
    <w:rsid w:val="53155197"/>
    <w:rsid w:val="531B7C6E"/>
    <w:rsid w:val="53314D4C"/>
    <w:rsid w:val="53316789"/>
    <w:rsid w:val="53871716"/>
    <w:rsid w:val="53950C89"/>
    <w:rsid w:val="53A40CC6"/>
    <w:rsid w:val="53A43997"/>
    <w:rsid w:val="53D22848"/>
    <w:rsid w:val="53D42EB7"/>
    <w:rsid w:val="53DE1453"/>
    <w:rsid w:val="53FF5110"/>
    <w:rsid w:val="5403502E"/>
    <w:rsid w:val="540A3EEE"/>
    <w:rsid w:val="540A6D47"/>
    <w:rsid w:val="541F6FA5"/>
    <w:rsid w:val="54450635"/>
    <w:rsid w:val="54457077"/>
    <w:rsid w:val="544F1263"/>
    <w:rsid w:val="54694932"/>
    <w:rsid w:val="549D0C85"/>
    <w:rsid w:val="54D940C9"/>
    <w:rsid w:val="54EE6554"/>
    <w:rsid w:val="550C6C83"/>
    <w:rsid w:val="553E32D6"/>
    <w:rsid w:val="55583B90"/>
    <w:rsid w:val="55675C79"/>
    <w:rsid w:val="558D65E8"/>
    <w:rsid w:val="55990B54"/>
    <w:rsid w:val="55BC2E86"/>
    <w:rsid w:val="55C03CB8"/>
    <w:rsid w:val="55C624E8"/>
    <w:rsid w:val="55D94BD7"/>
    <w:rsid w:val="55DF5A88"/>
    <w:rsid w:val="56161665"/>
    <w:rsid w:val="5625035E"/>
    <w:rsid w:val="562F0568"/>
    <w:rsid w:val="563A60ED"/>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645F73"/>
    <w:rsid w:val="578B0E6E"/>
    <w:rsid w:val="57A1046F"/>
    <w:rsid w:val="57B5D834"/>
    <w:rsid w:val="57D60C34"/>
    <w:rsid w:val="57F652BC"/>
    <w:rsid w:val="57FC7666"/>
    <w:rsid w:val="5848614A"/>
    <w:rsid w:val="585D6E6C"/>
    <w:rsid w:val="588C1D68"/>
    <w:rsid w:val="58A51E7E"/>
    <w:rsid w:val="58A674A5"/>
    <w:rsid w:val="58CD30A4"/>
    <w:rsid w:val="58CD382E"/>
    <w:rsid w:val="58D5034F"/>
    <w:rsid w:val="58D7418F"/>
    <w:rsid w:val="5900000F"/>
    <w:rsid w:val="590A1DA2"/>
    <w:rsid w:val="590D6489"/>
    <w:rsid w:val="59154896"/>
    <w:rsid w:val="592B5553"/>
    <w:rsid w:val="595042FB"/>
    <w:rsid w:val="5973052E"/>
    <w:rsid w:val="59876675"/>
    <w:rsid w:val="59B961EA"/>
    <w:rsid w:val="59C9107F"/>
    <w:rsid w:val="59CE04C3"/>
    <w:rsid w:val="59FFE880"/>
    <w:rsid w:val="5A0C0158"/>
    <w:rsid w:val="5A376F91"/>
    <w:rsid w:val="5A3D0E34"/>
    <w:rsid w:val="5A4E1D0A"/>
    <w:rsid w:val="5A642481"/>
    <w:rsid w:val="5A6E0818"/>
    <w:rsid w:val="5ABE7049"/>
    <w:rsid w:val="5AC32B55"/>
    <w:rsid w:val="5AE145C9"/>
    <w:rsid w:val="5B421824"/>
    <w:rsid w:val="5B695259"/>
    <w:rsid w:val="5B75772B"/>
    <w:rsid w:val="5B9E3DE4"/>
    <w:rsid w:val="5BBD397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D257E72"/>
    <w:rsid w:val="5D2F4427"/>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AE77CA"/>
    <w:rsid w:val="60B44113"/>
    <w:rsid w:val="60C06C11"/>
    <w:rsid w:val="60E517B1"/>
    <w:rsid w:val="60EA573B"/>
    <w:rsid w:val="613F7C88"/>
    <w:rsid w:val="616816BC"/>
    <w:rsid w:val="61731648"/>
    <w:rsid w:val="617A1E26"/>
    <w:rsid w:val="61D60995"/>
    <w:rsid w:val="61E16FA2"/>
    <w:rsid w:val="61E54B40"/>
    <w:rsid w:val="622C753A"/>
    <w:rsid w:val="623B2665"/>
    <w:rsid w:val="624F3EEF"/>
    <w:rsid w:val="62884618"/>
    <w:rsid w:val="62D70BD1"/>
    <w:rsid w:val="62E47D3E"/>
    <w:rsid w:val="62E92531"/>
    <w:rsid w:val="6341070D"/>
    <w:rsid w:val="63416D06"/>
    <w:rsid w:val="63535E1A"/>
    <w:rsid w:val="63A6157B"/>
    <w:rsid w:val="63AA21B4"/>
    <w:rsid w:val="63BD333F"/>
    <w:rsid w:val="63C3108A"/>
    <w:rsid w:val="63FC019F"/>
    <w:rsid w:val="64481AB7"/>
    <w:rsid w:val="64497B3B"/>
    <w:rsid w:val="646F08D5"/>
    <w:rsid w:val="648630F3"/>
    <w:rsid w:val="64B30F39"/>
    <w:rsid w:val="64BA7177"/>
    <w:rsid w:val="64C45F03"/>
    <w:rsid w:val="64CB5E68"/>
    <w:rsid w:val="64D5736A"/>
    <w:rsid w:val="64F851F1"/>
    <w:rsid w:val="65312228"/>
    <w:rsid w:val="65625FEC"/>
    <w:rsid w:val="656C7BC4"/>
    <w:rsid w:val="65715E5A"/>
    <w:rsid w:val="65904230"/>
    <w:rsid w:val="65930C48"/>
    <w:rsid w:val="65B04F76"/>
    <w:rsid w:val="65BF74AA"/>
    <w:rsid w:val="65C23858"/>
    <w:rsid w:val="6601087F"/>
    <w:rsid w:val="66183E19"/>
    <w:rsid w:val="66821BE2"/>
    <w:rsid w:val="66BE22A1"/>
    <w:rsid w:val="66D70B4F"/>
    <w:rsid w:val="66FF5A0E"/>
    <w:rsid w:val="67005BCA"/>
    <w:rsid w:val="6702678E"/>
    <w:rsid w:val="671C1D5F"/>
    <w:rsid w:val="671F12E9"/>
    <w:rsid w:val="673426E5"/>
    <w:rsid w:val="67812CEA"/>
    <w:rsid w:val="679D4CF3"/>
    <w:rsid w:val="679E080A"/>
    <w:rsid w:val="67EE11BE"/>
    <w:rsid w:val="67FB7CA2"/>
    <w:rsid w:val="681E63B1"/>
    <w:rsid w:val="683B1C26"/>
    <w:rsid w:val="6889713A"/>
    <w:rsid w:val="68DC0F3F"/>
    <w:rsid w:val="68E258A1"/>
    <w:rsid w:val="68E83C5C"/>
    <w:rsid w:val="68FA6BF9"/>
    <w:rsid w:val="691463FB"/>
    <w:rsid w:val="691A565F"/>
    <w:rsid w:val="69541AD9"/>
    <w:rsid w:val="69650E2F"/>
    <w:rsid w:val="69A16AA6"/>
    <w:rsid w:val="69A9488B"/>
    <w:rsid w:val="69C96177"/>
    <w:rsid w:val="69E16BE6"/>
    <w:rsid w:val="6A230268"/>
    <w:rsid w:val="6A457122"/>
    <w:rsid w:val="6A4D68CC"/>
    <w:rsid w:val="6A5F513A"/>
    <w:rsid w:val="6A7150A8"/>
    <w:rsid w:val="6A7401B1"/>
    <w:rsid w:val="6ABF2D94"/>
    <w:rsid w:val="6AE0611D"/>
    <w:rsid w:val="6B02331D"/>
    <w:rsid w:val="6B067187"/>
    <w:rsid w:val="6B371A95"/>
    <w:rsid w:val="6B507AEB"/>
    <w:rsid w:val="6B6F1752"/>
    <w:rsid w:val="6B727905"/>
    <w:rsid w:val="6B9125CB"/>
    <w:rsid w:val="6BB93611"/>
    <w:rsid w:val="6BC35959"/>
    <w:rsid w:val="6BE64B7B"/>
    <w:rsid w:val="6BF315F7"/>
    <w:rsid w:val="6C05168F"/>
    <w:rsid w:val="6C05463D"/>
    <w:rsid w:val="6C106EA3"/>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8291D"/>
    <w:rsid w:val="6D993D80"/>
    <w:rsid w:val="6DDF75FC"/>
    <w:rsid w:val="6DF90EC9"/>
    <w:rsid w:val="6E01448B"/>
    <w:rsid w:val="6E025E88"/>
    <w:rsid w:val="6E193084"/>
    <w:rsid w:val="6E2E5E48"/>
    <w:rsid w:val="6E650F3D"/>
    <w:rsid w:val="6E866386"/>
    <w:rsid w:val="6E9236C6"/>
    <w:rsid w:val="6ED10CB6"/>
    <w:rsid w:val="6ED160AB"/>
    <w:rsid w:val="6EDB34C1"/>
    <w:rsid w:val="6F006DDA"/>
    <w:rsid w:val="6F085C5D"/>
    <w:rsid w:val="6F4F6D21"/>
    <w:rsid w:val="6F58696B"/>
    <w:rsid w:val="6F95673A"/>
    <w:rsid w:val="6F9673F9"/>
    <w:rsid w:val="6F9D4B96"/>
    <w:rsid w:val="6FBB755E"/>
    <w:rsid w:val="6FCD27E4"/>
    <w:rsid w:val="6FDF5A50"/>
    <w:rsid w:val="6FEE1B2C"/>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9F0B7C"/>
    <w:rsid w:val="71C77405"/>
    <w:rsid w:val="71CD6934"/>
    <w:rsid w:val="71EA15C0"/>
    <w:rsid w:val="71F83BE6"/>
    <w:rsid w:val="723942F4"/>
    <w:rsid w:val="725737C3"/>
    <w:rsid w:val="7260622C"/>
    <w:rsid w:val="726D5A47"/>
    <w:rsid w:val="72757496"/>
    <w:rsid w:val="727B41C2"/>
    <w:rsid w:val="72C9C255"/>
    <w:rsid w:val="72E75711"/>
    <w:rsid w:val="72EB1400"/>
    <w:rsid w:val="732860A1"/>
    <w:rsid w:val="734C374E"/>
    <w:rsid w:val="73501B71"/>
    <w:rsid w:val="73517BC9"/>
    <w:rsid w:val="735329D9"/>
    <w:rsid w:val="735728E7"/>
    <w:rsid w:val="73870389"/>
    <w:rsid w:val="73B44DF0"/>
    <w:rsid w:val="73F21076"/>
    <w:rsid w:val="7417189B"/>
    <w:rsid w:val="74340A39"/>
    <w:rsid w:val="7460720F"/>
    <w:rsid w:val="74611F1F"/>
    <w:rsid w:val="7491533F"/>
    <w:rsid w:val="74CE0A9B"/>
    <w:rsid w:val="74D22127"/>
    <w:rsid w:val="74F4555C"/>
    <w:rsid w:val="75037857"/>
    <w:rsid w:val="750D524B"/>
    <w:rsid w:val="75287A91"/>
    <w:rsid w:val="752FE869"/>
    <w:rsid w:val="753D053B"/>
    <w:rsid w:val="755539A3"/>
    <w:rsid w:val="75556181"/>
    <w:rsid w:val="75712ACC"/>
    <w:rsid w:val="75846400"/>
    <w:rsid w:val="759871F9"/>
    <w:rsid w:val="75A44310"/>
    <w:rsid w:val="75C26102"/>
    <w:rsid w:val="75C8506C"/>
    <w:rsid w:val="75CC5A83"/>
    <w:rsid w:val="75E15674"/>
    <w:rsid w:val="75FA4693"/>
    <w:rsid w:val="76072028"/>
    <w:rsid w:val="761A3604"/>
    <w:rsid w:val="76390E53"/>
    <w:rsid w:val="767577A0"/>
    <w:rsid w:val="768611D1"/>
    <w:rsid w:val="76A61737"/>
    <w:rsid w:val="76AC12BF"/>
    <w:rsid w:val="76BD26F7"/>
    <w:rsid w:val="76BD780E"/>
    <w:rsid w:val="76BE11CF"/>
    <w:rsid w:val="76BFB7AB"/>
    <w:rsid w:val="76CEC8CE"/>
    <w:rsid w:val="76DE7091"/>
    <w:rsid w:val="76EF5CA5"/>
    <w:rsid w:val="76F463F0"/>
    <w:rsid w:val="76FAD0CD"/>
    <w:rsid w:val="7701463A"/>
    <w:rsid w:val="7709679A"/>
    <w:rsid w:val="770D331C"/>
    <w:rsid w:val="77445FBB"/>
    <w:rsid w:val="774B2EC4"/>
    <w:rsid w:val="775B22A8"/>
    <w:rsid w:val="7761477F"/>
    <w:rsid w:val="776A7337"/>
    <w:rsid w:val="777F1553"/>
    <w:rsid w:val="779A0D33"/>
    <w:rsid w:val="77A7936F"/>
    <w:rsid w:val="77B41026"/>
    <w:rsid w:val="77B92EBE"/>
    <w:rsid w:val="77BAB242"/>
    <w:rsid w:val="77DB8DFD"/>
    <w:rsid w:val="77ED4CA7"/>
    <w:rsid w:val="77F7656E"/>
    <w:rsid w:val="78041F2B"/>
    <w:rsid w:val="782D5A55"/>
    <w:rsid w:val="78700E16"/>
    <w:rsid w:val="78787717"/>
    <w:rsid w:val="78AB6CF2"/>
    <w:rsid w:val="78C85065"/>
    <w:rsid w:val="78CB54A2"/>
    <w:rsid w:val="78F85823"/>
    <w:rsid w:val="78FF40FB"/>
    <w:rsid w:val="793122E3"/>
    <w:rsid w:val="794857A6"/>
    <w:rsid w:val="79585961"/>
    <w:rsid w:val="79614897"/>
    <w:rsid w:val="79617D09"/>
    <w:rsid w:val="79680FED"/>
    <w:rsid w:val="796F1C36"/>
    <w:rsid w:val="79BB2545"/>
    <w:rsid w:val="79C008CD"/>
    <w:rsid w:val="7A4F7B07"/>
    <w:rsid w:val="7A5101BC"/>
    <w:rsid w:val="7A640DEF"/>
    <w:rsid w:val="7A685998"/>
    <w:rsid w:val="7AB67B89"/>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C5229C"/>
    <w:rsid w:val="7BEB30F6"/>
    <w:rsid w:val="7BFFA655"/>
    <w:rsid w:val="7C00147E"/>
    <w:rsid w:val="7C024865"/>
    <w:rsid w:val="7C0E1600"/>
    <w:rsid w:val="7C3717CE"/>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93527C"/>
    <w:rsid w:val="7EA64368"/>
    <w:rsid w:val="7EA7CF43"/>
    <w:rsid w:val="7EC17537"/>
    <w:rsid w:val="7EED3DCE"/>
    <w:rsid w:val="7EFF54EF"/>
    <w:rsid w:val="7EFFBE69"/>
    <w:rsid w:val="7F0969F7"/>
    <w:rsid w:val="7F0E4ED9"/>
    <w:rsid w:val="7F207E5E"/>
    <w:rsid w:val="7F2C38B2"/>
    <w:rsid w:val="7F4033B0"/>
    <w:rsid w:val="7F4B17C2"/>
    <w:rsid w:val="7F63180E"/>
    <w:rsid w:val="7F637BB3"/>
    <w:rsid w:val="7F65074C"/>
    <w:rsid w:val="7F6B1C88"/>
    <w:rsid w:val="7F6EDAEE"/>
    <w:rsid w:val="7F7513EC"/>
    <w:rsid w:val="7F7A5BD6"/>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7"/>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9"/>
    <w:qFormat/>
    <w:uiPriority w:val="0"/>
    <w:pPr>
      <w:tabs>
        <w:tab w:val="left" w:pos="1440"/>
      </w:tabs>
      <w:spacing w:before="260" w:after="260" w:line="416" w:lineRule="auto"/>
      <w:ind w:left="1152" w:hanging="1152"/>
      <w:outlineLvl w:val="2"/>
    </w:pPr>
    <w:rPr>
      <w:b/>
      <w:bCs/>
      <w:sz w:val="32"/>
      <w:szCs w:val="32"/>
    </w:rPr>
  </w:style>
  <w:style w:type="paragraph" w:styleId="5">
    <w:name w:val="heading 4"/>
    <w:basedOn w:val="1"/>
    <w:next w:val="1"/>
    <w:link w:val="6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0">
    <w:name w:val="heading 9"/>
    <w:basedOn w:val="1"/>
    <w:next w:val="1"/>
    <w:link w:val="62"/>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te Heading"/>
    <w:basedOn w:val="1"/>
    <w:next w:val="1"/>
    <w:link w:val="184"/>
    <w:qFormat/>
    <w:uiPriority w:val="0"/>
    <w:pPr>
      <w:widowControl/>
      <w:spacing w:before="100" w:beforeAutospacing="1" w:after="100" w:afterAutospacing="1"/>
      <w:jc w:val="left"/>
    </w:pPr>
    <w:rPr>
      <w:rFonts w:ascii="宋体" w:hAnsi="宋体"/>
      <w:kern w:val="0"/>
      <w:sz w:val="24"/>
      <w:lang w:val="zh-CN"/>
    </w:rPr>
  </w:style>
  <w:style w:type="paragraph" w:styleId="13">
    <w:name w:val="Normal Indent"/>
    <w:basedOn w:val="1"/>
    <w:link w:val="60"/>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3"/>
    <w:qFormat/>
    <w:uiPriority w:val="0"/>
    <w:pPr>
      <w:shd w:val="clear" w:color="auto" w:fill="000080"/>
    </w:pPr>
  </w:style>
  <w:style w:type="paragraph" w:styleId="16">
    <w:name w:val="annotation text"/>
    <w:basedOn w:val="1"/>
    <w:link w:val="64"/>
    <w:qFormat/>
    <w:uiPriority w:val="99"/>
    <w:pPr>
      <w:adjustRightInd w:val="0"/>
      <w:spacing w:line="360" w:lineRule="atLeast"/>
      <w:jc w:val="left"/>
      <w:textAlignment w:val="baseline"/>
    </w:pPr>
    <w:rPr>
      <w:kern w:val="0"/>
      <w:sz w:val="24"/>
      <w:szCs w:val="20"/>
    </w:rPr>
  </w:style>
  <w:style w:type="paragraph" w:styleId="17">
    <w:name w:val="Body Text 3"/>
    <w:basedOn w:val="1"/>
    <w:link w:val="65"/>
    <w:qFormat/>
    <w:uiPriority w:val="0"/>
    <w:pPr>
      <w:spacing w:line="440" w:lineRule="exact"/>
    </w:pPr>
    <w:rPr>
      <w:sz w:val="24"/>
    </w:rPr>
  </w:style>
  <w:style w:type="paragraph" w:styleId="18">
    <w:name w:val="Body Text"/>
    <w:basedOn w:val="1"/>
    <w:link w:val="55"/>
    <w:qFormat/>
    <w:uiPriority w:val="0"/>
    <w:pPr>
      <w:jc w:val="center"/>
    </w:pPr>
    <w:rPr>
      <w:sz w:val="52"/>
    </w:rPr>
  </w:style>
  <w:style w:type="paragraph" w:styleId="19">
    <w:name w:val="Body Text Indent"/>
    <w:basedOn w:val="1"/>
    <w:qFormat/>
    <w:uiPriority w:val="0"/>
    <w:pPr>
      <w:spacing w:line="400" w:lineRule="exact"/>
      <w:ind w:firstLine="560" w:firstLineChars="200"/>
    </w:pPr>
    <w:rPr>
      <w:sz w:val="28"/>
      <w:u w:val="single"/>
    </w:rPr>
  </w:style>
  <w:style w:type="paragraph" w:styleId="20">
    <w:name w:val="toc 5"/>
    <w:basedOn w:val="1"/>
    <w:next w:val="1"/>
    <w:qFormat/>
    <w:uiPriority w:val="39"/>
    <w:pPr>
      <w:ind w:left="840"/>
      <w:jc w:val="left"/>
    </w:pPr>
    <w:rPr>
      <w:rFonts w:ascii="Calibri" w:hAnsi="Calibri" w:cs="Calibri"/>
      <w:sz w:val="18"/>
      <w:szCs w:val="18"/>
    </w:rPr>
  </w:style>
  <w:style w:type="paragraph" w:styleId="21">
    <w:name w:val="toc 3"/>
    <w:basedOn w:val="1"/>
    <w:next w:val="1"/>
    <w:qFormat/>
    <w:uiPriority w:val="39"/>
    <w:pPr>
      <w:ind w:left="420"/>
      <w:jc w:val="left"/>
    </w:pPr>
    <w:rPr>
      <w:rFonts w:ascii="Calibri" w:hAnsi="Calibri" w:cs="Calibri"/>
      <w:i/>
      <w:iCs/>
      <w:sz w:val="20"/>
      <w:szCs w:val="20"/>
    </w:rPr>
  </w:style>
  <w:style w:type="paragraph" w:styleId="22">
    <w:name w:val="Plain Text"/>
    <w:basedOn w:val="1"/>
    <w:link w:val="66"/>
    <w:qFormat/>
    <w:uiPriority w:val="0"/>
    <w:rPr>
      <w:rFonts w:ascii="宋体" w:hAnsi="Courier New"/>
      <w:szCs w:val="20"/>
    </w:rPr>
  </w:style>
  <w:style w:type="paragraph" w:styleId="23">
    <w:name w:val="toc 8"/>
    <w:basedOn w:val="1"/>
    <w:next w:val="1"/>
    <w:qFormat/>
    <w:uiPriority w:val="39"/>
    <w:pPr>
      <w:ind w:left="1470"/>
      <w:jc w:val="left"/>
    </w:pPr>
    <w:rPr>
      <w:rFonts w:ascii="Calibri" w:hAnsi="Calibri" w:cs="Calibri"/>
      <w:sz w:val="18"/>
      <w:szCs w:val="18"/>
    </w:rPr>
  </w:style>
  <w:style w:type="paragraph" w:styleId="24">
    <w:name w:val="Date"/>
    <w:basedOn w:val="1"/>
    <w:next w:val="1"/>
    <w:qFormat/>
    <w:uiPriority w:val="0"/>
    <w:pPr>
      <w:ind w:left="100" w:leftChars="2500"/>
    </w:pPr>
  </w:style>
  <w:style w:type="paragraph" w:styleId="25">
    <w:name w:val="Body Text Indent 2"/>
    <w:basedOn w:val="1"/>
    <w:qFormat/>
    <w:uiPriority w:val="0"/>
    <w:pPr>
      <w:spacing w:line="400" w:lineRule="exact"/>
      <w:ind w:firstLine="560" w:firstLineChars="200"/>
    </w:pPr>
    <w:rPr>
      <w:sz w:val="28"/>
    </w:rPr>
  </w:style>
  <w:style w:type="paragraph" w:styleId="26">
    <w:name w:val="Balloon Text"/>
    <w:basedOn w:val="1"/>
    <w:link w:val="67"/>
    <w:qFormat/>
    <w:uiPriority w:val="99"/>
    <w:rPr>
      <w:sz w:val="18"/>
      <w:szCs w:val="18"/>
    </w:rPr>
  </w:style>
  <w:style w:type="paragraph" w:styleId="27">
    <w:name w:val="footer"/>
    <w:basedOn w:val="1"/>
    <w:link w:val="68"/>
    <w:qFormat/>
    <w:uiPriority w:val="99"/>
    <w:pPr>
      <w:tabs>
        <w:tab w:val="center" w:pos="4153"/>
        <w:tab w:val="right" w:pos="8306"/>
      </w:tabs>
      <w:snapToGrid w:val="0"/>
      <w:jc w:val="left"/>
    </w:pPr>
    <w:rPr>
      <w:sz w:val="18"/>
      <w:szCs w:val="18"/>
    </w:rPr>
  </w:style>
  <w:style w:type="paragraph" w:styleId="28">
    <w:name w:val="header"/>
    <w:basedOn w:val="1"/>
    <w:link w:val="69"/>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List"/>
    <w:basedOn w:val="1"/>
    <w:qFormat/>
    <w:uiPriority w:val="0"/>
    <w:pPr>
      <w:ind w:left="200" w:hanging="200" w:hangingChars="200"/>
    </w:pPr>
    <w:rPr>
      <w:szCs w:val="20"/>
    </w:rPr>
  </w:style>
  <w:style w:type="paragraph" w:styleId="32">
    <w:name w:val="toc 6"/>
    <w:basedOn w:val="1"/>
    <w:next w:val="1"/>
    <w:qFormat/>
    <w:uiPriority w:val="39"/>
    <w:pPr>
      <w:ind w:left="1050"/>
      <w:jc w:val="left"/>
    </w:pPr>
    <w:rPr>
      <w:rFonts w:ascii="Calibri" w:hAnsi="Calibri" w:cs="Calibri"/>
      <w:sz w:val="18"/>
      <w:szCs w:val="18"/>
    </w:rPr>
  </w:style>
  <w:style w:type="paragraph" w:styleId="33">
    <w:name w:val="Body Text Indent 3"/>
    <w:basedOn w:val="1"/>
    <w:qFormat/>
    <w:uiPriority w:val="0"/>
    <w:pPr>
      <w:spacing w:line="500" w:lineRule="exact"/>
      <w:ind w:firstLine="570"/>
    </w:pPr>
    <w:rPr>
      <w:rFonts w:eastAsia="黑体"/>
      <w:sz w:val="28"/>
    </w:rPr>
  </w:style>
  <w:style w:type="paragraph" w:styleId="34">
    <w:name w:val="toc 2"/>
    <w:basedOn w:val="1"/>
    <w:next w:val="1"/>
    <w:qFormat/>
    <w:uiPriority w:val="39"/>
    <w:pPr>
      <w:ind w:left="210"/>
      <w:jc w:val="left"/>
    </w:pPr>
    <w:rPr>
      <w:rFonts w:ascii="Calibri" w:hAnsi="Calibri" w:cs="Calibri"/>
      <w:smallCaps/>
      <w:sz w:val="20"/>
      <w:szCs w:val="20"/>
    </w:rPr>
  </w:style>
  <w:style w:type="paragraph" w:styleId="35">
    <w:name w:val="toc 9"/>
    <w:basedOn w:val="1"/>
    <w:next w:val="1"/>
    <w:qFormat/>
    <w:uiPriority w:val="39"/>
    <w:pPr>
      <w:ind w:left="1680"/>
      <w:jc w:val="left"/>
    </w:pPr>
    <w:rPr>
      <w:rFonts w:ascii="Calibri" w:hAnsi="Calibri" w:cs="Calibri"/>
      <w:sz w:val="18"/>
      <w:szCs w:val="18"/>
    </w:rPr>
  </w:style>
  <w:style w:type="paragraph" w:styleId="36">
    <w:name w:val="Body Text 2"/>
    <w:basedOn w:val="1"/>
    <w:qFormat/>
    <w:uiPriority w:val="0"/>
    <w:rPr>
      <w:sz w:val="28"/>
    </w:rPr>
  </w:style>
  <w:style w:type="paragraph" w:styleId="37">
    <w:name w:val="Normal (Web)"/>
    <w:basedOn w:val="1"/>
    <w:qFormat/>
    <w:uiPriority w:val="0"/>
    <w:pPr>
      <w:widowControl/>
      <w:spacing w:before="100" w:beforeAutospacing="1" w:after="100" w:afterAutospacing="1"/>
      <w:jc w:val="left"/>
    </w:pPr>
    <w:rPr>
      <w:rFonts w:ascii="宋体" w:hAnsi="宋体"/>
      <w:kern w:val="0"/>
      <w:sz w:val="24"/>
    </w:rPr>
  </w:style>
  <w:style w:type="paragraph" w:styleId="38">
    <w:name w:val="Title"/>
    <w:basedOn w:val="1"/>
    <w:link w:val="70"/>
    <w:qFormat/>
    <w:uiPriority w:val="0"/>
    <w:pPr>
      <w:adjustRightInd w:val="0"/>
      <w:spacing w:before="240" w:after="60" w:line="312" w:lineRule="atLeast"/>
      <w:jc w:val="center"/>
      <w:textAlignment w:val="baseline"/>
    </w:pPr>
    <w:rPr>
      <w:rFonts w:ascii="Arial" w:hAnsi="Arial"/>
      <w:b/>
      <w:kern w:val="28"/>
      <w:sz w:val="32"/>
      <w:szCs w:val="20"/>
    </w:rPr>
  </w:style>
  <w:style w:type="paragraph" w:styleId="39">
    <w:name w:val="annotation subject"/>
    <w:basedOn w:val="16"/>
    <w:next w:val="16"/>
    <w:link w:val="71"/>
    <w:qFormat/>
    <w:uiPriority w:val="0"/>
    <w:pPr>
      <w:adjustRightInd/>
      <w:spacing w:line="240" w:lineRule="auto"/>
      <w:textAlignment w:val="auto"/>
    </w:pPr>
    <w:rPr>
      <w:b/>
      <w:bCs/>
      <w:kern w:val="2"/>
      <w:sz w:val="21"/>
      <w:szCs w:val="24"/>
    </w:rPr>
  </w:style>
  <w:style w:type="paragraph" w:styleId="40">
    <w:name w:val="Body Text First Indent 2"/>
    <w:basedOn w:val="19"/>
    <w:qFormat/>
    <w:uiPriority w:val="0"/>
    <w:pPr>
      <w:ind w:firstLine="420"/>
    </w:pPr>
    <w:rPr>
      <w:rFonts w:ascii="Arial" w:hAnsi="Arial"/>
      <w:snapToGrid w:val="0"/>
      <w:kern w:val="0"/>
      <w:sz w:val="20"/>
    </w:rPr>
  </w:style>
  <w:style w:type="table" w:styleId="42">
    <w:name w:val="Table Grid"/>
    <w:basedOn w:val="41"/>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paragraph" w:customStyle="1" w:styleId="54">
    <w:name w:val="Char2 Char Char Char1 Char Char Char Char Char Char Char Char1 Char1 Char Char1 Char"/>
    <w:basedOn w:val="1"/>
    <w:qFormat/>
    <w:uiPriority w:val="0"/>
    <w:rPr>
      <w:rFonts w:ascii="宋体" w:hAnsi="宋体"/>
      <w:kern w:val="0"/>
      <w:szCs w:val="21"/>
    </w:rPr>
  </w:style>
  <w:style w:type="character" w:customStyle="1" w:styleId="55">
    <w:name w:val="正文文本 字符"/>
    <w:link w:val="18"/>
    <w:qFormat/>
    <w:locked/>
    <w:uiPriority w:val="0"/>
    <w:rPr>
      <w:kern w:val="2"/>
      <w:sz w:val="52"/>
      <w:szCs w:val="24"/>
    </w:rPr>
  </w:style>
  <w:style w:type="character" w:customStyle="1" w:styleId="56">
    <w:name w:val="标题 1 字符"/>
    <w:link w:val="2"/>
    <w:qFormat/>
    <w:locked/>
    <w:uiPriority w:val="0"/>
    <w:rPr>
      <w:b/>
      <w:bCs/>
      <w:kern w:val="44"/>
      <w:sz w:val="44"/>
      <w:szCs w:val="44"/>
    </w:rPr>
  </w:style>
  <w:style w:type="character" w:customStyle="1" w:styleId="57">
    <w:name w:val="标题 2 字符"/>
    <w:link w:val="3"/>
    <w:qFormat/>
    <w:locked/>
    <w:uiPriority w:val="0"/>
    <w:rPr>
      <w:rFonts w:ascii="Arial" w:hAnsi="Arial"/>
      <w:b/>
      <w:bCs/>
      <w:color w:val="FF0000"/>
      <w:kern w:val="2"/>
      <w:sz w:val="28"/>
      <w:szCs w:val="32"/>
    </w:rPr>
  </w:style>
  <w:style w:type="paragraph" w:customStyle="1" w:styleId="58">
    <w:name w:val="标题 60"/>
    <w:basedOn w:val="7"/>
    <w:qFormat/>
    <w:uiPriority w:val="0"/>
    <w:pPr>
      <w:spacing w:line="319" w:lineRule="auto"/>
      <w:ind w:firstLine="200" w:firstLineChars="200"/>
    </w:pPr>
    <w:rPr>
      <w:b w:val="0"/>
      <w:bCs w:val="0"/>
    </w:rPr>
  </w:style>
  <w:style w:type="character" w:customStyle="1" w:styleId="59">
    <w:name w:val="标题 3 字符"/>
    <w:link w:val="4"/>
    <w:qFormat/>
    <w:uiPriority w:val="0"/>
    <w:rPr>
      <w:b/>
      <w:bCs/>
      <w:kern w:val="2"/>
      <w:sz w:val="32"/>
      <w:szCs w:val="32"/>
    </w:rPr>
  </w:style>
  <w:style w:type="character" w:customStyle="1" w:styleId="60">
    <w:name w:val="正文缩进 字符"/>
    <w:link w:val="13"/>
    <w:qFormat/>
    <w:uiPriority w:val="0"/>
  </w:style>
  <w:style w:type="character" w:customStyle="1" w:styleId="61">
    <w:name w:val="标题 4 字符"/>
    <w:link w:val="5"/>
    <w:qFormat/>
    <w:uiPriority w:val="0"/>
    <w:rPr>
      <w:rFonts w:ascii="Arial" w:hAnsi="Arial" w:eastAsia="黑体"/>
      <w:b/>
      <w:bCs/>
      <w:kern w:val="2"/>
      <w:sz w:val="28"/>
      <w:szCs w:val="28"/>
    </w:rPr>
  </w:style>
  <w:style w:type="character" w:customStyle="1" w:styleId="62">
    <w:name w:val="标题 9 字符"/>
    <w:link w:val="10"/>
    <w:qFormat/>
    <w:uiPriority w:val="0"/>
    <w:rPr>
      <w:rFonts w:ascii="Arial" w:hAnsi="Arial" w:eastAsia="黑体"/>
      <w:sz w:val="21"/>
      <w:szCs w:val="21"/>
    </w:rPr>
  </w:style>
  <w:style w:type="character" w:customStyle="1" w:styleId="63">
    <w:name w:val="文档结构图 字符"/>
    <w:link w:val="15"/>
    <w:qFormat/>
    <w:uiPriority w:val="0"/>
    <w:rPr>
      <w:kern w:val="2"/>
      <w:sz w:val="21"/>
      <w:szCs w:val="24"/>
      <w:shd w:val="clear" w:color="auto" w:fill="000080"/>
    </w:rPr>
  </w:style>
  <w:style w:type="character" w:customStyle="1" w:styleId="64">
    <w:name w:val="批注文字 字符1"/>
    <w:link w:val="16"/>
    <w:qFormat/>
    <w:locked/>
    <w:uiPriority w:val="99"/>
    <w:rPr>
      <w:sz w:val="24"/>
    </w:rPr>
  </w:style>
  <w:style w:type="character" w:customStyle="1" w:styleId="65">
    <w:name w:val="正文文本 3 字符"/>
    <w:link w:val="17"/>
    <w:qFormat/>
    <w:uiPriority w:val="0"/>
    <w:rPr>
      <w:kern w:val="2"/>
      <w:sz w:val="24"/>
      <w:szCs w:val="24"/>
    </w:rPr>
  </w:style>
  <w:style w:type="character" w:customStyle="1" w:styleId="66">
    <w:name w:val="纯文本 字符"/>
    <w:link w:val="22"/>
    <w:qFormat/>
    <w:uiPriority w:val="0"/>
    <w:rPr>
      <w:rFonts w:ascii="宋体" w:hAnsi="Courier New"/>
      <w:kern w:val="2"/>
      <w:sz w:val="21"/>
    </w:rPr>
  </w:style>
  <w:style w:type="character" w:customStyle="1" w:styleId="67">
    <w:name w:val="批注框文本 字符"/>
    <w:link w:val="26"/>
    <w:qFormat/>
    <w:locked/>
    <w:uiPriority w:val="0"/>
    <w:rPr>
      <w:kern w:val="2"/>
      <w:sz w:val="18"/>
      <w:szCs w:val="18"/>
    </w:rPr>
  </w:style>
  <w:style w:type="character" w:customStyle="1" w:styleId="68">
    <w:name w:val="页脚 字符"/>
    <w:link w:val="27"/>
    <w:qFormat/>
    <w:uiPriority w:val="99"/>
    <w:rPr>
      <w:kern w:val="2"/>
      <w:sz w:val="18"/>
      <w:szCs w:val="18"/>
    </w:rPr>
  </w:style>
  <w:style w:type="character" w:customStyle="1" w:styleId="69">
    <w:name w:val="页眉 字符"/>
    <w:link w:val="28"/>
    <w:qFormat/>
    <w:locked/>
    <w:uiPriority w:val="99"/>
    <w:rPr>
      <w:kern w:val="2"/>
      <w:sz w:val="18"/>
      <w:szCs w:val="18"/>
    </w:rPr>
  </w:style>
  <w:style w:type="character" w:customStyle="1" w:styleId="70">
    <w:name w:val="标题 字符"/>
    <w:link w:val="38"/>
    <w:qFormat/>
    <w:locked/>
    <w:uiPriority w:val="0"/>
    <w:rPr>
      <w:rFonts w:ascii="Arial" w:hAnsi="Arial"/>
      <w:b/>
      <w:kern w:val="28"/>
      <w:sz w:val="32"/>
    </w:rPr>
  </w:style>
  <w:style w:type="character" w:customStyle="1" w:styleId="71">
    <w:name w:val="批注主题 字符"/>
    <w:link w:val="39"/>
    <w:qFormat/>
    <w:locked/>
    <w:uiPriority w:val="0"/>
    <w:rPr>
      <w:b/>
      <w:bCs/>
      <w:kern w:val="2"/>
      <w:sz w:val="21"/>
      <w:szCs w:val="24"/>
    </w:rPr>
  </w:style>
  <w:style w:type="character" w:customStyle="1" w:styleId="72">
    <w:name w:val="bd-close2"/>
    <w:qFormat/>
    <w:uiPriority w:val="0"/>
    <w:rPr>
      <w:vanish/>
    </w:rPr>
  </w:style>
  <w:style w:type="character" w:customStyle="1" w:styleId="73">
    <w:name w:val="left"/>
    <w:qFormat/>
    <w:uiPriority w:val="0"/>
    <w:rPr>
      <w:color w:val="FF4700"/>
    </w:rPr>
  </w:style>
  <w:style w:type="character" w:customStyle="1" w:styleId="74">
    <w:name w:val="first-child"/>
    <w:qFormat/>
    <w:uiPriority w:val="0"/>
  </w:style>
  <w:style w:type="character" w:customStyle="1" w:styleId="75">
    <w:name w:val="bd-close"/>
    <w:qFormat/>
    <w:uiPriority w:val="0"/>
    <w:rPr>
      <w:vanish/>
    </w:rPr>
  </w:style>
  <w:style w:type="character" w:customStyle="1" w:styleId="76">
    <w:name w:val="left2"/>
    <w:qFormat/>
    <w:uiPriority w:val="0"/>
    <w:rPr>
      <w:color w:val="FF4700"/>
    </w:rPr>
  </w:style>
  <w:style w:type="character" w:customStyle="1" w:styleId="77">
    <w:name w:val="edui-clickable2"/>
    <w:qFormat/>
    <w:uiPriority w:val="0"/>
    <w:rPr>
      <w:color w:val="0000FF"/>
      <w:u w:val="single"/>
    </w:rPr>
  </w:style>
  <w:style w:type="character" w:customStyle="1" w:styleId="78">
    <w:name w:val="Footer Char"/>
    <w:qFormat/>
    <w:locked/>
    <w:uiPriority w:val="0"/>
    <w:rPr>
      <w:rFonts w:ascii="Calibri" w:hAnsi="Calibri" w:eastAsia="宋体"/>
      <w:sz w:val="18"/>
    </w:rPr>
  </w:style>
  <w:style w:type="character" w:customStyle="1" w:styleId="79">
    <w:name w:val="Header Char"/>
    <w:qFormat/>
    <w:locked/>
    <w:uiPriority w:val="0"/>
    <w:rPr>
      <w:rFonts w:ascii="Calibri" w:hAnsi="Calibri" w:eastAsia="宋体"/>
      <w:sz w:val="18"/>
    </w:rPr>
  </w:style>
  <w:style w:type="character" w:customStyle="1" w:styleId="80">
    <w:name w:val="标题2 Char"/>
    <w:link w:val="81"/>
    <w:qFormat/>
    <w:uiPriority w:val="0"/>
    <w:rPr>
      <w:rFonts w:ascii="黑体" w:hAnsi="宋体" w:cs="黑体"/>
      <w:b/>
      <w:bCs/>
      <w:sz w:val="28"/>
      <w:szCs w:val="28"/>
    </w:rPr>
  </w:style>
  <w:style w:type="paragraph" w:customStyle="1" w:styleId="81">
    <w:name w:val="标题2"/>
    <w:basedOn w:val="5"/>
    <w:next w:val="1"/>
    <w:link w:val="80"/>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2">
    <w:name w:val="中文正文、 Char Char"/>
    <w:link w:val="83"/>
    <w:qFormat/>
    <w:uiPriority w:val="0"/>
    <w:rPr>
      <w:kern w:val="2"/>
      <w:sz w:val="21"/>
      <w:szCs w:val="21"/>
    </w:rPr>
  </w:style>
  <w:style w:type="paragraph" w:customStyle="1" w:styleId="83">
    <w:name w:val="中文正文、"/>
    <w:basedOn w:val="1"/>
    <w:link w:val="82"/>
    <w:qFormat/>
    <w:uiPriority w:val="0"/>
    <w:pPr>
      <w:spacing w:line="360" w:lineRule="auto"/>
      <w:ind w:firstLine="420" w:firstLineChars="200"/>
    </w:pPr>
    <w:rPr>
      <w:szCs w:val="21"/>
    </w:rPr>
  </w:style>
  <w:style w:type="character" w:customStyle="1" w:styleId="84">
    <w:name w:val="批注主题 Char"/>
    <w:link w:val="85"/>
    <w:qFormat/>
    <w:locked/>
    <w:uiPriority w:val="0"/>
    <w:rPr>
      <w:b/>
      <w:sz w:val="24"/>
    </w:rPr>
  </w:style>
  <w:style w:type="paragraph" w:customStyle="1" w:styleId="85">
    <w:name w:val="批注主题1"/>
    <w:basedOn w:val="16"/>
    <w:next w:val="16"/>
    <w:link w:val="84"/>
    <w:qFormat/>
    <w:uiPriority w:val="0"/>
    <w:pPr>
      <w:adjustRightInd/>
      <w:spacing w:line="240" w:lineRule="auto"/>
      <w:textAlignment w:val="auto"/>
    </w:pPr>
    <w:rPr>
      <w:b/>
    </w:rPr>
  </w:style>
  <w:style w:type="character" w:customStyle="1" w:styleId="86">
    <w:name w:val="16"/>
    <w:qFormat/>
    <w:uiPriority w:val="0"/>
    <w:rPr>
      <w:rFonts w:hint="default" w:ascii="Times New Roman" w:hAnsi="Times New Roman" w:cs="Times New Roman"/>
    </w:rPr>
  </w:style>
  <w:style w:type="character" w:customStyle="1" w:styleId="87">
    <w:name w:val="封面标题 Char"/>
    <w:link w:val="88"/>
    <w:qFormat/>
    <w:uiPriority w:val="0"/>
    <w:rPr>
      <w:rFonts w:ascii="黑体" w:eastAsia="黑体"/>
      <w:sz w:val="52"/>
      <w:szCs w:val="52"/>
    </w:rPr>
  </w:style>
  <w:style w:type="paragraph" w:customStyle="1" w:styleId="88">
    <w:name w:val="封面标题"/>
    <w:basedOn w:val="1"/>
    <w:link w:val="87"/>
    <w:qFormat/>
    <w:uiPriority w:val="0"/>
    <w:pPr>
      <w:spacing w:line="276" w:lineRule="auto"/>
      <w:jc w:val="center"/>
    </w:pPr>
    <w:rPr>
      <w:rFonts w:ascii="黑体" w:eastAsia="黑体"/>
      <w:kern w:val="0"/>
      <w:sz w:val="52"/>
      <w:szCs w:val="52"/>
    </w:rPr>
  </w:style>
  <w:style w:type="character" w:customStyle="1" w:styleId="89">
    <w:name w:val="edui-unclickable"/>
    <w:qFormat/>
    <w:uiPriority w:val="0"/>
    <w:rPr>
      <w:color w:val="808080"/>
    </w:rPr>
  </w:style>
  <w:style w:type="character" w:customStyle="1" w:styleId="90">
    <w:name w:val="15"/>
    <w:qFormat/>
    <w:uiPriority w:val="0"/>
    <w:rPr>
      <w:rFonts w:hint="eastAsia" w:ascii="宋体" w:hAnsi="宋体" w:eastAsia="宋体"/>
      <w:sz w:val="24"/>
      <w:szCs w:val="24"/>
    </w:rPr>
  </w:style>
  <w:style w:type="character" w:customStyle="1" w:styleId="91">
    <w:name w:val="封面副标题 Char"/>
    <w:link w:val="92"/>
    <w:qFormat/>
    <w:uiPriority w:val="0"/>
    <w:rPr>
      <w:rFonts w:ascii="黑体" w:eastAsia="黑体"/>
      <w:sz w:val="28"/>
      <w:szCs w:val="28"/>
    </w:rPr>
  </w:style>
  <w:style w:type="paragraph" w:customStyle="1" w:styleId="92">
    <w:name w:val="封面副标题"/>
    <w:basedOn w:val="1"/>
    <w:link w:val="91"/>
    <w:qFormat/>
    <w:uiPriority w:val="0"/>
    <w:pPr>
      <w:spacing w:line="276" w:lineRule="auto"/>
      <w:ind w:firstLine="199" w:firstLineChars="71"/>
      <w:jc w:val="center"/>
    </w:pPr>
    <w:rPr>
      <w:rFonts w:ascii="黑体" w:eastAsia="黑体"/>
      <w:kern w:val="0"/>
      <w:sz w:val="28"/>
      <w:szCs w:val="28"/>
    </w:rPr>
  </w:style>
  <w:style w:type="character" w:customStyle="1" w:styleId="93">
    <w:name w:val="文档结构图 Char"/>
    <w:link w:val="94"/>
    <w:qFormat/>
    <w:locked/>
    <w:uiPriority w:val="0"/>
    <w:rPr>
      <w:rFonts w:ascii="宋体" w:hAnsi="Calibri"/>
      <w:sz w:val="18"/>
    </w:rPr>
  </w:style>
  <w:style w:type="paragraph" w:customStyle="1" w:styleId="94">
    <w:name w:val="文档结构图1"/>
    <w:basedOn w:val="1"/>
    <w:link w:val="93"/>
    <w:qFormat/>
    <w:uiPriority w:val="0"/>
    <w:rPr>
      <w:rFonts w:ascii="宋体" w:hAnsi="Calibri"/>
      <w:kern w:val="0"/>
      <w:sz w:val="18"/>
      <w:szCs w:val="20"/>
    </w:rPr>
  </w:style>
  <w:style w:type="character" w:customStyle="1" w:styleId="95">
    <w:name w:val="纯文本 Char"/>
    <w:qFormat/>
    <w:locked/>
    <w:uiPriority w:val="0"/>
    <w:rPr>
      <w:rFonts w:ascii="Calibri" w:hAnsi="Calibri" w:cs="Calibri"/>
    </w:rPr>
  </w:style>
  <w:style w:type="character" w:customStyle="1" w:styleId="96">
    <w:name w:val="font31"/>
    <w:qFormat/>
    <w:uiPriority w:val="0"/>
    <w:rPr>
      <w:rFonts w:hint="eastAsia" w:ascii="仿宋" w:hAnsi="仿宋" w:eastAsia="仿宋" w:cs="仿宋"/>
      <w:color w:val="000000"/>
      <w:kern w:val="0"/>
      <w:sz w:val="20"/>
      <w:szCs w:val="20"/>
      <w:u w:val="none"/>
    </w:rPr>
  </w:style>
  <w:style w:type="character" w:customStyle="1" w:styleId="97">
    <w:name w:val="button"/>
    <w:qFormat/>
    <w:uiPriority w:val="0"/>
  </w:style>
  <w:style w:type="character" w:customStyle="1" w:styleId="98">
    <w:name w:val="bd-open"/>
    <w:qFormat/>
    <w:uiPriority w:val="0"/>
  </w:style>
  <w:style w:type="character" w:customStyle="1" w:styleId="99">
    <w:name w:val="tmpztreemove_arrow"/>
    <w:qFormat/>
    <w:uiPriority w:val="0"/>
  </w:style>
  <w:style w:type="character" w:customStyle="1" w:styleId="100">
    <w:name w:val="Comment Text Char"/>
    <w:qFormat/>
    <w:locked/>
    <w:uiPriority w:val="0"/>
    <w:rPr>
      <w:rFonts w:ascii="Times New Roman" w:hAnsi="Times New Roman" w:eastAsia="宋体"/>
      <w:sz w:val="24"/>
    </w:rPr>
  </w:style>
  <w:style w:type="character" w:customStyle="1" w:styleId="101">
    <w:name w:val="A表格文字 Char"/>
    <w:link w:val="102"/>
    <w:qFormat/>
    <w:uiPriority w:val="0"/>
    <w:rPr>
      <w:rFonts w:ascii="宋体" w:hAnsi="宋体"/>
      <w:kern w:val="21"/>
      <w:sz w:val="21"/>
    </w:rPr>
  </w:style>
  <w:style w:type="paragraph" w:customStyle="1" w:styleId="102">
    <w:name w:val="A表格文字"/>
    <w:basedOn w:val="1"/>
    <w:link w:val="101"/>
    <w:qFormat/>
    <w:uiPriority w:val="0"/>
    <w:pPr>
      <w:adjustRightInd w:val="0"/>
      <w:snapToGrid w:val="0"/>
      <w:spacing w:before="40" w:after="40"/>
      <w:jc w:val="left"/>
    </w:pPr>
    <w:rPr>
      <w:rFonts w:ascii="宋体" w:hAnsi="宋体"/>
      <w:kern w:val="21"/>
      <w:szCs w:val="20"/>
    </w:rPr>
  </w:style>
  <w:style w:type="character" w:customStyle="1" w:styleId="103">
    <w:name w:val="layui-layer-tabnow"/>
    <w:qFormat/>
    <w:uiPriority w:val="0"/>
    <w:rPr>
      <w:bdr w:val="single" w:color="CCCCCC" w:sz="6" w:space="0"/>
      <w:shd w:val="clear" w:color="auto" w:fill="FFFFFF"/>
    </w:rPr>
  </w:style>
  <w:style w:type="character" w:customStyle="1" w:styleId="104">
    <w:name w:val="批注文字 Char2"/>
    <w:qFormat/>
    <w:uiPriority w:val="99"/>
    <w:rPr>
      <w:kern w:val="2"/>
      <w:sz w:val="21"/>
    </w:rPr>
  </w:style>
  <w:style w:type="character" w:customStyle="1" w:styleId="105">
    <w:name w:val="bd-open2"/>
    <w:qFormat/>
    <w:uiPriority w:val="0"/>
  </w:style>
  <w:style w:type="character" w:customStyle="1" w:styleId="106">
    <w:name w:val="font51"/>
    <w:qFormat/>
    <w:uiPriority w:val="0"/>
    <w:rPr>
      <w:rFonts w:hint="eastAsia" w:ascii="仿宋" w:hAnsi="仿宋" w:eastAsia="仿宋" w:cs="仿宋"/>
      <w:b/>
      <w:bCs/>
      <w:color w:val="000000"/>
      <w:sz w:val="21"/>
      <w:szCs w:val="21"/>
      <w:u w:val="none"/>
    </w:rPr>
  </w:style>
  <w:style w:type="character" w:customStyle="1" w:styleId="107">
    <w:name w:val="列表段落 字符"/>
    <w:link w:val="108"/>
    <w:qFormat/>
    <w:locked/>
    <w:uiPriority w:val="34"/>
    <w:rPr>
      <w:rFonts w:cs="Calibri"/>
      <w:kern w:val="2"/>
      <w:sz w:val="21"/>
      <w:szCs w:val="24"/>
    </w:rPr>
  </w:style>
  <w:style w:type="paragraph" w:styleId="108">
    <w:name w:val="List Paragraph"/>
    <w:basedOn w:val="1"/>
    <w:link w:val="107"/>
    <w:qFormat/>
    <w:uiPriority w:val="34"/>
    <w:pPr>
      <w:ind w:firstLine="420" w:firstLineChars="200"/>
    </w:pPr>
    <w:rPr>
      <w:rFonts w:ascii="Calibri" w:hAnsi="Calibri" w:cs="Calibri"/>
    </w:rPr>
  </w:style>
  <w:style w:type="character" w:customStyle="1" w:styleId="109">
    <w:name w:val="Title Char"/>
    <w:qFormat/>
    <w:locked/>
    <w:uiPriority w:val="0"/>
    <w:rPr>
      <w:rFonts w:ascii="Cambria" w:hAnsi="Cambria" w:eastAsia="宋体"/>
      <w:b/>
      <w:sz w:val="32"/>
    </w:rPr>
  </w:style>
  <w:style w:type="character" w:customStyle="1" w:styleId="110">
    <w:name w:val="批注文字 Char1"/>
    <w:qFormat/>
    <w:uiPriority w:val="0"/>
    <w:rPr>
      <w:kern w:val="2"/>
      <w:sz w:val="21"/>
    </w:rPr>
  </w:style>
  <w:style w:type="character" w:customStyle="1" w:styleId="111">
    <w:name w:val="彩色列表 - 强调文字颜色 1 Char"/>
    <w:link w:val="112"/>
    <w:qFormat/>
    <w:uiPriority w:val="34"/>
    <w:rPr>
      <w:rFonts w:ascii="Calibri" w:hAnsi="Calibri"/>
      <w:kern w:val="2"/>
      <w:sz w:val="21"/>
      <w:szCs w:val="22"/>
    </w:rPr>
  </w:style>
  <w:style w:type="paragraph" w:customStyle="1" w:styleId="112">
    <w:name w:val="彩色列表 - 强调文字颜色 11"/>
    <w:basedOn w:val="1"/>
    <w:link w:val="111"/>
    <w:qFormat/>
    <w:uiPriority w:val="34"/>
    <w:pPr>
      <w:ind w:firstLine="420" w:firstLineChars="200"/>
    </w:pPr>
    <w:rPr>
      <w:rFonts w:ascii="Calibri" w:hAnsi="Calibri"/>
      <w:szCs w:val="22"/>
    </w:rPr>
  </w:style>
  <w:style w:type="character" w:customStyle="1" w:styleId="113">
    <w:name w:val="列出段落 字符"/>
    <w:qFormat/>
    <w:uiPriority w:val="34"/>
    <w:rPr>
      <w:kern w:val="2"/>
      <w:sz w:val="21"/>
      <w:szCs w:val="24"/>
    </w:rPr>
  </w:style>
  <w:style w:type="character" w:customStyle="1" w:styleId="114">
    <w:name w:val="批注引用1"/>
    <w:qFormat/>
    <w:uiPriority w:val="0"/>
    <w:rPr>
      <w:sz w:val="21"/>
    </w:rPr>
  </w:style>
  <w:style w:type="character" w:customStyle="1" w:styleId="115">
    <w:name w:val="Balloon Text Char"/>
    <w:qFormat/>
    <w:locked/>
    <w:uiPriority w:val="0"/>
    <w:rPr>
      <w:rFonts w:ascii="Calibri" w:hAnsi="Calibri" w:eastAsia="宋体"/>
      <w:sz w:val="18"/>
    </w:rPr>
  </w:style>
  <w:style w:type="character" w:customStyle="1" w:styleId="116">
    <w:name w:val="A表格文字左对齐 Char"/>
    <w:link w:val="117"/>
    <w:qFormat/>
    <w:uiPriority w:val="0"/>
    <w:rPr>
      <w:rFonts w:ascii="宋体" w:hAnsi="宋体"/>
      <w:kern w:val="2"/>
      <w:sz w:val="21"/>
    </w:rPr>
  </w:style>
  <w:style w:type="paragraph" w:customStyle="1" w:styleId="117">
    <w:name w:val="A表格文字左对齐"/>
    <w:basedOn w:val="1"/>
    <w:link w:val="116"/>
    <w:qFormat/>
    <w:uiPriority w:val="0"/>
    <w:pPr>
      <w:adjustRightInd w:val="0"/>
      <w:spacing w:before="40" w:after="4"/>
      <w:jc w:val="left"/>
    </w:pPr>
    <w:rPr>
      <w:rFonts w:ascii="宋体" w:hAnsi="宋体"/>
      <w:szCs w:val="20"/>
    </w:rPr>
  </w:style>
  <w:style w:type="character" w:customStyle="1" w:styleId="118">
    <w:name w:val="font11"/>
    <w:qFormat/>
    <w:uiPriority w:val="0"/>
    <w:rPr>
      <w:rFonts w:hint="eastAsia" w:ascii="仿宋" w:hAnsi="仿宋" w:eastAsia="仿宋" w:cs="仿宋"/>
      <w:color w:val="FF0000"/>
      <w:sz w:val="20"/>
      <w:szCs w:val="20"/>
      <w:u w:val="none"/>
      <w:lang w:val="en-US" w:eastAsia="zh-CN" w:bidi="ar-SA"/>
    </w:rPr>
  </w:style>
  <w:style w:type="character" w:customStyle="1" w:styleId="119">
    <w:name w:val="right"/>
    <w:qFormat/>
    <w:uiPriority w:val="0"/>
  </w:style>
  <w:style w:type="character" w:customStyle="1" w:styleId="120">
    <w:name w:val="批注文字 字符"/>
    <w:qFormat/>
    <w:uiPriority w:val="99"/>
    <w:rPr>
      <w:kern w:val="2"/>
      <w:sz w:val="21"/>
    </w:rPr>
  </w:style>
  <w:style w:type="character" w:customStyle="1" w:styleId="121">
    <w:name w:val="font21"/>
    <w:qFormat/>
    <w:uiPriority w:val="0"/>
    <w:rPr>
      <w:rFonts w:hint="default" w:ascii="仿宋_GB2312" w:hAnsi="宋体" w:eastAsia="仿宋_GB2312" w:cs="仿宋_GB2312"/>
      <w:color w:val="FF0000"/>
      <w:kern w:val="0"/>
      <w:sz w:val="24"/>
      <w:szCs w:val="24"/>
      <w:u w:val="none"/>
    </w:rPr>
  </w:style>
  <w:style w:type="character" w:customStyle="1" w:styleId="122">
    <w:name w:val="日期 Char"/>
    <w:link w:val="123"/>
    <w:qFormat/>
    <w:locked/>
    <w:uiPriority w:val="0"/>
    <w:rPr>
      <w:rFonts w:ascii="Calibri" w:hAnsi="Calibri"/>
    </w:rPr>
  </w:style>
  <w:style w:type="paragraph" w:customStyle="1" w:styleId="123">
    <w:name w:val="日期1"/>
    <w:basedOn w:val="1"/>
    <w:next w:val="1"/>
    <w:link w:val="122"/>
    <w:qFormat/>
    <w:uiPriority w:val="0"/>
    <w:pPr>
      <w:ind w:left="100" w:leftChars="2500"/>
    </w:pPr>
    <w:rPr>
      <w:rFonts w:ascii="Calibri" w:hAnsi="Calibri"/>
      <w:kern w:val="0"/>
      <w:sz w:val="20"/>
      <w:szCs w:val="20"/>
    </w:rPr>
  </w:style>
  <w:style w:type="character" w:customStyle="1" w:styleId="124">
    <w:name w:val="封面合同编号 Char"/>
    <w:link w:val="125"/>
    <w:qFormat/>
    <w:uiPriority w:val="0"/>
    <w:rPr>
      <w:rFonts w:ascii="Calibri" w:hAnsi="Calibri"/>
      <w:kern w:val="2"/>
      <w:sz w:val="21"/>
      <w:szCs w:val="22"/>
    </w:rPr>
  </w:style>
  <w:style w:type="paragraph" w:customStyle="1" w:styleId="125">
    <w:name w:val="封面合同编号"/>
    <w:basedOn w:val="1"/>
    <w:link w:val="124"/>
    <w:qFormat/>
    <w:uiPriority w:val="0"/>
    <w:pPr>
      <w:spacing w:line="276" w:lineRule="auto"/>
      <w:ind w:right="1701"/>
      <w:jc w:val="right"/>
    </w:pPr>
    <w:rPr>
      <w:rFonts w:ascii="Calibri" w:hAnsi="Calibri"/>
      <w:szCs w:val="22"/>
    </w:rPr>
  </w:style>
  <w:style w:type="paragraph" w:customStyle="1" w:styleId="126">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7">
    <w:name w:val="1正文"/>
    <w:basedOn w:val="1"/>
    <w:qFormat/>
    <w:uiPriority w:val="0"/>
    <w:pPr>
      <w:spacing w:line="560" w:lineRule="exact"/>
      <w:ind w:firstLine="200" w:firstLineChars="200"/>
    </w:pPr>
    <w:rPr>
      <w:rFonts w:eastAsia="Cambria Math"/>
      <w:sz w:val="32"/>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无间隔1"/>
    <w:qFormat/>
    <w:uiPriority w:val="1"/>
    <w:rPr>
      <w:rFonts w:ascii="Times New Roman" w:hAnsi="Times New Roman" w:eastAsia="宋体" w:cs="Times New Roman"/>
      <w:sz w:val="22"/>
      <w:lang w:val="en-US" w:eastAsia="zh-CN" w:bidi="ar-SA"/>
    </w:rPr>
  </w:style>
  <w:style w:type="paragraph" w:customStyle="1" w:styleId="130">
    <w:name w:val="表格正文"/>
    <w:basedOn w:val="1"/>
    <w:qFormat/>
    <w:uiPriority w:val="0"/>
    <w:pPr>
      <w:widowControl/>
      <w:snapToGrid w:val="0"/>
      <w:spacing w:line="300" w:lineRule="auto"/>
      <w:jc w:val="left"/>
    </w:pPr>
    <w:rPr>
      <w:rFonts w:ascii="Calibri" w:hAnsi="Calibri"/>
      <w:sz w:val="24"/>
    </w:rPr>
  </w:style>
  <w:style w:type="paragraph" w:customStyle="1" w:styleId="131">
    <w:name w:val="_Style 129"/>
    <w:basedOn w:val="1"/>
    <w:next w:val="1"/>
    <w:qFormat/>
    <w:uiPriority w:val="0"/>
    <w:pPr>
      <w:pBdr>
        <w:top w:val="single" w:color="auto" w:sz="6" w:space="1"/>
      </w:pBdr>
      <w:jc w:val="center"/>
    </w:pPr>
    <w:rPr>
      <w:rFonts w:ascii="Arial"/>
      <w:vanish/>
      <w:sz w:val="16"/>
    </w:rPr>
  </w:style>
  <w:style w:type="paragraph" w:customStyle="1" w:styleId="132">
    <w:name w:val="text-only"/>
    <w:basedOn w:val="1"/>
    <w:qFormat/>
    <w:uiPriority w:val="0"/>
    <w:pPr>
      <w:spacing w:after="300" w:line="420" w:lineRule="atLeast"/>
      <w:jc w:val="left"/>
    </w:pPr>
    <w:rPr>
      <w:kern w:val="0"/>
    </w:rPr>
  </w:style>
  <w:style w:type="paragraph" w:customStyle="1" w:styleId="133">
    <w:name w:val="Level 2"/>
    <w:basedOn w:val="1"/>
    <w:qFormat/>
    <w:uiPriority w:val="0"/>
    <w:rPr>
      <w:rFonts w:ascii="Calibri" w:hAnsi="Calibri"/>
      <w:szCs w:val="22"/>
    </w:rPr>
  </w:style>
  <w:style w:type="paragraph" w:customStyle="1" w:styleId="134">
    <w:name w:val="列出段落2"/>
    <w:basedOn w:val="1"/>
    <w:qFormat/>
    <w:uiPriority w:val="0"/>
    <w:pPr>
      <w:ind w:firstLine="420" w:firstLineChars="200"/>
    </w:pPr>
    <w:rPr>
      <w:rFonts w:ascii="Calibri" w:hAnsi="Calibri"/>
      <w:szCs w:val="22"/>
    </w:rPr>
  </w:style>
  <w:style w:type="paragraph" w:customStyle="1" w:styleId="135">
    <w:name w:val="样式 标题 1卷标题H1章标题 1 1TITRE1L1 Heading 1h11st levelh111st...3"/>
    <w:basedOn w:val="2"/>
    <w:qFormat/>
    <w:uiPriority w:val="0"/>
    <w:pPr>
      <w:spacing w:before="120" w:after="120" w:line="360" w:lineRule="auto"/>
      <w:jc w:val="center"/>
    </w:pPr>
    <w:rPr>
      <w:rFonts w:ascii="宋体" w:hAnsi="宋体"/>
      <w:sz w:val="36"/>
      <w:szCs w:val="20"/>
    </w:rPr>
  </w:style>
  <w:style w:type="paragraph" w:customStyle="1" w:styleId="136">
    <w:name w:val="样式 样式 首行缩进:  2 字符1 + 首行缩进:  2 字符"/>
    <w:basedOn w:val="137"/>
    <w:qFormat/>
    <w:uiPriority w:val="0"/>
    <w:pPr>
      <w:ind w:firstLine="480"/>
    </w:pPr>
  </w:style>
  <w:style w:type="paragraph" w:customStyle="1" w:styleId="137">
    <w:name w:val="样式 首行缩进:  2 字符1"/>
    <w:basedOn w:val="1"/>
    <w:qFormat/>
    <w:uiPriority w:val="0"/>
    <w:pPr>
      <w:spacing w:line="360" w:lineRule="auto"/>
      <w:ind w:firstLine="200" w:firstLineChars="200"/>
    </w:pPr>
    <w:rPr>
      <w:kern w:val="0"/>
      <w:sz w:val="24"/>
      <w:szCs w:val="20"/>
    </w:rPr>
  </w:style>
  <w:style w:type="paragraph" w:customStyle="1" w:styleId="138">
    <w:name w:val="正文文本 32"/>
    <w:basedOn w:val="1"/>
    <w:qFormat/>
    <w:uiPriority w:val="0"/>
    <w:pPr>
      <w:spacing w:line="312" w:lineRule="auto"/>
    </w:pPr>
    <w:rPr>
      <w:rFonts w:ascii="宋体"/>
      <w:sz w:val="24"/>
      <w:szCs w:val="20"/>
    </w:rPr>
  </w:style>
  <w:style w:type="paragraph" w:customStyle="1" w:styleId="139">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40">
    <w:name w:val="正文文本 31"/>
    <w:basedOn w:val="1"/>
    <w:qFormat/>
    <w:uiPriority w:val="0"/>
    <w:rPr>
      <w:rFonts w:ascii="宋体"/>
      <w:sz w:val="24"/>
    </w:rPr>
  </w:style>
  <w:style w:type="paragraph" w:customStyle="1" w:styleId="141">
    <w:name w:val="Level 4"/>
    <w:basedOn w:val="1"/>
    <w:qFormat/>
    <w:uiPriority w:val="0"/>
    <w:pPr>
      <w:tabs>
        <w:tab w:val="left" w:pos="2440"/>
      </w:tabs>
      <w:ind w:left="2041" w:hanging="765"/>
    </w:pPr>
    <w:rPr>
      <w:rFonts w:ascii="Calibri" w:hAnsi="Calibri"/>
      <w:szCs w:val="22"/>
    </w:rPr>
  </w:style>
  <w:style w:type="paragraph" w:customStyle="1" w:styleId="142">
    <w:name w:val="1"/>
    <w:basedOn w:val="1"/>
    <w:next w:val="25"/>
    <w:qFormat/>
    <w:uiPriority w:val="0"/>
    <w:pPr>
      <w:tabs>
        <w:tab w:val="left" w:pos="3060"/>
      </w:tabs>
      <w:spacing w:line="140" w:lineRule="atLeast"/>
      <w:ind w:firstLine="560" w:firstLineChars="200"/>
    </w:pPr>
    <w:rPr>
      <w:sz w:val="28"/>
    </w:rPr>
  </w:style>
  <w:style w:type="paragraph" w:customStyle="1" w:styleId="143">
    <w:name w:val="样式 左侧:  0.74 厘米1"/>
    <w:basedOn w:val="1"/>
    <w:qFormat/>
    <w:uiPriority w:val="0"/>
    <w:pPr>
      <w:ind w:left="620" w:hanging="200" w:hangingChars="200"/>
    </w:pPr>
    <w:rPr>
      <w:szCs w:val="20"/>
    </w:rPr>
  </w:style>
  <w:style w:type="paragraph" w:customStyle="1" w:styleId="14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样式 四号 首行缩进:  1厘米 行距: 1.5 倍行距"/>
    <w:basedOn w:val="1"/>
    <w:qFormat/>
    <w:uiPriority w:val="0"/>
    <w:pPr>
      <w:spacing w:line="360" w:lineRule="auto"/>
      <w:ind w:firstLine="570"/>
    </w:pPr>
    <w:rPr>
      <w:sz w:val="28"/>
      <w:szCs w:val="20"/>
    </w:rPr>
  </w:style>
  <w:style w:type="paragraph" w:customStyle="1" w:styleId="146">
    <w:name w:val="样式 标题 1 + (西文) Times New Roman (中文) 仿宋 小四 黑色 居中 左侧:  0 厘米 ..."/>
    <w:basedOn w:val="2"/>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7">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8">
    <w:name w:val="样式1"/>
    <w:basedOn w:val="1"/>
    <w:qFormat/>
    <w:uiPriority w:val="0"/>
    <w:pPr>
      <w:numPr>
        <w:ilvl w:val="0"/>
        <w:numId w:val="3"/>
      </w:numPr>
      <w:spacing w:line="360" w:lineRule="auto"/>
      <w:ind w:left="1253" w:hanging="680"/>
    </w:pPr>
    <w:rPr>
      <w:sz w:val="28"/>
      <w:szCs w:val="28"/>
    </w:rPr>
  </w:style>
  <w:style w:type="paragraph" w:customStyle="1" w:styleId="149">
    <w:name w:val="Level 1"/>
    <w:basedOn w:val="1"/>
    <w:qFormat/>
    <w:uiPriority w:val="0"/>
    <w:rPr>
      <w:rFonts w:ascii="Calibri" w:hAnsi="Calibri"/>
      <w:szCs w:val="22"/>
    </w:rPr>
  </w:style>
  <w:style w:type="paragraph" w:customStyle="1" w:styleId="150">
    <w:name w:val="p16"/>
    <w:basedOn w:val="1"/>
    <w:qFormat/>
    <w:uiPriority w:val="0"/>
    <w:pPr>
      <w:widowControl/>
    </w:pPr>
    <w:rPr>
      <w:rFonts w:ascii="宋体" w:hAnsi="宋体"/>
      <w:kern w:val="0"/>
      <w:sz w:val="24"/>
      <w:szCs w:val="20"/>
    </w:rPr>
  </w:style>
  <w:style w:type="paragraph" w:customStyle="1" w:styleId="151">
    <w:name w:val="List Paragraph1"/>
    <w:basedOn w:val="1"/>
    <w:qFormat/>
    <w:uiPriority w:val="34"/>
    <w:pPr>
      <w:ind w:firstLine="420" w:firstLineChars="200"/>
    </w:pPr>
  </w:style>
  <w:style w:type="paragraph" w:customStyle="1" w:styleId="15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53">
    <w:name w:val="_Style 1"/>
    <w:basedOn w:val="1"/>
    <w:qFormat/>
    <w:uiPriority w:val="34"/>
    <w:pPr>
      <w:ind w:firstLine="420" w:firstLineChars="200"/>
    </w:pPr>
    <w:rPr>
      <w:szCs w:val="20"/>
    </w:rPr>
  </w:style>
  <w:style w:type="paragraph" w:customStyle="1" w:styleId="154">
    <w:name w:val="标题4"/>
    <w:basedOn w:val="1"/>
    <w:qFormat/>
    <w:uiPriority w:val="0"/>
    <w:pPr>
      <w:spacing w:before="156" w:beforeLines="50" w:after="156" w:afterLines="50"/>
      <w:jc w:val="left"/>
    </w:pPr>
    <w:rPr>
      <w:rFonts w:eastAsia="黑体"/>
      <w:b/>
      <w:kern w:val="0"/>
      <w:sz w:val="30"/>
    </w:rPr>
  </w:style>
  <w:style w:type="paragraph" w:customStyle="1" w:styleId="155">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6">
    <w:name w:val="列出段落1"/>
    <w:basedOn w:val="1"/>
    <w:qFormat/>
    <w:uiPriority w:val="34"/>
    <w:pPr>
      <w:ind w:firstLine="420" w:firstLineChars="200"/>
    </w:pPr>
    <w:rPr>
      <w:rFonts w:ascii="Calibri" w:hAnsi="Calibri" w:cs="Calibri"/>
      <w:szCs w:val="21"/>
    </w:rPr>
  </w:style>
  <w:style w:type="paragraph" w:customStyle="1" w:styleId="157">
    <w:name w:val="p0"/>
    <w:basedOn w:val="1"/>
    <w:qFormat/>
    <w:uiPriority w:val="0"/>
    <w:pPr>
      <w:widowControl/>
    </w:pPr>
    <w:rPr>
      <w:kern w:val="0"/>
      <w:szCs w:val="21"/>
    </w:rPr>
  </w:style>
  <w:style w:type="paragraph" w:customStyle="1" w:styleId="158">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9">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60">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1">
    <w:name w:val="_Style 12"/>
    <w:basedOn w:val="1"/>
    <w:next w:val="19"/>
    <w:qFormat/>
    <w:uiPriority w:val="0"/>
    <w:pPr>
      <w:spacing w:line="360" w:lineRule="auto"/>
      <w:ind w:firstLine="540"/>
    </w:pPr>
    <w:rPr>
      <w:sz w:val="28"/>
      <w:szCs w:val="20"/>
    </w:rPr>
  </w:style>
  <w:style w:type="paragraph" w:customStyle="1" w:styleId="162">
    <w:name w:val="_Style 160"/>
    <w:basedOn w:val="1"/>
    <w:next w:val="108"/>
    <w:qFormat/>
    <w:uiPriority w:val="0"/>
    <w:pPr>
      <w:pBdr>
        <w:bottom w:val="single" w:color="auto" w:sz="6" w:space="1"/>
      </w:pBdr>
      <w:jc w:val="center"/>
    </w:pPr>
    <w:rPr>
      <w:rFonts w:ascii="Arial"/>
      <w:vanish/>
      <w:sz w:val="16"/>
    </w:rPr>
  </w:style>
  <w:style w:type="paragraph" w:customStyle="1" w:styleId="163">
    <w:name w:val="Level 5"/>
    <w:basedOn w:val="1"/>
    <w:qFormat/>
    <w:uiPriority w:val="0"/>
    <w:pPr>
      <w:tabs>
        <w:tab w:val="left" w:pos="2552"/>
      </w:tabs>
      <w:ind w:left="2552" w:hanging="567"/>
    </w:pPr>
    <w:rPr>
      <w:rFonts w:ascii="Calibri" w:hAnsi="Calibri"/>
      <w:szCs w:val="22"/>
    </w:rPr>
  </w:style>
  <w:style w:type="paragraph" w:customStyle="1" w:styleId="164">
    <w:name w:val="样式 标题 2 +"/>
    <w:basedOn w:val="3"/>
    <w:qFormat/>
    <w:uiPriority w:val="0"/>
    <w:pPr>
      <w:tabs>
        <w:tab w:val="left" w:pos="652"/>
      </w:tabs>
      <w:spacing w:before="260" w:after="260" w:line="416" w:lineRule="auto"/>
      <w:ind w:left="567" w:hanging="567"/>
      <w:jc w:val="both"/>
    </w:pPr>
    <w:rPr>
      <w:rFonts w:eastAsia="黑体"/>
      <w:color w:val="auto"/>
      <w:kern w:val="0"/>
      <w:sz w:val="24"/>
    </w:rPr>
  </w:style>
  <w:style w:type="paragraph" w:customStyle="1" w:styleId="165">
    <w:name w:val="_Style 246"/>
    <w:basedOn w:val="1"/>
    <w:next w:val="151"/>
    <w:qFormat/>
    <w:uiPriority w:val="34"/>
    <w:pPr>
      <w:ind w:firstLine="420" w:firstLineChars="200"/>
    </w:pPr>
    <w:rPr>
      <w:szCs w:val="20"/>
    </w:rPr>
  </w:style>
  <w:style w:type="paragraph" w:customStyle="1" w:styleId="166">
    <w:name w:val="列出段落11"/>
    <w:basedOn w:val="1"/>
    <w:qFormat/>
    <w:uiPriority w:val="0"/>
    <w:pPr>
      <w:ind w:firstLine="420" w:firstLineChars="200"/>
    </w:pPr>
    <w:rPr>
      <w:rFonts w:ascii="Calibri" w:hAnsi="Calibri"/>
      <w:szCs w:val="22"/>
    </w:rPr>
  </w:style>
  <w:style w:type="paragraph" w:customStyle="1" w:styleId="167">
    <w:name w:val="Char Char Char"/>
    <w:basedOn w:val="1"/>
    <w:qFormat/>
    <w:uiPriority w:val="0"/>
  </w:style>
  <w:style w:type="paragraph" w:customStyle="1" w:styleId="168">
    <w:name w:val="表格首行"/>
    <w:basedOn w:val="1"/>
    <w:qFormat/>
    <w:uiPriority w:val="0"/>
    <w:pPr>
      <w:widowControl/>
      <w:jc w:val="center"/>
    </w:pPr>
    <w:rPr>
      <w:rFonts w:hint="eastAsia" w:ascii="宋体" w:hAnsi="宋体"/>
      <w:sz w:val="24"/>
    </w:rPr>
  </w:style>
  <w:style w:type="paragraph" w:customStyle="1" w:styleId="169">
    <w:name w:val="Level 3"/>
    <w:basedOn w:val="1"/>
    <w:qFormat/>
    <w:uiPriority w:val="0"/>
    <w:pPr>
      <w:tabs>
        <w:tab w:val="left" w:pos="2808"/>
      </w:tabs>
      <w:ind w:left="2808" w:hanging="681"/>
    </w:pPr>
    <w:rPr>
      <w:rFonts w:ascii="Calibri" w:hAnsi="Calibri"/>
      <w:szCs w:val="22"/>
    </w:rPr>
  </w:style>
  <w:style w:type="paragraph" w:customStyle="1" w:styleId="170">
    <w:name w:val="_Style 168"/>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Char Char Char Char"/>
    <w:basedOn w:val="1"/>
    <w:qFormat/>
    <w:uiPriority w:val="0"/>
    <w:pPr>
      <w:tabs>
        <w:tab w:val="left" w:pos="360"/>
      </w:tabs>
    </w:pPr>
    <w:rPr>
      <w:szCs w:val="20"/>
    </w:rPr>
  </w:style>
  <w:style w:type="paragraph" w:customStyle="1" w:styleId="173">
    <w:name w:val="Heading 2 + 宋体"/>
    <w:basedOn w:val="2"/>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4">
    <w:name w:val="Level 6"/>
    <w:basedOn w:val="1"/>
    <w:qFormat/>
    <w:uiPriority w:val="0"/>
    <w:pPr>
      <w:tabs>
        <w:tab w:val="left" w:pos="3289"/>
      </w:tabs>
      <w:ind w:left="3289" w:hanging="681"/>
    </w:pPr>
    <w:rPr>
      <w:rFonts w:ascii="Calibri" w:hAnsi="Calibri"/>
      <w:szCs w:val="22"/>
    </w:rPr>
  </w:style>
  <w:style w:type="paragraph" w:customStyle="1" w:styleId="175">
    <w:name w:val="正文文本 33"/>
    <w:basedOn w:val="1"/>
    <w:qFormat/>
    <w:uiPriority w:val="0"/>
    <w:rPr>
      <w:rFonts w:ascii="宋体"/>
      <w:sz w:val="24"/>
    </w:rPr>
  </w:style>
  <w:style w:type="character" w:customStyle="1" w:styleId="176">
    <w:name w:val="正文缩进 字符1"/>
    <w:qFormat/>
    <w:uiPriority w:val="0"/>
  </w:style>
  <w:style w:type="character" w:customStyle="1" w:styleId="177">
    <w:name w:val="Intense Emphasis_7e22e0ae-30f1-408a-bafa-de85183ac24c"/>
    <w:qFormat/>
    <w:uiPriority w:val="0"/>
    <w:rPr>
      <w:b/>
      <w:bCs/>
      <w:i/>
      <w:iCs/>
      <w:color w:val="auto"/>
    </w:rPr>
  </w:style>
  <w:style w:type="paragraph" w:customStyle="1" w:styleId="17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79">
    <w:name w:val="Table Text"/>
    <w:basedOn w:val="1"/>
    <w:semiHidden/>
    <w:qFormat/>
    <w:uiPriority w:val="0"/>
    <w:pPr>
      <w:adjustRightInd w:val="0"/>
      <w:spacing w:line="360" w:lineRule="atLeast"/>
      <w:jc w:val="left"/>
      <w:textAlignment w:val="baseline"/>
    </w:pPr>
    <w:rPr>
      <w:rFonts w:ascii="Arial" w:hAnsi="Arial" w:eastAsia="Arial" w:cs="Arial"/>
      <w:kern w:val="0"/>
      <w:szCs w:val="21"/>
      <w:lang w:eastAsia="en-US"/>
    </w:rPr>
  </w:style>
  <w:style w:type="table" w:customStyle="1" w:styleId="180">
    <w:name w:val="Table Normal"/>
    <w:semiHidden/>
    <w:unhideWhenUsed/>
    <w:qFormat/>
    <w:uiPriority w:val="0"/>
    <w:rPr>
      <w:rFonts w:asciiTheme="minorHAnsi" w:hAnsiTheme="minorHAnsi" w:eastAsiaTheme="minorEastAsia" w:cstheme="minorBidi"/>
    </w:rPr>
    <w:tblPr>
      <w:tblCellMar>
        <w:top w:w="0" w:type="dxa"/>
        <w:left w:w="0" w:type="dxa"/>
        <w:bottom w:w="0" w:type="dxa"/>
        <w:right w:w="0" w:type="dxa"/>
      </w:tblCellMar>
    </w:tblPr>
  </w:style>
  <w:style w:type="table" w:customStyle="1" w:styleId="181">
    <w:name w:val="网格型1"/>
    <w:basedOn w:val="41"/>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2">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183">
    <w:name w:val="修订4"/>
    <w:hidden/>
    <w:unhideWhenUsed/>
    <w:qFormat/>
    <w:uiPriority w:val="99"/>
    <w:rPr>
      <w:rFonts w:ascii="Times New Roman" w:hAnsi="Times New Roman" w:eastAsia="宋体" w:cs="Times New Roman"/>
      <w:kern w:val="2"/>
      <w:sz w:val="21"/>
      <w:szCs w:val="24"/>
      <w:lang w:val="en-US" w:eastAsia="zh-CN" w:bidi="ar-SA"/>
    </w:rPr>
  </w:style>
  <w:style w:type="character" w:customStyle="1" w:styleId="184">
    <w:name w:val="注释标题 字符"/>
    <w:basedOn w:val="43"/>
    <w:link w:val="12"/>
    <w:qFormat/>
    <w:uiPriority w:val="0"/>
    <w:rPr>
      <w:rFonts w:ascii="宋体" w:hAnsi="宋体"/>
      <w:sz w:val="24"/>
      <w:szCs w:val="24"/>
      <w:lang w:val="zh-CN"/>
    </w:rPr>
  </w:style>
  <w:style w:type="paragraph" w:customStyle="1" w:styleId="185">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186">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5A2DDE-DCB1-4694-8D49-9086786596C8}">
  <ds:schemaRefs/>
</ds:datastoreItem>
</file>

<file path=docProps/app.xml><?xml version="1.0" encoding="utf-8"?>
<Properties xmlns="http://schemas.openxmlformats.org/officeDocument/2006/extended-properties" xmlns:vt="http://schemas.openxmlformats.org/officeDocument/2006/docPropsVTypes">
  <Template>Normal</Template>
  <Pages>65</Pages>
  <Words>2092</Words>
  <Characters>2350</Characters>
  <Lines>266</Lines>
  <Paragraphs>74</Paragraphs>
  <TotalTime>0</TotalTime>
  <ScaleCrop>false</ScaleCrop>
  <LinksUpToDate>false</LinksUpToDate>
  <CharactersWithSpaces>2397</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2026-04-21T06:40:00Z</dcterms:created>
  <dc:creator>ssz</dc:creator>
  <cp:lastModifiedBy>赵玥</cp:lastModifiedBy>
  <cp:lastPrinted>2026-08-07T00:32:00Z</cp:lastPrinted>
  <dcterms:modified xsi:type="dcterms:W3CDTF">2026-09-16T09:37:02Z</dcterms:modified>
  <dc:title>山西医科大学第一医院住院楼土建施工及安装工程招标文件</dc:title>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773073A4EAB24F59B898F6FE3D8BB958_13</vt:lpwstr>
  </property>
  <property fmtid="{D5CDD505-2E9C-101B-9397-08002B2CF9AE}" pid="4" name="KSOTemplateDocerSaveRecord">
    <vt:lpwstr>eyJoZGlkIjoiNTk3ZGE4MjQzNDA3ZmM4ZjNlOGI2Mjc4NjVmMGU1YzgiLCJ1c2VySWQiOiIyMzAwMjE2MCJ9</vt:lpwstr>
  </property>
</Properties>
</file>