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center"/>
        <w:rPr>
          <w:rFonts w:hint="eastAsia" w:ascii="仿宋" w:hAnsi="仿宋" w:eastAsia="仿宋" w:cs="仿宋"/>
          <w:bCs w:val="0"/>
          <w:color w:val="auto"/>
          <w:sz w:val="28"/>
          <w:szCs w:val="28"/>
          <w:highlight w:val="none"/>
          <w:lang w:val="en-US" w:eastAsia="zh-CN"/>
        </w:rPr>
      </w:pPr>
      <w:r>
        <w:rPr>
          <w:rFonts w:hint="eastAsia" w:ascii="仿宋" w:hAnsi="仿宋" w:eastAsia="仿宋" w:cs="仿宋"/>
          <w:bCs w:val="0"/>
          <w:color w:val="auto"/>
          <w:sz w:val="28"/>
          <w:szCs w:val="28"/>
          <w:highlight w:val="none"/>
          <w:lang w:val="en-US" w:eastAsia="zh-CN"/>
        </w:rPr>
        <w:t xml:space="preserve">人保财险萍乡市分公司2026年度员工健康体检服务采购项目 </w:t>
      </w:r>
    </w:p>
    <w:p>
      <w:pPr>
        <w:pStyle w:val="3"/>
        <w:spacing w:before="0" w:after="0" w:line="360" w:lineRule="auto"/>
        <w:jc w:val="center"/>
        <w:rPr>
          <w:rFonts w:hint="eastAsia" w:ascii="仿宋" w:hAnsi="仿宋" w:eastAsia="仿宋" w:cs="仿宋"/>
          <w:bCs w:val="0"/>
          <w:color w:val="auto"/>
          <w:sz w:val="28"/>
          <w:szCs w:val="28"/>
          <w:highlight w:val="none"/>
          <w:lang w:val="en-US" w:eastAsia="zh-CN"/>
        </w:rPr>
      </w:pPr>
      <w:r>
        <w:rPr>
          <w:rFonts w:hint="eastAsia" w:ascii="仿宋" w:hAnsi="仿宋" w:eastAsia="仿宋" w:cs="仿宋"/>
          <w:bCs w:val="0"/>
          <w:color w:val="auto"/>
          <w:sz w:val="28"/>
          <w:szCs w:val="28"/>
          <w:highlight w:val="none"/>
          <w:lang w:val="en-US" w:eastAsia="zh-CN"/>
        </w:rPr>
        <w:t>比选公告</w:t>
      </w:r>
    </w:p>
    <w:p>
      <w:pPr>
        <w:keepNext w:val="0"/>
        <w:keepLines w:val="0"/>
        <w:pageBreakBefore w:val="0"/>
        <w:widowControl w:val="0"/>
        <w:kinsoku/>
        <w:wordWrap/>
        <w:overflowPunct/>
        <w:topLinePunct w:val="0"/>
        <w:autoSpaceDE/>
        <w:autoSpaceDN/>
        <w:bidi w:val="0"/>
        <w:adjustRightInd w:val="0"/>
        <w:snapToGrid w:val="0"/>
        <w:spacing w:before="240" w:line="36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本项目人保财险萍乡市分公司</w:t>
      </w:r>
      <w:r>
        <w:rPr>
          <w:rFonts w:hint="eastAsia" w:ascii="仿宋" w:hAnsi="仿宋" w:eastAsia="仿宋" w:cs="仿宋"/>
          <w:color w:val="auto"/>
          <w:sz w:val="28"/>
          <w:szCs w:val="28"/>
          <w:highlight w:val="none"/>
          <w:lang w:val="en-US" w:eastAsia="zh-CN"/>
        </w:rPr>
        <w:t>2026年度员工健康体检服务采购项目</w:t>
      </w:r>
      <w:r>
        <w:rPr>
          <w:rFonts w:hint="eastAsia" w:ascii="仿宋" w:hAnsi="仿宋" w:eastAsia="仿宋" w:cs="仿宋"/>
          <w:color w:val="auto"/>
          <w:sz w:val="28"/>
          <w:szCs w:val="28"/>
          <w:highlight w:val="none"/>
        </w:rPr>
        <w:t>（编号：</w:t>
      </w:r>
      <w:r>
        <w:rPr>
          <w:rFonts w:hint="eastAsia" w:ascii="仿宋" w:hAnsi="仿宋" w:eastAsia="仿宋" w:cs="仿宋"/>
          <w:color w:val="auto"/>
          <w:sz w:val="28"/>
          <w:szCs w:val="28"/>
          <w:highlight w:val="none"/>
        </w:rPr>
        <w:t>XM26FSPC003059</w:t>
      </w:r>
      <w:r>
        <w:rPr>
          <w:rFonts w:hint="eastAsia" w:ascii="仿宋" w:hAnsi="仿宋" w:eastAsia="仿宋" w:cs="仿宋"/>
          <w:color w:val="auto"/>
          <w:sz w:val="28"/>
          <w:szCs w:val="28"/>
          <w:highlight w:val="none"/>
        </w:rPr>
        <w:t>）由</w:t>
      </w:r>
      <w:r>
        <w:rPr>
          <w:rFonts w:hint="eastAsia" w:ascii="仿宋" w:hAnsi="仿宋" w:eastAsia="仿宋" w:cs="仿宋"/>
          <w:color w:val="auto"/>
          <w:sz w:val="28"/>
          <w:szCs w:val="28"/>
          <w:highlight w:val="none"/>
          <w:u w:val="single"/>
        </w:rPr>
        <w:t>中国人民财产保险股份有限公司</w:t>
      </w:r>
      <w:r>
        <w:rPr>
          <w:rFonts w:hint="eastAsia" w:ascii="仿宋" w:hAnsi="仿宋" w:eastAsia="仿宋" w:cs="仿宋"/>
          <w:color w:val="auto"/>
          <w:sz w:val="28"/>
          <w:szCs w:val="28"/>
          <w:highlight w:val="none"/>
          <w:u w:val="single"/>
          <w:lang w:val="en-US" w:eastAsia="zh-CN"/>
        </w:rPr>
        <w:t>萍乡市</w:t>
      </w:r>
      <w:r>
        <w:rPr>
          <w:rFonts w:hint="eastAsia" w:ascii="仿宋" w:hAnsi="仿宋" w:eastAsia="仿宋" w:cs="仿宋"/>
          <w:color w:val="auto"/>
          <w:sz w:val="28"/>
          <w:szCs w:val="28"/>
          <w:highlight w:val="none"/>
          <w:u w:val="single"/>
        </w:rPr>
        <w:t>分公司</w:t>
      </w:r>
      <w:r>
        <w:rPr>
          <w:rFonts w:hint="eastAsia" w:ascii="仿宋" w:hAnsi="仿宋" w:eastAsia="仿宋" w:cs="仿宋"/>
          <w:color w:val="auto"/>
          <w:sz w:val="28"/>
          <w:szCs w:val="28"/>
          <w:highlight w:val="none"/>
        </w:rPr>
        <w:t>（以下简称“采购人”）批准并落实资金，组织本项目的</w:t>
      </w:r>
      <w:r>
        <w:rPr>
          <w:rFonts w:hint="eastAsia" w:ascii="仿宋" w:hAnsi="仿宋" w:eastAsia="仿宋" w:cs="仿宋"/>
          <w:bCs w:val="0"/>
          <w:color w:val="auto"/>
          <w:sz w:val="24"/>
          <w:szCs w:val="24"/>
          <w:highlight w:val="none"/>
          <w:lang w:val="en-US" w:eastAsia="zh-CN"/>
        </w:rPr>
        <w:t>比选</w:t>
      </w:r>
      <w:r>
        <w:rPr>
          <w:rFonts w:hint="eastAsia" w:ascii="仿宋" w:hAnsi="仿宋" w:eastAsia="仿宋" w:cs="仿宋"/>
          <w:color w:val="auto"/>
          <w:sz w:val="28"/>
          <w:szCs w:val="28"/>
          <w:highlight w:val="none"/>
        </w:rPr>
        <w:t>工作，采购合同由</w:t>
      </w:r>
      <w:r>
        <w:rPr>
          <w:rFonts w:hint="eastAsia" w:ascii="仿宋" w:hAnsi="仿宋" w:eastAsia="仿宋" w:cs="仿宋"/>
          <w:color w:val="auto"/>
          <w:sz w:val="28"/>
          <w:szCs w:val="28"/>
          <w:highlight w:val="none"/>
          <w:u w:val="single"/>
        </w:rPr>
        <w:t>中国人民财产保险股份有限公司</w:t>
      </w:r>
      <w:r>
        <w:rPr>
          <w:rFonts w:hint="eastAsia" w:ascii="仿宋" w:hAnsi="仿宋" w:eastAsia="仿宋" w:cs="仿宋"/>
          <w:color w:val="auto"/>
          <w:sz w:val="28"/>
          <w:szCs w:val="28"/>
          <w:highlight w:val="none"/>
          <w:u w:val="single"/>
          <w:lang w:val="en-US" w:eastAsia="zh-CN"/>
        </w:rPr>
        <w:t>萍乡市</w:t>
      </w:r>
      <w:r>
        <w:rPr>
          <w:rFonts w:hint="eastAsia" w:ascii="仿宋" w:hAnsi="仿宋" w:eastAsia="仿宋" w:cs="仿宋"/>
          <w:color w:val="auto"/>
          <w:sz w:val="28"/>
          <w:szCs w:val="28"/>
          <w:highlight w:val="none"/>
          <w:u w:val="single"/>
        </w:rPr>
        <w:t>分公司</w:t>
      </w:r>
      <w:r>
        <w:rPr>
          <w:rFonts w:hint="eastAsia" w:ascii="仿宋" w:hAnsi="仿宋" w:eastAsia="仿宋" w:cs="仿宋"/>
          <w:color w:val="auto"/>
          <w:sz w:val="28"/>
          <w:szCs w:val="28"/>
          <w:highlight w:val="none"/>
        </w:rPr>
        <w:t>（以下简称“人保</w:t>
      </w:r>
      <w:r>
        <w:rPr>
          <w:rFonts w:hint="eastAsia" w:ascii="仿宋" w:hAnsi="仿宋" w:eastAsia="仿宋" w:cs="仿宋"/>
          <w:color w:val="auto"/>
          <w:sz w:val="28"/>
          <w:szCs w:val="28"/>
          <w:highlight w:val="none"/>
          <w:lang w:val="en-US" w:eastAsia="zh-CN"/>
        </w:rPr>
        <w:t>财险萍乡市分公司</w:t>
      </w:r>
      <w:r>
        <w:rPr>
          <w:rFonts w:hint="eastAsia" w:ascii="仿宋" w:hAnsi="仿宋" w:eastAsia="仿宋" w:cs="仿宋"/>
          <w:color w:val="auto"/>
          <w:sz w:val="28"/>
          <w:szCs w:val="28"/>
          <w:highlight w:val="none"/>
        </w:rPr>
        <w:t>”）根据成交结果与成交人签署。现进行公</w:t>
      </w:r>
      <w:r>
        <w:rPr>
          <w:rFonts w:hint="eastAsia" w:ascii="仿宋" w:hAnsi="仿宋" w:eastAsia="仿宋" w:cs="仿宋"/>
          <w:color w:val="auto"/>
          <w:sz w:val="28"/>
          <w:szCs w:val="28"/>
          <w:highlight w:val="none"/>
          <w:lang w:val="en-US" w:eastAsia="zh-CN"/>
        </w:rPr>
        <w:t>开比选，</w:t>
      </w:r>
      <w:r>
        <w:rPr>
          <w:rFonts w:hint="eastAsia" w:ascii="仿宋" w:hAnsi="仿宋" w:eastAsia="仿宋" w:cs="仿宋"/>
          <w:color w:val="auto"/>
          <w:sz w:val="28"/>
          <w:szCs w:val="28"/>
          <w:highlight w:val="none"/>
        </w:rPr>
        <w:t xml:space="preserve">有意向且具有提供标的物能力的潜在供应商（以下简称“供应商”）可前来参与响应。 </w:t>
      </w:r>
    </w:p>
    <w:p>
      <w:pPr>
        <w:pStyle w:val="4"/>
        <w:pageBreakBefore w:val="0"/>
        <w:wordWrap/>
        <w:overflowPunct/>
        <w:topLinePunct w:val="0"/>
        <w:bidi w:val="0"/>
        <w:spacing w:line="360" w:lineRule="auto"/>
        <w:ind w:firstLine="562" w:firstLineChars="200"/>
        <w:jc w:val="left"/>
        <w:rPr>
          <w:rFonts w:hint="eastAsia" w:ascii="仿宋" w:hAnsi="仿宋" w:eastAsia="仿宋" w:cs="仿宋"/>
          <w:color w:val="auto"/>
          <w:sz w:val="28"/>
          <w:szCs w:val="28"/>
          <w:highlight w:val="none"/>
        </w:rPr>
      </w:pPr>
      <w:bookmarkStart w:id="0" w:name="_Toc21237"/>
      <w:r>
        <w:rPr>
          <w:rFonts w:hint="eastAsia" w:ascii="仿宋" w:hAnsi="仿宋" w:eastAsia="仿宋" w:cs="仿宋"/>
          <w:color w:val="auto"/>
          <w:sz w:val="28"/>
          <w:szCs w:val="28"/>
          <w:highlight w:val="none"/>
        </w:rPr>
        <w:t>一、项目概况与采购范围</w:t>
      </w:r>
      <w:bookmarkEnd w:id="0"/>
    </w:p>
    <w:p>
      <w:pPr>
        <w:pageBreakBefore w:val="0"/>
        <w:wordWrap/>
        <w:overflowPunct/>
        <w:topLinePunct w:val="0"/>
        <w:bidi w:val="0"/>
        <w:adjustRightInd w:val="0"/>
        <w:snapToGrid w:val="0"/>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1.1 </w:t>
      </w:r>
      <w:r>
        <w:rPr>
          <w:rFonts w:hint="eastAsia" w:ascii="仿宋" w:hAnsi="仿宋" w:eastAsia="仿宋" w:cs="仿宋"/>
          <w:color w:val="auto"/>
          <w:sz w:val="28"/>
          <w:szCs w:val="28"/>
          <w:highlight w:val="none"/>
          <w:lang w:val="en-US" w:eastAsia="zh-CN"/>
        </w:rPr>
        <w:t>项目编号：</w:t>
      </w:r>
      <w:r>
        <w:rPr>
          <w:rFonts w:hint="eastAsia" w:ascii="仿宋" w:hAnsi="仿宋" w:eastAsia="仿宋" w:cs="仿宋"/>
          <w:color w:val="auto"/>
          <w:sz w:val="28"/>
          <w:szCs w:val="28"/>
          <w:highlight w:val="none"/>
        </w:rPr>
        <w:t>XM26FSPC003059</w:t>
      </w:r>
    </w:p>
    <w:p>
      <w:pPr>
        <w:pageBreakBefore w:val="0"/>
        <w:wordWrap/>
        <w:overflowPunct/>
        <w:topLinePunct w:val="0"/>
        <w:bidi w:val="0"/>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项目名称：人保财险萍乡市分公司</w:t>
      </w:r>
      <w:r>
        <w:rPr>
          <w:rFonts w:hint="eastAsia" w:ascii="仿宋" w:hAnsi="仿宋" w:eastAsia="仿宋" w:cs="仿宋"/>
          <w:color w:val="auto"/>
          <w:sz w:val="28"/>
          <w:szCs w:val="28"/>
          <w:highlight w:val="none"/>
          <w:lang w:val="en-US" w:eastAsia="zh-CN"/>
        </w:rPr>
        <w:t>2026年度员工健康体检服务采购项目</w:t>
      </w:r>
      <w:r>
        <w:rPr>
          <w:rFonts w:hint="eastAsia" w:ascii="仿宋" w:hAnsi="仿宋" w:eastAsia="仿宋" w:cs="仿宋"/>
          <w:color w:val="auto"/>
          <w:sz w:val="28"/>
          <w:szCs w:val="28"/>
          <w:highlight w:val="none"/>
        </w:rPr>
        <w:t>。</w:t>
      </w:r>
    </w:p>
    <w:p>
      <w:pPr>
        <w:pageBreakBefore w:val="0"/>
        <w:wordWrap/>
        <w:overflowPunct/>
        <w:topLinePunct w:val="0"/>
        <w:bidi w:val="0"/>
        <w:adjustRightInd w:val="0"/>
        <w:snapToGrid w:val="0"/>
        <w:spacing w:line="360" w:lineRule="auto"/>
        <w:ind w:firstLine="560" w:firstLineChars="20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预算金额：</w:t>
      </w:r>
      <w:r>
        <w:rPr>
          <w:rFonts w:hint="eastAsia" w:ascii="仿宋" w:hAnsi="仿宋" w:eastAsia="仿宋" w:cs="仿宋"/>
          <w:color w:val="auto"/>
          <w:sz w:val="28"/>
          <w:szCs w:val="28"/>
          <w:highlight w:val="none"/>
          <w:lang w:val="en-US" w:eastAsia="zh-CN"/>
        </w:rPr>
        <w:t xml:space="preserve"> 26万</w:t>
      </w:r>
      <w:r>
        <w:rPr>
          <w:rFonts w:hint="eastAsia" w:ascii="仿宋" w:hAnsi="仿宋" w:eastAsia="仿宋" w:cs="仿宋"/>
          <w:color w:val="auto"/>
          <w:sz w:val="28"/>
          <w:szCs w:val="28"/>
          <w:highlight w:val="none"/>
          <w:lang w:eastAsia="zh-CN"/>
        </w:rPr>
        <w:t>元人民币（</w:t>
      </w:r>
      <w:r>
        <w:rPr>
          <w:rFonts w:hint="eastAsia" w:ascii="仿宋" w:hAnsi="仿宋" w:eastAsia="仿宋" w:cs="仿宋"/>
          <w:i w:val="0"/>
          <w:iCs w:val="0"/>
          <w:color w:val="auto"/>
          <w:kern w:val="0"/>
          <w:sz w:val="28"/>
          <w:szCs w:val="28"/>
          <w:highlight w:val="none"/>
          <w:u w:val="none"/>
          <w:lang w:val="en-US" w:eastAsia="zh-CN" w:bidi="ar"/>
        </w:rPr>
        <w:t>体检人数约281人）</w:t>
      </w:r>
    </w:p>
    <w:p>
      <w:pPr>
        <w:pageBreakBefore w:val="0"/>
        <w:wordWrap/>
        <w:overflowPunct/>
        <w:topLinePunct w:val="0"/>
        <w:bidi w:val="0"/>
        <w:adjustRightInd w:val="0"/>
        <w:snapToGrid w:val="0"/>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lang w:eastAsia="zh-CN"/>
        </w:rPr>
        <w:t xml:space="preserve">最高限价： </w:t>
      </w:r>
      <w:r>
        <w:rPr>
          <w:rFonts w:hint="eastAsia" w:ascii="仿宋" w:hAnsi="仿宋" w:eastAsia="仿宋" w:cs="仿宋"/>
          <w:color w:val="auto"/>
          <w:sz w:val="28"/>
          <w:szCs w:val="28"/>
          <w:highlight w:val="none"/>
          <w:lang w:val="en-US" w:eastAsia="zh-CN"/>
        </w:rPr>
        <w:t>折扣 80%</w:t>
      </w:r>
    </w:p>
    <w:p>
      <w:pPr>
        <w:pageBreakBefore w:val="0"/>
        <w:kinsoku/>
        <w:wordWrap/>
        <w:overflowPunct/>
        <w:topLinePunct w:val="0"/>
        <w:bidi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1.5采购范围：</w:t>
      </w:r>
      <w:r>
        <w:rPr>
          <w:rFonts w:hint="eastAsia" w:ascii="仿宋" w:hAnsi="仿宋" w:eastAsia="仿宋" w:cs="仿宋"/>
          <w:color w:val="auto"/>
          <w:sz w:val="28"/>
          <w:szCs w:val="28"/>
          <w:highlight w:val="none"/>
        </w:rPr>
        <w:t>本项目拟采购</w:t>
      </w:r>
      <w:r>
        <w:rPr>
          <w:rFonts w:hint="eastAsia" w:ascii="仿宋" w:hAnsi="仿宋" w:eastAsia="仿宋" w:cs="仿宋"/>
          <w:color w:val="auto"/>
          <w:sz w:val="28"/>
          <w:szCs w:val="28"/>
          <w:highlight w:val="none"/>
          <w:lang w:val="en-US" w:eastAsia="zh-CN"/>
        </w:rPr>
        <w:t>2家供应商</w:t>
      </w:r>
      <w:r>
        <w:rPr>
          <w:rFonts w:hint="eastAsia" w:ascii="仿宋" w:hAnsi="仿宋" w:eastAsia="仿宋" w:cs="仿宋"/>
          <w:color w:val="auto"/>
          <w:sz w:val="28"/>
          <w:szCs w:val="28"/>
          <w:highlight w:val="none"/>
        </w:rPr>
        <w:t>，具体技术要求详见第五章采购需求。</w:t>
      </w:r>
    </w:p>
    <w:tbl>
      <w:tblPr>
        <w:tblStyle w:val="8"/>
        <w:tblW w:w="97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40"/>
        <w:gridCol w:w="996"/>
        <w:gridCol w:w="814"/>
        <w:gridCol w:w="2452"/>
        <w:gridCol w:w="3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trPr>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ind w:firstLine="420" w:firstLineChars="20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项目名称</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数量</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24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采购预算(元人民币)</w:t>
            </w:r>
          </w:p>
        </w:tc>
        <w:tc>
          <w:tcPr>
            <w:tcW w:w="305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ind w:firstLine="420" w:firstLineChars="20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技术需求或服务要求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2026年度员工健康体检服务采购项目</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ind w:firstLine="420" w:firstLineChars="20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ind w:firstLine="210" w:firstLineChars="10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项</w:t>
            </w:r>
          </w:p>
        </w:tc>
        <w:tc>
          <w:tcPr>
            <w:tcW w:w="245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ind w:firstLine="420" w:firstLineChars="20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260000</w:t>
            </w:r>
          </w:p>
        </w:tc>
        <w:tc>
          <w:tcPr>
            <w:tcW w:w="305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pageBreakBefore w:val="0"/>
              <w:widowControl/>
              <w:suppressLineNumbers w:val="0"/>
              <w:wordWrap/>
              <w:overflowPunct/>
              <w:topLinePunct w:val="0"/>
              <w:bidi w:val="0"/>
              <w:spacing w:line="360" w:lineRule="auto"/>
              <w:ind w:firstLine="420" w:firstLineChars="20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详见采购文件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trPr>
        <w:tc>
          <w:tcPr>
            <w:tcW w:w="9761" w:type="dxa"/>
            <w:gridSpan w:val="5"/>
            <w:tcBorders>
              <w:top w:val="single" w:color="000000" w:sz="4" w:space="0"/>
              <w:left w:val="single" w:color="000000" w:sz="4" w:space="0"/>
              <w:bottom w:val="single" w:color="000000" w:sz="4" w:space="0"/>
              <w:right w:val="single" w:color="000000" w:sz="4" w:space="0"/>
            </w:tcBorders>
            <w:shd w:val="clear" w:color="auto" w:fill="auto"/>
            <w:noWrap/>
            <w:vAlign w:val="bottom"/>
          </w:tcPr>
          <w:p>
            <w:pPr>
              <w:pageBreakBefore w:val="0"/>
              <w:kinsoku/>
              <w:wordWrap/>
              <w:overflowPunct/>
              <w:topLinePunct w:val="0"/>
              <w:bidi w:val="0"/>
              <w:spacing w:line="360" w:lineRule="auto"/>
              <w:ind w:firstLine="420" w:firstLineChars="200"/>
              <w:jc w:val="left"/>
              <w:rPr>
                <w:rFonts w:hint="eastAsia"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备注：体检人数约 281人，按实际体检人数和体检项目结算</w:t>
            </w:r>
            <w:r>
              <w:rPr>
                <w:rFonts w:hint="eastAsia" w:ascii="仿宋" w:hAnsi="仿宋" w:eastAsia="仿宋" w:cs="仿宋"/>
                <w:color w:val="auto"/>
                <w:sz w:val="21"/>
                <w:szCs w:val="21"/>
                <w:highlight w:val="none"/>
              </w:rPr>
              <w:t>。</w:t>
            </w:r>
          </w:p>
        </w:tc>
      </w:tr>
    </w:tbl>
    <w:p>
      <w:pPr>
        <w:pageBreakBefore w:val="0"/>
        <w:wordWrap/>
        <w:overflowPunct/>
        <w:topLinePunct w:val="0"/>
        <w:bidi w:val="0"/>
        <w:adjustRightInd w:val="0"/>
        <w:snapToGrid w:val="0"/>
        <w:spacing w:line="360" w:lineRule="auto"/>
        <w:ind w:firstLine="420" w:firstLineChars="200"/>
        <w:jc w:val="left"/>
        <w:rPr>
          <w:rFonts w:hint="eastAsia" w:ascii="仿宋" w:hAnsi="仿宋" w:eastAsia="仿宋" w:cs="仿宋"/>
          <w:color w:val="auto"/>
          <w:sz w:val="21"/>
          <w:szCs w:val="21"/>
          <w:highlight w:val="none"/>
        </w:rPr>
      </w:pPr>
    </w:p>
    <w:p>
      <w:pPr>
        <w:pageBreakBefore w:val="0"/>
        <w:wordWrap/>
        <w:overflowPunct/>
        <w:topLinePunct w:val="0"/>
        <w:bidi w:val="0"/>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xml:space="preserve"> 标包划分：本项目不划分标包</w:t>
      </w:r>
    </w:p>
    <w:p>
      <w:pPr>
        <w:pageBreakBefore w:val="0"/>
        <w:wordWrap/>
        <w:overflowPunct/>
        <w:topLinePunct w:val="0"/>
        <w:bidi w:val="0"/>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本项目</w:t>
      </w:r>
      <w:r>
        <w:rPr>
          <w:rFonts w:hint="eastAsia" w:ascii="仿宋" w:hAnsi="仿宋" w:eastAsia="仿宋" w:cs="仿宋"/>
          <w:color w:val="auto"/>
          <w:sz w:val="28"/>
          <w:szCs w:val="28"/>
          <w:highlight w:val="none"/>
          <w:lang w:val="en-US" w:eastAsia="zh-CN"/>
        </w:rPr>
        <w:t>是否</w:t>
      </w:r>
      <w:r>
        <w:rPr>
          <w:rFonts w:hint="eastAsia" w:ascii="仿宋" w:hAnsi="仿宋" w:eastAsia="仿宋" w:cs="仿宋"/>
          <w:color w:val="auto"/>
          <w:sz w:val="28"/>
          <w:szCs w:val="28"/>
          <w:highlight w:val="none"/>
          <w:lang w:eastAsia="zh-CN"/>
        </w:rPr>
        <w:t>接受联合体</w:t>
      </w:r>
      <w:r>
        <w:rPr>
          <w:rFonts w:hint="eastAsia" w:ascii="仿宋" w:hAnsi="仿宋" w:eastAsia="仿宋" w:cs="仿宋"/>
          <w:bCs w:val="0"/>
          <w:color w:val="auto"/>
          <w:sz w:val="24"/>
          <w:szCs w:val="24"/>
          <w:highlight w:val="none"/>
          <w:lang w:val="en-US" w:eastAsia="zh-CN"/>
        </w:rPr>
        <w:t>比选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否</w:t>
      </w:r>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服务期限：</w:t>
      </w:r>
      <w:r>
        <w:rPr>
          <w:rFonts w:hint="eastAsia" w:ascii="仿宋" w:hAnsi="仿宋" w:eastAsia="仿宋" w:cs="仿宋"/>
          <w:color w:val="auto"/>
          <w:sz w:val="28"/>
          <w:szCs w:val="28"/>
          <w:highlight w:val="none"/>
          <w:lang w:val="en-US" w:eastAsia="zh-CN"/>
        </w:rPr>
        <w:t>自签订合同之日起至2027年3月31日。</w:t>
      </w:r>
    </w:p>
    <w:p>
      <w:pPr>
        <w:pageBreakBefore w:val="0"/>
        <w:wordWrap/>
        <w:overflowPunct/>
        <w:topLinePunct w:val="0"/>
        <w:bidi w:val="0"/>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服务地点/交货地点：</w:t>
      </w:r>
      <w:r>
        <w:rPr>
          <w:rFonts w:hint="eastAsia" w:ascii="仿宋" w:hAnsi="仿宋" w:eastAsia="仿宋" w:cs="仿宋"/>
          <w:color w:val="auto"/>
          <w:sz w:val="28"/>
          <w:szCs w:val="28"/>
          <w:highlight w:val="none"/>
          <w:lang w:val="en-US" w:eastAsia="zh-CN"/>
        </w:rPr>
        <w:t>萍乡城区为投标人所提供的体检场所(体检中心)等</w:t>
      </w:r>
    </w:p>
    <w:p>
      <w:pPr>
        <w:pStyle w:val="4"/>
        <w:pageBreakBefore w:val="0"/>
        <w:wordWrap/>
        <w:overflowPunct/>
        <w:topLinePunct w:val="0"/>
        <w:bidi w:val="0"/>
        <w:spacing w:line="360" w:lineRule="auto"/>
        <w:ind w:firstLine="562" w:firstLineChars="200"/>
        <w:jc w:val="left"/>
        <w:rPr>
          <w:rFonts w:hint="eastAsia" w:ascii="仿宋" w:hAnsi="仿宋" w:eastAsia="仿宋" w:cs="仿宋"/>
          <w:color w:val="auto"/>
          <w:sz w:val="28"/>
          <w:szCs w:val="28"/>
          <w:highlight w:val="none"/>
        </w:rPr>
      </w:pPr>
      <w:bookmarkStart w:id="1" w:name="_Toc17569"/>
      <w:r>
        <w:rPr>
          <w:rFonts w:hint="eastAsia" w:ascii="仿宋" w:hAnsi="仿宋" w:eastAsia="仿宋" w:cs="仿宋"/>
          <w:color w:val="auto"/>
          <w:sz w:val="28"/>
          <w:szCs w:val="28"/>
          <w:highlight w:val="none"/>
        </w:rPr>
        <w:t>二、供应商资格要求</w:t>
      </w:r>
      <w:bookmarkEnd w:id="1"/>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val="en-US" w:eastAsia="zh-CN"/>
        </w:rPr>
        <w:t>在中华人民共和国境内依法登记的法人或其他组织，具有独立承担民事责任的能力，合法运作并独立于采购人，需提供合法有效的营业执照复印件；</w:t>
      </w:r>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2具有履行合同所必需的设备和专业技术能力，需提供相关照片、复印件等资料；</w:t>
      </w:r>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 xml:space="preserve">3供应商应经营状况良好，参加此项采购活动最近三年没有出现违法违规或失信行为，没有骗取中标和严重违约的行为。供应商须提供“信用中国”网站或“中国政府采购网”查询相关主体信用记录，“严重失信主体名单、重大税收违法失信主体名单、政府采购严重违法失信行为记录名单”的查询结果，以上三项提供查询截图加盖公章，有不良行为记录的不得参与本次项目； </w:t>
      </w:r>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2.4.根据《中国人民保险集团供应商管理办法》规定，严禁列入中国人民保险集团黑名单且在禁入期内的供应商参与采购活动；</w:t>
      </w:r>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2.5单位负责人为同一人或存在控股、管理关系的不同单位，不得参加同一采购项目；</w:t>
      </w:r>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2.6本项目不接受联合体投标，不得分包、转包。</w:t>
      </w:r>
    </w:p>
    <w:p>
      <w:pPr>
        <w:keepNext w:val="0"/>
        <w:keepLines w:val="0"/>
        <w:pageBreakBefore w:val="0"/>
        <w:widowControl/>
        <w:kinsoku/>
        <w:wordWrap/>
        <w:overflowPunct/>
        <w:topLinePunct w:val="0"/>
        <w:autoSpaceDE/>
        <w:autoSpaceDN/>
        <w:bidi w:val="0"/>
        <w:adjustRightInd/>
        <w:snapToGrid w:val="0"/>
        <w:spacing w:line="360" w:lineRule="auto"/>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2.7.特定资格要求：具备有效《医疗机构执业许可证》（证书上注明的单位名称应与供应商名称一致）。</w:t>
      </w:r>
    </w:p>
    <w:p>
      <w:pPr>
        <w:pStyle w:val="4"/>
        <w:pageBreakBefore w:val="0"/>
        <w:kinsoku/>
        <w:wordWrap/>
        <w:overflowPunct/>
        <w:topLinePunct w:val="0"/>
        <w:autoSpaceDE/>
        <w:autoSpaceDN/>
        <w:bidi w:val="0"/>
        <w:spacing w:line="360" w:lineRule="auto"/>
        <w:ind w:firstLine="562" w:firstLineChars="200"/>
        <w:jc w:val="left"/>
        <w:rPr>
          <w:rFonts w:hint="eastAsia" w:ascii="仿宋" w:hAnsi="仿宋" w:eastAsia="仿宋" w:cs="仿宋"/>
          <w:color w:val="000000"/>
          <w:sz w:val="28"/>
          <w:szCs w:val="28"/>
          <w:highlight w:val="none"/>
        </w:rPr>
      </w:pPr>
      <w:bookmarkStart w:id="2" w:name="_Toc28263"/>
      <w:r>
        <w:rPr>
          <w:rFonts w:hint="eastAsia" w:ascii="仿宋" w:hAnsi="仿宋" w:eastAsia="仿宋" w:cs="仿宋"/>
          <w:color w:val="000000"/>
          <w:sz w:val="28"/>
          <w:szCs w:val="28"/>
          <w:highlight w:val="none"/>
        </w:rPr>
        <w:t>三、资格审查方法</w:t>
      </w:r>
      <w:bookmarkEnd w:id="2"/>
    </w:p>
    <w:p>
      <w:pPr>
        <w:pageBreakBefore w:val="0"/>
        <w:wordWrap/>
        <w:overflowPunct/>
        <w:topLinePunct w:val="0"/>
        <w:bidi w:val="0"/>
        <w:spacing w:line="360" w:lineRule="auto"/>
        <w:ind w:firstLine="560" w:firstLineChars="200"/>
        <w:textAlignment w:val="baseline"/>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本项目将进行资格后审，资格审查方法为合格制，资格审查标准和内容见文件第三章评审办法。未通过资格后审的供应商，响应文件将被否决，不进入</w:t>
      </w:r>
      <w:r>
        <w:rPr>
          <w:rFonts w:hint="eastAsia" w:ascii="仿宋" w:hAnsi="仿宋" w:eastAsia="仿宋" w:cs="仿宋"/>
          <w:bCs w:val="0"/>
          <w:sz w:val="24"/>
          <w:szCs w:val="24"/>
          <w:highlight w:val="none"/>
          <w:lang w:val="en-US" w:eastAsia="zh-CN"/>
        </w:rPr>
        <w:t>比选</w:t>
      </w:r>
      <w:r>
        <w:rPr>
          <w:rFonts w:hint="eastAsia" w:ascii="仿宋" w:hAnsi="仿宋" w:eastAsia="仿宋" w:cs="仿宋"/>
          <w:color w:val="000000"/>
          <w:sz w:val="28"/>
          <w:szCs w:val="28"/>
          <w:highlight w:val="none"/>
        </w:rPr>
        <w:t>、详细评审等后续环节。</w:t>
      </w:r>
    </w:p>
    <w:p>
      <w:pPr>
        <w:pageBreakBefore w:val="0"/>
        <w:wordWrap/>
        <w:overflowPunct/>
        <w:topLinePunct w:val="0"/>
        <w:bidi w:val="0"/>
        <w:spacing w:line="360" w:lineRule="auto"/>
        <w:ind w:firstLine="562" w:firstLineChars="200"/>
        <w:textAlignment w:val="baseline"/>
        <w:rPr>
          <w:rFonts w:hint="eastAsia" w:ascii="仿宋" w:hAnsi="仿宋" w:eastAsia="仿宋" w:cs="仿宋"/>
          <w:b/>
          <w:bCs/>
          <w:color w:val="000000"/>
          <w:sz w:val="28"/>
          <w:szCs w:val="28"/>
          <w:highlight w:val="none"/>
        </w:rPr>
      </w:pPr>
      <w:bookmarkStart w:id="3" w:name="_Toc2019"/>
      <w:r>
        <w:rPr>
          <w:rFonts w:hint="eastAsia" w:ascii="仿宋" w:hAnsi="仿宋" w:eastAsia="仿宋" w:cs="仿宋"/>
          <w:b/>
          <w:bCs/>
          <w:color w:val="000000"/>
          <w:sz w:val="28"/>
          <w:szCs w:val="28"/>
          <w:highlight w:val="none"/>
        </w:rPr>
        <w:t>四、</w:t>
      </w:r>
      <w:r>
        <w:rPr>
          <w:rFonts w:hint="eastAsia" w:ascii="仿宋" w:hAnsi="仿宋" w:eastAsia="仿宋" w:cs="仿宋"/>
          <w:b/>
          <w:bCs/>
          <w:color w:val="000000"/>
          <w:kern w:val="2"/>
          <w:sz w:val="28"/>
          <w:szCs w:val="28"/>
          <w:highlight w:val="none"/>
          <w:lang w:val="en-US" w:eastAsia="zh-CN" w:bidi="ar-SA"/>
        </w:rPr>
        <w:t>比选文件的获取</w:t>
      </w:r>
      <w:bookmarkEnd w:id="3"/>
    </w:p>
    <w:p>
      <w:pPr>
        <w:pStyle w:val="10"/>
        <w:pageBreakBefore w:val="0"/>
        <w:kinsoku/>
        <w:wordWrap/>
        <w:overflowPunct/>
        <w:topLinePunct w:val="0"/>
        <w:autoSpaceDE/>
        <w:autoSpaceDN/>
        <w:bidi w:val="0"/>
        <w:adjustRightInd w:val="0"/>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color w:val="auto"/>
          <w:sz w:val="28"/>
          <w:szCs w:val="28"/>
          <w:highlight w:val="none"/>
        </w:rPr>
        <w:t>4.1文件获取时间：</w:t>
      </w:r>
      <w:r>
        <w:rPr>
          <w:rFonts w:hint="eastAsia" w:ascii="仿宋" w:hAnsi="仿宋" w:eastAsia="仿宋" w:cs="仿宋"/>
          <w:b w:val="0"/>
          <w:bCs/>
          <w:color w:val="auto"/>
          <w:sz w:val="28"/>
          <w:szCs w:val="28"/>
          <w:highlight w:val="none"/>
          <w:u w:val="single"/>
        </w:rPr>
        <w:t>202</w:t>
      </w:r>
      <w:r>
        <w:rPr>
          <w:rFonts w:hint="eastAsia" w:ascii="仿宋" w:hAnsi="仿宋" w:eastAsia="仿宋" w:cs="仿宋"/>
          <w:b w:val="0"/>
          <w:bCs/>
          <w:color w:val="auto"/>
          <w:sz w:val="28"/>
          <w:szCs w:val="28"/>
          <w:highlight w:val="none"/>
          <w:u w:val="single"/>
          <w:lang w:val="en-US" w:eastAsia="zh-CN"/>
        </w:rPr>
        <w:t>6</w:t>
      </w:r>
      <w:r>
        <w:rPr>
          <w:rFonts w:hint="eastAsia" w:ascii="仿宋" w:hAnsi="仿宋" w:eastAsia="仿宋" w:cs="仿宋"/>
          <w:b w:val="0"/>
          <w:bCs/>
          <w:color w:val="auto"/>
          <w:sz w:val="28"/>
          <w:szCs w:val="28"/>
          <w:highlight w:val="none"/>
          <w:u w:val="single"/>
        </w:rPr>
        <w:t>年</w:t>
      </w:r>
      <w:r>
        <w:rPr>
          <w:rFonts w:hint="eastAsia" w:ascii="仿宋" w:hAnsi="仿宋" w:eastAsia="仿宋" w:cs="仿宋"/>
          <w:b w:val="0"/>
          <w:bCs/>
          <w:color w:val="auto"/>
          <w:sz w:val="28"/>
          <w:szCs w:val="28"/>
          <w:highlight w:val="none"/>
          <w:u w:val="single"/>
          <w:lang w:val="en-US" w:eastAsia="zh-CN"/>
        </w:rPr>
        <w:t xml:space="preserve"> 9 </w:t>
      </w:r>
      <w:r>
        <w:rPr>
          <w:rFonts w:hint="eastAsia" w:ascii="仿宋" w:hAnsi="仿宋" w:eastAsia="仿宋" w:cs="仿宋"/>
          <w:b w:val="0"/>
          <w:bCs/>
          <w:color w:val="auto"/>
          <w:sz w:val="28"/>
          <w:szCs w:val="28"/>
          <w:highlight w:val="none"/>
          <w:u w:val="single"/>
        </w:rPr>
        <w:t>月</w:t>
      </w:r>
      <w:r>
        <w:rPr>
          <w:rFonts w:hint="eastAsia" w:ascii="仿宋" w:hAnsi="仿宋" w:eastAsia="仿宋" w:cs="仿宋"/>
          <w:b w:val="0"/>
          <w:bCs/>
          <w:color w:val="auto"/>
          <w:sz w:val="28"/>
          <w:szCs w:val="28"/>
          <w:highlight w:val="none"/>
          <w:u w:val="single"/>
          <w:lang w:val="en-US" w:eastAsia="zh-CN"/>
        </w:rPr>
        <w:t xml:space="preserve"> 20</w:t>
      </w:r>
      <w:r>
        <w:rPr>
          <w:rFonts w:hint="eastAsia" w:ascii="仿宋" w:hAnsi="仿宋" w:eastAsia="仿宋" w:cs="仿宋"/>
          <w:b w:val="0"/>
          <w:bCs/>
          <w:color w:val="auto"/>
          <w:sz w:val="28"/>
          <w:szCs w:val="28"/>
          <w:highlight w:val="none"/>
          <w:u w:val="single"/>
        </w:rPr>
        <w:t>日</w:t>
      </w:r>
      <w:r>
        <w:rPr>
          <w:rFonts w:hint="eastAsia" w:ascii="仿宋" w:hAnsi="仿宋" w:eastAsia="仿宋" w:cs="仿宋"/>
          <w:b w:val="0"/>
          <w:bCs/>
          <w:color w:val="auto"/>
          <w:sz w:val="28"/>
          <w:szCs w:val="28"/>
          <w:highlight w:val="none"/>
        </w:rPr>
        <w:t>至</w:t>
      </w:r>
      <w:r>
        <w:rPr>
          <w:rFonts w:hint="eastAsia" w:ascii="仿宋" w:hAnsi="仿宋" w:eastAsia="仿宋" w:cs="仿宋"/>
          <w:b w:val="0"/>
          <w:bCs/>
          <w:color w:val="auto"/>
          <w:sz w:val="28"/>
          <w:szCs w:val="28"/>
          <w:highlight w:val="none"/>
          <w:u w:val="single"/>
        </w:rPr>
        <w:t>202</w:t>
      </w:r>
      <w:r>
        <w:rPr>
          <w:rFonts w:hint="eastAsia" w:ascii="仿宋" w:hAnsi="仿宋" w:eastAsia="仿宋" w:cs="仿宋"/>
          <w:b w:val="0"/>
          <w:bCs/>
          <w:color w:val="auto"/>
          <w:sz w:val="28"/>
          <w:szCs w:val="28"/>
          <w:highlight w:val="none"/>
          <w:u w:val="single"/>
          <w:lang w:val="en-US" w:eastAsia="zh-CN"/>
        </w:rPr>
        <w:t>6</w:t>
      </w:r>
      <w:r>
        <w:rPr>
          <w:rFonts w:hint="eastAsia" w:ascii="仿宋" w:hAnsi="仿宋" w:eastAsia="仿宋" w:cs="仿宋"/>
          <w:b w:val="0"/>
          <w:bCs/>
          <w:color w:val="auto"/>
          <w:sz w:val="28"/>
          <w:szCs w:val="28"/>
          <w:highlight w:val="none"/>
          <w:u w:val="single"/>
        </w:rPr>
        <w:t>年</w:t>
      </w:r>
      <w:r>
        <w:rPr>
          <w:rFonts w:hint="eastAsia" w:ascii="仿宋" w:hAnsi="仿宋" w:eastAsia="仿宋" w:cs="仿宋"/>
          <w:b w:val="0"/>
          <w:bCs/>
          <w:color w:val="auto"/>
          <w:sz w:val="28"/>
          <w:szCs w:val="28"/>
          <w:highlight w:val="none"/>
          <w:u w:val="single"/>
          <w:lang w:val="en-US" w:eastAsia="zh-CN"/>
        </w:rPr>
        <w:t xml:space="preserve">9 </w:t>
      </w:r>
      <w:r>
        <w:rPr>
          <w:rFonts w:hint="eastAsia" w:ascii="仿宋" w:hAnsi="仿宋" w:eastAsia="仿宋" w:cs="仿宋"/>
          <w:b w:val="0"/>
          <w:bCs/>
          <w:color w:val="auto"/>
          <w:sz w:val="28"/>
          <w:szCs w:val="28"/>
          <w:highlight w:val="none"/>
          <w:u w:val="single"/>
        </w:rPr>
        <w:t>月</w:t>
      </w:r>
      <w:r>
        <w:rPr>
          <w:rFonts w:hint="eastAsia" w:ascii="仿宋" w:hAnsi="仿宋" w:eastAsia="仿宋" w:cs="仿宋"/>
          <w:b w:val="0"/>
          <w:bCs/>
          <w:color w:val="auto"/>
          <w:sz w:val="28"/>
          <w:szCs w:val="28"/>
          <w:highlight w:val="none"/>
          <w:u w:val="single"/>
          <w:lang w:val="en-US" w:eastAsia="zh-CN"/>
        </w:rPr>
        <w:t xml:space="preserve"> 22</w:t>
      </w:r>
      <w:r>
        <w:rPr>
          <w:rFonts w:hint="eastAsia" w:ascii="仿宋" w:hAnsi="仿宋" w:eastAsia="仿宋" w:cs="仿宋"/>
          <w:b w:val="0"/>
          <w:bCs/>
          <w:color w:val="auto"/>
          <w:sz w:val="28"/>
          <w:szCs w:val="28"/>
          <w:highlight w:val="none"/>
          <w:u w:val="single"/>
        </w:rPr>
        <w:t>日，</w:t>
      </w:r>
      <w:r>
        <w:rPr>
          <w:rFonts w:hint="eastAsia" w:ascii="仿宋" w:hAnsi="仿宋" w:eastAsia="仿宋" w:cs="仿宋"/>
          <w:b w:val="0"/>
          <w:bCs/>
          <w:color w:val="auto"/>
          <w:sz w:val="28"/>
          <w:szCs w:val="28"/>
          <w:highlight w:val="none"/>
        </w:rPr>
        <w:t>上午</w:t>
      </w:r>
      <w:r>
        <w:rPr>
          <w:rFonts w:hint="eastAsia" w:ascii="仿宋" w:hAnsi="仿宋" w:eastAsia="仿宋" w:cs="仿宋"/>
          <w:b w:val="0"/>
          <w:bCs/>
          <w:color w:val="auto"/>
          <w:sz w:val="28"/>
          <w:szCs w:val="28"/>
          <w:highlight w:val="none"/>
          <w:lang w:val="en-US" w:eastAsia="zh-CN"/>
        </w:rPr>
        <w:t>8：30</w:t>
      </w:r>
      <w:r>
        <w:rPr>
          <w:rFonts w:hint="eastAsia" w:ascii="仿宋" w:hAnsi="仿宋" w:eastAsia="仿宋" w:cs="仿宋"/>
          <w:b w:val="0"/>
          <w:bCs/>
          <w:color w:val="auto"/>
          <w:sz w:val="28"/>
          <w:szCs w:val="28"/>
          <w:highlight w:val="none"/>
        </w:rPr>
        <w:t>至</w:t>
      </w:r>
      <w:r>
        <w:rPr>
          <w:rFonts w:hint="eastAsia" w:ascii="仿宋" w:hAnsi="仿宋" w:eastAsia="仿宋" w:cs="仿宋"/>
          <w:b w:val="0"/>
          <w:bCs/>
          <w:color w:val="auto"/>
          <w:sz w:val="28"/>
          <w:szCs w:val="28"/>
          <w:highlight w:val="none"/>
          <w:lang w:val="en-US" w:eastAsia="zh-CN"/>
        </w:rPr>
        <w:t>12：00</w:t>
      </w:r>
      <w:r>
        <w:rPr>
          <w:rFonts w:hint="eastAsia" w:ascii="仿宋" w:hAnsi="仿宋" w:eastAsia="仿宋" w:cs="仿宋"/>
          <w:b w:val="0"/>
          <w:bCs/>
          <w:color w:val="auto"/>
          <w:sz w:val="28"/>
          <w:szCs w:val="28"/>
          <w:highlight w:val="none"/>
        </w:rPr>
        <w:t>，下午</w:t>
      </w:r>
      <w:r>
        <w:rPr>
          <w:rFonts w:hint="eastAsia" w:ascii="仿宋" w:hAnsi="仿宋" w:eastAsia="仿宋" w:cs="仿宋"/>
          <w:b w:val="0"/>
          <w:bCs/>
          <w:color w:val="auto"/>
          <w:sz w:val="28"/>
          <w:szCs w:val="28"/>
          <w:highlight w:val="none"/>
          <w:lang w:val="en-US" w:eastAsia="zh-CN"/>
        </w:rPr>
        <w:t>13：00</w:t>
      </w:r>
      <w:r>
        <w:rPr>
          <w:rFonts w:hint="eastAsia" w:ascii="仿宋" w:hAnsi="仿宋" w:eastAsia="仿宋" w:cs="仿宋"/>
          <w:b w:val="0"/>
          <w:bCs/>
          <w:color w:val="auto"/>
          <w:sz w:val="28"/>
          <w:szCs w:val="28"/>
          <w:highlight w:val="none"/>
        </w:rPr>
        <w:t>至</w:t>
      </w:r>
      <w:r>
        <w:rPr>
          <w:rFonts w:hint="eastAsia" w:ascii="仿宋" w:hAnsi="仿宋" w:eastAsia="仿宋" w:cs="仿宋"/>
          <w:b w:val="0"/>
          <w:bCs/>
          <w:color w:val="auto"/>
          <w:sz w:val="28"/>
          <w:szCs w:val="28"/>
          <w:highlight w:val="none"/>
          <w:lang w:val="en-US" w:eastAsia="zh-CN"/>
        </w:rPr>
        <w:t>17：30</w:t>
      </w:r>
      <w:r>
        <w:rPr>
          <w:rFonts w:hint="eastAsia" w:ascii="仿宋" w:hAnsi="仿宋" w:eastAsia="仿宋" w:cs="仿宋"/>
          <w:b w:val="0"/>
          <w:bCs/>
          <w:color w:val="auto"/>
          <w:sz w:val="28"/>
          <w:szCs w:val="28"/>
          <w:highlight w:val="none"/>
        </w:rPr>
        <w:t>（北京时间，下同）。</w:t>
      </w:r>
    </w:p>
    <w:p>
      <w:pPr>
        <w:pStyle w:val="5"/>
        <w:pageBreakBefore w:val="0"/>
        <w:kinsoku/>
        <w:wordWrap/>
        <w:overflowPunct/>
        <w:topLinePunct w:val="0"/>
        <w:autoSpaceDE/>
        <w:autoSpaceDN/>
        <w:bidi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4.2拟报名参加本项目的供应商，</w:t>
      </w:r>
      <w:r>
        <w:rPr>
          <w:rFonts w:hint="eastAsia" w:ascii="仿宋" w:hAnsi="仿宋" w:eastAsia="仿宋" w:cs="仿宋"/>
          <w:color w:val="auto"/>
          <w:sz w:val="28"/>
          <w:szCs w:val="28"/>
          <w:highlight w:val="none"/>
          <w:lang w:val="en-US" w:eastAsia="zh-CN"/>
        </w:rPr>
        <w:t>现场获取或者邮箱获取，并在</w:t>
      </w:r>
      <w:r>
        <w:rPr>
          <w:rFonts w:hint="eastAsia" w:ascii="仿宋" w:hAnsi="仿宋" w:eastAsia="仿宋" w:cs="仿宋"/>
          <w:color w:val="auto"/>
          <w:sz w:val="28"/>
          <w:szCs w:val="28"/>
          <w:highlight w:val="none"/>
          <w:u w:val="single"/>
        </w:rPr>
        <w:t>“人保e采”外网门户（https://ec.picc.com/）</w:t>
      </w:r>
      <w:r>
        <w:rPr>
          <w:rFonts w:hint="eastAsia" w:ascii="仿宋" w:hAnsi="仿宋" w:eastAsia="仿宋" w:cs="仿宋"/>
          <w:color w:val="auto"/>
          <w:sz w:val="28"/>
          <w:szCs w:val="28"/>
          <w:highlight w:val="none"/>
          <w:u w:val="single"/>
          <w:lang w:val="en-US" w:eastAsia="zh-CN"/>
        </w:rPr>
        <w:t>线上报名。</w:t>
      </w:r>
    </w:p>
    <w:p>
      <w:pPr>
        <w:pStyle w:val="4"/>
        <w:pageBreakBefore w:val="0"/>
        <w:kinsoku/>
        <w:wordWrap/>
        <w:overflowPunct/>
        <w:topLinePunct w:val="0"/>
        <w:autoSpaceDE/>
        <w:autoSpaceDN/>
        <w:bidi w:val="0"/>
        <w:spacing w:line="360" w:lineRule="auto"/>
        <w:ind w:firstLine="562" w:firstLineChars="200"/>
        <w:jc w:val="left"/>
        <w:rPr>
          <w:rFonts w:hint="eastAsia" w:ascii="仿宋" w:hAnsi="仿宋" w:eastAsia="仿宋" w:cs="仿宋"/>
          <w:color w:val="auto"/>
          <w:sz w:val="28"/>
          <w:szCs w:val="28"/>
          <w:highlight w:val="none"/>
        </w:rPr>
      </w:pPr>
      <w:bookmarkStart w:id="4" w:name="_Toc32115"/>
      <w:r>
        <w:rPr>
          <w:rFonts w:hint="eastAsia" w:ascii="仿宋" w:hAnsi="仿宋" w:eastAsia="仿宋" w:cs="仿宋"/>
          <w:color w:val="auto"/>
          <w:sz w:val="28"/>
          <w:szCs w:val="28"/>
          <w:highlight w:val="none"/>
        </w:rPr>
        <w:t>五、响应文件的递交</w:t>
      </w:r>
      <w:bookmarkEnd w:id="4"/>
    </w:p>
    <w:p>
      <w:pPr>
        <w:pageBreakBefore w:val="0"/>
        <w:kinsoku/>
        <w:wordWrap/>
        <w:overflowPunct/>
        <w:topLinePunct w:val="0"/>
        <w:autoSpaceDE/>
        <w:autoSpaceDN/>
        <w:bidi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5.1响应文件递交截止时间：</w:t>
      </w:r>
      <w:r>
        <w:rPr>
          <w:rFonts w:hint="eastAsia" w:ascii="仿宋" w:hAnsi="仿宋" w:eastAsia="仿宋" w:cs="仿宋"/>
          <w:color w:val="auto"/>
          <w:sz w:val="28"/>
          <w:szCs w:val="28"/>
          <w:highlight w:val="none"/>
          <w:u w:val="single"/>
        </w:rPr>
        <w:t>20</w:t>
      </w:r>
      <w:r>
        <w:rPr>
          <w:rFonts w:hint="eastAsia" w:ascii="仿宋" w:hAnsi="仿宋" w:eastAsia="仿宋" w:cs="仿宋"/>
          <w:color w:val="auto"/>
          <w:sz w:val="28"/>
          <w:szCs w:val="28"/>
          <w:highlight w:val="none"/>
          <w:u w:val="single"/>
          <w:lang w:val="en-US" w:eastAsia="zh-CN"/>
        </w:rPr>
        <w:t>26</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 xml:space="preserve">23 </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 xml:space="preserve"> 9 </w:t>
      </w:r>
      <w:r>
        <w:rPr>
          <w:rFonts w:hint="eastAsia" w:ascii="仿宋" w:hAnsi="仿宋" w:eastAsia="仿宋" w:cs="仿宋"/>
          <w:color w:val="auto"/>
          <w:sz w:val="28"/>
          <w:szCs w:val="28"/>
          <w:highlight w:val="none"/>
          <w:u w:val="single"/>
        </w:rPr>
        <w:t>时</w:t>
      </w:r>
      <w:r>
        <w:rPr>
          <w:rFonts w:hint="eastAsia" w:ascii="仿宋" w:hAnsi="仿宋" w:eastAsia="仿宋" w:cs="仿宋"/>
          <w:color w:val="auto"/>
          <w:sz w:val="28"/>
          <w:szCs w:val="28"/>
          <w:highlight w:val="none"/>
          <w:u w:val="single"/>
          <w:lang w:val="en-US" w:eastAsia="zh-CN"/>
        </w:rPr>
        <w:t xml:space="preserve"> 0</w:t>
      </w:r>
      <w:r>
        <w:rPr>
          <w:rFonts w:hint="eastAsia" w:ascii="仿宋" w:hAnsi="仿宋" w:eastAsia="仿宋" w:cs="仿宋"/>
          <w:color w:val="auto"/>
          <w:sz w:val="28"/>
          <w:szCs w:val="28"/>
          <w:highlight w:val="none"/>
          <w:u w:val="single"/>
        </w:rPr>
        <w:t>分00秒</w:t>
      </w:r>
      <w:r>
        <w:rPr>
          <w:rFonts w:hint="eastAsia" w:ascii="仿宋" w:hAnsi="仿宋" w:eastAsia="仿宋" w:cs="仿宋"/>
          <w:color w:val="auto"/>
          <w:sz w:val="28"/>
          <w:szCs w:val="28"/>
          <w:highlight w:val="none"/>
        </w:rPr>
        <w:t>。</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5.2响应文件的递交：</w:t>
      </w:r>
      <w:r>
        <w:rPr>
          <w:rFonts w:hint="eastAsia" w:ascii="仿宋" w:hAnsi="仿宋" w:eastAsia="仿宋" w:cs="仿宋"/>
          <w:color w:val="auto"/>
          <w:sz w:val="28"/>
          <w:szCs w:val="28"/>
          <w:highlight w:val="none"/>
        </w:rPr>
        <w:t>须现场递交至</w:t>
      </w:r>
      <w:r>
        <w:rPr>
          <w:rFonts w:hint="eastAsia" w:ascii="仿宋" w:hAnsi="仿宋" w:eastAsia="仿宋" w:cs="仿宋"/>
          <w:color w:val="auto"/>
          <w:sz w:val="28"/>
          <w:szCs w:val="28"/>
          <w:highlight w:val="none"/>
          <w:lang w:val="en-US" w:eastAsia="zh-CN"/>
        </w:rPr>
        <w:t>萍乡市安源区跃进北路28号人保财险萍乡市分公司九楼会议室</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递交形式：纸质递交（一正一副）、电子U盘一份。</w:t>
      </w:r>
      <w:r>
        <w:rPr>
          <w:rFonts w:hint="eastAsia" w:ascii="仿宋" w:hAnsi="仿宋" w:eastAsia="仿宋" w:cs="仿宋"/>
          <w:b/>
          <w:bCs/>
          <w:color w:val="auto"/>
          <w:sz w:val="28"/>
          <w:szCs w:val="28"/>
          <w:highlight w:val="none"/>
        </w:rPr>
        <w:t>逾期送达或者未送达指定地点或者未按照</w:t>
      </w:r>
      <w:r>
        <w:rPr>
          <w:rFonts w:hint="eastAsia" w:ascii="仿宋" w:hAnsi="仿宋" w:eastAsia="仿宋" w:cs="仿宋"/>
          <w:bCs w:val="0"/>
          <w:color w:val="auto"/>
          <w:sz w:val="24"/>
          <w:szCs w:val="24"/>
          <w:highlight w:val="none"/>
          <w:lang w:val="en-US" w:eastAsia="zh-CN"/>
        </w:rPr>
        <w:t>比选</w:t>
      </w:r>
      <w:r>
        <w:rPr>
          <w:rFonts w:hint="eastAsia" w:ascii="仿宋" w:hAnsi="仿宋" w:eastAsia="仿宋" w:cs="仿宋"/>
          <w:b/>
          <w:bCs/>
          <w:color w:val="auto"/>
          <w:sz w:val="28"/>
          <w:szCs w:val="28"/>
          <w:highlight w:val="none"/>
        </w:rPr>
        <w:t>文件要求封装的纸质响应文件不予接收。</w:t>
      </w:r>
    </w:p>
    <w:p>
      <w:pPr>
        <w:pageBreakBefore w:val="0"/>
        <w:kinsoku/>
        <w:wordWrap/>
        <w:overflowPunct/>
        <w:topLinePunct w:val="0"/>
        <w:autoSpaceDE/>
        <w:autoSpaceDN/>
        <w:bidi w:val="0"/>
        <w:spacing w:line="360" w:lineRule="auto"/>
        <w:ind w:firstLine="560" w:firstLineChars="200"/>
        <w:textAlignment w:val="baseline"/>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5.3</w:t>
      </w:r>
      <w:r>
        <w:rPr>
          <w:rFonts w:hint="eastAsia" w:ascii="仿宋" w:hAnsi="仿宋" w:eastAsia="仿宋" w:cs="仿宋"/>
          <w:b w:val="0"/>
          <w:bCs w:val="0"/>
          <w:color w:val="auto"/>
          <w:kern w:val="2"/>
          <w:sz w:val="28"/>
          <w:szCs w:val="28"/>
          <w:highlight w:val="none"/>
          <w:lang w:val="en-US" w:eastAsia="zh-CN" w:bidi="ar-SA"/>
        </w:rPr>
        <w:t>本项目将于上述同一时间、地点进行，</w:t>
      </w:r>
      <w:r>
        <w:rPr>
          <w:rFonts w:hint="eastAsia" w:ascii="仿宋" w:hAnsi="仿宋" w:eastAsia="仿宋" w:cs="仿宋"/>
          <w:b w:val="0"/>
          <w:bCs w:val="0"/>
          <w:color w:val="auto"/>
          <w:kern w:val="2"/>
          <w:sz w:val="28"/>
          <w:szCs w:val="28"/>
          <w:highlight w:val="none"/>
          <w:lang w:val="en-US" w:eastAsia="zh-CN" w:bidi="ar-SA"/>
        </w:rPr>
        <w:t>采购人/采购代理机构邀请供应商代表准时参加。</w:t>
      </w:r>
    </w:p>
    <w:p>
      <w:pPr>
        <w:pageBreakBefore w:val="0"/>
        <w:kinsoku/>
        <w:wordWrap/>
        <w:overflowPunct/>
        <w:topLinePunct w:val="0"/>
        <w:autoSpaceDE/>
        <w:autoSpaceDN/>
        <w:bidi w:val="0"/>
        <w:spacing w:line="360" w:lineRule="auto"/>
        <w:ind w:firstLine="560" w:firstLineChars="200"/>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5.4</w:t>
      </w:r>
      <w:r>
        <w:rPr>
          <w:rFonts w:hint="eastAsia" w:ascii="仿宋" w:hAnsi="仿宋" w:eastAsia="仿宋" w:cs="仿宋"/>
          <w:b/>
          <w:bCs/>
          <w:color w:val="auto"/>
          <w:kern w:val="2"/>
          <w:sz w:val="28"/>
          <w:szCs w:val="28"/>
          <w:highlight w:val="none"/>
          <w:lang w:val="en-US" w:eastAsia="zh-CN" w:bidi="ar-SA"/>
        </w:rPr>
        <w:t>出现以下情形之一时，采购人不予接收投标文件：</w:t>
      </w:r>
    </w:p>
    <w:p>
      <w:pPr>
        <w:pageBreakBefore w:val="0"/>
        <w:kinsoku/>
        <w:wordWrap/>
        <w:overflowPunct/>
        <w:topLinePunct w:val="0"/>
        <w:autoSpaceDE/>
        <w:autoSpaceDN/>
        <w:bidi w:val="0"/>
        <w:spacing w:line="360" w:lineRule="auto"/>
        <w:ind w:firstLine="560" w:firstLineChars="200"/>
        <w:textAlignment w:val="baseline"/>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5.4.1  逾期送达或者未送达指定地点的；</w:t>
      </w:r>
    </w:p>
    <w:p>
      <w:pPr>
        <w:pageBreakBefore w:val="0"/>
        <w:kinsoku/>
        <w:wordWrap/>
        <w:overflowPunct/>
        <w:topLinePunct w:val="0"/>
        <w:autoSpaceDE/>
        <w:autoSpaceDN/>
        <w:bidi w:val="0"/>
        <w:spacing w:line="360" w:lineRule="auto"/>
        <w:ind w:firstLine="560" w:firstLineChars="200"/>
        <w:textAlignment w:val="baseline"/>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5.4.2  未按照响应文件要求密封的；</w:t>
      </w:r>
    </w:p>
    <w:p>
      <w:pPr>
        <w:pageBreakBefore w:val="0"/>
        <w:kinsoku/>
        <w:wordWrap/>
        <w:overflowPunct/>
        <w:topLinePunct w:val="0"/>
        <w:autoSpaceDE/>
        <w:autoSpaceDN/>
        <w:bidi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b w:val="0"/>
          <w:color w:val="auto"/>
          <w:kern w:val="2"/>
          <w:sz w:val="28"/>
          <w:szCs w:val="28"/>
          <w:highlight w:val="none"/>
          <w:lang w:val="en-US" w:eastAsia="zh-CN" w:bidi="ar-SA"/>
        </w:rPr>
        <w:t>5.4.3  未按照公告要求获取文件的。</w:t>
      </w:r>
    </w:p>
    <w:p>
      <w:pPr>
        <w:pStyle w:val="4"/>
        <w:pageBreakBefore w:val="0"/>
        <w:kinsoku/>
        <w:wordWrap/>
        <w:overflowPunct/>
        <w:topLinePunct w:val="0"/>
        <w:autoSpaceDE/>
        <w:autoSpaceDN/>
        <w:bidi w:val="0"/>
        <w:spacing w:line="360" w:lineRule="auto"/>
        <w:ind w:firstLine="562" w:firstLineChars="200"/>
        <w:jc w:val="left"/>
        <w:rPr>
          <w:rFonts w:hint="eastAsia" w:ascii="仿宋" w:hAnsi="仿宋" w:eastAsia="仿宋" w:cs="仿宋"/>
          <w:color w:val="auto"/>
          <w:sz w:val="28"/>
          <w:szCs w:val="28"/>
          <w:highlight w:val="none"/>
        </w:rPr>
      </w:pPr>
      <w:bookmarkStart w:id="5" w:name="_Toc874"/>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、发布公告的媒介</w:t>
      </w:r>
      <w:bookmarkEnd w:id="5"/>
    </w:p>
    <w:p>
      <w:pPr>
        <w:pageBreakBefore w:val="0"/>
        <w:kinsoku/>
        <w:wordWrap/>
        <w:overflowPunct/>
        <w:topLinePunct w:val="0"/>
        <w:autoSpaceDE/>
        <w:autoSpaceDN/>
        <w:bidi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本项目公告同时在</w:t>
      </w:r>
      <w:r>
        <w:rPr>
          <w:rFonts w:hint="eastAsia" w:ascii="仿宋" w:hAnsi="仿宋" w:eastAsia="仿宋" w:cs="仿宋"/>
          <w:color w:val="auto"/>
          <w:sz w:val="28"/>
          <w:szCs w:val="28"/>
          <w:highlight w:val="none"/>
          <w:u w:val="single"/>
        </w:rPr>
        <w:t>“人保e采”外网门户（https://ec.picc.com/）</w:t>
      </w:r>
      <w:r>
        <w:rPr>
          <w:rFonts w:hint="eastAsia" w:ascii="仿宋" w:hAnsi="仿宋" w:eastAsia="仿宋" w:cs="仿宋"/>
          <w:color w:val="auto"/>
          <w:sz w:val="28"/>
          <w:szCs w:val="28"/>
          <w:highlight w:val="none"/>
        </w:rPr>
        <w:t>上发布，除上述外，</w:t>
      </w:r>
      <w:r>
        <w:rPr>
          <w:rFonts w:hint="eastAsia" w:ascii="仿宋" w:hAnsi="仿宋" w:eastAsia="仿宋" w:cs="仿宋"/>
          <w:color w:val="auto"/>
          <w:sz w:val="28"/>
          <w:szCs w:val="28"/>
          <w:highlight w:val="none"/>
        </w:rPr>
        <w:t>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pPr>
        <w:pStyle w:val="4"/>
        <w:pageBreakBefore w:val="0"/>
        <w:kinsoku/>
        <w:wordWrap/>
        <w:overflowPunct/>
        <w:topLinePunct w:val="0"/>
        <w:autoSpaceDE/>
        <w:autoSpaceDN/>
        <w:bidi w:val="0"/>
        <w:spacing w:line="360" w:lineRule="auto"/>
        <w:ind w:firstLine="562" w:firstLineChars="200"/>
        <w:jc w:val="left"/>
        <w:rPr>
          <w:rFonts w:hint="eastAsia" w:ascii="仿宋" w:hAnsi="仿宋" w:eastAsia="仿宋" w:cs="仿宋"/>
          <w:color w:val="auto"/>
          <w:sz w:val="28"/>
          <w:szCs w:val="28"/>
          <w:highlight w:val="none"/>
        </w:rPr>
      </w:pPr>
      <w:bookmarkStart w:id="6" w:name="_Toc30596"/>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、联系方式</w:t>
      </w:r>
      <w:bookmarkEnd w:id="6"/>
    </w:p>
    <w:p>
      <w:pPr>
        <w:pageBreakBefore w:val="0"/>
        <w:tabs>
          <w:tab w:val="left" w:pos="-105"/>
          <w:tab w:val="left" w:pos="420"/>
          <w:tab w:val="left" w:pos="630"/>
          <w:tab w:val="left" w:pos="1155"/>
          <w:tab w:val="left" w:pos="1890"/>
          <w:tab w:val="left" w:pos="3150"/>
          <w:tab w:val="left" w:pos="3780"/>
        </w:tabs>
        <w:kinsoku/>
        <w:wordWrap/>
        <w:overflowPunct/>
        <w:topLinePunct w:val="0"/>
        <w:autoSpaceDE/>
        <w:autoSpaceDN/>
        <w:bidi w:val="0"/>
        <w:spacing w:line="360" w:lineRule="auto"/>
        <w:ind w:firstLine="560" w:firstLineChars="200"/>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采购人：中国人民财产保险股份有限公司</w:t>
      </w:r>
      <w:r>
        <w:rPr>
          <w:rFonts w:hint="eastAsia" w:ascii="仿宋" w:hAnsi="仿宋" w:eastAsia="仿宋" w:cs="仿宋"/>
          <w:b w:val="0"/>
          <w:bCs w:val="0"/>
          <w:color w:val="auto"/>
          <w:sz w:val="28"/>
          <w:szCs w:val="28"/>
          <w:highlight w:val="none"/>
          <w:lang w:val="en-US" w:eastAsia="zh-CN"/>
        </w:rPr>
        <w:t>萍乡市</w:t>
      </w:r>
      <w:r>
        <w:rPr>
          <w:rFonts w:hint="eastAsia" w:ascii="仿宋" w:hAnsi="仿宋" w:eastAsia="仿宋" w:cs="仿宋"/>
          <w:b w:val="0"/>
          <w:bCs w:val="0"/>
          <w:color w:val="auto"/>
          <w:sz w:val="28"/>
          <w:szCs w:val="28"/>
          <w:highlight w:val="none"/>
        </w:rPr>
        <w:t>分公司</w:t>
      </w:r>
    </w:p>
    <w:p>
      <w:pPr>
        <w:pageBreakBefore w:val="0"/>
        <w:kinsoku/>
        <w:wordWrap/>
        <w:overflowPunct/>
        <w:topLinePunct w:val="0"/>
        <w:autoSpaceDE/>
        <w:autoSpaceDN/>
        <w:bidi w:val="0"/>
        <w:spacing w:line="360" w:lineRule="auto"/>
        <w:ind w:firstLine="560" w:firstLineChars="200"/>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地址：萍乡市安源区跃进北路28号</w:t>
      </w:r>
      <w:r>
        <w:rPr>
          <w:rFonts w:hint="eastAsia" w:ascii="仿宋" w:hAnsi="仿宋" w:eastAsia="仿宋" w:cs="仿宋"/>
          <w:b w:val="0"/>
          <w:bCs w:val="0"/>
          <w:color w:val="auto"/>
          <w:sz w:val="28"/>
          <w:szCs w:val="28"/>
          <w:highlight w:val="none"/>
        </w:rPr>
        <w:t>人保财险萍乡市分公司（1103室）</w:t>
      </w:r>
    </w:p>
    <w:p>
      <w:pPr>
        <w:pageBreakBefore w:val="0"/>
        <w:kinsoku/>
        <w:wordWrap/>
        <w:overflowPunct/>
        <w:topLinePunct w:val="0"/>
        <w:autoSpaceDE/>
        <w:autoSpaceDN/>
        <w:bidi w:val="0"/>
        <w:spacing w:line="360" w:lineRule="auto"/>
        <w:ind w:firstLine="560" w:firstLineChars="200"/>
        <w:jc w:val="right"/>
        <w:textAlignment w:val="baseline"/>
        <w:rPr>
          <w:rFonts w:hint="eastAsia" w:ascii="仿宋" w:hAnsi="仿宋" w:eastAsia="仿宋" w:cs="仿宋"/>
          <w:color w:val="auto"/>
          <w:sz w:val="28"/>
          <w:szCs w:val="28"/>
          <w:highlight w:val="none"/>
        </w:rPr>
      </w:pPr>
    </w:p>
    <w:p>
      <w:pPr>
        <w:pageBreakBefore w:val="0"/>
        <w:kinsoku/>
        <w:wordWrap/>
        <w:overflowPunct/>
        <w:topLinePunct w:val="0"/>
        <w:autoSpaceDE/>
        <w:autoSpaceDN/>
        <w:bidi w:val="0"/>
        <w:spacing w:line="360" w:lineRule="auto"/>
        <w:ind w:firstLine="560" w:firstLineChars="200"/>
        <w:jc w:val="right"/>
        <w:textAlignment w:val="baseline"/>
        <w:rPr>
          <w:rFonts w:hint="eastAsia" w:ascii="仿宋" w:hAnsi="仿宋" w:eastAsia="仿宋" w:cs="仿宋"/>
          <w:color w:val="auto"/>
          <w:sz w:val="28"/>
          <w:szCs w:val="28"/>
          <w:highlight w:val="none"/>
        </w:rPr>
      </w:pPr>
    </w:p>
    <w:p>
      <w:pPr>
        <w:pageBreakBefore w:val="0"/>
        <w:kinsoku/>
        <w:wordWrap/>
        <w:overflowPunct/>
        <w:topLinePunct w:val="0"/>
        <w:autoSpaceDE/>
        <w:autoSpaceDN/>
        <w:bidi w:val="0"/>
        <w:spacing w:line="360" w:lineRule="auto"/>
        <w:ind w:firstLine="560" w:firstLineChars="200"/>
        <w:jc w:val="righ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采购人：中国人民财产保险股份有限公司</w:t>
      </w:r>
      <w:r>
        <w:rPr>
          <w:rFonts w:hint="eastAsia" w:ascii="仿宋" w:hAnsi="仿宋" w:eastAsia="仿宋" w:cs="仿宋"/>
          <w:color w:val="auto"/>
          <w:sz w:val="28"/>
          <w:szCs w:val="28"/>
          <w:highlight w:val="none"/>
          <w:lang w:val="en-US" w:eastAsia="zh-CN"/>
        </w:rPr>
        <w:t>萍乡市</w:t>
      </w:r>
      <w:r>
        <w:rPr>
          <w:rFonts w:hint="eastAsia" w:ascii="仿宋" w:hAnsi="仿宋" w:eastAsia="仿宋" w:cs="仿宋"/>
          <w:color w:val="auto"/>
          <w:sz w:val="28"/>
          <w:szCs w:val="28"/>
          <w:highlight w:val="none"/>
        </w:rPr>
        <w:t>分公司</w:t>
      </w:r>
    </w:p>
    <w:p>
      <w:pPr>
        <w:pageBreakBefore w:val="0"/>
        <w:kinsoku/>
        <w:wordWrap/>
        <w:overflowPunct/>
        <w:topLinePunct w:val="0"/>
        <w:autoSpaceDE/>
        <w:autoSpaceDN/>
        <w:bidi w:val="0"/>
        <w:spacing w:line="360" w:lineRule="auto"/>
        <w:ind w:firstLine="560" w:firstLineChars="200"/>
        <w:jc w:val="center"/>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 xml:space="preserve"> 18</w:t>
      </w:r>
      <w:r>
        <w:rPr>
          <w:rFonts w:hint="eastAsia" w:ascii="仿宋" w:hAnsi="仿宋" w:eastAsia="仿宋" w:cs="仿宋"/>
          <w:color w:val="auto"/>
          <w:sz w:val="28"/>
          <w:szCs w:val="28"/>
          <w:highlight w:val="none"/>
        </w:rPr>
        <w:t>日</w:t>
      </w:r>
    </w:p>
    <w:p>
      <w:pPr>
        <w:pageBreakBefore w:val="0"/>
        <w:kinsoku/>
        <w:wordWrap/>
        <w:overflowPunct/>
        <w:topLinePunct w:val="0"/>
        <w:autoSpaceDE/>
        <w:autoSpaceDN/>
        <w:bidi w:val="0"/>
        <w:spacing w:line="360" w:lineRule="auto"/>
        <w:jc w:val="both"/>
        <w:textAlignment w:val="baseline"/>
      </w:pPr>
      <w:bookmarkStart w:id="7" w:name="_GoBack"/>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046D45"/>
    <w:rsid w:val="35A12818"/>
    <w:rsid w:val="3A9E0B7A"/>
    <w:rsid w:val="6B5365DF"/>
    <w:rsid w:val="77465D50"/>
    <w:rsid w:val="7AFB4253"/>
    <w:rsid w:val="7E0E4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5">
    <w:name w:val="Normal Indent"/>
    <w:basedOn w:val="1"/>
    <w:qFormat/>
    <w:uiPriority w:val="0"/>
    <w:pPr>
      <w:widowControl/>
      <w:ind w:firstLine="420"/>
      <w:jc w:val="left"/>
    </w:pPr>
    <w:rPr>
      <w:kern w:val="0"/>
      <w:sz w:val="20"/>
      <w:szCs w:val="20"/>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customStyle="1" w:styleId="10">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2026-09-10T03:19:00Z</dcterms:created>
  <dc:creator>picc</dc:creator>
  <cp:lastModifiedBy>曾冶华</cp:lastModifiedBy>
  <cp:lastPrinted>2026-09-17T03:49:53Z</cp:lastPrinted>
  <dcterms:modified xsi:type="dcterms:W3CDTF">2026-09-17T03:50:25Z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24D70D54E7B94F29BAB3A12B463AB635</vt:lpwstr>
  </property>
</Properties>
</file>