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宋体" w:hAnsi="宋体" w:eastAsia="宋体" w:cs="宋体"/>
          <w:b/>
          <w:bCs/>
          <w:sz w:val="36"/>
          <w:szCs w:val="36"/>
        </w:rPr>
      </w:pPr>
      <w:r>
        <w:rPr>
          <w:rFonts w:hint="eastAsia" w:ascii="宋体" w:hAnsi="宋体" w:eastAsia="宋体" w:cs="宋体"/>
          <w:b/>
          <w:bCs/>
          <w:sz w:val="36"/>
          <w:szCs w:val="36"/>
        </w:rPr>
        <w:t>人保财险湖北省武汉开发区支公司关于车险转保客户投保因素偏好调研采购项目比选公告</w:t>
      </w:r>
    </w:p>
    <w:p>
      <w:pPr>
        <w:spacing w:line="600" w:lineRule="exact"/>
        <w:ind w:firstLine="643" w:firstLineChars="200"/>
        <w:jc w:val="left"/>
        <w:rPr>
          <w:rFonts w:ascii="仿宋_GB2312" w:hAnsi="仿宋_GB2312" w:eastAsia="仿宋_GB2312" w:cs="仿宋_GB2312"/>
          <w:b/>
          <w:bCs/>
          <w:sz w:val="32"/>
          <w:szCs w:val="32"/>
        </w:rPr>
      </w:pPr>
    </w:p>
    <w:p>
      <w:pPr>
        <w:spacing w:line="600" w:lineRule="exact"/>
        <w:ind w:firstLine="643"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b/>
          <w:bCs/>
          <w:sz w:val="32"/>
          <w:szCs w:val="32"/>
          <w:lang w:eastAsia="zh-CN"/>
        </w:rPr>
        <w:t>一、</w:t>
      </w:r>
      <w:r>
        <w:rPr>
          <w:rFonts w:hint="eastAsia" w:ascii="仿宋_GB2312" w:hAnsi="仿宋_GB2312" w:eastAsia="仿宋_GB2312" w:cs="仿宋_GB2312"/>
          <w:b/>
          <w:bCs/>
          <w:sz w:val="32"/>
          <w:szCs w:val="32"/>
        </w:rPr>
        <w:t>采购项目名称：</w:t>
      </w:r>
      <w:r>
        <w:rPr>
          <w:rFonts w:hint="eastAsia" w:ascii="仿宋_GB2312" w:eastAsia="仿宋_GB2312"/>
          <w:sz w:val="28"/>
          <w:szCs w:val="28"/>
        </w:rPr>
        <w:t>人保财险湖北省武汉开发区支公司关于车险转保客户投保因素偏好调研采购项目</w:t>
      </w:r>
    </w:p>
    <w:p>
      <w:pPr>
        <w:spacing w:line="600" w:lineRule="exact"/>
        <w:ind w:firstLine="643" w:firstLineChars="200"/>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二、</w:t>
      </w:r>
      <w:r>
        <w:rPr>
          <w:rFonts w:hint="eastAsia" w:ascii="仿宋_GB2312" w:hAnsi="仿宋_GB2312" w:eastAsia="仿宋_GB2312" w:cs="仿宋_GB2312"/>
          <w:b/>
          <w:bCs/>
          <w:sz w:val="32"/>
          <w:szCs w:val="32"/>
        </w:rPr>
        <w:t>采购内容</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（一）项目概况</w:t>
      </w:r>
    </w:p>
    <w:p>
      <w:pPr>
        <w:spacing w:line="600" w:lineRule="exact"/>
        <w:ind w:firstLine="560" w:firstLineChars="200"/>
        <w:jc w:val="left"/>
        <w:rPr>
          <w:rFonts w:hint="eastAsia" w:ascii="仿宋_GB2312" w:hAnsi="Calibri" w:eastAsia="仿宋_GB2312" w:cs="Times New Roman"/>
          <w:b w:val="0"/>
          <w:bCs w:val="0"/>
          <w:kern w:val="2"/>
          <w:sz w:val="28"/>
          <w:szCs w:val="28"/>
          <w:lang w:val="en-US" w:eastAsia="zh-CN" w:bidi="ar-SA"/>
        </w:rPr>
      </w:pPr>
      <w:r>
        <w:rPr>
          <w:rFonts w:hint="eastAsia" w:ascii="仿宋_GB2312" w:hAnsi="Calibri" w:eastAsia="仿宋_GB2312" w:cs="Times New Roman"/>
          <w:b w:val="0"/>
          <w:bCs w:val="0"/>
          <w:kern w:val="2"/>
          <w:sz w:val="28"/>
          <w:szCs w:val="28"/>
          <w:lang w:val="en-US" w:eastAsia="zh-CN" w:bidi="ar-SA"/>
        </w:rPr>
        <w:t>当随着国内车险市场监管体系持续完善、费率市场化改革不断深化，车险行业彻底进入同质化竞争、服务精细化比拼的新阶段。当前车险市场主体数量众多，产品保障内容、费率标准趋同度高，客户自主选择权大幅提升，客户跨公司转保、流动频次逐年增加，行业客户留存难度持续加大。存量客户流失、转保客户获取成本偏高、新客留存率低，已成为制约车险业务高质量发展的核心问题。在行业增量市场见顶、存量竞争加剧的环境下，精准洞察转保客户需求是实现降本增效、提升市场占有率、强化客户粘性的关键。为精准破解客户流失难题，全面掌握各类车险转保客户的投保决策偏好、需求痛点、服务期待及消费特征，系统性梳理客户转保核心诱因与留存短板，优化公司车险产品方案、定价策略、服务流程及营销体系，精准提升转保客户承接能力和存量客户续保率，夯实车险业务存量市场竞争力，我司拟定开展关于车险转保客户投保因素偏好调研采购项目。</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（二）主要需求</w:t>
      </w:r>
    </w:p>
    <w:p>
      <w:pPr>
        <w:spacing w:line="600" w:lineRule="exact"/>
        <w:ind w:firstLine="560" w:firstLineChars="200"/>
        <w:jc w:val="left"/>
        <w:rPr>
          <w:rFonts w:hint="eastAsia" w:ascii="仿宋_GB2312" w:eastAsia="仿宋_GB2312" w:cs="Times New Roman"/>
          <w:b w:val="0"/>
          <w:bCs w:val="0"/>
          <w:kern w:val="2"/>
          <w:sz w:val="28"/>
          <w:szCs w:val="28"/>
          <w:lang w:val="en-US" w:eastAsia="zh-CN" w:bidi="ar-SA"/>
        </w:rPr>
      </w:pPr>
      <w:r>
        <w:rPr>
          <w:rFonts w:hint="eastAsia" w:ascii="仿宋_GB2312" w:eastAsia="仿宋_GB2312" w:cs="Times New Roman"/>
          <w:b w:val="0"/>
          <w:bCs w:val="0"/>
          <w:kern w:val="2"/>
          <w:sz w:val="28"/>
          <w:szCs w:val="28"/>
          <w:lang w:val="en-US" w:eastAsia="zh-CN" w:bidi="ar-SA"/>
        </w:rPr>
        <w:t>1、采购范围：</w:t>
      </w:r>
      <w:r>
        <w:rPr>
          <w:rFonts w:hint="eastAsia" w:ascii="仿宋_GB2312" w:hAnsi="Calibri" w:eastAsia="仿宋_GB2312" w:cs="Times New Roman"/>
          <w:b w:val="0"/>
          <w:bCs w:val="0"/>
          <w:kern w:val="2"/>
          <w:sz w:val="28"/>
          <w:szCs w:val="28"/>
          <w:lang w:val="en-US" w:eastAsia="zh-CN" w:bidi="ar-SA"/>
        </w:rPr>
        <w:t>本项目拟采购</w:t>
      </w:r>
      <w:r>
        <w:rPr>
          <w:rFonts w:hint="eastAsia" w:ascii="仿宋_GB2312" w:eastAsia="仿宋_GB2312" w:cs="Times New Roman"/>
          <w:b w:val="0"/>
          <w:bCs w:val="0"/>
          <w:kern w:val="2"/>
          <w:sz w:val="28"/>
          <w:szCs w:val="28"/>
          <w:lang w:val="en-US" w:eastAsia="zh-CN" w:bidi="ar-SA"/>
        </w:rPr>
        <w:t>1</w:t>
      </w:r>
      <w:r>
        <w:rPr>
          <w:rFonts w:hint="eastAsia" w:ascii="仿宋_GB2312" w:hAnsi="Calibri" w:eastAsia="仿宋_GB2312" w:cs="Times New Roman"/>
          <w:b w:val="0"/>
          <w:bCs w:val="0"/>
          <w:kern w:val="2"/>
          <w:sz w:val="28"/>
          <w:szCs w:val="28"/>
          <w:lang w:val="en-US" w:eastAsia="zh-CN" w:bidi="ar-SA"/>
        </w:rPr>
        <w:t>家供应商为招标人提供</w:t>
      </w:r>
      <w:r>
        <w:rPr>
          <w:rFonts w:hint="eastAsia" w:ascii="仿宋_GB2312" w:eastAsia="仿宋_GB2312" w:cs="Times New Roman"/>
          <w:b w:val="0"/>
          <w:bCs w:val="0"/>
          <w:kern w:val="2"/>
          <w:sz w:val="28"/>
          <w:szCs w:val="28"/>
          <w:lang w:val="en-US" w:eastAsia="zh-CN" w:bidi="ar-SA"/>
        </w:rPr>
        <w:t>转保客户</w:t>
      </w:r>
      <w:r>
        <w:rPr>
          <w:rFonts w:hint="eastAsia" w:ascii="仿宋_GB2312" w:eastAsia="仿宋_GB2312"/>
          <w:sz w:val="28"/>
          <w:szCs w:val="28"/>
        </w:rPr>
        <w:t>投保</w:t>
      </w:r>
      <w:r>
        <w:rPr>
          <w:rFonts w:hint="eastAsia" w:ascii="仿宋_GB2312" w:eastAsia="仿宋_GB2312"/>
          <w:sz w:val="28"/>
          <w:szCs w:val="28"/>
          <w:lang w:val="en-US" w:eastAsia="zh-CN"/>
        </w:rPr>
        <w:t>因素</w:t>
      </w:r>
      <w:r>
        <w:rPr>
          <w:rFonts w:hint="eastAsia" w:ascii="仿宋_GB2312" w:eastAsia="仿宋_GB2312"/>
          <w:sz w:val="28"/>
          <w:szCs w:val="28"/>
        </w:rPr>
        <w:t>偏好调研服务</w:t>
      </w:r>
      <w:r>
        <w:rPr>
          <w:rFonts w:hint="eastAsia" w:ascii="仿宋_GB2312" w:hAnsi="Calibri" w:eastAsia="仿宋_GB2312" w:cs="Times New Roman"/>
          <w:b w:val="0"/>
          <w:bCs w:val="0"/>
          <w:kern w:val="2"/>
          <w:sz w:val="28"/>
          <w:szCs w:val="28"/>
          <w:lang w:val="en-US" w:eastAsia="zh-CN" w:bidi="ar-SA"/>
        </w:rPr>
        <w:t>。</w:t>
      </w:r>
      <w:r>
        <w:rPr>
          <w:rFonts w:hint="eastAsia" w:ascii="仿宋_GB2312" w:eastAsia="仿宋_GB2312" w:cs="Times New Roman"/>
          <w:b w:val="0"/>
          <w:bCs w:val="0"/>
          <w:kern w:val="2"/>
          <w:sz w:val="28"/>
          <w:szCs w:val="28"/>
          <w:lang w:val="en-US" w:eastAsia="zh-CN" w:bidi="ar-SA"/>
        </w:rPr>
        <w:t>（</w:t>
      </w:r>
      <w:r>
        <w:rPr>
          <w:rFonts w:hint="eastAsia" w:ascii="仿宋_GB2312" w:hAnsi="Calibri" w:eastAsia="仿宋_GB2312" w:cs="Times New Roman"/>
          <w:b w:val="0"/>
          <w:bCs w:val="0"/>
          <w:kern w:val="2"/>
          <w:sz w:val="28"/>
          <w:szCs w:val="28"/>
          <w:lang w:val="en-US" w:eastAsia="zh-CN" w:bidi="ar-SA"/>
        </w:rPr>
        <w:t>具体内容及要求见比选邀请文件</w:t>
      </w:r>
      <w:r>
        <w:rPr>
          <w:rFonts w:hint="eastAsia" w:ascii="仿宋_GB2312" w:eastAsia="仿宋_GB2312" w:cs="Times New Roman"/>
          <w:b w:val="0"/>
          <w:bCs w:val="0"/>
          <w:kern w:val="2"/>
          <w:sz w:val="28"/>
          <w:szCs w:val="28"/>
          <w:lang w:val="en-US" w:eastAsia="zh-CN" w:bidi="ar-SA"/>
        </w:rPr>
        <w:t>）</w:t>
      </w:r>
    </w:p>
    <w:p>
      <w:pPr>
        <w:spacing w:line="600" w:lineRule="exact"/>
        <w:ind w:firstLine="560" w:firstLineChars="200"/>
        <w:jc w:val="left"/>
        <w:rPr>
          <w:rFonts w:hint="default" w:ascii="仿宋_GB2312" w:eastAsia="仿宋_GB2312" w:cs="Times New Roman"/>
          <w:b w:val="0"/>
          <w:bCs w:val="0"/>
          <w:kern w:val="2"/>
          <w:sz w:val="28"/>
          <w:szCs w:val="28"/>
          <w:lang w:val="en-US" w:eastAsia="zh-CN" w:bidi="ar-SA"/>
        </w:rPr>
      </w:pPr>
      <w:r>
        <w:rPr>
          <w:rFonts w:hint="eastAsia" w:ascii="仿宋_GB2312" w:eastAsia="仿宋_GB2312" w:cs="Times New Roman"/>
          <w:b w:val="0"/>
          <w:bCs w:val="0"/>
          <w:kern w:val="2"/>
          <w:sz w:val="28"/>
          <w:szCs w:val="28"/>
          <w:lang w:val="en-US" w:eastAsia="zh-CN" w:bidi="ar-SA"/>
        </w:rPr>
        <w:t>2、服务期限：自合同签订之日起6个月。</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三、供应商资格要求</w:t>
      </w:r>
    </w:p>
    <w:p>
      <w:pPr>
        <w:spacing w:line="600" w:lineRule="exact"/>
        <w:ind w:left="638" w:leftChars="304" w:firstLine="0" w:firstLineChars="0"/>
        <w:rPr>
          <w:rFonts w:hint="eastAsia" w:ascii="仿宋_GB2312" w:eastAsia="仿宋_GB2312"/>
          <w:color w:val="000000"/>
          <w:sz w:val="28"/>
          <w:szCs w:val="28"/>
        </w:rPr>
      </w:pPr>
      <w:r>
        <w:rPr>
          <w:rFonts w:hint="eastAsia" w:ascii="仿宋_GB2312" w:eastAsia="仿宋_GB2312"/>
          <w:color w:val="000000"/>
          <w:sz w:val="28"/>
          <w:szCs w:val="28"/>
        </w:rPr>
        <w:t>1.具有独立承担民事责任的能力；</w:t>
      </w:r>
      <w:r>
        <w:rPr>
          <w:rFonts w:hint="eastAsia" w:ascii="仿宋_GB2312" w:eastAsia="仿宋_GB2312"/>
          <w:color w:val="000000"/>
          <w:sz w:val="28"/>
          <w:szCs w:val="28"/>
        </w:rPr>
        <w:br w:type="textWrapping"/>
      </w:r>
      <w:r>
        <w:rPr>
          <w:rFonts w:hint="eastAsia" w:ascii="仿宋_GB2312" w:eastAsia="仿宋_GB2312"/>
          <w:color w:val="000000"/>
          <w:sz w:val="28"/>
          <w:szCs w:val="28"/>
        </w:rPr>
        <w:t>2.具有良好的商业信誉和健全的财务会计制度； </w:t>
      </w:r>
      <w:r>
        <w:rPr>
          <w:rFonts w:hint="eastAsia" w:ascii="仿宋_GB2312" w:eastAsia="仿宋_GB2312"/>
          <w:color w:val="000000"/>
          <w:sz w:val="28"/>
          <w:szCs w:val="28"/>
        </w:rPr>
        <w:br w:type="textWrapping"/>
      </w:r>
      <w:r>
        <w:rPr>
          <w:rFonts w:hint="eastAsia" w:ascii="仿宋_GB2312" w:eastAsia="仿宋_GB2312"/>
          <w:color w:val="000000"/>
          <w:sz w:val="28"/>
          <w:szCs w:val="28"/>
        </w:rPr>
        <w:t>3.具有履行合同所必需的设备和专业技术能力；</w:t>
      </w:r>
      <w:r>
        <w:rPr>
          <w:rFonts w:hint="eastAsia" w:ascii="仿宋_GB2312" w:eastAsia="仿宋_GB2312"/>
          <w:color w:val="000000"/>
          <w:sz w:val="28"/>
          <w:szCs w:val="28"/>
        </w:rPr>
        <w:br w:type="textWrapping"/>
      </w:r>
      <w:r>
        <w:rPr>
          <w:rFonts w:hint="eastAsia" w:ascii="仿宋_GB2312" w:eastAsia="仿宋_GB2312"/>
          <w:color w:val="000000"/>
          <w:sz w:val="28"/>
          <w:szCs w:val="28"/>
        </w:rPr>
        <w:t>4.有依法缴纳税收和社会保障资金的良好记录；</w:t>
      </w:r>
      <w:r>
        <w:rPr>
          <w:rFonts w:hint="eastAsia" w:ascii="仿宋_GB2312" w:eastAsia="仿宋_GB2312"/>
          <w:color w:val="000000"/>
          <w:sz w:val="28"/>
          <w:szCs w:val="28"/>
        </w:rPr>
        <w:br w:type="textWrapping"/>
      </w:r>
      <w:r>
        <w:rPr>
          <w:rFonts w:hint="eastAsia" w:ascii="仿宋_GB2312" w:eastAsia="仿宋_GB2312"/>
          <w:color w:val="000000"/>
          <w:sz w:val="28"/>
          <w:szCs w:val="28"/>
        </w:rPr>
        <w:t>5.经营状况良好，且参加此项采购活动最近三年没有出现违法违规或失信行为，没有骗取中标和严重违约的行为；</w:t>
      </w:r>
      <w:r>
        <w:rPr>
          <w:rFonts w:hint="eastAsia" w:ascii="仿宋_GB2312" w:eastAsia="仿宋_GB2312"/>
          <w:color w:val="000000"/>
          <w:sz w:val="28"/>
          <w:szCs w:val="28"/>
        </w:rPr>
        <w:br w:type="textWrapping"/>
      </w:r>
      <w:r>
        <w:rPr>
          <w:rFonts w:hint="eastAsia" w:ascii="仿宋_GB2312" w:eastAsia="仿宋_GB2312"/>
          <w:color w:val="000000"/>
          <w:sz w:val="28"/>
          <w:szCs w:val="28"/>
        </w:rPr>
        <w:t>6.单位负责人为同一人或存在控股、管理关系的不同单位，不得参加同一采购项目；</w:t>
      </w:r>
      <w:r>
        <w:rPr>
          <w:rFonts w:hint="eastAsia" w:ascii="仿宋_GB2312" w:eastAsia="仿宋_GB2312"/>
          <w:color w:val="000000"/>
          <w:sz w:val="28"/>
          <w:szCs w:val="28"/>
        </w:rPr>
        <w:br w:type="textWrapping"/>
      </w:r>
      <w:r>
        <w:rPr>
          <w:rFonts w:hint="eastAsia" w:ascii="仿宋_GB2312" w:eastAsia="仿宋_GB2312"/>
          <w:color w:val="000000"/>
          <w:sz w:val="28"/>
          <w:szCs w:val="28"/>
        </w:rPr>
        <w:t>7.本项目不接受联合体。</w:t>
      </w:r>
      <w:r>
        <w:rPr>
          <w:rFonts w:hint="eastAsia" w:ascii="仿宋_GB2312" w:eastAsia="仿宋_GB2312"/>
          <w:color w:val="000000"/>
          <w:sz w:val="28"/>
          <w:szCs w:val="28"/>
        </w:rPr>
        <w:br w:type="textWrapping"/>
      </w:r>
      <w:r>
        <w:rPr>
          <w:rFonts w:hint="eastAsia" w:ascii="仿宋_GB2312" w:eastAsia="仿宋_GB2312"/>
          <w:color w:val="000000"/>
          <w:sz w:val="28"/>
          <w:szCs w:val="28"/>
        </w:rPr>
        <w:t>8.该项目不得转包、分包。</w:t>
      </w:r>
      <w:r>
        <w:rPr>
          <w:rFonts w:hint="eastAsia" w:ascii="仿宋_GB2312" w:eastAsia="仿宋_GB2312"/>
          <w:color w:val="000000"/>
          <w:sz w:val="28"/>
          <w:szCs w:val="28"/>
        </w:rPr>
        <w:br w:type="textWrapping"/>
      </w:r>
      <w:r>
        <w:rPr>
          <w:rFonts w:hint="eastAsia" w:ascii="仿宋_GB2312" w:eastAsia="仿宋_GB2312"/>
          <w:color w:val="000000"/>
          <w:sz w:val="28"/>
          <w:szCs w:val="28"/>
        </w:rPr>
        <w:t>9.未被列入公司供应商黑名单或已不在禁入期内。</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四、采购文件的获取</w:t>
      </w:r>
    </w:p>
    <w:p>
      <w:pPr>
        <w:spacing w:line="600" w:lineRule="exact"/>
        <w:ind w:firstLine="560" w:firstLineChars="200"/>
        <w:jc w:val="left"/>
        <w:rPr>
          <w:rFonts w:hint="eastAsia" w:ascii="仿宋_GB2312" w:eastAsia="仿宋_GB2312" w:cs="Times New Roman"/>
          <w:color w:val="000000"/>
          <w:sz w:val="28"/>
          <w:szCs w:val="28"/>
          <w:lang w:val="en-US" w:eastAsia="zh-CN"/>
        </w:rPr>
      </w:pPr>
      <w:r>
        <w:rPr>
          <w:rFonts w:hint="eastAsia" w:ascii="仿宋_GB2312" w:eastAsia="仿宋_GB2312" w:cs="Times New Roman"/>
          <w:color w:val="000000"/>
          <w:sz w:val="28"/>
          <w:szCs w:val="28"/>
          <w:lang w:val="en-US" w:eastAsia="zh-CN"/>
        </w:rPr>
        <w:t>1、获取时间：2026年9月19日至2026年9月21日，上午9时至12时，下午13时至17时（北京时间、下同）</w:t>
      </w:r>
    </w:p>
    <w:p>
      <w:pPr>
        <w:spacing w:line="600" w:lineRule="exact"/>
        <w:ind w:firstLine="560" w:firstLineChars="200"/>
        <w:jc w:val="left"/>
        <w:rPr>
          <w:rFonts w:hint="eastAsia" w:ascii="仿宋_GB2312" w:eastAsia="仿宋_GB2312" w:cs="Times New Roman"/>
          <w:color w:val="000000"/>
          <w:sz w:val="28"/>
          <w:szCs w:val="28"/>
          <w:lang w:val="en-US" w:eastAsia="zh-CN"/>
        </w:rPr>
      </w:pPr>
      <w:r>
        <w:rPr>
          <w:rFonts w:hint="eastAsia" w:ascii="仿宋_GB2312" w:eastAsia="仿宋_GB2312" w:cs="Times New Roman"/>
          <w:color w:val="000000"/>
          <w:sz w:val="28"/>
          <w:szCs w:val="28"/>
          <w:lang w:val="en-US" w:eastAsia="zh-CN"/>
        </w:rPr>
        <w:t>2、获取方式：“人保e采”门户网站</w:t>
      </w:r>
    </w:p>
    <w:p>
      <w:pPr>
        <w:spacing w:line="600" w:lineRule="exact"/>
        <w:ind w:firstLine="560" w:firstLineChars="200"/>
        <w:jc w:val="left"/>
        <w:rPr>
          <w:rFonts w:hint="eastAsia" w:ascii="仿宋_GB2312" w:eastAsia="仿宋_GB2312" w:cs="Times New Roman"/>
          <w:color w:val="000000"/>
          <w:sz w:val="28"/>
          <w:szCs w:val="28"/>
          <w:lang w:val="en-US" w:eastAsia="zh-CN"/>
        </w:rPr>
      </w:pPr>
      <w:r>
        <w:rPr>
          <w:rFonts w:hint="eastAsia" w:ascii="仿宋_GB2312" w:eastAsia="仿宋_GB2312" w:cs="Times New Roman"/>
          <w:color w:val="000000"/>
          <w:sz w:val="28"/>
          <w:szCs w:val="28"/>
          <w:lang w:val="en-US" w:eastAsia="zh-CN"/>
        </w:rPr>
        <w:t>供应商须通过“人保e采”门户网站（https://ec.picc.com/）系统注册入库（仅注册即可），完成报名后即可下载获取采购文件。（注册流程可在人保e采”门户网站查阅《人保e采管理系统供应商入库操作指南》）</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五、采购文件的递交</w:t>
      </w:r>
    </w:p>
    <w:p>
      <w:pPr>
        <w:spacing w:line="600" w:lineRule="exact"/>
        <w:ind w:firstLine="560" w:firstLineChars="200"/>
        <w:jc w:val="left"/>
        <w:rPr>
          <w:rFonts w:hint="eastAsia" w:ascii="仿宋_GB2312" w:eastAsia="仿宋_GB2312" w:cs="Times New Roman"/>
          <w:color w:val="000000"/>
          <w:sz w:val="28"/>
          <w:szCs w:val="28"/>
          <w:lang w:val="en-US" w:eastAsia="zh-CN"/>
        </w:rPr>
      </w:pPr>
      <w:r>
        <w:rPr>
          <w:rFonts w:hint="eastAsia" w:ascii="仿宋_GB2312" w:eastAsia="仿宋_GB2312" w:cs="Times New Roman"/>
          <w:color w:val="000000"/>
          <w:sz w:val="28"/>
          <w:szCs w:val="28"/>
          <w:lang w:val="en-US" w:eastAsia="zh-CN"/>
        </w:rPr>
        <w:t>1、采购文件递交截止时间：2026年9月28日上午9时（即征</w:t>
      </w:r>
      <w:bookmarkStart w:id="0" w:name="_GoBack"/>
      <w:bookmarkEnd w:id="0"/>
      <w:r>
        <w:rPr>
          <w:rFonts w:hint="eastAsia" w:ascii="仿宋_GB2312" w:eastAsia="仿宋_GB2312" w:cs="Times New Roman"/>
          <w:color w:val="000000"/>
          <w:sz w:val="28"/>
          <w:szCs w:val="28"/>
          <w:lang w:val="en-US" w:eastAsia="zh-CN"/>
        </w:rPr>
        <w:t>集截止时间）。</w:t>
      </w:r>
    </w:p>
    <w:p>
      <w:pPr>
        <w:numPr>
          <w:ilvl w:val="0"/>
          <w:numId w:val="0"/>
        </w:numPr>
        <w:ind w:firstLine="560" w:firstLineChars="200"/>
        <w:rPr>
          <w:rFonts w:hint="default" w:ascii="仿宋_GB2312" w:eastAsia="仿宋_GB2312" w:cs="Times New Roman"/>
          <w:color w:val="000000"/>
          <w:sz w:val="28"/>
          <w:szCs w:val="28"/>
          <w:lang w:val="en-US" w:eastAsia="zh-CN"/>
        </w:rPr>
      </w:pPr>
      <w:r>
        <w:rPr>
          <w:rFonts w:hint="eastAsia" w:ascii="仿宋_GB2312" w:eastAsia="仿宋_GB2312" w:cs="Times New Roman"/>
          <w:color w:val="000000"/>
          <w:sz w:val="28"/>
          <w:szCs w:val="28"/>
          <w:lang w:val="en-US" w:eastAsia="zh-CN"/>
        </w:rPr>
        <w:t>2、采购文件递交地点:湖北省武汉市武汉经济技术开发区创业路61号201室。</w:t>
      </w:r>
    </w:p>
    <w:p>
      <w:pPr>
        <w:spacing w:line="600" w:lineRule="exact"/>
        <w:ind w:firstLine="560" w:firstLineChars="200"/>
        <w:jc w:val="left"/>
        <w:rPr>
          <w:rFonts w:hint="default" w:ascii="仿宋_GB2312" w:eastAsia="仿宋_GB2312" w:cs="Times New Roman"/>
          <w:color w:val="000000"/>
          <w:sz w:val="28"/>
          <w:szCs w:val="28"/>
          <w:lang w:val="en-US" w:eastAsia="zh-CN"/>
        </w:rPr>
      </w:pPr>
      <w:r>
        <w:rPr>
          <w:rFonts w:hint="eastAsia" w:ascii="仿宋_GB2312" w:eastAsia="仿宋_GB2312" w:cs="Times New Roman"/>
          <w:color w:val="000000"/>
          <w:sz w:val="28"/>
          <w:szCs w:val="28"/>
          <w:lang w:val="en-US" w:eastAsia="zh-CN"/>
        </w:rPr>
        <w:t>3、本项目将于上述同一时间、地点进行开标，请参与报名的供应商</w:t>
      </w:r>
      <w:r>
        <w:rPr>
          <w:rFonts w:hint="default" w:ascii="仿宋_GB2312" w:eastAsia="仿宋_GB2312" w:cs="Times New Roman"/>
          <w:color w:val="000000"/>
          <w:sz w:val="28"/>
          <w:szCs w:val="28"/>
          <w:lang w:val="en-US" w:eastAsia="zh-CN"/>
        </w:rPr>
        <w:t>法定代表人或者其委托代理人准时参加</w:t>
      </w:r>
      <w:r>
        <w:rPr>
          <w:rFonts w:hint="eastAsia" w:ascii="仿宋_GB2312" w:eastAsia="仿宋_GB2312" w:cs="Times New Roman"/>
          <w:color w:val="000000"/>
          <w:sz w:val="28"/>
          <w:szCs w:val="28"/>
          <w:lang w:val="en-US" w:eastAsia="zh-CN"/>
        </w:rPr>
        <w:t>。</w:t>
      </w:r>
    </w:p>
    <w:p>
      <w:pPr>
        <w:spacing w:line="600" w:lineRule="exact"/>
        <w:ind w:firstLine="643" w:firstLineChars="200"/>
        <w:rPr>
          <w:rFonts w:hint="eastAsia" w:ascii="仿宋_GB2312" w:eastAsia="仿宋_GB2312"/>
          <w:sz w:val="32"/>
          <w:szCs w:val="32"/>
          <w:lang w:eastAsia="zh-CN"/>
        </w:rPr>
      </w:pPr>
      <w:r>
        <w:rPr>
          <w:rFonts w:hint="eastAsia" w:ascii="仿宋_GB2312" w:hAnsi="仿宋_GB2312" w:eastAsia="仿宋_GB2312" w:cs="仿宋_GB2312"/>
          <w:b/>
          <w:bCs/>
          <w:sz w:val="32"/>
          <w:szCs w:val="32"/>
          <w:lang w:eastAsia="zh-CN"/>
        </w:rPr>
        <w:t>六、公告发布媒介</w:t>
      </w:r>
    </w:p>
    <w:p>
      <w:pPr>
        <w:spacing w:line="600" w:lineRule="exact"/>
        <w:ind w:firstLine="560" w:firstLineChars="200"/>
        <w:jc w:val="left"/>
        <w:rPr>
          <w:rFonts w:hint="eastAsia" w:ascii="仿宋_GB2312" w:eastAsia="仿宋_GB2312" w:cs="Times New Roman"/>
          <w:color w:val="000000"/>
          <w:sz w:val="28"/>
          <w:szCs w:val="28"/>
          <w:lang w:val="en-US" w:eastAsia="zh-CN"/>
        </w:rPr>
      </w:pPr>
      <w:r>
        <w:rPr>
          <w:rFonts w:hint="eastAsia" w:ascii="仿宋_GB2312" w:eastAsia="仿宋_GB2312" w:cs="Times New Roman"/>
          <w:color w:val="000000"/>
          <w:sz w:val="28"/>
          <w:szCs w:val="28"/>
          <w:lang w:val="en-US" w:eastAsia="zh-CN"/>
        </w:rPr>
        <w:t>本公告仅通过“人保e采”门户网站（https://ec.picc.com/）发布，其他媒介转载无效。</w:t>
      </w:r>
    </w:p>
    <w:p>
      <w:pPr>
        <w:spacing w:line="600" w:lineRule="exact"/>
        <w:ind w:firstLine="643" w:firstLineChars="200"/>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b/>
          <w:bCs/>
          <w:sz w:val="32"/>
          <w:szCs w:val="32"/>
          <w:lang w:eastAsia="zh-CN"/>
        </w:rPr>
        <w:t>七、联系方式</w:t>
      </w:r>
    </w:p>
    <w:p>
      <w:pPr>
        <w:spacing w:line="600" w:lineRule="exact"/>
        <w:ind w:firstLine="560" w:firstLineChars="200"/>
        <w:jc w:val="left"/>
        <w:rPr>
          <w:rFonts w:hint="eastAsia" w:ascii="仿宋_GB2312" w:eastAsia="仿宋_GB2312" w:cs="Times New Roman"/>
          <w:color w:val="000000"/>
          <w:sz w:val="28"/>
          <w:szCs w:val="28"/>
          <w:lang w:val="en-US" w:eastAsia="zh-CN"/>
        </w:rPr>
      </w:pPr>
      <w:r>
        <w:rPr>
          <w:rFonts w:hint="eastAsia" w:ascii="仿宋_GB2312" w:eastAsia="仿宋_GB2312" w:cs="Times New Roman"/>
          <w:color w:val="000000"/>
          <w:sz w:val="28"/>
          <w:szCs w:val="28"/>
          <w:lang w:val="en-US" w:eastAsia="zh-CN"/>
        </w:rPr>
        <w:t>采购人：中国人民财产保险股份有限公司武汉经济技术开发区支公司</w:t>
      </w:r>
    </w:p>
    <w:p>
      <w:pPr>
        <w:spacing w:line="600" w:lineRule="exact"/>
        <w:ind w:left="559" w:leftChars="266" w:firstLine="0" w:firstLineChars="0"/>
        <w:jc w:val="left"/>
        <w:rPr>
          <w:rFonts w:hint="eastAsia" w:ascii="仿宋_GB2312" w:eastAsia="仿宋_GB2312" w:cs="Times New Roman"/>
          <w:color w:val="000000"/>
          <w:sz w:val="28"/>
          <w:szCs w:val="28"/>
          <w:lang w:val="en-US" w:eastAsia="zh-CN"/>
        </w:rPr>
      </w:pPr>
      <w:r>
        <w:rPr>
          <w:rFonts w:hint="eastAsia" w:ascii="仿宋_GB2312" w:eastAsia="仿宋_GB2312" w:cs="Times New Roman"/>
          <w:color w:val="000000"/>
          <w:sz w:val="28"/>
          <w:szCs w:val="28"/>
          <w:lang w:val="en-US" w:eastAsia="zh-CN"/>
        </w:rPr>
        <w:t>联系人：程勇</w:t>
      </w:r>
      <w:r>
        <w:rPr>
          <w:rFonts w:hint="eastAsia" w:ascii="仿宋_GB2312" w:eastAsia="仿宋_GB2312" w:cs="Times New Roman"/>
          <w:color w:val="000000"/>
          <w:sz w:val="28"/>
          <w:szCs w:val="28"/>
          <w:lang w:val="en-US" w:eastAsia="zh-CN"/>
        </w:rPr>
        <w:br w:type="textWrapping"/>
      </w:r>
      <w:r>
        <w:rPr>
          <w:rFonts w:hint="eastAsia" w:ascii="仿宋_GB2312" w:eastAsia="仿宋_GB2312" w:cs="Times New Roman"/>
          <w:color w:val="000000"/>
          <w:sz w:val="28"/>
          <w:szCs w:val="28"/>
          <w:lang w:val="en-US" w:eastAsia="zh-CN"/>
        </w:rPr>
        <w:t>联系电话：13871444288</w:t>
      </w:r>
    </w:p>
    <w:p>
      <w:pPr>
        <w:spacing w:line="600" w:lineRule="exact"/>
        <w:ind w:firstLine="560" w:firstLineChars="200"/>
        <w:jc w:val="left"/>
        <w:rPr>
          <w:rFonts w:hint="eastAsia" w:ascii="仿宋_GB2312" w:eastAsia="仿宋_GB2312" w:cs="Times New Roman"/>
          <w:color w:val="000000"/>
          <w:sz w:val="28"/>
          <w:szCs w:val="28"/>
          <w:lang w:val="en-US" w:eastAsia="zh-CN"/>
        </w:rPr>
      </w:pPr>
      <w:r>
        <w:rPr>
          <w:rFonts w:hint="eastAsia" w:ascii="仿宋_GB2312" w:eastAsia="仿宋_GB2312" w:cs="Times New Roman"/>
          <w:color w:val="000000"/>
          <w:sz w:val="28"/>
          <w:szCs w:val="28"/>
          <w:lang w:val="en-US" w:eastAsia="zh-CN"/>
        </w:rPr>
        <w:t>电子邮箱：chengyong10@hub.picc.com.cn</w:t>
      </w:r>
    </w:p>
    <w:p>
      <w:pPr>
        <w:spacing w:line="600" w:lineRule="exact"/>
        <w:ind w:firstLine="560" w:firstLineChars="200"/>
        <w:jc w:val="left"/>
        <w:rPr>
          <w:rFonts w:hint="eastAsia" w:ascii="仿宋_GB2312" w:eastAsia="仿宋_GB2312" w:cs="Times New Roman"/>
          <w:color w:val="000000"/>
          <w:sz w:val="28"/>
          <w:szCs w:val="28"/>
          <w:lang w:val="en-US" w:eastAsia="zh-CN"/>
        </w:rPr>
      </w:pPr>
    </w:p>
    <w:p>
      <w:pPr>
        <w:spacing w:line="600" w:lineRule="exact"/>
        <w:ind w:firstLine="560" w:firstLineChars="200"/>
        <w:jc w:val="left"/>
        <w:rPr>
          <w:rFonts w:hint="eastAsia" w:ascii="仿宋_GB2312" w:eastAsia="仿宋_GB2312" w:cs="Times New Roman"/>
          <w:color w:val="000000"/>
          <w:sz w:val="28"/>
          <w:szCs w:val="28"/>
          <w:lang w:val="en-US" w:eastAsia="zh-CN"/>
        </w:rPr>
      </w:pPr>
      <w:r>
        <w:rPr>
          <w:rFonts w:hint="eastAsia" w:ascii="仿宋_GB2312" w:eastAsia="仿宋_GB2312" w:cs="Times New Roman"/>
          <w:color w:val="000000"/>
          <w:sz w:val="28"/>
          <w:szCs w:val="28"/>
          <w:lang w:val="en-US" w:eastAsia="zh-CN"/>
        </w:rPr>
        <w:t xml:space="preserve">特此公告 </w:t>
      </w:r>
    </w:p>
    <w:p>
      <w:pPr>
        <w:spacing w:line="600" w:lineRule="exact"/>
        <w:jc w:val="left"/>
        <w:rPr>
          <w:rFonts w:ascii="仿宋_GB2312" w:hAnsi="仿宋_GB2312" w:eastAsia="仿宋_GB2312" w:cs="仿宋_GB2312"/>
          <w:sz w:val="32"/>
          <w:szCs w:val="32"/>
        </w:rPr>
      </w:pPr>
    </w:p>
    <w:p>
      <w:pPr>
        <w:numPr>
          <w:ilvl w:val="0"/>
          <w:numId w:val="0"/>
        </w:numPr>
        <w:ind w:firstLine="640" w:firstLineChars="200"/>
        <w:jc w:val="right"/>
        <w:rPr>
          <w:rFonts w:ascii="仿宋_GB2312" w:eastAsia="仿宋_GB2312"/>
          <w:sz w:val="32"/>
          <w:szCs w:val="32"/>
        </w:rPr>
      </w:pPr>
      <w:r>
        <w:rPr>
          <w:rFonts w:hint="default" w:ascii="仿宋_GB2312" w:eastAsia="仿宋_GB2312" w:cs="Times New Roman"/>
          <w:sz w:val="32"/>
          <w:szCs w:val="32"/>
          <w:lang w:eastAsia="zh-CN"/>
        </w:rPr>
        <w:t>中国人民财产保险股份有限公司</w:t>
      </w:r>
      <w:r>
        <w:rPr>
          <w:rFonts w:hint="default" w:ascii="仿宋_GB2312" w:eastAsia="仿宋_GB2312" w:cs="Times New Roman"/>
          <w:sz w:val="32"/>
          <w:szCs w:val="32"/>
          <w:lang w:eastAsia="zh-CN"/>
        </w:rPr>
        <w:br w:type="textWrapping"/>
      </w:r>
      <w:r>
        <w:rPr>
          <w:rFonts w:hint="default" w:ascii="仿宋_GB2312" w:eastAsia="仿宋_GB2312" w:cs="Times New Roman"/>
          <w:sz w:val="32"/>
          <w:szCs w:val="32"/>
          <w:lang w:eastAsia="zh-CN"/>
        </w:rPr>
        <w:t>武汉经济技术开发区支公司</w:t>
      </w:r>
    </w:p>
    <w:p>
      <w:pPr>
        <w:spacing w:line="600" w:lineRule="exact"/>
        <w:ind w:firstLine="4800" w:firstLineChars="1500"/>
        <w:jc w:val="both"/>
      </w:pPr>
      <w:r>
        <w:rPr>
          <w:rFonts w:hint="eastAsia" w:ascii="仿宋_GB2312" w:eastAsia="仿宋_GB2312"/>
          <w:sz w:val="32"/>
          <w:szCs w:val="32"/>
          <w:lang w:val="en-US" w:eastAsia="zh-CN"/>
        </w:rPr>
        <w:t xml:space="preserve">     </w:t>
      </w:r>
      <w:r>
        <w:rPr>
          <w:rFonts w:hint="eastAsia" w:ascii="仿宋_GB2312" w:eastAsia="仿宋_GB2312"/>
          <w:sz w:val="32"/>
          <w:szCs w:val="32"/>
        </w:rPr>
        <w:t>2026年</w:t>
      </w:r>
      <w:r>
        <w:rPr>
          <w:rFonts w:hint="eastAsia" w:ascii="仿宋_GB2312" w:eastAsia="仿宋_GB2312"/>
          <w:sz w:val="32"/>
          <w:szCs w:val="32"/>
          <w:lang w:val="en-US" w:eastAsia="zh-CN"/>
        </w:rPr>
        <w:t>9</w:t>
      </w:r>
      <w:r>
        <w:rPr>
          <w:rFonts w:hint="eastAsia" w:ascii="仿宋_GB2312" w:eastAsia="仿宋_GB2312"/>
          <w:sz w:val="32"/>
          <w:szCs w:val="32"/>
        </w:rPr>
        <w:t>月</w:t>
      </w:r>
      <w:r>
        <w:rPr>
          <w:rFonts w:hint="eastAsia" w:ascii="仿宋_GB2312" w:eastAsia="仿宋_GB2312"/>
          <w:sz w:val="32"/>
          <w:szCs w:val="32"/>
          <w:lang w:val="en-US" w:eastAsia="zh-CN"/>
        </w:rPr>
        <w:t>18</w:t>
      </w:r>
      <w:r>
        <w:rPr>
          <w:rFonts w:hint="eastAsia" w:ascii="仿宋_GB2312" w:eastAsia="仿宋_GB2312"/>
          <w:sz w:val="32"/>
          <w:szCs w:val="32"/>
        </w:rPr>
        <w:t>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9A6384"/>
    <w:multiLevelType w:val="multilevel"/>
    <w:tmpl w:val="2B9A6384"/>
    <w:lvl w:ilvl="0" w:tentative="0">
      <w:start w:val="1"/>
      <w:numFmt w:val="chineseCountingThousand"/>
      <w:suff w:val="space"/>
      <w:lvlText w:val="%1、"/>
      <w:lvlJc w:val="left"/>
      <w:pPr>
        <w:ind w:left="0" w:firstLine="0"/>
      </w:pPr>
      <w:rPr>
        <w:rFonts w:hint="eastAsia"/>
        <w:b/>
        <w:i w:val="0"/>
      </w:rPr>
    </w:lvl>
    <w:lvl w:ilvl="1" w:tentative="0">
      <w:start w:val="1"/>
      <w:numFmt w:val="decimal"/>
      <w:pStyle w:val="2"/>
      <w:suff w:val="space"/>
      <w:lvlText w:val="%2."/>
      <w:lvlJc w:val="left"/>
      <w:pPr>
        <w:ind w:left="0" w:firstLine="0"/>
      </w:pPr>
      <w:rPr>
        <w:rFonts w:hint="eastAsia"/>
        <w:b/>
        <w:i w:val="0"/>
      </w:rPr>
    </w:lvl>
    <w:lvl w:ilvl="2" w:tentative="0">
      <w:start w:val="1"/>
      <w:numFmt w:val="decimal"/>
      <w:suff w:val="space"/>
      <w:lvlText w:val="%2.%3"/>
      <w:lvlJc w:val="left"/>
      <w:pPr>
        <w:ind w:left="141" w:firstLine="0"/>
      </w:pPr>
      <w:rPr>
        <w:rFonts w:hint="eastAsia"/>
        <w:b/>
        <w:i w:val="0"/>
      </w:rPr>
    </w:lvl>
    <w:lvl w:ilvl="3" w:tentative="0">
      <w:start w:val="1"/>
      <w:numFmt w:val="decimal"/>
      <w:suff w:val="space"/>
      <w:lvlText w:val="%2.%3.%4"/>
      <w:lvlJc w:val="left"/>
      <w:pPr>
        <w:ind w:left="284" w:firstLine="0"/>
      </w:pPr>
      <w:rPr>
        <w:b/>
        <w:bCs w:val="0"/>
        <w:i w:val="0"/>
        <w:iCs w:val="0"/>
        <w:caps w:val="0"/>
        <w:smallCaps w:val="0"/>
        <w:strike w:val="0"/>
        <w:dstrike w:val="0"/>
        <w:vanish w:val="0"/>
        <w:spacing w:val="0"/>
        <w:position w:val="0"/>
        <w:u w:val="none"/>
        <w:vertAlign w:val="baseline"/>
      </w:rPr>
    </w:lvl>
    <w:lvl w:ilvl="4" w:tentative="0">
      <w:start w:val="1"/>
      <w:numFmt w:val="decimal"/>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3C1911"/>
    <w:rsid w:val="07B6433B"/>
    <w:rsid w:val="153A1222"/>
    <w:rsid w:val="15750836"/>
    <w:rsid w:val="15B07DDF"/>
    <w:rsid w:val="1A01287F"/>
    <w:rsid w:val="1C67556F"/>
    <w:rsid w:val="2250000D"/>
    <w:rsid w:val="23B655AC"/>
    <w:rsid w:val="25EC65BE"/>
    <w:rsid w:val="2B7F51FC"/>
    <w:rsid w:val="32431517"/>
    <w:rsid w:val="36D07F8F"/>
    <w:rsid w:val="38DC0A74"/>
    <w:rsid w:val="455F1D47"/>
    <w:rsid w:val="45D524D2"/>
    <w:rsid w:val="48421C2F"/>
    <w:rsid w:val="525B5D9B"/>
    <w:rsid w:val="543C1911"/>
    <w:rsid w:val="5DA44ACC"/>
    <w:rsid w:val="6398463D"/>
    <w:rsid w:val="6E3D184C"/>
    <w:rsid w:val="799833EB"/>
    <w:rsid w:val="7B0A66EE"/>
    <w:rsid w:val="7C6359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3</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2026-03-10T01:02:00Z</dcterms:created>
  <dc:creator>vip</dc:creator>
  <cp:lastModifiedBy>程勇</cp:lastModifiedBy>
  <dcterms:modified xsi:type="dcterms:W3CDTF">2026-09-18T09:19:15Z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24CC7958EEC541D9900ED34093518237_13</vt:lpwstr>
  </property>
</Properties>
</file>