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bidi w:val="0"/>
        <w:jc w:val="center"/>
        <w:rPr>
          <w:rFonts w:hint="eastAsia" w:ascii="宋体" w:hAnsi="宋体" w:eastAsia="宋体" w:cs="宋体"/>
          <w:b/>
          <w:bCs/>
          <w:sz w:val="44"/>
          <w:szCs w:val="44"/>
        </w:rPr>
      </w:pPr>
      <w:r>
        <w:rPr>
          <w:rFonts w:hint="eastAsia" w:ascii="宋体" w:hAnsi="宋体" w:eastAsia="宋体" w:cs="宋体"/>
          <w:b/>
          <w:bCs/>
          <w:sz w:val="44"/>
          <w:szCs w:val="44"/>
        </w:rPr>
        <w:t>人保财险</w:t>
      </w:r>
      <w:r>
        <w:rPr>
          <w:rFonts w:hint="eastAsia" w:ascii="宋体" w:hAnsi="宋体" w:cs="宋体"/>
          <w:b/>
          <w:bCs/>
          <w:sz w:val="44"/>
          <w:szCs w:val="44"/>
          <w:lang w:val="en-US" w:eastAsia="zh-CN"/>
        </w:rPr>
        <w:t>湖北省武汉</w:t>
      </w:r>
      <w:r>
        <w:rPr>
          <w:rFonts w:hint="eastAsia" w:ascii="宋体" w:hAnsi="宋体" w:cs="宋体"/>
          <w:b/>
          <w:bCs/>
          <w:sz w:val="44"/>
          <w:szCs w:val="44"/>
          <w:lang w:eastAsia="zh-CN"/>
        </w:rPr>
        <w:t>市</w:t>
      </w:r>
      <w:r>
        <w:rPr>
          <w:rFonts w:hint="eastAsia" w:ascii="宋体" w:hAnsi="宋体" w:cs="宋体"/>
          <w:b/>
          <w:bCs/>
          <w:sz w:val="44"/>
          <w:szCs w:val="44"/>
          <w:lang w:val="en-US" w:eastAsia="zh-CN"/>
        </w:rPr>
        <w:t>新洲支公司</w:t>
      </w:r>
      <w:r>
        <w:rPr>
          <w:rFonts w:hint="eastAsia" w:ascii="宋体" w:hAnsi="宋体" w:eastAsia="宋体" w:cs="宋体"/>
          <w:b/>
          <w:bCs/>
          <w:sz w:val="44"/>
          <w:szCs w:val="44"/>
        </w:rPr>
        <w:t>采购项目比选公告</w:t>
      </w:r>
    </w:p>
    <w:p>
      <w:pPr>
        <w:spacing w:line="600" w:lineRule="exact"/>
        <w:ind w:firstLine="643" w:firstLineChars="200"/>
        <w:jc w:val="left"/>
        <w:rPr>
          <w:rFonts w:ascii="仿宋_GB2312" w:hAnsi="仿宋_GB2312" w:eastAsia="仿宋_GB2312" w:cs="仿宋_GB2312"/>
          <w:b/>
          <w:bCs/>
          <w:sz w:val="32"/>
          <w:szCs w:val="32"/>
        </w:rPr>
      </w:pPr>
    </w:p>
    <w:p>
      <w:pPr>
        <w:numPr>
          <w:ilvl w:val="0"/>
          <w:numId w:val="2"/>
        </w:numPr>
        <w:spacing w:line="600" w:lineRule="exact"/>
        <w:ind w:firstLine="602" w:firstLineChars="200"/>
        <w:jc w:val="left"/>
        <w:rPr>
          <w:rFonts w:hint="eastAsia" w:ascii="仿宋" w:hAnsi="仿宋" w:eastAsia="仿宋" w:cs="仿宋"/>
          <w:bCs/>
          <w:sz w:val="30"/>
          <w:szCs w:val="30"/>
          <w:highlight w:val="none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0"/>
          <w:szCs w:val="30"/>
        </w:rPr>
        <w:t>采购项目名称：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人保财险武汉市新洲支公司</w:t>
      </w:r>
      <w:r>
        <w:rPr>
          <w:rFonts w:ascii="仿宋_GB2312" w:hAnsi="宋体" w:eastAsia="仿宋_GB2312"/>
          <w:sz w:val="32"/>
          <w:szCs w:val="32"/>
        </w:rPr>
        <w:t>车险消费业态变化及客户核心诉求调查</w:t>
      </w:r>
      <w:r>
        <w:rPr>
          <w:rFonts w:hint="eastAsia" w:ascii="仿宋_GB2312" w:hAnsi="宋体" w:eastAsia="仿宋_GB2312"/>
          <w:sz w:val="32"/>
          <w:szCs w:val="32"/>
        </w:rPr>
        <w:t>采购项目</w:t>
      </w:r>
    </w:p>
    <w:p>
      <w:pPr>
        <w:numPr>
          <w:ilvl w:val="0"/>
          <w:numId w:val="0"/>
        </w:numPr>
        <w:spacing w:line="600" w:lineRule="exact"/>
        <w:ind w:firstLine="602" w:firstLineChars="200"/>
        <w:jc w:val="left"/>
        <w:rPr>
          <w:rFonts w:hint="eastAsia" w:ascii="仿宋_GB2312" w:hAnsi="仿宋_GB2312" w:eastAsia="仿宋_GB2312" w:cs="仿宋_GB2312"/>
          <w:b/>
          <w:bCs/>
          <w:sz w:val="30"/>
          <w:szCs w:val="30"/>
        </w:rPr>
      </w:pPr>
      <w:r>
        <w:rPr>
          <w:rFonts w:hint="eastAsia" w:ascii="仿宋_GB2312" w:hAnsi="仿宋_GB2312" w:eastAsia="仿宋_GB2312" w:cs="仿宋_GB2312"/>
          <w:b/>
          <w:bCs/>
          <w:sz w:val="30"/>
          <w:szCs w:val="30"/>
          <w:lang w:eastAsia="zh-CN"/>
        </w:rPr>
        <w:t>二、</w:t>
      </w:r>
      <w:r>
        <w:rPr>
          <w:rFonts w:hint="eastAsia" w:ascii="仿宋_GB2312" w:hAnsi="仿宋_GB2312" w:eastAsia="仿宋_GB2312" w:cs="仿宋_GB2312"/>
          <w:b/>
          <w:bCs/>
          <w:sz w:val="30"/>
          <w:szCs w:val="30"/>
        </w:rPr>
        <w:t>采购内容</w:t>
      </w:r>
    </w:p>
    <w:p>
      <w:pPr>
        <w:spacing w:line="600" w:lineRule="exact"/>
        <w:ind w:firstLine="602" w:firstLineChars="200"/>
        <w:jc w:val="left"/>
        <w:rPr>
          <w:rFonts w:hint="eastAsia" w:ascii="仿宋_GB2312" w:hAnsi="仿宋_GB2312" w:eastAsia="仿宋_GB2312" w:cs="仿宋_GB2312"/>
          <w:b/>
          <w:bCs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30"/>
          <w:szCs w:val="30"/>
          <w:lang w:eastAsia="zh-CN"/>
        </w:rPr>
        <w:t>（一）项目概况</w:t>
      </w:r>
    </w:p>
    <w:p>
      <w:pPr>
        <w:spacing w:line="600" w:lineRule="exact"/>
        <w:ind w:firstLine="600" w:firstLineChars="200"/>
        <w:jc w:val="left"/>
        <w:rPr>
          <w:rFonts w:hint="eastAsia" w:ascii="仿宋" w:hAnsi="仿宋" w:eastAsia="仿宋_GB2312" w:cs="仿宋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sz w:val="30"/>
          <w:szCs w:val="30"/>
          <w:highlight w:val="none"/>
          <w:lang w:val="en-US" w:eastAsia="zh-CN"/>
        </w:rPr>
        <w:t>为加强业务发展，新洲支公司拟开展车险消费业态变化及客户核心诉求调查采购项目，寻求有意向的合作单位，</w:t>
      </w:r>
      <w:r>
        <w:rPr>
          <w:rFonts w:hint="eastAsia" w:ascii="仿宋_GB2312" w:hAnsi="宋体" w:eastAsia="仿宋_GB2312"/>
          <w:sz w:val="32"/>
          <w:szCs w:val="32"/>
        </w:rPr>
        <w:t>合作内容主要</w:t>
      </w:r>
      <w:r>
        <w:rPr>
          <w:rFonts w:ascii="仿宋_GB2312" w:hAnsi="宋体" w:eastAsia="仿宋_GB2312"/>
          <w:sz w:val="32"/>
          <w:szCs w:val="32"/>
        </w:rPr>
        <w:t>围绕车险消费业态变迁、客户全流程核心诉求开展定量问卷调研 + 定性深度访谈 + 行业对标分析，覆盖燃油车、新能源车，个人家用、少量营运车辆，包含新投保、续保、转保、流失客户，输出完整调研成果与业务优化建议</w:t>
      </w:r>
      <w:r>
        <w:rPr>
          <w:rFonts w:hint="eastAsia" w:ascii="仿宋_GB2312" w:hAnsi="宋体" w:eastAsia="仿宋_GB2312"/>
          <w:sz w:val="32"/>
          <w:szCs w:val="32"/>
        </w:rPr>
        <w:t>，促进我司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车险</w:t>
      </w:r>
      <w:r>
        <w:rPr>
          <w:rFonts w:hint="eastAsia" w:ascii="仿宋_GB2312" w:hAnsi="宋体" w:eastAsia="仿宋_GB2312"/>
          <w:sz w:val="32"/>
          <w:szCs w:val="32"/>
        </w:rPr>
        <w:t>业务发展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。</w:t>
      </w:r>
    </w:p>
    <w:p>
      <w:pPr>
        <w:spacing w:line="600" w:lineRule="exact"/>
        <w:ind w:firstLine="602" w:firstLineChars="200"/>
        <w:jc w:val="left"/>
        <w:rPr>
          <w:rFonts w:hint="eastAsia" w:ascii="仿宋_GB2312" w:hAnsi="仿宋_GB2312" w:eastAsia="仿宋_GB2312" w:cs="仿宋_GB2312"/>
          <w:b/>
          <w:bCs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30"/>
          <w:szCs w:val="30"/>
          <w:lang w:eastAsia="zh-CN"/>
        </w:rPr>
        <w:t>（二）主要需求</w:t>
      </w:r>
    </w:p>
    <w:p>
      <w:pPr>
        <w:spacing w:line="600" w:lineRule="exact"/>
        <w:ind w:firstLine="600" w:firstLineChars="200"/>
        <w:jc w:val="left"/>
        <w:rPr>
          <w:rFonts w:hint="eastAsia" w:ascii="仿宋_GB2312" w:eastAsia="仿宋_GB2312" w:cs="Times New Roman"/>
          <w:b w:val="0"/>
          <w:bCs w:val="0"/>
          <w:kern w:val="2"/>
          <w:sz w:val="30"/>
          <w:szCs w:val="30"/>
          <w:lang w:val="en-US" w:eastAsia="zh-CN" w:bidi="ar-SA"/>
        </w:rPr>
      </w:pPr>
      <w:r>
        <w:rPr>
          <w:rFonts w:hint="eastAsia" w:ascii="仿宋_GB2312" w:eastAsia="仿宋_GB2312" w:cs="Times New Roman"/>
          <w:b w:val="0"/>
          <w:bCs w:val="0"/>
          <w:kern w:val="2"/>
          <w:sz w:val="30"/>
          <w:szCs w:val="30"/>
          <w:lang w:val="en-US" w:eastAsia="zh-CN" w:bidi="ar-SA"/>
        </w:rPr>
        <w:t>1、采购范围：</w:t>
      </w:r>
      <w:r>
        <w:rPr>
          <w:rFonts w:hint="eastAsia" w:ascii="仿宋_GB2312" w:hAnsi="Calibri" w:eastAsia="仿宋_GB2312" w:cs="Times New Roman"/>
          <w:b w:val="0"/>
          <w:bCs w:val="0"/>
          <w:kern w:val="2"/>
          <w:sz w:val="30"/>
          <w:szCs w:val="30"/>
          <w:lang w:val="en-US" w:eastAsia="zh-CN" w:bidi="ar-SA"/>
        </w:rPr>
        <w:t>本项目拟采购</w:t>
      </w:r>
      <w:r>
        <w:rPr>
          <w:rFonts w:hint="eastAsia" w:ascii="仿宋_GB2312" w:eastAsia="仿宋_GB2312" w:cs="Times New Roman"/>
          <w:b w:val="0"/>
          <w:bCs w:val="0"/>
          <w:kern w:val="2"/>
          <w:sz w:val="30"/>
          <w:szCs w:val="30"/>
          <w:lang w:val="en-US" w:eastAsia="zh-CN" w:bidi="ar-SA"/>
        </w:rPr>
        <w:t>1</w:t>
      </w:r>
      <w:r>
        <w:rPr>
          <w:rFonts w:hint="eastAsia" w:ascii="仿宋_GB2312" w:hAnsi="Calibri" w:eastAsia="仿宋_GB2312" w:cs="Times New Roman"/>
          <w:b w:val="0"/>
          <w:bCs w:val="0"/>
          <w:kern w:val="2"/>
          <w:sz w:val="30"/>
          <w:szCs w:val="30"/>
          <w:lang w:val="en-US" w:eastAsia="zh-CN" w:bidi="ar-SA"/>
        </w:rPr>
        <w:t>家供应商为招标人提供</w:t>
      </w:r>
      <w:r>
        <w:rPr>
          <w:rFonts w:hint="eastAsia" w:ascii="仿宋_GB2312" w:eastAsia="仿宋_GB2312" w:cs="Times New Roman"/>
          <w:b w:val="0"/>
          <w:bCs w:val="0"/>
          <w:kern w:val="2"/>
          <w:sz w:val="30"/>
          <w:szCs w:val="30"/>
          <w:lang w:val="en-US" w:eastAsia="zh-CN" w:bidi="ar-SA"/>
        </w:rPr>
        <w:t>周期为1年的信息咨询</w:t>
      </w:r>
      <w:r>
        <w:rPr>
          <w:rFonts w:hint="eastAsia" w:ascii="仿宋_GB2312" w:hAnsi="Calibri" w:eastAsia="仿宋_GB2312" w:cs="Times New Roman"/>
          <w:b w:val="0"/>
          <w:bCs w:val="0"/>
          <w:kern w:val="2"/>
          <w:sz w:val="30"/>
          <w:szCs w:val="30"/>
          <w:lang w:val="en-US" w:eastAsia="zh-CN" w:bidi="ar-SA"/>
        </w:rPr>
        <w:t>服务。</w:t>
      </w:r>
      <w:r>
        <w:rPr>
          <w:rFonts w:hint="eastAsia" w:ascii="仿宋_GB2312" w:eastAsia="仿宋_GB2312" w:cs="Times New Roman"/>
          <w:b w:val="0"/>
          <w:bCs w:val="0"/>
          <w:kern w:val="2"/>
          <w:sz w:val="30"/>
          <w:szCs w:val="30"/>
          <w:lang w:val="en-US" w:eastAsia="zh-CN" w:bidi="ar-SA"/>
        </w:rPr>
        <w:t>（</w:t>
      </w:r>
      <w:r>
        <w:rPr>
          <w:rFonts w:hint="eastAsia" w:ascii="仿宋_GB2312" w:hAnsi="Calibri" w:eastAsia="仿宋_GB2312" w:cs="Times New Roman"/>
          <w:b w:val="0"/>
          <w:bCs w:val="0"/>
          <w:kern w:val="2"/>
          <w:sz w:val="30"/>
          <w:szCs w:val="30"/>
          <w:lang w:val="en-US" w:eastAsia="zh-CN" w:bidi="ar-SA"/>
        </w:rPr>
        <w:t>具体内容及要求见邀请文件采购需求及技术服务要求</w:t>
      </w:r>
      <w:r>
        <w:rPr>
          <w:rFonts w:hint="eastAsia" w:ascii="仿宋_GB2312" w:eastAsia="仿宋_GB2312" w:cs="Times New Roman"/>
          <w:b w:val="0"/>
          <w:bCs w:val="0"/>
          <w:kern w:val="2"/>
          <w:sz w:val="30"/>
          <w:szCs w:val="30"/>
          <w:lang w:val="en-US" w:eastAsia="zh-CN" w:bidi="ar-SA"/>
        </w:rPr>
        <w:t>）</w:t>
      </w:r>
    </w:p>
    <w:p>
      <w:pPr>
        <w:spacing w:line="600" w:lineRule="exact"/>
        <w:ind w:firstLine="600" w:firstLineChars="200"/>
        <w:jc w:val="left"/>
        <w:rPr>
          <w:rFonts w:hint="eastAsia" w:ascii="仿宋_GB2312" w:eastAsia="仿宋_GB2312" w:cs="Times New Roman"/>
          <w:b w:val="0"/>
          <w:bCs w:val="0"/>
          <w:kern w:val="2"/>
          <w:sz w:val="30"/>
          <w:szCs w:val="30"/>
          <w:lang w:val="en-US" w:eastAsia="zh-CN" w:bidi="ar-SA"/>
        </w:rPr>
      </w:pPr>
      <w:r>
        <w:rPr>
          <w:rFonts w:hint="eastAsia" w:ascii="仿宋_GB2312" w:eastAsia="仿宋_GB2312" w:cs="Times New Roman"/>
          <w:b w:val="0"/>
          <w:bCs w:val="0"/>
          <w:kern w:val="2"/>
          <w:sz w:val="30"/>
          <w:szCs w:val="30"/>
          <w:lang w:val="en-US" w:eastAsia="zh-CN" w:bidi="ar-SA"/>
        </w:rPr>
        <w:t>2、最高限价：含税49.2万元。</w:t>
      </w:r>
    </w:p>
    <w:p>
      <w:pPr>
        <w:spacing w:line="600" w:lineRule="exact"/>
        <w:ind w:firstLine="600" w:firstLineChars="200"/>
        <w:jc w:val="left"/>
        <w:rPr>
          <w:rFonts w:hint="default" w:ascii="仿宋_GB2312" w:eastAsia="仿宋_GB2312" w:cs="Times New Roman"/>
          <w:b w:val="0"/>
          <w:bCs w:val="0"/>
          <w:kern w:val="2"/>
          <w:sz w:val="30"/>
          <w:szCs w:val="30"/>
          <w:lang w:val="en-US" w:eastAsia="zh-CN" w:bidi="ar-SA"/>
        </w:rPr>
      </w:pPr>
      <w:r>
        <w:rPr>
          <w:rFonts w:hint="eastAsia" w:ascii="仿宋_GB2312" w:eastAsia="仿宋_GB2312" w:cs="Times New Roman"/>
          <w:b w:val="0"/>
          <w:bCs w:val="0"/>
          <w:kern w:val="2"/>
          <w:sz w:val="30"/>
          <w:szCs w:val="30"/>
          <w:lang w:val="en-US" w:eastAsia="zh-CN" w:bidi="ar-SA"/>
        </w:rPr>
        <w:t>3、服务期限：自合同签订之日起1年。</w:t>
      </w:r>
    </w:p>
    <w:p>
      <w:pPr>
        <w:spacing w:line="600" w:lineRule="exact"/>
        <w:ind w:firstLine="602" w:firstLineChars="200"/>
        <w:jc w:val="left"/>
        <w:rPr>
          <w:rFonts w:hint="eastAsia" w:ascii="仿宋_GB2312" w:hAnsi="仿宋_GB2312" w:eastAsia="仿宋_GB2312" w:cs="仿宋_GB2312"/>
          <w:b/>
          <w:bCs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30"/>
          <w:szCs w:val="30"/>
          <w:lang w:eastAsia="zh-CN"/>
        </w:rPr>
        <w:t>三、供应商资格要求</w:t>
      </w:r>
    </w:p>
    <w:p>
      <w:pPr>
        <w:spacing w:line="560" w:lineRule="exact"/>
        <w:ind w:firstLine="600" w:firstLineChars="200"/>
        <w:rPr>
          <w:rFonts w:hint="eastAsia" w:ascii="仿宋" w:hAnsi="仿宋" w:eastAsia="仿宋" w:cs="仿宋"/>
          <w:color w:val="000000"/>
          <w:sz w:val="30"/>
          <w:szCs w:val="30"/>
        </w:rPr>
      </w:pPr>
      <w:r>
        <w:rPr>
          <w:rFonts w:hint="eastAsia" w:ascii="仿宋" w:hAnsi="仿宋" w:eastAsia="仿宋" w:cs="仿宋"/>
          <w:color w:val="000000"/>
          <w:sz w:val="30"/>
          <w:szCs w:val="30"/>
          <w:lang w:val="en-US" w:eastAsia="zh-CN"/>
        </w:rPr>
        <w:t>1、</w:t>
      </w:r>
      <w:r>
        <w:rPr>
          <w:rFonts w:hint="eastAsia" w:ascii="仿宋" w:hAnsi="仿宋" w:eastAsia="仿宋" w:cs="仿宋"/>
          <w:color w:val="000000"/>
          <w:sz w:val="30"/>
          <w:szCs w:val="30"/>
        </w:rPr>
        <w:t>具有独立承担民事责任的能力；</w:t>
      </w:r>
    </w:p>
    <w:p>
      <w:pPr>
        <w:spacing w:line="560" w:lineRule="exact"/>
        <w:ind w:firstLine="600" w:firstLineChars="200"/>
        <w:rPr>
          <w:rFonts w:hint="eastAsia" w:ascii="仿宋" w:hAnsi="仿宋" w:eastAsia="仿宋" w:cs="仿宋"/>
          <w:color w:val="000000"/>
          <w:sz w:val="30"/>
          <w:szCs w:val="30"/>
        </w:rPr>
      </w:pPr>
      <w:r>
        <w:rPr>
          <w:rFonts w:hint="eastAsia" w:ascii="仿宋" w:hAnsi="仿宋" w:eastAsia="仿宋" w:cs="仿宋"/>
          <w:color w:val="000000"/>
          <w:sz w:val="30"/>
          <w:szCs w:val="30"/>
          <w:lang w:val="en-US" w:eastAsia="zh-CN"/>
        </w:rPr>
        <w:t>2、</w:t>
      </w:r>
      <w:r>
        <w:rPr>
          <w:rFonts w:hint="eastAsia" w:ascii="仿宋" w:hAnsi="仿宋" w:eastAsia="仿宋" w:cs="仿宋"/>
          <w:color w:val="000000"/>
          <w:sz w:val="30"/>
          <w:szCs w:val="30"/>
        </w:rPr>
        <w:t>具有良好的商业信誉和健全的财务会计制度；</w:t>
      </w:r>
    </w:p>
    <w:p>
      <w:pPr>
        <w:spacing w:line="560" w:lineRule="exact"/>
        <w:ind w:firstLine="600" w:firstLineChars="200"/>
        <w:rPr>
          <w:rFonts w:hint="eastAsia" w:ascii="仿宋" w:hAnsi="仿宋" w:eastAsia="仿宋" w:cs="仿宋"/>
          <w:color w:val="000000"/>
          <w:sz w:val="30"/>
          <w:szCs w:val="30"/>
        </w:rPr>
      </w:pPr>
      <w:r>
        <w:rPr>
          <w:rFonts w:hint="eastAsia" w:ascii="仿宋" w:hAnsi="仿宋" w:eastAsia="仿宋" w:cs="仿宋"/>
          <w:color w:val="000000"/>
          <w:sz w:val="30"/>
          <w:szCs w:val="30"/>
          <w:lang w:val="en-US" w:eastAsia="zh-CN"/>
        </w:rPr>
        <w:t>3、</w:t>
      </w:r>
      <w:r>
        <w:rPr>
          <w:rFonts w:hint="eastAsia" w:ascii="仿宋" w:hAnsi="仿宋" w:eastAsia="仿宋" w:cs="仿宋"/>
          <w:color w:val="000000"/>
          <w:sz w:val="30"/>
          <w:szCs w:val="30"/>
        </w:rPr>
        <w:t>具有履行合同所必需的设备和专业技术能力；</w:t>
      </w:r>
    </w:p>
    <w:p>
      <w:pPr>
        <w:spacing w:line="560" w:lineRule="exact"/>
        <w:ind w:firstLine="600" w:firstLineChars="200"/>
        <w:rPr>
          <w:rFonts w:hint="eastAsia" w:ascii="仿宋" w:hAnsi="仿宋" w:eastAsia="仿宋" w:cs="仿宋"/>
          <w:color w:val="000000"/>
          <w:sz w:val="30"/>
          <w:szCs w:val="30"/>
        </w:rPr>
      </w:pPr>
      <w:r>
        <w:rPr>
          <w:rFonts w:hint="eastAsia" w:ascii="仿宋" w:hAnsi="仿宋" w:eastAsia="仿宋" w:cs="仿宋"/>
          <w:color w:val="000000"/>
          <w:sz w:val="30"/>
          <w:szCs w:val="30"/>
          <w:lang w:val="en-US" w:eastAsia="zh-CN"/>
        </w:rPr>
        <w:t>4、</w:t>
      </w:r>
      <w:r>
        <w:rPr>
          <w:rFonts w:hint="eastAsia" w:ascii="仿宋" w:hAnsi="仿宋" w:eastAsia="仿宋" w:cs="仿宋"/>
          <w:color w:val="000000"/>
          <w:sz w:val="30"/>
          <w:szCs w:val="30"/>
        </w:rPr>
        <w:t>有依法缴纳税收和社会保障资金的良好记录；</w:t>
      </w:r>
    </w:p>
    <w:p>
      <w:pPr>
        <w:pStyle w:val="9"/>
        <w:spacing w:line="360" w:lineRule="auto"/>
        <w:ind w:firstLine="600" w:firstLineChars="200"/>
        <w:contextualSpacing/>
        <w:rPr>
          <w:rFonts w:hint="eastAsia" w:ascii="仿宋" w:hAnsi="仿宋" w:eastAsia="仿宋" w:cs="仿宋"/>
          <w:sz w:val="30"/>
          <w:szCs w:val="30"/>
          <w:highlight w:val="none"/>
          <w:lang w:eastAsia="zh-CN"/>
        </w:rPr>
      </w:pPr>
      <w:r>
        <w:rPr>
          <w:rFonts w:hint="eastAsia" w:ascii="仿宋" w:hAnsi="仿宋" w:eastAsia="仿宋" w:cs="仿宋"/>
          <w:color w:val="000000"/>
          <w:sz w:val="30"/>
          <w:szCs w:val="30"/>
          <w:lang w:val="en-US" w:eastAsia="zh-CN"/>
        </w:rPr>
        <w:t>5、</w:t>
      </w:r>
      <w:r>
        <w:rPr>
          <w:rFonts w:hint="eastAsia" w:ascii="仿宋" w:hAnsi="仿宋" w:eastAsia="仿宋" w:cs="仿宋"/>
          <w:sz w:val="30"/>
          <w:szCs w:val="30"/>
          <w:highlight w:val="none"/>
          <w:lang w:eastAsia="zh-CN"/>
        </w:rPr>
        <w:t>参加此项采购活动最近三年没有出现违法违规或失信行为，没有骗取中标和严重违约的行为；</w:t>
      </w:r>
    </w:p>
    <w:p>
      <w:pPr>
        <w:spacing w:line="560" w:lineRule="exact"/>
        <w:ind w:firstLine="600" w:firstLineChars="200"/>
        <w:rPr>
          <w:rFonts w:hint="eastAsia" w:ascii="仿宋" w:hAnsi="仿宋" w:eastAsia="仿宋" w:cs="仿宋"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0"/>
          <w:szCs w:val="30"/>
          <w:lang w:val="en-US" w:eastAsia="zh-CN"/>
        </w:rPr>
        <w:t>6、</w:t>
      </w:r>
      <w:r>
        <w:rPr>
          <w:rFonts w:hint="eastAsia" w:ascii="仿宋" w:hAnsi="仿宋" w:eastAsia="仿宋" w:cs="仿宋"/>
          <w:sz w:val="30"/>
          <w:szCs w:val="30"/>
          <w:highlight w:val="none"/>
          <w:lang w:val="en-US" w:eastAsia="zh-CN"/>
        </w:rPr>
        <w:t>单位负责人为同一人或存在控股、管理关系的不同单位，不得参加同一标包响应或未划分标包的同一采购项目响应，应填写《响应方声明函》；</w:t>
      </w:r>
    </w:p>
    <w:p>
      <w:pPr>
        <w:pStyle w:val="9"/>
        <w:spacing w:line="360" w:lineRule="auto"/>
        <w:ind w:firstLine="600" w:firstLineChars="200"/>
        <w:contextualSpacing/>
        <w:rPr>
          <w:rFonts w:hint="eastAsia" w:ascii="仿宋" w:hAnsi="仿宋" w:eastAsia="仿宋" w:cs="仿宋"/>
          <w:sz w:val="30"/>
          <w:szCs w:val="30"/>
          <w:highlight w:val="none"/>
          <w:lang w:eastAsia="zh-CN"/>
        </w:rPr>
      </w:pPr>
      <w:r>
        <w:rPr>
          <w:rFonts w:hint="eastAsia" w:ascii="仿宋" w:hAnsi="仿宋" w:eastAsia="仿宋" w:cs="仿宋"/>
          <w:color w:val="000000"/>
          <w:sz w:val="30"/>
          <w:szCs w:val="30"/>
          <w:lang w:val="en-US" w:eastAsia="zh-CN"/>
        </w:rPr>
        <w:t>7、</w:t>
      </w:r>
      <w:r>
        <w:rPr>
          <w:rFonts w:hint="eastAsia" w:ascii="仿宋" w:hAnsi="仿宋" w:eastAsia="仿宋" w:cs="仿宋"/>
          <w:sz w:val="30"/>
          <w:szCs w:val="30"/>
          <w:highlight w:val="none"/>
          <w:lang w:eastAsia="zh-CN"/>
        </w:rPr>
        <w:t>响应</w:t>
      </w:r>
      <w:r>
        <w:rPr>
          <w:rFonts w:hint="eastAsia" w:ascii="仿宋" w:hAnsi="仿宋" w:eastAsia="仿宋" w:cs="仿宋"/>
          <w:sz w:val="30"/>
          <w:szCs w:val="30"/>
          <w:highlight w:val="none"/>
        </w:rPr>
        <w:t>方法定代表人参与</w:t>
      </w:r>
      <w:r>
        <w:rPr>
          <w:rFonts w:hint="eastAsia" w:ascii="仿宋" w:hAnsi="仿宋" w:eastAsia="仿宋" w:cs="仿宋"/>
          <w:sz w:val="30"/>
          <w:szCs w:val="30"/>
          <w:highlight w:val="none"/>
          <w:lang w:val="en-US" w:eastAsia="zh-CN"/>
        </w:rPr>
        <w:t>响应或</w:t>
      </w:r>
      <w:r>
        <w:rPr>
          <w:rFonts w:hint="eastAsia" w:ascii="仿宋" w:hAnsi="仿宋" w:eastAsia="仿宋" w:cs="仿宋"/>
          <w:sz w:val="30"/>
          <w:szCs w:val="30"/>
          <w:highlight w:val="none"/>
          <w:lang w:eastAsia="zh-CN"/>
        </w:rPr>
        <w:t>谈判</w:t>
      </w:r>
      <w:r>
        <w:rPr>
          <w:rFonts w:hint="eastAsia" w:ascii="仿宋" w:hAnsi="仿宋" w:eastAsia="仿宋" w:cs="仿宋"/>
          <w:sz w:val="30"/>
          <w:szCs w:val="30"/>
          <w:highlight w:val="none"/>
        </w:rPr>
        <w:t>的，须在</w:t>
      </w:r>
      <w:r>
        <w:rPr>
          <w:rFonts w:hint="eastAsia" w:ascii="仿宋" w:hAnsi="仿宋" w:eastAsia="仿宋" w:cs="仿宋"/>
          <w:sz w:val="30"/>
          <w:szCs w:val="30"/>
          <w:highlight w:val="none"/>
          <w:lang w:eastAsia="zh-CN"/>
        </w:rPr>
        <w:t>响应</w:t>
      </w:r>
      <w:r>
        <w:rPr>
          <w:rFonts w:hint="eastAsia" w:ascii="仿宋" w:hAnsi="仿宋" w:eastAsia="仿宋" w:cs="仿宋"/>
          <w:sz w:val="30"/>
          <w:szCs w:val="30"/>
          <w:highlight w:val="none"/>
        </w:rPr>
        <w:t>文件中提供法定代表人身份证明书；</w:t>
      </w:r>
      <w:r>
        <w:rPr>
          <w:rFonts w:hint="eastAsia" w:ascii="仿宋" w:hAnsi="仿宋" w:eastAsia="仿宋" w:cs="仿宋"/>
          <w:sz w:val="30"/>
          <w:szCs w:val="30"/>
          <w:highlight w:val="none"/>
          <w:lang w:eastAsia="zh-CN"/>
        </w:rPr>
        <w:t>响应</w:t>
      </w:r>
      <w:r>
        <w:rPr>
          <w:rFonts w:hint="eastAsia" w:ascii="仿宋" w:hAnsi="仿宋" w:eastAsia="仿宋" w:cs="仿宋"/>
          <w:sz w:val="30"/>
          <w:szCs w:val="30"/>
          <w:highlight w:val="none"/>
        </w:rPr>
        <w:t>方委派授权代表参与</w:t>
      </w:r>
      <w:r>
        <w:rPr>
          <w:rFonts w:hint="eastAsia" w:ascii="仿宋" w:hAnsi="仿宋" w:eastAsia="仿宋" w:cs="仿宋"/>
          <w:sz w:val="30"/>
          <w:szCs w:val="30"/>
          <w:highlight w:val="none"/>
          <w:lang w:eastAsia="zh-CN"/>
        </w:rPr>
        <w:t>谈判</w:t>
      </w:r>
      <w:r>
        <w:rPr>
          <w:rFonts w:hint="eastAsia" w:ascii="仿宋" w:hAnsi="仿宋" w:eastAsia="仿宋" w:cs="仿宋"/>
          <w:sz w:val="30"/>
          <w:szCs w:val="30"/>
          <w:highlight w:val="none"/>
        </w:rPr>
        <w:t>的，须在</w:t>
      </w:r>
      <w:r>
        <w:rPr>
          <w:rFonts w:hint="eastAsia" w:ascii="仿宋" w:hAnsi="仿宋" w:eastAsia="仿宋" w:cs="仿宋"/>
          <w:sz w:val="30"/>
          <w:szCs w:val="30"/>
          <w:highlight w:val="none"/>
          <w:lang w:eastAsia="zh-CN"/>
        </w:rPr>
        <w:t>响应</w:t>
      </w:r>
      <w:r>
        <w:rPr>
          <w:rFonts w:hint="eastAsia" w:ascii="仿宋" w:hAnsi="仿宋" w:eastAsia="仿宋" w:cs="仿宋"/>
          <w:sz w:val="30"/>
          <w:szCs w:val="30"/>
          <w:highlight w:val="none"/>
        </w:rPr>
        <w:t>文件中提供法定代表人身份证明书和法定代表人授权书</w:t>
      </w:r>
      <w:r>
        <w:rPr>
          <w:rFonts w:hint="eastAsia" w:ascii="仿宋" w:hAnsi="仿宋" w:eastAsia="仿宋" w:cs="仿宋"/>
          <w:sz w:val="30"/>
          <w:szCs w:val="30"/>
          <w:highlight w:val="none"/>
          <w:lang w:eastAsia="zh-CN"/>
        </w:rPr>
        <w:t>；</w:t>
      </w:r>
    </w:p>
    <w:p>
      <w:pPr>
        <w:spacing w:line="560" w:lineRule="exact"/>
        <w:ind w:firstLine="600" w:firstLineChars="200"/>
        <w:rPr>
          <w:rFonts w:hint="eastAsia" w:ascii="仿宋" w:hAnsi="仿宋" w:eastAsia="仿宋" w:cs="仿宋"/>
          <w:sz w:val="30"/>
          <w:szCs w:val="30"/>
          <w:highlight w:val="none"/>
          <w:lang w:eastAsia="zh-CN"/>
        </w:rPr>
      </w:pPr>
      <w:r>
        <w:rPr>
          <w:rFonts w:hint="eastAsia" w:ascii="仿宋" w:hAnsi="仿宋" w:eastAsia="仿宋" w:cs="仿宋"/>
          <w:color w:val="000000"/>
          <w:sz w:val="30"/>
          <w:szCs w:val="30"/>
          <w:lang w:val="en-US" w:eastAsia="zh-CN"/>
        </w:rPr>
        <w:t>8、</w:t>
      </w:r>
      <w:r>
        <w:rPr>
          <w:rFonts w:hint="eastAsia" w:ascii="仿宋" w:hAnsi="仿宋" w:eastAsia="仿宋" w:cs="仿宋"/>
          <w:sz w:val="30"/>
          <w:szCs w:val="30"/>
          <w:highlight w:val="none"/>
          <w:lang w:eastAsia="zh-CN"/>
        </w:rPr>
        <w:t>本项目不接受联合体；</w:t>
      </w:r>
    </w:p>
    <w:p>
      <w:pPr>
        <w:pStyle w:val="2"/>
        <w:ind w:firstLine="600" w:firstLineChars="200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highlight w:val="none"/>
          <w:lang w:val="en-US" w:eastAsia="zh-CN"/>
        </w:rPr>
        <w:t>9、</w:t>
      </w:r>
      <w:r>
        <w:rPr>
          <w:rFonts w:hint="eastAsia" w:ascii="仿宋" w:hAnsi="仿宋" w:eastAsia="仿宋" w:cs="仿宋"/>
          <w:sz w:val="30"/>
          <w:szCs w:val="30"/>
          <w:highlight w:val="none"/>
          <w:lang w:eastAsia="zh-CN"/>
        </w:rPr>
        <w:t>该项目不得转包、分包；</w:t>
      </w:r>
    </w:p>
    <w:p>
      <w:pPr>
        <w:spacing w:line="560" w:lineRule="exact"/>
        <w:ind w:firstLine="576" w:firstLineChars="200"/>
        <w:rPr>
          <w:rFonts w:hint="eastAsia" w:ascii="仿宋" w:hAnsi="仿宋" w:eastAsia="仿宋" w:cs="仿宋"/>
          <w:spacing w:val="-6"/>
          <w:sz w:val="30"/>
          <w:szCs w:val="30"/>
        </w:rPr>
      </w:pPr>
      <w:r>
        <w:rPr>
          <w:rFonts w:hint="eastAsia" w:ascii="仿宋" w:hAnsi="仿宋" w:eastAsia="仿宋" w:cs="仿宋"/>
          <w:spacing w:val="-6"/>
          <w:sz w:val="30"/>
          <w:szCs w:val="30"/>
          <w:lang w:val="en-US" w:eastAsia="zh-CN"/>
        </w:rPr>
        <w:t>10、</w:t>
      </w:r>
      <w:r>
        <w:rPr>
          <w:rFonts w:hint="eastAsia" w:ascii="仿宋" w:hAnsi="仿宋" w:eastAsia="仿宋" w:cs="仿宋"/>
          <w:spacing w:val="-6"/>
          <w:sz w:val="30"/>
          <w:szCs w:val="30"/>
        </w:rPr>
        <w:t>未被列入公司供应商黑名单或已不在禁入期内。</w:t>
      </w:r>
    </w:p>
    <w:p>
      <w:pPr>
        <w:spacing w:line="600" w:lineRule="exact"/>
        <w:ind w:firstLine="602" w:firstLineChars="200"/>
        <w:jc w:val="left"/>
        <w:rPr>
          <w:rFonts w:hint="eastAsia" w:ascii="仿宋_GB2312" w:hAnsi="仿宋_GB2312" w:eastAsia="仿宋_GB2312" w:cs="仿宋_GB2312"/>
          <w:b/>
          <w:bCs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30"/>
          <w:szCs w:val="30"/>
          <w:lang w:eastAsia="zh-CN"/>
        </w:rPr>
        <w:t>四、采购文件的获取</w:t>
      </w:r>
    </w:p>
    <w:p>
      <w:pPr>
        <w:spacing w:line="600" w:lineRule="exact"/>
        <w:ind w:firstLine="600" w:firstLineChars="200"/>
        <w:jc w:val="left"/>
        <w:rPr>
          <w:rFonts w:hint="eastAsia" w:ascii="仿宋_GB2312" w:eastAsia="仿宋_GB2312" w:cs="Times New Roman"/>
          <w:color w:val="000000"/>
          <w:sz w:val="30"/>
          <w:szCs w:val="30"/>
          <w:lang w:val="en-US" w:eastAsia="zh-CN"/>
        </w:rPr>
      </w:pPr>
      <w:r>
        <w:rPr>
          <w:rFonts w:hint="eastAsia" w:ascii="仿宋_GB2312" w:eastAsia="仿宋_GB2312" w:cs="Times New Roman"/>
          <w:color w:val="000000"/>
          <w:sz w:val="30"/>
          <w:szCs w:val="30"/>
          <w:lang w:val="en-US" w:eastAsia="zh-CN"/>
        </w:rPr>
        <w:t>1、获取时间：2026年9月21日至2026年9月23日，上午9时至12时，下午14时至17时（北京时间、下同）</w:t>
      </w:r>
    </w:p>
    <w:p>
      <w:pPr>
        <w:spacing w:line="600" w:lineRule="exact"/>
        <w:ind w:firstLine="600" w:firstLineChars="200"/>
        <w:jc w:val="left"/>
        <w:rPr>
          <w:rFonts w:hint="default" w:ascii="仿宋_GB2312" w:eastAsia="仿宋_GB2312" w:cs="Times New Roman"/>
          <w:color w:val="000000"/>
          <w:sz w:val="30"/>
          <w:szCs w:val="30"/>
          <w:lang w:val="en-US" w:eastAsia="zh-CN"/>
        </w:rPr>
      </w:pPr>
      <w:r>
        <w:rPr>
          <w:rFonts w:hint="eastAsia" w:ascii="仿宋_GB2312" w:eastAsia="仿宋_GB2312" w:cs="Times New Roman"/>
          <w:color w:val="000000"/>
          <w:sz w:val="30"/>
          <w:szCs w:val="30"/>
          <w:lang w:val="en-US" w:eastAsia="zh-CN"/>
        </w:rPr>
        <w:t>2、获取方式：“人保e采”门户网站、金采网</w:t>
      </w:r>
    </w:p>
    <w:p>
      <w:pPr>
        <w:spacing w:line="600" w:lineRule="exact"/>
        <w:ind w:firstLine="600" w:firstLineChars="200"/>
        <w:jc w:val="left"/>
        <w:rPr>
          <w:rFonts w:hint="eastAsia" w:ascii="仿宋_GB2312" w:eastAsia="仿宋_GB2312" w:cs="Times New Roman"/>
          <w:color w:val="000000"/>
          <w:sz w:val="30"/>
          <w:szCs w:val="30"/>
          <w:lang w:val="en-US" w:eastAsia="zh-CN"/>
        </w:rPr>
      </w:pPr>
      <w:r>
        <w:rPr>
          <w:rFonts w:hint="eastAsia" w:ascii="仿宋_GB2312" w:eastAsia="仿宋_GB2312" w:cs="Times New Roman"/>
          <w:color w:val="000000"/>
          <w:sz w:val="30"/>
          <w:szCs w:val="30"/>
          <w:lang w:val="en-US" w:eastAsia="zh-CN"/>
        </w:rPr>
        <w:t>供应商可通过“人保e采”门户网站（https://ec.picc.com/）、金采网（https://</w:t>
      </w:r>
      <w:r>
        <w:rPr>
          <w:rFonts w:hint="eastAsia" w:ascii="仿宋" w:hAnsi="仿宋" w:eastAsia="仿宋" w:cs="仿宋"/>
          <w:sz w:val="30"/>
          <w:szCs w:val="30"/>
        </w:rPr>
        <w:t>www.cfcpn.com</w:t>
      </w:r>
      <w:r>
        <w:rPr>
          <w:rFonts w:hint="eastAsia" w:ascii="仿宋_GB2312" w:eastAsia="仿宋_GB2312" w:cs="Times New Roman"/>
          <w:color w:val="000000"/>
          <w:sz w:val="30"/>
          <w:szCs w:val="30"/>
          <w:lang w:val="en-US" w:eastAsia="zh-CN"/>
        </w:rPr>
        <w:t>）系统注册入库（仅注册即可），完成报名后即可下载获取采购文件。（注册流程可在人保e采”门户网站查阅《人保e采管理系统供应商入库操作指南》）</w:t>
      </w:r>
    </w:p>
    <w:p>
      <w:pPr>
        <w:spacing w:line="600" w:lineRule="exact"/>
        <w:ind w:firstLine="602" w:firstLineChars="200"/>
        <w:jc w:val="left"/>
        <w:rPr>
          <w:rFonts w:hint="eastAsia" w:ascii="仿宋_GB2312" w:hAnsi="仿宋_GB2312" w:eastAsia="仿宋_GB2312" w:cs="仿宋_GB2312"/>
          <w:b/>
          <w:bCs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30"/>
          <w:szCs w:val="30"/>
          <w:lang w:eastAsia="zh-CN"/>
        </w:rPr>
        <w:t>五、采购文件的递交</w:t>
      </w:r>
    </w:p>
    <w:p>
      <w:pPr>
        <w:spacing w:line="600" w:lineRule="exact"/>
        <w:ind w:firstLine="600" w:firstLineChars="200"/>
        <w:jc w:val="left"/>
        <w:rPr>
          <w:rFonts w:hint="eastAsia" w:ascii="仿宋_GB2312" w:eastAsia="仿宋_GB2312" w:cs="Times New Roman"/>
          <w:color w:val="000000"/>
          <w:sz w:val="30"/>
          <w:szCs w:val="30"/>
          <w:lang w:val="en-US" w:eastAsia="zh-CN"/>
        </w:rPr>
      </w:pPr>
      <w:r>
        <w:rPr>
          <w:rFonts w:hint="eastAsia" w:ascii="仿宋_GB2312" w:eastAsia="仿宋_GB2312" w:cs="Times New Roman"/>
          <w:color w:val="000000"/>
          <w:sz w:val="30"/>
          <w:szCs w:val="30"/>
          <w:lang w:val="en-US" w:eastAsia="zh-CN"/>
        </w:rPr>
        <w:t>1、采购文件递交截止时间：2026年9月26日（即征集截止时间）。</w:t>
      </w:r>
    </w:p>
    <w:p>
      <w:pPr>
        <w:spacing w:line="600" w:lineRule="exact"/>
        <w:ind w:firstLine="600" w:firstLineChars="200"/>
        <w:jc w:val="left"/>
        <w:rPr>
          <w:rFonts w:hint="eastAsia" w:ascii="仿宋" w:hAnsi="仿宋" w:eastAsia="仿宋" w:cs="仿宋"/>
          <w:color w:val="auto"/>
          <w:kern w:val="0"/>
          <w:sz w:val="30"/>
          <w:szCs w:val="30"/>
          <w:highlight w:val="none"/>
          <w:lang w:val="en-US" w:eastAsia="zh-CN"/>
        </w:rPr>
      </w:pPr>
      <w:r>
        <w:rPr>
          <w:rFonts w:hint="eastAsia" w:ascii="仿宋_GB2312" w:eastAsia="仿宋_GB2312" w:cs="Times New Roman"/>
          <w:color w:val="000000"/>
          <w:sz w:val="30"/>
          <w:szCs w:val="30"/>
          <w:lang w:val="en-US" w:eastAsia="zh-CN"/>
        </w:rPr>
        <w:t>2、采购文件递交地点:湖北省武汉市新洲区</w:t>
      </w:r>
      <w:r>
        <w:rPr>
          <w:rFonts w:hint="eastAsia" w:ascii="仿宋" w:hAnsi="仿宋" w:eastAsia="仿宋" w:cs="仿宋"/>
          <w:color w:val="auto"/>
          <w:kern w:val="0"/>
          <w:sz w:val="30"/>
          <w:szCs w:val="30"/>
          <w:highlight w:val="none"/>
          <w:lang w:val="en-US" w:eastAsia="zh-CN"/>
        </w:rPr>
        <w:t>齐安大道165号</w:t>
      </w:r>
      <w:r>
        <w:rPr>
          <w:rFonts w:hint="eastAsia" w:ascii="仿宋" w:hAnsi="仿宋" w:eastAsia="仿宋" w:cs="仿宋"/>
          <w:color w:val="auto"/>
          <w:kern w:val="0"/>
          <w:sz w:val="30"/>
          <w:szCs w:val="30"/>
          <w:highlight w:val="none"/>
        </w:rPr>
        <w:t>中国人民财产保险股份有限公司</w:t>
      </w:r>
      <w:r>
        <w:rPr>
          <w:rFonts w:hint="eastAsia" w:ascii="仿宋" w:hAnsi="仿宋" w:eastAsia="仿宋" w:cs="仿宋"/>
          <w:color w:val="auto"/>
          <w:kern w:val="0"/>
          <w:sz w:val="30"/>
          <w:szCs w:val="30"/>
          <w:highlight w:val="none"/>
          <w:lang w:val="en-US" w:eastAsia="zh-CN"/>
        </w:rPr>
        <w:t>武汉市新洲支公司5楼会议室。</w:t>
      </w:r>
    </w:p>
    <w:p>
      <w:pPr>
        <w:spacing w:line="600" w:lineRule="exact"/>
        <w:ind w:firstLine="600" w:firstLineChars="200"/>
        <w:jc w:val="left"/>
        <w:rPr>
          <w:rFonts w:hint="default" w:ascii="仿宋_GB2312" w:eastAsia="仿宋_GB2312" w:cs="Times New Roman"/>
          <w:color w:val="000000"/>
          <w:sz w:val="30"/>
          <w:szCs w:val="30"/>
          <w:lang w:val="en-US" w:eastAsia="zh-CN"/>
        </w:rPr>
      </w:pPr>
      <w:r>
        <w:rPr>
          <w:rFonts w:hint="eastAsia" w:ascii="仿宋_GB2312" w:eastAsia="仿宋_GB2312" w:cs="Times New Roman"/>
          <w:color w:val="000000"/>
          <w:sz w:val="30"/>
          <w:szCs w:val="30"/>
          <w:lang w:val="en-US" w:eastAsia="zh-CN"/>
        </w:rPr>
        <w:t>3、本项目将于上述同一时间、地点进行开标，请参与报名的供应商</w:t>
      </w:r>
      <w:r>
        <w:rPr>
          <w:rFonts w:hint="default" w:ascii="仿宋_GB2312" w:eastAsia="仿宋_GB2312" w:cs="Times New Roman"/>
          <w:color w:val="000000"/>
          <w:sz w:val="30"/>
          <w:szCs w:val="30"/>
          <w:lang w:val="en-US" w:eastAsia="zh-CN"/>
        </w:rPr>
        <w:t>法定代表人或者其委托代理人准时参加</w:t>
      </w:r>
      <w:r>
        <w:rPr>
          <w:rFonts w:hint="eastAsia" w:ascii="仿宋_GB2312" w:eastAsia="仿宋_GB2312" w:cs="Times New Roman"/>
          <w:color w:val="000000"/>
          <w:sz w:val="30"/>
          <w:szCs w:val="30"/>
          <w:lang w:val="en-US" w:eastAsia="zh-CN"/>
        </w:rPr>
        <w:t>。</w:t>
      </w:r>
    </w:p>
    <w:p>
      <w:pPr>
        <w:spacing w:line="600" w:lineRule="exact"/>
        <w:ind w:firstLine="602" w:firstLineChars="200"/>
        <w:rPr>
          <w:rFonts w:hint="eastAsia" w:ascii="仿宋_GB2312" w:eastAsia="仿宋_GB2312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30"/>
          <w:szCs w:val="30"/>
          <w:lang w:eastAsia="zh-CN"/>
        </w:rPr>
        <w:t>六、公告发布媒介</w:t>
      </w:r>
    </w:p>
    <w:p>
      <w:pPr>
        <w:spacing w:line="600" w:lineRule="exact"/>
        <w:ind w:firstLine="600" w:firstLineChars="200"/>
        <w:jc w:val="left"/>
        <w:rPr>
          <w:rFonts w:hint="eastAsia" w:ascii="仿宋_GB2312" w:eastAsia="仿宋_GB2312" w:cs="Times New Roman"/>
          <w:color w:val="000000"/>
          <w:sz w:val="30"/>
          <w:szCs w:val="30"/>
          <w:lang w:val="en-US" w:eastAsia="zh-CN"/>
        </w:rPr>
      </w:pPr>
      <w:r>
        <w:rPr>
          <w:rFonts w:hint="eastAsia" w:ascii="仿宋_GB2312" w:eastAsia="仿宋_GB2312" w:cs="Times New Roman"/>
          <w:color w:val="000000"/>
          <w:sz w:val="30"/>
          <w:szCs w:val="30"/>
          <w:lang w:val="en-US" w:eastAsia="zh-CN"/>
        </w:rPr>
        <w:t>本公告仅通过“人保e采”门户网站（https://ec.picc.com/）、金采网（https://</w:t>
      </w:r>
      <w:r>
        <w:rPr>
          <w:rFonts w:hint="eastAsia" w:ascii="仿宋" w:hAnsi="仿宋" w:eastAsia="仿宋" w:cs="仿宋"/>
          <w:sz w:val="30"/>
          <w:szCs w:val="30"/>
        </w:rPr>
        <w:t>www.cfcpn.com</w:t>
      </w:r>
      <w:r>
        <w:rPr>
          <w:rFonts w:hint="eastAsia" w:ascii="仿宋_GB2312" w:eastAsia="仿宋_GB2312" w:cs="Times New Roman"/>
          <w:color w:val="000000"/>
          <w:sz w:val="30"/>
          <w:szCs w:val="30"/>
          <w:lang w:val="en-US" w:eastAsia="zh-CN"/>
        </w:rPr>
        <w:t>）发布，其他媒介转载无效。</w:t>
      </w:r>
    </w:p>
    <w:p>
      <w:pPr>
        <w:spacing w:line="600" w:lineRule="exact"/>
        <w:ind w:firstLine="602" w:firstLineChars="200"/>
        <w:rPr>
          <w:rFonts w:hint="eastAsia" w:ascii="仿宋_GB2312" w:eastAsia="仿宋_GB2312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30"/>
          <w:szCs w:val="30"/>
          <w:lang w:eastAsia="zh-CN"/>
        </w:rPr>
        <w:t>七、联系方式</w:t>
      </w:r>
    </w:p>
    <w:p>
      <w:pPr>
        <w:spacing w:line="600" w:lineRule="exact"/>
        <w:ind w:firstLine="600" w:firstLineChars="200"/>
        <w:rPr>
          <w:rFonts w:hint="eastAsia" w:ascii="仿宋_GB2312" w:eastAsia="仿宋_GB2312" w:cs="Times New Roman"/>
          <w:sz w:val="30"/>
          <w:szCs w:val="30"/>
          <w:lang w:eastAsia="zh-CN"/>
        </w:rPr>
      </w:pPr>
      <w:r>
        <w:rPr>
          <w:rFonts w:hint="eastAsia" w:ascii="仿宋_GB2312" w:eastAsia="仿宋_GB2312"/>
          <w:sz w:val="30"/>
          <w:szCs w:val="30"/>
          <w:lang w:eastAsia="zh-CN"/>
        </w:rPr>
        <w:t>采购人：</w:t>
      </w:r>
      <w:r>
        <w:rPr>
          <w:rFonts w:hint="eastAsia" w:ascii="仿宋_GB2312" w:eastAsia="仿宋_GB2312" w:cs="Times New Roman"/>
          <w:sz w:val="30"/>
          <w:szCs w:val="30"/>
          <w:lang w:eastAsia="zh-CN"/>
        </w:rPr>
        <w:t>人保财险</w:t>
      </w:r>
      <w:r>
        <w:rPr>
          <w:rFonts w:hint="eastAsia" w:ascii="仿宋_GB2312" w:eastAsia="仿宋_GB2312" w:cs="Times New Roman"/>
          <w:sz w:val="30"/>
          <w:szCs w:val="30"/>
          <w:lang w:val="en-US" w:eastAsia="zh-CN"/>
        </w:rPr>
        <w:t>武汉</w:t>
      </w:r>
      <w:r>
        <w:rPr>
          <w:rFonts w:hint="eastAsia" w:ascii="仿宋_GB2312" w:eastAsia="仿宋_GB2312" w:cs="Times New Roman"/>
          <w:sz w:val="30"/>
          <w:szCs w:val="30"/>
          <w:lang w:eastAsia="zh-CN"/>
        </w:rPr>
        <w:t>市</w:t>
      </w:r>
      <w:r>
        <w:rPr>
          <w:rFonts w:hint="eastAsia" w:ascii="仿宋_GB2312" w:eastAsia="仿宋_GB2312" w:cs="Times New Roman"/>
          <w:sz w:val="30"/>
          <w:szCs w:val="30"/>
          <w:lang w:val="en-US" w:eastAsia="zh-CN"/>
        </w:rPr>
        <w:t>新洲</w:t>
      </w:r>
      <w:r>
        <w:rPr>
          <w:rFonts w:hint="eastAsia" w:ascii="仿宋_GB2312" w:eastAsia="仿宋_GB2312" w:cs="Times New Roman"/>
          <w:sz w:val="30"/>
          <w:szCs w:val="30"/>
          <w:lang w:eastAsia="zh-CN"/>
        </w:rPr>
        <w:t>支公司</w:t>
      </w:r>
    </w:p>
    <w:p>
      <w:pPr>
        <w:spacing w:line="600" w:lineRule="exact"/>
        <w:ind w:firstLine="600" w:firstLineChars="200"/>
        <w:rPr>
          <w:rFonts w:hint="default" w:ascii="仿宋_GB2312" w:eastAsia="仿宋_GB2312"/>
          <w:sz w:val="30"/>
          <w:szCs w:val="30"/>
          <w:lang w:val="en-US" w:eastAsia="zh-CN"/>
        </w:rPr>
      </w:pPr>
      <w:r>
        <w:rPr>
          <w:rFonts w:hint="eastAsia" w:ascii="仿宋_GB2312" w:eastAsia="仿宋_GB2312"/>
          <w:sz w:val="30"/>
          <w:szCs w:val="30"/>
        </w:rPr>
        <w:t>联系人：</w:t>
      </w:r>
      <w:r>
        <w:rPr>
          <w:rFonts w:hint="eastAsia" w:ascii="仿宋_GB2312" w:eastAsia="仿宋_GB2312"/>
          <w:sz w:val="30"/>
          <w:szCs w:val="30"/>
          <w:lang w:val="en-US" w:eastAsia="zh-CN"/>
        </w:rPr>
        <w:t>谢楚</w:t>
      </w:r>
    </w:p>
    <w:p>
      <w:pPr>
        <w:spacing w:line="600" w:lineRule="exact"/>
        <w:ind w:firstLine="600" w:firstLineChars="200"/>
        <w:rPr>
          <w:rFonts w:hint="default" w:ascii="仿宋_GB2312" w:eastAsia="仿宋_GB2312"/>
          <w:sz w:val="30"/>
          <w:szCs w:val="30"/>
          <w:lang w:val="en-US" w:eastAsia="zh-CN"/>
        </w:rPr>
      </w:pPr>
      <w:r>
        <w:rPr>
          <w:rFonts w:hint="eastAsia" w:ascii="仿宋_GB2312" w:eastAsia="仿宋_GB2312"/>
          <w:sz w:val="30"/>
          <w:szCs w:val="30"/>
        </w:rPr>
        <w:t>联系电话：02</w:t>
      </w:r>
      <w:r>
        <w:rPr>
          <w:rFonts w:hint="eastAsia" w:ascii="仿宋_GB2312" w:eastAsia="仿宋_GB2312"/>
          <w:sz w:val="30"/>
          <w:szCs w:val="30"/>
          <w:lang w:val="en-US" w:eastAsia="zh-CN"/>
        </w:rPr>
        <w:t>7</w:t>
      </w:r>
      <w:r>
        <w:rPr>
          <w:rFonts w:hint="eastAsia" w:ascii="仿宋_GB2312" w:eastAsia="仿宋_GB2312"/>
          <w:sz w:val="30"/>
          <w:szCs w:val="30"/>
        </w:rPr>
        <w:t>-</w:t>
      </w:r>
      <w:r>
        <w:rPr>
          <w:rFonts w:hint="eastAsia" w:ascii="仿宋_GB2312" w:eastAsia="仿宋_GB2312"/>
          <w:sz w:val="30"/>
          <w:szCs w:val="30"/>
          <w:lang w:val="en-US" w:eastAsia="zh-CN"/>
        </w:rPr>
        <w:t>89359197</w:t>
      </w:r>
    </w:p>
    <w:p>
      <w:pPr>
        <w:spacing w:line="600" w:lineRule="exact"/>
        <w:ind w:firstLine="600" w:firstLineChars="200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电子邮箱：</w:t>
      </w:r>
      <w:r>
        <w:rPr>
          <w:rFonts w:hint="eastAsia" w:ascii="仿宋_GB2312" w:eastAsia="仿宋_GB2312"/>
          <w:sz w:val="30"/>
          <w:szCs w:val="30"/>
          <w:lang w:val="en-US" w:eastAsia="zh-CN"/>
        </w:rPr>
        <w:t>xiechu</w:t>
      </w:r>
      <w:r>
        <w:rPr>
          <w:rFonts w:hint="eastAsia" w:ascii="仿宋_GB2312" w:eastAsia="仿宋_GB2312"/>
          <w:sz w:val="30"/>
          <w:szCs w:val="30"/>
        </w:rPr>
        <w:t>@</w:t>
      </w:r>
      <w:r>
        <w:rPr>
          <w:rFonts w:hint="eastAsia" w:ascii="仿宋_GB2312" w:eastAsia="仿宋_GB2312"/>
          <w:sz w:val="30"/>
          <w:szCs w:val="30"/>
          <w:lang w:val="en-US" w:eastAsia="zh-CN"/>
        </w:rPr>
        <w:t>hub</w:t>
      </w:r>
      <w:r>
        <w:rPr>
          <w:rFonts w:ascii="仿宋_GB2312" w:eastAsia="仿宋_GB2312"/>
          <w:sz w:val="30"/>
          <w:szCs w:val="30"/>
        </w:rPr>
        <w:t>.picc.com.cn</w:t>
      </w:r>
    </w:p>
    <w:p>
      <w:pPr>
        <w:spacing w:line="600" w:lineRule="exact"/>
        <w:ind w:firstLine="600" w:firstLineChars="200"/>
        <w:jc w:val="left"/>
        <w:rPr>
          <w:rFonts w:hint="eastAsia" w:ascii="仿宋_GB2312" w:hAnsi="仿宋_GB2312" w:eastAsia="仿宋_GB2312" w:cs="仿宋_GB2312"/>
          <w:sz w:val="30"/>
          <w:szCs w:val="30"/>
        </w:rPr>
      </w:pPr>
    </w:p>
    <w:p>
      <w:pPr>
        <w:spacing w:line="600" w:lineRule="exact"/>
        <w:ind w:firstLine="600" w:firstLineChars="200"/>
        <w:jc w:val="left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 xml:space="preserve">特此公告 </w:t>
      </w:r>
      <w:bookmarkStart w:id="0" w:name="_GoBack"/>
      <w:bookmarkEnd w:id="0"/>
    </w:p>
    <w:p>
      <w:pPr>
        <w:spacing w:line="600" w:lineRule="exact"/>
        <w:jc w:val="left"/>
        <w:rPr>
          <w:rFonts w:ascii="仿宋_GB2312" w:hAnsi="仿宋_GB2312" w:eastAsia="仿宋_GB2312" w:cs="仿宋_GB2312"/>
          <w:sz w:val="30"/>
          <w:szCs w:val="30"/>
        </w:rPr>
      </w:pPr>
    </w:p>
    <w:p>
      <w:pPr>
        <w:wordWrap w:val="0"/>
        <w:spacing w:line="600" w:lineRule="exact"/>
        <w:ind w:firstLine="600" w:firstLineChars="200"/>
        <w:jc w:val="right"/>
        <w:rPr>
          <w:rFonts w:hint="default" w:ascii="仿宋_GB2312" w:eastAsia="仿宋_GB2312"/>
          <w:sz w:val="30"/>
          <w:szCs w:val="30"/>
          <w:lang w:val="en-US"/>
        </w:rPr>
      </w:pPr>
      <w:r>
        <w:rPr>
          <w:rFonts w:hint="eastAsia" w:ascii="仿宋_GB2312" w:eastAsia="仿宋_GB2312" w:cs="Times New Roman"/>
          <w:sz w:val="30"/>
          <w:szCs w:val="30"/>
          <w:lang w:eastAsia="zh-CN"/>
        </w:rPr>
        <w:t>人保财险</w:t>
      </w:r>
      <w:r>
        <w:rPr>
          <w:rFonts w:hint="eastAsia" w:ascii="仿宋_GB2312" w:eastAsia="仿宋_GB2312" w:cs="Times New Roman"/>
          <w:sz w:val="30"/>
          <w:szCs w:val="30"/>
          <w:lang w:val="en-US" w:eastAsia="zh-CN"/>
        </w:rPr>
        <w:t>武汉市新洲支公司</w:t>
      </w:r>
    </w:p>
    <w:p>
      <w:pPr>
        <w:spacing w:line="600" w:lineRule="exact"/>
        <w:ind w:firstLine="5100" w:firstLineChars="1700"/>
        <w:jc w:val="both"/>
        <w:rPr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2026年</w:t>
      </w:r>
      <w:r>
        <w:rPr>
          <w:rFonts w:hint="eastAsia" w:ascii="仿宋_GB2312" w:eastAsia="仿宋_GB2312"/>
          <w:sz w:val="30"/>
          <w:szCs w:val="30"/>
          <w:lang w:val="en-US" w:eastAsia="zh-CN"/>
        </w:rPr>
        <w:t>9</w:t>
      </w:r>
      <w:r>
        <w:rPr>
          <w:rFonts w:hint="eastAsia" w:ascii="仿宋_GB2312" w:eastAsia="仿宋_GB2312"/>
          <w:sz w:val="30"/>
          <w:szCs w:val="30"/>
        </w:rPr>
        <w:t>月</w:t>
      </w:r>
      <w:r>
        <w:rPr>
          <w:rFonts w:hint="eastAsia" w:ascii="仿宋_GB2312" w:eastAsia="仿宋_GB2312"/>
          <w:sz w:val="30"/>
          <w:szCs w:val="30"/>
          <w:lang w:val="en-US" w:eastAsia="zh-CN"/>
        </w:rPr>
        <w:t>20</w:t>
      </w:r>
      <w:r>
        <w:rPr>
          <w:rFonts w:hint="eastAsia" w:ascii="仿宋_GB2312" w:eastAsia="仿宋_GB2312"/>
          <w:sz w:val="30"/>
          <w:szCs w:val="30"/>
        </w:rPr>
        <w:t>日</w:t>
      </w:r>
    </w:p>
    <w:sectPr>
      <w:pgSz w:w="11906" w:h="16838"/>
      <w:pgMar w:top="1304" w:right="1800" w:bottom="1304" w:left="180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40AEFDA"/>
    <w:multiLevelType w:val="singleLevel"/>
    <w:tmpl w:val="D40AEFDA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2B9A6384"/>
    <w:multiLevelType w:val="multilevel"/>
    <w:tmpl w:val="2B9A6384"/>
    <w:lvl w:ilvl="0" w:tentative="0">
      <w:start w:val="1"/>
      <w:numFmt w:val="chineseCountingThousand"/>
      <w:suff w:val="space"/>
      <w:lvlText w:val="%1、"/>
      <w:lvlJc w:val="left"/>
      <w:pPr>
        <w:ind w:left="0" w:firstLine="0"/>
      </w:pPr>
      <w:rPr>
        <w:rFonts w:hint="eastAsia"/>
        <w:b/>
        <w:i w:val="0"/>
      </w:rPr>
    </w:lvl>
    <w:lvl w:ilvl="1" w:tentative="0">
      <w:start w:val="1"/>
      <w:numFmt w:val="decimal"/>
      <w:pStyle w:val="5"/>
      <w:suff w:val="space"/>
      <w:lvlText w:val="%2."/>
      <w:lvlJc w:val="left"/>
      <w:pPr>
        <w:ind w:left="0" w:firstLine="0"/>
      </w:pPr>
      <w:rPr>
        <w:rFonts w:hint="eastAsia"/>
        <w:b/>
        <w:i w:val="0"/>
      </w:rPr>
    </w:lvl>
    <w:lvl w:ilvl="2" w:tentative="0">
      <w:start w:val="1"/>
      <w:numFmt w:val="decimal"/>
      <w:suff w:val="space"/>
      <w:lvlText w:val="%2.%3"/>
      <w:lvlJc w:val="left"/>
      <w:pPr>
        <w:ind w:left="141" w:firstLine="0"/>
      </w:pPr>
      <w:rPr>
        <w:rFonts w:hint="eastAsia"/>
        <w:b/>
        <w:i w:val="0"/>
      </w:rPr>
    </w:lvl>
    <w:lvl w:ilvl="3" w:tentative="0">
      <w:start w:val="1"/>
      <w:numFmt w:val="decimal"/>
      <w:suff w:val="space"/>
      <w:lvlText w:val="%2.%3.%4"/>
      <w:lvlJc w:val="left"/>
      <w:pPr>
        <w:ind w:left="284" w:firstLine="0"/>
      </w:pPr>
      <w:rPr>
        <w:b/>
        <w:bCs w:val="0"/>
        <w:i w:val="0"/>
        <w:iCs w:val="0"/>
        <w:caps w:val="0"/>
        <w:smallCaps w:val="0"/>
        <w:strike w:val="0"/>
        <w:dstrike w:val="0"/>
        <w:vanish w:val="0"/>
        <w:spacing w:val="0"/>
        <w:position w:val="0"/>
        <w:u w:val="none"/>
        <w:vertAlign w:val="baseline"/>
      </w:rPr>
    </w:lvl>
    <w:lvl w:ilvl="4" w:tentative="0">
      <w:start w:val="1"/>
      <w:numFmt w:val="decimal"/>
      <w:suff w:val="space"/>
      <w:lvlText w:val="%2.%3.%4.%5"/>
      <w:lvlJc w:val="left"/>
      <w:pPr>
        <w:ind w:left="0" w:firstLine="0"/>
      </w:pPr>
      <w:rPr>
        <w:rFonts w:hint="eastAsia"/>
        <w:b/>
        <w:i w:val="0"/>
      </w:rPr>
    </w:lvl>
    <w:lvl w:ilvl="5" w:tentative="0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43C1911"/>
    <w:rsid w:val="0BAB78F1"/>
    <w:rsid w:val="0F3F2C58"/>
    <w:rsid w:val="151070C8"/>
    <w:rsid w:val="15750836"/>
    <w:rsid w:val="15B07DDF"/>
    <w:rsid w:val="19337A9B"/>
    <w:rsid w:val="1CF54B70"/>
    <w:rsid w:val="207728D1"/>
    <w:rsid w:val="210D0846"/>
    <w:rsid w:val="23BE70D5"/>
    <w:rsid w:val="319C46DB"/>
    <w:rsid w:val="34615178"/>
    <w:rsid w:val="3DB57251"/>
    <w:rsid w:val="43B96763"/>
    <w:rsid w:val="446B6021"/>
    <w:rsid w:val="44C147DB"/>
    <w:rsid w:val="461B1594"/>
    <w:rsid w:val="48421C2F"/>
    <w:rsid w:val="4C1858AE"/>
    <w:rsid w:val="543C1911"/>
    <w:rsid w:val="58382107"/>
    <w:rsid w:val="5B240AE7"/>
    <w:rsid w:val="5DC56D10"/>
    <w:rsid w:val="6E3D184C"/>
    <w:rsid w:val="70007ECC"/>
    <w:rsid w:val="7C635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qFormat="1" w:unhideWhenUsed="0" w:uiPriority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5">
    <w:name w:val="heading 2"/>
    <w:basedOn w:val="1"/>
    <w:next w:val="1"/>
    <w:unhideWhenUsed/>
    <w:qFormat/>
    <w:uiPriority w:val="9"/>
    <w:pPr>
      <w:keepNext/>
      <w:keepLines/>
      <w:numPr>
        <w:ilvl w:val="1"/>
        <w:numId w:val="1"/>
      </w:numPr>
      <w:spacing w:before="260" w:after="260" w:line="416" w:lineRule="auto"/>
      <w:outlineLvl w:val="1"/>
    </w:pPr>
    <w:rPr>
      <w:rFonts w:ascii="Calibri Light" w:hAnsi="Calibri Light"/>
      <w:b/>
      <w:bCs/>
      <w:sz w:val="32"/>
      <w:szCs w:val="32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99"/>
    <w:pPr>
      <w:adjustRightInd/>
      <w:spacing w:line="240" w:lineRule="auto"/>
      <w:jc w:val="both"/>
      <w:textAlignment w:val="auto"/>
    </w:pPr>
    <w:rPr>
      <w:kern w:val="2"/>
      <w:sz w:val="28"/>
    </w:rPr>
  </w:style>
  <w:style w:type="paragraph" w:customStyle="1" w:styleId="3">
    <w:name w:val="Default"/>
    <w:next w:val="4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styleId="4">
    <w:name w:val="table of figures"/>
    <w:basedOn w:val="1"/>
    <w:next w:val="1"/>
    <w:semiHidden/>
    <w:qFormat/>
    <w:uiPriority w:val="0"/>
    <w:pPr>
      <w:ind w:left="840" w:leftChars="200" w:hanging="420" w:hangingChars="200"/>
    </w:pPr>
  </w:style>
  <w:style w:type="paragraph" w:styleId="6">
    <w:name w:val="annotation text"/>
    <w:basedOn w:val="1"/>
    <w:qFormat/>
    <w:uiPriority w:val="0"/>
    <w:pPr>
      <w:jc w:val="left"/>
    </w:pPr>
  </w:style>
  <w:style w:type="paragraph" w:styleId="9">
    <w:name w:val="List Paragraph"/>
    <w:basedOn w:val="1"/>
    <w:qFormat/>
    <w:uiPriority w:val="34"/>
    <w:pPr>
      <w:adjustRightInd/>
      <w:spacing w:line="240" w:lineRule="auto"/>
      <w:ind w:firstLine="420" w:firstLineChars="200"/>
      <w:jc w:val="both"/>
      <w:textAlignment w:val="auto"/>
    </w:pPr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2026-03-10T01:02:00Z</dcterms:created>
  <dc:creator>vip</dc:creator>
  <cp:lastModifiedBy>Administrator</cp:lastModifiedBy>
  <dcterms:modified xsi:type="dcterms:W3CDTF">2026-09-20T03:14:28Z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24CC7958EEC541D9900ED34093518237_13</vt:lpwstr>
  </property>
</Properties>
</file>