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F43772">
      <w:pPr>
        <w:pStyle w:val="4"/>
        <w:spacing w:before="0" w:after="0" w:line="480" w:lineRule="auto"/>
        <w:rPr>
          <w:rFonts w:hint="eastAsia" w:ascii="仿宋" w:hAnsi="仿宋" w:cs="宋体"/>
          <w:color w:val="auto"/>
          <w:highlight w:val="none"/>
        </w:rPr>
      </w:pPr>
      <w:bookmarkStart w:id="0" w:name="_Toc11467"/>
      <w:bookmarkStart w:id="1" w:name="_Toc25678"/>
      <w:bookmarkStart w:id="2" w:name="_Toc7914"/>
      <w:bookmarkStart w:id="3" w:name="_Toc65682912"/>
      <w:bookmarkStart w:id="4" w:name="_Toc109124222"/>
      <w:r>
        <w:rPr>
          <w:rFonts w:hint="eastAsia" w:ascii="仿宋" w:hAnsi="仿宋" w:cs="宋体"/>
          <w:color w:val="auto"/>
          <w:highlight w:val="none"/>
        </w:rPr>
        <w:t>人保财险云南省德宏州分公司2026-2029年法律服务采购项目招标公告</w:t>
      </w:r>
      <w:bookmarkEnd w:id="0"/>
      <w:bookmarkEnd w:id="1"/>
      <w:bookmarkEnd w:id="2"/>
      <w:bookmarkEnd w:id="3"/>
      <w:bookmarkEnd w:id="4"/>
    </w:p>
    <w:p w14:paraId="1B8DFD2C">
      <w:pPr>
        <w:pStyle w:val="5"/>
        <w:rPr>
          <w:rFonts w:hint="eastAsia" w:ascii="仿宋" w:hAnsi="仿宋" w:cs="宋体"/>
          <w:color w:val="auto"/>
          <w:szCs w:val="24"/>
          <w:highlight w:val="none"/>
        </w:rPr>
      </w:pPr>
      <w:bookmarkStart w:id="5" w:name="_Toc31246"/>
      <w:bookmarkStart w:id="6" w:name="_Toc10131"/>
      <w:bookmarkStart w:id="7" w:name="_Toc9045"/>
      <w:bookmarkStart w:id="8" w:name="_Toc109124223"/>
      <w:bookmarkStart w:id="9" w:name="_Toc25200"/>
      <w:bookmarkStart w:id="10" w:name="_Toc24950"/>
      <w:bookmarkStart w:id="11" w:name="_Toc23271"/>
      <w:bookmarkStart w:id="12" w:name="_Toc65682913"/>
      <w:r>
        <w:rPr>
          <w:rFonts w:hint="eastAsia" w:ascii="仿宋" w:hAnsi="仿宋" w:cs="宋体"/>
          <w:color w:val="auto"/>
          <w:szCs w:val="24"/>
          <w:highlight w:val="none"/>
        </w:rPr>
        <w:t>一、招标条件</w:t>
      </w:r>
      <w:bookmarkEnd w:id="5"/>
    </w:p>
    <w:p w14:paraId="34F5E952">
      <w:pPr>
        <w:wordWrap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本招标项目</w:t>
      </w:r>
      <w:r>
        <w:rPr>
          <w:rFonts w:hint="eastAsia" w:ascii="仿宋" w:hAnsi="仿宋" w:eastAsia="仿宋" w:cs="宋体"/>
          <w:color w:val="auto"/>
          <w:sz w:val="24"/>
          <w:szCs w:val="24"/>
          <w:highlight w:val="none"/>
          <w:u w:val="single"/>
          <w:lang w:eastAsia="zh-CN"/>
        </w:rPr>
        <w:t>人保财险云南省德宏州分公司2026-2029年法律服务采购项目</w:t>
      </w:r>
      <w:r>
        <w:rPr>
          <w:rFonts w:hint="eastAsia" w:ascii="仿宋" w:hAnsi="仿宋" w:eastAsia="仿宋" w:cs="宋体"/>
          <w:color w:val="auto"/>
          <w:sz w:val="24"/>
          <w:szCs w:val="24"/>
          <w:highlight w:val="none"/>
        </w:rPr>
        <w:t>（</w:t>
      </w:r>
      <w:r>
        <w:rPr>
          <w:rFonts w:hint="eastAsia" w:ascii="仿宋" w:hAnsi="仿宋" w:eastAsia="仿宋" w:cs="宋体"/>
          <w:color w:val="auto"/>
          <w:sz w:val="24"/>
          <w:highlight w:val="none"/>
          <w:lang w:eastAsia="zh-CN"/>
        </w:rPr>
        <w:t>项目编号</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GR26A103QFG0040</w:t>
      </w:r>
      <w:r>
        <w:rPr>
          <w:rFonts w:hint="eastAsia" w:ascii="仿宋" w:hAnsi="仿宋" w:eastAsia="仿宋" w:cs="宋体"/>
          <w:color w:val="auto"/>
          <w:sz w:val="24"/>
          <w:szCs w:val="24"/>
          <w:highlight w:val="none"/>
        </w:rPr>
        <w:t>）由</w:t>
      </w:r>
      <w:r>
        <w:rPr>
          <w:rFonts w:hint="eastAsia" w:ascii="仿宋" w:hAnsi="仿宋" w:eastAsia="仿宋" w:cs="宋体"/>
          <w:color w:val="auto"/>
          <w:sz w:val="24"/>
          <w:szCs w:val="24"/>
          <w:highlight w:val="none"/>
          <w:u w:val="single"/>
          <w:lang w:eastAsia="zh-CN"/>
        </w:rPr>
        <w:t>中国人民财产保险股份有限公司德宏州分公司</w:t>
      </w:r>
      <w:r>
        <w:rPr>
          <w:rFonts w:hint="eastAsia" w:ascii="仿宋" w:hAnsi="仿宋" w:eastAsia="仿宋" w:cs="宋体"/>
          <w:color w:val="auto"/>
          <w:sz w:val="24"/>
          <w:szCs w:val="24"/>
          <w:highlight w:val="none"/>
        </w:rPr>
        <w:t>（以下简称“招标人”）</w:t>
      </w:r>
      <w:r>
        <w:rPr>
          <w:rFonts w:hint="eastAsia" w:ascii="仿宋" w:hAnsi="仿宋" w:eastAsia="仿宋" w:cs="仿宋"/>
          <w:color w:val="auto"/>
          <w:sz w:val="24"/>
          <w:szCs w:val="24"/>
          <w:highlight w:val="none"/>
        </w:rPr>
        <w:t>批准并落实资金，</w:t>
      </w:r>
      <w:r>
        <w:rPr>
          <w:rFonts w:hint="eastAsia" w:ascii="仿宋" w:hAnsi="仿宋" w:eastAsia="仿宋" w:cs="宋体"/>
          <w:color w:val="auto"/>
          <w:sz w:val="24"/>
          <w:szCs w:val="24"/>
          <w:highlight w:val="none"/>
        </w:rPr>
        <w:t>组织本项目的相关招标工作，采购合同由</w:t>
      </w:r>
      <w:r>
        <w:rPr>
          <w:rFonts w:hint="eastAsia" w:ascii="仿宋" w:hAnsi="仿宋" w:eastAsia="仿宋" w:cs="宋体"/>
          <w:color w:val="auto"/>
          <w:sz w:val="24"/>
          <w:szCs w:val="24"/>
          <w:highlight w:val="none"/>
          <w:u w:val="single"/>
          <w:lang w:eastAsia="zh-CN"/>
        </w:rPr>
        <w:t>中国人民财产保险股份有限公司德宏州分公司</w:t>
      </w:r>
      <w:r>
        <w:rPr>
          <w:rFonts w:hint="eastAsia" w:ascii="仿宋" w:hAnsi="仿宋" w:eastAsia="仿宋" w:cs="宋体"/>
          <w:color w:val="auto"/>
          <w:sz w:val="24"/>
          <w:szCs w:val="24"/>
          <w:highlight w:val="none"/>
        </w:rPr>
        <w:t>（以下简称“</w:t>
      </w:r>
      <w:r>
        <w:rPr>
          <w:rFonts w:hint="eastAsia" w:ascii="仿宋" w:hAnsi="仿宋" w:eastAsia="仿宋" w:cs="宋体"/>
          <w:color w:val="auto"/>
          <w:sz w:val="24"/>
          <w:szCs w:val="24"/>
          <w:highlight w:val="none"/>
          <w:lang w:eastAsia="zh-CN"/>
        </w:rPr>
        <w:t>人保财险德宏州分公司</w:t>
      </w:r>
      <w:r>
        <w:rPr>
          <w:rFonts w:hint="eastAsia" w:ascii="仿宋" w:hAnsi="仿宋" w:eastAsia="仿宋" w:cs="宋体"/>
          <w:color w:val="auto"/>
          <w:sz w:val="24"/>
          <w:szCs w:val="24"/>
          <w:highlight w:val="none"/>
        </w:rPr>
        <w:t>”）根据中标结果与中标人签署。现委托</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u w:val="single"/>
          <w:lang w:eastAsia="zh-CN"/>
        </w:rPr>
        <w:t>云南冠睿咨询有限公司</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（以下简称“招标代理机构”）进行公开招标，有意向且具有提供标的物能力的潜在投标人（以下简称“投标人”）可前来投标。</w:t>
      </w:r>
    </w:p>
    <w:p w14:paraId="085E4209">
      <w:pPr>
        <w:pStyle w:val="5"/>
        <w:rPr>
          <w:rFonts w:hint="eastAsia" w:ascii="仿宋" w:hAnsi="仿宋" w:cs="宋体"/>
          <w:color w:val="auto"/>
          <w:szCs w:val="24"/>
          <w:highlight w:val="none"/>
        </w:rPr>
      </w:pPr>
      <w:bookmarkStart w:id="13" w:name="_Toc25109"/>
      <w:r>
        <w:rPr>
          <w:rFonts w:hint="eastAsia" w:ascii="仿宋" w:hAnsi="仿宋" w:cs="宋体"/>
          <w:color w:val="auto"/>
          <w:szCs w:val="24"/>
          <w:highlight w:val="none"/>
        </w:rPr>
        <w:t>二、项目概况与招标范围</w:t>
      </w:r>
      <w:bookmarkEnd w:id="13"/>
    </w:p>
    <w:p w14:paraId="1DDB7ED6">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2.1项目名称：</w:t>
      </w:r>
      <w:r>
        <w:rPr>
          <w:rFonts w:hint="eastAsia" w:ascii="仿宋" w:hAnsi="仿宋" w:eastAsia="仿宋" w:cs="宋体"/>
          <w:color w:val="auto"/>
          <w:sz w:val="24"/>
          <w:szCs w:val="24"/>
          <w:highlight w:val="none"/>
          <w:lang w:eastAsia="zh-CN"/>
        </w:rPr>
        <w:t>人保财险云南省德宏州分公司2026-2029年法律服务采购项目</w:t>
      </w:r>
      <w:r>
        <w:rPr>
          <w:rFonts w:hint="eastAsia" w:ascii="仿宋" w:hAnsi="仿宋" w:eastAsia="仿宋" w:cs="宋体"/>
          <w:color w:val="auto"/>
          <w:sz w:val="24"/>
          <w:szCs w:val="24"/>
          <w:highlight w:val="none"/>
        </w:rPr>
        <w:t>。</w:t>
      </w:r>
    </w:p>
    <w:p w14:paraId="008D90E1">
      <w:pPr>
        <w:spacing w:line="360" w:lineRule="auto"/>
        <w:ind w:firstLine="480" w:firstLineChars="200"/>
        <w:textAlignment w:val="baseline"/>
        <w:rPr>
          <w:rFonts w:hint="eastAsia" w:ascii="仿宋" w:hAnsi="仿宋" w:eastAsia="仿宋" w:cs="宋体"/>
          <w:color w:val="auto"/>
          <w:kern w:val="0"/>
          <w:sz w:val="24"/>
          <w:szCs w:val="24"/>
          <w:highlight w:val="none"/>
          <w:lang w:bidi="ar"/>
        </w:rPr>
      </w:pPr>
      <w:r>
        <w:rPr>
          <w:rFonts w:hint="eastAsia" w:ascii="仿宋" w:hAnsi="仿宋" w:eastAsia="仿宋" w:cs="宋体"/>
          <w:color w:val="auto"/>
          <w:sz w:val="24"/>
          <w:szCs w:val="24"/>
          <w:highlight w:val="none"/>
        </w:rPr>
        <w:t>2.2招标范围：为了切实保障</w:t>
      </w:r>
      <w:r>
        <w:rPr>
          <w:rFonts w:hint="eastAsia" w:ascii="仿宋" w:hAnsi="仿宋" w:eastAsia="仿宋" w:cs="宋体"/>
          <w:color w:val="auto"/>
          <w:sz w:val="24"/>
          <w:szCs w:val="24"/>
          <w:highlight w:val="none"/>
          <w:lang w:eastAsia="zh-CN"/>
        </w:rPr>
        <w:t>人保财险德宏州分公司</w:t>
      </w:r>
      <w:r>
        <w:rPr>
          <w:rFonts w:hint="eastAsia" w:ascii="仿宋" w:hAnsi="仿宋" w:eastAsia="仿宋" w:cs="宋体"/>
          <w:color w:val="auto"/>
          <w:sz w:val="24"/>
          <w:szCs w:val="24"/>
          <w:highlight w:val="none"/>
        </w:rPr>
        <w:t>的</w:t>
      </w:r>
      <w:r>
        <w:rPr>
          <w:rFonts w:hint="eastAsia" w:ascii="仿宋" w:hAnsi="仿宋" w:eastAsia="仿宋" w:cs="宋体"/>
          <w:color w:val="auto"/>
          <w:sz w:val="24"/>
          <w:szCs w:val="24"/>
          <w:highlight w:val="none"/>
          <w:lang w:val="en-US" w:eastAsia="zh-CN"/>
        </w:rPr>
        <w:t>常年法律顾问、</w:t>
      </w:r>
      <w:r>
        <w:rPr>
          <w:rFonts w:hint="eastAsia" w:ascii="仿宋" w:hAnsi="仿宋" w:eastAsia="仿宋" w:cs="宋体"/>
          <w:color w:val="auto"/>
          <w:sz w:val="24"/>
          <w:szCs w:val="24"/>
          <w:highlight w:val="none"/>
        </w:rPr>
        <w:t>诉讼、仲裁、追偿等法律事务得到及时、有效的处理，维护公司合法权益，同时降低服务成本，本项目拟采购</w:t>
      </w: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家律师事务所提供2026年至2029年为期3年的法律服务，包括</w:t>
      </w:r>
      <w:r>
        <w:rPr>
          <w:rFonts w:hint="eastAsia" w:ascii="仿宋" w:hAnsi="仿宋" w:eastAsia="仿宋" w:cs="宋体"/>
          <w:color w:val="auto"/>
          <w:sz w:val="24"/>
          <w:szCs w:val="24"/>
          <w:highlight w:val="none"/>
          <w:lang w:val="en-US" w:eastAsia="zh-CN"/>
        </w:rPr>
        <w:t>德宏州</w:t>
      </w:r>
      <w:r>
        <w:rPr>
          <w:rFonts w:hint="eastAsia" w:ascii="仿宋" w:hAnsi="仿宋" w:eastAsia="仿宋" w:cs="宋体"/>
          <w:color w:val="auto"/>
          <w:sz w:val="24"/>
          <w:szCs w:val="24"/>
          <w:highlight w:val="none"/>
        </w:rPr>
        <w:t>分公司辖内的法院受理的道交类案件、追偿类案件、保险合同纠纷类案件</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常年法律顾问</w:t>
      </w:r>
      <w:r>
        <w:rPr>
          <w:rFonts w:hint="eastAsia" w:ascii="仿宋" w:hAnsi="仿宋" w:eastAsia="仿宋" w:cs="宋体"/>
          <w:color w:val="auto"/>
          <w:sz w:val="24"/>
          <w:szCs w:val="24"/>
          <w:highlight w:val="none"/>
        </w:rPr>
        <w:t>以及其他特殊案件</w:t>
      </w:r>
      <w:r>
        <w:rPr>
          <w:rFonts w:hint="eastAsia" w:ascii="仿宋" w:hAnsi="仿宋" w:eastAsia="仿宋" w:cs="宋体"/>
          <w:color w:val="auto"/>
          <w:kern w:val="0"/>
          <w:sz w:val="24"/>
          <w:szCs w:val="24"/>
          <w:highlight w:val="none"/>
          <w:lang w:bidi="ar"/>
        </w:rPr>
        <w:t>。</w:t>
      </w:r>
      <w:r>
        <w:rPr>
          <w:rFonts w:hint="eastAsia" w:ascii="仿宋" w:hAnsi="仿宋" w:eastAsia="仿宋" w:cs="宋体"/>
          <w:color w:val="auto"/>
          <w:sz w:val="24"/>
          <w:szCs w:val="24"/>
          <w:highlight w:val="none"/>
        </w:rPr>
        <w:t>具体内容及要求见招标文件第五章技术规范书</w:t>
      </w:r>
      <w:r>
        <w:rPr>
          <w:rFonts w:hint="eastAsia" w:ascii="仿宋" w:hAnsi="仿宋" w:eastAsia="仿宋" w:cs="宋体"/>
          <w:color w:val="auto"/>
          <w:kern w:val="0"/>
          <w:sz w:val="24"/>
          <w:szCs w:val="24"/>
          <w:highlight w:val="none"/>
          <w:lang w:bidi="ar"/>
        </w:rPr>
        <w:t>。</w:t>
      </w:r>
    </w:p>
    <w:p w14:paraId="7F13A665">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2.3项目性质：服务。</w:t>
      </w:r>
    </w:p>
    <w:p w14:paraId="031BA195">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2.4标包划分：</w:t>
      </w:r>
      <w:r>
        <w:rPr>
          <w:rFonts w:hint="eastAsia" w:ascii="仿宋" w:hAnsi="仿宋" w:eastAsia="仿宋" w:cs="宋体"/>
          <w:color w:val="000000"/>
          <w:sz w:val="24"/>
          <w:szCs w:val="24"/>
          <w:highlight w:val="none"/>
        </w:rPr>
        <w:t>本项目不划分标包</w:t>
      </w:r>
      <w:r>
        <w:rPr>
          <w:rFonts w:hint="eastAsia" w:ascii="仿宋" w:hAnsi="仿宋" w:eastAsia="仿宋" w:cs="宋体"/>
          <w:color w:val="auto"/>
          <w:sz w:val="24"/>
          <w:szCs w:val="24"/>
          <w:highlight w:val="none"/>
          <w:lang w:eastAsia="zh-CN"/>
        </w:rPr>
        <w:t>。</w:t>
      </w:r>
    </w:p>
    <w:p w14:paraId="0A8258AF">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2.5预算金额：</w:t>
      </w:r>
      <w:r>
        <w:rPr>
          <w:rFonts w:hint="eastAsia" w:ascii="仿宋" w:hAnsi="仿宋" w:eastAsia="仿宋" w:cs="宋体"/>
          <w:color w:val="auto"/>
          <w:sz w:val="24"/>
          <w:szCs w:val="24"/>
          <w:highlight w:val="none"/>
          <w:lang w:val="en-US" w:eastAsia="zh-CN"/>
        </w:rPr>
        <w:t>常年</w:t>
      </w:r>
      <w:r>
        <w:rPr>
          <w:rFonts w:hint="eastAsia" w:ascii="仿宋" w:hAnsi="仿宋" w:eastAsia="仿宋" w:cs="宋体"/>
          <w:color w:val="auto"/>
          <w:sz w:val="24"/>
          <w:szCs w:val="24"/>
          <w:highlight w:val="none"/>
        </w:rPr>
        <w:t>法律咨询服务</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96000.00元；诉讼/仲裁/追偿类案件代理服务（预估）：204000.00元</w:t>
      </w:r>
      <w:r>
        <w:rPr>
          <w:rFonts w:hint="eastAsia" w:ascii="仿宋" w:hAnsi="仿宋" w:eastAsia="仿宋" w:cs="宋体"/>
          <w:color w:val="auto"/>
          <w:sz w:val="24"/>
          <w:szCs w:val="24"/>
          <w:highlight w:val="none"/>
        </w:rPr>
        <w:t>。</w:t>
      </w:r>
    </w:p>
    <w:p w14:paraId="773563B6">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2.6服务期限：</w:t>
      </w:r>
      <w:r>
        <w:rPr>
          <w:rFonts w:hint="eastAsia" w:ascii="仿宋" w:hAnsi="仿宋" w:eastAsia="仿宋" w:cs="宋体"/>
          <w:color w:val="auto"/>
          <w:sz w:val="24"/>
          <w:szCs w:val="24"/>
          <w:highlight w:val="none"/>
          <w:lang w:eastAsia="zh-CN"/>
        </w:rPr>
        <w:t>自合同签订之日起3年，合同一年一签</w:t>
      </w:r>
      <w:r>
        <w:rPr>
          <w:rFonts w:hint="eastAsia" w:ascii="仿宋" w:hAnsi="仿宋" w:eastAsia="仿宋" w:cs="宋体"/>
          <w:color w:val="auto"/>
          <w:sz w:val="24"/>
          <w:szCs w:val="24"/>
          <w:highlight w:val="none"/>
        </w:rPr>
        <w:t>。</w:t>
      </w:r>
    </w:p>
    <w:p w14:paraId="0D97C32B">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w:t>
      </w:r>
      <w:r>
        <w:rPr>
          <w:rFonts w:hint="eastAsia" w:ascii="仿宋" w:hAnsi="仿宋" w:eastAsia="仿宋" w:cs="宋体"/>
          <w:color w:val="auto"/>
          <w:sz w:val="24"/>
          <w:szCs w:val="24"/>
          <w:highlight w:val="none"/>
          <w:lang w:val="en-US" w:eastAsia="zh-CN"/>
        </w:rPr>
        <w:t>7</w:t>
      </w:r>
      <w:r>
        <w:rPr>
          <w:rFonts w:hint="eastAsia" w:ascii="仿宋" w:hAnsi="仿宋" w:eastAsia="仿宋" w:cs="宋体"/>
          <w:color w:val="auto"/>
          <w:sz w:val="24"/>
          <w:szCs w:val="24"/>
          <w:highlight w:val="none"/>
        </w:rPr>
        <w:t>服务地点：</w:t>
      </w:r>
      <w:r>
        <w:rPr>
          <w:rFonts w:hint="eastAsia" w:ascii="仿宋" w:hAnsi="仿宋" w:eastAsia="仿宋" w:cs="宋体"/>
          <w:color w:val="auto"/>
          <w:sz w:val="24"/>
          <w:szCs w:val="24"/>
          <w:highlight w:val="none"/>
          <w:lang w:eastAsia="zh-CN"/>
        </w:rPr>
        <w:t>招标人指定地点</w:t>
      </w:r>
      <w:r>
        <w:rPr>
          <w:rFonts w:hint="eastAsia" w:ascii="仿宋" w:hAnsi="仿宋" w:eastAsia="仿宋" w:cs="宋体"/>
          <w:color w:val="auto"/>
          <w:sz w:val="24"/>
          <w:szCs w:val="24"/>
          <w:highlight w:val="none"/>
        </w:rPr>
        <w:t>。</w:t>
      </w:r>
    </w:p>
    <w:p w14:paraId="3F597F6A">
      <w:pPr>
        <w:spacing w:line="360" w:lineRule="auto"/>
        <w:ind w:firstLine="48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2.8多家供应商使用规则：</w:t>
      </w:r>
    </w:p>
    <w:p w14:paraId="56CC4D2D">
      <w:pPr>
        <w:keepNext w:val="0"/>
        <w:keepLines w:val="0"/>
        <w:pageBreakBefore w:val="0"/>
        <w:numPr>
          <w:ilvl w:val="-1"/>
          <w:numId w:val="0"/>
        </w:numPr>
        <w:kinsoku/>
        <w:wordWrap/>
        <w:overflowPunct/>
        <w:topLinePunct w:val="0"/>
        <w:autoSpaceDE/>
        <w:autoSpaceDN/>
        <w:bidi w:val="0"/>
        <w:adjustRightInd/>
        <w:snapToGrid/>
        <w:spacing w:line="360" w:lineRule="auto"/>
        <w:ind w:left="0" w:right="0" w:firstLine="480" w:firstLineChars="0"/>
        <w:jc w:val="left"/>
        <w:textAlignment w:val="baseline"/>
        <w:rPr>
          <w:rFonts w:hint="eastAsia" w:ascii="仿宋" w:hAnsi="仿宋" w:eastAsia="仿宋" w:cs="宋体"/>
          <w:b w:val="0"/>
          <w:color w:val="auto"/>
          <w:sz w:val="24"/>
          <w:szCs w:val="24"/>
          <w:highlight w:val="none"/>
          <w:lang w:val="en-US" w:eastAsia="zh-CN"/>
        </w:rPr>
      </w:pPr>
      <w:r>
        <w:rPr>
          <w:rFonts w:hint="eastAsia" w:ascii="仿宋" w:hAnsi="仿宋" w:eastAsia="仿宋" w:cs="宋体"/>
          <w:b w:val="0"/>
          <w:color w:val="auto"/>
          <w:sz w:val="24"/>
          <w:szCs w:val="24"/>
          <w:highlight w:val="none"/>
          <w:lang w:val="en-US" w:eastAsia="zh-CN"/>
        </w:rPr>
        <w:t>（1）第一中标人负责承接常年法律顾问服务。</w:t>
      </w:r>
    </w:p>
    <w:p w14:paraId="48E4986E">
      <w:pPr>
        <w:spacing w:line="360" w:lineRule="auto"/>
        <w:ind w:firstLine="480"/>
        <w:textAlignment w:val="baseline"/>
        <w:rPr>
          <w:rFonts w:hint="eastAsia" w:ascii="仿宋" w:hAnsi="仿宋" w:eastAsia="仿宋" w:cs="宋体"/>
          <w:color w:val="auto"/>
          <w:spacing w:val="0"/>
          <w:kern w:val="2"/>
          <w:sz w:val="24"/>
          <w:szCs w:val="24"/>
          <w:highlight w:val="none"/>
          <w:lang w:val="en-US" w:eastAsia="zh-CN" w:bidi="ar-SA"/>
        </w:rPr>
      </w:pPr>
      <w:r>
        <w:rPr>
          <w:rFonts w:hint="eastAsia" w:ascii="仿宋" w:hAnsi="仿宋" w:eastAsia="仿宋" w:cs="宋体"/>
          <w:color w:val="auto"/>
          <w:spacing w:val="0"/>
          <w:kern w:val="2"/>
          <w:sz w:val="24"/>
          <w:szCs w:val="24"/>
          <w:highlight w:val="none"/>
          <w:lang w:val="en-US" w:eastAsia="zh-CN" w:bidi="ar-SA"/>
        </w:rPr>
        <w:t>（2）初次分配：初次分配基于供应商在招标过程中的表现。排名首位的供应商将获得60%的案件量，排名第二的供应商获得40%。</w:t>
      </w:r>
    </w:p>
    <w:p w14:paraId="24706D65">
      <w:pPr>
        <w:spacing w:line="360" w:lineRule="auto"/>
        <w:ind w:firstLine="480"/>
        <w:textAlignment w:val="baseline"/>
        <w:rPr>
          <w:rFonts w:hint="eastAsia" w:ascii="仿宋" w:hAnsi="仿宋" w:eastAsia="仿宋" w:cs="宋体"/>
          <w:color w:val="auto"/>
          <w:spacing w:val="0"/>
          <w:kern w:val="2"/>
          <w:sz w:val="24"/>
          <w:szCs w:val="24"/>
          <w:highlight w:val="none"/>
          <w:lang w:val="en-US" w:eastAsia="zh-CN" w:bidi="ar-SA"/>
        </w:rPr>
      </w:pPr>
      <w:r>
        <w:rPr>
          <w:rFonts w:hint="eastAsia" w:ascii="仿宋" w:hAnsi="仿宋" w:eastAsia="仿宋" w:cs="宋体"/>
          <w:color w:val="auto"/>
          <w:spacing w:val="0"/>
          <w:kern w:val="2"/>
          <w:sz w:val="24"/>
          <w:szCs w:val="24"/>
          <w:highlight w:val="none"/>
          <w:lang w:val="en-US" w:eastAsia="zh-CN" w:bidi="ar-SA"/>
        </w:rPr>
        <w:t>（3）作业中调配：从第二季度开始，按照每一季度的评分结果分配，季度评分第一的供应商获得60%的案件量，季度评分第二的供应商获得40%的案件量。</w:t>
      </w:r>
    </w:p>
    <w:p w14:paraId="53C49BAA">
      <w:pPr>
        <w:spacing w:line="360" w:lineRule="auto"/>
        <w:ind w:firstLine="480"/>
        <w:textAlignment w:val="baseline"/>
        <w:rPr>
          <w:rFonts w:hint="eastAsia" w:ascii="仿宋" w:hAnsi="仿宋" w:eastAsia="仿宋" w:cs="宋体"/>
          <w:color w:val="auto"/>
          <w:spacing w:val="0"/>
          <w:kern w:val="2"/>
          <w:sz w:val="24"/>
          <w:szCs w:val="24"/>
          <w:highlight w:val="none"/>
          <w:lang w:val="en-US" w:eastAsia="zh-CN" w:bidi="ar-SA"/>
        </w:rPr>
      </w:pPr>
      <w:r>
        <w:rPr>
          <w:rFonts w:hint="eastAsia" w:ascii="仿宋" w:hAnsi="仿宋" w:eastAsia="仿宋" w:cs="宋体"/>
          <w:color w:val="auto"/>
          <w:spacing w:val="0"/>
          <w:kern w:val="2"/>
          <w:sz w:val="24"/>
          <w:szCs w:val="24"/>
          <w:highlight w:val="none"/>
          <w:lang w:val="en-US" w:eastAsia="zh-CN" w:bidi="ar-SA"/>
        </w:rPr>
        <w:t>（4）严重违约的处理：对于季度评分低于60分的供应商，将暂停分配新的案件，且必须在10天内完成整改，如果整改后仍然无法达到标准，采购人有权终止合作。(整改期间的供应商及终止合作的供应商的案件量由其余供应商承接)</w:t>
      </w:r>
      <w:r>
        <w:rPr>
          <w:rFonts w:hint="eastAsia" w:ascii="仿宋" w:hAnsi="仿宋" w:eastAsia="仿宋" w:cs="宋体"/>
          <w:color w:val="auto"/>
          <w:sz w:val="24"/>
          <w:szCs w:val="24"/>
          <w:highlight w:val="none"/>
          <w:lang w:eastAsia="zh-CN"/>
        </w:rPr>
        <w:t>。</w:t>
      </w:r>
    </w:p>
    <w:p w14:paraId="4D226451">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w:t>
      </w:r>
      <w:r>
        <w:rPr>
          <w:rFonts w:hint="eastAsia" w:ascii="仿宋" w:hAnsi="仿宋" w:eastAsia="仿宋" w:cs="宋体"/>
          <w:color w:val="auto"/>
          <w:sz w:val="24"/>
          <w:szCs w:val="24"/>
          <w:highlight w:val="none"/>
          <w:lang w:val="en-US" w:eastAsia="zh-CN"/>
        </w:rPr>
        <w:t>9质量要求</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符合我国现行法律、法规及行业的相关规定，并满足招标人的有关规定规范及要求</w:t>
      </w:r>
      <w:r>
        <w:rPr>
          <w:rFonts w:hint="eastAsia" w:ascii="仿宋" w:hAnsi="仿宋" w:eastAsia="仿宋" w:cs="宋体"/>
          <w:color w:val="auto"/>
          <w:sz w:val="24"/>
          <w:szCs w:val="24"/>
          <w:highlight w:val="none"/>
        </w:rPr>
        <w:t>。</w:t>
      </w:r>
    </w:p>
    <w:p w14:paraId="0E01D6A4">
      <w:pPr>
        <w:pStyle w:val="5"/>
        <w:rPr>
          <w:rFonts w:ascii="仿宋" w:hAnsi="仿宋" w:cs="宋体"/>
          <w:color w:val="auto"/>
          <w:szCs w:val="24"/>
          <w:highlight w:val="none"/>
        </w:rPr>
      </w:pPr>
      <w:bookmarkStart w:id="14" w:name="_Toc32726"/>
      <w:r>
        <w:rPr>
          <w:rFonts w:hint="eastAsia" w:ascii="仿宋" w:hAnsi="仿宋" w:cs="宋体"/>
          <w:color w:val="auto"/>
          <w:szCs w:val="24"/>
          <w:highlight w:val="none"/>
        </w:rPr>
        <w:t>三、投标人资格要求</w:t>
      </w:r>
      <w:bookmarkEnd w:id="14"/>
    </w:p>
    <w:p w14:paraId="61A6B0A3">
      <w:pPr>
        <w:pStyle w:val="3"/>
        <w:ind w:firstLine="480" w:firstLineChars="200"/>
        <w:rPr>
          <w:rFonts w:hint="eastAsia" w:ascii="宋体" w:hAnsi="宋体"/>
          <w:color w:val="auto"/>
          <w:szCs w:val="21"/>
          <w:highlight w:val="none"/>
        </w:rPr>
      </w:pPr>
      <w:r>
        <w:rPr>
          <w:rFonts w:hint="eastAsia" w:ascii="仿宋" w:hAnsi="仿宋" w:eastAsia="仿宋" w:cs="宋体"/>
          <w:color w:val="auto"/>
          <w:sz w:val="24"/>
          <w:szCs w:val="24"/>
          <w:highlight w:val="none"/>
        </w:rPr>
        <w:t>3.1</w:t>
      </w:r>
      <w:r>
        <w:rPr>
          <w:rFonts w:hint="eastAsia" w:ascii="仿宋" w:hAnsi="仿宋" w:eastAsia="仿宋" w:cs="宋体"/>
          <w:color w:val="auto"/>
          <w:sz w:val="24"/>
          <w:szCs w:val="24"/>
          <w:highlight w:val="none"/>
          <w:lang w:val="en-US" w:eastAsia="zh-CN"/>
        </w:rPr>
        <w:t>投标人须在中华人民共和国境内依法注册，提供司法行政机关颁发的《律师事务所执业许可证》或《律师事务所分所执业许可证》，并通过年检</w:t>
      </w:r>
      <w:r>
        <w:rPr>
          <w:rFonts w:hint="eastAsia" w:ascii="仿宋" w:hAnsi="仿宋" w:eastAsia="仿宋" w:cs="Monaco"/>
          <w:color w:val="auto"/>
          <w:sz w:val="24"/>
          <w:szCs w:val="24"/>
          <w:highlight w:val="none"/>
        </w:rPr>
        <w:t>。</w:t>
      </w:r>
    </w:p>
    <w:p w14:paraId="1C6BD4DB">
      <w:pPr>
        <w:spacing w:line="360" w:lineRule="auto"/>
        <w:ind w:firstLine="480" w:firstLineChars="200"/>
        <w:textAlignment w:val="baseline"/>
        <w:rPr>
          <w:rFonts w:hint="eastAsia"/>
          <w:color w:val="auto"/>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2</w:t>
      </w:r>
      <w:r>
        <w:rPr>
          <w:rFonts w:hint="eastAsia" w:ascii="仿宋" w:hAnsi="仿宋" w:eastAsia="仿宋" w:cs="宋体"/>
          <w:color w:val="auto"/>
          <w:sz w:val="24"/>
          <w:szCs w:val="24"/>
          <w:highlight w:val="none"/>
          <w:lang w:eastAsia="zh-CN"/>
        </w:rPr>
        <w:t>投标人有固定的办公场所、健全的组织机构、完善的内部管理制度：提供投标人固定的办公场所、健全的组织机构、完善的内部管理制度证明材料或书面声明</w:t>
      </w:r>
      <w:r>
        <w:rPr>
          <w:rFonts w:hint="eastAsia" w:ascii="仿宋" w:hAnsi="仿宋" w:eastAsia="仿宋" w:cs="宋体"/>
          <w:color w:val="auto"/>
          <w:sz w:val="24"/>
          <w:szCs w:val="24"/>
          <w:highlight w:val="none"/>
        </w:rPr>
        <w:t>。</w:t>
      </w:r>
    </w:p>
    <w:p w14:paraId="2C109A6A">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3.3</w:t>
      </w:r>
      <w:r>
        <w:rPr>
          <w:rFonts w:hint="eastAsia" w:ascii="仿宋" w:hAnsi="仿宋" w:eastAsia="仿宋" w:cs="宋体"/>
          <w:color w:val="auto"/>
          <w:sz w:val="24"/>
          <w:szCs w:val="24"/>
          <w:highlight w:val="none"/>
          <w:lang w:eastAsia="zh-CN"/>
        </w:rPr>
        <w:t>具有良好的商业信誉和健全的财务会计制度：提供2024年度或2025年度的经第三方审计的财务报告及报表（报表至少应包括资产负债表、利润表、现金流量表），或提供近三个月内基本开户银行出具的资信证明或资金存款证明。</w:t>
      </w:r>
    </w:p>
    <w:p w14:paraId="77464FD9">
      <w:pPr>
        <w:spacing w:line="360" w:lineRule="auto"/>
        <w:ind w:firstLine="480" w:firstLineChars="200"/>
        <w:textAlignment w:val="baseline"/>
        <w:rPr>
          <w:rFonts w:hint="eastAsia"/>
          <w:color w:val="auto"/>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具有履行合同所必需的设备和专业技术能力：提供</w:t>
      </w:r>
      <w:r>
        <w:rPr>
          <w:rFonts w:hint="eastAsia" w:ascii="仿宋" w:hAnsi="仿宋" w:eastAsia="仿宋" w:cs="宋体"/>
          <w:color w:val="auto"/>
          <w:sz w:val="24"/>
          <w:szCs w:val="24"/>
          <w:highlight w:val="none"/>
          <w:lang w:val="en-US" w:eastAsia="zh-CN"/>
        </w:rPr>
        <w:t>投标人</w:t>
      </w:r>
      <w:r>
        <w:rPr>
          <w:rFonts w:hint="eastAsia" w:ascii="仿宋" w:hAnsi="仿宋" w:eastAsia="仿宋" w:cs="宋体"/>
          <w:color w:val="auto"/>
          <w:sz w:val="24"/>
          <w:szCs w:val="24"/>
          <w:highlight w:val="none"/>
        </w:rPr>
        <w:t>履行合同所必需的设备和专业技术能力证明材料或书面声明</w:t>
      </w:r>
      <w:r>
        <w:rPr>
          <w:rFonts w:hint="eastAsia" w:ascii="仿宋" w:hAnsi="仿宋" w:eastAsia="仿宋" w:cs="宋体"/>
          <w:color w:val="auto"/>
          <w:sz w:val="24"/>
          <w:highlight w:val="none"/>
        </w:rPr>
        <w:t>。</w:t>
      </w:r>
    </w:p>
    <w:p w14:paraId="18E0E859">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highlight w:val="none"/>
        </w:rPr>
        <w:t>有依法缴纳税收和社会保障资金的良好记录：</w:t>
      </w:r>
    </w:p>
    <w:p w14:paraId="12A43376">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.5.1</w:t>
      </w:r>
      <w:r>
        <w:rPr>
          <w:rFonts w:hint="eastAsia" w:ascii="仿宋" w:hAnsi="仿宋" w:eastAsia="仿宋" w:cs="宋体"/>
          <w:color w:val="auto"/>
          <w:sz w:val="24"/>
          <w:highlight w:val="none"/>
          <w:lang w:eastAsia="zh-CN"/>
        </w:rPr>
        <w:t>投标人须提供缴税所属时间在2025年01月至本项目投标文件递交截止时间前任意3个月的税务局税收通用缴款书或银行电子缴税（费）凭证或税务局出具纳税情况的相关证明，依法免税的，应提供依法免税的相关证明文件，至投标文件递交截止时间止成立不足1年的投标人可提供相关情况说明</w:t>
      </w:r>
      <w:r>
        <w:rPr>
          <w:rFonts w:hint="eastAsia" w:ascii="仿宋" w:hAnsi="仿宋" w:eastAsia="仿宋" w:cs="宋体"/>
          <w:color w:val="auto"/>
          <w:sz w:val="24"/>
          <w:highlight w:val="none"/>
        </w:rPr>
        <w:t>。</w:t>
      </w:r>
    </w:p>
    <w:p w14:paraId="70869107">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.5.2</w:t>
      </w:r>
      <w:r>
        <w:rPr>
          <w:rFonts w:hint="eastAsia" w:ascii="仿宋" w:hAnsi="仿宋" w:eastAsia="仿宋" w:cs="宋体"/>
          <w:color w:val="auto"/>
          <w:sz w:val="24"/>
          <w:highlight w:val="none"/>
          <w:lang w:eastAsia="zh-CN"/>
        </w:rPr>
        <w:t>投标人须提供缴费所属时间在2025年01月至本项目投标文件递交截止时间前任意3个月的社会保险费缴款书或银行电子缴税（费）凭证或社保管理部门出具的有效的缴款证明，依法免缴的，应提供依法免缴的相关证明文件，至投标文件递交截止时间止成立不足1年的投标人可提供相关情况说明</w:t>
      </w:r>
      <w:r>
        <w:rPr>
          <w:rFonts w:hint="eastAsia" w:ascii="仿宋" w:hAnsi="仿宋" w:eastAsia="仿宋" w:cs="宋体"/>
          <w:color w:val="auto"/>
          <w:sz w:val="24"/>
          <w:szCs w:val="24"/>
          <w:highlight w:val="none"/>
        </w:rPr>
        <w:t>。</w:t>
      </w:r>
    </w:p>
    <w:p w14:paraId="3B210B94">
      <w:pPr>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lang w:eastAsia="zh-CN"/>
        </w:rPr>
        <w:t>参加此项采购活动最近三年没有出现违法违规或失信行为，没有骗取中标和严重违约的行为；投标人在“中国裁判文书网（网址：http：//wenshu.court.gov.cn）”，无行贿犯罪记录。投标人未被列入“信用中国”网站（www.creditchina.gov.cn）失信被执行人、重大税收违法失信主体名单，政府采购严重违法失信行为记录名单及中国政府采购网（www.ccgp.gov.cn）“政府采购严重违法失信行为信息记录”</w:t>
      </w:r>
      <w:r>
        <w:rPr>
          <w:rFonts w:hint="eastAsia" w:ascii="仿宋" w:hAnsi="仿宋" w:eastAsia="仿宋" w:cs="宋体"/>
          <w:color w:val="auto"/>
          <w:sz w:val="24"/>
          <w:szCs w:val="24"/>
          <w:highlight w:val="none"/>
        </w:rPr>
        <w:t>。（查询时间为本项目</w:t>
      </w:r>
      <w:r>
        <w:rPr>
          <w:rFonts w:hint="eastAsia" w:ascii="仿宋" w:hAnsi="仿宋" w:eastAsia="仿宋" w:cs="宋体"/>
          <w:color w:val="auto"/>
          <w:sz w:val="24"/>
          <w:szCs w:val="24"/>
          <w:highlight w:val="none"/>
          <w:lang w:eastAsia="zh-CN"/>
        </w:rPr>
        <w:t>公告发布之日起至投标文件递交截止时间</w:t>
      </w:r>
      <w:r>
        <w:rPr>
          <w:rFonts w:hint="eastAsia" w:ascii="仿宋" w:hAnsi="仿宋" w:eastAsia="仿宋" w:cs="宋体"/>
          <w:color w:val="auto"/>
          <w:sz w:val="24"/>
          <w:szCs w:val="24"/>
          <w:highlight w:val="none"/>
        </w:rPr>
        <w:t>前任意一天，最终查询结果以代理机构查询为准）</w:t>
      </w:r>
      <w:r>
        <w:rPr>
          <w:rFonts w:hint="eastAsia" w:ascii="仿宋" w:hAnsi="仿宋" w:eastAsia="仿宋" w:cs="Monaco"/>
          <w:color w:val="auto"/>
          <w:sz w:val="24"/>
          <w:szCs w:val="24"/>
          <w:highlight w:val="none"/>
        </w:rPr>
        <w:t>。</w:t>
      </w:r>
    </w:p>
    <w:p w14:paraId="0E029B50">
      <w:pPr>
        <w:spacing w:line="360" w:lineRule="auto"/>
        <w:ind w:firstLine="480" w:firstLineChars="200"/>
        <w:textAlignment w:val="baseline"/>
        <w:rPr>
          <w:rFonts w:ascii="仿宋" w:hAnsi="仿宋" w:eastAsia="仿宋" w:cs="宋体"/>
          <w:b/>
          <w:color w:val="auto"/>
          <w:sz w:val="24"/>
          <w:szCs w:val="24"/>
          <w:highlight w:val="none"/>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7</w:t>
      </w:r>
      <w:r>
        <w:rPr>
          <w:rFonts w:hint="eastAsia" w:ascii="仿宋" w:hAnsi="仿宋" w:eastAsia="仿宋" w:cs="宋体"/>
          <w:b/>
          <w:bCs/>
          <w:color w:val="auto"/>
          <w:sz w:val="24"/>
          <w:highlight w:val="none"/>
        </w:rPr>
        <w:t>严禁列入</w:t>
      </w:r>
      <w:r>
        <w:rPr>
          <w:rFonts w:hint="eastAsia" w:ascii="仿宋" w:hAnsi="仿宋" w:eastAsia="仿宋" w:cs="宋体"/>
          <w:b/>
          <w:bCs/>
          <w:color w:val="auto"/>
          <w:sz w:val="24"/>
          <w:highlight w:val="none"/>
          <w:lang w:val="en-US" w:eastAsia="zh-CN"/>
        </w:rPr>
        <w:t>采购</w:t>
      </w:r>
      <w:r>
        <w:rPr>
          <w:rFonts w:hint="eastAsia" w:ascii="仿宋" w:hAnsi="仿宋" w:eastAsia="仿宋" w:cs="宋体"/>
          <w:b/>
          <w:bCs/>
          <w:color w:val="auto"/>
          <w:sz w:val="24"/>
          <w:highlight w:val="none"/>
        </w:rPr>
        <w:t>人及其所隶属的中国人民保险各级机构的供应商黑名单且在禁入期内的供应商参与采购活动。</w:t>
      </w:r>
    </w:p>
    <w:p w14:paraId="2C667EB3">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highlight w:val="none"/>
        </w:rPr>
        <w:t>单位负责人为同一人或存在控股、管理关系的不同单位，不得参加同一标段/</w:t>
      </w:r>
      <w:r>
        <w:rPr>
          <w:rFonts w:hint="eastAsia" w:ascii="仿宋" w:hAnsi="仿宋" w:eastAsia="仿宋" w:cs="宋体"/>
          <w:color w:val="auto"/>
          <w:sz w:val="24"/>
          <w:highlight w:val="none"/>
          <w:lang w:eastAsia="zh-CN"/>
        </w:rPr>
        <w:t>标包投标或未划分标段/标包的同一采购项目的投标</w:t>
      </w:r>
      <w:r>
        <w:rPr>
          <w:rFonts w:hint="eastAsia" w:ascii="仿宋" w:hAnsi="仿宋" w:eastAsia="仿宋" w:cs="宋体"/>
          <w:color w:val="auto"/>
          <w:sz w:val="24"/>
          <w:highlight w:val="none"/>
        </w:rPr>
        <w:t>，需填写《投标人控股及管理关系情况申报表》</w:t>
      </w:r>
      <w:r>
        <w:rPr>
          <w:rFonts w:hint="eastAsia" w:ascii="仿宋" w:hAnsi="仿宋" w:eastAsia="仿宋" w:cs="宋体"/>
          <w:color w:val="auto"/>
          <w:sz w:val="24"/>
          <w:highlight w:val="none"/>
          <w:lang w:eastAsia="zh-CN"/>
        </w:rPr>
        <w:t>；如公司内部干部、员工与</w:t>
      </w:r>
      <w:r>
        <w:rPr>
          <w:rFonts w:hint="eastAsia" w:ascii="仿宋" w:hAnsi="仿宋" w:eastAsia="仿宋" w:cs="宋体"/>
          <w:color w:val="auto"/>
          <w:sz w:val="24"/>
          <w:highlight w:val="none"/>
          <w:lang w:val="en-US" w:eastAsia="zh-CN"/>
        </w:rPr>
        <w:t>投标人</w:t>
      </w:r>
      <w:r>
        <w:rPr>
          <w:rFonts w:hint="eastAsia" w:ascii="仿宋" w:hAnsi="仿宋" w:eastAsia="仿宋" w:cs="宋体"/>
          <w:color w:val="auto"/>
          <w:sz w:val="24"/>
          <w:highlight w:val="none"/>
          <w:lang w:eastAsia="zh-CN"/>
        </w:rPr>
        <w:t>存在关联关系需参照总公司下发的《中国人民保险集团干部、员工关系企业与公司交易管理实施办法》中采购相关规定的通知要求执行</w:t>
      </w:r>
      <w:r>
        <w:rPr>
          <w:rFonts w:hint="eastAsia" w:ascii="仿宋" w:hAnsi="仿宋" w:eastAsia="仿宋" w:cs="Monaco"/>
          <w:color w:val="auto"/>
          <w:sz w:val="24"/>
          <w:szCs w:val="24"/>
          <w:highlight w:val="none"/>
        </w:rPr>
        <w:t>。</w:t>
      </w:r>
    </w:p>
    <w:p w14:paraId="73519FF0">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3.</w:t>
      </w:r>
      <w:r>
        <w:rPr>
          <w:rFonts w:hint="eastAsia" w:ascii="仿宋" w:hAnsi="仿宋" w:eastAsia="仿宋" w:cs="宋体"/>
          <w:color w:val="auto"/>
          <w:sz w:val="24"/>
          <w:highlight w:val="none"/>
          <w:lang w:val="en-US" w:eastAsia="zh-CN"/>
        </w:rPr>
        <w:t>9</w:t>
      </w:r>
      <w:r>
        <w:rPr>
          <w:rFonts w:hint="eastAsia" w:ascii="仿宋" w:hAnsi="仿宋" w:eastAsia="仿宋" w:cs="宋体"/>
          <w:color w:val="auto"/>
          <w:sz w:val="24"/>
          <w:highlight w:val="none"/>
        </w:rPr>
        <w:t>本项目不接受联合体</w:t>
      </w:r>
      <w:r>
        <w:rPr>
          <w:rFonts w:hint="eastAsia" w:ascii="仿宋" w:hAnsi="仿宋" w:eastAsia="仿宋" w:cs="宋体"/>
          <w:color w:val="auto"/>
          <w:sz w:val="24"/>
          <w:highlight w:val="none"/>
          <w:lang w:val="en-US" w:eastAsia="zh-CN"/>
        </w:rPr>
        <w:t>投标</w:t>
      </w:r>
      <w:r>
        <w:rPr>
          <w:rFonts w:hint="eastAsia" w:ascii="仿宋" w:hAnsi="仿宋" w:eastAsia="仿宋" w:cs="宋体"/>
          <w:color w:val="auto"/>
          <w:sz w:val="24"/>
          <w:highlight w:val="none"/>
        </w:rPr>
        <w:t>；不得分包、转包</w:t>
      </w:r>
      <w:r>
        <w:rPr>
          <w:rFonts w:hint="eastAsia" w:ascii="仿宋" w:hAnsi="仿宋" w:eastAsia="仿宋" w:cs="宋体"/>
          <w:color w:val="auto"/>
          <w:sz w:val="24"/>
          <w:highlight w:val="none"/>
          <w:lang w:eastAsia="zh-CN"/>
        </w:rPr>
        <w:t>。</w:t>
      </w:r>
    </w:p>
    <w:p w14:paraId="3CBAD39D">
      <w:pPr>
        <w:pStyle w:val="5"/>
        <w:rPr>
          <w:rFonts w:hint="eastAsia" w:ascii="仿宋" w:hAnsi="仿宋" w:cs="宋体"/>
          <w:color w:val="auto"/>
          <w:highlight w:val="none"/>
        </w:rPr>
      </w:pPr>
      <w:bookmarkStart w:id="15" w:name="_Toc28674"/>
      <w:r>
        <w:rPr>
          <w:rFonts w:hint="eastAsia" w:ascii="仿宋" w:hAnsi="仿宋" w:cs="宋体"/>
          <w:color w:val="auto"/>
          <w:highlight w:val="none"/>
        </w:rPr>
        <w:t>四、资格审查方法</w:t>
      </w:r>
      <w:bookmarkEnd w:id="15"/>
    </w:p>
    <w:p w14:paraId="2234F990">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本项目将进行资格后审，资格审查方法为合格制，资格审查标准和内容见招标文件第三章“评标办法”。未通过资格后审的投标人，投标将被否决。</w:t>
      </w:r>
    </w:p>
    <w:p w14:paraId="58A8D4BD">
      <w:pPr>
        <w:pStyle w:val="5"/>
        <w:rPr>
          <w:rFonts w:hint="eastAsia" w:ascii="仿宋" w:hAnsi="仿宋" w:cs="宋体"/>
          <w:color w:val="auto"/>
          <w:szCs w:val="24"/>
          <w:highlight w:val="none"/>
        </w:rPr>
      </w:pPr>
      <w:bookmarkStart w:id="16" w:name="_Toc8803"/>
      <w:r>
        <w:rPr>
          <w:rFonts w:hint="eastAsia" w:ascii="仿宋" w:hAnsi="仿宋" w:cs="宋体"/>
          <w:color w:val="auto"/>
          <w:szCs w:val="24"/>
          <w:highlight w:val="none"/>
        </w:rPr>
        <w:t>五、招标文件的获取</w:t>
      </w:r>
      <w:bookmarkEnd w:id="16"/>
    </w:p>
    <w:p w14:paraId="267BE0DB">
      <w:pPr>
        <w:ind w:firstLine="480"/>
        <w:textAlignment w:val="baseline"/>
        <w:rPr>
          <w:rFonts w:hint="eastAsia" w:ascii="仿宋" w:hAnsi="仿宋" w:eastAsia="仿宋" w:cs="宋体"/>
          <w:b/>
          <w:bCs/>
          <w:color w:val="auto"/>
          <w:sz w:val="24"/>
          <w:szCs w:val="24"/>
          <w:highlight w:val="none"/>
          <w:lang w:val="en-US" w:eastAsia="zh-CN"/>
        </w:rPr>
      </w:pPr>
      <w:r>
        <w:rPr>
          <w:rFonts w:hint="eastAsia" w:ascii="仿宋" w:hAnsi="仿宋" w:eastAsia="仿宋" w:cs="宋体"/>
          <w:b/>
          <w:bCs/>
          <w:color w:val="auto"/>
          <w:sz w:val="24"/>
          <w:szCs w:val="24"/>
          <w:highlight w:val="none"/>
          <w:lang w:val="en-US" w:eastAsia="zh-CN"/>
        </w:rPr>
        <w:t>5.1拟报名参加本项目的供应商，须先登录“人保e采”外网门户（https://ec.picc.com/）申请注册入库。“人保e采”管理系统供应商注册入库详情可在登录“人保e采”外网门户后查阅《“人保e采”管理系统供应商入库操作指南》。（注：此网站仅需注册无需报名）</w:t>
      </w:r>
    </w:p>
    <w:p w14:paraId="475A9D79">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本项目通过云采招阳电子招采交易平台（网址：https://www.ebidcn.com，以下简称云采招阳）进行全流程电子化招投标，有意参加并符合条件的投标人，需于202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09</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21</w:t>
      </w:r>
      <w:r>
        <w:rPr>
          <w:rFonts w:hint="eastAsia" w:ascii="仿宋" w:hAnsi="仿宋" w:eastAsia="仿宋" w:cs="宋体"/>
          <w:color w:val="auto"/>
          <w:sz w:val="24"/>
          <w:szCs w:val="24"/>
          <w:highlight w:val="none"/>
        </w:rPr>
        <w:t>日09时00分至202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09</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28</w:t>
      </w:r>
      <w:r>
        <w:rPr>
          <w:rFonts w:hint="eastAsia" w:ascii="仿宋" w:hAnsi="仿宋" w:eastAsia="仿宋" w:cs="宋体"/>
          <w:color w:val="auto"/>
          <w:sz w:val="24"/>
          <w:szCs w:val="24"/>
          <w:highlight w:val="none"/>
        </w:rPr>
        <w:t>日17时00分（北京时间）前登录平台针对本项目报名。</w:t>
      </w:r>
    </w:p>
    <w:p w14:paraId="7C36C0A7">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3</w:t>
      </w:r>
      <w:r>
        <w:rPr>
          <w:rFonts w:hint="eastAsia" w:ascii="仿宋" w:hAnsi="仿宋" w:eastAsia="仿宋" w:cs="宋体"/>
          <w:color w:val="auto"/>
          <w:sz w:val="24"/>
          <w:szCs w:val="24"/>
          <w:highlight w:val="none"/>
        </w:rPr>
        <w:t>符合条件的投标人按照以下步骤进行在线报名：①尚未注册成为平台用户的，需在平台官网进行免费注册并提交企业认证。②企业认证通过后进入用户后台选择“在线报名-项目列表”菜单，于项目列表中查询到目标项目即可进行在线报名。</w:t>
      </w:r>
    </w:p>
    <w:p w14:paraId="63E1CD1F">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确认报名后进入项目跟踪详情，此时缴费信息如未发布请耐心等待，如已发布即可根据页面显示的费用进行支付。</w:t>
      </w:r>
    </w:p>
    <w:p w14:paraId="4ED89C1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缴费完成后，可在当前页面费用表内分别申请平台服务费和文件费开票，文件费开票形式为电子票，请在申请开票窗口内选择合适的领取方式。</w:t>
      </w:r>
    </w:p>
    <w:p w14:paraId="27483B6B">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费用缴纳完成后，可进入下一环节【招标文件下载】，如招标文件下载列表内已有待下载文件，即可点击下载，如下载页暂无待下载文件，请耐心等待或咨询代理机构项目负责人。</w:t>
      </w:r>
    </w:p>
    <w:p w14:paraId="5CED2A2B">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招标文件费用在平台报名资料审核通过后，采用在线支付方式进行缴纳。</w:t>
      </w:r>
    </w:p>
    <w:p w14:paraId="49FA4A47">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招标文件售价人民币</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00.00元，售后不退。投标人须按上述方式、流程办理完成后才算有效报名，否则视为其投标无效。</w:t>
      </w:r>
    </w:p>
    <w:p w14:paraId="3A857362">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7</w:t>
      </w:r>
      <w:r>
        <w:rPr>
          <w:rFonts w:hint="eastAsia" w:ascii="仿宋" w:hAnsi="仿宋" w:eastAsia="仿宋" w:cs="宋体"/>
          <w:color w:val="auto"/>
          <w:sz w:val="24"/>
          <w:szCs w:val="24"/>
          <w:highlight w:val="none"/>
        </w:rPr>
        <w:t>全流程电子投标需用到有效期足够至本项目开标日期的CFCA（云采招阳办理）、或云南CA(云南省各公共资源交易中心办理)进行软件版投标文件的电子签章和加解密。</w:t>
      </w:r>
    </w:p>
    <w:p w14:paraId="1118FA3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如您已有上述任何一种CA则无需再办理CA。如没有上述任何一种CA，可在用户后台按以下流程在线申办CFCA：</w:t>
      </w:r>
    </w:p>
    <w:p w14:paraId="2D9151BE">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①于用户后台左侧导航菜单点击“CA申办和投标订单→CA在线申办”，进入右侧页面点击【自助申办】按钮→选择【新办CA锁】，下载办理资料模板后，点击窗口下方的【下一步】按钮。</w:t>
      </w:r>
    </w:p>
    <w:p w14:paraId="03367FD0">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备注：如您已在云采招阳办理过包年CA，但即将到期或已过期，可在自助申办窗口内选择【CA锁续期】，根据页面提示进行后续办理。</w:t>
      </w:r>
    </w:p>
    <w:p w14:paraId="6387C171">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②确认订单信息无误后，点击窗口下方的【确认付款】按钮，用支付宝或微信扫码完成支付。</w:t>
      </w:r>
    </w:p>
    <w:p w14:paraId="3902F0A2">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③CA费用支付成功后将进入下一步办理资料上传页面，如实填写、上传资料后提交至平台客服端审核，客服审核通过后将进行后续CA锁的制作和寄送工作。</w:t>
      </w:r>
    </w:p>
    <w:p w14:paraId="6FA7C472">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szCs w:val="24"/>
          <w:highlight w:val="none"/>
        </w:rPr>
        <w:t>相关投标流程指南请详见平台网站【帮助中心】页面的“投标人端常见问题”和“短视频教程”。CA办理及平台操作问题咨询平台客服（客服电话详见平台各操作界面右上角），投标项目业务问题请咨询代理机构项目负责人。</w:t>
      </w:r>
    </w:p>
    <w:p w14:paraId="1FC7C7BA">
      <w:pPr>
        <w:pStyle w:val="5"/>
        <w:rPr>
          <w:rFonts w:hint="eastAsia" w:ascii="仿宋" w:hAnsi="仿宋" w:cs="宋体"/>
          <w:color w:val="auto"/>
          <w:highlight w:val="none"/>
        </w:rPr>
      </w:pPr>
      <w:bookmarkStart w:id="17" w:name="_Toc9472"/>
      <w:r>
        <w:rPr>
          <w:rFonts w:hint="eastAsia" w:ascii="仿宋" w:hAnsi="仿宋" w:cs="宋体"/>
          <w:color w:val="auto"/>
          <w:highlight w:val="none"/>
        </w:rPr>
        <w:t>六、投标文件的递交</w:t>
      </w:r>
      <w:bookmarkEnd w:id="17"/>
    </w:p>
    <w:p w14:paraId="0FB510C2">
      <w:pPr>
        <w:spacing w:line="360" w:lineRule="auto"/>
        <w:ind w:left="0" w:leftChars="0"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6.1在线开标，网上递交投标文件的截止时间（投标截止时间，下同）：2026年10月12日10时00分（北京时间）。</w:t>
      </w:r>
    </w:p>
    <w:p w14:paraId="21E201C4">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6.2递交方式：上传加密版投标文件TBWJ。</w:t>
      </w:r>
    </w:p>
    <w:p w14:paraId="283AB0F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b w:val="0"/>
          <w:color w:val="auto"/>
          <w:kern w:val="2"/>
          <w:sz w:val="24"/>
          <w:szCs w:val="24"/>
          <w:highlight w:val="none"/>
          <w:lang w:val="en-US" w:eastAsia="zh-CN" w:bidi="ar-SA"/>
        </w:rPr>
        <w:t>投标人须在投标文件递交截止时间前，通过云采招阳完成加密版电子投标文件的上传，本项目解密时间为1小时，截止时间前未完成投标文件上传或开标时因投标人原因造成投标文件未按时解密的，视为撤回投标文件。</w:t>
      </w:r>
    </w:p>
    <w:p w14:paraId="34A0CE71">
      <w:pPr>
        <w:pStyle w:val="5"/>
        <w:rPr>
          <w:rFonts w:hint="eastAsia" w:ascii="仿宋" w:hAnsi="仿宋" w:cs="宋体"/>
          <w:color w:val="auto"/>
          <w:highlight w:val="none"/>
        </w:rPr>
      </w:pPr>
      <w:bookmarkStart w:id="18" w:name="_Toc10399"/>
      <w:r>
        <w:rPr>
          <w:rFonts w:hint="eastAsia" w:ascii="仿宋" w:hAnsi="仿宋" w:cs="宋体"/>
          <w:color w:val="auto"/>
          <w:highlight w:val="none"/>
          <w:lang w:val="en-US" w:eastAsia="zh-CN"/>
        </w:rPr>
        <w:t>七</w:t>
      </w:r>
      <w:r>
        <w:rPr>
          <w:rFonts w:hint="eastAsia" w:ascii="仿宋" w:hAnsi="仿宋" w:cs="宋体"/>
          <w:color w:val="auto"/>
          <w:highlight w:val="none"/>
        </w:rPr>
        <w:t>、发布公告的媒介</w:t>
      </w:r>
      <w:bookmarkEnd w:id="18"/>
    </w:p>
    <w:p w14:paraId="78AA50A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本项目招标公告同时在</w:t>
      </w:r>
      <w:r>
        <w:rPr>
          <w:rFonts w:hint="eastAsia" w:ascii="仿宋" w:hAnsi="仿宋" w:eastAsia="仿宋" w:cs="宋体"/>
          <w:color w:val="auto"/>
          <w:sz w:val="24"/>
          <w:szCs w:val="24"/>
          <w:highlight w:val="none"/>
          <w:u w:val="single"/>
        </w:rPr>
        <w:t>云采招阳电子招采交易平台（https://www.ebidcn.com</w:t>
      </w:r>
      <w:r>
        <w:rPr>
          <w:rFonts w:hint="eastAsia" w:ascii="仿宋" w:hAnsi="仿宋" w:eastAsia="仿宋" w:cs="宋体"/>
          <w:color w:val="auto"/>
          <w:sz w:val="24"/>
          <w:highlight w:val="none"/>
          <w:u w:val="single"/>
        </w:rPr>
        <w:t>）</w:t>
      </w:r>
      <w:r>
        <w:rPr>
          <w:rFonts w:hint="eastAsia" w:ascii="仿宋" w:hAnsi="仿宋" w:eastAsia="仿宋" w:cs="宋体"/>
          <w:color w:val="auto"/>
          <w:sz w:val="24"/>
          <w:szCs w:val="24"/>
          <w:highlight w:val="none"/>
          <w:u w:val="single"/>
          <w:lang w:eastAsia="zh-CN"/>
        </w:rPr>
        <w:t>、</w:t>
      </w:r>
      <w:r>
        <w:rPr>
          <w:rFonts w:hint="eastAsia" w:ascii="仿宋" w:hAnsi="仿宋" w:eastAsia="仿宋" w:cs="宋体"/>
          <w:color w:val="auto"/>
          <w:sz w:val="24"/>
          <w:highlight w:val="none"/>
          <w:u w:val="single"/>
        </w:rPr>
        <w:t>“人保e采”外网门户（https://ec.picc.com/）、</w:t>
      </w:r>
      <w:bookmarkStart w:id="20" w:name="_GoBack"/>
      <w:bookmarkEnd w:id="20"/>
      <w:r>
        <w:rPr>
          <w:rFonts w:hint="eastAsia" w:ascii="仿宋" w:hAnsi="仿宋" w:eastAsia="仿宋" w:cs="宋体"/>
          <w:color w:val="auto"/>
          <w:sz w:val="24"/>
          <w:highlight w:val="none"/>
          <w:u w:val="single"/>
        </w:rPr>
        <w:t>中国招标投标公共服务平台（http://www.cebpubservice.com）、元博网采购与招标网（http://www.chinabidding.cn）、云南冠睿咨询有限公司网站（http://www.yngrzx.com/）</w:t>
      </w:r>
      <w:r>
        <w:rPr>
          <w:rFonts w:hint="eastAsia" w:ascii="仿宋" w:hAnsi="仿宋" w:eastAsia="仿宋" w:cs="宋体"/>
          <w:color w:val="auto"/>
          <w:sz w:val="24"/>
          <w:szCs w:val="24"/>
          <w:highlight w:val="none"/>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4C6A5F03">
      <w:pPr>
        <w:pStyle w:val="5"/>
        <w:rPr>
          <w:rFonts w:hint="eastAsia" w:ascii="仿宋" w:hAnsi="仿宋" w:cs="宋体"/>
          <w:color w:val="auto"/>
          <w:highlight w:val="none"/>
        </w:rPr>
      </w:pPr>
      <w:bookmarkStart w:id="19" w:name="_Toc12627"/>
      <w:r>
        <w:rPr>
          <w:rFonts w:hint="eastAsia" w:ascii="仿宋" w:hAnsi="仿宋" w:cs="宋体"/>
          <w:color w:val="auto"/>
          <w:highlight w:val="none"/>
          <w:lang w:val="en-US" w:eastAsia="zh-CN"/>
        </w:rPr>
        <w:t>八</w:t>
      </w:r>
      <w:r>
        <w:rPr>
          <w:rFonts w:hint="eastAsia" w:ascii="仿宋" w:hAnsi="仿宋" w:cs="宋体"/>
          <w:color w:val="auto"/>
          <w:highlight w:val="none"/>
        </w:rPr>
        <w:t>、联系方式</w:t>
      </w:r>
      <w:bookmarkEnd w:id="19"/>
    </w:p>
    <w:p w14:paraId="36E1DF93">
      <w:pPr>
        <w:spacing w:line="360" w:lineRule="auto"/>
        <w:ind w:firstLine="482" w:firstLineChars="200"/>
        <w:textAlignment w:val="baseline"/>
        <w:rPr>
          <w:rFonts w:hint="eastAsia" w:ascii="仿宋" w:hAnsi="仿宋" w:eastAsia="仿宋" w:cs="宋体"/>
          <w:b/>
          <w:color w:val="auto"/>
          <w:sz w:val="24"/>
          <w:szCs w:val="24"/>
          <w:highlight w:val="none"/>
          <w:lang w:eastAsia="zh-CN"/>
        </w:rPr>
      </w:pPr>
      <w:r>
        <w:rPr>
          <w:rFonts w:hint="eastAsia" w:ascii="仿宋" w:hAnsi="仿宋" w:eastAsia="仿宋" w:cs="宋体"/>
          <w:b/>
          <w:color w:val="auto"/>
          <w:sz w:val="24"/>
          <w:szCs w:val="24"/>
          <w:highlight w:val="none"/>
        </w:rPr>
        <w:t>招标人：</w:t>
      </w:r>
      <w:r>
        <w:rPr>
          <w:rFonts w:hint="eastAsia" w:ascii="仿宋" w:hAnsi="仿宋" w:eastAsia="仿宋" w:cs="宋体"/>
          <w:b/>
          <w:color w:val="auto"/>
          <w:sz w:val="24"/>
          <w:szCs w:val="24"/>
          <w:highlight w:val="none"/>
          <w:lang w:eastAsia="zh-CN"/>
        </w:rPr>
        <w:t>中国人民财产保险股份有限公司德宏州分公司</w:t>
      </w:r>
    </w:p>
    <w:p w14:paraId="5B5B81C5">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地址：</w:t>
      </w:r>
      <w:r>
        <w:rPr>
          <w:rFonts w:hint="eastAsia" w:ascii="仿宋" w:hAnsi="仿宋" w:eastAsia="仿宋" w:cs="宋体"/>
          <w:color w:val="auto"/>
          <w:sz w:val="24"/>
          <w:szCs w:val="24"/>
          <w:highlight w:val="none"/>
          <w:lang w:eastAsia="zh-CN"/>
        </w:rPr>
        <w:t>云南省德宏州芒市为民小区人保路</w:t>
      </w:r>
    </w:p>
    <w:p w14:paraId="0DCC24EE">
      <w:pPr>
        <w:spacing w:line="360" w:lineRule="auto"/>
        <w:ind w:firstLine="482" w:firstLineChars="200"/>
        <w:textAlignment w:val="baseline"/>
        <w:rPr>
          <w:rFonts w:hint="eastAsia" w:ascii="仿宋" w:hAnsi="仿宋" w:eastAsia="仿宋" w:cs="宋体"/>
          <w:b/>
          <w:color w:val="auto"/>
          <w:sz w:val="24"/>
          <w:szCs w:val="24"/>
          <w:highlight w:val="none"/>
          <w:lang w:eastAsia="zh-CN"/>
        </w:rPr>
      </w:pPr>
      <w:r>
        <w:rPr>
          <w:rFonts w:hint="eastAsia" w:ascii="仿宋" w:hAnsi="仿宋" w:eastAsia="仿宋" w:cs="宋体"/>
          <w:b/>
          <w:color w:val="auto"/>
          <w:sz w:val="24"/>
          <w:szCs w:val="24"/>
          <w:highlight w:val="none"/>
        </w:rPr>
        <w:t>招标代理机构：</w:t>
      </w:r>
      <w:r>
        <w:rPr>
          <w:rFonts w:hint="eastAsia" w:ascii="仿宋" w:hAnsi="仿宋" w:eastAsia="仿宋" w:cs="宋体"/>
          <w:b/>
          <w:color w:val="auto"/>
          <w:sz w:val="24"/>
          <w:szCs w:val="24"/>
          <w:highlight w:val="none"/>
          <w:lang w:eastAsia="zh-CN"/>
        </w:rPr>
        <w:t>云南冠睿咨询有限公司</w:t>
      </w:r>
    </w:p>
    <w:p w14:paraId="67EC70A6">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地址：云南省昆明市西山区万达广场南塔32层3201号</w:t>
      </w:r>
    </w:p>
    <w:p w14:paraId="12F89BDA">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联系人：刘晓云、吴翊、杨益鑫、张振荣、祝欣、陈沿锦、汪怡含、蒋兴杰、丁传觐、王国玺、李腾芳、王彦飞、邓楚卿、肖枝莲</w:t>
      </w:r>
    </w:p>
    <w:p w14:paraId="328BE88E">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电话：0871-65511241</w:t>
      </w:r>
    </w:p>
    <w:p w14:paraId="09F6BB9A">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电子邮件：</w:t>
      </w:r>
      <w:r>
        <w:rPr>
          <w:rFonts w:hint="eastAsia" w:ascii="仿宋" w:hAnsi="仿宋" w:eastAsia="仿宋" w:cs="宋体"/>
          <w:color w:val="auto"/>
          <w:sz w:val="24"/>
          <w:szCs w:val="24"/>
          <w:highlight w:val="none"/>
          <w:lang w:eastAsia="zh-CN"/>
        </w:rPr>
        <w:t>yngrzx01@126.com</w:t>
      </w:r>
    </w:p>
    <w:p w14:paraId="2B0961A3">
      <w:pPr>
        <w:spacing w:line="360" w:lineRule="auto"/>
        <w:ind w:firstLine="480" w:firstLineChars="200"/>
        <w:textAlignment w:val="baseline"/>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开户银行：中国民生银行股份有限公司昆明拓东路支行</w:t>
      </w:r>
    </w:p>
    <w:p w14:paraId="7F757D49">
      <w:pPr>
        <w:spacing w:line="360" w:lineRule="auto"/>
        <w:ind w:firstLine="480" w:firstLineChars="200"/>
        <w:textAlignment w:val="baseline"/>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账号</w:t>
      </w:r>
      <w:r>
        <w:rPr>
          <w:rFonts w:hint="eastAsia" w:ascii="仿宋" w:hAnsi="仿宋" w:eastAsia="仿宋" w:cs="宋体"/>
          <w:bCs/>
          <w:color w:val="auto"/>
          <w:sz w:val="24"/>
          <w:szCs w:val="24"/>
          <w:highlight w:val="none"/>
          <w:lang w:eastAsia="zh-CN"/>
        </w:rPr>
        <w:t>：636611192</w:t>
      </w:r>
    </w:p>
    <w:p w14:paraId="4247D5B1">
      <w:pPr>
        <w:spacing w:line="360" w:lineRule="auto"/>
        <w:ind w:firstLine="420"/>
        <w:rPr>
          <w:rFonts w:ascii="仿宋" w:hAnsi="仿宋" w:eastAsia="仿宋" w:cs="宋体"/>
          <w:color w:val="auto"/>
          <w:sz w:val="24"/>
          <w:szCs w:val="24"/>
          <w:highlight w:val="none"/>
        </w:rPr>
      </w:pPr>
    </w:p>
    <w:p w14:paraId="1718C376">
      <w:pPr>
        <w:spacing w:line="360" w:lineRule="auto"/>
        <w:ind w:firstLine="480" w:firstLineChars="200"/>
        <w:jc w:val="right"/>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招标人：</w:t>
      </w:r>
      <w:r>
        <w:rPr>
          <w:rFonts w:hint="eastAsia" w:ascii="仿宋" w:hAnsi="仿宋" w:eastAsia="仿宋" w:cs="宋体"/>
          <w:color w:val="auto"/>
          <w:sz w:val="24"/>
          <w:szCs w:val="24"/>
          <w:highlight w:val="none"/>
          <w:lang w:eastAsia="zh-CN"/>
        </w:rPr>
        <w:t>中国人民财产保险股份有限公司德宏州分公司</w:t>
      </w:r>
    </w:p>
    <w:p w14:paraId="5DDA465F">
      <w:pPr>
        <w:spacing w:line="360" w:lineRule="auto"/>
        <w:ind w:firstLine="480" w:firstLineChars="200"/>
        <w:jc w:val="right"/>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招标代理机构：</w:t>
      </w:r>
      <w:r>
        <w:rPr>
          <w:rFonts w:hint="eastAsia" w:ascii="仿宋" w:hAnsi="仿宋" w:eastAsia="仿宋" w:cs="宋体"/>
          <w:color w:val="auto"/>
          <w:sz w:val="24"/>
          <w:szCs w:val="24"/>
          <w:highlight w:val="none"/>
          <w:lang w:eastAsia="zh-CN"/>
        </w:rPr>
        <w:t>云南冠睿咨询有限公司</w:t>
      </w:r>
    </w:p>
    <w:bookmarkEnd w:id="6"/>
    <w:bookmarkEnd w:id="7"/>
    <w:bookmarkEnd w:id="8"/>
    <w:bookmarkEnd w:id="9"/>
    <w:bookmarkEnd w:id="10"/>
    <w:bookmarkEnd w:id="11"/>
    <w:bookmarkEnd w:id="12"/>
    <w:p w14:paraId="49251ECB">
      <w:pPr>
        <w:spacing w:line="360" w:lineRule="auto"/>
        <w:ind w:firstLine="480" w:firstLineChars="200"/>
        <w:jc w:val="right"/>
        <w:textAlignment w:val="baseline"/>
      </w:pPr>
      <w:r>
        <w:rPr>
          <w:rFonts w:hint="eastAsia" w:ascii="仿宋" w:hAnsi="仿宋" w:eastAsia="仿宋" w:cs="宋体"/>
          <w:color w:val="auto"/>
          <w:sz w:val="24"/>
          <w:szCs w:val="24"/>
          <w:highlight w:val="none"/>
          <w:lang w:eastAsia="zh-CN"/>
        </w:rPr>
        <w:t>202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lang w:eastAsia="zh-CN"/>
        </w:rPr>
        <w:t>年</w:t>
      </w:r>
      <w:r>
        <w:rPr>
          <w:rFonts w:hint="eastAsia" w:ascii="仿宋" w:hAnsi="仿宋" w:eastAsia="仿宋" w:cs="宋体"/>
          <w:color w:val="auto"/>
          <w:sz w:val="24"/>
          <w:szCs w:val="24"/>
          <w:highlight w:val="none"/>
          <w:lang w:val="en-US" w:eastAsia="zh-CN"/>
        </w:rPr>
        <w:t>09</w:t>
      </w:r>
      <w:r>
        <w:rPr>
          <w:rFonts w:hint="eastAsia" w:ascii="仿宋" w:hAnsi="仿宋" w:eastAsia="仿宋" w:cs="宋体"/>
          <w:color w:val="auto"/>
          <w:sz w:val="24"/>
          <w:szCs w:val="24"/>
          <w:highlight w:val="none"/>
          <w:lang w:eastAsia="zh-CN"/>
        </w:rPr>
        <w:t>月</w:t>
      </w:r>
      <w:r>
        <w:rPr>
          <w:rFonts w:hint="eastAsia" w:ascii="仿宋" w:hAnsi="仿宋" w:eastAsia="仿宋" w:cs="宋体"/>
          <w:color w:val="auto"/>
          <w:sz w:val="24"/>
          <w:szCs w:val="24"/>
          <w:highlight w:val="none"/>
          <w:lang w:val="en-US" w:eastAsia="zh-CN"/>
        </w:rPr>
        <w:t>20</w:t>
      </w:r>
      <w:r>
        <w:rPr>
          <w:rFonts w:hint="eastAsia" w:ascii="仿宋" w:hAnsi="仿宋" w:eastAsia="仿宋" w:cs="宋体"/>
          <w:color w:val="auto"/>
          <w:sz w:val="24"/>
          <w:szCs w:val="24"/>
          <w:highlight w:val="none"/>
          <w:lang w:eastAsia="zh-CN"/>
        </w:rPr>
        <w:t>日</w:t>
      </w:r>
    </w:p>
    <w:sectPr>
      <w:pgSz w:w="11906" w:h="16838"/>
      <w:pgMar w:top="1440" w:right="1587" w:bottom="1440"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aco">
    <w:altName w:val="Courier New"/>
    <w:panose1 w:val="00000000000000000000"/>
    <w:charset w:val="00"/>
    <w:family w:val="modern"/>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387151"/>
    <w:rsid w:val="06236925"/>
    <w:rsid w:val="0D387151"/>
    <w:rsid w:val="158305BB"/>
    <w:rsid w:val="165E0ED3"/>
    <w:rsid w:val="1B30326C"/>
    <w:rsid w:val="2BEF2623"/>
    <w:rsid w:val="34714A4F"/>
    <w:rsid w:val="37DC26F6"/>
    <w:rsid w:val="43A53FA5"/>
    <w:rsid w:val="47DF2FC3"/>
    <w:rsid w:val="484655EC"/>
    <w:rsid w:val="48D00BBF"/>
    <w:rsid w:val="5D3E52E5"/>
    <w:rsid w:val="642A7F2A"/>
    <w:rsid w:val="71737A2F"/>
    <w:rsid w:val="767944EE"/>
    <w:rsid w:val="7E1346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12" w:lineRule="auto"/>
      <w:jc w:val="both"/>
    </w:pPr>
    <w:rPr>
      <w:rFonts w:ascii="Calibri" w:hAnsi="Calibri" w:eastAsia="宋体" w:cs="Calibri"/>
      <w:kern w:val="2"/>
      <w:sz w:val="21"/>
      <w:lang w:val="en-US" w:eastAsia="zh-CN" w:bidi="ar-SA"/>
    </w:rPr>
  </w:style>
  <w:style w:type="paragraph" w:styleId="4">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5">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7">
    <w:name w:val="Default Paragraph Font"/>
    <w:autoRedefine/>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spacing w:beforeLines="50" w:after="0" w:line="300" w:lineRule="auto"/>
      <w:ind w:firstLine="200" w:firstLineChars="200"/>
    </w:pPr>
    <w:rPr>
      <w:rFonts w:ascii="楷体_GB2312" w:eastAsia="楷体_GB2312"/>
      <w:snapToGrid/>
      <w:spacing w:val="4"/>
      <w:kern w:val="2"/>
      <w:szCs w:val="20"/>
    </w:rPr>
  </w:style>
  <w:style w:type="paragraph" w:styleId="3">
    <w:name w:val="Body Text"/>
    <w:basedOn w:val="1"/>
    <w:next w:val="1"/>
    <w:unhideWhenUsed/>
    <w:qFormat/>
    <w:uiPriority w:val="99"/>
    <w:pPr>
      <w:spacing w:after="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3661</Words>
  <Characters>4123</Characters>
  <Lines>0</Lines>
  <Paragraphs>0</Paragraphs>
  <TotalTime>1</TotalTime>
  <ScaleCrop>false</ScaleCrop>
  <LinksUpToDate>false</LinksUpToDate>
  <CharactersWithSpaces>4125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2026-09-19T07:01:00Z</dcterms:created>
  <dc:creator>gr</dc:creator>
  <cp:lastModifiedBy>gr</cp:lastModifiedBy>
  <dcterms:modified xsi:type="dcterms:W3CDTF">2026-09-19T09:48:47Z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6F79C667DF09496783F3073F127F9BF2_11</vt:lpwstr>
  </property>
  <property fmtid="{D5CDD505-2E9C-101B-9397-08002B2CF9AE}" pid="4" name="KSOTemplateDocerSaveRecord">
    <vt:lpwstr>eyJoZGlkIjoiYjRlNDMxZWY4NWRjMjRjMjliM2MxZDE5MGQ0ODA5YWEiLCJ1c2VySWQiOiIzODk4NjE3NzIifQ==</vt:lpwstr>
  </property>
</Properties>
</file>