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rPr>
        <w:t>人保财险四川省自贡市分公司职场</w:t>
      </w:r>
      <w:r>
        <w:rPr>
          <w:rFonts w:hint="eastAsia" w:ascii="仿宋_GB2312" w:hAnsi="宋体" w:eastAsia="仿宋_GB2312"/>
          <w:b/>
          <w:sz w:val="36"/>
          <w:szCs w:val="36"/>
          <w:lang w:eastAsia="zh-CN"/>
        </w:rPr>
        <w:t>物业服务</w:t>
      </w:r>
      <w:r>
        <w:rPr>
          <w:rFonts w:hint="eastAsia" w:ascii="仿宋_GB2312" w:hAnsi="宋体" w:eastAsia="仿宋_GB2312"/>
          <w:b/>
          <w:sz w:val="36"/>
          <w:szCs w:val="36"/>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bookmarkStart w:id="211" w:name="_GoBack"/>
      <w:bookmarkEnd w:id="211"/>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9</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5" w:type="first"/>
          <w:footerReference r:id="rId3" w:type="default"/>
          <w:footerReference r:id="rId4"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_Toc19514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_Toc19514 \h </w:instrText>
      </w:r>
      <w:r>
        <w:fldChar w:fldCharType="separate"/>
      </w:r>
      <w:r>
        <w:t>1</w:t>
      </w:r>
      <w:r>
        <w:fldChar w:fldCharType="end"/>
      </w:r>
      <w:r>
        <w:rPr>
          <w:rFonts w:hint="eastAsia" w:ascii="仿宋_GB2312" w:hAnsi="宋体" w:eastAsia="仿宋_GB2312"/>
          <w:bCs w:val="0"/>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_Toc13896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_Toc13896 \h </w:instrText>
      </w:r>
      <w:r>
        <w:fldChar w:fldCharType="separate"/>
      </w:r>
      <w:r>
        <w:t>1</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_Toc4751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_Toc4751 \h </w:instrText>
      </w:r>
      <w:r>
        <w:fldChar w:fldCharType="separate"/>
      </w:r>
      <w:r>
        <w:t>1</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_Toc31636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_Toc31636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_Toc8037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_Toc8037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_Toc19977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_Toc19977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_Toc4042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_Toc4042 \h </w:instrText>
      </w:r>
      <w:r>
        <w:fldChar w:fldCharType="separate"/>
      </w:r>
      <w:r>
        <w:t>3</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_Toc19887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_Toc19887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_Toc1528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_Toc1528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_Toc21734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_Toc21734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_Toc22449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_Toc22449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_Toc15296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_Toc15296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_Toc22704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_Toc22704 \h </w:instrText>
      </w:r>
      <w:r>
        <w:fldChar w:fldCharType="separate"/>
      </w:r>
      <w:r>
        <w:t>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_Toc15158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_Toc15158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_Toc27021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_Toc27021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_Toc5886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_Toc5886 \h </w:instrText>
      </w:r>
      <w:r>
        <w:fldChar w:fldCharType="separate"/>
      </w:r>
      <w:r>
        <w:t>13</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_Toc30396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_Toc30396 \h </w:instrText>
      </w:r>
      <w:r>
        <w:fldChar w:fldCharType="separate"/>
      </w:r>
      <w:r>
        <w:t>14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_Toc11013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_Toc11013 \h </w:instrText>
      </w:r>
      <w:r>
        <w:fldChar w:fldCharType="separate"/>
      </w:r>
      <w:r>
        <w:t>14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_Toc12433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_Toc12433 \h </w:instrText>
      </w:r>
      <w:r>
        <w:fldChar w:fldCharType="separate"/>
      </w:r>
      <w:r>
        <w:t>16</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_Toc8676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_Toc8676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_Toc19577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_Toc19577 \h </w:instrText>
      </w:r>
      <w:r>
        <w:fldChar w:fldCharType="separate"/>
      </w:r>
      <w:r>
        <w:t>41</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_Toc962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_Toc962 \h </w:instrText>
      </w:r>
      <w:r>
        <w:fldChar w:fldCharType="separate"/>
      </w:r>
      <w:r>
        <w:t>43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_Toc24763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_Toc24763 \h </w:instrText>
      </w:r>
      <w:r>
        <w:fldChar w:fldCharType="separate"/>
      </w:r>
      <w:r>
        <w:t>44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_Toc2436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_Toc2436 \h </w:instrText>
      </w:r>
      <w:r>
        <w:fldChar w:fldCharType="separate"/>
      </w:r>
      <w:r>
        <w:t>46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_Toc14208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_Toc14208 \h </w:instrText>
      </w:r>
      <w:r>
        <w:fldChar w:fldCharType="separate"/>
      </w:r>
      <w:r>
        <w:t>47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_Toc15928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_Toc15928 \h </w:instrText>
      </w:r>
      <w:r>
        <w:fldChar w:fldCharType="separate"/>
      </w:r>
      <w:r>
        <w:t>48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_Toc6907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_Toc6907 \h </w:instrText>
      </w:r>
      <w:r>
        <w:fldChar w:fldCharType="separate"/>
      </w:r>
      <w:r>
        <w:t>49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_Toc2334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_Toc2334 \h </w:instrText>
      </w:r>
      <w:r>
        <w:fldChar w:fldCharType="separate"/>
      </w:r>
      <w:r>
        <w:t>58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_Toc27618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_Toc27618 \h </w:instrText>
      </w:r>
      <w:r>
        <w:fldChar w:fldCharType="separate"/>
      </w:r>
      <w:r>
        <w:t>60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_Toc19648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_Toc19648 \h </w:instrText>
      </w:r>
      <w:r>
        <w:fldChar w:fldCharType="separate"/>
      </w:r>
      <w:r>
        <w:t>63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_Toc7319 </w:instrText>
      </w:r>
      <w:r>
        <w:rPr>
          <w:rFonts w:hint="eastAsia" w:ascii="仿宋_GB2312" w:hAnsi="宋体" w:eastAsia="仿宋_GB2312"/>
          <w:bCs w:val="0"/>
        </w:rPr>
        <w:fldChar w:fldCharType="separate"/>
      </w:r>
      <w:r>
        <w:rPr>
          <w:rFonts w:hint="eastAsia" w:ascii="仿宋" w:hAnsi="仿宋" w:eastAsia="仿宋" w:cs="宋体"/>
          <w:bCs w:val="0"/>
          <w:szCs w:val="24"/>
        </w:rPr>
        <w:t>（九）</w:t>
      </w:r>
      <w:r>
        <w:rPr>
          <w:rFonts w:hint="eastAsia" w:ascii="仿宋" w:hAnsi="仿宋" w:eastAsia="仿宋" w:cs="宋体"/>
        </w:rPr>
        <w:t>其他材料</w:t>
      </w:r>
      <w:r>
        <w:tab/>
      </w:r>
      <w:r>
        <w:fldChar w:fldCharType="begin"/>
      </w:r>
      <w:r>
        <w:instrText xml:space="preserve"> PAGEREF _Toc7319 \h </w:instrText>
      </w:r>
      <w:r>
        <w:fldChar w:fldCharType="separate"/>
      </w:r>
      <w:r>
        <w:t>66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_Toc27633 </w:instrText>
      </w:r>
      <w:r>
        <w:rPr>
          <w:rFonts w:hint="eastAsia" w:ascii="仿宋_GB2312" w:hAnsi="宋体" w:eastAsia="仿宋_GB2312"/>
          <w:bCs w:val="0"/>
        </w:rPr>
        <w:fldChar w:fldCharType="separate"/>
      </w:r>
      <w:r>
        <w:rPr>
          <w:rFonts w:hint="eastAsia" w:ascii="仿宋" w:hAnsi="仿宋" w:eastAsia="仿宋" w:cs="仿宋"/>
          <w:bCs/>
          <w:szCs w:val="24"/>
        </w:rPr>
        <w:t>二、技术文件</w:t>
      </w:r>
      <w:r>
        <w:tab/>
      </w:r>
      <w:r>
        <w:fldChar w:fldCharType="begin"/>
      </w:r>
      <w:r>
        <w:instrText xml:space="preserve"> PAGEREF _Toc27633 \h </w:instrText>
      </w:r>
      <w:r>
        <w:fldChar w:fldCharType="separate"/>
      </w:r>
      <w:r>
        <w:t>67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_Toc16050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_Toc16050 \h </w:instrText>
      </w:r>
      <w:r>
        <w:fldChar w:fldCharType="separate"/>
      </w:r>
      <w:r>
        <w:t>68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_Toc19380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_Toc19380 \h </w:instrText>
      </w:r>
      <w:r>
        <w:fldChar w:fldCharType="separate"/>
      </w:r>
      <w:r>
        <w:t>69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_Toc32206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_Toc32206 \h </w:instrText>
      </w:r>
      <w:r>
        <w:fldChar w:fldCharType="separate"/>
      </w:r>
      <w:r>
        <w:t>70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_Toc24913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_Toc24913 \h </w:instrText>
      </w:r>
      <w:r>
        <w:fldChar w:fldCharType="separate"/>
      </w:r>
      <w:r>
        <w:t>71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_Toc31172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_Toc31172 \h </w:instrText>
      </w:r>
      <w:r>
        <w:fldChar w:fldCharType="separate"/>
      </w:r>
      <w:r>
        <w:t>72</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6"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7" w:type="default"/>
          <w:footerReference r:id="rId8"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9514"/>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rPr>
        <w:t>人保财险四川省自贡</w:t>
      </w:r>
      <w:r>
        <w:rPr>
          <w:rFonts w:hint="eastAsia" w:ascii="仿宋" w:hAnsi="仿宋" w:eastAsia="仿宋" w:cs="仿宋"/>
          <w:color w:val="auto"/>
          <w:u w:val="single"/>
          <w:lang w:val="en-US" w:eastAsia="zh-CN"/>
        </w:rPr>
        <w:t>市</w:t>
      </w:r>
      <w:r>
        <w:rPr>
          <w:rFonts w:hint="eastAsia" w:ascii="仿宋" w:hAnsi="仿宋" w:eastAsia="仿宋" w:cs="仿宋"/>
          <w:color w:val="auto"/>
          <w:u w:val="single"/>
        </w:rPr>
        <w:t>分公司职场</w:t>
      </w:r>
      <w:r>
        <w:rPr>
          <w:rFonts w:hint="eastAsia" w:ascii="仿宋" w:hAnsi="仿宋" w:eastAsia="仿宋" w:cs="仿宋"/>
          <w:color w:val="auto"/>
          <w:u w:val="single"/>
          <w:lang w:eastAsia="zh-CN"/>
        </w:rPr>
        <w:t>物业服务</w:t>
      </w:r>
      <w:r>
        <w:rPr>
          <w:rFonts w:hint="eastAsia" w:ascii="仿宋" w:hAnsi="仿宋" w:eastAsia="仿宋" w:cs="仿宋"/>
          <w:color w:val="auto"/>
          <w:u w:val="single"/>
        </w:rPr>
        <w:t>采购项目</w:t>
      </w:r>
      <w:r>
        <w:rPr>
          <w:rFonts w:hint="eastAsia" w:ascii="仿宋" w:hAnsi="仿宋" w:eastAsia="仿宋" w:cs="仿宋"/>
          <w:color w:val="auto"/>
        </w:rPr>
        <w:t>（采购项目编号：XXXXXXX ）</w:t>
      </w:r>
      <w:r>
        <w:rPr>
          <w:rFonts w:hint="eastAsia" w:ascii="仿宋" w:hAnsi="仿宋" w:eastAsia="仿宋" w:cs="仿宋"/>
          <w:color w:val="000000"/>
        </w:rPr>
        <w:t>（以下简称“采购人”）</w:t>
      </w:r>
      <w:r>
        <w:rPr>
          <w:rFonts w:hint="eastAsia" w:ascii="仿宋" w:hAnsi="仿宋" w:eastAsia="仿宋" w:cs="Cambria Math"/>
        </w:rPr>
        <w:t>批准并落实资金，组织本项目的比选工作</w:t>
      </w:r>
      <w:r>
        <w:rPr>
          <w:rFonts w:hint="eastAsia" w:ascii="仿宋" w:hAnsi="仿宋" w:eastAsia="仿宋" w:cs="仿宋"/>
          <w:color w:val="000000"/>
        </w:rPr>
        <w:t>，</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仿宋"/>
          <w:color w:val="auto"/>
          <w:u w:val="single"/>
          <w:lang w:val="en-US" w:eastAsia="zh-CN"/>
        </w:rPr>
        <w:t>自贡市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仿宋"/>
          <w:color w:val="auto"/>
          <w:u w:val="none"/>
          <w:lang w:val="en-US" w:eastAsia="zh-CN"/>
        </w:rPr>
        <w:t>自贡市</w:t>
      </w:r>
      <w:r>
        <w:rPr>
          <w:rFonts w:hint="eastAsia" w:ascii="仿宋" w:hAnsi="仿宋" w:eastAsia="仿宋" w:cs="宋体"/>
          <w:color w:val="auto"/>
        </w:rPr>
        <w:t>分公司”）</w:t>
      </w:r>
      <w:r>
        <w:rPr>
          <w:rFonts w:hint="eastAsia" w:ascii="仿宋" w:hAnsi="仿宋" w:eastAsia="仿宋" w:cs="仿宋"/>
          <w:color w:val="000000"/>
        </w:rPr>
        <w:t>根据成交结果与成交人签署。</w:t>
      </w:r>
      <w:r>
        <w:rPr>
          <w:rFonts w:hint="eastAsia" w:ascii="仿宋" w:hAnsi="仿宋" w:eastAsia="仿宋" w:cs="仿宋"/>
          <w:color w:val="auto"/>
        </w:rPr>
        <w:t>现通过比选方式实施，</w:t>
      </w:r>
      <w:r>
        <w:rPr>
          <w:rFonts w:hint="eastAsia" w:ascii="仿宋" w:hAnsi="仿宋" w:eastAsia="仿宋" w:cs="Cambria Math"/>
        </w:rPr>
        <w:t>有意向且具有提供标的物能力的潜在供应商（以下简称“供应商”）可前来参与比选响应。</w:t>
      </w:r>
      <w:r>
        <w:rPr>
          <w:rFonts w:hint="eastAsia" w:ascii="仿宋" w:hAnsi="仿宋" w:eastAsia="仿宋" w:cs="Cambria Math"/>
          <w:color w:val="000000"/>
        </w:rPr>
        <w:t xml:space="preserve"> </w:t>
      </w:r>
    </w:p>
    <w:p>
      <w:pPr>
        <w:pStyle w:val="4"/>
        <w:jc w:val="left"/>
        <w:rPr>
          <w:rFonts w:ascii="仿宋" w:hAnsi="仿宋" w:eastAsia="仿宋" w:cs="仿宋"/>
          <w:color w:val="000000"/>
          <w:sz w:val="24"/>
          <w:szCs w:val="24"/>
        </w:rPr>
      </w:pPr>
      <w:bookmarkStart w:id="2" w:name="_Toc21237"/>
      <w:bookmarkStart w:id="3" w:name="_Toc13896"/>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u w:val="single"/>
        </w:rPr>
        <w:t>人保财险四川省自贡市分公司职场</w:t>
      </w:r>
      <w:r>
        <w:rPr>
          <w:rFonts w:hint="eastAsia" w:ascii="仿宋" w:hAnsi="仿宋" w:eastAsia="仿宋" w:cs="仿宋"/>
          <w:color w:val="auto"/>
          <w:u w:val="single"/>
          <w:lang w:eastAsia="zh-CN"/>
        </w:rPr>
        <w:t>物业服务</w:t>
      </w:r>
      <w:r>
        <w:rPr>
          <w:rFonts w:hint="eastAsia" w:ascii="仿宋" w:hAnsi="仿宋" w:eastAsia="仿宋" w:cs="仿宋"/>
          <w:color w:val="auto"/>
          <w:u w:val="single"/>
        </w:rPr>
        <w:t>采购项目</w:t>
      </w:r>
      <w:r>
        <w:rPr>
          <w:rFonts w:hint="eastAsia" w:ascii="仿宋" w:hAnsi="仿宋" w:eastAsia="仿宋" w:cs="仿宋"/>
          <w:color w:val="000000"/>
        </w:rPr>
        <w:t>。</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人保财险自贡市分公司职场物业服务</w:t>
      </w:r>
      <w:r>
        <w:rPr>
          <w:rFonts w:hint="eastAsia" w:ascii="仿宋" w:hAnsi="仿宋" w:eastAsia="仿宋" w:cs="仿宋"/>
          <w:color w:val="000000"/>
        </w:rPr>
        <w:t>，具体技术要求详见第五章采购需求。</w:t>
      </w:r>
    </w:p>
    <w:p>
      <w:pPr>
        <w:adjustRightInd w:val="0"/>
        <w:snapToGrid w:val="0"/>
        <w:spacing w:line="360" w:lineRule="auto"/>
        <w:ind w:firstLine="480" w:firstLineChars="200"/>
        <w:rPr>
          <w:rFonts w:hint="eastAsia" w:ascii="仿宋" w:hAnsi="仿宋" w:eastAsia="仿宋" w:cs="宋体"/>
          <w:color w:val="000000"/>
        </w:rPr>
      </w:pPr>
      <w:r>
        <w:rPr>
          <w:rFonts w:hint="eastAsia" w:ascii="仿宋" w:hAnsi="仿宋" w:eastAsia="仿宋" w:cs="仿宋"/>
          <w:color w:val="000000"/>
        </w:rPr>
        <w:t xml:space="preserve">1.3 </w:t>
      </w:r>
      <w:r>
        <w:rPr>
          <w:rFonts w:hint="eastAsia" w:ascii="仿宋" w:hAnsi="仿宋" w:eastAsia="仿宋" w:cs="仿宋"/>
        </w:rPr>
        <w:t>标包划分</w:t>
      </w:r>
      <w:r>
        <w:rPr>
          <w:rFonts w:hint="eastAsia" w:ascii="仿宋" w:hAnsi="仿宋" w:eastAsia="仿宋" w:cs="仿宋"/>
          <w:color w:val="auto"/>
        </w:rPr>
        <w:t>：</w:t>
      </w:r>
      <w:r>
        <w:rPr>
          <w:rFonts w:hint="eastAsia" w:ascii="仿宋" w:hAnsi="仿宋" w:eastAsia="仿宋" w:cs="仿宋"/>
          <w:color w:val="auto"/>
          <w:lang w:val="en-US" w:eastAsia="zh-CN"/>
        </w:rPr>
        <w:t>本项目不划分标</w:t>
      </w:r>
      <w:r>
        <w:rPr>
          <w:rFonts w:hint="eastAsia" w:ascii="仿宋" w:hAnsi="仿宋" w:eastAsia="仿宋" w:cs="宋体"/>
          <w:color w:val="000000"/>
        </w:rPr>
        <w:t>：</w:t>
      </w:r>
    </w:p>
    <w:p>
      <w:pPr>
        <w:adjustRightInd w:val="0"/>
        <w:snapToGrid w:val="0"/>
        <w:spacing w:line="360" w:lineRule="auto"/>
        <w:ind w:firstLine="480" w:firstLineChars="200"/>
        <w:rPr>
          <w:rFonts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仿宋"/>
          <w:color w:val="auto"/>
        </w:rPr>
        <w:t>：服务</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仿宋"/>
          <w:color w:val="auto"/>
        </w:rPr>
        <w:t>：</w:t>
      </w:r>
      <w:r>
        <w:rPr>
          <w:rFonts w:hint="eastAsia" w:ascii="仿宋" w:hAnsi="仿宋" w:eastAsia="仿宋" w:cs="宋体"/>
          <w:color w:val="auto"/>
        </w:rPr>
        <w:t>自合同签订之日起</w:t>
      </w:r>
      <w:r>
        <w:rPr>
          <w:rFonts w:hint="eastAsia" w:ascii="仿宋" w:hAnsi="仿宋" w:eastAsia="仿宋" w:cs="宋体"/>
          <w:color w:val="auto"/>
          <w:lang w:val="en-US" w:eastAsia="zh-CN"/>
        </w:rPr>
        <w:t>1</w:t>
      </w:r>
      <w:r>
        <w:rPr>
          <w:rFonts w:hint="eastAsia" w:ascii="仿宋" w:hAnsi="仿宋" w:eastAsia="仿宋" w:cs="宋体"/>
          <w:color w:val="auto"/>
        </w:rPr>
        <w:t>年。</w:t>
      </w:r>
    </w:p>
    <w:p>
      <w:pPr>
        <w:adjustRightInd w:val="0"/>
        <w:snapToGrid w:val="0"/>
        <w:spacing w:line="360" w:lineRule="auto"/>
        <w:ind w:firstLine="480" w:firstLineChars="200"/>
        <w:rPr>
          <w:rFonts w:hint="default" w:ascii="仿宋" w:hAnsi="仿宋" w:eastAsia="仿宋" w:cs="宋体"/>
          <w:color w:val="FF0000"/>
          <w:lang w:val="en-US"/>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服务地点/交货地点：</w:t>
      </w:r>
      <w:r>
        <w:rPr>
          <w:rFonts w:hint="eastAsia" w:ascii="仿宋" w:hAnsi="仿宋" w:eastAsia="仿宋" w:cs="宋体"/>
          <w:color w:val="auto"/>
          <w:lang w:val="en-US" w:eastAsia="zh-CN"/>
        </w:rPr>
        <w:t>人保财险自贡市分公司/人保财险荣县支公司。</w:t>
      </w:r>
    </w:p>
    <w:p>
      <w:pPr>
        <w:pStyle w:val="2"/>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：本项目设置最高限价：</w:t>
      </w:r>
      <w:r>
        <w:rPr>
          <w:rFonts w:ascii="仿宋" w:hAnsi="仿宋" w:eastAsia="仿宋" w:cs="仿宋"/>
          <w:color w:val="auto"/>
        </w:rPr>
        <w:t>即供应商报价不得高于</w:t>
      </w:r>
      <w:r>
        <w:rPr>
          <w:rFonts w:hint="eastAsia" w:ascii="仿宋" w:hAnsi="仿宋" w:eastAsia="仿宋" w:cs="仿宋"/>
          <w:color w:val="auto"/>
          <w:lang w:val="en-US" w:eastAsia="zh-CN"/>
        </w:rPr>
        <w:t>44万</w:t>
      </w:r>
    </w:p>
    <w:p>
      <w:pPr>
        <w:pStyle w:val="4"/>
        <w:jc w:val="left"/>
        <w:rPr>
          <w:rFonts w:ascii="仿宋" w:hAnsi="仿宋" w:eastAsia="仿宋" w:cs="仿宋"/>
          <w:color w:val="000000"/>
          <w:sz w:val="24"/>
          <w:szCs w:val="24"/>
        </w:rPr>
      </w:pPr>
      <w:bookmarkStart w:id="4" w:name="_Toc17569"/>
      <w:bookmarkStart w:id="5" w:name="_Toc4751"/>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w:t>
      </w:r>
      <w:r>
        <w:rPr>
          <w:rFonts w:hint="eastAsia" w:ascii="仿宋" w:hAnsi="仿宋" w:eastAsia="仿宋" w:cs="宋体"/>
          <w:color w:val="auto"/>
        </w:rPr>
        <w:t>供20</w:t>
      </w:r>
      <w:r>
        <w:rPr>
          <w:rFonts w:hint="eastAsia" w:ascii="仿宋" w:hAnsi="仿宋" w:eastAsia="仿宋" w:cs="宋体"/>
          <w:color w:val="auto"/>
          <w:lang w:val="en-US" w:eastAsia="zh-CN"/>
        </w:rPr>
        <w:t>25</w:t>
      </w:r>
      <w:r>
        <w:rPr>
          <w:rFonts w:hint="eastAsia" w:ascii="仿宋" w:hAnsi="仿宋" w:eastAsia="仿宋" w:cs="宋体"/>
          <w:color w:val="auto"/>
        </w:rPr>
        <w:t>年度</w:t>
      </w:r>
      <w:r>
        <w:rPr>
          <w:rFonts w:hint="eastAsia" w:ascii="仿宋" w:hAnsi="仿宋" w:eastAsia="仿宋" w:cs="宋体"/>
          <w:color w:val="000000"/>
        </w:rPr>
        <w:t>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w:t>
      </w:r>
      <w:r>
        <w:rPr>
          <w:rFonts w:hint="eastAsia" w:ascii="仿宋" w:hAnsi="仿宋" w:eastAsia="仿宋" w:cs="宋体"/>
          <w:color w:val="auto"/>
        </w:rPr>
        <w:t>近三年（</w:t>
      </w:r>
      <w:r>
        <w:rPr>
          <w:rFonts w:hint="eastAsia" w:ascii="仿宋" w:hAnsi="仿宋" w:eastAsia="仿宋" w:cs="宋体"/>
          <w:color w:val="auto"/>
          <w:lang w:val="en-US" w:eastAsia="zh-CN"/>
        </w:rPr>
        <w:t>2023</w:t>
      </w:r>
      <w:r>
        <w:rPr>
          <w:rFonts w:hint="eastAsia" w:ascii="仿宋" w:hAnsi="仿宋" w:eastAsia="仿宋" w:cs="宋体"/>
          <w:color w:val="auto"/>
        </w:rPr>
        <w:t>年1月1日至今）应具有</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个</w:t>
      </w:r>
      <w:r>
        <w:rPr>
          <w:rFonts w:hint="eastAsia" w:ascii="仿宋" w:hAnsi="仿宋" w:eastAsia="仿宋" w:cs="宋体"/>
          <w:color w:val="auto"/>
          <w:highlight w:val="none"/>
          <w:lang w:val="en-US" w:eastAsia="zh-CN"/>
        </w:rPr>
        <w:t>40</w:t>
      </w:r>
      <w:r>
        <w:rPr>
          <w:rFonts w:hint="eastAsia" w:ascii="仿宋" w:hAnsi="仿宋" w:eastAsia="仿宋" w:cs="宋体"/>
          <w:color w:val="auto"/>
          <w:highlight w:val="none"/>
        </w:rPr>
        <w:t>万元（含）以上同类项目实施案例，并</w:t>
      </w:r>
      <w:r>
        <w:rPr>
          <w:rFonts w:hint="eastAsia" w:ascii="仿宋" w:hAnsi="仿宋" w:eastAsia="仿宋" w:cs="宋体"/>
          <w:color w:val="auto"/>
        </w:rPr>
        <w:t>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具有依法缴纳税收的良好记录</w:t>
      </w:r>
      <w:r>
        <w:rPr>
          <w:rFonts w:hint="eastAsia" w:ascii="仿宋" w:hAnsi="仿宋" w:eastAsia="仿宋" w:cs="宋体"/>
          <w:color w:val="000000"/>
        </w:rPr>
        <w:t>，提供近6个月任意一个月的税收缴纳凭证。</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000000"/>
          <w:lang w:val="en-US" w:eastAsia="zh-CN"/>
        </w:rPr>
        <w:t>2023</w:t>
      </w:r>
      <w:r>
        <w:rPr>
          <w:rFonts w:hint="eastAsia" w:ascii="仿宋" w:hAnsi="仿宋" w:eastAsia="仿宋" w:cs="宋体"/>
          <w:b/>
          <w:bCs/>
          <w:color w:val="000000"/>
        </w:rPr>
        <w:t>年</w:t>
      </w:r>
      <w:r>
        <w:rPr>
          <w:rFonts w:hint="eastAsia" w:ascii="仿宋" w:hAnsi="仿宋" w:eastAsia="仿宋" w:cs="宋体"/>
          <w:b/>
          <w:bCs/>
          <w:color w:val="000000"/>
          <w:lang w:val="en-US" w:eastAsia="zh-CN"/>
        </w:rPr>
        <w:t>9</w:t>
      </w:r>
      <w:r>
        <w:rPr>
          <w:rFonts w:hint="eastAsia" w:ascii="仿宋" w:hAnsi="仿宋" w:eastAsia="仿宋" w:cs="宋体"/>
          <w:b/>
          <w:bCs/>
          <w:color w:val="000000"/>
        </w:rPr>
        <w:t>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w:t>
      </w:r>
      <w:r>
        <w:rPr>
          <w:rFonts w:hint="eastAsia" w:ascii="仿宋" w:hAnsi="仿宋" w:eastAsia="仿宋" w:cs="宋体"/>
          <w:color w:val="auto"/>
        </w:rPr>
        <w:t>项不接受联合体</w:t>
      </w:r>
      <w:r>
        <w:rPr>
          <w:rFonts w:hint="eastAsia" w:ascii="仿宋" w:hAnsi="仿宋" w:eastAsia="仿宋" w:cs="宋体"/>
          <w:color w:val="000000"/>
        </w:rPr>
        <w:t>比选响应。提供承诺函，格式详见第六章响应文件格式。</w:t>
      </w:r>
    </w:p>
    <w:p>
      <w:pPr>
        <w:pStyle w:val="4"/>
        <w:spacing w:after="240"/>
        <w:jc w:val="left"/>
        <w:rPr>
          <w:rFonts w:ascii="仿宋" w:hAnsi="仿宋" w:eastAsia="仿宋" w:cs="仿宋"/>
          <w:color w:val="000000"/>
          <w:sz w:val="24"/>
          <w:szCs w:val="24"/>
        </w:rPr>
      </w:pPr>
      <w:bookmarkStart w:id="6" w:name="_Toc2019"/>
      <w:bookmarkStart w:id="7" w:name="_Toc31636"/>
      <w:r>
        <w:rPr>
          <w:rFonts w:hint="eastAsia" w:ascii="仿宋" w:hAnsi="仿宋" w:eastAsia="仿宋" w:cs="仿宋"/>
          <w:color w:val="000000"/>
          <w:sz w:val="24"/>
          <w:szCs w:val="24"/>
        </w:rPr>
        <w:t>三、比选文件的获取</w:t>
      </w:r>
      <w:bookmarkEnd w:id="6"/>
      <w:bookmarkEnd w:id="7"/>
    </w:p>
    <w:p>
      <w:pPr>
        <w:pStyle w:val="65"/>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9</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9</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30</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请通过“人保e采”外网门户获取比选文件</w:t>
      </w:r>
      <w:r>
        <w:rPr>
          <w:rFonts w:hint="eastAsia" w:ascii="仿宋" w:hAnsi="仿宋" w:eastAsia="仿宋" w:cs="宋体"/>
          <w:color w:val="auto"/>
          <w:sz w:val="24"/>
          <w:lang w:eastAsia="zh-CN"/>
        </w:rPr>
        <w:t>。</w:t>
      </w:r>
    </w:p>
    <w:p>
      <w:pPr>
        <w:pStyle w:val="4"/>
        <w:jc w:val="left"/>
        <w:rPr>
          <w:rFonts w:ascii="仿宋" w:hAnsi="仿宋" w:eastAsia="仿宋" w:cs="仿宋"/>
          <w:color w:val="000000"/>
          <w:sz w:val="24"/>
          <w:szCs w:val="24"/>
        </w:rPr>
      </w:pPr>
      <w:bookmarkStart w:id="8" w:name="_Toc32115"/>
      <w:bookmarkStart w:id="9" w:name="_Toc8037"/>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12</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9</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rPr>
        <w:t>须现场递交至</w:t>
      </w:r>
      <w:r>
        <w:rPr>
          <w:rFonts w:hint="eastAsia" w:ascii="仿宋" w:hAnsi="仿宋" w:eastAsia="仿宋" w:cs="宋体"/>
          <w:color w:val="auto"/>
          <w:kern w:val="2"/>
          <w:u w:val="single"/>
          <w:lang w:val="en-US" w:eastAsia="zh-CN"/>
        </w:rPr>
        <w:t>四川省自贡市自流井区檀木林街332号、346号、348号</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jc w:val="left"/>
        <w:rPr>
          <w:rFonts w:ascii="仿宋" w:hAnsi="仿宋" w:eastAsia="仿宋" w:cs="仿宋"/>
          <w:color w:val="000000"/>
          <w:sz w:val="24"/>
          <w:szCs w:val="24"/>
        </w:rPr>
      </w:pPr>
      <w:bookmarkStart w:id="10" w:name="_Toc874"/>
      <w:bookmarkStart w:id="11" w:name="_Toc19977"/>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本项目比选公告同时在</w:t>
      </w:r>
      <w:r>
        <w:rPr>
          <w:rFonts w:hint="eastAsia" w:ascii="仿宋" w:hAnsi="仿宋" w:eastAsia="仿宋" w:cs="宋体"/>
          <w:color w:val="auto"/>
          <w:u w:val="single"/>
        </w:rPr>
        <w:t>“人保e采”外网门户（https://ec.picc.com/）、金采网</w:t>
      </w:r>
      <w:r>
        <w:rPr>
          <w:rFonts w:hint="eastAsia" w:ascii="仿宋" w:hAnsi="仿宋" w:eastAsia="仿宋" w:cs="宋体"/>
          <w:color w:val="auto"/>
          <w:u w:val="single"/>
          <w:lang w:eastAsia="zh-CN"/>
        </w:rPr>
        <w:t>（</w:t>
      </w:r>
      <w:r>
        <w:rPr>
          <w:rFonts w:hint="eastAsia" w:ascii="仿宋" w:hAnsi="仿宋" w:eastAsia="仿宋" w:cs="宋体"/>
          <w:color w:val="auto"/>
          <w:u w:val="single"/>
        </w:rPr>
        <w:t>http://www.cfcpn.com/</w:t>
      </w:r>
      <w:r>
        <w:rPr>
          <w:rFonts w:hint="eastAsia" w:ascii="仿宋" w:hAnsi="仿宋" w:eastAsia="仿宋" w:cs="宋体"/>
          <w:color w:val="auto"/>
          <w:u w:val="single"/>
          <w:lang w:eastAsia="zh-CN"/>
        </w:rPr>
        <w:t>）</w:t>
      </w:r>
      <w:r>
        <w:rPr>
          <w:rFonts w:hint="eastAsia" w:ascii="仿宋" w:hAnsi="仿宋" w:eastAsia="仿宋" w:cs="仿宋"/>
          <w:color w:val="000000"/>
        </w:rPr>
        <w:t>上发布，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30596"/>
      <w:bookmarkStart w:id="13" w:name="_Toc4042"/>
      <w:r>
        <w:rPr>
          <w:rFonts w:hint="eastAsia" w:ascii="仿宋" w:hAnsi="仿宋" w:eastAsia="仿宋" w:cs="仿宋"/>
          <w:color w:val="000000"/>
          <w:sz w:val="24"/>
          <w:szCs w:val="24"/>
        </w:rPr>
        <w:t>六、联系方式</w:t>
      </w:r>
      <w:bookmarkEnd w:id="12"/>
      <w:bookmarkEnd w:id="13"/>
    </w:p>
    <w:p>
      <w:pPr>
        <w:spacing w:line="360" w:lineRule="auto"/>
        <w:ind w:firstLine="422" w:firstLineChars="175"/>
        <w:rPr>
          <w:rFonts w:hint="eastAsia" w:ascii="仿宋" w:hAnsi="仿宋" w:eastAsia="仿宋" w:cs="仿宋"/>
          <w:b/>
          <w:bCs/>
          <w:color w:val="auto"/>
        </w:rPr>
      </w:pPr>
      <w:r>
        <w:rPr>
          <w:rFonts w:hint="eastAsia" w:ascii="仿宋" w:hAnsi="仿宋" w:eastAsia="仿宋" w:cs="仿宋"/>
          <w:b/>
          <w:bCs/>
          <w:color w:val="auto"/>
        </w:rPr>
        <w:t>采购人：中国人民财产保险股份有限公司自贡市分公司</w:t>
      </w:r>
    </w:p>
    <w:p>
      <w:pPr>
        <w:spacing w:line="360" w:lineRule="auto"/>
        <w:ind w:firstLine="422" w:firstLineChars="175"/>
        <w:rPr>
          <w:rFonts w:hint="eastAsia" w:ascii="仿宋" w:hAnsi="仿宋" w:eastAsia="仿宋" w:cs="仿宋"/>
          <w:b/>
          <w:bCs/>
          <w:color w:val="auto"/>
        </w:rPr>
      </w:pPr>
      <w:r>
        <w:rPr>
          <w:rFonts w:hint="eastAsia" w:ascii="仿宋" w:hAnsi="仿宋" w:eastAsia="仿宋" w:cs="仿宋"/>
          <w:b/>
          <w:bCs/>
          <w:color w:val="auto"/>
        </w:rPr>
        <w:t>地址：四川自贡市自流井区城区四川自贡市自流井区四川省自贡市自流井区檀木林街332号、346号、348号</w:t>
      </w:r>
    </w:p>
    <w:p>
      <w:pPr>
        <w:spacing w:line="360" w:lineRule="auto"/>
        <w:ind w:firstLine="422" w:firstLineChars="175"/>
        <w:rPr>
          <w:rFonts w:hint="default" w:ascii="仿宋" w:hAnsi="仿宋" w:eastAsia="仿宋" w:cs="仿宋"/>
          <w:b/>
          <w:bCs/>
          <w:color w:val="auto"/>
          <w:lang w:val="en-US" w:eastAsia="zh-CN"/>
        </w:rPr>
      </w:pPr>
      <w:r>
        <w:rPr>
          <w:rFonts w:hint="eastAsia" w:ascii="仿宋" w:hAnsi="仿宋" w:eastAsia="仿宋" w:cs="仿宋"/>
          <w:b/>
          <w:bCs/>
          <w:color w:val="auto"/>
        </w:rPr>
        <w:t>联系人：</w:t>
      </w:r>
      <w:r>
        <w:rPr>
          <w:rFonts w:hint="eastAsia" w:ascii="仿宋" w:hAnsi="仿宋" w:eastAsia="仿宋" w:cs="仿宋"/>
          <w:b/>
          <w:bCs/>
          <w:color w:val="auto"/>
          <w:lang w:val="en-US" w:eastAsia="zh-CN"/>
        </w:rPr>
        <w:t>卢思源</w:t>
      </w:r>
    </w:p>
    <w:p>
      <w:pPr>
        <w:spacing w:line="360" w:lineRule="auto"/>
        <w:ind w:firstLine="422" w:firstLineChars="175"/>
        <w:rPr>
          <w:rFonts w:hint="default" w:ascii="仿宋" w:hAnsi="仿宋" w:eastAsia="仿宋" w:cs="仿宋"/>
          <w:b/>
          <w:bCs/>
          <w:color w:val="auto"/>
          <w:lang w:val="en-US" w:eastAsia="zh-CN"/>
        </w:rPr>
      </w:pPr>
      <w:r>
        <w:rPr>
          <w:rFonts w:hint="eastAsia" w:ascii="仿宋" w:hAnsi="仿宋" w:eastAsia="仿宋" w:cs="仿宋"/>
          <w:b/>
          <w:bCs/>
          <w:color w:val="auto"/>
        </w:rPr>
        <w:t>电话：0813-2204971</w:t>
      </w:r>
      <w:r>
        <w:rPr>
          <w:rFonts w:hint="eastAsia" w:ascii="仿宋" w:hAnsi="仿宋" w:eastAsia="仿宋" w:cs="仿宋"/>
          <w:b/>
          <w:bCs/>
          <w:color w:val="auto"/>
          <w:lang w:val="en-US" w:eastAsia="zh-CN"/>
        </w:rPr>
        <w:t xml:space="preserve">    </w:t>
      </w:r>
      <w:r>
        <w:rPr>
          <w:rFonts w:hint="eastAsia" w:ascii="仿宋" w:hAnsi="仿宋" w:eastAsia="仿宋" w:cs="仿宋"/>
          <w:b/>
          <w:bCs/>
          <w:color w:val="auto"/>
        </w:rPr>
        <w:t>1</w:t>
      </w:r>
      <w:r>
        <w:rPr>
          <w:rFonts w:hint="eastAsia" w:ascii="仿宋" w:hAnsi="仿宋" w:eastAsia="仿宋" w:cs="仿宋"/>
          <w:b/>
          <w:bCs/>
          <w:color w:val="auto"/>
          <w:lang w:val="en-US" w:eastAsia="zh-CN"/>
        </w:rPr>
        <w:t>8981614549</w:t>
      </w:r>
    </w:p>
    <w:p>
      <w:pPr>
        <w:spacing w:line="360" w:lineRule="auto"/>
        <w:ind w:firstLine="422" w:firstLineChars="175"/>
        <w:rPr>
          <w:rFonts w:ascii="仿宋" w:hAnsi="仿宋" w:eastAsia="仿宋" w:cs="仿宋"/>
          <w:color w:val="FF0000"/>
        </w:rPr>
      </w:pPr>
      <w:r>
        <w:rPr>
          <w:rFonts w:hint="eastAsia" w:ascii="仿宋" w:hAnsi="仿宋" w:eastAsia="仿宋" w:cs="仿宋"/>
          <w:b/>
          <w:bCs/>
          <w:color w:val="auto"/>
        </w:rPr>
        <w:t>邮箱地址：</w:t>
      </w:r>
      <w:r>
        <w:rPr>
          <w:rFonts w:hint="eastAsia" w:ascii="仿宋" w:hAnsi="仿宋" w:eastAsia="仿宋" w:cs="仿宋"/>
          <w:b/>
          <w:bCs/>
          <w:color w:val="auto"/>
          <w:lang w:val="en-US" w:eastAsia="zh-CN"/>
        </w:rPr>
        <w:t>lusiyuan</w:t>
      </w:r>
      <w:r>
        <w:rPr>
          <w:rFonts w:hint="eastAsia" w:ascii="仿宋" w:hAnsi="仿宋" w:eastAsia="仿宋" w:cs="仿宋"/>
          <w:b/>
          <w:bCs/>
          <w:color w:val="auto"/>
        </w:rPr>
        <w:t>01@sic.picc.com.cn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自贡市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9</w:t>
      </w:r>
      <w:r>
        <w:rPr>
          <w:rFonts w:hint="eastAsia" w:ascii="仿宋" w:hAnsi="仿宋" w:eastAsia="仿宋" w:cs="宋体"/>
          <w:color w:val="auto"/>
        </w:rPr>
        <w:t>月</w:t>
      </w:r>
      <w:r>
        <w:rPr>
          <w:rFonts w:hint="eastAsia" w:ascii="仿宋" w:hAnsi="仿宋" w:eastAsia="仿宋" w:cs="宋体"/>
          <w:color w:val="auto"/>
          <w:lang w:val="en-US" w:eastAsia="zh-CN"/>
        </w:rPr>
        <w:t>24</w:t>
      </w:r>
      <w:r>
        <w:rPr>
          <w:rFonts w:hint="eastAsia" w:ascii="仿宋" w:hAnsi="仿宋" w:eastAsia="仿宋" w:cs="宋体"/>
          <w:color w:val="auto"/>
        </w:rPr>
        <w:t>日</w:t>
      </w:r>
    </w:p>
    <w:p>
      <w:pPr>
        <w:spacing w:line="360" w:lineRule="auto"/>
        <w:jc w:val="right"/>
        <w:rPr>
          <w:rFonts w:ascii="楷体" w:hAnsi="楷体" w:eastAsia="楷体" w:cs="仿宋_GB2312"/>
          <w:i/>
          <w:color w:val="0000CC"/>
          <w:szCs w:val="32"/>
        </w:rPr>
      </w:pP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988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52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2</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10</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12</w:t>
                                  </w:r>
                                  <w:r>
                                    <w:rPr>
                                      <w:rFonts w:hint="eastAsia" w:ascii="仿宋" w:hAnsi="仿宋" w:eastAsia="仿宋" w:cs="仿宋"/>
                                      <w:sz w:val="22"/>
                                      <w:szCs w:val="21"/>
                                    </w:rPr>
                                    <w:t>】日【</w:t>
                                  </w:r>
                                  <w:r>
                                    <w:rPr>
                                      <w:rFonts w:hint="eastAsia" w:ascii="仿宋" w:hAnsi="仿宋" w:eastAsia="仿宋" w:cs="仿宋"/>
                                      <w:sz w:val="22"/>
                                      <w:szCs w:val="21"/>
                                      <w:u w:val="single"/>
                                      <w:lang w:val="en-US" w:eastAsia="zh-CN"/>
                                    </w:rPr>
                                    <w:t>9</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w:t>
                                  </w:r>
                                  <w:r>
                                    <w:rPr>
                                      <w:rFonts w:hint="eastAsia" w:ascii="仿宋" w:hAnsi="仿宋" w:eastAsia="仿宋" w:cs="仿宋"/>
                                      <w:sz w:val="22"/>
                                      <w:szCs w:val="21"/>
                                    </w:rPr>
                                    <w:t>】</w:t>
                                  </w:r>
                                  <w:r>
                                    <w:rPr>
                                      <w:rFonts w:hint="eastAsia" w:ascii="仿宋" w:hAnsi="仿宋" w:eastAsia="仿宋" w:cs="仿宋"/>
                                      <w:sz w:val="22"/>
                                      <w:szCs w:val="21"/>
                                      <w:lang w:val="en-US" w:eastAsia="zh-CN"/>
                                    </w:rPr>
                                    <w:t>分</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10</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12</w:t>
                            </w:r>
                            <w:r>
                              <w:rPr>
                                <w:rFonts w:hint="eastAsia" w:ascii="仿宋" w:hAnsi="仿宋" w:eastAsia="仿宋" w:cs="仿宋"/>
                                <w:sz w:val="22"/>
                                <w:szCs w:val="21"/>
                              </w:rPr>
                              <w:t>】日【</w:t>
                            </w:r>
                            <w:r>
                              <w:rPr>
                                <w:rFonts w:hint="eastAsia" w:ascii="仿宋" w:hAnsi="仿宋" w:eastAsia="仿宋" w:cs="仿宋"/>
                                <w:sz w:val="22"/>
                                <w:szCs w:val="21"/>
                                <w:u w:val="single"/>
                                <w:lang w:val="en-US" w:eastAsia="zh-CN"/>
                              </w:rPr>
                              <w:t>9</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w:t>
                            </w:r>
                            <w:r>
                              <w:rPr>
                                <w:rFonts w:hint="eastAsia" w:ascii="仿宋" w:hAnsi="仿宋" w:eastAsia="仿宋" w:cs="仿宋"/>
                                <w:sz w:val="22"/>
                                <w:szCs w:val="21"/>
                              </w:rPr>
                              <w:t>】</w:t>
                            </w:r>
                            <w:r>
                              <w:rPr>
                                <w:rFonts w:hint="eastAsia" w:ascii="仿宋" w:hAnsi="仿宋" w:eastAsia="仿宋" w:cs="仿宋"/>
                                <w:sz w:val="22"/>
                                <w:szCs w:val="21"/>
                                <w:lang w:val="en-US" w:eastAsia="zh-CN"/>
                              </w:rPr>
                              <w:t>分</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color w:val="auto"/>
                <w:sz w:val="22"/>
                <w:u w:val="single"/>
                <w:lang w:val="en-US" w:eastAsia="zh-CN"/>
              </w:rPr>
              <w:t>7</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000000"/>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w:t>
            </w:r>
            <w:r>
              <w:rPr>
                <w:rFonts w:hint="eastAsia" w:ascii="仿宋" w:hAnsi="仿宋" w:eastAsia="仿宋" w:cs="宋体"/>
                <w:color w:val="auto"/>
                <w:sz w:val="22"/>
                <w:u w:val="single"/>
              </w:rPr>
              <w:t>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w:t>
            </w:r>
            <w:r>
              <w:rPr>
                <w:rFonts w:hint="eastAsia" w:ascii="仿宋" w:hAnsi="仿宋" w:eastAsia="仿宋" w:cs="宋体"/>
                <w:color w:val="000000"/>
                <w:sz w:val="22"/>
              </w:rPr>
              <w:t>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lang w:val="en-US" w:eastAsia="zh-CN"/>
              </w:rPr>
              <w:t>服务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不按照比选文件要求提交履约保证金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1"/>
              <w:spacing w:before="62" w:beforeLines="20" w:after="62" w:afterLines="20"/>
              <w:rPr>
                <w:rFonts w:ascii="仿宋" w:hAnsi="仿宋" w:eastAsia="仿宋" w:cs="仿宋"/>
                <w:color w:val="000000"/>
              </w:rPr>
            </w:pPr>
            <w:r>
              <w:rPr>
                <w:rFonts w:hint="eastAsia" w:ascii="仿宋" w:hAnsi="仿宋" w:eastAsia="仿宋" w:cs="宋体"/>
                <w:color w:val="000000"/>
                <w:sz w:val="22"/>
                <w:szCs w:val="22"/>
                <w:lang w:val="en-US" w:eastAsia="zh-CN" w:bidi="ar-SA"/>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仿宋"/>
                <w:sz w:val="22"/>
                <w:lang w:val="en-US" w:eastAsia="zh-CN"/>
              </w:rPr>
              <w:t>自贡市</w:t>
            </w:r>
            <w:r>
              <w:rPr>
                <w:rFonts w:ascii="仿宋" w:hAnsi="仿宋" w:eastAsia="仿宋" w:cs="仿宋"/>
                <w:sz w:val="22"/>
              </w:rPr>
              <w:t>分公司</w:t>
            </w:r>
            <w:r>
              <w:rPr>
                <w:rFonts w:hint="eastAsia" w:ascii="仿宋" w:hAnsi="仿宋" w:eastAsia="仿宋" w:cs="仿宋"/>
                <w:sz w:val="22"/>
              </w:rPr>
              <w:t>，</w:t>
            </w:r>
            <w:r>
              <w:rPr>
                <w:rFonts w:ascii="仿宋" w:hAnsi="仿宋" w:eastAsia="仿宋" w:cs="仿宋"/>
                <w:sz w:val="22"/>
              </w:rPr>
              <w:t>实际合同签署人为采购人</w:t>
            </w:r>
            <w:r>
              <w:rPr>
                <w:rFonts w:hint="eastAsia" w:ascii="仿宋" w:hAnsi="仿宋" w:eastAsia="仿宋" w:cs="仿宋"/>
                <w:sz w:val="22"/>
              </w:rPr>
              <w:t>人保财险</w:t>
            </w:r>
            <w:r>
              <w:rPr>
                <w:rFonts w:hint="eastAsia" w:ascii="仿宋" w:hAnsi="仿宋" w:eastAsia="仿宋" w:cs="仿宋"/>
                <w:sz w:val="22"/>
                <w:lang w:val="en-US" w:eastAsia="zh-CN"/>
              </w:rPr>
              <w:t>自贡市</w:t>
            </w:r>
            <w:r>
              <w:rPr>
                <w:rFonts w:ascii="仿宋" w:hAnsi="仿宋" w:eastAsia="仿宋" w:cs="仿宋"/>
                <w:sz w:val="22"/>
              </w:rPr>
              <w:t>分公司</w:t>
            </w:r>
            <w:r>
              <w:rPr>
                <w:rFonts w:hint="eastAsia" w:ascii="仿宋" w:hAnsi="仿宋" w:eastAsia="仿宋" w:cs="仿宋"/>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27232"/>
      <w:bookmarkStart w:id="18" w:name="_Toc19783313"/>
      <w:bookmarkStart w:id="19" w:name="_Toc20514"/>
      <w:bookmarkStart w:id="20" w:name="_Toc517281816"/>
      <w:bookmarkStart w:id="21" w:name="_Toc444891336"/>
      <w:bookmarkStart w:id="22" w:name="_Toc11071"/>
      <w:bookmarkStart w:id="23" w:name="_Toc6047"/>
      <w:bookmarkStart w:id="24" w:name="_Toc287600118"/>
      <w:bookmarkStart w:id="25" w:name="_Toc27220"/>
      <w:bookmarkStart w:id="26" w:name="_Toc21734"/>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517281817"/>
      <w:bookmarkStart w:id="28" w:name="_Toc3678"/>
      <w:bookmarkStart w:id="29" w:name="_Toc431"/>
      <w:bookmarkStart w:id="30" w:name="_Toc16441"/>
      <w:bookmarkStart w:id="31" w:name="_Toc19783314"/>
      <w:bookmarkStart w:id="32" w:name="_Toc11851"/>
      <w:bookmarkStart w:id="33" w:name="_Toc22969"/>
      <w:bookmarkStart w:id="34" w:name="_Toc287600119"/>
      <w:bookmarkStart w:id="35" w:name="_Toc6681"/>
      <w:bookmarkStart w:id="36" w:name="_Toc444891337"/>
      <w:bookmarkStart w:id="37" w:name="_Toc22449"/>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25513"/>
      <w:bookmarkStart w:id="39" w:name="_Toc444891338"/>
      <w:bookmarkStart w:id="40" w:name="_Toc5255"/>
      <w:bookmarkStart w:id="41" w:name="_Toc3016"/>
      <w:bookmarkStart w:id="42" w:name="_Toc10975"/>
      <w:bookmarkStart w:id="43" w:name="_Toc24246"/>
      <w:bookmarkStart w:id="44" w:name="_Toc14164"/>
      <w:bookmarkStart w:id="45" w:name="_Toc517281818"/>
      <w:bookmarkStart w:id="46" w:name="_Toc19783315"/>
      <w:bookmarkStart w:id="47" w:name="_Toc287600120"/>
      <w:bookmarkStart w:id="48" w:name="_Toc15296"/>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49" w:name="_Toc13691"/>
      <w:bookmarkStart w:id="50" w:name="_Toc444891339"/>
      <w:bookmarkStart w:id="51" w:name="_Toc14308"/>
      <w:bookmarkStart w:id="52" w:name="_Toc27563"/>
      <w:bookmarkStart w:id="53" w:name="_Toc31141"/>
      <w:bookmarkStart w:id="54" w:name="_Toc287600121"/>
      <w:bookmarkStart w:id="55" w:name="_Toc16985"/>
      <w:bookmarkStart w:id="56" w:name="_Toc517281819"/>
      <w:bookmarkStart w:id="57" w:name="_Toc19783316"/>
      <w:bookmarkStart w:id="58" w:name="_Toc27642"/>
      <w:bookmarkStart w:id="59" w:name="_Toc22704"/>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1" w:name="_Toc444891340"/>
      <w:bookmarkStart w:id="62" w:name="_Toc21600"/>
      <w:bookmarkStart w:id="63" w:name="_Toc18673"/>
      <w:bookmarkStart w:id="64" w:name="_Toc4155"/>
      <w:bookmarkStart w:id="65" w:name="_Toc7129"/>
      <w:bookmarkStart w:id="66" w:name="_Toc287600122"/>
      <w:bookmarkStart w:id="67" w:name="_Toc517281820"/>
      <w:bookmarkStart w:id="68" w:name="_Toc19783317"/>
      <w:bookmarkStart w:id="69" w:name="_Toc14726"/>
      <w:bookmarkStart w:id="70" w:name="_Toc17865"/>
      <w:bookmarkStart w:id="71" w:name="_Toc15158"/>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246996202"/>
      <w:bookmarkStart w:id="73" w:name="_Toc326223561"/>
      <w:bookmarkStart w:id="74" w:name="_Toc334766948"/>
      <w:bookmarkStart w:id="75" w:name="_Toc332188194"/>
      <w:bookmarkStart w:id="76" w:name="_Toc152045558"/>
      <w:bookmarkStart w:id="77" w:name="_Toc246996945"/>
      <w:bookmarkStart w:id="78" w:name="_Toc247085716"/>
      <w:bookmarkStart w:id="79" w:name="_Toc179632576"/>
      <w:bookmarkStart w:id="80" w:name="_Toc152042334"/>
      <w:bookmarkStart w:id="81" w:name="_Toc144974526"/>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30466"/>
      <w:bookmarkStart w:id="83" w:name="_Toc2636"/>
      <w:bookmarkStart w:id="84" w:name="_Toc2055"/>
      <w:bookmarkStart w:id="85" w:name="_Toc517281821"/>
      <w:bookmarkStart w:id="86" w:name="_Toc444891341"/>
      <w:bookmarkStart w:id="87" w:name="_Toc12797"/>
      <w:bookmarkStart w:id="88" w:name="_Toc11361"/>
      <w:bookmarkStart w:id="89" w:name="_Toc287600123"/>
      <w:bookmarkStart w:id="90" w:name="_Toc20741"/>
      <w:bookmarkStart w:id="91" w:name="_Toc27021"/>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w:t>
      </w:r>
      <w:r>
        <w:rPr>
          <w:rFonts w:hint="eastAsia" w:ascii="仿宋" w:hAnsi="仿宋" w:eastAsia="仿宋" w:cs="仿宋"/>
          <w:color w:val="000000"/>
          <w:lang w:val="en-US" w:eastAsia="zh-CN"/>
        </w:rPr>
        <w:t>4</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w:t>
      </w:r>
      <w:r>
        <w:rPr>
          <w:rFonts w:hint="eastAsia" w:ascii="仿宋" w:hAnsi="仿宋" w:eastAsia="仿宋" w:cs="仿宋"/>
          <w:color w:val="000000"/>
          <w:lang w:val="en-US" w:eastAsia="zh-CN"/>
        </w:rPr>
        <w:t>5</w:t>
      </w:r>
      <w:r>
        <w:rPr>
          <w:rFonts w:hint="eastAsia" w:ascii="仿宋" w:hAnsi="仿宋" w:eastAsia="仿宋" w:cs="仿宋"/>
          <w:color w:val="000000"/>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9911"/>
      <w:bookmarkStart w:id="96" w:name="_Toc19451"/>
      <w:bookmarkStart w:id="97" w:name="_Toc2322"/>
      <w:bookmarkStart w:id="98" w:name="_Toc13936"/>
      <w:bookmarkStart w:id="99" w:name="_Toc16781"/>
      <w:bookmarkStart w:id="100" w:name="_Toc28031"/>
      <w:bookmarkStart w:id="101" w:name="_Toc234223231"/>
      <w:bookmarkStart w:id="102" w:name="_Toc517281822"/>
      <w:bookmarkStart w:id="103" w:name="_Toc444891342"/>
      <w:bookmarkStart w:id="104" w:name="_Toc287600124"/>
      <w:bookmarkStart w:id="105" w:name="_Toc5886"/>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2</w:t>
      </w:r>
      <w:r>
        <w:rPr>
          <w:rFonts w:ascii="仿宋" w:hAnsi="仿宋" w:eastAsia="仿宋" w:cs="宋体"/>
          <w:color w:val="000000"/>
        </w:rPr>
        <w:t>.</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10670"/>
      <w:bookmarkStart w:id="108" w:name="_Toc30396"/>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517281825"/>
      <w:bookmarkStart w:id="111" w:name="_Toc7201"/>
      <w:bookmarkStart w:id="112" w:name="_Toc444891344"/>
      <w:bookmarkStart w:id="113" w:name="_Toc11013"/>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w:t>
      </w:r>
      <w:r>
        <w:rPr>
          <w:rFonts w:hint="eastAsia" w:ascii="仿宋" w:hAnsi="仿宋" w:eastAsia="仿宋" w:cs="仿宋"/>
        </w:rPr>
        <w:t>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lang w:val="en-US" w:eastAsia="zh-CN"/>
        </w:rPr>
        <w:t>5</w:t>
      </w:r>
      <w:r>
        <w:rPr>
          <w:rFonts w:hint="eastAsia" w:ascii="仿宋" w:hAnsi="仿宋" w:eastAsia="仿宋" w:cs="仿宋"/>
        </w:rPr>
        <w:t>.通过初步评审的供应商进行最终报价；</w:t>
      </w:r>
    </w:p>
    <w:p>
      <w:pPr>
        <w:spacing w:line="360" w:lineRule="auto"/>
        <w:ind w:firstLine="420" w:firstLineChars="175"/>
        <w:rPr>
          <w:rFonts w:hint="eastAsia" w:ascii="仿宋" w:hAnsi="仿宋" w:eastAsia="仿宋" w:cs="仿宋"/>
        </w:rPr>
      </w:pPr>
      <w:r>
        <w:rPr>
          <w:rFonts w:hint="eastAsia" w:ascii="仿宋" w:hAnsi="仿宋" w:eastAsia="仿宋" w:cs="仿宋"/>
          <w:lang w:val="en-US" w:eastAsia="zh-CN"/>
        </w:rPr>
        <w:t>6</w:t>
      </w:r>
      <w:r>
        <w:rPr>
          <w:rFonts w:hint="eastAsia" w:ascii="仿宋" w:hAnsi="仿宋" w:eastAsia="仿宋" w:cs="仿宋"/>
        </w:rPr>
        <w:t>.通过初步评审的响应文件进行详细评审及打分；</w:t>
      </w:r>
    </w:p>
    <w:p>
      <w:pPr>
        <w:spacing w:line="360" w:lineRule="auto"/>
        <w:ind w:firstLine="420" w:firstLineChars="175"/>
        <w:rPr>
          <w:rFonts w:ascii="仿宋" w:hAnsi="仿宋" w:eastAsia="仿宋" w:cs="仿宋"/>
          <w:color w:val="000000"/>
          <w:sz w:val="24"/>
          <w:szCs w:val="24"/>
        </w:rPr>
      </w:pPr>
      <w:r>
        <w:rPr>
          <w:rFonts w:hint="eastAsia" w:ascii="仿宋" w:hAnsi="仿宋" w:eastAsia="仿宋" w:cs="仿宋"/>
          <w:lang w:val="en-US" w:eastAsia="zh-CN"/>
        </w:rPr>
        <w:t>7</w:t>
      </w:r>
      <w:r>
        <w:rPr>
          <w:rFonts w:hint="eastAsia" w:ascii="仿宋" w:hAnsi="仿宋" w:eastAsia="仿宋" w:cs="仿宋"/>
        </w:rPr>
        <w:t>.按照综合评分由高到低的次序推荐成交候选人，提交评审结果，评审结果应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bookmarkStart w:id="116" w:name="_Toc517281826"/>
      <w:bookmarkStart w:id="117" w:name="_Toc444891345"/>
      <w:r>
        <w:rPr>
          <w:rFonts w:hint="eastAsia" w:ascii="仿宋" w:hAnsi="仿宋" w:eastAsia="仿宋" w:cs="仿宋"/>
          <w:color w:val="000000"/>
          <w:sz w:val="24"/>
          <w:szCs w:val="24"/>
        </w:rPr>
        <w:br w:type="page"/>
      </w:r>
      <w:bookmarkStart w:id="118" w:name="_Toc32019"/>
      <w:r>
        <w:rPr>
          <w:rFonts w:hint="eastAsia" w:ascii="仿宋" w:hAnsi="仿宋" w:eastAsia="仿宋" w:cs="仿宋"/>
          <w:color w:val="000000"/>
          <w:sz w:val="24"/>
          <w:szCs w:val="24"/>
        </w:rPr>
        <w:t>二、初步评审</w:t>
      </w:r>
      <w:bookmarkEnd w:id="116"/>
      <w:bookmarkEnd w:id="117"/>
      <w:bookmarkEnd w:id="118"/>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具有履行合同所必需的设备和专业技术能力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具有依法缴纳税收的良好记录</w:t>
            </w:r>
          </w:p>
        </w:tc>
        <w:tc>
          <w:tcPr>
            <w:tcW w:w="3002"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hint="eastAsia" w:ascii="仿宋" w:hAnsi="仿宋" w:eastAsia="仿宋" w:cs="Cambria Math"/>
                <w:color w:val="000000"/>
                <w:sz w:val="22"/>
                <w:szCs w:val="21"/>
                <w:lang w:val="en-US" w:eastAsia="zh-CN"/>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03"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19" w:name="_Toc25550"/>
      <w:bookmarkStart w:id="120" w:name="_Toc12433"/>
      <w:r>
        <w:rPr>
          <w:rFonts w:hint="eastAsia" w:ascii="仿宋" w:hAnsi="仿宋" w:eastAsia="仿宋" w:cs="仿宋"/>
          <w:color w:val="000000"/>
          <w:sz w:val="24"/>
          <w:szCs w:val="24"/>
        </w:rPr>
        <w:t>三、详细评审</w:t>
      </w:r>
      <w:bookmarkEnd w:id="119"/>
      <w:bookmarkEnd w:id="120"/>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hint="default" w:ascii="仿宋_GB2312" w:eastAsia="仿宋_GB2312"/>
          <w:lang w:val="en-US"/>
        </w:rPr>
      </w:pPr>
      <w:r>
        <w:rPr>
          <w:rFonts w:ascii="仿宋_GB2312" w:eastAsia="仿宋_GB2312"/>
        </w:rPr>
        <w:t>3.2</w:t>
      </w:r>
      <w:r>
        <w:rPr>
          <w:rFonts w:hint="eastAsia" w:ascii="仿宋_GB2312" w:eastAsia="仿宋_GB2312"/>
        </w:rPr>
        <w:t xml:space="preserve"> </w:t>
      </w:r>
      <w:r>
        <w:rPr>
          <w:rFonts w:hint="eastAsia" w:ascii="仿宋_GB2312" w:eastAsia="仿宋_GB2312"/>
          <w:lang w:val="en-US" w:eastAsia="zh-CN"/>
        </w:rPr>
        <w:t>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_GB2312" w:eastAsia="仿宋_GB2312"/>
          <w:lang w:val="en-US" w:eastAsia="zh-CN"/>
        </w:rPr>
        <w:t>商务部分、价格部分</w:t>
      </w:r>
      <w:r>
        <w:rPr>
          <w:rFonts w:hint="eastAsia" w:ascii="仿宋_GB2312" w:eastAsia="仿宋_GB2312"/>
        </w:rPr>
        <w:t>、</w:t>
      </w:r>
      <w:r>
        <w:rPr>
          <w:rFonts w:hint="eastAsia" w:ascii="仿宋_GB2312" w:eastAsia="仿宋_GB2312"/>
          <w:lang w:val="en-US" w:eastAsia="zh-CN"/>
        </w:rPr>
        <w:t>技术部分</w:t>
      </w:r>
      <w:r>
        <w:rPr>
          <w:rFonts w:hint="eastAsia" w:ascii="仿宋_GB2312" w:eastAsia="仿宋_GB2312"/>
        </w:rPr>
        <w:t>三项标准构成，评审专家将依据比选邀请文件要求，结合项目</w:t>
      </w:r>
      <w:r>
        <w:rPr>
          <w:rFonts w:hint="eastAsia" w:ascii="仿宋_GB2312" w:eastAsia="仿宋_GB2312"/>
          <w:lang w:val="en-US" w:eastAsia="zh-CN"/>
        </w:rPr>
        <w:t>商务部分、</w:t>
      </w:r>
      <w:r>
        <w:rPr>
          <w:rFonts w:hint="eastAsia" w:ascii="仿宋_GB2312" w:eastAsia="仿宋_GB2312"/>
        </w:rPr>
        <w:t>最终报价表、技术方案等情况进行评分。各有效供应商的综合得分为各评审专家所评分值的算术平均值，若总得分相同，以价格得分高者排序在先。将把合同授予被确定为实质上响应比选文件要求且评标得分</w:t>
      </w:r>
      <w:r>
        <w:rPr>
          <w:rFonts w:hint="eastAsia" w:ascii="仿宋_GB2312" w:eastAsia="仿宋_GB2312"/>
          <w:color w:val="auto"/>
          <w:lang w:val="en-US" w:eastAsia="zh-CN"/>
        </w:rPr>
        <w:t>第</w:t>
      </w:r>
      <w:r>
        <w:rPr>
          <w:rFonts w:hint="eastAsia" w:ascii="仿宋_GB2312" w:eastAsia="仿宋_GB2312"/>
          <w:color w:val="auto"/>
        </w:rPr>
        <w:t>1名的</w:t>
      </w:r>
      <w:r>
        <w:rPr>
          <w:rFonts w:hint="eastAsia" w:ascii="仿宋_GB2312" w:eastAsia="仿宋_GB2312"/>
        </w:rPr>
        <w:t>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29"/>
        <w:tblW w:w="9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1065"/>
        <w:gridCol w:w="1080"/>
        <w:gridCol w:w="825"/>
        <w:gridCol w:w="58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记分项</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分数</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分项内容</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分项分数</w:t>
            </w:r>
          </w:p>
        </w:tc>
        <w:tc>
          <w:tcPr>
            <w:tcW w:w="5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评分说明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商务部分</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10分</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同类业绩</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人近三年（2023年1月1日至开标日）具有1个以上同类项目实施案例，并提供符合上述要求的合同/协议关键页作为有效的业绩证明材料。合同/协议关键页包含但不限于合同/协议首页、体现项目内容页、签署日期页及盖章页等。在满足资格条件1个案例的基础上，每再增加1个有效案例得1分，最多得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2"/>
                <w:szCs w:val="22"/>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rPr>
              <w:t>企业综合实力</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根据投标人财务状况（营业收入、净利润）、信誉状况、人员储备等情况进行横向比较评分（需提供相应证明材料），评标为优得5分，较优得3-4分，一般得1-2分。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1" w:hRule="atLeast"/>
        </w:trPr>
        <w:tc>
          <w:tcPr>
            <w:tcW w:w="1080" w:type="dxa"/>
            <w:tcBorders>
              <w:top w:val="single" w:color="000000" w:sz="4" w:space="0"/>
              <w:left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价格部分</w:t>
            </w:r>
          </w:p>
        </w:tc>
        <w:tc>
          <w:tcPr>
            <w:tcW w:w="1065" w:type="dxa"/>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运营服务管理费用报价</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评分法中的价格分采用低价优先法计算，即满足招标文件要求且最低的评审价格为评标基准价，等于评标基准价得50分。其他供应商的价格分统一按照下列公式计算，精确到小数点后两位：</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供应商报价得分＝（评标基准价/评审价格）×50；</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评审价格按照如下方式定义：</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对于承诺提供增值税专用发票的供应商，评审价格即不含税的投标总价净价；</w:t>
            </w:r>
          </w:p>
          <w:p>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对于不能提供增值税专用发票的供应商，评审价格是含税的投标总价。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技术部分</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40分</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服务方案</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根据投标人针对本项目制定的服务方案完整性、全面性、对需求响应的契合度等方面的理解程度及解决办法、服务计划、应急方案等方面进行综合评审。</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优秀：对项目有详细分析；服务目标逐条响应招标要求；制度健全，可操作性强得8-10分；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较好：有项目分析但不够深入；服务目标基本响应招标要求；制度较全无明显缺项得5-7分；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一般：对项目较少分析；服务目标笼统；制度不全；基本能执行得1-4分；</w:t>
            </w:r>
          </w:p>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未提供或严重缺项，无法满足基本要求不得分。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人员配置</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根据人员配置与该项目适配性、合理性、有效性等维度赋分。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优秀:项目团队对需求的响应程度高，项目团队人员配备合理，职责分工明确，经验丰富，资质实力强，得8-10分；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良好:项目团队对需求的响应程度较高，项目团队人员配备较合理，职责分工较明确，经验较丰富，资质实力较强，得5-7分；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一般:项目团队对需求的响应程度一般，项目团队人员配备不太合理，职责分工不太明确，服务经验少，资质实力一般，得1-4分；</w:t>
            </w:r>
          </w:p>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所提供的方案与本项目无相关性，简单套用其他项目模板或未提供人员配置方案不得分。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设施与设备维护</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根据设施设备维护的计划，频次，响应，管理，年检等维度赋分。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优秀:主要设施设备维保制度完善，响应时间明确，维保记录管理制度健全，得8-10分；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良好:主要设施设备维保制度合理，响应程度较高，维保记录管理制度完善，5-7分；</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一般:主要设施设备仅日常巡检报修，无明确响应时间，无管理记录和制度，得1-4分；</w:t>
            </w:r>
          </w:p>
          <w:p>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未提供或严重缺项，无法满足基本要求不得分。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付款条件</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供应商完全响应我公司付款方式，得3分，供应商付款方式优于我公司要求横向比较打分4-5分，不响应我公司付款条件不得分。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增值服务</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5分</w:t>
            </w:r>
          </w:p>
        </w:tc>
        <w:tc>
          <w:tcPr>
            <w:tcW w:w="5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投标人根据对项目需求的理解，提供增值服务方案，对增值服务与本项目需求契合度，方案完整性等方面进行评价，优良</w:t>
            </w:r>
            <w:r>
              <w:rPr>
                <w:rFonts w:hint="eastAsia" w:ascii="宋体" w:hAnsi="宋体" w:eastAsia="宋体" w:cs="宋体"/>
                <w:i w:val="0"/>
                <w:iCs w:val="0"/>
                <w:color w:val="000000"/>
                <w:sz w:val="22"/>
                <w:szCs w:val="22"/>
                <w:u w:val="none"/>
                <w:lang w:val="en-US" w:eastAsia="zh-CN"/>
              </w:rPr>
              <w:t>4</w:t>
            </w:r>
            <w:r>
              <w:rPr>
                <w:rFonts w:hint="eastAsia" w:ascii="宋体" w:hAnsi="宋体" w:eastAsia="宋体" w:cs="宋体"/>
                <w:i w:val="0"/>
                <w:iCs w:val="0"/>
                <w:color w:val="000000"/>
                <w:sz w:val="22"/>
                <w:szCs w:val="22"/>
                <w:u w:val="none"/>
              </w:rPr>
              <w:t>-</w:t>
            </w:r>
            <w:r>
              <w:rPr>
                <w:rFonts w:hint="eastAsia" w:ascii="宋体" w:hAnsi="宋体" w:eastAsia="宋体" w:cs="宋体"/>
                <w:i w:val="0"/>
                <w:iCs w:val="0"/>
                <w:color w:val="000000"/>
                <w:sz w:val="22"/>
                <w:szCs w:val="22"/>
                <w:u w:val="none"/>
                <w:lang w:val="en-US" w:eastAsia="zh-CN"/>
              </w:rPr>
              <w:t>5</w:t>
            </w:r>
            <w:r>
              <w:rPr>
                <w:rFonts w:hint="eastAsia" w:ascii="宋体" w:hAnsi="宋体" w:eastAsia="宋体" w:cs="宋体"/>
                <w:i w:val="0"/>
                <w:iCs w:val="0"/>
                <w:color w:val="000000"/>
                <w:sz w:val="22"/>
                <w:szCs w:val="22"/>
                <w:u w:val="none"/>
              </w:rPr>
              <w:t>分，较好</w:t>
            </w:r>
            <w:r>
              <w:rPr>
                <w:rFonts w:hint="eastAsia" w:ascii="宋体" w:hAnsi="宋体" w:eastAsia="宋体" w:cs="宋体"/>
                <w:i w:val="0"/>
                <w:iCs w:val="0"/>
                <w:color w:val="000000"/>
                <w:sz w:val="22"/>
                <w:szCs w:val="22"/>
                <w:u w:val="none"/>
                <w:lang w:val="en-US" w:eastAsia="zh-CN"/>
              </w:rPr>
              <w:t>2</w:t>
            </w:r>
            <w:r>
              <w:rPr>
                <w:rFonts w:hint="eastAsia" w:ascii="宋体" w:hAnsi="宋体" w:eastAsia="宋体" w:cs="宋体"/>
                <w:i w:val="0"/>
                <w:iCs w:val="0"/>
                <w:color w:val="000000"/>
                <w:sz w:val="22"/>
                <w:szCs w:val="22"/>
                <w:u w:val="none"/>
              </w:rPr>
              <w:t>-</w:t>
            </w:r>
            <w:r>
              <w:rPr>
                <w:rFonts w:hint="eastAsia" w:ascii="宋体" w:hAnsi="宋体" w:eastAsia="宋体" w:cs="宋体"/>
                <w:i w:val="0"/>
                <w:iCs w:val="0"/>
                <w:color w:val="000000"/>
                <w:sz w:val="22"/>
                <w:szCs w:val="22"/>
                <w:u w:val="none"/>
                <w:lang w:val="en-US" w:eastAsia="zh-CN"/>
              </w:rPr>
              <w:t>3</w:t>
            </w:r>
            <w:r>
              <w:rPr>
                <w:rFonts w:hint="eastAsia" w:ascii="宋体" w:hAnsi="宋体" w:eastAsia="宋体" w:cs="宋体"/>
                <w:i w:val="0"/>
                <w:iCs w:val="0"/>
                <w:color w:val="000000"/>
                <w:sz w:val="22"/>
                <w:szCs w:val="22"/>
                <w:u w:val="none"/>
              </w:rPr>
              <w:t>分，一般</w:t>
            </w:r>
            <w:r>
              <w:rPr>
                <w:rFonts w:hint="eastAsia" w:ascii="宋体" w:hAnsi="宋体" w:eastAsia="宋体" w:cs="宋体"/>
                <w:i w:val="0"/>
                <w:iCs w:val="0"/>
                <w:color w:val="000000"/>
                <w:sz w:val="22"/>
                <w:szCs w:val="22"/>
                <w:u w:val="none"/>
                <w:lang w:val="en-US" w:eastAsia="zh-CN"/>
              </w:rPr>
              <w:t>1</w:t>
            </w:r>
            <w:r>
              <w:rPr>
                <w:rFonts w:hint="eastAsia" w:ascii="宋体" w:hAnsi="宋体" w:eastAsia="宋体" w:cs="宋体"/>
                <w:i w:val="0"/>
                <w:iCs w:val="0"/>
                <w:color w:val="000000"/>
                <w:sz w:val="22"/>
                <w:szCs w:val="22"/>
                <w:u w:val="none"/>
              </w:rPr>
              <w:t>分。</w:t>
            </w:r>
            <w:r>
              <w:rPr>
                <w:rFonts w:hint="eastAsia" w:ascii="宋体" w:hAnsi="宋体" w:eastAsia="宋体" w:cs="宋体"/>
                <w:i w:val="0"/>
                <w:iCs w:val="0"/>
                <w:color w:val="000000"/>
                <w:kern w:val="0"/>
                <w:sz w:val="22"/>
                <w:szCs w:val="22"/>
                <w:u w:val="none"/>
                <w:lang w:val="en-US" w:eastAsia="zh-CN" w:bidi="ar"/>
              </w:rPr>
              <w:t>未提供不得分。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100分</w:t>
            </w:r>
          </w:p>
        </w:tc>
        <w:tc>
          <w:tcPr>
            <w:tcW w:w="5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bl>
    <w:p/>
    <w:p>
      <w:pPr>
        <w:pStyle w:val="2"/>
      </w:pPr>
    </w:p>
    <w:p>
      <w:pPr>
        <w:pStyle w:val="2"/>
      </w:pPr>
    </w:p>
    <w:p>
      <w:pPr>
        <w:pStyle w:val="2"/>
      </w:pPr>
    </w:p>
    <w:bookmarkEnd w:id="109"/>
    <w:p>
      <w:pPr>
        <w:pStyle w:val="3"/>
        <w:spacing w:before="0" w:after="0"/>
        <w:jc w:val="left"/>
        <w:rPr>
          <w:rStyle w:val="34"/>
          <w:rFonts w:asciiTheme="minorHAnsi" w:hAnsiTheme="minorHAnsi" w:eastAsiaTheme="minorEastAsia"/>
          <w:b w:val="0"/>
          <w:bCs w:val="0"/>
          <w:color w:val="auto"/>
          <w:kern w:val="0"/>
          <w:szCs w:val="24"/>
        </w:rPr>
      </w:pPr>
      <w:bookmarkStart w:id="121" w:name="_Toc15254"/>
      <w:bookmarkStart w:id="122" w:name="_Toc8676"/>
      <w:r>
        <w:rPr>
          <w:rFonts w:hint="eastAsia" w:ascii="仿宋" w:hAnsi="仿宋" w:eastAsia="仿宋" w:cs="仿宋"/>
          <w:color w:val="auto"/>
          <w:sz w:val="28"/>
          <w:szCs w:val="28"/>
        </w:rPr>
        <w:t>第四章 合同条</w:t>
      </w:r>
      <w:bookmarkEnd w:id="121"/>
      <w:r>
        <w:rPr>
          <w:rFonts w:hint="eastAsia" w:ascii="仿宋" w:hAnsi="仿宋" w:eastAsia="仿宋" w:cs="仿宋"/>
          <w:color w:val="auto"/>
          <w:sz w:val="28"/>
          <w:szCs w:val="28"/>
        </w:rPr>
        <w:t>款</w:t>
      </w:r>
      <w:bookmarkEnd w:id="122"/>
    </w:p>
    <w:p/>
    <w:p>
      <w:pPr>
        <w:spacing w:line="600" w:lineRule="atLeast"/>
        <w:jc w:val="center"/>
        <w:rPr>
          <w:b/>
          <w:bCs/>
          <w:color w:val="auto"/>
        </w:rPr>
      </w:pPr>
      <w:r>
        <w:rPr>
          <w:rFonts w:hint="eastAsia" w:ascii="仿宋_GB2312" w:eastAsia="仿宋_GB2312" w:cs="仿宋_GB2312"/>
          <w:b/>
          <w:bCs/>
          <w:color w:val="auto"/>
          <w:sz w:val="32"/>
          <w:szCs w:val="32"/>
          <w:lang w:eastAsia="zh-CN"/>
        </w:rPr>
        <w:t>人保财险四川省自贡市分公司职场物业服务采购项目</w:t>
      </w:r>
      <w:r>
        <w:rPr>
          <w:rFonts w:hint="eastAsia" w:ascii="仿宋_GB2312" w:eastAsia="仿宋_GB2312" w:cs="仿宋_GB2312"/>
          <w:b/>
          <w:bCs/>
          <w:color w:val="auto"/>
          <w:sz w:val="32"/>
          <w:szCs w:val="32"/>
          <w:lang w:val="en-US" w:eastAsia="zh-CN"/>
        </w:rPr>
        <w:t>合同</w:t>
      </w:r>
      <w:r>
        <w:rPr>
          <w:rFonts w:ascii="宋体" w:hAnsi="宋体" w:eastAsia="宋体" w:cs="宋体"/>
          <w:b/>
          <w:bCs/>
          <w:color w:val="auto"/>
          <w:sz w:val="24"/>
          <w:szCs w:val="24"/>
          <w:lang w:eastAsia="zh-CN"/>
        </w:rPr>
        <w:br w:type="textWrapping"/>
      </w:r>
    </w:p>
    <w:p>
      <w:pPr>
        <w:spacing w:line="600" w:lineRule="atLeast"/>
        <w:jc w:val="left"/>
        <w:rPr>
          <w:rFonts w:ascii="仿宋_GB2312" w:eastAsia="仿宋_GB2312" w:cs="仿宋_GB2312"/>
          <w:sz w:val="32"/>
          <w:szCs w:val="32"/>
        </w:rPr>
      </w:pPr>
      <w:r>
        <w:rPr>
          <w:rFonts w:hint="eastAsia" w:ascii="仿宋_GB2312" w:eastAsia="仿宋_GB2312" w:cs="仿宋_GB2312"/>
          <w:sz w:val="32"/>
          <w:szCs w:val="32"/>
          <w:lang w:eastAsia="zh-CN"/>
        </w:rPr>
        <w:t>甲方：中国人民财产保险股份有限公司自贡市分公司</w:t>
      </w:r>
    </w:p>
    <w:p>
      <w:pPr>
        <w:spacing w:line="600" w:lineRule="atLeast"/>
        <w:jc w:val="left"/>
        <w:rPr>
          <w:rFonts w:hint="eastAsia" w:ascii="仿宋_GB2312" w:eastAsia="仿宋_GB2312" w:cs="仿宋_GB2312"/>
          <w:sz w:val="32"/>
          <w:szCs w:val="32"/>
        </w:rPr>
      </w:pPr>
      <w:r>
        <w:rPr>
          <w:rFonts w:hint="eastAsia" w:ascii="仿宋_GB2312" w:eastAsia="仿宋_GB2312" w:cs="仿宋_GB2312"/>
          <w:sz w:val="32"/>
          <w:szCs w:val="32"/>
          <w:lang w:eastAsia="zh-CN"/>
        </w:rPr>
        <w:t>地址：XXXX</w:t>
      </w:r>
    </w:p>
    <w:p>
      <w:pPr>
        <w:keepNext w:val="0"/>
        <w:keepLines w:val="0"/>
        <w:widowControl/>
        <w:suppressLineNumbers w:val="0"/>
        <w:jc w:val="left"/>
      </w:pPr>
    </w:p>
    <w:p>
      <w:pPr>
        <w:spacing w:line="600" w:lineRule="atLeast"/>
        <w:jc w:val="left"/>
        <w:rPr>
          <w:rFonts w:hint="eastAsia" w:ascii="仿宋_GB2312" w:eastAsia="仿宋_GB2312" w:cs="仿宋_GB2312"/>
          <w:sz w:val="32"/>
          <w:szCs w:val="32"/>
        </w:rPr>
      </w:pPr>
      <w:r>
        <w:rPr>
          <w:rFonts w:hint="eastAsia" w:ascii="仿宋_GB2312" w:eastAsia="仿宋_GB2312" w:cs="仿宋_GB2312"/>
          <w:sz w:val="32"/>
          <w:szCs w:val="32"/>
          <w:lang w:eastAsia="zh-CN"/>
        </w:rPr>
        <w:t>乙方：XXXXXX</w:t>
      </w:r>
    </w:p>
    <w:p>
      <w:pPr>
        <w:spacing w:line="600" w:lineRule="atLeast"/>
        <w:jc w:val="left"/>
        <w:rPr>
          <w:rFonts w:hint="eastAsia" w:ascii="仿宋_GB2312" w:eastAsia="仿宋_GB2312" w:cs="仿宋_GB2312"/>
          <w:sz w:val="32"/>
          <w:szCs w:val="32"/>
        </w:rPr>
      </w:pPr>
      <w:r>
        <w:rPr>
          <w:rFonts w:hint="eastAsia" w:ascii="仿宋_GB2312" w:eastAsia="仿宋_GB2312" w:cs="仿宋_GB2312"/>
          <w:sz w:val="32"/>
          <w:szCs w:val="32"/>
          <w:lang w:eastAsia="zh-CN"/>
        </w:rPr>
        <w:t>地址：XXXXX</w:t>
      </w:r>
    </w:p>
    <w:p>
      <w:pPr>
        <w:keepNext w:val="0"/>
        <w:keepLines w:val="0"/>
        <w:widowControl/>
        <w:suppressLineNumbers w:val="0"/>
        <w:jc w:val="left"/>
      </w:pPr>
    </w:p>
    <w:p>
      <w:pPr>
        <w:keepNext w:val="0"/>
        <w:keepLines w:val="0"/>
        <w:widowControl/>
        <w:suppressLineNumbers w:val="0"/>
        <w:spacing w:after="240" w:afterAutospacing="0"/>
        <w:jc w:val="left"/>
      </w:pPr>
      <w:r>
        <w:rPr>
          <w:rFonts w:ascii="宋体" w:hAnsi="宋体" w:eastAsia="宋体" w:cs="宋体"/>
          <w:sz w:val="24"/>
          <w:szCs w:val="24"/>
          <w:lang w:eastAsia="zh-CN"/>
        </w:rPr>
        <w:br w:type="textWrapping"/>
      </w:r>
      <w:r>
        <w:rPr>
          <w:rFonts w:ascii="宋体" w:hAnsi="宋体" w:eastAsia="宋体" w:cs="宋体"/>
          <w:sz w:val="24"/>
          <w:szCs w:val="24"/>
          <w:lang w:eastAsia="zh-CN"/>
        </w:rPr>
        <w:br w:type="page"/>
      </w:r>
      <w:r>
        <w:rPr>
          <w:rFonts w:hint="eastAsia" w:ascii="仿宋_GB2312" w:hAnsi="宋体" w:eastAsia="仿宋_GB2312" w:cs="仿宋_GB2312"/>
          <w:sz w:val="32"/>
          <w:szCs w:val="32"/>
          <w:lang w:eastAsia="zh-CN"/>
        </w:rPr>
        <w:t>鉴于：</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t>   XXXX</w:t>
      </w:r>
      <w:r>
        <w:rPr>
          <w:rFonts w:hint="eastAsia" w:ascii="仿宋_GB2312" w:hAnsi="宋体" w:eastAsia="仿宋_GB2312" w:cs="仿宋_GB2312"/>
          <w:sz w:val="32"/>
          <w:szCs w:val="32"/>
          <w:lang w:eastAsia="zh-CN"/>
        </w:rPr>
        <w:br w:type="textWrapping"/>
      </w:r>
    </w:p>
    <w:p>
      <w:pPr>
        <w:spacing w:line="600" w:lineRule="exact"/>
        <w:jc w:val="center"/>
      </w:pPr>
      <w:r>
        <w:rPr>
          <w:rFonts w:hint="eastAsia" w:ascii="仿宋_GB2312" w:eastAsia="仿宋_GB2312" w:cs="仿宋_GB2312"/>
          <w:b/>
          <w:bCs/>
          <w:sz w:val="32"/>
          <w:szCs w:val="32"/>
          <w:lang w:eastAsia="zh-CN"/>
        </w:rPr>
        <w:t>商务部分</w:t>
      </w:r>
    </w:p>
    <w:p>
      <w:pPr>
        <w:spacing w:line="600" w:lineRule="exact"/>
        <w:jc w:val="left"/>
      </w:pPr>
      <w:r>
        <w:rPr>
          <w:rFonts w:hint="eastAsia" w:ascii="仿宋_GB2312" w:eastAsia="仿宋_GB2312" w:cs="仿宋_GB2312"/>
          <w:b/>
          <w:bCs w:val="0"/>
          <w:sz w:val="32"/>
          <w:szCs w:val="32"/>
          <w:lang w:eastAsia="zh-CN"/>
        </w:rPr>
        <w:t>        第一条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服务内容及要求</w:t>
      </w:r>
      <w:r>
        <w:rPr>
          <w:rFonts w:hint="eastAsia" w:ascii="仿宋_GB2312" w:eastAsia="仿宋_GB2312" w:cs="仿宋_GB2312"/>
          <w:sz w:val="32"/>
          <w:szCs w:val="32"/>
          <w:lang w:eastAsia="zh-CN"/>
        </w:rPr>
        <w:t xml:space="preserve">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本合同项下甲乙双方约定的项目内容及要求见本合同【附件】。</w:t>
      </w:r>
    </w:p>
    <w:p>
      <w:pPr>
        <w:spacing w:line="600" w:lineRule="exact"/>
        <w:jc w:val="left"/>
      </w:pPr>
      <w:r>
        <w:rPr>
          <w:rFonts w:hint="eastAsia" w:ascii="仿宋_GB2312" w:eastAsia="仿宋_GB2312" w:cs="仿宋_GB2312"/>
          <w:b/>
          <w:bCs w:val="0"/>
          <w:sz w:val="32"/>
          <w:szCs w:val="32"/>
          <w:lang w:eastAsia="zh-CN"/>
        </w:rPr>
        <w:t>        第二条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合同价格</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本合同付款安排见【附件】。</w:t>
      </w:r>
    </w:p>
    <w:p>
      <w:pPr>
        <w:spacing w:line="600" w:lineRule="exact"/>
        <w:jc w:val="center"/>
      </w:pPr>
      <w:r>
        <w:rPr>
          <w:rFonts w:hint="eastAsia" w:ascii="仿宋_GB2312" w:eastAsia="仿宋_GB2312" w:cs="仿宋_GB2312"/>
          <w:b/>
          <w:bCs/>
          <w:sz w:val="32"/>
          <w:szCs w:val="32"/>
          <w:lang w:eastAsia="zh-CN"/>
        </w:rPr>
        <w:t>通用部分</w:t>
      </w:r>
    </w:p>
    <w:p>
      <w:pPr>
        <w:spacing w:line="600" w:lineRule="exact"/>
        <w:jc w:val="left"/>
      </w:pPr>
      <w:r>
        <w:rPr>
          <w:rFonts w:hint="eastAsia" w:ascii="仿宋_GB2312" w:eastAsia="仿宋_GB2312" w:cs="仿宋_GB2312"/>
          <w:b/>
          <w:bCs w:val="0"/>
          <w:sz w:val="32"/>
          <w:szCs w:val="32"/>
          <w:lang w:eastAsia="zh-CN"/>
        </w:rPr>
        <w:t>        第三条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双方的权利和义务</w:t>
      </w:r>
    </w:p>
    <w:p>
      <w:pPr>
        <w:spacing w:line="600" w:lineRule="exact"/>
        <w:jc w:val="left"/>
      </w:pPr>
      <w:r>
        <w:rPr>
          <w:rFonts w:hint="eastAsia" w:ascii="仿宋_GB2312" w:eastAsia="仿宋_GB2312" w:cs="仿宋_GB2312"/>
          <w:b/>
          <w:bCs w:val="0"/>
          <w:sz w:val="32"/>
          <w:szCs w:val="32"/>
          <w:lang w:eastAsia="zh-CN"/>
        </w:rPr>
        <w:t>        第四条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禁止转让</w:t>
      </w:r>
      <w:r>
        <w:rPr>
          <w:rFonts w:hint="eastAsia" w:ascii="仿宋_GB2312" w:eastAsia="仿宋_GB2312" w:cs="仿宋_GB2312"/>
          <w:sz w:val="32"/>
          <w:szCs w:val="32"/>
          <w:lang w:eastAsia="zh-CN"/>
        </w:rPr>
        <w:t xml:space="preserve">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未经甲方事先书面同意，乙方不得将其本合同项下之全部义务或其中一部分义务转让给第三方执行。</w:t>
      </w:r>
    </w:p>
    <w:p>
      <w:pPr>
        <w:spacing w:line="600" w:lineRule="exact"/>
        <w:jc w:val="left"/>
      </w:pPr>
      <w:r>
        <w:rPr>
          <w:rFonts w:hint="eastAsia" w:ascii="仿宋_GB2312" w:eastAsia="仿宋_GB2312" w:cs="仿宋_GB2312"/>
          <w:b/>
          <w:bCs w:val="0"/>
          <w:sz w:val="32"/>
          <w:szCs w:val="32"/>
          <w:lang w:eastAsia="zh-CN"/>
        </w:rPr>
        <w:t>        第五条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权利保证</w:t>
      </w:r>
      <w:r>
        <w:rPr>
          <w:rFonts w:hint="eastAsia" w:ascii="仿宋_GB2312" w:eastAsia="仿宋_GB2312" w:cs="仿宋_GB2312"/>
          <w:sz w:val="32"/>
          <w:szCs w:val="32"/>
          <w:lang w:eastAsia="zh-CN"/>
        </w:rPr>
        <w:t xml:space="preserve">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pPr>
      <w:r>
        <w:rPr>
          <w:rFonts w:hint="eastAsia" w:ascii="仿宋_GB2312" w:eastAsia="仿宋_GB2312" w:cs="仿宋_GB2312"/>
          <w:b/>
          <w:bCs w:val="0"/>
          <w:sz w:val="32"/>
          <w:szCs w:val="32"/>
          <w:lang w:eastAsia="zh-CN"/>
        </w:rPr>
        <w:t>        第六条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第三方索赔</w:t>
      </w:r>
      <w:r>
        <w:rPr>
          <w:rFonts w:hint="eastAsia" w:ascii="仿宋_GB2312" w:eastAsia="仿宋_GB2312" w:cs="仿宋_GB2312"/>
          <w:sz w:val="32"/>
          <w:szCs w:val="32"/>
          <w:lang w:eastAsia="zh-CN"/>
        </w:rPr>
        <w:t xml:space="preserve">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乙方提供服务的过程中出现乙方员工或第三方受到人身或财产损害，导致乙方员工或第三方主张权利的，乙方应当负责解决并承担全部责任。</w:t>
      </w:r>
    </w:p>
    <w:p>
      <w:pPr>
        <w:spacing w:line="600" w:lineRule="exact"/>
        <w:jc w:val="left"/>
      </w:pPr>
      <w:r>
        <w:rPr>
          <w:rFonts w:hint="eastAsia" w:ascii="仿宋_GB2312" w:eastAsia="仿宋_GB2312" w:cs="仿宋_GB2312"/>
          <w:b/>
          <w:bCs w:val="0"/>
          <w:sz w:val="32"/>
          <w:szCs w:val="32"/>
          <w:lang w:eastAsia="zh-CN"/>
        </w:rPr>
        <w:t>        第七条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违约责任</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乙方未能按要求的期限提供服务的，乙方应按照拖延的天数，每拖延1天，按合同总价款的X%向甲方支付违约金，违约金不足以弥补甲方损失的,乙方应当继续承担赔偿责任。</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（二） 乙方违反本合同,未达到约定的服务质量，甲方有权要求乙方在指定期限内改正，逾期乙方未改正的,甲方有权通知乙方立即解除本合同,乙方应按照合同总价款的X%向甲方支付违约金,违约金不足以弥补甲方损失的,乙方应当继续承担赔偿责任。</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（三） 在本合同有效期内，乙方如果提前解除本合同，须提前10个工作日通知甲方并按照合同总价款的X%向甲方支付违约金，违约金不足以弥补甲方损失的,乙方应当继续承担赔偿责任。</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（四） 如果乙方违反本合同约定的保密义务，乙方应向甲方支付相当于本合同总价款X%的违约金，甲方受到的损失超出违约金的部分，由乙方继续承担赔偿责任。</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（五） 除本合同的约定外，因乙方的违约行为给甲方造成损失的，乙方应向甲方支付相当于本合同总价款X%的违约金，如甲方受到的损失超过违约金的，超出部分由乙方继续承担赔偿责任。</w:t>
      </w:r>
    </w:p>
    <w:p>
      <w:pPr>
        <w:spacing w:line="600" w:lineRule="exact"/>
        <w:jc w:val="left"/>
      </w:pPr>
      <w:r>
        <w:rPr>
          <w:rFonts w:hint="eastAsia" w:ascii="仿宋_GB2312" w:eastAsia="仿宋_GB2312" w:cs="仿宋_GB2312"/>
          <w:b/>
          <w:bCs w:val="0"/>
          <w:sz w:val="32"/>
          <w:szCs w:val="32"/>
          <w:lang w:eastAsia="zh-CN"/>
        </w:rPr>
        <w:t>        第八条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保密义务</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（二） 乙方在本合同中所受领的保密信息应及时返还甲方或在甲方监督下予以销毁。乙方擅自留存备份信息，视为违反保密约定。</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（三） 无论本合同因何种原因终止，本保密条款依然有效。</w:t>
      </w:r>
    </w:p>
    <w:p>
      <w:pPr>
        <w:spacing w:line="600" w:lineRule="exact"/>
        <w:jc w:val="left"/>
      </w:pPr>
      <w:r>
        <w:rPr>
          <w:rFonts w:hint="eastAsia" w:ascii="仿宋_GB2312" w:eastAsia="仿宋_GB2312" w:cs="仿宋_GB2312"/>
          <w:b/>
          <w:bCs w:val="0"/>
          <w:sz w:val="32"/>
          <w:szCs w:val="32"/>
          <w:lang w:eastAsia="zh-CN"/>
        </w:rPr>
        <w:t>        第九条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不可抗力</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（三） 合同一方迟延履行后发生不可抗力的，不能免除其责任。</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jc w:val="left"/>
      </w:pPr>
      <w:r>
        <w:rPr>
          <w:rFonts w:hint="eastAsia" w:ascii="仿宋_GB2312" w:eastAsia="仿宋_GB2312" w:cs="仿宋_GB2312"/>
          <w:b/>
          <w:bCs w:val="0"/>
          <w:sz w:val="32"/>
          <w:szCs w:val="32"/>
          <w:lang w:eastAsia="zh-CN"/>
        </w:rPr>
        <w:t>        第十条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合同变更</w:t>
      </w:r>
      <w:r>
        <w:rPr>
          <w:rFonts w:hint="eastAsia" w:ascii="仿宋_GB2312" w:eastAsia="仿宋_GB2312" w:cs="仿宋_GB2312"/>
          <w:sz w:val="32"/>
          <w:szCs w:val="32"/>
          <w:lang w:eastAsia="zh-CN"/>
        </w:rPr>
        <w:t xml:space="preserve">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对本合同的任何变更或补充，须经甲乙双方协商一致，并另行签订书面补充协议。</w:t>
      </w:r>
    </w:p>
    <w:p>
      <w:pPr>
        <w:spacing w:line="600" w:lineRule="exact"/>
        <w:jc w:val="left"/>
      </w:pPr>
      <w:r>
        <w:rPr>
          <w:rFonts w:hint="eastAsia" w:ascii="仿宋_GB2312" w:eastAsia="仿宋_GB2312" w:cs="仿宋_GB2312"/>
          <w:b/>
          <w:bCs w:val="0"/>
          <w:sz w:val="32"/>
          <w:szCs w:val="32"/>
          <w:lang w:eastAsia="zh-CN"/>
        </w:rPr>
        <w:t>        第十一条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合同特别终止</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甲乙双方同意在乙方出现下列情形时，甲方可以书面形式通知乙方（或者乙方的破产清算组或相关管理人）提出终止合同而不向其提供任何补偿： </w:t>
      </w:r>
      <w:r>
        <w:rPr>
          <w:rFonts w:hint="eastAsia" w:ascii="仿宋_GB2312" w:eastAsia="仿宋_GB2312" w:cs="仿宋_GB2312"/>
          <w:sz w:val="32"/>
          <w:szCs w:val="32"/>
          <w:lang w:eastAsia="zh-CN"/>
        </w:rPr>
        <w:br w:type="textWrapping"/>
      </w:r>
      <w:r>
        <w:rPr>
          <w:rFonts w:hint="eastAsia" w:ascii="仿宋_GB2312" w:eastAsia="仿宋_GB2312" w:cs="仿宋_GB2312"/>
          <w:color w:val="3A3A3A"/>
          <w:sz w:val="32"/>
          <w:szCs w:val="32"/>
          <w:lang w:val="en-US"/>
        </w:rPr>
        <w:t>        </w:t>
      </w:r>
      <w:r>
        <w:rPr>
          <w:rFonts w:hint="eastAsia" w:ascii="仿宋_GB2312" w:eastAsia="仿宋_GB2312" w:cs="仿宋_GB2312"/>
          <w:sz w:val="32"/>
          <w:szCs w:val="32"/>
          <w:lang w:eastAsia="zh-CN"/>
        </w:rPr>
        <w:t xml:space="preserve">（1）乙方破产、解散（包括但不限于乙方股东会决议解散、乙方被吊销营业执照、被责令关闭、被撤销、被司法机关裁决解散等情形）； </w:t>
      </w:r>
      <w:r>
        <w:rPr>
          <w:rFonts w:hint="eastAsia" w:ascii="仿宋_GB2312" w:eastAsia="仿宋_GB2312" w:cs="仿宋_GB2312"/>
          <w:sz w:val="32"/>
          <w:szCs w:val="32"/>
          <w:lang w:eastAsia="zh-CN"/>
        </w:rPr>
        <w:br w:type="textWrapping"/>
      </w:r>
      <w:r>
        <w:rPr>
          <w:rFonts w:hint="eastAsia" w:ascii="仿宋_GB2312" w:eastAsia="仿宋_GB2312" w:cs="仿宋_GB2312"/>
          <w:color w:val="3A3A3A"/>
          <w:sz w:val="32"/>
          <w:szCs w:val="32"/>
          <w:lang w:val="en-US"/>
        </w:rPr>
        <w:t>        </w:t>
      </w:r>
      <w:r>
        <w:rPr>
          <w:rFonts w:hint="eastAsia" w:ascii="仿宋_GB2312" w:eastAsia="仿宋_GB2312" w:cs="仿宋_GB2312"/>
          <w:sz w:val="32"/>
          <w:szCs w:val="32"/>
          <w:lang w:eastAsia="zh-CN"/>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（二） 如果因上述原因导致本合同终止，甲方已经采取或者将要采取任何补救措施的权利不受任何影响。</w:t>
      </w:r>
    </w:p>
    <w:p>
      <w:pPr>
        <w:spacing w:line="600" w:lineRule="exact"/>
        <w:jc w:val="left"/>
      </w:pPr>
      <w:r>
        <w:rPr>
          <w:rFonts w:hint="eastAsia" w:ascii="仿宋_GB2312" w:eastAsia="仿宋_GB2312" w:cs="仿宋_GB2312"/>
          <w:b/>
          <w:bCs w:val="0"/>
          <w:sz w:val="32"/>
          <w:szCs w:val="32"/>
          <w:lang w:eastAsia="zh-CN"/>
        </w:rPr>
        <w:t>        第十二条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法律适用与争议解决</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本合同的订立、效力、解释、履行和争议的解决均适用中华人民共和国法律（不包括港澳台地区法律）。</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（二） 凡因本合同引起的或与本合同有关的任何争议，双方首先应友好协商解决。协商不成的，任何一方均有权将争议提交甲方所在地有管辖权的人民法院诉讼解决。</w:t>
      </w:r>
    </w:p>
    <w:p>
      <w:pPr>
        <w:spacing w:line="600" w:lineRule="exact"/>
        <w:jc w:val="left"/>
      </w:pPr>
      <w:r>
        <w:rPr>
          <w:rFonts w:hint="eastAsia" w:ascii="仿宋_GB2312" w:eastAsia="仿宋_GB2312" w:cs="仿宋_GB2312"/>
          <w:b/>
          <w:bCs w:val="0"/>
          <w:sz w:val="32"/>
          <w:szCs w:val="32"/>
          <w:lang w:eastAsia="zh-CN"/>
        </w:rPr>
        <w:t>        第十三条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合同生效及其他</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本合同经甲乙双方法定代表人或授权代表签字并加盖公章后生效。</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（二） 本合同一式X份，其中正本X份，副本X份。甲方执X份正本，X份副本；乙方执X份正本，X份副本。</w:t>
      </w:r>
    </w:p>
    <w:p>
      <w:pPr>
        <w:spacing w:line="600" w:lineRule="exact"/>
        <w:jc w:val="left"/>
      </w:pPr>
      <w:r>
        <w:rPr>
          <w:rFonts w:hint="eastAsia" w:ascii="仿宋_GB2312" w:eastAsia="仿宋_GB2312" w:cs="仿宋_GB2312"/>
          <w:b/>
          <w:bCs w:val="0"/>
          <w:sz w:val="32"/>
          <w:szCs w:val="32"/>
          <w:lang w:eastAsia="zh-CN"/>
        </w:rPr>
        <w:t>        第十四条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合同效力</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（一） 无论本合同是否有相反约定，本合同附件（如有）作为本合同的组成部分，与本合同具有同等法律效力，当附件条款与本合同条款发生冲突时，以本合同条款为准。</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jc w:val="left"/>
        <w:rPr>
          <w:rFonts w:hint="eastAsia" w:ascii="仿宋_GB2312" w:eastAsia="仿宋_GB2312" w:cs="仿宋_GB2312"/>
          <w:sz w:val="32"/>
          <w:szCs w:val="32"/>
          <w:lang w:val="en-US"/>
        </w:rPr>
      </w:pPr>
      <w:r>
        <w:rPr>
          <w:rFonts w:hint="eastAsia" w:ascii="仿宋_GB2312" w:eastAsia="仿宋_GB2312" w:cs="仿宋_GB2312"/>
          <w:sz w:val="32"/>
          <w:szCs w:val="32"/>
          <w:lang w:eastAsia="zh-CN"/>
        </w:rPr>
        <w:t xml:space="preserve">   （三） 由于法律和法规、政策而导致本合同任何条款无效或无法执行，则该条款无效，但不影响剩余其他条款的效力。</w:t>
      </w:r>
    </w:p>
    <w:p>
      <w:pPr>
        <w:spacing w:line="600" w:lineRule="exact"/>
        <w:jc w:val="left"/>
        <w:rPr>
          <w:rFonts w:hint="eastAsia" w:ascii="仿宋_GB2312" w:eastAsia="仿宋_GB2312" w:cs="仿宋_GB2312"/>
          <w:sz w:val="32"/>
          <w:szCs w:val="32"/>
          <w:lang w:eastAsia="zh-CN"/>
        </w:rPr>
      </w:pPr>
      <w:r>
        <w:rPr>
          <w:rFonts w:hint="eastAsia" w:ascii="仿宋_GB2312" w:eastAsia="仿宋_GB2312" w:cs="仿宋_GB2312"/>
          <w:b/>
          <w:bCs w:val="0"/>
          <w:sz w:val="32"/>
          <w:szCs w:val="32"/>
          <w:lang w:eastAsia="zh-CN"/>
        </w:rPr>
        <w:t>        第十五条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附件的组成</w:t>
      </w:r>
      <w:r>
        <w:rPr>
          <w:rFonts w:hint="eastAsia" w:ascii="仿宋_GB2312" w:eastAsia="仿宋_GB2312" w:cs="仿宋_GB2312"/>
          <w:sz w:val="32"/>
          <w:szCs w:val="32"/>
          <w:lang w:eastAsia="zh-CN"/>
        </w:rPr>
        <w:t xml:space="preserve">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xml:space="preserve">        附件一、服务内容及要求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xml:space="preserve">        附件二、付款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xml:space="preserve">        附件三、双方的权利和义务 </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附件四、违约责任</w:t>
      </w:r>
    </w:p>
    <w:p>
      <w:pPr>
        <w:pStyle w:val="2"/>
        <w:ind w:firstLine="640" w:firstLineChars="200"/>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附件五、廉洁诚信条款</w:t>
      </w:r>
    </w:p>
    <w:p>
      <w:pPr>
        <w:pStyle w:val="2"/>
        <w:ind w:firstLine="640" w:firstLineChars="200"/>
        <w:rPr>
          <w:rFonts w:hint="eastAsia" w:ascii="仿宋_GB2312" w:eastAsia="仿宋_GB2312" w:cs="仿宋_GB2312"/>
          <w:sz w:val="32"/>
          <w:szCs w:val="32"/>
          <w:lang w:val="en-US" w:eastAsia="zh-CN"/>
        </w:rPr>
      </w:pPr>
    </w:p>
    <w:p>
      <w:pPr>
        <w:pStyle w:val="2"/>
        <w:ind w:firstLine="640" w:firstLineChars="200"/>
        <w:rPr>
          <w:rFonts w:hint="eastAsia" w:ascii="仿宋_GB2312" w:eastAsia="仿宋_GB2312" w:cs="仿宋_GB2312"/>
          <w:sz w:val="32"/>
          <w:szCs w:val="32"/>
          <w:lang w:val="en-US" w:eastAsia="zh-CN"/>
        </w:rPr>
      </w:pPr>
    </w:p>
    <w:p>
      <w:pPr>
        <w:pStyle w:val="2"/>
        <w:ind w:firstLine="640" w:firstLineChars="200"/>
        <w:rPr>
          <w:rFonts w:hint="eastAsia" w:ascii="仿宋_GB2312" w:eastAsia="仿宋_GB2312" w:cs="仿宋_GB2312"/>
          <w:sz w:val="32"/>
          <w:szCs w:val="32"/>
          <w:lang w:val="en-US" w:eastAsia="zh-CN"/>
        </w:rPr>
      </w:pPr>
    </w:p>
    <w:p>
      <w:pPr>
        <w:pStyle w:val="2"/>
        <w:ind w:firstLine="640" w:firstLineChars="200"/>
        <w:rPr>
          <w:rFonts w:hint="eastAsia" w:ascii="仿宋_GB2312" w:eastAsia="仿宋_GB2312" w:cs="仿宋_GB2312"/>
          <w:sz w:val="32"/>
          <w:szCs w:val="32"/>
          <w:lang w:val="en-US" w:eastAsia="zh-CN"/>
        </w:rPr>
      </w:pPr>
    </w:p>
    <w:p>
      <w:pPr>
        <w:pStyle w:val="2"/>
        <w:ind w:firstLine="640" w:firstLineChars="200"/>
        <w:rPr>
          <w:rFonts w:hint="default" w:ascii="仿宋_GB2312" w:eastAsia="仿宋_GB2312" w:cs="仿宋_GB2312"/>
          <w:sz w:val="32"/>
          <w:szCs w:val="32"/>
          <w:lang w:val="en-US" w:eastAsia="zh-CN"/>
        </w:rPr>
      </w:pPr>
    </w:p>
    <w:p>
      <w:pPr>
        <w:pStyle w:val="2"/>
        <w:rPr>
          <w:rFonts w:hint="eastAsia" w:ascii="仿宋_GB2312" w:hAnsi="宋体" w:eastAsia="仿宋_GB2312" w:cs="仿宋_GB2312"/>
          <w:sz w:val="32"/>
          <w:szCs w:val="32"/>
          <w:lang w:eastAsia="zh-CN"/>
        </w:rPr>
      </w:pPr>
      <w:r>
        <w:rPr>
          <w:rFonts w:ascii="宋体" w:hAnsi="宋体" w:eastAsia="宋体" w:cs="宋体"/>
          <w:sz w:val="24"/>
          <w:szCs w:val="24"/>
          <w:lang w:eastAsia="zh-CN"/>
        </w:rPr>
        <w:br w:type="page"/>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val="en-US" w:eastAsia="zh-CN"/>
        </w:rPr>
        <w:t xml:space="preserve">    </w:t>
      </w:r>
      <w:r>
        <w:rPr>
          <w:rFonts w:hint="eastAsia" w:ascii="仿宋_GB2312" w:hAnsi="宋体" w:eastAsia="仿宋_GB2312" w:cs="仿宋_GB2312"/>
          <w:sz w:val="32"/>
          <w:szCs w:val="32"/>
          <w:lang w:eastAsia="zh-CN"/>
        </w:rPr>
        <w:t>兹证明，各方于</w:t>
      </w:r>
      <w:r>
        <w:rPr>
          <w:rFonts w:hint="eastAsia" w:ascii="仿宋_GB2312" w:hAnsi="宋体" w:eastAsia="仿宋_GB2312" w:cs="仿宋_GB2312"/>
          <w:sz w:val="32"/>
          <w:szCs w:val="32"/>
          <w:u w:val="single"/>
          <w:lang w:eastAsia="zh-CN"/>
        </w:rPr>
        <w:t>     </w:t>
      </w:r>
      <w:r>
        <w:rPr>
          <w:rFonts w:hint="eastAsia" w:ascii="仿宋_GB2312" w:hAnsi="宋体" w:eastAsia="仿宋_GB2312" w:cs="仿宋_GB2312"/>
          <w:sz w:val="32"/>
          <w:szCs w:val="32"/>
          <w:lang w:eastAsia="zh-CN"/>
        </w:rPr>
        <w:t xml:space="preserve">年 </w:t>
      </w:r>
      <w:r>
        <w:rPr>
          <w:rFonts w:hint="eastAsia" w:ascii="仿宋_GB2312" w:hAnsi="宋体" w:eastAsia="仿宋_GB2312" w:cs="仿宋_GB2312"/>
          <w:sz w:val="32"/>
          <w:szCs w:val="32"/>
          <w:u w:val="single"/>
          <w:lang w:eastAsia="zh-CN"/>
        </w:rPr>
        <w:t>     </w:t>
      </w:r>
      <w:r>
        <w:rPr>
          <w:rFonts w:hint="eastAsia" w:ascii="仿宋_GB2312" w:hAnsi="宋体" w:eastAsia="仿宋_GB2312" w:cs="仿宋_GB2312"/>
          <w:sz w:val="32"/>
          <w:szCs w:val="32"/>
          <w:lang w:eastAsia="zh-CN"/>
        </w:rPr>
        <w:t xml:space="preserve">月 </w:t>
      </w:r>
      <w:r>
        <w:rPr>
          <w:rFonts w:hint="eastAsia" w:ascii="仿宋_GB2312" w:hAnsi="宋体" w:eastAsia="仿宋_GB2312" w:cs="仿宋_GB2312"/>
          <w:sz w:val="32"/>
          <w:szCs w:val="32"/>
          <w:u w:val="single"/>
          <w:lang w:eastAsia="zh-CN"/>
        </w:rPr>
        <w:t>     </w:t>
      </w:r>
      <w:r>
        <w:rPr>
          <w:rFonts w:hint="eastAsia" w:ascii="仿宋_GB2312" w:hAnsi="宋体" w:eastAsia="仿宋_GB2312" w:cs="仿宋_GB2312"/>
          <w:sz w:val="32"/>
          <w:szCs w:val="32"/>
          <w:lang w:eastAsia="zh-CN"/>
        </w:rPr>
        <w:t xml:space="preserve">日签订本合同 </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t>甲方（盖章）：中国人民财产保险股份有限公司自贡市分公司</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t xml:space="preserve">法定代表人/授权代表（签字）： </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t>乙方（盖章）：</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t xml:space="preserve">法定代表人/授权代表（签字）： </w:t>
      </w:r>
    </w:p>
    <w:p>
      <w:pPr>
        <w:pStyle w:val="2"/>
        <w:rPr>
          <w:rFonts w:hint="eastAsia" w:ascii="仿宋_GB2312" w:hAnsi="宋体" w:eastAsia="仿宋_GB2312" w:cs="仿宋_GB2312"/>
          <w:sz w:val="32"/>
          <w:szCs w:val="32"/>
          <w:lang w:eastAsia="zh-CN"/>
        </w:rPr>
      </w:pPr>
    </w:p>
    <w:p>
      <w:pPr>
        <w:pStyle w:val="2"/>
        <w:rPr>
          <w:rFonts w:hint="eastAsia" w:ascii="仿宋_GB2312" w:hAnsi="宋体" w:eastAsia="仿宋_GB2312" w:cs="仿宋_GB2312"/>
          <w:sz w:val="32"/>
          <w:szCs w:val="32"/>
          <w:lang w:eastAsia="zh-CN"/>
        </w:rPr>
      </w:pPr>
    </w:p>
    <w:p>
      <w:pPr>
        <w:pStyle w:val="2"/>
        <w:rPr>
          <w:rFonts w:hint="eastAsia" w:ascii="仿宋_GB2312" w:hAnsi="宋体" w:eastAsia="仿宋_GB2312" w:cs="仿宋_GB2312"/>
          <w:sz w:val="32"/>
          <w:szCs w:val="32"/>
          <w:lang w:eastAsia="zh-CN"/>
        </w:rPr>
      </w:pPr>
    </w:p>
    <w:p>
      <w:pPr>
        <w:pStyle w:val="2"/>
        <w:rPr>
          <w:rFonts w:hint="eastAsia" w:ascii="仿宋_GB2312" w:hAnsi="宋体" w:eastAsia="仿宋_GB2312" w:cs="仿宋_GB2312"/>
          <w:sz w:val="32"/>
          <w:szCs w:val="32"/>
          <w:lang w:eastAsia="zh-CN"/>
        </w:rPr>
      </w:pPr>
    </w:p>
    <w:p>
      <w:pPr>
        <w:spacing w:line="600" w:lineRule="exact"/>
        <w:jc w:val="left"/>
        <w:rPr>
          <w:rFonts w:hint="eastAsia" w:ascii="宋体" w:hAnsi="宋体" w:eastAsia="宋体" w:cs="宋体"/>
          <w:b/>
          <w:color w:val="000000"/>
          <w:kern w:val="44"/>
          <w:sz w:val="24"/>
          <w:szCs w:val="24"/>
        </w:rPr>
      </w:pPr>
      <w:r>
        <w:rPr>
          <w:rFonts w:hint="eastAsia" w:ascii="宋体" w:hAnsi="宋体" w:eastAsia="宋体" w:cs="宋体"/>
          <w:b/>
          <w:color w:val="000000"/>
          <w:kern w:val="44"/>
          <w:sz w:val="24"/>
          <w:szCs w:val="24"/>
        </w:rPr>
        <w:t>附件一</w:t>
      </w:r>
      <w:r>
        <w:rPr>
          <w:rFonts w:hint="eastAsia" w:ascii="宋体" w:hAnsi="宋体" w:eastAsia="宋体" w:cs="宋体"/>
          <w:b/>
          <w:color w:val="000000"/>
          <w:kern w:val="44"/>
          <w:sz w:val="24"/>
          <w:szCs w:val="24"/>
        </w:rPr>
        <w:tab/>
      </w:r>
    </w:p>
    <w:p>
      <w:pPr>
        <w:spacing w:line="360" w:lineRule="auto"/>
        <w:jc w:val="center"/>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rPr>
        <w:t>服务内容及要求</w:t>
      </w:r>
    </w:p>
    <w:p>
      <w:pPr>
        <w:autoSpaceDE w:val="0"/>
        <w:autoSpaceDN w:val="0"/>
        <w:spacing w:line="360" w:lineRule="auto"/>
        <w:ind w:left="0" w:firstLine="47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w:t>
      </w:r>
    </w:p>
    <w:p>
      <w:pPr>
        <w:autoSpaceDE w:val="0"/>
        <w:autoSpaceDN w:val="0"/>
        <w:spacing w:line="360" w:lineRule="auto"/>
        <w:ind w:left="0" w:firstLine="470"/>
        <w:rPr>
          <w:rFonts w:hint="eastAsia" w:ascii="宋体" w:hAnsi="宋体" w:eastAsia="宋体" w:cs="宋体"/>
          <w:b/>
          <w:bCs/>
          <w:color w:val="000000"/>
          <w:spacing w:val="24"/>
          <w:kern w:val="0"/>
          <w:sz w:val="24"/>
          <w:szCs w:val="24"/>
        </w:rPr>
      </w:pPr>
      <w:r>
        <w:rPr>
          <w:rFonts w:hint="eastAsia" w:ascii="宋体" w:hAnsi="宋体" w:eastAsia="宋体" w:cs="宋体"/>
          <w:b/>
          <w:bCs/>
          <w:color w:val="000000"/>
          <w:kern w:val="0"/>
          <w:sz w:val="24"/>
          <w:szCs w:val="24"/>
        </w:rPr>
        <w:t>一.</w:t>
      </w:r>
      <w:r>
        <w:rPr>
          <w:rFonts w:hint="eastAsia" w:ascii="宋体" w:hAnsi="宋体" w:eastAsia="宋体" w:cs="宋体"/>
          <w:b/>
          <w:bCs/>
          <w:color w:val="000000"/>
          <w:spacing w:val="24"/>
          <w:kern w:val="0"/>
          <w:sz w:val="24"/>
          <w:szCs w:val="24"/>
        </w:rPr>
        <w:t>项目名称</w:t>
      </w:r>
    </w:p>
    <w:p>
      <w:pPr>
        <w:spacing w:line="560" w:lineRule="atLeast"/>
        <w:ind w:firstLine="624"/>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项目名称：人保财险四川省自贡市分公司职场物业服务采购项目。</w:t>
      </w:r>
    </w:p>
    <w:p>
      <w:pPr>
        <w:autoSpaceDE w:val="0"/>
        <w:autoSpaceDN w:val="0"/>
        <w:spacing w:line="360" w:lineRule="auto"/>
        <w:ind w:left="0" w:firstLine="482" w:firstLineChars="200"/>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 xml:space="preserve">二. </w:t>
      </w:r>
      <w:r>
        <w:rPr>
          <w:rFonts w:hint="eastAsia" w:ascii="宋体" w:hAnsi="宋体" w:cs="宋体"/>
          <w:b/>
          <w:bCs/>
          <w:color w:val="000000"/>
          <w:kern w:val="0"/>
          <w:sz w:val="24"/>
          <w:szCs w:val="24"/>
          <w:lang w:val="en-US" w:eastAsia="zh-CN"/>
        </w:rPr>
        <w:t>物业</w:t>
      </w:r>
      <w:r>
        <w:rPr>
          <w:rFonts w:hint="eastAsia" w:ascii="宋体" w:hAnsi="宋体" w:eastAsia="宋体" w:cs="宋体"/>
          <w:b/>
          <w:bCs/>
          <w:color w:val="000000"/>
          <w:kern w:val="0"/>
          <w:sz w:val="24"/>
          <w:szCs w:val="24"/>
        </w:rPr>
        <w:t>项目内容</w:t>
      </w:r>
    </w:p>
    <w:p>
      <w:pPr>
        <w:spacing w:line="560" w:lineRule="atLeast"/>
        <w:ind w:firstLine="624"/>
        <w:rPr>
          <w:rFonts w:hint="default" w:ascii="仿宋_GB2312" w:eastAsia="仿宋_GB2312" w:cs="Times New Roman"/>
          <w:sz w:val="32"/>
          <w:szCs w:val="32"/>
          <w:lang w:val="en-US" w:eastAsia="zh-CN"/>
        </w:rPr>
      </w:pPr>
      <w:r>
        <w:rPr>
          <w:rFonts w:hint="eastAsia" w:ascii="仿宋_GB2312" w:eastAsia="仿宋_GB2312" w:cs="Times New Roman"/>
          <w:sz w:val="32"/>
          <w:szCs w:val="32"/>
          <w:lang w:val="en-US" w:eastAsia="zh-CN"/>
        </w:rPr>
        <w:t>1.物业服务内容：</w:t>
      </w:r>
      <w:r>
        <w:rPr>
          <w:rFonts w:hint="eastAsia" w:ascii="仿宋_GB2312" w:hAnsi="Times New Roman" w:eastAsia="仿宋_GB2312" w:cs="Times New Roman"/>
          <w:color w:val="FF0000"/>
          <w:sz w:val="32"/>
          <w:szCs w:val="32"/>
          <w:u w:val="single"/>
          <w:lang w:val="en-US" w:eastAsia="zh-CN"/>
        </w:rPr>
        <w:t>X</w:t>
      </w:r>
      <w:r>
        <w:rPr>
          <w:rFonts w:hint="eastAsia" w:ascii="仿宋_GB2312" w:hAnsi="Times New Roman" w:eastAsia="仿宋_GB2312" w:cs="Times New Roman"/>
          <w:sz w:val="32"/>
          <w:szCs w:val="32"/>
          <w:lang w:val="en-US" w:eastAsia="zh-CN"/>
        </w:rPr>
        <w:t>名保洁人员负责</w:t>
      </w:r>
      <w:r>
        <w:rPr>
          <w:rFonts w:hint="eastAsia" w:ascii="仿宋_GB2312" w:eastAsia="仿宋_GB2312" w:cs="Times New Roman"/>
          <w:sz w:val="32"/>
          <w:szCs w:val="32"/>
          <w:lang w:val="en-US" w:eastAsia="zh-CN"/>
        </w:rPr>
        <w:t>自贡市分公司本部办公大楼面积3548</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的</w:t>
      </w:r>
      <w:r>
        <w:rPr>
          <w:rFonts w:hint="eastAsia" w:ascii="仿宋_GB2312" w:hAnsi="Times New Roman" w:eastAsia="仿宋_GB2312" w:cs="Times New Roman"/>
          <w:sz w:val="32"/>
          <w:szCs w:val="32"/>
          <w:lang w:val="en-US" w:eastAsia="zh-CN"/>
        </w:rPr>
        <w:t>日常环境卫生清洁，确保办公大楼24小时保持整洁</w:t>
      </w:r>
      <w:r>
        <w:rPr>
          <w:rFonts w:hint="eastAsia" w:ascii="仿宋_GB2312" w:eastAsia="仿宋_GB2312" w:cs="Times New Roman"/>
          <w:sz w:val="32"/>
          <w:szCs w:val="32"/>
          <w:lang w:val="en-US" w:eastAsia="zh-CN"/>
        </w:rPr>
        <w:t>，</w:t>
      </w:r>
      <w:r>
        <w:rPr>
          <w:rFonts w:hint="eastAsia" w:ascii="仿宋_GB2312" w:hAnsi="Times New Roman" w:eastAsia="仿宋_GB2312" w:cs="Times New Roman"/>
          <w:sz w:val="32"/>
          <w:szCs w:val="32"/>
          <w:lang w:val="en-US" w:eastAsia="zh-CN"/>
        </w:rPr>
        <w:t>同时负责整个办公楼的垃圾收集与清运，做到无隔夜垃圾，保障办公大楼干净卫生，为员工营造良好工作环境。</w:t>
      </w:r>
      <w:r>
        <w:rPr>
          <w:rFonts w:hint="eastAsia" w:ascii="仿宋_GB2312" w:hAnsi="Times New Roman" w:eastAsia="仿宋_GB2312" w:cs="Times New Roman"/>
          <w:color w:val="FF0000"/>
          <w:sz w:val="32"/>
          <w:szCs w:val="32"/>
          <w:u w:val="single"/>
          <w:lang w:val="en-US" w:eastAsia="zh-CN"/>
        </w:rPr>
        <w:t>X</w:t>
      </w:r>
      <w:r>
        <w:rPr>
          <w:rFonts w:hint="eastAsia" w:ascii="仿宋_GB2312" w:hAnsi="Times New Roman" w:eastAsia="仿宋_GB2312" w:cs="Times New Roman"/>
          <w:sz w:val="32"/>
          <w:szCs w:val="32"/>
          <w:lang w:val="en-US" w:eastAsia="zh-CN"/>
        </w:rPr>
        <w:t>名</w:t>
      </w:r>
      <w:r>
        <w:rPr>
          <w:rFonts w:hint="eastAsia" w:ascii="仿宋_GB2312" w:eastAsia="仿宋_GB2312" w:cs="Times New Roman"/>
          <w:sz w:val="32"/>
          <w:szCs w:val="32"/>
          <w:lang w:val="en-US" w:eastAsia="zh-CN"/>
        </w:rPr>
        <w:t>水电工后勤保障</w:t>
      </w:r>
      <w:r>
        <w:rPr>
          <w:rFonts w:hint="eastAsia" w:ascii="仿宋_GB2312" w:hAnsi="Times New Roman" w:eastAsia="仿宋_GB2312" w:cs="Times New Roman"/>
          <w:sz w:val="32"/>
          <w:szCs w:val="32"/>
          <w:lang w:val="en-US" w:eastAsia="zh-CN"/>
        </w:rPr>
        <w:t>人员，负责</w:t>
      </w:r>
      <w:r>
        <w:rPr>
          <w:rFonts w:hint="eastAsia" w:ascii="仿宋_GB2312" w:eastAsia="仿宋_GB2312" w:cs="Times New Roman"/>
          <w:sz w:val="32"/>
          <w:szCs w:val="32"/>
          <w:lang w:val="en-US" w:eastAsia="zh-CN"/>
        </w:rPr>
        <w:t>自贡市分公司本部办公大楼面积3548</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，另有线上服务部职场面积为231.3</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，食堂面积为785.74</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，物业服务总面积4565.04</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的</w:t>
      </w:r>
      <w:r>
        <w:rPr>
          <w:rFonts w:hint="eastAsia" w:ascii="仿宋_GB2312" w:hAnsi="Times New Roman" w:eastAsia="仿宋_GB2312" w:cs="Times New Roman"/>
          <w:sz w:val="32"/>
          <w:szCs w:val="32"/>
          <w:lang w:val="en-US" w:eastAsia="zh-CN"/>
        </w:rPr>
        <w:t>日常</w:t>
      </w:r>
      <w:r>
        <w:rPr>
          <w:rFonts w:hint="eastAsia" w:ascii="仿宋_GB2312" w:eastAsia="仿宋_GB2312" w:cs="Times New Roman"/>
          <w:sz w:val="32"/>
          <w:szCs w:val="32"/>
          <w:lang w:val="en-US" w:eastAsia="zh-CN"/>
        </w:rPr>
        <w:t>水</w:t>
      </w:r>
      <w:r>
        <w:rPr>
          <w:rFonts w:hint="eastAsia" w:ascii="仿宋_GB2312" w:hAnsi="Times New Roman" w:eastAsia="仿宋_GB2312" w:cs="Times New Roman"/>
          <w:sz w:val="32"/>
          <w:szCs w:val="32"/>
          <w:lang w:val="en-US" w:eastAsia="zh-CN"/>
        </w:rPr>
        <w:t>电</w:t>
      </w:r>
      <w:r>
        <w:rPr>
          <w:rFonts w:hint="eastAsia" w:ascii="仿宋_GB2312" w:eastAsia="仿宋_GB2312" w:cs="Times New Roman"/>
          <w:sz w:val="32"/>
          <w:szCs w:val="32"/>
          <w:lang w:val="en-US" w:eastAsia="zh-CN"/>
        </w:rPr>
        <w:t>工的日常</w:t>
      </w:r>
      <w:r>
        <w:rPr>
          <w:rFonts w:hint="eastAsia" w:ascii="仿宋_GB2312" w:hAnsi="Times New Roman" w:eastAsia="仿宋_GB2312" w:cs="Times New Roman"/>
          <w:sz w:val="32"/>
          <w:szCs w:val="32"/>
          <w:lang w:val="en-US" w:eastAsia="zh-CN"/>
        </w:rPr>
        <w:t>巡查、安全巡视，承担会议室开关管理及其他后勤</w:t>
      </w:r>
      <w:r>
        <w:rPr>
          <w:rFonts w:hint="eastAsia" w:ascii="仿宋_GB2312" w:eastAsia="仿宋_GB2312" w:cs="Times New Roman"/>
          <w:sz w:val="32"/>
          <w:szCs w:val="32"/>
          <w:lang w:val="en-US" w:eastAsia="zh-CN"/>
        </w:rPr>
        <w:t>等</w:t>
      </w:r>
      <w:r>
        <w:rPr>
          <w:rFonts w:hint="eastAsia" w:ascii="仿宋_GB2312" w:hAnsi="Times New Roman" w:eastAsia="仿宋_GB2312" w:cs="Times New Roman"/>
          <w:sz w:val="32"/>
          <w:szCs w:val="32"/>
          <w:lang w:val="en-US" w:eastAsia="zh-CN"/>
        </w:rPr>
        <w:t>相关工作。</w:t>
      </w:r>
    </w:p>
    <w:p>
      <w:pPr>
        <w:keepNext w:val="0"/>
        <w:keepLines w:val="0"/>
        <w:pageBreakBefore w:val="0"/>
        <w:kinsoku/>
        <w:wordWrap/>
        <w:overflowPunct/>
        <w:topLinePunct w:val="0"/>
        <w:autoSpaceDE/>
        <w:autoSpaceDN/>
        <w:bidi w:val="0"/>
        <w:adjustRightInd/>
        <w:spacing w:line="360" w:lineRule="auto"/>
        <w:ind w:left="0" w:firstLine="640" w:firstLineChars="200"/>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2.建筑面积：自贡市分公司本部办公大楼面积3548</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，另有线上服务部职场面积为231.3</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，食堂面积为785.74</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，物业服务总面积为4565.04</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w:t>
      </w:r>
    </w:p>
    <w:p>
      <w:pPr>
        <w:pStyle w:val="2"/>
        <w:ind w:firstLine="482" w:firstLineChars="200"/>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三、保安项目内容</w:t>
      </w:r>
    </w:p>
    <w:p>
      <w:pPr>
        <w:spacing w:line="560" w:lineRule="atLeast"/>
        <w:ind w:firstLine="624"/>
        <w:rPr>
          <w:rFonts w:hint="eastAsia" w:ascii="仿宋_GB2312" w:hAnsi="Times New Roman" w:eastAsia="仿宋_GB2312" w:cs="Times New Roman"/>
          <w:sz w:val="32"/>
          <w:szCs w:val="32"/>
          <w:lang w:val="en-US" w:eastAsia="zh-CN"/>
        </w:rPr>
      </w:pPr>
      <w:r>
        <w:rPr>
          <w:rFonts w:hint="eastAsia" w:ascii="仿宋_GB2312" w:eastAsia="仿宋_GB2312" w:cs="Times New Roman"/>
          <w:sz w:val="32"/>
          <w:szCs w:val="32"/>
          <w:lang w:val="en-US" w:eastAsia="zh-CN"/>
        </w:rPr>
        <w:t>1.保安服务内容：</w:t>
      </w:r>
      <w:r>
        <w:rPr>
          <w:rFonts w:hint="eastAsia" w:ascii="仿宋_GB2312" w:hAnsi="Times New Roman" w:eastAsia="仿宋_GB2312" w:cs="Times New Roman"/>
          <w:sz w:val="32"/>
          <w:szCs w:val="32"/>
          <w:lang w:val="en-US" w:eastAsia="zh-CN"/>
        </w:rPr>
        <w:t>按</w:t>
      </w:r>
      <w:r>
        <w:rPr>
          <w:rFonts w:hint="eastAsia" w:ascii="仿宋_GB2312" w:eastAsia="仿宋_GB2312" w:cs="Times New Roman"/>
          <w:sz w:val="32"/>
          <w:szCs w:val="32"/>
          <w:lang w:val="en-US" w:eastAsia="zh-CN"/>
        </w:rPr>
        <w:t>自贡市分公司</w:t>
      </w:r>
      <w:r>
        <w:rPr>
          <w:rFonts w:hint="eastAsia" w:ascii="仿宋_GB2312" w:hAnsi="Times New Roman" w:eastAsia="仿宋_GB2312" w:cs="Times New Roman"/>
          <w:sz w:val="32"/>
          <w:szCs w:val="32"/>
          <w:lang w:val="en-US" w:eastAsia="zh-CN"/>
        </w:rPr>
        <w:t>管理模式对保安队员进行管理（</w:t>
      </w:r>
      <w:r>
        <w:rPr>
          <w:rFonts w:hint="eastAsia" w:ascii="仿宋_GB2312" w:eastAsia="仿宋_GB2312" w:cs="Times New Roman"/>
          <w:sz w:val="32"/>
          <w:szCs w:val="32"/>
          <w:lang w:val="en-US" w:eastAsia="zh-CN"/>
        </w:rPr>
        <w:t>自贡市分公司</w:t>
      </w:r>
      <w:r>
        <w:rPr>
          <w:rFonts w:hint="eastAsia" w:ascii="仿宋_GB2312" w:hAnsi="Times New Roman" w:eastAsia="仿宋_GB2312" w:cs="Times New Roman"/>
          <w:color w:val="FF0000"/>
          <w:sz w:val="32"/>
          <w:szCs w:val="32"/>
          <w:u w:val="single"/>
          <w:lang w:val="en-US" w:eastAsia="zh-CN"/>
        </w:rPr>
        <w:t>X</w:t>
      </w:r>
      <w:r>
        <w:rPr>
          <w:rFonts w:hint="eastAsia" w:ascii="仿宋_GB2312" w:hAnsi="Times New Roman" w:eastAsia="仿宋_GB2312" w:cs="Times New Roman"/>
          <w:sz w:val="32"/>
          <w:szCs w:val="32"/>
          <w:lang w:val="en-US" w:eastAsia="zh-CN"/>
        </w:rPr>
        <w:t>名保安，荣县支公司</w:t>
      </w:r>
      <w:r>
        <w:rPr>
          <w:rFonts w:hint="eastAsia" w:ascii="仿宋_GB2312" w:hAnsi="Times New Roman" w:eastAsia="仿宋_GB2312" w:cs="Times New Roman"/>
          <w:color w:val="FF0000"/>
          <w:sz w:val="32"/>
          <w:szCs w:val="32"/>
          <w:u w:val="single"/>
          <w:lang w:val="en-US" w:eastAsia="zh-CN"/>
        </w:rPr>
        <w:t>X</w:t>
      </w:r>
      <w:r>
        <w:rPr>
          <w:rFonts w:hint="eastAsia" w:ascii="仿宋_GB2312" w:hAnsi="Times New Roman" w:eastAsia="仿宋_GB2312" w:cs="Times New Roman"/>
          <w:sz w:val="32"/>
          <w:szCs w:val="32"/>
          <w:lang w:val="en-US" w:eastAsia="zh-CN"/>
        </w:rPr>
        <w:t>名保安），确认的岗位职责要求执行安全防范工作，并承担相应的保安服务责任，以保障公司安全、维护治安秩序及公司经营秩序。</w:t>
      </w:r>
    </w:p>
    <w:p>
      <w:pPr>
        <w:keepNext w:val="0"/>
        <w:keepLines w:val="0"/>
        <w:pageBreakBefore w:val="0"/>
        <w:kinsoku/>
        <w:wordWrap/>
        <w:overflowPunct/>
        <w:topLinePunct w:val="0"/>
        <w:autoSpaceDE/>
        <w:autoSpaceDN/>
        <w:bidi w:val="0"/>
        <w:adjustRightInd/>
        <w:spacing w:line="360" w:lineRule="auto"/>
        <w:ind w:firstLine="640" w:firstLineChars="200"/>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2.建筑面积：自贡市分公司本部办公大楼面积3548</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，另有线上服务部职场面积为231.3</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，食堂面积为785.74</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，物业服务总面积为4565.04</w:t>
      </w:r>
      <w:r>
        <w:rPr>
          <w:rFonts w:hint="eastAsia" w:ascii="仿宋_GB2312" w:hAnsi="Times New Roman" w:eastAsia="仿宋_GB2312" w:cs="Times New Roman"/>
          <w:sz w:val="32"/>
          <w:szCs w:val="32"/>
          <w:lang w:val="en-US" w:eastAsia="zh-CN"/>
        </w:rPr>
        <w:t>㎡</w:t>
      </w:r>
      <w:r>
        <w:rPr>
          <w:rFonts w:hint="eastAsia" w:ascii="仿宋_GB2312" w:eastAsia="仿宋_GB2312" w:cs="Times New Roman"/>
          <w:sz w:val="32"/>
          <w:szCs w:val="32"/>
          <w:lang w:val="en-US" w:eastAsia="zh-CN"/>
        </w:rPr>
        <w:t>。</w:t>
      </w:r>
    </w:p>
    <w:p>
      <w:pPr>
        <w:pStyle w:val="2"/>
        <w:ind w:firstLine="482" w:firstLineChars="200"/>
        <w:rPr>
          <w:rFonts w:hint="default"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四、服务时间</w:t>
      </w:r>
    </w:p>
    <w:p>
      <w:pPr>
        <w:keepNext w:val="0"/>
        <w:keepLines w:val="0"/>
        <w:pageBreakBefore w:val="0"/>
        <w:kinsoku/>
        <w:wordWrap/>
        <w:overflowPunct/>
        <w:topLinePunct w:val="0"/>
        <w:autoSpaceDE/>
        <w:autoSpaceDN/>
        <w:bidi w:val="0"/>
        <w:adjustRightInd/>
        <w:spacing w:line="360" w:lineRule="auto"/>
        <w:ind w:firstLine="640" w:firstLineChars="200"/>
        <w:rPr>
          <w:rFonts w:hint="eastAsia" w:ascii="仿宋_GB2312" w:eastAsia="仿宋_GB2312" w:cs="Times New Roman"/>
          <w:color w:val="auto"/>
          <w:sz w:val="32"/>
          <w:szCs w:val="32"/>
          <w:lang w:val="en-US" w:eastAsia="zh-CN"/>
        </w:rPr>
      </w:pPr>
      <w:r>
        <w:rPr>
          <w:rFonts w:hint="eastAsia" w:ascii="仿宋_GB2312" w:eastAsia="仿宋_GB2312" w:cs="Times New Roman"/>
          <w:color w:val="auto"/>
          <w:sz w:val="32"/>
          <w:szCs w:val="32"/>
          <w:lang w:val="en-US" w:eastAsia="zh-CN"/>
        </w:rPr>
        <w:t>服务期限：共1年，自</w:t>
      </w:r>
      <w:r>
        <w:rPr>
          <w:rFonts w:hint="eastAsia" w:ascii="仿宋_GB2312" w:eastAsia="仿宋_GB2312" w:cs="Times New Roman"/>
          <w:color w:val="auto"/>
          <w:sz w:val="32"/>
          <w:szCs w:val="32"/>
          <w:u w:val="single"/>
          <w:lang w:val="en-US" w:eastAsia="zh-CN"/>
        </w:rPr>
        <w:t>2026年</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u w:val="single"/>
          <w:lang w:val="en-US" w:eastAsia="zh-CN"/>
        </w:rPr>
        <w:t>月</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u w:val="single"/>
          <w:lang w:val="en-US" w:eastAsia="zh-CN"/>
        </w:rPr>
        <w:t>日</w:t>
      </w:r>
      <w:r>
        <w:rPr>
          <w:rFonts w:hint="eastAsia" w:ascii="仿宋_GB2312" w:eastAsia="仿宋_GB2312" w:cs="Times New Roman"/>
          <w:color w:val="auto"/>
          <w:sz w:val="32"/>
          <w:szCs w:val="32"/>
          <w:lang w:val="en-US" w:eastAsia="zh-CN"/>
        </w:rPr>
        <w:t>起至</w:t>
      </w:r>
      <w:r>
        <w:rPr>
          <w:rFonts w:hint="eastAsia" w:ascii="仿宋_GB2312" w:eastAsia="仿宋_GB2312" w:cs="Times New Roman"/>
          <w:color w:val="auto"/>
          <w:sz w:val="32"/>
          <w:szCs w:val="32"/>
          <w:u w:val="single"/>
          <w:lang w:val="en-US" w:eastAsia="zh-CN"/>
        </w:rPr>
        <w:t>2026年</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u w:val="single"/>
          <w:lang w:val="en-US" w:eastAsia="zh-CN"/>
        </w:rPr>
        <w:t>月</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u w:val="single"/>
          <w:lang w:val="en-US" w:eastAsia="zh-CN"/>
        </w:rPr>
        <w:t>日</w:t>
      </w:r>
      <w:r>
        <w:rPr>
          <w:rFonts w:hint="eastAsia" w:ascii="仿宋_GB2312" w:eastAsia="仿宋_GB2312" w:cs="Times New Roman"/>
          <w:color w:val="auto"/>
          <w:sz w:val="32"/>
          <w:szCs w:val="32"/>
          <w:lang w:val="en-US" w:eastAsia="zh-CN"/>
        </w:rPr>
        <w:t>止。</w:t>
      </w:r>
    </w:p>
    <w:p>
      <w:pPr>
        <w:keepNext w:val="0"/>
        <w:keepLines w:val="0"/>
        <w:pageBreakBefore w:val="0"/>
        <w:kinsoku/>
        <w:wordWrap/>
        <w:overflowPunct/>
        <w:topLinePunct w:val="0"/>
        <w:autoSpaceDE/>
        <w:autoSpaceDN/>
        <w:bidi w:val="0"/>
        <w:adjustRightInd/>
        <w:spacing w:line="360" w:lineRule="auto"/>
        <w:ind w:firstLine="640" w:firstLineChars="200"/>
        <w:rPr>
          <w:rFonts w:hint="eastAsia" w:ascii="宋体" w:hAnsi="宋体" w:eastAsia="宋体" w:cs="宋体"/>
          <w:color w:val="auto"/>
          <w:kern w:val="0"/>
          <w:sz w:val="24"/>
          <w:szCs w:val="24"/>
          <w:lang w:val="en-US" w:eastAsia="zh-CN"/>
        </w:rPr>
      </w:pPr>
      <w:r>
        <w:rPr>
          <w:rFonts w:hint="eastAsia" w:ascii="仿宋_GB2312" w:eastAsia="仿宋_GB2312" w:cs="Times New Roman"/>
          <w:color w:val="auto"/>
          <w:sz w:val="32"/>
          <w:szCs w:val="32"/>
          <w:lang w:val="en-US" w:eastAsia="zh-CN"/>
        </w:rPr>
        <w:t>合同总价为</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元，大写人民币</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元整，具体构成如下：</w:t>
      </w:r>
      <w:r>
        <w:rPr>
          <w:rFonts w:hint="eastAsia" w:ascii="仿宋_GB2312" w:eastAsia="仿宋_GB2312" w:cs="Times New Roman"/>
          <w:color w:val="auto"/>
          <w:sz w:val="32"/>
          <w:szCs w:val="32"/>
          <w:lang w:val="en-US" w:eastAsia="zh-CN"/>
        </w:rPr>
        <w:br w:type="textWrapping"/>
      </w:r>
      <w:r>
        <w:rPr>
          <w:rFonts w:hint="eastAsia" w:ascii="仿宋_GB2312" w:eastAsia="仿宋_GB2312" w:cs="Times New Roman"/>
          <w:color w:val="auto"/>
          <w:sz w:val="32"/>
          <w:szCs w:val="32"/>
          <w:lang w:val="en-US" w:eastAsia="zh-CN"/>
        </w:rPr>
        <w:t xml:space="preserve">    1.物业服务费：合计</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元。保洁岗：</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人，每人每月</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元，费用</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元。水电工后勤保障维护岗：</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人，每人每月</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元，服务周期为202</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年</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月</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日至202</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年</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月</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日，费用</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w:t>
      </w:r>
      <w:r>
        <w:rPr>
          <w:rFonts w:hint="eastAsia" w:ascii="仿宋_GB2312" w:eastAsia="仿宋_GB2312" w:cs="Times New Roman"/>
          <w:color w:val="auto"/>
          <w:sz w:val="32"/>
          <w:szCs w:val="32"/>
          <w:lang w:val="en-US" w:eastAsia="zh-CN"/>
        </w:rPr>
        <w:br w:type="textWrapping"/>
      </w:r>
      <w:r>
        <w:rPr>
          <w:rFonts w:hint="eastAsia" w:ascii="仿宋_GB2312" w:eastAsia="仿宋_GB2312" w:cs="Times New Roman"/>
          <w:color w:val="auto"/>
          <w:sz w:val="32"/>
          <w:szCs w:val="32"/>
          <w:lang w:val="en-US" w:eastAsia="zh-CN"/>
        </w:rPr>
        <w:t xml:space="preserve">    2.安保服务费：合计</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元。安保岗：</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人（自贡市分公司</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人，荣县支公司</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人），每人每月</w:t>
      </w:r>
      <w:r>
        <w:rPr>
          <w:rFonts w:hint="eastAsia" w:ascii="仿宋_GB2312" w:hAnsi="Times New Roman" w:eastAsia="仿宋_GB2312" w:cs="Times New Roman"/>
          <w:color w:val="auto"/>
          <w:sz w:val="32"/>
          <w:szCs w:val="32"/>
          <w:u w:val="single"/>
          <w:lang w:val="en-US" w:eastAsia="zh-CN"/>
        </w:rPr>
        <w:t>X</w:t>
      </w:r>
      <w:r>
        <w:rPr>
          <w:rFonts w:hint="eastAsia" w:ascii="仿宋_GB2312" w:eastAsia="仿宋_GB2312" w:cs="Times New Roman"/>
          <w:color w:val="auto"/>
          <w:sz w:val="32"/>
          <w:szCs w:val="32"/>
          <w:lang w:val="en-US" w:eastAsia="zh-CN"/>
        </w:rPr>
        <w:t>元。</w:t>
      </w:r>
    </w:p>
    <w:p>
      <w:pPr>
        <w:autoSpaceDE w:val="0"/>
        <w:autoSpaceDN w:val="0"/>
        <w:spacing w:line="360" w:lineRule="auto"/>
        <w:ind w:left="0" w:firstLine="482" w:firstLineChars="200"/>
        <w:rPr>
          <w:rFonts w:hint="eastAsia" w:ascii="宋体" w:hAnsi="宋体" w:eastAsia="宋体" w:cs="宋体"/>
          <w:b/>
          <w:bCs/>
          <w:color w:val="000000"/>
          <w:kern w:val="0"/>
          <w:sz w:val="24"/>
          <w:szCs w:val="24"/>
        </w:rPr>
      </w:pPr>
      <w:r>
        <w:rPr>
          <w:rFonts w:hint="eastAsia" w:ascii="宋体" w:hAnsi="宋体" w:cs="宋体"/>
          <w:b/>
          <w:bCs/>
          <w:color w:val="000000"/>
          <w:kern w:val="0"/>
          <w:sz w:val="24"/>
          <w:szCs w:val="24"/>
          <w:lang w:val="en-US" w:eastAsia="zh-CN"/>
        </w:rPr>
        <w:t>五</w:t>
      </w:r>
      <w:r>
        <w:rPr>
          <w:rFonts w:hint="eastAsia" w:ascii="宋体" w:hAnsi="宋体" w:eastAsia="宋体" w:cs="宋体"/>
          <w:b/>
          <w:bCs/>
          <w:color w:val="000000"/>
          <w:kern w:val="0"/>
          <w:sz w:val="24"/>
          <w:szCs w:val="24"/>
        </w:rPr>
        <w:t xml:space="preserve">. </w:t>
      </w:r>
      <w:r>
        <w:rPr>
          <w:rFonts w:hint="eastAsia" w:ascii="宋体" w:hAnsi="宋体" w:cs="宋体"/>
          <w:b/>
          <w:bCs/>
          <w:color w:val="000000"/>
          <w:kern w:val="0"/>
          <w:sz w:val="24"/>
          <w:szCs w:val="24"/>
          <w:lang w:val="en-US" w:eastAsia="zh-CN"/>
        </w:rPr>
        <w:t>安保岗</w:t>
      </w:r>
      <w:r>
        <w:rPr>
          <w:rFonts w:hint="eastAsia" w:ascii="宋体" w:hAnsi="宋体" w:eastAsia="宋体" w:cs="宋体"/>
          <w:b/>
          <w:bCs/>
          <w:color w:val="000000"/>
          <w:kern w:val="0"/>
          <w:sz w:val="24"/>
          <w:szCs w:val="24"/>
        </w:rPr>
        <w:t>具体工作要求</w:t>
      </w:r>
    </w:p>
    <w:p>
      <w:pPr>
        <w:keepNext w:val="0"/>
        <w:keepLines w:val="0"/>
        <w:pageBreakBefore w:val="0"/>
        <w:kinsoku/>
        <w:wordWrap/>
        <w:overflowPunct/>
        <w:topLinePunct w:val="0"/>
        <w:autoSpaceDE/>
        <w:autoSpaceDN/>
        <w:bidi w:val="0"/>
        <w:adjustRightInd/>
        <w:spacing w:line="360" w:lineRule="auto"/>
        <w:ind w:firstLine="640" w:firstLineChars="200"/>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1. 维持自贡市分公司及荣县支公司服务区域内公共治安秩序，实行24小时门岗值班值守、楼宇巡视制度；做好突发问题和事件的处置工作，对紧急问题必须在2小时以内处理，特殊问题在半小时以内处理，对突发事件应立即启动应急预案。</w:t>
      </w:r>
    </w:p>
    <w:p>
      <w:pPr>
        <w:keepNext w:val="0"/>
        <w:keepLines w:val="0"/>
        <w:pageBreakBefore w:val="0"/>
        <w:kinsoku/>
        <w:wordWrap/>
        <w:overflowPunct/>
        <w:topLinePunct w:val="0"/>
        <w:autoSpaceDE/>
        <w:autoSpaceDN/>
        <w:bidi w:val="0"/>
        <w:adjustRightInd/>
        <w:spacing w:line="360" w:lineRule="auto"/>
        <w:ind w:firstLine="640" w:firstLineChars="200"/>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2.  维持自贡市分公司及荣县支公司服务区内的财产安全，防止被盗或损害。</w:t>
      </w:r>
    </w:p>
    <w:p>
      <w:pPr>
        <w:keepNext w:val="0"/>
        <w:keepLines w:val="0"/>
        <w:pageBreakBefore w:val="0"/>
        <w:kinsoku/>
        <w:wordWrap/>
        <w:overflowPunct/>
        <w:topLinePunct w:val="0"/>
        <w:autoSpaceDE/>
        <w:autoSpaceDN/>
        <w:bidi w:val="0"/>
        <w:adjustRightInd/>
        <w:spacing w:line="360" w:lineRule="auto"/>
        <w:ind w:firstLine="640" w:firstLineChars="200"/>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3. 做好停车场调度服务工作，包括日常停车场车辆出入和停放秩序，确保车辆进出安全和停放安全，停车场系统维护等。</w:t>
      </w:r>
    </w:p>
    <w:p>
      <w:pPr>
        <w:autoSpaceDE w:val="0"/>
        <w:autoSpaceDN w:val="0"/>
        <w:spacing w:line="360" w:lineRule="auto"/>
        <w:ind w:left="0" w:firstLine="482" w:firstLineChars="200"/>
        <w:rPr>
          <w:rFonts w:hint="eastAsia"/>
        </w:rPr>
      </w:pPr>
      <w:r>
        <w:rPr>
          <w:rFonts w:hint="eastAsia" w:ascii="宋体" w:hAnsi="宋体" w:eastAsia="宋体" w:cs="宋体"/>
          <w:b/>
          <w:bCs/>
          <w:color w:val="000000"/>
          <w:kern w:val="0"/>
          <w:sz w:val="24"/>
          <w:szCs w:val="24"/>
          <w:lang w:val="en-US" w:eastAsia="zh-CN"/>
        </w:rPr>
        <w:t>六</w:t>
      </w:r>
      <w:r>
        <w:rPr>
          <w:rFonts w:hint="eastAsia" w:ascii="宋体" w:hAnsi="宋体" w:eastAsia="宋体" w:cs="宋体"/>
          <w:b/>
          <w:bCs/>
          <w:color w:val="000000"/>
          <w:kern w:val="0"/>
          <w:sz w:val="24"/>
          <w:szCs w:val="24"/>
        </w:rPr>
        <w:t xml:space="preserve">. </w:t>
      </w:r>
      <w:r>
        <w:rPr>
          <w:rFonts w:hint="eastAsia" w:ascii="宋体" w:hAnsi="宋体" w:cs="宋体"/>
          <w:b/>
          <w:bCs/>
          <w:color w:val="000000"/>
          <w:kern w:val="0"/>
          <w:sz w:val="24"/>
          <w:szCs w:val="24"/>
          <w:lang w:val="en-US" w:eastAsia="zh-CN"/>
        </w:rPr>
        <w:t>保洁岗</w:t>
      </w:r>
      <w:r>
        <w:rPr>
          <w:rFonts w:hint="eastAsia" w:ascii="宋体" w:hAnsi="宋体" w:eastAsia="宋体" w:cs="宋体"/>
          <w:b/>
          <w:bCs/>
          <w:color w:val="000000"/>
          <w:kern w:val="0"/>
          <w:sz w:val="24"/>
          <w:szCs w:val="24"/>
        </w:rPr>
        <w:t>具体工作要求</w:t>
      </w:r>
    </w:p>
    <w:p>
      <w:pPr>
        <w:keepNext w:val="0"/>
        <w:keepLines w:val="0"/>
        <w:pageBreakBefore w:val="0"/>
        <w:kinsoku/>
        <w:wordWrap/>
        <w:overflowPunct/>
        <w:topLinePunct w:val="0"/>
        <w:autoSpaceDE/>
        <w:autoSpaceDN/>
        <w:bidi w:val="0"/>
        <w:adjustRightInd/>
        <w:spacing w:line="360" w:lineRule="auto"/>
        <w:ind w:firstLine="640" w:firstLineChars="200"/>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CN"/>
        </w:rPr>
        <w:t>维持自贡市分公司的公共环境卫生，包括院坝、大厅、楼梯、护栏、走道、卫生间、会议室和指定办公场室等，实行规范化清扫保洁、做好日常清洁维护等。</w:t>
      </w:r>
    </w:p>
    <w:p>
      <w:pPr>
        <w:autoSpaceDE w:val="0"/>
        <w:autoSpaceDN w:val="0"/>
        <w:spacing w:line="360" w:lineRule="auto"/>
        <w:ind w:left="0" w:firstLine="482" w:firstLineChars="200"/>
        <w:rPr>
          <w:rFonts w:hint="default"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七、水电工后勤保障维护岗</w:t>
      </w:r>
    </w:p>
    <w:p>
      <w:pPr>
        <w:spacing w:line="360" w:lineRule="auto"/>
        <w:ind w:left="0" w:firstLine="640" w:firstLineChars="200"/>
        <w:rPr>
          <w:rFonts w:hint="default" w:ascii="宋体" w:hAnsi="宋体" w:cs="宋体"/>
          <w:color w:val="000000"/>
          <w:kern w:val="0"/>
          <w:sz w:val="24"/>
          <w:szCs w:val="24"/>
          <w:lang w:val="en-US" w:eastAsia="zh-CN"/>
        </w:rPr>
      </w:pPr>
      <w:r>
        <w:rPr>
          <w:rFonts w:hint="eastAsia" w:ascii="仿宋_GB2312" w:eastAsia="仿宋_GB2312" w:cs="Times New Roman"/>
          <w:sz w:val="32"/>
          <w:szCs w:val="32"/>
          <w:lang w:val="en-US" w:eastAsia="zh-CN"/>
        </w:rPr>
        <w:t>1.日常办公大楼水</w:t>
      </w:r>
      <w:r>
        <w:rPr>
          <w:rFonts w:hint="eastAsia" w:ascii="仿宋_GB2312" w:hAnsi="Times New Roman" w:eastAsia="仿宋_GB2312" w:cs="Times New Roman"/>
          <w:sz w:val="32"/>
          <w:szCs w:val="32"/>
          <w:lang w:val="en-US" w:eastAsia="zh-CN"/>
        </w:rPr>
        <w:t>电</w:t>
      </w:r>
      <w:r>
        <w:rPr>
          <w:rFonts w:hint="eastAsia" w:ascii="仿宋_GB2312" w:eastAsia="仿宋_GB2312" w:cs="Times New Roman"/>
          <w:sz w:val="32"/>
          <w:szCs w:val="32"/>
          <w:lang w:val="en-US" w:eastAsia="zh-CN"/>
        </w:rPr>
        <w:t>工的日常</w:t>
      </w:r>
      <w:r>
        <w:rPr>
          <w:rFonts w:hint="eastAsia" w:ascii="仿宋_GB2312" w:hAnsi="Times New Roman" w:eastAsia="仿宋_GB2312" w:cs="Times New Roman"/>
          <w:sz w:val="32"/>
          <w:szCs w:val="32"/>
          <w:lang w:val="en-US" w:eastAsia="zh-CN"/>
        </w:rPr>
        <w:t>巡查、安全巡视，承担会议室开关管理及其他后勤</w:t>
      </w:r>
      <w:r>
        <w:rPr>
          <w:rFonts w:hint="eastAsia" w:ascii="仿宋_GB2312" w:eastAsia="仿宋_GB2312" w:cs="Times New Roman"/>
          <w:sz w:val="32"/>
          <w:szCs w:val="32"/>
          <w:lang w:val="en-US" w:eastAsia="zh-CN"/>
        </w:rPr>
        <w:t>等</w:t>
      </w:r>
      <w:r>
        <w:rPr>
          <w:rFonts w:hint="eastAsia" w:ascii="仿宋_GB2312" w:hAnsi="Times New Roman" w:eastAsia="仿宋_GB2312" w:cs="Times New Roman"/>
          <w:sz w:val="32"/>
          <w:szCs w:val="32"/>
          <w:lang w:val="en-US" w:eastAsia="zh-CN"/>
        </w:rPr>
        <w:t>相关工作</w:t>
      </w:r>
    </w:p>
    <w:p>
      <w:pPr>
        <w:spacing w:line="360" w:lineRule="auto"/>
        <w:ind w:left="0" w:firstLine="640" w:firstLineChars="200"/>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2.积极配合做好设施设备的日常维修养护、运行和管理。设施设备包括：上下水管道、水泵、电梯、落水管、共用照明、供暖管线、变配电系统、消防系统、空调系统等。</w:t>
      </w:r>
    </w:p>
    <w:p>
      <w:pPr>
        <w:spacing w:line="360" w:lineRule="auto"/>
        <w:ind w:left="0" w:firstLine="640" w:firstLineChars="200"/>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3. 积极配合做好公共设施和附属建筑物、构筑物的日常维修养护和管理，包括：公共区域内的道路、围栏、厕所、停车场等。</w:t>
      </w:r>
    </w:p>
    <w:p>
      <w:pPr>
        <w:spacing w:line="360" w:lineRule="auto"/>
        <w:ind w:left="0" w:firstLine="640" w:firstLineChars="200"/>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 xml:space="preserve">4. 负责消防安全检查和整治，清理公共区域可燃杂物，检查消防通道、安全出口是否畅通，检查室内消火栓、灭火器、应急照明是否完好有效，检查初起火灾扑救准备工作是否到位。 </w:t>
      </w:r>
    </w:p>
    <w:p>
      <w:pPr>
        <w:spacing w:line="360" w:lineRule="auto"/>
        <w:ind w:left="0" w:firstLine="640" w:firstLineChars="200"/>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5.积极配合甲方临时安排的相关工作。</w:t>
      </w:r>
    </w:p>
    <w:p>
      <w:pPr>
        <w:autoSpaceDE w:val="0"/>
        <w:autoSpaceDN w:val="0"/>
        <w:spacing w:line="360" w:lineRule="auto"/>
        <w:ind w:left="0" w:firstLine="467" w:firstLineChars="194"/>
        <w:rPr>
          <w:rFonts w:hint="eastAsia" w:ascii="宋体" w:hAnsi="宋体" w:eastAsia="宋体" w:cs="宋体"/>
          <w:b/>
          <w:bCs/>
          <w:color w:val="000000"/>
          <w:spacing w:val="24"/>
          <w:kern w:val="0"/>
          <w:sz w:val="24"/>
          <w:szCs w:val="24"/>
        </w:rPr>
      </w:pPr>
      <w:r>
        <w:rPr>
          <w:rFonts w:hint="eastAsia" w:ascii="宋体" w:hAnsi="宋体" w:cs="宋体"/>
          <w:b/>
          <w:bCs/>
          <w:color w:val="000000"/>
          <w:kern w:val="0"/>
          <w:sz w:val="24"/>
          <w:szCs w:val="24"/>
          <w:lang w:val="en-US" w:eastAsia="zh-CN"/>
        </w:rPr>
        <w:t>八</w:t>
      </w:r>
      <w:r>
        <w:rPr>
          <w:rFonts w:hint="eastAsia" w:ascii="宋体" w:hAnsi="宋体" w:eastAsia="宋体" w:cs="宋体"/>
          <w:b/>
          <w:bCs/>
          <w:color w:val="000000"/>
          <w:kern w:val="0"/>
          <w:sz w:val="24"/>
          <w:szCs w:val="24"/>
        </w:rPr>
        <w:t>.</w:t>
      </w:r>
      <w:r>
        <w:rPr>
          <w:rFonts w:hint="eastAsia" w:ascii="宋体" w:hAnsi="宋体" w:eastAsia="宋体" w:cs="宋体"/>
          <w:b/>
          <w:bCs/>
          <w:color w:val="000000"/>
          <w:spacing w:val="24"/>
          <w:kern w:val="0"/>
          <w:sz w:val="24"/>
          <w:szCs w:val="24"/>
        </w:rPr>
        <w:t>问题项目处理</w:t>
      </w:r>
    </w:p>
    <w:p>
      <w:pPr>
        <w:spacing w:line="360" w:lineRule="auto"/>
        <w:ind w:left="0" w:firstLine="640" w:firstLineChars="200"/>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rPr>
          <w:rFonts w:hint="eastAsia" w:ascii="宋体" w:hAnsi="宋体" w:eastAsia="宋体" w:cs="宋体"/>
          <w:color w:val="000000"/>
          <w:kern w:val="0"/>
          <w:sz w:val="24"/>
          <w:szCs w:val="24"/>
        </w:rPr>
      </w:pPr>
    </w:p>
    <w:p>
      <w:pPr>
        <w:pStyle w:val="2"/>
        <w:rPr>
          <w:rFonts w:hint="eastAsia" w:ascii="宋体" w:hAnsi="宋体" w:eastAsia="宋体" w:cs="宋体"/>
          <w:color w:val="000000"/>
          <w:kern w:val="0"/>
          <w:sz w:val="24"/>
          <w:szCs w:val="24"/>
        </w:rPr>
      </w:pPr>
    </w:p>
    <w:p>
      <w:pPr>
        <w:pStyle w:val="2"/>
        <w:rPr>
          <w:rFonts w:hint="eastAsia" w:ascii="宋体" w:hAnsi="宋体" w:eastAsia="宋体" w:cs="宋体"/>
          <w:color w:val="000000"/>
          <w:kern w:val="0"/>
          <w:sz w:val="24"/>
          <w:szCs w:val="24"/>
        </w:rPr>
      </w:pPr>
    </w:p>
    <w:p>
      <w:pPr>
        <w:pStyle w:val="2"/>
        <w:rPr>
          <w:rFonts w:hint="eastAsia" w:ascii="宋体" w:hAnsi="宋体" w:eastAsia="宋体" w:cs="宋体"/>
          <w:color w:val="000000"/>
          <w:kern w:val="0"/>
          <w:sz w:val="24"/>
          <w:szCs w:val="24"/>
        </w:rPr>
      </w:pPr>
    </w:p>
    <w:p>
      <w:pPr>
        <w:spacing w:line="360" w:lineRule="auto"/>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rPr>
        <w:t>附件二</w:t>
      </w:r>
    </w:p>
    <w:p>
      <w:pPr>
        <w:spacing w:line="360" w:lineRule="auto"/>
        <w:ind w:left="0" w:firstLine="482" w:firstLineChars="200"/>
        <w:jc w:val="center"/>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rPr>
        <w:t>付款</w:t>
      </w:r>
    </w:p>
    <w:p>
      <w:pPr>
        <w:spacing w:line="360" w:lineRule="auto"/>
        <w:ind w:left="0" w:firstLine="643" w:firstLineChars="200"/>
        <w:jc w:val="center"/>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1. 本合同使用货币种类为人民币。</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 付款方式：</w:t>
      </w:r>
      <w:r>
        <w:rPr>
          <w:rFonts w:hint="eastAsia" w:ascii="仿宋_GB2312" w:hAnsi="仿宋_GB2312" w:eastAsia="仿宋_GB2312" w:cs="仿宋_GB2312"/>
          <w:color w:val="000000"/>
          <w:kern w:val="0"/>
          <w:sz w:val="32"/>
          <w:szCs w:val="32"/>
          <w:u w:val="single"/>
          <w:lang w:eastAsia="zh-CN"/>
        </w:rPr>
        <w:t>转帐</w:t>
      </w:r>
      <w:r>
        <w:rPr>
          <w:rFonts w:hint="eastAsia" w:ascii="仿宋_GB2312" w:hAnsi="仿宋_GB2312" w:eastAsia="仿宋_GB2312" w:cs="仿宋_GB2312"/>
          <w:color w:val="000000"/>
          <w:kern w:val="0"/>
          <w:sz w:val="32"/>
          <w:szCs w:val="32"/>
          <w:lang w:eastAsia="zh-CN"/>
        </w:rPr>
        <w:t>方式</w:t>
      </w:r>
      <w:r>
        <w:rPr>
          <w:rFonts w:hint="eastAsia" w:ascii="仿宋_GB2312" w:hAnsi="仿宋_GB2312" w:eastAsia="仿宋_GB2312" w:cs="仿宋_GB2312"/>
          <w:color w:val="000000"/>
          <w:kern w:val="0"/>
          <w:sz w:val="32"/>
          <w:szCs w:val="32"/>
        </w:rPr>
        <w:t>，甲方应向乙方以下账户进行付费：</w:t>
      </w:r>
    </w:p>
    <w:p>
      <w:pPr>
        <w:keepNext w:val="0"/>
        <w:keepLines w:val="0"/>
        <w:pageBreakBefore w:val="0"/>
        <w:widowControl w:val="0"/>
        <w:kinsoku/>
        <w:wordWrap/>
        <w:overflowPunct/>
        <w:topLinePunct w:val="0"/>
        <w:autoSpaceDE/>
        <w:autoSpaceDN/>
        <w:bidi w:val="0"/>
        <w:adjustRightInd/>
        <w:snapToGrid w:val="0"/>
        <w:spacing w:line="360" w:lineRule="auto"/>
        <w:ind w:firstLine="643" w:firstLineChars="200"/>
        <w:textAlignment w:val="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乙方：</w:t>
      </w:r>
    </w:p>
    <w:p>
      <w:pPr>
        <w:keepNext w:val="0"/>
        <w:keepLines w:val="0"/>
        <w:pageBreakBefore w:val="0"/>
        <w:widowControl w:val="0"/>
        <w:kinsoku/>
        <w:wordWrap/>
        <w:overflowPunct/>
        <w:topLinePunct w:val="0"/>
        <w:autoSpaceDE/>
        <w:autoSpaceDN/>
        <w:bidi w:val="0"/>
        <w:adjustRightInd/>
        <w:snapToGrid w:val="0"/>
        <w:spacing w:line="360" w:lineRule="auto"/>
        <w:ind w:firstLine="643" w:firstLineChars="200"/>
        <w:textAlignment w:val="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开户行：</w:t>
      </w:r>
    </w:p>
    <w:p>
      <w:pPr>
        <w:keepNext w:val="0"/>
        <w:keepLines w:val="0"/>
        <w:pageBreakBefore w:val="0"/>
        <w:widowControl w:val="0"/>
        <w:kinsoku/>
        <w:wordWrap/>
        <w:overflowPunct/>
        <w:topLinePunct w:val="0"/>
        <w:autoSpaceDE/>
        <w:autoSpaceDN/>
        <w:bidi w:val="0"/>
        <w:adjustRightInd/>
        <w:snapToGrid w:val="0"/>
        <w:spacing w:line="360" w:lineRule="auto"/>
        <w:ind w:firstLine="643" w:firstLineChars="200"/>
        <w:textAlignment w:val="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账户名称：</w:t>
      </w:r>
    </w:p>
    <w:p>
      <w:pPr>
        <w:keepNext w:val="0"/>
        <w:keepLines w:val="0"/>
        <w:pageBreakBefore w:val="0"/>
        <w:widowControl w:val="0"/>
        <w:kinsoku/>
        <w:wordWrap/>
        <w:overflowPunct/>
        <w:topLinePunct w:val="0"/>
        <w:autoSpaceDE/>
        <w:autoSpaceDN/>
        <w:bidi w:val="0"/>
        <w:adjustRightInd/>
        <w:snapToGrid w:val="0"/>
        <w:spacing w:line="360" w:lineRule="auto"/>
        <w:ind w:left="0" w:firstLine="643" w:firstLineChars="200"/>
        <w:textAlignment w:val="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账号：</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乙方如需改变上述账户，应提前10日以书面通知甲方。</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3．付款安排：</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color w:val="000000"/>
          <w:kern w:val="0"/>
          <w:sz w:val="32"/>
          <w:szCs w:val="32"/>
          <w:highlight w:val="none"/>
          <w:lang w:val="en-US" w:eastAsia="zh-CN"/>
        </w:rPr>
      </w:pPr>
      <w:r>
        <w:rPr>
          <w:rFonts w:hint="eastAsia" w:ascii="仿宋_GB2312" w:hAnsi="仿宋_GB2312" w:eastAsia="仿宋_GB2312" w:cs="仿宋_GB2312"/>
          <w:color w:val="000000"/>
          <w:kern w:val="0"/>
          <w:sz w:val="32"/>
          <w:szCs w:val="32"/>
          <w:highlight w:val="none"/>
          <w:lang w:eastAsia="zh-CN"/>
        </w:rPr>
        <w:t>甲方于</w:t>
      </w:r>
      <w:r>
        <w:rPr>
          <w:rFonts w:hint="eastAsia" w:ascii="仿宋_GB2312" w:hAnsi="Times New Roman" w:eastAsia="仿宋_GB2312" w:cs="Times New Roman"/>
          <w:color w:val="FF0000"/>
          <w:sz w:val="32"/>
          <w:szCs w:val="32"/>
          <w:u w:val="single"/>
          <w:lang w:val="en-US" w:eastAsia="zh-CN"/>
        </w:rPr>
        <w:t>X</w:t>
      </w:r>
      <w:r>
        <w:rPr>
          <w:rFonts w:hint="eastAsia" w:ascii="仿宋_GB2312" w:hAnsi="仿宋_GB2312" w:eastAsia="仿宋_GB2312" w:cs="仿宋_GB2312"/>
          <w:color w:val="000000"/>
          <w:kern w:val="0"/>
          <w:sz w:val="32"/>
          <w:szCs w:val="32"/>
          <w:highlight w:val="none"/>
          <w:lang w:eastAsia="zh-CN"/>
        </w:rPr>
        <w:t>向乙方支付当季度的服务费用</w:t>
      </w:r>
      <w:r>
        <w:rPr>
          <w:rFonts w:hint="eastAsia" w:ascii="仿宋_GB2312" w:hAnsi="仿宋_GB2312" w:eastAsia="仿宋_GB2312" w:cs="仿宋_GB2312"/>
          <w:color w:val="000000"/>
          <w:kern w:val="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color w:val="000000"/>
          <w:kern w:val="0"/>
          <w:sz w:val="32"/>
          <w:szCs w:val="32"/>
          <w:highlight w:val="none"/>
          <w:lang w:val="en-US" w:eastAsia="zh-CN"/>
        </w:rPr>
      </w:pPr>
      <w:r>
        <w:rPr>
          <w:rFonts w:hint="eastAsia" w:ascii="仿宋_GB2312" w:hAnsi="仿宋_GB2312" w:eastAsia="仿宋_GB2312" w:cs="仿宋_GB2312"/>
          <w:color w:val="000000"/>
          <w:kern w:val="0"/>
          <w:sz w:val="32"/>
          <w:szCs w:val="32"/>
          <w:highlight w:val="none"/>
        </w:rPr>
        <w:t>乙方需</w:t>
      </w:r>
      <w:r>
        <w:rPr>
          <w:rFonts w:hint="eastAsia" w:ascii="仿宋_GB2312" w:hAnsi="仿宋_GB2312" w:eastAsia="仿宋_GB2312" w:cs="仿宋_GB2312"/>
          <w:color w:val="000000"/>
          <w:kern w:val="0"/>
          <w:sz w:val="32"/>
          <w:szCs w:val="32"/>
          <w:highlight w:val="none"/>
          <w:lang w:eastAsia="zh-CN"/>
        </w:rPr>
        <w:t>在每季度第一个月</w:t>
      </w:r>
      <w:r>
        <w:rPr>
          <w:rFonts w:hint="eastAsia" w:ascii="仿宋_GB2312" w:hAnsi="仿宋_GB2312" w:eastAsia="仿宋_GB2312" w:cs="仿宋_GB2312"/>
          <w:color w:val="000000"/>
          <w:kern w:val="0"/>
          <w:sz w:val="32"/>
          <w:szCs w:val="32"/>
          <w:highlight w:val="none"/>
          <w:lang w:val="en-US" w:eastAsia="zh-CN"/>
        </w:rPr>
        <w:t>向</w:t>
      </w:r>
      <w:r>
        <w:rPr>
          <w:rFonts w:hint="eastAsia" w:ascii="仿宋_GB2312" w:hAnsi="仿宋_GB2312" w:eastAsia="仿宋_GB2312" w:cs="仿宋_GB2312"/>
          <w:color w:val="000000"/>
          <w:kern w:val="0"/>
          <w:sz w:val="32"/>
          <w:szCs w:val="32"/>
          <w:highlight w:val="none"/>
        </w:rPr>
        <w:t>甲方提供合法有效的增值税专用发票，甲方</w:t>
      </w:r>
      <w:r>
        <w:rPr>
          <w:rFonts w:hint="eastAsia" w:ascii="仿宋_GB2312" w:hAnsi="仿宋_GB2312" w:eastAsia="仿宋_GB2312" w:cs="仿宋_GB2312"/>
          <w:color w:val="000000"/>
          <w:kern w:val="0"/>
          <w:sz w:val="32"/>
          <w:szCs w:val="32"/>
          <w:highlight w:val="none"/>
          <w:lang w:eastAsia="zh-CN"/>
        </w:rPr>
        <w:t>收取乙方的专票</w:t>
      </w:r>
      <w:r>
        <w:rPr>
          <w:rFonts w:hint="eastAsia" w:ascii="仿宋_GB2312" w:hAnsi="仿宋_GB2312" w:eastAsia="仿宋_GB2312" w:cs="仿宋_GB2312"/>
          <w:color w:val="auto"/>
          <w:kern w:val="0"/>
          <w:sz w:val="32"/>
          <w:szCs w:val="32"/>
          <w:highlight w:val="none"/>
          <w:lang w:eastAsia="zh-CN"/>
        </w:rPr>
        <w:t>后</w:t>
      </w:r>
      <w:r>
        <w:rPr>
          <w:rFonts w:hint="eastAsia" w:ascii="仿宋_GB2312" w:hAnsi="Times New Roman" w:eastAsia="仿宋_GB2312" w:cs="Times New Roman"/>
          <w:color w:val="auto"/>
          <w:sz w:val="32"/>
          <w:szCs w:val="32"/>
          <w:u w:val="single"/>
          <w:lang w:val="en-US" w:eastAsia="zh-CN"/>
        </w:rPr>
        <w:t>X</w:t>
      </w:r>
      <w:r>
        <w:rPr>
          <w:rFonts w:hint="eastAsia" w:ascii="仿宋_GB2312" w:hAnsi="仿宋_GB2312" w:eastAsia="仿宋_GB2312" w:cs="仿宋_GB2312"/>
          <w:color w:val="auto"/>
          <w:kern w:val="0"/>
          <w:sz w:val="32"/>
          <w:szCs w:val="32"/>
          <w:highlight w:val="none"/>
          <w:lang w:val="en-US" w:eastAsia="zh-CN"/>
        </w:rPr>
        <w:t>个</w:t>
      </w:r>
      <w:r>
        <w:rPr>
          <w:rFonts w:hint="eastAsia" w:ascii="仿宋_GB2312" w:hAnsi="仿宋_GB2312" w:eastAsia="仿宋_GB2312" w:cs="仿宋_GB2312"/>
          <w:color w:val="000000"/>
          <w:kern w:val="0"/>
          <w:sz w:val="32"/>
          <w:szCs w:val="32"/>
          <w:highlight w:val="none"/>
          <w:lang w:val="en-US" w:eastAsia="zh-CN"/>
        </w:rPr>
        <w:t>工作日通过</w:t>
      </w:r>
      <w:r>
        <w:rPr>
          <w:rFonts w:hint="eastAsia" w:ascii="仿宋_GB2312" w:hAnsi="仿宋_GB2312" w:eastAsia="仿宋_GB2312" w:cs="仿宋_GB2312"/>
          <w:color w:val="000000"/>
          <w:kern w:val="0"/>
          <w:sz w:val="32"/>
          <w:szCs w:val="32"/>
          <w:highlight w:val="none"/>
          <w:u w:val="none"/>
          <w:lang w:val="en-US" w:eastAsia="zh-CN"/>
        </w:rPr>
        <w:t>转帐</w:t>
      </w:r>
      <w:r>
        <w:rPr>
          <w:rFonts w:hint="eastAsia" w:ascii="仿宋_GB2312" w:hAnsi="仿宋_GB2312" w:eastAsia="仿宋_GB2312" w:cs="仿宋_GB2312"/>
          <w:color w:val="000000"/>
          <w:kern w:val="0"/>
          <w:sz w:val="32"/>
          <w:szCs w:val="32"/>
          <w:highlight w:val="none"/>
          <w:lang w:val="en-US" w:eastAsia="zh-CN"/>
        </w:rPr>
        <w:t>方式</w:t>
      </w:r>
      <w:r>
        <w:rPr>
          <w:rFonts w:hint="eastAsia" w:ascii="仿宋_GB2312" w:hAnsi="仿宋_GB2312" w:eastAsia="仿宋_GB2312" w:cs="仿宋_GB2312"/>
          <w:color w:val="000000"/>
          <w:kern w:val="0"/>
          <w:sz w:val="32"/>
          <w:szCs w:val="32"/>
          <w:highlight w:val="none"/>
          <w:lang w:eastAsia="zh-CN"/>
        </w:rPr>
        <w:t>将服务费用转至</w:t>
      </w:r>
      <w:r>
        <w:rPr>
          <w:rFonts w:hint="eastAsia" w:ascii="仿宋_GB2312" w:hAnsi="仿宋_GB2312" w:eastAsia="仿宋_GB2312" w:cs="仿宋_GB2312"/>
          <w:color w:val="000000"/>
          <w:kern w:val="0"/>
          <w:sz w:val="32"/>
          <w:szCs w:val="32"/>
          <w:highlight w:val="none"/>
        </w:rPr>
        <w:t>乙方指定的银行账户</w:t>
      </w:r>
      <w:r>
        <w:rPr>
          <w:rFonts w:hint="eastAsia" w:ascii="仿宋_GB2312" w:hAnsi="仿宋_GB2312" w:eastAsia="仿宋_GB2312" w:cs="仿宋_GB2312"/>
          <w:color w:val="000000"/>
          <w:kern w:val="0"/>
          <w:sz w:val="32"/>
          <w:szCs w:val="32"/>
          <w:highlight w:val="none"/>
          <w:lang w:eastAsia="zh-CN"/>
        </w:rPr>
        <w:t>。</w:t>
      </w:r>
      <w:bookmarkStart w:id="123" w:name="OLE_LINK2"/>
    </w:p>
    <w:bookmarkEnd w:id="123"/>
    <w:p>
      <w:pPr>
        <w:snapToGrid w:val="0"/>
        <w:spacing w:line="360" w:lineRule="auto"/>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 增值税专用发票的相关约定</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（1）乙方应向甲方开具增值税专用发票，甲方开票信息如下： </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jc w:val="left"/>
        <w:textAlignment w:val="auto"/>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color w:val="000000"/>
          <w:kern w:val="0"/>
          <w:sz w:val="32"/>
          <w:szCs w:val="32"/>
        </w:rPr>
        <w:t>公司名称：</w:t>
      </w:r>
      <w:r>
        <w:rPr>
          <w:rFonts w:hint="eastAsia" w:ascii="仿宋_GB2312" w:hAnsi="仿宋_GB2312" w:eastAsia="仿宋_GB2312" w:cs="仿宋_GB2312"/>
          <w:color w:val="000000"/>
          <w:kern w:val="0"/>
          <w:sz w:val="32"/>
          <w:szCs w:val="32"/>
          <w:highlight w:val="none"/>
          <w:lang w:val="en-US" w:eastAsia="zh-CN"/>
        </w:rPr>
        <w:t>中国人民财产保险股份有限公司自贡市分公司</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color w:val="000000"/>
          <w:kern w:val="0"/>
          <w:sz w:val="32"/>
          <w:szCs w:val="32"/>
        </w:rPr>
        <w:t>纳税识别号：</w:t>
      </w:r>
      <w:r>
        <w:rPr>
          <w:rFonts w:hint="eastAsia" w:ascii="仿宋_GB2312" w:hAnsi="仿宋_GB2312" w:eastAsia="仿宋_GB2312" w:cs="仿宋_GB2312"/>
          <w:b w:val="0"/>
          <w:bCs w:val="0"/>
          <w:sz w:val="32"/>
          <w:szCs w:val="32"/>
        </w:rPr>
        <w:t>91510300708900653H</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jc w:val="left"/>
        <w:textAlignment w:val="auto"/>
        <w:rPr>
          <w:rFonts w:hint="eastAsia" w:ascii="仿宋_GB2312" w:hAnsi="仿宋_GB2312" w:eastAsia="仿宋_GB2312" w:cs="仿宋_GB2312"/>
          <w:b w:val="0"/>
          <w:bCs/>
          <w:color w:val="000000"/>
          <w:kern w:val="0"/>
          <w:sz w:val="32"/>
          <w:szCs w:val="32"/>
        </w:rPr>
      </w:pPr>
      <w:r>
        <w:rPr>
          <w:rFonts w:hint="eastAsia" w:ascii="仿宋_GB2312" w:hAnsi="仿宋_GB2312" w:eastAsia="仿宋_GB2312" w:cs="仿宋_GB2312"/>
          <w:b w:val="0"/>
          <w:bCs/>
          <w:color w:val="000000"/>
          <w:kern w:val="0"/>
          <w:sz w:val="32"/>
          <w:szCs w:val="32"/>
        </w:rPr>
        <w:t>开户银行：</w:t>
      </w:r>
      <w:r>
        <w:rPr>
          <w:rFonts w:hint="eastAsia" w:ascii="仿宋_GB2312" w:hAnsi="仿宋_GB2312" w:eastAsia="仿宋_GB2312" w:cs="仿宋_GB2312"/>
          <w:b w:val="0"/>
          <w:bCs w:val="0"/>
          <w:sz w:val="32"/>
          <w:szCs w:val="32"/>
        </w:rPr>
        <w:t>中国工商银行股份有限公司自贡分行</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jc w:val="left"/>
        <w:textAlignment w:val="auto"/>
        <w:rPr>
          <w:rFonts w:hint="eastAsia" w:ascii="仿宋_GB2312" w:hAnsi="仿宋_GB2312" w:eastAsia="仿宋_GB2312" w:cs="仿宋_GB2312"/>
          <w:b w:val="0"/>
          <w:bCs/>
          <w:color w:val="000000"/>
          <w:kern w:val="0"/>
          <w:sz w:val="32"/>
          <w:szCs w:val="32"/>
        </w:rPr>
      </w:pPr>
      <w:r>
        <w:rPr>
          <w:rFonts w:hint="eastAsia" w:ascii="仿宋_GB2312" w:hAnsi="仿宋_GB2312" w:eastAsia="仿宋_GB2312" w:cs="仿宋_GB2312"/>
          <w:b w:val="0"/>
          <w:bCs/>
          <w:color w:val="000000"/>
          <w:kern w:val="0"/>
          <w:sz w:val="32"/>
          <w:szCs w:val="32"/>
          <w:lang w:val="en-US" w:eastAsia="zh-CN"/>
        </w:rPr>
        <w:t>银行帐号：</w:t>
      </w:r>
      <w:r>
        <w:rPr>
          <w:rFonts w:hint="eastAsia" w:ascii="仿宋_GB2312" w:hAnsi="仿宋_GB2312" w:eastAsia="仿宋_GB2312" w:cs="仿宋_GB2312"/>
          <w:b w:val="0"/>
          <w:bCs w:val="0"/>
          <w:sz w:val="32"/>
          <w:szCs w:val="32"/>
        </w:rPr>
        <w:t>2303302109023101103</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b w:val="0"/>
          <w:bCs/>
          <w:color w:val="000000"/>
          <w:kern w:val="0"/>
          <w:sz w:val="32"/>
          <w:szCs w:val="32"/>
        </w:rPr>
      </w:pPr>
      <w:r>
        <w:rPr>
          <w:rFonts w:hint="eastAsia" w:ascii="仿宋_GB2312" w:hAnsi="仿宋_GB2312" w:eastAsia="仿宋_GB2312" w:cs="仿宋_GB2312"/>
          <w:b w:val="0"/>
          <w:bCs/>
          <w:color w:val="000000"/>
          <w:kern w:val="0"/>
          <w:sz w:val="32"/>
          <w:szCs w:val="32"/>
        </w:rPr>
        <w:t>开票地址：</w:t>
      </w:r>
      <w:r>
        <w:rPr>
          <w:rFonts w:hint="eastAsia" w:ascii="仿宋_GB2312" w:hAnsi="仿宋_GB2312" w:eastAsia="仿宋_GB2312" w:cs="仿宋_GB2312"/>
          <w:b w:val="0"/>
          <w:bCs w:val="0"/>
          <w:sz w:val="32"/>
          <w:szCs w:val="32"/>
          <w:lang w:val="en-US" w:eastAsia="zh-CN"/>
        </w:rPr>
        <w:t>四川省自贡市自流井区檀木林街332号、346号、348号</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val="en-US" w:eastAsia="zh-CN"/>
        </w:rPr>
        <w:t>2</w:t>
      </w:r>
      <w:r>
        <w:rPr>
          <w:rFonts w:hint="eastAsia" w:ascii="仿宋_GB2312" w:hAnsi="仿宋_GB2312" w:eastAsia="仿宋_GB2312" w:cs="仿宋_GB2312"/>
          <w:color w:val="000000"/>
          <w:kern w:val="0"/>
          <w:sz w:val="32"/>
          <w:szCs w:val="32"/>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val="en-US" w:eastAsia="zh-CN"/>
        </w:rPr>
        <w:t>3</w:t>
      </w:r>
      <w:r>
        <w:rPr>
          <w:rFonts w:hint="eastAsia" w:ascii="仿宋_GB2312" w:hAnsi="仿宋_GB2312" w:eastAsia="仿宋_GB2312" w:cs="仿宋_GB2312"/>
          <w:color w:val="000000"/>
          <w:kern w:val="0"/>
          <w:sz w:val="32"/>
          <w:szCs w:val="32"/>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val="en-US" w:eastAsia="zh-CN"/>
        </w:rPr>
        <w:t>4</w:t>
      </w:r>
      <w:r>
        <w:rPr>
          <w:rFonts w:hint="eastAsia" w:ascii="仿宋_GB2312" w:hAnsi="仿宋_GB2312" w:eastAsia="仿宋_GB2312" w:cs="仿宋_GB2312"/>
          <w:color w:val="000000"/>
          <w:kern w:val="0"/>
          <w:sz w:val="32"/>
          <w:szCs w:val="32"/>
        </w:rPr>
        <w:t>）为保证取得的发票可以及时并成功获得抵扣，乙方开具的增值税专用发票送达并经甲方签收后，若发生丢失，乙方应积极协助甲方，按照相关税收法规和文件的规定提供相应资料，并确保甲方顺利获得抵扣；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val="en-US" w:eastAsia="zh-CN"/>
        </w:rPr>
        <w:t>5</w:t>
      </w:r>
      <w:r>
        <w:rPr>
          <w:rFonts w:hint="eastAsia" w:ascii="仿宋_GB2312" w:hAnsi="仿宋_GB2312" w:eastAsia="仿宋_GB2312" w:cs="仿宋_GB2312"/>
          <w:color w:val="000000"/>
          <w:kern w:val="0"/>
          <w:sz w:val="32"/>
          <w:szCs w:val="32"/>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widowControl w:val="0"/>
        <w:kinsoku/>
        <w:wordWrap/>
        <w:overflowPunct/>
        <w:topLinePunct w:val="0"/>
        <w:autoSpaceDE/>
        <w:autoSpaceDN/>
        <w:bidi w:val="0"/>
        <w:adjustRightInd/>
        <w:snapToGrid w:val="0"/>
        <w:spacing w:line="360" w:lineRule="auto"/>
        <w:ind w:firstLine="320" w:firstLineChars="1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 </w:t>
      </w:r>
    </w:p>
    <w:p>
      <w:pPr>
        <w:pStyle w:val="2"/>
        <w:rPr>
          <w:rFonts w:hint="eastAsia" w:ascii="仿宋_GB2312" w:hAnsi="仿宋_GB2312" w:eastAsia="仿宋_GB2312" w:cs="仿宋_GB2312"/>
          <w:color w:val="000000"/>
          <w:kern w:val="0"/>
          <w:sz w:val="32"/>
          <w:szCs w:val="32"/>
        </w:rPr>
      </w:pPr>
    </w:p>
    <w:p>
      <w:pPr>
        <w:pStyle w:val="2"/>
        <w:rPr>
          <w:rFonts w:hint="eastAsia" w:ascii="仿宋_GB2312" w:hAnsi="仿宋_GB2312" w:eastAsia="仿宋_GB2312" w:cs="仿宋_GB2312"/>
          <w:color w:val="000000"/>
          <w:kern w:val="0"/>
          <w:sz w:val="32"/>
          <w:szCs w:val="32"/>
        </w:rPr>
      </w:pPr>
    </w:p>
    <w:p>
      <w:pPr>
        <w:pStyle w:val="2"/>
        <w:rPr>
          <w:rFonts w:hint="eastAsia" w:ascii="仿宋_GB2312" w:hAnsi="仿宋_GB2312" w:eastAsia="仿宋_GB2312" w:cs="仿宋_GB2312"/>
          <w:color w:val="000000"/>
          <w:kern w:val="0"/>
          <w:sz w:val="32"/>
          <w:szCs w:val="32"/>
        </w:rPr>
      </w:pPr>
    </w:p>
    <w:p>
      <w:pPr>
        <w:pStyle w:val="2"/>
        <w:rPr>
          <w:rFonts w:hint="eastAsia" w:ascii="仿宋_GB2312" w:hAnsi="仿宋_GB2312" w:eastAsia="仿宋_GB2312" w:cs="仿宋_GB2312"/>
          <w:color w:val="000000"/>
          <w:kern w:val="0"/>
          <w:sz w:val="32"/>
          <w:szCs w:val="32"/>
        </w:rPr>
      </w:pPr>
    </w:p>
    <w:p>
      <w:pPr>
        <w:spacing w:line="360" w:lineRule="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附件三</w:t>
      </w:r>
    </w:p>
    <w:p>
      <w:pPr>
        <w:spacing w:line="360" w:lineRule="auto"/>
        <w:ind w:left="0" w:firstLine="643" w:firstLineChars="200"/>
        <w:jc w:val="center"/>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双方的权利和义务</w:t>
      </w:r>
    </w:p>
    <w:p>
      <w:pPr>
        <w:snapToGrid w:val="0"/>
        <w:spacing w:line="360" w:lineRule="auto"/>
        <w:ind w:left="0" w:firstLine="643" w:firstLineChars="200"/>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 xml:space="preserve"> </w:t>
      </w:r>
    </w:p>
    <w:p>
      <w:pPr>
        <w:keepNext w:val="0"/>
        <w:keepLines w:val="0"/>
        <w:pageBreakBefore w:val="0"/>
        <w:widowControl w:val="0"/>
        <w:kinsoku/>
        <w:wordWrap/>
        <w:overflowPunct/>
        <w:topLinePunct w:val="0"/>
        <w:autoSpaceDE/>
        <w:autoSpaceDN/>
        <w:bidi w:val="0"/>
        <w:snapToGrid w:val="0"/>
        <w:spacing w:line="240" w:lineRule="auto"/>
        <w:ind w:left="0" w:firstLine="640" w:firstLineChars="200"/>
        <w:textAlignment w:val="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color w:val="000000"/>
          <w:kern w:val="0"/>
          <w:sz w:val="32"/>
          <w:szCs w:val="32"/>
        </w:rPr>
        <w:t>1．甲方的权利和义务</w:t>
      </w:r>
      <w:r>
        <w:rPr>
          <w:rFonts w:hint="eastAsia" w:ascii="仿宋_GB2312" w:hAnsi="仿宋_GB2312" w:eastAsia="仿宋_GB2312" w:cs="仿宋_GB2312"/>
          <w:color w:val="000000"/>
          <w:kern w:val="0"/>
          <w:sz w:val="32"/>
          <w:szCs w:val="32"/>
        </w:rPr>
        <w:tab/>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（1）为乙方物业</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lang w:val="en-US" w:eastAsia="zh-CN"/>
        </w:rPr>
        <w:t>安保</w:t>
      </w:r>
      <w:r>
        <w:rPr>
          <w:rFonts w:hint="eastAsia" w:ascii="仿宋_GB2312" w:hAnsi="仿宋_GB2312" w:eastAsia="仿宋_GB2312" w:cs="仿宋_GB2312"/>
          <w:color w:val="000000"/>
          <w:kern w:val="0"/>
          <w:sz w:val="32"/>
          <w:szCs w:val="32"/>
        </w:rPr>
        <w:t>人员提供必备的工作条件，包括</w:t>
      </w:r>
      <w:r>
        <w:rPr>
          <w:rFonts w:hint="eastAsia" w:ascii="仿宋_GB2312" w:hAnsi="仿宋_GB2312" w:eastAsia="仿宋_GB2312" w:cs="仿宋_GB2312"/>
          <w:color w:val="000000"/>
          <w:kern w:val="0"/>
          <w:sz w:val="32"/>
          <w:szCs w:val="32"/>
          <w:lang w:eastAsia="zh-CN"/>
        </w:rPr>
        <w:t>清洁</w:t>
      </w:r>
      <w:r>
        <w:rPr>
          <w:rFonts w:hint="eastAsia" w:ascii="仿宋_GB2312" w:hAnsi="仿宋_GB2312" w:eastAsia="仿宋_GB2312" w:cs="仿宋_GB2312"/>
          <w:color w:val="000000"/>
          <w:kern w:val="0"/>
          <w:sz w:val="32"/>
          <w:szCs w:val="32"/>
        </w:rPr>
        <w:t>工具，组织训练学习的场所等；根据工作需要，合理安排物业</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lang w:val="en-US" w:eastAsia="zh-CN"/>
        </w:rPr>
        <w:t>安保</w:t>
      </w:r>
      <w:r>
        <w:rPr>
          <w:rFonts w:hint="eastAsia" w:ascii="仿宋_GB2312" w:hAnsi="仿宋_GB2312" w:eastAsia="仿宋_GB2312" w:cs="仿宋_GB2312"/>
          <w:color w:val="000000"/>
          <w:kern w:val="0"/>
          <w:sz w:val="32"/>
          <w:szCs w:val="32"/>
        </w:rPr>
        <w:t>人员的工作。</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（2）配备符合国家要求的消防设施，对乙方提出的安全防范隐患报告应及时答复和改进。制定并执行内部安全防范规章制度，教育本公司员工配合和支持乙方物业人员履行相应的保安保洁职责。</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（3）按合同约定的时间和方式向乙方支付物业</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lang w:val="en-US" w:eastAsia="zh-CN"/>
        </w:rPr>
        <w:t>安保</w:t>
      </w:r>
      <w:r>
        <w:rPr>
          <w:rFonts w:hint="eastAsia" w:ascii="仿宋_GB2312" w:hAnsi="仿宋_GB2312" w:eastAsia="仿宋_GB2312" w:cs="仿宋_GB2312"/>
          <w:color w:val="000000"/>
          <w:kern w:val="0"/>
          <w:sz w:val="32"/>
          <w:szCs w:val="32"/>
        </w:rPr>
        <w:t>服务费。</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（4）物业人员有下列情形之一的，甲方有权将要求乙方重新更换物业人员，并不对乙方及乙方物业人员承担任何法律责任：</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a.物业人员严重违反甲方依法制定的规章制度的；</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b.物业人员严重失职、营私舞弊，对甲方利益造成损害的；</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c.物业人员被依法追究刑事责任或被追究治安处罚责任的；</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d.物业人员患病、非因工负伤或工伤致残，不适应物业服务工作的，由甲方退回乙方处理。</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(5)物业人员发生工伤事故，甲方在得知事发后</w:t>
      </w:r>
      <w:r>
        <w:rPr>
          <w:rFonts w:hint="eastAsia" w:ascii="仿宋_GB2312" w:hAnsi="Times New Roman" w:eastAsia="仿宋_GB2312" w:cs="Times New Roman"/>
          <w:color w:val="FF0000"/>
          <w:sz w:val="32"/>
          <w:szCs w:val="32"/>
          <w:u w:val="single"/>
          <w:lang w:val="en-US" w:eastAsia="zh-CN"/>
        </w:rPr>
        <w:t>X</w:t>
      </w:r>
      <w:r>
        <w:rPr>
          <w:rFonts w:hint="eastAsia" w:ascii="仿宋_GB2312" w:hAnsi="仿宋_GB2312" w:eastAsia="仿宋_GB2312" w:cs="仿宋_GB2312"/>
          <w:color w:val="000000"/>
          <w:kern w:val="0"/>
          <w:sz w:val="32"/>
          <w:szCs w:val="32"/>
        </w:rPr>
        <w:t>小时内通知乙方，由乙方按规定处理。</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(6)甲方有权监督乙方服务，若乙方提供的服务不能满足甲方需求，甲方有权随时解除本协议，并不承担违约责任。甲方向乙方支付的服务费用以实际发生为准。</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lang w:val="en-US" w:eastAsia="zh-CN"/>
        </w:rPr>
        <w:t>7</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乙方违反本合同的相关约定，未完成约定的管理服务内容，甲方就同一问题连续三次向乙方发出整改通知书，却仍不能达到甲方满意的，甲方可向乙方发出解除合同的书面通知，从而解除合同。</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val="en-US" w:eastAsia="zh-CN"/>
        </w:rPr>
        <w:t>8</w:t>
      </w:r>
      <w:r>
        <w:rPr>
          <w:rFonts w:hint="eastAsia" w:ascii="仿宋_GB2312" w:hAnsi="仿宋_GB2312" w:eastAsia="仿宋_GB2312" w:cs="仿宋_GB2312"/>
          <w:color w:val="000000"/>
          <w:kern w:val="0"/>
          <w:sz w:val="32"/>
          <w:szCs w:val="32"/>
        </w:rPr>
        <w:t>）本合同其他条款中约定的甲方的权利和义务。</w:t>
      </w:r>
    </w:p>
    <w:p>
      <w:pPr>
        <w:keepNext w:val="0"/>
        <w:keepLines w:val="0"/>
        <w:pageBreakBefore w:val="0"/>
        <w:widowControl w:val="0"/>
        <w:kinsoku/>
        <w:wordWrap/>
        <w:overflowPunct/>
        <w:topLinePunct w:val="0"/>
        <w:autoSpaceDE/>
        <w:autoSpaceDN/>
        <w:bidi w:val="0"/>
        <w:snapToGrid w:val="0"/>
        <w:spacing w:line="24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 乙方的权利和义务</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（1）乙方指派</w:t>
      </w:r>
      <w:r>
        <w:rPr>
          <w:rFonts w:hint="eastAsia" w:ascii="仿宋_GB2312" w:hAnsi="Times New Roman" w:eastAsia="仿宋_GB2312" w:cs="Times New Roman"/>
          <w:color w:val="FF0000"/>
          <w:sz w:val="32"/>
          <w:szCs w:val="32"/>
          <w:u w:val="single"/>
          <w:lang w:val="en-US" w:eastAsia="zh-CN"/>
        </w:rPr>
        <w:t>X</w:t>
      </w:r>
      <w:r>
        <w:rPr>
          <w:rFonts w:hint="eastAsia" w:ascii="仿宋_GB2312" w:hAnsi="仿宋_GB2312" w:eastAsia="仿宋_GB2312" w:cs="仿宋_GB2312"/>
          <w:color w:val="000000"/>
          <w:kern w:val="0"/>
          <w:sz w:val="32"/>
          <w:szCs w:val="32"/>
        </w:rPr>
        <w:t>名保安员</w:t>
      </w:r>
      <w:r>
        <w:rPr>
          <w:rFonts w:hint="eastAsia" w:ascii="仿宋_GB2312" w:hAnsi="仿宋_GB2312" w:eastAsia="仿宋_GB2312" w:cs="仿宋_GB2312"/>
          <w:color w:val="000000"/>
          <w:kern w:val="0"/>
          <w:sz w:val="32"/>
          <w:szCs w:val="32"/>
          <w:lang w:eastAsia="zh-CN"/>
        </w:rPr>
        <w:t>、</w:t>
      </w:r>
      <w:r>
        <w:rPr>
          <w:rFonts w:hint="eastAsia" w:ascii="仿宋_GB2312" w:hAnsi="Times New Roman" w:eastAsia="仿宋_GB2312" w:cs="Times New Roman"/>
          <w:color w:val="FF0000"/>
          <w:sz w:val="32"/>
          <w:szCs w:val="32"/>
          <w:u w:val="single"/>
          <w:lang w:val="en-US" w:eastAsia="zh-CN"/>
        </w:rPr>
        <w:t>X</w:t>
      </w:r>
      <w:r>
        <w:rPr>
          <w:rFonts w:hint="eastAsia" w:ascii="仿宋_GB2312" w:hAnsi="仿宋_GB2312" w:eastAsia="仿宋_GB2312" w:cs="仿宋_GB2312"/>
          <w:color w:val="000000"/>
          <w:kern w:val="0"/>
          <w:sz w:val="32"/>
          <w:szCs w:val="32"/>
        </w:rPr>
        <w:t>名保洁员</w:t>
      </w:r>
      <w:r>
        <w:rPr>
          <w:rFonts w:hint="eastAsia" w:ascii="仿宋_GB2312" w:hAnsi="仿宋_GB2312" w:eastAsia="仿宋_GB2312" w:cs="仿宋_GB2312"/>
          <w:color w:val="000000"/>
          <w:kern w:val="0"/>
          <w:sz w:val="32"/>
          <w:szCs w:val="32"/>
          <w:lang w:eastAsia="zh-CN"/>
        </w:rPr>
        <w:t>、</w:t>
      </w:r>
      <w:r>
        <w:rPr>
          <w:rFonts w:hint="eastAsia" w:ascii="仿宋_GB2312" w:hAnsi="Times New Roman" w:eastAsia="仿宋_GB2312" w:cs="Times New Roman"/>
          <w:color w:val="FF0000"/>
          <w:sz w:val="32"/>
          <w:szCs w:val="32"/>
          <w:u w:val="single"/>
          <w:lang w:val="en-US" w:eastAsia="zh-CN"/>
        </w:rPr>
        <w:t>X</w:t>
      </w:r>
      <w:r>
        <w:rPr>
          <w:rFonts w:hint="eastAsia" w:ascii="仿宋_GB2312" w:hAnsi="仿宋_GB2312" w:eastAsia="仿宋_GB2312" w:cs="仿宋_GB2312"/>
          <w:color w:val="000000"/>
          <w:kern w:val="0"/>
          <w:sz w:val="32"/>
          <w:szCs w:val="32"/>
          <w:lang w:val="en-US" w:eastAsia="zh-CN"/>
        </w:rPr>
        <w:t>名</w:t>
      </w:r>
      <w:r>
        <w:rPr>
          <w:rFonts w:hint="eastAsia" w:ascii="仿宋_GB2312" w:hAnsi="仿宋_GB2312" w:eastAsia="仿宋_GB2312" w:cs="仿宋_GB2312"/>
          <w:sz w:val="32"/>
          <w:szCs w:val="32"/>
          <w:lang w:val="en-US" w:eastAsia="zh-CN"/>
        </w:rPr>
        <w:t>水电工后勤保障维护人员</w:t>
      </w:r>
      <w:r>
        <w:rPr>
          <w:rFonts w:hint="eastAsia" w:ascii="仿宋_GB2312" w:hAnsi="仿宋_GB2312" w:eastAsia="仿宋_GB2312" w:cs="仿宋_GB2312"/>
          <w:color w:val="000000"/>
          <w:kern w:val="0"/>
          <w:sz w:val="32"/>
          <w:szCs w:val="32"/>
        </w:rPr>
        <w:t>负责甲方的物业服务工作。乙方必须确保派驻甲方的物业队伍的稳定，不得随意更换或召回正在为甲方提供服务的物业人员，如确有特殊原因需要更换或召回，必须提前三天通知甲方，经甲方确认后方可更换或召回。</w:t>
      </w:r>
      <w:r>
        <w:rPr>
          <w:rFonts w:hint="eastAsia" w:ascii="仿宋_GB2312" w:hAnsi="仿宋_GB2312" w:eastAsia="仿宋_GB2312" w:cs="仿宋_GB2312"/>
          <w:color w:val="000000"/>
          <w:kern w:val="0"/>
          <w:sz w:val="32"/>
          <w:szCs w:val="32"/>
          <w:lang w:eastAsia="zh-CN"/>
        </w:rPr>
        <w:t>未达到</w:t>
      </w:r>
      <w:r>
        <w:rPr>
          <w:rFonts w:hint="eastAsia" w:ascii="仿宋_GB2312" w:hAnsi="仿宋_GB2312" w:eastAsia="仿宋_GB2312" w:cs="仿宋_GB2312"/>
          <w:color w:val="000000"/>
          <w:kern w:val="0"/>
          <w:sz w:val="32"/>
          <w:szCs w:val="32"/>
        </w:rPr>
        <w:t>甲方</w:t>
      </w:r>
      <w:r>
        <w:rPr>
          <w:rFonts w:hint="eastAsia" w:ascii="仿宋_GB2312" w:hAnsi="仿宋_GB2312" w:eastAsia="仿宋_GB2312" w:cs="仿宋_GB2312"/>
          <w:color w:val="000000"/>
          <w:kern w:val="0"/>
          <w:sz w:val="32"/>
          <w:szCs w:val="32"/>
          <w:lang w:eastAsia="zh-CN"/>
        </w:rPr>
        <w:t>要求被</w:t>
      </w:r>
      <w:r>
        <w:rPr>
          <w:rFonts w:hint="eastAsia" w:ascii="仿宋_GB2312" w:hAnsi="仿宋_GB2312" w:eastAsia="仿宋_GB2312" w:cs="仿宋_GB2312"/>
          <w:color w:val="000000"/>
          <w:kern w:val="0"/>
          <w:sz w:val="32"/>
          <w:szCs w:val="32"/>
        </w:rPr>
        <w:t>退回的物业人员</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乙方应负责召回并根据实际情况处理与物业人员的一切纠纷。</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（2）乙方负责物业人员的全面管理，甲方负责监督。乙方有责任教育物业人员遵守甲方的各项规章制度，履行和完成甲方指定的工作目标和岗位工作要求。</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发生在执勤区域内的刑事案件、治安案件和治安灾害事故，物业服务人员及时处理并报告甲方和当地公安机关，采取措施保护发案现场，协助公安机关侦查各类治安刑事案件，依法妥善处理责任范围内的其它突发事件。</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（4）落实防火、防盗、防破坏等安全防范措施，发现责任区域内的安全隐患，及时报告甲方并协助予以处理。</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（5）选派的物业人员必须经过正规的保安、保洁培训，无违法犯罪前科，并向甲方提供物业人员的人事档案记录。</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（6）乙方应与物业人员签订书面劳动合同，负责支付物业人员的员工工资，以及社会保险</w:t>
      </w:r>
      <w:r>
        <w:rPr>
          <w:rFonts w:hint="eastAsia" w:ascii="仿宋_GB2312" w:hAnsi="仿宋_GB2312" w:eastAsia="仿宋_GB2312" w:cs="仿宋_GB2312"/>
          <w:color w:val="000000"/>
          <w:kern w:val="0"/>
          <w:sz w:val="32"/>
          <w:szCs w:val="32"/>
          <w:lang w:eastAsia="zh-CN"/>
        </w:rPr>
        <w:t>、雇主险</w:t>
      </w:r>
      <w:r>
        <w:rPr>
          <w:rFonts w:hint="eastAsia" w:ascii="仿宋_GB2312" w:hAnsi="仿宋_GB2312" w:eastAsia="仿宋_GB2312" w:cs="仿宋_GB2312"/>
          <w:color w:val="000000"/>
          <w:kern w:val="0"/>
          <w:sz w:val="32"/>
          <w:szCs w:val="32"/>
        </w:rPr>
        <w:t>等费用，并为物业人员配备制服及基本保安装备。若乙方未履行本条义务，由此产生的一切责任均由乙方承担。</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7）派驻甲方物业人员的劳动合同关系隶属乙方，乙方应根据《劳动法》《劳动合同法》的规定对派驻甲方物业人员的人身、财产安全承担全部用工责任。因派驻物业本人或外部原因而发生的一切涉及物业人员本人或第三方的人身伤亡、财产损失均由乙方负责妥善处理并承担责任，与甲方无关。</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（8）乙方派驻甲方的物业人员造成乙方工作人员自身、甲方或第三方的任何损失，由乙方承担赔偿责任。</w:t>
      </w:r>
    </w:p>
    <w:p>
      <w:pPr>
        <w:pStyle w:val="84"/>
        <w:keepNext w:val="0"/>
        <w:keepLines w:val="0"/>
        <w:pageBreakBefore w:val="0"/>
        <w:widowControl w:val="0"/>
        <w:kinsoku/>
        <w:wordWrap/>
        <w:overflowPunct/>
        <w:topLinePunct w:val="0"/>
        <w:autoSpaceDE/>
        <w:autoSpaceDN/>
        <w:bidi w:val="0"/>
        <w:adjustRightInd w:val="0"/>
        <w:snapToGrid w:val="0"/>
        <w:spacing w:line="240" w:lineRule="auto"/>
        <w:ind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(9)乙方应加强对物业人员的在岗培训、监督和管理，确保服务的优质高效。</w:t>
      </w:r>
    </w:p>
    <w:p>
      <w:pPr>
        <w:pStyle w:val="84"/>
        <w:keepNext w:val="0"/>
        <w:keepLines w:val="0"/>
        <w:pageBreakBefore w:val="0"/>
        <w:widowControl w:val="0"/>
        <w:kinsoku/>
        <w:wordWrap/>
        <w:overflowPunct/>
        <w:topLinePunct w:val="0"/>
        <w:autoSpaceDE/>
        <w:autoSpaceDN/>
        <w:bidi w:val="0"/>
        <w:adjustRightInd w:val="0"/>
        <w:snapToGrid w:val="0"/>
        <w:spacing w:line="240" w:lineRule="auto"/>
        <w:ind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（10）乙方及其物业人员对于甲方提供的以及在甲方办公场所涉及的一切材料及情况应对第三者保密。甲方及其甲方工作人员应对乙方提供的物业服务费价格和条件对除甲方外的第三者保密。</w:t>
      </w:r>
    </w:p>
    <w:p>
      <w:pPr>
        <w:pStyle w:val="84"/>
        <w:keepNext w:val="0"/>
        <w:keepLines w:val="0"/>
        <w:pageBreakBefore w:val="0"/>
        <w:widowControl w:val="0"/>
        <w:kinsoku/>
        <w:wordWrap/>
        <w:overflowPunct/>
        <w:topLinePunct w:val="0"/>
        <w:autoSpaceDE/>
        <w:autoSpaceDN/>
        <w:bidi w:val="0"/>
        <w:adjustRightInd w:val="0"/>
        <w:snapToGrid w:val="0"/>
        <w:spacing w:line="240" w:lineRule="auto"/>
        <w:ind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11）本合同终止后三日内，乙方须撤出本项目并向甲方移交管理期间的各类物品和资料，包括但不限于：（1）本项目有关的各类档案资料，包括甲方移交予乙方的资料和乙方管理期间整理的资料；（2）由甲方承担费用购置的各类工具和物品，包括附件已购置的所列物业管理物品工具、物业管理期间采购的其他工具和未使用完毕的各类易耗品等；（3）本项目有关的各类钥匙、材料设备备用品等。</w:t>
      </w:r>
    </w:p>
    <w:p>
      <w:pPr>
        <w:pStyle w:val="84"/>
        <w:keepNext w:val="0"/>
        <w:keepLines w:val="0"/>
        <w:pageBreakBefore w:val="0"/>
        <w:widowControl w:val="0"/>
        <w:kinsoku/>
        <w:wordWrap/>
        <w:overflowPunct/>
        <w:topLinePunct w:val="0"/>
        <w:autoSpaceDE/>
        <w:autoSpaceDN/>
        <w:bidi w:val="0"/>
        <w:adjustRightInd w:val="0"/>
        <w:snapToGrid w:val="0"/>
        <w:spacing w:line="240" w:lineRule="auto"/>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lang w:val="en-US" w:eastAsia="zh-CN"/>
        </w:rPr>
        <w:t>2</w:t>
      </w:r>
      <w:r>
        <w:rPr>
          <w:rFonts w:hint="eastAsia" w:ascii="仿宋_GB2312" w:hAnsi="仿宋_GB2312" w:eastAsia="仿宋_GB2312" w:cs="仿宋_GB2312"/>
          <w:color w:val="000000"/>
          <w:kern w:val="0"/>
          <w:sz w:val="32"/>
          <w:szCs w:val="32"/>
        </w:rPr>
        <w:t xml:space="preserve">）本合同其他条款中约定的乙方的权利和义务。 </w:t>
      </w:r>
    </w:p>
    <w:p>
      <w:pPr>
        <w:spacing w:line="360" w:lineRule="auto"/>
        <w:rPr>
          <w:rFonts w:hint="eastAsia" w:ascii="宋体" w:hAnsi="宋体" w:eastAsia="宋体" w:cs="宋体"/>
          <w:b/>
          <w:bCs w:val="0"/>
          <w:color w:val="000000"/>
          <w:kern w:val="0"/>
          <w:sz w:val="24"/>
          <w:szCs w:val="24"/>
        </w:rPr>
      </w:pPr>
    </w:p>
    <w:p>
      <w:pPr>
        <w:spacing w:line="360" w:lineRule="auto"/>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spacing w:line="360" w:lineRule="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附件四</w:t>
      </w:r>
    </w:p>
    <w:p>
      <w:pPr>
        <w:spacing w:line="360" w:lineRule="auto"/>
        <w:ind w:left="0" w:firstLine="643" w:firstLineChars="200"/>
        <w:jc w:val="center"/>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违约责任</w:t>
      </w:r>
    </w:p>
    <w:p>
      <w:pPr>
        <w:keepNext w:val="0"/>
        <w:keepLines w:val="0"/>
        <w:pageBreakBefore w:val="0"/>
        <w:widowControl w:val="0"/>
        <w:kinsoku/>
        <w:wordWrap/>
        <w:overflowPunct/>
        <w:topLinePunct w:val="0"/>
        <w:autoSpaceDE/>
        <w:autoSpaceDN/>
        <w:bidi w:val="0"/>
        <w:adjustRightInd/>
        <w:spacing w:line="360" w:lineRule="auto"/>
        <w:ind w:left="0" w:firstLine="643" w:firstLineChars="200"/>
        <w:jc w:val="center"/>
        <w:textAlignment w:val="auto"/>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除合同约定的违约责任以外，任何一方违反下列约定情形的，应承担相应的违约责任：</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1.依据本协议，经公安机关确定是由于乙方物业人员进行物业服务工作时的过失或故意行为，造成甲方经济损失的，乙方应当向甲方支付3个月的物业服务费作为违约金，违约金尚不足以弥补甲方经济损失的，乙方还需负责承担赔偿责任。</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2.若因乙方与物业人员之间的劳动合同纠纷、劳务纠纷等原因给甲方造成损失的，乙方承担一切赔偿责任。</w:t>
      </w:r>
    </w:p>
    <w:p>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3.若因乙方派驻甲方的物业人员造成乙方工作人员自身、第三方的任何损失，造成甲方承担责任的，乙方承担一切赔偿责任。</w:t>
      </w:r>
    </w:p>
    <w:p>
      <w:pPr>
        <w:spacing w:line="360" w:lineRule="auto"/>
        <w:rPr>
          <w:rFonts w:hint="eastAsia" w:ascii="仿宋_GB2312" w:hAnsi="仿宋_GB2312" w:eastAsia="仿宋_GB2312" w:cs="仿宋_GB2312"/>
          <w:b/>
          <w:bCs w:val="0"/>
          <w:color w:val="000000"/>
          <w:kern w:val="0"/>
          <w:sz w:val="32"/>
          <w:szCs w:val="32"/>
        </w:rPr>
      </w:pPr>
    </w:p>
    <w:p>
      <w:pPr>
        <w:spacing w:line="360" w:lineRule="auto"/>
        <w:rPr>
          <w:rFonts w:hint="eastAsia" w:ascii="仿宋_GB2312" w:hAnsi="仿宋_GB2312" w:eastAsia="仿宋_GB2312" w:cs="仿宋_GB2312"/>
          <w:b/>
          <w:bCs w:val="0"/>
          <w:color w:val="000000"/>
          <w:kern w:val="0"/>
          <w:sz w:val="32"/>
          <w:szCs w:val="32"/>
        </w:rPr>
      </w:pPr>
    </w:p>
    <w:p>
      <w:pPr>
        <w:spacing w:line="360" w:lineRule="auto"/>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pStyle w:val="2"/>
        <w:rPr>
          <w:rFonts w:hint="eastAsia" w:ascii="仿宋_GB2312" w:hAnsi="仿宋_GB2312" w:eastAsia="仿宋_GB2312" w:cs="仿宋_GB2312"/>
          <w:b/>
          <w:bCs w:val="0"/>
          <w:color w:val="000000"/>
          <w:kern w:val="0"/>
          <w:sz w:val="32"/>
          <w:szCs w:val="32"/>
        </w:rPr>
      </w:pPr>
    </w:p>
    <w:p>
      <w:pPr>
        <w:keepNext w:val="0"/>
        <w:keepLines w:val="0"/>
        <w:pageBreakBefore w:val="0"/>
        <w:kinsoku/>
        <w:wordWrap/>
        <w:overflowPunct/>
        <w:topLinePunct w:val="0"/>
        <w:autoSpaceDE/>
        <w:autoSpaceDN/>
        <w:bidi w:val="0"/>
        <w:adjustRightInd/>
        <w:spacing w:line="360" w:lineRule="auto"/>
        <w:ind w:left="0" w:firstLine="640" w:firstLineChars="200"/>
        <w:rPr>
          <w:rFonts w:hint="eastAsia" w:ascii="仿宋_GB2312" w:hAnsi="仿宋_GB2312" w:eastAsia="仿宋_GB2312" w:cs="仿宋_GB2312"/>
          <w:b w:val="0"/>
          <w:bCs w:val="0"/>
          <w:i w:val="0"/>
          <w:iCs w:val="0"/>
          <w:color w:val="333333"/>
          <w:spacing w:val="0"/>
          <w:w w:val="100"/>
          <w:sz w:val="32"/>
          <w:szCs w:val="32"/>
          <w:vertAlign w:val="baseline"/>
        </w:rPr>
      </w:pPr>
    </w:p>
    <w:p>
      <w:pPr>
        <w:spacing w:line="360" w:lineRule="auto"/>
        <w:rPr>
          <w:rFonts w:hint="eastAsia" w:ascii="仿宋_GB2312" w:hAnsi="仿宋_GB2312" w:eastAsia="仿宋_GB2312" w:cs="仿宋_GB2312"/>
          <w:b/>
          <w:bCs w:val="0"/>
          <w:color w:val="000000"/>
          <w:kern w:val="0"/>
          <w:sz w:val="32"/>
          <w:szCs w:val="32"/>
          <w:lang w:val="en-US" w:eastAsia="zh-CN"/>
        </w:rPr>
      </w:pPr>
      <w:r>
        <w:rPr>
          <w:rFonts w:hint="eastAsia" w:ascii="仿宋_GB2312" w:hAnsi="仿宋_GB2312" w:eastAsia="仿宋_GB2312" w:cs="仿宋_GB2312"/>
          <w:b/>
          <w:bCs w:val="0"/>
          <w:color w:val="000000"/>
          <w:kern w:val="0"/>
          <w:sz w:val="32"/>
          <w:szCs w:val="32"/>
        </w:rPr>
        <w:t>附件</w:t>
      </w:r>
      <w:r>
        <w:rPr>
          <w:rFonts w:hint="eastAsia" w:ascii="仿宋_GB2312" w:hAnsi="仿宋_GB2312" w:eastAsia="仿宋_GB2312" w:cs="仿宋_GB2312"/>
          <w:b/>
          <w:bCs w:val="0"/>
          <w:color w:val="000000"/>
          <w:kern w:val="0"/>
          <w:sz w:val="32"/>
          <w:szCs w:val="32"/>
          <w:lang w:val="en-US" w:eastAsia="zh-CN"/>
        </w:rPr>
        <w:t>五</w:t>
      </w:r>
    </w:p>
    <w:p>
      <w:pPr>
        <w:spacing w:line="360" w:lineRule="auto"/>
        <w:jc w:val="center"/>
        <w:rPr>
          <w:rFonts w:hint="eastAsia" w:ascii="仿宋_GB2312" w:hAnsi="仿宋_GB2312" w:eastAsia="仿宋_GB2312" w:cs="仿宋_GB2312"/>
          <w:b/>
          <w:bCs w:val="0"/>
          <w:color w:val="000000"/>
          <w:kern w:val="0"/>
          <w:sz w:val="32"/>
          <w:szCs w:val="32"/>
        </w:rPr>
      </w:pPr>
      <w:r>
        <w:rPr>
          <w:rFonts w:hint="eastAsia" w:ascii="仿宋_GB2312" w:hAnsi="仿宋_GB2312" w:eastAsia="仿宋_GB2312" w:cs="仿宋_GB2312"/>
          <w:b/>
          <w:bCs w:val="0"/>
          <w:color w:val="000000"/>
          <w:kern w:val="0"/>
          <w:sz w:val="32"/>
          <w:szCs w:val="32"/>
        </w:rPr>
        <w:t>廉洁诚信条款</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条款，以资共同遵守。</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第一条  总则</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1.1甲乙双方均应当严格遵守国家法律法规和甲方集中采购管理、供应商管理的相关要求，不从事任何违法违规违纪行为。坚持诚实守信原则，恪守商业道德和职业道德，规范商务人员廉洁从业行为。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1.3本条款所称相关主体，对任何一方而言，包括但不限于以下单位或者个人：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（1）一方或其关联方之工作人员；</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（2）受一方委托办理相关事务的单位或者个人；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（3）利用职权或者影响力影响交易的单位或者个人；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（4）前述相关人员的亲属；</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（5）与前述相关主体存在利害关系的其他单位或者人员。</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乙方相关主体实施违反本条款约定之行为的，均应视为乙方实施行为。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1.4一方监督发现对方相关主体在业务合作中存在违规行为的，应当及时提醒并有权向对方纪检部门举报。情节严重构成犯罪的，任何一方均有权向司法机关报案，追究相关单位或者人员的刑事责任。</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第二条  商业贿赂</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2.1本条款所称商业贿赂，是指乙方或乙方相关主体为获取或意图获取交易机会或者竞争优势，采用财物或者其他形式贿赂甲方或甲方相关主体的行为。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2.3本条第1款所称其他形式，包括但不限于：</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（1）以任何方式实施商业贿赂或违规提供回扣、折扣、宴请与游玩活动或其他不正当利益；</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（2）为甲方或甲方相关主体安排有可能影响公平、公正交易的宴请、健身、娱乐等活动；</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（3）为甲方或甲方相关主体投资入股、个人借款或买卖股票、债券等提供方便；</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（4）为甲方或甲方相关主体购买或装修住房、婚丧嫁娶、配偶子女上学或工作安排以及出国出境、旅游等提供方便；</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（5）违反规定为甲方或甲方相关主体在乙方相关企业工作、挂名兼职、合伙经营、介绍承揽业务等提供方便；</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（6）向甲方或甲方相关主体提供借款、融资、担保等；</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（7）给予或承诺给予其不正当利益的其他行为；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（8）其他违反国家法律法规或商业道德准则的影响公正交易的行为。</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第三条  回扣</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3.1本条款所称回扣，是指乙方促成合作时在账外暗中以现金、实物或者其他方式退给甲方或甲方相关主体一定比例的商品或服务价款。</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3.2本条第1款所称账外，是指未在依法设立的反映其生产经营活动或者行政事业经费收支的财务账上按照财务会计制度规定明确如实记载，包括不记入财务账、转入其他财务账或者做假账等。</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3.3乙方在账外暗中给予甲方相关主体回扣的，视为实施商业贿赂行为。</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第四条  折扣</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4.1本条款所称折扣，是指乙方在销售商品或提供服务时，以明示并如实入账的方式给予甲方的价格优惠，包括支付价款时对价款总额按一定比例即时予以扣除和支付价款总额后再按一定比例予以退还两种形式。</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4.2乙方提供的商品或服务，可以以明示方式给予甲方折扣。乙方给予甲方折扣的，必须在采购协议中予以明确并如实入账。</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4.3本条第1款所称如实入账，是指根据采购或合作协议约定的金额和支付方式，在依法设立的反映甲方生产经营活动收支的财务账上按照财务会计制度规定明确如实记载。</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4.4乙方违反本条约定的，视为实施商业贿赂行为。</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第五条  宴请与游玩活动</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5.2乙方不得为甲方相关主体提供各种形式的旅游、健身、KTV、酒吧、按摩、赌博、色情等娱乐休闲活动。</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5.3乙方违反本条约定的，视为实施商业贿赂行为。</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第六条  禁止行为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双方一致同意双方或双方相关主体的如下行为是应当禁止的营私舞弊或腐败行为：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6.1甲方及甲方相关主体向乙方索要或收受财物或其他形式的财产性利益、非财产性利益。</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6.2乙方及乙方相关主体向甲方或甲方相关主体提供财物或其他形式的财产性利益、非财产性利益，包括但不限于：</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（1）报销甲方相关主体的私人费用；</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（2）提供超过宴请标准的宴请或娱乐活动；</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（3）介绍甲方相关主体亲友到乙方处工作；</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（4）提出、邀请或事实上接受甲方相关主体在乙方参股或参与乙方经营活动；</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（5）组织或向甲方相关主体提供旅游等代偿活动利益；</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（6）向甲方相关主体提供借款、融资、担保等；</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（7）给予或承诺给予甲方相关主体不正当利益的其他行为；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（8）其他违反本条款约定、国家法律法规或商业道德准则的影响公正交易的行为。</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第七条  乙方承诺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乙方承诺在双方的商务接洽、合同关系、交易过程中遵守如下要求：</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7.1 避免利害关系</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7.2 恪守廉洁自律原则</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7.2.1不以任何方式实施本条款所述的商业贿赂行为、营私舞弊或腐败行为等禁止行为，也不会以任何方式向甲方或甲方相关主体索要金钱、实物等不正当利益，或收受甲方或甲方相关主体给予的金钱、实物等不正当利益。</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7.2.2支持甲方的廉洁诚信建设，承诺承担实名举报的义务，若乙方或乙方相关主体对甲方或甲方相关主体的索贿行为不拒绝、不申报，并满足其要求的，则该行为视同乙方实施商业贿赂行为。</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7.3 恪守诚实信用原则</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7.3.2严格遵守向甲方做出的承诺、双方签署的合同、协议和备忘录等，确保产品质量和服务质量，不隐瞒任何可能对甲方利益造成影响的信息，积极配合甲方的审计。</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7.3.3严格遵守甲方的供应商行为准则、合作协议、保密承诺书等政策文件中的相关规定。</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7.3.4严格遵守甲方的品牌管理的相关规定，未经甲方授权不擅自使用甲方字样、授权合作伙伴等类似容易对外产生混淆的字样。</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7.3.5严格遵守国家相关法律法规及甲方的管理规定，不参与任何违法活动。</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7.3.6承诺实事求是，不对内部或社会传递任何虚假信息，严格遵守保密协议，不透露任何甲方的商业机密。</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7.3.7未经甲方同意，不向任何新闻媒体、第三方述及有关甲方工作人员恪守商业道德方面的评价、信息。</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7.4 确保信息公开透明</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7.4.1主动向甲方披露与采购项目相关的信息，包括乙方真实情况、产品价格、技术参数、服务团队信息、履约情况等。</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7.4.2不利用非法手段向甲方及甲方相关主体打探有关涉及甲方及甲方相关主体的商业秘密、人员信息、采购信息等。</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7.5 积极配合监督举报</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7.5.2如乙方有知悉或怀疑甲方相关主体有违反上述约定的，应及时采取措施并有权向甲方纪检部门举报。甲方会对所有信息提供者及所提供的全部资料严格保密。</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7.6 加强内部廉洁管理</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7.6.1加强内部管理：加强对员工的廉洁教育和培训，提高员工的道德素质和法律意识，建立健全内部管理制度，确保员工行为的合规性和廉洁性。</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7.6.2设立监督机制：通过专门的监督机构或人员，对乙方的业务活动进行实时监督，确保员工行为的合规性。</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7.6.3建立举报制度：鼓励员工积极举报违规行为，对举报人予以保护并给予奖励。</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第八条  违约责任</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8.1若甲方人员违反本条款第六条规定的，按照甲方内部管理权限，依据有关法律和规定给予处分或组织处理，涉嫌犯罪的，移交司法机关追究刑事责任。</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8.2如乙方违反本条款任何约定或承诺，甲方有权依据甲方采购管理、供应商管理和采购文件相关要求，对乙方进行严肃处理，相关处罚结果记入供应商诚信档案。</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8.3 如乙方违反本条款任何约定或承诺，</w:t>
      </w:r>
      <w:r>
        <w:rPr>
          <w:rFonts w:hint="eastAsia" w:ascii="仿宋_GB2312" w:hAnsi="仿宋_GB2312" w:eastAsia="仿宋_GB2312" w:cs="仿宋_GB2312"/>
          <w:b/>
          <w:color w:val="000000"/>
          <w:kern w:val="2"/>
          <w:sz w:val="32"/>
          <w:szCs w:val="32"/>
        </w:rPr>
        <w:t>甲方有权根据情节严重程度选择单方全面终止与乙方的合同及合作，且无需承担任何责任。乙方给甲方造成损失的，甲方有权要求乙方承担全部赔偿责任。</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8.4</w:t>
      </w:r>
      <w:r>
        <w:rPr>
          <w:rFonts w:hint="eastAsia" w:ascii="仿宋_GB2312" w:hAnsi="仿宋_GB2312" w:eastAsia="仿宋_GB2312" w:cs="仿宋_GB2312"/>
          <w:b/>
          <w:color w:val="000000"/>
          <w:kern w:val="2"/>
          <w:sz w:val="32"/>
          <w:szCs w:val="32"/>
        </w:rPr>
        <w:t>甲方按照前述条款要求乙方承担赔偿责任的，</w:t>
      </w:r>
      <w:r>
        <w:rPr>
          <w:rFonts w:hint="eastAsia" w:ascii="仿宋_GB2312" w:hAnsi="仿宋_GB2312" w:eastAsia="仿宋_GB2312" w:cs="仿宋_GB2312"/>
          <w:color w:val="000000"/>
          <w:kern w:val="2"/>
          <w:sz w:val="32"/>
          <w:szCs w:val="32"/>
        </w:rPr>
        <w:t>乙方应于甲方发出赔偿通知之日起【10】个工作日内支付，如未及时支付，甲方有权从主合同款项中直接扣除。</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8.5乙方知悉并同意，对于上述情形的处理甲方有完全的判断权和自主权。</w:t>
      </w:r>
    </w:p>
    <w:p>
      <w:pPr>
        <w:snapToGrid w:val="0"/>
        <w:spacing w:line="460" w:lineRule="exact"/>
        <w:ind w:left="0" w:firstLine="643" w:firstLineChars="200"/>
        <w:rPr>
          <w:rFonts w:hint="eastAsia" w:ascii="仿宋_GB2312" w:hAnsi="仿宋_GB2312" w:eastAsia="仿宋_GB2312" w:cs="仿宋_GB2312"/>
          <w:b/>
          <w:color w:val="000000"/>
          <w:kern w:val="0"/>
          <w:sz w:val="32"/>
          <w:szCs w:val="32"/>
        </w:rPr>
      </w:pPr>
      <w:r>
        <w:rPr>
          <w:rFonts w:hint="eastAsia" w:ascii="仿宋_GB2312" w:hAnsi="仿宋_GB2312" w:eastAsia="仿宋_GB2312" w:cs="仿宋_GB2312"/>
          <w:b/>
          <w:color w:val="000000"/>
          <w:kern w:val="2"/>
          <w:sz w:val="32"/>
          <w:szCs w:val="32"/>
        </w:rPr>
        <w:t>第九条  附则</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9.1本条款的标题及各条款的标题仅为检索方便而设置，具体内容应当以各条款的具体规定为准，而不应参考该标题进行解释。</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9.2除非另有书面规定，甲方未能行使或者延迟行使在本条款项下的任何权利，不得被视为放弃行使该等权利，且任何权利的单独或部分行使亦不得妨碍该等权利的进一步或其他任何权利的行使。甲方在任何时候放弃追究乙方违反本条款任何条款约定的违约行为的，不得被视为甲方放弃追究其他各方面的违约行为。</w:t>
      </w:r>
    </w:p>
    <w:p>
      <w:pPr>
        <w:snapToGrid w:val="0"/>
        <w:spacing w:line="460" w:lineRule="exact"/>
        <w:ind w:left="0"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2"/>
          <w:sz w:val="32"/>
          <w:szCs w:val="32"/>
        </w:rPr>
        <w:t>9.3本条款未尽事宜以双方签订的主合同为准。本条款与主合同约定不一致的，根据约定内容对双方提出的廉洁诚信要求，以较为严格的约定为准。若双方未签订主合同或主合同终止、解除的，本条款应独立执行。</w:t>
      </w:r>
    </w:p>
    <w:p>
      <w:pPr>
        <w:snapToGrid w:val="0"/>
        <w:spacing w:line="460" w:lineRule="exact"/>
        <w:ind w:left="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2"/>
          <w:sz w:val="32"/>
          <w:szCs w:val="32"/>
        </w:rPr>
        <w:t>9.4本条款长期有效。</w:t>
      </w:r>
      <w:r>
        <w:rPr>
          <w:rFonts w:hint="eastAsia" w:ascii="仿宋_GB2312" w:hAnsi="仿宋_GB2312" w:eastAsia="仿宋_GB2312" w:cs="仿宋_GB2312"/>
          <w:color w:val="000000"/>
          <w:kern w:val="0"/>
          <w:sz w:val="32"/>
          <w:szCs w:val="32"/>
        </w:rPr>
        <w:t xml:space="preserve"> </w:t>
      </w:r>
    </w:p>
    <w:p>
      <w:pPr>
        <w:rPr>
          <w:rFonts w:hint="eastAsia" w:ascii="仿宋_GB2312" w:hAnsi="仿宋_GB2312" w:eastAsia="仿宋_GB2312" w:cs="仿宋_GB2312"/>
          <w:sz w:val="32"/>
          <w:szCs w:val="32"/>
        </w:rPr>
      </w:pPr>
    </w:p>
    <w:p>
      <w:pPr>
        <w:pStyle w:val="2"/>
        <w:rPr>
          <w:rFonts w:hint="eastAsia" w:ascii="仿宋_GB2312" w:hAnsi="宋体" w:eastAsia="仿宋_GB2312" w:cs="仿宋_GB2312"/>
          <w:sz w:val="32"/>
          <w:szCs w:val="32"/>
          <w:lang w:eastAsia="zh-CN"/>
        </w:rPr>
        <w:sectPr>
          <w:footerReference r:id="rId10" w:type="first"/>
          <w:footerReference r:id="rId9" w:type="default"/>
          <w:pgSz w:w="11906" w:h="16838"/>
          <w:pgMar w:top="1417" w:right="1134" w:bottom="1134" w:left="1134" w:header="851" w:footer="992" w:gutter="0"/>
          <w:pgNumType w:fmt="decimal" w:start="1"/>
          <w:cols w:space="720" w:num="1"/>
          <w:titlePg/>
          <w:docGrid w:type="lines" w:linePitch="312" w:charSpace="0"/>
        </w:sectPr>
      </w:pPr>
    </w:p>
    <w:p>
      <w:pPr>
        <w:pStyle w:val="3"/>
        <w:pageBreakBefore/>
        <w:ind w:left="0" w:leftChars="0" w:firstLine="0" w:firstLineChars="0"/>
        <w:jc w:val="center"/>
        <w:rPr>
          <w:rFonts w:ascii="仿宋_GB2312" w:hAnsi="宋体" w:eastAsia="仿宋_GB2312"/>
          <w:color w:val="auto"/>
          <w:sz w:val="28"/>
          <w:szCs w:val="28"/>
        </w:rPr>
      </w:pPr>
      <w:bookmarkStart w:id="124" w:name="_Toc4181"/>
      <w:bookmarkStart w:id="125" w:name="_Toc19577"/>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spacing w:line="360" w:lineRule="auto"/>
        <w:ind w:firstLine="422" w:firstLineChars="175"/>
        <w:rPr>
          <w:rFonts w:hint="eastAsia" w:ascii="仿宋" w:hAnsi="仿宋" w:eastAsia="仿宋" w:cs="仿宋"/>
          <w:b/>
          <w:bCs/>
        </w:rPr>
      </w:pPr>
      <w:r>
        <w:rPr>
          <w:rFonts w:hint="eastAsia" w:ascii="仿宋" w:hAnsi="仿宋" w:eastAsia="仿宋" w:cs="仿宋"/>
          <w:b/>
          <w:bCs/>
        </w:rPr>
        <w:t>一、采购项目背景</w:t>
      </w:r>
    </w:p>
    <w:p>
      <w:pPr>
        <w:spacing w:line="360" w:lineRule="auto"/>
        <w:ind w:firstLine="420" w:firstLineChars="175"/>
        <w:rPr>
          <w:rFonts w:hint="eastAsia" w:ascii="仿宋" w:hAnsi="仿宋" w:eastAsia="仿宋" w:cs="仿宋"/>
        </w:rPr>
      </w:pPr>
      <w:r>
        <w:rPr>
          <w:rFonts w:hint="eastAsia" w:ascii="仿宋" w:hAnsi="仿宋" w:eastAsia="仿宋" w:cs="仿宋"/>
        </w:rPr>
        <w:t>为保障公司办公大楼等区域日常环境卫生的清洁，并保障公司安全，维护治安秩序，维护公司经营秩序，为员工营造良好的工作环境，需对人保财险四川省自贡市分公司职场</w:t>
      </w:r>
      <w:r>
        <w:rPr>
          <w:rFonts w:hint="eastAsia" w:ascii="仿宋" w:hAnsi="仿宋" w:eastAsia="仿宋" w:cs="仿宋"/>
          <w:lang w:eastAsia="zh-CN"/>
        </w:rPr>
        <w:t>物业服务</w:t>
      </w:r>
      <w:r>
        <w:rPr>
          <w:rFonts w:hint="eastAsia" w:ascii="仿宋" w:hAnsi="仿宋" w:eastAsia="仿宋" w:cs="仿宋"/>
        </w:rPr>
        <w:t>进行采购。</w:t>
      </w:r>
    </w:p>
    <w:p>
      <w:pPr>
        <w:spacing w:line="360" w:lineRule="auto"/>
        <w:ind w:firstLine="422" w:firstLineChars="175"/>
        <w:rPr>
          <w:rFonts w:hint="eastAsia" w:ascii="仿宋" w:hAnsi="仿宋" w:eastAsia="仿宋" w:cs="仿宋"/>
          <w:b/>
          <w:bCs/>
        </w:rPr>
      </w:pPr>
      <w:r>
        <w:rPr>
          <w:rFonts w:hint="eastAsia" w:ascii="仿宋" w:hAnsi="仿宋" w:eastAsia="仿宋" w:cs="仿宋"/>
          <w:b/>
          <w:bCs/>
        </w:rPr>
        <w:t>二、采购内容</w:t>
      </w:r>
    </w:p>
    <w:p>
      <w:pPr>
        <w:spacing w:line="360" w:lineRule="auto"/>
        <w:ind w:firstLine="420" w:firstLineChars="175"/>
        <w:rPr>
          <w:rFonts w:hint="eastAsia" w:ascii="仿宋" w:hAnsi="仿宋" w:eastAsia="仿宋" w:cs="仿宋"/>
        </w:rPr>
      </w:pPr>
      <w:r>
        <w:rPr>
          <w:rFonts w:hint="eastAsia" w:ascii="仿宋" w:hAnsi="仿宋" w:eastAsia="仿宋" w:cs="仿宋"/>
        </w:rPr>
        <w:t>采购方办公大楼面积3548㎡，另有线上服务部职场面积为 231.3㎡，食堂面积为 785.74 ㎡，物业服务总面积4565.04㎡。</w:t>
      </w:r>
    </w:p>
    <w:p>
      <w:pPr>
        <w:spacing w:line="360" w:lineRule="auto"/>
        <w:ind w:firstLine="420" w:firstLineChars="175"/>
        <w:rPr>
          <w:rFonts w:hint="eastAsia" w:ascii="仿宋" w:hAnsi="仿宋" w:eastAsia="仿宋" w:cs="仿宋"/>
        </w:rPr>
      </w:pPr>
      <w:r>
        <w:rPr>
          <w:rFonts w:hint="eastAsia" w:ascii="仿宋" w:hAnsi="仿宋" w:eastAsia="仿宋" w:cs="仿宋"/>
        </w:rPr>
        <w:t>1.供应商安排3名保洁人员负责上述区域日常环境卫生清洁，确保办公大楼24小时保持整洁；同时负责整个办公楼的垃圾收集与清运，做到无隔夜垃圾，保障办公大楼干净卫生，为员工营造良好工作环境。2.后勤及电力保障方面：供应商需安排1名电工人员，负责公司办公大楼的日常电力巡查、安全巡视，承担会议室开关管理及其他后勤相关工作。3.保安服务地点为自贡市分公司本部及荣县支公司。服务要求供应商需提供保安服务，按采购方管理模式对保安队员进行管理（本部4名保安，荣县支公司1名保安），依据双方确认的岗位职责要求执行安全防范工作，并承担相应的保安服务责任，以保障公司安全、维护治安秩序及公司经营秩序。</w:t>
      </w:r>
    </w:p>
    <w:p>
      <w:pPr>
        <w:spacing w:line="360" w:lineRule="auto"/>
        <w:ind w:firstLine="420" w:firstLineChars="175"/>
        <w:rPr>
          <w:rFonts w:hint="eastAsia" w:ascii="仿宋" w:hAnsi="仿宋" w:eastAsia="仿宋" w:cs="仿宋"/>
        </w:rPr>
      </w:pPr>
      <w:r>
        <w:rPr>
          <w:rFonts w:hint="eastAsia" w:ascii="仿宋" w:hAnsi="仿宋" w:eastAsia="仿宋" w:cs="仿宋"/>
        </w:rPr>
        <w:t>项目拟采购12个月服务期。</w:t>
      </w:r>
    </w:p>
    <w:p>
      <w:pPr>
        <w:spacing w:line="360" w:lineRule="auto"/>
        <w:ind w:firstLine="422" w:firstLineChars="175"/>
        <w:rPr>
          <w:rFonts w:hint="eastAsia" w:ascii="仿宋" w:hAnsi="仿宋" w:eastAsia="仿宋" w:cs="仿宋"/>
          <w:b/>
          <w:bCs/>
        </w:rPr>
      </w:pPr>
      <w:r>
        <w:rPr>
          <w:rFonts w:hint="eastAsia" w:ascii="仿宋" w:hAnsi="仿宋" w:eastAsia="仿宋" w:cs="仿宋"/>
          <w:b/>
          <w:bCs/>
        </w:rPr>
        <w:t>三、采购数量</w:t>
      </w:r>
    </w:p>
    <w:p>
      <w:pPr>
        <w:spacing w:line="360" w:lineRule="auto"/>
        <w:ind w:firstLine="420" w:firstLineChars="175"/>
        <w:rPr>
          <w:rFonts w:hint="eastAsia" w:ascii="仿宋" w:hAnsi="仿宋" w:eastAsia="仿宋" w:cs="仿宋"/>
        </w:rPr>
      </w:pPr>
      <w:r>
        <w:rPr>
          <w:rFonts w:hint="eastAsia" w:ascii="仿宋" w:hAnsi="仿宋" w:eastAsia="仿宋" w:cs="仿宋"/>
        </w:rPr>
        <w:t>本次项目服务需要3名保洁人员。1名后勤人员，</w:t>
      </w:r>
      <w:r>
        <w:rPr>
          <w:rFonts w:hint="eastAsia" w:ascii="仿宋" w:hAnsi="仿宋" w:eastAsia="仿宋" w:cs="仿宋"/>
          <w:lang w:val="en-US" w:eastAsia="zh-CN"/>
        </w:rPr>
        <w:t>5</w:t>
      </w:r>
      <w:r>
        <w:rPr>
          <w:rFonts w:hint="eastAsia" w:ascii="仿宋" w:hAnsi="仿宋" w:eastAsia="仿宋" w:cs="仿宋"/>
        </w:rPr>
        <w:t>名保安。服务期限</w:t>
      </w:r>
      <w:r>
        <w:rPr>
          <w:rFonts w:hint="eastAsia" w:ascii="仿宋" w:hAnsi="仿宋" w:eastAsia="仿宋" w:cs="仿宋"/>
          <w:lang w:val="en-US" w:eastAsia="zh-CN"/>
        </w:rPr>
        <w:t>12</w:t>
      </w:r>
      <w:r>
        <w:rPr>
          <w:rFonts w:hint="eastAsia" w:ascii="仿宋" w:hAnsi="仿宋" w:eastAsia="仿宋" w:cs="仿宋"/>
        </w:rPr>
        <w:t>个月。</w:t>
      </w:r>
    </w:p>
    <w:p>
      <w:pPr>
        <w:spacing w:line="360" w:lineRule="auto"/>
        <w:ind w:firstLine="422" w:firstLineChars="175"/>
        <w:rPr>
          <w:rFonts w:hint="eastAsia" w:ascii="仿宋" w:hAnsi="仿宋" w:eastAsia="仿宋" w:cs="仿宋"/>
          <w:b/>
          <w:bCs/>
        </w:rPr>
      </w:pPr>
      <w:r>
        <w:rPr>
          <w:rFonts w:hint="eastAsia" w:ascii="仿宋" w:hAnsi="仿宋" w:eastAsia="仿宋" w:cs="仿宋"/>
          <w:b/>
          <w:bCs/>
        </w:rPr>
        <w:t>四、付款方式（应与合同条款中相关描述保持一致）</w:t>
      </w:r>
    </w:p>
    <w:p>
      <w:pPr>
        <w:spacing w:line="360" w:lineRule="auto"/>
        <w:ind w:firstLine="420" w:firstLineChars="175"/>
        <w:rPr>
          <w:rFonts w:hint="eastAsia" w:ascii="仿宋" w:hAnsi="仿宋" w:eastAsia="仿宋" w:cs="仿宋"/>
        </w:rPr>
      </w:pPr>
      <w:r>
        <w:rPr>
          <w:rFonts w:hint="eastAsia" w:ascii="仿宋" w:hAnsi="仿宋" w:eastAsia="仿宋" w:cs="仿宋"/>
          <w:lang w:eastAsia="zh-CN"/>
        </w:rPr>
        <w:t>物业</w:t>
      </w:r>
      <w:r>
        <w:rPr>
          <w:rFonts w:hint="eastAsia" w:ascii="仿宋" w:hAnsi="仿宋" w:eastAsia="仿宋" w:cs="仿宋"/>
          <w:lang w:val="en-US" w:eastAsia="zh-CN"/>
        </w:rPr>
        <w:t>及安保</w:t>
      </w:r>
      <w:r>
        <w:rPr>
          <w:rFonts w:hint="eastAsia" w:ascii="仿宋" w:hAnsi="仿宋" w:eastAsia="仿宋" w:cs="仿宋"/>
          <w:lang w:eastAsia="zh-CN"/>
        </w:rPr>
        <w:t>服务</w:t>
      </w:r>
      <w:r>
        <w:rPr>
          <w:rFonts w:hint="eastAsia" w:ascii="仿宋" w:hAnsi="仿宋" w:eastAsia="仿宋" w:cs="仿宋"/>
        </w:rPr>
        <w:t>费每季度末支付当季费用，采购方以转帐支付方式于每季度末向供应商支付当季的服务费。</w:t>
      </w:r>
    </w:p>
    <w:p>
      <w:pPr>
        <w:spacing w:line="360" w:lineRule="auto"/>
        <w:ind w:firstLine="422" w:firstLineChars="175"/>
        <w:rPr>
          <w:rFonts w:hint="eastAsia" w:ascii="仿宋" w:hAnsi="仿宋" w:eastAsia="仿宋" w:cs="仿宋"/>
          <w:b/>
          <w:bCs/>
        </w:rPr>
      </w:pPr>
      <w:r>
        <w:rPr>
          <w:rFonts w:hint="eastAsia" w:ascii="仿宋" w:hAnsi="仿宋" w:eastAsia="仿宋" w:cs="仿宋"/>
          <w:b/>
          <w:bCs/>
        </w:rPr>
        <w:t>五、服务要求</w:t>
      </w:r>
    </w:p>
    <w:p>
      <w:pPr>
        <w:spacing w:line="360" w:lineRule="auto"/>
        <w:ind w:firstLine="420" w:firstLineChars="175"/>
        <w:rPr>
          <w:rFonts w:hint="eastAsia" w:ascii="仿宋" w:hAnsi="仿宋" w:eastAsia="仿宋" w:cs="仿宋"/>
        </w:rPr>
      </w:pPr>
      <w:r>
        <w:rPr>
          <w:rFonts w:hint="eastAsia" w:ascii="仿宋" w:hAnsi="仿宋" w:eastAsia="仿宋" w:cs="仿宋"/>
        </w:rPr>
        <w:t xml:space="preserve">根据公司办公大楼环境实际情况，保洁人员负责采购方办公楼环境卫生；营业厅、会议室、领导办公室、停车场清洁卫生，确保办公大楼每日保持24小时整洁；负责整个办公楼的垃圾收集、清运，无隔夜垃圾，保证办公大楼的干净卫生，后勤人员负责办公大楼的日常后勤保障服务，包括但不限于日常安全巡视、简单的电路方面的检查维修等。保安人员要确认的岗位职责要求，执行安全防范工作，承担相应的保安服务责任。执勤范围为市公司本部、荣县支公司办公楼内外，提供全天24小时维护公司治安秩序和经营秩序的服务。   </w:t>
      </w:r>
    </w:p>
    <w:p>
      <w:pPr>
        <w:spacing w:line="360" w:lineRule="auto"/>
        <w:ind w:firstLine="420" w:firstLineChars="175"/>
        <w:rPr>
          <w:rFonts w:hint="eastAsia" w:ascii="仿宋" w:hAnsi="仿宋" w:eastAsia="仿宋" w:cs="仿宋"/>
        </w:rPr>
      </w:pPr>
      <w:r>
        <w:rPr>
          <w:rFonts w:hint="eastAsia" w:ascii="仿宋" w:hAnsi="仿宋" w:eastAsia="仿宋" w:cs="仿宋"/>
        </w:rPr>
        <w:t xml:space="preserve"> </w:t>
      </w:r>
    </w:p>
    <w:p>
      <w:pPr>
        <w:pStyle w:val="2"/>
      </w:pPr>
      <w:r>
        <w:rPr>
          <w:rFonts w:hint="eastAsia"/>
        </w:rPr>
        <w:t xml:space="preserve"> </w:t>
      </w:r>
      <w:r>
        <w:t xml:space="preserve">   </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26" w:name="_Toc3675"/>
      <w:bookmarkStart w:id="127" w:name="_Toc962"/>
      <w:bookmarkStart w:id="128" w:name="_Toc9891"/>
      <w:r>
        <w:rPr>
          <w:rFonts w:hint="eastAsia" w:ascii="仿宋" w:hAnsi="仿宋" w:eastAsia="仿宋" w:cs="仿宋"/>
          <w:sz w:val="28"/>
          <w:szCs w:val="28"/>
        </w:rPr>
        <w:t>第六章 响应文件格式</w:t>
      </w:r>
      <w:bookmarkEnd w:id="126"/>
      <w:bookmarkEnd w:id="127"/>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9" w:name="_Toc3936"/>
      <w:bookmarkStart w:id="130" w:name="_Toc517281836"/>
      <w:bookmarkStart w:id="131" w:name="_Toc444891353"/>
      <w:bookmarkStart w:id="132" w:name="_Toc19910"/>
      <w:bookmarkStart w:id="133" w:name="_Toc21280"/>
      <w:bookmarkStart w:id="134" w:name="_Toc19783362"/>
      <w:bookmarkStart w:id="135" w:name="_Toc287600131"/>
      <w:bookmarkStart w:id="136" w:name="_Toc25957"/>
      <w:bookmarkStart w:id="137" w:name="_Toc11783"/>
      <w:bookmarkStart w:id="138" w:name="_Toc19783360"/>
      <w:bookmarkStart w:id="139" w:name="_Toc287600129"/>
      <w:r>
        <w:rPr>
          <w:rFonts w:ascii="仿宋" w:hAnsi="仿宋" w:eastAsia="仿宋" w:cs="仿宋"/>
          <w:color w:val="000000"/>
          <w:sz w:val="24"/>
          <w:szCs w:val="24"/>
        </w:rPr>
        <w:br w:type="page"/>
      </w:r>
      <w:bookmarkStart w:id="140" w:name="_Toc17191"/>
      <w:bookmarkStart w:id="141" w:name="_Toc24763"/>
      <w:r>
        <w:rPr>
          <w:rFonts w:hint="eastAsia" w:ascii="仿宋" w:hAnsi="仿宋" w:eastAsia="仿宋" w:cs="仿宋"/>
          <w:color w:val="000000"/>
          <w:sz w:val="24"/>
          <w:szCs w:val="24"/>
        </w:rPr>
        <w:t>一、商务文件</w:t>
      </w:r>
      <w:bookmarkEnd w:id="129"/>
      <w:bookmarkEnd w:id="140"/>
      <w:bookmarkEnd w:id="141"/>
    </w:p>
    <w:p>
      <w:pPr>
        <w:jc w:val="center"/>
      </w:pPr>
      <w:bookmarkStart w:id="142" w:name="_Toc26744"/>
      <w:r>
        <w:rPr>
          <w:rFonts w:hint="eastAsia" w:ascii="仿宋" w:hAnsi="仿宋" w:eastAsia="仿宋" w:cs="仿宋"/>
          <w:b/>
          <w:bCs/>
        </w:rPr>
        <w:t>初步评审索引表</w:t>
      </w:r>
      <w:bookmarkEnd w:id="142"/>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6"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vAlign w:val="center"/>
          </w:tcPr>
          <w:p>
            <w:pPr>
              <w:spacing w:before="24" w:after="24" w:line="276" w:lineRule="auto"/>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具有独立承担民事责任的能力</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具有良好的商业信誉和健全的财务会计制度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Monaco"/>
                <w:color w:val="000000"/>
                <w:sz w:val="22"/>
                <w:szCs w:val="21"/>
              </w:rPr>
              <w:t>具有履行合同所必需的设备和专业技术能力</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具有依法缴纳税收的良好记录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Cambria Math"/>
                <w:color w:val="000000"/>
                <w:sz w:val="22"/>
                <w:szCs w:val="21"/>
              </w:rPr>
              <w:t>近三年内无违法违规记录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未被纳入采购人及其所隶属的中国人民保险各级机构的供应商黑名单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控股管理关系</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6"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11"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jc w:val="center"/>
        <w:rPr>
          <w:rFonts w:ascii="仿宋" w:hAnsi="仿宋" w:eastAsia="仿宋" w:cs="仿宋"/>
          <w:b/>
          <w:bCs/>
        </w:rPr>
      </w:pPr>
      <w:bookmarkStart w:id="143" w:name="_Toc12140"/>
      <w:bookmarkStart w:id="144" w:name="_Toc27799"/>
      <w:bookmarkStart w:id="145" w:name="_Toc7202"/>
      <w:bookmarkStart w:id="146" w:name="_Toc517281837"/>
      <w:bookmarkStart w:id="147" w:name="_Toc444891354"/>
      <w:bookmarkStart w:id="148" w:name="_Toc25121"/>
      <w:r>
        <w:rPr>
          <w:rFonts w:hint="eastAsia" w:ascii="仿宋" w:hAnsi="仿宋" w:eastAsia="仿宋" w:cs="仿宋"/>
          <w:b/>
          <w:bCs/>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10</w:t>
            </w:r>
            <w:r>
              <w:rPr>
                <w:rFonts w:hint="eastAsia" w:ascii="仿宋" w:hAnsi="仿宋" w:eastAsia="仿宋" w:cs="宋体"/>
                <w:color w:val="000000"/>
                <w:szCs w:val="21"/>
                <w:lang w:bidi="ar"/>
              </w:rPr>
              <w:t>分）</w:t>
            </w: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adjustRightInd w:val="0"/>
              <w:snapToGrid w:val="0"/>
              <w:rPr>
                <w:rFonts w:ascii="仿宋" w:hAnsi="仿宋" w:eastAsia="仿宋" w:cs="宋体"/>
                <w:color w:val="000000"/>
                <w:szCs w:val="21"/>
              </w:rPr>
            </w:pPr>
            <w:r>
              <w:rPr>
                <w:rFonts w:hint="eastAsia" w:ascii="仿宋" w:hAnsi="仿宋" w:eastAsia="仿宋" w:cs="宋体"/>
                <w:color w:val="000000"/>
                <w:szCs w:val="21"/>
              </w:rPr>
              <w:t>说明：XX</w:t>
            </w:r>
          </w:p>
          <w:p>
            <w:pPr>
              <w:rPr>
                <w:rStyle w:val="75"/>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lang w:bidi="ar"/>
              </w:rPr>
            </w:pPr>
          </w:p>
        </w:tc>
        <w:tc>
          <w:tcPr>
            <w:tcW w:w="2268" w:type="dxa"/>
            <w:vAlign w:val="center"/>
          </w:tcPr>
          <w:p>
            <w:pPr>
              <w:jc w:val="center"/>
              <w:textAlignment w:val="center"/>
              <w:rPr>
                <w:rFonts w:hint="default" w:ascii="仿宋" w:hAnsi="仿宋" w:eastAsia="仿宋" w:cs="宋体"/>
                <w:color w:val="000000"/>
                <w:szCs w:val="21"/>
                <w:lang w:val="en-US" w:eastAsia="zh-CN" w:bidi="ar"/>
              </w:rPr>
            </w:pPr>
            <w:r>
              <w:rPr>
                <w:rFonts w:hint="eastAsia" w:ascii="仿宋" w:hAnsi="仿宋" w:eastAsia="仿宋" w:cs="宋体"/>
                <w:color w:val="000000"/>
                <w:szCs w:val="21"/>
                <w:lang w:val="en-US" w:eastAsia="zh-CN" w:bidi="ar"/>
              </w:rPr>
              <w:t>企业综合实力</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r>
    </w:p>
    <w:p>
      <w:pPr>
        <w:pStyle w:val="5"/>
        <w:spacing w:before="0" w:line="440" w:lineRule="exact"/>
        <w:rPr>
          <w:rFonts w:ascii="仿宋" w:hAnsi="仿宋" w:eastAsia="仿宋" w:cs="仿宋"/>
          <w:color w:val="000000"/>
          <w:sz w:val="24"/>
          <w:szCs w:val="24"/>
        </w:rPr>
      </w:pPr>
      <w:bookmarkStart w:id="149" w:name="_Toc27958"/>
      <w:bookmarkStart w:id="150" w:name="_Toc2436"/>
      <w:r>
        <w:rPr>
          <w:rFonts w:hint="eastAsia" w:ascii="仿宋" w:hAnsi="仿宋" w:eastAsia="仿宋" w:cs="仿宋"/>
          <w:color w:val="000000"/>
          <w:sz w:val="24"/>
          <w:szCs w:val="24"/>
        </w:rPr>
        <w:t>（一）响应函</w:t>
      </w:r>
      <w:bookmarkEnd w:id="149"/>
      <w:bookmarkEnd w:id="150"/>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Fonts w:hint="eastAsia" w:ascii="仿宋" w:hAnsi="仿宋" w:eastAsia="仿宋" w:cs="Cambria Math"/>
          <w:color w:val="auto"/>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w:t>
      </w:r>
      <w:r>
        <w:rPr>
          <w:rFonts w:hint="eastAsia" w:ascii="仿宋" w:hAnsi="仿宋" w:eastAsia="仿宋" w:cs="Cambria Math"/>
          <w:color w:val="auto"/>
        </w:rPr>
        <w:t>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8"/>
      <w:bookmarkEnd w:id="139"/>
      <w:bookmarkEnd w:id="143"/>
      <w:bookmarkEnd w:id="144"/>
      <w:bookmarkEnd w:id="145"/>
      <w:bookmarkEnd w:id="146"/>
      <w:bookmarkEnd w:id="147"/>
      <w:bookmarkEnd w:id="148"/>
      <w:bookmarkStart w:id="151" w:name="_Toc13983"/>
      <w:bookmarkStart w:id="152" w:name="_Toc14208"/>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287600130"/>
      <w:bookmarkStart w:id="154" w:name="_Toc26267"/>
      <w:bookmarkStart w:id="155" w:name="_Toc24788"/>
      <w:bookmarkStart w:id="156" w:name="_Toc444891355"/>
      <w:bookmarkStart w:id="157" w:name="_Toc4426"/>
      <w:bookmarkStart w:id="158" w:name="_Toc20707"/>
      <w:bookmarkStart w:id="159" w:name="_Toc517281838"/>
      <w:bookmarkStart w:id="160" w:name="_Toc5582"/>
      <w:bookmarkStart w:id="161" w:name="_Toc19783361"/>
      <w:bookmarkStart w:id="162" w:name="_Toc15928"/>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3" w:name="_Toc30551"/>
      <w:bookmarkStart w:id="164" w:name="_Toc6907"/>
      <w:bookmarkStart w:id="165" w:name="_Toc517281841"/>
      <w:r>
        <w:rPr>
          <w:rFonts w:hint="eastAsia" w:ascii="仿宋" w:hAnsi="仿宋" w:eastAsia="仿宋" w:cs="仿宋"/>
          <w:color w:val="000000"/>
          <w:sz w:val="24"/>
          <w:szCs w:val="24"/>
        </w:rPr>
        <w:t>（四）资格证明文件</w:t>
      </w:r>
      <w:bookmarkEnd w:id="163"/>
      <w:bookmarkEnd w:id="164"/>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w:t>
      </w:r>
      <w:r>
        <w:rPr>
          <w:rFonts w:hint="eastAsia" w:ascii="仿宋" w:hAnsi="仿宋" w:eastAsia="仿宋" w:cs="仿宋"/>
          <w:color w:val="000000"/>
          <w:lang w:val="en-US" w:eastAsia="zh-CN"/>
        </w:rPr>
        <w:t>2025</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资格条件中要求的具有良好的商业信誉和健全的财务会计制度比选响应资格，并对上述承诺真实性负责。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合同采购方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合同采购方联系人及电话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提供6个月任意一个月的企业税收缴纳凭证。</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6"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rPr>
        <w:t>8、非联合体比选响应声明</w:t>
      </w:r>
    </w:p>
    <w:bookmarkEnd w:id="165"/>
    <w:bookmarkEnd w:id="166"/>
    <w:p>
      <w:pPr>
        <w:pStyle w:val="2"/>
        <w:spacing w:before="240"/>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8" w:name="_Toc144139212"/>
      <w:bookmarkStart w:id="169" w:name="_Toc15130"/>
      <w:bookmarkStart w:id="170" w:name="_Toc112068411"/>
      <w:bookmarkStart w:id="171" w:name="_Toc18208"/>
      <w:bookmarkStart w:id="172" w:name="_Toc65683009"/>
      <w:bookmarkStart w:id="173" w:name="_Toc2334"/>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hint="eastAsia"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right"/>
        <w:rPr>
          <w:rFonts w:hint="eastAsia" w:ascii="仿宋" w:hAnsi="仿宋" w:eastAsia="仿宋" w:cs="宋体"/>
          <w:color w:val="000000"/>
        </w:rPr>
      </w:pPr>
    </w:p>
    <w:p>
      <w:pPr>
        <w:spacing w:line="360" w:lineRule="auto"/>
        <w:jc w:val="both"/>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4" w:name="_Toc17890"/>
      <w:bookmarkStart w:id="175" w:name="_Toc27618"/>
      <w:r>
        <w:rPr>
          <w:rFonts w:hint="eastAsia" w:ascii="仿宋" w:hAnsi="仿宋" w:eastAsia="仿宋" w:cs="仿宋"/>
          <w:color w:val="000000"/>
          <w:sz w:val="24"/>
          <w:szCs w:val="24"/>
        </w:rPr>
        <w:t>（七）供应商行为准则承诺书</w:t>
      </w:r>
      <w:bookmarkEnd w:id="174"/>
      <w:bookmarkEnd w:id="175"/>
    </w:p>
    <w:p>
      <w:pPr>
        <w:jc w:val="center"/>
        <w:rPr>
          <w:rFonts w:ascii="仿宋" w:hAnsi="仿宋" w:eastAsia="仿宋" w:cs="宋体"/>
          <w:b/>
          <w:bCs/>
          <w:color w:val="000000"/>
          <w:sz w:val="28"/>
          <w:szCs w:val="28"/>
        </w:rPr>
      </w:pPr>
      <w:bookmarkStart w:id="176"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7" w:name="_Toc8068"/>
      <w:bookmarkStart w:id="178" w:name="_Toc19648"/>
      <w:r>
        <w:rPr>
          <w:rFonts w:hint="eastAsia" w:ascii="仿宋" w:hAnsi="仿宋" w:eastAsia="仿宋" w:cs="宋体"/>
          <w:bCs w:val="0"/>
          <w:color w:val="000000"/>
          <w:sz w:val="24"/>
          <w:szCs w:val="24"/>
        </w:rPr>
        <w:t>（八）供应商廉洁诚信承诺书</w:t>
      </w:r>
      <w:bookmarkEnd w:id="176"/>
      <w:bookmarkEnd w:id="177"/>
      <w:bookmarkEnd w:id="17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79" w:name="_Toc7319"/>
      <w:r>
        <w:rPr>
          <w:rFonts w:hint="eastAsia" w:ascii="仿宋" w:hAnsi="仿宋" w:eastAsia="仿宋" w:cs="宋体"/>
          <w:bCs w:val="0"/>
          <w:color w:val="000000"/>
          <w:sz w:val="24"/>
          <w:szCs w:val="24"/>
        </w:rPr>
        <w:t>（九）</w:t>
      </w:r>
      <w:r>
        <w:rPr>
          <w:rFonts w:hint="eastAsia" w:ascii="仿宋" w:hAnsi="仿宋" w:eastAsia="仿宋" w:cs="宋体"/>
          <w:color w:val="000000"/>
          <w:sz w:val="24"/>
        </w:rPr>
        <w:t>其他材料</w:t>
      </w:r>
      <w:bookmarkEnd w:id="179"/>
    </w:p>
    <w:p>
      <w:pPr>
        <w:spacing w:line="360" w:lineRule="auto"/>
        <w:rPr>
          <w:rFonts w:hint="eastAsia"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bookmarkEnd w:id="167"/>
      <w:bookmarkStart w:id="180" w:name="_Toc28698"/>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spacing w:line="360" w:lineRule="auto"/>
        <w:rPr>
          <w:rFonts w:hint="eastAsia" w:ascii="仿宋" w:hAnsi="仿宋" w:eastAsia="仿宋" w:cs="Cambria Math"/>
          <w:color w:val="000000"/>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eastAsia" w:ascii="仿宋" w:hAnsi="仿宋" w:eastAsia="仿宋" w:cs="仿宋"/>
          <w:b/>
          <w:bCs/>
          <w:color w:val="000000"/>
          <w:sz w:val="24"/>
          <w:szCs w:val="24"/>
        </w:rPr>
      </w:pPr>
      <w:bookmarkStart w:id="181" w:name="_Toc27633"/>
      <w:r>
        <w:rPr>
          <w:rFonts w:hint="eastAsia" w:ascii="仿宋" w:hAnsi="仿宋" w:eastAsia="仿宋" w:cs="仿宋"/>
          <w:b/>
          <w:bCs/>
          <w:color w:val="000000"/>
          <w:sz w:val="24"/>
          <w:szCs w:val="24"/>
        </w:rPr>
        <w:t>二、技术文件</w:t>
      </w:r>
      <w:bookmarkEnd w:id="180"/>
      <w:bookmarkEnd w:id="181"/>
    </w:p>
    <w:p>
      <w:pPr>
        <w:jc w:val="center"/>
        <w:rPr>
          <w:rFonts w:ascii="仿宋" w:hAnsi="仿宋" w:eastAsia="仿宋" w:cs="仿宋"/>
          <w:b/>
          <w:bCs/>
        </w:rPr>
      </w:pPr>
      <w:bookmarkStart w:id="182" w:name="_Toc30870"/>
      <w:bookmarkStart w:id="183" w:name="_Toc23108"/>
      <w:r>
        <w:rPr>
          <w:rFonts w:hint="eastAsia" w:ascii="仿宋" w:hAnsi="仿宋" w:eastAsia="仿宋" w:cs="仿宋"/>
          <w:b/>
          <w:bCs/>
        </w:rPr>
        <w:t>详细评审索引表</w:t>
      </w:r>
      <w:bookmarkEnd w:id="182"/>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40</w:t>
            </w:r>
            <w:r>
              <w:rPr>
                <w:rFonts w:hint="eastAsia" w:ascii="仿宋" w:hAnsi="仿宋" w:eastAsia="仿宋" w:cs="宋体"/>
                <w:color w:val="000000"/>
                <w:szCs w:val="21"/>
              </w:rPr>
              <w:t>分）</w:t>
            </w:r>
          </w:p>
        </w:tc>
        <w:tc>
          <w:tcPr>
            <w:tcW w:w="2268" w:type="dxa"/>
            <w:vAlign w:val="center"/>
          </w:tcPr>
          <w:p>
            <w:pPr>
              <w:jc w:val="center"/>
              <w:rPr>
                <w:rFonts w:hint="eastAsia" w:ascii="仿宋" w:hAnsi="仿宋" w:eastAsia="仿宋" w:cs="宋体"/>
                <w:color w:val="000000"/>
                <w:szCs w:val="21"/>
              </w:rPr>
            </w:pPr>
            <w:r>
              <w:rPr>
                <w:rFonts w:hint="eastAsia" w:ascii="仿宋" w:hAnsi="仿宋" w:eastAsia="仿宋" w:cs="宋体"/>
                <w:color w:val="000000"/>
                <w:szCs w:val="21"/>
              </w:rPr>
              <w:t>服务方案</w:t>
            </w:r>
          </w:p>
          <w:p>
            <w:pPr>
              <w:jc w:val="center"/>
              <w:rPr>
                <w:rFonts w:ascii="仿宋" w:hAnsi="仿宋" w:eastAsia="仿宋" w:cs="宋体"/>
                <w:color w:val="000000"/>
                <w:szCs w:val="21"/>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10</w:t>
            </w:r>
            <w:r>
              <w:rPr>
                <w:rFonts w:hint="eastAsia" w:ascii="仿宋" w:hAnsi="仿宋" w:eastAsia="仿宋" w:cs="宋体"/>
                <w:color w:val="000000"/>
                <w:szCs w:val="21"/>
              </w:rPr>
              <w:t>分）</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rPr>
                <w:rFonts w:hint="eastAsia" w:ascii="仿宋" w:hAnsi="仿宋" w:eastAsia="仿宋" w:cs="宋体"/>
                <w:color w:val="000000"/>
                <w:szCs w:val="21"/>
              </w:rPr>
            </w:pPr>
            <w:r>
              <w:rPr>
                <w:rFonts w:hint="eastAsia" w:ascii="仿宋" w:hAnsi="仿宋" w:eastAsia="仿宋" w:cs="宋体"/>
                <w:color w:val="000000"/>
                <w:szCs w:val="21"/>
              </w:rPr>
              <w:t>人员配置</w:t>
            </w:r>
          </w:p>
          <w:p>
            <w:pPr>
              <w:jc w:val="center"/>
              <w:textAlignment w:val="center"/>
              <w:rPr>
                <w:rFonts w:ascii="仿宋" w:hAnsi="仿宋" w:eastAsia="仿宋" w:cs="宋体"/>
                <w:color w:val="000000"/>
                <w:szCs w:val="21"/>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10</w:t>
            </w:r>
            <w:r>
              <w:rPr>
                <w:rFonts w:hint="eastAsia" w:ascii="仿宋" w:hAnsi="仿宋" w:eastAsia="仿宋" w:cs="宋体"/>
                <w:color w:val="000000"/>
                <w:szCs w:val="21"/>
              </w:rPr>
              <w:t>分）</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rPr>
                <w:rFonts w:hint="eastAsia" w:ascii="仿宋" w:hAnsi="仿宋" w:eastAsia="仿宋" w:cs="宋体"/>
                <w:color w:val="000000"/>
                <w:szCs w:val="21"/>
              </w:rPr>
            </w:pPr>
            <w:r>
              <w:rPr>
                <w:rFonts w:hint="eastAsia" w:ascii="仿宋" w:hAnsi="仿宋" w:eastAsia="仿宋" w:cs="宋体"/>
                <w:color w:val="000000"/>
                <w:szCs w:val="21"/>
              </w:rPr>
              <w:t>设施与设备维护</w:t>
            </w:r>
          </w:p>
          <w:p>
            <w:pPr>
              <w:jc w:val="center"/>
              <w:textAlignment w:val="center"/>
              <w:rPr>
                <w:rFonts w:ascii="仿宋" w:hAnsi="仿宋" w:eastAsia="仿宋" w:cs="宋体"/>
                <w:color w:val="000000"/>
                <w:szCs w:val="21"/>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10</w:t>
            </w:r>
            <w:r>
              <w:rPr>
                <w:rFonts w:hint="eastAsia" w:ascii="仿宋" w:hAnsi="仿宋" w:eastAsia="仿宋" w:cs="宋体"/>
                <w:color w:val="000000"/>
                <w:szCs w:val="21"/>
              </w:rPr>
              <w:t>分）</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rPr>
                <w:rFonts w:hint="eastAsia" w:ascii="仿宋" w:hAnsi="仿宋" w:eastAsia="仿宋" w:cs="宋体"/>
                <w:color w:val="000000"/>
                <w:szCs w:val="21"/>
              </w:rPr>
            </w:pPr>
            <w:r>
              <w:rPr>
                <w:rFonts w:hint="eastAsia" w:ascii="仿宋" w:hAnsi="仿宋" w:eastAsia="仿宋" w:cs="宋体"/>
                <w:color w:val="000000"/>
                <w:szCs w:val="21"/>
                <w:lang w:val="en-US" w:eastAsia="zh-CN"/>
              </w:rPr>
              <w:t>付款条件</w:t>
            </w:r>
          </w:p>
          <w:p>
            <w:pPr>
              <w:jc w:val="center"/>
              <w:textAlignment w:val="center"/>
              <w:rPr>
                <w:rFonts w:ascii="仿宋" w:hAnsi="仿宋" w:eastAsia="仿宋" w:cs="宋体"/>
                <w:color w:val="000000"/>
                <w:szCs w:val="21"/>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5</w:t>
            </w:r>
            <w:r>
              <w:rPr>
                <w:rFonts w:hint="eastAsia" w:ascii="仿宋" w:hAnsi="仿宋" w:eastAsia="仿宋" w:cs="宋体"/>
                <w:color w:val="000000"/>
                <w:szCs w:val="21"/>
              </w:rPr>
              <w:t>分）</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val="en-US" w:eastAsia="zh-CN" w:bidi="ar"/>
              </w:rPr>
            </w:pPr>
            <w:r>
              <w:rPr>
                <w:rFonts w:hint="eastAsia" w:ascii="仿宋" w:hAnsi="仿宋" w:eastAsia="仿宋" w:cs="宋体"/>
                <w:color w:val="000000"/>
                <w:szCs w:val="21"/>
                <w:lang w:val="en-US" w:eastAsia="zh-CN" w:bidi="ar"/>
              </w:rPr>
              <w:t>7</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增值服务</w:t>
            </w:r>
          </w:p>
          <w:p>
            <w:pPr>
              <w:jc w:val="center"/>
              <w:textAlignment w:val="center"/>
              <w:rPr>
                <w:rFonts w:hint="eastAsia" w:ascii="仿宋" w:hAnsi="仿宋" w:eastAsia="仿宋" w:cs="宋体"/>
                <w:color w:val="000000"/>
                <w:szCs w:val="21"/>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5</w:t>
            </w:r>
            <w:r>
              <w:rPr>
                <w:rFonts w:hint="eastAsia" w:ascii="仿宋" w:hAnsi="仿宋" w:eastAsia="仿宋" w:cs="宋体"/>
                <w:color w:val="000000"/>
                <w:szCs w:val="21"/>
              </w:rPr>
              <w:t>分）</w:t>
            </w:r>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84" w:name="_Toc17302"/>
      <w:bookmarkStart w:id="185" w:name="_Toc16050"/>
      <w:r>
        <w:rPr>
          <w:rFonts w:hint="eastAsia" w:ascii="仿宋" w:hAnsi="仿宋" w:eastAsia="仿宋" w:cs="仿宋"/>
          <w:color w:val="000000"/>
          <w:sz w:val="24"/>
          <w:szCs w:val="24"/>
        </w:rPr>
        <w:t>（一）采购需求应答偏离表</w:t>
      </w:r>
      <w:bookmarkEnd w:id="183"/>
      <w:bookmarkEnd w:id="184"/>
      <w:bookmarkEnd w:id="185"/>
    </w:p>
    <w:p>
      <w:pPr>
        <w:spacing w:line="360" w:lineRule="auto"/>
        <w:jc w:val="center"/>
        <w:rPr>
          <w:rFonts w:ascii="仿宋" w:hAnsi="仿宋" w:eastAsia="仿宋" w:cs="仿宋"/>
          <w:b/>
          <w:bCs/>
          <w:color w:val="000000"/>
        </w:rPr>
      </w:pPr>
      <w:bookmarkStart w:id="186" w:name="_Toc125771198"/>
      <w:bookmarkStart w:id="187" w:name="_Toc293297544"/>
      <w:bookmarkStart w:id="188" w:name="_Toc125561188"/>
      <w:r>
        <w:rPr>
          <w:rFonts w:hint="eastAsia" w:ascii="仿宋" w:hAnsi="仿宋" w:eastAsia="仿宋" w:cs="仿宋"/>
          <w:b/>
          <w:bCs/>
          <w:color w:val="000000"/>
        </w:rPr>
        <w:t>采购需求应答偏离表</w:t>
      </w:r>
      <w:bookmarkEnd w:id="186"/>
      <w:bookmarkEnd w:id="187"/>
      <w:bookmarkEnd w:id="188"/>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89" w:name="_Toc8284"/>
      <w:bookmarkStart w:id="190" w:name="_Toc19380"/>
      <w:r>
        <w:rPr>
          <w:rFonts w:hint="eastAsia" w:ascii="仿宋" w:hAnsi="仿宋" w:eastAsia="仿宋" w:cs="仿宋"/>
          <w:color w:val="000000"/>
          <w:sz w:val="24"/>
          <w:szCs w:val="24"/>
        </w:rPr>
        <w:t>（二）技术方案</w:t>
      </w:r>
      <w:bookmarkEnd w:id="189"/>
      <w:bookmarkEnd w:id="190"/>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1" w:name="_Toc444891358"/>
      <w:bookmarkStart w:id="192" w:name="_Toc517281860"/>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93" w:name="_Toc20365"/>
      <w:bookmarkStart w:id="194" w:name="_Toc32206"/>
      <w:r>
        <w:rPr>
          <w:rFonts w:hint="eastAsia" w:ascii="仿宋" w:hAnsi="仿宋" w:eastAsia="仿宋" w:cs="仿宋"/>
          <w:color w:val="000000"/>
          <w:sz w:val="24"/>
          <w:szCs w:val="24"/>
        </w:rPr>
        <w:t>（三）</w:t>
      </w:r>
      <w:bookmarkEnd w:id="191"/>
      <w:bookmarkEnd w:id="192"/>
      <w:r>
        <w:rPr>
          <w:rFonts w:hint="eastAsia" w:ascii="仿宋" w:hAnsi="仿宋" w:eastAsia="仿宋" w:cs="仿宋"/>
          <w:color w:val="000000"/>
          <w:sz w:val="24"/>
          <w:szCs w:val="24"/>
        </w:rPr>
        <w:t>其他材料</w:t>
      </w:r>
      <w:bookmarkEnd w:id="193"/>
      <w:bookmarkEnd w:id="194"/>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b/>
          <w:bCs/>
          <w:iCs/>
          <w:color w:val="000000"/>
          <w:sz w:val="24"/>
          <w:szCs w:val="24"/>
          <w:lang w:val="en-US" w:eastAsia="zh-CN" w:bidi="ar-SA"/>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bookmarkStart w:id="195" w:name="_Toc20443"/>
      <w:r>
        <w:rPr>
          <w:rFonts w:hint="eastAsia" w:ascii="仿宋" w:hAnsi="仿宋" w:eastAsia="仿宋" w:cs="仿宋"/>
          <w:b/>
          <w:bCs/>
          <w:iCs/>
          <w:color w:val="000000"/>
          <w:sz w:val="24"/>
          <w:szCs w:val="24"/>
          <w:lang w:val="en-US" w:eastAsia="zh-CN" w:bidi="ar-SA"/>
        </w:rPr>
        <w:t>三、报价文件</w:t>
      </w:r>
      <w:bookmarkEnd w:id="195"/>
    </w:p>
    <w:p>
      <w:pPr>
        <w:pStyle w:val="5"/>
        <w:keepNext/>
        <w:keepLines/>
        <w:pageBreakBefore w:val="0"/>
        <w:widowControl/>
        <w:kinsoku/>
        <w:wordWrap/>
        <w:overflowPunct/>
        <w:topLinePunct w:val="0"/>
        <w:autoSpaceDE/>
        <w:autoSpaceDN/>
        <w:bidi w:val="0"/>
        <w:adjustRightInd/>
        <w:snapToGrid/>
        <w:spacing w:before="0" w:after="0" w:line="360" w:lineRule="auto"/>
        <w:ind w:firstLine="482"/>
        <w:jc w:val="both"/>
        <w:textAlignment w:val="auto"/>
        <w:rPr>
          <w:rFonts w:ascii="仿宋" w:hAnsi="仿宋" w:eastAsia="仿宋" w:cs="仿宋"/>
          <w:color w:val="000000"/>
          <w:sz w:val="24"/>
          <w:szCs w:val="24"/>
        </w:rPr>
      </w:pPr>
      <w:bookmarkStart w:id="196" w:name="_Toc511726864"/>
      <w:bookmarkStart w:id="197" w:name="_Toc18942"/>
      <w:bookmarkStart w:id="198" w:name="_Toc24913"/>
      <w:r>
        <w:rPr>
          <w:rFonts w:hint="eastAsia" w:ascii="仿宋" w:hAnsi="仿宋" w:eastAsia="仿宋" w:cs="仿宋"/>
          <w:color w:val="000000"/>
          <w:sz w:val="24"/>
          <w:szCs w:val="24"/>
        </w:rPr>
        <w:t>（一）报价</w:t>
      </w:r>
      <w:bookmarkEnd w:id="196"/>
      <w:r>
        <w:rPr>
          <w:rFonts w:hint="eastAsia" w:ascii="仿宋" w:hAnsi="仿宋" w:eastAsia="仿宋" w:cs="仿宋"/>
          <w:color w:val="000000"/>
          <w:sz w:val="24"/>
          <w:szCs w:val="24"/>
        </w:rPr>
        <w:t>一览表</w:t>
      </w:r>
      <w:bookmarkEnd w:id="197"/>
      <w:bookmarkEnd w:id="198"/>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人保财险四川省自贡市分公司职场</w:t>
      </w:r>
      <w:r>
        <w:rPr>
          <w:rFonts w:hint="eastAsia" w:ascii="仿宋" w:hAnsi="仿宋" w:eastAsia="仿宋" w:cs="仿宋"/>
          <w:color w:val="000000"/>
          <w:sz w:val="24"/>
          <w:szCs w:val="24"/>
          <w:u w:val="single"/>
          <w:lang w:eastAsia="zh-CN"/>
        </w:rPr>
        <w:t>物业服务</w:t>
      </w:r>
      <w:r>
        <w:rPr>
          <w:rFonts w:hint="eastAsia" w:ascii="仿宋" w:hAnsi="仿宋" w:eastAsia="仿宋" w:cs="仿宋"/>
          <w:color w:val="000000"/>
          <w:sz w:val="24"/>
          <w:szCs w:val="24"/>
          <w:u w:val="single"/>
        </w:rPr>
        <w:t xml:space="preserve">采购项目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9" w:name="_Toc518302646"/>
      <w:bookmarkStart w:id="200" w:name="_Toc2267055"/>
      <w:bookmarkStart w:id="201" w:name="_Toc16591840"/>
      <w:bookmarkStart w:id="202" w:name="_Toc530319762"/>
      <w:bookmarkStart w:id="203" w:name="_Toc517281864"/>
      <w:bookmarkStart w:id="204" w:name="_Toc482180015"/>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8"/>
    <w:bookmarkEnd w:id="199"/>
    <w:bookmarkEnd w:id="200"/>
    <w:bookmarkEnd w:id="201"/>
    <w:bookmarkEnd w:id="202"/>
    <w:bookmarkEnd w:id="203"/>
    <w:bookmarkEnd w:id="204"/>
    <w:p>
      <w:pPr>
        <w:adjustRightInd w:val="0"/>
        <w:snapToGrid w:val="0"/>
        <w:spacing w:line="360" w:lineRule="auto"/>
        <w:rPr>
          <w:rFonts w:ascii="仿宋_GB2312" w:hAnsi="宋体" w:eastAsia="仿宋_GB2312" w:cs="宋体"/>
          <w:color w:val="auto"/>
          <w:sz w:val="28"/>
          <w:szCs w:val="28"/>
        </w:rPr>
      </w:pPr>
      <w:bookmarkStart w:id="205" w:name="_Toc127761806"/>
      <w:bookmarkEnd w:id="205"/>
      <w:bookmarkStart w:id="206" w:name="_Toc125183170"/>
      <w:bookmarkEnd w:id="206"/>
      <w:bookmarkStart w:id="207" w:name="_Toc104714659"/>
      <w:bookmarkEnd w:id="207"/>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5"/>
        <w:keepNext/>
        <w:keepLines/>
        <w:pageBreakBefore w:val="0"/>
        <w:widowControl/>
        <w:numPr>
          <w:ilvl w:val="5"/>
          <w:numId w:val="0"/>
        </w:numPr>
        <w:kinsoku/>
        <w:wordWrap/>
        <w:overflowPunct/>
        <w:topLinePunct w:val="0"/>
        <w:autoSpaceDE/>
        <w:autoSpaceDN/>
        <w:bidi w:val="0"/>
        <w:adjustRightInd/>
        <w:snapToGrid/>
        <w:spacing w:line="360" w:lineRule="auto"/>
        <w:jc w:val="both"/>
        <w:textAlignment w:val="auto"/>
        <w:rPr>
          <w:rFonts w:ascii="仿宋" w:hAnsi="仿宋" w:eastAsia="仿宋" w:cs="仿宋"/>
          <w:color w:val="000000"/>
          <w:sz w:val="24"/>
          <w:szCs w:val="24"/>
        </w:rPr>
      </w:pPr>
      <w:bookmarkStart w:id="208" w:name="_Toc15457"/>
      <w:bookmarkStart w:id="209" w:name="_Toc12353"/>
      <w:bookmarkStart w:id="210" w:name="_Toc31172"/>
      <w:r>
        <w:rPr>
          <w:rFonts w:hint="eastAsia" w:ascii="仿宋" w:hAnsi="仿宋" w:eastAsia="仿宋" w:cs="仿宋"/>
          <w:color w:val="000000"/>
          <w:sz w:val="24"/>
          <w:szCs w:val="24"/>
        </w:rPr>
        <w:t>（二）分项报价表</w:t>
      </w:r>
      <w:bookmarkEnd w:id="208"/>
      <w:bookmarkEnd w:id="209"/>
      <w:bookmarkEnd w:id="210"/>
    </w:p>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 xml:space="preserve">供应商名称： </w:t>
      </w:r>
    </w:p>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项目名称：</w:t>
      </w:r>
      <w:r>
        <w:rPr>
          <w:rFonts w:hint="eastAsia" w:ascii="楷体" w:hAnsi="楷体" w:eastAsia="楷体" w:cs="仿宋_GB2312"/>
          <w:i w:val="0"/>
          <w:iCs/>
          <w:color w:val="auto"/>
          <w:szCs w:val="32"/>
        </w:rPr>
        <w:t>人保财险四川省自贡市分公司职场</w:t>
      </w:r>
      <w:r>
        <w:rPr>
          <w:rFonts w:hint="eastAsia" w:ascii="楷体" w:hAnsi="楷体" w:eastAsia="楷体" w:cs="仿宋_GB2312"/>
          <w:i w:val="0"/>
          <w:iCs/>
          <w:color w:val="auto"/>
          <w:szCs w:val="32"/>
          <w:lang w:eastAsia="zh-CN"/>
        </w:rPr>
        <w:t>物业服务</w:t>
      </w:r>
      <w:r>
        <w:rPr>
          <w:rFonts w:hint="eastAsia" w:ascii="楷体" w:hAnsi="楷体" w:eastAsia="楷体" w:cs="仿宋_GB2312"/>
          <w:i w:val="0"/>
          <w:iCs/>
          <w:color w:val="auto"/>
          <w:szCs w:val="32"/>
        </w:rPr>
        <w:t>采购项目</w:t>
      </w:r>
    </w:p>
    <w:tbl>
      <w:tblPr>
        <w:tblStyle w:val="29"/>
        <w:tblW w:w="8807" w:type="dxa"/>
        <w:tblInd w:w="0" w:type="dxa"/>
        <w:tblLayout w:type="fixed"/>
        <w:tblCellMar>
          <w:top w:w="15" w:type="dxa"/>
          <w:left w:w="15" w:type="dxa"/>
          <w:bottom w:w="15" w:type="dxa"/>
          <w:right w:w="15" w:type="dxa"/>
        </w:tblCellMar>
      </w:tblPr>
      <w:tblGrid>
        <w:gridCol w:w="932"/>
        <w:gridCol w:w="1290"/>
        <w:gridCol w:w="870"/>
        <w:gridCol w:w="825"/>
        <w:gridCol w:w="1425"/>
        <w:gridCol w:w="1545"/>
        <w:gridCol w:w="1920"/>
      </w:tblGrid>
      <w:tr>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楷体" w:hAnsi="楷体" w:eastAsia="楷体" w:cs="仿宋_GB2312"/>
                <w:b/>
                <w:bCs/>
                <w:i w:val="0"/>
                <w:iCs/>
                <w:color w:val="auto"/>
                <w:szCs w:val="32"/>
                <w:lang w:val="en-US" w:eastAsia="zh-CN"/>
              </w:rPr>
            </w:pPr>
            <w:r>
              <w:rPr>
                <w:rFonts w:hint="eastAsia" w:ascii="楷体" w:hAnsi="楷体" w:eastAsia="楷体" w:cs="仿宋_GB2312"/>
                <w:b/>
                <w:bCs/>
                <w:i w:val="0"/>
                <w:iCs/>
                <w:color w:val="auto"/>
                <w:szCs w:val="32"/>
                <w:lang w:val="en-US" w:eastAsia="zh-CN"/>
              </w:rPr>
              <w:t>项目</w:t>
            </w:r>
          </w:p>
        </w:tc>
        <w:tc>
          <w:tcPr>
            <w:tcW w:w="129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default" w:ascii="楷体" w:hAnsi="楷体" w:eastAsia="楷体" w:cs="仿宋_GB2312"/>
                <w:b/>
                <w:bCs/>
                <w:i w:val="0"/>
                <w:iCs/>
                <w:color w:val="auto"/>
                <w:szCs w:val="32"/>
                <w:lang w:val="en-US" w:eastAsia="zh-CN"/>
              </w:rPr>
            </w:pPr>
            <w:r>
              <w:rPr>
                <w:rFonts w:hint="eastAsia" w:ascii="楷体" w:hAnsi="楷体" w:eastAsia="楷体" w:cs="仿宋_GB2312"/>
                <w:b/>
                <w:bCs/>
                <w:i w:val="0"/>
                <w:iCs/>
                <w:color w:val="auto"/>
                <w:szCs w:val="32"/>
                <w:lang w:val="en-US" w:eastAsia="zh-CN"/>
              </w:rPr>
              <w:t>具体内容</w:t>
            </w:r>
          </w:p>
        </w:tc>
        <w:tc>
          <w:tcPr>
            <w:tcW w:w="870"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hint="eastAsia" w:ascii="楷体" w:hAnsi="楷体" w:eastAsia="楷体" w:cs="仿宋_GB2312"/>
                <w:b/>
                <w:bCs/>
                <w:i w:val="0"/>
                <w:iCs/>
                <w:color w:val="auto"/>
                <w:szCs w:val="32"/>
                <w:lang w:eastAsia="zh-CN"/>
              </w:rPr>
            </w:pPr>
            <w:r>
              <w:rPr>
                <w:rFonts w:hint="eastAsia" w:ascii="楷体" w:hAnsi="楷体" w:eastAsia="楷体" w:cs="仿宋_GB2312"/>
                <w:b/>
                <w:bCs/>
                <w:i w:val="0"/>
                <w:iCs/>
                <w:color w:val="auto"/>
                <w:szCs w:val="32"/>
                <w:lang w:val="en-US" w:eastAsia="zh-CN"/>
              </w:rPr>
              <w:t>人数</w:t>
            </w:r>
          </w:p>
        </w:tc>
        <w:tc>
          <w:tcPr>
            <w:tcW w:w="825" w:type="dxa"/>
            <w:tcBorders>
              <w:top w:val="single" w:color="000000" w:sz="4" w:space="0"/>
              <w:left w:val="single" w:color="auto" w:sz="4" w:space="0"/>
              <w:bottom w:val="single" w:color="000000" w:sz="4" w:space="0"/>
              <w:right w:val="single" w:color="000000" w:sz="4" w:space="0"/>
            </w:tcBorders>
            <w:vAlign w:val="center"/>
          </w:tcPr>
          <w:p>
            <w:pPr>
              <w:adjustRightInd w:val="0"/>
              <w:snapToGrid w:val="0"/>
              <w:spacing w:line="360" w:lineRule="auto"/>
              <w:jc w:val="center"/>
              <w:rPr>
                <w:rFonts w:hint="default" w:ascii="楷体" w:hAnsi="楷体" w:eastAsia="楷体" w:cs="仿宋_GB2312"/>
                <w:b/>
                <w:bCs/>
                <w:i w:val="0"/>
                <w:iCs/>
                <w:color w:val="auto"/>
                <w:szCs w:val="32"/>
                <w:lang w:val="en-US" w:eastAsia="zh-CN"/>
              </w:rPr>
            </w:pPr>
            <w:r>
              <w:rPr>
                <w:rFonts w:hint="eastAsia" w:ascii="楷体" w:hAnsi="楷体" w:eastAsia="楷体" w:cs="仿宋_GB2312"/>
                <w:b/>
                <w:bCs/>
                <w:i w:val="0"/>
                <w:iCs/>
                <w:color w:val="auto"/>
                <w:szCs w:val="32"/>
                <w:lang w:val="en-US" w:eastAsia="zh-CN"/>
              </w:rPr>
              <w:t>服务期（月）</w:t>
            </w:r>
          </w:p>
        </w:tc>
        <w:tc>
          <w:tcPr>
            <w:tcW w:w="1425"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hint="eastAsia" w:ascii="楷体" w:hAnsi="楷体" w:eastAsia="楷体" w:cs="仿宋_GB2312"/>
                <w:b/>
                <w:bCs/>
                <w:i w:val="0"/>
                <w:iCs/>
                <w:color w:val="auto"/>
                <w:szCs w:val="32"/>
                <w:lang w:val="en-US" w:eastAsia="zh-CN"/>
              </w:rPr>
            </w:pPr>
            <w:r>
              <w:rPr>
                <w:rFonts w:hint="eastAsia" w:ascii="楷体" w:hAnsi="楷体" w:eastAsia="楷体" w:cs="仿宋_GB2312"/>
                <w:b/>
                <w:bCs/>
                <w:i w:val="0"/>
                <w:iCs/>
                <w:color w:val="auto"/>
                <w:szCs w:val="32"/>
                <w:lang w:val="en-US" w:eastAsia="zh-CN"/>
              </w:rPr>
              <w:t>单价</w:t>
            </w:r>
          </w:p>
          <w:p>
            <w:pPr>
              <w:adjustRightInd w:val="0"/>
              <w:snapToGrid w:val="0"/>
              <w:spacing w:line="360" w:lineRule="auto"/>
              <w:jc w:val="center"/>
              <w:rPr>
                <w:rFonts w:ascii="楷体" w:hAnsi="楷体" w:eastAsia="楷体" w:cs="仿宋_GB2312"/>
                <w:b/>
                <w:bCs/>
                <w:i w:val="0"/>
                <w:iCs/>
                <w:color w:val="auto"/>
                <w:szCs w:val="32"/>
              </w:rPr>
            </w:pPr>
            <w:r>
              <w:rPr>
                <w:rFonts w:hint="eastAsia" w:ascii="楷体" w:hAnsi="楷体" w:eastAsia="楷体" w:cs="仿宋_GB2312"/>
                <w:b/>
                <w:bCs/>
                <w:i w:val="0"/>
                <w:iCs/>
                <w:color w:val="auto"/>
                <w:szCs w:val="32"/>
                <w:lang w:val="en-US" w:eastAsia="zh-CN"/>
              </w:rPr>
              <w:t>（含税，人/月，元）</w:t>
            </w:r>
          </w:p>
        </w:tc>
        <w:tc>
          <w:tcPr>
            <w:tcW w:w="1545" w:type="dxa"/>
            <w:tcBorders>
              <w:top w:val="single" w:color="000000" w:sz="4" w:space="0"/>
              <w:left w:val="single" w:color="auto" w:sz="4" w:space="0"/>
              <w:bottom w:val="single" w:color="000000" w:sz="4" w:space="0"/>
              <w:right w:val="single" w:color="auto" w:sz="4" w:space="0"/>
            </w:tcBorders>
            <w:vAlign w:val="center"/>
          </w:tcPr>
          <w:p>
            <w:pPr>
              <w:adjustRightInd w:val="0"/>
              <w:snapToGrid w:val="0"/>
              <w:spacing w:line="360" w:lineRule="auto"/>
              <w:jc w:val="center"/>
              <w:rPr>
                <w:rFonts w:hint="eastAsia" w:ascii="楷体" w:hAnsi="楷体" w:eastAsia="楷体" w:cs="仿宋_GB2312"/>
                <w:b/>
                <w:bCs/>
                <w:i w:val="0"/>
                <w:iCs/>
                <w:color w:val="auto"/>
                <w:szCs w:val="32"/>
                <w:lang w:val="en-US" w:eastAsia="zh-CN"/>
              </w:rPr>
            </w:pPr>
            <w:r>
              <w:rPr>
                <w:rFonts w:hint="eastAsia" w:ascii="楷体" w:hAnsi="楷体" w:eastAsia="楷体" w:cs="仿宋_GB2312"/>
                <w:b/>
                <w:bCs/>
                <w:i w:val="0"/>
                <w:iCs/>
                <w:color w:val="auto"/>
                <w:szCs w:val="32"/>
                <w:lang w:val="en-US" w:eastAsia="zh-CN"/>
              </w:rPr>
              <w:t>总价</w:t>
            </w:r>
          </w:p>
          <w:p>
            <w:pPr>
              <w:adjustRightInd w:val="0"/>
              <w:snapToGrid w:val="0"/>
              <w:spacing w:line="360" w:lineRule="auto"/>
              <w:jc w:val="center"/>
              <w:rPr>
                <w:rFonts w:hint="eastAsia" w:ascii="楷体" w:hAnsi="楷体" w:eastAsia="楷体" w:cs="仿宋_GB2312"/>
                <w:b/>
                <w:bCs/>
                <w:i w:val="0"/>
                <w:iCs/>
                <w:color w:val="auto"/>
                <w:szCs w:val="32"/>
                <w:lang w:val="en-US" w:eastAsia="zh-CN"/>
              </w:rPr>
            </w:pPr>
            <w:r>
              <w:rPr>
                <w:rFonts w:hint="eastAsia" w:ascii="楷体" w:hAnsi="楷体" w:eastAsia="楷体" w:cs="仿宋_GB2312"/>
                <w:b/>
                <w:bCs/>
                <w:i w:val="0"/>
                <w:iCs/>
                <w:color w:val="auto"/>
                <w:szCs w:val="32"/>
                <w:lang w:val="en-US" w:eastAsia="zh-CN"/>
              </w:rPr>
              <w:t>（含税，人/月，元）</w:t>
            </w:r>
          </w:p>
        </w:tc>
        <w:tc>
          <w:tcPr>
            <w:tcW w:w="1920" w:type="dxa"/>
            <w:tcBorders>
              <w:top w:val="single" w:color="000000" w:sz="4" w:space="0"/>
              <w:left w:val="single" w:color="auto" w:sz="4" w:space="0"/>
              <w:bottom w:val="single" w:color="000000" w:sz="4" w:space="0"/>
              <w:right w:val="single" w:color="000000" w:sz="4" w:space="0"/>
            </w:tcBorders>
            <w:vAlign w:val="center"/>
          </w:tcPr>
          <w:p>
            <w:pPr>
              <w:adjustRightInd w:val="0"/>
              <w:snapToGrid w:val="0"/>
              <w:spacing w:line="360" w:lineRule="auto"/>
              <w:jc w:val="center"/>
              <w:rPr>
                <w:rFonts w:hint="eastAsia" w:ascii="楷体" w:hAnsi="楷体" w:eastAsia="楷体" w:cs="仿宋_GB2312"/>
                <w:b/>
                <w:bCs/>
                <w:i w:val="0"/>
                <w:iCs/>
                <w:color w:val="auto"/>
                <w:szCs w:val="32"/>
                <w:lang w:val="en-US" w:eastAsia="zh-CN"/>
              </w:rPr>
            </w:pPr>
            <w:r>
              <w:rPr>
                <w:rFonts w:hint="eastAsia" w:ascii="楷体" w:hAnsi="楷体" w:eastAsia="楷体" w:cs="仿宋_GB2312"/>
                <w:b/>
                <w:bCs/>
                <w:i w:val="0"/>
                <w:iCs/>
                <w:color w:val="auto"/>
                <w:szCs w:val="32"/>
                <w:lang w:val="en-US" w:eastAsia="zh-CN"/>
              </w:rPr>
              <w:t>备注</w:t>
            </w:r>
          </w:p>
        </w:tc>
      </w:tr>
      <w:tr>
        <w:tblPrEx>
          <w:tblCellMar>
            <w:top w:w="15" w:type="dxa"/>
            <w:left w:w="15" w:type="dxa"/>
            <w:bottom w:w="15" w:type="dxa"/>
            <w:right w:w="15" w:type="dxa"/>
          </w:tblCellMar>
        </w:tblPrEx>
        <w:trPr>
          <w:trHeight w:val="330" w:hRule="atLeast"/>
        </w:trPr>
        <w:tc>
          <w:tcPr>
            <w:tcW w:w="932"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物业服务费</w:t>
            </w:r>
          </w:p>
        </w:tc>
        <w:tc>
          <w:tcPr>
            <w:tcW w:w="129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w:t>
            </w:r>
            <w:r>
              <w:rPr>
                <w:rFonts w:hint="eastAsia" w:ascii="楷体" w:hAnsi="楷体" w:eastAsia="楷体" w:cs="仿宋_GB2312"/>
                <w:i w:val="0"/>
                <w:iCs/>
                <w:color w:val="auto"/>
                <w:szCs w:val="32"/>
              </w:rPr>
              <w:t>保洁</w:t>
            </w:r>
            <w:r>
              <w:rPr>
                <w:rFonts w:hint="eastAsia" w:ascii="楷体" w:hAnsi="楷体" w:eastAsia="楷体" w:cs="仿宋_GB2312"/>
                <w:i w:val="0"/>
                <w:iCs/>
                <w:color w:val="auto"/>
                <w:szCs w:val="32"/>
                <w:lang w:val="en-US" w:eastAsia="zh-CN"/>
              </w:rPr>
              <w:t>人员费用</w:t>
            </w:r>
          </w:p>
        </w:tc>
        <w:tc>
          <w:tcPr>
            <w:tcW w:w="870"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3</w:t>
            </w:r>
          </w:p>
        </w:tc>
        <w:tc>
          <w:tcPr>
            <w:tcW w:w="825" w:type="dxa"/>
            <w:tcBorders>
              <w:top w:val="single" w:color="000000" w:sz="4" w:space="0"/>
              <w:left w:val="single" w:color="auto" w:sz="4" w:space="0"/>
              <w:bottom w:val="single" w:color="000000" w:sz="4" w:space="0"/>
              <w:right w:val="single" w:color="000000" w:sz="4" w:space="0"/>
            </w:tcBorders>
            <w:vAlign w:val="center"/>
          </w:tcPr>
          <w:p>
            <w:pPr>
              <w:adjustRightInd w:val="0"/>
              <w:snapToGrid w:val="0"/>
              <w:spacing w:line="360" w:lineRule="auto"/>
              <w:jc w:val="center"/>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12</w:t>
            </w:r>
          </w:p>
        </w:tc>
        <w:tc>
          <w:tcPr>
            <w:tcW w:w="1425"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ascii="楷体" w:hAnsi="楷体" w:eastAsia="楷体" w:cs="仿宋_GB2312"/>
                <w:i w:val="0"/>
                <w:iCs/>
                <w:color w:val="auto"/>
                <w:szCs w:val="32"/>
              </w:rPr>
            </w:pPr>
          </w:p>
        </w:tc>
        <w:tc>
          <w:tcPr>
            <w:tcW w:w="1545" w:type="dxa"/>
            <w:tcBorders>
              <w:top w:val="single" w:color="000000" w:sz="4" w:space="0"/>
              <w:left w:val="single" w:color="auto" w:sz="4" w:space="0"/>
              <w:bottom w:val="single" w:color="000000" w:sz="4" w:space="0"/>
              <w:right w:val="single" w:color="auto" w:sz="4" w:space="0"/>
            </w:tcBorders>
            <w:vAlign w:val="center"/>
          </w:tcPr>
          <w:p>
            <w:pPr>
              <w:adjustRightInd w:val="0"/>
              <w:snapToGrid w:val="0"/>
              <w:spacing w:line="360" w:lineRule="auto"/>
              <w:jc w:val="center"/>
              <w:rPr>
                <w:rFonts w:ascii="楷体" w:hAnsi="楷体" w:eastAsia="楷体" w:cs="仿宋_GB2312"/>
                <w:i w:val="0"/>
                <w:iCs/>
                <w:color w:val="auto"/>
                <w:szCs w:val="32"/>
              </w:rPr>
            </w:pPr>
          </w:p>
        </w:tc>
        <w:tc>
          <w:tcPr>
            <w:tcW w:w="1920" w:type="dxa"/>
            <w:tcBorders>
              <w:top w:val="single" w:color="000000" w:sz="4" w:space="0"/>
              <w:left w:val="single" w:color="auto"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auto"/>
                <w:szCs w:val="32"/>
              </w:rPr>
            </w:pPr>
          </w:p>
        </w:tc>
      </w:tr>
      <w:tr>
        <w:tblPrEx>
          <w:tblCellMar>
            <w:top w:w="15" w:type="dxa"/>
            <w:left w:w="15" w:type="dxa"/>
            <w:bottom w:w="15" w:type="dxa"/>
            <w:right w:w="15" w:type="dxa"/>
          </w:tblCellMar>
        </w:tblPrEx>
        <w:trPr>
          <w:trHeight w:val="285" w:hRule="atLeast"/>
        </w:trPr>
        <w:tc>
          <w:tcPr>
            <w:tcW w:w="932"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auto"/>
              <w:jc w:val="both"/>
              <w:rPr>
                <w:rFonts w:ascii="楷体" w:hAnsi="楷体" w:eastAsia="楷体" w:cs="仿宋_GB2312"/>
                <w:i w:val="0"/>
                <w:iCs/>
                <w:color w:val="auto"/>
                <w:szCs w:val="32"/>
              </w:rPr>
            </w:pPr>
          </w:p>
        </w:tc>
        <w:tc>
          <w:tcPr>
            <w:tcW w:w="129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2.</w:t>
            </w:r>
            <w:r>
              <w:rPr>
                <w:rFonts w:hint="eastAsia" w:ascii="楷体" w:hAnsi="楷体" w:eastAsia="楷体" w:cs="仿宋_GB2312"/>
                <w:i w:val="0"/>
                <w:iCs/>
                <w:color w:val="auto"/>
                <w:szCs w:val="32"/>
              </w:rPr>
              <w:t>水电工后勤保障维护</w:t>
            </w:r>
            <w:r>
              <w:rPr>
                <w:rFonts w:hint="eastAsia" w:ascii="楷体" w:hAnsi="楷体" w:eastAsia="楷体" w:cs="仿宋_GB2312"/>
                <w:i w:val="0"/>
                <w:iCs/>
                <w:color w:val="auto"/>
                <w:szCs w:val="32"/>
                <w:lang w:val="en-US" w:eastAsia="zh-CN"/>
              </w:rPr>
              <w:t>人员费用</w:t>
            </w:r>
          </w:p>
        </w:tc>
        <w:tc>
          <w:tcPr>
            <w:tcW w:w="870"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w:t>
            </w:r>
          </w:p>
        </w:tc>
        <w:tc>
          <w:tcPr>
            <w:tcW w:w="825" w:type="dxa"/>
            <w:tcBorders>
              <w:top w:val="single" w:color="000000" w:sz="4" w:space="0"/>
              <w:left w:val="single" w:color="auto" w:sz="4" w:space="0"/>
              <w:bottom w:val="single" w:color="000000" w:sz="4" w:space="0"/>
              <w:right w:val="single" w:color="000000" w:sz="4" w:space="0"/>
            </w:tcBorders>
            <w:vAlign w:val="center"/>
          </w:tcPr>
          <w:p>
            <w:pPr>
              <w:adjustRightInd w:val="0"/>
              <w:snapToGrid w:val="0"/>
              <w:spacing w:line="360" w:lineRule="auto"/>
              <w:jc w:val="center"/>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12</w:t>
            </w:r>
          </w:p>
        </w:tc>
        <w:tc>
          <w:tcPr>
            <w:tcW w:w="1425"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ascii="楷体" w:hAnsi="楷体" w:eastAsia="楷体" w:cs="仿宋_GB2312"/>
                <w:i w:val="0"/>
                <w:iCs/>
                <w:color w:val="auto"/>
                <w:szCs w:val="32"/>
              </w:rPr>
            </w:pPr>
          </w:p>
        </w:tc>
        <w:tc>
          <w:tcPr>
            <w:tcW w:w="1545" w:type="dxa"/>
            <w:tcBorders>
              <w:top w:val="single" w:color="000000" w:sz="4" w:space="0"/>
              <w:left w:val="single" w:color="auto" w:sz="4" w:space="0"/>
              <w:bottom w:val="single" w:color="000000" w:sz="4" w:space="0"/>
              <w:right w:val="single" w:color="auto" w:sz="4" w:space="0"/>
            </w:tcBorders>
            <w:vAlign w:val="center"/>
          </w:tcPr>
          <w:p>
            <w:pPr>
              <w:adjustRightInd w:val="0"/>
              <w:snapToGrid w:val="0"/>
              <w:spacing w:line="360" w:lineRule="auto"/>
              <w:jc w:val="center"/>
              <w:rPr>
                <w:rFonts w:ascii="楷体" w:hAnsi="楷体" w:eastAsia="楷体" w:cs="仿宋_GB2312"/>
                <w:i w:val="0"/>
                <w:iCs/>
                <w:color w:val="auto"/>
                <w:szCs w:val="32"/>
              </w:rPr>
            </w:pPr>
          </w:p>
        </w:tc>
        <w:tc>
          <w:tcPr>
            <w:tcW w:w="1920" w:type="dxa"/>
            <w:tcBorders>
              <w:top w:val="single" w:color="000000" w:sz="4" w:space="0"/>
              <w:left w:val="single" w:color="auto"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auto"/>
                <w:szCs w:val="32"/>
              </w:rPr>
            </w:pPr>
          </w:p>
        </w:tc>
      </w:tr>
      <w:tr>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安保服务费</w:t>
            </w:r>
          </w:p>
        </w:tc>
        <w:tc>
          <w:tcPr>
            <w:tcW w:w="129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both"/>
              <w:rPr>
                <w:rFonts w:ascii="楷体" w:hAnsi="楷体" w:eastAsia="楷体" w:cs="仿宋_GB2312"/>
                <w:i w:val="0"/>
                <w:iCs/>
                <w:color w:val="auto"/>
                <w:szCs w:val="32"/>
              </w:rPr>
            </w:pPr>
            <w:r>
              <w:rPr>
                <w:rFonts w:hint="eastAsia" w:ascii="楷体" w:hAnsi="楷体" w:eastAsia="楷体" w:cs="仿宋_GB2312"/>
                <w:i w:val="0"/>
                <w:iCs/>
                <w:color w:val="auto"/>
                <w:szCs w:val="32"/>
              </w:rPr>
              <w:t>安保岗</w:t>
            </w:r>
          </w:p>
        </w:tc>
        <w:tc>
          <w:tcPr>
            <w:tcW w:w="870"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c>
          <w:tcPr>
            <w:tcW w:w="825" w:type="dxa"/>
            <w:tcBorders>
              <w:top w:val="single" w:color="000000" w:sz="4" w:space="0"/>
              <w:left w:val="single" w:color="auto" w:sz="4" w:space="0"/>
              <w:bottom w:val="single" w:color="000000" w:sz="4" w:space="0"/>
              <w:right w:val="single" w:color="000000" w:sz="4" w:space="0"/>
            </w:tcBorders>
            <w:vAlign w:val="center"/>
          </w:tcPr>
          <w:p>
            <w:pPr>
              <w:adjustRightInd w:val="0"/>
              <w:snapToGrid w:val="0"/>
              <w:spacing w:line="360" w:lineRule="auto"/>
              <w:jc w:val="center"/>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12</w:t>
            </w:r>
          </w:p>
        </w:tc>
        <w:tc>
          <w:tcPr>
            <w:tcW w:w="1425" w:type="dxa"/>
            <w:tcBorders>
              <w:top w:val="single" w:color="000000" w:sz="4" w:space="0"/>
              <w:left w:val="single" w:color="000000" w:sz="4" w:space="0"/>
              <w:bottom w:val="single" w:color="000000" w:sz="4" w:space="0"/>
              <w:right w:val="single" w:color="auto" w:sz="4" w:space="0"/>
            </w:tcBorders>
            <w:vAlign w:val="center"/>
          </w:tcPr>
          <w:p>
            <w:pPr>
              <w:adjustRightInd w:val="0"/>
              <w:snapToGrid w:val="0"/>
              <w:spacing w:line="360" w:lineRule="auto"/>
              <w:jc w:val="center"/>
              <w:rPr>
                <w:rFonts w:ascii="楷体" w:hAnsi="楷体" w:eastAsia="楷体" w:cs="仿宋_GB2312"/>
                <w:i w:val="0"/>
                <w:iCs/>
                <w:color w:val="auto"/>
                <w:szCs w:val="32"/>
              </w:rPr>
            </w:pPr>
          </w:p>
        </w:tc>
        <w:tc>
          <w:tcPr>
            <w:tcW w:w="1545" w:type="dxa"/>
            <w:tcBorders>
              <w:top w:val="single" w:color="000000" w:sz="4" w:space="0"/>
              <w:left w:val="single" w:color="auto" w:sz="4" w:space="0"/>
              <w:bottom w:val="single" w:color="000000" w:sz="4" w:space="0"/>
              <w:right w:val="single" w:color="auto" w:sz="4" w:space="0"/>
            </w:tcBorders>
            <w:vAlign w:val="center"/>
          </w:tcPr>
          <w:p>
            <w:pPr>
              <w:adjustRightInd w:val="0"/>
              <w:snapToGrid w:val="0"/>
              <w:spacing w:line="360" w:lineRule="auto"/>
              <w:jc w:val="center"/>
              <w:rPr>
                <w:rFonts w:ascii="楷体" w:hAnsi="楷体" w:eastAsia="楷体" w:cs="仿宋_GB2312"/>
                <w:i w:val="0"/>
                <w:iCs/>
                <w:color w:val="auto"/>
                <w:szCs w:val="32"/>
              </w:rPr>
            </w:pPr>
          </w:p>
        </w:tc>
        <w:tc>
          <w:tcPr>
            <w:tcW w:w="1920" w:type="dxa"/>
            <w:tcBorders>
              <w:top w:val="single" w:color="000000" w:sz="4" w:space="0"/>
              <w:left w:val="single" w:color="auto"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楷体" w:hAnsi="楷体" w:eastAsia="楷体" w:cs="仿宋_GB2312"/>
                <w:i w:val="0"/>
                <w:iCs/>
                <w:color w:val="auto"/>
                <w:szCs w:val="32"/>
                <w:lang w:val="en-US" w:eastAsia="zh-CN"/>
              </w:rPr>
              <w:t>服务地点：4人在市公司，1人在荣县支公司</w:t>
            </w:r>
          </w:p>
        </w:tc>
      </w:tr>
    </w:tbl>
    <w:p>
      <w:pPr>
        <w:adjustRightInd w:val="0"/>
        <w:snapToGrid w:val="0"/>
        <w:spacing w:line="360" w:lineRule="auto"/>
        <w:rPr>
          <w:rFonts w:ascii="楷体" w:hAnsi="楷体" w:eastAsia="楷体" w:cs="仿宋_GB2312"/>
          <w:i/>
          <w:color w:val="auto"/>
          <w:szCs w:val="32"/>
        </w:rPr>
      </w:pP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注：</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1.涉及需分项报价的</w:t>
      </w:r>
      <w:r>
        <w:rPr>
          <w:rFonts w:hint="eastAsia" w:ascii="楷体" w:hAnsi="楷体" w:eastAsia="楷体" w:cs="仿宋_GB2312"/>
          <w:i/>
          <w:color w:val="auto"/>
          <w:szCs w:val="32"/>
        </w:rPr>
        <w:t>，</w:t>
      </w:r>
      <w:r>
        <w:rPr>
          <w:rFonts w:ascii="楷体" w:hAnsi="楷体" w:eastAsia="楷体" w:cs="仿宋_GB2312"/>
          <w:i/>
          <w:color w:val="auto"/>
          <w:szCs w:val="32"/>
        </w:rPr>
        <w:t>供应商每次报价均需提供本表。</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2.如果按单价计算的结果与总价不一致，以单价为准修正总价。</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3.供应商可根据实际情况自行扩展表格细项。</w:t>
      </w:r>
    </w:p>
    <w:p>
      <w:pPr>
        <w:adjustRightInd w:val="0"/>
        <w:snapToGrid w:val="0"/>
        <w:spacing w:line="360" w:lineRule="auto"/>
        <w:rPr>
          <w:rFonts w:ascii="宋体" w:hAnsi="宋体" w:cs="宋体"/>
          <w:color w:val="auto"/>
        </w:rPr>
      </w:pPr>
    </w:p>
    <w:p>
      <w:pPr>
        <w:adjustRightInd w:val="0"/>
        <w:snapToGrid w:val="0"/>
        <w:spacing w:line="360" w:lineRule="auto"/>
        <w:rPr>
          <w:rFonts w:ascii="宋体" w:hAnsi="宋体" w:cs="宋体"/>
          <w:color w:val="auto"/>
          <w:u w:val="single"/>
        </w:rPr>
      </w:pPr>
      <w:r>
        <w:rPr>
          <w:rFonts w:hint="eastAsia" w:ascii="宋体" w:hAnsi="宋体" w:cs="宋体"/>
          <w:color w:val="auto"/>
        </w:rPr>
        <w:t>授权代表签字并加盖公章</w:t>
      </w:r>
      <w:r>
        <w:rPr>
          <w:rFonts w:hint="eastAsia" w:ascii="宋体" w:hAnsi="宋体" w:cs="宋体"/>
          <w:color w:val="auto"/>
          <w:u w:val="single"/>
        </w:rPr>
        <w:t xml:space="preserve"> </w:t>
      </w:r>
    </w:p>
    <w:p>
      <w:pPr>
        <w:adjustRightInd w:val="0"/>
        <w:snapToGrid w:val="0"/>
        <w:spacing w:line="360" w:lineRule="auto"/>
        <w:rPr>
          <w:rFonts w:ascii="仿宋_GB2312" w:hAnsi="宋体" w:eastAsia="仿宋_GB2312" w:cs="宋体"/>
          <w:color w:val="auto"/>
          <w:sz w:val="28"/>
          <w:szCs w:val="28"/>
        </w:rPr>
      </w:pPr>
      <w:r>
        <w:rPr>
          <w:rFonts w:hint="eastAsia" w:ascii="宋体" w:hAnsi="宋体" w:cs="宋体"/>
          <w:color w:val="auto"/>
        </w:rPr>
        <w:t>日期：</w:t>
      </w:r>
      <w:r>
        <w:rPr>
          <w:rFonts w:hint="eastAsia" w:ascii="宋体" w:hAnsi="宋体" w:cs="宋体"/>
          <w:color w:val="auto"/>
          <w:u w:val="single"/>
        </w:rPr>
        <w:t xml:space="preserve"> </w:t>
      </w:r>
    </w:p>
    <w:p>
      <w:pPr>
        <w:pStyle w:val="2"/>
        <w:rPr>
          <w:rFonts w:ascii="仿宋_GB2312" w:hAnsi="宋体" w:eastAsia="仿宋_GB2312" w:cs="宋体"/>
          <w:color w:val="auto"/>
          <w:sz w:val="28"/>
          <w:szCs w:val="28"/>
        </w:rPr>
      </w:pPr>
    </w:p>
    <w:sectPr>
      <w:footerReference r:id="rId14" w:type="first"/>
      <w:headerReference r:id="rId12" w:type="default"/>
      <w:footerReference r:id="rId13"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819"/>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jc w:val="center"/>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60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rPr>
                              <w:rFonts w:hint="default" w:eastAsiaTheme="minorEastAsia"/>
                              <w:lang w:val="en-US" w:eastAsia="zh-CN"/>
                            </w:rPr>
                          </w:pPr>
                          <w:r>
                            <w:fldChar w:fldCharType="begin"/>
                          </w:r>
                          <w:r>
                            <w:instrText xml:space="preserve"> PAGE  \* MERGEFORMAT </w:instrText>
                          </w:r>
                          <w:r>
                            <w:fldChar w:fldCharType="separate"/>
                          </w:r>
                          <w:r>
                            <w:t>2</w:t>
                          </w:r>
                          <w:r>
                            <w:fldChar w:fldCharType="end"/>
                          </w:r>
                          <w:r>
                            <w:t xml:space="preserve"> / </w:t>
                          </w:r>
                          <w:r>
                            <w:rPr>
                              <w:rFonts w:hint="eastAsia"/>
                              <w:lang w:val="en-US" w:eastAsia="zh-CN"/>
                            </w:rPr>
                            <w:t>72</w:t>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4K9gsIBAACNAwAADgAAAGRycy9lMm9Eb2MueG1srVPNjtMwEL4j8Q6W&#10;79TZHpYq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68pcdziwM8/f5x//Tn//k7e&#10;Zn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eCvYLCAQAAjQMAAA4AAAAAAAAAAQAgAAAAHgEAAGRycy9lMm9Eb2MueG1sUEsF&#10;BgAAAAAGAAYAWQEAAFIFAAAAAA==&#10;">
              <v:fill on="f" focussize="0,0"/>
              <v:stroke on="f"/>
              <v:imagedata o:title=""/>
              <o:lock v:ext="edit" aspectratio="f"/>
              <v:textbox inset="0mm,0mm,0mm,0mm" style="mso-fit-shape-to-text:t;">
                <w:txbxContent>
                  <w:p>
                    <w:pPr>
                      <w:pStyle w:val="19"/>
                      <w:jc w:val="center"/>
                      <w:rPr>
                        <w:rFonts w:hint="default" w:eastAsiaTheme="minorEastAsia"/>
                        <w:lang w:val="en-US" w:eastAsia="zh-CN"/>
                      </w:rPr>
                    </w:pPr>
                    <w:r>
                      <w:fldChar w:fldCharType="begin"/>
                    </w:r>
                    <w:r>
                      <w:instrText xml:space="preserve"> PAGE  \* MERGEFORMAT </w:instrText>
                    </w:r>
                    <w:r>
                      <w:fldChar w:fldCharType="separate"/>
                    </w:r>
                    <w:r>
                      <w:t>2</w:t>
                    </w:r>
                    <w:r>
                      <w:fldChar w:fldCharType="end"/>
                    </w:r>
                    <w:r>
                      <w:t xml:space="preserve"> / </w:t>
                    </w:r>
                    <w:r>
                      <w:rPr>
                        <w:rFonts w:hint="eastAsia"/>
                        <w:lang w:val="en-US" w:eastAsia="zh-CN"/>
                      </w:rPr>
                      <w:t>72</w:t>
                    </w:r>
                  </w:p>
                </w:txbxContent>
              </v:textbox>
            </v:shape>
          </w:pict>
        </mc:Fallback>
      </mc:AlternateContent>
    </w:r>
  </w:p>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default" w:eastAsiaTheme="minorEastAsia"/>
                              <w:lang w:val="en-US" w:eastAsia="zh-CN"/>
                            </w:rPr>
                          </w:pPr>
                          <w:r>
                            <w:fldChar w:fldCharType="begin"/>
                          </w:r>
                          <w:r>
                            <w:instrText xml:space="preserve"> PAGE  \* MERGEFORMAT </w:instrText>
                          </w:r>
                          <w:r>
                            <w:fldChar w:fldCharType="separate"/>
                          </w:r>
                          <w:r>
                            <w:t>1</w:t>
                          </w:r>
                          <w:r>
                            <w:fldChar w:fldCharType="end"/>
                          </w:r>
                          <w:r>
                            <w:t xml:space="preserve"> / </w:t>
                          </w:r>
                          <w:r>
                            <w:rPr>
                              <w:rFonts w:hint="eastAsia"/>
                              <w:lang w:val="en-US" w:eastAsia="zh-CN"/>
                            </w:rPr>
                            <w:t>72</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9"/>
                      <w:rPr>
                        <w:rFonts w:hint="default" w:eastAsiaTheme="minorEastAsia"/>
                        <w:lang w:val="en-US" w:eastAsia="zh-CN"/>
                      </w:rPr>
                    </w:pPr>
                    <w:r>
                      <w:fldChar w:fldCharType="begin"/>
                    </w:r>
                    <w:r>
                      <w:instrText xml:space="preserve"> PAGE  \* MERGEFORMAT </w:instrText>
                    </w:r>
                    <w:r>
                      <w:fldChar w:fldCharType="separate"/>
                    </w:r>
                    <w:r>
                      <w:t>1</w:t>
                    </w:r>
                    <w:r>
                      <w:fldChar w:fldCharType="end"/>
                    </w:r>
                    <w:r>
                      <w:t xml:space="preserve"> / </w:t>
                    </w:r>
                    <w:r>
                      <w:rPr>
                        <w:rFonts w:hint="eastAsia"/>
                        <w:lang w:val="en-US" w:eastAsia="zh-CN"/>
                      </w:rPr>
                      <w:t>72</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posOffset>2769235</wp:posOffset>
              </wp:positionH>
              <wp:positionV relativeFrom="paragraph">
                <wp:posOffset>0</wp:posOffset>
              </wp:positionV>
              <wp:extent cx="511810" cy="26860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511810" cy="268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jc w:val="center"/>
                            <w:rPr>
                              <w:rFonts w:hint="default" w:eastAsiaTheme="minorEastAsia"/>
                              <w:sz w:val="18"/>
                              <w:szCs w:val="18"/>
                              <w:lang w:val="en-US" w:eastAsia="zh-CN"/>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25</w:t>
                          </w:r>
                          <w:r>
                            <w:rPr>
                              <w:sz w:val="18"/>
                              <w:szCs w:val="18"/>
                            </w:rPr>
                            <w:fldChar w:fldCharType="end"/>
                          </w:r>
                          <w:r>
                            <w:rPr>
                              <w:sz w:val="18"/>
                              <w:szCs w:val="18"/>
                            </w:rPr>
                            <w:t xml:space="preserve"> / </w:t>
                          </w:r>
                          <w:r>
                            <w:rPr>
                              <w:rFonts w:hint="eastAsia"/>
                              <w:sz w:val="18"/>
                              <w:szCs w:val="18"/>
                              <w:lang w:val="en-US" w:eastAsia="zh-CN"/>
                            </w:rPr>
                            <w:t>72</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18.05pt;margin-top:0pt;height:21.15pt;width:40.3pt;mso-position-horizontal-relative:margin;z-index:251666432;mso-width-relative:page;mso-height-relative:page;" filled="f" stroked="f" coordsize="21600,21600" o:gfxdata="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iv3ScNYAAAAHAQAADwAAAAAAAAABACAAAAAiAAAAZHJzL2Rvd25yZXYu&#10;eG1sUEsBAhQAFAAAAAgAh07iQK5vW2Y2AgAAYwQAAA4AAAAAAAAAAQAgAAAAJQEAAGRycy9lMm9E&#10;b2MueG1sUEsFBgAAAAAGAAYAWQEAAM0FAAAAAA==&#10;">
              <v:fill on="f" focussize="0,0"/>
              <v:stroke on="f" weight="0.5pt"/>
              <v:imagedata o:title=""/>
              <o:lock v:ext="edit" aspectratio="f"/>
              <v:textbox inset="0mm,0mm,0mm,0mm">
                <w:txbxContent>
                  <w:p>
                    <w:pPr>
                      <w:pStyle w:val="2"/>
                      <w:jc w:val="center"/>
                      <w:rPr>
                        <w:rFonts w:hint="default" w:eastAsiaTheme="minorEastAsia"/>
                        <w:sz w:val="18"/>
                        <w:szCs w:val="18"/>
                        <w:lang w:val="en-US" w:eastAsia="zh-CN"/>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25</w:t>
                    </w:r>
                    <w:r>
                      <w:rPr>
                        <w:sz w:val="18"/>
                        <w:szCs w:val="18"/>
                      </w:rPr>
                      <w:fldChar w:fldCharType="end"/>
                    </w:r>
                    <w:r>
                      <w:rPr>
                        <w:sz w:val="18"/>
                        <w:szCs w:val="18"/>
                      </w:rPr>
                      <w:t xml:space="preserve"> / </w:t>
                    </w:r>
                    <w:r>
                      <w:rPr>
                        <w:rFonts w:hint="eastAsia"/>
                        <w:sz w:val="18"/>
                        <w:szCs w:val="18"/>
                        <w:lang w:val="en-US" w:eastAsia="zh-CN"/>
                      </w:rPr>
                      <w:t>72</w:t>
                    </w:r>
                  </w:p>
                </w:txbxContent>
              </v:textbox>
            </v:shape>
          </w:pict>
        </mc:Fallback>
      </mc:AlternateContent>
    </w:r>
  </w:p>
  <w:p>
    <w:pPr>
      <w:pStyle w:val="1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rPr>
                              <w:rFonts w:hint="default" w:eastAsiaTheme="minorEastAsia"/>
                              <w:lang w:val="en-US" w:eastAsia="zh-CN"/>
                            </w:rPr>
                          </w:pPr>
                          <w:r>
                            <w:fldChar w:fldCharType="begin"/>
                          </w:r>
                          <w:r>
                            <w:instrText xml:space="preserve"> PAGE  \* MERGEFORMAT </w:instrText>
                          </w:r>
                          <w:r>
                            <w:fldChar w:fldCharType="separate"/>
                          </w:r>
                          <w:r>
                            <w:t>45</w:t>
                          </w:r>
                          <w:r>
                            <w:fldChar w:fldCharType="end"/>
                          </w:r>
                          <w:r>
                            <w:t xml:space="preserve"> / </w:t>
                          </w:r>
                          <w:r>
                            <w:rPr>
                              <w:rFonts w:hint="eastAsia"/>
                              <w:lang w:val="en-US" w:eastAsia="zh-CN"/>
                            </w:rPr>
                            <w:t>72</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jc w:val="center"/>
                      <w:rPr>
                        <w:rFonts w:hint="default" w:eastAsiaTheme="minorEastAsia"/>
                        <w:lang w:val="en-US" w:eastAsia="zh-CN"/>
                      </w:rPr>
                    </w:pPr>
                    <w:r>
                      <w:fldChar w:fldCharType="begin"/>
                    </w:r>
                    <w:r>
                      <w:instrText xml:space="preserve"> PAGE  \* MERGEFORMAT </w:instrText>
                    </w:r>
                    <w:r>
                      <w:fldChar w:fldCharType="separate"/>
                    </w:r>
                    <w:r>
                      <w:t>45</w:t>
                    </w:r>
                    <w:r>
                      <w:fldChar w:fldCharType="end"/>
                    </w:r>
                    <w:r>
                      <w:t xml:space="preserve"> / </w:t>
                    </w:r>
                    <w:r>
                      <w:rPr>
                        <w:rFonts w:hint="eastAsia"/>
                        <w:lang w:val="en-US" w:eastAsia="zh-CN"/>
                      </w:rPr>
                      <w:t>72</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default" w:eastAsiaTheme="minorEastAsia"/>
                              <w:lang w:val="en-US" w:eastAsia="zh-CN"/>
                            </w:rPr>
                          </w:pPr>
                          <w:r>
                            <w:fldChar w:fldCharType="begin"/>
                          </w:r>
                          <w:r>
                            <w:instrText xml:space="preserve"> PAGE  \* MERGEFORMAT </w:instrText>
                          </w:r>
                          <w:r>
                            <w:fldChar w:fldCharType="separate"/>
                          </w:r>
                          <w:r>
                            <w:t>44</w:t>
                          </w:r>
                          <w:r>
                            <w:fldChar w:fldCharType="end"/>
                          </w:r>
                          <w:r>
                            <w:t xml:space="preserve"> / </w:t>
                          </w:r>
                          <w:r>
                            <w:rPr>
                              <w:rFonts w:hint="eastAsia"/>
                              <w:lang w:val="en-US" w:eastAsia="zh-CN"/>
                            </w:rPr>
                            <w:t>72</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9"/>
                      <w:rPr>
                        <w:rFonts w:hint="default" w:eastAsiaTheme="minorEastAsia"/>
                        <w:lang w:val="en-US" w:eastAsia="zh-CN"/>
                      </w:rPr>
                    </w:pPr>
                    <w:r>
                      <w:fldChar w:fldCharType="begin"/>
                    </w:r>
                    <w:r>
                      <w:instrText xml:space="preserve"> PAGE  \* MERGEFORMAT </w:instrText>
                    </w:r>
                    <w:r>
                      <w:fldChar w:fldCharType="separate"/>
                    </w:r>
                    <w:r>
                      <w:t>44</w:t>
                    </w:r>
                    <w:r>
                      <w:fldChar w:fldCharType="end"/>
                    </w:r>
                    <w:r>
                      <w:t xml:space="preserve"> / </w:t>
                    </w:r>
                    <w:r>
                      <w:rPr>
                        <w:rFonts w:hint="eastAsia"/>
                        <w:lang w:val="en-US" w:eastAsia="zh-CN"/>
                      </w:rPr>
                      <w:t>72</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3CA6EF6"/>
    <w:rsid w:val="04185058"/>
    <w:rsid w:val="0448465F"/>
    <w:rsid w:val="0569312B"/>
    <w:rsid w:val="0A141145"/>
    <w:rsid w:val="0ACB4877"/>
    <w:rsid w:val="0B5D7625"/>
    <w:rsid w:val="0B783873"/>
    <w:rsid w:val="0B9A0D3F"/>
    <w:rsid w:val="106A30AD"/>
    <w:rsid w:val="12A56222"/>
    <w:rsid w:val="13B40768"/>
    <w:rsid w:val="1411394D"/>
    <w:rsid w:val="15D20655"/>
    <w:rsid w:val="16355B8A"/>
    <w:rsid w:val="17334565"/>
    <w:rsid w:val="173D342E"/>
    <w:rsid w:val="178772D7"/>
    <w:rsid w:val="18146217"/>
    <w:rsid w:val="181D17D0"/>
    <w:rsid w:val="18215304"/>
    <w:rsid w:val="18E402E6"/>
    <w:rsid w:val="19332BB1"/>
    <w:rsid w:val="1A131318"/>
    <w:rsid w:val="1AEC7DBF"/>
    <w:rsid w:val="1D237383"/>
    <w:rsid w:val="1D2D31C7"/>
    <w:rsid w:val="1E4120F0"/>
    <w:rsid w:val="1E4E1F35"/>
    <w:rsid w:val="1F5171F9"/>
    <w:rsid w:val="22A3265D"/>
    <w:rsid w:val="22E20D46"/>
    <w:rsid w:val="232457F5"/>
    <w:rsid w:val="24CF4FC0"/>
    <w:rsid w:val="292532D4"/>
    <w:rsid w:val="2DCE5E88"/>
    <w:rsid w:val="2DF81ACA"/>
    <w:rsid w:val="2E1E70C1"/>
    <w:rsid w:val="2E3461D7"/>
    <w:rsid w:val="318F47DD"/>
    <w:rsid w:val="31FA267C"/>
    <w:rsid w:val="32A521C9"/>
    <w:rsid w:val="340F01C4"/>
    <w:rsid w:val="34425E22"/>
    <w:rsid w:val="362C1207"/>
    <w:rsid w:val="368A54C9"/>
    <w:rsid w:val="37915A99"/>
    <w:rsid w:val="397D76E1"/>
    <w:rsid w:val="3A555EF3"/>
    <w:rsid w:val="3B4C2F55"/>
    <w:rsid w:val="407B3474"/>
    <w:rsid w:val="43EB2F85"/>
    <w:rsid w:val="444B1319"/>
    <w:rsid w:val="451A329F"/>
    <w:rsid w:val="475321A3"/>
    <w:rsid w:val="49226BE6"/>
    <w:rsid w:val="49BE3C06"/>
    <w:rsid w:val="4C46433D"/>
    <w:rsid w:val="4CE70619"/>
    <w:rsid w:val="4D1533C0"/>
    <w:rsid w:val="4FDE0DBE"/>
    <w:rsid w:val="4FDE7696"/>
    <w:rsid w:val="53CC3BF0"/>
    <w:rsid w:val="54A27CC5"/>
    <w:rsid w:val="55553332"/>
    <w:rsid w:val="55D8126B"/>
    <w:rsid w:val="55FE463F"/>
    <w:rsid w:val="56257777"/>
    <w:rsid w:val="5AE1183E"/>
    <w:rsid w:val="5B7D6727"/>
    <w:rsid w:val="5B9A01BB"/>
    <w:rsid w:val="5C5D0552"/>
    <w:rsid w:val="5C605DA8"/>
    <w:rsid w:val="5FE53DC4"/>
    <w:rsid w:val="630D5BC7"/>
    <w:rsid w:val="63936F88"/>
    <w:rsid w:val="652D78AD"/>
    <w:rsid w:val="6936651F"/>
    <w:rsid w:val="6D535020"/>
    <w:rsid w:val="70ED412E"/>
    <w:rsid w:val="7231575F"/>
    <w:rsid w:val="72F47D85"/>
    <w:rsid w:val="746305B1"/>
    <w:rsid w:val="74862811"/>
    <w:rsid w:val="755F7CC3"/>
    <w:rsid w:val="772B54F6"/>
    <w:rsid w:val="77BC5256"/>
    <w:rsid w:val="7913570D"/>
    <w:rsid w:val="7C207132"/>
    <w:rsid w:val="7E0C4E4E"/>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paragraph" w:customStyle="1" w:styleId="84">
    <w:name w:val="普通(网站) Char"/>
    <w:basedOn w:val="1"/>
    <w:qFormat/>
    <w:uiPriority w:val="99"/>
    <w:pPr>
      <w:spacing w:before="100" w:beforeAutospacing="1" w:after="100" w:afterAutospacing="1" w:line="360" w:lineRule="auto"/>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1</TotalTime>
  <ScaleCrop>false</ScaleCrop>
  <LinksUpToDate>false</LinksUpToDate>
  <CharactersWithSpaces>26606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卢思源</cp:lastModifiedBy>
  <cp:lastPrinted>2019-12-03T09:03:00Z</cp:lastPrinted>
  <dcterms:modified xsi:type="dcterms:W3CDTF">2026-09-24T09:16:34Z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D361A68D2AC943AFB0D63FA039FF2108</vt:lpwstr>
  </property>
</Properties>
</file>