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jc w:val="center"/>
        <w:rPr>
          <w:rFonts w:hint="eastAsia" w:ascii="仿宋_GB2312" w:hAnsi="仿宋_GB2312" w:eastAsia="仿宋_GB2312" w:cs="仿宋_GB2312"/>
          <w:b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  <w:lang w:val="en-US" w:eastAsia="zh-CN"/>
        </w:rPr>
        <w:t>人保财险吉林省分公司融信部追偿合作律所项目</w:t>
      </w:r>
    </w:p>
    <w:p>
      <w:pPr>
        <w:spacing w:line="240" w:lineRule="auto"/>
        <w:jc w:val="center"/>
        <w:rPr>
          <w:rFonts w:ascii="宋体" w:hAnsi="宋体" w:cs="宋体"/>
          <w:b/>
          <w:sz w:val="36"/>
          <w:szCs w:val="36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  <w:lang w:val="en-US" w:eastAsia="zh-CN"/>
        </w:rPr>
        <w:t>中标候选人</w:t>
      </w:r>
      <w:r>
        <w:rPr>
          <w:rFonts w:hint="eastAsia" w:ascii="仿宋_GB2312" w:hAnsi="仿宋_GB2312" w:eastAsia="仿宋_GB2312" w:cs="仿宋_GB2312"/>
          <w:b/>
          <w:sz w:val="28"/>
          <w:szCs w:val="28"/>
        </w:rPr>
        <w:t>公示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0" w:firstLineChars="0"/>
        <w:textAlignment w:val="auto"/>
        <w:rPr>
          <w:rFonts w:hint="eastAsia" w:ascii="仿宋_GB2312" w:hAnsi="仿宋_GB2312" w:eastAsia="仿宋_GB2312" w:cs="仿宋_GB2312"/>
          <w:sz w:val="24"/>
          <w:szCs w:val="24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24"/>
          <w:szCs w:val="24"/>
          <w:shd w:val="clear" w:color="auto" w:fill="FFFFFF"/>
          <w:lang w:eastAsia="zh-CN"/>
        </w:rPr>
        <w:t>一</w:t>
      </w:r>
      <w:r>
        <w:rPr>
          <w:rFonts w:hint="eastAsia" w:ascii="仿宋_GB2312" w:hAnsi="仿宋_GB2312" w:eastAsia="仿宋_GB2312" w:cs="仿宋_GB2312"/>
          <w:sz w:val="24"/>
          <w:szCs w:val="24"/>
          <w:shd w:val="clear" w:color="auto" w:fill="FFFFFF"/>
        </w:rPr>
        <w:t>、项目编号：ZKZB-2648041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0" w:firstLineChars="0"/>
        <w:textAlignment w:val="auto"/>
        <w:rPr>
          <w:rFonts w:hint="eastAsia" w:ascii="仿宋_GB2312" w:hAnsi="仿宋_GB2312" w:eastAsia="仿宋_GB2312" w:cs="仿宋_GB2312"/>
          <w:sz w:val="24"/>
          <w:szCs w:val="24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24"/>
          <w:szCs w:val="24"/>
          <w:shd w:val="clear" w:color="auto" w:fill="FFFFFF"/>
          <w:lang w:eastAsia="zh-CN"/>
        </w:rPr>
        <w:t>二</w:t>
      </w:r>
      <w:r>
        <w:rPr>
          <w:rFonts w:hint="eastAsia" w:ascii="仿宋_GB2312" w:hAnsi="仿宋_GB2312" w:eastAsia="仿宋_GB2312" w:cs="仿宋_GB2312"/>
          <w:sz w:val="24"/>
          <w:szCs w:val="24"/>
          <w:shd w:val="clear" w:color="auto" w:fill="FFFFFF"/>
        </w:rPr>
        <w:t>、项目名称：</w:t>
      </w:r>
      <w:r>
        <w:rPr>
          <w:rFonts w:hint="eastAsia" w:ascii="仿宋_GB2312" w:hAnsi="仿宋_GB2312" w:eastAsia="仿宋_GB2312" w:cs="仿宋_GB2312"/>
          <w:sz w:val="24"/>
          <w:szCs w:val="24"/>
          <w:shd w:val="clear" w:color="auto" w:fill="FFFFFF"/>
          <w:lang w:val="en-US" w:eastAsia="zh-CN"/>
        </w:rPr>
        <w:t>人保财险吉林省分公司融信部追偿合作律所项目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0" w:firstLineChars="0"/>
        <w:textAlignment w:val="auto"/>
        <w:rPr>
          <w:rFonts w:hint="eastAsia" w:ascii="仿宋_GB2312" w:hAnsi="仿宋_GB2312" w:eastAsia="仿宋_GB2312" w:cs="仿宋_GB2312"/>
          <w:sz w:val="24"/>
          <w:szCs w:val="24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24"/>
          <w:szCs w:val="24"/>
          <w:shd w:val="clear" w:color="auto" w:fill="FFFFFF"/>
          <w:lang w:eastAsia="zh-CN"/>
        </w:rPr>
        <w:t>三</w:t>
      </w:r>
      <w:r>
        <w:rPr>
          <w:rFonts w:hint="eastAsia" w:ascii="仿宋_GB2312" w:hAnsi="仿宋_GB2312" w:eastAsia="仿宋_GB2312" w:cs="仿宋_GB2312"/>
          <w:sz w:val="24"/>
          <w:szCs w:val="24"/>
          <w:shd w:val="clear" w:color="auto" w:fill="FFFFFF"/>
        </w:rPr>
        <w:t>、</w:t>
      </w:r>
      <w:r>
        <w:rPr>
          <w:rFonts w:hint="eastAsia" w:ascii="仿宋_GB2312" w:hAnsi="仿宋_GB2312" w:eastAsia="仿宋_GB2312" w:cs="仿宋_GB2312"/>
          <w:sz w:val="24"/>
          <w:szCs w:val="24"/>
          <w:shd w:val="clear" w:color="auto" w:fill="FFFFFF"/>
          <w:lang w:val="en-US" w:eastAsia="zh-CN"/>
        </w:rPr>
        <w:t>中标候选人信息</w:t>
      </w:r>
      <w:r>
        <w:rPr>
          <w:rFonts w:hint="eastAsia" w:ascii="仿宋_GB2312" w:hAnsi="仿宋_GB2312" w:eastAsia="仿宋_GB2312" w:cs="仿宋_GB2312"/>
          <w:sz w:val="24"/>
          <w:szCs w:val="24"/>
          <w:shd w:val="clear" w:color="auto" w:fill="FFFFFF"/>
        </w:rPr>
        <w:t>：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标包1：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第一中标候选人：吉林创融律师事务所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地址：长春市宽城区新发路1169号松苑宾馆C座二楼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中标价格：60%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 xml:space="preserve">综合评标得分：66.40 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第二中标候选人：吉林阳光博舟律师事务所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地址：南关区人民大街12166号冠城国际C区（吉商大厦）1#楼911室、912室、913室、914室、915室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中标价格：60%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 xml:space="preserve">综合评标得分：58.00 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第三中标候选人：北京市君泽君（长春）律师事务所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地址：北湖科技开发区龙翔广场吉星大厦13层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中标价格：60%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 xml:space="preserve">综合评标得分：54.50 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标包2：报名投标人不足4家，本标包流标。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标包3：报名投标人不足4家，本标包流标。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标包4：报名投标人不足4家，本标包流标。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标包5：报名投标人不足4家，本标包流标。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标包6：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第一中标候选人：吉林研邺律师事务所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地址：长春市绿园区东风大街6号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中标价格：80%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 xml:space="preserve">综合评标得分：83.60 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第二中标候选人：吉林宁甲律师事务所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地址：松原市宁江区沿江街行政小区2号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中标价格：68%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 xml:space="preserve">综合评标得分：53.20 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第三中标候选人：吉林阳光博舟律师事务所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地址：南关区人民大街12166号冠城国际C区（吉商大厦）1#楼911室、912室、913室、914室、915室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中标价格：80%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 xml:space="preserve">综合评标得分：49.90 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标包7：报名投标人不足4家，本标包流标。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标包8：报名投标人不足4家，本标包流标。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0" w:firstLineChars="0"/>
        <w:textAlignment w:val="auto"/>
        <w:rPr>
          <w:rFonts w:hint="eastAsia" w:ascii="仿宋_GB2312" w:hAnsi="仿宋_GB2312" w:eastAsia="仿宋_GB2312" w:cs="仿宋_GB2312"/>
          <w:sz w:val="24"/>
          <w:szCs w:val="24"/>
          <w:highlight w:val="yellow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highlight w:val="none"/>
          <w:shd w:val="clear" w:color="auto" w:fill="FFFFFF"/>
          <w:lang w:eastAsia="zh-CN"/>
        </w:rPr>
        <w:t>四、主要标的信息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kern w:val="0"/>
          <w:sz w:val="24"/>
          <w:szCs w:val="24"/>
          <w:highlight w:val="none"/>
          <w:lang w:bidi="ar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</w:rPr>
        <w:t>招标范围：</w:t>
      </w:r>
      <w:bookmarkStart w:id="0" w:name="_Hlk69456860"/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</w:rPr>
        <w:t>本项目拟采购</w:t>
      </w:r>
      <w:bookmarkEnd w:id="0"/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</w:rPr>
        <w:t>人保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val="en-US" w:eastAsia="zh-CN"/>
        </w:rPr>
        <w:t>财险</w:t>
      </w: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</w:rPr>
        <w:t>融信部追偿合作律所</w:t>
      </w:r>
      <w:r>
        <w:rPr>
          <w:rFonts w:hint="eastAsia" w:ascii="仿宋_GB2312" w:hAnsi="仿宋_GB2312" w:eastAsia="仿宋_GB2312" w:cs="仿宋_GB2312"/>
          <w:color w:val="000000"/>
          <w:kern w:val="0"/>
          <w:sz w:val="24"/>
          <w:szCs w:val="24"/>
          <w:highlight w:val="none"/>
          <w:lang w:bidi="ar"/>
        </w:rPr>
        <w:t>。</w:t>
      </w: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</w:rPr>
        <w:t>具体内容及要求见招标文件第五章技术规范书</w:t>
      </w:r>
      <w:r>
        <w:rPr>
          <w:rFonts w:hint="eastAsia" w:ascii="仿宋_GB2312" w:hAnsi="仿宋_GB2312" w:eastAsia="仿宋_GB2312" w:cs="仿宋_GB2312"/>
          <w:color w:val="000000"/>
          <w:kern w:val="0"/>
          <w:sz w:val="24"/>
          <w:szCs w:val="24"/>
          <w:highlight w:val="none"/>
          <w:lang w:bidi="ar"/>
        </w:rPr>
        <w:t>。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</w:rPr>
      </w:pPr>
      <w:bookmarkStart w:id="1" w:name="_Hlk69456893"/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</w:rPr>
        <w:t>项目性质：</w:t>
      </w:r>
      <w:r>
        <w:rPr>
          <w:rFonts w:hint="eastAsia" w:ascii="仿宋_GB2312" w:hAnsi="仿宋_GB2312" w:eastAsia="仿宋_GB2312" w:cs="仿宋_GB2312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服务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</w:rPr>
        <w:t>标包划分：本项目划分为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</w:rPr>
        <w:t>个标包</w:t>
      </w:r>
    </w:p>
    <w:tbl>
      <w:tblPr>
        <w:tblStyle w:val="13"/>
        <w:tblW w:w="477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9"/>
        <w:gridCol w:w="3907"/>
        <w:gridCol w:w="1959"/>
        <w:gridCol w:w="21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  <w:jc w:val="center"/>
        </w:trPr>
        <w:tc>
          <w:tcPr>
            <w:tcW w:w="754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标包号</w:t>
            </w:r>
          </w:p>
        </w:tc>
        <w:tc>
          <w:tcPr>
            <w:tcW w:w="207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标包名称</w:t>
            </w:r>
          </w:p>
        </w:tc>
        <w:tc>
          <w:tcPr>
            <w:tcW w:w="1041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标包预算金额（万元）</w:t>
            </w:r>
          </w:p>
        </w:tc>
        <w:tc>
          <w:tcPr>
            <w:tcW w:w="1127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入围供应商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54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标包1</w:t>
            </w:r>
          </w:p>
        </w:tc>
        <w:tc>
          <w:tcPr>
            <w:tcW w:w="2076" w:type="pct"/>
            <w:noWrap w:val="0"/>
            <w:vAlign w:val="center"/>
          </w:tcPr>
          <w:p>
            <w:pPr>
              <w:spacing w:line="360" w:lineRule="auto"/>
              <w:textAlignment w:val="baseline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  <w:t>人保财险吉林省分公司融信部追偿合作律所项目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长春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1041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91</w:t>
            </w:r>
          </w:p>
        </w:tc>
        <w:tc>
          <w:tcPr>
            <w:tcW w:w="1127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54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标包2</w:t>
            </w:r>
          </w:p>
        </w:tc>
        <w:tc>
          <w:tcPr>
            <w:tcW w:w="2076" w:type="pct"/>
            <w:noWrap w:val="0"/>
            <w:vAlign w:val="center"/>
          </w:tcPr>
          <w:p>
            <w:pPr>
              <w:spacing w:line="360" w:lineRule="auto"/>
              <w:textAlignment w:val="baseline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  <w:t>人保财险吉林省分公司融信部追偿合作律所项目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吉林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1041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55</w:t>
            </w:r>
          </w:p>
        </w:tc>
        <w:tc>
          <w:tcPr>
            <w:tcW w:w="1127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54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标包3</w:t>
            </w:r>
          </w:p>
        </w:tc>
        <w:tc>
          <w:tcPr>
            <w:tcW w:w="2076" w:type="pct"/>
            <w:noWrap w:val="0"/>
            <w:vAlign w:val="center"/>
          </w:tcPr>
          <w:p>
            <w:pPr>
              <w:spacing w:line="360" w:lineRule="auto"/>
              <w:textAlignment w:val="baseline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  <w:t>人保财险吉林省分公司融信部追偿合作律所项目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四平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1041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40</w:t>
            </w:r>
          </w:p>
        </w:tc>
        <w:tc>
          <w:tcPr>
            <w:tcW w:w="1127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54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标包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076" w:type="pct"/>
            <w:noWrap w:val="0"/>
            <w:vAlign w:val="center"/>
          </w:tcPr>
          <w:p>
            <w:pPr>
              <w:spacing w:line="360" w:lineRule="auto"/>
              <w:textAlignment w:val="baseline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  <w:t>人保财险吉林省分公司融信部追偿合作律所项目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通化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1041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12</w:t>
            </w:r>
          </w:p>
        </w:tc>
        <w:tc>
          <w:tcPr>
            <w:tcW w:w="1127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54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标包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2076" w:type="pct"/>
            <w:noWrap w:val="0"/>
            <w:vAlign w:val="center"/>
          </w:tcPr>
          <w:p>
            <w:pPr>
              <w:spacing w:line="360" w:lineRule="auto"/>
              <w:textAlignment w:val="baseline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  <w:t>人保财险吉林省分公司融信部追偿合作律所项目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白山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1041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10</w:t>
            </w:r>
          </w:p>
        </w:tc>
        <w:tc>
          <w:tcPr>
            <w:tcW w:w="1127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54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标包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2076" w:type="pct"/>
            <w:noWrap w:val="0"/>
            <w:vAlign w:val="center"/>
          </w:tcPr>
          <w:p>
            <w:pPr>
              <w:spacing w:line="360" w:lineRule="auto"/>
              <w:textAlignment w:val="baseline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  <w:t>人保财险吉林省分公司融信部追偿合作律所项目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松原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1041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27</w:t>
            </w:r>
          </w:p>
        </w:tc>
        <w:tc>
          <w:tcPr>
            <w:tcW w:w="1127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54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标包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2076" w:type="pct"/>
            <w:noWrap w:val="0"/>
            <w:vAlign w:val="center"/>
          </w:tcPr>
          <w:p>
            <w:pPr>
              <w:spacing w:line="360" w:lineRule="auto"/>
              <w:textAlignment w:val="baseline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  <w:t>人保财险吉林省分公司融信部追偿合作律所项目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  <w:lang w:val="en-US" w:eastAsia="zh-CN"/>
              </w:rPr>
              <w:t>白城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1041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11</w:t>
            </w:r>
          </w:p>
        </w:tc>
        <w:tc>
          <w:tcPr>
            <w:tcW w:w="1127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54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标包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2076" w:type="pct"/>
            <w:noWrap w:val="0"/>
            <w:vAlign w:val="center"/>
          </w:tcPr>
          <w:p>
            <w:pPr>
              <w:spacing w:line="360" w:lineRule="auto"/>
              <w:textAlignment w:val="baseline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  <w:t>人保财险吉林省分公司融信部追偿合作律所项目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  <w:lang w:val="en-US" w:eastAsia="zh-CN"/>
              </w:rPr>
              <w:t>延边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1041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38</w:t>
            </w:r>
          </w:p>
        </w:tc>
        <w:tc>
          <w:tcPr>
            <w:tcW w:w="1127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</w:rPr>
              <w:t>个</w:t>
            </w:r>
          </w:p>
        </w:tc>
      </w:tr>
    </w:tbl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</w:rPr>
        <w:t>服务期限：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</w:rPr>
        <w:t>自合同签订之日起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</w:rPr>
        <w:t>年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FF0000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</w:rPr>
        <w:t>服务地点：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val="en-US" w:eastAsia="zh-CN"/>
        </w:rPr>
        <w:t>甲方指定地点</w:t>
      </w:r>
      <w:bookmarkEnd w:id="1"/>
    </w:p>
    <w:p>
      <w:pPr>
        <w:pStyle w:val="12"/>
        <w:ind w:left="0" w:leftChars="0" w:firstLine="480" w:firstLineChars="200"/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</w:rPr>
        <w:t>预算金额：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val="en-US" w:eastAsia="zh-CN"/>
        </w:rPr>
        <w:t>284万元</w:t>
      </w:r>
    </w:p>
    <w:p>
      <w:pPr>
        <w:pStyle w:val="2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val="en-US" w:eastAsia="zh-CN"/>
        </w:rPr>
        <w:t>本项目兼投兼中</w:t>
      </w:r>
    </w:p>
    <w:p>
      <w:pPr>
        <w:pStyle w:val="2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0" w:firstLineChars="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sz w:val="24"/>
          <w:szCs w:val="24"/>
        </w:rPr>
        <w:t>、公告期限</w:t>
      </w:r>
    </w:p>
    <w:p>
      <w:pPr>
        <w:pStyle w:val="2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自本公告发布之日起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24"/>
          <w:szCs w:val="24"/>
        </w:rPr>
        <w:t>个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自然</w:t>
      </w:r>
      <w:r>
        <w:rPr>
          <w:rFonts w:hint="eastAsia" w:ascii="仿宋_GB2312" w:hAnsi="仿宋_GB2312" w:eastAsia="仿宋_GB2312" w:cs="仿宋_GB2312"/>
          <w:sz w:val="24"/>
          <w:szCs w:val="24"/>
        </w:rPr>
        <w:t>日。</w:t>
      </w:r>
    </w:p>
    <w:p>
      <w:pPr>
        <w:pStyle w:val="2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0" w:firstLineChars="0"/>
        <w:textAlignment w:val="auto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六</w:t>
      </w:r>
      <w:r>
        <w:rPr>
          <w:rFonts w:hint="eastAsia" w:ascii="仿宋_GB2312" w:hAnsi="仿宋_GB2312" w:eastAsia="仿宋_GB2312" w:cs="仿宋_GB2312"/>
          <w:sz w:val="24"/>
          <w:szCs w:val="24"/>
        </w:rPr>
        <w:t>、其他补充事宜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：本公告同时在中国采购与招标网（https://www.chinabidding.cn/）、中国招标投标公共服务平台（http://bulletin.cebpubservice.com/）、</w:t>
      </w:r>
      <w:bookmarkStart w:id="2" w:name="_GoBack"/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“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人保e采”外网门户（https://ec.picc.com/）</w:t>
      </w:r>
      <w:bookmarkEnd w:id="2"/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上发布</w:t>
      </w:r>
      <w:r>
        <w:rPr>
          <w:rFonts w:hint="eastAsia" w:ascii="仿宋_GB2312" w:hAnsi="仿宋_GB2312" w:eastAsia="仿宋_GB2312" w:cs="仿宋_GB2312"/>
          <w:sz w:val="24"/>
          <w:szCs w:val="24"/>
        </w:rPr>
        <w:t>，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eastAsia="zh-CN"/>
        </w:rPr>
        <w:t>其他网站转载无效。</w:t>
      </w:r>
      <w:r>
        <w:rPr>
          <w:rFonts w:hint="eastAsia" w:ascii="仿宋_GB2312" w:hAnsi="仿宋_GB2312" w:eastAsia="仿宋_GB2312" w:cs="仿宋_GB2312"/>
          <w:sz w:val="24"/>
          <w:szCs w:val="24"/>
        </w:rPr>
        <w:t>如果本项目的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投标人</w:t>
      </w:r>
      <w:r>
        <w:rPr>
          <w:rFonts w:hint="eastAsia" w:ascii="仿宋_GB2312" w:hAnsi="仿宋_GB2312" w:eastAsia="仿宋_GB2312" w:cs="仿宋_GB2312"/>
          <w:sz w:val="24"/>
          <w:szCs w:val="24"/>
        </w:rPr>
        <w:t>对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中标</w:t>
      </w:r>
      <w:r>
        <w:rPr>
          <w:rFonts w:hint="eastAsia" w:ascii="仿宋_GB2312" w:hAnsi="仿宋_GB2312" w:eastAsia="仿宋_GB2312" w:cs="仿宋_GB2312"/>
          <w:sz w:val="24"/>
          <w:szCs w:val="24"/>
        </w:rPr>
        <w:t>结果有异议，请在公示期内以书面方式向采购代理机构提出质疑。</w:t>
      </w:r>
    </w:p>
    <w:p>
      <w:pPr>
        <w:pStyle w:val="2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0" w:firstLineChars="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七</w:t>
      </w:r>
      <w:r>
        <w:rPr>
          <w:rFonts w:hint="eastAsia" w:ascii="仿宋_GB2312" w:hAnsi="仿宋_GB2312" w:eastAsia="仿宋_GB2312" w:cs="仿宋_GB2312"/>
          <w:sz w:val="24"/>
          <w:szCs w:val="24"/>
        </w:rPr>
        <w:t>、凡对本次公告内容提出询问，请按以下方式联系。</w:t>
      </w:r>
    </w:p>
    <w:p>
      <w:pPr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招标人：中国人民财产保险股份有限公司吉林省分公司</w:t>
      </w:r>
    </w:p>
    <w:p>
      <w:pPr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地址：吉林省长春市朝阳区西安大路402号</w:t>
      </w:r>
    </w:p>
    <w:p>
      <w:pPr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联系人：韩靓</w:t>
      </w:r>
    </w:p>
    <w:p>
      <w:pPr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电话：0431-88901017</w:t>
      </w:r>
    </w:p>
    <w:p>
      <w:pPr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招标代理机构：中科经纬工程技术有限公司</w:t>
      </w:r>
    </w:p>
    <w:p>
      <w:pPr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地址：吉林省长春市高新区光谷大街928号旺豪经贸二楼</w:t>
      </w:r>
    </w:p>
    <w:p>
      <w:pPr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联系人：于海峰、张恒、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杨雪</w:t>
      </w:r>
    </w:p>
    <w:p>
      <w:pPr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电话：0431-80603128、17743184252</w:t>
      </w:r>
    </w:p>
    <w:sectPr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c3MTRkODZhOWM5NDYyNzVjNmIxNWUzYTQ2YWE2Y2IifQ=="/>
  </w:docVars>
  <w:rsids>
    <w:rsidRoot w:val="00BB22AC"/>
    <w:rsid w:val="00006048"/>
    <w:rsid w:val="00023874"/>
    <w:rsid w:val="00025539"/>
    <w:rsid w:val="00042990"/>
    <w:rsid w:val="00091F66"/>
    <w:rsid w:val="000B0705"/>
    <w:rsid w:val="000B552B"/>
    <w:rsid w:val="000F04BE"/>
    <w:rsid w:val="00106152"/>
    <w:rsid w:val="00136258"/>
    <w:rsid w:val="00186CC3"/>
    <w:rsid w:val="001A1BBE"/>
    <w:rsid w:val="001A70D3"/>
    <w:rsid w:val="001B04BA"/>
    <w:rsid w:val="001F03A2"/>
    <w:rsid w:val="001F78A7"/>
    <w:rsid w:val="00200A17"/>
    <w:rsid w:val="00201784"/>
    <w:rsid w:val="00232F53"/>
    <w:rsid w:val="002377CE"/>
    <w:rsid w:val="00293717"/>
    <w:rsid w:val="002C010F"/>
    <w:rsid w:val="002C2043"/>
    <w:rsid w:val="002E7D9D"/>
    <w:rsid w:val="003000B0"/>
    <w:rsid w:val="003273C8"/>
    <w:rsid w:val="00340455"/>
    <w:rsid w:val="00342760"/>
    <w:rsid w:val="003732AF"/>
    <w:rsid w:val="00390BA8"/>
    <w:rsid w:val="003C0BA6"/>
    <w:rsid w:val="00456E3B"/>
    <w:rsid w:val="004B744F"/>
    <w:rsid w:val="004E00AD"/>
    <w:rsid w:val="00526941"/>
    <w:rsid w:val="005424A4"/>
    <w:rsid w:val="00565176"/>
    <w:rsid w:val="00572BE1"/>
    <w:rsid w:val="00573902"/>
    <w:rsid w:val="005802B7"/>
    <w:rsid w:val="00590F1B"/>
    <w:rsid w:val="005C4AE5"/>
    <w:rsid w:val="005D0FC5"/>
    <w:rsid w:val="005F4674"/>
    <w:rsid w:val="006029F3"/>
    <w:rsid w:val="00640B62"/>
    <w:rsid w:val="0065042C"/>
    <w:rsid w:val="006816B0"/>
    <w:rsid w:val="00683F67"/>
    <w:rsid w:val="00686D8B"/>
    <w:rsid w:val="00691629"/>
    <w:rsid w:val="006C5C89"/>
    <w:rsid w:val="0071180B"/>
    <w:rsid w:val="00730411"/>
    <w:rsid w:val="00733DBF"/>
    <w:rsid w:val="007B2BFA"/>
    <w:rsid w:val="007B490A"/>
    <w:rsid w:val="007B7687"/>
    <w:rsid w:val="007C247A"/>
    <w:rsid w:val="007F07B8"/>
    <w:rsid w:val="007F49B7"/>
    <w:rsid w:val="007F4B6B"/>
    <w:rsid w:val="00826A77"/>
    <w:rsid w:val="008434DE"/>
    <w:rsid w:val="008753A7"/>
    <w:rsid w:val="0090035F"/>
    <w:rsid w:val="00907B94"/>
    <w:rsid w:val="00927DF5"/>
    <w:rsid w:val="009659D6"/>
    <w:rsid w:val="009863BF"/>
    <w:rsid w:val="00992BA5"/>
    <w:rsid w:val="00992E38"/>
    <w:rsid w:val="009A44F0"/>
    <w:rsid w:val="009F3AA6"/>
    <w:rsid w:val="009F505C"/>
    <w:rsid w:val="00A541EE"/>
    <w:rsid w:val="00A671BA"/>
    <w:rsid w:val="00AE4B84"/>
    <w:rsid w:val="00AE5D05"/>
    <w:rsid w:val="00B34714"/>
    <w:rsid w:val="00B36B84"/>
    <w:rsid w:val="00B3784E"/>
    <w:rsid w:val="00B5087B"/>
    <w:rsid w:val="00B5615D"/>
    <w:rsid w:val="00B57871"/>
    <w:rsid w:val="00B7797F"/>
    <w:rsid w:val="00B86EC8"/>
    <w:rsid w:val="00B92006"/>
    <w:rsid w:val="00B97B9A"/>
    <w:rsid w:val="00BA6FCA"/>
    <w:rsid w:val="00BB22AC"/>
    <w:rsid w:val="00BC1F90"/>
    <w:rsid w:val="00BE0970"/>
    <w:rsid w:val="00C07FF7"/>
    <w:rsid w:val="00C23397"/>
    <w:rsid w:val="00C47615"/>
    <w:rsid w:val="00C53894"/>
    <w:rsid w:val="00C66954"/>
    <w:rsid w:val="00CB48F1"/>
    <w:rsid w:val="00CC2463"/>
    <w:rsid w:val="00CD1CE7"/>
    <w:rsid w:val="00CD55A4"/>
    <w:rsid w:val="00CE02CA"/>
    <w:rsid w:val="00CE409C"/>
    <w:rsid w:val="00CF699E"/>
    <w:rsid w:val="00D01893"/>
    <w:rsid w:val="00D32121"/>
    <w:rsid w:val="00D80A36"/>
    <w:rsid w:val="00D84DAB"/>
    <w:rsid w:val="00D86F51"/>
    <w:rsid w:val="00D92409"/>
    <w:rsid w:val="00DC21C1"/>
    <w:rsid w:val="00E03578"/>
    <w:rsid w:val="00E52891"/>
    <w:rsid w:val="00E65485"/>
    <w:rsid w:val="00E91F70"/>
    <w:rsid w:val="00EE0CEB"/>
    <w:rsid w:val="00EF2346"/>
    <w:rsid w:val="00F2641C"/>
    <w:rsid w:val="00F55BBE"/>
    <w:rsid w:val="00F5648D"/>
    <w:rsid w:val="00F8014B"/>
    <w:rsid w:val="00F8166E"/>
    <w:rsid w:val="00F83063"/>
    <w:rsid w:val="00FB2116"/>
    <w:rsid w:val="027E46C5"/>
    <w:rsid w:val="02964F4F"/>
    <w:rsid w:val="02B2788E"/>
    <w:rsid w:val="038C0543"/>
    <w:rsid w:val="04395D8B"/>
    <w:rsid w:val="06867E1B"/>
    <w:rsid w:val="0A0D0E47"/>
    <w:rsid w:val="0B534BF0"/>
    <w:rsid w:val="0CC05555"/>
    <w:rsid w:val="0D8C5A6B"/>
    <w:rsid w:val="0E176739"/>
    <w:rsid w:val="0E5C0771"/>
    <w:rsid w:val="0E611053"/>
    <w:rsid w:val="0F615DD3"/>
    <w:rsid w:val="104971DB"/>
    <w:rsid w:val="10C23DD5"/>
    <w:rsid w:val="11151F8E"/>
    <w:rsid w:val="11B12911"/>
    <w:rsid w:val="11BE0D3C"/>
    <w:rsid w:val="125515DD"/>
    <w:rsid w:val="13580BCE"/>
    <w:rsid w:val="14C550A6"/>
    <w:rsid w:val="150A331A"/>
    <w:rsid w:val="150F308F"/>
    <w:rsid w:val="16D0318C"/>
    <w:rsid w:val="1AA478B1"/>
    <w:rsid w:val="1B2B3823"/>
    <w:rsid w:val="1B706345"/>
    <w:rsid w:val="1C243530"/>
    <w:rsid w:val="1D425752"/>
    <w:rsid w:val="1DB7670C"/>
    <w:rsid w:val="1DF22FBF"/>
    <w:rsid w:val="1ECE21AD"/>
    <w:rsid w:val="20580C17"/>
    <w:rsid w:val="20BD6CCC"/>
    <w:rsid w:val="231725B3"/>
    <w:rsid w:val="24A53323"/>
    <w:rsid w:val="25206499"/>
    <w:rsid w:val="253435AD"/>
    <w:rsid w:val="25815CE1"/>
    <w:rsid w:val="25886182"/>
    <w:rsid w:val="25F029F1"/>
    <w:rsid w:val="275216B3"/>
    <w:rsid w:val="29CB0808"/>
    <w:rsid w:val="2AE02342"/>
    <w:rsid w:val="30976150"/>
    <w:rsid w:val="317734AF"/>
    <w:rsid w:val="33995903"/>
    <w:rsid w:val="33A742FB"/>
    <w:rsid w:val="35780FE6"/>
    <w:rsid w:val="35D83652"/>
    <w:rsid w:val="363E7489"/>
    <w:rsid w:val="36B67D9E"/>
    <w:rsid w:val="36DF4F43"/>
    <w:rsid w:val="376B702A"/>
    <w:rsid w:val="37961082"/>
    <w:rsid w:val="38361521"/>
    <w:rsid w:val="39DF3CFF"/>
    <w:rsid w:val="3B96663F"/>
    <w:rsid w:val="3BB50648"/>
    <w:rsid w:val="3CBE5C89"/>
    <w:rsid w:val="3CF00854"/>
    <w:rsid w:val="3F8878DA"/>
    <w:rsid w:val="3FBC2FEE"/>
    <w:rsid w:val="423B0570"/>
    <w:rsid w:val="435A03CF"/>
    <w:rsid w:val="44093E52"/>
    <w:rsid w:val="468D149A"/>
    <w:rsid w:val="47D125FE"/>
    <w:rsid w:val="486506F1"/>
    <w:rsid w:val="4B5736F5"/>
    <w:rsid w:val="4B881442"/>
    <w:rsid w:val="4BA601E1"/>
    <w:rsid w:val="4CC83EBF"/>
    <w:rsid w:val="4CF431C6"/>
    <w:rsid w:val="4CF65520"/>
    <w:rsid w:val="4D377F3D"/>
    <w:rsid w:val="4D430F74"/>
    <w:rsid w:val="4E1407FF"/>
    <w:rsid w:val="4F833B63"/>
    <w:rsid w:val="4FCB46B2"/>
    <w:rsid w:val="50835A1F"/>
    <w:rsid w:val="51E732F9"/>
    <w:rsid w:val="52B66E3F"/>
    <w:rsid w:val="53E408B7"/>
    <w:rsid w:val="552A4739"/>
    <w:rsid w:val="55F05EBA"/>
    <w:rsid w:val="5621604A"/>
    <w:rsid w:val="563B4D17"/>
    <w:rsid w:val="56441610"/>
    <w:rsid w:val="573A7EA1"/>
    <w:rsid w:val="58010880"/>
    <w:rsid w:val="58C640C5"/>
    <w:rsid w:val="5B8E2E9F"/>
    <w:rsid w:val="5C09364D"/>
    <w:rsid w:val="5CBC3AE1"/>
    <w:rsid w:val="5E1C0D8A"/>
    <w:rsid w:val="5E5B064C"/>
    <w:rsid w:val="5E96244E"/>
    <w:rsid w:val="5EB13F4E"/>
    <w:rsid w:val="607B7C4C"/>
    <w:rsid w:val="61121EEC"/>
    <w:rsid w:val="61504A17"/>
    <w:rsid w:val="61FC4B9F"/>
    <w:rsid w:val="63AE222A"/>
    <w:rsid w:val="63B339E1"/>
    <w:rsid w:val="63B67B56"/>
    <w:rsid w:val="667D456B"/>
    <w:rsid w:val="687903D7"/>
    <w:rsid w:val="68DA4420"/>
    <w:rsid w:val="69725DFC"/>
    <w:rsid w:val="6A7D6F7B"/>
    <w:rsid w:val="6B1D2A9A"/>
    <w:rsid w:val="6C235F8F"/>
    <w:rsid w:val="700E2F27"/>
    <w:rsid w:val="712A1B06"/>
    <w:rsid w:val="72AD33F5"/>
    <w:rsid w:val="72C526C1"/>
    <w:rsid w:val="73394D71"/>
    <w:rsid w:val="73510D4F"/>
    <w:rsid w:val="74085625"/>
    <w:rsid w:val="747E61BE"/>
    <w:rsid w:val="75823824"/>
    <w:rsid w:val="765D0F81"/>
    <w:rsid w:val="766A5C10"/>
    <w:rsid w:val="788A6CE8"/>
    <w:rsid w:val="7B5C027E"/>
    <w:rsid w:val="7C817D22"/>
    <w:rsid w:val="7E616E36"/>
    <w:rsid w:val="7EAC651B"/>
    <w:rsid w:val="7EFA509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qFormat="1" w:unhideWhenUsed="0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paragraph" w:styleId="5">
    <w:name w:val="heading 3"/>
    <w:basedOn w:val="1"/>
    <w:next w:val="1"/>
    <w:qFormat/>
    <w:uiPriority w:val="9"/>
    <w:pPr>
      <w:spacing w:before="120" w:after="120" w:line="17" w:lineRule="atLeast"/>
      <w:jc w:val="left"/>
      <w:outlineLvl w:val="2"/>
    </w:pPr>
    <w:rPr>
      <w:rFonts w:hint="eastAsia" w:ascii="宋体" w:hAnsi="宋体" w:eastAsia="仿宋"/>
      <w:b/>
      <w:kern w:val="0"/>
      <w:sz w:val="24"/>
      <w:szCs w:val="36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next w:val="3"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styleId="3">
    <w:name w:val="Date"/>
    <w:basedOn w:val="1"/>
    <w:next w:val="1"/>
    <w:qFormat/>
    <w:uiPriority w:val="0"/>
    <w:pPr>
      <w:ind w:left="100" w:leftChars="2500"/>
    </w:pPr>
  </w:style>
  <w:style w:type="paragraph" w:styleId="6">
    <w:name w:val="Normal Indent"/>
    <w:basedOn w:val="1"/>
    <w:qFormat/>
    <w:uiPriority w:val="0"/>
    <w:pPr>
      <w:widowControl/>
      <w:ind w:firstLine="420"/>
      <w:jc w:val="center"/>
    </w:pPr>
    <w:rPr>
      <w:b/>
      <w:kern w:val="0"/>
      <w:sz w:val="44"/>
      <w:szCs w:val="20"/>
    </w:rPr>
  </w:style>
  <w:style w:type="paragraph" w:styleId="7">
    <w:name w:val="Body Text"/>
    <w:basedOn w:val="1"/>
    <w:next w:val="1"/>
    <w:unhideWhenUsed/>
    <w:qFormat/>
    <w:uiPriority w:val="99"/>
    <w:pPr>
      <w:spacing w:after="120"/>
    </w:pPr>
  </w:style>
  <w:style w:type="paragraph" w:styleId="8">
    <w:name w:val="Body Text Indent"/>
    <w:basedOn w:val="1"/>
    <w:next w:val="1"/>
    <w:qFormat/>
    <w:uiPriority w:val="0"/>
    <w:pPr>
      <w:spacing w:after="120"/>
      <w:ind w:left="420" w:leftChars="200"/>
    </w:pPr>
    <w:rPr>
      <w:kern w:val="0"/>
      <w:sz w:val="20"/>
    </w:rPr>
  </w:style>
  <w:style w:type="paragraph" w:styleId="9">
    <w:name w:val="footer"/>
    <w:basedOn w:val="1"/>
    <w:link w:val="2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itle"/>
    <w:basedOn w:val="1"/>
    <w:next w:val="1"/>
    <w:qFormat/>
    <w:uiPriority w:val="0"/>
    <w:pPr>
      <w:adjustRightInd w:val="0"/>
      <w:spacing w:before="240" w:after="60" w:line="420" w:lineRule="atLeast"/>
      <w:jc w:val="center"/>
      <w:textAlignment w:val="baseline"/>
      <w:outlineLvl w:val="0"/>
    </w:pPr>
    <w:rPr>
      <w:rFonts w:ascii="Arial" w:hAnsi="Arial" w:cs="Arial"/>
      <w:b/>
      <w:kern w:val="0"/>
      <w:sz w:val="32"/>
    </w:rPr>
  </w:style>
  <w:style w:type="paragraph" w:styleId="12">
    <w:name w:val="Body Text First Indent 2"/>
    <w:basedOn w:val="8"/>
    <w:next w:val="1"/>
    <w:qFormat/>
    <w:uiPriority w:val="99"/>
    <w:pPr>
      <w:ind w:firstLine="624"/>
    </w:pPr>
    <w:rPr>
      <w:rFonts w:ascii="Calibri" w:hAnsi="Calibri"/>
    </w:rPr>
  </w:style>
  <w:style w:type="table" w:styleId="14">
    <w:name w:val="Table Grid"/>
    <w:basedOn w:val="1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FollowedHyperlink"/>
    <w:basedOn w:val="15"/>
    <w:semiHidden/>
    <w:unhideWhenUsed/>
    <w:qFormat/>
    <w:uiPriority w:val="99"/>
    <w:rPr>
      <w:color w:val="800080"/>
      <w:u w:val="none"/>
    </w:rPr>
  </w:style>
  <w:style w:type="character" w:styleId="17">
    <w:name w:val="Emphasis"/>
    <w:basedOn w:val="15"/>
    <w:qFormat/>
    <w:uiPriority w:val="20"/>
    <w:rPr>
      <w:i/>
      <w:iCs/>
    </w:rPr>
  </w:style>
  <w:style w:type="character" w:styleId="18">
    <w:name w:val="HTML Definition"/>
    <w:basedOn w:val="15"/>
    <w:semiHidden/>
    <w:unhideWhenUsed/>
    <w:qFormat/>
    <w:uiPriority w:val="99"/>
  </w:style>
  <w:style w:type="character" w:styleId="19">
    <w:name w:val="HTML Variable"/>
    <w:basedOn w:val="15"/>
    <w:semiHidden/>
    <w:unhideWhenUsed/>
    <w:qFormat/>
    <w:uiPriority w:val="99"/>
  </w:style>
  <w:style w:type="character" w:styleId="20">
    <w:name w:val="Hyperlink"/>
    <w:basedOn w:val="15"/>
    <w:semiHidden/>
    <w:unhideWhenUsed/>
    <w:qFormat/>
    <w:uiPriority w:val="99"/>
    <w:rPr>
      <w:color w:val="0000FF"/>
      <w:u w:val="none"/>
    </w:rPr>
  </w:style>
  <w:style w:type="character" w:styleId="21">
    <w:name w:val="HTML Code"/>
    <w:basedOn w:val="15"/>
    <w:semiHidden/>
    <w:unhideWhenUsed/>
    <w:qFormat/>
    <w:uiPriority w:val="99"/>
    <w:rPr>
      <w:rFonts w:ascii="Courier New" w:hAnsi="Courier New"/>
      <w:vanish/>
      <w:sz w:val="20"/>
    </w:rPr>
  </w:style>
  <w:style w:type="character" w:styleId="22">
    <w:name w:val="HTML Cite"/>
    <w:basedOn w:val="15"/>
    <w:semiHidden/>
    <w:unhideWhenUsed/>
    <w:qFormat/>
    <w:uiPriority w:val="99"/>
  </w:style>
  <w:style w:type="paragraph" w:customStyle="1" w:styleId="23">
    <w:name w:val="无间隔1"/>
    <w:qFormat/>
    <w:uiPriority w:val="1"/>
    <w:rPr>
      <w:rFonts w:ascii="Times New Roman" w:hAnsi="Times New Roman" w:eastAsia="宋体" w:cs="Times New Roman"/>
      <w:sz w:val="22"/>
      <w:lang w:val="en-US" w:eastAsia="zh-CN" w:bidi="ar-SA"/>
    </w:rPr>
  </w:style>
  <w:style w:type="paragraph" w:customStyle="1" w:styleId="24">
    <w:name w:val="Heading1"/>
    <w:basedOn w:val="1"/>
    <w:next w:val="1"/>
    <w:qFormat/>
    <w:uiPriority w:val="0"/>
    <w:pPr>
      <w:keepNext/>
      <w:keepLines/>
      <w:spacing w:line="240" w:lineRule="auto"/>
      <w:jc w:val="center"/>
      <w:textAlignment w:val="baseline"/>
    </w:pPr>
    <w:rPr>
      <w:rFonts w:ascii="Calibri" w:hAnsi="Calibri" w:eastAsia="宋体"/>
      <w:b/>
      <w:spacing w:val="20"/>
      <w:kern w:val="44"/>
      <w:sz w:val="32"/>
      <w:szCs w:val="24"/>
      <w:lang w:val="en-US" w:eastAsia="zh-CN" w:bidi="ar-SA"/>
    </w:rPr>
  </w:style>
  <w:style w:type="paragraph" w:customStyle="1" w:styleId="25">
    <w:name w:val="列出段落1"/>
    <w:basedOn w:val="1"/>
    <w:qFormat/>
    <w:uiPriority w:val="0"/>
    <w:pPr>
      <w:ind w:firstLine="420" w:firstLineChars="200"/>
    </w:pPr>
    <w:rPr>
      <w:rFonts w:ascii="Calibri" w:hAnsi="Calibri"/>
      <w:szCs w:val="22"/>
    </w:rPr>
  </w:style>
  <w:style w:type="character" w:customStyle="1" w:styleId="26">
    <w:name w:val="页眉 Char"/>
    <w:basedOn w:val="15"/>
    <w:link w:val="10"/>
    <w:qFormat/>
    <w:uiPriority w:val="99"/>
    <w:rPr>
      <w:sz w:val="18"/>
      <w:szCs w:val="18"/>
    </w:rPr>
  </w:style>
  <w:style w:type="character" w:customStyle="1" w:styleId="27">
    <w:name w:val="页脚 Char"/>
    <w:basedOn w:val="15"/>
    <w:link w:val="9"/>
    <w:qFormat/>
    <w:uiPriority w:val="99"/>
    <w:rPr>
      <w:sz w:val="18"/>
      <w:szCs w:val="18"/>
    </w:rPr>
  </w:style>
  <w:style w:type="paragraph" w:customStyle="1" w:styleId="28">
    <w:name w:val="p0"/>
    <w:qFormat/>
    <w:uiPriority w:val="0"/>
    <w:pPr>
      <w:spacing w:before="100" w:beforeAutospacing="1" w:after="100" w:afterAutospacing="1"/>
    </w:pPr>
    <w:rPr>
      <w:rFonts w:ascii="宋体" w:hAnsi="宋体" w:cs="宋体" w:eastAsiaTheme="minorEastAsia"/>
      <w:kern w:val="2"/>
      <w:sz w:val="24"/>
      <w:szCs w:val="22"/>
      <w:lang w:val="en-US" w:eastAsia="zh-CN" w:bidi="ar-SA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3</Pages>
  <Words>1197</Words>
  <Characters>1386</Characters>
  <Lines>6</Lines>
  <Paragraphs>1</Paragraphs>
  <TotalTime>15</TotalTime>
  <ScaleCrop>false</ScaleCrop>
  <LinksUpToDate>false</LinksUpToDate>
  <CharactersWithSpaces>1392</CharactersWithSpaces>
  <Application>WPS Office_11.8.2.12086_F1E327BC-269C-435d-A152-05C5408002CA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2019-04-23T08:37:00Z</dcterms:created>
  <dc:creator>NTKO</dc:creator>
  <cp:lastModifiedBy>韩靓</cp:lastModifiedBy>
  <cp:lastPrinted>2020-05-06T00:25:00Z</cp:lastPrinted>
  <dcterms:modified xsi:type="dcterms:W3CDTF">2026-09-30T00:38:33Z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2052-11.8.2.12086</vt:lpwstr>
  </property>
  <property fmtid="{D5CDD505-2E9C-101B-9397-08002B2CF9AE}" pid="3" name="ICV">
    <vt:lpwstr>D8D40B3E8EE946A2B29A0BCC957D9A21_13</vt:lpwstr>
  </property>
  <property fmtid="{D5CDD505-2E9C-101B-9397-08002B2CF9AE}" pid="4" name="KSOTemplateDocerSaveRecord">
    <vt:lpwstr>eyJoZGlkIjoiODA3NDJkZjRhMDgxMmFiZDVhYTI4NDc0MjhiYWNjODEiLCJ1c2VySWQiOiIxMzM2NDM1MDgwIn0=</vt:lpwstr>
  </property>
</Properties>
</file>