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lang w:eastAsia="zh-CN"/>
        </w:rPr>
        <w:t>人保财险綦江支公司食堂外包项目</w:t>
      </w:r>
      <w:r>
        <w:rPr>
          <w:rFonts w:hint="eastAsia" w:ascii="仿宋" w:hAnsi="仿宋" w:eastAsia="仿宋" w:cs="仿宋"/>
          <w:bCs w:val="0"/>
          <w:color w:val="auto"/>
          <w:sz w:val="28"/>
          <w:szCs w:val="28"/>
          <w:highlight w:val="none"/>
        </w:rPr>
        <w:t>竞争性磋商公告</w:t>
      </w:r>
    </w:p>
    <w:p>
      <w:pPr>
        <w:wordWrap w:val="0"/>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eastAsia="zh-CN"/>
        </w:rPr>
        <w:t>人保财险綦江支公司食堂外包项目</w:t>
      </w:r>
      <w:r>
        <w:rPr>
          <w:rFonts w:hint="eastAsia" w:ascii="仿宋" w:hAnsi="仿宋" w:eastAsia="仿宋" w:cs="仿宋"/>
          <w:color w:val="auto"/>
          <w:sz w:val="24"/>
          <w:highlight w:val="none"/>
        </w:rPr>
        <w:t>（采购代理项目编号：</w:t>
      </w:r>
      <w:r>
        <w:rPr>
          <w:rFonts w:hint="eastAsia" w:ascii="仿宋" w:hAnsi="仿宋" w:eastAsia="仿宋" w:cs="仿宋"/>
          <w:color w:val="auto"/>
          <w:sz w:val="24"/>
          <w:highlight w:val="none"/>
          <w:u w:val="single"/>
        </w:rPr>
        <w:t>ZTFZB-CQ-2026-</w:t>
      </w:r>
      <w:r>
        <w:rPr>
          <w:rFonts w:hint="eastAsia" w:ascii="仿宋" w:hAnsi="仿宋" w:eastAsia="仿宋" w:cs="仿宋"/>
          <w:color w:val="auto"/>
          <w:sz w:val="24"/>
          <w:highlight w:val="none"/>
          <w:u w:val="single"/>
          <w:lang w:val="en-US" w:eastAsia="zh-CN"/>
        </w:rPr>
        <w:t xml:space="preserve">055 </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eastAsia="zh-CN"/>
        </w:rPr>
        <w:t>中国人民财产保险股份有限公司綦江支公司</w:t>
      </w:r>
      <w:r>
        <w:rPr>
          <w:rFonts w:hint="eastAsia" w:ascii="仿宋" w:hAnsi="仿宋" w:eastAsia="仿宋" w:cs="仿宋"/>
          <w:color w:val="auto"/>
          <w:sz w:val="24"/>
          <w:highlight w:val="none"/>
        </w:rPr>
        <w:t>（以下简称“采购人”）批准并落实资金，组织本项目的磋商工作，采购合同由</w:t>
      </w:r>
      <w:r>
        <w:rPr>
          <w:rFonts w:hint="eastAsia" w:ascii="仿宋" w:hAnsi="仿宋" w:eastAsia="仿宋" w:cs="仿宋"/>
          <w:color w:val="auto"/>
          <w:sz w:val="24"/>
          <w:highlight w:val="none"/>
          <w:u w:val="single"/>
          <w:lang w:eastAsia="zh-CN"/>
        </w:rPr>
        <w:t>中国人民财产保险股份有限公司綦江支公司</w:t>
      </w:r>
      <w:r>
        <w:rPr>
          <w:rFonts w:hint="eastAsia" w:ascii="仿宋" w:hAnsi="仿宋" w:eastAsia="仿宋" w:cs="仿宋"/>
          <w:color w:val="auto"/>
          <w:sz w:val="24"/>
          <w:highlight w:val="none"/>
        </w:rPr>
        <w:t>（以下简称“</w:t>
      </w:r>
      <w:r>
        <w:rPr>
          <w:rFonts w:hint="eastAsia" w:ascii="仿宋" w:hAnsi="仿宋" w:eastAsia="仿宋" w:cs="仿宋"/>
          <w:color w:val="auto"/>
          <w:sz w:val="24"/>
          <w:highlight w:val="none"/>
          <w:lang w:eastAsia="zh-CN"/>
        </w:rPr>
        <w:t>人保财险</w:t>
      </w:r>
      <w:r>
        <w:rPr>
          <w:rFonts w:hint="eastAsia" w:ascii="仿宋" w:hAnsi="仿宋" w:eastAsia="仿宋" w:cs="仿宋"/>
          <w:color w:val="auto"/>
          <w:sz w:val="24"/>
          <w:highlight w:val="none"/>
          <w:lang w:val="en-US" w:eastAsia="zh-CN"/>
        </w:rPr>
        <w:t>綦江支</w:t>
      </w:r>
      <w:r>
        <w:rPr>
          <w:rFonts w:hint="eastAsia" w:ascii="仿宋" w:hAnsi="仿宋" w:eastAsia="仿宋" w:cs="仿宋"/>
          <w:color w:val="auto"/>
          <w:sz w:val="24"/>
          <w:highlight w:val="none"/>
          <w:lang w:eastAsia="zh-CN"/>
        </w:rPr>
        <w:t>公司</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 xml:space="preserve">中通服项目管理咨询有限公司 </w:t>
      </w:r>
      <w:r>
        <w:rPr>
          <w:rFonts w:hint="eastAsia" w:ascii="仿宋" w:hAnsi="仿宋" w:eastAsia="仿宋" w:cs="仿宋"/>
          <w:color w:val="auto"/>
          <w:sz w:val="24"/>
          <w:highlight w:val="none"/>
        </w:rPr>
        <w:t xml:space="preserve">（以下简称“采购代理机构”）进行公开竞争性磋商，有意向且具有提供标的物能力的潜在供应商（以下简称“供应商”）可前来参与磋商响应。 </w:t>
      </w:r>
    </w:p>
    <w:p>
      <w:pPr>
        <w:pStyle w:val="3"/>
        <w:ind w:firstLine="0" w:firstLineChars="0"/>
        <w:jc w:val="left"/>
        <w:rPr>
          <w:rFonts w:hint="eastAsia" w:ascii="仿宋" w:hAnsi="仿宋" w:eastAsia="仿宋" w:cs="仿宋"/>
          <w:color w:val="auto"/>
          <w:sz w:val="24"/>
          <w:szCs w:val="24"/>
          <w:highlight w:val="none"/>
        </w:rPr>
      </w:pPr>
      <w:bookmarkStart w:id="0" w:name="_Toc6156"/>
      <w:bookmarkStart w:id="1" w:name="_Toc13499"/>
      <w:bookmarkStart w:id="2" w:name="_Toc11545"/>
      <w:bookmarkStart w:id="3" w:name="_Toc21237"/>
      <w:bookmarkStart w:id="4" w:name="_Toc29611"/>
      <w:bookmarkStart w:id="5" w:name="_Toc22313"/>
      <w:r>
        <w:rPr>
          <w:rFonts w:hint="eastAsia" w:ascii="仿宋" w:hAnsi="仿宋" w:eastAsia="仿宋" w:cs="仿宋"/>
          <w:color w:val="auto"/>
          <w:sz w:val="24"/>
          <w:szCs w:val="24"/>
          <w:highlight w:val="none"/>
        </w:rPr>
        <w:t>一、项目概况与采购范围</w:t>
      </w:r>
      <w:bookmarkEnd w:id="0"/>
      <w:bookmarkEnd w:id="1"/>
      <w:bookmarkEnd w:id="2"/>
      <w:bookmarkEnd w:id="3"/>
      <w:bookmarkEnd w:id="4"/>
      <w:bookmarkEnd w:id="5"/>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u w:val="single"/>
          <w:lang w:eastAsia="zh-CN"/>
        </w:rPr>
        <w:t>人保财险綦江支公司食堂外包项目</w:t>
      </w:r>
      <w:r>
        <w:rPr>
          <w:rFonts w:hint="eastAsia" w:ascii="仿宋" w:hAnsi="仿宋" w:eastAsia="仿宋" w:cs="仿宋"/>
          <w:color w:val="auto"/>
          <w:sz w:val="24"/>
          <w:highlight w:val="none"/>
        </w:rPr>
        <w:t>。</w:t>
      </w:r>
      <w:bookmarkStart w:id="42" w:name="_GoBack"/>
      <w:bookmarkEnd w:id="42"/>
    </w:p>
    <w:p>
      <w:pPr>
        <w:adjustRightInd w:val="0"/>
        <w:snapToGrid w:val="0"/>
        <w:spacing w:line="360" w:lineRule="auto"/>
        <w:ind w:firstLine="480" w:firstLineChars="200"/>
        <w:jc w:val="left"/>
        <w:rPr>
          <w:rFonts w:hint="eastAsia" w:ascii="仿宋" w:hAnsi="仿宋" w:eastAsia="仿宋" w:cs="仿宋"/>
          <w:b w:val="0"/>
          <w:bCs w:val="0"/>
          <w:color w:val="auto"/>
          <w:sz w:val="24"/>
          <w:highlight w:val="none"/>
        </w:rPr>
      </w:pPr>
      <w:r>
        <w:rPr>
          <w:rFonts w:hint="eastAsia" w:ascii="仿宋" w:hAnsi="仿宋" w:eastAsia="仿宋" w:cs="仿宋"/>
          <w:color w:val="auto"/>
          <w:sz w:val="24"/>
          <w:highlight w:val="none"/>
        </w:rPr>
        <w:t>1.2 采购范围：</w:t>
      </w:r>
      <w:r>
        <w:rPr>
          <w:rFonts w:hint="eastAsia" w:ascii="仿宋" w:hAnsi="仿宋" w:eastAsia="仿宋" w:cs="仿宋"/>
          <w:b w:val="0"/>
          <w:bCs w:val="0"/>
          <w:color w:val="auto"/>
          <w:sz w:val="24"/>
          <w:highlight w:val="none"/>
        </w:rPr>
        <w:t>拟通过竞争性磋商的方式</w:t>
      </w:r>
      <w:r>
        <w:rPr>
          <w:rFonts w:hint="eastAsia" w:ascii="仿宋" w:hAnsi="仿宋" w:eastAsia="仿宋" w:cs="仿宋"/>
          <w:b w:val="0"/>
          <w:bCs w:val="0"/>
          <w:color w:val="auto"/>
          <w:sz w:val="24"/>
          <w:highlight w:val="none"/>
          <w:lang w:eastAsia="zh-CN"/>
        </w:rPr>
        <w:t>选取</w:t>
      </w:r>
      <w:r>
        <w:rPr>
          <w:rFonts w:hint="eastAsia" w:ascii="仿宋" w:hAnsi="仿宋" w:eastAsia="仿宋" w:cs="仿宋"/>
          <w:b w:val="0"/>
          <w:bCs w:val="0"/>
          <w:color w:val="auto"/>
          <w:sz w:val="24"/>
          <w:highlight w:val="none"/>
          <w:lang w:val="en-US" w:eastAsia="zh-CN"/>
        </w:rPr>
        <w:t>1家</w:t>
      </w:r>
      <w:r>
        <w:rPr>
          <w:rFonts w:hint="eastAsia" w:ascii="仿宋" w:hAnsi="仿宋" w:eastAsia="仿宋" w:cs="仿宋"/>
          <w:b w:val="0"/>
          <w:bCs w:val="0"/>
          <w:color w:val="auto"/>
          <w:kern w:val="2"/>
          <w:sz w:val="24"/>
          <w:szCs w:val="24"/>
          <w:highlight w:val="none"/>
          <w:lang w:val="en-US" w:eastAsia="zh-CN"/>
        </w:rPr>
        <w:t>供应</w:t>
      </w:r>
      <w:r>
        <w:rPr>
          <w:rFonts w:hint="eastAsia" w:ascii="仿宋" w:hAnsi="仿宋" w:eastAsia="仿宋" w:cs="仿宋"/>
          <w:b w:val="0"/>
          <w:bCs w:val="0"/>
          <w:color w:val="auto"/>
          <w:sz w:val="24"/>
          <w:highlight w:val="none"/>
          <w:lang w:val="en-US" w:eastAsia="zh-CN"/>
        </w:rPr>
        <w:t>商为采购人专业的食堂外包采购服务</w:t>
      </w:r>
      <w:r>
        <w:rPr>
          <w:rFonts w:hint="eastAsia" w:ascii="仿宋" w:hAnsi="仿宋" w:eastAsia="仿宋" w:cs="仿宋"/>
          <w:i w:val="0"/>
          <w:iCs w:val="0"/>
          <w:color w:val="auto"/>
          <w:kern w:val="2"/>
          <w:sz w:val="24"/>
          <w:szCs w:val="24"/>
          <w:highlight w:val="none"/>
          <w:lang w:val="en-US" w:eastAsia="zh-CN"/>
        </w:rPr>
        <w:t>。</w:t>
      </w:r>
      <w:r>
        <w:rPr>
          <w:rFonts w:hint="eastAsia" w:ascii="仿宋" w:hAnsi="仿宋" w:eastAsia="仿宋" w:cs="仿宋"/>
          <w:color w:val="auto"/>
          <w:sz w:val="24"/>
          <w:szCs w:val="24"/>
          <w:highlight w:val="none"/>
          <w:lang w:eastAsia="zh-CN"/>
        </w:rPr>
        <w:t>采购预算金额合计</w:t>
      </w:r>
      <w:r>
        <w:rPr>
          <w:rFonts w:hint="eastAsia" w:ascii="仿宋" w:hAnsi="仿宋" w:eastAsia="仿宋" w:cs="仿宋"/>
          <w:color w:val="auto"/>
          <w:sz w:val="24"/>
          <w:szCs w:val="24"/>
          <w:highlight w:val="none"/>
          <w:lang w:val="en-US" w:eastAsia="zh-CN"/>
        </w:rPr>
        <w:t>100万（含税），</w:t>
      </w:r>
      <w:r>
        <w:rPr>
          <w:rFonts w:hint="eastAsia" w:ascii="仿宋" w:hAnsi="仿宋" w:eastAsia="仿宋" w:cs="仿宋"/>
          <w:b w:val="0"/>
          <w:bCs w:val="0"/>
          <w:color w:val="auto"/>
          <w:sz w:val="24"/>
          <w:highlight w:val="none"/>
        </w:rPr>
        <w:t>具体技术要求详见第五章采购需求。</w:t>
      </w:r>
    </w:p>
    <w:p>
      <w:pPr>
        <w:adjustRightInd w:val="0"/>
        <w:snapToGrid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 标包划分：</w:t>
      </w:r>
      <w:r>
        <w:rPr>
          <w:rFonts w:hint="eastAsia" w:ascii="仿宋" w:hAnsi="仿宋" w:eastAsia="仿宋" w:cs="仿宋"/>
          <w:color w:val="auto"/>
          <w:sz w:val="24"/>
          <w:highlight w:val="none"/>
          <w:lang w:eastAsia="zh-CN"/>
        </w:rPr>
        <w:t>不划分标包。</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1.4 项目性质：服务。</w:t>
      </w:r>
    </w:p>
    <w:p>
      <w:pPr>
        <w:adjustRightInd w:val="0"/>
        <w:snapToGrid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1.5服务期限：自合同签订之日起</w:t>
      </w:r>
      <w:r>
        <w:rPr>
          <w:rFonts w:hint="eastAsia" w:ascii="仿宋" w:hAnsi="仿宋" w:eastAsia="仿宋" w:cs="仿宋"/>
          <w:color w:val="auto"/>
          <w:sz w:val="24"/>
          <w:highlight w:val="none"/>
          <w:lang w:val="en-US" w:eastAsia="zh-CN"/>
        </w:rPr>
        <w:t>2年</w:t>
      </w:r>
      <w:r>
        <w:rPr>
          <w:rFonts w:hint="eastAsia" w:ascii="仿宋" w:hAnsi="仿宋" w:eastAsia="仿宋" w:cs="仿宋"/>
          <w:color w:val="auto"/>
          <w:sz w:val="24"/>
          <w:highlight w:val="none"/>
          <w:lang w:eastAsia="zh-CN"/>
        </w:rPr>
        <w:t>，具体以合同签订为准。</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1.6服务地点：</w:t>
      </w:r>
      <w:r>
        <w:rPr>
          <w:rFonts w:hint="eastAsia" w:ascii="仿宋" w:hAnsi="仿宋" w:eastAsia="仿宋" w:cs="仿宋"/>
          <w:color w:val="auto"/>
          <w:sz w:val="24"/>
          <w:highlight w:val="none"/>
          <w:lang w:eastAsia="zh-CN"/>
        </w:rPr>
        <w:t>采购人指定地点</w:t>
      </w:r>
      <w:r>
        <w:rPr>
          <w:rFonts w:hint="eastAsia" w:ascii="仿宋" w:hAnsi="仿宋" w:eastAsia="仿宋" w:cs="仿宋"/>
          <w:color w:val="auto"/>
          <w:sz w:val="24"/>
          <w:highlight w:val="none"/>
        </w:rPr>
        <w:t>。</w:t>
      </w:r>
    </w:p>
    <w:p>
      <w:pPr>
        <w:pStyle w:val="3"/>
        <w:ind w:firstLine="0" w:firstLineChars="0"/>
        <w:jc w:val="left"/>
        <w:rPr>
          <w:rFonts w:hint="eastAsia" w:ascii="仿宋" w:hAnsi="仿宋" w:eastAsia="仿宋" w:cs="仿宋"/>
          <w:color w:val="auto"/>
          <w:sz w:val="24"/>
          <w:szCs w:val="24"/>
          <w:highlight w:val="none"/>
        </w:rPr>
      </w:pPr>
      <w:bookmarkStart w:id="6" w:name="_Toc18935"/>
      <w:bookmarkStart w:id="7" w:name="_Toc2880"/>
      <w:bookmarkStart w:id="8" w:name="_Toc21295"/>
      <w:bookmarkStart w:id="9" w:name="_Toc11052"/>
      <w:bookmarkStart w:id="10" w:name="_Toc11501"/>
      <w:bookmarkStart w:id="11" w:name="_Toc17569"/>
      <w:r>
        <w:rPr>
          <w:rFonts w:hint="eastAsia" w:ascii="仿宋" w:hAnsi="仿宋" w:eastAsia="仿宋" w:cs="仿宋"/>
          <w:color w:val="auto"/>
          <w:sz w:val="24"/>
          <w:szCs w:val="24"/>
          <w:highlight w:val="none"/>
        </w:rPr>
        <w:t>二、供应商资格要求</w:t>
      </w:r>
      <w:bookmarkEnd w:id="6"/>
      <w:bookmarkEnd w:id="7"/>
      <w:bookmarkEnd w:id="8"/>
      <w:bookmarkEnd w:id="9"/>
      <w:bookmarkEnd w:id="10"/>
      <w:bookmarkEnd w:id="11"/>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bookmarkStart w:id="12" w:name="_Toc28263"/>
      <w:bookmarkStart w:id="13" w:name="_Toc10622"/>
      <w:bookmarkStart w:id="14" w:name="_Toc20210"/>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eastAsia="zh-CN"/>
        </w:rPr>
        <w:t>基本资格条件：</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zh-CN" w:eastAsia="zh-CN"/>
        </w:rPr>
        <w:t>1.</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eastAsia="zh-CN"/>
        </w:rPr>
        <w:t>在中华人民共和国境内依法登记的法人或其他组织，具有独立承担民事责任的能力。供应商如为企业法人，须提供企业法人营业执照（提供复印件加盖公章）；供应商如为事业单位或其他组织，须提供事业单位法人证书或登记证或组织机构代码证或其他有效证明文件（提供复印件加盖公章）。</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eastAsia="zh-CN"/>
        </w:rPr>
        <w:t>2具有良好的商业信誉和健全的财务会计制度，供应商提供“基本资格条件承诺函”。</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1.3</w:t>
      </w:r>
      <w:r>
        <w:rPr>
          <w:rFonts w:hint="eastAsia" w:ascii="仿宋" w:hAnsi="仿宋" w:eastAsia="仿宋" w:cs="仿宋"/>
          <w:color w:val="auto"/>
          <w:sz w:val="24"/>
          <w:highlight w:val="none"/>
          <w:lang w:val="zh-CN" w:eastAsia="zh-CN"/>
        </w:rPr>
        <w:t>具有履行合同所必需的设备和专业技术能力，供应商提供“基本资格条件承诺函”。</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lang w:val="zh-CN" w:eastAsia="zh-CN"/>
        </w:rPr>
        <w:t>具有依法缴纳税收和社会保障资金的良好记录，供应商提供“基本资格条件承诺函”。</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lang w:val="zh-CN" w:eastAsia="zh-CN"/>
        </w:rPr>
        <w:t>参加采购活动前三年内，在经营活动中没有重大违法记录，供应商提供“基本资格条件承诺函”。</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1.6</w:t>
      </w:r>
      <w:r>
        <w:rPr>
          <w:rFonts w:hint="eastAsia" w:ascii="仿宋" w:hAnsi="仿宋" w:eastAsia="仿宋" w:cs="仿宋"/>
          <w:color w:val="auto"/>
          <w:sz w:val="24"/>
          <w:highlight w:val="none"/>
          <w:lang w:val="zh-CN" w:eastAsia="zh-CN"/>
        </w:rPr>
        <w:t>未被列入在信用中国网站（www.creditchina.gov.cn）或中国执行信息公开网（https://zxgk.court.gov.cn/）失信被执行人、重大税收违法案件当事人名单及政府采购严重违法失信行为记录名单中，供应商提供“基本资格条件承诺函”。</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1.7</w:t>
      </w:r>
      <w:r>
        <w:rPr>
          <w:rFonts w:hint="eastAsia" w:ascii="仿宋" w:hAnsi="仿宋" w:eastAsia="仿宋" w:cs="仿宋"/>
          <w:color w:val="auto"/>
          <w:sz w:val="24"/>
          <w:highlight w:val="none"/>
          <w:lang w:val="zh-CN" w:eastAsia="zh-CN"/>
        </w:rPr>
        <w:t>严禁列入采购人及其所隶属的中国人民保险各级机构的供应商黑名单且在禁入期内的供应商参与投标活动，提供承诺书。</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1.8</w:t>
      </w:r>
      <w:r>
        <w:rPr>
          <w:rFonts w:hint="eastAsia" w:ascii="仿宋" w:hAnsi="仿宋" w:eastAsia="仿宋" w:cs="仿宋"/>
          <w:color w:val="auto"/>
          <w:sz w:val="24"/>
          <w:highlight w:val="none"/>
          <w:lang w:val="zh-CN" w:eastAsia="zh-CN"/>
        </w:rPr>
        <w:t>单位负责人为同一人或存在控股、管理关系的不同单位，不得参加同一标段/标包</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lang w:val="zh-CN" w:eastAsia="zh-CN"/>
        </w:rPr>
        <w:t>或未划分标段/标包的同一磋商项目响应，需填写《供应商控股及管理关系情况申报表》。</w:t>
      </w:r>
    </w:p>
    <w:p>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1.9</w:t>
      </w:r>
      <w:r>
        <w:rPr>
          <w:rFonts w:hint="eastAsia" w:ascii="仿宋" w:hAnsi="仿宋" w:eastAsia="仿宋" w:cs="仿宋"/>
          <w:color w:val="auto"/>
          <w:sz w:val="24"/>
          <w:highlight w:val="none"/>
          <w:lang w:val="zh-CN" w:eastAsia="zh-CN"/>
        </w:rPr>
        <w:t>本项目不接受联合体磋商。</w:t>
      </w:r>
    </w:p>
    <w:p>
      <w:pPr>
        <w:adjustRightInd w:val="0"/>
        <w:snapToGrid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zh-CN" w:eastAsia="zh-CN"/>
        </w:rPr>
        <w:t>特殊资格条件：供应商</w:t>
      </w:r>
      <w:r>
        <w:rPr>
          <w:rFonts w:hint="eastAsia" w:ascii="仿宋" w:hAnsi="仿宋" w:eastAsia="仿宋" w:cs="仿宋"/>
          <w:color w:val="auto"/>
          <w:sz w:val="24"/>
          <w:highlight w:val="none"/>
          <w:lang w:val="en-US" w:eastAsia="zh-CN"/>
        </w:rPr>
        <w:t>需具备有效的《食品经营许可证》（提供证书复印件加盖公章）。</w:t>
      </w:r>
    </w:p>
    <w:p>
      <w:pPr>
        <w:pStyle w:val="3"/>
        <w:spacing w:after="240"/>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三、资格审查方法</w:t>
      </w:r>
      <w:bookmarkEnd w:id="12"/>
      <w:bookmarkEnd w:id="13"/>
      <w:bookmarkEnd w:id="14"/>
    </w:p>
    <w:p>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pPr>
        <w:pStyle w:val="3"/>
        <w:spacing w:after="240"/>
        <w:ind w:firstLine="0" w:firstLineChars="0"/>
        <w:jc w:val="left"/>
        <w:rPr>
          <w:rFonts w:hint="eastAsia" w:ascii="仿宋" w:hAnsi="仿宋" w:eastAsia="仿宋" w:cs="仿宋"/>
          <w:color w:val="auto"/>
          <w:sz w:val="24"/>
          <w:szCs w:val="24"/>
          <w:highlight w:val="none"/>
        </w:rPr>
      </w:pPr>
      <w:bookmarkStart w:id="15" w:name="_Toc29267"/>
      <w:bookmarkStart w:id="16" w:name="_Toc19043"/>
      <w:bookmarkStart w:id="17" w:name="_Toc14462"/>
      <w:bookmarkStart w:id="18" w:name="_Toc2266"/>
      <w:bookmarkStart w:id="19" w:name="_Toc1639"/>
      <w:bookmarkStart w:id="20" w:name="_Toc2019"/>
      <w:r>
        <w:rPr>
          <w:rFonts w:hint="eastAsia" w:ascii="仿宋" w:hAnsi="仿宋" w:eastAsia="仿宋" w:cs="仿宋"/>
          <w:color w:val="auto"/>
          <w:sz w:val="24"/>
          <w:szCs w:val="24"/>
          <w:highlight w:val="none"/>
        </w:rPr>
        <w:t>四、磋商文件的获取</w:t>
      </w:r>
      <w:bookmarkEnd w:id="15"/>
      <w:bookmarkEnd w:id="16"/>
      <w:bookmarkEnd w:id="17"/>
      <w:bookmarkEnd w:id="18"/>
      <w:bookmarkEnd w:id="19"/>
      <w:bookmarkEnd w:id="20"/>
    </w:p>
    <w:p>
      <w:pPr>
        <w:pStyle w:val="9"/>
        <w:adjustRightInd w:val="0"/>
        <w:snapToGrid w:val="0"/>
        <w:ind w:firstLineChars="175"/>
        <w:jc w:val="left"/>
        <w:rPr>
          <w:rFonts w:hint="eastAsia" w:ascii="仿宋" w:hAnsi="仿宋" w:eastAsia="仿宋" w:cs="仿宋"/>
          <w:color w:val="FF0000"/>
          <w:sz w:val="24"/>
          <w:szCs w:val="24"/>
          <w:highlight w:val="none"/>
        </w:rPr>
      </w:pPr>
      <w:r>
        <w:rPr>
          <w:rFonts w:hint="eastAsia" w:ascii="仿宋" w:hAnsi="仿宋" w:eastAsia="仿宋" w:cs="仿宋"/>
          <w:color w:val="000000"/>
          <w:sz w:val="24"/>
          <w:szCs w:val="24"/>
          <w:highlight w:val="none"/>
        </w:rPr>
        <w:t>4.1磋商文件获取时间</w:t>
      </w:r>
      <w:r>
        <w:rPr>
          <w:rFonts w:hint="eastAsia" w:ascii="仿宋" w:hAnsi="仿宋" w:eastAsia="仿宋" w:cs="仿宋"/>
          <w:sz w:val="24"/>
          <w:szCs w:val="24"/>
          <w:highlight w:val="none"/>
        </w:rPr>
        <w:t>：</w:t>
      </w:r>
      <w:r>
        <w:rPr>
          <w:rFonts w:hint="eastAsia" w:ascii="仿宋" w:hAnsi="仿宋" w:eastAsia="仿宋" w:cs="仿宋"/>
          <w:b/>
          <w:sz w:val="24"/>
          <w:szCs w:val="24"/>
          <w:highlight w:val="none"/>
          <w:u w:val="single"/>
        </w:rPr>
        <w:t>202</w:t>
      </w:r>
      <w:r>
        <w:rPr>
          <w:rFonts w:hint="eastAsia" w:ascii="仿宋" w:hAnsi="仿宋" w:eastAsia="仿宋" w:cs="仿宋"/>
          <w:b/>
          <w:sz w:val="24"/>
          <w:szCs w:val="24"/>
          <w:highlight w:val="none"/>
          <w:u w:val="single"/>
          <w:lang w:val="en-US" w:eastAsia="zh-CN"/>
        </w:rPr>
        <w:t>6</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10</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10</w:t>
      </w:r>
      <w:r>
        <w:rPr>
          <w:rFonts w:hint="eastAsia" w:ascii="仿宋" w:hAnsi="仿宋" w:eastAsia="仿宋" w:cs="仿宋"/>
          <w:b/>
          <w:sz w:val="24"/>
          <w:szCs w:val="24"/>
          <w:highlight w:val="none"/>
          <w:u w:val="single"/>
        </w:rPr>
        <w:t>日</w:t>
      </w:r>
      <w:r>
        <w:rPr>
          <w:rFonts w:hint="eastAsia" w:ascii="仿宋" w:hAnsi="仿宋" w:eastAsia="仿宋" w:cs="仿宋"/>
          <w:b/>
          <w:sz w:val="24"/>
          <w:szCs w:val="24"/>
          <w:highlight w:val="none"/>
          <w:u w:val="single"/>
          <w:lang w:val="en-US" w:eastAsia="zh-CN"/>
        </w:rPr>
        <w:t>9:00</w:t>
      </w:r>
      <w:r>
        <w:rPr>
          <w:rFonts w:hint="eastAsia" w:ascii="仿宋" w:hAnsi="仿宋" w:eastAsia="仿宋" w:cs="仿宋"/>
          <w:b/>
          <w:sz w:val="24"/>
          <w:szCs w:val="24"/>
          <w:highlight w:val="none"/>
          <w:u w:val="single"/>
        </w:rPr>
        <w:t>时</w:t>
      </w:r>
      <w:r>
        <w:rPr>
          <w:rFonts w:hint="eastAsia" w:ascii="仿宋" w:hAnsi="仿宋" w:eastAsia="仿宋" w:cs="仿宋"/>
          <w:b/>
          <w:sz w:val="24"/>
          <w:szCs w:val="24"/>
          <w:highlight w:val="none"/>
        </w:rPr>
        <w:t>至</w:t>
      </w:r>
      <w:r>
        <w:rPr>
          <w:rFonts w:hint="eastAsia" w:ascii="仿宋" w:hAnsi="仿宋" w:eastAsia="仿宋" w:cs="仿宋"/>
          <w:b/>
          <w:sz w:val="24"/>
          <w:szCs w:val="24"/>
          <w:highlight w:val="none"/>
          <w:u w:val="single"/>
        </w:rPr>
        <w:t>202</w:t>
      </w:r>
      <w:r>
        <w:rPr>
          <w:rFonts w:hint="eastAsia" w:ascii="仿宋" w:hAnsi="仿宋" w:eastAsia="仿宋" w:cs="仿宋"/>
          <w:b/>
          <w:sz w:val="24"/>
          <w:szCs w:val="24"/>
          <w:highlight w:val="none"/>
          <w:u w:val="single"/>
          <w:lang w:val="en-US" w:eastAsia="zh-CN"/>
        </w:rPr>
        <w:t>6</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10</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13</w:t>
      </w:r>
      <w:r>
        <w:rPr>
          <w:rFonts w:hint="eastAsia" w:ascii="仿宋" w:hAnsi="仿宋" w:eastAsia="仿宋" w:cs="仿宋"/>
          <w:b/>
          <w:sz w:val="24"/>
          <w:szCs w:val="24"/>
          <w:highlight w:val="none"/>
          <w:u w:val="single"/>
        </w:rPr>
        <w:t>日</w:t>
      </w:r>
      <w:r>
        <w:rPr>
          <w:rFonts w:hint="eastAsia" w:ascii="仿宋" w:hAnsi="仿宋" w:eastAsia="仿宋" w:cs="仿宋"/>
          <w:b/>
          <w:sz w:val="24"/>
          <w:szCs w:val="24"/>
          <w:highlight w:val="none"/>
          <w:u w:val="single"/>
          <w:lang w:val="en-US" w:eastAsia="zh-CN"/>
        </w:rPr>
        <w:t>18:00</w:t>
      </w:r>
      <w:r>
        <w:rPr>
          <w:rFonts w:hint="eastAsia" w:ascii="仿宋" w:hAnsi="仿宋" w:eastAsia="仿宋" w:cs="仿宋"/>
          <w:b/>
          <w:sz w:val="24"/>
          <w:szCs w:val="24"/>
          <w:highlight w:val="none"/>
          <w:u w:val="single"/>
        </w:rPr>
        <w:t>时</w:t>
      </w:r>
      <w:r>
        <w:rPr>
          <w:rFonts w:hint="eastAsia" w:ascii="仿宋" w:hAnsi="仿宋" w:eastAsia="仿宋" w:cs="仿宋"/>
          <w:sz w:val="24"/>
          <w:szCs w:val="24"/>
          <w:highlight w:val="none"/>
        </w:rPr>
        <w:t>（北京时间，下同）。</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4.2拟报名参加本项目的供应商磋商文件获取方式：</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（1）方式：网上发售，</w:t>
      </w:r>
      <w:r>
        <w:rPr>
          <w:rFonts w:hint="eastAsia" w:ascii="仿宋" w:hAnsi="仿宋" w:eastAsia="仿宋" w:cs="仿宋"/>
          <w:color w:val="000000"/>
          <w:sz w:val="24"/>
          <w:highlight w:val="none"/>
          <w:lang w:val="en-US" w:eastAsia="zh-CN"/>
        </w:rPr>
        <w:t>将</w:t>
      </w:r>
      <w:r>
        <w:rPr>
          <w:rFonts w:hint="eastAsia" w:ascii="仿宋" w:hAnsi="仿宋" w:eastAsia="仿宋" w:cs="仿宋"/>
          <w:color w:val="000000"/>
          <w:sz w:val="24"/>
          <w:highlight w:val="none"/>
          <w:lang w:eastAsia="zh-CN"/>
        </w:rPr>
        <w:t>报名</w:t>
      </w:r>
      <w:r>
        <w:rPr>
          <w:rFonts w:hint="eastAsia" w:ascii="仿宋" w:hAnsi="仿宋" w:eastAsia="仿宋" w:cs="仿宋"/>
          <w:color w:val="000000"/>
          <w:sz w:val="24"/>
          <w:highlight w:val="none"/>
        </w:rPr>
        <w:t>表</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见附件</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和转款凭证发送至</w:t>
      </w:r>
      <w:r>
        <w:rPr>
          <w:rFonts w:hint="eastAsia" w:ascii="仿宋" w:hAnsi="仿宋" w:eastAsia="仿宋" w:cs="仿宋"/>
          <w:sz w:val="24"/>
          <w:szCs w:val="24"/>
          <w:highlight w:val="none"/>
          <w:lang w:eastAsia="zh-CN"/>
        </w:rPr>
        <w:t>15213022486@139.com</w:t>
      </w:r>
      <w:r>
        <w:rPr>
          <w:rFonts w:hint="eastAsia" w:ascii="仿宋" w:hAnsi="仿宋" w:eastAsia="仿宋" w:cs="仿宋"/>
          <w:color w:val="000000"/>
          <w:sz w:val="24"/>
          <w:highlight w:val="none"/>
        </w:rPr>
        <w:t>邮箱。</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）采购文件每套售价</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00元，售后不退。</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3</w:t>
      </w:r>
      <w:r>
        <w:rPr>
          <w:rFonts w:hint="eastAsia" w:ascii="仿宋" w:hAnsi="仿宋" w:eastAsia="仿宋" w:cs="仿宋"/>
          <w:color w:val="000000"/>
          <w:sz w:val="24"/>
          <w:highlight w:val="none"/>
        </w:rPr>
        <w:t>）报名费收费信息：</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账户名:中通服项目管理咨询有限公司</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开户银行:招商银行股份有限公司长沙广电支行</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银行账户:7319</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0611</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9910</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677</w:t>
      </w:r>
    </w:p>
    <w:p>
      <w:pPr>
        <w:pStyle w:val="4"/>
        <w:spacing w:line="360" w:lineRule="auto"/>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注:以个人名义付款的，须在付款凭证备注栏中注明单位名称（或简称）+项目编号或项目简称+文件费，如果是单位付款的，必须在付款凭证备注栏中注明项目编号或项目简称+文件费，不接受支付宝、ATM机等不能显示前述信息的付款方式。</w:t>
      </w:r>
    </w:p>
    <w:p>
      <w:pPr>
        <w:pStyle w:val="4"/>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供应商报名时须如实填写项目信息及供应商信息，如信息有变更请于报名截止时间前书面通知代理机构进行变更登记，如因供应商提供的信息错误导致对其参加的采购活动有影响，后果由供应商自行承担。</w:t>
      </w:r>
    </w:p>
    <w:p>
      <w:pPr>
        <w:pStyle w:val="4"/>
        <w:numPr>
          <w:ilvl w:val="-1"/>
          <w:numId w:val="0"/>
        </w:numPr>
        <w:wordWrap w:val="0"/>
        <w:spacing w:line="360" w:lineRule="auto"/>
        <w:ind w:firstLine="480" w:firstLineChars="20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为保证本项目信息采集，请参与项目的潜在</w:t>
      </w: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先登录人保e采外网门户(https://ec.picc.com/)申请注册</w:t>
      </w:r>
      <w:r>
        <w:rPr>
          <w:rFonts w:hint="eastAsia" w:ascii="仿宋" w:hAnsi="仿宋" w:eastAsia="仿宋" w:cs="仿宋"/>
          <w:color w:val="000000"/>
          <w:sz w:val="24"/>
          <w:highlight w:val="none"/>
          <w:lang w:eastAsia="zh-CN"/>
        </w:rPr>
        <w:t>入</w:t>
      </w:r>
      <w:r>
        <w:rPr>
          <w:rFonts w:hint="eastAsia" w:ascii="仿宋" w:hAnsi="仿宋" w:eastAsia="仿宋" w:cs="仿宋"/>
          <w:color w:val="000000"/>
          <w:sz w:val="24"/>
          <w:highlight w:val="none"/>
        </w:rPr>
        <w:t>库。人保e采管理系统供应商注册</w:t>
      </w:r>
      <w:r>
        <w:rPr>
          <w:rFonts w:hint="eastAsia" w:ascii="仿宋" w:hAnsi="仿宋" w:eastAsia="仿宋" w:cs="仿宋"/>
          <w:color w:val="000000"/>
          <w:sz w:val="24"/>
          <w:highlight w:val="none"/>
          <w:lang w:eastAsia="zh-CN"/>
        </w:rPr>
        <w:t>入</w:t>
      </w:r>
      <w:r>
        <w:rPr>
          <w:rFonts w:hint="eastAsia" w:ascii="仿宋" w:hAnsi="仿宋" w:eastAsia="仿宋" w:cs="仿宋"/>
          <w:color w:val="000000"/>
          <w:sz w:val="24"/>
          <w:highlight w:val="none"/>
        </w:rPr>
        <w:t>库详情可在登录采购门户后查阅《人保e采管理系统供应商</w:t>
      </w:r>
      <w:r>
        <w:rPr>
          <w:rFonts w:hint="eastAsia" w:ascii="仿宋" w:hAnsi="仿宋" w:eastAsia="仿宋" w:cs="仿宋"/>
          <w:color w:val="000000"/>
          <w:sz w:val="24"/>
          <w:highlight w:val="none"/>
          <w:lang w:val="en-US" w:eastAsia="zh-CN"/>
        </w:rPr>
        <w:t>入</w:t>
      </w:r>
      <w:r>
        <w:rPr>
          <w:rFonts w:hint="eastAsia" w:ascii="仿宋" w:hAnsi="仿宋" w:eastAsia="仿宋" w:cs="仿宋"/>
          <w:color w:val="000000"/>
          <w:sz w:val="24"/>
          <w:highlight w:val="none"/>
        </w:rPr>
        <w:t>库操作指南》</w:t>
      </w:r>
      <w:r>
        <w:rPr>
          <w:rFonts w:hint="eastAsia" w:ascii="仿宋" w:hAnsi="仿宋" w:eastAsia="仿宋" w:cs="仿宋"/>
          <w:color w:val="000000"/>
          <w:sz w:val="24"/>
          <w:highlight w:val="none"/>
          <w:lang w:eastAsia="zh-CN"/>
        </w:rPr>
        <w:t>。</w:t>
      </w:r>
    </w:p>
    <w:p>
      <w:pPr>
        <w:pStyle w:val="3"/>
        <w:ind w:firstLine="0" w:firstLineChars="0"/>
        <w:jc w:val="left"/>
        <w:rPr>
          <w:rFonts w:hint="eastAsia" w:ascii="仿宋" w:hAnsi="仿宋" w:eastAsia="仿宋" w:cs="仿宋"/>
          <w:color w:val="auto"/>
          <w:sz w:val="24"/>
          <w:szCs w:val="24"/>
          <w:highlight w:val="none"/>
        </w:rPr>
      </w:pPr>
      <w:bookmarkStart w:id="21" w:name="_Toc1063"/>
      <w:bookmarkStart w:id="22" w:name="_Toc8866"/>
      <w:bookmarkStart w:id="23" w:name="_Toc12525"/>
      <w:bookmarkStart w:id="24" w:name="_Toc22275"/>
      <w:bookmarkStart w:id="25" w:name="_Toc10165"/>
      <w:bookmarkStart w:id="26" w:name="_Toc20446"/>
      <w:bookmarkStart w:id="27" w:name="_Toc30055"/>
      <w:r>
        <w:rPr>
          <w:rFonts w:hint="eastAsia" w:ascii="仿宋" w:hAnsi="仿宋" w:eastAsia="仿宋" w:cs="仿宋"/>
          <w:color w:val="auto"/>
          <w:sz w:val="24"/>
          <w:szCs w:val="24"/>
          <w:highlight w:val="none"/>
        </w:rPr>
        <w:t>五、响应文件的递交</w:t>
      </w:r>
      <w:bookmarkEnd w:id="21"/>
      <w:bookmarkEnd w:id="22"/>
      <w:bookmarkEnd w:id="23"/>
      <w:bookmarkEnd w:id="24"/>
      <w:bookmarkEnd w:id="25"/>
      <w:bookmarkEnd w:id="26"/>
      <w:bookmarkEnd w:id="27"/>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5.1响应文件递交截止时间：</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10</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19</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10</w:t>
      </w:r>
      <w:r>
        <w:rPr>
          <w:rFonts w:hint="eastAsia" w:ascii="仿宋" w:hAnsi="仿宋" w:eastAsia="仿宋" w:cs="仿宋"/>
          <w:sz w:val="24"/>
          <w:highlight w:val="none"/>
          <w:u w:val="single"/>
        </w:rPr>
        <w:t>时</w:t>
      </w:r>
      <w:r>
        <w:rPr>
          <w:rFonts w:hint="eastAsia" w:ascii="仿宋" w:hAnsi="仿宋" w:eastAsia="仿宋" w:cs="仿宋"/>
          <w:sz w:val="24"/>
          <w:highlight w:val="none"/>
          <w:u w:val="single"/>
          <w:lang w:val="en-US" w:eastAsia="zh-CN"/>
        </w:rPr>
        <w:t>00</w:t>
      </w:r>
      <w:r>
        <w:rPr>
          <w:rFonts w:hint="eastAsia" w:ascii="仿宋" w:hAnsi="仿宋" w:eastAsia="仿宋" w:cs="仿宋"/>
          <w:sz w:val="24"/>
          <w:highlight w:val="none"/>
          <w:u w:val="single"/>
        </w:rPr>
        <w:t>分00秒</w:t>
      </w:r>
      <w:r>
        <w:rPr>
          <w:rFonts w:hint="eastAsia" w:ascii="仿宋" w:hAnsi="仿宋" w:eastAsia="仿宋" w:cs="仿宋"/>
          <w:sz w:val="24"/>
          <w:highlight w:val="none"/>
        </w:rPr>
        <w:t>。</w:t>
      </w:r>
    </w:p>
    <w:p>
      <w:pPr>
        <w:spacing w:line="360" w:lineRule="auto"/>
        <w:ind w:firstLine="480" w:firstLineChars="200"/>
        <w:jc w:val="left"/>
        <w:textAlignment w:val="baseline"/>
        <w:rPr>
          <w:rFonts w:hint="eastAsia" w:ascii="仿宋" w:hAnsi="仿宋" w:eastAsia="仿宋" w:cs="仿宋"/>
          <w:highlight w:val="none"/>
        </w:rPr>
      </w:pPr>
      <w:r>
        <w:rPr>
          <w:rFonts w:hint="eastAsia" w:ascii="仿宋" w:hAnsi="仿宋" w:eastAsia="仿宋" w:cs="仿宋"/>
          <w:color w:val="000000"/>
          <w:sz w:val="24"/>
          <w:highlight w:val="none"/>
        </w:rPr>
        <w:t>5.2响应文件的递</w:t>
      </w:r>
      <w:r>
        <w:rPr>
          <w:rFonts w:hint="eastAsia" w:ascii="仿宋" w:hAnsi="仿宋" w:eastAsia="仿宋" w:cs="仿宋"/>
          <w:color w:val="auto"/>
          <w:sz w:val="24"/>
          <w:highlight w:val="none"/>
        </w:rPr>
        <w:t>交</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u w:val="single"/>
        </w:rPr>
        <w:t>须现</w:t>
      </w:r>
      <w:r>
        <w:rPr>
          <w:rFonts w:hint="eastAsia" w:ascii="仿宋" w:hAnsi="仿宋" w:eastAsia="仿宋" w:cs="仿宋"/>
          <w:color w:val="000000" w:themeColor="text1"/>
          <w:sz w:val="24"/>
          <w:highlight w:val="none"/>
          <w:u w:val="single"/>
          <w14:textFill>
            <w14:solidFill>
              <w14:schemeClr w14:val="tx1"/>
            </w14:solidFill>
          </w14:textFill>
        </w:rPr>
        <w:t>场递交至重庆市</w:t>
      </w:r>
      <w:r>
        <w:rPr>
          <w:rFonts w:hint="eastAsia" w:ascii="仿宋" w:hAnsi="仿宋" w:eastAsia="仿宋" w:cs="仿宋"/>
          <w:color w:val="000000" w:themeColor="text1"/>
          <w:sz w:val="24"/>
          <w:highlight w:val="none"/>
          <w:u w:val="single"/>
          <w:lang w:val="en-US" w:eastAsia="zh-CN"/>
          <w14:textFill>
            <w14:solidFill>
              <w14:schemeClr w14:val="tx1"/>
            </w14:solidFill>
          </w14:textFill>
        </w:rPr>
        <w:t>两江新区</w:t>
      </w:r>
      <w:r>
        <w:rPr>
          <w:rFonts w:hint="eastAsia" w:ascii="仿宋" w:hAnsi="仿宋" w:eastAsia="仿宋" w:cs="仿宋"/>
          <w:color w:val="000000" w:themeColor="text1"/>
          <w:sz w:val="24"/>
          <w:highlight w:val="none"/>
          <w:u w:val="single"/>
          <w14:textFill>
            <w14:solidFill>
              <w14:schemeClr w14:val="tx1"/>
            </w14:solidFill>
          </w14:textFill>
        </w:rPr>
        <w:t>黄山大道中段53号双鱼座A座16</w:t>
      </w:r>
      <w:r>
        <w:rPr>
          <w:rFonts w:hint="eastAsia" w:ascii="仿宋" w:hAnsi="仿宋" w:eastAsia="仿宋" w:cs="仿宋"/>
          <w:color w:val="auto"/>
          <w:sz w:val="24"/>
          <w:highlight w:val="none"/>
          <w:u w:val="single"/>
        </w:rPr>
        <w:t>楼</w:t>
      </w:r>
      <w:r>
        <w:rPr>
          <w:rFonts w:hint="eastAsia" w:ascii="仿宋" w:hAnsi="仿宋" w:eastAsia="仿宋" w:cs="仿宋"/>
          <w:b/>
          <w:bCs/>
          <w:color w:val="auto"/>
          <w:sz w:val="24"/>
          <w:highlight w:val="none"/>
        </w:rPr>
        <w:t>，逾期</w:t>
      </w:r>
      <w:r>
        <w:rPr>
          <w:rFonts w:hint="eastAsia" w:ascii="仿宋" w:hAnsi="仿宋" w:eastAsia="仿宋" w:cs="仿宋"/>
          <w:b/>
          <w:bCs/>
          <w:color w:val="000000"/>
          <w:sz w:val="24"/>
          <w:highlight w:val="none"/>
        </w:rPr>
        <w:t>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5.3本项目将于上述同一时间、地点进行磋商，</w:t>
      </w:r>
      <w:r>
        <w:rPr>
          <w:rFonts w:hint="eastAsia" w:ascii="仿宋" w:hAnsi="仿宋" w:eastAsia="仿宋" w:cs="仿宋"/>
          <w:sz w:val="24"/>
          <w:highlight w:val="none"/>
        </w:rPr>
        <w:t>采购人、</w:t>
      </w:r>
      <w:r>
        <w:rPr>
          <w:rFonts w:hint="eastAsia" w:ascii="仿宋" w:hAnsi="仿宋" w:eastAsia="仿宋" w:cs="仿宋"/>
          <w:color w:val="000000"/>
          <w:sz w:val="24"/>
          <w:highlight w:val="none"/>
        </w:rPr>
        <w:t>供应商代表准时参加。</w:t>
      </w:r>
    </w:p>
    <w:p>
      <w:pPr>
        <w:spacing w:line="360" w:lineRule="auto"/>
        <w:ind w:firstLine="480" w:firstLineChars="200"/>
        <w:textAlignment w:val="baseline"/>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5.4</w:t>
      </w:r>
      <w:r>
        <w:rPr>
          <w:rFonts w:hint="eastAsia" w:ascii="仿宋" w:hAnsi="仿宋" w:eastAsia="仿宋" w:cs="仿宋"/>
          <w:b/>
          <w:bCs/>
          <w:color w:val="000000"/>
          <w:sz w:val="24"/>
          <w:highlight w:val="none"/>
        </w:rPr>
        <w:t>出现以下情形之一时，采购人/采购代理机构不予接收投标文件：</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5.4.1 逾期送达或者未送达指定地点的；</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5.4.2 未按照响应文件要求密封的；</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5.4.3 未按照磋商公告要求获取磋商文件的。</w:t>
      </w:r>
    </w:p>
    <w:p>
      <w:pPr>
        <w:pStyle w:val="3"/>
        <w:ind w:firstLine="0" w:firstLineChars="0"/>
        <w:jc w:val="left"/>
        <w:rPr>
          <w:rFonts w:hint="eastAsia" w:ascii="仿宋" w:hAnsi="仿宋" w:eastAsia="仿宋" w:cs="仿宋"/>
          <w:color w:val="auto"/>
          <w:sz w:val="24"/>
          <w:szCs w:val="24"/>
          <w:highlight w:val="none"/>
        </w:rPr>
      </w:pPr>
      <w:bookmarkStart w:id="28" w:name="_Toc30906"/>
      <w:bookmarkStart w:id="29" w:name="_Toc29375"/>
      <w:bookmarkStart w:id="30" w:name="_Toc23956"/>
      <w:bookmarkStart w:id="31" w:name="_Toc10406"/>
      <w:bookmarkStart w:id="32" w:name="_Toc807"/>
      <w:bookmarkStart w:id="33" w:name="_Toc16141"/>
      <w:bookmarkStart w:id="34" w:name="_Toc20959"/>
      <w:r>
        <w:rPr>
          <w:rFonts w:hint="eastAsia" w:ascii="仿宋" w:hAnsi="仿宋" w:eastAsia="仿宋" w:cs="仿宋"/>
          <w:color w:val="auto"/>
          <w:sz w:val="24"/>
          <w:szCs w:val="24"/>
          <w:highlight w:val="none"/>
        </w:rPr>
        <w:t>六、发布公告的媒介</w:t>
      </w:r>
      <w:bookmarkEnd w:id="28"/>
      <w:bookmarkEnd w:id="29"/>
      <w:bookmarkEnd w:id="30"/>
      <w:bookmarkEnd w:id="31"/>
      <w:bookmarkEnd w:id="32"/>
      <w:bookmarkEnd w:id="33"/>
      <w:bookmarkEnd w:id="34"/>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本项目磋商公告同时在</w:t>
      </w:r>
      <w:r>
        <w:rPr>
          <w:rFonts w:hint="eastAsia" w:ascii="仿宋" w:hAnsi="仿宋" w:eastAsia="仿宋" w:cs="仿宋"/>
          <w:color w:val="000000"/>
          <w:sz w:val="24"/>
          <w:highlight w:val="none"/>
          <w:u w:val="single"/>
        </w:rPr>
        <w:t>中国招标投标公共服务平台（www.cebpubservice.com）、中国金融集中</w:t>
      </w:r>
      <w:r>
        <w:rPr>
          <w:rFonts w:hint="eastAsia" w:ascii="仿宋" w:hAnsi="仿宋" w:eastAsia="仿宋" w:cs="仿宋"/>
          <w:color w:val="000000"/>
          <w:sz w:val="24"/>
          <w:highlight w:val="none"/>
          <w:u w:val="single"/>
          <w:lang w:eastAsia="zh-CN"/>
        </w:rPr>
        <w:t>采购</w:t>
      </w:r>
      <w:r>
        <w:rPr>
          <w:rFonts w:hint="eastAsia" w:ascii="仿宋" w:hAnsi="仿宋" w:eastAsia="仿宋" w:cs="仿宋"/>
          <w:color w:val="000000"/>
          <w:sz w:val="24"/>
          <w:highlight w:val="none"/>
          <w:u w:val="single"/>
        </w:rPr>
        <w:t>网（www.cfcpn.com）、</w:t>
      </w:r>
      <w:r>
        <w:rPr>
          <w:rFonts w:hint="eastAsia" w:ascii="仿宋" w:hAnsi="仿宋" w:eastAsia="仿宋" w:cs="仿宋"/>
          <w:color w:val="000000"/>
          <w:sz w:val="24"/>
          <w:highlight w:val="none"/>
          <w:u w:val="single"/>
          <w:lang w:eastAsia="zh-CN"/>
        </w:rPr>
        <w:t>采购</w:t>
      </w:r>
      <w:r>
        <w:rPr>
          <w:rFonts w:hint="eastAsia" w:ascii="仿宋" w:hAnsi="仿宋" w:eastAsia="仿宋" w:cs="仿宋"/>
          <w:color w:val="000000"/>
          <w:sz w:val="24"/>
          <w:highlight w:val="none"/>
          <w:u w:val="single"/>
        </w:rPr>
        <w:t>与招标网（https://www.chinabidding.cn）</w:t>
      </w:r>
      <w:r>
        <w:rPr>
          <w:rFonts w:hint="eastAsia" w:ascii="仿宋" w:hAnsi="仿宋" w:eastAsia="仿宋" w:cs="仿宋"/>
          <w:color w:val="000000"/>
          <w:sz w:val="24"/>
          <w:highlight w:val="none"/>
          <w:u w:val="single"/>
          <w:lang w:eastAsia="zh-CN"/>
        </w:rPr>
        <w:t>、</w:t>
      </w:r>
      <w:r>
        <w:rPr>
          <w:rFonts w:hint="eastAsia" w:ascii="仿宋" w:hAnsi="仿宋" w:eastAsia="仿宋" w:cs="仿宋"/>
          <w:color w:val="000000"/>
          <w:sz w:val="24"/>
          <w:highlight w:val="none"/>
          <w:u w:val="single"/>
        </w:rPr>
        <w:t>人保e采外网门户(https://ec.picc.com/)</w:t>
      </w:r>
      <w:r>
        <w:rPr>
          <w:rFonts w:hint="eastAsia" w:ascii="仿宋" w:hAnsi="仿宋" w:eastAsia="仿宋" w:cs="仿宋"/>
          <w:color w:val="000000"/>
          <w:sz w:val="24"/>
          <w:highlight w:val="none"/>
        </w:rPr>
        <w:t>上发布，除上述外，</w:t>
      </w:r>
      <w:r>
        <w:rPr>
          <w:rFonts w:hint="eastAsia" w:ascii="仿宋" w:hAnsi="仿宋" w:eastAsia="仿宋" w:cs="仿宋"/>
          <w:sz w:val="24"/>
          <w:highlight w:val="none"/>
        </w:rPr>
        <w:t>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w:t>
      </w:r>
      <w:r>
        <w:rPr>
          <w:rFonts w:hint="eastAsia" w:ascii="仿宋" w:hAnsi="仿宋" w:eastAsia="仿宋" w:cs="仿宋"/>
          <w:color w:val="000000"/>
          <w:sz w:val="24"/>
          <w:highlight w:val="none"/>
        </w:rPr>
        <w:t>保留追究其法律责任的权利。</w:t>
      </w:r>
    </w:p>
    <w:p>
      <w:pPr>
        <w:pStyle w:val="3"/>
        <w:ind w:firstLine="0" w:firstLineChars="0"/>
        <w:jc w:val="left"/>
        <w:rPr>
          <w:rFonts w:hint="eastAsia" w:ascii="仿宋" w:hAnsi="仿宋" w:eastAsia="仿宋" w:cs="仿宋"/>
          <w:color w:val="000000"/>
          <w:sz w:val="24"/>
          <w:szCs w:val="24"/>
          <w:highlight w:val="none"/>
        </w:rPr>
      </w:pPr>
      <w:bookmarkStart w:id="35" w:name="_Toc720"/>
      <w:bookmarkStart w:id="36" w:name="_Toc24365"/>
      <w:bookmarkStart w:id="37" w:name="_Toc10322"/>
      <w:bookmarkStart w:id="38" w:name="_Toc18061"/>
      <w:bookmarkStart w:id="39" w:name="_Toc32606"/>
      <w:bookmarkStart w:id="40" w:name="_Toc23951"/>
      <w:bookmarkStart w:id="41" w:name="_Toc14623"/>
      <w:r>
        <w:rPr>
          <w:rFonts w:hint="eastAsia" w:ascii="仿宋" w:hAnsi="仿宋" w:eastAsia="仿宋" w:cs="仿宋"/>
          <w:color w:val="000000"/>
          <w:sz w:val="24"/>
          <w:szCs w:val="24"/>
          <w:highlight w:val="none"/>
        </w:rPr>
        <w:t>七、联系方式</w:t>
      </w:r>
      <w:bookmarkEnd w:id="35"/>
      <w:bookmarkEnd w:id="36"/>
      <w:bookmarkEnd w:id="37"/>
      <w:bookmarkEnd w:id="38"/>
      <w:bookmarkEnd w:id="39"/>
      <w:bookmarkEnd w:id="40"/>
      <w:bookmarkEnd w:id="41"/>
    </w:p>
    <w:p>
      <w:pPr>
        <w:spacing w:line="360" w:lineRule="auto"/>
        <w:ind w:firstLine="42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中国人民财产保险股份有限公司綦江支公司</w:t>
      </w:r>
    </w:p>
    <w:p>
      <w:pPr>
        <w:spacing w:line="360" w:lineRule="auto"/>
        <w:ind w:firstLine="420" w:firstLineChars="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联系人：</w:t>
      </w:r>
      <w:r>
        <w:rPr>
          <w:rFonts w:hint="eastAsia" w:ascii="仿宋" w:hAnsi="仿宋" w:eastAsia="仿宋" w:cs="仿宋"/>
          <w:color w:val="000000"/>
          <w:sz w:val="24"/>
          <w:highlight w:val="none"/>
          <w:lang w:eastAsia="zh-CN"/>
        </w:rPr>
        <w:t>李老师</w:t>
      </w:r>
    </w:p>
    <w:p>
      <w:pPr>
        <w:spacing w:line="360" w:lineRule="auto"/>
        <w:ind w:firstLine="420" w:firstLineChars="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电  话：189 8385 9909</w:t>
      </w:r>
    </w:p>
    <w:p>
      <w:pPr>
        <w:spacing w:line="360" w:lineRule="auto"/>
        <w:ind w:firstLine="420" w:firstLineChars="0"/>
        <w:jc w:val="left"/>
        <w:rPr>
          <w:rFonts w:hint="eastAsia"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sz w:val="24"/>
          <w:highlight w:val="none"/>
        </w:rPr>
        <w:t>地  址：</w:t>
      </w:r>
      <w:r>
        <w:rPr>
          <w:rFonts w:hint="eastAsia" w:ascii="仿宋" w:hAnsi="仿宋" w:eastAsia="仿宋" w:cs="仿宋"/>
          <w:color w:val="000000"/>
          <w:sz w:val="24"/>
          <w:szCs w:val="24"/>
          <w:highlight w:val="none"/>
          <w:lang w:eastAsia="zh-CN"/>
        </w:rPr>
        <w:t>重庆市綦江区文龙街道白龙街1号</w:t>
      </w:r>
    </w:p>
    <w:p>
      <w:pPr>
        <w:spacing w:line="360" w:lineRule="auto"/>
        <w:ind w:firstLine="480" w:firstLineChars="200"/>
        <w:jc w:val="left"/>
        <w:textAlignment w:val="baseline"/>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采购代理机构：中通服项目管理咨询有限公司</w:t>
      </w:r>
    </w:p>
    <w:p>
      <w:pPr>
        <w:spacing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联系人：雷俊   谢梦婷</w:t>
      </w:r>
    </w:p>
    <w:p>
      <w:pPr>
        <w:spacing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电话：</w:t>
      </w:r>
      <w:r>
        <w:rPr>
          <w:rFonts w:hint="eastAsia" w:ascii="仿宋" w:hAnsi="仿宋" w:eastAsia="仿宋" w:cs="仿宋"/>
          <w:color w:val="000000" w:themeColor="text1"/>
          <w:sz w:val="24"/>
          <w:highlight w:val="none"/>
          <w14:textFill>
            <w14:solidFill>
              <w14:schemeClr w14:val="tx1"/>
            </w14:solidFill>
          </w14:textFill>
        </w:rPr>
        <w:t>15213022486</w:t>
      </w:r>
      <w:r>
        <w:rPr>
          <w:rFonts w:hint="eastAsia" w:ascii="仿宋" w:hAnsi="仿宋" w:eastAsia="仿宋" w:cs="仿宋"/>
          <w:color w:val="000000"/>
          <w:sz w:val="24"/>
          <w:szCs w:val="24"/>
          <w:highlight w:val="none"/>
        </w:rPr>
        <w:t xml:space="preserve">    15196601256</w:t>
      </w:r>
    </w:p>
    <w:p>
      <w:pPr>
        <w:spacing w:line="360" w:lineRule="auto"/>
        <w:ind w:firstLine="42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电子邮箱：</w:t>
      </w:r>
      <w:r>
        <w:rPr>
          <w:rFonts w:hint="eastAsia" w:ascii="仿宋" w:hAnsi="仿宋" w:eastAsia="仿宋" w:cs="仿宋"/>
          <w:color w:val="000000"/>
          <w:sz w:val="24"/>
          <w:szCs w:val="24"/>
          <w:highlight w:val="none"/>
          <w:lang w:eastAsia="zh-CN"/>
        </w:rPr>
        <w:fldChar w:fldCharType="begin"/>
      </w:r>
      <w:r>
        <w:rPr>
          <w:rFonts w:hint="eastAsia" w:ascii="仿宋" w:hAnsi="仿宋" w:eastAsia="仿宋" w:cs="仿宋"/>
          <w:color w:val="000000"/>
          <w:sz w:val="24"/>
          <w:szCs w:val="24"/>
          <w:highlight w:val="none"/>
          <w:lang w:eastAsia="zh-CN"/>
        </w:rPr>
        <w:instrText xml:space="preserve"> HYPERLINK "mailto:15213022486@139.com" </w:instrText>
      </w:r>
      <w:r>
        <w:rPr>
          <w:rFonts w:hint="eastAsia" w:ascii="仿宋" w:hAnsi="仿宋" w:eastAsia="仿宋" w:cs="仿宋"/>
          <w:color w:val="000000"/>
          <w:sz w:val="24"/>
          <w:szCs w:val="24"/>
          <w:highlight w:val="none"/>
          <w:lang w:eastAsia="zh-CN"/>
        </w:rPr>
        <w:fldChar w:fldCharType="separate"/>
      </w:r>
      <w:r>
        <w:rPr>
          <w:rStyle w:val="8"/>
          <w:rFonts w:hint="eastAsia" w:ascii="仿宋" w:hAnsi="仿宋" w:eastAsia="仿宋" w:cs="仿宋"/>
          <w:sz w:val="24"/>
          <w:szCs w:val="24"/>
          <w:highlight w:val="none"/>
          <w:lang w:eastAsia="zh-CN"/>
        </w:rPr>
        <w:t>15213022486@139.com</w:t>
      </w:r>
      <w:r>
        <w:rPr>
          <w:rFonts w:hint="eastAsia" w:ascii="仿宋" w:hAnsi="仿宋" w:eastAsia="仿宋" w:cs="仿宋"/>
          <w:color w:val="000000"/>
          <w:sz w:val="24"/>
          <w:szCs w:val="24"/>
          <w:highlight w:val="none"/>
          <w:lang w:eastAsia="zh-CN"/>
        </w:rPr>
        <w:fldChar w:fldCharType="end"/>
      </w:r>
    </w:p>
    <w:p>
      <w:pPr>
        <w:spacing w:line="360" w:lineRule="auto"/>
        <w:ind w:firstLine="420"/>
        <w:rPr>
          <w:rStyle w:val="8"/>
          <w:rFonts w:hint="eastAsia" w:ascii="仿宋" w:hAnsi="仿宋" w:eastAsia="仿宋" w:cs="仿宋"/>
          <w:sz w:val="24"/>
          <w:szCs w:val="24"/>
          <w:highlight w:val="none"/>
          <w:lang w:eastAsia="zh-CN"/>
        </w:rPr>
      </w:pPr>
      <w:r>
        <w:rPr>
          <w:rStyle w:val="8"/>
          <w:rFonts w:hint="eastAsia" w:ascii="仿宋" w:hAnsi="仿宋" w:eastAsia="仿宋" w:cs="仿宋"/>
          <w:sz w:val="24"/>
          <w:szCs w:val="24"/>
          <w:highlight w:val="none"/>
          <w:lang w:eastAsia="zh-CN"/>
        </w:rPr>
        <w:t>地  址：湖南省</w:t>
      </w:r>
      <w:r>
        <w:rPr>
          <w:rStyle w:val="8"/>
          <w:rFonts w:hint="eastAsia" w:ascii="仿宋" w:hAnsi="仿宋" w:eastAsia="仿宋" w:cs="仿宋"/>
          <w:sz w:val="24"/>
          <w:szCs w:val="24"/>
          <w:highlight w:val="none"/>
          <w:lang w:val="zh-CN" w:eastAsia="zh-CN"/>
        </w:rPr>
        <w:t>长沙市芙蓉区隆平高科技园远大二路236号天园通信技术研发基地研发楼12层</w:t>
      </w:r>
    </w:p>
    <w:p>
      <w:pPr>
        <w:spacing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银行开户名：中通服项目管理咨询有限公司</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开户银行:招商银行股份有限公司长沙广电支行</w:t>
      </w:r>
    </w:p>
    <w:p>
      <w:pPr>
        <w:pStyle w:val="4"/>
        <w:spacing w:line="360" w:lineRule="auto"/>
        <w:ind w:firstLine="480" w:firstLineChars="200"/>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银行账户:7319</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0611</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9910</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677</w:t>
      </w:r>
    </w:p>
    <w:p>
      <w:pPr>
        <w:spacing w:line="360" w:lineRule="auto"/>
        <w:ind w:firstLine="480" w:firstLineChars="200"/>
        <w:jc w:val="right"/>
        <w:textAlignment w:val="baseline"/>
        <w:rPr>
          <w:rFonts w:hint="eastAsia" w:ascii="仿宋" w:hAnsi="仿宋" w:eastAsia="仿宋" w:cs="仿宋"/>
          <w:color w:val="auto"/>
          <w:sz w:val="24"/>
          <w:highlight w:val="none"/>
        </w:rPr>
      </w:pPr>
    </w:p>
    <w:p>
      <w:pPr>
        <w:spacing w:line="360" w:lineRule="auto"/>
        <w:ind w:firstLine="480" w:firstLineChars="200"/>
        <w:jc w:val="right"/>
        <w:textAlignment w:val="baseline"/>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中国人民财产保险股份有限公司綦江支公司</w:t>
      </w:r>
    </w:p>
    <w:p>
      <w:pPr>
        <w:spacing w:line="360" w:lineRule="auto"/>
        <w:ind w:firstLine="480" w:firstLineChars="200"/>
        <w:jc w:val="right"/>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w:t>
      </w:r>
      <w:r>
        <w:rPr>
          <w:rFonts w:hint="eastAsia" w:ascii="仿宋" w:hAnsi="仿宋" w:eastAsia="仿宋" w:cs="仿宋"/>
          <w:color w:val="000000" w:themeColor="text1"/>
          <w:sz w:val="24"/>
          <w:highlight w:val="none"/>
          <w14:textFill>
            <w14:solidFill>
              <w14:schemeClr w14:val="tx1"/>
            </w14:solidFill>
          </w14:textFill>
        </w:rPr>
        <w:t>中通服项目管理咨询有限公司</w:t>
      </w:r>
    </w:p>
    <w:p>
      <w:pPr>
        <w:spacing w:line="360" w:lineRule="auto"/>
        <w:ind w:firstLine="480" w:firstLineChars="200"/>
        <w:jc w:val="right"/>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rPr>
        <w:t>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日</w:t>
      </w:r>
    </w:p>
    <w:p>
      <w:pPr>
        <w:pStyle w:val="2"/>
        <w:spacing w:before="0" w:after="0" w:line="360" w:lineRule="auto"/>
        <w:jc w:val="center"/>
        <w:rPr>
          <w:rFonts w:hint="eastAsia" w:ascii="仿宋" w:hAnsi="仿宋" w:eastAsia="仿宋" w:cs="仿宋"/>
          <w:color w:val="auto"/>
          <w:sz w:val="28"/>
          <w:szCs w:val="28"/>
          <w:highlight w:val="none"/>
        </w:rPr>
      </w:pPr>
    </w:p>
    <w:p/>
    <w:p/>
    <w:p/>
    <w:p/>
    <w:p/>
    <w:p/>
    <w:p/>
    <w:p/>
    <w:p/>
    <w:p/>
    <w:p/>
    <w:p/>
    <w:p/>
    <w:p/>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附件</w:t>
      </w:r>
    </w:p>
    <w:p>
      <w:pPr>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中通服项目管理咨询有限公司</w:t>
      </w:r>
    </w:p>
    <w:p>
      <w:pPr>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报名</w:t>
      </w:r>
      <w:r>
        <w:rPr>
          <w:rFonts w:hint="eastAsia" w:ascii="仿宋" w:hAnsi="仿宋" w:eastAsia="仿宋" w:cs="仿宋"/>
          <w:b/>
          <w:bCs/>
          <w:sz w:val="28"/>
          <w:szCs w:val="28"/>
          <w:highlight w:val="none"/>
        </w:rPr>
        <w:t>表</w:t>
      </w:r>
    </w:p>
    <w:tbl>
      <w:tblPr>
        <w:tblStyle w:val="6"/>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801"/>
        <w:gridCol w:w="1196"/>
        <w:gridCol w:w="515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项目号</w:t>
            </w:r>
          </w:p>
        </w:tc>
        <w:tc>
          <w:tcPr>
            <w:tcW w:w="8151" w:type="dxa"/>
            <w:gridSpan w:val="3"/>
            <w:noWrap w:val="0"/>
            <w:vAlign w:val="center"/>
          </w:tcPr>
          <w:p>
            <w:pPr>
              <w:widowControl/>
              <w:jc w:val="center"/>
              <w:rPr>
                <w:rFonts w:hint="eastAsia" w:ascii="仿宋" w:hAnsi="仿宋" w:eastAsia="仿宋" w:cs="仿宋"/>
                <w:sz w:val="24"/>
                <w:szCs w:val="24"/>
                <w:highlight w:val="none"/>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8151" w:type="dxa"/>
            <w:gridSpan w:val="3"/>
            <w:noWrap w:val="0"/>
            <w:vAlign w:val="center"/>
          </w:tcPr>
          <w:p>
            <w:pPr>
              <w:widowControl/>
              <w:jc w:val="center"/>
              <w:rPr>
                <w:rFonts w:hint="eastAsia" w:ascii="仿宋" w:hAnsi="仿宋" w:eastAsia="仿宋" w:cs="仿宋"/>
                <w:sz w:val="24"/>
                <w:szCs w:val="24"/>
                <w:highlight w:val="none"/>
                <w:lang w:eastAsia="zh-CN"/>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名称</w:t>
            </w:r>
          </w:p>
        </w:tc>
        <w:tc>
          <w:tcPr>
            <w:tcW w:w="8151" w:type="dxa"/>
            <w:gridSpan w:val="3"/>
            <w:noWrap w:val="0"/>
            <w:vAlign w:val="bottom"/>
          </w:tcPr>
          <w:p>
            <w:pPr>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801" w:type="dxa"/>
            <w:noWrap w:val="0"/>
            <w:vAlign w:val="center"/>
          </w:tcPr>
          <w:p>
            <w:pPr>
              <w:jc w:val="left"/>
              <w:rPr>
                <w:rFonts w:hint="eastAsia" w:ascii="仿宋" w:hAnsi="仿宋" w:eastAsia="仿宋" w:cs="仿宋"/>
                <w:sz w:val="24"/>
                <w:szCs w:val="24"/>
                <w:highlight w:val="none"/>
              </w:rPr>
            </w:pPr>
          </w:p>
        </w:tc>
        <w:tc>
          <w:tcPr>
            <w:tcW w:w="1196" w:type="dxa"/>
            <w:noWrap w:val="0"/>
            <w:vAlign w:val="center"/>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手机</w:t>
            </w:r>
          </w:p>
        </w:tc>
        <w:tc>
          <w:tcPr>
            <w:tcW w:w="5154" w:type="dxa"/>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w:t>
            </w:r>
          </w:p>
        </w:tc>
        <w:tc>
          <w:tcPr>
            <w:tcW w:w="1801" w:type="dxa"/>
            <w:noWrap w:val="0"/>
            <w:vAlign w:val="center"/>
          </w:tcPr>
          <w:p>
            <w:pPr>
              <w:jc w:val="left"/>
              <w:rPr>
                <w:rFonts w:hint="eastAsia" w:ascii="仿宋" w:hAnsi="仿宋" w:eastAsia="仿宋" w:cs="仿宋"/>
                <w:sz w:val="24"/>
                <w:szCs w:val="24"/>
                <w:highlight w:val="none"/>
              </w:rPr>
            </w:pPr>
          </w:p>
        </w:tc>
        <w:tc>
          <w:tcPr>
            <w:tcW w:w="1196" w:type="dxa"/>
            <w:noWrap w:val="0"/>
            <w:vAlign w:val="center"/>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传真</w:t>
            </w:r>
          </w:p>
        </w:tc>
        <w:tc>
          <w:tcPr>
            <w:tcW w:w="5154" w:type="dxa"/>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E-mail</w:t>
            </w:r>
          </w:p>
        </w:tc>
        <w:tc>
          <w:tcPr>
            <w:tcW w:w="8151" w:type="dxa"/>
            <w:gridSpan w:val="3"/>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668" w:type="dxa"/>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单位地址</w:t>
            </w:r>
          </w:p>
        </w:tc>
        <w:tc>
          <w:tcPr>
            <w:tcW w:w="8151" w:type="dxa"/>
            <w:gridSpan w:val="3"/>
            <w:noWrap w:val="0"/>
            <w:vAlign w:val="center"/>
          </w:tcPr>
          <w:p>
            <w:pPr>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9819" w:type="dxa"/>
            <w:gridSpan w:val="4"/>
            <w:noWrap w:val="0"/>
            <w:vAlign w:val="center"/>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号及</w:t>
            </w: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19" w:type="dxa"/>
            <w:gridSpan w:val="4"/>
            <w:noWrap w:val="0"/>
            <w:vAlign w:val="center"/>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819" w:type="dxa"/>
            <w:gridSpan w:val="4"/>
            <w:noWrap w:val="0"/>
            <w:vAlign w:val="center"/>
          </w:tcPr>
          <w:p>
            <w:pPr>
              <w:widowControl/>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w:t>
            </w:r>
            <w:r>
              <w:rPr>
                <w:rFonts w:hint="eastAsia" w:ascii="仿宋" w:hAnsi="仿宋" w:eastAsia="仿宋" w:cs="仿宋"/>
                <w:sz w:val="24"/>
                <w:szCs w:val="24"/>
                <w:highlight w:val="none"/>
              </w:rPr>
              <w:t>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819" w:type="dxa"/>
            <w:gridSpan w:val="4"/>
            <w:noWrap w:val="0"/>
            <w:vAlign w:val="center"/>
          </w:tcPr>
          <w:p>
            <w:pPr>
              <w:widowControl/>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提供</w:t>
            </w:r>
            <w:r>
              <w:rPr>
                <w:rFonts w:hint="eastAsia" w:ascii="仿宋" w:hAnsi="仿宋" w:eastAsia="仿宋" w:cs="仿宋"/>
                <w:sz w:val="24"/>
                <w:szCs w:val="24"/>
                <w:highlight w:val="none"/>
              </w:rPr>
              <w:t>https://www.gsxt.gov.cn/index.html</w:t>
            </w:r>
            <w:r>
              <w:rPr>
                <w:rFonts w:hint="eastAsia" w:ascii="仿宋" w:hAnsi="仿宋" w:eastAsia="仿宋" w:cs="仿宋"/>
                <w:sz w:val="24"/>
                <w:szCs w:val="24"/>
                <w:highlight w:val="none"/>
                <w:lang w:eastAsia="zh-CN"/>
              </w:rPr>
              <w:t>国家企业信用信息公示系统查询截图，截图查询内容至少包括法定代表人、股东及出资信息、主要人员信息。</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9819" w:type="dxa"/>
            <w:gridSpan w:val="4"/>
            <w:noWrap w:val="0"/>
            <w:vAlign w:val="center"/>
          </w:tcPr>
          <w:p>
            <w:pPr>
              <w:widowControl/>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开票信息：普票</w:t>
            </w:r>
            <w:r>
              <w:rPr>
                <w:rFonts w:hint="eastAsia" w:ascii="仿宋" w:hAnsi="仿宋" w:eastAsia="仿宋" w:cs="仿宋"/>
                <w:sz w:val="24"/>
                <w:szCs w:val="24"/>
                <w:highlight w:val="none"/>
                <w:lang w:val="en-US" w:eastAsia="zh-CN"/>
              </w:rPr>
              <w:sym w:font="Wingdings" w:char="00A8"/>
            </w:r>
            <w:r>
              <w:rPr>
                <w:rFonts w:hint="eastAsia" w:ascii="仿宋" w:hAnsi="仿宋" w:eastAsia="仿宋" w:cs="仿宋"/>
                <w:sz w:val="24"/>
                <w:szCs w:val="24"/>
                <w:highlight w:val="none"/>
                <w:lang w:val="en-US" w:eastAsia="zh-CN"/>
              </w:rPr>
              <w:t xml:space="preserve">    专票</w:t>
            </w:r>
            <w:r>
              <w:rPr>
                <w:rFonts w:hint="eastAsia" w:ascii="仿宋" w:hAnsi="仿宋" w:eastAsia="仿宋" w:cs="仿宋"/>
                <w:sz w:val="24"/>
                <w:szCs w:val="24"/>
                <w:highlight w:val="none"/>
                <w:lang w:val="en-US" w:eastAsia="zh-CN"/>
              </w:rPr>
              <w:sym w:font="Wingdings" w:char="00A8"/>
            </w: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p>
            <w:pPr>
              <w:widowControl/>
              <w:jc w:val="left"/>
              <w:rPr>
                <w:rFonts w:hint="eastAsia" w:ascii="仿宋" w:hAnsi="仿宋" w:eastAsia="仿宋" w:cs="仿宋"/>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9819" w:type="dxa"/>
            <w:gridSpan w:val="4"/>
            <w:noWrap w:val="0"/>
            <w:vAlign w:val="center"/>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tc>
      </w:tr>
    </w:tbl>
    <w:p>
      <w:pPr>
        <w:jc w:val="left"/>
        <w:rPr>
          <w:rFonts w:hint="eastAsia" w:ascii="仿宋" w:hAnsi="仿宋" w:eastAsia="仿宋" w:cs="仿宋"/>
          <w:highlight w:val="none"/>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7F0FB2"/>
    <w:rsid w:val="1DE3789B"/>
    <w:rsid w:val="3C7F0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kern w:val="0"/>
      <w:sz w:val="20"/>
      <w:szCs w:val="20"/>
    </w:rPr>
  </w:style>
  <w:style w:type="paragraph" w:styleId="5">
    <w:name w:val="Body Text"/>
    <w:basedOn w:val="1"/>
    <w:next w:val="1"/>
    <w:qFormat/>
    <w:uiPriority w:val="0"/>
    <w:pPr>
      <w:jc w:val="center"/>
    </w:pPr>
    <w:rPr>
      <w:sz w:val="52"/>
    </w:rPr>
  </w:style>
  <w:style w:type="character" w:styleId="8">
    <w:name w:val="Hyperlink"/>
    <w:qFormat/>
    <w:uiPriority w:val="99"/>
    <w:rPr>
      <w:color w:val="333333"/>
      <w:u w:val="none"/>
    </w:rPr>
  </w:style>
  <w:style w:type="paragraph" w:customStyle="1" w:styleId="9">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2026-10-09T06:28:00Z</dcterms:created>
  <dc:creator>ENTER</dc:creator>
  <cp:lastModifiedBy>李丁</cp:lastModifiedBy>
  <dcterms:modified xsi:type="dcterms:W3CDTF">2026-10-09T14:25:08Z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1C566FBD710E430BB9B2795340DE667C</vt:lpwstr>
  </property>
  <property fmtid="{D5CDD505-2E9C-101B-9397-08002B2CF9AE}" pid="4" name="KSOTemplateDocerSaveRecord">
    <vt:lpwstr>eyJoZGlkIjoiYmQzZGNiOWJkNDllOTNjZmVlNmRiOGRhM2FiOTdiYzQiLCJ1c2VySWQiOiI0NDM0NDM4MjAifQ==</vt:lpwstr>
  </property>
</Properties>
</file>