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165A1">
      <w:pPr>
        <w:pStyle w:val="7"/>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14:paraId="11626F7E">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人</w:t>
      </w:r>
      <w:r>
        <w:rPr>
          <w:rFonts w:hint="eastAsia" w:ascii="黑体" w:hAnsi="黑体" w:eastAsia="黑体"/>
          <w:sz w:val="32"/>
          <w:szCs w:val="32"/>
          <w:lang w:val="en-US" w:eastAsia="zh-CN"/>
        </w:rPr>
        <w:t>保寿险浙江省嘉兴市分公司银保部咨询费采购项目供应商报名申请表</w:t>
      </w:r>
      <w:bookmarkStart w:id="0" w:name="_GoBack"/>
      <w:bookmarkEnd w:id="0"/>
    </w:p>
    <w:tbl>
      <w:tblPr>
        <w:tblStyle w:val="4"/>
        <w:tblW w:w="9795" w:type="dxa"/>
        <w:jc w:val="center"/>
        <w:tblLayout w:type="autofit"/>
        <w:tblCellMar>
          <w:top w:w="0" w:type="dxa"/>
          <w:left w:w="108" w:type="dxa"/>
          <w:bottom w:w="0" w:type="dxa"/>
          <w:right w:w="108" w:type="dxa"/>
        </w:tblCellMar>
      </w:tblPr>
      <w:tblGrid>
        <w:gridCol w:w="2011"/>
        <w:gridCol w:w="7784"/>
      </w:tblGrid>
      <w:tr w14:paraId="1CDF5BF7">
        <w:tblPrEx>
          <w:tblCellMar>
            <w:top w:w="0" w:type="dxa"/>
            <w:left w:w="108" w:type="dxa"/>
            <w:bottom w:w="0" w:type="dxa"/>
            <w:right w:w="108" w:type="dxa"/>
          </w:tblCellMar>
        </w:tblPrEx>
        <w:trPr>
          <w:trHeight w:val="590" w:hRule="atLeast"/>
          <w:jc w:val="center"/>
        </w:trPr>
        <w:tc>
          <w:tcPr>
            <w:tcW w:w="2011" w:type="dxa"/>
            <w:tcBorders>
              <w:top w:val="single" w:color="auto" w:sz="4" w:space="0"/>
              <w:left w:val="single" w:color="auto" w:sz="4" w:space="0"/>
              <w:bottom w:val="single" w:color="auto" w:sz="4" w:space="0"/>
              <w:right w:val="single" w:color="auto" w:sz="4" w:space="0"/>
            </w:tcBorders>
            <w:shd w:val="clear" w:color="auto" w:fill="auto"/>
            <w:vAlign w:val="center"/>
          </w:tcPr>
          <w:p w14:paraId="335BF66D">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784" w:type="dxa"/>
            <w:tcBorders>
              <w:top w:val="single" w:color="auto" w:sz="4" w:space="0"/>
              <w:left w:val="nil"/>
              <w:bottom w:val="single" w:color="auto" w:sz="4" w:space="0"/>
              <w:right w:val="single" w:color="auto" w:sz="4" w:space="0"/>
            </w:tcBorders>
            <w:shd w:val="clear" w:color="auto" w:fill="auto"/>
            <w:vAlign w:val="center"/>
          </w:tcPr>
          <w:p w14:paraId="79E74275">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ascii="Segoe UI" w:hAnsi="Segoe UI" w:eastAsia="Segoe UI" w:cs="Segoe UI"/>
                <w:i w:val="0"/>
                <w:iCs w:val="0"/>
                <w:caps w:val="0"/>
                <w:color w:val="13161E"/>
                <w:spacing w:val="0"/>
                <w:sz w:val="21"/>
                <w:szCs w:val="21"/>
                <w:shd w:val="clear" w:fill="FFFFFF"/>
              </w:rPr>
              <w:t>人保寿险浙江省嘉兴市分公司银保部咨询费采购项目</w:t>
            </w:r>
          </w:p>
        </w:tc>
      </w:tr>
      <w:tr w14:paraId="2E7F8714">
        <w:tblPrEx>
          <w:tblCellMar>
            <w:top w:w="0" w:type="dxa"/>
            <w:left w:w="108" w:type="dxa"/>
            <w:bottom w:w="0" w:type="dxa"/>
            <w:right w:w="108" w:type="dxa"/>
          </w:tblCellMar>
        </w:tblPrEx>
        <w:trPr>
          <w:trHeight w:val="1170" w:hRule="atLeast"/>
          <w:jc w:val="center"/>
        </w:trPr>
        <w:tc>
          <w:tcPr>
            <w:tcW w:w="2011" w:type="dxa"/>
            <w:tcBorders>
              <w:top w:val="nil"/>
              <w:left w:val="single" w:color="auto" w:sz="4" w:space="0"/>
              <w:bottom w:val="single" w:color="auto" w:sz="4" w:space="0"/>
              <w:right w:val="single" w:color="auto" w:sz="4" w:space="0"/>
            </w:tcBorders>
            <w:shd w:val="clear" w:color="auto" w:fill="auto"/>
            <w:vAlign w:val="center"/>
          </w:tcPr>
          <w:p w14:paraId="45D9DA7A">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784" w:type="dxa"/>
            <w:tcBorders>
              <w:top w:val="single" w:color="auto" w:sz="4" w:space="0"/>
              <w:left w:val="nil"/>
              <w:bottom w:val="single" w:color="auto" w:sz="4" w:space="0"/>
              <w:right w:val="single" w:color="auto" w:sz="4" w:space="0"/>
            </w:tcBorders>
            <w:shd w:val="clear" w:color="auto" w:fill="auto"/>
            <w:vAlign w:val="center"/>
          </w:tcPr>
          <w:p w14:paraId="67EEDDA9">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14:paraId="6B0FFC41">
        <w:tblPrEx>
          <w:tblCellMar>
            <w:top w:w="0" w:type="dxa"/>
            <w:left w:w="108" w:type="dxa"/>
            <w:bottom w:w="0" w:type="dxa"/>
            <w:right w:w="108" w:type="dxa"/>
          </w:tblCellMar>
        </w:tblPrEx>
        <w:trPr>
          <w:trHeight w:val="1400" w:hRule="atLeast"/>
          <w:jc w:val="center"/>
        </w:trPr>
        <w:tc>
          <w:tcPr>
            <w:tcW w:w="2011" w:type="dxa"/>
            <w:tcBorders>
              <w:top w:val="nil"/>
              <w:left w:val="single" w:color="auto" w:sz="4" w:space="0"/>
              <w:bottom w:val="single" w:color="auto" w:sz="4" w:space="0"/>
              <w:right w:val="single" w:color="auto" w:sz="4" w:space="0"/>
            </w:tcBorders>
            <w:shd w:val="clear" w:color="auto" w:fill="auto"/>
            <w:vAlign w:val="center"/>
          </w:tcPr>
          <w:p w14:paraId="334E60B6">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784" w:type="dxa"/>
            <w:tcBorders>
              <w:top w:val="single" w:color="auto" w:sz="4" w:space="0"/>
              <w:left w:val="nil"/>
              <w:bottom w:val="single" w:color="auto" w:sz="4" w:space="0"/>
              <w:right w:val="single" w:color="auto" w:sz="4" w:space="0"/>
            </w:tcBorders>
            <w:shd w:val="clear" w:color="auto" w:fill="auto"/>
            <w:vAlign w:val="center"/>
          </w:tcPr>
          <w:p w14:paraId="7432CDC0">
            <w:pPr>
              <w:widowControl/>
              <w:adjustRightInd/>
              <w:spacing w:line="240" w:lineRule="auto"/>
              <w:jc w:val="center"/>
              <w:rPr>
                <w:rFonts w:hint="eastAsia" w:asciiTheme="minorEastAsia" w:hAnsiTheme="minorEastAsia" w:eastAsiaTheme="minorEastAsia" w:cstheme="minorEastAsia"/>
                <w:sz w:val="20"/>
                <w:szCs w:val="20"/>
              </w:rPr>
            </w:pPr>
          </w:p>
        </w:tc>
      </w:tr>
      <w:tr w14:paraId="32489B70">
        <w:tblPrEx>
          <w:tblCellMar>
            <w:top w:w="0" w:type="dxa"/>
            <w:left w:w="108" w:type="dxa"/>
            <w:bottom w:w="0" w:type="dxa"/>
            <w:right w:w="108" w:type="dxa"/>
          </w:tblCellMar>
        </w:tblPrEx>
        <w:trPr>
          <w:trHeight w:val="1400" w:hRule="atLeast"/>
          <w:jc w:val="center"/>
        </w:trPr>
        <w:tc>
          <w:tcPr>
            <w:tcW w:w="2011" w:type="dxa"/>
            <w:tcBorders>
              <w:top w:val="nil"/>
              <w:left w:val="single" w:color="auto" w:sz="4" w:space="0"/>
              <w:bottom w:val="single" w:color="auto" w:sz="4" w:space="0"/>
              <w:right w:val="single" w:color="auto" w:sz="4" w:space="0"/>
            </w:tcBorders>
            <w:shd w:val="clear" w:color="auto" w:fill="auto"/>
            <w:vAlign w:val="center"/>
          </w:tcPr>
          <w:p w14:paraId="26026641">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784" w:type="dxa"/>
            <w:tcBorders>
              <w:top w:val="single" w:color="auto" w:sz="4" w:space="0"/>
              <w:left w:val="nil"/>
              <w:bottom w:val="single" w:color="auto" w:sz="4" w:space="0"/>
              <w:right w:val="single" w:color="auto" w:sz="4" w:space="0"/>
            </w:tcBorders>
            <w:shd w:val="clear" w:color="auto" w:fill="auto"/>
            <w:vAlign w:val="center"/>
          </w:tcPr>
          <w:p w14:paraId="0F1FC5E3">
            <w:pPr>
              <w:widowControl/>
              <w:adjustRightInd/>
              <w:spacing w:line="240" w:lineRule="auto"/>
              <w:jc w:val="center"/>
              <w:rPr>
                <w:rFonts w:hint="eastAsia" w:asciiTheme="minorEastAsia" w:hAnsiTheme="minorEastAsia" w:eastAsiaTheme="minorEastAsia" w:cstheme="minorEastAsia"/>
                <w:sz w:val="20"/>
                <w:szCs w:val="20"/>
              </w:rPr>
            </w:pPr>
          </w:p>
        </w:tc>
      </w:tr>
      <w:tr w14:paraId="27D9D0FE">
        <w:tblPrEx>
          <w:tblCellMar>
            <w:top w:w="0" w:type="dxa"/>
            <w:left w:w="108" w:type="dxa"/>
            <w:bottom w:w="0" w:type="dxa"/>
            <w:right w:w="108" w:type="dxa"/>
          </w:tblCellMar>
        </w:tblPrEx>
        <w:trPr>
          <w:trHeight w:val="1130" w:hRule="atLeast"/>
          <w:jc w:val="center"/>
        </w:trPr>
        <w:tc>
          <w:tcPr>
            <w:tcW w:w="2011" w:type="dxa"/>
            <w:tcBorders>
              <w:top w:val="nil"/>
              <w:left w:val="single" w:color="auto" w:sz="4" w:space="0"/>
              <w:bottom w:val="single" w:color="auto" w:sz="4" w:space="0"/>
              <w:right w:val="single" w:color="auto" w:sz="4" w:space="0"/>
            </w:tcBorders>
            <w:shd w:val="clear" w:color="auto" w:fill="auto"/>
            <w:vAlign w:val="center"/>
          </w:tcPr>
          <w:p w14:paraId="78CAF17F">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784" w:type="dxa"/>
            <w:tcBorders>
              <w:top w:val="single" w:color="auto" w:sz="4" w:space="0"/>
              <w:left w:val="nil"/>
              <w:bottom w:val="single" w:color="auto" w:sz="4" w:space="0"/>
              <w:right w:val="single" w:color="auto" w:sz="4" w:space="0"/>
            </w:tcBorders>
            <w:shd w:val="clear" w:color="auto" w:fill="auto"/>
            <w:vAlign w:val="center"/>
          </w:tcPr>
          <w:p w14:paraId="33B96C78">
            <w:pPr>
              <w:widowControl/>
              <w:adjustRightInd/>
              <w:spacing w:line="240" w:lineRule="auto"/>
              <w:jc w:val="center"/>
              <w:rPr>
                <w:rFonts w:hint="eastAsia" w:asciiTheme="minorEastAsia" w:hAnsiTheme="minorEastAsia" w:eastAsiaTheme="minorEastAsia" w:cstheme="minorEastAsia"/>
                <w:sz w:val="20"/>
                <w:szCs w:val="20"/>
              </w:rPr>
            </w:pPr>
          </w:p>
        </w:tc>
      </w:tr>
    </w:tbl>
    <w:p w14:paraId="7FC377FC">
      <w:pPr>
        <w:rPr>
          <w:rFonts w:hint="eastAsia"/>
        </w:rPr>
      </w:pPr>
      <w:r>
        <w:rPr>
          <w:rFonts w:hint="eastAsia"/>
        </w:rPr>
        <w:t>注：1</w:t>
      </w:r>
      <w:r>
        <w:t>.</w:t>
      </w:r>
      <w:r>
        <w:rPr>
          <w:rFonts w:hint="eastAsia"/>
        </w:rPr>
        <w:t>参与本项目报名的供应商请将本表填写完整后发送至采购方联系人邮箱：</w:t>
      </w:r>
    </w:p>
    <w:p w14:paraId="4D38274A">
      <w:r>
        <w:fldChar w:fldCharType="begin"/>
      </w:r>
      <w:r>
        <w:instrText xml:space="preserve"> HYPERLINK "mailto:zouhui02@picclife.cn" </w:instrText>
      </w:r>
      <w:r>
        <w:fldChar w:fldCharType="separate"/>
      </w:r>
      <w:r>
        <w:t>zouhui02@picclife.cn</w:t>
      </w:r>
      <w:r>
        <w:rPr>
          <w:rFonts w:hint="default"/>
        </w:rPr>
        <w:fldChar w:fldCharType="end"/>
      </w:r>
      <w:r>
        <w:rPr>
          <w:rFonts w:hint="eastAsia"/>
          <w:lang w:val="en-US" w:eastAsia="zh-CN"/>
        </w:rPr>
        <w:t>并</w:t>
      </w:r>
      <w:r>
        <w:t>电话联系采购方负责人确认报名</w:t>
      </w:r>
      <w:r>
        <w:rPr>
          <w:rFonts w:hint="eastAsia"/>
        </w:rPr>
        <w:t>。</w:t>
      </w:r>
    </w:p>
    <w:p w14:paraId="0ADEFC07">
      <w:r>
        <w:rPr>
          <w:rFonts w:hint="eastAsia"/>
        </w:rPr>
        <w:t xml:space="preserve"> </w:t>
      </w:r>
      <w:r>
        <w:t xml:space="preserve">   2.报名时间以采购方收到报名邮件时间为准</w:t>
      </w:r>
      <w:r>
        <w:rPr>
          <w:rFonts w:hint="eastAsia"/>
        </w:rPr>
        <w:t>。</w:t>
      </w:r>
    </w:p>
    <w:sectPr>
      <w:pgSz w:w="11906" w:h="16838"/>
      <w:pgMar w:top="1440" w:right="1701" w:bottom="1440" w:left="1701"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Verdana">
    <w:panose1 w:val="020B0604030504040204"/>
    <w:charset w:val="00"/>
    <w:family w:val="auto"/>
    <w:pitch w:val="default"/>
    <w:sig w:usb0="A00006FF" w:usb1="4000205B" w:usb2="00000010" w:usb3="00000000" w:csb0="2000019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1F661EB"/>
    <w:rsid w:val="289911BD"/>
    <w:rsid w:val="3BD7444E"/>
    <w:rsid w:val="3E4B1EF2"/>
    <w:rsid w:val="462421AE"/>
    <w:rsid w:val="48180B08"/>
    <w:rsid w:val="59D316E3"/>
    <w:rsid w:val="61DD2646"/>
    <w:rsid w:val="6B16226D"/>
    <w:rsid w:val="76A34233"/>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character" w:styleId="6">
    <w:name w:val="Hyperlink"/>
    <w:basedOn w:val="5"/>
    <w:qFormat/>
    <w:uiPriority w:val="0"/>
    <w:rPr>
      <w:color w:val="0000FF"/>
      <w:u w:val="single"/>
    </w:rPr>
  </w:style>
  <w:style w:type="paragraph" w:customStyle="1" w:styleId="7">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168</Words>
  <Characters>184</Characters>
  <Lines>0</Lines>
  <Paragraphs>0</Paragraphs>
  <TotalTime>152</TotalTime>
  <ScaleCrop>false</ScaleCrop>
  <LinksUpToDate>false</LinksUpToDate>
  <CharactersWithSpaces>189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邹慧</cp:lastModifiedBy>
  <dcterms:modified xsi:type="dcterms:W3CDTF">2026-10-14T06:09:03Z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AFC07F81F3E44AAEA9BB90082F9CF921_13</vt:lpwstr>
  </property>
  <property fmtid="{D5CDD505-2E9C-101B-9397-08002B2CF9AE}" pid="4" name="KSOTemplateDocerSaveRecord">
    <vt:lpwstr>eyJoZGlkIjoiZjZhY2QyN2ViMjI1YjEwNWFmOTU1ZDU5Y2IzZjNkM2IiLCJ1c2VySWQiOiIxMTI3NDcyMDA5In0=</vt:lpwstr>
  </property>
</Properties>
</file>