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华文中宋" w:hAnsi="华文中宋" w:eastAsia="华文中宋"/>
          <w:b/>
          <w:sz w:val="44"/>
          <w:szCs w:val="44"/>
        </w:rPr>
      </w:pPr>
      <w:r>
        <w:rPr>
          <w:rFonts w:hint="eastAsia" w:ascii="华文中宋" w:hAnsi="华文中宋" w:eastAsia="华文中宋"/>
          <w:b/>
          <w:sz w:val="44"/>
          <w:szCs w:val="44"/>
          <w:lang w:val="en-US" w:eastAsia="zh-CN"/>
        </w:rPr>
        <w:t>人保财险</w:t>
      </w:r>
      <w:r>
        <w:rPr>
          <w:rFonts w:hint="eastAsia" w:ascii="华文中宋" w:hAnsi="华文中宋" w:eastAsia="华文中宋"/>
          <w:b/>
          <w:sz w:val="44"/>
          <w:szCs w:val="44"/>
          <w:lang w:val="en-US" w:eastAsia="zh-CN"/>
        </w:rPr>
        <w:t>广东省云浮市分公司2026年短期物业服务采购</w:t>
      </w:r>
      <w:r>
        <w:rPr>
          <w:rFonts w:hint="eastAsia" w:ascii="华文中宋" w:hAnsi="华文中宋" w:eastAsia="华文中宋"/>
          <w:b/>
          <w:sz w:val="44"/>
          <w:szCs w:val="44"/>
          <w:lang w:val="en-US" w:eastAsia="zh-CN"/>
        </w:rPr>
        <w:t>项目</w:t>
      </w:r>
      <w:r>
        <w:rPr>
          <w:rFonts w:hint="eastAsia" w:ascii="华文中宋" w:hAnsi="华文中宋" w:eastAsia="华文中宋"/>
          <w:b/>
          <w:sz w:val="44"/>
          <w:szCs w:val="44"/>
          <w:lang w:val="en-US" w:eastAsia="zh-CN"/>
        </w:rPr>
        <w:t>比选</w:t>
      </w:r>
      <w:r>
        <w:rPr>
          <w:rFonts w:hint="eastAsia" w:ascii="华文中宋" w:hAnsi="华文中宋" w:eastAsia="华文中宋"/>
          <w:b/>
          <w:sz w:val="44"/>
          <w:szCs w:val="44"/>
        </w:rPr>
        <w:t>公告</w:t>
      </w:r>
    </w:p>
    <w:p>
      <w:pPr>
        <w:wordWrap w:val="0"/>
        <w:spacing w:line="360" w:lineRule="auto"/>
        <w:ind w:firstLine="480" w:firstLineChars="200"/>
        <w:textAlignment w:val="baseline"/>
        <w:rPr>
          <w:rFonts w:hint="eastAsia" w:ascii="仿宋" w:hAnsi="仿宋" w:eastAsia="仿宋" w:cs="仿宋"/>
          <w:color w:val="000000"/>
          <w:sz w:val="24"/>
        </w:rPr>
      </w:pPr>
    </w:p>
    <w:p>
      <w:pPr>
        <w:pStyle w:val="3"/>
        <w:ind w:firstLine="0" w:firstLineChars="0"/>
        <w:jc w:val="left"/>
        <w:rPr>
          <w:rFonts w:hint="eastAsia" w:ascii="仿宋" w:hAnsi="仿宋" w:eastAsia="仿宋" w:cs="仿宋"/>
          <w:color w:val="000000"/>
          <w:sz w:val="24"/>
          <w:szCs w:val="24"/>
        </w:rPr>
      </w:pPr>
      <w:bookmarkStart w:id="0" w:name="_Toc120612918"/>
      <w:bookmarkStart w:id="1" w:name="_Toc26488"/>
      <w:r>
        <w:rPr>
          <w:rFonts w:hint="eastAsia" w:ascii="仿宋" w:hAnsi="仿宋" w:eastAsia="仿宋" w:cs="仿宋"/>
          <w:color w:val="000000"/>
          <w:sz w:val="24"/>
          <w:szCs w:val="24"/>
        </w:rPr>
        <w:t>一、项目概况与采购范围</w:t>
      </w:r>
      <w:bookmarkEnd w:id="0"/>
      <w:bookmarkEnd w:id="1"/>
    </w:p>
    <w:p>
      <w:pPr>
        <w:adjustRightInd w:val="0"/>
        <w:snapToGrid w:val="0"/>
        <w:spacing w:line="360" w:lineRule="auto"/>
        <w:ind w:firstLine="480" w:firstLineChars="200"/>
        <w:jc w:val="left"/>
        <w:rPr>
          <w:rFonts w:hint="eastAsia" w:ascii="仿宋" w:hAnsi="仿宋" w:eastAsia="仿宋" w:cs="仿宋"/>
          <w:color w:val="000000"/>
          <w:sz w:val="24"/>
        </w:rPr>
      </w:pPr>
      <w:bookmarkStart w:id="2" w:name="_Hlk77264910"/>
      <w:r>
        <w:rPr>
          <w:rFonts w:hint="eastAsia" w:ascii="仿宋" w:hAnsi="仿宋" w:eastAsia="仿宋" w:cs="仿宋"/>
          <w:color w:val="000000"/>
          <w:sz w:val="24"/>
        </w:rPr>
        <w:t>1.1 项目名称：人保财险广东省云浮市分公司2026年短期物业服务</w:t>
      </w:r>
      <w:r>
        <w:rPr>
          <w:rFonts w:hint="eastAsia" w:ascii="仿宋" w:hAnsi="仿宋" w:eastAsia="仿宋" w:cs="仿宋"/>
          <w:color w:val="000000"/>
          <w:sz w:val="24"/>
          <w:lang w:val="en-US" w:eastAsia="zh-CN"/>
        </w:rPr>
        <w:t>采购</w:t>
      </w:r>
      <w:r>
        <w:rPr>
          <w:rFonts w:hint="eastAsia" w:ascii="仿宋" w:hAnsi="仿宋" w:eastAsia="仿宋" w:cs="仿宋"/>
          <w:color w:val="000000"/>
          <w:sz w:val="24"/>
        </w:rPr>
        <w:t>项目</w:t>
      </w:r>
      <w:r>
        <w:rPr>
          <w:rFonts w:hint="eastAsia" w:ascii="仿宋" w:hAnsi="仿宋" w:eastAsia="仿宋" w:cs="仿宋"/>
          <w:color w:val="000000"/>
          <w:sz w:val="24"/>
        </w:rPr>
        <w:t>。</w:t>
      </w:r>
    </w:p>
    <w:p>
      <w:pPr>
        <w:pStyle w:val="14"/>
        <w:pageBreakBefore w:val="0"/>
        <w:widowControl/>
        <w:kinsoku/>
        <w:wordWrap/>
        <w:overflowPunct/>
        <w:topLinePunct w:val="0"/>
        <w:autoSpaceDE/>
        <w:autoSpaceDN/>
        <w:bidi w:val="0"/>
        <w:adjustRightInd w:val="0"/>
        <w:snapToGrid w:val="0"/>
        <w:spacing w:before="0" w:after="0" w:line="600" w:lineRule="exact"/>
        <w:ind w:left="0" w:firstLine="480" w:firstLineChars="200"/>
        <w:jc w:val="both"/>
        <w:textAlignment w:val="auto"/>
        <w:rPr>
          <w:rFonts w:hint="eastAsia" w:ascii="仿宋" w:hAnsi="仿宋" w:eastAsia="仿宋" w:cs="仿宋"/>
          <w:color w:val="auto"/>
          <w:sz w:val="24"/>
        </w:rPr>
      </w:pPr>
      <w:r>
        <w:rPr>
          <w:rFonts w:hint="eastAsia" w:ascii="仿宋" w:hAnsi="仿宋" w:eastAsia="仿宋" w:cs="仿宋"/>
          <w:color w:val="000000"/>
          <w:sz w:val="24"/>
        </w:rPr>
        <w:t>1.2 采购范围：本项目拟选定</w:t>
      </w:r>
      <w:r>
        <w:rPr>
          <w:rFonts w:hint="eastAsia" w:ascii="仿宋" w:hAnsi="仿宋" w:eastAsia="仿宋" w:cs="仿宋"/>
          <w:color w:val="FF0000"/>
          <w:sz w:val="24"/>
          <w:lang w:val="en-US" w:eastAsia="zh-CN"/>
        </w:rPr>
        <w:t>1</w:t>
      </w:r>
      <w:r>
        <w:rPr>
          <w:rFonts w:hint="eastAsia" w:ascii="仿宋" w:hAnsi="仿宋" w:eastAsia="仿宋" w:cs="仿宋"/>
          <w:color w:val="000000"/>
          <w:sz w:val="24"/>
        </w:rPr>
        <w:t>家供应商</w:t>
      </w: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为采购人提供为期2个月的物业服务，延续原物业服务合同约定的安保、保洁核心服务内容，服务范围覆盖公司约定范围内的全部办公区域、公共场地、配套停车场及附属区域</w:t>
      </w:r>
      <w:r>
        <w:rPr>
          <w:rFonts w:hint="eastAsia" w:ascii="仿宋" w:hAnsi="仿宋" w:eastAsia="仿宋" w:cs="仿宋"/>
          <w:color w:val="000000"/>
          <w:sz w:val="24"/>
          <w:lang w:eastAsia="zh-CN"/>
        </w:rPr>
        <w:t>。</w:t>
      </w:r>
      <w:r>
        <w:rPr>
          <w:rFonts w:hint="eastAsia" w:ascii="仿宋" w:hAnsi="仿宋" w:eastAsia="仿宋" w:cs="仿宋"/>
          <w:color w:val="000000"/>
          <w:sz w:val="24"/>
        </w:rPr>
        <w:t>（具体采购内</w:t>
      </w:r>
      <w:r>
        <w:rPr>
          <w:rFonts w:hint="eastAsia" w:ascii="仿宋" w:hAnsi="仿宋" w:eastAsia="仿宋" w:cs="仿宋"/>
          <w:color w:val="auto"/>
          <w:sz w:val="24"/>
        </w:rPr>
        <w:t>容及要求详见本</w:t>
      </w:r>
      <w:r>
        <w:rPr>
          <w:rFonts w:hint="eastAsia" w:ascii="仿宋" w:hAnsi="仿宋" w:eastAsia="仿宋" w:cs="仿宋"/>
          <w:color w:val="auto"/>
          <w:sz w:val="24"/>
          <w:lang w:eastAsia="zh-CN"/>
        </w:rPr>
        <w:t>比选采购</w:t>
      </w:r>
      <w:r>
        <w:rPr>
          <w:rFonts w:hint="eastAsia" w:ascii="仿宋" w:hAnsi="仿宋" w:eastAsia="仿宋" w:cs="仿宋"/>
          <w:color w:val="auto"/>
          <w:sz w:val="24"/>
        </w:rPr>
        <w:t>采购文件第三章项目需求）</w:t>
      </w:r>
    </w:p>
    <w:p>
      <w:pPr>
        <w:adjustRightInd w:val="0"/>
        <w:snapToGrid w:val="0"/>
        <w:spacing w:line="360" w:lineRule="auto"/>
        <w:ind w:firstLine="480" w:firstLineChars="200"/>
        <w:jc w:val="left"/>
        <w:rPr>
          <w:rFonts w:ascii="仿宋" w:hAnsi="仿宋" w:eastAsia="仿宋" w:cs="仿宋"/>
          <w:color w:val="auto"/>
          <w:sz w:val="24"/>
        </w:rPr>
      </w:pPr>
      <w:r>
        <w:rPr>
          <w:rFonts w:hint="eastAsia" w:ascii="仿宋" w:hAnsi="仿宋" w:eastAsia="仿宋" w:cs="仿宋"/>
          <w:color w:val="auto"/>
          <w:sz w:val="24"/>
        </w:rPr>
        <w:t>1.3 标包划分：</w:t>
      </w:r>
      <w:bookmarkStart w:id="3" w:name="_Hlk116981841"/>
      <w:r>
        <w:rPr>
          <w:rFonts w:hint="eastAsia" w:ascii="仿宋" w:hAnsi="仿宋" w:eastAsia="仿宋" w:cs="仿宋"/>
          <w:color w:val="auto"/>
          <w:sz w:val="24"/>
        </w:rPr>
        <w:t>本项目不划分标包</w:t>
      </w:r>
      <w:bookmarkEnd w:id="3"/>
      <w:r>
        <w:rPr>
          <w:rFonts w:hint="eastAsia" w:ascii="仿宋" w:hAnsi="仿宋" w:eastAsia="仿宋" w:cs="仿宋"/>
          <w:color w:val="auto"/>
          <w:sz w:val="24"/>
          <w:lang w:val="en-US" w:eastAsia="zh-CN"/>
        </w:rPr>
        <w:t>.</w:t>
      </w:r>
    </w:p>
    <w:p>
      <w:pPr>
        <w:adjustRightInd w:val="0"/>
        <w:snapToGrid w:val="0"/>
        <w:spacing w:before="240" w:line="360" w:lineRule="auto"/>
        <w:ind w:firstLine="480" w:firstLineChars="200"/>
        <w:jc w:val="left"/>
        <w:rPr>
          <w:rFonts w:ascii="仿宋" w:hAnsi="仿宋" w:eastAsia="仿宋" w:cs="仿宋"/>
          <w:color w:val="auto"/>
          <w:sz w:val="24"/>
        </w:rPr>
      </w:pPr>
      <w:r>
        <w:rPr>
          <w:rFonts w:ascii="仿宋" w:hAnsi="仿宋" w:eastAsia="仿宋" w:cs="仿宋"/>
          <w:color w:val="auto"/>
          <w:sz w:val="24"/>
        </w:rPr>
        <w:t>1.4</w:t>
      </w:r>
      <w:r>
        <w:rPr>
          <w:rFonts w:ascii="仿宋" w:hAnsi="仿宋" w:cs="仿宋"/>
          <w:color w:val="auto"/>
          <w:sz w:val="24"/>
        </w:rPr>
        <w:t xml:space="preserve"> </w:t>
      </w:r>
      <w:r>
        <w:rPr>
          <w:rFonts w:hint="eastAsia" w:ascii="仿宋" w:hAnsi="仿宋" w:eastAsia="仿宋" w:cs="仿宋"/>
          <w:color w:val="auto"/>
          <w:sz w:val="24"/>
        </w:rPr>
        <w:t>项目性质：服务。</w:t>
      </w:r>
    </w:p>
    <w:p>
      <w:pPr>
        <w:spacing w:line="360" w:lineRule="auto"/>
        <w:ind w:firstLine="480" w:firstLineChars="200"/>
        <w:textAlignment w:val="baseline"/>
        <w:rPr>
          <w:rFonts w:ascii="仿宋" w:hAnsi="仿宋" w:eastAsia="仿宋" w:cs="宋体"/>
          <w:color w:val="auto"/>
          <w:sz w:val="24"/>
        </w:rPr>
      </w:pPr>
      <w:r>
        <w:rPr>
          <w:rFonts w:hint="eastAsia" w:ascii="仿宋" w:hAnsi="仿宋" w:eastAsia="仿宋" w:cs="仿宋"/>
          <w:color w:val="auto"/>
          <w:sz w:val="24"/>
        </w:rPr>
        <w:t>1.</w:t>
      </w:r>
      <w:r>
        <w:rPr>
          <w:rFonts w:ascii="仿宋" w:hAnsi="仿宋" w:eastAsia="仿宋" w:cs="仿宋"/>
          <w:color w:val="auto"/>
          <w:sz w:val="24"/>
        </w:rPr>
        <w:t>5</w:t>
      </w:r>
      <w:r>
        <w:rPr>
          <w:rFonts w:hint="eastAsia" w:ascii="仿宋" w:hAnsi="仿宋" w:eastAsia="仿宋" w:cs="宋体"/>
          <w:color w:val="auto"/>
          <w:sz w:val="24"/>
        </w:rPr>
        <w:t>服务期限：</w:t>
      </w:r>
      <w:r>
        <w:rPr>
          <w:rFonts w:hint="eastAsia" w:ascii="仿宋" w:hAnsi="仿宋" w:eastAsia="仿宋" w:cs="仿宋"/>
          <w:color w:val="auto"/>
          <w:sz w:val="24"/>
        </w:rPr>
        <w:t>服务周期自2026年11月3日起至2027年1月2日止，合同到期自动终止，不予续期。</w:t>
      </w:r>
    </w:p>
    <w:p>
      <w:pPr>
        <w:pStyle w:val="14"/>
        <w:pageBreakBefore w:val="0"/>
        <w:widowControl/>
        <w:kinsoku/>
        <w:wordWrap/>
        <w:overflowPunct/>
        <w:topLinePunct w:val="0"/>
        <w:autoSpaceDE/>
        <w:autoSpaceDN/>
        <w:bidi w:val="0"/>
        <w:adjustRightInd w:val="0"/>
        <w:snapToGrid w:val="0"/>
        <w:spacing w:before="0" w:after="0" w:line="600" w:lineRule="exact"/>
        <w:ind w:left="0"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6</w:t>
      </w:r>
      <w:r>
        <w:rPr>
          <w:rFonts w:hint="eastAsia" w:ascii="仿宋" w:hAnsi="仿宋" w:eastAsia="仿宋" w:cs="仿宋"/>
          <w:color w:val="000000"/>
          <w:sz w:val="24"/>
        </w:rPr>
        <w:t>实施地点：</w:t>
      </w:r>
      <w:bookmarkEnd w:id="2"/>
      <w:bookmarkStart w:id="4" w:name="_Toc120612919"/>
      <w:bookmarkStart w:id="5" w:name="_Toc19236"/>
      <w:r>
        <w:rPr>
          <w:rFonts w:hint="eastAsia" w:ascii="仿宋" w:hAnsi="仿宋" w:eastAsia="仿宋" w:cs="仿宋"/>
          <w:color w:val="000000"/>
          <w:sz w:val="24"/>
        </w:rPr>
        <w:t>合计建筑面积22800.52平方米：</w:t>
      </w:r>
    </w:p>
    <w:p>
      <w:pPr>
        <w:pStyle w:val="14"/>
        <w:pageBreakBefore w:val="0"/>
        <w:widowControl/>
        <w:kinsoku/>
        <w:wordWrap/>
        <w:overflowPunct/>
        <w:topLinePunct w:val="0"/>
        <w:autoSpaceDE/>
        <w:autoSpaceDN/>
        <w:bidi w:val="0"/>
        <w:adjustRightInd w:val="0"/>
        <w:snapToGrid w:val="0"/>
        <w:spacing w:before="0" w:after="0" w:line="600" w:lineRule="exact"/>
        <w:ind w:left="0"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云浮市云城区浩林东路2号本部，建筑面积8057.6㎡；</w:t>
      </w:r>
    </w:p>
    <w:p>
      <w:pPr>
        <w:pStyle w:val="14"/>
        <w:pageBreakBefore w:val="0"/>
        <w:widowControl/>
        <w:kinsoku/>
        <w:wordWrap/>
        <w:overflowPunct/>
        <w:topLinePunct w:val="0"/>
        <w:autoSpaceDE/>
        <w:autoSpaceDN/>
        <w:bidi w:val="0"/>
        <w:adjustRightInd w:val="0"/>
        <w:snapToGrid w:val="0"/>
        <w:spacing w:before="0" w:after="0" w:line="600" w:lineRule="exact"/>
        <w:ind w:left="0"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罗定市兴华一路48号罗定支公司，建筑面积4500㎡；</w:t>
      </w:r>
    </w:p>
    <w:p>
      <w:pPr>
        <w:pStyle w:val="14"/>
        <w:pageBreakBefore w:val="0"/>
        <w:widowControl/>
        <w:kinsoku/>
        <w:wordWrap/>
        <w:overflowPunct/>
        <w:topLinePunct w:val="0"/>
        <w:autoSpaceDE/>
        <w:autoSpaceDN/>
        <w:bidi w:val="0"/>
        <w:adjustRightInd w:val="0"/>
        <w:snapToGrid w:val="0"/>
        <w:spacing w:before="0" w:after="0" w:line="600" w:lineRule="exact"/>
        <w:ind w:left="0"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新兴县新洲大道南36号新兴支公司，建筑面积6180㎡；</w:t>
      </w:r>
    </w:p>
    <w:p>
      <w:pPr>
        <w:pStyle w:val="14"/>
        <w:pageBreakBefore w:val="0"/>
        <w:widowControl/>
        <w:kinsoku/>
        <w:wordWrap/>
        <w:overflowPunct/>
        <w:topLinePunct w:val="0"/>
        <w:autoSpaceDE/>
        <w:autoSpaceDN/>
        <w:bidi w:val="0"/>
        <w:adjustRightInd w:val="0"/>
        <w:snapToGrid w:val="0"/>
        <w:spacing w:before="0" w:after="0" w:line="600" w:lineRule="exact"/>
        <w:ind w:left="0"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郁南县大堤路69号郁南支公司，建筑面积3162.92㎡；</w:t>
      </w:r>
    </w:p>
    <w:p>
      <w:pPr>
        <w:spacing w:line="360" w:lineRule="auto"/>
        <w:ind w:firstLine="480" w:firstLineChars="200"/>
        <w:jc w:val="left"/>
        <w:textAlignment w:val="baseline"/>
        <w:rPr>
          <w:rFonts w:hint="eastAsia" w:ascii="仿宋" w:hAnsi="仿宋" w:eastAsia="仿宋" w:cs="仿宋"/>
          <w:color w:val="FF0000"/>
          <w:sz w:val="24"/>
        </w:rPr>
      </w:pPr>
      <w:r>
        <w:rPr>
          <w:rFonts w:hint="eastAsia" w:ascii="仿宋" w:hAnsi="仿宋" w:eastAsia="仿宋" w:cs="仿宋"/>
          <w:color w:val="000000"/>
          <w:sz w:val="24"/>
        </w:rPr>
        <w:t>云安区港城大道29号云安支公司，建筑面积900㎡。</w:t>
      </w:r>
    </w:p>
    <w:p>
      <w:pPr>
        <w:spacing w:line="360" w:lineRule="auto"/>
        <w:textAlignment w:val="baseline"/>
        <w:rPr>
          <w:b/>
          <w:bCs/>
        </w:rPr>
      </w:pPr>
      <w:r>
        <w:rPr>
          <w:rFonts w:hint="eastAsia" w:ascii="仿宋" w:hAnsi="仿宋" w:eastAsia="仿宋" w:cs="仿宋"/>
          <w:b/>
          <w:bCs/>
          <w:color w:val="000000"/>
          <w:sz w:val="24"/>
          <w:szCs w:val="24"/>
        </w:rPr>
        <w:t>二、</w:t>
      </w:r>
      <w:r>
        <w:rPr>
          <w:rFonts w:hint="eastAsia" w:ascii="仿宋" w:hAnsi="仿宋" w:eastAsia="仿宋" w:cs="仿宋"/>
          <w:b/>
          <w:bCs/>
          <w:color w:val="000000"/>
          <w:sz w:val="24"/>
          <w:szCs w:val="24"/>
          <w:lang w:val="en-US" w:eastAsia="zh-CN"/>
        </w:rPr>
        <w:t>响应方的</w:t>
      </w:r>
      <w:r>
        <w:rPr>
          <w:rFonts w:hint="eastAsia" w:ascii="仿宋" w:hAnsi="仿宋" w:eastAsia="仿宋" w:cs="仿宋"/>
          <w:b/>
          <w:bCs/>
          <w:color w:val="000000"/>
          <w:sz w:val="24"/>
          <w:szCs w:val="24"/>
        </w:rPr>
        <w:t>资格要求</w:t>
      </w:r>
      <w:bookmarkEnd w:id="4"/>
      <w:bookmarkEnd w:id="5"/>
      <w:bookmarkStart w:id="6" w:name="_Toc120612920"/>
      <w:bookmarkStart w:id="7" w:name="_Toc30804"/>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2.1在中华人民共和国境内依法登记的法人或其他组织，响应方如为企业法人，须提供企业法人营业执照（复印件）,分支机构参与响应的，须取得具有法人资格的总公司(或机构)出具给分支机构的授权书，并提供总公司(或机构)和分支机构的营业执照复印件;响应方如为事业单位或其他组织，须提供事业单位法人证书或登记证或组织机构代码证或其他有效证明文件（复印件）；</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2.2具有良好的商业信誉和健全的财务会计制度,需提供2025年度经会计师事务所或审计机构审计的财务审计报告及财务报表（至少包含会计师事务所或审计机构签章页、资产负债表、现金流量表、损益表/利润表）或提供响应文件递交截止日前6个月内开具的银行资信证明；</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xml:space="preserve">2.3供应商应具有履行合同所必需的设备和专业技术能力，近三年（2023年1月1日至今）应具有1个同类项目（非住宅类项目）实施案例，并提供符合上述要求的合同关键页作为有效的业绩证明材料。合同关键页包含但不限于合同首页、合同标的页、签署日期页及盖章页等； </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2.4具有依法缴纳税收和社会保障资金的良好记录，提供近6个月任意一个月的税收和社会保障资金缴纳凭证；</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2.5供应商应经营状况良好，且近三年内（2023年1月1日至今）无违法违规记录。违法违规记录是指被“信用中国”列入失信被执行人、重大税收违法失信主体、政府采购严重违法失信行为记录名单。供应商需提供自比选采购公告发布之日至响应文件递交截止之日期间对以上三项内容的查询截图。信用中国查询网址：</w:t>
      </w:r>
      <w:r>
        <w:rPr>
          <w:rFonts w:hint="eastAsia" w:ascii="仿宋" w:hAnsi="仿宋" w:eastAsia="仿宋" w:cs="仿宋"/>
          <w:color w:val="000000"/>
          <w:kern w:val="2"/>
          <w:sz w:val="24"/>
          <w:szCs w:val="24"/>
          <w:lang w:val="en-US" w:eastAsia="zh-CN" w:bidi="ar-SA"/>
        </w:rPr>
        <w:fldChar w:fldCharType="begin"/>
      </w:r>
      <w:r>
        <w:rPr>
          <w:rFonts w:hint="eastAsia" w:ascii="仿宋" w:hAnsi="仿宋" w:eastAsia="仿宋" w:cs="仿宋"/>
          <w:color w:val="000000"/>
          <w:kern w:val="2"/>
          <w:sz w:val="24"/>
          <w:szCs w:val="24"/>
          <w:lang w:val="en-US" w:eastAsia="zh-CN" w:bidi="ar-SA"/>
        </w:rPr>
        <w:instrText xml:space="preserve"> HYPERLINK "https://www.creditchina.gov.cn/zhuanxiangchaxun/" </w:instrText>
      </w:r>
      <w:r>
        <w:rPr>
          <w:rFonts w:hint="eastAsia" w:ascii="仿宋" w:hAnsi="仿宋" w:eastAsia="仿宋" w:cs="仿宋"/>
          <w:color w:val="000000"/>
          <w:kern w:val="2"/>
          <w:sz w:val="24"/>
          <w:szCs w:val="24"/>
          <w:lang w:val="en-US" w:eastAsia="zh-CN" w:bidi="ar-SA"/>
        </w:rPr>
        <w:fldChar w:fldCharType="separate"/>
      </w:r>
      <w:r>
        <w:rPr>
          <w:rFonts w:hint="eastAsia" w:ascii="仿宋" w:hAnsi="仿宋" w:eastAsia="仿宋" w:cs="仿宋"/>
          <w:color w:val="000000"/>
          <w:kern w:val="2"/>
          <w:sz w:val="24"/>
          <w:szCs w:val="24"/>
          <w:lang w:val="en-US" w:eastAsia="zh-CN" w:bidi="ar-SA"/>
        </w:rPr>
        <w:t>https://www.creditchina.gov.cn/zhuanxiangchaxun/</w:t>
      </w:r>
      <w:r>
        <w:rPr>
          <w:rFonts w:hint="eastAsia" w:ascii="仿宋" w:hAnsi="仿宋" w:eastAsia="仿宋" w:cs="仿宋"/>
          <w:color w:val="000000"/>
          <w:kern w:val="2"/>
          <w:sz w:val="24"/>
          <w:szCs w:val="24"/>
          <w:lang w:val="en-US" w:eastAsia="zh-CN" w:bidi="ar-SA"/>
        </w:rPr>
        <w:fldChar w:fldCharType="end"/>
      </w:r>
      <w:r>
        <w:rPr>
          <w:rFonts w:hint="eastAsia" w:ascii="仿宋" w:hAnsi="仿宋" w:eastAsia="仿宋" w:cs="仿宋"/>
          <w:color w:val="000000"/>
          <w:kern w:val="2"/>
          <w:sz w:val="24"/>
          <w:szCs w:val="24"/>
          <w:lang w:val="en-US" w:eastAsia="zh-CN" w:bidi="ar-SA"/>
        </w:rPr>
        <w:t>(以评审小组于文件递交截止日当天在“中国执行信息公开网”(zxgk.court.gov.cn)、“信用中国”网站(www.creditchina.gov.cn)查询结果为准，如相关失信记录已失效，供应商需提供相关证明资料)。</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2.6严禁列入采购人及其所隶属的中国人民保险各级机构的供应商黑名单且在禁入期内的供应商参与采购活动,提供未列入供应商黑名单且未在禁入期承诺函。</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仿宋"/>
          <w:color w:val="000000"/>
          <w:kern w:val="2"/>
          <w:sz w:val="24"/>
          <w:szCs w:val="24"/>
          <w:lang w:val="en-US" w:eastAsia="zh-CN" w:bidi="ar-SA"/>
        </w:rPr>
      </w:pPr>
      <w:bookmarkStart w:id="8" w:name="OLE_LINK2"/>
      <w:r>
        <w:rPr>
          <w:rFonts w:hint="eastAsia" w:ascii="仿宋" w:hAnsi="仿宋" w:eastAsia="仿宋" w:cs="仿宋"/>
          <w:color w:val="000000"/>
          <w:kern w:val="2"/>
          <w:sz w:val="24"/>
          <w:szCs w:val="24"/>
          <w:lang w:val="en-US" w:eastAsia="zh-CN" w:bidi="ar-SA"/>
        </w:rPr>
        <w:t>2.7单位负责人为同一人或存在控股、管理关系的不同单位，不得参加同一标包响应或未划分标包的同一采购项目响应，应填写《响应方声明函》。</w:t>
      </w:r>
    </w:p>
    <w:bookmarkEnd w:id="8"/>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2.8响应方法定代表人参与响应或谈判的，须在响应文件中提供法定代表人身份证明书；响应方委派授权代表参与谈判的，须在响应文件中提供法定</w:t>
      </w:r>
      <w:bookmarkStart w:id="15" w:name="_GoBack"/>
      <w:bookmarkEnd w:id="15"/>
      <w:r>
        <w:rPr>
          <w:rFonts w:hint="eastAsia" w:ascii="仿宋" w:hAnsi="仿宋" w:eastAsia="仿宋" w:cs="仿宋"/>
          <w:color w:val="000000"/>
          <w:kern w:val="2"/>
          <w:sz w:val="24"/>
          <w:szCs w:val="24"/>
          <w:lang w:val="en-US" w:eastAsia="zh-CN" w:bidi="ar-SA"/>
        </w:rPr>
        <w:t>代表人身份证明书和法定代表人授权书。</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2.9本项目不接受联合体比选响应，提供响应声明承诺函。</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kern w:val="2"/>
          <w:sz w:val="24"/>
          <w:szCs w:val="24"/>
          <w:lang w:val="en-US" w:eastAsia="zh-CN" w:bidi="ar-SA"/>
        </w:rPr>
      </w:pPr>
    </w:p>
    <w:bookmarkEnd w:id="6"/>
    <w:bookmarkEnd w:id="7"/>
    <w:p>
      <w:pPr>
        <w:pStyle w:val="8"/>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项目报名及获取采购文件</w:t>
      </w:r>
      <w:bookmarkStart w:id="9" w:name="_Toc120612922"/>
      <w:bookmarkStart w:id="10" w:name="_Toc3321"/>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3.1报名时间：2</w:t>
      </w:r>
      <w:r>
        <w:rPr>
          <w:rFonts w:hint="eastAsia" w:ascii="仿宋" w:hAnsi="仿宋" w:eastAsia="仿宋" w:cs="仿宋"/>
          <w:b w:val="0"/>
          <w:bCs w:val="0"/>
          <w:color w:val="auto"/>
          <w:sz w:val="24"/>
          <w:szCs w:val="24"/>
          <w:lang w:val="en-US" w:eastAsia="zh-CN"/>
        </w:rPr>
        <w:t>026年10月15日 至 2026年10月19日，每天上午08:00至12:00，下午14:00至18:00。（北京时间，法定节假日除外）拟报名参加本项目的供应商，请登录“人保e采”外网门户（ec.picc.com）申请注册入库，审核通过后进行项目报名（相关详见“人保e采”外网门户的《人保e采管理系统供应商入库操作指南》）。</w:t>
      </w:r>
    </w:p>
    <w:p>
      <w:pPr>
        <w:pStyle w:val="3"/>
        <w:ind w:firstLine="480" w:firstLineChars="200"/>
        <w:jc w:val="lef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3.2采购文件获取方式：有意向参与本项目响应的供应商请在上述规定时间内联系采购人办理相关登记手续并获取采购文件。（报名登记表格式详见公告附件）</w:t>
      </w:r>
    </w:p>
    <w:p>
      <w:pPr>
        <w:ind w:firstLine="482" w:firstLineChars="200"/>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3.3若供应商未按上述要求报名并获取采购文件，其响应将不被接受。</w:t>
      </w:r>
    </w:p>
    <w:p>
      <w:pPr>
        <w:pStyle w:val="3"/>
        <w:ind w:left="0" w:leftChars="0" w:firstLine="0" w:firstLineChars="0"/>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四</w:t>
      </w:r>
      <w:r>
        <w:rPr>
          <w:rFonts w:hint="eastAsia" w:ascii="仿宋" w:hAnsi="仿宋" w:eastAsia="仿宋" w:cs="仿宋"/>
          <w:b/>
          <w:bCs/>
          <w:color w:val="auto"/>
          <w:sz w:val="24"/>
          <w:szCs w:val="24"/>
        </w:rPr>
        <w:t>、响应文件的递交</w:t>
      </w:r>
      <w:bookmarkEnd w:id="9"/>
      <w:bookmarkEnd w:id="10"/>
    </w:p>
    <w:p>
      <w:pPr>
        <w:spacing w:line="360" w:lineRule="auto"/>
        <w:ind w:firstLine="480" w:firstLineChars="200"/>
        <w:textAlignment w:val="baseline"/>
        <w:rPr>
          <w:rFonts w:hint="eastAsia" w:ascii="仿宋" w:hAnsi="仿宋" w:eastAsia="仿宋" w:cs="宋体"/>
          <w:color w:val="auto"/>
          <w:sz w:val="24"/>
          <w:highlight w:val="none"/>
        </w:rPr>
      </w:pPr>
      <w:bookmarkStart w:id="11" w:name="_Toc120612923"/>
      <w:r>
        <w:rPr>
          <w:rFonts w:hint="eastAsia" w:ascii="仿宋" w:hAnsi="仿宋" w:eastAsia="仿宋" w:cs="宋体"/>
          <w:color w:val="000000"/>
          <w:sz w:val="24"/>
          <w:highlight w:val="none"/>
          <w:lang w:val="en-US" w:eastAsia="zh-CN"/>
        </w:rPr>
        <w:t>4</w:t>
      </w:r>
      <w:r>
        <w:rPr>
          <w:rFonts w:hint="eastAsia" w:ascii="仿宋" w:hAnsi="仿宋" w:eastAsia="仿宋" w:cs="宋体"/>
          <w:color w:val="000000"/>
          <w:sz w:val="24"/>
          <w:highlight w:val="none"/>
        </w:rPr>
        <w:t>.1响应文件递交截止时</w:t>
      </w:r>
      <w:r>
        <w:rPr>
          <w:rFonts w:hint="eastAsia" w:ascii="仿宋" w:hAnsi="仿宋" w:eastAsia="仿宋" w:cs="宋体"/>
          <w:color w:val="auto"/>
          <w:sz w:val="24"/>
          <w:highlight w:val="none"/>
        </w:rPr>
        <w:t>间：</w:t>
      </w:r>
      <w:r>
        <w:rPr>
          <w:rFonts w:hint="eastAsia" w:ascii="仿宋" w:hAnsi="仿宋" w:eastAsia="仿宋" w:cs="宋体"/>
          <w:color w:val="auto"/>
          <w:sz w:val="24"/>
          <w:highlight w:val="none"/>
          <w:u w:val="single"/>
          <w:lang w:val="en-US" w:eastAsia="zh-CN"/>
        </w:rPr>
        <w:t>2026</w:t>
      </w:r>
      <w:r>
        <w:rPr>
          <w:rFonts w:hint="eastAsia" w:ascii="仿宋" w:hAnsi="仿宋" w:eastAsia="仿宋" w:cs="宋体"/>
          <w:color w:val="auto"/>
          <w:sz w:val="24"/>
          <w:highlight w:val="none"/>
          <w:u w:val="single"/>
        </w:rPr>
        <w:t>年</w:t>
      </w:r>
      <w:r>
        <w:rPr>
          <w:rFonts w:hint="eastAsia" w:ascii="仿宋" w:hAnsi="仿宋" w:eastAsia="仿宋" w:cs="宋体"/>
          <w:color w:val="auto"/>
          <w:sz w:val="24"/>
          <w:highlight w:val="none"/>
          <w:u w:val="single"/>
          <w:lang w:val="en-US" w:eastAsia="zh-CN"/>
        </w:rPr>
        <w:t>10</w:t>
      </w:r>
      <w:r>
        <w:rPr>
          <w:rFonts w:hint="eastAsia" w:ascii="仿宋" w:hAnsi="仿宋" w:eastAsia="仿宋" w:cs="宋体"/>
          <w:color w:val="auto"/>
          <w:sz w:val="24"/>
          <w:highlight w:val="none"/>
          <w:u w:val="single"/>
        </w:rPr>
        <w:t>月</w:t>
      </w:r>
      <w:r>
        <w:rPr>
          <w:rFonts w:hint="eastAsia" w:ascii="仿宋" w:hAnsi="仿宋" w:eastAsia="仿宋" w:cs="宋体"/>
          <w:color w:val="auto"/>
          <w:sz w:val="24"/>
          <w:highlight w:val="none"/>
          <w:u w:val="single"/>
          <w:lang w:val="en-US" w:eastAsia="zh-CN"/>
        </w:rPr>
        <w:t>23</w:t>
      </w:r>
      <w:r>
        <w:rPr>
          <w:rFonts w:hint="eastAsia" w:ascii="仿宋" w:hAnsi="仿宋" w:eastAsia="仿宋" w:cs="宋体"/>
          <w:color w:val="auto"/>
          <w:sz w:val="24"/>
          <w:highlight w:val="none"/>
          <w:u w:val="single"/>
        </w:rPr>
        <w:t>日</w:t>
      </w:r>
      <w:r>
        <w:rPr>
          <w:rFonts w:hint="eastAsia" w:ascii="仿宋" w:hAnsi="仿宋" w:eastAsia="仿宋" w:cs="宋体"/>
          <w:color w:val="auto"/>
          <w:sz w:val="24"/>
          <w:highlight w:val="none"/>
          <w:u w:val="single"/>
          <w:lang w:eastAsia="zh-CN"/>
        </w:rPr>
        <w:t>（</w:t>
      </w:r>
      <w:r>
        <w:rPr>
          <w:rFonts w:hint="eastAsia" w:ascii="仿宋" w:hAnsi="仿宋" w:eastAsia="仿宋" w:cs="宋体"/>
          <w:color w:val="auto"/>
          <w:sz w:val="24"/>
          <w:highlight w:val="none"/>
          <w:u w:val="single"/>
          <w:lang w:val="en-US" w:eastAsia="zh-CN"/>
        </w:rPr>
        <w:t>星期五）10</w:t>
      </w:r>
      <w:r>
        <w:rPr>
          <w:rFonts w:hint="eastAsia" w:ascii="仿宋" w:hAnsi="仿宋" w:eastAsia="仿宋" w:cs="宋体"/>
          <w:color w:val="auto"/>
          <w:sz w:val="24"/>
          <w:highlight w:val="none"/>
          <w:u w:val="single"/>
        </w:rPr>
        <w:t>时</w:t>
      </w:r>
      <w:r>
        <w:rPr>
          <w:rFonts w:hint="eastAsia" w:ascii="仿宋" w:hAnsi="仿宋" w:eastAsia="仿宋" w:cs="宋体"/>
          <w:color w:val="auto"/>
          <w:sz w:val="24"/>
          <w:highlight w:val="none"/>
          <w:u w:val="single"/>
          <w:lang w:val="en-US" w:eastAsia="zh-CN"/>
        </w:rPr>
        <w:t>00</w:t>
      </w:r>
      <w:r>
        <w:rPr>
          <w:rFonts w:hint="eastAsia" w:ascii="仿宋" w:hAnsi="仿宋" w:eastAsia="仿宋" w:cs="宋体"/>
          <w:color w:val="auto"/>
          <w:sz w:val="24"/>
          <w:highlight w:val="none"/>
          <w:u w:val="single"/>
        </w:rPr>
        <w:t>分00秒</w:t>
      </w:r>
      <w:r>
        <w:rPr>
          <w:rFonts w:hint="eastAsia" w:ascii="仿宋" w:hAnsi="仿宋" w:eastAsia="仿宋" w:cs="宋体"/>
          <w:color w:val="auto"/>
          <w:sz w:val="24"/>
          <w:highlight w:val="none"/>
        </w:rPr>
        <w:t>。</w:t>
      </w:r>
    </w:p>
    <w:p>
      <w:pPr>
        <w:spacing w:line="360" w:lineRule="auto"/>
        <w:ind w:firstLine="480" w:firstLineChars="200"/>
        <w:jc w:val="left"/>
        <w:textAlignment w:val="baseline"/>
        <w:rPr>
          <w:rFonts w:hint="eastAsia"/>
          <w:color w:val="auto"/>
          <w:highlight w:val="none"/>
        </w:rPr>
      </w:pPr>
      <w:r>
        <w:rPr>
          <w:rFonts w:hint="eastAsia" w:ascii="仿宋" w:hAnsi="仿宋" w:eastAsia="仿宋" w:cs="宋体"/>
          <w:color w:val="auto"/>
          <w:sz w:val="24"/>
          <w:highlight w:val="none"/>
          <w:lang w:val="en-US" w:eastAsia="zh-CN"/>
        </w:rPr>
        <w:t>4</w:t>
      </w:r>
      <w:r>
        <w:rPr>
          <w:rFonts w:hint="eastAsia" w:ascii="仿宋" w:hAnsi="仿宋" w:eastAsia="仿宋" w:cs="宋体"/>
          <w:color w:val="auto"/>
          <w:sz w:val="24"/>
          <w:highlight w:val="none"/>
        </w:rPr>
        <w:t>.2响应文件的递交：</w:t>
      </w:r>
      <w:r>
        <w:rPr>
          <w:rFonts w:hint="eastAsia" w:ascii="宋体" w:hAnsi="宋体" w:eastAsia="宋体" w:cs="宋体"/>
          <w:color w:val="auto"/>
          <w:sz w:val="24"/>
          <w:highlight w:val="none"/>
        </w:rPr>
        <w:t>须现场递交至</w:t>
      </w:r>
      <w:r>
        <w:rPr>
          <w:rFonts w:hint="eastAsia" w:ascii="宋体" w:hAnsi="宋体" w:eastAsia="宋体" w:cs="宋体"/>
          <w:b w:val="0"/>
          <w:color w:val="auto"/>
          <w:sz w:val="24"/>
          <w:highlight w:val="none"/>
          <w:lang w:eastAsia="zh-CN"/>
        </w:rPr>
        <w:t>中国人民财产保险股份有限公司</w:t>
      </w:r>
      <w:r>
        <w:rPr>
          <w:rFonts w:hint="eastAsia" w:ascii="宋体" w:hAnsi="宋体" w:eastAsia="宋体" w:cs="宋体"/>
          <w:b w:val="0"/>
          <w:color w:val="auto"/>
          <w:sz w:val="24"/>
          <w:highlight w:val="none"/>
          <w:lang w:val="en-US" w:eastAsia="zh-CN"/>
        </w:rPr>
        <w:t>云浮</w:t>
      </w:r>
      <w:r>
        <w:rPr>
          <w:rFonts w:hint="eastAsia" w:ascii="宋体" w:hAnsi="宋体" w:eastAsia="宋体" w:cs="宋体"/>
          <w:b w:val="0"/>
          <w:color w:val="auto"/>
          <w:sz w:val="24"/>
          <w:highlight w:val="none"/>
          <w:lang w:eastAsia="zh-CN"/>
        </w:rPr>
        <w:t>市分公司</w:t>
      </w:r>
      <w:r>
        <w:rPr>
          <w:rFonts w:hint="eastAsia" w:ascii="宋体" w:hAnsi="宋体" w:eastAsia="宋体" w:cs="宋体"/>
          <w:color w:val="auto"/>
          <w:sz w:val="24"/>
          <w:highlight w:val="none"/>
          <w:lang w:val="en-US" w:eastAsia="zh-CN"/>
        </w:rPr>
        <w:t>四楼408</w:t>
      </w:r>
      <w:r>
        <w:rPr>
          <w:rFonts w:hint="eastAsia" w:ascii="宋体" w:hAnsi="宋体" w:eastAsia="宋体" w:cs="宋体"/>
          <w:color w:val="auto"/>
          <w:sz w:val="24"/>
          <w:highlight w:val="none"/>
        </w:rPr>
        <w:t>会议室</w:t>
      </w:r>
      <w:r>
        <w:rPr>
          <w:rFonts w:hint="eastAsia" w:ascii="宋体" w:hAnsi="宋体" w:eastAsia="宋体" w:cs="宋体"/>
          <w:color w:val="auto"/>
          <w:sz w:val="24"/>
          <w:highlight w:val="none"/>
          <w:lang w:val="en-US" w:eastAsia="zh-CN"/>
        </w:rPr>
        <w:t>（</w:t>
      </w:r>
      <w:r>
        <w:rPr>
          <w:rFonts w:hint="eastAsia" w:ascii="宋体" w:hAnsi="宋体" w:eastAsia="宋体" w:cs="宋体"/>
          <w:b w:val="0"/>
          <w:bCs w:val="0"/>
          <w:color w:val="auto"/>
          <w:sz w:val="24"/>
          <w:szCs w:val="24"/>
          <w:highlight w:val="none"/>
        </w:rPr>
        <w:t>地址：</w:t>
      </w:r>
      <w:r>
        <w:rPr>
          <w:rFonts w:hint="eastAsia" w:ascii="宋体" w:hAnsi="宋体" w:eastAsia="宋体" w:cs="宋体"/>
          <w:b w:val="0"/>
          <w:bCs w:val="0"/>
          <w:color w:val="auto"/>
          <w:sz w:val="24"/>
          <w:szCs w:val="24"/>
          <w:highlight w:val="none"/>
          <w:lang w:eastAsia="zh-CN"/>
        </w:rPr>
        <w:t>广东省云浮市云城区浩林东路2号）</w:t>
      </w:r>
      <w:r>
        <w:rPr>
          <w:rFonts w:hint="eastAsia" w:ascii="宋体" w:hAnsi="宋体" w:eastAsia="宋体" w:cs="宋体"/>
          <w:color w:val="auto"/>
          <w:sz w:val="24"/>
          <w:highlight w:val="none"/>
        </w:rPr>
        <w:t>。</w:t>
      </w:r>
    </w:p>
    <w:p>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4.3</w:t>
      </w:r>
      <w:r>
        <w:rPr>
          <w:rFonts w:hint="eastAsia" w:ascii="仿宋" w:hAnsi="仿宋" w:eastAsia="仿宋" w:cs="宋体"/>
          <w:b/>
          <w:bCs/>
          <w:color w:val="auto"/>
          <w:kern w:val="2"/>
          <w:sz w:val="24"/>
          <w:szCs w:val="24"/>
          <w:highlight w:val="none"/>
          <w:lang w:val="en-US" w:eastAsia="zh-CN" w:bidi="ar-SA"/>
        </w:rPr>
        <w:t>出现以下情形之一时，</w:t>
      </w:r>
      <w:r>
        <w:rPr>
          <w:rFonts w:hint="eastAsia" w:ascii="仿宋" w:hAnsi="仿宋" w:eastAsia="仿宋" w:cs="宋体"/>
          <w:b/>
          <w:bCs/>
          <w:color w:val="auto"/>
          <w:kern w:val="2"/>
          <w:sz w:val="24"/>
          <w:szCs w:val="24"/>
          <w:highlight w:val="none"/>
          <w:lang w:val="en-US" w:eastAsia="zh-CN" w:bidi="ar-SA"/>
        </w:rPr>
        <w:t>采购人不予接收投标文件：</w:t>
      </w:r>
    </w:p>
    <w:p>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4.3.1  逾期送达或者未送达指定地点的；</w:t>
      </w:r>
    </w:p>
    <w:p>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4.3.2  未按照响应文件要求密封的；</w:t>
      </w:r>
    </w:p>
    <w:p>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4.3.3  未按照比选公告要求获取采购文件的。</w:t>
      </w:r>
    </w:p>
    <w:p>
      <w:pPr>
        <w:pStyle w:val="3"/>
        <w:ind w:left="0" w:leftChars="0" w:firstLine="0" w:firstLineChars="0"/>
        <w:jc w:val="left"/>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五、以上若有变更，采购人会通过邮件的形式通知响应方。</w:t>
      </w:r>
    </w:p>
    <w:p>
      <w:pPr>
        <w:pStyle w:val="3"/>
        <w:bidi w:val="0"/>
        <w:ind w:left="0" w:leftChars="0" w:firstLine="0" w:firstLineChars="0"/>
        <w:jc w:val="left"/>
        <w:rPr>
          <w:rFonts w:hint="eastAsia"/>
          <w:color w:val="auto"/>
        </w:rPr>
      </w:pPr>
      <w:bookmarkStart w:id="12" w:name="_Toc19902"/>
      <w:r>
        <w:rPr>
          <w:rFonts w:hint="eastAsia" w:ascii="仿宋" w:hAnsi="仿宋" w:eastAsia="仿宋" w:cs="仿宋"/>
          <w:color w:val="auto"/>
          <w:sz w:val="24"/>
          <w:szCs w:val="24"/>
          <w:lang w:val="en-US" w:eastAsia="zh-CN"/>
        </w:rPr>
        <w:t>六</w:t>
      </w:r>
      <w:r>
        <w:rPr>
          <w:rFonts w:hint="eastAsia" w:ascii="仿宋" w:hAnsi="仿宋" w:eastAsia="仿宋" w:cs="仿宋"/>
          <w:color w:val="auto"/>
          <w:sz w:val="24"/>
          <w:szCs w:val="24"/>
        </w:rPr>
        <w:t>、发布公告的媒介</w:t>
      </w:r>
      <w:bookmarkEnd w:id="11"/>
      <w:bookmarkEnd w:id="12"/>
    </w:p>
    <w:p>
      <w:pPr>
        <w:spacing w:line="360" w:lineRule="auto"/>
        <w:ind w:firstLine="480" w:firstLineChars="200"/>
        <w:textAlignment w:val="baseline"/>
        <w:rPr>
          <w:rFonts w:hint="eastAsia" w:ascii="仿宋" w:hAnsi="仿宋" w:eastAsia="仿宋" w:cs="仿宋"/>
          <w:color w:val="000000"/>
          <w:sz w:val="24"/>
          <w:highlight w:val="none"/>
        </w:rPr>
      </w:pPr>
      <w:bookmarkStart w:id="13" w:name="_Toc120612924"/>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lang w:val="en-US" w:eastAsia="zh-CN"/>
        </w:rPr>
        <w:t>比选</w:t>
      </w:r>
      <w:r>
        <w:rPr>
          <w:rFonts w:hint="eastAsia" w:ascii="仿宋" w:hAnsi="仿宋" w:eastAsia="仿宋" w:cs="仿宋"/>
          <w:color w:val="auto"/>
          <w:sz w:val="24"/>
          <w:highlight w:val="none"/>
        </w:rPr>
        <w:t>公告在</w:t>
      </w:r>
      <w:r>
        <w:rPr>
          <w:rFonts w:hint="eastAsia" w:ascii="仿宋" w:hAnsi="仿宋" w:eastAsia="仿宋" w:cs="宋体"/>
          <w:color w:val="auto"/>
          <w:sz w:val="24"/>
          <w:highlight w:val="none"/>
          <w:u w:val="single"/>
        </w:rPr>
        <w:t>“人保e采”外网门户（https://ec.picc.com/）</w:t>
      </w:r>
      <w:r>
        <w:rPr>
          <w:rFonts w:hint="eastAsia" w:ascii="仿宋" w:hAnsi="仿宋" w:eastAsia="仿宋" w:cs="仿宋"/>
          <w:color w:val="auto"/>
          <w:sz w:val="24"/>
          <w:highlight w:val="none"/>
        </w:rPr>
        <w:t>上发</w:t>
      </w:r>
      <w:r>
        <w:rPr>
          <w:rFonts w:hint="eastAsia" w:ascii="仿宋" w:hAnsi="仿宋" w:eastAsia="仿宋" w:cs="仿宋"/>
          <w:color w:val="000000"/>
          <w:sz w:val="24"/>
          <w:highlight w:val="none"/>
        </w:rPr>
        <w:t>布，</w:t>
      </w:r>
      <w:r>
        <w:rPr>
          <w:rFonts w:hint="eastAsia" w:ascii="仿宋" w:hAnsi="仿宋" w:eastAsia="仿宋" w:cs="宋体"/>
          <w:color w:val="auto"/>
          <w:sz w:val="24"/>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sz w:val="24"/>
          <w:highlight w:val="none"/>
        </w:rPr>
        <w:t>。对于非法转载、篡改采购公告信息的组织或个人，采购人保留追究其法律责任的权</w:t>
      </w:r>
      <w:r>
        <w:rPr>
          <w:rFonts w:hint="eastAsia" w:ascii="仿宋" w:hAnsi="仿宋" w:eastAsia="仿宋" w:cs="仿宋"/>
          <w:color w:val="000000"/>
          <w:sz w:val="24"/>
          <w:highlight w:val="none"/>
        </w:rPr>
        <w:t>利。</w:t>
      </w:r>
    </w:p>
    <w:p>
      <w:pPr>
        <w:pStyle w:val="3"/>
        <w:ind w:firstLine="0" w:firstLineChars="0"/>
        <w:jc w:val="left"/>
        <w:rPr>
          <w:rFonts w:hint="eastAsia" w:ascii="仿宋" w:hAnsi="仿宋" w:eastAsia="仿宋" w:cs="仿宋"/>
          <w:color w:val="000000"/>
          <w:sz w:val="24"/>
          <w:szCs w:val="24"/>
        </w:rPr>
      </w:pPr>
      <w:bookmarkStart w:id="14" w:name="_Toc6515"/>
      <w:r>
        <w:rPr>
          <w:rFonts w:hint="eastAsia" w:ascii="仿宋" w:hAnsi="仿宋" w:eastAsia="仿宋" w:cs="仿宋"/>
          <w:color w:val="000000"/>
          <w:sz w:val="24"/>
          <w:szCs w:val="24"/>
          <w:lang w:val="en-US" w:eastAsia="zh-CN"/>
        </w:rPr>
        <w:t>七</w:t>
      </w:r>
      <w:r>
        <w:rPr>
          <w:rFonts w:hint="eastAsia" w:ascii="仿宋" w:hAnsi="仿宋" w:eastAsia="仿宋" w:cs="仿宋"/>
          <w:color w:val="000000"/>
          <w:sz w:val="24"/>
          <w:szCs w:val="24"/>
        </w:rPr>
        <w:t>、联系方式</w:t>
      </w:r>
      <w:bookmarkEnd w:id="13"/>
      <w:bookmarkEnd w:id="14"/>
    </w:p>
    <w:p>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采购人：中国人民财产保险股份有限公司</w:t>
      </w:r>
      <w:r>
        <w:rPr>
          <w:rFonts w:hint="eastAsia" w:ascii="仿宋" w:hAnsi="仿宋" w:eastAsia="仿宋" w:cs="仿宋"/>
          <w:b/>
          <w:bCs/>
          <w:color w:val="auto"/>
          <w:sz w:val="24"/>
          <w:highlight w:val="none"/>
          <w:lang w:val="en-US" w:eastAsia="zh-CN"/>
        </w:rPr>
        <w:t>云浮市</w:t>
      </w:r>
      <w:r>
        <w:rPr>
          <w:rFonts w:hint="eastAsia" w:ascii="仿宋" w:hAnsi="仿宋" w:eastAsia="仿宋" w:cs="仿宋"/>
          <w:b/>
          <w:bCs/>
          <w:color w:val="auto"/>
          <w:sz w:val="24"/>
          <w:highlight w:val="none"/>
        </w:rPr>
        <w:t>分公司</w:t>
      </w:r>
    </w:p>
    <w:p>
      <w:pPr>
        <w:spacing w:line="360" w:lineRule="auto"/>
        <w:ind w:firstLine="420" w:firstLineChars="175"/>
        <w:jc w:val="left"/>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地址：广东省云浮市云城区浩林东路2号</w:t>
      </w:r>
    </w:p>
    <w:p>
      <w:pPr>
        <w:spacing w:line="360" w:lineRule="auto"/>
        <w:ind w:firstLine="420" w:firstLineChars="175"/>
        <w:jc w:val="left"/>
        <w:rPr>
          <w:rFonts w:hint="default" w:ascii="仿宋" w:hAnsi="仿宋" w:eastAsia="仿宋" w:cs="仿宋"/>
          <w:color w:val="auto"/>
          <w:sz w:val="24"/>
          <w:highlight w:val="none"/>
          <w:lang w:val="en-US" w:eastAsia="zh-CN"/>
        </w:rPr>
      </w:pPr>
      <w:r>
        <w:rPr>
          <w:rFonts w:hint="eastAsia" w:ascii="仿宋" w:hAnsi="仿宋" w:eastAsia="仿宋" w:cs="宋体"/>
          <w:color w:val="auto"/>
          <w:sz w:val="24"/>
          <w:highlight w:val="none"/>
        </w:rPr>
        <w:t>联系人：</w:t>
      </w:r>
      <w:r>
        <w:rPr>
          <w:rFonts w:hint="eastAsia" w:ascii="仿宋" w:hAnsi="仿宋" w:eastAsia="仿宋" w:cs="宋体"/>
          <w:color w:val="auto"/>
          <w:sz w:val="24"/>
          <w:highlight w:val="none"/>
          <w:lang w:val="en-US" w:eastAsia="zh-CN"/>
        </w:rPr>
        <w:t>张晓霞</w:t>
      </w:r>
    </w:p>
    <w:p>
      <w:pPr>
        <w:spacing w:line="360" w:lineRule="auto"/>
        <w:ind w:firstLine="420" w:firstLineChars="175"/>
        <w:jc w:val="left"/>
        <w:rPr>
          <w:rFonts w:hint="default" w:ascii="仿宋" w:hAnsi="仿宋" w:eastAsia="仿宋" w:cs="仿宋"/>
          <w:color w:val="auto"/>
          <w:sz w:val="24"/>
          <w:highlight w:val="none"/>
          <w:lang w:val="en-US" w:eastAsia="zh-CN"/>
        </w:rPr>
      </w:pPr>
      <w:r>
        <w:rPr>
          <w:rFonts w:hint="eastAsia" w:ascii="仿宋" w:hAnsi="仿宋" w:eastAsia="仿宋" w:cs="宋体"/>
          <w:color w:val="auto"/>
          <w:sz w:val="24"/>
          <w:highlight w:val="none"/>
        </w:rPr>
        <w:t>电话：</w:t>
      </w:r>
      <w:r>
        <w:rPr>
          <w:rFonts w:hint="eastAsia" w:ascii="仿宋" w:hAnsi="仿宋" w:eastAsia="仿宋" w:cs="宋体"/>
          <w:color w:val="auto"/>
          <w:sz w:val="24"/>
          <w:highlight w:val="none"/>
          <w:lang w:val="en-US" w:eastAsia="zh-CN"/>
        </w:rPr>
        <w:t>0766-8878300</w:t>
      </w:r>
    </w:p>
    <w:p>
      <w:pPr>
        <w:pStyle w:val="13"/>
        <w:spacing w:line="360" w:lineRule="auto"/>
        <w:ind w:firstLine="480" w:firstLineChars="200"/>
        <w:rPr>
          <w:rFonts w:hint="eastAsia" w:ascii="宋体" w:hAnsi="宋体" w:eastAsia="宋体" w:cs="宋体"/>
          <w:color w:val="auto"/>
          <w:sz w:val="24"/>
        </w:rPr>
      </w:pPr>
      <w:r>
        <w:rPr>
          <w:rFonts w:hint="eastAsia" w:ascii="仿宋" w:hAnsi="仿宋" w:eastAsia="仿宋" w:cs="宋体"/>
          <w:color w:val="auto"/>
          <w:sz w:val="24"/>
          <w:highlight w:val="none"/>
        </w:rPr>
        <w:t>电子邮件：</w:t>
      </w:r>
      <w:r>
        <w:rPr>
          <w:rFonts w:hint="eastAsia" w:ascii="宋体" w:hAnsi="宋体" w:eastAsia="宋体" w:cs="宋体"/>
          <w:color w:val="auto"/>
          <w:sz w:val="24"/>
          <w:szCs w:val="24"/>
        </w:rPr>
        <w:t>zhangxiaoxia11@guangd.picc.com.cn</w:t>
      </w:r>
    </w:p>
    <w:p>
      <w:pPr>
        <w:spacing w:line="360" w:lineRule="auto"/>
        <w:ind w:firstLine="420" w:firstLineChars="175"/>
        <w:jc w:val="left"/>
        <w:rPr>
          <w:rFonts w:hint="eastAsia" w:ascii="仿宋" w:hAnsi="仿宋" w:eastAsia="仿宋" w:cs="仿宋"/>
          <w:color w:val="auto"/>
          <w:sz w:val="24"/>
          <w:highlight w:val="none"/>
        </w:rPr>
      </w:pPr>
    </w:p>
    <w:p>
      <w:pPr>
        <w:spacing w:line="360" w:lineRule="auto"/>
        <w:ind w:firstLine="480" w:firstLineChars="200"/>
        <w:jc w:val="right"/>
        <w:textAlignment w:val="baseline"/>
        <w:rPr>
          <w:rFonts w:hint="eastAsia" w:ascii="仿宋" w:hAnsi="仿宋" w:eastAsia="仿宋" w:cs="宋体"/>
          <w:color w:val="auto"/>
          <w:sz w:val="24"/>
          <w:highlight w:val="none"/>
        </w:rPr>
      </w:pPr>
    </w:p>
    <w:p>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采购人：中国人民财产保险股份有限公司</w:t>
      </w:r>
      <w:r>
        <w:rPr>
          <w:rFonts w:hint="eastAsia" w:ascii="仿宋" w:hAnsi="仿宋" w:eastAsia="仿宋" w:cs="宋体"/>
          <w:color w:val="auto"/>
          <w:sz w:val="24"/>
          <w:highlight w:val="none"/>
          <w:lang w:val="en-US" w:eastAsia="zh-CN"/>
        </w:rPr>
        <w:t>云浮市</w:t>
      </w:r>
      <w:r>
        <w:rPr>
          <w:rFonts w:hint="eastAsia" w:ascii="仿宋" w:hAnsi="仿宋" w:eastAsia="仿宋" w:cs="宋体"/>
          <w:color w:val="auto"/>
          <w:sz w:val="24"/>
          <w:highlight w:val="none"/>
        </w:rPr>
        <w:t>分公司</w:t>
      </w:r>
    </w:p>
    <w:p>
      <w:pPr>
        <w:spacing w:line="360" w:lineRule="auto"/>
        <w:ind w:firstLine="480" w:firstLineChars="200"/>
        <w:jc w:val="right"/>
        <w:textAlignment w:val="baseline"/>
        <w:rPr>
          <w:color w:val="auto"/>
          <w:highlight w:val="none"/>
        </w:rPr>
      </w:pPr>
      <w:r>
        <w:rPr>
          <w:rFonts w:hint="eastAsia" w:ascii="仿宋" w:hAnsi="仿宋" w:eastAsia="仿宋" w:cs="宋体"/>
          <w:color w:val="auto"/>
          <w:sz w:val="24"/>
          <w:highlight w:val="none"/>
        </w:rPr>
        <w:t>202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lang w:val="en-US" w:eastAsia="zh-CN"/>
        </w:rPr>
        <w:t>10</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lang w:val="en-US" w:eastAsia="zh-CN"/>
        </w:rPr>
        <w:t>14</w:t>
      </w:r>
      <w:r>
        <w:rPr>
          <w:rFonts w:hint="eastAsia" w:ascii="仿宋" w:hAnsi="仿宋" w:eastAsia="仿宋" w:cs="宋体"/>
          <w:color w:val="auto"/>
          <w:sz w:val="24"/>
          <w:highlight w:val="none"/>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0C65C0"/>
    <w:multiLevelType w:val="singleLevel"/>
    <w:tmpl w:val="4A0C65C0"/>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824DEE"/>
    <w:rsid w:val="0C835976"/>
    <w:rsid w:val="1212797A"/>
    <w:rsid w:val="16B959BA"/>
    <w:rsid w:val="19202C85"/>
    <w:rsid w:val="1CBA412F"/>
    <w:rsid w:val="20E40F91"/>
    <w:rsid w:val="213318A1"/>
    <w:rsid w:val="29040739"/>
    <w:rsid w:val="2BD55331"/>
    <w:rsid w:val="2F204CE7"/>
    <w:rsid w:val="2FAD524C"/>
    <w:rsid w:val="30C61284"/>
    <w:rsid w:val="31FA6F43"/>
    <w:rsid w:val="331E127D"/>
    <w:rsid w:val="418D051C"/>
    <w:rsid w:val="47EA630C"/>
    <w:rsid w:val="48824DEE"/>
    <w:rsid w:val="4BF838F0"/>
    <w:rsid w:val="52DE60C1"/>
    <w:rsid w:val="582B7FB0"/>
    <w:rsid w:val="5C9B0F74"/>
    <w:rsid w:val="63886B52"/>
    <w:rsid w:val="6F432DEE"/>
    <w:rsid w:val="72EF5DB3"/>
    <w:rsid w:val="73D863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line="360" w:lineRule="auto"/>
      <w:ind w:firstLine="540" w:firstLineChars="192"/>
      <w:jc w:val="center"/>
      <w:outlineLvl w:val="1"/>
    </w:pPr>
    <w:rPr>
      <w:rFonts w:ascii="Arial" w:hAnsi="Arial"/>
      <w:b/>
      <w:bCs/>
      <w:color w:val="FF0000"/>
      <w:sz w:val="28"/>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widowControl/>
      <w:ind w:firstLine="420"/>
      <w:jc w:val="left"/>
    </w:pPr>
    <w:rPr>
      <w:kern w:val="0"/>
      <w:sz w:val="20"/>
      <w:szCs w:val="20"/>
    </w:rPr>
  </w:style>
  <w:style w:type="paragraph" w:styleId="4">
    <w:name w:val="annotation text"/>
    <w:basedOn w:val="1"/>
    <w:qFormat/>
    <w:uiPriority w:val="0"/>
    <w:pPr>
      <w:jc w:val="left"/>
    </w:pPr>
  </w:style>
  <w:style w:type="paragraph" w:styleId="5">
    <w:name w:val="Body Text"/>
    <w:basedOn w:val="1"/>
    <w:qFormat/>
    <w:uiPriority w:val="0"/>
    <w:pPr>
      <w:jc w:val="center"/>
    </w:pPr>
    <w:rPr>
      <w:sz w:val="52"/>
    </w:rPr>
  </w:style>
  <w:style w:type="paragraph" w:styleId="6">
    <w:name w:val="footer"/>
    <w:basedOn w:val="1"/>
    <w:qFormat/>
    <w:uiPriority w:val="99"/>
    <w:pPr>
      <w:tabs>
        <w:tab w:val="center" w:pos="4153"/>
        <w:tab w:val="right" w:pos="8306"/>
      </w:tabs>
      <w:spacing w:line="240" w:lineRule="atLeast"/>
    </w:pPr>
    <w:rPr>
      <w:sz w:val="18"/>
    </w:rPr>
  </w:style>
  <w:style w:type="paragraph" w:styleId="7">
    <w:name w:val="header"/>
    <w:basedOn w:val="1"/>
    <w:qFormat/>
    <w:uiPriority w:val="99"/>
    <w:pPr>
      <w:pBdr>
        <w:bottom w:val="single" w:color="auto" w:sz="6" w:space="1"/>
      </w:pBdr>
      <w:tabs>
        <w:tab w:val="center" w:pos="4153"/>
        <w:tab w:val="right" w:pos="8306"/>
      </w:tabs>
      <w:spacing w:line="240" w:lineRule="atLeast"/>
      <w:jc w:val="center"/>
    </w:pPr>
    <w:rPr>
      <w:sz w:val="18"/>
    </w:rPr>
  </w:style>
  <w:style w:type="paragraph" w:styleId="8">
    <w:name w:val="Body Text 2"/>
    <w:basedOn w:val="1"/>
    <w:next w:val="1"/>
    <w:qFormat/>
    <w:uiPriority w:val="0"/>
    <w:pPr>
      <w:spacing w:after="120" w:line="480" w:lineRule="auto"/>
    </w:pPr>
  </w:style>
  <w:style w:type="character" w:styleId="11">
    <w:name w:val="Hyperlink"/>
    <w:basedOn w:val="10"/>
    <w:qFormat/>
    <w:uiPriority w:val="99"/>
    <w:rPr>
      <w:color w:val="0000FF"/>
      <w:u w:val="single"/>
    </w:rPr>
  </w:style>
  <w:style w:type="paragraph" w:customStyle="1" w:styleId="12">
    <w:name w:val="中文正文、"/>
    <w:basedOn w:val="1"/>
    <w:qFormat/>
    <w:uiPriority w:val="0"/>
    <w:pPr>
      <w:adjustRightInd/>
      <w:spacing w:line="360" w:lineRule="auto"/>
      <w:ind w:firstLine="420" w:firstLineChars="200"/>
    </w:pPr>
    <w:rPr>
      <w:szCs w:val="21"/>
    </w:rPr>
  </w:style>
  <w:style w:type="paragraph" w:styleId="13">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14">
    <w:name w:val="First Paragraph"/>
    <w:basedOn w:val="5"/>
    <w:next w:val="5"/>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2026-01-12T09:45:00Z</dcterms:created>
  <dc:creator>吴佳宜</dc:creator>
  <cp:lastModifiedBy>张晓霞</cp:lastModifiedBy>
  <dcterms:modified xsi:type="dcterms:W3CDTF">2026-10-14T13:11:40Z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D7FC92F3E4AB41789CFF25B520273B2A</vt:lpwstr>
  </property>
</Properties>
</file>