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仿宋_GB2312" w:hAnsi="宋体" w:eastAsia="仿宋_GB2312"/>
          <w:b/>
          <w:color w:val="auto"/>
          <w:sz w:val="36"/>
          <w:szCs w:val="36"/>
        </w:rPr>
      </w:pPr>
    </w:p>
    <w:p>
      <w:pPr>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w:t>
      </w:r>
      <w:r>
        <w:rPr>
          <w:rFonts w:hint="eastAsia" w:ascii="仿宋_GB2312" w:hAnsi="宋体" w:eastAsia="仿宋_GB2312"/>
          <w:b/>
          <w:color w:val="auto"/>
          <w:sz w:val="36"/>
          <w:szCs w:val="36"/>
          <w:lang w:val="en-US" w:eastAsia="zh-CN"/>
        </w:rPr>
        <w:t>成都市</w:t>
      </w:r>
      <w:r>
        <w:rPr>
          <w:rFonts w:hint="eastAsia" w:ascii="仿宋_GB2312" w:hAnsi="宋体" w:eastAsia="仿宋_GB2312"/>
          <w:b/>
          <w:color w:val="auto"/>
          <w:sz w:val="36"/>
          <w:szCs w:val="36"/>
        </w:rPr>
        <w:t>分公司简阳支公司“人保财险 路畅身安”</w:t>
      </w:r>
    </w:p>
    <w:p>
      <w:pPr>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修理厂线下推广宣传活动服务采购项目</w:t>
      </w:r>
    </w:p>
    <w:p>
      <w:pPr>
        <w:pStyle w:val="2"/>
        <w:rPr>
          <w:rFonts w:hint="eastAsia"/>
          <w:color w:val="auto"/>
        </w:rPr>
      </w:pP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10</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28"/>
        </w:tabs>
        <w:rPr>
          <w:b w:val="0"/>
          <w:bCs w:val="0"/>
          <w:caps w:val="0"/>
          <w:color w:val="auto"/>
          <w:kern w:val="2"/>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33"/>
          <w:rFonts w:hint="eastAsia" w:ascii="仿宋_GB2312" w:hAnsi="宋体" w:eastAsia="仿宋_GB2312"/>
          <w:color w:val="auto"/>
        </w:rPr>
        <w:t>第一章</w:t>
      </w:r>
      <w:r>
        <w:rPr>
          <w:rStyle w:val="33"/>
          <w:rFonts w:ascii="仿宋_GB2312" w:hAnsi="宋体" w:eastAsia="仿宋_GB2312"/>
          <w:color w:val="auto"/>
        </w:rPr>
        <w:t xml:space="preserve"> </w:t>
      </w:r>
      <w:r>
        <w:rPr>
          <w:rStyle w:val="33"/>
          <w:rFonts w:hint="eastAsia" w:ascii="仿宋_GB2312" w:hAnsi="宋体" w:eastAsia="仿宋_GB2312"/>
          <w:color w:val="auto"/>
        </w:rPr>
        <w:t>比选邀请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"_Toc186737791" </w:instrText>
      </w:r>
      <w:r>
        <w:rPr>
          <w:color w:val="auto"/>
        </w:rPr>
        <w:fldChar w:fldCharType="separate"/>
      </w:r>
      <w:r>
        <w:rPr>
          <w:rStyle w:val="33"/>
          <w:rFonts w:hint="eastAsia" w:ascii="仿宋" w:hAnsi="仿宋" w:eastAsia="仿宋" w:cs="仿宋"/>
          <w:color w:val="auto"/>
        </w:rPr>
        <w:t>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"_Toc186737792" </w:instrText>
      </w:r>
      <w:r>
        <w:rPr>
          <w:color w:val="auto"/>
        </w:rPr>
        <w:fldChar w:fldCharType="separate"/>
      </w:r>
      <w:r>
        <w:rPr>
          <w:rStyle w:val="33"/>
          <w:rFonts w:hint="eastAsia" w:ascii="仿宋" w:hAnsi="仿宋" w:eastAsia="仿宋" w:cs="仿宋"/>
          <w:color w:val="auto"/>
        </w:rPr>
        <w:t>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3</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"_Toc186737793" </w:instrText>
      </w:r>
      <w:r>
        <w:rPr>
          <w:color w:val="auto"/>
        </w:rPr>
        <w:fldChar w:fldCharType="separate"/>
      </w:r>
      <w:r>
        <w:rPr>
          <w:rStyle w:val="33"/>
          <w:rFonts w:hint="eastAsia" w:ascii="仿宋" w:hAnsi="仿宋" w:eastAsia="仿宋" w:cs="仿宋"/>
          <w:color w:val="auto"/>
        </w:rPr>
        <w:t>三、比选文件的获取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"_Toc186737794"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"_Toc186737795" </w:instrText>
      </w:r>
      <w:r>
        <w:rPr>
          <w:color w:val="auto"/>
        </w:rPr>
        <w:fldChar w:fldCharType="separate"/>
      </w:r>
      <w:r>
        <w:rPr>
          <w:rStyle w:val="33"/>
          <w:rFonts w:hint="eastAsia" w:ascii="仿宋" w:hAnsi="仿宋" w:eastAsia="仿宋" w:cs="仿宋"/>
          <w:color w:val="auto"/>
        </w:rPr>
        <w:t>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5</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"_Toc186737796" </w:instrText>
      </w:r>
      <w:r>
        <w:rPr>
          <w:color w:val="auto"/>
        </w:rPr>
        <w:fldChar w:fldCharType="separate"/>
      </w:r>
      <w:r>
        <w:rPr>
          <w:rStyle w:val="33"/>
          <w:rFonts w:hint="eastAsia" w:ascii="仿宋" w:hAnsi="仿宋" w:eastAsia="仿宋" w:cs="仿宋"/>
          <w:color w:val="auto"/>
        </w:rPr>
        <w:t>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5</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"_Toc186737797" </w:instrText>
      </w:r>
      <w:r>
        <w:rPr>
          <w:color w:val="auto"/>
        </w:rPr>
        <w:fldChar w:fldCharType="separate"/>
      </w:r>
      <w:r>
        <w:rPr>
          <w:rStyle w:val="33"/>
          <w:rFonts w:hint="eastAsia" w:ascii="仿宋_GB2312" w:hAnsi="宋体" w:eastAsia="仿宋_GB2312"/>
          <w:color w:val="auto"/>
        </w:rPr>
        <w:t>第二章</w:t>
      </w:r>
      <w:r>
        <w:rPr>
          <w:rStyle w:val="33"/>
          <w:rFonts w:ascii="仿宋_GB2312" w:hAnsi="宋体" w:eastAsia="仿宋_GB2312"/>
          <w:color w:val="auto"/>
        </w:rPr>
        <w:t xml:space="preserve"> </w:t>
      </w:r>
      <w:r>
        <w:rPr>
          <w:rStyle w:val="33"/>
          <w:rFonts w:hint="eastAsia" w:ascii="仿宋_GB2312" w:hAnsi="宋体" w:eastAsia="仿宋_GB2312"/>
          <w:color w:val="auto"/>
        </w:rPr>
        <w:t>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"_Toc186737798" </w:instrText>
      </w:r>
      <w:r>
        <w:rPr>
          <w:color w:val="auto"/>
        </w:rPr>
        <w:fldChar w:fldCharType="separate"/>
      </w:r>
      <w:r>
        <w:rPr>
          <w:rStyle w:val="33"/>
          <w:rFonts w:hint="eastAsia" w:ascii="仿宋" w:hAnsi="仿宋" w:eastAsia="仿宋" w:cs="仿宋"/>
          <w:color w:val="auto"/>
        </w:rPr>
        <w:t>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"_Toc186737799" </w:instrText>
      </w:r>
      <w:r>
        <w:rPr>
          <w:color w:val="auto"/>
        </w:rPr>
        <w:fldChar w:fldCharType="separate"/>
      </w:r>
      <w:r>
        <w:rPr>
          <w:rStyle w:val="33"/>
          <w:rFonts w:hint="eastAsia" w:ascii="仿宋" w:hAnsi="仿宋" w:eastAsia="仿宋" w:cs="仿宋"/>
          <w:color w:val="auto"/>
        </w:rPr>
        <w:t>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"_Toc186737800" </w:instrText>
      </w:r>
      <w:r>
        <w:rPr>
          <w:color w:val="auto"/>
        </w:rPr>
        <w:fldChar w:fldCharType="separate"/>
      </w:r>
      <w:r>
        <w:rPr>
          <w:rStyle w:val="33"/>
          <w:rFonts w:hint="eastAsia" w:ascii="仿宋" w:hAnsi="仿宋" w:eastAsia="仿宋" w:cs="仿宋"/>
          <w:color w:val="auto"/>
        </w:rPr>
        <w:t>（一）总</w:t>
      </w:r>
      <w:r>
        <w:rPr>
          <w:rStyle w:val="33"/>
          <w:rFonts w:ascii="仿宋" w:hAnsi="仿宋" w:eastAsia="仿宋" w:cs="仿宋"/>
          <w:color w:val="auto"/>
        </w:rPr>
        <w:t xml:space="preserve"> </w:t>
      </w:r>
      <w:r>
        <w:rPr>
          <w:rStyle w:val="33"/>
          <w:rFonts w:hint="eastAsia" w:ascii="仿宋" w:hAnsi="仿宋" w:eastAsia="仿宋" w:cs="仿宋"/>
          <w:color w:val="auto"/>
        </w:rPr>
        <w:t>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"_Toc186737801" </w:instrText>
      </w:r>
      <w:r>
        <w:rPr>
          <w:color w:val="auto"/>
        </w:rPr>
        <w:fldChar w:fldCharType="separate"/>
      </w:r>
      <w:r>
        <w:rPr>
          <w:rStyle w:val="33"/>
          <w:rFonts w:hint="eastAsia" w:ascii="仿宋" w:hAnsi="仿宋" w:eastAsia="仿宋" w:cs="仿宋"/>
          <w:color w:val="auto"/>
        </w:rPr>
        <w:t>（二）比选文件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10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"_Toc186737802" </w:instrText>
      </w:r>
      <w:r>
        <w:rPr>
          <w:color w:val="auto"/>
        </w:rPr>
        <w:fldChar w:fldCharType="separate"/>
      </w:r>
      <w:r>
        <w:rPr>
          <w:rStyle w:val="33"/>
          <w:rFonts w:hint="eastAsia" w:ascii="仿宋" w:hAnsi="仿宋" w:eastAsia="仿宋" w:cs="仿宋"/>
          <w:color w:val="auto"/>
        </w:rPr>
        <w:t>（三）响应文件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11</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"_Toc186737803"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13</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"_Toc186737804" </w:instrText>
      </w:r>
      <w:r>
        <w:rPr>
          <w:color w:val="auto"/>
        </w:rPr>
        <w:fldChar w:fldCharType="separate"/>
      </w:r>
      <w:r>
        <w:rPr>
          <w:rStyle w:val="33"/>
          <w:rFonts w:hint="eastAsia" w:ascii="仿宋" w:hAnsi="仿宋" w:eastAsia="仿宋" w:cs="仿宋"/>
          <w:color w:val="auto"/>
        </w:rPr>
        <w:t>（五）比选和评审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14</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"_Toc186737805" </w:instrText>
      </w:r>
      <w:r>
        <w:rPr>
          <w:color w:val="auto"/>
        </w:rPr>
        <w:fldChar w:fldCharType="separate"/>
      </w:r>
      <w:r>
        <w:rPr>
          <w:rStyle w:val="33"/>
          <w:rFonts w:hint="eastAsia" w:ascii="仿宋" w:hAnsi="仿宋" w:eastAsia="仿宋" w:cs="仿宋"/>
          <w:color w:val="auto"/>
        </w:rPr>
        <w:t>（六）授予合同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16</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"_Toc186737806" </w:instrText>
      </w:r>
      <w:r>
        <w:rPr>
          <w:color w:val="auto"/>
        </w:rPr>
        <w:fldChar w:fldCharType="separate"/>
      </w:r>
      <w:r>
        <w:rPr>
          <w:rStyle w:val="33"/>
          <w:rFonts w:hint="eastAsia" w:ascii="仿宋" w:hAnsi="仿宋" w:eastAsia="仿宋" w:cs="仿宋"/>
          <w:color w:val="auto"/>
        </w:rPr>
        <w:t>第三章</w:t>
      </w:r>
      <w:r>
        <w:rPr>
          <w:rStyle w:val="33"/>
          <w:rFonts w:ascii="仿宋" w:hAnsi="仿宋" w:eastAsia="仿宋" w:cs="仿宋"/>
          <w:color w:val="auto"/>
        </w:rPr>
        <w:t xml:space="preserve"> </w:t>
      </w:r>
      <w:r>
        <w:rPr>
          <w:rStyle w:val="33"/>
          <w:rFonts w:hint="eastAsia" w:ascii="仿宋" w:hAnsi="仿宋" w:eastAsia="仿宋" w:cs="仿宋"/>
          <w:color w:val="auto"/>
        </w:rPr>
        <w:t>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17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"_Toc186737807" </w:instrText>
      </w:r>
      <w:r>
        <w:rPr>
          <w:color w:val="auto"/>
        </w:rPr>
        <w:fldChar w:fldCharType="separate"/>
      </w:r>
      <w:r>
        <w:rPr>
          <w:rStyle w:val="33"/>
          <w:rFonts w:hint="eastAsia" w:ascii="仿宋" w:hAnsi="仿宋" w:eastAsia="仿宋" w:cs="仿宋"/>
          <w:color w:val="auto"/>
        </w:rPr>
        <w:t>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17</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"_Toc186737808" </w:instrText>
      </w:r>
      <w:r>
        <w:rPr>
          <w:color w:val="auto"/>
        </w:rPr>
        <w:fldChar w:fldCharType="separate"/>
      </w:r>
      <w:r>
        <w:rPr>
          <w:rStyle w:val="33"/>
          <w:rFonts w:hint="eastAsia" w:ascii="仿宋" w:hAnsi="仿宋" w:eastAsia="仿宋" w:cs="仿宋"/>
          <w:color w:val="auto"/>
        </w:rPr>
        <w:t>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19</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"_Toc186737809" </w:instrText>
      </w:r>
      <w:r>
        <w:rPr>
          <w:color w:val="auto"/>
        </w:rPr>
        <w:fldChar w:fldCharType="separate"/>
      </w:r>
      <w:r>
        <w:rPr>
          <w:rStyle w:val="33"/>
          <w:rFonts w:hint="eastAsia" w:ascii="仿宋" w:hAnsi="仿宋" w:eastAsia="仿宋" w:cs="仿宋"/>
          <w:color w:val="auto"/>
        </w:rPr>
        <w:t>三、详细评审</w:t>
      </w:r>
      <w:r>
        <w:rPr>
          <w:color w:val="auto"/>
        </w:rPr>
        <w:tab/>
      </w:r>
      <w:r>
        <w:rPr>
          <w:color w:val="auto"/>
        </w:rPr>
        <w:fldChar w:fldCharType="begin"/>
      </w:r>
      <w:r>
        <w:rPr>
          <w:color w:val="auto"/>
        </w:rPr>
        <w:instrText xml:space="preserve"> PAGEREF _Toc186737809 \h </w:instrText>
      </w:r>
      <w:r>
        <w:rPr>
          <w:color w:val="auto"/>
        </w:rPr>
        <w:fldChar w:fldCharType="separate"/>
      </w:r>
      <w:r>
        <w:rPr>
          <w:color w:val="auto"/>
        </w:rPr>
        <w:t>20</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"_Toc186737810" </w:instrText>
      </w:r>
      <w:r>
        <w:rPr>
          <w:color w:val="auto"/>
        </w:rPr>
        <w:fldChar w:fldCharType="separate"/>
      </w:r>
      <w:r>
        <w:rPr>
          <w:rStyle w:val="33"/>
          <w:rFonts w:hint="eastAsia" w:ascii="仿宋" w:hAnsi="仿宋" w:eastAsia="仿宋" w:cs="仿宋"/>
          <w:color w:val="auto"/>
        </w:rPr>
        <w:t>第四章</w:t>
      </w:r>
      <w:r>
        <w:rPr>
          <w:rStyle w:val="33"/>
          <w:rFonts w:ascii="仿宋" w:hAnsi="仿宋" w:eastAsia="仿宋" w:cs="仿宋"/>
          <w:color w:val="auto"/>
        </w:rPr>
        <w:t xml:space="preserve"> </w:t>
      </w:r>
      <w:r>
        <w:rPr>
          <w:rStyle w:val="33"/>
          <w:rFonts w:hint="eastAsia" w:ascii="仿宋" w:hAnsi="仿宋" w:eastAsia="仿宋" w:cs="仿宋"/>
          <w:color w:val="auto"/>
        </w:rPr>
        <w:t>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22</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"_Toc186737811" </w:instrText>
      </w:r>
      <w:r>
        <w:rPr>
          <w:color w:val="auto"/>
        </w:rPr>
        <w:fldChar w:fldCharType="separate"/>
      </w:r>
      <w:r>
        <w:rPr>
          <w:rStyle w:val="33"/>
          <w:rFonts w:hint="eastAsia" w:ascii="仿宋_GB2312" w:hAnsi="宋体" w:eastAsia="仿宋_GB2312"/>
          <w:color w:val="auto"/>
        </w:rPr>
        <w:t>第五章</w:t>
      </w:r>
      <w:r>
        <w:rPr>
          <w:rStyle w:val="33"/>
          <w:rFonts w:ascii="仿宋_GB2312" w:hAnsi="宋体" w:eastAsia="仿宋_GB2312"/>
          <w:color w:val="auto"/>
        </w:rPr>
        <w:t xml:space="preserve"> </w:t>
      </w:r>
      <w:r>
        <w:rPr>
          <w:rStyle w:val="33"/>
          <w:rFonts w:hint="eastAsia" w:ascii="仿宋_GB2312" w:hAnsi="宋体" w:eastAsia="仿宋_GB2312"/>
          <w:color w:val="auto"/>
        </w:rPr>
        <w:t>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23</w:t>
      </w:r>
      <w:r>
        <w:rPr>
          <w:color w:val="auto"/>
        </w:rPr>
        <w:fldChar w:fldCharType="end"/>
      </w:r>
      <w:r>
        <w:rPr>
          <w:color w:val="auto"/>
        </w:rPr>
        <w:fldChar w:fldCharType="end"/>
      </w:r>
    </w:p>
    <w:p>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"_Toc186737812" </w:instrText>
      </w:r>
      <w:r>
        <w:rPr>
          <w:color w:val="auto"/>
        </w:rPr>
        <w:fldChar w:fldCharType="separate"/>
      </w:r>
      <w:r>
        <w:rPr>
          <w:rStyle w:val="33"/>
          <w:rFonts w:hint="eastAsia" w:ascii="仿宋" w:hAnsi="仿宋" w:eastAsia="仿宋" w:cs="仿宋"/>
          <w:color w:val="auto"/>
        </w:rPr>
        <w:t>第六章</w:t>
      </w:r>
      <w:r>
        <w:rPr>
          <w:rStyle w:val="33"/>
          <w:rFonts w:ascii="仿宋" w:hAnsi="仿宋" w:eastAsia="仿宋" w:cs="仿宋"/>
          <w:color w:val="auto"/>
        </w:rPr>
        <w:t xml:space="preserve"> </w:t>
      </w:r>
      <w:r>
        <w:rPr>
          <w:rStyle w:val="33"/>
          <w:rFonts w:hint="eastAsia" w:ascii="仿宋" w:hAnsi="仿宋" w:eastAsia="仿宋" w:cs="仿宋"/>
          <w:color w:val="auto"/>
        </w:rPr>
        <w:t>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24</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"_Toc186737813" </w:instrText>
      </w:r>
      <w:r>
        <w:rPr>
          <w:color w:val="auto"/>
        </w:rPr>
        <w:fldChar w:fldCharType="separate"/>
      </w:r>
      <w:r>
        <w:rPr>
          <w:rStyle w:val="33"/>
          <w:rFonts w:hint="eastAsia" w:ascii="仿宋" w:hAnsi="仿宋" w:eastAsia="仿宋" w:cs="仿宋"/>
          <w:color w:val="auto"/>
        </w:rPr>
        <w:t>一、商务文件</w:t>
      </w:r>
      <w:r>
        <w:rPr>
          <w:color w:val="auto"/>
        </w:rPr>
        <w:tab/>
      </w:r>
      <w:r>
        <w:rPr>
          <w:color w:val="auto"/>
        </w:rPr>
        <w:fldChar w:fldCharType="begin"/>
      </w:r>
      <w:r>
        <w:rPr>
          <w:color w:val="auto"/>
        </w:rPr>
        <w:instrText xml:space="preserve"> PAGEREF _Toc186737813 \h </w:instrText>
      </w:r>
      <w:r>
        <w:rPr>
          <w:color w:val="auto"/>
        </w:rPr>
        <w:fldChar w:fldCharType="separate"/>
      </w:r>
      <w:r>
        <w:rPr>
          <w:color w:val="auto"/>
        </w:rPr>
        <w:t>25</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"_Toc186737814" </w:instrText>
      </w:r>
      <w:r>
        <w:rPr>
          <w:color w:val="auto"/>
        </w:rPr>
        <w:fldChar w:fldCharType="separate"/>
      </w:r>
      <w:r>
        <w:rPr>
          <w:rStyle w:val="33"/>
          <w:rFonts w:hint="eastAsia" w:ascii="仿宋" w:hAnsi="仿宋" w:eastAsia="仿宋" w:cs="仿宋"/>
          <w:color w:val="auto"/>
        </w:rPr>
        <w:t>（一）响应函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27</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"_Toc186737815" </w:instrText>
      </w:r>
      <w:r>
        <w:rPr>
          <w:color w:val="auto"/>
        </w:rPr>
        <w:fldChar w:fldCharType="separate"/>
      </w:r>
      <w:r>
        <w:rPr>
          <w:rStyle w:val="33"/>
          <w:rFonts w:hint="eastAsia" w:ascii="仿宋" w:hAnsi="仿宋" w:eastAsia="仿宋" w:cs="仿宋"/>
          <w:color w:val="auto"/>
        </w:rPr>
        <w:t>（二）法定代表人（负责人）身份证明书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28</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"_Toc186737816" </w:instrText>
      </w:r>
      <w:r>
        <w:rPr>
          <w:color w:val="auto"/>
        </w:rPr>
        <w:fldChar w:fldCharType="separate"/>
      </w:r>
      <w:r>
        <w:rPr>
          <w:rStyle w:val="33"/>
          <w:rFonts w:hint="eastAsia" w:ascii="仿宋" w:hAnsi="仿宋" w:eastAsia="仿宋" w:cs="仿宋"/>
          <w:color w:val="auto"/>
        </w:rPr>
        <w:t>（三）法定代表人（负责人）授权委托书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29</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"_Toc186737817" </w:instrText>
      </w:r>
      <w:r>
        <w:rPr>
          <w:color w:val="auto"/>
        </w:rPr>
        <w:fldChar w:fldCharType="separate"/>
      </w:r>
      <w:r>
        <w:rPr>
          <w:rStyle w:val="33"/>
          <w:rFonts w:hint="eastAsia" w:ascii="仿宋" w:hAnsi="仿宋" w:eastAsia="仿宋" w:cs="仿宋"/>
          <w:color w:val="auto"/>
        </w:rPr>
        <w:t>（四）资格证明文件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30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"_Toc186737818" </w:instrText>
      </w:r>
      <w:r>
        <w:rPr>
          <w:color w:val="auto"/>
        </w:rPr>
        <w:fldChar w:fldCharType="separate"/>
      </w:r>
      <w:r>
        <w:rPr>
          <w:rStyle w:val="33"/>
          <w:rFonts w:hint="eastAsia" w:ascii="仿宋" w:hAnsi="仿宋" w:eastAsia="仿宋" w:cs="仿宋"/>
          <w:color w:val="auto"/>
        </w:rPr>
        <w:t>（五）供应商须知应答偏离表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40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"_Toc186737819" </w:instrText>
      </w:r>
      <w:r>
        <w:rPr>
          <w:color w:val="auto"/>
        </w:rPr>
        <w:fldChar w:fldCharType="separate"/>
      </w:r>
      <w:r>
        <w:rPr>
          <w:rStyle w:val="33"/>
          <w:rFonts w:hint="eastAsia" w:ascii="仿宋" w:hAnsi="仿宋" w:eastAsia="仿宋" w:cs="仿宋"/>
          <w:color w:val="auto"/>
        </w:rPr>
        <w:t>（七）供应商行为准则承诺书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42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"_Toc186737820" </w:instrText>
      </w:r>
      <w:r>
        <w:rPr>
          <w:color w:val="auto"/>
        </w:rPr>
        <w:fldChar w:fldCharType="separate"/>
      </w:r>
      <w:r>
        <w:rPr>
          <w:rStyle w:val="33"/>
          <w:rFonts w:hint="eastAsia" w:ascii="仿宋" w:hAnsi="仿宋" w:eastAsia="仿宋" w:cs="宋体"/>
          <w:color w:val="auto"/>
        </w:rPr>
        <w:t>（八）供应商廉洁诚信承诺书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44</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"_Toc186737821" </w:instrText>
      </w:r>
      <w:r>
        <w:rPr>
          <w:color w:val="auto"/>
        </w:rPr>
        <w:fldChar w:fldCharType="separate"/>
      </w:r>
      <w:r>
        <w:rPr>
          <w:rStyle w:val="33"/>
          <w:rFonts w:hint="eastAsia" w:ascii="仿宋" w:hAnsi="仿宋" w:eastAsia="仿宋" w:cs="宋体"/>
          <w:color w:val="auto"/>
        </w:rPr>
        <w:t>（九）信息安全采购要求承诺函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47</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"_Toc186737822" </w:instrText>
      </w:r>
      <w:r>
        <w:rPr>
          <w:color w:val="auto"/>
        </w:rPr>
        <w:fldChar w:fldCharType="separate"/>
      </w:r>
      <w:r>
        <w:rPr>
          <w:rStyle w:val="33"/>
          <w:rFonts w:hint="eastAsia" w:ascii="仿宋" w:hAnsi="仿宋" w:eastAsia="仿宋" w:cs="宋体"/>
          <w:color w:val="auto"/>
        </w:rPr>
        <w:t>（九）其他材料</w:t>
      </w:r>
      <w:r>
        <w:rPr>
          <w:color w:val="auto"/>
        </w:rPr>
        <w:tab/>
      </w:r>
      <w:r>
        <w:rPr>
          <w:color w:val="auto"/>
        </w:rPr>
        <w:fldChar w:fldCharType="begin"/>
      </w:r>
      <w:r>
        <w:rPr>
          <w:color w:val="auto"/>
        </w:rPr>
        <w:instrText xml:space="preserve"> PAGEREF _Toc186737822 \h </w:instrText>
      </w:r>
      <w:r>
        <w:rPr>
          <w:color w:val="auto"/>
        </w:rPr>
        <w:fldChar w:fldCharType="separate"/>
      </w:r>
      <w:r>
        <w:rPr>
          <w:color w:val="auto"/>
        </w:rPr>
        <w:t>49</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"_Toc186737823" </w:instrText>
      </w:r>
      <w:r>
        <w:rPr>
          <w:color w:val="auto"/>
        </w:rPr>
        <w:fldChar w:fldCharType="separate"/>
      </w:r>
      <w:r>
        <w:rPr>
          <w:rStyle w:val="33"/>
          <w:rFonts w:hint="eastAsia" w:ascii="仿宋" w:hAnsi="仿宋" w:eastAsia="仿宋" w:cs="仿宋"/>
          <w:color w:val="auto"/>
        </w:rPr>
        <w:t>二、技术文件</w:t>
      </w:r>
      <w:r>
        <w:rPr>
          <w:color w:val="auto"/>
        </w:rPr>
        <w:tab/>
      </w:r>
      <w:r>
        <w:rPr>
          <w:color w:val="auto"/>
        </w:rPr>
        <w:fldChar w:fldCharType="begin"/>
      </w:r>
      <w:r>
        <w:rPr>
          <w:color w:val="auto"/>
        </w:rPr>
        <w:instrText xml:space="preserve"> PAGEREF _Toc186737823 \h </w:instrText>
      </w:r>
      <w:r>
        <w:rPr>
          <w:color w:val="auto"/>
        </w:rPr>
        <w:fldChar w:fldCharType="separate"/>
      </w:r>
      <w:r>
        <w:rPr>
          <w:color w:val="auto"/>
        </w:rPr>
        <w:t>50</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"_Toc186737824" </w:instrText>
      </w:r>
      <w:r>
        <w:rPr>
          <w:color w:val="auto"/>
        </w:rPr>
        <w:fldChar w:fldCharType="separate"/>
      </w:r>
      <w:r>
        <w:rPr>
          <w:rStyle w:val="33"/>
          <w:rFonts w:hint="eastAsia" w:ascii="仿宋" w:hAnsi="仿宋" w:eastAsia="仿宋" w:cs="仿宋"/>
          <w:color w:val="auto"/>
        </w:rPr>
        <w:t>（一）采购需求应答偏离表</w:t>
      </w:r>
      <w:r>
        <w:rPr>
          <w:color w:val="auto"/>
        </w:rPr>
        <w:tab/>
      </w:r>
      <w:r>
        <w:rPr>
          <w:color w:val="auto"/>
        </w:rPr>
        <w:fldChar w:fldCharType="begin"/>
      </w:r>
      <w:r>
        <w:rPr>
          <w:color w:val="auto"/>
        </w:rPr>
        <w:instrText xml:space="preserve"> PAGEREF _Toc186737824 \h </w:instrText>
      </w:r>
      <w:r>
        <w:rPr>
          <w:color w:val="auto"/>
        </w:rPr>
        <w:fldChar w:fldCharType="separate"/>
      </w:r>
      <w:r>
        <w:rPr>
          <w:color w:val="auto"/>
        </w:rPr>
        <w:t>51</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"_Toc186737825" </w:instrText>
      </w:r>
      <w:r>
        <w:rPr>
          <w:color w:val="auto"/>
        </w:rPr>
        <w:fldChar w:fldCharType="separate"/>
      </w:r>
      <w:r>
        <w:rPr>
          <w:rStyle w:val="33"/>
          <w:rFonts w:hint="eastAsia" w:ascii="仿宋" w:hAnsi="仿宋" w:eastAsia="仿宋" w:cs="仿宋"/>
          <w:color w:val="auto"/>
        </w:rPr>
        <w:t>（二）技术方案</w:t>
      </w:r>
      <w:r>
        <w:rPr>
          <w:color w:val="auto"/>
        </w:rPr>
        <w:tab/>
      </w:r>
      <w:r>
        <w:rPr>
          <w:color w:val="auto"/>
        </w:rPr>
        <w:fldChar w:fldCharType="begin"/>
      </w:r>
      <w:r>
        <w:rPr>
          <w:color w:val="auto"/>
        </w:rPr>
        <w:instrText xml:space="preserve"> PAGEREF _Toc186737825 \h </w:instrText>
      </w:r>
      <w:r>
        <w:rPr>
          <w:color w:val="auto"/>
        </w:rPr>
        <w:fldChar w:fldCharType="separate"/>
      </w:r>
      <w:r>
        <w:rPr>
          <w:color w:val="auto"/>
        </w:rPr>
        <w:t>52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"_Toc186737826" </w:instrText>
      </w:r>
      <w:r>
        <w:rPr>
          <w:color w:val="auto"/>
        </w:rPr>
        <w:fldChar w:fldCharType="separate"/>
      </w:r>
      <w:r>
        <w:rPr>
          <w:rStyle w:val="33"/>
          <w:rFonts w:hint="eastAsia" w:ascii="仿宋" w:hAnsi="仿宋" w:eastAsia="仿宋" w:cs="仿宋"/>
          <w:color w:val="auto"/>
        </w:rPr>
        <w:t>（三）其他材料</w:t>
      </w:r>
      <w:r>
        <w:rPr>
          <w:color w:val="auto"/>
        </w:rPr>
        <w:tab/>
      </w:r>
      <w:r>
        <w:rPr>
          <w:color w:val="auto"/>
        </w:rPr>
        <w:fldChar w:fldCharType="begin"/>
      </w:r>
      <w:r>
        <w:rPr>
          <w:color w:val="auto"/>
        </w:rPr>
        <w:instrText xml:space="preserve"> PAGEREF _Toc186737826 \h </w:instrText>
      </w:r>
      <w:r>
        <w:rPr>
          <w:color w:val="auto"/>
        </w:rPr>
        <w:fldChar w:fldCharType="separate"/>
      </w:r>
      <w:r>
        <w:rPr>
          <w:color w:val="auto"/>
        </w:rPr>
        <w:t>55</w:t>
      </w:r>
      <w:r>
        <w:rPr>
          <w:color w:val="auto"/>
        </w:rPr>
        <w:fldChar w:fldCharType="end"/>
      </w:r>
      <w:r>
        <w:rPr>
          <w:color w:val="auto"/>
        </w:rPr>
        <w:fldChar w:fldCharType="end"/>
      </w:r>
    </w:p>
    <w:p>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"_Toc186737827" </w:instrText>
      </w:r>
      <w:r>
        <w:rPr>
          <w:color w:val="auto"/>
        </w:rPr>
        <w:fldChar w:fldCharType="separate"/>
      </w:r>
      <w:r>
        <w:rPr>
          <w:rStyle w:val="33"/>
          <w:rFonts w:hint="eastAsia" w:ascii="仿宋" w:hAnsi="仿宋" w:eastAsia="仿宋" w:cs="仿宋"/>
          <w:color w:val="auto"/>
        </w:rPr>
        <w:t>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"_Toc186737828" </w:instrText>
      </w:r>
      <w:r>
        <w:rPr>
          <w:color w:val="auto"/>
        </w:rPr>
        <w:fldChar w:fldCharType="separate"/>
      </w:r>
      <w:r>
        <w:rPr>
          <w:rStyle w:val="33"/>
          <w:rFonts w:hint="eastAsia" w:ascii="仿宋" w:hAnsi="仿宋" w:eastAsia="仿宋" w:cs="仿宋"/>
          <w:color w:val="auto"/>
        </w:rPr>
        <w:t>（一）报价一览表</w:t>
      </w:r>
      <w:r>
        <w:rPr>
          <w:color w:val="auto"/>
        </w:rPr>
        <w:tab/>
      </w:r>
      <w:r>
        <w:rPr>
          <w:color w:val="auto"/>
        </w:rPr>
        <w:fldChar w:fldCharType="begin"/>
      </w:r>
      <w:r>
        <w:rPr>
          <w:color w:val="auto"/>
        </w:rPr>
        <w:instrText xml:space="preserve"> PAGEREF _Toc186737828 \h </w:instrText>
      </w:r>
      <w:r>
        <w:rPr>
          <w:color w:val="auto"/>
        </w:rPr>
        <w:fldChar w:fldCharType="separate"/>
      </w:r>
      <w:r>
        <w:rPr>
          <w:color w:val="auto"/>
        </w:rPr>
        <w:t>2</w:t>
      </w:r>
      <w:r>
        <w:rPr>
          <w:color w:val="auto"/>
        </w:rPr>
        <w:fldChar w:fldCharType="end"/>
      </w:r>
      <w:r>
        <w:rPr>
          <w:color w:val="auto"/>
        </w:rPr>
        <w:fldChar w:fldCharType="end"/>
      </w:r>
    </w:p>
    <w:p>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"_Toc186737829" </w:instrText>
      </w:r>
      <w:r>
        <w:rPr>
          <w:color w:val="auto"/>
        </w:rPr>
        <w:fldChar w:fldCharType="separate"/>
      </w:r>
      <w:r>
        <w:rPr>
          <w:rStyle w:val="33"/>
          <w:rFonts w:hint="eastAsia" w:ascii="仿宋" w:hAnsi="仿宋" w:eastAsia="仿宋" w:cs="仿宋"/>
          <w:color w:val="auto"/>
        </w:rPr>
        <w:t>（二）分项报价表</w:t>
      </w:r>
      <w:r>
        <w:rPr>
          <w:color w:val="auto"/>
        </w:rPr>
        <w:tab/>
      </w:r>
      <w:r>
        <w:rPr>
          <w:color w:val="auto"/>
        </w:rPr>
        <w:fldChar w:fldCharType="begin"/>
      </w:r>
      <w:r>
        <w:rPr>
          <w:color w:val="auto"/>
        </w:rPr>
        <w:instrText xml:space="preserve"> PAGEREF _Toc186737829 \h </w:instrText>
      </w:r>
      <w:r>
        <w:rPr>
          <w:color w:val="auto"/>
        </w:rPr>
        <w:fldChar w:fldCharType="separate"/>
      </w:r>
      <w:r>
        <w:rPr>
          <w:color w:val="auto"/>
        </w:rPr>
        <w:t>3</w:t>
      </w:r>
      <w:r>
        <w:rPr>
          <w:color w:val="auto"/>
        </w:rPr>
        <w:fldChar w:fldCharType="end"/>
      </w:r>
      <w:r>
        <w:rPr>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val="en-US" w:eastAsia="zh-CN"/>
        </w:rPr>
        <w:t>人保财险</w:t>
      </w:r>
      <w:r>
        <w:rPr>
          <w:rFonts w:hint="eastAsia" w:ascii="仿宋" w:hAnsi="仿宋" w:eastAsia="仿宋" w:cs="仿宋"/>
          <w:color w:val="auto"/>
          <w:u w:val="single"/>
        </w:rPr>
        <w:t>成都市分公司简阳支公司“人保财险 路畅身安”修理厂线下推广宣传活动服务采购项目</w:t>
      </w:r>
      <w:r>
        <w:rPr>
          <w:rFonts w:hint="eastAsia" w:ascii="仿宋" w:hAnsi="仿宋" w:eastAsia="仿宋" w:cs="仿宋"/>
          <w:color w:val="auto"/>
        </w:rPr>
        <w:t>（采购项目编号：XM26FSPC003484 ）由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简阳支公</w:t>
      </w:r>
      <w:r>
        <w:rPr>
          <w:rFonts w:hint="eastAsia" w:ascii="仿宋" w:hAnsi="仿宋" w:eastAsia="仿宋" w:cs="仿宋"/>
          <w:color w:val="auto"/>
          <w:u w:val="single"/>
        </w:rPr>
        <w:t>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中国人民财产保险股份有限公司简阳支公司</w:t>
      </w:r>
      <w:r>
        <w:rPr>
          <w:rFonts w:hint="eastAsia" w:ascii="仿宋" w:hAnsi="仿宋" w:eastAsia="仿宋" w:cs="宋体"/>
          <w:color w:val="auto"/>
        </w:rPr>
        <w:t>（以下简称“</w:t>
      </w:r>
      <w:r>
        <w:rPr>
          <w:rFonts w:hint="eastAsia" w:ascii="仿宋" w:hAnsi="仿宋" w:eastAsia="仿宋" w:cs="宋体"/>
          <w:color w:val="auto"/>
          <w:u w:val="single"/>
        </w:rPr>
        <w:t>人保财险简阳支公司</w:t>
      </w:r>
      <w:r>
        <w:rPr>
          <w:rFonts w:hint="eastAsia" w:ascii="仿宋" w:hAnsi="仿宋" w:eastAsia="仿宋" w:cs="宋体"/>
          <w:color w:val="auto"/>
        </w:rPr>
        <w:t>”）</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186737791"/>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成都市分公司简阳支公司“人保财险 路畅身安”修理厂线下推广宣传活动服务采购项目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采购范围：本项目拟采购1家供应商，在</w:t>
      </w:r>
      <w:r>
        <w:rPr>
          <w:rFonts w:hint="eastAsia" w:ascii="仿宋" w:hAnsi="仿宋" w:eastAsia="仿宋" w:cs="仿宋"/>
          <w:color w:val="auto"/>
          <w:lang w:val="en-US" w:eastAsia="zh-CN"/>
        </w:rPr>
        <w:t>简阳</w:t>
      </w:r>
      <w:r>
        <w:rPr>
          <w:rFonts w:hint="eastAsia" w:ascii="仿宋" w:hAnsi="仿宋" w:eastAsia="仿宋" w:cs="仿宋"/>
          <w:color w:val="auto"/>
        </w:rPr>
        <w:t>城区范围内的</w:t>
      </w:r>
      <w:r>
        <w:rPr>
          <w:rFonts w:hint="eastAsia" w:ascii="仿宋" w:hAnsi="仿宋" w:eastAsia="仿宋" w:cs="仿宋"/>
          <w:color w:val="auto"/>
          <w:lang w:val="en-US" w:eastAsia="zh-CN"/>
        </w:rPr>
        <w:t>27家修理厂</w:t>
      </w:r>
      <w:r>
        <w:rPr>
          <w:rFonts w:hint="eastAsia" w:ascii="仿宋" w:hAnsi="仿宋" w:eastAsia="仿宋" w:cs="仿宋"/>
          <w:color w:val="auto"/>
        </w:rPr>
        <w:t>开展</w:t>
      </w:r>
      <w:r>
        <w:rPr>
          <w:rFonts w:hint="eastAsia" w:ascii="仿宋" w:hAnsi="仿宋" w:eastAsia="仿宋" w:cs="仿宋"/>
          <w:color w:val="auto"/>
          <w:lang w:val="en-US" w:eastAsia="zh-CN"/>
        </w:rPr>
        <w:t>人保车险和驾意险</w:t>
      </w:r>
      <w:r>
        <w:rPr>
          <w:rFonts w:hint="eastAsia" w:ascii="仿宋" w:hAnsi="仿宋" w:eastAsia="仿宋" w:cs="仿宋"/>
          <w:color w:val="auto"/>
        </w:rPr>
        <w:t>宣传活动，具体技术要求详见第五章采购需求。</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服务期限：预计投放</w:t>
      </w:r>
      <w:r>
        <w:rPr>
          <w:rFonts w:hint="eastAsia" w:ascii="仿宋" w:hAnsi="仿宋" w:eastAsia="仿宋" w:cs="仿宋"/>
          <w:color w:val="auto"/>
          <w:lang w:val="en-US" w:eastAsia="zh-CN"/>
        </w:rPr>
        <w:t>35日历天</w:t>
      </w:r>
      <w:r>
        <w:rPr>
          <w:rFonts w:hint="eastAsia" w:ascii="仿宋" w:hAnsi="仿宋" w:eastAsia="仿宋" w:cs="仿宋"/>
          <w:color w:val="auto"/>
        </w:rPr>
        <w:t>，具体时间由采购结束后签署的合同确定</w:t>
      </w:r>
      <w:r>
        <w:rPr>
          <w:rFonts w:hint="eastAsia" w:ascii="仿宋" w:hAnsi="仿宋" w:eastAsia="仿宋" w:cs="仿宋"/>
          <w:color w:val="auto"/>
          <w:lang w:eastAsia="zh-CN"/>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服务地点/交货地点：根据合同约定。</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1.7项目限价</w:t>
      </w:r>
      <w:r>
        <w:rPr>
          <w:rFonts w:hint="eastAsia" w:ascii="仿宋" w:hAnsi="仿宋" w:eastAsia="仿宋" w:cs="仿宋"/>
          <w:color w:val="auto"/>
        </w:rPr>
        <w:t>：本项目设置最高限价：</w:t>
      </w:r>
      <w:r>
        <w:rPr>
          <w:rFonts w:ascii="仿宋" w:hAnsi="仿宋" w:eastAsia="仿宋" w:cs="仿宋"/>
          <w:color w:val="auto"/>
        </w:rPr>
        <w:t>即供应商报价不得高于</w:t>
      </w:r>
      <w:r>
        <w:rPr>
          <w:rFonts w:hint="eastAsia" w:ascii="仿宋" w:hAnsi="仿宋" w:eastAsia="仿宋" w:cs="仿宋"/>
          <w:color w:val="auto"/>
          <w:lang w:val="en-US" w:eastAsia="zh-CN"/>
        </w:rPr>
        <w:t>45.009万元</w:t>
      </w:r>
      <w:r>
        <w:rPr>
          <w:rFonts w:hint="eastAsia" w:ascii="仿宋" w:hAnsi="仿宋" w:eastAsia="仿宋" w:cs="仿宋"/>
          <w:color w:val="auto"/>
          <w:lang w:eastAsia="zh-CN"/>
        </w:rPr>
        <w:t>。</w:t>
      </w:r>
    </w:p>
    <w:p>
      <w:pPr>
        <w:pStyle w:val="4"/>
        <w:jc w:val="left"/>
        <w:rPr>
          <w:rFonts w:ascii="仿宋" w:hAnsi="仿宋" w:eastAsia="仿宋" w:cs="仿宋"/>
          <w:color w:val="auto"/>
          <w:sz w:val="24"/>
          <w:szCs w:val="24"/>
        </w:rPr>
      </w:pPr>
      <w:bookmarkStart w:id="4" w:name="_Toc186737792"/>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25</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2.3</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含）以上同类项目实施案例(同类项目实施案例指:宣传活动等类似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2.6</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019"/>
      <w:bookmarkStart w:id="7" w:name="_Toc186737793"/>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22</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26</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13</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pPr>
        <w:pStyle w:val="4"/>
        <w:jc w:val="left"/>
        <w:rPr>
          <w:rFonts w:ascii="仿宋" w:hAnsi="仿宋" w:eastAsia="仿宋" w:cs="仿宋"/>
          <w:color w:val="auto"/>
          <w:sz w:val="24"/>
          <w:szCs w:val="24"/>
        </w:rPr>
      </w:pPr>
      <w:bookmarkStart w:id="8" w:name="_Toc186737794"/>
      <w:bookmarkStart w:id="9" w:name="_Toc32115"/>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hint="eastAsia"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30</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09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.2响应文件的递交：须现场递交或邮寄至</w:t>
      </w:r>
      <w:r>
        <w:rPr>
          <w:rFonts w:hint="eastAsia" w:ascii="仿宋" w:hAnsi="仿宋" w:eastAsia="仿宋" w:cs="宋体"/>
          <w:color w:val="auto"/>
          <w:u w:val="single"/>
          <w:lang w:val="en-US" w:eastAsia="zh-CN"/>
        </w:rPr>
        <w:t>简阳市建设中路597号中国人民财产保险股份有限公司简阳支公司四楼小</w:t>
      </w:r>
      <w:r>
        <w:rPr>
          <w:rFonts w:hint="eastAsia" w:ascii="仿宋" w:hAnsi="仿宋" w:eastAsia="仿宋" w:cs="宋体"/>
          <w:color w:val="auto"/>
          <w:u w:val="single"/>
        </w:rPr>
        <w:t>会议室</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186737795"/>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1867377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default" w:ascii="仿宋" w:hAnsi="仿宋" w:eastAsia="仿宋" w:cs="仿宋"/>
          <w:b/>
          <w:bCs/>
          <w:color w:val="auto"/>
          <w:lang w:val="en-US" w:eastAsia="zh-CN"/>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简阳支公司</w:t>
      </w:r>
    </w:p>
    <w:p>
      <w:pPr>
        <w:spacing w:line="360" w:lineRule="auto"/>
        <w:ind w:firstLine="420" w:firstLineChars="175"/>
        <w:rPr>
          <w:rFonts w:hint="eastAsia" w:ascii="仿宋" w:hAnsi="仿宋" w:eastAsia="仿宋" w:cs="宋体"/>
          <w:color w:val="auto"/>
        </w:rPr>
      </w:pPr>
      <w:r>
        <w:rPr>
          <w:rFonts w:hint="eastAsia" w:ascii="仿宋" w:hAnsi="仿宋" w:eastAsia="仿宋" w:cs="宋体"/>
          <w:color w:val="auto"/>
        </w:rPr>
        <w:t>地址：简阳市建设中路597号</w:t>
      </w:r>
    </w:p>
    <w:p>
      <w:pPr>
        <w:spacing w:line="360" w:lineRule="auto"/>
        <w:ind w:firstLine="420" w:firstLineChars="175"/>
        <w:rPr>
          <w:rFonts w:hint="eastAsia" w:ascii="仿宋" w:hAnsi="仿宋" w:eastAsia="仿宋" w:cs="宋体"/>
          <w:color w:val="auto"/>
        </w:rPr>
      </w:pPr>
      <w:r>
        <w:rPr>
          <w:rFonts w:hint="eastAsia" w:ascii="仿宋" w:hAnsi="仿宋" w:eastAsia="仿宋" w:cs="宋体"/>
          <w:color w:val="auto"/>
        </w:rPr>
        <w:t>联系人：胡嘉敏</w:t>
      </w:r>
    </w:p>
    <w:p>
      <w:pPr>
        <w:spacing w:line="360" w:lineRule="auto"/>
        <w:ind w:firstLine="420" w:firstLineChars="175"/>
        <w:rPr>
          <w:rFonts w:hint="eastAsia" w:ascii="仿宋" w:hAnsi="仿宋" w:eastAsia="仿宋" w:cs="宋体"/>
          <w:color w:val="auto"/>
        </w:rPr>
      </w:pPr>
      <w:r>
        <w:rPr>
          <w:rFonts w:hint="eastAsia" w:ascii="仿宋" w:hAnsi="仿宋" w:eastAsia="仿宋" w:cs="宋体"/>
          <w:color w:val="auto"/>
        </w:rPr>
        <w:t>电话：028-27019550</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ascii="宋体" w:hAnsi="宋体" w:eastAsia="宋体" w:cs="宋体"/>
          <w:color w:val="auto"/>
          <w:sz w:val="24"/>
          <w:szCs w:val="24"/>
        </w:rPr>
        <w:t>hujiamin05@sic.picc.com.cn</w:t>
      </w:r>
    </w:p>
    <w:p>
      <w:pPr>
        <w:spacing w:line="360" w:lineRule="auto"/>
        <w:ind w:firstLine="480" w:firstLineChars="200"/>
        <w:jc w:val="right"/>
        <w:textAlignment w:val="baseline"/>
        <w:rPr>
          <w:rFonts w:ascii="仿宋" w:hAnsi="仿宋" w:eastAsia="仿宋" w:cs="宋体"/>
          <w:color w:val="auto"/>
        </w:rPr>
      </w:pPr>
    </w:p>
    <w:p>
      <w:pPr>
        <w:spacing w:line="360" w:lineRule="auto"/>
        <w:jc w:val="right"/>
        <w:rPr>
          <w:rFonts w:hint="eastAsia" w:ascii="仿宋" w:hAnsi="仿宋" w:eastAsia="仿宋" w:cs="宋体"/>
          <w:color w:val="auto"/>
        </w:rPr>
      </w:pPr>
      <w:r>
        <w:rPr>
          <w:rFonts w:hint="eastAsia" w:ascii="仿宋" w:hAnsi="仿宋" w:eastAsia="仿宋" w:cs="宋体"/>
          <w:color w:val="auto"/>
        </w:rPr>
        <w:t>采购人：中国人民财产保险股份有限公司简阳支公司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10</w:t>
      </w:r>
      <w:r>
        <w:rPr>
          <w:rFonts w:hint="eastAsia" w:ascii="仿宋" w:hAnsi="仿宋" w:eastAsia="仿宋" w:cs="宋体"/>
          <w:color w:val="auto"/>
        </w:rPr>
        <w:t>月</w:t>
      </w:r>
      <w:r>
        <w:rPr>
          <w:rFonts w:hint="eastAsia" w:ascii="仿宋" w:hAnsi="仿宋" w:eastAsia="仿宋" w:cs="宋体"/>
          <w:color w:val="auto"/>
          <w:lang w:val="en-US" w:eastAsia="zh-CN"/>
        </w:rPr>
        <w:t>21</w:t>
      </w:r>
      <w:bookmarkStart w:id="212" w:name="_GoBack"/>
      <w:bookmarkEnd w:id="212"/>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18673779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报价、对采购需求的理解、产品配置/技术方案、实施方案、人员配置、服务承诺、商务条款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w:t>
            </w:r>
            <w:r>
              <w:rPr>
                <w:rFonts w:hint="eastAsia" w:ascii="仿宋" w:hAnsi="仿宋" w:eastAsia="仿宋" w:cs="宋体"/>
                <w:color w:val="auto"/>
                <w:sz w:val="22"/>
                <w:u w:val="single"/>
                <w:lang w:val="en-US" w:eastAsia="zh-CN"/>
              </w:rPr>
              <w:t>第</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简阳支公司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上级</w:t>
            </w:r>
            <w:r>
              <w:rPr>
                <w:rFonts w:ascii="仿宋" w:hAnsi="仿宋" w:eastAsia="仿宋" w:cs="仿宋"/>
                <w:color w:val="auto"/>
                <w:sz w:val="22"/>
              </w:rPr>
              <w:t>分公司</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成都</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287600118"/>
      <w:bookmarkStart w:id="18" w:name="_Toc20514"/>
      <w:bookmarkStart w:id="19" w:name="_Toc517281816"/>
      <w:bookmarkStart w:id="20" w:name="_Toc19783313"/>
      <w:bookmarkStart w:id="21" w:name="_Toc6047"/>
      <w:bookmarkStart w:id="22" w:name="_Toc27232"/>
      <w:bookmarkStart w:id="23" w:name="_Toc444891336"/>
      <w:bookmarkStart w:id="24" w:name="_Toc11071"/>
      <w:bookmarkStart w:id="25" w:name="_Toc186737799"/>
      <w:bookmarkStart w:id="26" w:name="_Toc27220"/>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19783314"/>
      <w:bookmarkStart w:id="28" w:name="_Toc287600119"/>
      <w:bookmarkStart w:id="29" w:name="_Toc22969"/>
      <w:bookmarkStart w:id="30" w:name="_Toc517281817"/>
      <w:bookmarkStart w:id="31" w:name="_Toc444891337"/>
      <w:bookmarkStart w:id="32" w:name="_Toc16441"/>
      <w:bookmarkStart w:id="33" w:name="_Toc3678"/>
      <w:bookmarkStart w:id="34" w:name="_Toc6681"/>
      <w:bookmarkStart w:id="35" w:name="_Toc186737800"/>
      <w:bookmarkStart w:id="36" w:name="_Toc431"/>
      <w:bookmarkStart w:id="37" w:name="_Toc11851"/>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5255"/>
      <w:bookmarkStart w:id="39" w:name="_Toc3016"/>
      <w:bookmarkStart w:id="40" w:name="_Toc10975"/>
      <w:bookmarkStart w:id="41" w:name="_Toc14164"/>
      <w:bookmarkStart w:id="42" w:name="_Toc517281818"/>
      <w:bookmarkStart w:id="43" w:name="_Toc19783315"/>
      <w:bookmarkStart w:id="44" w:name="_Toc24246"/>
      <w:bookmarkStart w:id="45" w:name="_Toc444891338"/>
      <w:bookmarkStart w:id="46" w:name="_Toc25513"/>
      <w:bookmarkStart w:id="47" w:name="_Toc186737801"/>
      <w:bookmarkStart w:id="48" w:name="_Toc287600120"/>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186737802"/>
      <w:bookmarkStart w:id="50" w:name="_Toc27563"/>
      <w:bookmarkStart w:id="51" w:name="_Toc14308"/>
      <w:bookmarkStart w:id="52" w:name="_Toc287600121"/>
      <w:bookmarkStart w:id="53" w:name="_Toc444891339"/>
      <w:bookmarkStart w:id="54" w:name="_Toc31141"/>
      <w:bookmarkStart w:id="55" w:name="_Toc16985"/>
      <w:bookmarkStart w:id="56" w:name="_Toc27642"/>
      <w:bookmarkStart w:id="57" w:name="_Toc19783316"/>
      <w:bookmarkStart w:id="58" w:name="_Toc13691"/>
      <w:bookmarkStart w:id="59" w:name="_Toc517281819"/>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4155"/>
      <w:bookmarkStart w:id="62" w:name="_Toc14726"/>
      <w:bookmarkStart w:id="63" w:name="_Toc517281820"/>
      <w:bookmarkStart w:id="64" w:name="_Toc19783317"/>
      <w:bookmarkStart w:id="65" w:name="_Toc444891340"/>
      <w:bookmarkStart w:id="66" w:name="_Toc18673"/>
      <w:bookmarkStart w:id="67" w:name="_Toc287600122"/>
      <w:bookmarkStart w:id="68" w:name="_Toc7129"/>
      <w:bookmarkStart w:id="69" w:name="_Toc21600"/>
      <w:bookmarkStart w:id="70" w:name="_Toc186737803"/>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152042334"/>
      <w:bookmarkStart w:id="73" w:name="_Toc246996945"/>
      <w:bookmarkStart w:id="74" w:name="_Toc144974526"/>
      <w:bookmarkStart w:id="75" w:name="_Toc179632576"/>
      <w:bookmarkStart w:id="76" w:name="_Toc326223561"/>
      <w:bookmarkStart w:id="77" w:name="_Toc332188194"/>
      <w:bookmarkStart w:id="78" w:name="_Toc246996202"/>
      <w:bookmarkStart w:id="79" w:name="_Toc152045558"/>
      <w:bookmarkStart w:id="80" w:name="_Toc334766948"/>
      <w:bookmarkStart w:id="81" w:name="_Toc247085716"/>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20741"/>
      <w:bookmarkStart w:id="83" w:name="_Toc186737804"/>
      <w:bookmarkStart w:id="84" w:name="_Toc11361"/>
      <w:bookmarkStart w:id="85" w:name="_Toc2055"/>
      <w:bookmarkStart w:id="86" w:name="_Toc287600123"/>
      <w:bookmarkStart w:id="87" w:name="_Toc12797"/>
      <w:bookmarkStart w:id="88" w:name="_Toc2636"/>
      <w:bookmarkStart w:id="89" w:name="_Toc444891341"/>
      <w:bookmarkStart w:id="90" w:name="_Toc517281821"/>
      <w:bookmarkStart w:id="91" w:name="_Toc30466"/>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13936"/>
      <w:bookmarkStart w:id="96" w:name="_Toc287600124"/>
      <w:bookmarkStart w:id="97" w:name="_Toc9911"/>
      <w:bookmarkStart w:id="98" w:name="_Toc234223231"/>
      <w:bookmarkStart w:id="99" w:name="_Toc19451"/>
      <w:bookmarkStart w:id="100" w:name="_Toc186737805"/>
      <w:bookmarkStart w:id="101" w:name="_Toc28031"/>
      <w:bookmarkStart w:id="102" w:name="_Toc2322"/>
      <w:bookmarkStart w:id="103" w:name="_Toc16781"/>
      <w:bookmarkStart w:id="104" w:name="_Toc517281822"/>
      <w:bookmarkStart w:id="105" w:name="_Toc444891342"/>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10670"/>
      <w:bookmarkStart w:id="108" w:name="_Toc186737806"/>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7201"/>
      <w:bookmarkStart w:id="111" w:name="_Toc517281825"/>
      <w:bookmarkStart w:id="112" w:name="_Toc186737807"/>
      <w:bookmarkStart w:id="113" w:name="_Toc444891344"/>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.通过初步评审的供应商进行最终报价；</w:t>
      </w:r>
    </w:p>
    <w:p>
      <w:pPr>
        <w:spacing w:line="360" w:lineRule="auto"/>
        <w:ind w:firstLine="420" w:firstLineChars="175"/>
        <w:rPr>
          <w:rFonts w:hint="eastAsia" w:ascii="仿宋" w:hAnsi="仿宋" w:eastAsia="仿宋" w:cs="仿宋"/>
          <w:color w:val="auto"/>
        </w:rPr>
      </w:pPr>
      <w:r>
        <w:rPr>
          <w:rFonts w:hint="eastAsia" w:ascii="仿宋" w:hAnsi="仿宋" w:eastAsia="仿宋" w:cs="仿宋"/>
          <w:color w:val="auto"/>
          <w:lang w:val="en-US" w:eastAsia="zh-CN"/>
        </w:rPr>
        <w:t>6</w:t>
      </w:r>
      <w:r>
        <w:rPr>
          <w:rFonts w:hint="eastAsia" w:ascii="仿宋" w:hAnsi="仿宋" w:eastAsia="仿宋" w:cs="仿宋"/>
          <w:color w:val="auto"/>
        </w:rPr>
        <w:t>.通过初步评审的响应文件进行详细评审及打分；</w:t>
      </w:r>
    </w:p>
    <w:p>
      <w:pPr>
        <w:spacing w:line="360" w:lineRule="auto"/>
        <w:ind w:firstLine="420" w:firstLineChars="175"/>
        <w:rPr>
          <w:rFonts w:ascii="仿宋" w:hAnsi="仿宋" w:eastAsia="仿宋" w:cs="仿宋"/>
          <w:color w:val="auto"/>
          <w:sz w:val="24"/>
          <w:szCs w:val="24"/>
        </w:rPr>
      </w:pPr>
      <w:r>
        <w:rPr>
          <w:rFonts w:hint="eastAsia" w:ascii="仿宋" w:hAnsi="仿宋" w:eastAsia="仿宋" w:cs="仿宋"/>
          <w:color w:val="auto"/>
          <w:lang w:val="en-US" w:eastAsia="zh-CN"/>
        </w:rPr>
        <w:t>7</w:t>
      </w:r>
      <w:r>
        <w:rPr>
          <w:rFonts w:hint="eastAsia" w:ascii="仿宋" w:hAnsi="仿宋" w:eastAsia="仿宋" w:cs="仿宋"/>
          <w:color w:val="auto"/>
        </w:rPr>
        <w:t>.按照综合评分由高到低的次序推荐成交候选人，提交评审结果，评审结果应包含评审情况说明、排名次序、推荐成交候选人名单及其他说明事项。</w:t>
      </w:r>
      <w:bookmarkStart w:id="116" w:name="_Toc444891345"/>
      <w:bookmarkStart w:id="117" w:name="_Toc517281826"/>
      <w:r>
        <w:rPr>
          <w:rFonts w:hint="eastAsia" w:ascii="仿宋" w:hAnsi="仿宋" w:eastAsia="仿宋" w:cs="仿宋"/>
          <w:color w:val="auto"/>
          <w:sz w:val="24"/>
          <w:szCs w:val="24"/>
        </w:rPr>
        <w:br w:type="page"/>
      </w:r>
      <w:bookmarkStart w:id="118" w:name="_Toc186737808"/>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469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24"/>
        <w:gridCol w:w="1094"/>
        <w:gridCol w:w="1974"/>
        <w:gridCol w:w="556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16" w:hRule="atLeast"/>
          <w:jc w:val="center"/>
        </w:trPr>
        <w:tc>
          <w:tcPr>
            <w:tcW w:w="337"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1"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5"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337"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1"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5"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96"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5"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60"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5"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337"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1"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具有独立承担民事责任的能力</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11"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仿宋"/>
                <w:color w:val="auto"/>
                <w:sz w:val="22"/>
                <w:szCs w:val="21"/>
              </w:rPr>
              <w:t>具有良好的商业信誉和健全的财务会计制度</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11"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具有履行合同所必需的设备和专业技术能力</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11"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具有依法缴纳税收和社会保障资金的良好记录</w:t>
            </w:r>
          </w:p>
        </w:tc>
        <w:tc>
          <w:tcPr>
            <w:tcW w:w="3005" w:type="pct"/>
            <w:vAlign w:val="center"/>
          </w:tcPr>
          <w:p>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197"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hint="eastAsia" w:ascii="仿宋" w:hAnsi="仿宋" w:eastAsia="仿宋" w:cs="Cambria Math"/>
                <w:color w:val="auto"/>
                <w:sz w:val="22"/>
                <w:szCs w:val="21"/>
                <w:lang w:val="en-US" w:eastAsia="zh-CN"/>
              </w:rPr>
            </w:pPr>
            <w:r>
              <w:rPr>
                <w:rFonts w:hint="eastAsia" w:ascii="仿宋" w:hAnsi="仿宋" w:eastAsia="仿宋" w:cs="Cambria Math"/>
                <w:color w:val="auto"/>
                <w:sz w:val="22"/>
                <w:szCs w:val="21"/>
              </w:rPr>
              <w:t>非联合体</w:t>
            </w:r>
            <w:r>
              <w:rPr>
                <w:rFonts w:hint="eastAsia" w:ascii="仿宋" w:hAnsi="仿宋" w:eastAsia="仿宋" w:cs="Cambria Math"/>
                <w:color w:val="auto"/>
                <w:sz w:val="22"/>
                <w:szCs w:val="21"/>
                <w:lang w:val="en-US" w:eastAsia="zh-CN"/>
              </w:rPr>
              <w:t>比选</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337"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1"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66"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11"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337" w:type="pct"/>
            <w:vMerge w:val="continue"/>
            <w:vAlign w:val="center"/>
          </w:tcPr>
          <w:p>
            <w:pPr>
              <w:spacing w:line="360" w:lineRule="auto"/>
              <w:jc w:val="center"/>
              <w:rPr>
                <w:rFonts w:ascii="仿宋" w:hAnsi="仿宋" w:eastAsia="仿宋" w:cs="仿宋"/>
                <w:color w:val="auto"/>
                <w:szCs w:val="21"/>
              </w:rPr>
            </w:pPr>
          </w:p>
        </w:tc>
        <w:tc>
          <w:tcPr>
            <w:tcW w:w="591"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25550"/>
      <w:bookmarkStart w:id="121" w:name="_Toc186737809"/>
      <w:r>
        <w:rPr>
          <w:rFonts w:hint="eastAsia" w:ascii="仿宋" w:hAnsi="仿宋" w:eastAsia="仿宋" w:cs="仿宋"/>
          <w:color w:val="auto"/>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w:t>
      </w:r>
      <w:r>
        <w:rPr>
          <w:rFonts w:hint="eastAsia" w:ascii="楷体" w:hAnsi="楷体" w:eastAsia="楷体" w:cs="仿宋_GB2312"/>
          <w:i/>
          <w:color w:val="auto"/>
          <w:szCs w:val="32"/>
        </w:rPr>
        <w:t>最终报价、技术质量和</w:t>
      </w:r>
      <w:r>
        <w:rPr>
          <w:rFonts w:hint="eastAsia" w:ascii="楷体" w:hAnsi="楷体" w:eastAsia="楷体" w:cs="仿宋_GB2312"/>
          <w:i/>
          <w:color w:val="auto"/>
          <w:szCs w:val="32"/>
          <w:lang w:val="en-US" w:eastAsia="zh-CN"/>
        </w:rPr>
        <w:t>商务部分</w:t>
      </w:r>
      <w:r>
        <w:rPr>
          <w:rFonts w:hint="eastAsia" w:ascii="仿宋_GB2312" w:eastAsia="仿宋_GB2312"/>
          <w:color w:val="auto"/>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w:t>
      </w:r>
      <w:r>
        <w:rPr>
          <w:rFonts w:hint="eastAsia" w:ascii="仿宋_GB2312" w:eastAsia="仿宋_GB2312"/>
          <w:color w:val="auto"/>
          <w:lang w:val="en-US" w:eastAsia="zh-CN"/>
        </w:rPr>
        <w:t>前</w:t>
      </w:r>
      <w:r>
        <w:rPr>
          <w:rFonts w:hint="eastAsia" w:ascii="仿宋_GB2312" w:eastAsia="仿宋_GB2312"/>
          <w:color w:val="auto"/>
        </w:rPr>
        <w:t>1名的供应商。</w:t>
      </w:r>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29"/>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105"/>
        <w:gridCol w:w="1085"/>
        <w:gridCol w:w="774"/>
        <w:gridCol w:w="5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序号</w:t>
            </w:r>
          </w:p>
        </w:tc>
        <w:tc>
          <w:tcPr>
            <w:tcW w:w="219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评分项目</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分值</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numPr>
                <w:ilvl w:val="0"/>
                <w:numId w:val="3"/>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1"/>
              </w:rPr>
            </w:pPr>
          </w:p>
        </w:tc>
        <w:tc>
          <w:tcPr>
            <w:tcW w:w="110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价格部分40%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报价</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40分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val="0"/>
                <w:bCs w:val="0"/>
                <w:color w:val="auto"/>
                <w:sz w:val="21"/>
                <w:szCs w:val="21"/>
              </w:rPr>
            </w:pPr>
            <w:r>
              <w:rPr>
                <w:rFonts w:hint="eastAsia" w:ascii="仿宋" w:hAnsi="仿宋" w:eastAsia="仿宋" w:cs="仿宋"/>
                <w:b w:val="0"/>
                <w:bCs w:val="0"/>
                <w:color w:val="auto"/>
                <w:kern w:val="0"/>
                <w:sz w:val="21"/>
                <w:szCs w:val="21"/>
                <w:lang w:val="en-US" w:eastAsia="zh-CN" w:bidi="ar"/>
              </w:rPr>
              <w:t>评分法中的价格分采用低价优先法计算，即满足磋商文件要求且最低的评审价格为评标基准价，等于评标基准价得40分。其他供应商的价格分统一按照下列公式计算，精确到小数点后两位：</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val="0"/>
                <w:bCs w:val="0"/>
                <w:color w:val="auto"/>
                <w:sz w:val="21"/>
                <w:szCs w:val="21"/>
              </w:rPr>
            </w:pPr>
            <w:r>
              <w:rPr>
                <w:rFonts w:hint="eastAsia" w:ascii="仿宋" w:hAnsi="仿宋" w:eastAsia="仿宋" w:cs="仿宋"/>
                <w:b w:val="0"/>
                <w:bCs w:val="0"/>
                <w:color w:val="auto"/>
                <w:kern w:val="0"/>
                <w:sz w:val="21"/>
                <w:szCs w:val="21"/>
                <w:lang w:val="en-US" w:eastAsia="zh-CN" w:bidi="ar"/>
              </w:rPr>
              <w:t>供应商报价得分＝（评标基准价/评审价格）×40；</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注：评审价格按照如下方式定义：</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（1）对于承诺提供增值税专用发票的供应商，评审价格即不含税的响应总价净价；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（2）对于不能提供增值税专用发票的供应商，评审价格是含税的响应总价。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（3）报价得分最终结果四舍五入保留小数点后两位。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numPr>
                <w:ilvl w:val="0"/>
                <w:numId w:val="3"/>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1"/>
              </w:rPr>
            </w:pPr>
          </w:p>
        </w:tc>
        <w:tc>
          <w:tcPr>
            <w:tcW w:w="1105"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商务部分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10%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企业综合实力</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5分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color w:val="auto"/>
                <w:kern w:val="0"/>
                <w:sz w:val="21"/>
                <w:szCs w:val="21"/>
                <w:lang w:val="en-US" w:eastAsia="zh-CN" w:bidi="ar"/>
              </w:rPr>
              <w:t>根据供应商财务状况（营业收入、净利润）、信誉状况、人员储备等情况进行横向比较评分（需提供相应证明材料），评价为优得4-5分，较优得2-3分，一般得0-1分。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同类业绩</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5分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除资格业绩外，供应商2023年1月1日至今每具有1个同类项目实施案例（同类项目实施案例指：宣传投放等类似案例）的得1分，本项最多得5分。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val="en-US" w:eastAsia="zh-CN" w:bidi="ar"/>
              </w:rPr>
              <w:t>注：（1）以上业绩需提供服务合同复印件，业绩时间以服务合同签订时间为准，合同扫描件中应包含关键页（包括但不限于合同首页、合同金额、服务内容、签字盖章等）；</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rPr>
            </w:pPr>
            <w:r>
              <w:rPr>
                <w:rFonts w:hint="eastAsia" w:ascii="仿宋" w:hAnsi="仿宋" w:eastAsia="仿宋" w:cs="仿宋"/>
                <w:b/>
                <w:bCs/>
                <w:color w:val="auto"/>
                <w:kern w:val="0"/>
                <w:sz w:val="21"/>
                <w:szCs w:val="21"/>
                <w:lang w:val="en-US" w:eastAsia="zh-CN" w:bidi="ar"/>
              </w:rPr>
              <w:t>（2）未按以上要求提供资料或提供资料不全的，视为无效。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numPr>
                <w:ilvl w:val="0"/>
                <w:numId w:val="3"/>
              </w:numPr>
              <w:suppressLineNumbers w:val="0"/>
              <w:kinsoku/>
              <w:wordWrap/>
              <w:overflowPunct/>
              <w:topLinePunct w:val="0"/>
              <w:autoSpaceDE w:val="0"/>
              <w:autoSpaceDN w:val="0"/>
              <w:bidi w:val="0"/>
              <w:adjustRightInd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1"/>
              </w:rPr>
            </w:pPr>
          </w:p>
        </w:tc>
        <w:tc>
          <w:tcPr>
            <w:tcW w:w="1105" w:type="dxa"/>
            <w:vMerge w:val="restart"/>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技术部分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50%</w:t>
            </w: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kern w:val="2"/>
                <w:sz w:val="21"/>
                <w:szCs w:val="21"/>
              </w:rPr>
            </w:pPr>
            <w:r>
              <w:rPr>
                <w:rFonts w:hint="eastAsia" w:ascii="仿宋" w:hAnsi="仿宋" w:eastAsia="仿宋" w:cs="仿宋"/>
                <w:color w:val="auto"/>
                <w:kern w:val="2"/>
                <w:sz w:val="21"/>
                <w:szCs w:val="21"/>
                <w:lang w:val="en-US" w:eastAsia="zh-CN" w:bidi="ar"/>
              </w:rPr>
              <w:t>服务方案</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10分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根据供应商针对本项目指定修理厂清单编制线下推广服务方案（内容包括但不限于：宣传工作方法、过程管理、质量管理等内容）从完整性、全面性、可行性以及对需求响应的契合度等方面进行综合评审。</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（1）优（8-10分）：方案内容完整、全面、无缺失，工作流程清晰、逻辑严密，计划完善明确、具备可操作性，各项措施内容完善、科学合理，贴合修理厂线下获客、品牌宣传需求；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2）较优（5-7分）：方案内容基本完整、覆盖全部方案内容、但存在细节缺失，工作流程基本清晰、但关键环节描述较模糊，计划较完善、具备一定的可操作性，各项措施内容基本完整、具备合理性、具备一定的可行性、较为契合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（3）一般（2-4分）：方案内容仅满足基本框架要求，存在部分缺失，工作流程描述笼统、缺乏可行性，各项措施基本为原则性声明、没有具体实施路径或说明，与项目需求契合度低；</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（4）差（0-1分）：方案内容严重缺失、仅有标题或大纲内容，逻辑矛盾或脱离实际、不具备可行性，套用其他项目内容，未响应项目需求或与项目需求明显冲突。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2"/>
                <w:sz w:val="21"/>
                <w:szCs w:val="21"/>
                <w:lang w:val="en-US" w:eastAsia="zh-CN" w:bidi="ar"/>
              </w:rPr>
              <w:t>应急处理预案</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10分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针对</w:t>
            </w:r>
            <w:r>
              <w:rPr>
                <w:rFonts w:hint="eastAsia" w:ascii="仿宋" w:hAnsi="仿宋" w:eastAsia="仿宋" w:cs="仿宋"/>
                <w:color w:val="auto"/>
                <w:sz w:val="21"/>
                <w:szCs w:val="21"/>
                <w:lang w:val="en-US" w:eastAsia="zh-CN"/>
              </w:rPr>
              <w:t>修理厂</w:t>
            </w:r>
            <w:r>
              <w:rPr>
                <w:rFonts w:hint="eastAsia" w:ascii="仿宋" w:hAnsi="仿宋" w:eastAsia="仿宋" w:cs="仿宋"/>
                <w:color w:val="auto"/>
                <w:sz w:val="21"/>
                <w:szCs w:val="21"/>
              </w:rPr>
              <w:t>线下</w:t>
            </w:r>
            <w:r>
              <w:rPr>
                <w:rFonts w:hint="eastAsia" w:ascii="仿宋" w:hAnsi="仿宋" w:eastAsia="仿宋" w:cs="仿宋"/>
                <w:color w:val="auto"/>
                <w:sz w:val="21"/>
                <w:szCs w:val="21"/>
                <w:lang w:val="en-US" w:eastAsia="zh-CN"/>
              </w:rPr>
              <w:t>推广</w:t>
            </w:r>
            <w:r>
              <w:rPr>
                <w:rFonts w:hint="eastAsia" w:ascii="仿宋" w:hAnsi="仿宋" w:eastAsia="仿宋" w:cs="仿宋"/>
                <w:color w:val="auto"/>
                <w:sz w:val="21"/>
                <w:szCs w:val="21"/>
              </w:rPr>
              <w:t>编制应急预案，包含极端天气、</w:t>
            </w:r>
            <w:r>
              <w:rPr>
                <w:rFonts w:hint="eastAsia" w:ascii="仿宋" w:hAnsi="仿宋" w:eastAsia="仿宋" w:cs="仿宋"/>
                <w:color w:val="auto"/>
                <w:sz w:val="21"/>
                <w:szCs w:val="21"/>
                <w:lang w:val="en-US" w:eastAsia="zh-CN"/>
              </w:rPr>
              <w:t>修理厂门店所在地</w:t>
            </w:r>
            <w:r>
              <w:rPr>
                <w:rFonts w:hint="eastAsia" w:ascii="仿宋" w:hAnsi="仿宋" w:eastAsia="仿宋" w:cs="仿宋"/>
                <w:color w:val="auto"/>
                <w:sz w:val="21"/>
                <w:szCs w:val="21"/>
              </w:rPr>
              <w:t>场地临时管控、</w:t>
            </w:r>
            <w:r>
              <w:rPr>
                <w:rFonts w:hint="eastAsia" w:ascii="仿宋" w:hAnsi="仿宋" w:eastAsia="仿宋" w:cs="仿宋"/>
                <w:color w:val="auto"/>
                <w:sz w:val="21"/>
                <w:szCs w:val="21"/>
                <w:lang w:val="en-US" w:eastAsia="zh-CN"/>
              </w:rPr>
              <w:t>周边群众</w:t>
            </w:r>
            <w:r>
              <w:rPr>
                <w:rFonts w:hint="eastAsia" w:ascii="仿宋" w:hAnsi="仿宋" w:eastAsia="仿宋" w:cs="仿宋"/>
                <w:color w:val="auto"/>
                <w:sz w:val="21"/>
                <w:szCs w:val="21"/>
              </w:rPr>
              <w:t>异议纠纷、宣传物料破损、人员临时缺位等突发场景的处置流程与保障措施。从预案完整性、全面性、可行性、需求契合度综合评审。</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（1）优（8</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10分）：预案覆盖全部主要风险场景，处置流程清晰，人员、补救措施完备，针对性强，契合修理厂线下地推现场实际；</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（2）较优（5</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7分）：预案覆盖主要场景，细节存在缺失，处置流程基本完整，部分措施笼统，具备一定可行性；</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（3）一般（2</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4分）：仅具备基础框架，部分风险场景缺失，处置多为原则性描述，缺少落地处置手段；</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（4）差（0</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rPr>
              <w:t>1分）：预案内容严重缺失，照搬通用模板，脱离社区摆展场景，不具备可操作性。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kern w:val="2"/>
                <w:sz w:val="21"/>
                <w:szCs w:val="21"/>
                <w:lang w:val="en-US" w:eastAsia="zh-CN" w:bidi="ar"/>
              </w:rPr>
            </w:pPr>
            <w:r>
              <w:rPr>
                <w:rFonts w:hint="eastAsia" w:ascii="仿宋" w:hAnsi="仿宋" w:eastAsia="仿宋" w:cs="仿宋"/>
                <w:color w:val="auto"/>
                <w:kern w:val="2"/>
                <w:sz w:val="21"/>
                <w:szCs w:val="21"/>
                <w:lang w:val="en-US" w:eastAsia="zh-CN" w:bidi="ar"/>
              </w:rPr>
              <w:t>资源投入方案</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2"/>
                <w:sz w:val="21"/>
                <w:szCs w:val="21"/>
                <w:highlight w:val="none"/>
                <w:lang w:val="en-US" w:eastAsia="zh-CN" w:bidi="ar"/>
              </w:rPr>
              <w:t>10分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本项评审摆展物料全生命周期管理、现场文明宣传与秩序管控方案。内容包含宣传物料接收-运输-现场布设-巡检维护-破损更换-回收处置全流程管理；工作人员现场行为规范、禁止强行推销、噪音管控、人流疏导、车主投诉防范处置措施。从方案完善性、全面性、项目匹配度综合评审。</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（1）优（8-10分）：物料全流程管理闭环完整，文明宣传、秩序管控、扰民防范措施具体详实，贴合修理厂线下推广现场环境，可操作性强；</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（2）较优（5-7分）：物料及秩序管控方案基本完整，部分环节细节不足，措施大体可行，基本匹配项目需求；</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（3）一般（2-4分）：仅框架性描述，关键管控环节缺失，缺少具体执行举措，匹配度一般；</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（4）差（0-1分）：内容严重缺失，套用通用模板，无针对小区摆展的管控措施。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default" w:ascii="仿宋" w:hAnsi="仿宋" w:eastAsia="仿宋" w:cs="仿宋"/>
                <w:color w:val="auto"/>
                <w:kern w:val="2"/>
                <w:sz w:val="21"/>
                <w:szCs w:val="21"/>
                <w:lang w:val="en-US" w:eastAsia="zh-CN"/>
              </w:rPr>
            </w:pPr>
            <w:r>
              <w:rPr>
                <w:rFonts w:hint="eastAsia" w:ascii="仿宋" w:hAnsi="仿宋" w:eastAsia="仿宋" w:cs="仿宋"/>
                <w:color w:val="auto"/>
                <w:kern w:val="0"/>
                <w:sz w:val="21"/>
                <w:szCs w:val="21"/>
              </w:rPr>
              <w:t>人员配置方案</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bidi="ar"/>
              </w:rPr>
              <w:t>10分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1、供应商拟派往本项目的项目负责人具备宣传活动经验，具体评分标准为：拥有3年及以上相关经验得5分，1-2年得3分，1年以下得1分，无相关工作经验不得分。工作经验需以劳动合同或简历作为证明材料。</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注：（1）提供人员身份证复印件；供应商为其缴纳的最近连续6个月的有效社保证明材料复印件；劳动合同复印件或简历复印件。以上材料均需加盖供应商单位公章；</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（2）未按以上要求提供资料或提供资料不全的，不得分。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2、根据供应商制定的人员配置方案进行评分。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default"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（1）工作人员岗位配置，岗位职责清晰，制定人员替补、顶岗保障方案，能保障活动人员按时到位，得4-5分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（2）人员岗位配置齐全，但是人员替补、顶岗保障措施不足，得2-3分；</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color w:val="auto"/>
                <w:lang w:val="en-US" w:eastAsia="zh-CN"/>
              </w:rPr>
            </w:pPr>
            <w:r>
              <w:rPr>
                <w:rFonts w:hint="eastAsia" w:ascii="仿宋" w:hAnsi="仿宋" w:eastAsia="仿宋" w:cs="仿宋"/>
                <w:color w:val="auto"/>
                <w:kern w:val="0"/>
                <w:sz w:val="21"/>
                <w:szCs w:val="21"/>
                <w:lang w:val="en-US" w:eastAsia="zh-CN" w:bidi="ar"/>
              </w:rPr>
              <w:t>（3）人员配置仅能够满足项目基本工作需要，方案内容简单，得1分；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9"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105" w:type="dxa"/>
            <w:vMerge w:val="continue"/>
            <w:tcBorders>
              <w:top w:val="nil"/>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rPr>
                <w:rFonts w:hint="eastAsia" w:ascii="仿宋" w:hAnsi="仿宋" w:eastAsia="仿宋" w:cs="仿宋"/>
                <w:color w:val="auto"/>
                <w:sz w:val="21"/>
                <w:szCs w:val="20"/>
              </w:rPr>
            </w:pPr>
          </w:p>
        </w:tc>
        <w:tc>
          <w:tcPr>
            <w:tcW w:w="108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center"/>
              <w:textAlignment w:val="center"/>
              <w:rPr>
                <w:rFonts w:hint="eastAsia" w:ascii="仿宋" w:hAnsi="仿宋" w:eastAsia="仿宋" w:cs="仿宋"/>
                <w:color w:val="auto"/>
                <w:kern w:val="0"/>
                <w:sz w:val="21"/>
                <w:szCs w:val="21"/>
                <w:lang w:eastAsia="zh-CN"/>
              </w:rPr>
            </w:pPr>
            <w:r>
              <w:rPr>
                <w:rFonts w:hint="eastAsia" w:ascii="仿宋" w:hAnsi="仿宋" w:eastAsia="仿宋" w:cs="仿宋"/>
                <w:color w:val="auto"/>
                <w:kern w:val="0"/>
                <w:sz w:val="21"/>
                <w:szCs w:val="21"/>
                <w:lang w:val="en-US" w:eastAsia="zh-CN"/>
              </w:rPr>
              <w:t>增值服务</w:t>
            </w:r>
          </w:p>
        </w:tc>
        <w:tc>
          <w:tcPr>
            <w:tcW w:w="7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10分</w:t>
            </w:r>
          </w:p>
        </w:tc>
        <w:tc>
          <w:tcPr>
            <w:tcW w:w="552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供应商结合修理厂线下推广宣传项目提供增值服务方案。对增值服务与本项目需求契合度、方案完整性、可落地性进行评价。</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（1）优（8-10分）：增值服务紧密贴合修理厂线下地推、引流获客、品牌曝光业务，步骤清晰，落地性强，能够有效提升修理厂推广实施成效；</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（2）较优（5-7分）：增值服务与项目存在一定契合度，具备可操作性，但细节、执行路径尚有改进空间；</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（3）一般（2-4分）：增值服务匹配度一般，部分内容偏离项目，可操作性较弱；</w:t>
            </w:r>
          </w:p>
          <w:p>
            <w:pPr>
              <w:keepNext w:val="0"/>
              <w:keepLines w:val="0"/>
              <w:pageBreakBefore w:val="0"/>
              <w:widowControl/>
              <w:suppressLineNumbers w:val="0"/>
              <w:kinsoku/>
              <w:wordWrap/>
              <w:overflowPunct/>
              <w:topLinePunct w:val="0"/>
              <w:bidi w:val="0"/>
              <w:snapToGrid w:val="0"/>
              <w:spacing w:before="0" w:beforeAutospacing="0" w:after="0" w:afterAutospacing="0" w:line="300" w:lineRule="auto"/>
              <w:ind w:left="0" w:leftChars="0" w:right="0" w:rightChars="0" w:firstLine="0" w:firstLineChars="0"/>
              <w:jc w:val="left"/>
              <w:rPr>
                <w:rFonts w:hint="eastAsia" w:ascii="仿宋" w:hAnsi="仿宋" w:eastAsia="仿宋" w:cs="仿宋"/>
                <w:color w:val="auto"/>
                <w:kern w:val="0"/>
                <w:sz w:val="21"/>
                <w:szCs w:val="21"/>
                <w:lang w:val="en-US" w:eastAsia="zh-CN" w:bidi="ar"/>
              </w:rPr>
            </w:pPr>
            <w:r>
              <w:rPr>
                <w:rFonts w:hint="eastAsia" w:ascii="仿宋" w:hAnsi="仿宋" w:eastAsia="仿宋" w:cs="仿宋"/>
                <w:color w:val="auto"/>
                <w:kern w:val="0"/>
                <w:sz w:val="21"/>
                <w:szCs w:val="21"/>
                <w:lang w:val="en-US" w:eastAsia="zh-CN" w:bidi="ar"/>
              </w:rPr>
              <w:t>（4）差（0-1分）：增值服务和本项目脱节，无实际支撑作用，缺乏可操作性。</w:t>
            </w:r>
          </w:p>
        </w:tc>
      </w:tr>
    </w:tbl>
    <w:p>
      <w:pPr>
        <w:rPr>
          <w:color w:val="auto"/>
        </w:rPr>
      </w:pPr>
    </w:p>
    <w:p>
      <w:pPr>
        <w:pStyle w:val="2"/>
        <w:rPr>
          <w:color w:val="auto"/>
        </w:rPr>
      </w:pPr>
    </w:p>
    <w:p>
      <w:pPr>
        <w:pStyle w:val="2"/>
        <w:rPr>
          <w:color w:val="auto"/>
        </w:rPr>
      </w:pPr>
    </w:p>
    <w:bookmarkEnd w:id="109"/>
    <w:p>
      <w:pPr>
        <w:numPr>
          <w:ilvl w:val="0"/>
          <w:numId w:val="0"/>
        </w:numPr>
        <w:jc w:val="center"/>
        <w:rPr>
          <w:rFonts w:hint="eastAsia" w:ascii="仿宋" w:hAnsi="仿宋" w:eastAsia="仿宋" w:cs="仿宋"/>
          <w:b/>
          <w:bCs/>
          <w:color w:val="auto"/>
          <w:sz w:val="28"/>
          <w:szCs w:val="28"/>
        </w:rPr>
      </w:pPr>
      <w:bookmarkStart w:id="122" w:name="_Toc15254"/>
      <w:bookmarkStart w:id="123" w:name="_Toc186737810"/>
      <w:r>
        <w:rPr>
          <w:rFonts w:hint="eastAsia" w:ascii="仿宋" w:hAnsi="仿宋" w:eastAsia="仿宋" w:cs="仿宋"/>
          <w:b/>
          <w:bCs/>
          <w:color w:val="auto"/>
          <w:sz w:val="28"/>
          <w:szCs w:val="28"/>
          <w:lang w:val="en-US" w:eastAsia="zh-CN"/>
        </w:rPr>
        <w:t xml:space="preserve">第四章 </w:t>
      </w:r>
      <w:r>
        <w:rPr>
          <w:rFonts w:hint="eastAsia" w:ascii="仿宋" w:hAnsi="仿宋" w:eastAsia="仿宋" w:cs="仿宋"/>
          <w:b/>
          <w:bCs/>
          <w:color w:val="auto"/>
          <w:sz w:val="28"/>
          <w:szCs w:val="28"/>
        </w:rPr>
        <w:t>合同条</w:t>
      </w:r>
      <w:bookmarkEnd w:id="122"/>
      <w:r>
        <w:rPr>
          <w:rFonts w:hint="eastAsia" w:ascii="仿宋" w:hAnsi="仿宋" w:eastAsia="仿宋" w:cs="仿宋"/>
          <w:b/>
          <w:bCs/>
          <w:color w:val="auto"/>
          <w:sz w:val="28"/>
          <w:szCs w:val="28"/>
        </w:rPr>
        <w:t>款</w:t>
      </w:r>
      <w:bookmarkEnd w:id="123"/>
    </w:p>
    <w:p>
      <w:pPr>
        <w:numPr>
          <w:ilvl w:val="0"/>
          <w:numId w:val="0"/>
        </w:numPr>
        <w:jc w:val="center"/>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宣传活动服务合同</w:t>
      </w:r>
    </w:p>
    <w:p>
      <w:pPr>
        <w:pStyle w:val="2"/>
        <w:rPr>
          <w:rFonts w:hint="default"/>
          <w:color w:val="auto"/>
          <w:lang w:val="en-US" w:eastAsia="zh-CN"/>
        </w:rPr>
      </w:pPr>
    </w:p>
    <w:p>
      <w:pPr>
        <w:kinsoku/>
        <w:topLinePunct w:val="0"/>
        <w:bidi w:val="0"/>
        <w:snapToGrid w:val="0"/>
        <w:spacing w:line="560" w:lineRule="exact"/>
        <w:textAlignment w:val="auto"/>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甲方（委托方）: </w:t>
      </w:r>
      <w:r>
        <w:rPr>
          <w:rFonts w:hint="eastAsia" w:ascii="仿宋" w:hAnsi="仿宋" w:eastAsia="仿宋" w:cs="仿宋"/>
          <w:i w:val="0"/>
          <w:iCs w:val="0"/>
          <w:color w:val="auto"/>
          <w:highlight w:val="none"/>
        </w:rPr>
        <w:t>中国人民财产保险股份有限公司成都市分公司</w:t>
      </w:r>
    </w:p>
    <w:p>
      <w:pPr>
        <w:kinsoku/>
        <w:topLinePunct w:val="0"/>
        <w:bidi w:val="0"/>
        <w:snapToGrid w:val="0"/>
        <w:spacing w:line="560" w:lineRule="exact"/>
        <w:textAlignment w:val="auto"/>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 xml:space="preserve">地  址: </w:t>
      </w:r>
      <w:r>
        <w:rPr>
          <w:rFonts w:hint="eastAsia" w:ascii="仿宋" w:hAnsi="仿宋" w:eastAsia="仿宋" w:cs="仿宋"/>
          <w:i w:val="0"/>
          <w:iCs w:val="0"/>
          <w:color w:val="auto"/>
          <w:highlight w:val="none"/>
        </w:rPr>
        <w:t>成都市武侯区老马路7号</w:t>
      </w:r>
    </w:p>
    <w:p>
      <w:pPr>
        <w:kinsoku/>
        <w:topLinePunct w:val="0"/>
        <w:bidi w:val="0"/>
        <w:snapToGrid w:val="0"/>
        <w:spacing w:line="560" w:lineRule="exact"/>
        <w:textAlignment w:val="auto"/>
        <w:rPr>
          <w:rFonts w:hint="eastAsia" w:ascii="仿宋" w:hAnsi="仿宋" w:eastAsia="仿宋" w:cs="仿宋"/>
          <w:i w:val="0"/>
          <w:iCs w:val="0"/>
          <w:color w:val="auto"/>
          <w:highlight w:val="none"/>
          <w:lang w:val="en-US" w:eastAsia="zh-CN"/>
        </w:rPr>
      </w:pPr>
      <w:r>
        <w:rPr>
          <w:rFonts w:hint="eastAsia" w:ascii="仿宋" w:hAnsi="仿宋" w:eastAsia="仿宋" w:cs="仿宋"/>
          <w:b/>
          <w:bCs/>
          <w:i w:val="0"/>
          <w:iCs w:val="0"/>
          <w:color w:val="auto"/>
          <w:highlight w:val="none"/>
        </w:rPr>
        <w:t>法定代表人：</w:t>
      </w:r>
      <w:r>
        <w:rPr>
          <w:rFonts w:hint="eastAsia" w:ascii="仿宋" w:hAnsi="仿宋" w:eastAsia="仿宋" w:cs="仿宋"/>
          <w:b w:val="0"/>
          <w:bCs w:val="0"/>
          <w:i w:val="0"/>
          <w:iCs w:val="0"/>
          <w:color w:val="auto"/>
          <w:highlight w:val="none"/>
          <w:lang w:val="en-US" w:eastAsia="zh-CN"/>
        </w:rPr>
        <w:t>杜波</w:t>
      </w:r>
    </w:p>
    <w:p>
      <w:pPr>
        <w:kinsoku/>
        <w:topLinePunct w:val="0"/>
        <w:bidi w:val="0"/>
        <w:snapToGrid w:val="0"/>
        <w:spacing w:line="560" w:lineRule="exact"/>
        <w:textAlignment w:val="auto"/>
        <w:rPr>
          <w:rFonts w:hint="eastAsia" w:ascii="仿宋" w:hAnsi="仿宋" w:eastAsia="仿宋" w:cs="仿宋"/>
          <w:i w:val="0"/>
          <w:iCs w:val="0"/>
          <w:color w:val="auto"/>
          <w:highlight w:val="none"/>
          <w:u w:val="single"/>
        </w:rPr>
      </w:pPr>
    </w:p>
    <w:p>
      <w:pPr>
        <w:kinsoku/>
        <w:topLinePunct w:val="0"/>
        <w:bidi w:val="0"/>
        <w:snapToGrid w:val="0"/>
        <w:spacing w:line="560" w:lineRule="exact"/>
        <w:textAlignment w:val="auto"/>
        <w:rPr>
          <w:rFonts w:hint="eastAsia" w:ascii="仿宋" w:hAnsi="仿宋" w:eastAsia="仿宋" w:cs="仿宋"/>
          <w:b/>
          <w:bCs/>
          <w:i w:val="0"/>
          <w:iCs w:val="0"/>
          <w:color w:val="auto"/>
          <w:highlight w:val="none"/>
          <w:u w:val="single"/>
          <w:lang w:val="en-US" w:eastAsia="zh-CN"/>
        </w:rPr>
      </w:pPr>
      <w:r>
        <w:rPr>
          <w:rFonts w:hint="eastAsia" w:ascii="仿宋" w:hAnsi="仿宋" w:eastAsia="仿宋" w:cs="仿宋"/>
          <w:b/>
          <w:i w:val="0"/>
          <w:iCs w:val="0"/>
          <w:color w:val="auto"/>
          <w:highlight w:val="none"/>
        </w:rPr>
        <w:t>乙方（受托方）:</w:t>
      </w:r>
      <w:r>
        <w:rPr>
          <w:rFonts w:hint="eastAsia" w:ascii="仿宋" w:hAnsi="仿宋" w:eastAsia="仿宋" w:cs="仿宋"/>
          <w:b/>
          <w:bCs/>
          <w:i w:val="0"/>
          <w:iCs w:val="0"/>
          <w:color w:val="auto"/>
          <w:highlight w:val="none"/>
          <w:u w:val="single"/>
          <w:lang w:val="en-US" w:eastAsia="zh-CN"/>
        </w:rPr>
        <w:t xml:space="preserve">  </w:t>
      </w:r>
    </w:p>
    <w:p>
      <w:pPr>
        <w:kinsoku/>
        <w:topLinePunct w:val="0"/>
        <w:bidi w:val="0"/>
        <w:snapToGrid w:val="0"/>
        <w:spacing w:line="560" w:lineRule="exact"/>
        <w:textAlignment w:val="auto"/>
        <w:rPr>
          <w:rFonts w:hint="eastAsia" w:ascii="仿宋" w:hAnsi="仿宋" w:eastAsia="仿宋" w:cs="仿宋"/>
          <w:b/>
          <w:i w:val="0"/>
          <w:iCs w:val="0"/>
          <w:color w:val="auto"/>
          <w:highlight w:val="none"/>
        </w:rPr>
      </w:pPr>
      <w:r>
        <w:rPr>
          <w:rFonts w:hint="eastAsia" w:ascii="仿宋" w:hAnsi="仿宋" w:eastAsia="仿宋" w:cs="仿宋"/>
          <w:b/>
          <w:i w:val="0"/>
          <w:iCs w:val="0"/>
          <w:color w:val="auto"/>
          <w:highlight w:val="none"/>
        </w:rPr>
        <w:t>地  址:</w:t>
      </w:r>
      <w:r>
        <w:rPr>
          <w:rFonts w:hint="eastAsia" w:ascii="仿宋" w:hAnsi="仿宋" w:eastAsia="仿宋" w:cs="仿宋"/>
          <w:b/>
          <w:bCs/>
          <w:i w:val="0"/>
          <w:iCs w:val="0"/>
          <w:color w:val="auto"/>
          <w:highlight w:val="none"/>
          <w:u w:val="single"/>
          <w:lang w:val="en-US" w:eastAsia="zh-CN"/>
        </w:rPr>
        <w:t xml:space="preserve">  </w:t>
      </w:r>
    </w:p>
    <w:p>
      <w:pPr>
        <w:kinsoku/>
        <w:topLinePunct w:val="0"/>
        <w:bidi w:val="0"/>
        <w:snapToGrid w:val="0"/>
        <w:spacing w:line="560" w:lineRule="exact"/>
        <w:textAlignment w:val="auto"/>
        <w:rPr>
          <w:rFonts w:hint="eastAsia" w:ascii="仿宋" w:hAnsi="仿宋" w:eastAsia="仿宋" w:cs="仿宋"/>
          <w:i w:val="0"/>
          <w:iCs w:val="0"/>
          <w:color w:val="auto"/>
          <w:highlight w:val="none"/>
        </w:rPr>
      </w:pPr>
      <w:r>
        <w:rPr>
          <w:rFonts w:hint="eastAsia" w:ascii="仿宋" w:hAnsi="仿宋" w:eastAsia="仿宋" w:cs="仿宋"/>
          <w:b/>
          <w:i w:val="0"/>
          <w:iCs w:val="0"/>
          <w:color w:val="auto"/>
          <w:highlight w:val="none"/>
        </w:rPr>
        <w:t>法定代表</w:t>
      </w:r>
      <w:r>
        <w:rPr>
          <w:rFonts w:hint="eastAsia" w:ascii="仿宋" w:hAnsi="仿宋" w:eastAsia="仿宋" w:cs="仿宋"/>
          <w:b/>
          <w:bCs/>
          <w:i w:val="0"/>
          <w:iCs w:val="0"/>
          <w:color w:val="auto"/>
          <w:highlight w:val="none"/>
        </w:rPr>
        <w:t>人：</w:t>
      </w:r>
      <w:r>
        <w:rPr>
          <w:rFonts w:hint="eastAsia" w:ascii="仿宋" w:hAnsi="仿宋" w:eastAsia="仿宋" w:cs="仿宋"/>
          <w:b/>
          <w:bCs/>
          <w:i w:val="0"/>
          <w:iCs w:val="0"/>
          <w:color w:val="auto"/>
          <w:highlight w:val="none"/>
          <w:u w:val="single"/>
          <w:lang w:val="en-US" w:eastAsia="zh-CN"/>
        </w:rPr>
        <w:t xml:space="preserve">  </w:t>
      </w:r>
      <w:r>
        <w:rPr>
          <w:rFonts w:hint="eastAsia" w:ascii="仿宋" w:hAnsi="仿宋" w:eastAsia="仿宋" w:cs="仿宋"/>
          <w:i w:val="0"/>
          <w:iCs w:val="0"/>
          <w:color w:val="auto"/>
          <w:highlight w:val="none"/>
        </w:rPr>
        <w:t xml:space="preserve">                                  </w:t>
      </w:r>
    </w:p>
    <w:p>
      <w:pPr>
        <w:kinsoku/>
        <w:topLinePunct w:val="0"/>
        <w:bidi w:val="0"/>
        <w:spacing w:line="560" w:lineRule="exact"/>
        <w:textAlignment w:val="auto"/>
        <w:rPr>
          <w:rFonts w:hint="eastAsia" w:ascii="仿宋" w:hAnsi="仿宋" w:eastAsia="仿宋" w:cs="仿宋"/>
          <w:i w:val="0"/>
          <w:iCs w:val="0"/>
          <w:color w:val="auto"/>
          <w:highlight w:val="none"/>
        </w:rPr>
      </w:pPr>
    </w:p>
    <w:p>
      <w:pPr>
        <w:kinsoku/>
        <w:topLinePunct w:val="0"/>
        <w:bidi w:val="0"/>
        <w:snapToGrid w:val="0"/>
        <w:spacing w:line="560" w:lineRule="exact"/>
        <w:textAlignment w:val="auto"/>
        <w:rPr>
          <w:rFonts w:hint="eastAsia" w:ascii="仿宋" w:hAnsi="仿宋" w:eastAsia="仿宋" w:cs="仿宋"/>
          <w:b/>
          <w:i w:val="0"/>
          <w:iCs w:val="0"/>
          <w:color w:val="auto"/>
          <w:szCs w:val="24"/>
          <w:highlight w:val="none"/>
        </w:rPr>
      </w:pPr>
      <w:r>
        <w:rPr>
          <w:rFonts w:hint="eastAsia" w:ascii="仿宋" w:hAnsi="仿宋" w:eastAsia="仿宋" w:cs="仿宋"/>
          <w:b/>
          <w:i w:val="0"/>
          <w:iCs w:val="0"/>
          <w:color w:val="auto"/>
          <w:szCs w:val="24"/>
          <w:highlight w:val="none"/>
        </w:rPr>
        <w:t>鉴于：</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center"/>
        <w:textAlignment w:val="auto"/>
        <w:rPr>
          <w:rFonts w:hint="default"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557" w:leftChars="232" w:right="0" w:firstLine="41" w:firstLineChars="17"/>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第一条 </w:t>
      </w:r>
      <w:r>
        <w:rPr>
          <w:rFonts w:hint="eastAsia" w:ascii="仿宋" w:hAnsi="仿宋" w:eastAsia="仿宋" w:cs="仿宋"/>
          <w:b/>
          <w:bCs w:val="0"/>
          <w:color w:val="auto"/>
          <w:sz w:val="24"/>
          <w:szCs w:val="24"/>
          <w:lang w:val="en-US" w:eastAsia="zh-CN"/>
        </w:rPr>
        <w:t xml:space="preserve"> </w:t>
      </w:r>
      <w:r>
        <w:rPr>
          <w:rFonts w:hint="eastAsia" w:ascii="仿宋" w:hAnsi="仿宋" w:eastAsia="仿宋" w:cs="仿宋"/>
          <w:b/>
          <w:bCs/>
          <w:color w:val="auto"/>
          <w:sz w:val="24"/>
          <w:szCs w:val="24"/>
        </w:rPr>
        <w:t>项目内容及要求</w:t>
      </w:r>
      <w:r>
        <w:rPr>
          <w:rFonts w:hint="eastAsia" w:ascii="仿宋" w:hAnsi="仿宋" w:eastAsia="仿宋" w:cs="仿宋"/>
          <w:b/>
          <w:bCs/>
          <w:color w:val="auto"/>
          <w:sz w:val="24"/>
          <w:szCs w:val="24"/>
        </w:rPr>
        <w:br w:type="textWrapping"/>
      </w:r>
      <w:r>
        <w:rPr>
          <w:rFonts w:hint="eastAsia" w:ascii="仿宋" w:hAnsi="仿宋" w:eastAsia="仿宋" w:cs="仿宋"/>
          <w:color w:val="auto"/>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第二条 </w:t>
      </w:r>
      <w:r>
        <w:rPr>
          <w:rFonts w:hint="eastAsia" w:ascii="仿宋" w:hAnsi="仿宋" w:eastAsia="仿宋" w:cs="仿宋"/>
          <w:b/>
          <w:bCs/>
          <w:color w:val="auto"/>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本合同服务费用总额为_______元（大写_______）。合同价格明细见【附件】。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第三条 </w:t>
      </w:r>
      <w:r>
        <w:rPr>
          <w:rFonts w:hint="eastAsia" w:ascii="仿宋" w:hAnsi="仿宋" w:eastAsia="仿宋" w:cs="仿宋"/>
          <w:b/>
          <w:bCs/>
          <w:i w:val="0"/>
          <w:iCs w:val="0"/>
          <w:color w:val="auto"/>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jc w:val="center"/>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第四条 </w:t>
      </w:r>
      <w:r>
        <w:rPr>
          <w:rFonts w:hint="eastAsia" w:ascii="仿宋" w:hAnsi="仿宋" w:eastAsia="仿宋" w:cs="仿宋"/>
          <w:b/>
          <w:bCs/>
          <w:color w:val="auto"/>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480" w:leftChars="200" w:right="0" w:firstLine="40" w:firstLineChars="17"/>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甲方的权利和义务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（1）甲方有权获得本合同项下乙方应提供的全部合格的服务；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（2）甲方有权在合同期内对乙方的产品及服务进行监督；</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（3）乙方未按照合同约定履行义务的，甲方有权采取相应的措施；</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（4）甲方应按照合同约定向乙方支付合同价款；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480" w:leftChars="200" w:right="0" w:firstLine="40" w:firstLineChars="17"/>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 乙方的权利和义务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（1）乙方有权获得甲方支付的合同价款；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（2）乙方应按照合同约定向甲方提供全部合格的服务；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（3）乙方应当按照合同约定的期限及要求完成项目内容；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right="0" w:firstLine="480" w:firstLineChars="20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（5）乙方享有其它双方约定的权利、承担其它双方约定的义务。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240" w:leftChars="100" w:right="0" w:firstLine="284" w:firstLineChars="118"/>
        <w:jc w:val="left"/>
        <w:textAlignment w:val="auto"/>
        <w:rPr>
          <w:rFonts w:hint="eastAsia" w:ascii="仿宋" w:hAnsi="仿宋" w:eastAsia="仿宋" w:cs="仿宋"/>
          <w:b/>
          <w:bCs/>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val="en-US" w:eastAsia="zh-CN"/>
        </w:rPr>
        <w:t>五</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禁止转让</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240" w:leftChars="100" w:right="0" w:firstLine="283" w:firstLineChars="118"/>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未经甲方事先书面同意，乙方不得将其本合同项下之全部义务或其中一部分义务转让给第三方执行。</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商标使用</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600" w:lineRule="exact"/>
        <w:ind w:left="525" w:leftChars="0" w:right="0" w:right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未经甲方书面许可，乙方不得将甲方的商标、公司名称、标识等用于宣传和/或展示。</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before="0" w:beforeAutospacing="0" w:after="0" w:afterAutospacing="0" w:line="600" w:lineRule="exact"/>
        <w:ind w:left="0" w:leftChars="0" w:right="0" w:firstLine="525" w:firstLineChars="0"/>
        <w:jc w:val="left"/>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val="en-US" w:eastAsia="zh-CN"/>
        </w:rPr>
        <w:t>八</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由于甲方原因不能按合同约定时间付款的，每延迟10个工作日，甲方按合同应付金额的_______%向乙方支付违约金。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乙方延迟交付的违约责任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（1）由于乙方原因造成项目延迟的，每延迟10个工作日，乙方向甲方支付违约金为合同服务费用总额的_______%。</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验收不合格并且乙方在甲方指定期限内无法完成整改、提交合格的工作成果的，乙方应向甲方支付合同服务费用总额_______%的违约金，并赔偿由此引起的甲方全部损失。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如果乙方违反本合同约定的保密义务，乙方应向甲方支付相当于合同服务费用总额_______%的违约金，甲方受到的损失超出违约金的部分，由乙方继续承担赔偿责任。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w:t>
      </w:r>
      <w:r>
        <w:rPr>
          <w:rFonts w:hint="eastAsia" w:ascii="仿宋" w:hAnsi="仿宋" w:eastAsia="仿宋" w:cs="仿宋"/>
          <w:b/>
          <w:bCs w:val="0"/>
          <w:color w:val="auto"/>
          <w:sz w:val="24"/>
          <w:szCs w:val="24"/>
          <w:lang w:val="en-US" w:eastAsia="zh-CN"/>
        </w:rPr>
        <w:t>九</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xml:space="preserve">第十条 </w:t>
      </w:r>
      <w:r>
        <w:rPr>
          <w:rFonts w:hint="eastAsia" w:ascii="仿宋" w:hAnsi="仿宋" w:eastAsia="仿宋" w:cs="仿宋"/>
          <w:b/>
          <w:bCs/>
          <w:color w:val="auto"/>
          <w:sz w:val="24"/>
          <w:szCs w:val="24"/>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480" w:leftChars="200" w:right="0" w:firstLine="41" w:firstLineChars="17"/>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val="en-US" w:eastAsia="zh-CN"/>
        </w:rPr>
        <w:t>一</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val="en-US" w:eastAsia="zh-CN"/>
        </w:rPr>
        <w:t>二</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val="en-US" w:eastAsia="zh-CN"/>
        </w:rPr>
        <w:t>三</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 凡因本合同引起的或与本合同有关的任何争议，双方首先应友好协商解决。协商不成的，任何一方均可向甲方所在地有管辖权的法院提起诉讼。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val="en-US" w:eastAsia="zh-CN"/>
        </w:rPr>
        <w:t>四</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合同期限自_______年_______月_______日始，至_______年_______月_______日止。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600" w:lineRule="exact"/>
        <w:ind w:left="0" w:right="0" w:firstLine="525"/>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（六） 由于法律和法规、政策而导致本合同任何条款无效或无法执行，则该条款无效，但不影响剩余其他条款的效力。</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600" w:lineRule="exact"/>
        <w:ind w:left="480" w:leftChars="200" w:firstLine="0" w:firstLineChars="0"/>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w:t>
      </w:r>
      <w:r>
        <w:rPr>
          <w:rFonts w:hint="eastAsia" w:ascii="仿宋" w:hAnsi="仿宋" w:eastAsia="仿宋" w:cs="仿宋"/>
          <w:b/>
          <w:bCs w:val="0"/>
          <w:color w:val="auto"/>
          <w:sz w:val="24"/>
          <w:szCs w:val="24"/>
          <w:lang w:val="en-US" w:eastAsia="zh-CN"/>
        </w:rPr>
        <w:t>五</w:t>
      </w:r>
      <w:r>
        <w:rPr>
          <w:rFonts w:hint="eastAsia" w:ascii="仿宋" w:hAnsi="仿宋" w:eastAsia="仿宋" w:cs="仿宋"/>
          <w:b/>
          <w:bCs w:val="0"/>
          <w:color w:val="auto"/>
          <w:sz w:val="24"/>
          <w:szCs w:val="24"/>
        </w:rPr>
        <w:t xml:space="preserve">条 </w:t>
      </w:r>
      <w:r>
        <w:rPr>
          <w:rFonts w:hint="eastAsia" w:ascii="仿宋" w:hAnsi="仿宋" w:eastAsia="仿宋" w:cs="仿宋"/>
          <w:b/>
          <w:bCs/>
          <w:color w:val="auto"/>
          <w:sz w:val="24"/>
          <w:szCs w:val="24"/>
        </w:rPr>
        <w:t>附件的组成</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附件</w:t>
      </w:r>
    </w:p>
    <w:p>
      <w:pPr>
        <w:pStyle w:val="2"/>
        <w:rPr>
          <w:rFonts w:hint="eastAsia" w:ascii="仿宋" w:hAnsi="仿宋" w:eastAsia="仿宋" w:cs="仿宋"/>
          <w:color w:val="auto"/>
          <w:sz w:val="24"/>
          <w:szCs w:val="24"/>
        </w:rPr>
      </w:pPr>
    </w:p>
    <w:p>
      <w:pPr>
        <w:pStyle w:val="2"/>
        <w:rPr>
          <w:rFonts w:hint="eastAsia" w:ascii="仿宋" w:hAnsi="仿宋" w:eastAsia="仿宋" w:cs="仿宋"/>
          <w:color w:val="auto"/>
          <w:sz w:val="24"/>
          <w:szCs w:val="24"/>
        </w:rPr>
      </w:pP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default" w:ascii="仿宋_GB2312" w:eastAsia="仿宋_GB2312" w:cs="仿宋_GB2312" w:hAnsiTheme="minorHAnsi"/>
          <w:color w:val="auto"/>
          <w:sz w:val="24"/>
          <w:szCs w:val="24"/>
          <w:lang w:val="en-US" w:eastAsia="zh-CN" w:bidi="ar-SA"/>
        </w:rPr>
      </w:pPr>
      <w:r>
        <w:rPr>
          <w:rFonts w:hint="eastAsia" w:ascii="仿宋_GB2312" w:eastAsia="仿宋_GB2312" w:cs="仿宋_GB2312"/>
          <w:color w:val="auto"/>
          <w:sz w:val="24"/>
          <w:szCs w:val="24"/>
          <w:lang w:val="en-US" w:eastAsia="zh-CN" w:bidi="ar-SA"/>
        </w:rPr>
        <w:t xml:space="preserve">兹证明，各方于 </w:t>
      </w:r>
      <w:r>
        <w:rPr>
          <w:rFonts w:hint="eastAsia" w:ascii="仿宋_GB2312" w:eastAsia="仿宋_GB2312" w:cs="仿宋_GB2312"/>
          <w:color w:val="auto"/>
          <w:sz w:val="24"/>
          <w:szCs w:val="24"/>
          <w:u w:val="single"/>
          <w:lang w:val="en-US" w:eastAsia="zh-CN" w:bidi="ar-SA"/>
        </w:rPr>
        <w:t xml:space="preserve">      </w:t>
      </w:r>
      <w:r>
        <w:rPr>
          <w:rFonts w:hint="eastAsia" w:ascii="仿宋_GB2312" w:eastAsia="仿宋_GB2312" w:cs="仿宋_GB2312"/>
          <w:color w:val="auto"/>
          <w:sz w:val="24"/>
          <w:szCs w:val="24"/>
          <w:lang w:val="en-US" w:eastAsia="zh-CN" w:bidi="ar-SA"/>
        </w:rPr>
        <w:t>年</w:t>
      </w:r>
      <w:r>
        <w:rPr>
          <w:rFonts w:hint="eastAsia" w:ascii="仿宋_GB2312" w:eastAsia="仿宋_GB2312" w:cs="仿宋_GB2312"/>
          <w:color w:val="auto"/>
          <w:sz w:val="24"/>
          <w:szCs w:val="24"/>
          <w:u w:val="single"/>
          <w:lang w:val="en-US" w:eastAsia="zh-CN" w:bidi="ar-SA"/>
        </w:rPr>
        <w:t xml:space="preserve">     </w:t>
      </w:r>
      <w:r>
        <w:rPr>
          <w:rFonts w:hint="eastAsia" w:ascii="仿宋_GB2312" w:eastAsia="仿宋_GB2312" w:cs="仿宋_GB2312"/>
          <w:color w:val="auto"/>
          <w:sz w:val="24"/>
          <w:szCs w:val="24"/>
          <w:lang w:val="en-US" w:eastAsia="zh-CN" w:bidi="ar-SA"/>
        </w:rPr>
        <w:t xml:space="preserve">月 </w:t>
      </w:r>
      <w:r>
        <w:rPr>
          <w:rFonts w:hint="eastAsia" w:ascii="仿宋_GB2312" w:eastAsia="仿宋_GB2312" w:cs="仿宋_GB2312"/>
          <w:color w:val="auto"/>
          <w:sz w:val="24"/>
          <w:szCs w:val="24"/>
          <w:u w:val="single"/>
          <w:lang w:val="en-US" w:eastAsia="zh-CN" w:bidi="ar-SA"/>
        </w:rPr>
        <w:t xml:space="preserve">     </w:t>
      </w:r>
      <w:r>
        <w:rPr>
          <w:rFonts w:hint="eastAsia" w:ascii="仿宋_GB2312" w:eastAsia="仿宋_GB2312" w:cs="仿宋_GB2312"/>
          <w:color w:val="auto"/>
          <w:sz w:val="24"/>
          <w:szCs w:val="24"/>
          <w:lang w:val="en-US" w:eastAsia="zh-CN" w:bidi="ar-SA"/>
        </w:rPr>
        <w:t>日签订本合同</w:t>
      </w:r>
    </w:p>
    <w:p>
      <w:pPr>
        <w:pStyle w:val="2"/>
        <w:keepNext w:val="0"/>
        <w:keepLines w:val="0"/>
        <w:pageBreakBefore w:val="0"/>
        <w:widowControl/>
        <w:kinsoku/>
        <w:wordWrap/>
        <w:overflowPunct/>
        <w:topLinePunct w:val="0"/>
        <w:autoSpaceDE/>
        <w:autoSpaceDN/>
        <w:bidi w:val="0"/>
        <w:adjustRightInd/>
        <w:snapToGrid/>
        <w:textAlignment w:val="auto"/>
        <w:rPr>
          <w:rFonts w:hint="eastAsia" w:ascii="仿宋_GB2312" w:eastAsia="仿宋_GB2312" w:cs="仿宋_GB2312" w:hAnsiTheme="minorHAnsi"/>
          <w:color w:val="auto"/>
          <w:sz w:val="24"/>
          <w:szCs w:val="24"/>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r>
        <w:rPr>
          <w:rFonts w:hint="eastAsia" w:ascii="仿宋_GB2312" w:eastAsia="仿宋_GB2312" w:cs="仿宋_GB2312" w:hAnsiTheme="minorHAnsi"/>
          <w:color w:val="auto"/>
          <w:sz w:val="24"/>
          <w:szCs w:val="24"/>
          <w:lang w:val="en-US" w:eastAsia="zh-CN" w:bidi="ar-SA"/>
        </w:rPr>
        <w:t>甲方（盖章）：</w:t>
      </w: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仿宋_GB2312" w:eastAsia="仿宋_GB2312" w:cs="仿宋_GB2312" w:hAnsiTheme="minorHAnsi"/>
          <w:color w:val="auto"/>
          <w:sz w:val="24"/>
          <w:szCs w:val="24"/>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仿宋_GB2312" w:eastAsia="仿宋_GB2312" w:cs="仿宋_GB2312" w:hAnsiTheme="minorHAnsi"/>
          <w:color w:val="auto"/>
          <w:sz w:val="24"/>
          <w:szCs w:val="24"/>
          <w:lang w:val="en-US" w:eastAsia="zh-CN" w:bidi="ar-SA"/>
        </w:rPr>
      </w:pPr>
      <w:r>
        <w:rPr>
          <w:rFonts w:hint="eastAsia" w:ascii="仿宋_GB2312" w:eastAsia="仿宋_GB2312" w:cs="仿宋_GB2312" w:hAnsiTheme="minorHAnsi"/>
          <w:color w:val="auto"/>
          <w:sz w:val="24"/>
          <w:szCs w:val="24"/>
          <w:lang w:val="en-US" w:eastAsia="zh-CN" w:bidi="ar-SA"/>
        </w:rPr>
        <w:t>法定代表人/授权代表（签字）：　</w:t>
      </w: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r>
        <w:rPr>
          <w:rFonts w:hint="eastAsia" w:ascii="仿宋_GB2312" w:eastAsia="仿宋_GB2312" w:cs="仿宋_GB2312" w:hAnsiTheme="minorHAnsi"/>
          <w:color w:val="auto"/>
          <w:sz w:val="24"/>
          <w:szCs w:val="24"/>
          <w:lang w:val="en-US" w:eastAsia="zh-CN" w:bidi="ar-SA"/>
        </w:rPr>
        <w:t>　　　　　　　　　　　　　　　　　　　　　　　</w:t>
      </w: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r>
        <w:rPr>
          <w:rFonts w:hint="eastAsia" w:ascii="仿宋_GB2312" w:eastAsia="仿宋_GB2312" w:cs="仿宋_GB2312" w:hAnsiTheme="minorHAnsi"/>
          <w:color w:val="auto"/>
          <w:sz w:val="24"/>
          <w:szCs w:val="24"/>
          <w:lang w:val="en-US" w:eastAsia="zh-CN" w:bidi="ar-SA"/>
        </w:rPr>
        <w:t>　　 　　</w:t>
      </w: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r>
        <w:rPr>
          <w:rFonts w:hint="eastAsia" w:ascii="仿宋_GB2312" w:eastAsia="仿宋_GB2312" w:cs="仿宋_GB2312" w:hAnsiTheme="minorHAnsi"/>
          <w:color w:val="auto"/>
          <w:sz w:val="24"/>
          <w:szCs w:val="24"/>
          <w:lang w:val="en-US" w:eastAsia="zh-CN" w:bidi="ar-SA"/>
        </w:rPr>
        <w:t>乙方（盖章）：</w:t>
      </w: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ascii="仿宋_GB2312" w:eastAsia="仿宋_GB2312" w:cs="仿宋_GB2312" w:hAnsiTheme="minorHAnsi"/>
          <w:color w:val="auto"/>
          <w:sz w:val="24"/>
          <w:szCs w:val="24"/>
          <w:lang w:val="en-US" w:eastAsia="zh-CN" w:bidi="ar-SA"/>
        </w:rPr>
      </w:pPr>
    </w:p>
    <w:p>
      <w:pPr>
        <w:pStyle w:val="2"/>
        <w:keepNext w:val="0"/>
        <w:keepLines w:val="0"/>
        <w:pageBreakBefore w:val="0"/>
        <w:widowControl/>
        <w:kinsoku/>
        <w:wordWrap/>
        <w:overflowPunct/>
        <w:topLinePunct w:val="0"/>
        <w:autoSpaceDE/>
        <w:autoSpaceDN/>
        <w:bidi w:val="0"/>
        <w:adjustRightInd/>
        <w:snapToGrid/>
        <w:ind w:firstLine="420" w:firstLineChars="175"/>
        <w:textAlignment w:val="auto"/>
        <w:rPr>
          <w:rFonts w:hint="eastAsia"/>
          <w:color w:val="auto"/>
          <w:lang w:eastAsia="zh-CN"/>
        </w:rPr>
      </w:pPr>
      <w:r>
        <w:rPr>
          <w:rFonts w:hint="eastAsia" w:ascii="仿宋_GB2312" w:eastAsia="仿宋_GB2312" w:cs="仿宋_GB2312" w:hAnsiTheme="minorHAnsi"/>
          <w:color w:val="auto"/>
          <w:sz w:val="24"/>
          <w:szCs w:val="24"/>
          <w:lang w:val="en-US" w:eastAsia="zh-CN" w:bidi="ar-SA"/>
        </w:rPr>
        <w:t>法定代表人/授权代表（签字）：</w:t>
      </w:r>
      <w:r>
        <w:rPr>
          <w:rFonts w:hint="eastAsia"/>
          <w:color w:val="auto"/>
          <w:lang w:eastAsia="zh-CN"/>
        </w:rPr>
        <w:t>　</w:t>
      </w:r>
    </w:p>
    <w:p>
      <w:pPr>
        <w:rPr>
          <w:rFonts w:hint="eastAsia"/>
          <w:color w:val="auto"/>
          <w:lang w:eastAsia="zh-CN"/>
        </w:rPr>
      </w:pPr>
      <w:r>
        <w:rPr>
          <w:rFonts w:hint="eastAsia"/>
          <w:color w:val="auto"/>
          <w:lang w:eastAsia="zh-CN"/>
        </w:rPr>
        <w:br w:type="page"/>
      </w:r>
    </w:p>
    <w:p>
      <w:pPr>
        <w:pStyle w:val="3"/>
        <w:tabs>
          <w:tab w:val="left" w:pos="2190"/>
          <w:tab w:val="clear" w:pos="425"/>
          <w:tab w:val="clear" w:pos="4265"/>
        </w:tabs>
        <w:ind w:left="0" w:leftChars="0" w:firstLine="0" w:firstLineChars="0"/>
        <w:jc w:val="left"/>
        <w:rPr>
          <w:rFonts w:hint="eastAsia" w:ascii="楷体" w:hAnsi="楷体" w:eastAsia="楷体" w:cs="楷体"/>
          <w:color w:val="auto"/>
          <w:sz w:val="24"/>
          <w:szCs w:val="24"/>
        </w:rPr>
      </w:pPr>
      <w:r>
        <w:rPr>
          <w:rFonts w:hint="eastAsia" w:ascii="楷体" w:hAnsi="楷体" w:eastAsia="楷体" w:cs="楷体"/>
          <w:color w:val="auto"/>
          <w:sz w:val="24"/>
          <w:szCs w:val="24"/>
        </w:rPr>
        <w:t>附件一</w:t>
      </w:r>
    </w:p>
    <w:p>
      <w:pPr>
        <w:spacing w:line="360" w:lineRule="auto"/>
        <w:jc w:val="center"/>
        <w:rPr>
          <w:rFonts w:ascii="楷体" w:hAnsi="楷体" w:eastAsia="楷体" w:cs="楷体"/>
          <w:b/>
          <w:color w:val="auto"/>
        </w:rPr>
      </w:pPr>
      <w:r>
        <w:rPr>
          <w:rFonts w:hint="eastAsia" w:ascii="楷体" w:hAnsi="楷体" w:eastAsia="楷体" w:cs="楷体"/>
          <w:b/>
          <w:color w:val="auto"/>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color w:val="auto"/>
          <w:szCs w:val="24"/>
        </w:rPr>
      </w:pPr>
    </w:p>
    <w:p>
      <w:pPr>
        <w:tabs>
          <w:tab w:val="left" w:pos="165"/>
          <w:tab w:val="left" w:pos="315"/>
        </w:tabs>
        <w:autoSpaceDE w:val="0"/>
        <w:autoSpaceDN w:val="0"/>
        <w:adjustRightInd/>
        <w:spacing w:line="360" w:lineRule="auto"/>
        <w:ind w:firstLine="470"/>
        <w:jc w:val="both"/>
        <w:textAlignment w:val="auto"/>
        <w:rPr>
          <w:rFonts w:hint="eastAsia" w:ascii="楷体" w:hAnsi="楷体" w:eastAsia="楷体" w:cs="Arial"/>
          <w:snapToGrid w:val="0"/>
          <w:color w:val="auto"/>
          <w:spacing w:val="24"/>
          <w:szCs w:val="24"/>
          <w:lang w:val="en-US" w:eastAsia="zh-CN"/>
        </w:rPr>
      </w:pPr>
      <w:r>
        <w:rPr>
          <w:rFonts w:hint="eastAsia" w:ascii="楷体" w:hAnsi="楷体" w:eastAsia="楷体" w:cs="Arial"/>
          <w:color w:val="auto"/>
          <w:szCs w:val="24"/>
        </w:rPr>
        <w:t>1.</w:t>
      </w:r>
      <w:r>
        <w:rPr>
          <w:rFonts w:hint="eastAsia" w:ascii="楷体" w:hAnsi="楷体" w:eastAsia="楷体" w:cs="Arial"/>
          <w:snapToGrid w:val="0"/>
          <w:color w:val="auto"/>
          <w:spacing w:val="24"/>
          <w:szCs w:val="24"/>
        </w:rPr>
        <w:t>项目名称</w:t>
      </w:r>
    </w:p>
    <w:p>
      <w:pPr>
        <w:autoSpaceDE w:val="0"/>
        <w:autoSpaceDN w:val="0"/>
        <w:spacing w:line="360" w:lineRule="auto"/>
        <w:ind w:firstLine="480" w:firstLineChars="200"/>
        <w:jc w:val="both"/>
        <w:rPr>
          <w:rFonts w:hint="default" w:ascii="楷体" w:hAnsi="楷体" w:eastAsia="楷体" w:cs="Arial"/>
          <w:color w:val="auto"/>
          <w:szCs w:val="24"/>
          <w:lang w:val="en-US" w:eastAsia="zh-CN"/>
        </w:rPr>
      </w:pPr>
      <w:r>
        <w:rPr>
          <w:rFonts w:hint="eastAsia" w:ascii="楷体" w:hAnsi="楷体" w:eastAsia="楷体" w:cs="Arial"/>
          <w:color w:val="auto"/>
          <w:szCs w:val="24"/>
        </w:rPr>
        <w:t>项目名称：</w:t>
      </w:r>
      <w:r>
        <w:rPr>
          <w:rFonts w:hint="eastAsia" w:ascii="楷体" w:hAnsi="楷体" w:eastAsia="楷体" w:cs="Arial"/>
          <w:color w:val="auto"/>
          <w:szCs w:val="24"/>
          <w:lang w:val="en-US" w:eastAsia="zh-CN"/>
        </w:rPr>
        <w:t xml:space="preserve">     </w:t>
      </w:r>
    </w:p>
    <w:p>
      <w:pPr>
        <w:spacing w:line="360" w:lineRule="auto"/>
        <w:ind w:firstLine="480" w:firstLineChars="200"/>
        <w:jc w:val="both"/>
        <w:rPr>
          <w:rFonts w:ascii="楷体" w:hAnsi="楷体" w:eastAsia="楷体" w:cs="Arial"/>
          <w:color w:val="auto"/>
          <w:szCs w:val="24"/>
        </w:rPr>
      </w:pPr>
      <w:r>
        <w:rPr>
          <w:rFonts w:hint="eastAsia" w:ascii="楷体" w:hAnsi="楷体" w:eastAsia="楷体" w:cs="Arial"/>
          <w:color w:val="auto"/>
          <w:szCs w:val="24"/>
        </w:rPr>
        <w:t>2.项目内容</w:t>
      </w:r>
    </w:p>
    <w:p>
      <w:pPr>
        <w:spacing w:line="360" w:lineRule="auto"/>
        <w:ind w:firstLine="480" w:firstLineChars="200"/>
        <w:jc w:val="both"/>
        <w:rPr>
          <w:rFonts w:hint="eastAsia" w:ascii="楷体" w:hAnsi="楷体" w:eastAsia="楷体" w:cs="Arial"/>
          <w:color w:val="auto"/>
          <w:szCs w:val="24"/>
        </w:rPr>
      </w:pPr>
      <w:r>
        <w:rPr>
          <w:rFonts w:hint="eastAsia" w:ascii="楷体" w:hAnsi="楷体" w:eastAsia="楷体" w:cs="Arial"/>
          <w:color w:val="auto"/>
          <w:szCs w:val="24"/>
        </w:rPr>
        <w:t xml:space="preserve">（1）乙方向甲方提供的服务的内容：                                    </w:t>
      </w:r>
    </w:p>
    <w:p>
      <w:pPr>
        <w:spacing w:line="360" w:lineRule="auto"/>
        <w:ind w:firstLine="432" w:firstLineChars="150"/>
        <w:jc w:val="both"/>
        <w:rPr>
          <w:rFonts w:ascii="楷体" w:hAnsi="楷体" w:eastAsia="楷体" w:cs="Arial"/>
          <w:snapToGrid w:val="0"/>
          <w:color w:val="auto"/>
          <w:spacing w:val="24"/>
          <w:szCs w:val="24"/>
        </w:rPr>
      </w:pPr>
      <w:r>
        <w:rPr>
          <w:rFonts w:hint="eastAsia" w:ascii="楷体" w:hAnsi="楷体" w:eastAsia="楷体" w:cs="Arial"/>
          <w:snapToGrid w:val="0"/>
          <w:color w:val="auto"/>
          <w:spacing w:val="24"/>
          <w:szCs w:val="24"/>
        </w:rPr>
        <w:t>（2）服务期限：</w:t>
      </w:r>
    </w:p>
    <w:p>
      <w:pPr>
        <w:spacing w:line="360" w:lineRule="auto"/>
        <w:ind w:firstLine="432" w:firstLineChars="150"/>
        <w:jc w:val="both"/>
        <w:rPr>
          <w:rFonts w:hint="default" w:ascii="楷体" w:hAnsi="楷体" w:eastAsia="楷体" w:cs="Arial"/>
          <w:snapToGrid w:val="0"/>
          <w:color w:val="auto"/>
          <w:spacing w:val="24"/>
          <w:szCs w:val="24"/>
          <w:vertAlign w:val="baseline"/>
          <w:lang w:val="en-US" w:eastAsia="zh-CN"/>
        </w:rPr>
      </w:pPr>
      <w:r>
        <w:rPr>
          <w:rFonts w:hint="eastAsia" w:ascii="楷体" w:hAnsi="楷体" w:eastAsia="楷体" w:cs="Arial"/>
          <w:snapToGrid w:val="0"/>
          <w:color w:val="auto"/>
          <w:spacing w:val="24"/>
          <w:szCs w:val="24"/>
        </w:rPr>
        <w:t>（3）</w:t>
      </w:r>
      <w:r>
        <w:rPr>
          <w:rFonts w:hint="eastAsia" w:ascii="楷体" w:hAnsi="楷体" w:eastAsia="楷体" w:cs="Arial"/>
          <w:color w:val="auto"/>
          <w:szCs w:val="24"/>
        </w:rPr>
        <w:t>甲方向乙方支付的合同服务费用总计为人民币</w:t>
      </w:r>
      <w:r>
        <w:rPr>
          <w:rFonts w:hint="eastAsia" w:ascii="楷体" w:hAnsi="楷体" w:eastAsia="楷体" w:cs="Arial"/>
          <w:color w:val="auto"/>
          <w:szCs w:val="24"/>
          <w:lang w:val="en-US" w:eastAsia="zh-CN"/>
        </w:rPr>
        <w:t xml:space="preserve">    </w:t>
      </w:r>
      <w:r>
        <w:rPr>
          <w:rFonts w:hint="eastAsia" w:ascii="楷体" w:hAnsi="楷体" w:eastAsia="楷体" w:cs="Arial"/>
          <w:color w:val="auto"/>
          <w:szCs w:val="24"/>
          <w:lang w:eastAsia="zh-CN"/>
        </w:rPr>
        <w:t>，</w:t>
      </w:r>
      <w:r>
        <w:rPr>
          <w:rFonts w:hint="eastAsia" w:ascii="楷体" w:hAnsi="楷体" w:eastAsia="楷体" w:cs="Arial"/>
          <w:color w:val="auto"/>
          <w:szCs w:val="24"/>
          <w:lang w:val="en-US" w:eastAsia="zh-CN"/>
        </w:rPr>
        <w:t>不含税价格为    ，增值税税率为    。</w:t>
      </w:r>
      <w:r>
        <w:rPr>
          <w:rFonts w:hint="eastAsia" w:ascii="楷体" w:hAnsi="楷体" w:eastAsia="楷体" w:cs="Arial"/>
          <w:color w:val="auto"/>
          <w:szCs w:val="24"/>
        </w:rPr>
        <w:t>费用包括如下项目：</w:t>
      </w:r>
      <w:r>
        <w:rPr>
          <w:rFonts w:hint="eastAsia" w:ascii="楷体" w:hAnsi="楷体" w:eastAsia="楷体" w:cs="Arial"/>
          <w:color w:val="auto"/>
          <w:szCs w:val="24"/>
          <w:lang w:val="en-US" w:eastAsia="zh-CN"/>
        </w:rPr>
        <w:t xml:space="preserve">    。双方确认，除本合同价款外，甲方无须就本合同项下乙方的义务向乙方支付任何额外费用。</w:t>
      </w:r>
    </w:p>
    <w:p>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auto"/>
          <w:spacing w:val="24"/>
          <w:szCs w:val="24"/>
        </w:rPr>
      </w:pPr>
      <w:r>
        <w:rPr>
          <w:rFonts w:hint="eastAsia" w:ascii="楷体" w:hAnsi="楷体" w:eastAsia="楷体" w:cs="Arial"/>
          <w:color w:val="auto"/>
          <w:szCs w:val="24"/>
        </w:rPr>
        <w:t>3.</w:t>
      </w:r>
      <w:r>
        <w:rPr>
          <w:rFonts w:hint="eastAsia" w:ascii="楷体" w:hAnsi="楷体" w:eastAsia="楷体" w:cs="Arial"/>
          <w:snapToGrid w:val="0"/>
          <w:color w:val="auto"/>
          <w:spacing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ascii="楷体" w:hAnsi="楷体" w:eastAsia="楷体" w:cs="Arial"/>
          <w:color w:val="auto"/>
          <w:szCs w:val="24"/>
        </w:rPr>
      </w:pPr>
      <w:r>
        <w:rPr>
          <w:rFonts w:hint="eastAsia" w:ascii="楷体" w:hAnsi="楷体" w:eastAsia="楷体" w:cs="Arial"/>
          <w:color w:val="auto"/>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ascii="楷体" w:hAnsi="楷体" w:eastAsia="楷体" w:cs="Arial"/>
          <w:snapToGrid w:val="0"/>
          <w:color w:val="auto"/>
          <w:spacing w:val="24"/>
          <w:szCs w:val="24"/>
        </w:rPr>
      </w:pPr>
      <w:r>
        <w:rPr>
          <w:rFonts w:hint="eastAsia" w:ascii="楷体" w:hAnsi="楷体" w:eastAsia="楷体" w:cs="Arial"/>
          <w:color w:val="auto"/>
          <w:szCs w:val="24"/>
        </w:rPr>
        <w:t>4.</w:t>
      </w:r>
      <w:r>
        <w:rPr>
          <w:rFonts w:hint="eastAsia" w:ascii="楷体" w:hAnsi="楷体" w:eastAsia="楷体" w:cs="Arial"/>
          <w:snapToGrid w:val="0"/>
          <w:color w:val="auto"/>
          <w:spacing w:val="24"/>
          <w:szCs w:val="24"/>
        </w:rPr>
        <w:t>问题项目处理</w:t>
      </w:r>
    </w:p>
    <w:p>
      <w:pPr>
        <w:spacing w:line="360" w:lineRule="auto"/>
        <w:ind w:firstLine="480" w:firstLineChars="200"/>
        <w:jc w:val="both"/>
        <w:rPr>
          <w:rFonts w:hint="eastAsia" w:ascii="楷体" w:hAnsi="楷体" w:eastAsia="楷体" w:cs="Arial"/>
          <w:color w:val="auto"/>
          <w:szCs w:val="24"/>
        </w:rPr>
      </w:pPr>
      <w:r>
        <w:rPr>
          <w:rFonts w:hint="eastAsia" w:ascii="楷体" w:hAnsi="楷体" w:eastAsia="楷体" w:cs="Arial"/>
          <w:color w:val="auto"/>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360" w:lineRule="auto"/>
        <w:ind w:firstLine="480" w:firstLineChars="200"/>
        <w:jc w:val="both"/>
        <w:rPr>
          <w:rFonts w:hint="eastAsia" w:ascii="楷体" w:hAnsi="楷体" w:eastAsia="楷体" w:cs="Arial"/>
          <w:color w:val="auto"/>
          <w:szCs w:val="24"/>
        </w:rPr>
      </w:pPr>
    </w:p>
    <w:p>
      <w:pPr>
        <w:spacing w:line="360" w:lineRule="auto"/>
        <w:ind w:firstLine="480" w:firstLineChars="200"/>
        <w:jc w:val="both"/>
        <w:rPr>
          <w:rFonts w:hint="eastAsia" w:ascii="楷体" w:hAnsi="楷体" w:eastAsia="楷体" w:cs="Arial"/>
          <w:color w:val="auto"/>
          <w:szCs w:val="24"/>
        </w:rPr>
      </w:pPr>
    </w:p>
    <w:p>
      <w:pPr>
        <w:spacing w:line="360" w:lineRule="auto"/>
        <w:ind w:firstLine="480" w:firstLineChars="200"/>
        <w:jc w:val="both"/>
        <w:rPr>
          <w:rFonts w:hint="eastAsia" w:ascii="楷体" w:hAnsi="楷体" w:eastAsia="楷体" w:cs="Arial"/>
          <w:color w:val="auto"/>
          <w:szCs w:val="24"/>
        </w:rPr>
      </w:pPr>
    </w:p>
    <w:p>
      <w:pPr>
        <w:spacing w:line="360" w:lineRule="auto"/>
        <w:ind w:firstLine="480" w:firstLineChars="200"/>
        <w:jc w:val="both"/>
        <w:rPr>
          <w:rFonts w:hint="eastAsia" w:ascii="楷体" w:hAnsi="楷体" w:eastAsia="楷体" w:cs="Arial"/>
          <w:color w:val="auto"/>
          <w:szCs w:val="24"/>
        </w:rPr>
      </w:pPr>
    </w:p>
    <w:p>
      <w:pPr>
        <w:spacing w:line="360" w:lineRule="auto"/>
        <w:ind w:firstLine="480" w:firstLineChars="200"/>
        <w:jc w:val="both"/>
        <w:rPr>
          <w:rFonts w:hint="eastAsia" w:ascii="楷体" w:hAnsi="楷体" w:eastAsia="楷体" w:cs="Arial"/>
          <w:color w:val="auto"/>
          <w:szCs w:val="24"/>
        </w:rPr>
      </w:pPr>
    </w:p>
    <w:p>
      <w:pPr>
        <w:rPr>
          <w:rFonts w:hint="eastAsia"/>
          <w:color w:val="auto"/>
        </w:rPr>
      </w:pPr>
      <w:r>
        <w:rPr>
          <w:rFonts w:hint="eastAsia" w:ascii="楷体" w:hAnsi="楷体" w:eastAsia="楷体" w:cs="Arial"/>
          <w:color w:val="auto"/>
          <w:szCs w:val="24"/>
        </w:rPr>
        <w:br w:type="page"/>
      </w:r>
    </w:p>
    <w:p>
      <w:pPr>
        <w:pStyle w:val="3"/>
        <w:tabs>
          <w:tab w:val="left" w:pos="2190"/>
          <w:tab w:val="clear" w:pos="425"/>
          <w:tab w:val="clear" w:pos="4265"/>
        </w:tabs>
        <w:ind w:left="0" w:leftChars="0" w:firstLine="0" w:firstLineChars="0"/>
        <w:jc w:val="left"/>
        <w:rPr>
          <w:rFonts w:hint="eastAsia" w:ascii="楷体" w:hAnsi="楷体" w:eastAsia="楷体" w:cs="楷体"/>
          <w:color w:val="auto"/>
          <w:sz w:val="24"/>
          <w:szCs w:val="24"/>
        </w:rPr>
      </w:pPr>
      <w:r>
        <w:rPr>
          <w:rFonts w:hint="eastAsia" w:ascii="楷体" w:hAnsi="楷体" w:eastAsia="楷体" w:cs="楷体"/>
          <w:color w:val="auto"/>
          <w:sz w:val="24"/>
          <w:szCs w:val="24"/>
        </w:rPr>
        <w:t>附件二</w:t>
      </w:r>
    </w:p>
    <w:p>
      <w:pPr>
        <w:spacing w:line="360" w:lineRule="auto"/>
        <w:jc w:val="center"/>
        <w:rPr>
          <w:rFonts w:ascii="楷体" w:hAnsi="楷体" w:eastAsia="楷体" w:cs="楷体"/>
          <w:b/>
          <w:color w:val="auto"/>
        </w:rPr>
      </w:pPr>
      <w:r>
        <w:rPr>
          <w:rFonts w:hint="eastAsia" w:ascii="楷体" w:hAnsi="楷体" w:eastAsia="楷体" w:cs="楷体"/>
          <w:b/>
          <w:color w:val="auto"/>
        </w:rPr>
        <w:t>付款</w:t>
      </w:r>
    </w:p>
    <w:p>
      <w:pPr>
        <w:autoSpaceDE w:val="0"/>
        <w:autoSpaceDN w:val="0"/>
        <w:spacing w:line="360" w:lineRule="auto"/>
        <w:ind w:left="482"/>
        <w:rPr>
          <w:rFonts w:ascii="楷体" w:hAnsi="楷体" w:eastAsia="楷体" w:cs="楷体"/>
          <w:color w:val="auto"/>
        </w:rPr>
      </w:pPr>
    </w:p>
    <w:p>
      <w:pPr>
        <w:autoSpaceDE w:val="0"/>
        <w:autoSpaceDN w:val="0"/>
        <w:spacing w:line="360" w:lineRule="auto"/>
        <w:ind w:left="482"/>
        <w:rPr>
          <w:rFonts w:ascii="楷体" w:hAnsi="楷体" w:eastAsia="楷体" w:cs="楷体"/>
          <w:color w:val="auto"/>
        </w:rPr>
      </w:pPr>
      <w:r>
        <w:rPr>
          <w:rFonts w:ascii="楷体" w:hAnsi="楷体" w:eastAsia="楷体" w:cs="楷体"/>
          <w:color w:val="auto"/>
        </w:rPr>
        <w:t>1.</w:t>
      </w:r>
      <w:r>
        <w:rPr>
          <w:rFonts w:hint="eastAsia" w:ascii="楷体" w:hAnsi="楷体" w:eastAsia="楷体" w:cs="楷体"/>
          <w:color w:val="auto"/>
        </w:rPr>
        <w:t>本合同使用货币种类为人民币。</w:t>
      </w:r>
    </w:p>
    <w:p>
      <w:pPr>
        <w:spacing w:line="360" w:lineRule="auto"/>
        <w:ind w:firstLine="480" w:firstLineChars="200"/>
        <w:rPr>
          <w:rFonts w:hint="eastAsia" w:ascii="楷体" w:hAnsi="楷体" w:eastAsia="楷体"/>
          <w:color w:val="auto"/>
          <w:u w:val="single"/>
        </w:rPr>
      </w:pPr>
      <w:r>
        <w:rPr>
          <w:rFonts w:hint="eastAsia" w:ascii="楷体" w:hAnsi="楷体" w:eastAsia="楷体" w:cs="楷体"/>
          <w:color w:val="auto"/>
        </w:rPr>
        <w:t>2</w:t>
      </w:r>
      <w:r>
        <w:rPr>
          <w:rFonts w:ascii="楷体" w:hAnsi="楷体" w:eastAsia="楷体" w:cs="楷体"/>
          <w:color w:val="auto"/>
        </w:rPr>
        <w:t>.</w:t>
      </w:r>
      <w:r>
        <w:rPr>
          <w:rFonts w:hint="eastAsia" w:ascii="楷体" w:hAnsi="楷体" w:eastAsia="楷体"/>
          <w:color w:val="auto"/>
        </w:rPr>
        <w:t>付款方式：</w:t>
      </w:r>
      <w:r>
        <w:rPr>
          <w:rFonts w:hint="eastAsia" w:ascii="楷体" w:hAnsi="楷体" w:eastAsia="楷体"/>
          <w:color w:val="auto"/>
          <w:u w:val="single"/>
        </w:rPr>
        <w:t>转账</w:t>
      </w:r>
    </w:p>
    <w:p>
      <w:pPr>
        <w:spacing w:line="360" w:lineRule="auto"/>
        <w:ind w:firstLine="480" w:firstLineChars="200"/>
        <w:rPr>
          <w:rFonts w:ascii="楷体" w:hAnsi="楷体" w:eastAsia="楷体"/>
          <w:color w:val="auto"/>
        </w:rPr>
      </w:pPr>
      <w:r>
        <w:rPr>
          <w:rFonts w:hint="eastAsia" w:ascii="楷体" w:hAnsi="楷体" w:eastAsia="楷体"/>
          <w:color w:val="auto"/>
        </w:rPr>
        <w:t>双方采用转账方式付款的，甲方应向乙方以下账户进行支付：</w:t>
      </w:r>
    </w:p>
    <w:p>
      <w:pPr>
        <w:spacing w:afterLines="50" w:line="360" w:lineRule="auto"/>
        <w:ind w:firstLine="480" w:firstLineChars="200"/>
        <w:rPr>
          <w:rFonts w:hint="default" w:ascii="楷体" w:hAnsi="楷体" w:eastAsia="楷体"/>
          <w:color w:val="auto"/>
          <w:lang w:val="en-US" w:eastAsia="zh-CN"/>
        </w:rPr>
      </w:pPr>
      <w:r>
        <w:rPr>
          <w:rFonts w:ascii="楷体" w:hAnsi="楷体" w:eastAsia="楷体"/>
          <w:color w:val="auto"/>
        </w:rPr>
        <w:tab/>
      </w:r>
      <w:r>
        <w:rPr>
          <w:rFonts w:hint="eastAsia" w:ascii="楷体" w:hAnsi="楷体" w:eastAsia="楷体"/>
          <w:color w:val="auto"/>
        </w:rPr>
        <w:t>乙方：</w:t>
      </w:r>
      <w:r>
        <w:rPr>
          <w:rFonts w:hint="eastAsia" w:ascii="楷体" w:hAnsi="楷体" w:eastAsia="楷体"/>
          <w:color w:val="auto"/>
          <w:lang w:val="en-US" w:eastAsia="zh-CN"/>
        </w:rPr>
        <w:t xml:space="preserve">      </w:t>
      </w:r>
    </w:p>
    <w:p>
      <w:pPr>
        <w:spacing w:afterLines="50" w:line="360" w:lineRule="auto"/>
        <w:ind w:firstLine="480" w:firstLineChars="200"/>
        <w:rPr>
          <w:rFonts w:hint="default" w:ascii="楷体" w:hAnsi="楷体" w:eastAsia="楷体"/>
          <w:color w:val="auto"/>
          <w:lang w:val="en-US" w:eastAsia="zh-CN"/>
        </w:rPr>
      </w:pPr>
      <w:r>
        <w:rPr>
          <w:rFonts w:ascii="楷体" w:hAnsi="楷体" w:eastAsia="楷体"/>
          <w:color w:val="auto"/>
        </w:rPr>
        <w:tab/>
      </w:r>
      <w:r>
        <w:rPr>
          <w:rFonts w:ascii="楷体" w:hAnsi="楷体" w:eastAsia="楷体"/>
          <w:color w:val="auto"/>
        </w:rPr>
        <w:t>开户行：</w:t>
      </w:r>
      <w:r>
        <w:rPr>
          <w:rFonts w:hint="eastAsia" w:ascii="楷体" w:hAnsi="楷体" w:eastAsia="楷体"/>
          <w:color w:val="auto"/>
          <w:lang w:val="en-US" w:eastAsia="zh-CN"/>
        </w:rPr>
        <w:t xml:space="preserve">      </w:t>
      </w:r>
    </w:p>
    <w:p>
      <w:pPr>
        <w:spacing w:afterLines="50" w:line="360" w:lineRule="auto"/>
        <w:ind w:firstLine="480" w:firstLineChars="200"/>
        <w:rPr>
          <w:rFonts w:hint="default" w:ascii="楷体" w:hAnsi="楷体" w:eastAsia="楷体"/>
          <w:color w:val="auto"/>
          <w:u w:val="single"/>
          <w:lang w:val="en-US" w:eastAsia="zh-CN"/>
        </w:rPr>
      </w:pPr>
      <w:r>
        <w:rPr>
          <w:rFonts w:ascii="楷体" w:hAnsi="楷体" w:eastAsia="楷体"/>
          <w:color w:val="auto"/>
        </w:rPr>
        <w:tab/>
      </w:r>
      <w:r>
        <w:rPr>
          <w:rFonts w:ascii="楷体" w:hAnsi="楷体" w:eastAsia="楷体"/>
          <w:color w:val="auto"/>
        </w:rPr>
        <w:t>账户名称：</w:t>
      </w:r>
      <w:r>
        <w:rPr>
          <w:rFonts w:hint="eastAsia" w:ascii="楷体" w:hAnsi="楷体" w:eastAsia="楷体"/>
          <w:color w:val="auto"/>
          <w:lang w:val="en-US" w:eastAsia="zh-CN"/>
        </w:rPr>
        <w:t xml:space="preserve">      </w:t>
      </w:r>
    </w:p>
    <w:p>
      <w:pPr>
        <w:spacing w:afterLines="50"/>
        <w:ind w:firstLine="480" w:firstLineChars="200"/>
        <w:rPr>
          <w:rFonts w:hint="default" w:ascii="楷体" w:hAnsi="楷体" w:eastAsia="楷体"/>
          <w:color w:val="auto"/>
          <w:lang w:val="en-US" w:eastAsia="zh-CN"/>
        </w:rPr>
      </w:pPr>
      <w:r>
        <w:rPr>
          <w:rFonts w:ascii="楷体" w:hAnsi="楷体" w:eastAsia="楷体"/>
          <w:color w:val="auto"/>
        </w:rPr>
        <w:tab/>
      </w:r>
      <w:r>
        <w:rPr>
          <w:rFonts w:ascii="楷体" w:hAnsi="楷体" w:eastAsia="楷体"/>
          <w:color w:val="auto"/>
        </w:rPr>
        <w:t>账号：</w:t>
      </w:r>
      <w:r>
        <w:rPr>
          <w:rFonts w:hint="eastAsia" w:ascii="楷体" w:hAnsi="楷体" w:eastAsia="楷体"/>
          <w:color w:val="auto"/>
          <w:lang w:val="en-US" w:eastAsia="zh-CN"/>
        </w:rPr>
        <w:t xml:space="preserve">      </w:t>
      </w:r>
    </w:p>
    <w:p>
      <w:pPr>
        <w:spacing w:afterLines="50"/>
        <w:ind w:firstLine="480" w:firstLineChars="200"/>
        <w:rPr>
          <w:rFonts w:ascii="楷体" w:hAnsi="楷体" w:eastAsia="楷体"/>
          <w:color w:val="auto"/>
        </w:rPr>
      </w:pPr>
      <w:r>
        <w:rPr>
          <w:rFonts w:hint="eastAsia" w:ascii="楷体" w:hAnsi="楷体" w:eastAsia="楷体"/>
          <w:color w:val="auto"/>
        </w:rPr>
        <w:t>乙方如需改变上述账户，应提前</w:t>
      </w:r>
      <w:r>
        <w:rPr>
          <w:rFonts w:ascii="楷体" w:hAnsi="楷体" w:eastAsia="楷体"/>
          <w:color w:val="auto"/>
        </w:rPr>
        <w:t>10</w:t>
      </w:r>
      <w:r>
        <w:rPr>
          <w:rFonts w:hint="eastAsia" w:ascii="楷体" w:hAnsi="楷体" w:eastAsia="楷体"/>
          <w:color w:val="auto"/>
        </w:rPr>
        <w:t>日以书面通知甲方。</w:t>
      </w:r>
    </w:p>
    <w:p>
      <w:pPr>
        <w:spacing w:line="360" w:lineRule="auto"/>
        <w:ind w:firstLine="480" w:firstLineChars="200"/>
        <w:jc w:val="both"/>
        <w:rPr>
          <w:rFonts w:ascii="楷体" w:hAnsi="楷体" w:eastAsia="楷体" w:cs="Arial"/>
          <w:color w:val="auto"/>
          <w:szCs w:val="24"/>
        </w:rPr>
      </w:pPr>
      <w:r>
        <w:rPr>
          <w:rFonts w:hint="eastAsia" w:ascii="楷体" w:hAnsi="楷体" w:eastAsia="楷体" w:cs="Arial"/>
          <w:color w:val="auto"/>
          <w:szCs w:val="24"/>
        </w:rPr>
        <w:t>3.付款安排</w:t>
      </w:r>
    </w:p>
    <w:p>
      <w:pPr>
        <w:spacing w:line="360" w:lineRule="auto"/>
        <w:ind w:firstLine="480" w:firstLineChars="200"/>
        <w:jc w:val="both"/>
        <w:rPr>
          <w:rFonts w:ascii="楷体" w:hAnsi="楷体" w:eastAsia="楷体" w:cs="Arial"/>
          <w:color w:val="auto"/>
          <w:szCs w:val="24"/>
        </w:rPr>
      </w:pPr>
      <w:r>
        <w:rPr>
          <w:rFonts w:hint="eastAsia" w:ascii="楷体" w:hAnsi="楷体" w:eastAsia="楷体" w:cs="Arial"/>
          <w:color w:val="auto"/>
          <w:szCs w:val="24"/>
        </w:rPr>
        <w:t>甲方按照乙方提供费用清单，</w:t>
      </w:r>
      <w:r>
        <w:rPr>
          <w:rFonts w:hint="eastAsia" w:ascii="楷体" w:hAnsi="楷体" w:eastAsia="楷体" w:cs="Arial"/>
          <w:color w:val="auto"/>
          <w:szCs w:val="24"/>
          <w:lang w:val="en-US" w:eastAsia="zh-CN"/>
        </w:rPr>
        <w:t>按实际验收情况进行费用结算</w:t>
      </w:r>
      <w:r>
        <w:rPr>
          <w:rFonts w:hint="eastAsia" w:ascii="楷体" w:hAnsi="楷体" w:eastAsia="楷体" w:cs="Arial"/>
          <w:color w:val="auto"/>
          <w:szCs w:val="24"/>
        </w:rPr>
        <w:t>。甲方向乙方付款前，乙方按照附件规定出具合法有效的增值税专用发票:</w:t>
      </w:r>
    </w:p>
    <w:p>
      <w:pPr>
        <w:autoSpaceDE w:val="0"/>
        <w:autoSpaceDN w:val="0"/>
        <w:spacing w:line="360" w:lineRule="auto"/>
        <w:ind w:firstLine="470" w:firstLineChars="196"/>
        <w:jc w:val="both"/>
        <w:rPr>
          <w:rFonts w:hint="eastAsia" w:ascii="楷体" w:hAnsi="楷体" w:eastAsia="楷体" w:cs="Arial"/>
          <w:color w:val="auto"/>
          <w:szCs w:val="24"/>
          <w:lang w:val="en-US" w:eastAsia="zh-CN"/>
        </w:rPr>
      </w:pPr>
      <w:r>
        <w:rPr>
          <w:rFonts w:hint="eastAsia" w:ascii="楷体" w:hAnsi="楷体" w:eastAsia="楷体" w:cs="Arial"/>
          <w:color w:val="auto"/>
          <w:szCs w:val="24"/>
        </w:rPr>
        <w:t>本合同生效后，甲方验收乙方</w:t>
      </w:r>
      <w:r>
        <w:rPr>
          <w:rFonts w:hint="eastAsia" w:ascii="楷体" w:hAnsi="楷体" w:eastAsia="楷体" w:cs="Arial"/>
          <w:color w:val="auto"/>
          <w:szCs w:val="24"/>
          <w:lang w:val="en-US" w:eastAsia="zh-CN"/>
        </w:rPr>
        <w:t>执行</w:t>
      </w:r>
      <w:r>
        <w:rPr>
          <w:rFonts w:hint="eastAsia" w:ascii="楷体" w:hAnsi="楷体" w:eastAsia="楷体" w:cs="Arial"/>
          <w:color w:val="auto"/>
          <w:szCs w:val="24"/>
        </w:rPr>
        <w:t>完成的宣传合格</w:t>
      </w:r>
      <w:r>
        <w:rPr>
          <w:rFonts w:hint="eastAsia" w:ascii="楷体" w:hAnsi="楷体" w:eastAsia="楷体" w:cs="Arial"/>
          <w:color w:val="auto"/>
          <w:szCs w:val="24"/>
          <w:lang w:eastAsia="zh-CN"/>
        </w:rPr>
        <w:t>，</w:t>
      </w:r>
      <w:r>
        <w:rPr>
          <w:rFonts w:hint="eastAsia" w:ascii="楷体" w:hAnsi="楷体" w:eastAsia="楷体" w:cs="Arial"/>
          <w:color w:val="auto"/>
          <w:szCs w:val="24"/>
        </w:rPr>
        <w:t>甲方</w:t>
      </w:r>
      <w:r>
        <w:rPr>
          <w:rFonts w:hint="eastAsia" w:ascii="楷体" w:hAnsi="楷体" w:eastAsia="楷体" w:cs="Arial"/>
          <w:color w:val="auto"/>
          <w:szCs w:val="24"/>
          <w:lang w:val="en-US" w:eastAsia="zh-CN"/>
        </w:rPr>
        <w:t>按照实际活动验收情况进行费用支付。</w:t>
      </w:r>
    </w:p>
    <w:p>
      <w:pPr>
        <w:spacing w:line="360" w:lineRule="auto"/>
        <w:ind w:firstLine="480" w:firstLineChars="200"/>
        <w:jc w:val="both"/>
        <w:rPr>
          <w:rFonts w:ascii="楷体" w:hAnsi="楷体" w:eastAsia="楷体" w:cs="Arial"/>
          <w:color w:val="auto"/>
          <w:szCs w:val="24"/>
        </w:rPr>
      </w:pPr>
      <w:r>
        <w:rPr>
          <w:rFonts w:hint="eastAsia" w:ascii="楷体" w:hAnsi="楷体" w:eastAsia="楷体" w:cs="Arial"/>
          <w:color w:val="auto"/>
          <w:szCs w:val="24"/>
        </w:rPr>
        <w:t>4.增值税专用发票的相关约定</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 xml:space="preserve">（1）乙方应向甲方开具增值税专用发票，甲方开票信息如下： </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公司名称：中国人民财产保险股份有限公司成都市分公司</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纳税识别号：915101009019512765</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银行账号： 4402298019100356150</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开户银行： 中国工商银行股份有限公司成都东大支行营业室</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开票地址：成都市武侯区老马路7号</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开票电话： 028-85445626</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（2）乙方同时向甲方公司及其分支机构提供产品及服务的，双方应在合同中约定甲方的分支机构和对应的价款。乙方应分别对清单中的费用承担方开具相应金额的增值税专用发票；</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（3）乙方应在每次增值税专用发票开具后的30个自然日内向甲方提交相应增值税专用发票，否则甲方有权拒收发票。经多次分批的增值税专用发票的开具、提交以及双方收付款，</w:t>
      </w:r>
      <w:r>
        <w:rPr>
          <w:rFonts w:hint="eastAsia" w:ascii="楷体_GB2312" w:hAnsi="宋体" w:eastAsia="楷体_GB2312"/>
          <w:color w:val="auto"/>
        </w:rPr>
        <w:t>乙方开具并提交甲方的增值税专用发票的价税合计金额应与甲方已经支付的价税合计款项保持一致</w:t>
      </w:r>
      <w:r>
        <w:rPr>
          <w:rFonts w:hint="eastAsia" w:ascii="楷体" w:hAnsi="楷体" w:eastAsia="楷体" w:cs="Arial"/>
          <w:color w:val="auto"/>
          <w:szCs w:val="24"/>
        </w:rPr>
        <w:t xml:space="preserve">； </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spacing w:line="360" w:lineRule="auto"/>
        <w:ind w:firstLine="470" w:firstLineChars="196"/>
        <w:jc w:val="both"/>
        <w:rPr>
          <w:rFonts w:ascii="楷体" w:hAnsi="楷体" w:eastAsia="楷体" w:cs="Arial"/>
          <w:color w:val="auto"/>
          <w:szCs w:val="24"/>
        </w:rPr>
      </w:pPr>
      <w:r>
        <w:rPr>
          <w:rFonts w:hint="eastAsia" w:ascii="楷体" w:hAnsi="楷体" w:eastAsia="楷体" w:cs="Arial"/>
          <w:color w:val="auto"/>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ind w:firstLine="482"/>
        <w:rPr>
          <w:rFonts w:hint="eastAsia"/>
          <w:color w:val="auto"/>
        </w:rPr>
      </w:pPr>
    </w:p>
    <w:p>
      <w:pPr>
        <w:pStyle w:val="3"/>
        <w:ind w:firstLine="482"/>
        <w:rPr>
          <w:rFonts w:hint="eastAsia"/>
          <w:color w:val="auto"/>
        </w:rPr>
      </w:pPr>
    </w:p>
    <w:p>
      <w:pPr>
        <w:pStyle w:val="3"/>
        <w:ind w:firstLine="482"/>
        <w:rPr>
          <w:rFonts w:hint="eastAsia"/>
          <w:color w:val="auto"/>
        </w:rPr>
      </w:pPr>
    </w:p>
    <w:p>
      <w:pPr>
        <w:pStyle w:val="3"/>
        <w:ind w:left="0" w:leftChars="0" w:firstLine="0" w:firstLineChars="0"/>
        <w:jc w:val="both"/>
        <w:rPr>
          <w:rFonts w:hint="eastAsia"/>
          <w:color w:val="auto"/>
        </w:rPr>
      </w:pPr>
    </w:p>
    <w:p>
      <w:pPr>
        <w:rPr>
          <w:rFonts w:hint="eastAsia" w:eastAsiaTheme="minorEastAsia"/>
          <w:color w:val="auto"/>
          <w:lang w:val="en-US" w:eastAsia="zh-CN"/>
        </w:rPr>
      </w:pPr>
      <w:r>
        <w:rPr>
          <w:rFonts w:hint="eastAsia"/>
          <w:color w:val="auto"/>
        </w:rPr>
        <w:br w:type="page"/>
      </w:r>
    </w:p>
    <w:p>
      <w:pPr>
        <w:pStyle w:val="3"/>
        <w:tabs>
          <w:tab w:val="left" w:pos="2190"/>
          <w:tab w:val="clear" w:pos="425"/>
          <w:tab w:val="clear" w:pos="4265"/>
        </w:tabs>
        <w:ind w:left="0" w:leftChars="0" w:firstLine="0" w:firstLineChars="0"/>
        <w:jc w:val="left"/>
        <w:rPr>
          <w:rFonts w:hint="eastAsia" w:ascii="楷体" w:hAnsi="楷体" w:eastAsia="楷体" w:cs="楷体"/>
          <w:color w:val="auto"/>
          <w:sz w:val="24"/>
          <w:szCs w:val="24"/>
        </w:rPr>
      </w:pPr>
      <w:r>
        <w:rPr>
          <w:rFonts w:hint="eastAsia" w:ascii="楷体" w:hAnsi="楷体" w:eastAsia="楷体" w:cs="楷体"/>
          <w:color w:val="auto"/>
          <w:sz w:val="24"/>
          <w:szCs w:val="24"/>
        </w:rPr>
        <w:t>附件三</w:t>
      </w:r>
    </w:p>
    <w:p>
      <w:pPr>
        <w:spacing w:line="360" w:lineRule="auto"/>
        <w:jc w:val="center"/>
        <w:rPr>
          <w:rFonts w:ascii="楷体" w:hAnsi="楷体" w:eastAsia="楷体" w:cs="楷体"/>
          <w:b/>
          <w:color w:val="auto"/>
        </w:rPr>
      </w:pPr>
      <w:r>
        <w:rPr>
          <w:rFonts w:hint="eastAsia" w:ascii="楷体" w:hAnsi="楷体" w:eastAsia="楷体" w:cs="楷体"/>
          <w:b/>
          <w:color w:val="auto"/>
        </w:rPr>
        <w:t>双方的权利和义务</w:t>
      </w:r>
    </w:p>
    <w:p>
      <w:pPr>
        <w:numPr>
          <w:ilvl w:val="0"/>
          <w:numId w:val="5"/>
        </w:numPr>
        <w:spacing w:line="360" w:lineRule="auto"/>
        <w:ind w:firstLine="480" w:firstLineChars="200"/>
        <w:jc w:val="both"/>
        <w:rPr>
          <w:color w:val="auto"/>
        </w:rPr>
      </w:pPr>
      <w:r>
        <w:rPr>
          <w:rFonts w:hint="eastAsia" w:ascii="楷体" w:hAnsi="楷体" w:eastAsia="楷体" w:cs="Arial"/>
          <w:color w:val="auto"/>
          <w:szCs w:val="24"/>
        </w:rPr>
        <w:t>甲方的权利和义务</w:t>
      </w:r>
    </w:p>
    <w:p>
      <w:pP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lang w:val="en-US" w:eastAsia="zh-CN"/>
        </w:rPr>
        <w:t>1.1</w:t>
      </w:r>
      <w:r>
        <w:rPr>
          <w:rFonts w:hint="eastAsia" w:ascii="楷体" w:hAnsi="楷体" w:eastAsia="楷体" w:cs="Arial"/>
          <w:color w:val="auto"/>
          <w:szCs w:val="24"/>
        </w:rPr>
        <w:t xml:space="preserve">甲方有权在活动筹备过程中提出合理的要求，甲、乙双方共同协商处理。 </w:t>
      </w:r>
    </w:p>
    <w:p>
      <w:pP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lang w:val="en-US" w:eastAsia="zh-CN"/>
        </w:rPr>
        <w:t>1.2</w:t>
      </w:r>
      <w:r>
        <w:rPr>
          <w:rFonts w:hint="eastAsia" w:ascii="楷体" w:hAnsi="楷体" w:eastAsia="楷体" w:cs="Arial"/>
          <w:color w:val="auto"/>
          <w:szCs w:val="24"/>
        </w:rPr>
        <w:t>甲方有义务准时提供给乙方所需资料，并及时对乙方物料及氛围布置稿件进行审核</w:t>
      </w:r>
      <w:r>
        <w:rPr>
          <w:rFonts w:hint="eastAsia" w:ascii="楷体" w:hAnsi="楷体" w:eastAsia="楷体" w:cs="Arial"/>
          <w:color w:val="auto"/>
          <w:szCs w:val="24"/>
          <w:lang w:val="en-US" w:eastAsia="zh-CN"/>
        </w:rPr>
        <w:t>/</w:t>
      </w:r>
      <w:r>
        <w:rPr>
          <w:rFonts w:hint="eastAsia" w:ascii="楷体" w:hAnsi="楷体" w:eastAsia="楷体" w:cs="Arial"/>
          <w:color w:val="auto"/>
          <w:szCs w:val="24"/>
        </w:rPr>
        <w:t>确认。</w:t>
      </w:r>
    </w:p>
    <w:p>
      <w:pPr>
        <w:spacing w:line="360" w:lineRule="auto"/>
        <w:ind w:firstLine="480"/>
        <w:jc w:val="both"/>
        <w:rPr>
          <w:rFonts w:ascii="楷体" w:hAnsi="楷体" w:eastAsia="楷体" w:cs="Arial"/>
          <w:snapToGrid w:val="0"/>
          <w:color w:val="auto"/>
          <w:spacing w:val="24"/>
          <w:szCs w:val="24"/>
        </w:rPr>
      </w:pPr>
      <w:r>
        <w:rPr>
          <w:rFonts w:hint="eastAsia" w:ascii="楷体" w:hAnsi="楷体" w:eastAsia="楷体" w:cs="Arial"/>
          <w:color w:val="auto"/>
          <w:szCs w:val="24"/>
          <w:lang w:val="en-US" w:eastAsia="zh-CN"/>
        </w:rPr>
        <w:t>1.3</w:t>
      </w:r>
      <w:r>
        <w:rPr>
          <w:rFonts w:hint="eastAsia" w:ascii="楷体" w:hAnsi="楷体" w:eastAsia="楷体" w:cs="Arial"/>
          <w:color w:val="auto"/>
          <w:szCs w:val="24"/>
        </w:rPr>
        <w:t>如因乙方工作失误造成的差错，甲方有权通知乙方终止本合同的继续履行，并可就因乙方违约行为所遭受的直接损失向乙方索赔，或有权要求乙方应及时、免费更正、修改差错部分。</w:t>
      </w:r>
    </w:p>
    <w:p>
      <w:pPr>
        <w:spacing w:line="360" w:lineRule="auto"/>
        <w:ind w:firstLine="480"/>
        <w:jc w:val="both"/>
        <w:rPr>
          <w:rFonts w:ascii="楷体" w:hAnsi="楷体" w:eastAsia="楷体" w:cs="Arial"/>
          <w:color w:val="auto"/>
          <w:szCs w:val="24"/>
        </w:rPr>
      </w:pPr>
      <w:r>
        <w:rPr>
          <w:rFonts w:hint="eastAsia" w:ascii="楷体" w:hAnsi="楷体" w:eastAsia="楷体" w:cs="Arial"/>
          <w:color w:val="auto"/>
          <w:szCs w:val="24"/>
        </w:rPr>
        <w:t>2. 乙方的权利和义务</w:t>
      </w:r>
    </w:p>
    <w:p>
      <w:pP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lang w:val="en-US" w:eastAsia="zh-CN"/>
        </w:rPr>
        <w:t>2.1</w:t>
      </w:r>
      <w:r>
        <w:rPr>
          <w:rFonts w:hint="eastAsia" w:ascii="楷体" w:hAnsi="楷体" w:eastAsia="楷体" w:cs="Arial"/>
          <w:color w:val="auto"/>
          <w:szCs w:val="24"/>
        </w:rPr>
        <w:t>凡因合同双方当事人中的一方不履行合同或违反国家法规及有关政策，受到罚款或给对方造成经济损失的，均由责任方承担责任，并赔偿对方经济损失。</w:t>
      </w:r>
    </w:p>
    <w:p>
      <w:pPr>
        <w:spacing w:line="360" w:lineRule="auto"/>
        <w:ind w:firstLine="480" w:firstLineChars="200"/>
        <w:jc w:val="both"/>
        <w:rPr>
          <w:rFonts w:hint="eastAsia" w:ascii="楷体" w:hAnsi="楷体" w:eastAsia="楷体" w:cs="Arial"/>
          <w:color w:val="auto"/>
          <w:szCs w:val="24"/>
        </w:rPr>
      </w:pPr>
      <w:r>
        <w:rPr>
          <w:rFonts w:hint="eastAsia" w:ascii="楷体" w:hAnsi="楷体" w:eastAsia="楷体" w:cs="Arial"/>
          <w:color w:val="auto"/>
          <w:szCs w:val="24"/>
          <w:lang w:val="en-US" w:eastAsia="zh-CN"/>
        </w:rPr>
        <w:t>2.2</w:t>
      </w:r>
      <w:r>
        <w:rPr>
          <w:rFonts w:hint="eastAsia" w:ascii="楷体" w:hAnsi="楷体" w:eastAsia="楷体" w:cs="Arial"/>
          <w:color w:val="auto"/>
          <w:szCs w:val="24"/>
        </w:rPr>
        <w:t xml:space="preserve">乙方有责任保证项目执行质量和制作物品质量，保证项目执行不出现重大质量问题，保证制作物品符合规格以及甲方要求。 </w:t>
      </w:r>
    </w:p>
    <w:p>
      <w:pPr>
        <w:spacing w:line="360" w:lineRule="auto"/>
        <w:ind w:firstLine="480"/>
        <w:jc w:val="both"/>
        <w:rPr>
          <w:rFonts w:hint="eastAsia" w:ascii="楷体" w:hAnsi="楷体" w:eastAsia="楷体" w:cs="Arial"/>
          <w:color w:val="auto"/>
          <w:szCs w:val="24"/>
        </w:rPr>
      </w:pPr>
      <w:r>
        <w:rPr>
          <w:rFonts w:hint="eastAsia" w:ascii="楷体" w:hAnsi="楷体" w:eastAsia="楷体" w:cs="Arial"/>
          <w:color w:val="auto"/>
          <w:szCs w:val="24"/>
          <w:lang w:val="en-US" w:eastAsia="zh-CN"/>
        </w:rPr>
        <w:t>2.3</w:t>
      </w:r>
      <w:r>
        <w:rPr>
          <w:rFonts w:hint="eastAsia" w:ascii="楷体" w:hAnsi="楷体" w:eastAsia="楷体" w:cs="Arial"/>
          <w:color w:val="auto"/>
          <w:szCs w:val="24"/>
        </w:rPr>
        <w:t xml:space="preserve">乙方负责本次活动所有经乙方指派的安装、搭建及项目执行所派遣的工作人员在施工与现场执行过程中的人身安全，以及所有搭建项的使用安全。 </w:t>
      </w:r>
    </w:p>
    <w:p>
      <w:pPr>
        <w:spacing w:line="360" w:lineRule="auto"/>
        <w:ind w:firstLine="480"/>
        <w:jc w:val="both"/>
        <w:rPr>
          <w:color w:val="auto"/>
        </w:rPr>
      </w:pPr>
      <w:r>
        <w:rPr>
          <w:rFonts w:hint="eastAsia" w:ascii="楷体" w:hAnsi="楷体" w:eastAsia="楷体" w:cs="Arial"/>
          <w:color w:val="auto"/>
          <w:szCs w:val="24"/>
          <w:lang w:val="en-US" w:eastAsia="zh-CN"/>
        </w:rPr>
        <w:t>2.4</w:t>
      </w:r>
      <w:r>
        <w:rPr>
          <w:rFonts w:hint="eastAsia" w:ascii="楷体" w:hAnsi="楷体" w:eastAsia="楷体" w:cs="Arial"/>
          <w:color w:val="auto"/>
          <w:szCs w:val="24"/>
        </w:rPr>
        <w:t>乙方自合同签订之日起，项目正式开展前，未经甲方允许不得将项目的成果图片以任何可视化形式向第三方公布。</w:t>
      </w:r>
    </w:p>
    <w:p>
      <w:pPr>
        <w:rPr>
          <w:rFonts w:hint="eastAsia"/>
          <w:color w:val="auto"/>
        </w:rPr>
      </w:pPr>
    </w:p>
    <w:p>
      <w:pPr>
        <w:rPr>
          <w:rFonts w:hint="eastAsia"/>
          <w:color w:val="auto"/>
        </w:rPr>
      </w:pPr>
    </w:p>
    <w:p>
      <w:pPr>
        <w:rPr>
          <w:rFonts w:hint="eastAsia"/>
          <w:color w:val="auto"/>
        </w:rPr>
      </w:pPr>
    </w:p>
    <w:p>
      <w:pPr>
        <w:rPr>
          <w:rFonts w:hint="eastAsia"/>
          <w:color w:val="auto"/>
        </w:rPr>
      </w:pPr>
      <w:r>
        <w:rPr>
          <w:rFonts w:hint="eastAsia"/>
          <w:color w:val="auto"/>
        </w:rPr>
        <w:br w:type="page"/>
      </w:r>
    </w:p>
    <w:p>
      <w:pPr>
        <w:pStyle w:val="3"/>
        <w:tabs>
          <w:tab w:val="left" w:pos="2190"/>
          <w:tab w:val="clear" w:pos="425"/>
          <w:tab w:val="clear" w:pos="4265"/>
        </w:tabs>
        <w:ind w:left="0" w:leftChars="0" w:firstLine="0" w:firstLineChars="0"/>
        <w:jc w:val="left"/>
        <w:rPr>
          <w:rFonts w:hint="eastAsia" w:ascii="楷体" w:hAnsi="楷体" w:eastAsia="楷体" w:cs="楷体"/>
          <w:color w:val="auto"/>
          <w:sz w:val="24"/>
          <w:szCs w:val="24"/>
        </w:rPr>
      </w:pPr>
      <w:r>
        <w:rPr>
          <w:rFonts w:hint="eastAsia" w:ascii="楷体" w:hAnsi="楷体" w:eastAsia="楷体" w:cs="楷体"/>
          <w:color w:val="auto"/>
          <w:sz w:val="24"/>
          <w:szCs w:val="24"/>
        </w:rPr>
        <w:t>附件四</w:t>
      </w:r>
    </w:p>
    <w:p>
      <w:pPr>
        <w:spacing w:line="360" w:lineRule="auto"/>
        <w:jc w:val="center"/>
        <w:rPr>
          <w:rFonts w:ascii="楷体" w:hAnsi="楷体" w:eastAsia="楷体"/>
          <w:b/>
          <w:color w:val="auto"/>
        </w:rPr>
      </w:pPr>
      <w:r>
        <w:rPr>
          <w:rFonts w:hint="eastAsia" w:ascii="楷体" w:hAnsi="楷体" w:eastAsia="楷体"/>
          <w:b/>
          <w:color w:val="auto"/>
        </w:rPr>
        <w:t>违约责任</w:t>
      </w:r>
    </w:p>
    <w:p>
      <w:pPr>
        <w:spacing w:line="360" w:lineRule="auto"/>
        <w:ind w:firstLine="480" w:firstLineChars="200"/>
        <w:rPr>
          <w:rFonts w:ascii="楷体" w:hAnsi="楷体" w:eastAsia="楷体"/>
          <w:color w:val="auto"/>
        </w:rPr>
      </w:pPr>
    </w:p>
    <w:p>
      <w:pPr>
        <w:spacing w:line="360" w:lineRule="auto"/>
        <w:ind w:left="480" w:leftChars="200" w:firstLine="0" w:firstLineChars="0"/>
        <w:rPr>
          <w:rFonts w:hint="eastAsia" w:ascii="楷体" w:hAnsi="楷体" w:eastAsia="楷体"/>
          <w:color w:val="auto"/>
          <w:lang w:val="en-US" w:eastAsia="zh-CN"/>
        </w:rPr>
      </w:pPr>
      <w:r>
        <w:rPr>
          <w:rFonts w:hint="eastAsia" w:ascii="楷体" w:hAnsi="楷体" w:eastAsia="楷体"/>
          <w:color w:val="auto"/>
        </w:rPr>
        <w:t>除合同约定的违约责任以外，任何一方存在以下约定情形的，应承担相应的违约责任：</w:t>
      </w:r>
      <w:r>
        <w:rPr>
          <w:rFonts w:hint="eastAsia" w:ascii="楷体" w:hAnsi="楷体" w:eastAsia="楷体"/>
          <w:color w:val="auto"/>
          <w:lang w:val="en-US" w:eastAsia="zh-CN"/>
        </w:rPr>
        <w:t>无</w:t>
      </w:r>
    </w:p>
    <w:p>
      <w:pPr>
        <w:rPr>
          <w:rFonts w:hint="eastAsia" w:ascii="楷体" w:hAnsi="楷体" w:eastAsia="楷体"/>
          <w:color w:val="auto"/>
        </w:rPr>
      </w:pPr>
      <w:r>
        <w:rPr>
          <w:rFonts w:hint="eastAsia" w:ascii="楷体" w:hAnsi="楷体" w:eastAsia="楷体"/>
          <w:color w:val="auto"/>
        </w:rPr>
        <w:br w:type="page"/>
      </w:r>
    </w:p>
    <w:p>
      <w:pPr>
        <w:pStyle w:val="3"/>
        <w:tabs>
          <w:tab w:val="left" w:pos="2190"/>
          <w:tab w:val="clear" w:pos="425"/>
          <w:tab w:val="clear" w:pos="4265"/>
        </w:tabs>
        <w:ind w:left="0" w:leftChars="0" w:firstLine="0" w:firstLineChars="0"/>
        <w:jc w:val="left"/>
        <w:rPr>
          <w:rFonts w:hint="eastAsia" w:ascii="楷体" w:hAnsi="楷体" w:eastAsia="楷体" w:cs="楷体"/>
          <w:color w:val="auto"/>
          <w:sz w:val="24"/>
          <w:szCs w:val="24"/>
          <w:lang w:eastAsia="zh-CN"/>
        </w:rPr>
      </w:pPr>
      <w:r>
        <w:rPr>
          <w:rFonts w:hint="eastAsia" w:ascii="楷体" w:hAnsi="楷体" w:eastAsia="楷体" w:cs="楷体"/>
          <w:color w:val="auto"/>
          <w:sz w:val="24"/>
          <w:szCs w:val="24"/>
        </w:rPr>
        <w:t>附件</w:t>
      </w:r>
      <w:r>
        <w:rPr>
          <w:rFonts w:hint="eastAsia" w:ascii="楷体" w:hAnsi="楷体" w:eastAsia="楷体" w:cs="楷体"/>
          <w:color w:val="auto"/>
          <w:sz w:val="24"/>
          <w:szCs w:val="24"/>
          <w:lang w:val="en-US" w:eastAsia="zh-CN"/>
        </w:rPr>
        <w:t>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lang w:val="en-US"/>
        </w:rPr>
      </w:pPr>
      <w:r>
        <w:rPr>
          <w:rFonts w:hint="eastAsia" w:ascii="楷体" w:hAnsi="楷体" w:eastAsia="楷体" w:cs="楷体"/>
          <w:b/>
          <w:bCs/>
          <w:color w:val="auto"/>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8.3 如乙方违反本协议任何约定或承诺，</w:t>
      </w:r>
      <w:r>
        <w:rPr>
          <w:rFonts w:hint="eastAsia" w:ascii="楷体" w:hAnsi="楷体" w:eastAsia="楷体" w:cs="楷体"/>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8.4</w:t>
      </w:r>
      <w:r>
        <w:rPr>
          <w:rFonts w:hint="eastAsia" w:ascii="楷体" w:hAnsi="楷体" w:eastAsia="楷体" w:cs="楷体"/>
          <w:b/>
          <w:bCs/>
          <w:color w:val="auto"/>
          <w:kern w:val="2"/>
          <w:sz w:val="24"/>
          <w:szCs w:val="24"/>
          <w:lang w:val="en-US" w:eastAsia="zh-CN" w:bidi="ar"/>
        </w:rPr>
        <w:t>甲方及甲方子公司按照前述条款要求乙方承担赔偿责任的，</w:t>
      </w:r>
      <w:r>
        <w:rPr>
          <w:rFonts w:hint="eastAsia" w:ascii="楷体" w:hAnsi="楷体" w:eastAsia="楷体" w:cs="楷体"/>
          <w:color w:val="auto"/>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楷体" w:hAnsi="楷体" w:eastAsia="楷体" w:cs="楷体"/>
          <w:b/>
          <w:bCs/>
          <w:color w:val="auto"/>
          <w:sz w:val="24"/>
          <w:szCs w:val="24"/>
          <w:lang w:val="en-US"/>
        </w:rPr>
      </w:pPr>
      <w:r>
        <w:rPr>
          <w:rFonts w:hint="eastAsia" w:ascii="楷体" w:hAnsi="楷体" w:eastAsia="楷体" w:cs="楷体"/>
          <w:b/>
          <w:bCs/>
          <w:color w:val="auto"/>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楷体" w:hAnsi="楷体" w:eastAsia="楷体" w:cs="楷体"/>
          <w:color w:val="auto"/>
          <w:sz w:val="24"/>
          <w:szCs w:val="24"/>
          <w:lang w:val="en-US"/>
        </w:rPr>
      </w:pPr>
      <w:r>
        <w:rPr>
          <w:rFonts w:hint="eastAsia" w:ascii="楷体" w:hAnsi="楷体" w:eastAsia="楷体" w:cs="楷体"/>
          <w:color w:val="auto"/>
          <w:kern w:val="2"/>
          <w:sz w:val="24"/>
          <w:szCs w:val="24"/>
          <w:lang w:val="en-US" w:eastAsia="zh-CN" w:bidi="ar"/>
        </w:rPr>
        <w:t>9.5本协议长期有效。</w:t>
      </w:r>
    </w:p>
    <w:p>
      <w:pPr>
        <w:pStyle w:val="3"/>
        <w:spacing w:before="0" w:after="0"/>
        <w:jc w:val="left"/>
        <w:rPr>
          <w:rFonts w:eastAsia="仿宋"/>
          <w:b w:val="0"/>
          <w:color w:val="auto"/>
          <w:sz w:val="28"/>
        </w:rPr>
        <w:sectPr>
          <w:footerReference r:id="rId7" w:type="default"/>
          <w:pgSz w:w="11906" w:h="16838"/>
          <w:pgMar w:top="1417" w:right="1134" w:bottom="1134" w:left="1134" w:header="851" w:footer="992" w:gutter="0"/>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124" w:name="_Toc4181"/>
      <w:bookmarkStart w:id="125" w:name="_Toc186737811"/>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widowControl/>
        <w:spacing w:line="600" w:lineRule="exact"/>
        <w:ind w:firstLine="482" w:firstLineChars="200"/>
        <w:jc w:val="left"/>
        <w:rPr>
          <w:rFonts w:hint="eastAsia" w:ascii="仿宋" w:hAnsi="仿宋" w:eastAsia="仿宋" w:cs="仿宋"/>
          <w:b/>
          <w:bCs w:val="0"/>
          <w:color w:val="auto"/>
          <w:kern w:val="0"/>
          <w:sz w:val="24"/>
          <w:szCs w:val="24"/>
        </w:rPr>
      </w:pPr>
      <w:r>
        <w:rPr>
          <w:rFonts w:hint="eastAsia" w:ascii="仿宋" w:hAnsi="仿宋" w:eastAsia="仿宋" w:cs="仿宋"/>
          <w:b/>
          <w:bCs w:val="0"/>
          <w:color w:val="auto"/>
          <w:kern w:val="0"/>
          <w:sz w:val="24"/>
          <w:szCs w:val="24"/>
        </w:rPr>
        <w:t>一、项目背景</w:t>
      </w:r>
    </w:p>
    <w:p>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随着机动车保有量持续增加，汽修厂作为车主维保检修的高频线下场景，汇聚大量精准车主客群，渠道匹配度高，获客成本较低，是开展线下业务拓展的优质阵地。当前车主风险保障需求已经越来越延伸至行车过程中的司机及驾乘人员的人身意外风险，部分车主面临车险续保时，投保意外险的意愿较强，市场挖掘空间较大，具备良好的业务拓展条件。为抢抓四季度车险投保窗口期，全力完成年度业务目标，拓宽线下获客渠道，挖掘业务增量，我公司拟在</w:t>
      </w:r>
      <w:r>
        <w:rPr>
          <w:rFonts w:hint="eastAsia" w:ascii="仿宋" w:hAnsi="仿宋" w:eastAsia="仿宋" w:cs="Cambria Math"/>
          <w:b w:val="0"/>
          <w:bCs w:val="0"/>
          <w:color w:val="auto"/>
          <w:sz w:val="24"/>
          <w:szCs w:val="24"/>
          <w:lang w:val="en-US" w:eastAsia="zh-CN" w:bidi="ar-SA"/>
        </w:rPr>
        <w:t>简阳市和东部新区</w:t>
      </w:r>
      <w:r>
        <w:rPr>
          <w:rFonts w:hint="eastAsia" w:ascii="仿宋" w:hAnsi="仿宋" w:eastAsia="仿宋" w:cs="仿宋"/>
          <w:color w:val="auto"/>
          <w:kern w:val="0"/>
          <w:sz w:val="24"/>
          <w:szCs w:val="24"/>
          <w:lang w:val="en-US" w:eastAsia="zh-CN"/>
        </w:rPr>
        <w:t>汽修厂进行车险和驾意险的线下宣传推广活动，面向到店车主推广“车险+驾意险”人车双重保障方案，提升品牌曝光，挖掘潜在客户，促进新单及续保业务转化，助力达成年度经营指标。</w:t>
      </w:r>
    </w:p>
    <w:p>
      <w:pPr>
        <w:keepNext w:val="0"/>
        <w:keepLines w:val="0"/>
        <w:pageBreakBefore w:val="0"/>
        <w:widowControl/>
        <w:kinsoku/>
        <w:wordWrap/>
        <w:overflowPunct/>
        <w:topLinePunct w:val="0"/>
        <w:autoSpaceDE/>
        <w:autoSpaceDN/>
        <w:bidi w:val="0"/>
        <w:spacing w:line="580" w:lineRule="exact"/>
        <w:ind w:firstLine="480" w:firstLineChars="200"/>
        <w:jc w:val="left"/>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此次采购项目为非延续性项目。</w:t>
      </w:r>
    </w:p>
    <w:p>
      <w:pPr>
        <w:keepNext w:val="0"/>
        <w:keepLines w:val="0"/>
        <w:pageBreakBefore w:val="0"/>
        <w:widowControl/>
        <w:numPr>
          <w:ilvl w:val="0"/>
          <w:numId w:val="6"/>
        </w:numPr>
        <w:kinsoku/>
        <w:wordWrap/>
        <w:overflowPunct/>
        <w:topLinePunct w:val="0"/>
        <w:autoSpaceDE/>
        <w:autoSpaceDN/>
        <w:bidi w:val="0"/>
        <w:adjustRightInd/>
        <w:snapToGrid/>
        <w:spacing w:line="600" w:lineRule="exact"/>
        <w:ind w:firstLine="482" w:firstLineChars="200"/>
        <w:textAlignment w:val="auto"/>
        <w:rPr>
          <w:rFonts w:hint="eastAsia"/>
          <w:b w:val="0"/>
          <w:bCs w:val="0"/>
          <w:color w:val="auto"/>
          <w:lang w:val="en-US" w:eastAsia="zh-CN"/>
        </w:rPr>
      </w:pPr>
      <w:r>
        <w:rPr>
          <w:rFonts w:hint="eastAsia" w:ascii="仿宋" w:hAnsi="仿宋" w:eastAsia="仿宋" w:cs="Cambria Math"/>
          <w:b/>
          <w:bCs/>
          <w:color w:val="auto"/>
          <w:sz w:val="24"/>
          <w:szCs w:val="24"/>
          <w:lang w:val="en-US" w:eastAsia="zh-CN" w:bidi="ar-SA"/>
        </w:rPr>
        <w:t>采购内容</w:t>
      </w:r>
      <w:r>
        <w:rPr>
          <w:rFonts w:hint="eastAsia" w:ascii="仿宋" w:hAnsi="仿宋" w:eastAsia="仿宋" w:cs="Cambria Math"/>
          <w:b/>
          <w:bCs/>
          <w:color w:val="auto"/>
          <w:sz w:val="24"/>
          <w:szCs w:val="24"/>
          <w:lang w:val="en-US" w:eastAsia="zh-CN" w:bidi="ar-SA"/>
        </w:rPr>
        <w:br w:type="textWrapping"/>
      </w:r>
      <w:r>
        <w:rPr>
          <w:rFonts w:hint="eastAsia" w:ascii="仿宋" w:hAnsi="仿宋" w:eastAsia="仿宋" w:cs="Cambria Math"/>
          <w:b/>
          <w:bCs/>
          <w:color w:val="auto"/>
          <w:sz w:val="24"/>
          <w:szCs w:val="24"/>
          <w:lang w:val="en-US" w:eastAsia="zh-CN" w:bidi="ar-SA"/>
        </w:rPr>
        <w:t xml:space="preserve">    </w:t>
      </w:r>
      <w:r>
        <w:rPr>
          <w:rFonts w:hint="eastAsia" w:ascii="仿宋" w:hAnsi="仿宋" w:eastAsia="仿宋" w:cs="Cambria Math"/>
          <w:b w:val="0"/>
          <w:bCs w:val="0"/>
          <w:color w:val="auto"/>
          <w:sz w:val="24"/>
          <w:szCs w:val="24"/>
          <w:lang w:val="en-US" w:eastAsia="zh-CN" w:bidi="ar-SA"/>
        </w:rPr>
        <w:t>本次宣传活动服务项目采购，我公司拟采购1家供应商，在简阳市和东部新区范围内的27家修理厂开展人保车险和驾意险宣传活动。预计在35日历天内，在27家修理厂进行线下宣传。活动内容包括但不限于宣传物料摆放、人员讲解与发放宣传物料等宣传内容，旨在实现对公司车险和驾意险产品的集中推广与客户精准触达。</w:t>
      </w:r>
    </w:p>
    <w:p>
      <w:pPr>
        <w:pStyle w:val="2"/>
        <w:keepNext w:val="0"/>
        <w:keepLines w:val="0"/>
        <w:pageBreakBefore w:val="0"/>
        <w:widowControl/>
        <w:numPr>
          <w:ilvl w:val="0"/>
          <w:numId w:val="6"/>
        </w:numPr>
        <w:kinsoku/>
        <w:wordWrap/>
        <w:overflowPunct/>
        <w:topLinePunct w:val="0"/>
        <w:autoSpaceDE/>
        <w:autoSpaceDN/>
        <w:bidi w:val="0"/>
        <w:adjustRightInd/>
        <w:snapToGrid/>
        <w:spacing w:line="600" w:lineRule="exact"/>
        <w:ind w:left="0" w:leftChars="0" w:firstLine="482" w:firstLineChars="200"/>
        <w:rPr>
          <w:rFonts w:hint="default"/>
          <w:color w:val="auto"/>
          <w:lang w:val="en-US" w:eastAsia="zh-CN"/>
        </w:rPr>
      </w:pPr>
      <w:r>
        <w:rPr>
          <w:rFonts w:hint="eastAsia" w:ascii="仿宋" w:hAnsi="仿宋" w:eastAsia="仿宋" w:cs="Cambria Math"/>
          <w:b/>
          <w:bCs/>
          <w:color w:val="auto"/>
          <w:sz w:val="24"/>
          <w:szCs w:val="24"/>
          <w:lang w:val="en-US" w:eastAsia="zh-CN" w:bidi="ar-SA"/>
        </w:rPr>
        <w:t>采购数量</w:t>
      </w:r>
      <w:r>
        <w:rPr>
          <w:rFonts w:hint="eastAsia" w:ascii="仿宋" w:hAnsi="仿宋" w:eastAsia="仿宋" w:cs="Cambria Math"/>
          <w:b/>
          <w:bCs/>
          <w:color w:val="auto"/>
          <w:sz w:val="24"/>
          <w:szCs w:val="24"/>
          <w:lang w:val="en-US" w:eastAsia="zh-CN" w:bidi="ar-SA"/>
        </w:rPr>
        <w:br w:type="textWrapping"/>
      </w:r>
      <w:r>
        <w:rPr>
          <w:rFonts w:hint="eastAsia" w:ascii="仿宋" w:hAnsi="仿宋" w:eastAsia="仿宋" w:cs="Cambria Math"/>
          <w:b/>
          <w:bCs/>
          <w:color w:val="auto"/>
          <w:sz w:val="24"/>
          <w:szCs w:val="24"/>
          <w:lang w:val="en-US" w:eastAsia="zh-CN" w:bidi="ar-SA"/>
        </w:rPr>
        <w:t xml:space="preserve">  </w:t>
      </w:r>
      <w:r>
        <w:rPr>
          <w:rFonts w:hint="eastAsia" w:ascii="仿宋" w:hAnsi="仿宋" w:eastAsia="仿宋" w:cs="Cambria Math"/>
          <w:b w:val="0"/>
          <w:bCs w:val="0"/>
          <w:color w:val="auto"/>
          <w:sz w:val="24"/>
          <w:szCs w:val="24"/>
          <w:lang w:val="en-US" w:eastAsia="zh-CN" w:bidi="ar-SA"/>
        </w:rPr>
        <w:t xml:space="preserve">  计划于35日历天内在简阳市和东部新区范围内的27家修理厂开展人保车险和驾意险宣传活动，每个修理厂的宣传内容和预估金额大致如下：</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0"/>
        <w:gridCol w:w="1971"/>
        <w:gridCol w:w="1971"/>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0" w:type="dxa"/>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bCs/>
                <w:i w:val="0"/>
                <w:iCs w:val="0"/>
                <w:color w:val="auto"/>
                <w:kern w:val="0"/>
                <w:sz w:val="24"/>
                <w:szCs w:val="24"/>
                <w:u w:val="none"/>
                <w:lang w:val="en-US" w:eastAsia="zh-CN" w:bidi="ar"/>
              </w:rPr>
              <w:t>项目名称</w:t>
            </w:r>
          </w:p>
        </w:tc>
        <w:tc>
          <w:tcPr>
            <w:tcW w:w="1971" w:type="dxa"/>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bCs/>
                <w:i w:val="0"/>
                <w:iCs w:val="0"/>
                <w:color w:val="auto"/>
                <w:kern w:val="0"/>
                <w:sz w:val="24"/>
                <w:szCs w:val="24"/>
                <w:u w:val="none"/>
                <w:lang w:val="en-US" w:eastAsia="zh-CN" w:bidi="ar"/>
              </w:rPr>
              <w:t>单位</w:t>
            </w:r>
          </w:p>
        </w:tc>
        <w:tc>
          <w:tcPr>
            <w:tcW w:w="1971" w:type="dxa"/>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bCs/>
                <w:i w:val="0"/>
                <w:iCs w:val="0"/>
                <w:color w:val="auto"/>
                <w:kern w:val="0"/>
                <w:sz w:val="24"/>
                <w:szCs w:val="24"/>
                <w:u w:val="none"/>
                <w:lang w:val="en-US" w:eastAsia="zh-CN" w:bidi="ar"/>
              </w:rPr>
              <w:t>数量</w:t>
            </w:r>
          </w:p>
        </w:tc>
        <w:tc>
          <w:tcPr>
            <w:tcW w:w="1971" w:type="dxa"/>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bCs/>
                <w:i w:val="0"/>
                <w:iCs w:val="0"/>
                <w:color w:val="auto"/>
                <w:kern w:val="0"/>
                <w:sz w:val="24"/>
                <w:szCs w:val="24"/>
                <w:u w:val="none"/>
                <w:lang w:val="en-US" w:eastAsia="zh-CN" w:bidi="ar"/>
              </w:rPr>
              <w:t>单价</w:t>
            </w:r>
          </w:p>
        </w:tc>
        <w:tc>
          <w:tcPr>
            <w:tcW w:w="1971" w:type="dxa"/>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rPr>
                <w:rFonts w:hint="eastAsia" w:ascii="仿宋" w:hAnsi="仿宋" w:eastAsia="仿宋" w:cs="仿宋"/>
                <w:color w:val="auto"/>
                <w:sz w:val="24"/>
                <w:szCs w:val="24"/>
                <w:vertAlign w:val="baseline"/>
                <w:lang w:val="en-US" w:eastAsia="zh-CN"/>
              </w:rPr>
            </w:pPr>
            <w:r>
              <w:rPr>
                <w:rFonts w:hint="eastAsia" w:ascii="仿宋" w:hAnsi="仿宋" w:eastAsia="仿宋" w:cs="仿宋"/>
                <w:b/>
                <w:bCs/>
                <w:i w:val="0"/>
                <w:iCs w:val="0"/>
                <w:color w:val="auto"/>
                <w:kern w:val="0"/>
                <w:sz w:val="24"/>
                <w:szCs w:val="24"/>
                <w:u w:val="none"/>
                <w:lang w:val="en-US" w:eastAsia="zh-CN" w:bidi="ar"/>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0"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X展架+画面</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套</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2</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170</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340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0"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宣传页</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张</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4000</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0.32</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1280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0" w:type="dxa"/>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场地租赁</w:t>
            </w:r>
          </w:p>
        </w:tc>
        <w:tc>
          <w:tcPr>
            <w:tcW w:w="1971" w:type="dxa"/>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天</w:t>
            </w:r>
          </w:p>
        </w:tc>
        <w:tc>
          <w:tcPr>
            <w:tcW w:w="1971" w:type="dxa"/>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35</w:t>
            </w:r>
          </w:p>
        </w:tc>
        <w:tc>
          <w:tcPr>
            <w:tcW w:w="1971" w:type="dxa"/>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210</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7350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970"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人工</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人/天</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35</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220</w:t>
            </w:r>
          </w:p>
        </w:tc>
        <w:tc>
          <w:tcPr>
            <w:tcW w:w="1971" w:type="dxa"/>
            <w:vAlign w:val="center"/>
          </w:tcPr>
          <w:p>
            <w:pPr>
              <w:keepNext w:val="0"/>
              <w:keepLines w:val="0"/>
              <w:widowControl/>
              <w:suppressLineNumbers w:val="0"/>
              <w:jc w:val="center"/>
              <w:textAlignment w:val="center"/>
              <w:rPr>
                <w:rFonts w:hint="eastAsia" w:ascii="仿宋" w:hAnsi="仿宋" w:eastAsia="仿宋" w:cs="仿宋"/>
                <w:color w:val="auto"/>
                <w:sz w:val="21"/>
                <w:szCs w:val="21"/>
                <w:vertAlign w:val="baseline"/>
                <w:lang w:val="en-US" w:eastAsia="zh-CN"/>
              </w:rPr>
            </w:pPr>
            <w:r>
              <w:rPr>
                <w:rFonts w:hint="eastAsia" w:ascii="仿宋" w:hAnsi="仿宋" w:eastAsia="仿宋" w:cs="仿宋"/>
                <w:i w:val="0"/>
                <w:iCs w:val="0"/>
                <w:color w:val="auto"/>
                <w:kern w:val="0"/>
                <w:sz w:val="21"/>
                <w:szCs w:val="21"/>
                <w:u w:val="none"/>
                <w:lang w:val="en-US" w:eastAsia="zh-CN" w:bidi="ar"/>
              </w:rPr>
              <w:t>7700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83" w:type="dxa"/>
            <w:gridSpan w:val="4"/>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小计</w:t>
            </w:r>
          </w:p>
        </w:tc>
        <w:tc>
          <w:tcPr>
            <w:tcW w:w="1971" w:type="dxa"/>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b/>
                <w:bCs/>
                <w:i w:val="0"/>
                <w:iCs w:val="0"/>
                <w:color w:val="auto"/>
                <w:kern w:val="0"/>
                <w:sz w:val="21"/>
                <w:szCs w:val="21"/>
                <w:u w:val="none"/>
                <w:lang w:val="en-US" w:eastAsia="zh-CN" w:bidi="ar"/>
              </w:rPr>
              <w:t>16670</w:t>
            </w:r>
          </w:p>
        </w:tc>
      </w:tr>
    </w:tbl>
    <w:p>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leftChars="200"/>
        <w:textAlignment w:val="auto"/>
        <w:rPr>
          <w:rFonts w:hint="default" w:ascii="仿宋" w:hAnsi="仿宋" w:eastAsia="仿宋" w:cs="Cambria Math"/>
          <w:b w:val="0"/>
          <w:bCs w:val="0"/>
          <w:color w:val="auto"/>
          <w:sz w:val="24"/>
          <w:szCs w:val="24"/>
          <w:lang w:val="en-US" w:eastAsia="zh-CN" w:bidi="ar-SA"/>
        </w:rPr>
      </w:pPr>
      <w:r>
        <w:rPr>
          <w:rFonts w:hint="eastAsia" w:ascii="仿宋" w:hAnsi="仿宋" w:eastAsia="仿宋" w:cs="Cambria Math"/>
          <w:b w:val="0"/>
          <w:bCs w:val="0"/>
          <w:color w:val="auto"/>
          <w:sz w:val="24"/>
          <w:szCs w:val="24"/>
          <w:lang w:val="en-US" w:eastAsia="zh-CN" w:bidi="ar-SA"/>
        </w:rPr>
        <w:t>总预算金额为：16670元/个*27个=450090元</w:t>
      </w:r>
    </w:p>
    <w:p>
      <w:pPr>
        <w:pStyle w:val="2"/>
        <w:keepNext w:val="0"/>
        <w:keepLines w:val="0"/>
        <w:pageBreakBefore w:val="0"/>
        <w:widowControl/>
        <w:numPr>
          <w:ilvl w:val="0"/>
          <w:numId w:val="0"/>
        </w:numPr>
        <w:kinsoku/>
        <w:wordWrap/>
        <w:overflowPunct/>
        <w:topLinePunct w:val="0"/>
        <w:autoSpaceDE/>
        <w:autoSpaceDN/>
        <w:bidi w:val="0"/>
        <w:adjustRightInd/>
        <w:snapToGrid/>
        <w:spacing w:line="540" w:lineRule="exact"/>
        <w:ind w:leftChars="200"/>
        <w:textAlignment w:val="auto"/>
        <w:rPr>
          <w:rFonts w:hint="eastAsia" w:ascii="仿宋" w:hAnsi="仿宋" w:eastAsia="仿宋" w:cs="Cambria Math"/>
          <w:b w:val="0"/>
          <w:bCs w:val="0"/>
          <w:color w:val="auto"/>
          <w:sz w:val="21"/>
          <w:szCs w:val="21"/>
          <w:lang w:val="en-US" w:eastAsia="zh-CN" w:bidi="ar-SA"/>
        </w:rPr>
      </w:pPr>
      <w:r>
        <w:rPr>
          <w:rFonts w:hint="eastAsia" w:ascii="仿宋" w:hAnsi="仿宋" w:eastAsia="仿宋" w:cs="Cambria Math"/>
          <w:b w:val="0"/>
          <w:bCs w:val="0"/>
          <w:color w:val="auto"/>
          <w:sz w:val="21"/>
          <w:szCs w:val="21"/>
          <w:lang w:val="en-US" w:eastAsia="zh-CN" w:bidi="ar-SA"/>
        </w:rPr>
        <w:t>*以上为预估价格，仅作为供应商报价依据，最终结算按实际使用费用进行结算。</w:t>
      </w:r>
    </w:p>
    <w:p>
      <w:pPr>
        <w:pStyle w:val="2"/>
        <w:keepNext w:val="0"/>
        <w:keepLines w:val="0"/>
        <w:pageBreakBefore w:val="0"/>
        <w:widowControl/>
        <w:numPr>
          <w:ilvl w:val="0"/>
          <w:numId w:val="0"/>
        </w:numPr>
        <w:kinsoku/>
        <w:wordWrap/>
        <w:overflowPunct/>
        <w:topLinePunct w:val="0"/>
        <w:autoSpaceDE/>
        <w:autoSpaceDN/>
        <w:bidi w:val="0"/>
        <w:adjustRightInd/>
        <w:snapToGrid/>
        <w:spacing w:line="540" w:lineRule="exact"/>
        <w:ind w:leftChars="200"/>
        <w:textAlignment w:val="auto"/>
        <w:rPr>
          <w:rFonts w:hint="eastAsia" w:ascii="仿宋" w:hAnsi="仿宋" w:eastAsia="仿宋" w:cs="Cambria Math"/>
          <w:b w:val="0"/>
          <w:bCs w:val="0"/>
          <w:color w:val="auto"/>
          <w:sz w:val="24"/>
          <w:szCs w:val="24"/>
          <w:lang w:val="en-US" w:eastAsia="zh-CN" w:bidi="ar-SA"/>
        </w:rPr>
      </w:pPr>
      <w:r>
        <w:rPr>
          <w:rFonts w:hint="eastAsia" w:ascii="仿宋" w:hAnsi="仿宋" w:eastAsia="仿宋" w:cs="Cambria Math"/>
          <w:b w:val="0"/>
          <w:bCs w:val="0"/>
          <w:color w:val="auto"/>
          <w:sz w:val="24"/>
          <w:szCs w:val="24"/>
          <w:lang w:val="en-US" w:eastAsia="zh-CN" w:bidi="ar-SA"/>
        </w:rPr>
        <w:t>采购服务范围：简阳市和东部新区范围内的27家修理厂，详细地址清单如下：</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3827"/>
        <w:gridCol w:w="4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7" w:type="dxa"/>
            <w:vAlign w:val="center"/>
          </w:tcPr>
          <w:p>
            <w:pPr>
              <w:pStyle w:val="2"/>
              <w:widowControl w:val="0"/>
              <w:numPr>
                <w:ilvl w:val="0"/>
                <w:numId w:val="0"/>
              </w:numPr>
              <w:jc w:val="center"/>
              <w:rPr>
                <w:rFonts w:hint="default"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序号</w:t>
            </w:r>
          </w:p>
        </w:tc>
        <w:tc>
          <w:tcPr>
            <w:tcW w:w="3827" w:type="dxa"/>
            <w:vAlign w:val="center"/>
          </w:tcPr>
          <w:p>
            <w:pPr>
              <w:pStyle w:val="2"/>
              <w:widowControl w:val="0"/>
              <w:numPr>
                <w:ilvl w:val="0"/>
                <w:numId w:val="0"/>
              </w:numPr>
              <w:jc w:val="center"/>
              <w:rPr>
                <w:rFonts w:hint="default"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修理厂名称</w:t>
            </w:r>
          </w:p>
        </w:tc>
        <w:tc>
          <w:tcPr>
            <w:tcW w:w="4335" w:type="dxa"/>
            <w:vAlign w:val="center"/>
          </w:tcPr>
          <w:p>
            <w:pPr>
              <w:pStyle w:val="2"/>
              <w:widowControl w:val="0"/>
              <w:numPr>
                <w:ilvl w:val="0"/>
                <w:numId w:val="0"/>
              </w:numPr>
              <w:jc w:val="center"/>
              <w:rPr>
                <w:rFonts w:hint="default"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修理厂地址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简阳卓尔汇众汽车技术有限公司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成都市简阳市简阳工业集中发展区城南工业园（简阳宝兴动力机械有限公司厂房）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简阳通惠汽车服务有限公司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四川省成都市简阳市凤凰城商业综合楼凤凰城1-57号、1-58号、-1楼20号、-1楼23号、-1楼24号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3</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东部新区精致汽车维修服务部</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成都东部新区养马街道川橡路209号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4</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四川恒卓车悦汽车服务有限公司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四川省成都市简阳市凤山路205号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5</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简阳市城华汽车修理厂</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简城镇绛溪北路237号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6</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简阳市新联合汽车维修中心</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简阳市石桥镇大华国际9号楼1层1至3、8至10、14至18号商铺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7</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成都建通行汽车修理有限公司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成都东部新区贾家街道鱼市街38号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8</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成都雄驰汽车维修有限公司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成都东部新区双湖路北段157号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9</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东部新区德鑫汽修服务部</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成都东部新区三岔镇长空街65号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10</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东部新区明成汽修厂（个体工商户）</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成都东部新区贾家街道环城北路332-340号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11</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成都承泰亿华汽车维修有限公司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成都东部新区贾家街道光明路21号附1号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12</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简阳市感恩汽车修理厂</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四川省简阳市简城中心村6社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13</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简阳市简城镇郭师汽车美容装饰部</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简阳市射洪坝街道办星光村4组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14</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简阳市安信汽车维修服务部</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简阳市石桥镇e家天下c区33栋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15</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简阳市简城恒汇汽车修理厂</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四川省成都市简阳市简城镇白塔路358号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16</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简阳市简城镇鸿腾汽车维修服务中心</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四川省成都市简阳市凯力威工业大道北段2号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17</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简阳市车博仕汽车服务有限公司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四川省成都市简阳市射洪坝街道办事处东溪大道666号3、4栋-2层4号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18</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东部新区鑫精诚汽修店</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四川成都东部新区养马街道铁东社区13组13号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19</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高新区石板凳镇鑫惠众汽车维修店</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成都高新区石板凳镇先锋村2组205号11栋附1号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20</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简阳市简城镇欣馨汽车修理店</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四川省成都市简阳市回龙大道999号附1号简阳亿联智慧商贸城4-1-1至27号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21</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东部新区天理汽修店</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成都东部新区三岔街道长顺街东段96、98、100、102、104号1层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22</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简阳市文化汽车修理厂</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四川成都简阳市简阳市简城街道红建路河韵南苑南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23</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简阳隆胜汽车维修有限公司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四川省成都市简阳市简城星光村三组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24</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简阳市车汇局汽车养护中心</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简阳市简城建设西路2幢6、7、8号1层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25</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简阳市旭锐汽车装饰服务部</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b w:val="0"/>
                <w:bCs w:val="0"/>
                <w:color w:val="auto"/>
                <w:sz w:val="21"/>
                <w:szCs w:val="21"/>
                <w:vertAlign w:val="baseline"/>
                <w:lang w:val="en-US" w:eastAsia="zh-CN" w:bidi="ar-SA"/>
              </w:rPr>
              <w:t>简阳市天成国际社区D3区12幢1-17、1-18号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26</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简阳市明阳汽车修理厂</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简城镇建设西路421号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677" w:type="dxa"/>
            <w:vAlign w:val="center"/>
          </w:tcPr>
          <w:p>
            <w:pPr>
              <w:keepNext w:val="0"/>
              <w:keepLines w:val="0"/>
              <w:widowControl/>
              <w:suppressLineNumbers w:val="0"/>
              <w:jc w:val="center"/>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27</w:t>
            </w:r>
          </w:p>
        </w:tc>
        <w:tc>
          <w:tcPr>
            <w:tcW w:w="382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成都恒源顺达汽车服务有限公司</w:t>
            </w:r>
          </w:p>
        </w:tc>
        <w:tc>
          <w:tcPr>
            <w:tcW w:w="4335"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1"/>
                <w:szCs w:val="21"/>
                <w:vertAlign w:val="baseline"/>
                <w:lang w:val="en-US" w:eastAsia="zh-CN" w:bidi="ar-SA"/>
              </w:rPr>
            </w:pPr>
            <w:r>
              <w:rPr>
                <w:rFonts w:hint="eastAsia" w:ascii="仿宋" w:hAnsi="仿宋" w:eastAsia="仿宋" w:cs="仿宋"/>
                <w:i w:val="0"/>
                <w:iCs w:val="0"/>
                <w:color w:val="auto"/>
                <w:kern w:val="0"/>
                <w:sz w:val="21"/>
                <w:szCs w:val="21"/>
                <w:u w:val="none"/>
                <w:lang w:val="en-US" w:eastAsia="zh-CN" w:bidi="ar"/>
              </w:rPr>
              <w:t>成都市简阳市简城白塔路3栋1层19号</w:t>
            </w:r>
          </w:p>
        </w:tc>
      </w:tr>
    </w:tbl>
    <w:p>
      <w:pPr>
        <w:numPr>
          <w:ilvl w:val="0"/>
          <w:numId w:val="0"/>
        </w:numPr>
        <w:spacing w:line="360" w:lineRule="auto"/>
        <w:rPr>
          <w:rFonts w:hint="eastAsia" w:ascii="仿宋" w:hAnsi="仿宋" w:eastAsia="仿宋" w:cs="Cambria Math"/>
          <w:b/>
          <w:bCs/>
          <w:color w:val="auto"/>
          <w:sz w:val="24"/>
          <w:szCs w:val="24"/>
          <w:lang w:val="en-US" w:eastAsia="zh-CN" w:bidi="ar-SA"/>
        </w:rPr>
      </w:pPr>
    </w:p>
    <w:p>
      <w:pPr>
        <w:numPr>
          <w:ilvl w:val="0"/>
          <w:numId w:val="0"/>
        </w:numPr>
        <w:spacing w:line="360" w:lineRule="auto"/>
        <w:ind w:left="0" w:leftChars="0" w:firstLine="482" w:firstLineChars="200"/>
        <w:rPr>
          <w:rFonts w:hint="eastAsia" w:ascii="仿宋" w:hAnsi="仿宋" w:eastAsia="仿宋" w:cs="Cambria Math"/>
          <w:color w:val="auto"/>
          <w:sz w:val="24"/>
          <w:szCs w:val="24"/>
          <w:lang w:val="en-US" w:eastAsia="zh-CN" w:bidi="ar-SA"/>
        </w:rPr>
      </w:pPr>
      <w:r>
        <w:rPr>
          <w:rFonts w:hint="eastAsia" w:ascii="仿宋" w:hAnsi="仿宋" w:eastAsia="仿宋" w:cs="Cambria Math"/>
          <w:b/>
          <w:bCs/>
          <w:color w:val="auto"/>
          <w:sz w:val="24"/>
          <w:szCs w:val="24"/>
          <w:lang w:val="en-US" w:eastAsia="zh-CN" w:bidi="ar-SA"/>
        </w:rPr>
        <w:t>四、付款方式</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Cambria Math"/>
          <w:color w:val="auto"/>
          <w:sz w:val="24"/>
          <w:szCs w:val="24"/>
          <w:lang w:val="en-US" w:eastAsia="zh-CN" w:bidi="ar-SA"/>
        </w:rPr>
      </w:pPr>
      <w:r>
        <w:rPr>
          <w:rFonts w:hint="eastAsia" w:ascii="仿宋" w:hAnsi="仿宋" w:eastAsia="仿宋" w:cs="Cambria Math"/>
          <w:color w:val="auto"/>
          <w:sz w:val="24"/>
          <w:szCs w:val="24"/>
          <w:lang w:val="en-US" w:eastAsia="zh-CN" w:bidi="ar-SA"/>
        </w:rPr>
        <w:t>项目根据宣传活动开展情况进行核算，对照宣传费用结算清单验收合格后签字确认，方可进入结算环节，采购方根据验收合格的费用结算清单进行报销转账结算。供应商需根据结算单金额，在宣传结束后向采购方开具增值税专用发票和提供相关结算所需的资料。</w:t>
      </w:r>
    </w:p>
    <w:p>
      <w:pPr>
        <w:spacing w:line="360" w:lineRule="auto"/>
        <w:ind w:firstLine="482" w:firstLineChars="200"/>
        <w:rPr>
          <w:rFonts w:hint="eastAsia" w:ascii="仿宋" w:hAnsi="仿宋" w:eastAsia="仿宋" w:cs="Cambria Math"/>
          <w:color w:val="auto"/>
          <w:sz w:val="24"/>
          <w:szCs w:val="24"/>
          <w:lang w:val="en-US" w:eastAsia="zh-CN" w:bidi="ar-SA"/>
        </w:rPr>
      </w:pPr>
      <w:r>
        <w:rPr>
          <w:rFonts w:hint="eastAsia" w:ascii="仿宋" w:hAnsi="仿宋" w:eastAsia="仿宋" w:cs="Cambria Math"/>
          <w:b/>
          <w:bCs/>
          <w:color w:val="auto"/>
          <w:sz w:val="24"/>
          <w:szCs w:val="24"/>
          <w:lang w:val="en-US" w:eastAsia="zh-CN" w:bidi="ar-SA"/>
        </w:rPr>
        <w:t>五、规格型号/技术/服务要求</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Cambria Math"/>
          <w:color w:val="auto"/>
          <w:sz w:val="24"/>
          <w:szCs w:val="24"/>
          <w:lang w:val="en-US" w:eastAsia="zh-CN" w:bidi="ar-SA"/>
        </w:rPr>
      </w:pPr>
      <w:r>
        <w:rPr>
          <w:rFonts w:hint="eastAsia" w:ascii="仿宋" w:hAnsi="仿宋" w:eastAsia="仿宋" w:cs="Cambria Math"/>
          <w:color w:val="auto"/>
          <w:sz w:val="24"/>
          <w:szCs w:val="24"/>
          <w:lang w:val="en-US" w:eastAsia="zh-CN" w:bidi="ar-SA"/>
        </w:rPr>
        <w:t>供应商根据我司要求，在合同期内，为我公司提供27家修理厂的宣传服务。供应商需对提前造势、现场布置、活动效果等进行策划和安排，活动开展期间配合我公司员工营造宣传活动氛围，协助活动推动，确保整体活动效果达到预期标准。</w:t>
      </w:r>
    </w:p>
    <w:p>
      <w:pPr>
        <w:pStyle w:val="2"/>
        <w:rPr>
          <w:color w:val="auto"/>
        </w:rPr>
      </w:pPr>
      <w:r>
        <w:rPr>
          <w:rFonts w:hint="eastAsia"/>
          <w:color w:val="auto"/>
        </w:rPr>
        <w:t xml:space="preserve"> </w:t>
      </w:r>
      <w:r>
        <w:rPr>
          <w:color w:val="auto"/>
        </w:rPr>
        <w:t xml:space="preserve">   </w:t>
      </w:r>
    </w:p>
    <w:p>
      <w:pPr>
        <w:rPr>
          <w:color w:val="auto"/>
        </w:rPr>
      </w:pPr>
      <w:r>
        <w:rPr>
          <w:color w:val="auto"/>
        </w:rPr>
        <w:br w:type="page"/>
      </w:r>
    </w:p>
    <w:p>
      <w:pPr>
        <w:pStyle w:val="3"/>
        <w:spacing w:before="0" w:after="0"/>
        <w:jc w:val="left"/>
        <w:rPr>
          <w:rFonts w:ascii="仿宋" w:hAnsi="仿宋" w:eastAsia="仿宋" w:cs="仿宋"/>
          <w:color w:val="auto"/>
          <w:sz w:val="28"/>
          <w:szCs w:val="28"/>
        </w:rPr>
      </w:pPr>
      <w:bookmarkStart w:id="126" w:name="_Toc3675"/>
      <w:bookmarkStart w:id="127" w:name="_Toc186737812"/>
      <w:bookmarkStart w:id="128" w:name="_Toc9891"/>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129" w:name="_Toc3936"/>
      <w:bookmarkStart w:id="130" w:name="_Toc19783362"/>
      <w:bookmarkStart w:id="131" w:name="_Toc517281836"/>
      <w:bookmarkStart w:id="132" w:name="_Toc444891353"/>
      <w:bookmarkStart w:id="133" w:name="_Toc19910"/>
      <w:bookmarkStart w:id="134" w:name="_Toc25957"/>
      <w:bookmarkStart w:id="135" w:name="_Toc287600131"/>
      <w:bookmarkStart w:id="136" w:name="_Toc11783"/>
      <w:bookmarkStart w:id="137" w:name="_Toc21280"/>
      <w:bookmarkStart w:id="138" w:name="_Toc287600129"/>
      <w:bookmarkStart w:id="139" w:name="_Toc19783360"/>
      <w:r>
        <w:rPr>
          <w:rFonts w:ascii="仿宋" w:hAnsi="仿宋" w:eastAsia="仿宋" w:cs="仿宋"/>
          <w:color w:val="auto"/>
          <w:sz w:val="24"/>
          <w:szCs w:val="24"/>
        </w:rPr>
        <w:br w:type="page"/>
      </w:r>
      <w:bookmarkStart w:id="140" w:name="_Toc17191"/>
      <w:bookmarkStart w:id="141" w:name="_Toc186737813"/>
      <w:r>
        <w:rPr>
          <w:rFonts w:hint="eastAsia" w:ascii="仿宋" w:hAnsi="仿宋" w:eastAsia="仿宋" w:cs="仿宋"/>
          <w:color w:val="auto"/>
          <w:sz w:val="24"/>
          <w:szCs w:val="24"/>
        </w:rPr>
        <w:t>一、商务文件</w:t>
      </w:r>
      <w:bookmarkEnd w:id="129"/>
      <w:bookmarkEnd w:id="140"/>
      <w:bookmarkEnd w:id="14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0"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7"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auto"/>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0" w:type="dxa"/>
            <w:vAlign w:val="center"/>
          </w:tcPr>
          <w:p>
            <w:pPr>
              <w:spacing w:before="24" w:after="24" w:line="276" w:lineRule="auto"/>
              <w:jc w:val="center"/>
              <w:rPr>
                <w:rFonts w:ascii="仿宋" w:hAnsi="仿宋" w:eastAsia="仿宋" w:cs="仿宋"/>
                <w:color w:val="auto"/>
                <w:sz w:val="22"/>
                <w:szCs w:val="21"/>
                <w:lang w:val="en-US" w:eastAsia="zh-CN" w:bidi="ar-SA"/>
              </w:rPr>
            </w:pPr>
            <w:r>
              <w:rPr>
                <w:rFonts w:hint="eastAsia" w:ascii="仿宋" w:hAnsi="仿宋" w:eastAsia="仿宋" w:cs="仿宋"/>
                <w:color w:val="auto"/>
                <w:sz w:val="22"/>
                <w:szCs w:val="21"/>
              </w:rPr>
              <w:t>具有独立承担民事责任的能力</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 w:val="22"/>
                <w:szCs w:val="21"/>
                <w:lang w:val="en-US" w:eastAsia="zh-CN" w:bidi="ar-SA"/>
              </w:rPr>
            </w:pPr>
            <w:r>
              <w:rPr>
                <w:rFonts w:hint="eastAsia" w:ascii="仿宋" w:hAnsi="仿宋" w:eastAsia="仿宋" w:cs="仿宋"/>
                <w:color w:val="auto"/>
                <w:sz w:val="22"/>
                <w:szCs w:val="21"/>
              </w:rPr>
              <w:t>具有良好的商业信誉和健全的财务会计制度</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 w:val="22"/>
                <w:szCs w:val="21"/>
                <w:lang w:val="en-US" w:eastAsia="zh-CN" w:bidi="ar-SA"/>
              </w:rPr>
            </w:pPr>
            <w:r>
              <w:rPr>
                <w:rFonts w:hint="eastAsia" w:ascii="仿宋" w:hAnsi="仿宋" w:eastAsia="仿宋" w:cs="Monaco"/>
                <w:color w:val="auto"/>
                <w:sz w:val="22"/>
                <w:szCs w:val="21"/>
              </w:rPr>
              <w:t>具有履行合同所必需的设备和专业技术能力</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hint="eastAsia"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具有依法缴纳税收和社会保障资金的良好记录</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仿宋"/>
                <w:color w:val="auto"/>
                <w:sz w:val="22"/>
                <w:szCs w:val="21"/>
                <w:lang w:val="en-US" w:eastAsia="zh-CN" w:bidi="ar-SA"/>
              </w:rPr>
            </w:pPr>
            <w:r>
              <w:rPr>
                <w:rFonts w:hint="eastAsia" w:ascii="仿宋" w:hAnsi="仿宋" w:eastAsia="仿宋" w:cs="Cambria Math"/>
                <w:color w:val="auto"/>
                <w:sz w:val="22"/>
                <w:szCs w:val="21"/>
              </w:rPr>
              <w:t>近三年内无违法违规记录</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jc w:val="center"/>
              <w:rPr>
                <w:rFonts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控股管理关系</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hint="eastAsia" w:ascii="仿宋" w:hAnsi="仿宋" w:eastAsia="仿宋" w:cs="Cambria Math"/>
                <w:color w:val="auto"/>
                <w:sz w:val="22"/>
                <w:szCs w:val="21"/>
                <w:lang w:val="en-US" w:eastAsia="zh-CN" w:bidi="ar-SA"/>
              </w:rPr>
            </w:pPr>
            <w:r>
              <w:rPr>
                <w:rFonts w:hint="eastAsia" w:ascii="仿宋" w:hAnsi="仿宋" w:eastAsia="仿宋" w:cs="Cambria Math"/>
                <w:color w:val="auto"/>
                <w:sz w:val="22"/>
                <w:szCs w:val="21"/>
              </w:rPr>
              <w:t>非联合体</w:t>
            </w:r>
            <w:r>
              <w:rPr>
                <w:rFonts w:hint="eastAsia" w:ascii="仿宋" w:hAnsi="仿宋" w:eastAsia="仿宋" w:cs="Cambria Math"/>
                <w:color w:val="auto"/>
                <w:sz w:val="22"/>
                <w:szCs w:val="21"/>
                <w:lang w:val="en-US" w:eastAsia="zh-CN"/>
              </w:rPr>
              <w:t>比选</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比选保证金</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0"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7"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bl>
    <w:p>
      <w:pPr>
        <w:rPr>
          <w:rFonts w:ascii="宋体" w:hAnsi="宋体"/>
          <w:color w:val="auto"/>
          <w:szCs w:val="21"/>
        </w:rPr>
        <w:sectPr>
          <w:footerReference r:id="rId8" w:type="default"/>
          <w:pgSz w:w="11906" w:h="16838"/>
          <w:pgMar w:top="1417" w:right="1134" w:bottom="1134" w:left="1134" w:header="964" w:footer="964" w:gutter="0"/>
          <w:cols w:space="720" w:num="1"/>
          <w:docGrid w:linePitch="312" w:charSpace="0"/>
        </w:sectPr>
      </w:pPr>
    </w:p>
    <w:bookmarkEnd w:id="130"/>
    <w:bookmarkEnd w:id="131"/>
    <w:bookmarkEnd w:id="132"/>
    <w:bookmarkEnd w:id="133"/>
    <w:bookmarkEnd w:id="134"/>
    <w:bookmarkEnd w:id="135"/>
    <w:bookmarkEnd w:id="136"/>
    <w:bookmarkEnd w:id="137"/>
    <w:p>
      <w:pPr>
        <w:jc w:val="center"/>
        <w:rPr>
          <w:rFonts w:ascii="仿宋" w:hAnsi="仿宋" w:eastAsia="仿宋" w:cs="仿宋"/>
          <w:b/>
          <w:bCs/>
          <w:color w:val="auto"/>
        </w:rPr>
      </w:pPr>
      <w:bookmarkStart w:id="143" w:name="_Toc444891354"/>
      <w:bookmarkStart w:id="144" w:name="_Toc12140"/>
      <w:bookmarkStart w:id="145" w:name="_Toc25121"/>
      <w:bookmarkStart w:id="146" w:name="_Toc27799"/>
      <w:bookmarkStart w:id="147" w:name="_Toc517281837"/>
      <w:bookmarkStart w:id="148" w:name="_Toc7202"/>
      <w:r>
        <w:rPr>
          <w:rFonts w:hint="eastAsia" w:ascii="仿宋" w:hAnsi="仿宋" w:eastAsia="仿宋" w:cs="仿宋"/>
          <w:b/>
          <w:bCs/>
          <w:color w:val="auto"/>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w:t>
            </w:r>
            <w:r>
              <w:rPr>
                <w:rFonts w:hint="eastAsia" w:ascii="仿宋" w:hAnsi="仿宋" w:eastAsia="仿宋" w:cs="宋体"/>
                <w:color w:val="auto"/>
                <w:szCs w:val="21"/>
                <w:lang w:val="en-US" w:eastAsia="zh-CN" w:bidi="ar"/>
              </w:rPr>
              <w:t>10</w:t>
            </w:r>
            <w:r>
              <w:rPr>
                <w:rFonts w:hint="eastAsia" w:ascii="仿宋" w:hAnsi="仿宋" w:eastAsia="仿宋" w:cs="宋体"/>
                <w:color w:val="auto"/>
                <w:szCs w:val="21"/>
                <w:lang w:bidi="ar"/>
              </w:rPr>
              <w:t>分）</w:t>
            </w:r>
          </w:p>
        </w:tc>
        <w:tc>
          <w:tcPr>
            <w:tcW w:w="2268" w:type="dxa"/>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综合实力</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w:t>
            </w:r>
            <w:r>
              <w:rPr>
                <w:rFonts w:hint="eastAsia" w:ascii="仿宋" w:hAnsi="仿宋" w:eastAsia="仿宋" w:cs="宋体"/>
                <w:color w:val="auto"/>
                <w:szCs w:val="21"/>
                <w:lang w:val="en-US" w:eastAsia="zh-CN" w:bidi="ar"/>
              </w:rPr>
              <w:t>5</w:t>
            </w:r>
            <w:r>
              <w:rPr>
                <w:rFonts w:hint="eastAsia" w:ascii="仿宋" w:hAnsi="仿宋" w:eastAsia="仿宋" w:cs="宋体"/>
                <w:color w:val="auto"/>
                <w:szCs w:val="21"/>
                <w:lang w:bidi="ar"/>
              </w:rPr>
              <w:t>分）</w:t>
            </w:r>
          </w:p>
        </w:tc>
        <w:tc>
          <w:tcPr>
            <w:tcW w:w="4820" w:type="dxa"/>
            <w:tcMar>
              <w:top w:w="15" w:type="dxa"/>
              <w:left w:w="15" w:type="dxa"/>
              <w:right w:w="15" w:type="dxa"/>
            </w:tcMar>
            <w:vAlign w:val="center"/>
          </w:tcPr>
          <w:p>
            <w:pPr>
              <w:rPr>
                <w:rStyle w:val="75"/>
                <w:rFonts w:hint="default" w:cs="宋体"/>
                <w:color w:val="auto"/>
                <w:lang w:bidi="ar"/>
              </w:rPr>
            </w:pPr>
            <w:r>
              <w:rPr>
                <w:rFonts w:hint="eastAsia" w:ascii="仿宋" w:hAnsi="仿宋" w:eastAsia="仿宋" w:cs="仿宋"/>
                <w:color w:val="auto"/>
                <w:szCs w:val="21"/>
              </w:rPr>
              <w:t>详见N-M页，补充说明（如有）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lang w:bidi="ar"/>
              </w:rPr>
            </w:pPr>
          </w:p>
        </w:tc>
        <w:tc>
          <w:tcPr>
            <w:tcW w:w="2268" w:type="dxa"/>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w:t>
            </w:r>
            <w:r>
              <w:rPr>
                <w:rFonts w:hint="eastAsia" w:ascii="仿宋" w:hAnsi="仿宋" w:eastAsia="仿宋" w:cs="宋体"/>
                <w:color w:val="auto"/>
                <w:szCs w:val="21"/>
                <w:lang w:val="en-US" w:eastAsia="zh-CN" w:bidi="ar"/>
              </w:rPr>
              <w:t>5</w:t>
            </w:r>
            <w:r>
              <w:rPr>
                <w:rFonts w:hint="eastAsia" w:ascii="仿宋" w:hAnsi="仿宋" w:eastAsia="仿宋" w:cs="宋体"/>
                <w:color w:val="auto"/>
                <w:szCs w:val="21"/>
                <w:lang w:bidi="ar"/>
              </w:rPr>
              <w:t>分）</w:t>
            </w:r>
          </w:p>
        </w:tc>
        <w:tc>
          <w:tcPr>
            <w:tcW w:w="4820" w:type="dxa"/>
            <w:tcMar>
              <w:top w:w="15" w:type="dxa"/>
              <w:left w:w="15" w:type="dxa"/>
              <w:right w:w="15" w:type="dxa"/>
            </w:tcMar>
            <w:vAlign w:val="center"/>
          </w:tcPr>
          <w:p>
            <w:pPr>
              <w:rPr>
                <w:rStyle w:val="75"/>
                <w:rFonts w:hint="default" w:cs="宋体"/>
                <w:color w:val="auto"/>
                <w:lang w:bidi="ar"/>
              </w:rPr>
            </w:pPr>
            <w:r>
              <w:rPr>
                <w:rFonts w:hint="eastAsia" w:ascii="仿宋" w:hAnsi="仿宋" w:eastAsia="仿宋" w:cs="仿宋"/>
                <w:color w:val="auto"/>
                <w:szCs w:val="21"/>
              </w:rPr>
              <w:t>详见N-M页，补充说明（如有）</w:t>
            </w:r>
          </w:p>
        </w:tc>
      </w:tr>
    </w:tbl>
    <w:p>
      <w:pPr>
        <w:rPr>
          <w:rFonts w:ascii="仿宋" w:hAnsi="仿宋" w:eastAsia="仿宋" w:cs="仿宋"/>
          <w:color w:val="auto"/>
          <w:sz w:val="28"/>
          <w:szCs w:val="28"/>
        </w:rPr>
      </w:pPr>
      <w:r>
        <w:rPr>
          <w:rFonts w:hint="eastAsia" w:ascii="仿宋" w:hAnsi="仿宋" w:eastAsia="仿宋" w:cs="仿宋"/>
          <w:color w:val="auto"/>
          <w:sz w:val="28"/>
          <w:szCs w:val="28"/>
        </w:rPr>
        <w:br w:type="page"/>
      </w:r>
    </w:p>
    <w:p>
      <w:pPr>
        <w:pStyle w:val="5"/>
        <w:spacing w:before="0" w:line="440" w:lineRule="exact"/>
        <w:rPr>
          <w:rFonts w:ascii="仿宋" w:hAnsi="仿宋" w:eastAsia="仿宋" w:cs="仿宋"/>
          <w:color w:val="auto"/>
          <w:sz w:val="24"/>
          <w:szCs w:val="24"/>
        </w:rPr>
      </w:pPr>
      <w:bookmarkStart w:id="149" w:name="_Toc186737814"/>
      <w:bookmarkStart w:id="150" w:name="_Toc27958"/>
      <w:r>
        <w:rPr>
          <w:rFonts w:hint="eastAsia" w:ascii="仿宋" w:hAnsi="仿宋" w:eastAsia="仿宋" w:cs="仿宋"/>
          <w:color w:val="auto"/>
          <w:sz w:val="24"/>
          <w:szCs w:val="24"/>
        </w:rPr>
        <w:t>（一）响应函</w:t>
      </w:r>
      <w:bookmarkEnd w:id="149"/>
      <w:bookmarkEnd w:id="150"/>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hint="eastAsia" w:ascii="仿宋" w:hAnsi="仿宋" w:eastAsia="仿宋" w:cs="Cambria Math"/>
          <w:color w:val="auto"/>
          <w:u w:val="single"/>
          <w:lang w:val="en-US" w:eastAsia="zh-CN"/>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3"/>
      <w:bookmarkEnd w:id="144"/>
      <w:bookmarkEnd w:id="145"/>
      <w:bookmarkEnd w:id="146"/>
      <w:bookmarkEnd w:id="147"/>
      <w:bookmarkEnd w:id="148"/>
      <w:bookmarkStart w:id="151" w:name="_Toc186737815"/>
      <w:bookmarkStart w:id="152" w:name="_Toc13983"/>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24788"/>
      <w:bookmarkStart w:id="154" w:name="_Toc287600130"/>
      <w:bookmarkStart w:id="155" w:name="_Toc4426"/>
      <w:bookmarkStart w:id="156" w:name="_Toc19783361"/>
      <w:bookmarkStart w:id="157" w:name="_Toc26267"/>
      <w:bookmarkStart w:id="158" w:name="_Toc186737816"/>
      <w:bookmarkStart w:id="159" w:name="_Toc20707"/>
      <w:bookmarkStart w:id="160" w:name="_Toc517281838"/>
      <w:bookmarkStart w:id="161" w:name="_Toc444891355"/>
      <w:bookmarkStart w:id="162" w:name="_Toc5582"/>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3" w:name="_Toc186737817"/>
      <w:bookmarkStart w:id="164" w:name="_Toc30551"/>
      <w:bookmarkStart w:id="165" w:name="_Toc517281841"/>
      <w:r>
        <w:rPr>
          <w:rFonts w:hint="eastAsia" w:ascii="仿宋" w:hAnsi="仿宋" w:eastAsia="仿宋" w:cs="仿宋"/>
          <w:color w:val="auto"/>
          <w:sz w:val="24"/>
          <w:szCs w:val="24"/>
        </w:rPr>
        <w:t>（四）资格证明文件</w:t>
      </w:r>
      <w:bookmarkEnd w:id="163"/>
      <w:bookmarkEnd w:id="164"/>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pStyle w:val="2"/>
        <w:spacing w:before="240"/>
        <w:rPr>
          <w:rFonts w:ascii="仿宋" w:hAnsi="仿宋" w:eastAsia="仿宋" w:cs="Cambria Math"/>
          <w:b/>
          <w:bCs/>
          <w:color w:val="auto"/>
        </w:rPr>
      </w:pPr>
      <w:r>
        <w:rPr>
          <w:rFonts w:ascii="仿宋" w:hAnsi="仿宋" w:eastAsia="仿宋" w:cs="Cambria Math"/>
          <w:b/>
          <w:bCs/>
          <w:color w:val="auto"/>
        </w:rPr>
        <w:t>或提供</w:t>
      </w:r>
    </w:p>
    <w:p>
      <w:pPr>
        <w:pStyle w:val="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资格条件中要求的具有良好的商业信誉和健全的财务会计制度比选响应资格，并对上述承诺真实性负责。</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2"/>
        <w:rPr>
          <w:color w:val="auto"/>
        </w:rPr>
      </w:pP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rPr>
      </w:pPr>
      <w:r>
        <w:rPr>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2"/>
        <w:rPr>
          <w:color w:val="auto"/>
        </w:rPr>
      </w:pPr>
    </w:p>
    <w:p>
      <w:pPr>
        <w:rPr>
          <w:rFonts w:ascii="仿宋" w:hAnsi="仿宋" w:eastAsia="仿宋" w:cs="仿宋"/>
          <w:color w:val="auto"/>
        </w:rPr>
      </w:pPr>
      <w:r>
        <w:rPr>
          <w:rFonts w:hint="eastAsia" w:ascii="仿宋" w:hAnsi="仿宋" w:eastAsia="仿宋" w:cs="仿宋"/>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b/>
          <w:bCs/>
          <w:color w:val="auto"/>
          <w:sz w:val="24"/>
          <w:szCs w:val="24"/>
          <w:lang w:val="en-US" w:eastAsia="zh-CN" w:bidi="ar-SA"/>
        </w:rPr>
        <w:t>6、未列入供应商黑名单且未在禁入期承诺函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hint="eastAsia"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8、非联合体比选响应声明</w:t>
      </w:r>
    </w:p>
    <w:bookmarkEnd w:id="165"/>
    <w:bookmarkEnd w:id="166"/>
    <w:p>
      <w:pPr>
        <w:pStyle w:val="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8" w:name="_Toc15130"/>
      <w:bookmarkStart w:id="169" w:name="_Toc18208"/>
      <w:bookmarkStart w:id="170" w:name="_Toc65683009"/>
      <w:bookmarkStart w:id="171" w:name="_Toc186737818"/>
      <w:bookmarkStart w:id="172" w:name="_Toc144139212"/>
      <w:bookmarkStart w:id="173" w:name="_Toc112068411"/>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4" w:name="_Toc17890"/>
      <w:bookmarkStart w:id="175" w:name="_Toc186737819"/>
      <w:r>
        <w:rPr>
          <w:rFonts w:hint="eastAsia" w:ascii="仿宋" w:hAnsi="仿宋" w:eastAsia="仿宋" w:cs="仿宋"/>
          <w:color w:val="auto"/>
          <w:sz w:val="24"/>
          <w:szCs w:val="24"/>
        </w:rPr>
        <w:t>（七）供应商行为准则承诺书</w:t>
      </w:r>
      <w:bookmarkEnd w:id="174"/>
      <w:bookmarkEnd w:id="175"/>
    </w:p>
    <w:p>
      <w:pPr>
        <w:jc w:val="center"/>
        <w:rPr>
          <w:rFonts w:ascii="仿宋" w:hAnsi="仿宋" w:eastAsia="仿宋" w:cs="宋体"/>
          <w:b/>
          <w:bCs/>
          <w:color w:val="auto"/>
          <w:sz w:val="28"/>
          <w:szCs w:val="28"/>
        </w:rPr>
      </w:pPr>
      <w:bookmarkStart w:id="176"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7" w:name="_Toc186737820"/>
      <w:bookmarkStart w:id="178" w:name="_Toc8068"/>
      <w:r>
        <w:rPr>
          <w:rFonts w:hint="eastAsia" w:ascii="仿宋" w:hAnsi="仿宋" w:eastAsia="仿宋" w:cs="宋体"/>
          <w:bCs w:val="0"/>
          <w:color w:val="auto"/>
          <w:sz w:val="24"/>
          <w:szCs w:val="24"/>
        </w:rPr>
        <w:t>（八）供应商廉洁诚信承诺书</w:t>
      </w:r>
      <w:bookmarkEnd w:id="176"/>
      <w:bookmarkEnd w:id="177"/>
      <w:bookmarkEnd w:id="178"/>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cs="宋体"/>
          <w:color w:val="auto"/>
          <w:szCs w:val="24"/>
        </w:rPr>
      </w:pPr>
      <w:bookmarkStart w:id="179" w:name="_Toc186737821"/>
      <w:r>
        <w:rPr>
          <w:rFonts w:hint="eastAsia" w:ascii="仿宋" w:hAnsi="仿宋" w:eastAsia="仿宋" w:cs="宋体"/>
          <w:bCs w:val="0"/>
          <w:color w:val="auto"/>
          <w:sz w:val="24"/>
          <w:szCs w:val="24"/>
        </w:rPr>
        <w:t>（九）信息安全采购要求承诺函</w:t>
      </w:r>
      <w:bookmarkEnd w:id="179"/>
    </w:p>
    <w:p>
      <w:pPr>
        <w:jc w:val="center"/>
        <w:rPr>
          <w:b/>
          <w:color w:val="auto"/>
        </w:rPr>
      </w:pPr>
    </w:p>
    <w:p>
      <w:pPr>
        <w:jc w:val="center"/>
        <w:rPr>
          <w:b/>
          <w:color w:val="auto"/>
        </w:rPr>
      </w:pPr>
      <w:r>
        <w:rPr>
          <w:rFonts w:hint="eastAsia"/>
          <w:b/>
          <w:color w:val="auto"/>
        </w:rPr>
        <w:t>信息安全采购要求承诺函</w:t>
      </w:r>
    </w:p>
    <w:p>
      <w:pPr>
        <w:rPr>
          <w:color w:val="auto"/>
        </w:rPr>
      </w:pPr>
    </w:p>
    <w:p>
      <w:pPr>
        <w:adjustRightInd w:val="0"/>
        <w:snapToGrid w:val="0"/>
        <w:spacing w:line="360" w:lineRule="auto"/>
        <w:rPr>
          <w:rFonts w:hint="eastAsia" w:ascii="仿宋_GB2312" w:hAnsi="宋体" w:eastAsia="仿宋_GB2312"/>
          <w:color w:val="auto"/>
          <w:lang w:eastAsia="zh-CN"/>
        </w:rPr>
      </w:pPr>
      <w:r>
        <w:rPr>
          <w:rFonts w:hint="eastAsia" w:ascii="仿宋_GB2312" w:hAnsi="宋体" w:eastAsia="仿宋_GB2312"/>
          <w:color w:val="auto"/>
        </w:rPr>
        <w:t>致：中国人民财产保险股份有限公司</w:t>
      </w:r>
      <w:r>
        <w:rPr>
          <w:rFonts w:hint="eastAsia" w:ascii="仿宋_GB2312" w:hAnsi="宋体" w:eastAsia="仿宋_GB2312"/>
          <w:color w:val="auto"/>
          <w:lang w:val="en-US" w:eastAsia="zh-CN"/>
        </w:rPr>
        <w:t>简阳支公司</w:t>
      </w:r>
      <w:r>
        <w:rPr>
          <w:rFonts w:hint="eastAsia" w:ascii="仿宋_GB2312" w:hAnsi="宋体" w:eastAsia="仿宋_GB2312"/>
          <w:color w:val="auto"/>
          <w:lang w:eastAsia="zh-CN"/>
        </w:rPr>
        <w:t>：</w:t>
      </w:r>
    </w:p>
    <w:p>
      <w:pPr>
        <w:spacing w:line="360" w:lineRule="auto"/>
        <w:ind w:firstLine="480"/>
        <w:rPr>
          <w:rFonts w:ascii="仿宋_GB2312" w:hAnsi="宋体" w:eastAsia="仿宋_GB2312"/>
          <w:color w:val="auto"/>
        </w:rPr>
      </w:pPr>
      <w:r>
        <w:rPr>
          <w:rFonts w:hint="eastAsia" w:ascii="仿宋_GB2312" w:hAnsi="宋体" w:eastAsia="仿宋_GB2312"/>
          <w:color w:val="auto"/>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auto"/>
        </w:rPr>
      </w:pPr>
      <w:r>
        <w:rPr>
          <w:rFonts w:hint="eastAsia" w:ascii="仿宋_GB2312" w:hAnsi="宋体" w:eastAsia="仿宋_GB2312"/>
          <w:color w:val="auto"/>
        </w:rPr>
        <w:t>2.根据实际情况，投标人在A\B两项之间择一承诺</w:t>
      </w:r>
    </w:p>
    <w:p>
      <w:pPr>
        <w:spacing w:line="360" w:lineRule="auto"/>
        <w:ind w:firstLine="480"/>
        <w:rPr>
          <w:rFonts w:ascii="仿宋_GB2312" w:hAnsi="宋体" w:eastAsia="仿宋_GB2312"/>
          <w:color w:val="auto"/>
        </w:rPr>
      </w:pPr>
      <w:r>
        <w:rPr>
          <w:rFonts w:hint="eastAsia" w:ascii="仿宋_GB2312" w:hAnsi="宋体" w:eastAsia="仿宋_GB2312"/>
          <w:color w:val="auto"/>
        </w:rPr>
        <w:t>A投标人向招标人提供的产品或服务，不需要任何外国实体提供技术支持。</w:t>
      </w:r>
    </w:p>
    <w:p>
      <w:pPr>
        <w:spacing w:line="360" w:lineRule="auto"/>
        <w:ind w:firstLine="480"/>
        <w:rPr>
          <w:rFonts w:ascii="仿宋_GB2312" w:hAnsi="宋体" w:eastAsia="仿宋_GB2312"/>
          <w:color w:val="auto"/>
        </w:rPr>
      </w:pPr>
      <w:r>
        <w:rPr>
          <w:rFonts w:hint="eastAsia" w:ascii="仿宋_GB2312" w:hAnsi="宋体" w:eastAsia="仿宋_GB2312"/>
          <w:color w:val="auto"/>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auto"/>
        </w:rPr>
      </w:pPr>
      <w:r>
        <w:rPr>
          <w:rFonts w:hint="eastAsia" w:ascii="仿宋_GB2312" w:hAnsi="宋体" w:eastAsia="仿宋_GB2312"/>
          <w:color w:val="auto"/>
        </w:rPr>
        <w:t>3.根据实际情况，投标人在A\B两项之间择一承诺</w:t>
      </w:r>
    </w:p>
    <w:p>
      <w:pPr>
        <w:spacing w:line="360" w:lineRule="auto"/>
        <w:ind w:firstLine="480"/>
        <w:rPr>
          <w:rFonts w:ascii="仿宋_GB2312" w:hAnsi="宋体" w:eastAsia="仿宋_GB2312"/>
          <w:color w:val="auto"/>
        </w:rPr>
      </w:pPr>
      <w:r>
        <w:rPr>
          <w:rFonts w:hint="eastAsia" w:ascii="仿宋_GB2312" w:hAnsi="宋体" w:eastAsia="仿宋_GB2312"/>
          <w:color w:val="auto"/>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auto"/>
        </w:rPr>
      </w:pPr>
      <w:r>
        <w:rPr>
          <w:rFonts w:hint="eastAsia" w:ascii="仿宋_GB2312" w:hAnsi="宋体" w:eastAsia="仿宋_GB2312"/>
          <w:color w:val="auto"/>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auto"/>
        </w:rPr>
      </w:pPr>
      <w:r>
        <w:rPr>
          <w:rFonts w:hint="eastAsia" w:ascii="仿宋_GB2312" w:hAnsi="宋体" w:eastAsia="仿宋_GB2312"/>
          <w:color w:val="auto"/>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auto"/>
        </w:rPr>
      </w:pPr>
      <w:r>
        <w:rPr>
          <w:rFonts w:hint="eastAsia" w:ascii="仿宋_GB2312" w:hAnsi="宋体" w:eastAsia="仿宋_GB2312"/>
          <w:color w:val="auto"/>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auto"/>
        </w:rPr>
      </w:pPr>
      <w:r>
        <w:rPr>
          <w:rFonts w:hint="eastAsia" w:ascii="仿宋_GB2312" w:hAnsi="宋体" w:eastAsia="仿宋_GB2312"/>
          <w:color w:val="auto"/>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auto"/>
        </w:rPr>
      </w:pPr>
      <w:r>
        <w:rPr>
          <w:rFonts w:hint="eastAsia" w:ascii="仿宋_GB2312" w:hAnsi="宋体" w:eastAsia="仿宋_GB2312"/>
          <w:color w:val="auto"/>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auto"/>
        </w:rPr>
      </w:pPr>
    </w:p>
    <w:p>
      <w:pPr>
        <w:spacing w:line="360" w:lineRule="auto"/>
        <w:rPr>
          <w:rFonts w:ascii="仿宋_GB2312" w:hAnsi="宋体" w:eastAsia="仿宋_GB2312"/>
          <w:color w:val="auto"/>
        </w:rPr>
      </w:pPr>
    </w:p>
    <w:p>
      <w:pPr>
        <w:tabs>
          <w:tab w:val="left" w:pos="5580"/>
        </w:tabs>
        <w:spacing w:before="120" w:line="22" w:lineRule="atLeast"/>
        <w:rPr>
          <w:rFonts w:ascii="仿宋_GB2312" w:hAnsi="宋体" w:eastAsia="仿宋_GB2312"/>
          <w:color w:val="auto"/>
        </w:rPr>
      </w:pPr>
      <w:r>
        <w:rPr>
          <w:rFonts w:hint="eastAsia" w:ascii="仿宋_GB2312" w:hAnsi="宋体" w:eastAsia="仿宋_GB2312"/>
          <w:color w:val="auto"/>
        </w:rPr>
        <w:t xml:space="preserve">投标人名称（盖章）：                       </w:t>
      </w:r>
    </w:p>
    <w:p>
      <w:pPr>
        <w:tabs>
          <w:tab w:val="left" w:pos="5580"/>
        </w:tabs>
        <w:spacing w:before="120" w:line="22" w:lineRule="atLeast"/>
        <w:rPr>
          <w:rFonts w:ascii="仿宋_GB2312" w:hAnsi="宋体" w:eastAsia="仿宋_GB2312"/>
          <w:color w:val="auto"/>
        </w:rPr>
      </w:pPr>
      <w:r>
        <w:rPr>
          <w:rFonts w:hint="eastAsia" w:ascii="仿宋_GB2312" w:hAnsi="宋体" w:eastAsia="仿宋_GB2312"/>
          <w:color w:val="auto"/>
        </w:rPr>
        <w:t>投标人授权代表(签字):</w:t>
      </w:r>
      <w:r>
        <w:rPr>
          <w:rFonts w:hint="eastAsia" w:ascii="仿宋_GB2312" w:hAnsi="宋体" w:eastAsia="仿宋_GB2312"/>
          <w:color w:val="auto"/>
        </w:rPr>
        <w:tab/>
      </w:r>
    </w:p>
    <w:p>
      <w:pPr>
        <w:spacing w:line="360" w:lineRule="auto"/>
        <w:rPr>
          <w:rFonts w:ascii="仿宋" w:hAnsi="仿宋" w:eastAsia="仿宋" w:cs="仿宋"/>
          <w:color w:val="auto"/>
        </w:rPr>
      </w:pPr>
      <w:r>
        <w:rPr>
          <w:rFonts w:hint="eastAsia" w:ascii="仿宋_GB2312" w:hAnsi="宋体" w:eastAsia="仿宋_GB2312"/>
          <w:color w:val="auto"/>
        </w:rPr>
        <w:t>日期：</w:t>
      </w: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spacing w:line="360" w:lineRule="auto"/>
        <w:ind w:firstLine="4790" w:firstLineChars="1491"/>
        <w:rPr>
          <w:rStyle w:val="58"/>
          <w:rFonts w:ascii="仿宋" w:hAnsi="仿宋" w:eastAsia="仿宋" w:cs="仿宋"/>
          <w:color w:val="auto"/>
        </w:rPr>
      </w:pPr>
    </w:p>
    <w:p>
      <w:pPr>
        <w:pStyle w:val="5"/>
        <w:spacing w:before="0" w:after="0" w:line="360" w:lineRule="auto"/>
        <w:rPr>
          <w:rFonts w:ascii="仿宋" w:hAnsi="仿宋" w:eastAsia="仿宋" w:cs="宋体"/>
          <w:bCs w:val="0"/>
          <w:color w:val="auto"/>
          <w:sz w:val="21"/>
          <w:szCs w:val="24"/>
        </w:rPr>
      </w:pPr>
      <w:bookmarkStart w:id="180" w:name="_Toc186737822"/>
      <w:r>
        <w:rPr>
          <w:rFonts w:hint="eastAsia" w:ascii="仿宋" w:hAnsi="仿宋" w:eastAsia="仿宋" w:cs="宋体"/>
          <w:color w:val="auto"/>
          <w:sz w:val="24"/>
        </w:rPr>
        <w:t>（十）其他材料</w:t>
      </w:r>
      <w:bookmarkEnd w:id="180"/>
    </w:p>
    <w:p>
      <w:pPr>
        <w:spacing w:line="360" w:lineRule="auto"/>
        <w:rPr>
          <w:rFonts w:ascii="宋体" w:hAnsi="宋体"/>
          <w:color w:val="auto"/>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4"/>
        <w:jc w:val="both"/>
        <w:rPr>
          <w:rFonts w:ascii="仿宋" w:hAnsi="仿宋" w:eastAsia="仿宋" w:cs="仿宋"/>
          <w:color w:val="auto"/>
          <w:sz w:val="24"/>
          <w:szCs w:val="24"/>
        </w:rPr>
      </w:pPr>
      <w:bookmarkStart w:id="181" w:name="_Toc28698"/>
      <w:bookmarkStart w:id="182" w:name="_Toc186737823"/>
      <w:r>
        <w:rPr>
          <w:rFonts w:hint="eastAsia" w:ascii="仿宋" w:hAnsi="仿宋" w:eastAsia="仿宋" w:cs="仿宋"/>
          <w:color w:val="auto"/>
          <w:sz w:val="24"/>
          <w:szCs w:val="24"/>
        </w:rPr>
        <w:t>二、技术文件</w:t>
      </w:r>
      <w:bookmarkEnd w:id="181"/>
      <w:bookmarkEnd w:id="182"/>
    </w:p>
    <w:p>
      <w:pPr>
        <w:jc w:val="center"/>
        <w:rPr>
          <w:rFonts w:ascii="仿宋" w:hAnsi="仿宋" w:eastAsia="仿宋" w:cs="仿宋"/>
          <w:b/>
          <w:bCs/>
          <w:color w:val="auto"/>
        </w:rPr>
      </w:pPr>
      <w:bookmarkStart w:id="183" w:name="_Toc30870"/>
      <w:bookmarkStart w:id="184" w:name="_Toc23108"/>
      <w:r>
        <w:rPr>
          <w:rFonts w:hint="eastAsia" w:ascii="仿宋" w:hAnsi="仿宋" w:eastAsia="仿宋" w:cs="仿宋"/>
          <w:b/>
          <w:bCs/>
          <w:color w:val="auto"/>
        </w:rPr>
        <w:t>详细评审索引表</w:t>
      </w:r>
      <w:bookmarkEnd w:id="183"/>
    </w:p>
    <w:tbl>
      <w:tblPr>
        <w:tblStyle w:val="29"/>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1601"/>
        <w:gridCol w:w="2140"/>
        <w:gridCol w:w="45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jc w:val="center"/>
        </w:trPr>
        <w:tc>
          <w:tcPr>
            <w:tcW w:w="687" w:type="dxa"/>
            <w:tcMar>
              <w:top w:w="15" w:type="dxa"/>
              <w:left w:w="15" w:type="dxa"/>
              <w:right w:w="15" w:type="dxa"/>
            </w:tcMar>
            <w:vAlign w:val="center"/>
          </w:tcPr>
          <w:p>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01"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140" w:type="dxa"/>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550" w:type="dxa"/>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687"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val="en-US" w:eastAsia="zh-CN" w:bidi="ar"/>
              </w:rPr>
              <w:t>1</w:t>
            </w:r>
          </w:p>
        </w:tc>
        <w:tc>
          <w:tcPr>
            <w:tcW w:w="1601" w:type="dxa"/>
            <w:vMerge w:val="restart"/>
            <w:tcMar>
              <w:top w:w="15" w:type="dxa"/>
              <w:left w:w="15" w:type="dxa"/>
              <w:right w:w="15" w:type="dxa"/>
            </w:tcMar>
            <w:vAlign w:val="center"/>
          </w:tcPr>
          <w:p>
            <w:pPr>
              <w:jc w:val="center"/>
              <w:textAlignment w:val="center"/>
              <w:rPr>
                <w:rFonts w:ascii="仿宋" w:hAnsi="仿宋" w:eastAsia="仿宋" w:cs="宋体"/>
                <w:color w:val="auto"/>
                <w:szCs w:val="21"/>
              </w:rPr>
            </w:pPr>
            <w:r>
              <w:rPr>
                <w:rFonts w:hint="eastAsia" w:ascii="仿宋" w:hAnsi="仿宋" w:eastAsia="仿宋" w:cs="宋体"/>
                <w:color w:val="auto"/>
                <w:szCs w:val="21"/>
              </w:rPr>
              <w:t>技术得分</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rPr>
              <w:t>（</w:t>
            </w:r>
            <w:r>
              <w:rPr>
                <w:rFonts w:hint="eastAsia" w:ascii="仿宋" w:hAnsi="仿宋" w:eastAsia="仿宋" w:cs="宋体"/>
                <w:color w:val="auto"/>
                <w:szCs w:val="21"/>
                <w:lang w:val="en-US" w:eastAsia="zh-CN"/>
              </w:rPr>
              <w:t>50</w:t>
            </w:r>
            <w:r>
              <w:rPr>
                <w:rFonts w:hint="eastAsia" w:ascii="仿宋" w:hAnsi="仿宋" w:eastAsia="仿宋" w:cs="宋体"/>
                <w:color w:val="auto"/>
                <w:szCs w:val="21"/>
              </w:rPr>
              <w:t>分）</w:t>
            </w:r>
          </w:p>
        </w:tc>
        <w:tc>
          <w:tcPr>
            <w:tcW w:w="2140" w:type="dxa"/>
            <w:vAlign w:val="center"/>
          </w:tcPr>
          <w:p>
            <w:pPr>
              <w:jc w:val="center"/>
              <w:textAlignment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服务方案</w:t>
            </w:r>
          </w:p>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（10分）</w:t>
            </w:r>
          </w:p>
        </w:tc>
        <w:tc>
          <w:tcPr>
            <w:tcW w:w="4550" w:type="dxa"/>
            <w:tcMar>
              <w:top w:w="15" w:type="dxa"/>
              <w:left w:w="15" w:type="dxa"/>
              <w:right w:w="15" w:type="dxa"/>
            </w:tcMar>
            <w:vAlign w:val="center"/>
          </w:tcPr>
          <w:p>
            <w:pPr>
              <w:jc w:val="center"/>
              <w:textAlignment w:val="center"/>
              <w:rPr>
                <w:rStyle w:val="75"/>
                <w:rFonts w:hint="default" w:cs="宋体"/>
                <w:color w:val="auto"/>
                <w:lang w:bidi="ar"/>
              </w:rPr>
            </w:pPr>
            <w:r>
              <w:rPr>
                <w:rFonts w:hint="eastAsia" w:ascii="仿宋" w:hAnsi="仿宋" w:eastAsia="仿宋" w:cs="仿宋"/>
                <w:color w:val="auto"/>
                <w:szCs w:val="21"/>
              </w:rPr>
              <w:t>详见N-M页，补充说明（如有）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687"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val="en-US" w:eastAsia="zh-CN" w:bidi="ar"/>
              </w:rPr>
              <w:t>2</w:t>
            </w:r>
          </w:p>
        </w:tc>
        <w:tc>
          <w:tcPr>
            <w:tcW w:w="1601"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2140" w:type="dxa"/>
            <w:vAlign w:val="center"/>
          </w:tcPr>
          <w:p>
            <w:pPr>
              <w:jc w:val="center"/>
              <w:textAlignment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应急处理预案</w:t>
            </w:r>
          </w:p>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（10分）</w:t>
            </w:r>
          </w:p>
        </w:tc>
        <w:tc>
          <w:tcPr>
            <w:tcW w:w="4550" w:type="dxa"/>
            <w:tcMar>
              <w:top w:w="15" w:type="dxa"/>
              <w:left w:w="15" w:type="dxa"/>
              <w:right w:w="15" w:type="dxa"/>
            </w:tcMar>
            <w:vAlign w:val="center"/>
          </w:tcPr>
          <w:p>
            <w:pPr>
              <w:jc w:val="center"/>
              <w:textAlignment w:val="center"/>
              <w:rPr>
                <w:rStyle w:val="75"/>
                <w:rFonts w:hint="default" w:cs="宋体"/>
                <w:color w:val="auto"/>
                <w:lang w:bidi="ar"/>
              </w:rPr>
            </w:pPr>
            <w:r>
              <w:rPr>
                <w:rFonts w:hint="eastAsia" w:ascii="仿宋" w:hAnsi="仿宋" w:eastAsia="仿宋" w:cs="仿宋"/>
                <w:color w:val="auto"/>
                <w:szCs w:val="21"/>
              </w:rPr>
              <w:t>详见N-M页，补充说明（如有）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687"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val="en-US" w:eastAsia="zh-CN" w:bidi="ar"/>
              </w:rPr>
              <w:t>3</w:t>
            </w:r>
          </w:p>
        </w:tc>
        <w:tc>
          <w:tcPr>
            <w:tcW w:w="1601"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2140" w:type="dxa"/>
            <w:vAlign w:val="center"/>
          </w:tcPr>
          <w:p>
            <w:pPr>
              <w:jc w:val="center"/>
              <w:textAlignment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资源投入方案</w:t>
            </w:r>
          </w:p>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（10分）</w:t>
            </w:r>
          </w:p>
        </w:tc>
        <w:tc>
          <w:tcPr>
            <w:tcW w:w="4550" w:type="dxa"/>
            <w:tcMar>
              <w:top w:w="15" w:type="dxa"/>
              <w:left w:w="15" w:type="dxa"/>
              <w:right w:w="15" w:type="dxa"/>
            </w:tcMar>
            <w:vAlign w:val="center"/>
          </w:tcPr>
          <w:p>
            <w:pPr>
              <w:jc w:val="center"/>
              <w:textAlignment w:val="center"/>
              <w:rPr>
                <w:rStyle w:val="75"/>
                <w:rFonts w:hint="default" w:cs="宋体"/>
                <w:color w:val="auto"/>
                <w:lang w:bidi="ar"/>
              </w:rPr>
            </w:pPr>
            <w:r>
              <w:rPr>
                <w:rFonts w:hint="eastAsia" w:ascii="仿宋" w:hAnsi="仿宋" w:eastAsia="仿宋" w:cs="仿宋"/>
                <w:color w:val="auto"/>
                <w:szCs w:val="21"/>
              </w:rPr>
              <w:t>详见N-M页，补充说明（如有）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687" w:type="dxa"/>
            <w:tcMar>
              <w:top w:w="15" w:type="dxa"/>
              <w:left w:w="15" w:type="dxa"/>
              <w:right w:w="15" w:type="dxa"/>
            </w:tcMar>
            <w:vAlign w:val="center"/>
          </w:tcPr>
          <w:p>
            <w:pPr>
              <w:jc w:val="center"/>
              <w:textAlignment w:val="center"/>
              <w:rPr>
                <w:rFonts w:hint="eastAsia" w:ascii="仿宋" w:hAnsi="仿宋" w:eastAsia="仿宋" w:cs="宋体"/>
                <w:color w:val="auto"/>
                <w:szCs w:val="21"/>
                <w:lang w:bidi="ar"/>
              </w:rPr>
            </w:pPr>
            <w:r>
              <w:rPr>
                <w:rFonts w:hint="eastAsia" w:ascii="仿宋" w:hAnsi="仿宋" w:eastAsia="仿宋" w:cs="宋体"/>
                <w:color w:val="auto"/>
                <w:szCs w:val="21"/>
                <w:lang w:val="en-US" w:eastAsia="zh-CN" w:bidi="ar"/>
              </w:rPr>
              <w:t>4</w:t>
            </w:r>
          </w:p>
        </w:tc>
        <w:tc>
          <w:tcPr>
            <w:tcW w:w="1601"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2140" w:type="dxa"/>
            <w:vAlign w:val="center"/>
          </w:tcPr>
          <w:p>
            <w:pPr>
              <w:jc w:val="center"/>
              <w:textAlignment w:val="center"/>
              <w:rPr>
                <w:rFonts w:hint="eastAsia" w:ascii="仿宋" w:hAnsi="仿宋" w:eastAsia="仿宋" w:cs="宋体"/>
                <w:color w:val="auto"/>
                <w:szCs w:val="21"/>
              </w:rPr>
            </w:pPr>
            <w:r>
              <w:rPr>
                <w:rFonts w:hint="eastAsia" w:ascii="仿宋" w:hAnsi="仿宋" w:eastAsia="仿宋" w:cs="宋体"/>
                <w:color w:val="auto"/>
                <w:szCs w:val="21"/>
              </w:rPr>
              <w:t>人员配置方案</w:t>
            </w:r>
          </w:p>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（10分）</w:t>
            </w:r>
          </w:p>
        </w:tc>
        <w:tc>
          <w:tcPr>
            <w:tcW w:w="4550" w:type="dxa"/>
            <w:tcMar>
              <w:top w:w="15" w:type="dxa"/>
              <w:left w:w="15" w:type="dxa"/>
              <w:right w:w="15" w:type="dxa"/>
            </w:tcMar>
            <w:vAlign w:val="center"/>
          </w:tcPr>
          <w:p>
            <w:pPr>
              <w:jc w:val="center"/>
              <w:textAlignment w:val="center"/>
              <w:rPr>
                <w:rStyle w:val="75"/>
                <w:rFonts w:hint="default" w:cs="宋体"/>
                <w:color w:val="auto"/>
                <w:lang w:bidi="ar"/>
              </w:rPr>
            </w:pPr>
            <w:r>
              <w:rPr>
                <w:rFonts w:hint="eastAsia" w:ascii="仿宋" w:hAnsi="仿宋" w:eastAsia="仿宋" w:cs="仿宋"/>
                <w:color w:val="auto"/>
                <w:szCs w:val="21"/>
              </w:rPr>
              <w:t>详见N-M页，补充说明（如有）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jc w:val="center"/>
        </w:trPr>
        <w:tc>
          <w:tcPr>
            <w:tcW w:w="687"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val="en-US" w:eastAsia="zh-CN" w:bidi="ar"/>
              </w:rPr>
              <w:t>5</w:t>
            </w:r>
          </w:p>
        </w:tc>
        <w:tc>
          <w:tcPr>
            <w:tcW w:w="1601"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2140" w:type="dxa"/>
            <w:vAlign w:val="center"/>
          </w:tcPr>
          <w:p>
            <w:pPr>
              <w:jc w:val="center"/>
              <w:textAlignment w:val="center"/>
              <w:rPr>
                <w:rFonts w:hint="eastAsia" w:ascii="仿宋" w:hAnsi="仿宋" w:eastAsia="仿宋" w:cs="宋体"/>
                <w:color w:val="auto"/>
                <w:szCs w:val="21"/>
                <w:lang w:val="en-US" w:eastAsia="zh-CN"/>
              </w:rPr>
            </w:pPr>
            <w:r>
              <w:rPr>
                <w:rFonts w:hint="eastAsia" w:ascii="仿宋" w:hAnsi="仿宋" w:eastAsia="仿宋" w:cs="宋体"/>
                <w:color w:val="auto"/>
                <w:szCs w:val="21"/>
                <w:lang w:val="en-US" w:eastAsia="zh-CN"/>
              </w:rPr>
              <w:t>增值服务</w:t>
            </w:r>
          </w:p>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（10分）</w:t>
            </w:r>
          </w:p>
        </w:tc>
        <w:tc>
          <w:tcPr>
            <w:tcW w:w="4550" w:type="dxa"/>
            <w:tcMar>
              <w:top w:w="15" w:type="dxa"/>
              <w:left w:w="15" w:type="dxa"/>
              <w:right w:w="15" w:type="dxa"/>
            </w:tcMar>
            <w:vAlign w:val="center"/>
          </w:tcPr>
          <w:p>
            <w:pPr>
              <w:jc w:val="center"/>
              <w:textAlignment w:val="center"/>
              <w:rPr>
                <w:rStyle w:val="75"/>
                <w:rFonts w:hint="default" w:cs="宋体"/>
                <w:color w:val="auto"/>
                <w:lang w:bidi="ar"/>
              </w:rPr>
            </w:pPr>
            <w:r>
              <w:rPr>
                <w:rFonts w:hint="eastAsia" w:ascii="仿宋" w:hAnsi="仿宋" w:eastAsia="仿宋" w:cs="仿宋"/>
                <w:color w:val="auto"/>
                <w:szCs w:val="21"/>
              </w:rPr>
              <w:t>详见N-M页，补充说明（如有）</w:t>
            </w:r>
          </w:p>
        </w:tc>
      </w:tr>
    </w:tbl>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85" w:name="_Toc17302"/>
      <w:bookmarkStart w:id="186" w:name="_Toc186737824"/>
      <w:r>
        <w:rPr>
          <w:rFonts w:hint="eastAsia" w:ascii="仿宋" w:hAnsi="仿宋" w:eastAsia="仿宋" w:cs="仿宋"/>
          <w:color w:val="auto"/>
          <w:sz w:val="24"/>
          <w:szCs w:val="24"/>
        </w:rPr>
        <w:t>（一）采购需求应答偏离表</w:t>
      </w:r>
      <w:bookmarkEnd w:id="184"/>
      <w:bookmarkEnd w:id="185"/>
      <w:bookmarkEnd w:id="186"/>
    </w:p>
    <w:p>
      <w:pPr>
        <w:spacing w:line="360" w:lineRule="auto"/>
        <w:jc w:val="center"/>
        <w:rPr>
          <w:rFonts w:ascii="仿宋" w:hAnsi="仿宋" w:eastAsia="仿宋" w:cs="仿宋"/>
          <w:b/>
          <w:bCs/>
          <w:color w:val="auto"/>
        </w:rPr>
      </w:pPr>
      <w:bookmarkStart w:id="187" w:name="_Toc125561188"/>
      <w:bookmarkStart w:id="188" w:name="_Toc125771198"/>
      <w:bookmarkStart w:id="189" w:name="_Toc293297544"/>
      <w:r>
        <w:rPr>
          <w:rFonts w:hint="eastAsia" w:ascii="仿宋" w:hAnsi="仿宋" w:eastAsia="仿宋" w:cs="仿宋"/>
          <w:b/>
          <w:bCs/>
          <w:color w:val="auto"/>
        </w:rPr>
        <w:t>采购需求应答偏离表</w:t>
      </w:r>
      <w:bookmarkEnd w:id="187"/>
      <w:bookmarkEnd w:id="188"/>
      <w:bookmarkEnd w:id="189"/>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90" w:name="_Toc8284"/>
      <w:bookmarkStart w:id="191" w:name="_Toc186737825"/>
      <w:r>
        <w:rPr>
          <w:rFonts w:hint="eastAsia" w:ascii="仿宋" w:hAnsi="仿宋" w:eastAsia="仿宋" w:cs="仿宋"/>
          <w:color w:val="auto"/>
          <w:sz w:val="24"/>
          <w:szCs w:val="24"/>
        </w:rPr>
        <w:t>（二）技术方案</w:t>
      </w:r>
      <w:bookmarkEnd w:id="190"/>
      <w:bookmarkEnd w:id="191"/>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2" w:name="_Toc517281860"/>
      <w:bookmarkStart w:id="193" w:name="_Toc444891358"/>
      <w:r>
        <w:rPr>
          <w:rFonts w:hint="eastAsia" w:ascii="仿宋" w:hAnsi="仿宋" w:eastAsia="仿宋" w:cs="仿宋"/>
          <w:color w:val="auto"/>
        </w:rPr>
        <w:br w:type="page"/>
      </w:r>
    </w:p>
    <w:p>
      <w:pPr>
        <w:pStyle w:val="6"/>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251"/>
        <w:gridCol w:w="845"/>
        <w:gridCol w:w="973"/>
        <w:gridCol w:w="985"/>
        <w:gridCol w:w="1267"/>
        <w:gridCol w:w="1126"/>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blHeader/>
          <w:jc w:val="center"/>
        </w:trPr>
        <w:tc>
          <w:tcPr>
            <w:tcW w:w="74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51"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4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73"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8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67"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26"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84"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45"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51" w:type="dxa"/>
            <w:vAlign w:val="center"/>
          </w:tcPr>
          <w:p>
            <w:pPr>
              <w:snapToGrid w:val="0"/>
              <w:spacing w:line="360" w:lineRule="auto"/>
              <w:jc w:val="center"/>
              <w:rPr>
                <w:rFonts w:ascii="仿宋" w:hAnsi="仿宋" w:eastAsia="仿宋" w:cs="仿宋"/>
                <w:color w:val="auto"/>
                <w:szCs w:val="21"/>
              </w:rPr>
            </w:pPr>
          </w:p>
        </w:tc>
        <w:tc>
          <w:tcPr>
            <w:tcW w:w="845" w:type="dxa"/>
          </w:tcPr>
          <w:p>
            <w:pPr>
              <w:snapToGrid w:val="0"/>
              <w:spacing w:line="360" w:lineRule="auto"/>
              <w:jc w:val="center"/>
              <w:rPr>
                <w:rFonts w:ascii="仿宋" w:hAnsi="仿宋" w:eastAsia="仿宋" w:cs="仿宋"/>
                <w:color w:val="auto"/>
                <w:szCs w:val="21"/>
              </w:rPr>
            </w:pPr>
          </w:p>
        </w:tc>
        <w:tc>
          <w:tcPr>
            <w:tcW w:w="973" w:type="dxa"/>
            <w:vAlign w:val="center"/>
          </w:tcPr>
          <w:p>
            <w:pPr>
              <w:snapToGrid w:val="0"/>
              <w:spacing w:line="360" w:lineRule="auto"/>
              <w:jc w:val="center"/>
              <w:rPr>
                <w:rFonts w:ascii="仿宋" w:hAnsi="仿宋" w:eastAsia="仿宋" w:cs="仿宋"/>
                <w:color w:val="auto"/>
                <w:szCs w:val="21"/>
              </w:rPr>
            </w:pPr>
          </w:p>
        </w:tc>
        <w:tc>
          <w:tcPr>
            <w:tcW w:w="985" w:type="dxa"/>
            <w:vAlign w:val="center"/>
          </w:tcPr>
          <w:p>
            <w:pPr>
              <w:snapToGrid w:val="0"/>
              <w:spacing w:line="360" w:lineRule="auto"/>
              <w:jc w:val="center"/>
              <w:rPr>
                <w:rFonts w:ascii="仿宋" w:hAnsi="仿宋" w:eastAsia="仿宋" w:cs="仿宋"/>
                <w:color w:val="auto"/>
                <w:szCs w:val="21"/>
              </w:rPr>
            </w:pPr>
          </w:p>
        </w:tc>
        <w:tc>
          <w:tcPr>
            <w:tcW w:w="1267" w:type="dxa"/>
            <w:vAlign w:val="center"/>
          </w:tcPr>
          <w:p>
            <w:pPr>
              <w:snapToGrid w:val="0"/>
              <w:spacing w:line="360" w:lineRule="auto"/>
              <w:jc w:val="center"/>
              <w:rPr>
                <w:rFonts w:ascii="仿宋" w:hAnsi="仿宋" w:eastAsia="仿宋" w:cs="仿宋"/>
                <w:color w:val="auto"/>
                <w:szCs w:val="21"/>
              </w:rPr>
            </w:pPr>
          </w:p>
        </w:tc>
        <w:tc>
          <w:tcPr>
            <w:tcW w:w="1126" w:type="dxa"/>
            <w:vAlign w:val="center"/>
          </w:tcPr>
          <w:p>
            <w:pPr>
              <w:snapToGrid w:val="0"/>
              <w:spacing w:line="360" w:lineRule="auto"/>
              <w:jc w:val="center"/>
              <w:rPr>
                <w:rFonts w:ascii="仿宋" w:hAnsi="仿宋" w:eastAsia="仿宋" w:cs="仿宋"/>
                <w:color w:val="auto"/>
                <w:szCs w:val="21"/>
              </w:rPr>
            </w:pPr>
          </w:p>
        </w:tc>
        <w:tc>
          <w:tcPr>
            <w:tcW w:w="1684" w:type="dxa"/>
            <w:vAlign w:val="center"/>
          </w:tcPr>
          <w:p>
            <w:pPr>
              <w:snapToGrid w:val="0"/>
              <w:spacing w:line="360" w:lineRule="auto"/>
              <w:jc w:val="center"/>
              <w:rPr>
                <w:rFonts w:ascii="仿宋" w:hAnsi="仿宋" w:eastAsia="仿宋" w:cs="仿宋"/>
                <w:color w:val="auto"/>
                <w:szCs w:val="21"/>
              </w:rPr>
            </w:pPr>
          </w:p>
        </w:tc>
      </w:tr>
    </w:tbl>
    <w:p>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r>
    </w:p>
    <w:p>
      <w:pPr>
        <w:pStyle w:val="6"/>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29"/>
        <w:tblW w:w="87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298"/>
        <w:gridCol w:w="272"/>
        <w:gridCol w:w="986"/>
        <w:gridCol w:w="842"/>
        <w:gridCol w:w="33"/>
        <w:gridCol w:w="875"/>
        <w:gridCol w:w="1195"/>
        <w:gridCol w:w="522"/>
        <w:gridCol w:w="2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rPr>
        <w:tc>
          <w:tcPr>
            <w:tcW w:w="1278" w:type="dxa"/>
            <w:vAlign w:val="center"/>
          </w:tcPr>
          <w:p>
            <w:pPr>
              <w:jc w:val="center"/>
              <w:rPr>
                <w:rFonts w:ascii="仿宋" w:hAnsi="仿宋" w:eastAsia="仿宋" w:cs="仿宋"/>
                <w:color w:val="auto"/>
              </w:rPr>
            </w:pPr>
            <w:r>
              <w:rPr>
                <w:rFonts w:hint="eastAsia" w:ascii="仿宋" w:hAnsi="仿宋" w:eastAsia="仿宋" w:cs="仿宋"/>
                <w:color w:val="auto"/>
              </w:rPr>
              <w:t>姓  名</w:t>
            </w:r>
          </w:p>
        </w:tc>
        <w:tc>
          <w:tcPr>
            <w:tcW w:w="1556" w:type="dxa"/>
            <w:gridSpan w:val="3"/>
            <w:vAlign w:val="center"/>
          </w:tcPr>
          <w:p>
            <w:pPr>
              <w:jc w:val="center"/>
              <w:rPr>
                <w:rFonts w:ascii="仿宋" w:hAnsi="仿宋" w:eastAsia="仿宋" w:cs="仿宋"/>
                <w:color w:val="auto"/>
              </w:rPr>
            </w:pPr>
          </w:p>
        </w:tc>
        <w:tc>
          <w:tcPr>
            <w:tcW w:w="875" w:type="dxa"/>
            <w:gridSpan w:val="2"/>
            <w:vAlign w:val="center"/>
          </w:tcPr>
          <w:p>
            <w:pPr>
              <w:rPr>
                <w:rFonts w:ascii="仿宋" w:hAnsi="仿宋" w:eastAsia="仿宋" w:cs="仿宋"/>
                <w:color w:val="auto"/>
              </w:rPr>
            </w:pPr>
            <w:r>
              <w:rPr>
                <w:rFonts w:hint="eastAsia" w:ascii="仿宋" w:hAnsi="仿宋" w:eastAsia="仿宋" w:cs="仿宋"/>
                <w:color w:val="auto"/>
              </w:rPr>
              <w:t>性 别</w:t>
            </w:r>
          </w:p>
        </w:tc>
        <w:tc>
          <w:tcPr>
            <w:tcW w:w="875" w:type="dxa"/>
            <w:vAlign w:val="center"/>
          </w:tcPr>
          <w:p>
            <w:pPr>
              <w:rPr>
                <w:rFonts w:ascii="仿宋" w:hAnsi="仿宋" w:eastAsia="仿宋" w:cs="仿宋"/>
                <w:color w:val="auto"/>
              </w:rPr>
            </w:pPr>
          </w:p>
        </w:tc>
        <w:tc>
          <w:tcPr>
            <w:tcW w:w="1717" w:type="dxa"/>
            <w:gridSpan w:val="2"/>
            <w:vAlign w:val="center"/>
          </w:tcPr>
          <w:p>
            <w:pPr>
              <w:rPr>
                <w:rFonts w:ascii="仿宋" w:hAnsi="仿宋" w:eastAsia="仿宋" w:cs="仿宋"/>
                <w:color w:val="auto"/>
              </w:rPr>
            </w:pPr>
            <w:r>
              <w:rPr>
                <w:rFonts w:hint="eastAsia" w:ascii="仿宋" w:hAnsi="仿宋" w:eastAsia="仿宋" w:cs="仿宋"/>
                <w:color w:val="auto"/>
              </w:rPr>
              <w:t>出 生 日 期</w:t>
            </w:r>
          </w:p>
        </w:tc>
        <w:tc>
          <w:tcPr>
            <w:tcW w:w="2496" w:type="dxa"/>
            <w:vAlign w:val="center"/>
          </w:tcPr>
          <w:p>
            <w:pPr>
              <w:rPr>
                <w:rFonts w:ascii="仿宋" w:hAnsi="仿宋" w:eastAsia="仿宋" w:cs="仿宋"/>
                <w:color w:val="auto"/>
              </w:rPr>
            </w:pPr>
            <w:r>
              <w:rPr>
                <w:rFonts w:hint="eastAsia" w:ascii="仿宋" w:hAnsi="仿宋" w:eastAsia="仿宋" w:cs="仿宋"/>
                <w:color w:val="auto"/>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1278" w:type="dxa"/>
            <w:vAlign w:val="center"/>
          </w:tcPr>
          <w:p>
            <w:pPr>
              <w:rPr>
                <w:rFonts w:ascii="仿宋" w:hAnsi="仿宋" w:eastAsia="仿宋" w:cs="仿宋"/>
                <w:color w:val="auto"/>
              </w:rPr>
            </w:pPr>
            <w:r>
              <w:rPr>
                <w:rFonts w:hint="eastAsia" w:ascii="仿宋" w:hAnsi="仿宋" w:eastAsia="仿宋" w:cs="仿宋"/>
                <w:color w:val="auto"/>
              </w:rPr>
              <w:t>毕业院校及专业</w:t>
            </w:r>
          </w:p>
        </w:tc>
        <w:tc>
          <w:tcPr>
            <w:tcW w:w="3306" w:type="dxa"/>
            <w:gridSpan w:val="6"/>
            <w:vAlign w:val="center"/>
          </w:tcPr>
          <w:p>
            <w:pPr>
              <w:rPr>
                <w:rFonts w:ascii="仿宋" w:hAnsi="仿宋" w:eastAsia="仿宋" w:cs="仿宋"/>
                <w:color w:val="auto"/>
              </w:rPr>
            </w:pPr>
          </w:p>
        </w:tc>
        <w:tc>
          <w:tcPr>
            <w:tcW w:w="1717" w:type="dxa"/>
            <w:gridSpan w:val="2"/>
            <w:vAlign w:val="center"/>
          </w:tcPr>
          <w:p>
            <w:pPr>
              <w:ind w:left="-18"/>
              <w:jc w:val="center"/>
              <w:rPr>
                <w:rFonts w:ascii="仿宋" w:hAnsi="仿宋" w:eastAsia="仿宋" w:cs="仿宋"/>
                <w:color w:val="auto"/>
              </w:rPr>
            </w:pPr>
            <w:r>
              <w:rPr>
                <w:rFonts w:hint="eastAsia" w:ascii="仿宋" w:hAnsi="仿宋" w:eastAsia="仿宋" w:cs="仿宋"/>
                <w:color w:val="auto"/>
              </w:rPr>
              <w:t>学历</w:t>
            </w:r>
          </w:p>
        </w:tc>
        <w:tc>
          <w:tcPr>
            <w:tcW w:w="2496" w:type="dxa"/>
            <w:vAlign w:val="center"/>
          </w:tcPr>
          <w:p>
            <w:pPr>
              <w:ind w:left="45"/>
              <w:rPr>
                <w:rFonts w:ascii="仿宋" w:hAnsi="仿宋" w:eastAsia="仿宋" w:cs="仿宋"/>
                <w:color w:val="auto"/>
              </w:rPr>
            </w:pPr>
            <w:r>
              <w:rPr>
                <w:rFonts w:hint="eastAsia" w:ascii="仿宋" w:hAnsi="仿宋" w:eastAsia="仿宋" w:cs="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8" w:hRule="atLeast"/>
        </w:trPr>
        <w:tc>
          <w:tcPr>
            <w:tcW w:w="1848" w:type="dxa"/>
            <w:gridSpan w:val="3"/>
            <w:vAlign w:val="center"/>
          </w:tcPr>
          <w:p>
            <w:pPr>
              <w:jc w:val="center"/>
              <w:rPr>
                <w:rFonts w:ascii="仿宋" w:hAnsi="仿宋" w:eastAsia="仿宋" w:cs="仿宋"/>
                <w:color w:val="auto"/>
              </w:rPr>
            </w:pPr>
            <w:r>
              <w:rPr>
                <w:rFonts w:hint="eastAsia" w:ascii="仿宋" w:hAnsi="仿宋" w:eastAsia="仿宋" w:cs="仿宋"/>
                <w:color w:val="auto"/>
              </w:rPr>
              <w:t>工作年限</w:t>
            </w:r>
          </w:p>
        </w:tc>
        <w:tc>
          <w:tcPr>
            <w:tcW w:w="1828" w:type="dxa"/>
            <w:gridSpan w:val="2"/>
            <w:vAlign w:val="center"/>
          </w:tcPr>
          <w:p>
            <w:pPr>
              <w:rPr>
                <w:rFonts w:ascii="仿宋" w:hAnsi="仿宋" w:eastAsia="仿宋" w:cs="仿宋"/>
                <w:color w:val="auto"/>
              </w:rPr>
            </w:pPr>
          </w:p>
        </w:tc>
        <w:tc>
          <w:tcPr>
            <w:tcW w:w="2625" w:type="dxa"/>
            <w:gridSpan w:val="4"/>
            <w:vAlign w:val="center"/>
          </w:tcPr>
          <w:p>
            <w:pPr>
              <w:jc w:val="center"/>
              <w:rPr>
                <w:rFonts w:ascii="仿宋" w:hAnsi="仿宋" w:eastAsia="仿宋" w:cs="仿宋"/>
                <w:color w:val="auto"/>
              </w:rPr>
            </w:pPr>
            <w:r>
              <w:rPr>
                <w:rFonts w:hint="eastAsia" w:ascii="仿宋" w:hAnsi="仿宋" w:eastAsia="仿宋" w:cs="仿宋"/>
                <w:color w:val="auto"/>
              </w:rPr>
              <w:t>为供应商服务时间</w:t>
            </w:r>
          </w:p>
        </w:tc>
        <w:tc>
          <w:tcPr>
            <w:tcW w:w="2496"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848" w:type="dxa"/>
            <w:gridSpan w:val="3"/>
            <w:vAlign w:val="center"/>
          </w:tcPr>
          <w:p>
            <w:pPr>
              <w:jc w:val="center"/>
              <w:rPr>
                <w:rFonts w:ascii="仿宋" w:hAnsi="仿宋" w:eastAsia="仿宋" w:cs="仿宋"/>
                <w:color w:val="auto"/>
              </w:rPr>
            </w:pPr>
            <w:r>
              <w:rPr>
                <w:rFonts w:hint="eastAsia" w:ascii="仿宋" w:hAnsi="仿宋" w:eastAsia="仿宋" w:cs="仿宋"/>
                <w:color w:val="auto"/>
              </w:rPr>
              <w:t>专业资质</w:t>
            </w:r>
          </w:p>
        </w:tc>
        <w:tc>
          <w:tcPr>
            <w:tcW w:w="1828" w:type="dxa"/>
            <w:gridSpan w:val="2"/>
            <w:vAlign w:val="center"/>
          </w:tcPr>
          <w:p>
            <w:pPr>
              <w:rPr>
                <w:rFonts w:ascii="仿宋" w:hAnsi="仿宋" w:eastAsia="仿宋" w:cs="仿宋"/>
                <w:color w:val="auto"/>
              </w:rPr>
            </w:pPr>
          </w:p>
        </w:tc>
        <w:tc>
          <w:tcPr>
            <w:tcW w:w="2625" w:type="dxa"/>
            <w:gridSpan w:val="4"/>
            <w:vAlign w:val="center"/>
          </w:tcPr>
          <w:p>
            <w:pPr>
              <w:jc w:val="center"/>
              <w:rPr>
                <w:rFonts w:ascii="仿宋" w:hAnsi="仿宋" w:eastAsia="仿宋" w:cs="仿宋"/>
                <w:color w:val="auto"/>
              </w:rPr>
            </w:pPr>
            <w:r>
              <w:rPr>
                <w:rFonts w:hint="eastAsia" w:ascii="仿宋" w:hAnsi="仿宋" w:eastAsia="仿宋" w:cs="仿宋"/>
                <w:color w:val="auto"/>
              </w:rPr>
              <w:t>在本项目中的职务</w:t>
            </w:r>
          </w:p>
        </w:tc>
        <w:tc>
          <w:tcPr>
            <w:tcW w:w="2496"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trPr>
        <w:tc>
          <w:tcPr>
            <w:tcW w:w="8797" w:type="dxa"/>
            <w:gridSpan w:val="10"/>
            <w:vAlign w:val="center"/>
          </w:tcPr>
          <w:p>
            <w:pPr>
              <w:ind w:firstLine="3360" w:firstLineChars="1400"/>
              <w:rPr>
                <w:rFonts w:ascii="仿宋" w:hAnsi="仿宋" w:eastAsia="仿宋" w:cs="仿宋"/>
                <w:color w:val="auto"/>
              </w:rPr>
            </w:pPr>
            <w:r>
              <w:rPr>
                <w:rFonts w:hint="eastAsia" w:ascii="仿宋" w:hAnsi="仿宋" w:eastAsia="仿宋" w:cs="仿宋"/>
                <w:color w:val="auto"/>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0" w:hRule="atLeast"/>
        </w:trPr>
        <w:tc>
          <w:tcPr>
            <w:tcW w:w="8797" w:type="dxa"/>
            <w:gridSpan w:val="1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trPr>
        <w:tc>
          <w:tcPr>
            <w:tcW w:w="8797" w:type="dxa"/>
            <w:gridSpan w:val="10"/>
            <w:vAlign w:val="center"/>
          </w:tcPr>
          <w:p>
            <w:pPr>
              <w:rPr>
                <w:rFonts w:ascii="仿宋" w:hAnsi="仿宋" w:eastAsia="仿宋" w:cs="仿宋"/>
                <w:color w:val="auto"/>
              </w:rPr>
            </w:pPr>
            <w:r>
              <w:rPr>
                <w:rFonts w:hint="eastAsia" w:ascii="仿宋" w:hAnsi="仿宋" w:eastAsia="仿宋" w:cs="仿宋"/>
                <w:color w:val="auto"/>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76" w:type="dxa"/>
            <w:gridSpan w:val="2"/>
            <w:vAlign w:val="center"/>
          </w:tcPr>
          <w:p>
            <w:pPr>
              <w:jc w:val="center"/>
              <w:rPr>
                <w:rFonts w:ascii="仿宋" w:hAnsi="仿宋" w:eastAsia="仿宋" w:cs="仿宋"/>
                <w:color w:val="auto"/>
              </w:rPr>
            </w:pPr>
            <w:r>
              <w:rPr>
                <w:rFonts w:hint="eastAsia" w:ascii="仿宋" w:hAnsi="仿宋" w:eastAsia="仿宋" w:cs="仿宋"/>
                <w:color w:val="auto"/>
              </w:rPr>
              <w:t>时   间</w:t>
            </w:r>
          </w:p>
        </w:tc>
        <w:tc>
          <w:tcPr>
            <w:tcW w:w="4203" w:type="dxa"/>
            <w:gridSpan w:val="6"/>
            <w:vAlign w:val="center"/>
          </w:tcPr>
          <w:p>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018" w:type="dxa"/>
            <w:gridSpan w:val="2"/>
            <w:vAlign w:val="center"/>
          </w:tcPr>
          <w:p>
            <w:pPr>
              <w:jc w:val="center"/>
              <w:rPr>
                <w:rFonts w:ascii="仿宋" w:hAnsi="仿宋" w:eastAsia="仿宋" w:cs="仿宋"/>
                <w:color w:val="auto"/>
              </w:rPr>
            </w:pPr>
            <w:r>
              <w:rPr>
                <w:rFonts w:hint="eastAsia" w:ascii="仿宋" w:hAnsi="仿宋" w:eastAsia="仿宋" w:cs="仿宋"/>
                <w:color w:val="auto"/>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576" w:type="dxa"/>
            <w:gridSpan w:val="2"/>
          </w:tcPr>
          <w:p>
            <w:pPr>
              <w:rPr>
                <w:rFonts w:ascii="仿宋" w:hAnsi="仿宋" w:eastAsia="仿宋" w:cs="仿宋"/>
                <w:color w:val="auto"/>
              </w:rPr>
            </w:pPr>
          </w:p>
        </w:tc>
        <w:tc>
          <w:tcPr>
            <w:tcW w:w="4203" w:type="dxa"/>
            <w:gridSpan w:val="6"/>
          </w:tcPr>
          <w:p>
            <w:pPr>
              <w:rPr>
                <w:rFonts w:ascii="仿宋" w:hAnsi="仿宋" w:eastAsia="仿宋" w:cs="仿宋"/>
                <w:color w:val="auto"/>
              </w:rPr>
            </w:pPr>
          </w:p>
        </w:tc>
        <w:tc>
          <w:tcPr>
            <w:tcW w:w="3018"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576" w:type="dxa"/>
            <w:gridSpan w:val="2"/>
          </w:tcPr>
          <w:p>
            <w:pPr>
              <w:rPr>
                <w:rFonts w:ascii="仿宋" w:hAnsi="仿宋" w:eastAsia="仿宋" w:cs="仿宋"/>
                <w:color w:val="auto"/>
              </w:rPr>
            </w:pPr>
          </w:p>
        </w:tc>
        <w:tc>
          <w:tcPr>
            <w:tcW w:w="4203" w:type="dxa"/>
            <w:gridSpan w:val="6"/>
          </w:tcPr>
          <w:p>
            <w:pPr>
              <w:rPr>
                <w:rFonts w:ascii="仿宋" w:hAnsi="仿宋" w:eastAsia="仿宋" w:cs="仿宋"/>
                <w:color w:val="auto"/>
              </w:rPr>
            </w:pPr>
          </w:p>
        </w:tc>
        <w:tc>
          <w:tcPr>
            <w:tcW w:w="3018"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576" w:type="dxa"/>
            <w:gridSpan w:val="2"/>
          </w:tcPr>
          <w:p>
            <w:pPr>
              <w:rPr>
                <w:rFonts w:ascii="仿宋" w:hAnsi="仿宋" w:eastAsia="仿宋" w:cs="仿宋"/>
                <w:color w:val="auto"/>
              </w:rPr>
            </w:pPr>
          </w:p>
        </w:tc>
        <w:tc>
          <w:tcPr>
            <w:tcW w:w="4203" w:type="dxa"/>
            <w:gridSpan w:val="6"/>
          </w:tcPr>
          <w:p>
            <w:pPr>
              <w:rPr>
                <w:rFonts w:ascii="仿宋" w:hAnsi="仿宋" w:eastAsia="仿宋" w:cs="仿宋"/>
                <w:color w:val="auto"/>
              </w:rPr>
            </w:pPr>
          </w:p>
        </w:tc>
        <w:tc>
          <w:tcPr>
            <w:tcW w:w="3018"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576" w:type="dxa"/>
            <w:gridSpan w:val="2"/>
          </w:tcPr>
          <w:p>
            <w:pPr>
              <w:rPr>
                <w:rFonts w:ascii="仿宋" w:hAnsi="仿宋" w:eastAsia="仿宋" w:cs="仿宋"/>
                <w:color w:val="auto"/>
              </w:rPr>
            </w:pPr>
          </w:p>
        </w:tc>
        <w:tc>
          <w:tcPr>
            <w:tcW w:w="4203" w:type="dxa"/>
            <w:gridSpan w:val="6"/>
          </w:tcPr>
          <w:p>
            <w:pPr>
              <w:rPr>
                <w:rFonts w:ascii="仿宋" w:hAnsi="仿宋" w:eastAsia="仿宋" w:cs="仿宋"/>
                <w:color w:val="auto"/>
              </w:rPr>
            </w:pPr>
          </w:p>
        </w:tc>
        <w:tc>
          <w:tcPr>
            <w:tcW w:w="3018" w:type="dxa"/>
            <w:gridSpan w:val="2"/>
          </w:tcPr>
          <w:p>
            <w:pPr>
              <w:rPr>
                <w:rFonts w:ascii="仿宋" w:hAnsi="仿宋" w:eastAsia="仿宋" w:cs="仿宋"/>
                <w:color w:val="auto"/>
              </w:rPr>
            </w:pPr>
          </w:p>
        </w:tc>
      </w:tr>
    </w:tbl>
    <w:p>
      <w:pPr>
        <w:spacing w:before="240" w:line="360" w:lineRule="auto"/>
        <w:rPr>
          <w:rFonts w:ascii="仿宋" w:hAnsi="仿宋" w:eastAsia="仿宋" w:cs="仿宋"/>
          <w:b/>
          <w:color w:val="auto"/>
        </w:rPr>
      </w:pPr>
      <w:r>
        <w:rPr>
          <w:rFonts w:hint="eastAsia" w:ascii="仿宋" w:hAnsi="仿宋" w:eastAsia="仿宋" w:cs="仿宋"/>
          <w:b/>
          <w:color w:val="auto"/>
        </w:rPr>
        <w:t>注：</w:t>
      </w:r>
    </w:p>
    <w:p>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pPr>
        <w:spacing w:line="360" w:lineRule="auto"/>
        <w:rPr>
          <w:rFonts w:ascii="仿宋" w:hAnsi="仿宋" w:eastAsia="仿宋" w:cs="仿宋"/>
          <w:color w:val="auto"/>
        </w:rPr>
      </w:pPr>
    </w:p>
    <w:p>
      <w:pPr>
        <w:rPr>
          <w:rFonts w:ascii="仿宋" w:hAnsi="仿宋" w:eastAsia="仿宋" w:cs="仿宋"/>
          <w:color w:val="auto"/>
        </w:rPr>
      </w:pPr>
    </w:p>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94" w:name="_Toc20365"/>
      <w:bookmarkStart w:id="195" w:name="_Toc186737826"/>
      <w:r>
        <w:rPr>
          <w:rFonts w:hint="eastAsia" w:ascii="仿宋" w:hAnsi="仿宋" w:eastAsia="仿宋" w:cs="仿宋"/>
          <w:color w:val="auto"/>
          <w:sz w:val="24"/>
          <w:szCs w:val="24"/>
        </w:rPr>
        <w:t>（三）</w:t>
      </w:r>
      <w:bookmarkEnd w:id="192"/>
      <w:bookmarkEnd w:id="193"/>
      <w:r>
        <w:rPr>
          <w:rFonts w:hint="eastAsia" w:ascii="仿宋" w:hAnsi="仿宋" w:eastAsia="仿宋" w:cs="仿宋"/>
          <w:color w:val="auto"/>
          <w:sz w:val="24"/>
          <w:szCs w:val="24"/>
        </w:rPr>
        <w:t>其他材料</w:t>
      </w:r>
      <w:bookmarkEnd w:id="194"/>
      <w:bookmarkEnd w:id="195"/>
    </w:p>
    <w:p>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196" w:name="_Toc20443"/>
      <w:bookmarkStart w:id="197" w:name="_Toc186737827"/>
      <w:r>
        <w:rPr>
          <w:rFonts w:hint="eastAsia" w:ascii="仿宋" w:hAnsi="仿宋" w:eastAsia="仿宋" w:cs="仿宋"/>
          <w:color w:val="auto"/>
        </w:rPr>
        <w:t>三、报价文件</w:t>
      </w:r>
      <w:bookmarkEnd w:id="196"/>
      <w:bookmarkEnd w:id="197"/>
    </w:p>
    <w:p>
      <w:pPr>
        <w:pStyle w:val="5"/>
        <w:spacing w:before="0" w:after="0" w:line="360" w:lineRule="auto"/>
        <w:ind w:firstLine="482"/>
        <w:jc w:val="center"/>
        <w:rPr>
          <w:rFonts w:ascii="仿宋" w:hAnsi="仿宋" w:eastAsia="仿宋" w:cs="仿宋"/>
          <w:color w:val="auto"/>
          <w:sz w:val="24"/>
          <w:szCs w:val="24"/>
        </w:rPr>
      </w:pPr>
      <w:bookmarkStart w:id="198" w:name="_Toc511726864"/>
      <w:bookmarkStart w:id="199" w:name="_Toc186737828"/>
      <w:bookmarkStart w:id="200" w:name="_Toc18942"/>
      <w:r>
        <w:rPr>
          <w:rFonts w:hint="eastAsia" w:ascii="仿宋" w:hAnsi="仿宋" w:eastAsia="仿宋" w:cs="仿宋"/>
          <w:color w:val="auto"/>
          <w:sz w:val="24"/>
          <w:szCs w:val="24"/>
        </w:rPr>
        <w:t>（一）报价</w:t>
      </w:r>
      <w:bookmarkEnd w:id="198"/>
      <w:r>
        <w:rPr>
          <w:rFonts w:hint="eastAsia" w:ascii="仿宋" w:hAnsi="仿宋" w:eastAsia="仿宋" w:cs="仿宋"/>
          <w:color w:val="auto"/>
          <w:sz w:val="24"/>
          <w:szCs w:val="24"/>
        </w:rPr>
        <w:t>一览表</w:t>
      </w:r>
      <w:bookmarkEnd w:id="199"/>
      <w:bookmarkEnd w:id="200"/>
    </w:p>
    <w:p>
      <w:pPr>
        <w:pStyle w:val="11"/>
        <w:keepNext w:val="0"/>
        <w:keepLines w:val="0"/>
        <w:pageBreakBefore w:val="0"/>
        <w:widowControl w:val="0"/>
        <w:kinsoku/>
        <w:wordWrap/>
        <w:overflowPunct/>
        <w:topLinePunct w:val="0"/>
        <w:autoSpaceDE/>
        <w:autoSpaceDN/>
        <w:bidi w:val="0"/>
        <w:adjustRightInd/>
        <w:snapToGrid/>
        <w:spacing w:line="360" w:lineRule="auto"/>
        <w:ind w:left="-142" w:firstLine="0"/>
        <w:textAlignment w:val="auto"/>
        <w:rPr>
          <w:rFonts w:ascii="仿宋" w:hAnsi="仿宋" w:eastAsia="仿宋" w:cs="仿宋"/>
          <w:color w:val="auto"/>
          <w:sz w:val="24"/>
          <w:szCs w:val="24"/>
          <w:u w:val="single"/>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人保财险成都市分公司简阳支公司“人保财险 路畅身安”修理厂线下推广宣传活动服务采购项目</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税率</w:t>
            </w:r>
          </w:p>
          <w:p>
            <w:pPr>
              <w:jc w:val="center"/>
              <w:rPr>
                <w:rFonts w:ascii="仿宋" w:hAnsi="仿宋" w:eastAsia="仿宋" w:cs="宋体"/>
                <w:b/>
                <w:bCs/>
                <w:color w:val="auto"/>
                <w:szCs w:val="21"/>
              </w:rPr>
            </w:pPr>
            <w:r>
              <w:rPr>
                <w:rFonts w:hint="eastAsia" w:ascii="仿宋" w:hAnsi="仿宋" w:eastAsia="仿宋" w:cs="宋体"/>
                <w:b/>
                <w:bCs/>
                <w:color w:val="auto"/>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r>
              <w:rPr>
                <w:rFonts w:hint="eastAsia" w:ascii="仿宋" w:hAnsi="仿宋" w:eastAsia="仿宋" w:cs="宋体"/>
                <w:b/>
                <w:bCs/>
                <w:color w:val="auto"/>
                <w:szCs w:val="21"/>
              </w:rPr>
              <w:t>不含税总价</w:t>
            </w:r>
            <w:r>
              <w:rPr>
                <w:rFonts w:hint="eastAsia" w:ascii="仿宋" w:hAnsi="仿宋" w:eastAsia="仿宋" w:cs="宋体"/>
                <w:b/>
                <w:color w:val="auto"/>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auto"/>
                <w:szCs w:val="21"/>
              </w:rPr>
            </w:pP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rPr>
            </w:pPr>
            <w:r>
              <w:rPr>
                <w:rFonts w:hint="eastAsia" w:ascii="仿宋" w:hAnsi="仿宋" w:eastAsia="仿宋" w:cs="宋体"/>
                <w:color w:val="auto"/>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bl>
    <w:p>
      <w:pPr>
        <w:spacing w:line="360" w:lineRule="auto"/>
        <w:rPr>
          <w:rFonts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r>
        <w:rPr>
          <w:rFonts w:hint="eastAsia" w:ascii="仿宋" w:hAnsi="仿宋" w:eastAsia="仿宋"/>
          <w:bCs/>
          <w:color w:val="auto"/>
          <w:lang w:eastAsia="zh-CN"/>
        </w:rPr>
        <w:t>，</w:t>
      </w:r>
      <w:r>
        <w:rPr>
          <w:rFonts w:hint="eastAsia" w:ascii="仿宋" w:hAnsi="仿宋" w:eastAsia="仿宋"/>
          <w:bCs/>
          <w:color w:val="auto"/>
          <w:lang w:val="en-US" w:eastAsia="zh-CN"/>
        </w:rPr>
        <w:t>且</w:t>
      </w:r>
      <w:r>
        <w:rPr>
          <w:rFonts w:hint="eastAsia" w:ascii="仿宋" w:hAnsi="仿宋" w:eastAsia="仿宋"/>
          <w:bCs/>
          <w:color w:val="auto"/>
          <w:lang w:eastAsia="zh-CN"/>
        </w:rPr>
        <w:t>应包括</w:t>
      </w:r>
      <w:r>
        <w:rPr>
          <w:rFonts w:hint="eastAsia" w:ascii="仿宋" w:hAnsi="仿宋" w:eastAsia="仿宋"/>
          <w:bCs/>
          <w:color w:val="auto"/>
          <w:lang w:val="en-US" w:eastAsia="zh-CN"/>
        </w:rPr>
        <w:t>供应商</w:t>
      </w:r>
      <w:r>
        <w:rPr>
          <w:rFonts w:hint="eastAsia" w:ascii="仿宋" w:hAnsi="仿宋" w:eastAsia="仿宋"/>
          <w:bCs/>
          <w:color w:val="auto"/>
          <w:lang w:eastAsia="zh-CN"/>
        </w:rPr>
        <w:t>为完成采购文件中规定的采购内容和采购范围所需要的一切费用以及所有税费。</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201" w:name="_Toc517281864"/>
      <w:bookmarkStart w:id="202" w:name="_Toc530319762"/>
      <w:bookmarkStart w:id="203" w:name="_Toc518302646"/>
      <w:bookmarkStart w:id="204" w:name="_Toc16591840"/>
      <w:bookmarkStart w:id="205" w:name="_Toc2267055"/>
      <w:bookmarkStart w:id="206" w:name="_Toc48218001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numPr>
          <w:ilvl w:val="5"/>
          <w:numId w:val="0"/>
        </w:numPr>
        <w:spacing w:line="360" w:lineRule="auto"/>
        <w:jc w:val="center"/>
        <w:rPr>
          <w:rFonts w:ascii="仿宋" w:hAnsi="仿宋" w:eastAsia="仿宋" w:cs="仿宋"/>
          <w:color w:val="auto"/>
          <w:sz w:val="24"/>
          <w:szCs w:val="24"/>
        </w:rPr>
      </w:pPr>
      <w:r>
        <w:rPr>
          <w:rFonts w:hint="eastAsia" w:ascii="仿宋" w:hAnsi="仿宋" w:eastAsia="仿宋" w:cs="仿宋"/>
          <w:color w:val="auto"/>
          <w:sz w:val="24"/>
          <w:szCs w:val="24"/>
        </w:rPr>
        <w:br w:type="page"/>
      </w:r>
      <w:bookmarkEnd w:id="201"/>
      <w:bookmarkEnd w:id="202"/>
      <w:bookmarkEnd w:id="203"/>
      <w:bookmarkEnd w:id="204"/>
      <w:bookmarkEnd w:id="205"/>
      <w:bookmarkEnd w:id="206"/>
      <w:bookmarkStart w:id="207" w:name="_Toc186737829"/>
      <w:bookmarkStart w:id="208" w:name="_Toc15457"/>
      <w:r>
        <w:rPr>
          <w:rFonts w:hint="eastAsia" w:ascii="仿宋" w:hAnsi="仿宋" w:eastAsia="仿宋" w:cs="仿宋"/>
          <w:color w:val="auto"/>
          <w:sz w:val="24"/>
          <w:szCs w:val="24"/>
        </w:rPr>
        <w:t>（二）分项报价表</w:t>
      </w:r>
      <w:bookmarkEnd w:id="207"/>
      <w:bookmarkEnd w:id="208"/>
    </w:p>
    <w:bookmarkEnd w:id="128"/>
    <w:p>
      <w:pPr>
        <w:adjustRightInd w:val="0"/>
        <w:snapToGrid w:val="0"/>
        <w:spacing w:line="360" w:lineRule="auto"/>
        <w:jc w:val="center"/>
        <w:rPr>
          <w:rFonts w:ascii="宋体" w:hAnsi="宋体" w:cs="宋体"/>
          <w:color w:val="auto"/>
        </w:rPr>
      </w:pPr>
    </w:p>
    <w:p>
      <w:pPr>
        <w:adjustRightInd w:val="0"/>
        <w:snapToGrid w:val="0"/>
        <w:spacing w:line="360" w:lineRule="auto"/>
        <w:rPr>
          <w:rFonts w:hint="eastAsia" w:ascii="仿宋" w:hAnsi="仿宋" w:eastAsia="仿宋"/>
          <w:bCs/>
          <w:color w:val="auto"/>
          <w:lang w:val="en-US" w:eastAsia="zh-CN"/>
        </w:rPr>
      </w:pPr>
      <w:r>
        <w:rPr>
          <w:rFonts w:hint="eastAsia" w:ascii="仿宋" w:hAnsi="仿宋" w:eastAsia="仿宋"/>
          <w:bCs/>
          <w:color w:val="auto"/>
          <w:lang w:val="en-US" w:eastAsia="zh-CN"/>
        </w:rPr>
        <w:t>供应商名称：</w:t>
      </w: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项目名称：人保财险成都市分公司简阳支公司“人保财险 路畅身安”修理厂线下推广宣传活动服务采购项目</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1370"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仿宋" w:hAnsi="仿宋" w:eastAsia="仿宋"/>
                <w:bCs/>
                <w:color w:val="auto"/>
              </w:rPr>
            </w:pPr>
          </w:p>
        </w:tc>
      </w:tr>
    </w:tbl>
    <w:p>
      <w:pPr>
        <w:adjustRightInd w:val="0"/>
        <w:snapToGrid w:val="0"/>
        <w:spacing w:line="360" w:lineRule="auto"/>
        <w:rPr>
          <w:rFonts w:hint="eastAsia" w:ascii="仿宋" w:hAnsi="仿宋" w:eastAsia="仿宋"/>
          <w:bCs/>
          <w:color w:val="auto"/>
        </w:rPr>
      </w:pP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注：</w:t>
      </w: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1.涉及需分项报价的，供应商每次报价均需提供本表。</w:t>
      </w: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2.如果按单价计算的结果与总价不一致，以单价为准修正总价。</w:t>
      </w: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3.供应商可根据实际情况自行扩展表格细项。</w:t>
      </w:r>
    </w:p>
    <w:p>
      <w:pPr>
        <w:adjustRightInd w:val="0"/>
        <w:snapToGrid w:val="0"/>
        <w:spacing w:line="360" w:lineRule="auto"/>
        <w:rPr>
          <w:rFonts w:hint="eastAsia" w:ascii="仿宋" w:hAnsi="仿宋" w:eastAsia="仿宋"/>
          <w:bCs/>
          <w:color w:val="auto"/>
        </w:rPr>
      </w:pP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授权代表签字并加盖公章 </w:t>
      </w:r>
    </w:p>
    <w:p>
      <w:pPr>
        <w:adjustRightInd w:val="0"/>
        <w:snapToGrid w:val="0"/>
        <w:spacing w:line="360" w:lineRule="auto"/>
        <w:rPr>
          <w:rFonts w:hint="eastAsia" w:ascii="仿宋" w:hAnsi="仿宋" w:eastAsia="仿宋"/>
          <w:bCs/>
          <w:color w:val="auto"/>
        </w:rPr>
      </w:pPr>
      <w:r>
        <w:rPr>
          <w:rFonts w:hint="eastAsia" w:ascii="仿宋" w:hAnsi="仿宋" w:eastAsia="仿宋"/>
          <w:bCs/>
          <w:color w:val="auto"/>
        </w:rPr>
        <w:t xml:space="preserve">日期： </w:t>
      </w:r>
      <w:bookmarkStart w:id="209" w:name="_Toc125183170"/>
      <w:bookmarkEnd w:id="209"/>
      <w:bookmarkStart w:id="210" w:name="_Toc104714659"/>
      <w:bookmarkEnd w:id="210"/>
      <w:bookmarkStart w:id="211" w:name="_Toc127761806"/>
      <w:bookmarkEnd w:id="211"/>
    </w:p>
    <w:p>
      <w:pPr>
        <w:adjustRightInd w:val="0"/>
        <w:snapToGrid w:val="0"/>
        <w:spacing w:line="360" w:lineRule="auto"/>
        <w:rPr>
          <w:rFonts w:hint="eastAsia" w:ascii="仿宋" w:hAnsi="仿宋" w:eastAsia="仿宋"/>
          <w:bCs/>
          <w:color w:val="auto"/>
        </w:rPr>
      </w:pPr>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5062A"/>
    <w:multiLevelType w:val="multilevel"/>
    <w:tmpl w:val="A845062A"/>
    <w:lvl w:ilvl="0" w:tentative="0">
      <w:start w:val="1"/>
      <w:numFmt w:val="decimal"/>
      <w:suff w:val="nothing"/>
      <w:lvlText w:val="%1"/>
      <w:lvlJc w:val="left"/>
      <w:pPr>
        <w:ind w:left="420" w:hanging="420"/>
      </w:pPr>
      <w:rPr>
        <w:rFonts w:hint="eastAsia" w:ascii="宋体" w:hAnsi="宋体" w:eastAsia="宋体" w:cs="宋体"/>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1">
    <w:nsid w:val="F00D2126"/>
    <w:multiLevelType w:val="singleLevel"/>
    <w:tmpl w:val="F00D2126"/>
    <w:lvl w:ilvl="0" w:tentative="0">
      <w:start w:val="1"/>
      <w:numFmt w:val="decimal"/>
      <w:suff w:val="space"/>
      <w:lvlText w:val="%1."/>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3263E6FB"/>
    <w:multiLevelType w:val="singleLevel"/>
    <w:tmpl w:val="3263E6FB"/>
    <w:lvl w:ilvl="0" w:tentative="0">
      <w:start w:val="6"/>
      <w:numFmt w:val="chineseCounting"/>
      <w:suff w:val="space"/>
      <w:lvlText w:val="第%1条"/>
      <w:lvlJc w:val="left"/>
      <w:rPr>
        <w:rFonts w:hint="eastAsia"/>
        <w:b/>
        <w:bCs/>
        <w:sz w:val="24"/>
        <w:szCs w:val="24"/>
      </w:r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5">
    <w:nsid w:val="5E3EE100"/>
    <w:multiLevelType w:val="singleLevel"/>
    <w:tmpl w:val="5E3EE100"/>
    <w:lvl w:ilvl="0" w:tentative="0">
      <w:start w:val="2"/>
      <w:numFmt w:val="chineseCounting"/>
      <w:suff w:val="nothing"/>
      <w:lvlText w:val="%1、"/>
      <w:lvlJc w:val="left"/>
      <w:rPr>
        <w:rFonts w:hint="eastAsia"/>
      </w:rPr>
    </w:lvl>
  </w:abstractNum>
  <w:num w:numId="1">
    <w:abstractNumId w:val="2"/>
  </w:num>
  <w:num w:numId="2">
    <w:abstractNumId w:val="4"/>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1A02"/>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4B2740"/>
    <w:rsid w:val="03CA6EF6"/>
    <w:rsid w:val="0569312B"/>
    <w:rsid w:val="056B3D55"/>
    <w:rsid w:val="05DC1F32"/>
    <w:rsid w:val="0A141145"/>
    <w:rsid w:val="0ACB4877"/>
    <w:rsid w:val="12A56222"/>
    <w:rsid w:val="13B40768"/>
    <w:rsid w:val="158D6F6A"/>
    <w:rsid w:val="15D20655"/>
    <w:rsid w:val="17334565"/>
    <w:rsid w:val="178772D7"/>
    <w:rsid w:val="18146217"/>
    <w:rsid w:val="18215304"/>
    <w:rsid w:val="19332BB1"/>
    <w:rsid w:val="1ACE4487"/>
    <w:rsid w:val="1B1175F6"/>
    <w:rsid w:val="1BEF2D2A"/>
    <w:rsid w:val="1D237383"/>
    <w:rsid w:val="1DCF7CB6"/>
    <w:rsid w:val="1F5171F9"/>
    <w:rsid w:val="1FF937B7"/>
    <w:rsid w:val="204C2272"/>
    <w:rsid w:val="20955704"/>
    <w:rsid w:val="2163360B"/>
    <w:rsid w:val="232457F5"/>
    <w:rsid w:val="24CF4FC0"/>
    <w:rsid w:val="277F0B5A"/>
    <w:rsid w:val="292532D4"/>
    <w:rsid w:val="2AA748FC"/>
    <w:rsid w:val="2D886230"/>
    <w:rsid w:val="2DCE5E88"/>
    <w:rsid w:val="2DF81ACA"/>
    <w:rsid w:val="2E3461D7"/>
    <w:rsid w:val="31FA267C"/>
    <w:rsid w:val="34425E22"/>
    <w:rsid w:val="361564CE"/>
    <w:rsid w:val="362C1207"/>
    <w:rsid w:val="37650E0E"/>
    <w:rsid w:val="37915A99"/>
    <w:rsid w:val="397D76E1"/>
    <w:rsid w:val="3BC30841"/>
    <w:rsid w:val="43AE707F"/>
    <w:rsid w:val="44FA5C39"/>
    <w:rsid w:val="451A329F"/>
    <w:rsid w:val="457E2949"/>
    <w:rsid w:val="469146C9"/>
    <w:rsid w:val="495B2173"/>
    <w:rsid w:val="4C46433D"/>
    <w:rsid w:val="4CBC1445"/>
    <w:rsid w:val="4CE70619"/>
    <w:rsid w:val="4D1533C0"/>
    <w:rsid w:val="4D35215C"/>
    <w:rsid w:val="51131C60"/>
    <w:rsid w:val="53CC3BF0"/>
    <w:rsid w:val="54D518EF"/>
    <w:rsid w:val="55553332"/>
    <w:rsid w:val="55FE463F"/>
    <w:rsid w:val="56257777"/>
    <w:rsid w:val="5AE1183E"/>
    <w:rsid w:val="5B7D6727"/>
    <w:rsid w:val="5B9A01BB"/>
    <w:rsid w:val="5BAF4912"/>
    <w:rsid w:val="5C5D0552"/>
    <w:rsid w:val="5FCA4113"/>
    <w:rsid w:val="63936F88"/>
    <w:rsid w:val="65040DC9"/>
    <w:rsid w:val="68A06EC9"/>
    <w:rsid w:val="6936651F"/>
    <w:rsid w:val="6D535020"/>
    <w:rsid w:val="71EA566F"/>
    <w:rsid w:val="746305B1"/>
    <w:rsid w:val="74862811"/>
    <w:rsid w:val="749D3AD4"/>
    <w:rsid w:val="772B54F6"/>
    <w:rsid w:val="78C61730"/>
    <w:rsid w:val="7913570D"/>
    <w:rsid w:val="7C977546"/>
    <w:rsid w:val="7D017AA5"/>
    <w:rsid w:val="7DCA1B06"/>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22</TotalTime>
  <ScaleCrop>false</ScaleCrop>
  <LinksUpToDate>false</LinksUpToDate>
  <CharactersWithSpaces>26606</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胡嘉敏</cp:lastModifiedBy>
  <cp:lastPrinted>2019-12-03T09:03:00Z</cp:lastPrinted>
  <dcterms:modified xsi:type="dcterms:W3CDTF">2026-10-21T06:18:56Z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4FA75CE59927493DAFD8F4D0DE045F7F</vt:lpwstr>
  </property>
</Properties>
</file>