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A84FB2">
      <w:pPr>
        <w:spacing w:line="600" w:lineRule="exact"/>
        <w:jc w:val="center"/>
        <w:rPr>
          <w:rFonts w:ascii="华文中宋" w:hAnsi="华文中宋" w:eastAsia="华文中宋"/>
          <w:b/>
          <w:color w:val="auto"/>
          <w:sz w:val="44"/>
          <w:szCs w:val="44"/>
        </w:rPr>
      </w:pPr>
      <w:r>
        <w:rPr>
          <w:rFonts w:hint="eastAsia" w:ascii="华文中宋" w:hAnsi="华文中宋" w:eastAsia="华文中宋"/>
          <w:b/>
          <w:color w:val="auto"/>
          <w:sz w:val="44"/>
          <w:szCs w:val="44"/>
        </w:rPr>
        <w:t>人保财险广东省湛江市分公司雷州支公司2026年海洋牧场网箱网衣清洗防灾减损服务项目</w:t>
      </w:r>
      <w:r>
        <w:rPr>
          <w:rFonts w:hint="eastAsia" w:ascii="华文中宋" w:hAnsi="华文中宋" w:eastAsia="华文中宋"/>
          <w:b/>
          <w:color w:val="auto"/>
          <w:sz w:val="44"/>
          <w:szCs w:val="44"/>
          <w:lang w:val="en-US" w:eastAsia="zh-CN"/>
        </w:rPr>
        <w:t>比选</w:t>
      </w:r>
      <w:r>
        <w:rPr>
          <w:rFonts w:hint="eastAsia" w:ascii="华文中宋" w:hAnsi="华文中宋" w:eastAsia="华文中宋"/>
          <w:b/>
          <w:color w:val="auto"/>
          <w:sz w:val="44"/>
          <w:szCs w:val="44"/>
        </w:rPr>
        <w:t>公告</w:t>
      </w:r>
    </w:p>
    <w:p w14:paraId="040ABF9E">
      <w:pPr>
        <w:wordWrap w:val="0"/>
        <w:spacing w:line="360" w:lineRule="auto"/>
        <w:ind w:firstLine="480" w:firstLineChars="200"/>
        <w:textAlignment w:val="baseline"/>
        <w:rPr>
          <w:rFonts w:hint="eastAsia" w:ascii="仿宋" w:hAnsi="仿宋" w:eastAsia="仿宋" w:cs="仿宋"/>
          <w:color w:val="auto"/>
          <w:sz w:val="24"/>
        </w:rPr>
      </w:pPr>
    </w:p>
    <w:p w14:paraId="053CD774">
      <w:pPr>
        <w:pStyle w:val="3"/>
        <w:ind w:firstLine="0" w:firstLineChars="0"/>
        <w:jc w:val="left"/>
        <w:rPr>
          <w:rFonts w:hint="eastAsia" w:ascii="仿宋" w:hAnsi="仿宋" w:eastAsia="仿宋" w:cs="仿宋"/>
          <w:color w:val="auto"/>
          <w:sz w:val="24"/>
          <w:szCs w:val="24"/>
        </w:rPr>
      </w:pPr>
      <w:bookmarkStart w:id="0" w:name="_Toc120612918"/>
      <w:bookmarkStart w:id="1" w:name="_Toc26488"/>
      <w:r>
        <w:rPr>
          <w:rFonts w:hint="eastAsia" w:ascii="仿宋" w:hAnsi="仿宋" w:eastAsia="仿宋" w:cs="仿宋"/>
          <w:color w:val="auto"/>
          <w:sz w:val="24"/>
          <w:szCs w:val="24"/>
        </w:rPr>
        <w:t>一、项目概况与采购范围</w:t>
      </w:r>
      <w:bookmarkEnd w:id="0"/>
      <w:bookmarkEnd w:id="1"/>
    </w:p>
    <w:p w14:paraId="4AC5D941">
      <w:pPr>
        <w:adjustRightInd w:val="0"/>
        <w:snapToGrid w:val="0"/>
        <w:spacing w:line="360" w:lineRule="auto"/>
        <w:ind w:firstLine="480" w:firstLineChars="200"/>
        <w:jc w:val="left"/>
        <w:rPr>
          <w:rFonts w:hint="eastAsia" w:ascii="仿宋" w:hAnsi="仿宋" w:eastAsia="仿宋" w:cs="仿宋"/>
          <w:color w:val="auto"/>
          <w:sz w:val="24"/>
        </w:rPr>
      </w:pPr>
      <w:bookmarkStart w:id="2" w:name="_Hlk77264910"/>
      <w:r>
        <w:rPr>
          <w:rFonts w:hint="eastAsia" w:ascii="仿宋" w:hAnsi="仿宋" w:eastAsia="仿宋" w:cs="仿宋"/>
          <w:color w:val="auto"/>
          <w:sz w:val="24"/>
        </w:rPr>
        <w:t>1.1 项目名称：</w:t>
      </w:r>
      <w:r>
        <w:rPr>
          <w:rFonts w:hint="eastAsia" w:ascii="仿宋" w:hAnsi="仿宋" w:eastAsia="仿宋" w:cs="仿宋"/>
          <w:color w:val="auto"/>
          <w:sz w:val="24"/>
          <w:u w:val="single"/>
          <w:lang w:val="en-US" w:eastAsia="zh-CN"/>
        </w:rPr>
        <w:t>人保财险广东省湛江市分公司雷州支公司2026年海洋牧场网箱网衣清洗防灾减损服务项目</w:t>
      </w:r>
      <w:r>
        <w:rPr>
          <w:rFonts w:hint="eastAsia" w:ascii="仿宋" w:hAnsi="仿宋" w:eastAsia="仿宋" w:cs="仿宋"/>
          <w:color w:val="auto"/>
          <w:sz w:val="24"/>
        </w:rPr>
        <w:t>。</w:t>
      </w:r>
    </w:p>
    <w:p w14:paraId="027E76F3">
      <w:pPr>
        <w:adjustRightInd w:val="0"/>
        <w:snapToGrid w:val="0"/>
        <w:spacing w:line="360" w:lineRule="auto"/>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1.2 采购范围：本项目选定1家供应商，为我公司提供周期为2个月的网箱网衣清洗防灾减损服务。（具体采购内容及要求详见本比选采购采购文件第三章项目需求）。</w:t>
      </w:r>
    </w:p>
    <w:p w14:paraId="2C4A5763">
      <w:pPr>
        <w:adjustRightInd w:val="0"/>
        <w:snapToGrid w:val="0"/>
        <w:spacing w:before="240" w:line="360" w:lineRule="auto"/>
        <w:ind w:firstLine="480" w:firstLineChars="200"/>
        <w:jc w:val="left"/>
        <w:rPr>
          <w:rFonts w:hint="eastAsia" w:ascii="仿宋" w:hAnsi="仿宋" w:eastAsia="仿宋" w:cs="仿宋"/>
          <w:color w:val="auto"/>
          <w:sz w:val="24"/>
          <w:lang w:eastAsia="zh-CN"/>
        </w:rPr>
      </w:pPr>
      <w:r>
        <w:rPr>
          <w:rFonts w:hint="eastAsia" w:ascii="仿宋" w:hAnsi="仿宋" w:eastAsia="仿宋" w:cs="仿宋"/>
          <w:color w:val="auto"/>
          <w:sz w:val="24"/>
        </w:rPr>
        <w:t>1.3 标包划分：</w:t>
      </w:r>
      <w:bookmarkStart w:id="3" w:name="_Hlk116981841"/>
      <w:r>
        <w:rPr>
          <w:rFonts w:hint="eastAsia" w:ascii="仿宋" w:hAnsi="仿宋" w:eastAsia="仿宋" w:cs="仿宋"/>
          <w:color w:val="auto"/>
          <w:sz w:val="24"/>
        </w:rPr>
        <w:t>本项目不划分标包</w:t>
      </w:r>
      <w:bookmarkEnd w:id="3"/>
      <w:r>
        <w:rPr>
          <w:rFonts w:hint="eastAsia" w:ascii="仿宋" w:hAnsi="仿宋" w:eastAsia="仿宋" w:cs="仿宋"/>
          <w:color w:val="auto"/>
          <w:sz w:val="24"/>
          <w:lang w:eastAsia="zh-CN"/>
        </w:rPr>
        <w:t>。</w:t>
      </w:r>
    </w:p>
    <w:p w14:paraId="61508D14">
      <w:pPr>
        <w:adjustRightInd w:val="0"/>
        <w:snapToGrid w:val="0"/>
        <w:spacing w:before="240" w:line="360" w:lineRule="auto"/>
        <w:ind w:firstLine="480" w:firstLineChars="200"/>
        <w:jc w:val="left"/>
        <w:rPr>
          <w:rFonts w:ascii="仿宋" w:hAnsi="仿宋" w:eastAsia="仿宋" w:cs="仿宋"/>
          <w:color w:val="auto"/>
          <w:sz w:val="24"/>
        </w:rPr>
      </w:pPr>
      <w:r>
        <w:rPr>
          <w:rFonts w:ascii="仿宋" w:hAnsi="仿宋" w:eastAsia="仿宋" w:cs="仿宋"/>
          <w:color w:val="auto"/>
          <w:sz w:val="24"/>
        </w:rPr>
        <w:t>1.4</w:t>
      </w:r>
      <w:r>
        <w:rPr>
          <w:rFonts w:ascii="仿宋" w:hAnsi="仿宋" w:cs="仿宋"/>
          <w:color w:val="auto"/>
          <w:sz w:val="24"/>
        </w:rPr>
        <w:t xml:space="preserve"> </w:t>
      </w:r>
      <w:r>
        <w:rPr>
          <w:rFonts w:hint="eastAsia" w:ascii="仿宋" w:hAnsi="仿宋" w:eastAsia="仿宋" w:cs="仿宋"/>
          <w:color w:val="auto"/>
          <w:sz w:val="24"/>
        </w:rPr>
        <w:t>项目性质：服务。</w:t>
      </w:r>
    </w:p>
    <w:p w14:paraId="7955EFE8">
      <w:pPr>
        <w:spacing w:line="360" w:lineRule="auto"/>
        <w:ind w:firstLine="480" w:firstLineChars="200"/>
        <w:textAlignment w:val="baseline"/>
        <w:rPr>
          <w:rFonts w:hint="default" w:ascii="仿宋" w:hAnsi="仿宋" w:eastAsia="仿宋" w:cs="宋体"/>
          <w:color w:val="auto"/>
          <w:sz w:val="24"/>
          <w:highlight w:val="none"/>
          <w:lang w:val="en-US" w:eastAsia="zh-CN"/>
        </w:rPr>
      </w:pPr>
      <w:r>
        <w:rPr>
          <w:rFonts w:hint="eastAsia" w:ascii="仿宋" w:hAnsi="仿宋" w:eastAsia="仿宋" w:cs="仿宋"/>
          <w:color w:val="auto"/>
          <w:sz w:val="24"/>
        </w:rPr>
        <w:t>1.</w:t>
      </w:r>
      <w:r>
        <w:rPr>
          <w:rFonts w:ascii="仿宋" w:hAnsi="仿宋" w:eastAsia="仿宋" w:cs="仿宋"/>
          <w:color w:val="auto"/>
          <w:sz w:val="24"/>
        </w:rPr>
        <w:t>5</w:t>
      </w:r>
      <w:r>
        <w:rPr>
          <w:rFonts w:hint="eastAsia" w:ascii="仿宋" w:hAnsi="仿宋" w:eastAsia="仿宋" w:cs="宋体"/>
          <w:color w:val="auto"/>
          <w:sz w:val="24"/>
        </w:rPr>
        <w:t>服务期限：</w:t>
      </w:r>
      <w:r>
        <w:rPr>
          <w:rFonts w:hint="eastAsia" w:ascii="仿宋" w:hAnsi="仿宋" w:eastAsia="仿宋" w:cs="宋体"/>
          <w:color w:val="auto"/>
          <w:sz w:val="24"/>
          <w:highlight w:val="none"/>
        </w:rPr>
        <w:t>自合同签订之日起</w:t>
      </w:r>
      <w:r>
        <w:rPr>
          <w:rFonts w:hint="eastAsia" w:ascii="仿宋" w:hAnsi="仿宋" w:eastAsia="仿宋" w:cs="宋体"/>
          <w:color w:val="auto"/>
          <w:sz w:val="24"/>
          <w:highlight w:val="none"/>
          <w:lang w:val="en-US" w:eastAsia="zh-CN"/>
        </w:rPr>
        <w:t>2个月。</w:t>
      </w:r>
    </w:p>
    <w:p w14:paraId="04573134">
      <w:pPr>
        <w:spacing w:line="360" w:lineRule="auto"/>
        <w:ind w:firstLine="480" w:firstLineChars="200"/>
        <w:textAlignment w:val="baseline"/>
        <w:rPr>
          <w:rFonts w:hint="eastAsia" w:ascii="仿宋" w:hAnsi="仿宋" w:eastAsia="仿宋" w:cs="仿宋"/>
          <w:color w:val="auto"/>
          <w:sz w:val="24"/>
        </w:rPr>
      </w:pPr>
      <w:r>
        <w:rPr>
          <w:rFonts w:hint="eastAsia" w:ascii="仿宋" w:hAnsi="仿宋" w:eastAsia="仿宋" w:cs="仿宋"/>
          <w:color w:val="auto"/>
          <w:sz w:val="24"/>
        </w:rPr>
        <w:t>1.</w:t>
      </w:r>
      <w:r>
        <w:rPr>
          <w:rFonts w:ascii="仿宋" w:hAnsi="仿宋" w:eastAsia="仿宋" w:cs="仿宋"/>
          <w:color w:val="auto"/>
          <w:sz w:val="24"/>
        </w:rPr>
        <w:t>6</w:t>
      </w:r>
      <w:r>
        <w:rPr>
          <w:rFonts w:hint="eastAsia" w:ascii="仿宋" w:hAnsi="仿宋" w:eastAsia="仿宋" w:cs="仿宋"/>
          <w:color w:val="auto"/>
          <w:sz w:val="24"/>
        </w:rPr>
        <w:t>实施地点：广东省湛江市雷州市覃斗镇流沙村。</w:t>
      </w:r>
      <w:bookmarkEnd w:id="2"/>
      <w:bookmarkStart w:id="4" w:name="_Toc120612919"/>
      <w:bookmarkStart w:id="5" w:name="_Toc19236"/>
    </w:p>
    <w:p w14:paraId="40105527">
      <w:pPr>
        <w:spacing w:line="360" w:lineRule="auto"/>
        <w:textAlignment w:val="baseline"/>
        <w:rPr>
          <w:b/>
          <w:bCs/>
          <w:color w:val="auto"/>
        </w:rPr>
      </w:pPr>
      <w:r>
        <w:rPr>
          <w:rFonts w:hint="eastAsia" w:ascii="仿宋" w:hAnsi="仿宋" w:eastAsia="仿宋" w:cs="仿宋"/>
          <w:b/>
          <w:bCs/>
          <w:color w:val="auto"/>
          <w:sz w:val="24"/>
          <w:szCs w:val="24"/>
        </w:rPr>
        <w:t>二、</w:t>
      </w:r>
      <w:r>
        <w:rPr>
          <w:rFonts w:hint="eastAsia" w:ascii="仿宋" w:hAnsi="仿宋" w:eastAsia="仿宋" w:cs="仿宋"/>
          <w:b/>
          <w:bCs/>
          <w:color w:val="auto"/>
          <w:sz w:val="24"/>
          <w:szCs w:val="24"/>
          <w:lang w:val="en-US" w:eastAsia="zh-CN"/>
        </w:rPr>
        <w:t>响应方的</w:t>
      </w:r>
      <w:r>
        <w:rPr>
          <w:rFonts w:hint="eastAsia" w:ascii="仿宋" w:hAnsi="仿宋" w:eastAsia="仿宋" w:cs="仿宋"/>
          <w:b/>
          <w:bCs/>
          <w:color w:val="auto"/>
          <w:sz w:val="24"/>
          <w:szCs w:val="24"/>
        </w:rPr>
        <w:t>资格要求</w:t>
      </w:r>
      <w:bookmarkEnd w:id="4"/>
      <w:bookmarkEnd w:id="5"/>
      <w:bookmarkStart w:id="6" w:name="_Toc120612920"/>
      <w:bookmarkStart w:id="7" w:name="_Toc30804"/>
    </w:p>
    <w:p w14:paraId="5FB7B089">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2.1在中华</w:t>
      </w:r>
      <w:r>
        <w:rPr>
          <w:rFonts w:hint="eastAsia" w:ascii="仿宋" w:hAnsi="仿宋" w:eastAsia="仿宋" w:cs="仿宋"/>
          <w:color w:val="auto"/>
          <w:sz w:val="24"/>
        </w:rPr>
        <w:t>人民共和国境内依法登记的法人或其他组织，响应方如为企业法人，须提供企业法人营业执照（复印件）,分支机构参与响应的，须取得具有法人资格的总公司(或机构)出具给分支机构的授权书，并提供总公司(或机构)和分支机构的营业执照复印件;响应方如为事业单位或其他组织，须提供事业单位法人证书</w:t>
      </w:r>
      <w:r>
        <w:rPr>
          <w:rFonts w:hint="eastAsia" w:ascii="仿宋" w:hAnsi="仿宋" w:eastAsia="仿宋" w:cs="仿宋"/>
          <w:color w:val="auto"/>
          <w:sz w:val="24"/>
          <w:lang w:val="en-US" w:eastAsia="zh-CN"/>
        </w:rPr>
        <w:t>或登记证或组织机构代码证或其他有效证明文件（复印件）；</w:t>
      </w:r>
    </w:p>
    <w:p w14:paraId="6F4C6FFC">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2.2具有良好的商业信誉和健全的财务会计制度,需提供2025年度经会计师事务所或审计机构审计的财务审计报告及财务报表（至少包含会计师事务所或审计机构签章页、资产负债表、现金流量表、损益表/利润表）或提供响应文件递交截止日前6个月内开具的银行资信证明；</w:t>
      </w:r>
    </w:p>
    <w:p w14:paraId="01A5FA96">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lang w:val="en-US" w:eastAsia="zh-CN"/>
        </w:rPr>
        <w:t>2.3</w:t>
      </w:r>
      <w:r>
        <w:rPr>
          <w:rFonts w:hint="eastAsia" w:ascii="仿宋" w:hAnsi="仿宋" w:eastAsia="仿宋" w:cs="仿宋"/>
          <w:color w:val="auto"/>
          <w:sz w:val="24"/>
        </w:rPr>
        <w:t>供应商应具有履行合同所必需的设备和专业技术能力，近三年（2023年1月1日至今）应具有1个同类项目实施案例，并提供符合上述要求的合同关键页作为有效的业绩证明材料。合同关键页包含但不限于合同首页、合同标的页、签署日期页及盖章页等；</w:t>
      </w:r>
    </w:p>
    <w:p w14:paraId="5EA3127C">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2.4具有依法缴纳税收和社会保障资金的良好记录，提供近6个月任意一个月的税收和社会保障资金缴纳凭证；</w:t>
      </w:r>
    </w:p>
    <w:p w14:paraId="501A4CE2">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2.5供应商应经营状况良好，且近三年内（2023年1月1日至今）无违法违规记录。违法违规记录是指被“信用中国”列入失信被执行人、重大税收违法失信主体、政府采购严重违法失信行为记录名单。供应商需提供自比选采购公告发布之日至响应文件递交截止之日期间对以上三项内容的查询截图。信用中国查询网址：https://www.creditchina.gov.cn/zhuanxiangchaxun/(以评审小组于文件递交截止日当天在“中国执行信息公开网”(zxgk.court.gov.cn)、“信用中国”网站(www.creditchina.gov.cn)查询结果为准，如相关失信记录已失效，供应商需提供相关证明资料)。</w:t>
      </w:r>
    </w:p>
    <w:p w14:paraId="1A7D275D">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2.6严禁列入采购人及其所隶属的中国人民保险各级机构的供应商黑名单且在禁入期内的供应商参与采购活动,提供未列入供应商黑名单且未在禁入期承诺函。</w:t>
      </w:r>
    </w:p>
    <w:p w14:paraId="30E308DB">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2.7单位负责人为同一人或存在控股、管理关系的不同单位，不得参加同一标包响应或未划分标包的同一采购项目响应，应填写《响应方声明函》。</w:t>
      </w:r>
    </w:p>
    <w:p w14:paraId="019F29B4">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2.8响应方法定代表人参与响应或谈判的，须在响应文件中提供法定代表人身份证明书；响应方委派授权代表参与谈判的，须在响应文件中提供法定代表人身份证明书和法定代表人授权书。</w:t>
      </w:r>
    </w:p>
    <w:p w14:paraId="286E282A">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2.9本项目不接受联合体比选响应，提供响应声明承诺函。</w:t>
      </w:r>
    </w:p>
    <w:bookmarkEnd w:id="6"/>
    <w:bookmarkEnd w:id="7"/>
    <w:p w14:paraId="0D6B04E6">
      <w:pPr>
        <w:pStyle w:val="2"/>
        <w:keepNext w:val="0"/>
        <w:keepLines w:val="0"/>
        <w:pageBreakBefore w:val="0"/>
        <w:widowControl w:val="0"/>
        <w:numPr>
          <w:ilvl w:val="0"/>
          <w:numId w:val="1"/>
        </w:numPr>
        <w:kinsoku/>
        <w:wordWrap/>
        <w:overflowPunct/>
        <w:topLinePunct w:val="0"/>
        <w:autoSpaceDE/>
        <w:autoSpaceDN/>
        <w:bidi w:val="0"/>
        <w:adjustRightInd/>
        <w:snapToGrid/>
        <w:spacing w:line="360" w:lineRule="auto"/>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项目报名及获取采购文件</w:t>
      </w:r>
      <w:bookmarkStart w:id="8" w:name="_Toc120612922"/>
      <w:bookmarkStart w:id="9" w:name="_Toc3321"/>
    </w:p>
    <w:p w14:paraId="3F395ECB">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3.1报名时间：2026年10月22日 至 2026年10月24日，每天8:30至17：30。（北京时间，法定节假日除外）拟报名参加本项目的供应商，请登录“人保e采”外网门户（ec.picc.com）申请注册入库，审核通过后进行项目报名（相关详见“人保e采”外网门户的《人保e采管理系统供应商入库操作指南》）。</w:t>
      </w:r>
    </w:p>
    <w:p w14:paraId="78745E55">
      <w:pPr>
        <w:spacing w:line="440" w:lineRule="exact"/>
        <w:ind w:firstLine="480" w:firstLineChars="200"/>
        <w:textAlignment w:val="baseline"/>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3.2采购文件获取方式：采购文件获取方式：有意向参与本项目响应的供应商请在上述规定时间内联系采购人办理相关登记手续并获取采购文件。（报名登记表格式详见公告附件）。</w:t>
      </w:r>
    </w:p>
    <w:p w14:paraId="6762CCBA">
      <w:pPr>
        <w:spacing w:line="440" w:lineRule="exact"/>
        <w:ind w:firstLine="480" w:firstLineChars="200"/>
        <w:textAlignment w:val="baseline"/>
        <w:rPr>
          <w:rFonts w:ascii="仿宋" w:hAnsi="仿宋" w:eastAsia="仿宋" w:cs="宋体"/>
          <w:color w:val="auto"/>
          <w:sz w:val="24"/>
          <w:szCs w:val="24"/>
        </w:rPr>
      </w:pPr>
      <w:r>
        <w:rPr>
          <w:rFonts w:hint="eastAsia" w:ascii="仿宋" w:hAnsi="仿宋" w:eastAsia="仿宋" w:cs="宋体"/>
          <w:color w:val="auto"/>
          <w:sz w:val="24"/>
          <w:szCs w:val="24"/>
        </w:rPr>
        <w:t>（1）凡拟参加本项目的潜在投标人，均须先登录“人保e采”外网门户(https://ec.picc.com/)申请注册入库，审核通过后在 “诚E招电子采购交易平台”进行项目文件购买与下载。</w:t>
      </w:r>
    </w:p>
    <w:p w14:paraId="5DE8D20C">
      <w:pPr>
        <w:spacing w:line="360" w:lineRule="auto"/>
        <w:ind w:firstLine="480" w:firstLineChars="200"/>
        <w:textAlignment w:val="baseline"/>
        <w:rPr>
          <w:rFonts w:ascii="仿宋" w:hAnsi="仿宋" w:eastAsia="仿宋" w:cs="宋体"/>
          <w:color w:val="auto"/>
          <w:sz w:val="24"/>
          <w:szCs w:val="24"/>
        </w:rPr>
      </w:pPr>
      <w:r>
        <w:rPr>
          <w:rFonts w:hint="eastAsia" w:ascii="仿宋" w:hAnsi="仿宋" w:eastAsia="仿宋" w:cs="宋体"/>
          <w:color w:val="auto"/>
          <w:sz w:val="24"/>
          <w:szCs w:val="24"/>
        </w:rPr>
        <w:t>“人保e采”管理系统供应商注册入库详情可在登录“人保e采”外网门户后查阅《人保e采管理系统供应商入库操作指南》。</w:t>
      </w:r>
    </w:p>
    <w:p w14:paraId="0E57E5A0">
      <w:pPr>
        <w:spacing w:line="360" w:lineRule="auto"/>
        <w:ind w:firstLine="480" w:firstLineChars="200"/>
        <w:textAlignment w:val="baseline"/>
        <w:rPr>
          <w:rFonts w:ascii="仿宋" w:hAnsi="仿宋" w:eastAsia="仿宋" w:cs="仿宋_GB2312"/>
          <w:color w:val="auto"/>
          <w:kern w:val="0"/>
          <w:sz w:val="24"/>
          <w:szCs w:val="24"/>
        </w:rPr>
      </w:pPr>
      <w:r>
        <w:rPr>
          <w:rFonts w:hint="eastAsia" w:ascii="仿宋" w:hAnsi="仿宋" w:eastAsia="仿宋" w:cs="仿宋_GB2312"/>
          <w:color w:val="auto"/>
          <w:kern w:val="0"/>
          <w:sz w:val="24"/>
          <w:szCs w:val="24"/>
        </w:rPr>
        <w:t>（2）于</w:t>
      </w:r>
      <w:r>
        <w:rPr>
          <w:rFonts w:hint="eastAsia" w:ascii="仿宋" w:hAnsi="仿宋" w:eastAsia="仿宋" w:cs="仿宋_GB2312"/>
          <w:b/>
          <w:color w:val="auto"/>
          <w:kern w:val="0"/>
          <w:sz w:val="24"/>
          <w:szCs w:val="24"/>
          <w:u w:val="single"/>
        </w:rPr>
        <w:t>文件获取时间内</w:t>
      </w:r>
      <w:r>
        <w:rPr>
          <w:rFonts w:hint="eastAsia" w:ascii="仿宋" w:hAnsi="仿宋" w:eastAsia="仿宋" w:cs="仿宋_GB2312"/>
          <w:color w:val="auto"/>
          <w:kern w:val="0"/>
          <w:sz w:val="24"/>
          <w:szCs w:val="24"/>
        </w:rPr>
        <w:t>，登录诚E招电子采购交易平台（www.chengezhao.com）下载电子招标文件。请按以下步骤顺序进行操作：通过“诚E招电子采购交易平台”（www.chengezhao.com）完成本项目招标文件的费用支付并及时下载招标文件。</w:t>
      </w:r>
    </w:p>
    <w:p w14:paraId="705E1D7B">
      <w:pPr>
        <w:widowControl/>
        <w:spacing w:line="360" w:lineRule="auto"/>
        <w:ind w:firstLine="480" w:firstLineChars="200"/>
        <w:jc w:val="left"/>
        <w:textAlignment w:val="baseline"/>
        <w:rPr>
          <w:rFonts w:ascii="仿宋" w:hAnsi="仿宋" w:eastAsia="仿宋" w:cs="仿宋_GB2312"/>
          <w:color w:val="auto"/>
          <w:kern w:val="0"/>
          <w:sz w:val="24"/>
          <w:szCs w:val="24"/>
        </w:rPr>
      </w:pPr>
      <w:r>
        <w:rPr>
          <w:rFonts w:hint="eastAsia" w:ascii="仿宋" w:hAnsi="仿宋" w:eastAsia="仿宋" w:cs="仿宋_GB2312"/>
          <w:color w:val="auto"/>
          <w:kern w:val="0"/>
          <w:sz w:val="24"/>
          <w:szCs w:val="24"/>
        </w:rPr>
        <w:t>①输入网址，点击【新用户注册】（注册步骤详见门户网站：【投标人操作指南】-【注册指引】）。登录账号后点击【常用文件】，下载《投标人&amp;中标人操作手册》（已注册中标人跳过本步）；</w:t>
      </w:r>
    </w:p>
    <w:p w14:paraId="3719C464">
      <w:pPr>
        <w:widowControl/>
        <w:spacing w:line="360" w:lineRule="auto"/>
        <w:ind w:firstLine="480" w:firstLineChars="200"/>
        <w:jc w:val="left"/>
        <w:textAlignment w:val="baseline"/>
        <w:rPr>
          <w:rFonts w:ascii="仿宋" w:hAnsi="仿宋" w:eastAsia="仿宋" w:cs="仿宋_GB2312"/>
          <w:color w:val="auto"/>
          <w:kern w:val="0"/>
          <w:sz w:val="24"/>
          <w:szCs w:val="24"/>
        </w:rPr>
      </w:pPr>
      <w:r>
        <w:rPr>
          <w:rFonts w:hint="eastAsia" w:ascii="仿宋" w:hAnsi="仿宋" w:eastAsia="仿宋" w:cs="仿宋_GB2312"/>
          <w:color w:val="auto"/>
          <w:kern w:val="0"/>
          <w:sz w:val="24"/>
          <w:szCs w:val="24"/>
        </w:rPr>
        <w:t>②注册成功后登录平台，点击【商机发现】，检索本项目并直接支付；</w:t>
      </w:r>
    </w:p>
    <w:p w14:paraId="6B9FECAE">
      <w:pPr>
        <w:widowControl/>
        <w:spacing w:line="360" w:lineRule="auto"/>
        <w:ind w:firstLine="480" w:firstLineChars="200"/>
        <w:jc w:val="left"/>
        <w:textAlignment w:val="baseline"/>
        <w:rPr>
          <w:rFonts w:ascii="仿宋" w:hAnsi="仿宋" w:eastAsia="仿宋" w:cs="仿宋_GB2312"/>
          <w:color w:val="auto"/>
          <w:kern w:val="0"/>
          <w:sz w:val="24"/>
          <w:szCs w:val="24"/>
        </w:rPr>
      </w:pPr>
      <w:r>
        <w:rPr>
          <w:rFonts w:hint="eastAsia" w:ascii="仿宋" w:hAnsi="仿宋" w:eastAsia="仿宋" w:cs="仿宋_GB2312"/>
          <w:color w:val="auto"/>
          <w:kern w:val="0"/>
          <w:sz w:val="24"/>
          <w:szCs w:val="24"/>
        </w:rPr>
        <w:t>注意：无论招标文件是否收费，投标人请务必在标书售卖截止时间前登录平台，选择招标项目进行招标文件购买操作；否则将无法正常投标。</w:t>
      </w:r>
    </w:p>
    <w:p w14:paraId="1B13851C">
      <w:pPr>
        <w:widowControl/>
        <w:spacing w:line="360" w:lineRule="auto"/>
        <w:ind w:firstLine="480" w:firstLineChars="200"/>
        <w:jc w:val="left"/>
        <w:textAlignment w:val="baseline"/>
        <w:rPr>
          <w:rFonts w:ascii="仿宋" w:hAnsi="仿宋" w:eastAsia="仿宋" w:cs="仿宋_GB2312"/>
          <w:color w:val="auto"/>
          <w:kern w:val="0"/>
          <w:sz w:val="24"/>
          <w:szCs w:val="24"/>
        </w:rPr>
      </w:pPr>
      <w:r>
        <w:rPr>
          <w:rFonts w:hint="eastAsia" w:ascii="仿宋" w:hAnsi="仿宋" w:eastAsia="仿宋" w:cs="仿宋_GB2312"/>
          <w:color w:val="auto"/>
          <w:kern w:val="0"/>
          <w:sz w:val="24"/>
          <w:szCs w:val="24"/>
        </w:rPr>
        <w:t>③选择支付方式：①网上支付（微信/支付宝扫码）、②电汇（须上传汇款凭证）。</w:t>
      </w:r>
    </w:p>
    <w:p w14:paraId="621F3270">
      <w:pPr>
        <w:widowControl/>
        <w:spacing w:line="360" w:lineRule="auto"/>
        <w:ind w:firstLine="480" w:firstLineChars="200"/>
        <w:jc w:val="left"/>
        <w:textAlignment w:val="baseline"/>
        <w:rPr>
          <w:rFonts w:ascii="仿宋" w:hAnsi="仿宋" w:eastAsia="仿宋" w:cs="仿宋_GB2312"/>
          <w:color w:val="auto"/>
          <w:kern w:val="0"/>
          <w:sz w:val="24"/>
          <w:szCs w:val="24"/>
        </w:rPr>
      </w:pPr>
      <w:r>
        <w:rPr>
          <w:rFonts w:hint="eastAsia" w:ascii="仿宋" w:hAnsi="仿宋" w:eastAsia="仿宋" w:cs="仿宋_GB2312"/>
          <w:color w:val="auto"/>
          <w:kern w:val="0"/>
          <w:sz w:val="24"/>
          <w:szCs w:val="24"/>
        </w:rPr>
        <w:t>④点击【我的项目】，进入项目后下载招标文件即完成文件获取。</w:t>
      </w:r>
    </w:p>
    <w:p w14:paraId="5B5FB55F">
      <w:pPr>
        <w:widowControl/>
        <w:spacing w:line="360" w:lineRule="auto"/>
        <w:ind w:firstLine="480" w:firstLineChars="200"/>
        <w:jc w:val="left"/>
        <w:textAlignment w:val="baseline"/>
        <w:rPr>
          <w:rFonts w:ascii="仿宋" w:hAnsi="仿宋" w:eastAsia="仿宋" w:cs="仿宋_GB2312"/>
          <w:color w:val="auto"/>
          <w:kern w:val="0"/>
          <w:sz w:val="24"/>
          <w:szCs w:val="24"/>
        </w:rPr>
      </w:pPr>
      <w:r>
        <w:rPr>
          <w:rFonts w:hint="eastAsia" w:ascii="仿宋" w:hAnsi="仿宋" w:eastAsia="仿宋" w:cs="仿宋_GB2312"/>
          <w:color w:val="auto"/>
          <w:kern w:val="0"/>
          <w:sz w:val="24"/>
          <w:szCs w:val="24"/>
        </w:rPr>
        <w:t>⑤疑问反馈：投标人针对投标人注册、招标文件获取、网上操作等相关业务的咨询，可查询平台首页“帮助中心”专区，或致电客服热线：020-89524219，服务时间8:30-17:30（工作日）。</w:t>
      </w:r>
    </w:p>
    <w:p w14:paraId="2D6A982B">
      <w:pPr>
        <w:widowControl/>
        <w:spacing w:line="360" w:lineRule="auto"/>
        <w:ind w:firstLine="480" w:firstLineChars="200"/>
        <w:jc w:val="left"/>
        <w:textAlignment w:val="baseline"/>
        <w:rPr>
          <w:rFonts w:ascii="仿宋" w:hAnsi="仿宋" w:eastAsia="仿宋" w:cs="仿宋_GB2312"/>
          <w:color w:val="auto"/>
          <w:kern w:val="0"/>
          <w:sz w:val="24"/>
          <w:szCs w:val="24"/>
        </w:rPr>
      </w:pPr>
      <w:r>
        <w:rPr>
          <w:rFonts w:hint="eastAsia" w:ascii="仿宋" w:hAnsi="仿宋" w:eastAsia="仿宋" w:cs="仿宋_GB2312"/>
          <w:color w:val="auto"/>
          <w:kern w:val="0"/>
          <w:sz w:val="24"/>
          <w:szCs w:val="24"/>
        </w:rPr>
        <w:t>⑥免责声明：“诚E招电子采购交易平台”（www.chengezhao.com）为本项目招标文件获取的唯一渠道，其他平台支付及获取文件均属无效。</w:t>
      </w:r>
    </w:p>
    <w:p w14:paraId="3E53C204">
      <w:pPr>
        <w:widowControl/>
        <w:spacing w:line="360" w:lineRule="auto"/>
        <w:ind w:firstLine="480" w:firstLineChars="200"/>
        <w:jc w:val="left"/>
        <w:textAlignment w:val="baseline"/>
        <w:rPr>
          <w:rFonts w:ascii="仿宋" w:hAnsi="仿宋" w:eastAsia="仿宋" w:cs="仿宋_GB2312"/>
          <w:color w:val="auto"/>
          <w:kern w:val="0"/>
          <w:sz w:val="24"/>
          <w:szCs w:val="24"/>
        </w:rPr>
      </w:pPr>
      <w:r>
        <w:rPr>
          <w:rFonts w:hint="eastAsia" w:ascii="仿宋" w:hAnsi="仿宋" w:eastAsia="仿宋" w:cs="仿宋_GB2312"/>
          <w:color w:val="auto"/>
          <w:kern w:val="0"/>
          <w:sz w:val="24"/>
          <w:szCs w:val="24"/>
        </w:rPr>
        <w:t>注意：招标文件的获取方式及操作步骤详见《投标人&amp;中标人操作手册》-“购买文件”等。</w:t>
      </w:r>
      <w:bookmarkStart w:id="14" w:name="_GoBack"/>
      <w:bookmarkEnd w:id="14"/>
    </w:p>
    <w:p w14:paraId="3E8DE9ED">
      <w:pPr>
        <w:pStyle w:val="3"/>
        <w:ind w:firstLine="480" w:firstLineChars="200"/>
        <w:jc w:val="left"/>
        <w:rPr>
          <w:rFonts w:hint="eastAsia" w:ascii="仿宋" w:hAnsi="仿宋" w:eastAsia="仿宋" w:cs="仿宋"/>
          <w:b w:val="0"/>
          <w:bCs w:val="0"/>
          <w:color w:val="auto"/>
          <w:kern w:val="2"/>
          <w:sz w:val="24"/>
          <w:szCs w:val="24"/>
          <w:lang w:val="en-US" w:eastAsia="zh-CN" w:bidi="ar-SA"/>
        </w:rPr>
      </w:pPr>
      <w:r>
        <w:rPr>
          <w:rFonts w:hint="eastAsia" w:ascii="仿宋" w:hAnsi="仿宋" w:eastAsia="仿宋" w:cs="仿宋"/>
          <w:b w:val="0"/>
          <w:bCs w:val="0"/>
          <w:color w:val="auto"/>
          <w:kern w:val="2"/>
          <w:sz w:val="24"/>
          <w:szCs w:val="24"/>
          <w:lang w:val="en-US" w:eastAsia="zh-CN" w:bidi="ar-SA"/>
        </w:rPr>
        <w:t>3.3 招标文件每套售价</w:t>
      </w:r>
      <w:r>
        <w:rPr>
          <w:rFonts w:hint="eastAsia" w:ascii="仿宋" w:hAnsi="仿宋" w:eastAsia="仿宋" w:cs="仿宋"/>
          <w:b w:val="0"/>
          <w:bCs w:val="0"/>
          <w:color w:val="auto"/>
          <w:kern w:val="2"/>
          <w:sz w:val="24"/>
          <w:szCs w:val="24"/>
          <w:u w:val="single"/>
          <w:lang w:val="en-US" w:eastAsia="zh-CN" w:bidi="ar-SA"/>
        </w:rPr>
        <w:t>0</w:t>
      </w:r>
      <w:r>
        <w:rPr>
          <w:rFonts w:hint="eastAsia" w:ascii="仿宋" w:hAnsi="仿宋" w:eastAsia="仿宋" w:cs="仿宋"/>
          <w:b w:val="0"/>
          <w:bCs w:val="0"/>
          <w:color w:val="auto"/>
          <w:kern w:val="2"/>
          <w:sz w:val="24"/>
          <w:szCs w:val="24"/>
          <w:lang w:val="en-US" w:eastAsia="zh-CN" w:bidi="ar-SA"/>
        </w:rPr>
        <w:t>元，售后不退。</w:t>
      </w:r>
    </w:p>
    <w:p w14:paraId="2FA5B070">
      <w:pPr>
        <w:ind w:firstLine="480" w:firstLineChars="200"/>
        <w:rPr>
          <w:rFonts w:hint="eastAsia" w:ascii="仿宋" w:hAnsi="仿宋" w:eastAsia="仿宋" w:cs="仿宋"/>
          <w:b w:val="0"/>
          <w:bCs w:val="0"/>
          <w:color w:val="auto"/>
          <w:kern w:val="2"/>
          <w:sz w:val="24"/>
          <w:szCs w:val="24"/>
          <w:lang w:val="en-US" w:eastAsia="zh-CN" w:bidi="ar-SA"/>
        </w:rPr>
      </w:pPr>
      <w:r>
        <w:rPr>
          <w:rFonts w:hint="eastAsia" w:ascii="仿宋" w:hAnsi="仿宋" w:eastAsia="仿宋" w:cs="仿宋"/>
          <w:b w:val="0"/>
          <w:bCs w:val="0"/>
          <w:color w:val="auto"/>
          <w:kern w:val="2"/>
          <w:sz w:val="24"/>
          <w:szCs w:val="24"/>
          <w:lang w:val="en-US" w:eastAsia="zh-CN" w:bidi="ar-SA"/>
        </w:rPr>
        <w:t>3.4若供应商未按上述要求报名并获取采购文件，其响应将不被接受。</w:t>
      </w:r>
    </w:p>
    <w:p w14:paraId="547E09D2">
      <w:pPr>
        <w:pStyle w:val="3"/>
        <w:ind w:left="0" w:leftChars="0" w:firstLine="0" w:firstLineChars="0"/>
        <w:jc w:val="left"/>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四</w:t>
      </w:r>
      <w:r>
        <w:rPr>
          <w:rFonts w:hint="eastAsia" w:ascii="仿宋" w:hAnsi="仿宋" w:eastAsia="仿宋" w:cs="仿宋"/>
          <w:b/>
          <w:bCs/>
          <w:color w:val="auto"/>
          <w:sz w:val="24"/>
          <w:szCs w:val="24"/>
        </w:rPr>
        <w:t>、响应文件的递交</w:t>
      </w:r>
      <w:bookmarkEnd w:id="8"/>
      <w:bookmarkEnd w:id="9"/>
    </w:p>
    <w:p w14:paraId="677C0740">
      <w:pPr>
        <w:spacing w:line="360" w:lineRule="auto"/>
        <w:ind w:firstLine="480" w:firstLineChars="200"/>
        <w:textAlignment w:val="baseline"/>
        <w:rPr>
          <w:rFonts w:hint="eastAsia" w:ascii="仿宋" w:hAnsi="仿宋" w:eastAsia="仿宋" w:cs="宋体"/>
          <w:color w:val="auto"/>
          <w:sz w:val="24"/>
          <w:highlight w:val="none"/>
        </w:rPr>
      </w:pPr>
      <w:bookmarkStart w:id="10" w:name="_Toc120612923"/>
      <w:r>
        <w:rPr>
          <w:rFonts w:hint="eastAsia" w:ascii="仿宋" w:hAnsi="仿宋" w:eastAsia="仿宋" w:cs="宋体"/>
          <w:color w:val="auto"/>
          <w:sz w:val="24"/>
          <w:highlight w:val="none"/>
          <w:lang w:val="en-US" w:eastAsia="zh-CN"/>
        </w:rPr>
        <w:t>4</w:t>
      </w:r>
      <w:r>
        <w:rPr>
          <w:rFonts w:hint="eastAsia" w:ascii="仿宋" w:hAnsi="仿宋" w:eastAsia="仿宋" w:cs="宋体"/>
          <w:color w:val="auto"/>
          <w:sz w:val="24"/>
          <w:highlight w:val="none"/>
        </w:rPr>
        <w:t>.1响应文件递交截止时间：</w:t>
      </w:r>
      <w:r>
        <w:rPr>
          <w:rFonts w:hint="eastAsia" w:ascii="仿宋" w:hAnsi="仿宋" w:eastAsia="仿宋" w:cs="宋体"/>
          <w:color w:val="auto"/>
          <w:sz w:val="24"/>
          <w:highlight w:val="none"/>
          <w:u w:val="single"/>
        </w:rPr>
        <w:t>2026年10月28日（星期三）09:30:00</w:t>
      </w:r>
      <w:r>
        <w:rPr>
          <w:rFonts w:hint="eastAsia" w:ascii="仿宋" w:hAnsi="仿宋" w:eastAsia="仿宋" w:cs="宋体"/>
          <w:color w:val="auto"/>
          <w:sz w:val="24"/>
          <w:highlight w:val="none"/>
        </w:rPr>
        <w:t>。</w:t>
      </w:r>
    </w:p>
    <w:p w14:paraId="795AF9F6">
      <w:pPr>
        <w:spacing w:line="360" w:lineRule="auto"/>
        <w:ind w:firstLine="480" w:firstLineChars="200"/>
        <w:jc w:val="left"/>
        <w:textAlignment w:val="baseline"/>
        <w:rPr>
          <w:rFonts w:hint="eastAsia"/>
          <w:color w:val="auto"/>
          <w:highlight w:val="none"/>
        </w:rPr>
      </w:pPr>
      <w:r>
        <w:rPr>
          <w:rFonts w:hint="eastAsia" w:ascii="仿宋" w:hAnsi="仿宋" w:eastAsia="仿宋" w:cs="宋体"/>
          <w:color w:val="auto"/>
          <w:sz w:val="24"/>
          <w:highlight w:val="none"/>
          <w:lang w:val="en-US" w:eastAsia="zh-CN"/>
        </w:rPr>
        <w:t>4</w:t>
      </w:r>
      <w:r>
        <w:rPr>
          <w:rFonts w:hint="eastAsia" w:ascii="仿宋" w:hAnsi="仿宋" w:eastAsia="仿宋" w:cs="宋体"/>
          <w:color w:val="auto"/>
          <w:sz w:val="24"/>
          <w:highlight w:val="none"/>
        </w:rPr>
        <w:t>.2响应文件的递交：须现场递交/邮寄至湛江市霞山区人民大道中24号剑麻大厦12层开标会议室</w:t>
      </w:r>
      <w:r>
        <w:rPr>
          <w:rFonts w:hint="eastAsia" w:ascii="仿宋" w:hAnsi="仿宋" w:eastAsia="仿宋" w:cs="宋体"/>
          <w:b/>
          <w:bCs/>
          <w:color w:val="auto"/>
          <w:sz w:val="24"/>
          <w:highlight w:val="none"/>
        </w:rPr>
        <w:t>。</w:t>
      </w:r>
    </w:p>
    <w:p w14:paraId="316D6C57">
      <w:pPr>
        <w:spacing w:line="360" w:lineRule="auto"/>
        <w:ind w:firstLine="480" w:firstLineChars="200"/>
        <w:textAlignment w:val="baseline"/>
        <w:rPr>
          <w:rFonts w:hint="eastAsia" w:ascii="仿宋" w:hAnsi="仿宋" w:eastAsia="仿宋" w:cs="宋体"/>
          <w:b/>
          <w:bCs/>
          <w:color w:val="auto"/>
          <w:kern w:val="2"/>
          <w:sz w:val="24"/>
          <w:szCs w:val="24"/>
          <w:highlight w:val="none"/>
          <w:lang w:val="en-US" w:eastAsia="zh-CN" w:bidi="ar-SA"/>
        </w:rPr>
      </w:pPr>
      <w:r>
        <w:rPr>
          <w:rFonts w:hint="eastAsia" w:ascii="仿宋" w:hAnsi="仿宋" w:eastAsia="仿宋" w:cs="宋体"/>
          <w:b w:val="0"/>
          <w:color w:val="auto"/>
          <w:kern w:val="2"/>
          <w:sz w:val="24"/>
          <w:szCs w:val="24"/>
          <w:highlight w:val="none"/>
          <w:lang w:val="en-US" w:eastAsia="zh-CN" w:bidi="ar-SA"/>
        </w:rPr>
        <w:t>4.3</w:t>
      </w:r>
      <w:r>
        <w:rPr>
          <w:rFonts w:hint="eastAsia" w:ascii="仿宋" w:hAnsi="仿宋" w:eastAsia="仿宋" w:cs="宋体"/>
          <w:b/>
          <w:bCs/>
          <w:color w:val="auto"/>
          <w:kern w:val="2"/>
          <w:sz w:val="24"/>
          <w:szCs w:val="24"/>
          <w:highlight w:val="none"/>
          <w:lang w:val="en-US" w:eastAsia="zh-CN" w:bidi="ar-SA"/>
        </w:rPr>
        <w:t>出现以下情形之一时，采购人/采购代理机构不予接收投标文件：</w:t>
      </w:r>
    </w:p>
    <w:p w14:paraId="76118363">
      <w:pPr>
        <w:spacing w:line="360" w:lineRule="auto"/>
        <w:ind w:firstLine="480" w:firstLineChars="200"/>
        <w:textAlignment w:val="baseline"/>
        <w:rPr>
          <w:rFonts w:hint="eastAsia" w:ascii="仿宋" w:hAnsi="仿宋" w:eastAsia="仿宋" w:cs="宋体"/>
          <w:b w:val="0"/>
          <w:color w:val="auto"/>
          <w:kern w:val="2"/>
          <w:sz w:val="24"/>
          <w:szCs w:val="24"/>
          <w:highlight w:val="none"/>
          <w:lang w:val="en-US" w:eastAsia="zh-CN" w:bidi="ar-SA"/>
        </w:rPr>
      </w:pPr>
      <w:r>
        <w:rPr>
          <w:rFonts w:hint="eastAsia" w:ascii="仿宋" w:hAnsi="仿宋" w:eastAsia="仿宋" w:cs="宋体"/>
          <w:b w:val="0"/>
          <w:color w:val="auto"/>
          <w:kern w:val="2"/>
          <w:sz w:val="24"/>
          <w:szCs w:val="24"/>
          <w:highlight w:val="none"/>
          <w:lang w:val="en-US" w:eastAsia="zh-CN" w:bidi="ar-SA"/>
        </w:rPr>
        <w:t>4.3.1  逾期送达或者未送达指定地点的；</w:t>
      </w:r>
    </w:p>
    <w:p w14:paraId="6EC397FF">
      <w:pPr>
        <w:spacing w:line="360" w:lineRule="auto"/>
        <w:ind w:firstLine="480" w:firstLineChars="200"/>
        <w:textAlignment w:val="baseline"/>
        <w:rPr>
          <w:rFonts w:hint="eastAsia" w:ascii="仿宋" w:hAnsi="仿宋" w:eastAsia="仿宋" w:cs="宋体"/>
          <w:b w:val="0"/>
          <w:color w:val="auto"/>
          <w:kern w:val="2"/>
          <w:sz w:val="24"/>
          <w:szCs w:val="24"/>
          <w:highlight w:val="none"/>
          <w:lang w:val="en-US" w:eastAsia="zh-CN" w:bidi="ar-SA"/>
        </w:rPr>
      </w:pPr>
      <w:r>
        <w:rPr>
          <w:rFonts w:hint="eastAsia" w:ascii="仿宋" w:hAnsi="仿宋" w:eastAsia="仿宋" w:cs="宋体"/>
          <w:b w:val="0"/>
          <w:color w:val="auto"/>
          <w:kern w:val="2"/>
          <w:sz w:val="24"/>
          <w:szCs w:val="24"/>
          <w:highlight w:val="none"/>
          <w:lang w:val="en-US" w:eastAsia="zh-CN" w:bidi="ar-SA"/>
        </w:rPr>
        <w:t>4.3.2  未按照响应文件要求密封的；</w:t>
      </w:r>
    </w:p>
    <w:p w14:paraId="582AB31A">
      <w:pPr>
        <w:spacing w:line="360" w:lineRule="auto"/>
        <w:ind w:firstLine="480" w:firstLineChars="200"/>
        <w:textAlignment w:val="baseline"/>
        <w:rPr>
          <w:rFonts w:hint="eastAsia" w:ascii="仿宋" w:hAnsi="仿宋" w:eastAsia="仿宋" w:cs="宋体"/>
          <w:b w:val="0"/>
          <w:color w:val="auto"/>
          <w:kern w:val="2"/>
          <w:sz w:val="24"/>
          <w:szCs w:val="24"/>
          <w:highlight w:val="none"/>
          <w:lang w:val="en-US" w:eastAsia="zh-CN" w:bidi="ar-SA"/>
        </w:rPr>
      </w:pPr>
      <w:r>
        <w:rPr>
          <w:rFonts w:hint="eastAsia" w:ascii="仿宋" w:hAnsi="仿宋" w:eastAsia="仿宋" w:cs="宋体"/>
          <w:b w:val="0"/>
          <w:color w:val="auto"/>
          <w:kern w:val="2"/>
          <w:sz w:val="24"/>
          <w:szCs w:val="24"/>
          <w:highlight w:val="none"/>
          <w:lang w:val="en-US" w:eastAsia="zh-CN" w:bidi="ar-SA"/>
        </w:rPr>
        <w:t>4.3.3  未按照比选公告要求获取采购文件的。</w:t>
      </w:r>
    </w:p>
    <w:p w14:paraId="5E0C824D">
      <w:pPr>
        <w:pStyle w:val="3"/>
        <w:ind w:left="0" w:leftChars="0" w:firstLine="0" w:firstLineChars="0"/>
        <w:jc w:val="left"/>
        <w:rPr>
          <w:rFonts w:hint="default"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五、以上若有变更，采购人会通过邮件的形式通知响应方。</w:t>
      </w:r>
    </w:p>
    <w:p w14:paraId="496F7772">
      <w:pPr>
        <w:pStyle w:val="3"/>
        <w:bidi w:val="0"/>
        <w:ind w:left="0" w:leftChars="0" w:firstLine="0" w:firstLineChars="0"/>
        <w:jc w:val="left"/>
        <w:rPr>
          <w:rFonts w:hint="eastAsia"/>
          <w:color w:val="auto"/>
        </w:rPr>
      </w:pPr>
      <w:bookmarkStart w:id="11" w:name="_Toc19902"/>
      <w:r>
        <w:rPr>
          <w:rFonts w:hint="eastAsia" w:ascii="仿宋" w:hAnsi="仿宋" w:eastAsia="仿宋" w:cs="仿宋"/>
          <w:color w:val="auto"/>
          <w:sz w:val="24"/>
          <w:szCs w:val="24"/>
          <w:lang w:val="en-US" w:eastAsia="zh-CN"/>
        </w:rPr>
        <w:t>六</w:t>
      </w:r>
      <w:r>
        <w:rPr>
          <w:rFonts w:hint="eastAsia" w:ascii="仿宋" w:hAnsi="仿宋" w:eastAsia="仿宋" w:cs="仿宋"/>
          <w:color w:val="auto"/>
          <w:sz w:val="24"/>
          <w:szCs w:val="24"/>
        </w:rPr>
        <w:t>、发布公告的媒介</w:t>
      </w:r>
      <w:bookmarkEnd w:id="10"/>
      <w:bookmarkEnd w:id="11"/>
    </w:p>
    <w:p w14:paraId="09DBF9ED">
      <w:pPr>
        <w:spacing w:line="360" w:lineRule="auto"/>
        <w:ind w:firstLine="480" w:firstLineChars="200"/>
        <w:textAlignment w:val="baseline"/>
        <w:rPr>
          <w:rFonts w:hint="eastAsia" w:ascii="仿宋" w:hAnsi="仿宋" w:eastAsia="仿宋" w:cs="仿宋"/>
          <w:color w:val="auto"/>
          <w:sz w:val="24"/>
          <w:highlight w:val="none"/>
        </w:rPr>
      </w:pPr>
      <w:bookmarkStart w:id="12" w:name="_Toc120612924"/>
      <w:r>
        <w:rPr>
          <w:rFonts w:hint="eastAsia" w:ascii="仿宋" w:hAnsi="仿宋" w:eastAsia="仿宋" w:cs="仿宋"/>
          <w:color w:val="auto"/>
          <w:sz w:val="24"/>
          <w:highlight w:val="none"/>
        </w:rPr>
        <w:t>本项目</w:t>
      </w:r>
      <w:r>
        <w:rPr>
          <w:rFonts w:hint="eastAsia" w:ascii="仿宋" w:hAnsi="仿宋" w:eastAsia="仿宋" w:cs="仿宋"/>
          <w:color w:val="auto"/>
          <w:sz w:val="24"/>
          <w:highlight w:val="none"/>
          <w:lang w:val="en-US" w:eastAsia="zh-CN"/>
        </w:rPr>
        <w:t>比选</w:t>
      </w:r>
      <w:r>
        <w:rPr>
          <w:rFonts w:hint="eastAsia" w:ascii="仿宋" w:hAnsi="仿宋" w:eastAsia="仿宋" w:cs="仿宋"/>
          <w:color w:val="auto"/>
          <w:sz w:val="24"/>
          <w:highlight w:val="none"/>
        </w:rPr>
        <w:t>公告同时在</w:t>
      </w:r>
      <w:r>
        <w:rPr>
          <w:rFonts w:hint="eastAsia" w:ascii="仿宋" w:hAnsi="仿宋" w:eastAsia="仿宋" w:cs="宋体"/>
          <w:color w:val="auto"/>
          <w:sz w:val="24"/>
          <w:highlight w:val="none"/>
          <w:u w:val="single"/>
        </w:rPr>
        <w:t>“人保e采”外网门户（https://ec.picc.com/）、中国金融集中采购网（http://www.cfcpn.com/）、中国招投标公共服务平台（http://cebpubservice.cn/）、中国采购与招标网（https://www.chinabidding.com.cn/）</w:t>
      </w:r>
      <w:r>
        <w:rPr>
          <w:rFonts w:hint="eastAsia" w:ascii="仿宋" w:hAnsi="仿宋" w:eastAsia="仿宋" w:cs="仿宋"/>
          <w:color w:val="auto"/>
          <w:sz w:val="24"/>
          <w:highlight w:val="none"/>
        </w:rPr>
        <w:t>上发布，</w:t>
      </w:r>
      <w:r>
        <w:rPr>
          <w:rFonts w:hint="eastAsia" w:ascii="仿宋" w:hAnsi="仿宋" w:eastAsia="仿宋" w:cs="宋体"/>
          <w:color w:val="auto"/>
          <w:sz w:val="24"/>
          <w:highlight w:val="none"/>
        </w:rPr>
        <w:t>除上述外，采购人/采购代理机构不在其他任何网站、论坛等媒介上发布任何采购信息，其他任何媒介上转载的、以采购人/采购代理机构为采购主体的采购信息均为非法转载，均为无效</w:t>
      </w:r>
      <w:r>
        <w:rPr>
          <w:rFonts w:hint="eastAsia" w:ascii="仿宋" w:hAnsi="仿宋" w:eastAsia="仿宋" w:cs="仿宋"/>
          <w:color w:val="auto"/>
          <w:sz w:val="24"/>
          <w:highlight w:val="none"/>
        </w:rPr>
        <w:t>。对于非法转载、篡改采购公告信息的组织或个人，采购人/采购代理机构保留追究其法律责任的权利。</w:t>
      </w:r>
    </w:p>
    <w:p w14:paraId="56E60F67">
      <w:pPr>
        <w:pStyle w:val="3"/>
        <w:ind w:firstLine="0" w:firstLineChars="0"/>
        <w:jc w:val="left"/>
        <w:rPr>
          <w:rFonts w:hint="eastAsia" w:ascii="仿宋" w:hAnsi="仿宋" w:eastAsia="仿宋" w:cs="仿宋"/>
          <w:color w:val="auto"/>
          <w:sz w:val="24"/>
          <w:szCs w:val="24"/>
        </w:rPr>
      </w:pPr>
      <w:bookmarkStart w:id="13" w:name="_Toc6515"/>
      <w:r>
        <w:rPr>
          <w:rFonts w:hint="eastAsia" w:ascii="仿宋" w:hAnsi="仿宋" w:eastAsia="仿宋" w:cs="仿宋"/>
          <w:color w:val="auto"/>
          <w:sz w:val="24"/>
          <w:szCs w:val="24"/>
          <w:lang w:val="en-US" w:eastAsia="zh-CN"/>
        </w:rPr>
        <w:t>七</w:t>
      </w:r>
      <w:r>
        <w:rPr>
          <w:rFonts w:hint="eastAsia" w:ascii="仿宋" w:hAnsi="仿宋" w:eastAsia="仿宋" w:cs="仿宋"/>
          <w:color w:val="auto"/>
          <w:sz w:val="24"/>
          <w:szCs w:val="24"/>
        </w:rPr>
        <w:t>、联系方式</w:t>
      </w:r>
      <w:bookmarkEnd w:id="12"/>
      <w:bookmarkEnd w:id="13"/>
    </w:p>
    <w:p w14:paraId="5FAA635E">
      <w:pPr>
        <w:tabs>
          <w:tab w:val="left" w:pos="-105"/>
          <w:tab w:val="left" w:pos="420"/>
          <w:tab w:val="left" w:pos="630"/>
          <w:tab w:val="left" w:pos="1155"/>
          <w:tab w:val="left" w:pos="1890"/>
          <w:tab w:val="left" w:pos="3150"/>
          <w:tab w:val="left" w:pos="3780"/>
        </w:tabs>
        <w:spacing w:line="360" w:lineRule="auto"/>
        <w:ind w:firstLine="422" w:firstLineChars="175"/>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采购人：中国人民财产保险股份有限公司</w:t>
      </w:r>
      <w:r>
        <w:rPr>
          <w:rFonts w:hint="eastAsia" w:ascii="仿宋" w:hAnsi="仿宋" w:eastAsia="仿宋" w:cs="仿宋"/>
          <w:b/>
          <w:bCs/>
          <w:color w:val="auto"/>
          <w:sz w:val="24"/>
          <w:highlight w:val="none"/>
          <w:lang w:val="en-US" w:eastAsia="zh-CN"/>
        </w:rPr>
        <w:t>湛江市</w:t>
      </w:r>
      <w:r>
        <w:rPr>
          <w:rFonts w:hint="eastAsia" w:ascii="仿宋" w:hAnsi="仿宋" w:eastAsia="仿宋" w:cs="仿宋"/>
          <w:b/>
          <w:bCs/>
          <w:color w:val="auto"/>
          <w:sz w:val="24"/>
          <w:highlight w:val="none"/>
        </w:rPr>
        <w:t>分公司</w:t>
      </w:r>
    </w:p>
    <w:p w14:paraId="337D14C3">
      <w:pPr>
        <w:spacing w:line="360" w:lineRule="auto"/>
        <w:ind w:firstLine="420" w:firstLineChars="175"/>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地址：湛江市经济技术开发区海滨大道南62号三楼至十楼</w:t>
      </w:r>
    </w:p>
    <w:p w14:paraId="20D6D3C9">
      <w:pPr>
        <w:spacing w:line="360" w:lineRule="auto"/>
        <w:ind w:firstLine="422" w:firstLineChars="175"/>
        <w:jc w:val="left"/>
        <w:rPr>
          <w:rFonts w:ascii="仿宋" w:hAnsi="仿宋" w:eastAsia="仿宋" w:cs="仿宋"/>
          <w:color w:val="auto"/>
          <w:sz w:val="24"/>
          <w:highlight w:val="none"/>
        </w:rPr>
      </w:pPr>
      <w:r>
        <w:rPr>
          <w:rFonts w:hint="eastAsia" w:ascii="仿宋" w:hAnsi="仿宋" w:eastAsia="仿宋" w:cs="宋体"/>
          <w:b/>
          <w:color w:val="auto"/>
          <w:sz w:val="24"/>
          <w:highlight w:val="none"/>
        </w:rPr>
        <w:t>采购代理机构：公诚管理咨询有限公司</w:t>
      </w:r>
    </w:p>
    <w:p w14:paraId="214674E5">
      <w:pPr>
        <w:spacing w:line="360" w:lineRule="auto"/>
        <w:ind w:firstLine="420" w:firstLineChars="175"/>
        <w:jc w:val="left"/>
        <w:rPr>
          <w:rFonts w:ascii="仿宋" w:hAnsi="仿宋" w:eastAsia="仿宋" w:cs="仿宋"/>
          <w:color w:val="auto"/>
          <w:sz w:val="24"/>
          <w:highlight w:val="none"/>
        </w:rPr>
      </w:pPr>
      <w:r>
        <w:rPr>
          <w:rFonts w:hint="eastAsia" w:ascii="仿宋" w:hAnsi="仿宋" w:eastAsia="仿宋" w:cs="宋体"/>
          <w:color w:val="auto"/>
          <w:sz w:val="24"/>
          <w:highlight w:val="none"/>
        </w:rPr>
        <w:t>地址：广东省湛江市霞山区人民大道中24号剑麻大厦12层</w:t>
      </w:r>
    </w:p>
    <w:p w14:paraId="4563F939">
      <w:pPr>
        <w:spacing w:line="360" w:lineRule="auto"/>
        <w:ind w:firstLine="420" w:firstLineChars="175"/>
        <w:jc w:val="left"/>
        <w:rPr>
          <w:rFonts w:hint="eastAsia" w:ascii="仿宋" w:hAnsi="仿宋" w:eastAsia="仿宋" w:cs="宋体"/>
          <w:color w:val="auto"/>
          <w:sz w:val="24"/>
          <w:highlight w:val="none"/>
        </w:rPr>
      </w:pPr>
      <w:r>
        <w:rPr>
          <w:rFonts w:hint="eastAsia" w:ascii="仿宋" w:hAnsi="仿宋" w:eastAsia="仿宋" w:cs="宋体"/>
          <w:color w:val="auto"/>
          <w:sz w:val="24"/>
          <w:highlight w:val="none"/>
        </w:rPr>
        <w:t>联系人：梁珊、黎凯达、周慷、盛菲、李涛</w:t>
      </w:r>
    </w:p>
    <w:p w14:paraId="3A33D9D1">
      <w:pPr>
        <w:spacing w:line="360" w:lineRule="auto"/>
        <w:ind w:firstLine="420" w:firstLineChars="175"/>
        <w:jc w:val="left"/>
        <w:rPr>
          <w:rFonts w:ascii="仿宋" w:hAnsi="仿宋" w:eastAsia="仿宋" w:cs="仿宋"/>
          <w:color w:val="auto"/>
          <w:sz w:val="24"/>
          <w:highlight w:val="none"/>
        </w:rPr>
      </w:pPr>
      <w:r>
        <w:rPr>
          <w:rFonts w:hint="eastAsia" w:ascii="仿宋" w:hAnsi="仿宋" w:eastAsia="仿宋" w:cs="宋体"/>
          <w:color w:val="auto"/>
          <w:sz w:val="24"/>
          <w:highlight w:val="none"/>
        </w:rPr>
        <w:t>电话：0759-3382389</w:t>
      </w:r>
    </w:p>
    <w:p w14:paraId="584EB1FF">
      <w:pPr>
        <w:spacing w:line="360" w:lineRule="auto"/>
        <w:ind w:firstLine="420" w:firstLineChars="175"/>
        <w:jc w:val="left"/>
        <w:rPr>
          <w:rFonts w:hint="eastAsia" w:ascii="仿宋" w:hAnsi="仿宋" w:eastAsia="仿宋" w:cs="宋体"/>
          <w:color w:val="auto"/>
          <w:sz w:val="24"/>
          <w:highlight w:val="none"/>
        </w:rPr>
      </w:pPr>
      <w:r>
        <w:rPr>
          <w:rFonts w:hint="eastAsia" w:ascii="仿宋" w:hAnsi="仿宋" w:eastAsia="仿宋" w:cs="宋体"/>
          <w:color w:val="auto"/>
          <w:sz w:val="24"/>
          <w:highlight w:val="none"/>
        </w:rPr>
        <w:t>电子邮件：</w:t>
      </w:r>
      <w:r>
        <w:rPr>
          <w:rFonts w:hint="eastAsia" w:ascii="仿宋" w:hAnsi="仿宋" w:eastAsia="仿宋" w:cs="宋体"/>
          <w:color w:val="auto"/>
          <w:sz w:val="24"/>
          <w:highlight w:val="none"/>
          <w:u w:val="none"/>
        </w:rPr>
        <w:t>gczbzjzb@163.com</w:t>
      </w:r>
    </w:p>
    <w:p w14:paraId="65FEA963">
      <w:pPr>
        <w:spacing w:line="360" w:lineRule="auto"/>
        <w:ind w:firstLine="420" w:firstLineChars="175"/>
        <w:jc w:val="left"/>
        <w:rPr>
          <w:rFonts w:ascii="仿宋" w:hAnsi="仿宋" w:eastAsia="仿宋" w:cs="仿宋"/>
          <w:color w:val="auto"/>
          <w:sz w:val="24"/>
          <w:highlight w:val="none"/>
        </w:rPr>
      </w:pPr>
      <w:r>
        <w:rPr>
          <w:rFonts w:hint="eastAsia" w:ascii="仿宋" w:hAnsi="仿宋" w:eastAsia="仿宋" w:cs="宋体"/>
          <w:bCs/>
          <w:color w:val="auto"/>
          <w:sz w:val="24"/>
          <w:highlight w:val="none"/>
        </w:rPr>
        <w:t xml:space="preserve">开户银行：中信银行广州花园支行   </w:t>
      </w:r>
    </w:p>
    <w:p w14:paraId="742B5878">
      <w:pPr>
        <w:spacing w:line="360" w:lineRule="auto"/>
        <w:ind w:firstLine="420" w:firstLineChars="175"/>
        <w:jc w:val="left"/>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账号：3110910037672630697</w:t>
      </w:r>
    </w:p>
    <w:p w14:paraId="13BDCBD9">
      <w:pPr>
        <w:spacing w:line="360" w:lineRule="auto"/>
        <w:ind w:firstLine="480" w:firstLineChars="200"/>
        <w:jc w:val="right"/>
        <w:textAlignment w:val="baseline"/>
        <w:rPr>
          <w:rFonts w:hint="eastAsia" w:ascii="仿宋" w:hAnsi="仿宋" w:eastAsia="仿宋" w:cs="宋体"/>
          <w:color w:val="auto"/>
          <w:sz w:val="24"/>
          <w:highlight w:val="none"/>
        </w:rPr>
      </w:pPr>
    </w:p>
    <w:p w14:paraId="5CADBEE3">
      <w:pPr>
        <w:spacing w:line="360" w:lineRule="auto"/>
        <w:ind w:firstLine="480" w:firstLineChars="200"/>
        <w:jc w:val="right"/>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采购人：中国人民财产保险股份有限公司</w:t>
      </w:r>
      <w:r>
        <w:rPr>
          <w:rFonts w:hint="eastAsia" w:ascii="仿宋" w:hAnsi="仿宋" w:eastAsia="仿宋" w:cs="宋体"/>
          <w:color w:val="auto"/>
          <w:sz w:val="24"/>
          <w:highlight w:val="none"/>
          <w:lang w:val="en-US" w:eastAsia="zh-CN"/>
        </w:rPr>
        <w:t>湛江市</w:t>
      </w:r>
      <w:r>
        <w:rPr>
          <w:rFonts w:hint="eastAsia" w:ascii="仿宋" w:hAnsi="仿宋" w:eastAsia="仿宋" w:cs="宋体"/>
          <w:color w:val="auto"/>
          <w:sz w:val="24"/>
          <w:highlight w:val="none"/>
        </w:rPr>
        <w:t>分公司</w:t>
      </w:r>
    </w:p>
    <w:p w14:paraId="140DB20D">
      <w:pPr>
        <w:spacing w:line="360" w:lineRule="auto"/>
        <w:ind w:firstLine="480" w:firstLineChars="200"/>
        <w:jc w:val="right"/>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采购代理机构：公诚管理咨询有限公司</w:t>
      </w:r>
    </w:p>
    <w:p w14:paraId="3D6B66D6">
      <w:pPr>
        <w:jc w:val="right"/>
        <w:rPr>
          <w:color w:val="auto"/>
        </w:rPr>
      </w:pPr>
      <w:r>
        <w:rPr>
          <w:rFonts w:hint="eastAsia" w:ascii="仿宋" w:hAnsi="仿宋" w:eastAsia="仿宋" w:cs="宋体"/>
          <w:color w:val="auto"/>
          <w:sz w:val="24"/>
          <w:highlight w:val="none"/>
        </w:rPr>
        <w:t>2026年10月21日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A0C65C0"/>
    <w:multiLevelType w:val="singleLevel"/>
    <w:tmpl w:val="4A0C65C0"/>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8824DEE"/>
    <w:rsid w:val="0C835976"/>
    <w:rsid w:val="1212797A"/>
    <w:rsid w:val="16B959BA"/>
    <w:rsid w:val="19202C85"/>
    <w:rsid w:val="1CBA412F"/>
    <w:rsid w:val="1D8A3911"/>
    <w:rsid w:val="20E40F91"/>
    <w:rsid w:val="213318A1"/>
    <w:rsid w:val="29040739"/>
    <w:rsid w:val="2BD55331"/>
    <w:rsid w:val="2F204CE7"/>
    <w:rsid w:val="2FAD524C"/>
    <w:rsid w:val="30C61284"/>
    <w:rsid w:val="31FA6F43"/>
    <w:rsid w:val="331E127D"/>
    <w:rsid w:val="3ECD6EA0"/>
    <w:rsid w:val="418D051C"/>
    <w:rsid w:val="46477875"/>
    <w:rsid w:val="47EA630C"/>
    <w:rsid w:val="48824DEE"/>
    <w:rsid w:val="4BF838F0"/>
    <w:rsid w:val="4E604266"/>
    <w:rsid w:val="52DE60C1"/>
    <w:rsid w:val="582B7FB0"/>
    <w:rsid w:val="5C9B0F74"/>
    <w:rsid w:val="6F432DEE"/>
    <w:rsid w:val="72503DE0"/>
    <w:rsid w:val="72EF5DB3"/>
    <w:rsid w:val="73D863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qFormat/>
    <w:uiPriority w:val="0"/>
    <w:pPr>
      <w:keepNext/>
      <w:keepLines/>
      <w:spacing w:line="360" w:lineRule="auto"/>
      <w:ind w:firstLine="540" w:firstLineChars="192"/>
      <w:jc w:val="center"/>
      <w:outlineLvl w:val="1"/>
    </w:pPr>
    <w:rPr>
      <w:rFonts w:ascii="Arial" w:hAnsi="Arial"/>
      <w:b/>
      <w:bCs/>
      <w:color w:val="FF0000"/>
      <w:sz w:val="28"/>
      <w:szCs w:val="32"/>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2"/>
    <w:basedOn w:val="1"/>
    <w:next w:val="1"/>
    <w:qFormat/>
    <w:uiPriority w:val="0"/>
    <w:pPr>
      <w:spacing w:after="120" w:line="480" w:lineRule="auto"/>
    </w:pPr>
  </w:style>
  <w:style w:type="paragraph" w:styleId="4">
    <w:name w:val="Normal Indent"/>
    <w:basedOn w:val="1"/>
    <w:qFormat/>
    <w:uiPriority w:val="0"/>
    <w:pPr>
      <w:widowControl/>
      <w:ind w:firstLine="420"/>
      <w:jc w:val="left"/>
    </w:pPr>
    <w:rPr>
      <w:kern w:val="0"/>
      <w:sz w:val="20"/>
      <w:szCs w:val="20"/>
    </w:rPr>
  </w:style>
  <w:style w:type="paragraph" w:styleId="5">
    <w:name w:val="annotation text"/>
    <w:basedOn w:val="1"/>
    <w:qFormat/>
    <w:uiPriority w:val="0"/>
    <w:pPr>
      <w:jc w:val="left"/>
    </w:pPr>
  </w:style>
  <w:style w:type="paragraph" w:styleId="6">
    <w:name w:val="Body Text"/>
    <w:basedOn w:val="1"/>
    <w:next w:val="1"/>
    <w:qFormat/>
    <w:uiPriority w:val="0"/>
    <w:pPr>
      <w:jc w:val="center"/>
    </w:pPr>
    <w:rPr>
      <w:sz w:val="52"/>
    </w:rPr>
  </w:style>
  <w:style w:type="paragraph" w:styleId="7">
    <w:name w:val="footer"/>
    <w:basedOn w:val="1"/>
    <w:qFormat/>
    <w:uiPriority w:val="99"/>
    <w:pPr>
      <w:tabs>
        <w:tab w:val="center" w:pos="4153"/>
        <w:tab w:val="right" w:pos="8306"/>
      </w:tabs>
      <w:spacing w:line="240" w:lineRule="atLeast"/>
    </w:pPr>
    <w:rPr>
      <w:sz w:val="18"/>
    </w:rPr>
  </w:style>
  <w:style w:type="paragraph" w:styleId="8">
    <w:name w:val="header"/>
    <w:basedOn w:val="1"/>
    <w:qFormat/>
    <w:uiPriority w:val="99"/>
    <w:pPr>
      <w:pBdr>
        <w:bottom w:val="single" w:color="auto" w:sz="6" w:space="1"/>
      </w:pBdr>
      <w:tabs>
        <w:tab w:val="center" w:pos="4153"/>
        <w:tab w:val="right" w:pos="8306"/>
      </w:tabs>
      <w:spacing w:line="240" w:lineRule="atLeast"/>
      <w:jc w:val="center"/>
    </w:pPr>
    <w:rPr>
      <w:sz w:val="18"/>
    </w:rPr>
  </w:style>
  <w:style w:type="character" w:styleId="11">
    <w:name w:val="Hyperlink"/>
    <w:qFormat/>
    <w:uiPriority w:val="99"/>
    <w:rPr>
      <w:color w:val="0000FF"/>
      <w:u w:val="single"/>
    </w:rPr>
  </w:style>
  <w:style w:type="paragraph" w:customStyle="1" w:styleId="12">
    <w:name w:val="中文正文、"/>
    <w:basedOn w:val="1"/>
    <w:qFormat/>
    <w:uiPriority w:val="0"/>
    <w:pPr>
      <w:adjustRightInd/>
      <w:spacing w:line="360" w:lineRule="auto"/>
      <w:ind w:firstLine="420" w:firstLineChars="200"/>
    </w:pPr>
    <w:rPr>
      <w:szCs w:val="21"/>
    </w:rPr>
  </w:style>
  <w:style w:type="paragraph" w:styleId="13">
    <w:name w:val="List Paragraph"/>
    <w:basedOn w:val="1"/>
    <w:qFormat/>
    <w:uiPriority w:val="34"/>
    <w:pPr>
      <w:adjustRightInd/>
      <w:spacing w:line="240" w:lineRule="auto"/>
      <w:ind w:firstLine="420" w:firstLineChars="200"/>
      <w:jc w:val="both"/>
      <w:textAlignment w:val="auto"/>
    </w:pPr>
    <w:rPr>
      <w:kern w:val="2"/>
      <w:sz w:val="21"/>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2549</Words>
  <Characters>2987</Characters>
  <Lines>0</Lines>
  <Paragraphs>0</Paragraphs>
  <TotalTime>0</TotalTime>
  <ScaleCrop>false</ScaleCrop>
  <LinksUpToDate>false</LinksUpToDate>
  <CharactersWithSpaces>3006</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2026-01-12T09:45:00Z</dcterms:created>
  <dc:creator>吴佳宜</dc:creator>
  <cp:lastModifiedBy>leung33</cp:lastModifiedBy>
  <dcterms:modified xsi:type="dcterms:W3CDTF">2026-10-21T09:22:32Z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70A6CCB302884619A7D94BEBC799E72A</vt:lpwstr>
  </property>
  <property fmtid="{D5CDD505-2E9C-101B-9397-08002B2CF9AE}" pid="4" name="KSOTemplateDocerSaveRecord">
    <vt:lpwstr>eyJoZGlkIjoiNmMyNzc0NzIyYWE2ZDJiYzgxODg1ZmQwMGU5OTgyODEiLCJ1c2VySWQiOiIxMTIwNTY1OTkwIn0=</vt:lpwstr>
  </property>
</Properties>
</file>