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比价采购</w:t>
      </w:r>
      <w:r>
        <w:rPr>
          <w:rFonts w:ascii="宋体" w:hAnsi="宋体"/>
          <w:b/>
          <w:sz w:val="76"/>
          <w:szCs w:val="76"/>
        </w:rPr>
        <w:t>文件</w:t>
      </w:r>
    </w:p>
    <w:p>
      <w:pPr>
        <w:pStyle w:val="5"/>
        <w:ind w:firstLine="880"/>
        <w:jc w:val="center"/>
        <w:rPr>
          <w:rFonts w:ascii="宋体" w:hAnsi="宋体"/>
          <w:bCs/>
          <w:sz w:val="44"/>
        </w:rPr>
      </w:pPr>
    </w:p>
    <w:p>
      <w:pPr>
        <w:pStyle w:val="5"/>
        <w:ind w:firstLine="880"/>
        <w:jc w:val="center"/>
        <w:rPr>
          <w:rFonts w:ascii="宋体" w:hAnsi="宋体"/>
          <w:bCs/>
          <w:sz w:val="44"/>
        </w:rPr>
      </w:pPr>
    </w:p>
    <w:p>
      <w:pPr>
        <w:tabs>
          <w:tab w:val="left" w:pos="2200"/>
        </w:tabs>
        <w:spacing w:line="360" w:lineRule="auto"/>
        <w:ind w:left="2739" w:leftChars="414" w:hanging="1745" w:hangingChars="485"/>
        <w:rPr>
          <w:rFonts w:ascii="宋体" w:hAnsi="宋体"/>
          <w:bCs/>
          <w:sz w:val="36"/>
          <w:szCs w:val="36"/>
        </w:rPr>
      </w:pPr>
      <w:r>
        <w:rPr>
          <w:rFonts w:ascii="宋体" w:hAnsi="宋体"/>
          <w:sz w:val="36"/>
          <w:szCs w:val="36"/>
        </w:rPr>
        <w:t>项目名称：</w:t>
      </w:r>
      <w:r>
        <w:rPr>
          <w:rFonts w:hint="eastAsia" w:ascii="宋体" w:hAnsi="宋体"/>
          <w:sz w:val="36"/>
          <w:szCs w:val="36"/>
          <w:lang w:val="en-US" w:eastAsia="zh-CN"/>
        </w:rPr>
        <w:t>人保健康</w:t>
      </w:r>
      <w:r>
        <w:rPr>
          <w:rFonts w:hint="eastAsia" w:ascii="宋体" w:hAnsi="宋体" w:cs="Times New Roman"/>
          <w:sz w:val="36"/>
          <w:szCs w:val="36"/>
          <w:lang w:val="en-US" w:eastAsia="zh-CN"/>
        </w:rPr>
        <w:t>上海</w:t>
      </w:r>
      <w:r>
        <w:rPr>
          <w:rFonts w:hint="eastAsia" w:ascii="宋体" w:hAnsi="宋体" w:eastAsia="宋体" w:cs="Times New Roman"/>
          <w:sz w:val="36"/>
          <w:szCs w:val="36"/>
          <w:lang w:val="en-US" w:eastAsia="zh-CN"/>
        </w:rPr>
        <w:t>分公司</w:t>
      </w:r>
      <w:r>
        <w:rPr>
          <w:rFonts w:hint="eastAsia" w:ascii="宋体" w:hAnsi="宋体" w:cs="Times New Roman"/>
          <w:bCs/>
          <w:sz w:val="36"/>
          <w:szCs w:val="36"/>
          <w:highlight w:val="none"/>
          <w:u w:val="none"/>
          <w:lang w:val="en-US" w:eastAsia="zh-CN"/>
        </w:rPr>
        <w:t>适老化改造服务采购</w:t>
      </w:r>
      <w:r>
        <w:rPr>
          <w:rFonts w:hint="eastAsia" w:ascii="宋体" w:hAnsi="宋体"/>
          <w:bCs/>
          <w:sz w:val="36"/>
          <w:szCs w:val="36"/>
        </w:rPr>
        <w:t>项目</w:t>
      </w:r>
    </w:p>
    <w:p>
      <w:pPr>
        <w:tabs>
          <w:tab w:val="left" w:pos="2200"/>
        </w:tabs>
        <w:spacing w:line="360" w:lineRule="auto"/>
        <w:ind w:left="2739" w:leftChars="414" w:hanging="1745" w:hangingChars="485"/>
        <w:rPr>
          <w:rFonts w:ascii="宋体" w:hAnsi="宋体"/>
          <w:bCs/>
          <w:sz w:val="36"/>
          <w:szCs w:val="36"/>
        </w:rPr>
      </w:pPr>
    </w:p>
    <w:p>
      <w:pPr>
        <w:tabs>
          <w:tab w:val="left" w:pos="2200"/>
        </w:tabs>
        <w:spacing w:line="360" w:lineRule="auto"/>
        <w:ind w:left="2739" w:leftChars="414" w:hanging="1745" w:hangingChars="485"/>
        <w:rPr>
          <w:rFonts w:hint="eastAsia" w:ascii="宋体" w:hAnsi="宋体" w:eastAsia="宋体"/>
          <w:bCs/>
          <w:sz w:val="36"/>
          <w:szCs w:val="36"/>
          <w:lang w:eastAsia="zh-CN"/>
        </w:rPr>
      </w:pPr>
      <w:r>
        <w:rPr>
          <w:rFonts w:hint="eastAsia" w:ascii="宋体" w:hAnsi="宋体"/>
          <w:bCs/>
          <w:sz w:val="36"/>
          <w:szCs w:val="36"/>
        </w:rPr>
        <w:t>采 购 人：</w:t>
      </w:r>
      <w:r>
        <w:rPr>
          <w:rFonts w:hint="eastAsia" w:ascii="宋体" w:hAnsi="宋体"/>
          <w:bCs/>
          <w:sz w:val="36"/>
          <w:szCs w:val="36"/>
          <w:lang w:eastAsia="zh-CN"/>
        </w:rPr>
        <w:t>中国人民健康保险股份有限公司上海分公司</w:t>
      </w:r>
    </w:p>
    <w:p>
      <w:pPr>
        <w:jc w:val="center"/>
        <w:rPr>
          <w:rFonts w:ascii="宋体" w:hAnsi="宋体" w:cs="Arial"/>
          <w:b/>
        </w:rPr>
      </w:pPr>
    </w:p>
    <w:p>
      <w:pPr>
        <w:pStyle w:val="19"/>
        <w:adjustRightInd/>
        <w:snapToGrid/>
        <w:spacing w:after="0" w:line="240" w:lineRule="auto"/>
        <w:rPr>
          <w:rFonts w:ascii="宋体" w:hAnsi="宋体" w:cs="Arial"/>
          <w:b/>
          <w:sz w:val="21"/>
          <w:szCs w:val="21"/>
        </w:rPr>
      </w:pPr>
    </w:p>
    <w:p>
      <w:pPr>
        <w:pStyle w:val="19"/>
        <w:adjustRightInd/>
        <w:snapToGrid/>
        <w:spacing w:after="0" w:line="240" w:lineRule="auto"/>
        <w:rPr>
          <w:rFonts w:ascii="宋体" w:hAnsi="宋体" w:cs="Arial"/>
          <w:b/>
          <w:sz w:val="21"/>
          <w:szCs w:val="21"/>
        </w:rPr>
      </w:pPr>
    </w:p>
    <w:p>
      <w:pPr>
        <w:pStyle w:val="7"/>
        <w:snapToGrid w:val="0"/>
        <w:spacing w:line="360" w:lineRule="auto"/>
        <w:jc w:val="center"/>
        <w:rPr>
          <w:rFonts w:hAnsi="宋体" w:cs="Arial"/>
          <w:sz w:val="30"/>
          <w:szCs w:val="30"/>
        </w:rPr>
      </w:pPr>
    </w:p>
    <w:p>
      <w:pPr>
        <w:pStyle w:val="7"/>
        <w:snapToGrid w:val="0"/>
        <w:spacing w:line="360" w:lineRule="auto"/>
        <w:jc w:val="center"/>
        <w:rPr>
          <w:rFonts w:hAnsi="宋体" w:cs="Arial"/>
          <w:sz w:val="30"/>
          <w:szCs w:val="30"/>
        </w:rPr>
      </w:pPr>
    </w:p>
    <w:p>
      <w:pPr>
        <w:pStyle w:val="7"/>
        <w:snapToGrid w:val="0"/>
        <w:spacing w:line="360" w:lineRule="auto"/>
        <w:jc w:val="center"/>
        <w:rPr>
          <w:rFonts w:hAnsi="宋体" w:cs="Arial"/>
          <w:sz w:val="30"/>
          <w:szCs w:val="30"/>
        </w:rPr>
      </w:pPr>
    </w:p>
    <w:p>
      <w:pPr>
        <w:pStyle w:val="7"/>
        <w:snapToGrid w:val="0"/>
        <w:spacing w:line="360" w:lineRule="auto"/>
        <w:rPr>
          <w:rFonts w:hAnsi="宋体" w:cs="Arial"/>
          <w:sz w:val="30"/>
          <w:szCs w:val="30"/>
        </w:rPr>
      </w:pPr>
    </w:p>
    <w:p>
      <w:pPr>
        <w:pStyle w:val="7"/>
        <w:snapToGrid w:val="0"/>
        <w:spacing w:line="360" w:lineRule="auto"/>
        <w:rPr>
          <w:rFonts w:hint="eastAsia" w:hAnsi="宋体" w:cs="Arial"/>
          <w:sz w:val="30"/>
          <w:szCs w:val="30"/>
        </w:rPr>
      </w:pPr>
    </w:p>
    <w:p>
      <w:pPr>
        <w:pStyle w:val="7"/>
        <w:snapToGrid w:val="0"/>
        <w:spacing w:line="360" w:lineRule="auto"/>
        <w:rPr>
          <w:rFonts w:hAnsi="宋体" w:cs="Arial"/>
          <w:sz w:val="30"/>
          <w:szCs w:val="30"/>
        </w:rPr>
      </w:pPr>
    </w:p>
    <w:p>
      <w:pPr>
        <w:pStyle w:val="7"/>
        <w:snapToGrid w:val="0"/>
        <w:ind w:left="539" w:hanging="300"/>
        <w:jc w:val="center"/>
        <w:rPr>
          <w:rFonts w:hint="eastAsia" w:hAnsi="宋体" w:eastAsia="宋体" w:cs="Arial"/>
          <w:sz w:val="32"/>
          <w:szCs w:val="32"/>
          <w:lang w:eastAsia="zh-CN"/>
        </w:rPr>
      </w:pPr>
      <w:r>
        <w:rPr>
          <w:rFonts w:hint="eastAsia" w:hAnsi="宋体"/>
          <w:bCs/>
          <w:sz w:val="32"/>
          <w:szCs w:val="32"/>
          <w:lang w:eastAsia="zh-CN"/>
        </w:rPr>
        <w:t>中国人民健康保险股份有限公司上海分公司</w:t>
      </w:r>
    </w:p>
    <w:p>
      <w:pPr>
        <w:pStyle w:val="7"/>
        <w:snapToGrid w:val="0"/>
        <w:spacing w:line="360" w:lineRule="auto"/>
        <w:jc w:val="center"/>
        <w:rPr>
          <w:rFonts w:hAnsi="宋体" w:cs="Arial"/>
          <w:sz w:val="32"/>
          <w:szCs w:val="32"/>
        </w:rPr>
      </w:pPr>
    </w:p>
    <w:p>
      <w:pPr>
        <w:pStyle w:val="7"/>
        <w:snapToGrid w:val="0"/>
        <w:spacing w:line="360" w:lineRule="auto"/>
        <w:jc w:val="center"/>
        <w:rPr>
          <w:rFonts w:hAnsi="宋体" w:cs="Arial"/>
          <w:sz w:val="36"/>
          <w:szCs w:val="36"/>
        </w:rPr>
      </w:pPr>
      <w:r>
        <w:rPr>
          <w:rFonts w:hint="eastAsia" w:hAnsi="宋体" w:cs="Arial"/>
          <w:sz w:val="32"/>
          <w:szCs w:val="32"/>
          <w:lang w:val="en-US" w:eastAsia="zh-CN"/>
        </w:rPr>
        <w:t>2026</w:t>
      </w:r>
      <w:r>
        <w:rPr>
          <w:rFonts w:hAnsi="宋体" w:cs="Arial"/>
          <w:sz w:val="32"/>
          <w:szCs w:val="32"/>
        </w:rPr>
        <w:t>年</w:t>
      </w:r>
      <w:r>
        <w:rPr>
          <w:rFonts w:hint="eastAsia" w:hAnsi="宋体" w:cs="Arial"/>
          <w:sz w:val="32"/>
          <w:szCs w:val="32"/>
          <w:lang w:val="en-US" w:eastAsia="zh-CN"/>
        </w:rPr>
        <w:t>10</w:t>
      </w:r>
      <w:r>
        <w:rPr>
          <w:rFonts w:hAnsi="宋体" w:cs="Arial"/>
          <w:sz w:val="32"/>
          <w:szCs w:val="32"/>
        </w:rPr>
        <w:t>月</w:t>
      </w:r>
    </w:p>
    <w:p>
      <w:pPr>
        <w:pStyle w:val="7"/>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20"/>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4"/>
      <w:bookmarkStart w:id="1" w:name="_Toc241827233"/>
      <w:bookmarkStart w:id="2" w:name="_Toc86202580"/>
    </w:p>
    <w:p>
      <w:pPr>
        <w:pStyle w:val="10"/>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"_Toc19039757"</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第一章</w:t>
      </w:r>
      <w:r>
        <w:rPr>
          <w:rStyle w:val="17"/>
          <w:rFonts w:ascii="宋体" w:hAnsi="宋体"/>
          <w:color w:val="auto"/>
          <w:sz w:val="28"/>
          <w:szCs w:val="28"/>
        </w:rPr>
        <w:t xml:space="preserve"> </w:t>
      </w:r>
      <w:r>
        <w:rPr>
          <w:rStyle w:val="17"/>
          <w:rFonts w:hint="eastAsia" w:ascii="宋体" w:hAnsi="宋体"/>
          <w:color w:val="auto"/>
          <w:sz w:val="28"/>
          <w:szCs w:val="28"/>
          <w:lang w:eastAsia="zh-CN"/>
        </w:rPr>
        <w:t>比价采购公告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17"/>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"_Toc19039758"</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第二章</w:t>
      </w:r>
      <w:r>
        <w:rPr>
          <w:rStyle w:val="17"/>
          <w:rFonts w:ascii="宋体" w:hAnsi="宋体"/>
          <w:color w:val="auto"/>
          <w:sz w:val="28"/>
          <w:szCs w:val="28"/>
        </w:rPr>
        <w:t xml:space="preserve"> </w:t>
      </w:r>
      <w:r>
        <w:rPr>
          <w:rStyle w:val="17"/>
          <w:rFonts w:hint="eastAsia" w:ascii="宋体" w:hAnsi="宋体"/>
          <w:color w:val="auto"/>
          <w:sz w:val="28"/>
          <w:szCs w:val="28"/>
          <w:lang w:eastAsia="zh-CN"/>
        </w:rPr>
        <w:t>响应</w:t>
      </w:r>
      <w:r>
        <w:rPr>
          <w:rStyle w:val="17"/>
          <w:rFonts w:hint="eastAsia" w:ascii="宋体" w:hAnsi="宋体"/>
          <w:color w:val="auto"/>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17"/>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"_Toc19039759"</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第三章</w:t>
      </w:r>
      <w:r>
        <w:rPr>
          <w:rStyle w:val="17"/>
          <w:rFonts w:ascii="宋体" w:hAnsi="宋体"/>
          <w:color w:val="auto"/>
          <w:sz w:val="28"/>
          <w:szCs w:val="28"/>
        </w:rPr>
        <w:t xml:space="preserve"> </w:t>
      </w:r>
      <w:r>
        <w:rPr>
          <w:rStyle w:val="17"/>
          <w:rFonts w:hint="eastAsia" w:ascii="宋体" w:hAnsi="宋体"/>
          <w:color w:val="auto"/>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17"/>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"_Toc19039760"</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第四章</w:t>
      </w:r>
      <w:r>
        <w:rPr>
          <w:rStyle w:val="17"/>
          <w:rFonts w:ascii="宋体" w:hAnsi="宋体"/>
          <w:color w:val="auto"/>
          <w:sz w:val="28"/>
          <w:szCs w:val="28"/>
        </w:rPr>
        <w:t xml:space="preserve"> </w:t>
      </w:r>
      <w:r>
        <w:rPr>
          <w:rStyle w:val="17"/>
          <w:rFonts w:hint="eastAsia" w:ascii="宋体" w:hAnsi="宋体"/>
          <w:color w:val="auto"/>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17</w:t>
      </w:r>
      <w:r>
        <w:rPr>
          <w:rFonts w:ascii="宋体" w:hAnsi="宋体"/>
          <w:sz w:val="28"/>
          <w:szCs w:val="28"/>
        </w:rPr>
        <w:fldChar w:fldCharType="end"/>
      </w:r>
      <w:r>
        <w:rPr>
          <w:rStyle w:val="17"/>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"_Toc19039761"</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第五章</w:t>
      </w:r>
      <w:r>
        <w:rPr>
          <w:rStyle w:val="17"/>
          <w:rFonts w:ascii="宋体" w:hAnsi="宋体"/>
          <w:color w:val="auto"/>
          <w:sz w:val="28"/>
          <w:szCs w:val="28"/>
        </w:rPr>
        <w:t xml:space="preserve"> </w:t>
      </w:r>
      <w:r>
        <w:rPr>
          <w:rStyle w:val="17"/>
          <w:rFonts w:hint="eastAsia" w:ascii="宋体" w:hAnsi="宋体"/>
          <w:color w:val="auto"/>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17"/>
          <w:rFonts w:ascii="宋体" w:hAnsi="宋体"/>
          <w:color w:val="auto"/>
          <w:sz w:val="28"/>
          <w:szCs w:val="28"/>
        </w:rPr>
        <w:fldChar w:fldCharType="end"/>
      </w:r>
    </w:p>
    <w:p>
      <w:pPr>
        <w:pStyle w:val="10"/>
        <w:tabs>
          <w:tab w:val="right" w:leader="dot" w:pos="9062"/>
        </w:tabs>
        <w:spacing w:line="360" w:lineRule="auto"/>
        <w:rPr>
          <w:rFonts w:ascii="宋体" w:hAnsi="宋体" w:cs="Times New Roman"/>
          <w:bCs w:val="0"/>
          <w:caps w:val="0"/>
          <w:kern w:val="2"/>
          <w:sz w:val="28"/>
          <w:szCs w:val="28"/>
        </w:rPr>
      </w:pPr>
      <w:r>
        <w:rPr>
          <w:rStyle w:val="17"/>
          <w:rFonts w:ascii="宋体" w:hAnsi="宋体"/>
          <w:color w:val="auto"/>
          <w:sz w:val="28"/>
          <w:szCs w:val="28"/>
        </w:rPr>
        <w:fldChar w:fldCharType="begin"/>
      </w:r>
      <w:r>
        <w:rPr>
          <w:rStyle w:val="17"/>
          <w:rFonts w:ascii="宋体" w:hAnsi="宋体"/>
          <w:color w:val="auto"/>
          <w:sz w:val="28"/>
          <w:szCs w:val="28"/>
        </w:rPr>
        <w:instrText xml:space="preserve"> </w:instrText>
      </w:r>
      <w:r>
        <w:rPr>
          <w:rFonts w:ascii="宋体" w:hAnsi="宋体"/>
          <w:sz w:val="28"/>
          <w:szCs w:val="28"/>
        </w:rPr>
        <w:instrText xml:space="preserve">HYPERLINK \l "_Toc19039762"</w:instrText>
      </w:r>
      <w:r>
        <w:rPr>
          <w:rStyle w:val="17"/>
          <w:rFonts w:ascii="宋体" w:hAnsi="宋体"/>
          <w:color w:val="auto"/>
          <w:sz w:val="28"/>
          <w:szCs w:val="28"/>
        </w:rPr>
        <w:instrText xml:space="preserve"> </w:instrText>
      </w:r>
      <w:r>
        <w:rPr>
          <w:rStyle w:val="17"/>
          <w:rFonts w:ascii="宋体" w:hAnsi="宋体"/>
          <w:color w:val="auto"/>
          <w:sz w:val="28"/>
          <w:szCs w:val="28"/>
        </w:rPr>
        <w:fldChar w:fldCharType="separate"/>
      </w:r>
      <w:r>
        <w:rPr>
          <w:rStyle w:val="17"/>
          <w:rFonts w:hint="eastAsia" w:ascii="宋体" w:hAnsi="宋体"/>
          <w:color w:val="auto"/>
          <w:sz w:val="28"/>
          <w:szCs w:val="28"/>
        </w:rPr>
        <w:t>第六章</w:t>
      </w:r>
      <w:r>
        <w:rPr>
          <w:rStyle w:val="17"/>
          <w:rFonts w:ascii="宋体" w:hAnsi="宋体"/>
          <w:color w:val="auto"/>
          <w:sz w:val="28"/>
          <w:szCs w:val="28"/>
        </w:rPr>
        <w:t xml:space="preserve"> </w:t>
      </w:r>
      <w:r>
        <w:rPr>
          <w:rStyle w:val="17"/>
          <w:rFonts w:hint="eastAsia" w:ascii="宋体" w:hAnsi="宋体"/>
          <w:color w:val="auto"/>
          <w:sz w:val="28"/>
          <w:szCs w:val="28"/>
        </w:rPr>
        <w:t>附件</w:t>
      </w:r>
      <w:r>
        <w:rPr>
          <w:rStyle w:val="17"/>
          <w:rFonts w:ascii="宋体" w:hAnsi="宋体"/>
          <w:color w:val="auto"/>
          <w:sz w:val="28"/>
          <w:szCs w:val="28"/>
        </w:rPr>
        <w:t>-</w:t>
      </w:r>
      <w:r>
        <w:rPr>
          <w:rStyle w:val="17"/>
          <w:rFonts w:hint="eastAsia" w:ascii="宋体" w:hAnsi="宋体"/>
          <w:color w:val="auto"/>
          <w:sz w:val="28"/>
          <w:szCs w:val="28"/>
          <w:lang w:eastAsia="zh-CN"/>
        </w:rPr>
        <w:t>响应</w:t>
      </w:r>
      <w:r>
        <w:rPr>
          <w:rStyle w:val="17"/>
          <w:rFonts w:hint="eastAsia" w:ascii="宋体" w:hAnsi="宋体"/>
          <w:color w:val="auto"/>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19</w:t>
      </w:r>
      <w:r>
        <w:rPr>
          <w:rFonts w:ascii="宋体" w:hAnsi="宋体"/>
          <w:sz w:val="28"/>
          <w:szCs w:val="28"/>
        </w:rPr>
        <w:fldChar w:fldCharType="end"/>
      </w:r>
      <w:r>
        <w:rPr>
          <w:rStyle w:val="17"/>
          <w:rFonts w:ascii="宋体" w:hAnsi="宋体"/>
          <w:color w:val="auto"/>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21"/>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22"/>
        <w:ind w:firstLine="883"/>
        <w:jc w:val="center"/>
        <w:outlineLvl w:val="0"/>
        <w:rPr>
          <w:rFonts w:hint="eastAsia" w:eastAsia="宋体"/>
          <w:b/>
          <w:sz w:val="44"/>
          <w:szCs w:val="44"/>
          <w:lang w:eastAsia="zh-CN"/>
        </w:rPr>
      </w:pPr>
      <w:bookmarkStart w:id="3" w:name="_Toc421042642"/>
      <w:bookmarkStart w:id="4" w:name="_Toc421032040"/>
      <w:bookmarkStart w:id="5" w:name="_Toc19039757"/>
      <w:bookmarkStart w:id="6" w:name="_Toc18928242"/>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比价采购</w:t>
      </w:r>
      <w:bookmarkEnd w:id="5"/>
      <w:bookmarkEnd w:id="6"/>
      <w:r>
        <w:rPr>
          <w:rFonts w:hint="eastAsia"/>
          <w:b/>
          <w:sz w:val="44"/>
          <w:szCs w:val="44"/>
          <w:lang w:val="en-US" w:eastAsia="zh-CN"/>
        </w:rPr>
        <w:t>公告</w:t>
      </w:r>
    </w:p>
    <w:p>
      <w:pPr>
        <w:pStyle w:val="21"/>
      </w:pPr>
    </w:p>
    <w:p>
      <w:pPr>
        <w:pStyle w:val="7"/>
        <w:snapToGrid w:val="0"/>
        <w:spacing w:line="360" w:lineRule="auto"/>
        <w:rPr>
          <w:rFonts w:hAnsi="宋体" w:cs="Arial"/>
          <w:sz w:val="24"/>
        </w:rPr>
      </w:pPr>
      <w:r>
        <w:rPr>
          <w:rFonts w:hAnsi="宋体" w:cs="Arial"/>
          <w:sz w:val="24"/>
        </w:rPr>
        <w:t>1.</w:t>
      </w:r>
      <w:r>
        <w:rPr>
          <w:rFonts w:hint="eastAsia" w:hAnsi="宋体" w:cs="Arial"/>
          <w:sz w:val="24"/>
        </w:rPr>
        <w:t>项目名称：</w:t>
      </w:r>
      <w:r>
        <w:rPr>
          <w:rFonts w:hint="eastAsia" w:hAnsi="宋体" w:cs="Arial"/>
          <w:sz w:val="24"/>
          <w:lang w:val="en-US" w:eastAsia="zh-CN"/>
        </w:rPr>
        <w:t>人保健康上海分公司适老化改造服务采购项目</w:t>
      </w:r>
    </w:p>
    <w:p>
      <w:pPr>
        <w:pStyle w:val="7"/>
        <w:adjustRightInd w:val="0"/>
        <w:snapToGrid w:val="0"/>
        <w:spacing w:line="360" w:lineRule="auto"/>
        <w:rPr>
          <w:rFonts w:ascii="宋体" w:hAnsi="宋体"/>
          <w:sz w:val="32"/>
          <w:szCs w:val="32"/>
        </w:rPr>
      </w:pPr>
      <w:r>
        <w:rPr>
          <w:rFonts w:hint="eastAsia" w:hAnsi="宋体" w:cs="Arial"/>
          <w:sz w:val="24"/>
          <w:lang w:val="en-US" w:eastAsia="zh-CN"/>
        </w:rPr>
        <w:t>2</w:t>
      </w:r>
      <w:r>
        <w:rPr>
          <w:rFonts w:hAnsi="宋体" w:cs="Arial"/>
          <w:sz w:val="24"/>
        </w:rPr>
        <w:t>.</w:t>
      </w:r>
      <w:r>
        <w:rPr>
          <w:rFonts w:hint="eastAsia" w:hAnsi="宋体" w:cs="Arial"/>
          <w:sz w:val="24"/>
        </w:rPr>
        <w:t>采购主要内容</w:t>
      </w:r>
      <w:r>
        <w:rPr>
          <w:rFonts w:hint="eastAsia" w:hAnsi="宋体" w:cs="Arial"/>
          <w:sz w:val="24"/>
          <w:lang w:eastAsia="zh-CN"/>
        </w:rPr>
        <w:t>：适老化改造服务</w:t>
      </w:r>
      <w:r>
        <w:rPr>
          <w:rFonts w:hint="eastAsia" w:hAnsi="宋体" w:cs="Arial"/>
          <w:sz w:val="24"/>
        </w:rPr>
        <w:t>（具体采购内容及要求详见本</w:t>
      </w:r>
      <w:r>
        <w:rPr>
          <w:rFonts w:hint="eastAsia" w:hAnsi="宋体" w:cs="Arial"/>
          <w:sz w:val="24"/>
          <w:lang w:eastAsia="zh-CN"/>
        </w:rPr>
        <w:t>比价采购</w:t>
      </w:r>
      <w:r>
        <w:rPr>
          <w:rFonts w:hint="eastAsia" w:hAnsi="宋体" w:cs="Arial"/>
          <w:sz w:val="24"/>
        </w:rPr>
        <w:t>采购文件第三章项目需求）：</w:t>
      </w:r>
    </w:p>
    <w:p>
      <w:pPr>
        <w:widowControl/>
        <w:shd w:val="clear" w:color="auto" w:fill="FFFFFF"/>
        <w:snapToGrid w:val="0"/>
        <w:spacing w:line="360" w:lineRule="auto"/>
        <w:jc w:val="both"/>
        <w:textAlignment w:val="auto"/>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pPr>
        <w:pStyle w:val="23"/>
        <w:spacing w:line="360" w:lineRule="auto"/>
        <w:ind w:firstLine="0" w:firstLineChars="0"/>
        <w:contextualSpacing/>
        <w:rPr>
          <w:rFonts w:ascii="宋体" w:hAnsi="宋体" w:cs="Arial"/>
          <w:sz w:val="24"/>
        </w:rPr>
      </w:pPr>
      <w:r>
        <w:rPr>
          <w:rFonts w:hint="eastAsia" w:ascii="宋体" w:hAnsi="宋体" w:cs="Arial"/>
          <w:sz w:val="24"/>
          <w:lang w:val="en-US" w:eastAsia="zh-CN"/>
        </w:rPr>
        <w:t>3</w:t>
      </w:r>
      <w:r>
        <w:rPr>
          <w:rFonts w:ascii="宋体" w:hAnsi="宋体" w:cs="Arial"/>
          <w:sz w:val="24"/>
          <w:lang w:eastAsia="zh-CN"/>
        </w:rPr>
        <w:t>.1</w:t>
      </w:r>
      <w:r>
        <w:rPr>
          <w:rFonts w:hint="eastAsia" w:ascii="宋体" w:hAnsi="宋体" w:cs="Arial"/>
          <w:sz w:val="24"/>
          <w:lang w:eastAsia="zh-CN"/>
        </w:rPr>
        <w:t>响应方为</w:t>
      </w:r>
      <w:r>
        <w:rPr>
          <w:rFonts w:hint="eastAsia" w:ascii="宋体" w:hAnsi="宋体" w:cs="Arial"/>
          <w:sz w:val="24"/>
        </w:rPr>
        <w:t>在中华人民共和国境内依照《中华人民共和国公司法》注册的具有独立法人资格的企业（须在</w:t>
      </w:r>
      <w:r>
        <w:rPr>
          <w:rFonts w:hint="eastAsia" w:ascii="宋体" w:hAnsi="宋体" w:cs="Arial"/>
          <w:sz w:val="24"/>
          <w:lang w:eastAsia="zh-CN"/>
        </w:rPr>
        <w:t>响应</w:t>
      </w:r>
      <w:r>
        <w:rPr>
          <w:rFonts w:hint="eastAsia" w:ascii="宋体" w:hAnsi="宋体" w:cs="Arial"/>
          <w:sz w:val="24"/>
        </w:rPr>
        <w:t>文件中提供营业执照复印件，并加盖</w:t>
      </w:r>
      <w:r>
        <w:rPr>
          <w:rFonts w:hint="eastAsia" w:ascii="宋体" w:hAnsi="宋体" w:cs="Arial"/>
          <w:sz w:val="24"/>
          <w:lang w:eastAsia="zh-CN"/>
        </w:rPr>
        <w:t>响应</w:t>
      </w:r>
      <w:r>
        <w:rPr>
          <w:rFonts w:hint="eastAsia" w:ascii="宋体" w:hAnsi="宋体" w:cs="Arial"/>
          <w:sz w:val="24"/>
        </w:rPr>
        <w:t>方公章）；</w:t>
      </w:r>
    </w:p>
    <w:p>
      <w:pPr>
        <w:pStyle w:val="23"/>
        <w:spacing w:line="360" w:lineRule="auto"/>
        <w:ind w:firstLine="0" w:firstLineChars="0"/>
        <w:contextualSpacing/>
        <w:rPr>
          <w:rFonts w:ascii="宋体" w:hAnsi="宋体" w:cs="Arial"/>
          <w:sz w:val="24"/>
        </w:rPr>
      </w:pPr>
      <w:r>
        <w:rPr>
          <w:rFonts w:hint="eastAsia" w:ascii="宋体" w:hAnsi="宋体" w:cs="Arial"/>
          <w:sz w:val="24"/>
          <w:szCs w:val="21"/>
          <w:lang w:val="en-US" w:eastAsia="zh-CN"/>
        </w:rPr>
        <w:t>3</w:t>
      </w:r>
      <w:r>
        <w:rPr>
          <w:rFonts w:ascii="宋体" w:hAnsi="宋体" w:cs="Arial"/>
          <w:sz w:val="24"/>
          <w:szCs w:val="21"/>
          <w:lang w:eastAsia="zh-CN"/>
        </w:rPr>
        <w:t>.2</w:t>
      </w:r>
      <w:r>
        <w:rPr>
          <w:rFonts w:hint="eastAsia" w:ascii="宋体" w:hAnsi="宋体" w:cs="Arial"/>
          <w:sz w:val="24"/>
          <w:lang w:eastAsia="zh-CN"/>
        </w:rPr>
        <w:t>响应</w:t>
      </w:r>
      <w:r>
        <w:rPr>
          <w:rFonts w:ascii="宋体" w:hAnsi="宋体" w:cs="Arial"/>
          <w:sz w:val="24"/>
          <w:lang w:eastAsia="zh-CN"/>
        </w:rPr>
        <w:t>方</w:t>
      </w:r>
      <w:r>
        <w:rPr>
          <w:rFonts w:hint="eastAsia" w:ascii="宋体" w:hAnsi="宋体" w:cs="Arial"/>
          <w:sz w:val="24"/>
          <w:lang w:eastAsia="zh-CN"/>
        </w:rPr>
        <w:t>银行资信证明（非存款证明，要求正本或自</w:t>
      </w:r>
      <w:r>
        <w:rPr>
          <w:rFonts w:hint="eastAsia" w:ascii="宋体" w:hAnsi="宋体" w:cs="Arial"/>
          <w:sz w:val="24"/>
          <w:lang w:val="en-US" w:eastAsia="zh-CN"/>
        </w:rPr>
        <w:t>响应文件递交截止</w:t>
      </w:r>
      <w:r>
        <w:rPr>
          <w:rFonts w:hint="eastAsia" w:ascii="宋体" w:hAnsi="宋体" w:cs="Arial"/>
          <w:sz w:val="24"/>
          <w:lang w:eastAsia="zh-CN"/>
        </w:rPr>
        <w:t>日起</w:t>
      </w:r>
      <w:r>
        <w:rPr>
          <w:rFonts w:hint="eastAsia" w:ascii="宋体" w:hAnsi="宋体" w:cs="Arial"/>
          <w:sz w:val="24"/>
          <w:lang w:val="en-US" w:eastAsia="zh-CN"/>
        </w:rPr>
        <w:t>6</w:t>
      </w:r>
      <w:r>
        <w:rPr>
          <w:rFonts w:hint="eastAsia" w:ascii="宋体" w:hAnsi="宋体" w:cs="Arial"/>
          <w:sz w:val="24"/>
          <w:lang w:eastAsia="zh-CN"/>
        </w:rPr>
        <w:t>个月内的复印件）</w:t>
      </w:r>
      <w:r>
        <w:rPr>
          <w:rFonts w:hint="eastAsia" w:ascii="宋体" w:hAnsi="宋体" w:cs="Arial"/>
          <w:b/>
          <w:bCs/>
          <w:sz w:val="24"/>
          <w:lang w:eastAsia="zh-CN"/>
        </w:rPr>
        <w:t>或</w:t>
      </w:r>
      <w:r>
        <w:rPr>
          <w:rFonts w:hint="eastAsia" w:ascii="宋体" w:hAnsi="宋体" w:cs="Arial"/>
          <w:b w:val="0"/>
          <w:bCs w:val="0"/>
          <w:sz w:val="24"/>
          <w:lang w:eastAsia="zh-CN"/>
        </w:rPr>
        <w:t>近</w:t>
      </w:r>
      <w:r>
        <w:rPr>
          <w:rFonts w:hint="eastAsia" w:ascii="宋体" w:hAnsi="宋体" w:cs="Arial"/>
          <w:b w:val="0"/>
          <w:bCs w:val="0"/>
          <w:sz w:val="24"/>
          <w:lang w:val="en-US" w:eastAsia="zh-CN"/>
        </w:rPr>
        <w:t>3</w:t>
      </w:r>
      <w:r>
        <w:rPr>
          <w:rFonts w:hint="eastAsia" w:ascii="宋体" w:hAnsi="宋体" w:cs="Arial"/>
          <w:b w:val="0"/>
          <w:bCs w:val="0"/>
          <w:sz w:val="24"/>
          <w:lang w:eastAsia="zh-CN"/>
        </w:rPr>
        <w:t>年</w:t>
      </w:r>
      <w:r>
        <w:rPr>
          <w:rFonts w:ascii="宋体" w:hAnsi="宋体" w:cs="Arial"/>
          <w:sz w:val="24"/>
          <w:lang w:eastAsia="zh-CN"/>
        </w:rPr>
        <w:t>年度经会计师事务所审计的财务报告（至少包括审计单位盖章页、资产负债表、利润表、现金流量表）复印件</w:t>
      </w:r>
      <w:r>
        <w:rPr>
          <w:rFonts w:hint="eastAsia" w:ascii="宋体" w:hAnsi="宋体" w:cs="Arial"/>
          <w:sz w:val="24"/>
          <w:lang w:eastAsia="zh-CN"/>
        </w:rPr>
        <w:t>，相关资料须加盖响应方公章；</w:t>
      </w:r>
    </w:p>
    <w:p>
      <w:pPr>
        <w:pStyle w:val="23"/>
        <w:spacing w:line="360" w:lineRule="auto"/>
        <w:ind w:firstLine="0" w:firstLineChars="0"/>
        <w:contextualSpacing/>
        <w:rPr>
          <w:rFonts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.3</w:t>
      </w:r>
      <w:r>
        <w:rPr>
          <w:rFonts w:hint="eastAsia" w:ascii="宋体" w:hAnsi="宋体" w:cs="Arial"/>
          <w:sz w:val="24"/>
          <w:lang w:eastAsia="zh-CN"/>
        </w:rPr>
        <w:t>响应方</w:t>
      </w:r>
      <w:r>
        <w:rPr>
          <w:rFonts w:ascii="宋体" w:hAnsi="宋体" w:cs="Arial"/>
          <w:sz w:val="24"/>
          <w:lang w:eastAsia="zh-CN"/>
        </w:rPr>
        <w:t>应经营状况良好，且</w:t>
      </w:r>
      <w:r>
        <w:rPr>
          <w:rFonts w:ascii="宋体" w:hAnsi="宋体" w:cs="Arial"/>
          <w:sz w:val="24"/>
          <w:highlight w:val="none"/>
          <w:lang w:eastAsia="zh-CN"/>
        </w:rPr>
        <w:t>近</w:t>
      </w:r>
      <w:r>
        <w:rPr>
          <w:rFonts w:hint="eastAsia" w:ascii="宋体" w:hAnsi="宋体" w:cs="Arial"/>
          <w:sz w:val="24"/>
          <w:highlight w:val="none"/>
          <w:lang w:val="en-US" w:eastAsia="zh-CN"/>
        </w:rPr>
        <w:t>3</w:t>
      </w:r>
      <w:r>
        <w:rPr>
          <w:rFonts w:ascii="宋体" w:hAnsi="宋体" w:cs="Arial"/>
          <w:sz w:val="24"/>
          <w:highlight w:val="none"/>
          <w:lang w:eastAsia="zh-CN"/>
        </w:rPr>
        <w:t>年内（202</w:t>
      </w:r>
      <w:r>
        <w:rPr>
          <w:rFonts w:hint="eastAsia" w:ascii="宋体" w:hAnsi="宋体" w:cs="Arial"/>
          <w:sz w:val="24"/>
          <w:highlight w:val="none"/>
          <w:lang w:val="en-US" w:eastAsia="zh-CN"/>
        </w:rPr>
        <w:t>3</w:t>
      </w:r>
      <w:r>
        <w:rPr>
          <w:rFonts w:ascii="宋体" w:hAnsi="宋体" w:cs="Arial"/>
          <w:sz w:val="24"/>
          <w:highlight w:val="none"/>
          <w:lang w:eastAsia="zh-CN"/>
        </w:rPr>
        <w:t>年</w:t>
      </w:r>
      <w:r>
        <w:rPr>
          <w:rFonts w:hint="eastAsia" w:ascii="宋体" w:hAnsi="宋体" w:cs="Arial"/>
          <w:sz w:val="24"/>
          <w:highlight w:val="none"/>
          <w:lang w:val="en-US" w:eastAsia="zh-CN"/>
        </w:rPr>
        <w:t>10</w:t>
      </w:r>
      <w:r>
        <w:rPr>
          <w:rFonts w:ascii="宋体" w:hAnsi="宋体" w:cs="Arial"/>
          <w:sz w:val="24"/>
          <w:highlight w:val="none"/>
          <w:lang w:eastAsia="zh-CN"/>
        </w:rPr>
        <w:t>月1日至</w:t>
      </w:r>
      <w:bookmarkStart w:id="7" w:name="OLE_LINK2"/>
      <w:r>
        <w:rPr>
          <w:rFonts w:hint="eastAsia" w:ascii="宋体" w:hAnsi="宋体" w:cs="Arial"/>
          <w:sz w:val="24"/>
          <w:highlight w:val="none"/>
          <w:lang w:val="en-US" w:eastAsia="zh-CN"/>
        </w:rPr>
        <w:t>响应文件递交截</w:t>
      </w:r>
      <w:r>
        <w:rPr>
          <w:rFonts w:hint="eastAsia" w:ascii="宋体" w:hAnsi="宋体" w:cs="Arial"/>
          <w:sz w:val="24"/>
          <w:lang w:val="en-US" w:eastAsia="zh-CN"/>
        </w:rPr>
        <w:t>止</w:t>
      </w:r>
      <w:r>
        <w:rPr>
          <w:rFonts w:ascii="宋体" w:hAnsi="宋体" w:cs="Arial"/>
          <w:sz w:val="24"/>
          <w:lang w:eastAsia="zh-CN"/>
        </w:rPr>
        <w:t>日</w:t>
      </w:r>
      <w:bookmarkEnd w:id="7"/>
      <w:r>
        <w:rPr>
          <w:rFonts w:ascii="宋体" w:hAnsi="宋体" w:cs="Arial"/>
          <w:sz w:val="24"/>
          <w:lang w:eastAsia="zh-CN"/>
        </w:rPr>
        <w:t>）无违法违规记录。违法违规记录是指被“信用中国”列入失信被执行人、重大税收违法失信主体、政府采购严重违法失信行为记录名单。</w:t>
      </w:r>
      <w:r>
        <w:rPr>
          <w:rFonts w:hint="eastAsia" w:ascii="宋体" w:hAnsi="宋体" w:cs="Arial"/>
          <w:sz w:val="24"/>
          <w:lang w:eastAsia="zh-CN"/>
        </w:rPr>
        <w:t>响应方</w:t>
      </w:r>
      <w:r>
        <w:rPr>
          <w:rFonts w:ascii="宋体" w:hAnsi="宋体" w:cs="Arial"/>
          <w:sz w:val="24"/>
          <w:lang w:eastAsia="zh-CN"/>
        </w:rPr>
        <w:t>需提供自招标公告发布之日至</w:t>
      </w:r>
      <w:r>
        <w:rPr>
          <w:rFonts w:hint="eastAsia" w:ascii="宋体" w:hAnsi="宋体" w:cs="Arial"/>
          <w:sz w:val="24"/>
          <w:lang w:val="en-US" w:eastAsia="zh-CN"/>
        </w:rPr>
        <w:t>响应文件递交截止</w:t>
      </w:r>
      <w:r>
        <w:rPr>
          <w:rFonts w:ascii="宋体" w:hAnsi="宋体" w:cs="Arial"/>
          <w:sz w:val="24"/>
          <w:lang w:eastAsia="zh-CN"/>
        </w:rPr>
        <w:t xml:space="preserve">日期间对以上三项内容的查询截图。 </w:t>
      </w:r>
    </w:p>
    <w:p>
      <w:pPr>
        <w:pStyle w:val="23"/>
        <w:spacing w:line="360" w:lineRule="auto"/>
        <w:ind w:firstLine="0" w:firstLineChars="0"/>
        <w:contextualSpacing/>
        <w:rPr>
          <w:rFonts w:ascii="宋体" w:hAnsi="宋体" w:cs="Arial"/>
          <w:sz w:val="24"/>
          <w:lang w:val="en-US" w:eastAsia="zh-CN"/>
        </w:rPr>
      </w:pPr>
      <w:r>
        <w:rPr>
          <w:rFonts w:hint="eastAsia" w:ascii="宋体" w:hAnsi="宋体" w:cs="Arial"/>
          <w:sz w:val="24"/>
          <w:lang w:eastAsia="zh-CN"/>
        </w:rPr>
        <w:t>信用中国查询网址：https://www.creditchina.gov.cn/xinyongfuwu/?navPage=5</w:t>
      </w:r>
      <w:r>
        <w:rPr>
          <w:rFonts w:ascii="宋体" w:hAnsi="宋体" w:cs="Arial"/>
          <w:sz w:val="24"/>
        </w:rPr>
        <w:t xml:space="preserve"> </w:t>
      </w:r>
    </w:p>
    <w:p>
      <w:pPr>
        <w:pStyle w:val="23"/>
        <w:spacing w:line="360" w:lineRule="auto"/>
        <w:ind w:firstLine="0" w:firstLineChars="0"/>
        <w:contextualSpacing/>
        <w:rPr>
          <w:rFonts w:hint="eastAsia" w:ascii="宋体" w:hAnsi="宋体" w:cs="Arial"/>
          <w:sz w:val="24"/>
          <w:lang w:eastAsia="zh-CN"/>
        </w:rPr>
      </w:pPr>
      <w:r>
        <w:rPr>
          <w:rFonts w:hint="eastAsia" w:ascii="宋体" w:hAnsi="宋体" w:cs="Arial"/>
          <w:sz w:val="24"/>
          <w:lang w:val="en-US" w:eastAsia="zh-CN"/>
        </w:rPr>
        <w:t>3</w:t>
      </w:r>
      <w:r>
        <w:rPr>
          <w:rFonts w:ascii="宋体" w:hAnsi="宋体" w:cs="Arial"/>
          <w:sz w:val="24"/>
          <w:lang w:eastAsia="zh-CN"/>
        </w:rPr>
        <w:t>.4</w:t>
      </w:r>
      <w:r>
        <w:rPr>
          <w:rFonts w:hint="eastAsia" w:ascii="宋体" w:hAnsi="宋体" w:cs="Arial"/>
          <w:sz w:val="24"/>
          <w:lang w:eastAsia="zh-CN"/>
        </w:rPr>
        <w:t>响应方需承诺能够提供本次项目所有服务需求，并具备项目服务实施能力，并出具承诺函（需盖公章，格式自拟）</w:t>
      </w:r>
    </w:p>
    <w:p>
      <w:pPr>
        <w:pStyle w:val="5"/>
        <w:keepNext w:val="0"/>
        <w:keepLines w:val="0"/>
        <w:pageBreakBefore w:val="0"/>
        <w:widowControl w:val="0"/>
        <w:shd w:val="clear" w:color="auto" w:fill="FFFFFF" w:themeFill="background1"/>
        <w:kinsoku/>
        <w:wordWrap/>
        <w:overflowPunct/>
        <w:topLinePunct w:val="0"/>
        <w:autoSpaceDE/>
        <w:autoSpaceDN/>
        <w:bidi w:val="0"/>
        <w:adjustRightInd w:val="0"/>
        <w:snapToGrid/>
        <w:spacing w:line="360" w:lineRule="auto"/>
        <w:ind w:left="0" w:leftChars="0" w:firstLine="0" w:firstLineChars="0"/>
        <w:textAlignment w:val="baseline"/>
        <w:rPr>
          <w:rFonts w:hint="default" w:ascii="宋体" w:hAnsi="宋体" w:cs="Arial"/>
          <w:sz w:val="24"/>
          <w:highlight w:val="none"/>
          <w:lang w:val="en-US" w:eastAsia="zh-CN"/>
        </w:rPr>
      </w:pPr>
      <w:r>
        <w:rPr>
          <w:rFonts w:hint="eastAsia" w:ascii="宋体" w:hAnsi="宋体" w:cs="Arial"/>
          <w:sz w:val="24"/>
          <w:highlight w:val="none"/>
          <w:lang w:val="en-US" w:eastAsia="zh-CN"/>
        </w:rPr>
        <w:t>3.5响应方应具备履行合同必备的技术能力，</w:t>
      </w:r>
      <w:r>
        <w:rPr>
          <w:rFonts w:hint="eastAsia" w:ascii="宋体" w:hAnsi="宋体" w:eastAsia="宋体" w:cs="Arial"/>
          <w:sz w:val="24"/>
          <w:highlight w:val="none"/>
          <w:lang w:val="en-US" w:eastAsia="zh-CN"/>
        </w:rPr>
        <w:t>具备</w:t>
      </w:r>
      <w:r>
        <w:rPr>
          <w:rFonts w:hint="eastAsia" w:ascii="宋体" w:hAnsi="宋体" w:cs="Arial"/>
          <w:sz w:val="24"/>
          <w:highlight w:val="none"/>
          <w:lang w:val="en-US" w:eastAsia="zh-CN"/>
        </w:rPr>
        <w:t>相应行业资质，以及有效的资质</w:t>
      </w:r>
      <w:r>
        <w:rPr>
          <w:rFonts w:hint="eastAsia" w:ascii="宋体" w:hAnsi="宋体" w:eastAsia="宋体" w:cs="Arial"/>
          <w:sz w:val="24"/>
          <w:highlight w:val="none"/>
          <w:lang w:val="en-US" w:eastAsia="zh-CN"/>
        </w:rPr>
        <w:t>相关证书复印件并</w:t>
      </w:r>
      <w:r>
        <w:rPr>
          <w:rFonts w:hint="eastAsia" w:ascii="宋体" w:hAnsi="宋体" w:cs="Arial"/>
          <w:sz w:val="24"/>
          <w:highlight w:val="none"/>
          <w:lang w:eastAsia="zh-CN"/>
        </w:rPr>
        <w:t>加盖响应方公章</w:t>
      </w:r>
      <w:r>
        <w:rPr>
          <w:rFonts w:hint="eastAsia" w:ascii="宋体" w:hAnsi="宋体" w:eastAsia="宋体" w:cs="Arial"/>
          <w:sz w:val="24"/>
          <w:highlight w:val="none"/>
          <w:lang w:val="en-US" w:eastAsia="zh-CN"/>
        </w:rPr>
        <w:t>。</w:t>
      </w:r>
    </w:p>
    <w:p>
      <w:pPr>
        <w:pStyle w:val="23"/>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6</w:t>
      </w:r>
      <w:r>
        <w:rPr>
          <w:rFonts w:hint="eastAsia" w:ascii="宋体" w:hAnsi="宋体" w:cs="Arial"/>
          <w:sz w:val="24"/>
          <w:highlight w:val="none"/>
        </w:rPr>
        <w:t>法定代表人为同一个人的两个及两个以上法人，母公司、全资子公司及其控股公司，都不得在本项目中同时</w:t>
      </w:r>
      <w:r>
        <w:rPr>
          <w:rFonts w:hint="eastAsia" w:ascii="宋体" w:hAnsi="宋体" w:cs="Arial"/>
          <w:sz w:val="24"/>
          <w:highlight w:val="none"/>
          <w:lang w:eastAsia="zh-CN"/>
        </w:rPr>
        <w:t>响应</w:t>
      </w:r>
      <w:r>
        <w:rPr>
          <w:rFonts w:hint="eastAsia" w:ascii="宋体" w:hAnsi="宋体" w:cs="Arial"/>
          <w:sz w:val="24"/>
          <w:highlight w:val="none"/>
        </w:rPr>
        <w:t>。</w:t>
      </w:r>
    </w:p>
    <w:p>
      <w:pPr>
        <w:pStyle w:val="23"/>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7</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23"/>
        <w:spacing w:line="360" w:lineRule="auto"/>
        <w:ind w:firstLine="0" w:firstLineChars="0"/>
        <w:contextualSpacing/>
        <w:rPr>
          <w:rFonts w:ascii="宋体" w:hAnsi="宋体" w:cs="宋体"/>
          <w:sz w:val="24"/>
          <w:highlight w:val="none"/>
        </w:rPr>
      </w:pPr>
      <w:r>
        <w:rPr>
          <w:rFonts w:hint="eastAsia" w:ascii="宋体" w:hAnsi="宋体" w:cs="Arial"/>
          <w:sz w:val="24"/>
          <w:highlight w:val="none"/>
          <w:lang w:val="en-US" w:eastAsia="zh-CN"/>
        </w:rPr>
        <w:t>3</w:t>
      </w:r>
      <w:r>
        <w:rPr>
          <w:rFonts w:ascii="宋体" w:hAnsi="宋体" w:cs="Arial"/>
          <w:sz w:val="24"/>
          <w:highlight w:val="none"/>
        </w:rPr>
        <w:t>.</w:t>
      </w:r>
      <w:r>
        <w:rPr>
          <w:rFonts w:hint="eastAsia" w:ascii="宋体" w:hAnsi="宋体" w:cs="Arial"/>
          <w:sz w:val="24"/>
          <w:highlight w:val="none"/>
          <w:lang w:val="en-US" w:eastAsia="zh-CN"/>
        </w:rPr>
        <w:t>8</w:t>
      </w:r>
      <w:r>
        <w:rPr>
          <w:rFonts w:hint="eastAsia" w:ascii="宋体" w:hAnsi="宋体" w:cs="Arial"/>
          <w:sz w:val="24"/>
          <w:highlight w:val="none"/>
          <w:lang w:eastAsia="zh-CN"/>
        </w:rPr>
        <w:t>响应方</w:t>
      </w:r>
      <w:r>
        <w:rPr>
          <w:rFonts w:hint="eastAsia" w:ascii="宋体" w:hAnsi="宋体" w:cs="Arial"/>
          <w:sz w:val="24"/>
          <w:highlight w:val="none"/>
        </w:rPr>
        <w:t>应能开具增值税专用发票（须在</w:t>
      </w:r>
      <w:r>
        <w:rPr>
          <w:rFonts w:hint="eastAsia" w:ascii="宋体" w:hAnsi="宋体" w:cs="Arial"/>
          <w:sz w:val="24"/>
          <w:highlight w:val="none"/>
          <w:lang w:eastAsia="zh-CN"/>
        </w:rPr>
        <w:t>响应</w:t>
      </w:r>
      <w:r>
        <w:rPr>
          <w:rFonts w:ascii="宋体" w:hAnsi="宋体" w:cs="Arial"/>
          <w:sz w:val="24"/>
          <w:highlight w:val="none"/>
        </w:rPr>
        <w:t>文件中</w:t>
      </w:r>
      <w:r>
        <w:rPr>
          <w:rFonts w:hint="eastAsia" w:ascii="宋体" w:hAnsi="宋体" w:cs="宋体"/>
          <w:sz w:val="24"/>
          <w:highlight w:val="none"/>
        </w:rPr>
        <w:t>提供能够开具正规合法的增值税专用发票承诺书</w:t>
      </w:r>
      <w:r>
        <w:rPr>
          <w:rFonts w:ascii="宋体" w:hAnsi="宋体" w:cs="宋体"/>
          <w:sz w:val="24"/>
          <w:highlight w:val="none"/>
        </w:rPr>
        <w:t>）</w:t>
      </w:r>
      <w:r>
        <w:rPr>
          <w:rFonts w:hint="eastAsia" w:ascii="宋体" w:hAnsi="宋体" w:cs="宋体"/>
          <w:sz w:val="24"/>
          <w:highlight w:val="none"/>
        </w:rPr>
        <w:t>。</w:t>
      </w:r>
    </w:p>
    <w:p>
      <w:pPr>
        <w:spacing w:line="360" w:lineRule="auto"/>
        <w:rPr>
          <w:rFonts w:ascii="宋体" w:hAnsi="宋体" w:cs="Arial"/>
          <w:szCs w:val="21"/>
        </w:rPr>
      </w:pPr>
      <w:r>
        <w:rPr>
          <w:rFonts w:hint="eastAsia" w:ascii="宋体" w:hAnsi="宋体" w:cs="宋体"/>
          <w:szCs w:val="21"/>
          <w:lang w:val="en-US" w:eastAsia="zh-CN"/>
        </w:rPr>
        <w:t>3</w:t>
      </w:r>
      <w:r>
        <w:rPr>
          <w:rFonts w:ascii="宋体" w:hAnsi="宋体" w:cs="宋体"/>
          <w:szCs w:val="21"/>
        </w:rPr>
        <w:t>.</w:t>
      </w:r>
      <w:r>
        <w:rPr>
          <w:rFonts w:hint="eastAsia" w:ascii="宋体" w:hAnsi="宋体" w:cs="宋体"/>
          <w:szCs w:val="21"/>
          <w:lang w:val="en-US" w:eastAsia="zh-CN"/>
        </w:rPr>
        <w:t>9</w:t>
      </w:r>
      <w:r>
        <w:rPr>
          <w:rFonts w:hint="eastAsia" w:ascii="宋体" w:hAnsi="宋体" w:cs="Arial"/>
          <w:szCs w:val="21"/>
          <w:lang w:eastAsia="zh-CN"/>
        </w:rPr>
        <w:t>响应</w:t>
      </w:r>
      <w:r>
        <w:rPr>
          <w:rFonts w:hint="eastAsia" w:ascii="宋体" w:hAnsi="宋体" w:cs="Arial"/>
          <w:szCs w:val="21"/>
        </w:rPr>
        <w:t>方</w:t>
      </w:r>
      <w:r>
        <w:rPr>
          <w:rFonts w:ascii="宋体" w:hAnsi="宋体" w:cs="Arial"/>
          <w:szCs w:val="21"/>
        </w:rPr>
        <w:t>应依法缴纳税收和社会保障资金</w:t>
      </w:r>
      <w:r>
        <w:rPr>
          <w:rFonts w:hint="eastAsia" w:ascii="宋体" w:hAnsi="宋体" w:cs="Arial"/>
          <w:szCs w:val="21"/>
          <w:lang w:eastAsia="zh-CN"/>
        </w:rPr>
        <w:t>，提供近</w:t>
      </w:r>
      <w:r>
        <w:rPr>
          <w:rFonts w:hint="eastAsia" w:ascii="宋体" w:hAnsi="宋体" w:cs="Arial"/>
          <w:szCs w:val="21"/>
          <w:lang w:val="en-US" w:eastAsia="zh-CN"/>
        </w:rPr>
        <w:t>6</w:t>
      </w:r>
      <w:r>
        <w:rPr>
          <w:rFonts w:hint="eastAsia" w:ascii="宋体" w:hAnsi="宋体" w:cs="Arial"/>
          <w:szCs w:val="21"/>
          <w:lang w:eastAsia="zh-CN"/>
        </w:rPr>
        <w:t>个月任意一个月的税收</w:t>
      </w:r>
      <w:r>
        <w:rPr>
          <w:rFonts w:hint="eastAsia" w:ascii="宋体" w:hAnsi="宋体" w:cs="Arial"/>
          <w:b/>
          <w:bCs/>
          <w:szCs w:val="21"/>
          <w:highlight w:val="none"/>
          <w:lang w:eastAsia="zh-CN"/>
        </w:rPr>
        <w:t>和</w:t>
      </w:r>
      <w:r>
        <w:rPr>
          <w:rFonts w:hint="eastAsia" w:ascii="宋体" w:hAnsi="宋体" w:cs="Arial"/>
          <w:szCs w:val="21"/>
          <w:lang w:eastAsia="zh-CN"/>
        </w:rPr>
        <w:t>社会保障资金缴纳凭证。</w:t>
      </w:r>
      <w:r>
        <w:rPr>
          <w:rFonts w:hint="eastAsia" w:ascii="宋体" w:hAnsi="宋体" w:cs="Arial"/>
          <w:szCs w:val="21"/>
        </w:rPr>
        <w:t>（须在</w:t>
      </w:r>
      <w:r>
        <w:rPr>
          <w:rFonts w:hint="eastAsia" w:ascii="宋体" w:hAnsi="宋体" w:cs="Arial"/>
          <w:szCs w:val="21"/>
          <w:lang w:eastAsia="zh-CN"/>
        </w:rPr>
        <w:t>比价采购响应</w:t>
      </w:r>
      <w:r>
        <w:rPr>
          <w:rFonts w:hint="eastAsia" w:ascii="宋体" w:hAnsi="宋体" w:cs="Arial"/>
          <w:szCs w:val="21"/>
        </w:rPr>
        <w:t>文件中提供依法缴纳税收和社会保险承诺书并加盖</w:t>
      </w:r>
      <w:r>
        <w:rPr>
          <w:rFonts w:hint="eastAsia" w:ascii="宋体" w:hAnsi="宋体" w:cs="Arial"/>
          <w:szCs w:val="21"/>
          <w:lang w:eastAsia="zh-CN"/>
        </w:rPr>
        <w:t>响应</w:t>
      </w:r>
      <w:r>
        <w:rPr>
          <w:rFonts w:hint="eastAsia" w:ascii="宋体" w:hAnsi="宋体" w:cs="Arial"/>
          <w:szCs w:val="21"/>
        </w:rPr>
        <w:t>方公章）。</w:t>
      </w:r>
    </w:p>
    <w:p>
      <w:pPr>
        <w:spacing w:line="360" w:lineRule="auto"/>
        <w:rPr>
          <w:rFonts w:ascii="宋体" w:hAnsi="宋体" w:cs="Arial"/>
          <w:sz w:val="21"/>
          <w:szCs w:val="21"/>
          <w:u w:val="none" w:color="FF0000"/>
        </w:rPr>
      </w:pPr>
      <w:r>
        <w:rPr>
          <w:rFonts w:hint="eastAsia" w:ascii="宋体" w:hAnsi="宋体" w:cs="Arial"/>
          <w:u w:val="none" w:color="FF0000"/>
          <w:lang w:val="en-US" w:eastAsia="zh-CN"/>
        </w:rPr>
        <w:t>3</w:t>
      </w:r>
      <w:r>
        <w:rPr>
          <w:rFonts w:ascii="宋体" w:hAnsi="宋体" w:cs="Arial"/>
          <w:u w:val="none" w:color="FF0000"/>
        </w:rPr>
        <w:t>.</w:t>
      </w:r>
      <w:r>
        <w:rPr>
          <w:rFonts w:hint="eastAsia" w:ascii="宋体" w:hAnsi="宋体" w:cs="Arial"/>
          <w:u w:val="none" w:color="FF0000"/>
          <w:lang w:val="en-US" w:eastAsia="zh-CN"/>
        </w:rPr>
        <w:t>10</w:t>
      </w:r>
      <w:r>
        <w:rPr>
          <w:rFonts w:hint="eastAsia" w:ascii="宋体" w:hAnsi="宋体" w:cs="Arial"/>
          <w:szCs w:val="21"/>
          <w:u w:val="none" w:color="FF0000"/>
        </w:rPr>
        <w:t>本项目</w:t>
      </w:r>
      <w:r>
        <w:rPr>
          <w:rFonts w:ascii="宋体" w:hAnsi="宋体" w:cs="Arial"/>
          <w:szCs w:val="21"/>
          <w:u w:val="none" w:color="FF0000"/>
        </w:rPr>
        <w:t>不接受联合体</w:t>
      </w:r>
      <w:r>
        <w:rPr>
          <w:rFonts w:hint="eastAsia" w:ascii="宋体" w:hAnsi="宋体" w:cs="Arial"/>
          <w:szCs w:val="21"/>
          <w:u w:val="none" w:color="FF0000"/>
          <w:lang w:eastAsia="zh-CN"/>
        </w:rPr>
        <w:t>响应</w:t>
      </w:r>
      <w:r>
        <w:rPr>
          <w:rFonts w:ascii="宋体" w:hAnsi="宋体" w:cs="Arial"/>
          <w:szCs w:val="21"/>
          <w:u w:val="none" w:color="FF0000"/>
        </w:rPr>
        <w:t>。</w:t>
      </w:r>
    </w:p>
    <w:p>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3"/>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23</w:t>
      </w:r>
      <w:bookmarkStart w:id="450" w:name="_GoBack"/>
      <w:bookmarkEnd w:id="450"/>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27</w:t>
      </w:r>
      <w:r>
        <w:rPr>
          <w:rFonts w:hint="eastAsia" w:ascii="宋体" w:hAnsi="宋体" w:cs="宋体"/>
          <w:color w:val="auto"/>
          <w:sz w:val="24"/>
          <w:highlight w:val="none"/>
          <w:lang w:eastAsia="zh-CN"/>
        </w:rPr>
        <w:t>日，每天上午</w:t>
      </w:r>
      <w:r>
        <w:rPr>
          <w:rFonts w:ascii="宋体" w:hAnsi="宋体" w:cs="宋体"/>
          <w:color w:val="auto"/>
          <w:sz w:val="24"/>
          <w:highlight w:val="none"/>
          <w:lang w:eastAsia="zh-CN"/>
        </w:rPr>
        <w:t>9</w:t>
      </w:r>
      <w:r>
        <w:rPr>
          <w:rFonts w:hint="eastAsia" w:ascii="宋体" w:hAnsi="宋体" w:cs="宋体"/>
          <w:color w:val="auto"/>
          <w:sz w:val="24"/>
          <w:highlight w:val="none"/>
          <w:lang w:eastAsia="zh-CN"/>
        </w:rPr>
        <w:t>:30至11:30，下午13:30至</w:t>
      </w:r>
      <w:r>
        <w:rPr>
          <w:rFonts w:ascii="宋体" w:hAnsi="宋体" w:cs="宋体"/>
          <w:color w:val="auto"/>
          <w:sz w:val="24"/>
          <w:highlight w:val="none"/>
          <w:lang w:eastAsia="zh-CN"/>
        </w:rPr>
        <w:t>17</w:t>
      </w:r>
      <w:r>
        <w:rPr>
          <w:rFonts w:hint="eastAsia" w:ascii="宋体" w:hAnsi="宋体" w:cs="宋体"/>
          <w:color w:val="auto"/>
          <w:sz w:val="24"/>
          <w:highlight w:val="none"/>
          <w:lang w:eastAsia="zh-CN"/>
        </w:rPr>
        <w:t>:00。（北京时间，法定节假日除外）</w:t>
      </w:r>
    </w:p>
    <w:p>
      <w:pPr>
        <w:pStyle w:val="23"/>
        <w:spacing w:line="360" w:lineRule="auto"/>
        <w:ind w:firstLine="0" w:firstLineChars="0"/>
        <w:contextualSpacing/>
        <w:rPr>
          <w:rFonts w:ascii="宋体" w:hAnsi="宋体" w:cs="宋体"/>
          <w:sz w:val="24"/>
          <w:highlight w:val="none"/>
          <w:lang w:eastAsia="zh-CN"/>
        </w:rPr>
      </w:pPr>
      <w:r>
        <w:rPr>
          <w:rFonts w:hint="eastAsia" w:ascii="宋体" w:hAnsi="宋体" w:cs="宋体"/>
          <w:sz w:val="24"/>
          <w:highlight w:val="none"/>
          <w:lang w:val="en-US" w:eastAsia="zh-CN"/>
        </w:rPr>
        <w:t>4</w:t>
      </w:r>
      <w:r>
        <w:rPr>
          <w:rFonts w:ascii="宋体" w:hAnsi="宋体" w:cs="宋体"/>
          <w:sz w:val="24"/>
          <w:highlight w:val="none"/>
          <w:lang w:eastAsia="zh-CN"/>
        </w:rPr>
        <w:t>.2采购文件获取方式</w:t>
      </w:r>
      <w:r>
        <w:rPr>
          <w:rFonts w:hint="eastAsia" w:ascii="宋体" w:hAnsi="宋体" w:cs="宋体"/>
          <w:sz w:val="24"/>
          <w:highlight w:val="none"/>
          <w:lang w:eastAsia="zh-CN"/>
        </w:rPr>
        <w:t>：</w:t>
      </w:r>
      <w:r>
        <w:rPr>
          <w:rFonts w:ascii="宋体" w:hAnsi="宋体" w:cs="宋体"/>
          <w:sz w:val="24"/>
          <w:highlight w:val="none"/>
          <w:lang w:eastAsia="zh-CN"/>
        </w:rPr>
        <w:t>有意向参与本项目</w:t>
      </w:r>
      <w:r>
        <w:rPr>
          <w:rFonts w:hint="eastAsia" w:ascii="宋体" w:hAnsi="宋体" w:cs="宋体"/>
          <w:sz w:val="24"/>
          <w:highlight w:val="none"/>
          <w:lang w:val="en-US" w:eastAsia="zh-CN"/>
        </w:rPr>
        <w:t>响应</w:t>
      </w:r>
      <w:r>
        <w:rPr>
          <w:rFonts w:ascii="宋体" w:hAnsi="宋体" w:cs="宋体"/>
          <w:sz w:val="24"/>
          <w:highlight w:val="none"/>
          <w:lang w:eastAsia="zh-CN"/>
        </w:rPr>
        <w:t>的供应商请在上述规定时间内联系</w:t>
      </w:r>
      <w:r>
        <w:rPr>
          <w:rFonts w:hint="eastAsia" w:ascii="宋体" w:hAnsi="宋体" w:cs="宋体"/>
          <w:sz w:val="24"/>
          <w:highlight w:val="none"/>
          <w:lang w:eastAsia="zh-CN"/>
        </w:rPr>
        <w:t>采购</w:t>
      </w:r>
      <w:r>
        <w:rPr>
          <w:rFonts w:ascii="宋体" w:hAnsi="宋体" w:cs="宋体"/>
          <w:sz w:val="24"/>
          <w:highlight w:val="none"/>
          <w:lang w:eastAsia="zh-CN"/>
        </w:rPr>
        <w:t>人</w:t>
      </w:r>
      <w:r>
        <w:rPr>
          <w:rFonts w:hint="eastAsia" w:ascii="宋体" w:hAnsi="宋体" w:cs="宋体"/>
          <w:sz w:val="24"/>
          <w:highlight w:val="none"/>
          <w:lang w:eastAsia="zh-CN"/>
        </w:rPr>
        <w:t>办理相关登记手续</w:t>
      </w:r>
      <w:r>
        <w:rPr>
          <w:rFonts w:ascii="宋体" w:hAnsi="宋体" w:cs="宋体"/>
          <w:sz w:val="24"/>
          <w:highlight w:val="none"/>
          <w:lang w:eastAsia="zh-CN"/>
        </w:rPr>
        <w:t>并获取采购文件</w:t>
      </w:r>
      <w:r>
        <w:rPr>
          <w:rFonts w:hint="eastAsia" w:ascii="宋体" w:hAnsi="宋体" w:cs="宋体"/>
          <w:sz w:val="24"/>
          <w:highlight w:val="none"/>
          <w:lang w:eastAsia="zh-CN"/>
        </w:rPr>
        <w:t>。（报名登记表格式详见公告附件）</w:t>
      </w:r>
    </w:p>
    <w:p>
      <w:pPr>
        <w:pStyle w:val="23"/>
        <w:spacing w:line="360" w:lineRule="auto"/>
        <w:ind w:firstLine="0" w:firstLineChars="0"/>
        <w:rPr>
          <w:rFonts w:ascii="宋体" w:hAnsi="宋体" w:cs="宋体"/>
          <w:b/>
          <w:bCs/>
          <w:sz w:val="24"/>
          <w:highlight w:val="none"/>
        </w:rPr>
      </w:pPr>
      <w:r>
        <w:rPr>
          <w:rFonts w:hint="eastAsia" w:ascii="宋体" w:hAnsi="宋体" w:cs="宋体"/>
          <w:b/>
          <w:bCs/>
          <w:sz w:val="24"/>
          <w:highlight w:val="none"/>
          <w:lang w:val="en-US" w:eastAsia="zh-CN"/>
        </w:rPr>
        <w:t>4</w:t>
      </w:r>
      <w:r>
        <w:rPr>
          <w:rFonts w:ascii="宋体" w:hAnsi="宋体" w:cs="宋体"/>
          <w:b/>
          <w:bCs/>
          <w:sz w:val="24"/>
          <w:highlight w:val="none"/>
          <w:lang w:eastAsia="zh-CN"/>
        </w:rPr>
        <w:t>.3</w:t>
      </w:r>
      <w:r>
        <w:rPr>
          <w:rFonts w:ascii="宋体" w:hAnsi="宋体" w:cs="宋体"/>
          <w:b/>
          <w:bCs/>
          <w:sz w:val="24"/>
          <w:highlight w:val="none"/>
        </w:rPr>
        <w:t>若供应商未按上述要求报名并获取采购文件</w:t>
      </w:r>
      <w:r>
        <w:rPr>
          <w:rFonts w:hint="eastAsia" w:ascii="宋体" w:hAnsi="宋体" w:cs="宋体"/>
          <w:b/>
          <w:bCs/>
          <w:sz w:val="24"/>
          <w:highlight w:val="none"/>
          <w:lang w:eastAsia="zh-CN"/>
        </w:rPr>
        <w:t>，</w:t>
      </w:r>
      <w:r>
        <w:rPr>
          <w:rFonts w:ascii="宋体" w:hAnsi="宋体" w:cs="宋体"/>
          <w:b/>
          <w:bCs/>
          <w:sz w:val="24"/>
          <w:highlight w:val="none"/>
        </w:rPr>
        <w:t>其</w:t>
      </w:r>
      <w:r>
        <w:rPr>
          <w:rFonts w:hint="eastAsia" w:ascii="宋体" w:hAnsi="宋体" w:cs="宋体"/>
          <w:b/>
          <w:bCs/>
          <w:sz w:val="24"/>
          <w:highlight w:val="none"/>
          <w:lang w:val="en-US" w:eastAsia="zh-CN"/>
        </w:rPr>
        <w:t>响应</w:t>
      </w:r>
      <w:r>
        <w:rPr>
          <w:rFonts w:ascii="宋体" w:hAnsi="宋体" w:cs="宋体"/>
          <w:b/>
          <w:bCs/>
          <w:sz w:val="24"/>
          <w:highlight w:val="none"/>
        </w:rPr>
        <w:t>将不被接受</w:t>
      </w:r>
      <w:r>
        <w:rPr>
          <w:rFonts w:hint="eastAsia" w:ascii="宋体" w:hAnsi="宋体" w:cs="宋体"/>
          <w:b/>
          <w:bCs/>
          <w:sz w:val="24"/>
          <w:highlight w:val="none"/>
          <w:lang w:eastAsia="zh-CN"/>
        </w:rPr>
        <w:t>。</w:t>
      </w:r>
    </w:p>
    <w:p>
      <w:pPr>
        <w:pStyle w:val="23"/>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30</w:t>
      </w:r>
      <w:r>
        <w:rPr>
          <w:rFonts w:hint="eastAsia" w:ascii="宋体" w:hAnsi="宋体" w:cs="宋体"/>
          <w:sz w:val="24"/>
          <w:highlight w:val="none"/>
        </w:rPr>
        <w:t>日（星期</w:t>
      </w:r>
      <w:r>
        <w:rPr>
          <w:rFonts w:hint="eastAsia" w:ascii="宋体" w:hAnsi="宋体" w:cs="宋体"/>
          <w:sz w:val="24"/>
          <w:highlight w:val="none"/>
          <w:lang w:eastAsia="zh-CN"/>
        </w:rPr>
        <w:t>五</w:t>
      </w:r>
      <w:r>
        <w:rPr>
          <w:rFonts w:hint="eastAsia" w:ascii="宋体" w:hAnsi="宋体" w:cs="宋体"/>
          <w:sz w:val="24"/>
          <w:highlight w:val="none"/>
        </w:rPr>
        <w:t>）</w:t>
      </w:r>
      <w:r>
        <w:rPr>
          <w:rFonts w:hint="eastAsia" w:ascii="宋体" w:hAnsi="宋体" w:cs="宋体"/>
          <w:sz w:val="24"/>
          <w:highlight w:val="none"/>
          <w:lang w:val="en-US" w:eastAsia="zh-CN"/>
        </w:rPr>
        <w:t>14</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sz w:val="24"/>
          <w:highlight w:val="none"/>
          <w:lang w:val="en-US" w:eastAsia="zh-CN"/>
        </w:rPr>
        <w:t>:00。</w:t>
      </w:r>
    </w:p>
    <w:p>
      <w:pPr>
        <w:pStyle w:val="23"/>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文件递交地点：上海市黄浦区福佑路8号6楼。</w:t>
      </w:r>
    </w:p>
    <w:p>
      <w:pPr>
        <w:pStyle w:val="23"/>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.以上若有变更，采购人会通过邮件的形式通知</w:t>
      </w:r>
      <w:r>
        <w:rPr>
          <w:rFonts w:hint="eastAsia" w:ascii="宋体" w:hAnsi="宋体" w:cs="宋体"/>
          <w:sz w:val="24"/>
          <w:highlight w:val="none"/>
          <w:lang w:val="en-US" w:eastAsia="zh-CN"/>
        </w:rPr>
        <w:t>响应</w:t>
      </w:r>
      <w:r>
        <w:rPr>
          <w:rFonts w:hint="eastAsia" w:ascii="宋体" w:hAnsi="宋体" w:cs="宋体"/>
          <w:sz w:val="24"/>
          <w:highlight w:val="none"/>
        </w:rPr>
        <w:t>方。</w:t>
      </w:r>
    </w:p>
    <w:p>
      <w:pPr>
        <w:pStyle w:val="23"/>
        <w:spacing w:line="360" w:lineRule="auto"/>
        <w:ind w:firstLine="0" w:firstLineChars="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8</w:t>
      </w:r>
      <w:r>
        <w:rPr>
          <w:rFonts w:hint="eastAsia" w:ascii="宋体" w:hAnsi="宋体" w:cs="宋体"/>
          <w:sz w:val="24"/>
          <w:highlight w:val="none"/>
        </w:rPr>
        <w:t>.采购人联系方式</w:t>
      </w:r>
    </w:p>
    <w:p>
      <w:pPr>
        <w:pStyle w:val="23"/>
        <w:spacing w:line="360" w:lineRule="auto"/>
        <w:ind w:firstLine="0" w:firstLineChars="0"/>
        <w:rPr>
          <w:rFonts w:hint="eastAsia" w:ascii="宋体" w:hAnsi="宋体" w:eastAsia="宋体" w:cs="宋体"/>
          <w:sz w:val="24"/>
          <w:highlight w:val="none"/>
          <w:lang w:val="en-US" w:eastAsia="zh-CN"/>
        </w:rPr>
      </w:pPr>
      <w:r>
        <w:rPr>
          <w:rFonts w:hint="eastAsia" w:ascii="宋体" w:hAnsi="宋体" w:cs="宋体"/>
          <w:sz w:val="24"/>
          <w:highlight w:val="none"/>
        </w:rPr>
        <w:t>联 系 人：</w:t>
      </w:r>
      <w:r>
        <w:rPr>
          <w:rFonts w:hint="eastAsia" w:ascii="宋体" w:hAnsi="宋体" w:cs="宋体"/>
          <w:sz w:val="24"/>
          <w:highlight w:val="none"/>
          <w:lang w:eastAsia="zh-CN"/>
        </w:rPr>
        <w:t>陆培风</w:t>
      </w:r>
    </w:p>
    <w:p>
      <w:pPr>
        <w:pStyle w:val="23"/>
        <w:spacing w:line="360" w:lineRule="auto"/>
        <w:ind w:firstLine="0" w:firstLineChars="0"/>
        <w:rPr>
          <w:rFonts w:hint="default" w:ascii="宋体" w:hAnsi="宋体" w:eastAsia="宋体" w:cs="宋体"/>
          <w:sz w:val="24"/>
          <w:highlight w:val="none"/>
          <w:lang w:val="en-US" w:eastAsia="zh-CN"/>
        </w:rPr>
      </w:pPr>
      <w:r>
        <w:rPr>
          <w:rFonts w:hint="eastAsia" w:ascii="宋体" w:hAnsi="宋体" w:cs="宋体"/>
          <w:sz w:val="24"/>
          <w:highlight w:val="none"/>
        </w:rPr>
        <w:t>电　　话：</w:t>
      </w:r>
      <w:r>
        <w:rPr>
          <w:rFonts w:hint="eastAsia" w:ascii="宋体" w:hAnsi="宋体" w:cs="宋体"/>
          <w:sz w:val="24"/>
          <w:highlight w:val="none"/>
          <w:lang w:val="en-US" w:eastAsia="zh-CN"/>
        </w:rPr>
        <w:t>021-61001166-6966</w:t>
      </w:r>
    </w:p>
    <w:p>
      <w:pPr>
        <w:pStyle w:val="23"/>
        <w:spacing w:line="360" w:lineRule="auto"/>
        <w:ind w:firstLine="0" w:firstLineChars="0"/>
        <w:rPr>
          <w:rFonts w:hint="default" w:ascii="宋体" w:hAnsi="宋体" w:eastAsia="宋体" w:cs="宋体"/>
          <w:sz w:val="24"/>
          <w:highlight w:val="none"/>
          <w:lang w:val="en-US" w:eastAsia="zh-CN"/>
        </w:rPr>
      </w:pPr>
      <w:r>
        <w:rPr>
          <w:rFonts w:hint="eastAsia" w:ascii="宋体" w:hAnsi="宋体" w:cs="宋体"/>
          <w:sz w:val="24"/>
          <w:highlight w:val="none"/>
        </w:rPr>
        <w:t>邮    箱：</w:t>
      </w:r>
      <w:r>
        <w:rPr>
          <w:rFonts w:hint="eastAsia" w:ascii="宋体" w:hAnsi="宋体" w:cs="宋体"/>
          <w:sz w:val="24"/>
          <w:highlight w:val="none"/>
          <w:lang w:val="en-US" w:eastAsia="zh-CN"/>
        </w:rPr>
        <w:fldChar w:fldCharType="begin"/>
      </w:r>
      <w:r>
        <w:rPr>
          <w:rFonts w:hint="eastAsia" w:ascii="宋体" w:hAnsi="宋体" w:cs="宋体"/>
          <w:sz w:val="24"/>
          <w:highlight w:val="none"/>
          <w:lang w:val="en-US" w:eastAsia="zh-CN"/>
        </w:rPr>
        <w:instrText xml:space="preserve"> HYPERLINK "mailto:lupeifeng@picchealth.com" </w:instrText>
      </w:r>
      <w:r>
        <w:rPr>
          <w:rFonts w:hint="eastAsia" w:ascii="宋体" w:hAnsi="宋体" w:cs="宋体"/>
          <w:sz w:val="24"/>
          <w:highlight w:val="none"/>
          <w:lang w:val="en-US" w:eastAsia="zh-CN"/>
        </w:rPr>
        <w:fldChar w:fldCharType="separate"/>
      </w:r>
      <w:r>
        <w:rPr>
          <w:rStyle w:val="17"/>
          <w:rFonts w:hint="eastAsia" w:ascii="宋体" w:hAnsi="宋体" w:cs="宋体"/>
          <w:sz w:val="24"/>
          <w:highlight w:val="none"/>
          <w:lang w:val="en-US" w:eastAsia="zh-CN"/>
        </w:rPr>
        <w:t>lupeifeng@picchealth.com</w:t>
      </w:r>
      <w:r>
        <w:rPr>
          <w:rFonts w:hint="eastAsia" w:ascii="宋体" w:hAnsi="宋体" w:cs="宋体"/>
          <w:sz w:val="24"/>
          <w:highlight w:val="none"/>
          <w:lang w:val="en-US" w:eastAsia="zh-CN"/>
        </w:rPr>
        <w:fldChar w:fldCharType="end"/>
      </w:r>
    </w:p>
    <w:p>
      <w:pPr>
        <w:pStyle w:val="23"/>
        <w:spacing w:line="360" w:lineRule="auto"/>
        <w:ind w:firstLine="0" w:firstLineChars="0"/>
        <w:contextualSpacing/>
        <w:rPr>
          <w:rFonts w:ascii="宋体" w:hAnsi="宋体" w:cs="宋体"/>
          <w:sz w:val="24"/>
          <w:highlight w:val="none"/>
        </w:rPr>
      </w:pPr>
    </w:p>
    <w:p>
      <w:pPr>
        <w:pStyle w:val="23"/>
        <w:spacing w:line="360" w:lineRule="auto"/>
        <w:ind w:firstLine="5520" w:firstLineChars="2300"/>
        <w:contextualSpacing/>
        <w:rPr>
          <w:rFonts w:cs="宋体"/>
          <w:sz w:val="24"/>
          <w:highlight w:val="none"/>
        </w:rPr>
      </w:pPr>
    </w:p>
    <w:p>
      <w:pPr>
        <w:pStyle w:val="23"/>
        <w:spacing w:line="360" w:lineRule="auto"/>
        <w:ind w:firstLine="5520" w:firstLineChars="2300"/>
        <w:contextualSpacing/>
        <w:rPr>
          <w:rFonts w:hint="eastAsia" w:cs="宋体"/>
          <w:sz w:val="24"/>
          <w:highlight w:val="none"/>
          <w:lang w:eastAsia="zh-CN"/>
        </w:rPr>
      </w:pPr>
    </w:p>
    <w:p>
      <w:pPr>
        <w:pStyle w:val="23"/>
        <w:spacing w:line="360" w:lineRule="auto"/>
        <w:ind w:firstLine="4080" w:firstLineChars="1700"/>
        <w:contextualSpacing/>
        <w:rPr>
          <w:rFonts w:hint="eastAsia" w:eastAsia="宋体" w:cs="宋体"/>
          <w:sz w:val="24"/>
          <w:highlight w:val="none"/>
          <w:lang w:eastAsia="zh-CN"/>
        </w:rPr>
      </w:pPr>
      <w:r>
        <w:rPr>
          <w:rFonts w:hint="eastAsia" w:cs="宋体"/>
          <w:sz w:val="24"/>
          <w:highlight w:val="none"/>
          <w:lang w:eastAsia="zh-CN"/>
        </w:rPr>
        <w:t>中国人民健康保险股份有限公司上海分公司</w:t>
      </w:r>
    </w:p>
    <w:p>
      <w:pPr>
        <w:pStyle w:val="23"/>
        <w:spacing w:line="360" w:lineRule="auto"/>
        <w:ind w:firstLine="6240" w:firstLineChars="2600"/>
        <w:contextualSpacing/>
        <w:rPr>
          <w:rFonts w:cs="宋体"/>
          <w:sz w:val="24"/>
          <w:highlight w:val="none"/>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10</w:t>
      </w:r>
      <w:r>
        <w:rPr>
          <w:rFonts w:hint="eastAsia" w:ascii="宋体" w:hAnsi="宋体" w:cs="宋体"/>
          <w:sz w:val="24"/>
          <w:highlight w:val="none"/>
        </w:rPr>
        <w:t>月</w:t>
      </w:r>
      <w:r>
        <w:rPr>
          <w:rFonts w:hint="eastAsia" w:ascii="宋体" w:hAnsi="宋体" w:cs="宋体"/>
          <w:sz w:val="24"/>
          <w:highlight w:val="none"/>
          <w:lang w:val="en-US" w:eastAsia="zh-CN"/>
        </w:rPr>
        <w:t>26</w:t>
      </w:r>
      <w:r>
        <w:rPr>
          <w:rFonts w:hint="eastAsia" w:ascii="宋体" w:hAnsi="宋体" w:cs="宋体"/>
          <w:sz w:val="24"/>
          <w:highlight w:val="none"/>
        </w:rPr>
        <w:t>日</w:t>
      </w:r>
    </w:p>
    <w:p>
      <w:pPr>
        <w:pStyle w:val="23"/>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8" w:name="_Toc421032041"/>
      <w:bookmarkStart w:id="9" w:name="_Toc19034436"/>
      <w:bookmarkStart w:id="10" w:name="_Toc421042643"/>
      <w:bookmarkStart w:id="11" w:name="_Toc19034376"/>
      <w:bookmarkStart w:id="12" w:name="_Toc18928243"/>
      <w:bookmarkStart w:id="13" w:name="_Toc19039758"/>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eastAsia" w:ascii="宋体" w:hAnsi="宋体" w:eastAsia="宋体"/>
                <w:szCs w:val="24"/>
                <w:lang w:eastAsia="zh-CN"/>
              </w:rPr>
            </w:pPr>
            <w:r>
              <w:rPr>
                <w:rFonts w:hint="eastAsia" w:ascii="宋体" w:hAnsi="宋体"/>
                <w:szCs w:val="24"/>
                <w:lang w:eastAsia="zh-CN"/>
              </w:rPr>
              <w:t>中国人民健康保险股份有限公司上海分公司</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bCs/>
                <w:lang w:val="en-US" w:eastAsia="zh-CN"/>
              </w:rPr>
              <w:t>上海市黄浦区福佑路8号6楼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highlight w:val="none"/>
                <w:lang w:val="en-US" w:eastAsia="zh-CN"/>
              </w:rPr>
              <w:t>4</w:t>
            </w:r>
            <w:r>
              <w:rPr>
                <w:rFonts w:ascii="宋体" w:hAnsi="宋体"/>
                <w:bCs/>
                <w:szCs w:val="24"/>
              </w:rPr>
              <w:t>份，</w:t>
            </w:r>
            <w:r>
              <w:rPr>
                <w:rFonts w:hint="eastAsia" w:ascii="宋体" w:hAnsi="宋体"/>
                <w:bCs/>
                <w:szCs w:val="24"/>
                <w:lang w:eastAsia="zh-CN"/>
              </w:rPr>
              <w:t>响应</w:t>
            </w:r>
            <w:r>
              <w:rPr>
                <w:rFonts w:ascii="宋体" w:hAnsi="宋体"/>
                <w:bCs/>
                <w:szCs w:val="24"/>
              </w:rPr>
              <w:t>报价一览表正本1份。</w:t>
            </w:r>
            <w:r>
              <w:rPr>
                <w:rFonts w:hint="eastAsia" w:ascii="宋体" w:hAnsi="宋体"/>
                <w:bCs/>
                <w:szCs w:val="24"/>
                <w:lang w:eastAsia="zh-CN"/>
              </w:rPr>
              <w:t>响应</w:t>
            </w:r>
            <w:r>
              <w:rPr>
                <w:rFonts w:ascii="宋体" w:hAnsi="宋体"/>
                <w:bCs/>
                <w:szCs w:val="24"/>
              </w:rPr>
              <w:t>文件的电子版1份（U盘）。</w:t>
            </w:r>
            <w:r>
              <w:rPr>
                <w:rFonts w:hint="eastAsia" w:ascii="宋体" w:hAnsi="宋体"/>
                <w:bCs/>
                <w:szCs w:val="24"/>
                <w:lang w:eastAsia="zh-CN"/>
              </w:rPr>
              <w:t>响应</w:t>
            </w:r>
            <w:r>
              <w:rPr>
                <w:rFonts w:ascii="宋体" w:hAnsi="宋体"/>
                <w:bCs/>
                <w:szCs w:val="24"/>
              </w:rPr>
              <w:t>报价一览表正本另行单独密封。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比价采购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ascii="宋体" w:hAnsi="宋体"/>
                <w:szCs w:val="24"/>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w:t>
            </w:r>
            <w:r>
              <w:rPr>
                <w:rFonts w:hint="eastAsia" w:ascii="宋体" w:hAnsi="宋体"/>
                <w:szCs w:val="24"/>
                <w:highlight w:val="none"/>
                <w:lang w:val="en-US" w:eastAsia="zh-CN"/>
              </w:rPr>
              <w:t>用</w:t>
            </w:r>
            <w:r>
              <w:rPr>
                <w:rFonts w:ascii="宋体" w:hAnsi="宋体"/>
                <w:b/>
                <w:szCs w:val="24"/>
                <w:highlight w:val="none"/>
              </w:rPr>
              <w:t>一</w:t>
            </w:r>
            <w:r>
              <w:rPr>
                <w:rFonts w:hint="eastAsia" w:ascii="宋体" w:hAnsi="宋体"/>
                <w:b/>
                <w:szCs w:val="24"/>
                <w:highlight w:val="none"/>
                <w:lang w:val="en-US" w:eastAsia="zh-CN"/>
              </w:rPr>
              <w:t>次报价</w:t>
            </w:r>
            <w:r>
              <w:rPr>
                <w:rFonts w:ascii="宋体" w:hAnsi="宋体"/>
                <w:b/>
                <w:szCs w:val="24"/>
                <w:highlight w:val="none"/>
              </w:rPr>
              <w:t>或</w:t>
            </w:r>
            <w:r>
              <w:rPr>
                <w:rFonts w:hint="eastAsia" w:ascii="宋体" w:hAnsi="宋体"/>
                <w:b/>
                <w:szCs w:val="24"/>
                <w:highlight w:val="none"/>
                <w:lang w:val="en-US" w:eastAsia="zh-CN"/>
              </w:rPr>
              <w:t>经</w:t>
            </w:r>
            <w:r>
              <w:rPr>
                <w:rFonts w:hint="eastAsia" w:ascii="宋体" w:hAnsi="宋体"/>
                <w:b/>
                <w:szCs w:val="24"/>
                <w:highlight w:val="none"/>
                <w:lang w:eastAsia="zh-CN"/>
              </w:rPr>
              <w:t>谈判</w:t>
            </w:r>
            <w:r>
              <w:rPr>
                <w:rFonts w:hint="eastAsia" w:ascii="宋体" w:hAnsi="宋体"/>
                <w:b/>
                <w:szCs w:val="24"/>
                <w:highlight w:val="none"/>
                <w:lang w:val="en-US" w:eastAsia="zh-CN"/>
              </w:rPr>
              <w:t>后确定最终报价的形式，谈判轮次可以为一轮或多轮</w:t>
            </w:r>
            <w:r>
              <w:rPr>
                <w:rFonts w:ascii="宋体" w:hAnsi="宋体"/>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tabs>
                <w:tab w:val="left" w:pos="1125"/>
              </w:tabs>
              <w:spacing w:line="360" w:lineRule="exact"/>
              <w:rPr>
                <w:rFonts w:ascii="宋体" w:hAnsi="宋体"/>
                <w:szCs w:val="24"/>
              </w:rPr>
            </w:pPr>
            <w:r>
              <w:rPr>
                <w:rFonts w:hint="eastAsia" w:ascii="宋体" w:hAnsi="宋体" w:cs="宋体"/>
                <w:highlight w:val="none"/>
                <w:shd w:val="clear" w:fill="FFFFFF" w:themeFill="background1"/>
                <w:lang w:val="en-US" w:eastAsia="zh-CN"/>
              </w:rPr>
              <w:t>采用一次报价或经</w:t>
            </w:r>
            <w:r>
              <w:rPr>
                <w:rFonts w:hint="eastAsia" w:ascii="宋体" w:hAnsi="宋体" w:cs="宋体"/>
                <w:highlight w:val="none"/>
                <w:shd w:val="clear" w:fill="FFFFFF" w:themeFill="background1"/>
                <w:lang w:eastAsia="zh-CN"/>
              </w:rPr>
              <w:t>谈判</w:t>
            </w:r>
            <w:r>
              <w:rPr>
                <w:rFonts w:hint="eastAsia" w:ascii="宋体" w:hAnsi="宋体" w:cs="宋体"/>
                <w:highlight w:val="none"/>
                <w:shd w:val="clear" w:fill="FFFFFF" w:themeFill="background1"/>
              </w:rPr>
              <w:t>确定最终采购需求</w:t>
            </w:r>
            <w:r>
              <w:rPr>
                <w:rFonts w:hint="eastAsia" w:ascii="宋体" w:hAnsi="宋体" w:cs="宋体"/>
                <w:highlight w:val="none"/>
                <w:shd w:val="clear" w:fill="FFFFFF" w:themeFill="background1"/>
                <w:lang w:val="en-US" w:eastAsia="zh-CN"/>
              </w:rPr>
              <w:t>并由供应商</w:t>
            </w:r>
            <w:r>
              <w:rPr>
                <w:rFonts w:hint="eastAsia" w:ascii="宋体" w:hAnsi="宋体" w:cs="宋体"/>
                <w:highlight w:val="none"/>
                <w:shd w:val="clear" w:fill="FFFFFF" w:themeFill="background1"/>
              </w:rPr>
              <w:t>提交最后报价</w:t>
            </w:r>
            <w:r>
              <w:rPr>
                <w:rFonts w:hint="eastAsia" w:ascii="宋体" w:hAnsi="宋体" w:cs="宋体"/>
                <w:highlight w:val="none"/>
                <w:shd w:val="clear" w:fill="FFFFFF" w:themeFill="background1"/>
                <w:lang w:val="en-US" w:eastAsia="zh-CN"/>
              </w:rPr>
              <w:t>后</w:t>
            </w:r>
            <w:r>
              <w:rPr>
                <w:rFonts w:hint="eastAsia" w:ascii="宋体" w:hAnsi="宋体" w:cs="宋体"/>
                <w:highlight w:val="none"/>
                <w:shd w:val="clear" w:fill="FFFFFF" w:themeFill="background1"/>
              </w:rPr>
              <w:t>，</w:t>
            </w:r>
            <w:r>
              <w:rPr>
                <w:rFonts w:hint="eastAsia" w:ascii="宋体" w:hAnsi="宋体" w:cs="宋体"/>
                <w:szCs w:val="24"/>
                <w:highlight w:val="none"/>
                <w:shd w:val="clear" w:fill="FFFFFF" w:themeFill="background1"/>
              </w:rPr>
              <w:t>评审小组将</w:t>
            </w:r>
            <w:bookmarkStart w:id="14" w:name="OLE_LINK5"/>
            <w:r>
              <w:rPr>
                <w:rFonts w:hint="eastAsia" w:ascii="宋体" w:hAnsi="宋体" w:cs="宋体"/>
                <w:szCs w:val="24"/>
                <w:highlight w:val="none"/>
                <w:shd w:val="clear" w:fill="FFFFFF" w:themeFill="background1"/>
              </w:rPr>
              <w:t>对满足</w:t>
            </w:r>
            <w:r>
              <w:rPr>
                <w:rFonts w:hint="eastAsia" w:ascii="宋体" w:hAnsi="宋体" w:cs="宋体"/>
                <w:szCs w:val="24"/>
                <w:highlight w:val="none"/>
                <w:shd w:val="clear" w:fill="FFFFFF" w:themeFill="background1"/>
                <w:lang w:val="en-US" w:eastAsia="zh-CN"/>
              </w:rPr>
              <w:t>采购</w:t>
            </w:r>
            <w:r>
              <w:rPr>
                <w:rFonts w:hint="eastAsia" w:ascii="宋体" w:hAnsi="宋体" w:cs="宋体"/>
                <w:szCs w:val="24"/>
                <w:highlight w:val="none"/>
                <w:shd w:val="clear" w:fill="FFFFFF" w:themeFill="background1"/>
              </w:rPr>
              <w:t>文件</w:t>
            </w:r>
            <w:r>
              <w:rPr>
                <w:rFonts w:ascii="宋体" w:hAnsi="宋体" w:cs="宋体"/>
                <w:szCs w:val="24"/>
                <w:highlight w:val="none"/>
                <w:shd w:val="clear" w:fill="FFFFFF" w:themeFill="background1"/>
              </w:rPr>
              <w:t>全部实质性要求</w:t>
            </w:r>
            <w:r>
              <w:rPr>
                <w:rFonts w:hint="eastAsia" w:ascii="宋体" w:hAnsi="宋体" w:cs="宋体"/>
                <w:szCs w:val="24"/>
                <w:highlight w:val="none"/>
                <w:shd w:val="clear" w:fill="FFFFFF" w:themeFill="background1"/>
              </w:rPr>
              <w:t>的</w:t>
            </w:r>
            <w:bookmarkEnd w:id="14"/>
            <w:r>
              <w:rPr>
                <w:rFonts w:hint="eastAsia" w:ascii="宋体" w:hAnsi="宋体" w:cs="宋体"/>
                <w:szCs w:val="24"/>
                <w:highlight w:val="none"/>
                <w:shd w:val="clear" w:fill="FFFFFF" w:themeFill="background1"/>
                <w:lang w:val="en-US" w:eastAsia="zh-CN"/>
              </w:rPr>
              <w:t>响应</w:t>
            </w:r>
            <w:r>
              <w:rPr>
                <w:rFonts w:hint="eastAsia" w:ascii="宋体" w:hAnsi="宋体" w:cs="宋体"/>
                <w:szCs w:val="24"/>
                <w:highlight w:val="none"/>
                <w:shd w:val="clear" w:fill="FFFFFF" w:themeFill="background1"/>
              </w:rPr>
              <w:t>方最后报价进行高低排序，按照</w:t>
            </w:r>
            <w:r>
              <w:rPr>
                <w:rFonts w:hint="eastAsia" w:ascii="宋体" w:hAnsi="宋体" w:cs="宋体"/>
                <w:szCs w:val="24"/>
                <w:highlight w:val="none"/>
                <w:shd w:val="clear" w:fill="FFFFFF" w:themeFill="background1"/>
                <w:lang w:val="en-US" w:eastAsia="zh-CN"/>
              </w:rPr>
              <w:t>报价由低到高</w:t>
            </w:r>
            <w:r>
              <w:rPr>
                <w:rFonts w:hint="eastAsia" w:ascii="宋体" w:hAnsi="宋体" w:cs="宋体"/>
                <w:szCs w:val="24"/>
                <w:highlight w:val="none"/>
                <w:shd w:val="clear" w:fill="FFFFFF" w:themeFill="background1"/>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b/>
              </w:rPr>
            </w:pPr>
            <w:r>
              <w:rPr>
                <w:rFonts w:hint="eastAsia" w:ascii="宋体" w:hAnsi="宋体"/>
                <w:b/>
              </w:rPr>
              <w:t>本项目设置最高限价：</w:t>
            </w:r>
            <w:r>
              <w:rPr>
                <w:rFonts w:hint="eastAsia" w:ascii="宋体" w:hAnsi="宋体"/>
                <w:b/>
                <w:lang w:val="en-US" w:eastAsia="zh-CN"/>
              </w:rPr>
              <w:t>48.6</w:t>
            </w:r>
            <w:r>
              <w:rPr>
                <w:rFonts w:ascii="宋体" w:hAnsi="宋体"/>
                <w:b/>
              </w:rPr>
              <w:t>万元。</w:t>
            </w:r>
          </w:p>
          <w:p>
            <w:pPr>
              <w:spacing w:line="400" w:lineRule="exact"/>
              <w:rPr>
                <w:rFonts w:ascii="宋体" w:hAnsi="宋体" w:eastAsia="宋体" w:cs="Times New Roman"/>
                <w:b/>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报价总价（含税）超出最高限价，将作无效</w:t>
            </w:r>
            <w:r>
              <w:rPr>
                <w:rFonts w:hint="eastAsia" w:ascii="宋体" w:hAnsi="宋体" w:eastAsia="宋体" w:cs="Times New Roman"/>
                <w:b/>
              </w:rPr>
              <w:t>本项目设置最高限价：</w:t>
            </w:r>
            <w:r>
              <w:rPr>
                <w:rFonts w:hint="eastAsia" w:ascii="宋体" w:hAnsi="宋体" w:cs="Times New Roman"/>
                <w:b/>
                <w:lang w:val="en-US" w:eastAsia="zh-CN"/>
              </w:rPr>
              <w:t>48.6</w:t>
            </w:r>
            <w:r>
              <w:rPr>
                <w:rFonts w:ascii="宋体" w:hAnsi="宋体" w:eastAsia="宋体" w:cs="Times New Roman"/>
                <w:b/>
              </w:rPr>
              <w:t>万元。</w:t>
            </w:r>
          </w:p>
          <w:p>
            <w:pPr>
              <w:spacing w:line="360" w:lineRule="exact"/>
              <w:rPr>
                <w:rFonts w:hint="default" w:ascii="宋体" w:hAnsi="宋体" w:eastAsia="宋体"/>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报价总价（含税）超出最高限价，将作无效报价处理。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6" w:name="_Toc230013633"/>
      <w:bookmarkStart w:id="17" w:name="_Toc232176273"/>
      <w:bookmarkStart w:id="18" w:name="_Toc176882543"/>
      <w:bookmarkStart w:id="19" w:name="_Toc235518467"/>
      <w:bookmarkStart w:id="20" w:name="_Toc177817335"/>
      <w:bookmarkStart w:id="21" w:name="_Toc265738861"/>
      <w:bookmarkStart w:id="22" w:name="_Toc70687140"/>
      <w:bookmarkStart w:id="23" w:name="_Toc230099798"/>
      <w:bookmarkStart w:id="24" w:name="_Toc177189236"/>
      <w:bookmarkStart w:id="25" w:name="_Toc53722841"/>
      <w:bookmarkStart w:id="26" w:name="_Toc177995474"/>
      <w:bookmarkStart w:id="27" w:name="_Toc239740352"/>
      <w:bookmarkStart w:id="28" w:name="_Toc230583542"/>
      <w:bookmarkStart w:id="29" w:name="_Toc232395213"/>
      <w:bookmarkStart w:id="30" w:name="_Toc184043013"/>
      <w:bookmarkStart w:id="31" w:name="_Toc241827236"/>
      <w:bookmarkStart w:id="32" w:name="_Toc86202582"/>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pPr>
        <w:pStyle w:val="24"/>
        <w:widowControl w:val="0"/>
        <w:numPr>
          <w:ilvl w:val="1"/>
          <w:numId w:val="2"/>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5" w:name="_Toc70687142"/>
      <w:bookmarkStart w:id="36" w:name="_Toc184043015"/>
      <w:r>
        <w:rPr>
          <w:rFonts w:ascii="宋体" w:hAnsi="宋体"/>
          <w:b/>
          <w:szCs w:val="24"/>
        </w:rPr>
        <w:t>2. 定义</w:t>
      </w:r>
      <w:bookmarkEnd w:id="35"/>
      <w:bookmarkEnd w:id="36"/>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u w:val="single"/>
          <w:lang w:eastAsia="zh-CN"/>
        </w:rPr>
        <w:t>中国人民健康保险股份有限公司上海分公司</w:t>
      </w:r>
      <w:r>
        <w:rPr>
          <w:rFonts w:ascii="宋体" w:hAnsi="宋体"/>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7" w:name="_Toc184043016"/>
      <w:bookmarkStart w:id="38" w:name="_Toc385992329"/>
      <w:bookmarkStart w:id="39" w:name="_Toc389620168"/>
      <w:bookmarkStart w:id="40" w:name="_Toc70687143"/>
      <w:r>
        <w:rPr>
          <w:rFonts w:ascii="宋体" w:hAnsi="宋体"/>
          <w:b/>
          <w:szCs w:val="24"/>
        </w:rPr>
        <w:t>3. 合格的</w:t>
      </w:r>
      <w:bookmarkEnd w:id="37"/>
      <w:bookmarkEnd w:id="38"/>
      <w:bookmarkEnd w:id="39"/>
      <w:bookmarkEnd w:id="40"/>
      <w:r>
        <w:rPr>
          <w:rFonts w:hint="eastAsia" w:ascii="宋体" w:hAnsi="宋体"/>
          <w:b/>
          <w:szCs w:val="24"/>
          <w:lang w:eastAsia="zh-CN"/>
        </w:rPr>
        <w:t>响应</w:t>
      </w:r>
      <w:r>
        <w:rPr>
          <w:rFonts w:ascii="宋体" w:hAnsi="宋体"/>
          <w:b/>
          <w:szCs w:val="24"/>
        </w:rPr>
        <w:t>方</w:t>
      </w:r>
    </w:p>
    <w:p>
      <w:pPr>
        <w:numPr>
          <w:ilvl w:val="1"/>
          <w:numId w:val="3"/>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比价采购公告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和中国人民健康保险股份有限公司上海分公司有关采购制度及规范</w:t>
      </w:r>
      <w:r>
        <w:rPr>
          <w:rFonts w:ascii="宋体" w:hAnsi="宋体"/>
          <w:szCs w:val="24"/>
        </w:rPr>
        <w:t>。</w:t>
      </w:r>
    </w:p>
    <w:p>
      <w:pPr>
        <w:spacing w:line="360" w:lineRule="auto"/>
        <w:rPr>
          <w:rFonts w:ascii="宋体" w:hAnsi="宋体"/>
          <w:b/>
          <w:szCs w:val="24"/>
        </w:rPr>
      </w:pPr>
      <w:bookmarkStart w:id="41" w:name="_Toc184043017"/>
      <w:bookmarkStart w:id="42" w:name="_Toc389620169"/>
      <w:bookmarkStart w:id="43" w:name="_Toc70687144"/>
      <w:bookmarkStart w:id="44"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1"/>
      <w:bookmarkEnd w:id="42"/>
      <w:bookmarkEnd w:id="43"/>
      <w:bookmarkEnd w:id="44"/>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5" w:name="_Toc385992331"/>
      <w:bookmarkStart w:id="46" w:name="_Toc232395214"/>
      <w:bookmarkStart w:id="47" w:name="_Toc177189237"/>
      <w:bookmarkStart w:id="48" w:name="_Toc492955417"/>
      <w:bookmarkStart w:id="49" w:name="_Toc500747064"/>
      <w:bookmarkStart w:id="50" w:name="_Toc235518468"/>
      <w:bookmarkStart w:id="51" w:name="_Toc176882544"/>
      <w:bookmarkStart w:id="52" w:name="_Toc177817336"/>
      <w:bookmarkStart w:id="53" w:name="_Toc500746968"/>
      <w:bookmarkStart w:id="54" w:name="_Toc265738862"/>
      <w:bookmarkStart w:id="55" w:name="_Toc239740353"/>
      <w:bookmarkStart w:id="56" w:name="_Toc230583543"/>
      <w:bookmarkStart w:id="57" w:name="_Toc232176274"/>
      <w:bookmarkStart w:id="58" w:name="_Toc389620170"/>
      <w:bookmarkStart w:id="59" w:name="_Toc503063424"/>
      <w:bookmarkStart w:id="60" w:name="_Toc496324581"/>
      <w:bookmarkStart w:id="61" w:name="_Toc230013634"/>
      <w:bookmarkStart w:id="62" w:name="_Toc184043018"/>
      <w:bookmarkStart w:id="63" w:name="_Toc70687145"/>
      <w:bookmarkStart w:id="64" w:name="_Toc500747191"/>
      <w:bookmarkStart w:id="65" w:name="_Toc230099799"/>
      <w:bookmarkStart w:id="66" w:name="_Toc499711045"/>
      <w:bookmarkStart w:id="67" w:name="_Toc177995475"/>
      <w:bookmarkStart w:id="68" w:name="_Toc499711886"/>
      <w:bookmarkStart w:id="69" w:name="_Toc53722842"/>
      <w:r>
        <w:rPr>
          <w:rFonts w:ascii="宋体" w:hAnsi="宋体"/>
          <w:b/>
          <w:szCs w:val="24"/>
        </w:rPr>
        <w:t>二、</w:t>
      </w:r>
      <w:r>
        <w:rPr>
          <w:rFonts w:hint="eastAsia" w:ascii="宋体" w:hAnsi="宋体"/>
          <w:b/>
          <w:szCs w:val="24"/>
          <w:lang w:val="en-US" w:eastAsia="zh-CN"/>
        </w:rPr>
        <w:t>比价采购</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spacing w:line="360" w:lineRule="auto"/>
        <w:rPr>
          <w:rFonts w:ascii="宋体" w:hAnsi="宋体"/>
          <w:b/>
          <w:szCs w:val="24"/>
        </w:rPr>
      </w:pPr>
      <w:bookmarkStart w:id="70" w:name="_Toc385992332"/>
      <w:bookmarkStart w:id="71" w:name="_Toc389620171"/>
      <w:bookmarkStart w:id="72" w:name="_Toc184043019"/>
      <w:bookmarkStart w:id="73" w:name="_Toc70687146"/>
      <w:r>
        <w:rPr>
          <w:rFonts w:ascii="宋体" w:hAnsi="宋体"/>
          <w:b/>
          <w:szCs w:val="24"/>
        </w:rPr>
        <w:t xml:space="preserve">5. </w:t>
      </w:r>
      <w:r>
        <w:rPr>
          <w:rFonts w:hint="eastAsia" w:ascii="宋体" w:hAnsi="宋体"/>
          <w:b/>
          <w:szCs w:val="24"/>
          <w:lang w:val="en-US" w:eastAsia="zh-CN"/>
        </w:rPr>
        <w:t>比价采购</w:t>
      </w:r>
      <w:r>
        <w:rPr>
          <w:rFonts w:ascii="宋体" w:hAnsi="宋体"/>
          <w:b/>
          <w:szCs w:val="24"/>
        </w:rPr>
        <w:t>文件的构成</w:t>
      </w:r>
      <w:bookmarkEnd w:id="70"/>
      <w:bookmarkEnd w:id="71"/>
      <w:bookmarkEnd w:id="72"/>
      <w:bookmarkEnd w:id="73"/>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eastAsia="zh-CN"/>
        </w:rPr>
        <w:t>谈判</w:t>
      </w:r>
      <w:r>
        <w:rPr>
          <w:rFonts w:ascii="宋体" w:hAnsi="宋体"/>
          <w:szCs w:val="24"/>
        </w:rPr>
        <w:t>程序和合同条款。</w:t>
      </w:r>
      <w:r>
        <w:rPr>
          <w:rFonts w:hint="eastAsia" w:ascii="宋体" w:hAnsi="宋体"/>
          <w:szCs w:val="24"/>
          <w:lang w:eastAsia="zh-CN"/>
        </w:rPr>
        <w:t>比价采购文件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比价采购公告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lang w:val="en-US" w:eastAsia="zh-CN"/>
        </w:rPr>
        <w:t>五</w:t>
      </w:r>
      <w:r>
        <w:rPr>
          <w:rFonts w:ascii="宋体" w:hAnsi="宋体"/>
          <w:szCs w:val="24"/>
        </w:rPr>
        <w:t xml:space="preserve">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比价采购文件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比价采购文件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比价采购文件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w:t>
      </w:r>
      <w:r>
        <w:rPr>
          <w:rFonts w:hint="eastAsia" w:ascii="宋体" w:hAnsi="宋体"/>
          <w:szCs w:val="24"/>
        </w:rPr>
        <w:t>中的“原厂商”系指货物生产厂家或其在中国境内设立的办事或技术服务机构。除另有说明外，本</w:t>
      </w:r>
      <w:r>
        <w:rPr>
          <w:rFonts w:hint="eastAsia" w:ascii="宋体" w:hAnsi="宋体"/>
          <w:szCs w:val="24"/>
          <w:lang w:eastAsia="zh-CN"/>
        </w:rPr>
        <w:t>比价采购文件</w:t>
      </w:r>
      <w:r>
        <w:rPr>
          <w:rFonts w:hint="eastAsia" w:ascii="宋体" w:hAnsi="宋体"/>
          <w:szCs w:val="24"/>
        </w:rPr>
        <w:t>所述的生产厂家、货物制造商、制造厂家、货物制造厂家等，均为原厂商。不具备产品商标和定价权的</w:t>
      </w:r>
      <w:r>
        <w:rPr>
          <w:rFonts w:ascii="宋体" w:hAnsi="宋体"/>
          <w:szCs w:val="24"/>
        </w:rPr>
        <w:t>OEM代加工厂不是原厂商。</w:t>
      </w:r>
    </w:p>
    <w:p>
      <w:pPr>
        <w:spacing w:line="360" w:lineRule="auto"/>
        <w:rPr>
          <w:rFonts w:ascii="宋体" w:hAnsi="宋体"/>
          <w:b/>
          <w:szCs w:val="24"/>
        </w:rPr>
      </w:pPr>
      <w:bookmarkStart w:id="74" w:name="_Toc70687147"/>
      <w:bookmarkStart w:id="75" w:name="_Toc184043020"/>
      <w:bookmarkStart w:id="76" w:name="_Toc389620172"/>
      <w:bookmarkStart w:id="77" w:name="_Toc385992333"/>
      <w:r>
        <w:rPr>
          <w:rFonts w:ascii="宋体" w:hAnsi="宋体"/>
          <w:b/>
          <w:szCs w:val="24"/>
        </w:rPr>
        <w:t xml:space="preserve">6. </w:t>
      </w:r>
      <w:r>
        <w:rPr>
          <w:rFonts w:hint="eastAsia" w:ascii="宋体" w:hAnsi="宋体"/>
          <w:b/>
          <w:szCs w:val="24"/>
          <w:lang w:eastAsia="zh-CN"/>
        </w:rPr>
        <w:t>比价采购文件</w:t>
      </w:r>
      <w:r>
        <w:rPr>
          <w:rFonts w:ascii="宋体" w:hAnsi="宋体"/>
          <w:b/>
          <w:szCs w:val="24"/>
        </w:rPr>
        <w:t>的澄清</w:t>
      </w:r>
      <w:bookmarkEnd w:id="74"/>
      <w:bookmarkEnd w:id="75"/>
      <w:bookmarkEnd w:id="76"/>
      <w:bookmarkEnd w:id="77"/>
      <w:r>
        <w:rPr>
          <w:rFonts w:ascii="宋体" w:hAnsi="宋体"/>
          <w:b/>
          <w:szCs w:val="24"/>
        </w:rPr>
        <w:t>和修改</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比价采购文件</w:t>
      </w:r>
      <w:r>
        <w:rPr>
          <w:rFonts w:ascii="宋体" w:hAnsi="宋体"/>
          <w:szCs w:val="24"/>
        </w:rPr>
        <w:t>存在混淆或错乱等问题时，可要求采购人对</w:t>
      </w:r>
      <w:r>
        <w:rPr>
          <w:rFonts w:hint="eastAsia" w:ascii="宋体" w:hAnsi="宋体"/>
          <w:szCs w:val="24"/>
          <w:lang w:eastAsia="zh-CN"/>
        </w:rPr>
        <w:t>比价采购文件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比价采购文件</w:t>
      </w:r>
      <w:r>
        <w:rPr>
          <w:rFonts w:ascii="宋体" w:hAnsi="宋体"/>
          <w:szCs w:val="24"/>
        </w:rPr>
        <w:t>中的联系地址以书面形式送达采购人，采购人将以书面/邮件形式予以答复，答复中包括原提出的问题，但不包括问题的来源。</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比价采购文件</w:t>
      </w:r>
      <w:r>
        <w:rPr>
          <w:rFonts w:ascii="宋体" w:hAnsi="宋体"/>
          <w:szCs w:val="24"/>
        </w:rPr>
        <w:t>用补充文件的方式进行澄清和修改。该文件为</w:t>
      </w:r>
      <w:r>
        <w:rPr>
          <w:rFonts w:hint="eastAsia" w:ascii="宋体" w:hAnsi="宋体"/>
          <w:szCs w:val="24"/>
          <w:lang w:eastAsia="zh-CN"/>
        </w:rPr>
        <w:t>比价采购文件</w:t>
      </w:r>
      <w:r>
        <w:rPr>
          <w:rFonts w:ascii="宋体" w:hAnsi="宋体"/>
          <w:szCs w:val="24"/>
        </w:rPr>
        <w:t>的组成部分，对所有领取了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比价采购文件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ascii="宋体" w:hAnsi="宋体"/>
          <w:szCs w:val="24"/>
        </w:rPr>
        <w:t>日前，书面/邮件通知所有登记并备案并领取了</w:t>
      </w:r>
      <w:r>
        <w:rPr>
          <w:rFonts w:hint="eastAsia" w:ascii="宋体" w:hAnsi="宋体"/>
          <w:szCs w:val="24"/>
          <w:lang w:eastAsia="zh-CN"/>
        </w:rPr>
        <w:t>比价采购文件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5"/>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8" w:name="_Toc230583544"/>
      <w:bookmarkStart w:id="79" w:name="_Toc500746969"/>
      <w:bookmarkStart w:id="80" w:name="_Toc235518469"/>
      <w:bookmarkStart w:id="81" w:name="_Toc230013635"/>
      <w:bookmarkStart w:id="82" w:name="_Toc177189238"/>
      <w:bookmarkStart w:id="83" w:name="_Toc496324582"/>
      <w:bookmarkStart w:id="84" w:name="_Toc499711046"/>
      <w:bookmarkStart w:id="85" w:name="_Toc176882545"/>
      <w:bookmarkStart w:id="86" w:name="_Toc389620174"/>
      <w:bookmarkStart w:id="87" w:name="_Toc177817337"/>
      <w:bookmarkStart w:id="88" w:name="_Toc232176275"/>
      <w:bookmarkStart w:id="89" w:name="_Toc492955418"/>
      <w:bookmarkStart w:id="90" w:name="_Toc230099800"/>
      <w:bookmarkStart w:id="91" w:name="_Toc184043022"/>
      <w:bookmarkStart w:id="92" w:name="_Toc500747192"/>
      <w:bookmarkStart w:id="93" w:name="_Toc177995476"/>
      <w:bookmarkStart w:id="94" w:name="_Toc239740354"/>
      <w:bookmarkStart w:id="95" w:name="_Toc265738863"/>
      <w:bookmarkStart w:id="96" w:name="_Toc232395215"/>
      <w:bookmarkStart w:id="97" w:name="_Toc70687149"/>
      <w:bookmarkStart w:id="98" w:name="_Toc53722843"/>
      <w:bookmarkStart w:id="99" w:name="_Toc499711887"/>
      <w:bookmarkStart w:id="100" w:name="_Toc385992335"/>
      <w:bookmarkStart w:id="101" w:name="_Toc503063425"/>
      <w:bookmarkStart w:id="102" w:name="_Toc50074706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rPr>
          <w:rFonts w:ascii="宋体" w:hAnsi="宋体"/>
          <w:b/>
          <w:szCs w:val="24"/>
        </w:rPr>
      </w:pPr>
      <w:bookmarkStart w:id="103" w:name="_Toc184043023"/>
      <w:bookmarkStart w:id="104" w:name="_Toc70687150"/>
      <w:bookmarkStart w:id="105" w:name="_Toc385992337"/>
      <w:bookmarkStart w:id="106"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3"/>
      <w:bookmarkEnd w:id="104"/>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比价采购文件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eastAsia="zh-CN"/>
        </w:rPr>
        <w:t>谈判</w:t>
      </w:r>
      <w:r>
        <w:rPr>
          <w:rFonts w:ascii="宋体" w:hAnsi="宋体"/>
          <w:szCs w:val="24"/>
        </w:rPr>
        <w:t>相关的所有文件均应以中文书写。</w:t>
      </w:r>
    </w:p>
    <w:p>
      <w:pPr>
        <w:spacing w:line="360" w:lineRule="auto"/>
        <w:rPr>
          <w:rFonts w:ascii="宋体" w:hAnsi="宋体"/>
          <w:b/>
          <w:szCs w:val="24"/>
        </w:rPr>
      </w:pPr>
      <w:bookmarkStart w:id="107" w:name="_Toc70687151"/>
      <w:bookmarkStart w:id="108" w:name="_Toc184043024"/>
      <w:r>
        <w:rPr>
          <w:rFonts w:ascii="宋体" w:hAnsi="宋体"/>
          <w:b/>
          <w:szCs w:val="24"/>
        </w:rPr>
        <w:t>8. 计量单位</w:t>
      </w:r>
      <w:bookmarkEnd w:id="105"/>
      <w:bookmarkEnd w:id="106"/>
      <w:bookmarkEnd w:id="107"/>
      <w:bookmarkEnd w:id="108"/>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9" w:name="OLE_LINK1"/>
      <w:r>
        <w:rPr>
          <w:rFonts w:ascii="宋体" w:hAnsi="宋体"/>
          <w:szCs w:val="24"/>
        </w:rPr>
        <w:t>除在</w:t>
      </w:r>
      <w:r>
        <w:rPr>
          <w:rFonts w:hint="eastAsia" w:ascii="宋体" w:hAnsi="宋体"/>
          <w:szCs w:val="24"/>
          <w:lang w:eastAsia="zh-CN"/>
        </w:rPr>
        <w:t>比价采购文件</w:t>
      </w:r>
      <w:bookmarkEnd w:id="109"/>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10" w:name="_Toc70687152"/>
      <w:bookmarkStart w:id="111" w:name="_Toc385992338"/>
      <w:bookmarkStart w:id="112" w:name="_Toc184043025"/>
      <w:bookmarkStart w:id="113" w:name="_Toc389620177"/>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10"/>
      <w:bookmarkEnd w:id="111"/>
      <w:bookmarkEnd w:id="112"/>
      <w:bookmarkEnd w:id="113"/>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4-法定代表人授权书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7-资格证明文件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比价采购文件</w:t>
      </w:r>
      <w:r>
        <w:rPr>
          <w:rFonts w:hint="eastAsia" w:ascii="宋体" w:hAnsi="宋体"/>
          <w:szCs w:val="24"/>
        </w:rPr>
        <w:t>要求提供</w:t>
      </w:r>
      <w:r>
        <w:rPr>
          <w:rFonts w:ascii="宋体" w:hAnsi="宋体"/>
          <w:szCs w:val="24"/>
        </w:rPr>
        <w:t>/</w:t>
      </w:r>
      <w:r>
        <w:rPr>
          <w:rFonts w:hint="eastAsia" w:ascii="宋体" w:hAnsi="宋体"/>
          <w:szCs w:val="24"/>
          <w:lang w:eastAsia="zh-CN"/>
        </w:rPr>
        <w:t>响应</w:t>
      </w:r>
      <w:r>
        <w:rPr>
          <w:rFonts w:ascii="宋体" w:hAnsi="宋体"/>
          <w:szCs w:val="24"/>
        </w:rPr>
        <w:t>方认为应附的其他材料</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4" w:name="_Toc389620178"/>
      <w:bookmarkStart w:id="115" w:name="_Toc70687153"/>
      <w:bookmarkStart w:id="116" w:name="_Toc184043026"/>
      <w:bookmarkStart w:id="117" w:name="_Toc385992339"/>
      <w:r>
        <w:rPr>
          <w:rFonts w:ascii="宋体" w:hAnsi="宋体"/>
          <w:szCs w:val="24"/>
        </w:rPr>
        <w:t>9.3</w:t>
      </w:r>
      <w:bookmarkEnd w:id="114"/>
      <w:bookmarkEnd w:id="115"/>
      <w:bookmarkEnd w:id="116"/>
      <w:bookmarkEnd w:id="117"/>
      <w:r>
        <w:rPr>
          <w:rFonts w:ascii="宋体" w:hAnsi="宋体"/>
          <w:szCs w:val="24"/>
        </w:rPr>
        <w:t>对于</w:t>
      </w:r>
      <w:r>
        <w:rPr>
          <w:rFonts w:hint="eastAsia" w:ascii="宋体" w:hAnsi="宋体"/>
          <w:szCs w:val="24"/>
          <w:lang w:eastAsia="zh-CN"/>
        </w:rPr>
        <w:t>比价采购文件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8" w:name="_Toc150774629"/>
      <w:bookmarkStart w:id="119" w:name="_Toc150774734"/>
      <w:bookmarkStart w:id="120" w:name="_Toc516367023"/>
      <w:bookmarkStart w:id="121" w:name="_Toc151193699"/>
      <w:bookmarkStart w:id="122" w:name="_Toc265228367"/>
      <w:bookmarkStart w:id="123" w:name="_Toc151190156"/>
      <w:bookmarkStart w:id="124" w:name="_Toc164229224"/>
      <w:bookmarkStart w:id="125" w:name="_Toc142311031"/>
      <w:bookmarkStart w:id="126" w:name="_Toc150509280"/>
      <w:bookmarkStart w:id="127" w:name="_Toc164608798"/>
      <w:bookmarkStart w:id="128" w:name="_Toc151193627"/>
      <w:bookmarkStart w:id="129" w:name="_Toc195842894"/>
      <w:bookmarkStart w:id="130" w:name="_Toc151193917"/>
      <w:bookmarkStart w:id="131" w:name="_Toc164608643"/>
      <w:bookmarkStart w:id="132" w:name="_Toc264969219"/>
      <w:bookmarkStart w:id="133" w:name="_Toc164351623"/>
      <w:bookmarkStart w:id="134" w:name="_Toc164229370"/>
      <w:bookmarkStart w:id="135" w:name="_Toc127151730"/>
      <w:bookmarkStart w:id="136" w:name="_Toc151193771"/>
      <w:bookmarkStart w:id="137" w:name="_Toc520356153"/>
      <w:bookmarkStart w:id="138" w:name="_Toc151193843"/>
      <w:bookmarkStart w:id="139" w:name="_Toc127161443"/>
      <w:bookmarkStart w:id="140" w:name="_Toc150480767"/>
      <w:bookmarkStart w:id="141" w:name="_Toc127151529"/>
      <w:bookmarkStart w:id="142" w:name="_Toc149720822"/>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比价采购文件</w:t>
      </w:r>
      <w:r>
        <w:rPr>
          <w:rFonts w:ascii="宋体" w:hAnsi="宋体"/>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比价采购文件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6"/>
        </w:numPr>
        <w:tabs>
          <w:tab w:val="left" w:pos="360"/>
          <w:tab w:val="left" w:pos="588"/>
        </w:tabs>
        <w:adjustRightInd/>
        <w:spacing w:line="360" w:lineRule="auto"/>
        <w:ind w:left="480" w:hanging="480" w:hangingChars="200"/>
        <w:jc w:val="both"/>
        <w:textAlignment w:val="auto"/>
        <w:rPr>
          <w:rFonts w:ascii="宋体" w:hAnsi="宋体"/>
          <w:szCs w:val="24"/>
        </w:rPr>
      </w:pPr>
      <w:bookmarkStart w:id="143" w:name="_Ref467306244"/>
      <w:r>
        <w:rPr>
          <w:rFonts w:ascii="宋体" w:hAnsi="宋体"/>
          <w:szCs w:val="24"/>
        </w:rPr>
        <w:t>上款所述的证明文件，可以是文字资料、图纸和数据</w:t>
      </w:r>
      <w:bookmarkEnd w:id="143"/>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比价采购文件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比价采购文件</w:t>
      </w:r>
      <w:r>
        <w:rPr>
          <w:rFonts w:hint="eastAsia" w:ascii="宋体" w:hAnsi="宋体"/>
          <w:szCs w:val="24"/>
        </w:rPr>
        <w:t>技术规格，逐条说明所提供产品和服务已对</w:t>
      </w:r>
      <w:r>
        <w:rPr>
          <w:rFonts w:hint="eastAsia" w:ascii="宋体" w:hAnsi="宋体"/>
          <w:szCs w:val="24"/>
          <w:lang w:eastAsia="zh-CN"/>
        </w:rPr>
        <w:t>比价采购文件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4" w:name="_Toc385992340"/>
      <w:bookmarkStart w:id="145" w:name="_Toc70687154"/>
      <w:bookmarkStart w:id="146" w:name="_Toc184043027"/>
      <w:bookmarkStart w:id="147" w:name="_Toc389620179"/>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4"/>
      <w:bookmarkEnd w:id="145"/>
      <w:bookmarkEnd w:id="146"/>
      <w:bookmarkEnd w:id="147"/>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比价采购文件</w:t>
      </w:r>
      <w:r>
        <w:rPr>
          <w:rFonts w:ascii="宋体" w:hAnsi="宋体"/>
          <w:szCs w:val="24"/>
        </w:rPr>
        <w:t>第六章的格式填写</w:t>
      </w:r>
      <w:r>
        <w:rPr>
          <w:rFonts w:hint="eastAsia" w:ascii="宋体" w:hAnsi="宋体"/>
          <w:szCs w:val="24"/>
        </w:rPr>
        <w:t>。</w:t>
      </w:r>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8" w:name="_Toc184043028"/>
      <w:bookmarkStart w:id="149" w:name="_Toc389620180"/>
      <w:bookmarkStart w:id="150" w:name="_Toc70687155"/>
      <w:bookmarkStart w:id="151"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8"/>
      <w:bookmarkEnd w:id="149"/>
      <w:bookmarkEnd w:id="150"/>
      <w:bookmarkEnd w:id="151"/>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2" w:name="_Toc385992342"/>
      <w:bookmarkStart w:id="153"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2"/>
    <w:bookmarkEnd w:id="153"/>
    <w:p>
      <w:pPr>
        <w:spacing w:line="360" w:lineRule="auto"/>
        <w:rPr>
          <w:rFonts w:ascii="宋体" w:hAnsi="宋体"/>
          <w:b/>
          <w:szCs w:val="24"/>
        </w:rPr>
      </w:pPr>
      <w:bookmarkStart w:id="154" w:name="_Toc184043032"/>
      <w:bookmarkStart w:id="155" w:name="_Toc70687159"/>
      <w:bookmarkStart w:id="156" w:name="_Toc389620184"/>
      <w:bookmarkStart w:id="157"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4"/>
      <w:bookmarkEnd w:id="155"/>
      <w:bookmarkEnd w:id="156"/>
      <w:bookmarkEnd w:id="157"/>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8" w:name="_Toc389620185"/>
      <w:bookmarkStart w:id="159" w:name="_Toc184043033"/>
      <w:bookmarkStart w:id="160" w:name="_Toc385992346"/>
      <w:bookmarkStart w:id="161" w:name="_Toc70687160"/>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8"/>
      <w:bookmarkEnd w:id="159"/>
      <w:bookmarkEnd w:id="160"/>
      <w:bookmarkEnd w:id="161"/>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方须知前附表”中规定数目的副本及电子版本（使用WORD、EXCEL格式，采用U盘），每套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hint="eastAsia" w:ascii="宋体" w:hAnsi="宋体"/>
          <w:szCs w:val="24"/>
          <w:lang w:eastAsia="zh-CN"/>
        </w:rPr>
        <w:t>谈判</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2" w:name="_Hlt491765640"/>
      <w:bookmarkEnd w:id="162"/>
      <w:bookmarkStart w:id="163" w:name="_Toc230099801"/>
      <w:bookmarkStart w:id="164" w:name="_Toc239740355"/>
      <w:bookmarkStart w:id="165" w:name="_Toc184043034"/>
      <w:bookmarkStart w:id="166" w:name="_Toc176882546"/>
      <w:bookmarkStart w:id="167" w:name="_Toc232395216"/>
      <w:bookmarkStart w:id="168" w:name="_Toc232176276"/>
      <w:bookmarkStart w:id="169" w:name="_Toc496324583"/>
      <w:bookmarkStart w:id="170" w:name="_Toc70687161"/>
      <w:bookmarkStart w:id="171" w:name="_Toc230583545"/>
      <w:bookmarkStart w:id="172" w:name="_Toc500746970"/>
      <w:bookmarkStart w:id="173" w:name="_Toc177817338"/>
      <w:bookmarkStart w:id="174" w:name="_Toc500747066"/>
      <w:bookmarkStart w:id="175" w:name="_Toc235518470"/>
      <w:bookmarkStart w:id="176" w:name="_Toc499711888"/>
      <w:bookmarkStart w:id="177" w:name="_Toc389620186"/>
      <w:bookmarkStart w:id="178" w:name="_Toc177189239"/>
      <w:bookmarkStart w:id="179" w:name="_Toc492955419"/>
      <w:bookmarkStart w:id="180" w:name="_Toc385992347"/>
      <w:bookmarkStart w:id="181" w:name="_Toc230013636"/>
      <w:bookmarkStart w:id="182" w:name="_Toc499711047"/>
      <w:bookmarkStart w:id="183" w:name="_Toc503063426"/>
      <w:bookmarkStart w:id="184" w:name="_Toc177995477"/>
      <w:bookmarkStart w:id="185" w:name="_Toc53722844"/>
      <w:bookmarkStart w:id="186" w:name="_Toc500747193"/>
      <w:bookmarkStart w:id="187" w:name="_Toc265738864"/>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spacing w:line="360" w:lineRule="auto"/>
        <w:rPr>
          <w:rFonts w:ascii="宋体" w:hAnsi="宋体"/>
          <w:b/>
          <w:szCs w:val="24"/>
        </w:rPr>
      </w:pPr>
      <w:bookmarkStart w:id="188" w:name="_Toc385992348"/>
      <w:bookmarkStart w:id="189" w:name="_Toc70687162"/>
      <w:bookmarkStart w:id="190" w:name="_Toc389620187"/>
      <w:bookmarkStart w:id="191" w:name="_Toc184043035"/>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8"/>
      <w:bookmarkEnd w:id="189"/>
      <w:bookmarkEnd w:id="190"/>
      <w:bookmarkEnd w:id="191"/>
    </w:p>
    <w:p>
      <w:pPr>
        <w:tabs>
          <w:tab w:val="left" w:pos="588"/>
        </w:tabs>
        <w:adjustRightInd/>
        <w:spacing w:line="360" w:lineRule="auto"/>
        <w:jc w:val="both"/>
        <w:textAlignment w:val="auto"/>
        <w:rPr>
          <w:rFonts w:ascii="宋体" w:hAnsi="宋体"/>
          <w:szCs w:val="24"/>
        </w:rPr>
      </w:pPr>
      <w:bookmarkStart w:id="192" w:name="_Toc389620188"/>
      <w:bookmarkStart w:id="193" w:name="_Toc385992349"/>
      <w:bookmarkStart w:id="194" w:name="_Toc70687163"/>
      <w:bookmarkStart w:id="195" w:name="_Toc184043036"/>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方须知前附表”中指明的项目名称、编号和“在之前不得启封”的字样，并填入“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制定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2"/>
      <w:bookmarkEnd w:id="193"/>
      <w:r>
        <w:rPr>
          <w:rFonts w:hint="eastAsia" w:ascii="宋体" w:hAnsi="宋体"/>
          <w:b/>
          <w:szCs w:val="24"/>
          <w:lang w:eastAsia="zh-CN"/>
        </w:rPr>
        <w:t>响应</w:t>
      </w:r>
      <w:r>
        <w:rPr>
          <w:rFonts w:ascii="宋体" w:hAnsi="宋体"/>
          <w:b/>
          <w:szCs w:val="24"/>
        </w:rPr>
        <w:t>文件递交截止时间</w:t>
      </w:r>
      <w:bookmarkEnd w:id="194"/>
      <w:bookmarkEnd w:id="195"/>
    </w:p>
    <w:p>
      <w:pPr>
        <w:tabs>
          <w:tab w:val="left" w:pos="588"/>
        </w:tabs>
        <w:adjustRightInd/>
        <w:spacing w:line="360" w:lineRule="auto"/>
        <w:jc w:val="both"/>
        <w:textAlignment w:val="auto"/>
        <w:rPr>
          <w:rFonts w:ascii="宋体" w:hAnsi="宋体"/>
          <w:szCs w:val="24"/>
        </w:rPr>
      </w:pPr>
      <w:bookmarkStart w:id="196" w:name="_Toc389620189"/>
      <w:bookmarkStart w:id="197" w:name="_Toc184043037"/>
      <w:bookmarkStart w:id="198" w:name="_Toc385992350"/>
      <w:bookmarkStart w:id="199" w:name="_Toc70687164"/>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比价采购文件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比价采购文件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0" w:name="_Toc249515413"/>
      <w:bookmarkStart w:id="201" w:name="_Toc249515301"/>
      <w:bookmarkStart w:id="202" w:name="_Toc388010429"/>
      <w:bookmarkStart w:id="203" w:name="_Toc249525182"/>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200"/>
      <w:bookmarkEnd w:id="201"/>
      <w:bookmarkEnd w:id="202"/>
      <w:bookmarkEnd w:id="203"/>
    </w:p>
    <w:p>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4" w:name="_Toc385992351"/>
      <w:bookmarkStart w:id="205" w:name="_Toc184043038"/>
      <w:bookmarkStart w:id="206" w:name="_Toc389620190"/>
      <w:bookmarkStart w:id="207" w:name="_Toc70687165"/>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4"/>
      <w:bookmarkEnd w:id="205"/>
      <w:bookmarkEnd w:id="206"/>
      <w:bookmarkEnd w:id="207"/>
    </w:p>
    <w:p>
      <w:pPr>
        <w:spacing w:line="360" w:lineRule="auto"/>
        <w:rPr>
          <w:rFonts w:ascii="宋体" w:hAnsi="宋体"/>
          <w:szCs w:val="24"/>
        </w:rPr>
      </w:pPr>
      <w:bookmarkStart w:id="208" w:name="_Hlt491765712"/>
      <w:bookmarkEnd w:id="208"/>
      <w:bookmarkStart w:id="209" w:name="_Hlt497729441"/>
      <w:bookmarkEnd w:id="209"/>
      <w:bookmarkStart w:id="210" w:name="_Toc232176277"/>
      <w:bookmarkStart w:id="211" w:name="_Toc235518471"/>
      <w:bookmarkStart w:id="212" w:name="_Toc265738865"/>
      <w:bookmarkStart w:id="213" w:name="_Toc232395217"/>
      <w:bookmarkStart w:id="214" w:name="_Toc239740356"/>
      <w:bookmarkStart w:id="215" w:name="_Toc214357452"/>
      <w:bookmarkStart w:id="216" w:name="_Toc385992352"/>
      <w:bookmarkStart w:id="217" w:name="_Toc53722845"/>
      <w:bookmarkStart w:id="218" w:name="_Toc492955420"/>
      <w:bookmarkStart w:id="219" w:name="_Toc503063427"/>
      <w:bookmarkStart w:id="220" w:name="_Toc500747194"/>
      <w:bookmarkStart w:id="221" w:name="_Toc389620191"/>
      <w:bookmarkStart w:id="222" w:name="_Toc177995478"/>
      <w:bookmarkStart w:id="223" w:name="_Toc500746971"/>
      <w:bookmarkStart w:id="224" w:name="_Toc499711048"/>
      <w:bookmarkStart w:id="225" w:name="_Toc176882547"/>
      <w:bookmarkStart w:id="226" w:name="_Toc184043039"/>
      <w:bookmarkStart w:id="227" w:name="_Toc177817339"/>
      <w:bookmarkStart w:id="228" w:name="_Toc500747067"/>
      <w:bookmarkStart w:id="229" w:name="_Toc177189240"/>
      <w:bookmarkStart w:id="230" w:name="_Toc496324584"/>
      <w:bookmarkStart w:id="231" w:name="_Toc70687166"/>
      <w:bookmarkStart w:id="232" w:name="_Toc499711889"/>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比价采购文件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10"/>
      <w:bookmarkEnd w:id="211"/>
      <w:bookmarkEnd w:id="212"/>
      <w:bookmarkEnd w:id="213"/>
      <w:bookmarkEnd w:id="214"/>
      <w:bookmarkEnd w:id="215"/>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3"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3"/>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4"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w:t>
      </w:r>
      <w:r>
        <w:rPr>
          <w:rFonts w:hint="eastAsia" w:ascii="宋体" w:hAnsi="宋体"/>
          <w:szCs w:val="24"/>
          <w:lang w:eastAsia="zh-CN"/>
        </w:rPr>
        <w:t>谈判</w:t>
      </w:r>
      <w:r>
        <w:rPr>
          <w:rFonts w:ascii="宋体" w:hAnsi="宋体"/>
          <w:szCs w:val="24"/>
        </w:rPr>
        <w:t>保证金等进行审查，以确定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eastAsia="zh-CN"/>
        </w:rPr>
        <w:t>谈判</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比价采购文件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比价采购文件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比价采购文件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22.2在</w:t>
      </w:r>
      <w:r>
        <w:rPr>
          <w:rFonts w:hint="eastAsia" w:ascii="宋体" w:hAnsi="宋体"/>
          <w:szCs w:val="24"/>
          <w:lang w:val="en-US" w:eastAsia="zh-CN"/>
        </w:rPr>
        <w:t>评审</w:t>
      </w:r>
      <w:r>
        <w:rPr>
          <w:rFonts w:ascii="宋体" w:hAnsi="宋体"/>
          <w:szCs w:val="24"/>
        </w:rPr>
        <w:t>之前，根据本须知的规定，评审小组要审查每份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比价采购文件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比价采购文件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响应比价采购文件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比价采购文件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比价采购文件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w:t>
      </w:r>
      <w:r>
        <w:rPr>
          <w:rFonts w:hint="eastAsia" w:ascii="宋体" w:hAnsi="宋体"/>
          <w:szCs w:val="24"/>
          <w:lang w:eastAsia="zh-CN"/>
        </w:rPr>
        <w:t>响应</w:t>
      </w:r>
      <w:r>
        <w:rPr>
          <w:rFonts w:hint="eastAsia" w:ascii="宋体" w:hAnsi="宋体"/>
          <w:szCs w:val="24"/>
        </w:rPr>
        <w:t>方资格条件不满足</w:t>
      </w:r>
      <w:r>
        <w:rPr>
          <w:rFonts w:hint="eastAsia" w:ascii="宋体" w:hAnsi="宋体"/>
          <w:szCs w:val="24"/>
          <w:lang w:eastAsia="zh-CN"/>
        </w:rPr>
        <w:t>比价采购文件</w:t>
      </w:r>
      <w:r>
        <w:rPr>
          <w:rFonts w:hint="eastAsia" w:ascii="宋体" w:hAnsi="宋体"/>
          <w:szCs w:val="24"/>
        </w:rPr>
        <w:t>要求</w:t>
      </w:r>
      <w:r>
        <w:rPr>
          <w:rFonts w:ascii="宋体" w:hAnsi="宋体"/>
          <w:szCs w:val="24"/>
        </w:rPr>
        <w:t>(或未提供有效证明文件)的</w:t>
      </w:r>
      <w:r>
        <w:rPr>
          <w:rFonts w:hint="eastAsia" w:ascii="宋体" w:hAnsi="宋体"/>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比价采购文件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eastAsia="zh-CN"/>
        </w:rPr>
        <w:t>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比价采购文件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比价采购文件</w:t>
      </w:r>
      <w:r>
        <w:rPr>
          <w:rFonts w:hint="eastAsia" w:ascii="宋体" w:hAnsi="宋体"/>
          <w:szCs w:val="24"/>
        </w:rPr>
        <w:t>中的其他内容。实质性变动的内容，须经采购人代表确认。对</w:t>
      </w:r>
      <w:r>
        <w:rPr>
          <w:rFonts w:hint="eastAsia" w:ascii="宋体" w:hAnsi="宋体"/>
          <w:szCs w:val="24"/>
          <w:lang w:eastAsia="zh-CN"/>
        </w:rPr>
        <w:t>比价采购文件</w:t>
      </w:r>
      <w:r>
        <w:rPr>
          <w:rFonts w:hint="eastAsia" w:ascii="宋体" w:hAnsi="宋体"/>
          <w:szCs w:val="24"/>
        </w:rPr>
        <w:t>作出的实质性变动是</w:t>
      </w:r>
      <w:r>
        <w:rPr>
          <w:rFonts w:hint="eastAsia" w:ascii="宋体" w:hAnsi="宋体"/>
          <w:szCs w:val="24"/>
          <w:lang w:eastAsia="zh-CN"/>
        </w:rPr>
        <w:t>比价采购文件</w:t>
      </w:r>
      <w:r>
        <w:rPr>
          <w:rFonts w:hint="eastAsia" w:ascii="宋体" w:hAnsi="宋体"/>
          <w:szCs w:val="24"/>
        </w:rPr>
        <w:t>的有效组成部分，评审小组将及时以书面形式同时通知所有参加</w:t>
      </w:r>
      <w:r>
        <w:rPr>
          <w:rFonts w:hint="eastAsia" w:ascii="宋体" w:hAnsi="宋体"/>
          <w:szCs w:val="24"/>
          <w:lang w:eastAsia="zh-CN"/>
        </w:rPr>
        <w:t>谈判</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比价采购文件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方在规定时间内提交最后报价，提交最后报价的</w:t>
      </w:r>
      <w:r>
        <w:rPr>
          <w:rFonts w:hint="eastAsia" w:ascii="宋体" w:hAnsi="宋体"/>
          <w:szCs w:val="24"/>
          <w:lang w:eastAsia="zh-CN"/>
        </w:rPr>
        <w:t>响应</w:t>
      </w:r>
      <w:r>
        <w:rPr>
          <w:rFonts w:ascii="宋体" w:hAnsi="宋体"/>
          <w:szCs w:val="24"/>
        </w:rPr>
        <w:t>方不得少于</w:t>
      </w:r>
      <w:r>
        <w:rPr>
          <w:rFonts w:hint="eastAsia" w:ascii="宋体" w:hAnsi="宋体"/>
          <w:szCs w:val="24"/>
          <w:shd w:val="clear" w:color="auto" w:fill="FFFFFF" w:themeFill="background1"/>
          <w:lang w:val="en-US" w:eastAsia="zh-CN"/>
        </w:rPr>
        <w:t>2</w:t>
      </w:r>
      <w:r>
        <w:rPr>
          <w:rFonts w:ascii="宋体" w:hAnsi="宋体"/>
          <w:szCs w:val="24"/>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比价采购文件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比价采购文件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5" w:name="_Toc195842908"/>
      <w:bookmarkStart w:id="236" w:name="_Toc151190170"/>
      <w:bookmarkStart w:id="237" w:name="_Toc164351637"/>
      <w:bookmarkStart w:id="238" w:name="_Toc151193713"/>
      <w:bookmarkStart w:id="239" w:name="_Toc151193785"/>
      <w:bookmarkStart w:id="240" w:name="_Toc150480781"/>
      <w:bookmarkStart w:id="241" w:name="_Toc151193641"/>
      <w:bookmarkStart w:id="242" w:name="_Toc150774748"/>
      <w:bookmarkStart w:id="243" w:name="_Toc127151543"/>
      <w:bookmarkStart w:id="244" w:name="_Toc127151744"/>
      <w:bookmarkStart w:id="245" w:name="_Toc151193857"/>
      <w:bookmarkStart w:id="246" w:name="_Toc150509294"/>
      <w:bookmarkStart w:id="247" w:name="_Toc151193931"/>
      <w:bookmarkStart w:id="248" w:name="_Toc164608812"/>
      <w:bookmarkStart w:id="249" w:name="_Toc142311045"/>
      <w:bookmarkStart w:id="250" w:name="_Toc164608657"/>
      <w:bookmarkStart w:id="251" w:name="_Toc127161457"/>
      <w:bookmarkStart w:id="252" w:name="_Toc149720836"/>
      <w:bookmarkStart w:id="253" w:name="_Toc164229384"/>
      <w:bookmarkStart w:id="254" w:name="_Toc150774643"/>
      <w:bookmarkStart w:id="255" w:name="_Toc164229238"/>
      <w:r>
        <w:rPr>
          <w:rFonts w:ascii="宋体" w:hAnsi="宋体"/>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比价采购文件</w:t>
      </w:r>
      <w:r>
        <w:rPr>
          <w:rFonts w:hint="eastAsia" w:ascii="宋体" w:hAnsi="宋体" w:cs="宋体"/>
          <w:szCs w:val="24"/>
        </w:rPr>
        <w:t>及</w:t>
      </w:r>
      <w:r>
        <w:rPr>
          <w:rFonts w:hint="eastAsia" w:ascii="宋体" w:hAnsi="宋体" w:cs="宋体"/>
          <w:szCs w:val="24"/>
          <w:lang w:eastAsia="zh-CN"/>
        </w:rPr>
        <w:t>比价采购文件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比价采购文件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比价采购文件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比价采购文件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shd w:val="clear" w:fill="FFFFFF" w:themeFill="background1"/>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方后，评审小组将对满足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w:t>
      </w:r>
      <w:r>
        <w:rPr>
          <w:rFonts w:hint="eastAsia" w:ascii="宋体" w:hAnsi="宋体" w:cs="宋体"/>
          <w:szCs w:val="24"/>
          <w:highlight w:val="none"/>
        </w:rPr>
        <w:t>方最后报价进行</w:t>
      </w:r>
      <w:r>
        <w:rPr>
          <w:rFonts w:hint="eastAsia" w:ascii="宋体" w:hAnsi="宋体" w:cs="宋体"/>
          <w:szCs w:val="24"/>
          <w:highlight w:val="none"/>
          <w:lang w:val="en-US" w:eastAsia="zh-CN"/>
        </w:rPr>
        <w:t>由低到高</w:t>
      </w:r>
      <w:r>
        <w:rPr>
          <w:rFonts w:hint="eastAsia" w:ascii="宋体" w:hAnsi="宋体" w:cs="宋体"/>
          <w:szCs w:val="24"/>
          <w:highlight w:val="none"/>
        </w:rPr>
        <w:t>排序。</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的报价进行</w:t>
      </w:r>
      <w:r>
        <w:rPr>
          <w:rFonts w:hint="eastAsia" w:ascii="宋体" w:hAnsi="宋体" w:cs="宋体"/>
          <w:szCs w:val="24"/>
          <w:highlight w:val="none"/>
          <w:lang w:val="en-US" w:eastAsia="zh-CN"/>
        </w:rPr>
        <w:t>由低到高排序</w:t>
      </w:r>
      <w:r>
        <w:rPr>
          <w:rFonts w:hint="eastAsia" w:ascii="宋体" w:hAnsi="宋体" w:cs="宋体"/>
          <w:szCs w:val="24"/>
          <w:highlight w:val="none"/>
        </w:rPr>
        <w:t>。</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24.4</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24.4.1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及人保健康内部采购制度规范</w:t>
      </w:r>
      <w:r>
        <w:rPr>
          <w:rFonts w:hint="eastAsia" w:ascii="宋体" w:hAnsi="宋体" w:cs="宋体"/>
          <w:szCs w:val="24"/>
        </w:rPr>
        <w:t>的要求履行职责，严格按照制定的</w:t>
      </w:r>
      <w:bookmarkStart w:id="256" w:name="OLE_LINK4"/>
      <w:r>
        <w:rPr>
          <w:rFonts w:hint="eastAsia" w:ascii="宋体" w:hAnsi="宋体" w:cs="宋体"/>
          <w:szCs w:val="24"/>
          <w:lang w:val="en-US" w:eastAsia="zh-CN"/>
        </w:rPr>
        <w:t>评审及</w:t>
      </w:r>
      <w:bookmarkEnd w:id="256"/>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24.4.2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24.4.3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24.4.4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7" w:name="_Toc195842909"/>
      <w:bookmarkStart w:id="258" w:name="_Toc151193786"/>
      <w:bookmarkStart w:id="259" w:name="_Toc151193858"/>
      <w:bookmarkStart w:id="260" w:name="_Toc164608813"/>
      <w:bookmarkStart w:id="261" w:name="_Toc127161458"/>
      <w:bookmarkStart w:id="262" w:name="_Toc164351638"/>
      <w:bookmarkStart w:id="263" w:name="_Toc149720837"/>
      <w:bookmarkStart w:id="264" w:name="_Toc151190171"/>
      <w:bookmarkStart w:id="265" w:name="_Toc151193714"/>
      <w:bookmarkStart w:id="266" w:name="_Toc150480782"/>
      <w:bookmarkStart w:id="267" w:name="_Toc164229239"/>
      <w:bookmarkStart w:id="268" w:name="_Toc164608658"/>
      <w:bookmarkStart w:id="269" w:name="_Toc127151544"/>
      <w:bookmarkStart w:id="270" w:name="_Toc142311046"/>
      <w:bookmarkStart w:id="271" w:name="_Toc164229385"/>
      <w:bookmarkStart w:id="272" w:name="_Toc151193932"/>
      <w:bookmarkStart w:id="273" w:name="_Toc127151745"/>
      <w:bookmarkStart w:id="274" w:name="_Toc150774749"/>
      <w:bookmarkStart w:id="275" w:name="_Toc150774644"/>
      <w:bookmarkStart w:id="276" w:name="_Toc150509295"/>
      <w:bookmarkStart w:id="277" w:name="_Toc151193642"/>
      <w:r>
        <w:rPr>
          <w:rFonts w:ascii="宋体" w:hAnsi="宋体"/>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8" w:name="_Toc520356170"/>
      <w:bookmarkStart w:id="279" w:name="_Toc151193716"/>
      <w:bookmarkStart w:id="280" w:name="_Toc150774751"/>
      <w:bookmarkStart w:id="281" w:name="_Toc150480784"/>
      <w:bookmarkStart w:id="282" w:name="_Toc164229241"/>
      <w:bookmarkStart w:id="283" w:name="_Toc150509297"/>
      <w:bookmarkStart w:id="284" w:name="_Toc164229387"/>
      <w:bookmarkStart w:id="285" w:name="_Toc195842911"/>
      <w:bookmarkStart w:id="286" w:name="_Toc150774646"/>
      <w:bookmarkStart w:id="287" w:name="_Ref467307010"/>
      <w:bookmarkStart w:id="288" w:name="_Toc151193788"/>
      <w:bookmarkStart w:id="289" w:name="_Toc127161460"/>
      <w:bookmarkStart w:id="290" w:name="_Toc149720839"/>
      <w:bookmarkStart w:id="291" w:name="_Toc151193644"/>
      <w:bookmarkStart w:id="292" w:name="_Toc127151546"/>
      <w:bookmarkStart w:id="293" w:name="_Toc151193934"/>
      <w:bookmarkStart w:id="294" w:name="_Toc164608660"/>
      <w:bookmarkStart w:id="295" w:name="_Toc164608815"/>
      <w:bookmarkStart w:id="296" w:name="_Toc151190173"/>
      <w:bookmarkStart w:id="297" w:name="_Toc164351640"/>
      <w:bookmarkStart w:id="298" w:name="_Toc142311048"/>
      <w:bookmarkStart w:id="299" w:name="_Toc151193860"/>
      <w:bookmarkStart w:id="300" w:name="_Toc127151747"/>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b/>
          <w:szCs w:val="24"/>
        </w:rPr>
        <w:t>原则</w:t>
      </w:r>
    </w:p>
    <w:bookmarkEnd w:id="234"/>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lang w:val="en-US" w:eastAsia="zh-CN"/>
        </w:rPr>
        <w:t>报价（如开启谈判环节则为最终报价）</w:t>
      </w:r>
      <w:r>
        <w:rPr>
          <w:rFonts w:hint="eastAsia" w:ascii="宋体" w:hAnsi="宋体"/>
          <w:szCs w:val="24"/>
        </w:rPr>
        <w:t>情况</w:t>
      </w:r>
      <w:r>
        <w:rPr>
          <w:rFonts w:ascii="宋体" w:hAnsi="宋体"/>
          <w:szCs w:val="24"/>
        </w:rPr>
        <w:t>，对实质上</w:t>
      </w:r>
      <w:r>
        <w:rPr>
          <w:rFonts w:hint="eastAsia" w:ascii="宋体" w:hAnsi="宋体"/>
          <w:szCs w:val="24"/>
          <w:lang w:eastAsia="zh-CN"/>
        </w:rPr>
        <w:t>响应比价采购文件</w:t>
      </w:r>
      <w:r>
        <w:rPr>
          <w:rFonts w:ascii="宋体" w:hAnsi="宋体"/>
          <w:szCs w:val="24"/>
        </w:rPr>
        <w:t>的</w:t>
      </w:r>
      <w:r>
        <w:rPr>
          <w:rFonts w:hint="eastAsia" w:ascii="宋体" w:hAnsi="宋体"/>
          <w:szCs w:val="24"/>
          <w:lang w:eastAsia="zh-CN"/>
        </w:rPr>
        <w:t>响应</w:t>
      </w:r>
      <w:r>
        <w:rPr>
          <w:rFonts w:ascii="宋体" w:hAnsi="宋体"/>
          <w:szCs w:val="24"/>
        </w:rPr>
        <w:t>方按</w:t>
      </w:r>
      <w:r>
        <w:rPr>
          <w:rFonts w:hint="eastAsia" w:ascii="宋体" w:hAnsi="宋体"/>
          <w:szCs w:val="24"/>
          <w:lang w:val="en-US" w:eastAsia="zh-CN"/>
        </w:rPr>
        <w:t>价格由低到高</w:t>
      </w:r>
      <w:r>
        <w:rPr>
          <w:rFonts w:ascii="宋体" w:hAnsi="宋体"/>
          <w:szCs w:val="24"/>
        </w:rPr>
        <w:t>的顺序</w:t>
      </w:r>
      <w:r>
        <w:rPr>
          <w:rFonts w:hint="eastAsia" w:ascii="宋体" w:hAnsi="宋体"/>
          <w:szCs w:val="24"/>
        </w:rPr>
        <w:t>进行排序</w:t>
      </w:r>
      <w:r>
        <w:rPr>
          <w:rFonts w:ascii="宋体" w:hAnsi="宋体"/>
          <w:szCs w:val="24"/>
        </w:rPr>
        <w:t>。</w:t>
      </w:r>
      <w:r>
        <w:rPr>
          <w:rFonts w:hint="eastAsia" w:ascii="宋体" w:hAnsi="宋体"/>
          <w:szCs w:val="24"/>
          <w:lang w:val="en-US" w:eastAsia="zh-CN"/>
        </w:rPr>
        <w:t>价格</w:t>
      </w:r>
      <w:r>
        <w:rPr>
          <w:rFonts w:ascii="宋体" w:hAnsi="宋体"/>
          <w:szCs w:val="24"/>
        </w:rPr>
        <w:t>相同的，</w:t>
      </w:r>
      <w:r>
        <w:rPr>
          <w:rFonts w:hint="eastAsia" w:ascii="宋体" w:hAnsi="宋体"/>
          <w:szCs w:val="24"/>
          <w:lang w:val="en-US" w:eastAsia="zh-CN"/>
        </w:rPr>
        <w:t>由评审小组根据评审情况选择开启新一轮谈判，或选择合理规则确定响应方排序</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Pr>
        <w:spacing w:line="360" w:lineRule="auto"/>
        <w:jc w:val="center"/>
        <w:rPr>
          <w:rFonts w:ascii="宋体" w:hAnsi="宋体"/>
          <w:b/>
          <w:szCs w:val="24"/>
        </w:rPr>
      </w:pPr>
      <w:bookmarkStart w:id="301" w:name="_Toc239740357"/>
      <w:bookmarkStart w:id="302" w:name="_Toc232176278"/>
      <w:bookmarkStart w:id="303" w:name="_Toc265738866"/>
      <w:bookmarkStart w:id="304" w:name="_Toc235518472"/>
      <w:bookmarkStart w:id="305" w:name="_Toc232395218"/>
      <w:bookmarkStart w:id="306" w:name="_Toc385992360"/>
      <w:bookmarkStart w:id="307" w:name="_Toc499711890"/>
      <w:bookmarkStart w:id="308" w:name="_Toc503063428"/>
      <w:bookmarkStart w:id="309" w:name="_Toc496324585"/>
      <w:bookmarkStart w:id="310" w:name="_Toc177189241"/>
      <w:bookmarkStart w:id="311" w:name="_Toc492955421"/>
      <w:bookmarkStart w:id="312" w:name="_Toc70687174"/>
      <w:bookmarkStart w:id="313" w:name="_Toc499711049"/>
      <w:bookmarkStart w:id="314" w:name="_Toc500747068"/>
      <w:bookmarkStart w:id="315" w:name="_Toc177995479"/>
      <w:bookmarkStart w:id="316" w:name="_Toc389620199"/>
      <w:bookmarkStart w:id="317" w:name="_Toc500747195"/>
      <w:bookmarkStart w:id="318" w:name="_Toc500746972"/>
      <w:bookmarkStart w:id="319" w:name="_Toc53722846"/>
      <w:bookmarkStart w:id="320" w:name="_Toc176882548"/>
      <w:bookmarkStart w:id="321" w:name="_Toc177817340"/>
      <w:bookmarkStart w:id="322" w:name="_Toc184043047"/>
      <w:r>
        <w:rPr>
          <w:rFonts w:ascii="宋体" w:hAnsi="宋体"/>
          <w:b/>
          <w:szCs w:val="24"/>
        </w:rPr>
        <w:t>六、授予</w:t>
      </w:r>
      <w:r>
        <w:rPr>
          <w:rFonts w:hint="eastAsia" w:ascii="宋体" w:hAnsi="宋体"/>
          <w:b/>
          <w:szCs w:val="24"/>
        </w:rPr>
        <w:t>采购</w:t>
      </w:r>
      <w:bookmarkEnd w:id="301"/>
      <w:bookmarkEnd w:id="302"/>
      <w:bookmarkEnd w:id="303"/>
      <w:bookmarkEnd w:id="304"/>
      <w:bookmarkEnd w:id="305"/>
      <w:r>
        <w:rPr>
          <w:rFonts w:hint="eastAsia" w:ascii="宋体" w:hAnsi="宋体"/>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Pr>
        <w:spacing w:line="360" w:lineRule="auto"/>
        <w:rPr>
          <w:rFonts w:ascii="宋体" w:hAnsi="宋体"/>
          <w:b/>
          <w:szCs w:val="24"/>
        </w:rPr>
      </w:pPr>
      <w:bookmarkStart w:id="323" w:name="_Toc389620200"/>
      <w:bookmarkStart w:id="324" w:name="_Toc385992361"/>
      <w:bookmarkStart w:id="325" w:name="_Toc70687175"/>
      <w:bookmarkStart w:id="326" w:name="_Toc184043048"/>
      <w:r>
        <w:rPr>
          <w:rFonts w:ascii="宋体" w:hAnsi="宋体"/>
          <w:b/>
          <w:szCs w:val="24"/>
        </w:rPr>
        <w:t>27.</w:t>
      </w:r>
      <w:bookmarkEnd w:id="323"/>
      <w:bookmarkEnd w:id="324"/>
      <w:bookmarkEnd w:id="325"/>
      <w:bookmarkEnd w:id="326"/>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ascii="宋体" w:hAnsi="宋体"/>
          <w:szCs w:val="24"/>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p>
    <w:p>
      <w:pPr>
        <w:tabs>
          <w:tab w:val="left" w:pos="588"/>
        </w:tabs>
        <w:adjustRightInd/>
        <w:spacing w:line="360" w:lineRule="auto"/>
        <w:jc w:val="both"/>
        <w:textAlignment w:val="auto"/>
        <w:rPr>
          <w:rFonts w:ascii="宋体" w:hAnsi="宋体"/>
          <w:szCs w:val="24"/>
        </w:rPr>
      </w:pPr>
      <w:bookmarkStart w:id="327" w:name="_Toc385992363"/>
      <w:bookmarkStart w:id="328" w:name="_Toc389620202"/>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9" w:name="_Toc70687176"/>
      <w:bookmarkStart w:id="330"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7"/>
      <w:bookmarkEnd w:id="328"/>
      <w:bookmarkEnd w:id="329"/>
      <w:bookmarkEnd w:id="330"/>
    </w:p>
    <w:p>
      <w:pPr>
        <w:tabs>
          <w:tab w:val="left" w:pos="360"/>
          <w:tab w:val="left" w:pos="588"/>
        </w:tabs>
        <w:adjustRightInd/>
        <w:spacing w:line="360" w:lineRule="auto"/>
        <w:jc w:val="both"/>
        <w:textAlignment w:val="auto"/>
        <w:rPr>
          <w:rFonts w:ascii="宋体" w:hAnsi="宋体"/>
          <w:szCs w:val="24"/>
        </w:rPr>
      </w:pPr>
      <w:bookmarkStart w:id="331" w:name="_Toc184043050"/>
      <w:bookmarkStart w:id="332" w:name="_Toc389620203"/>
      <w:bookmarkStart w:id="333" w:name="_Toc70687177"/>
      <w:bookmarkStart w:id="334" w:name="_Toc385992364"/>
      <w:r>
        <w:rPr>
          <w:rFonts w:ascii="宋体" w:hAnsi="宋体"/>
          <w:szCs w:val="24"/>
        </w:rPr>
        <w:t>28.1项目出现法律法规规定的违法行为、影响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28.2在采购</w:t>
      </w:r>
      <w:r>
        <w:rPr>
          <w:rFonts w:hint="eastAsia" w:ascii="宋体" w:hAnsi="宋体"/>
          <w:szCs w:val="24"/>
        </w:rPr>
        <w:t>活动</w:t>
      </w:r>
      <w:r>
        <w:rPr>
          <w:rFonts w:ascii="宋体" w:hAnsi="宋体"/>
          <w:szCs w:val="24"/>
        </w:rPr>
        <w:t>中，出现下列情形之一的，应予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28.2.1出现影响采购公正的违法、违规行为的；</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28.2.2因重大变故，采购任务取消的</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28.3当出现上款情形时，为维护国家和社会公共利益，采购人有权拒绝任何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1"/>
      <w:bookmarkEnd w:id="332"/>
      <w:bookmarkEnd w:id="333"/>
      <w:bookmarkEnd w:id="334"/>
    </w:p>
    <w:p>
      <w:pPr>
        <w:tabs>
          <w:tab w:val="left" w:pos="588"/>
        </w:tabs>
        <w:adjustRightInd/>
        <w:spacing w:line="360" w:lineRule="auto"/>
        <w:ind w:left="480" w:hanging="480" w:hangingChars="200"/>
        <w:jc w:val="both"/>
        <w:textAlignment w:val="auto"/>
        <w:rPr>
          <w:rFonts w:ascii="宋体" w:hAnsi="宋体"/>
          <w:szCs w:val="24"/>
        </w:rPr>
      </w:pPr>
      <w:bookmarkStart w:id="335" w:name="_Toc389620204"/>
      <w:bookmarkStart w:id="336" w:name="_Toc385992365"/>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p>
    <w:bookmarkEnd w:id="335"/>
    <w:bookmarkEnd w:id="336"/>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比价采购文件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比价采购文件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szCs w:val="24"/>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比价采购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比价采购</w:t>
      </w:r>
      <w:r>
        <w:rPr>
          <w:rFonts w:hint="eastAsia" w:ascii="宋体" w:hAnsi="宋体"/>
          <w:szCs w:val="24"/>
        </w:rPr>
        <w:t>文件所附合同条款进行修改，形成双方最终签署的合同文本。</w:t>
      </w:r>
    </w:p>
    <w:bookmarkEnd w:id="15"/>
    <w:bookmarkEnd w:id="31"/>
    <w:bookmarkEnd w:id="32"/>
    <w:p>
      <w:pPr>
        <w:spacing w:line="360" w:lineRule="auto"/>
        <w:rPr>
          <w:rFonts w:ascii="宋体" w:hAnsi="宋体"/>
        </w:rPr>
      </w:pPr>
      <w:bookmarkStart w:id="337" w:name="_Hlt58073159"/>
      <w:bookmarkEnd w:id="337"/>
      <w:bookmarkStart w:id="338" w:name="_Toc241827247"/>
      <w:bookmarkStart w:id="339" w:name="_Toc201632872"/>
    </w:p>
    <w:bookmarkEnd w:id="338"/>
    <w:bookmarkEnd w:id="339"/>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pPr>
        <w:pStyle w:val="22"/>
        <w:jc w:val="center"/>
        <w:outlineLvl w:val="0"/>
        <w:rPr>
          <w:rFonts w:ascii="宋体" w:hAnsi="宋体"/>
          <w:sz w:val="44"/>
          <w:szCs w:val="44"/>
        </w:rPr>
      </w:pPr>
      <w:bookmarkStart w:id="341" w:name="_Toc421032043"/>
      <w:bookmarkStart w:id="342" w:name="_Toc421042645"/>
      <w:bookmarkStart w:id="343" w:name="_Toc18928245"/>
      <w:bookmarkStart w:id="344" w:name="_Toc19034377"/>
      <w:bookmarkStart w:id="345" w:name="_Toc19034437"/>
      <w:bookmarkStart w:id="346" w:name="_Toc19039759"/>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0"/>
      <w:bookmarkEnd w:id="341"/>
      <w:bookmarkEnd w:id="342"/>
      <w:r>
        <w:rPr>
          <w:rFonts w:hint="eastAsia" w:ascii="宋体" w:hAnsi="宋体"/>
          <w:b/>
          <w:sz w:val="44"/>
          <w:szCs w:val="44"/>
        </w:rPr>
        <w:t>项目需求</w:t>
      </w:r>
      <w:bookmarkEnd w:id="343"/>
      <w:bookmarkEnd w:id="344"/>
      <w:bookmarkEnd w:id="345"/>
      <w:bookmarkEnd w:id="346"/>
    </w:p>
    <w:p>
      <w:pPr>
        <w:pStyle w:val="5"/>
        <w:spacing w:line="360" w:lineRule="auto"/>
        <w:ind w:firstLine="482"/>
        <w:rPr>
          <w:rFonts w:ascii="宋体" w:hAnsi="宋体" w:cs="Arial"/>
          <w:b/>
        </w:rPr>
      </w:pPr>
    </w:p>
    <w:p>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rPr>
      </w:pPr>
      <w:r>
        <w:rPr>
          <w:rFonts w:ascii="宋体" w:hAnsi="宋体" w:cs="Arial"/>
          <w:bCs/>
        </w:rPr>
        <w:t>1.</w:t>
      </w:r>
      <w:r>
        <w:rPr>
          <w:rFonts w:ascii="宋体" w:hAnsi="宋体"/>
        </w:rPr>
        <w:t>项目基本情况介绍；</w:t>
      </w:r>
      <w:r>
        <w:rPr>
          <w:rFonts w:hint="eastAsia" w:ascii="宋体" w:hAnsi="宋体"/>
        </w:rPr>
        <w:t>本项目拟选定1-3家供应商，为我司客户提供适老化改造服务</w:t>
      </w:r>
      <w:r>
        <w:rPr>
          <w:rFonts w:hint="eastAsia" w:ascii="宋体" w:hAnsi="宋体"/>
          <w:lang w:eastAsia="zh-CN"/>
        </w:rPr>
        <w:t>。包含</w:t>
      </w:r>
      <w:r>
        <w:rPr>
          <w:rFonts w:hint="eastAsia" w:ascii="宋体" w:hAnsi="宋体"/>
        </w:rPr>
        <w:t>居家评估、拆旧施工改造，以及适老化智能监测设备等内容，设置五档改造套餐。根据家中老人实际居住情况、身体条件，选择合适档位的勘察改造服务。通过空间硬件改造消除居家环境物理风险，借助智能设备实现老人居家状态监测、紧急求助告警，切实解决高龄、独居老人跌倒磕碰、突发状况无人知晓等现实痛点。</w:t>
      </w:r>
    </w:p>
    <w:p>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rPr>
      </w:pPr>
      <w:r>
        <w:rPr>
          <w:rFonts w:ascii="宋体" w:hAnsi="宋体"/>
        </w:rPr>
        <w:t>2.项目采购范围</w:t>
      </w:r>
      <w:r>
        <w:rPr>
          <w:rFonts w:hint="eastAsia" w:ascii="宋体" w:hAnsi="宋体"/>
          <w:lang w:eastAsia="zh-CN"/>
        </w:rPr>
        <w:t>，见下表</w:t>
      </w:r>
      <w:r>
        <w:rPr>
          <w:rFonts w:ascii="宋体" w:hAnsi="宋体"/>
        </w:rPr>
        <w:t>；</w:t>
      </w:r>
    </w:p>
    <w:tbl>
      <w:tblPr>
        <w:tblStyle w:val="14"/>
        <w:tblW w:w="8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3550"/>
        <w:gridCol w:w="1357"/>
        <w:gridCol w:w="1174"/>
        <w:gridCol w:w="1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b/>
                <w:bCs/>
                <w:sz w:val="21"/>
                <w:szCs w:val="21"/>
                <w:vertAlign w:val="baseline"/>
                <w:lang w:eastAsia="zh-CN"/>
              </w:rPr>
            </w:pPr>
            <w:r>
              <w:rPr>
                <w:rFonts w:hint="eastAsia" w:ascii="仿宋_GB2312" w:hAnsi="仿宋_GB2312" w:eastAsia="仿宋_GB2312" w:cs="仿宋_GB2312"/>
                <w:b/>
                <w:bCs/>
                <w:sz w:val="21"/>
                <w:szCs w:val="21"/>
                <w:vertAlign w:val="baseline"/>
                <w:lang w:eastAsia="zh-CN"/>
              </w:rPr>
              <w:t>服务套餐</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b/>
                <w:bCs/>
                <w:sz w:val="21"/>
                <w:szCs w:val="21"/>
                <w:vertAlign w:val="baseline"/>
                <w:lang w:val="en-US" w:eastAsia="zh-CN"/>
              </w:rPr>
            </w:pPr>
            <w:r>
              <w:rPr>
                <w:rFonts w:hint="eastAsia" w:ascii="仿宋_GB2312" w:hAnsi="仿宋_GB2312" w:eastAsia="仿宋_GB2312" w:cs="仿宋_GB2312"/>
                <w:b/>
                <w:bCs/>
                <w:sz w:val="21"/>
                <w:szCs w:val="21"/>
                <w:vertAlign w:val="baseline"/>
                <w:lang w:val="en-US" w:eastAsia="zh-CN"/>
              </w:rPr>
              <w:t>服务项目</w:t>
            </w:r>
          </w:p>
        </w:tc>
        <w:tc>
          <w:tcPr>
            <w:tcW w:w="1357" w:type="dxa"/>
            <w:vAlign w:val="bottom"/>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b/>
                <w:bCs/>
                <w:sz w:val="21"/>
                <w:szCs w:val="21"/>
                <w:vertAlign w:val="baseline"/>
                <w:lang w:val="en-US"/>
              </w:rPr>
            </w:pPr>
            <w:r>
              <w:rPr>
                <w:rFonts w:hint="eastAsia" w:ascii="仿宋_GB2312" w:hAnsi="仿宋_GB2312" w:eastAsia="仿宋_GB2312" w:cs="仿宋_GB2312"/>
                <w:b/>
                <w:bCs/>
                <w:sz w:val="21"/>
                <w:szCs w:val="21"/>
                <w:vertAlign w:val="baseline"/>
                <w:lang w:eastAsia="zh-CN"/>
              </w:rPr>
              <w:t>合作价格（含税）</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b/>
                <w:bCs/>
                <w:sz w:val="21"/>
                <w:szCs w:val="21"/>
                <w:vertAlign w:val="baseline"/>
                <w:lang w:eastAsia="zh-CN"/>
              </w:rPr>
            </w:pPr>
            <w:r>
              <w:rPr>
                <w:rFonts w:hint="eastAsia" w:ascii="仿宋_GB2312" w:hAnsi="仿宋_GB2312" w:eastAsia="仿宋_GB2312" w:cs="仿宋_GB2312"/>
                <w:b/>
                <w:bCs/>
                <w:sz w:val="21"/>
                <w:szCs w:val="21"/>
                <w:vertAlign w:val="baseline"/>
                <w:lang w:eastAsia="zh-CN"/>
              </w:rPr>
              <w:t>预估次数</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b/>
                <w:bCs/>
                <w:sz w:val="21"/>
                <w:szCs w:val="21"/>
                <w:vertAlign w:val="baseline"/>
                <w:lang w:eastAsia="zh-CN"/>
              </w:rPr>
            </w:pPr>
            <w:r>
              <w:rPr>
                <w:rFonts w:hint="eastAsia" w:ascii="仿宋_GB2312" w:hAnsi="仿宋_GB2312" w:eastAsia="仿宋_GB2312" w:cs="仿宋_GB2312"/>
                <w:b/>
                <w:bCs/>
                <w:sz w:val="21"/>
                <w:szCs w:val="21"/>
                <w:vertAlign w:val="baseline"/>
                <w:lang w:eastAsia="zh-CN"/>
              </w:rPr>
              <w:t>总预算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rPr>
              <w:t>适老化改造套餐</w:t>
            </w:r>
            <w:r>
              <w:rPr>
                <w:rFonts w:hint="eastAsia" w:ascii="仿宋_GB2312" w:hAnsi="仿宋_GB2312" w:eastAsia="仿宋_GB2312" w:cs="仿宋_GB2312"/>
                <w:sz w:val="21"/>
                <w:szCs w:val="21"/>
                <w:vertAlign w:val="baseline"/>
                <w:lang w:val="en-US" w:eastAsia="zh-CN"/>
              </w:rPr>
              <w:t>A-300档</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含上门勘察、制定改造方案、</w:t>
            </w:r>
            <w:r>
              <w:rPr>
                <w:rFonts w:hint="eastAsia" w:ascii="仿宋_GB2312" w:hAnsi="仿宋_GB2312" w:eastAsia="仿宋_GB2312" w:cs="仿宋_GB2312"/>
                <w:sz w:val="21"/>
                <w:szCs w:val="21"/>
                <w:lang w:val="en-US" w:eastAsia="zh-CN"/>
              </w:rPr>
              <w:t>L型扶手安装</w:t>
            </w:r>
          </w:p>
        </w:tc>
        <w:tc>
          <w:tcPr>
            <w:tcW w:w="1357"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eastAsia="zh-CN"/>
              </w:rPr>
              <w:t>不超</w:t>
            </w:r>
            <w:r>
              <w:rPr>
                <w:rFonts w:hint="eastAsia" w:ascii="仿宋_GB2312" w:hAnsi="仿宋_GB2312" w:eastAsia="仿宋_GB2312" w:cs="仿宋_GB2312"/>
                <w:sz w:val="21"/>
                <w:szCs w:val="21"/>
                <w:vertAlign w:val="baseline"/>
                <w:lang w:val="en-US" w:eastAsia="zh-CN"/>
              </w:rPr>
              <w:t>300元</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val="en-US" w:eastAsia="zh-CN"/>
              </w:rPr>
              <w:t>20次</w:t>
            </w:r>
          </w:p>
        </w:tc>
        <w:tc>
          <w:tcPr>
            <w:tcW w:w="1174" w:type="dxa"/>
            <w:vMerge w:val="restart"/>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val="en-US" w:eastAsia="zh-CN"/>
              </w:rPr>
              <w:t>486000元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rPr>
              <w:t>适老化改造套餐</w:t>
            </w:r>
            <w:r>
              <w:rPr>
                <w:rFonts w:hint="eastAsia" w:ascii="仿宋_GB2312" w:hAnsi="仿宋_GB2312" w:eastAsia="仿宋_GB2312" w:cs="仿宋_GB2312"/>
                <w:sz w:val="21"/>
                <w:szCs w:val="21"/>
                <w:vertAlign w:val="baseline"/>
                <w:lang w:val="en-US" w:eastAsia="zh-CN"/>
              </w:rPr>
              <w:t>B-1500档</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lang w:eastAsia="zh-CN"/>
              </w:rPr>
              <w:t>含上门勘察、制定改造方案、智能马桶盖安装</w:t>
            </w:r>
          </w:p>
        </w:tc>
        <w:tc>
          <w:tcPr>
            <w:tcW w:w="1357"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eastAsia="zh-CN"/>
              </w:rPr>
              <w:t>不超</w:t>
            </w:r>
            <w:r>
              <w:rPr>
                <w:rFonts w:hint="eastAsia" w:ascii="仿宋_GB2312" w:hAnsi="仿宋_GB2312" w:eastAsia="仿宋_GB2312" w:cs="仿宋_GB2312"/>
                <w:sz w:val="21"/>
                <w:szCs w:val="21"/>
                <w:vertAlign w:val="baseline"/>
                <w:lang w:val="en-US" w:eastAsia="zh-CN"/>
              </w:rPr>
              <w:t>1500元</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20次</w:t>
            </w:r>
          </w:p>
        </w:tc>
        <w:tc>
          <w:tcPr>
            <w:tcW w:w="1174" w:type="dxa"/>
            <w:vMerge w:val="continue"/>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rPr>
              <w:t>适老化改造套餐</w:t>
            </w:r>
            <w:r>
              <w:rPr>
                <w:rFonts w:hint="eastAsia" w:ascii="仿宋_GB2312" w:hAnsi="仿宋_GB2312" w:eastAsia="仿宋_GB2312" w:cs="仿宋_GB2312"/>
                <w:sz w:val="21"/>
                <w:szCs w:val="21"/>
                <w:vertAlign w:val="baseline"/>
                <w:lang w:val="en-US" w:eastAsia="zh-CN"/>
              </w:rPr>
              <w:t>C-3000档</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lang w:eastAsia="zh-CN"/>
              </w:rPr>
              <w:t>含上门勘察、制定改造方案、上门安装适老化产品（门磁报警器、智能门锁、健康拿捏仪、雾化器、血糖仪）</w:t>
            </w:r>
          </w:p>
        </w:tc>
        <w:tc>
          <w:tcPr>
            <w:tcW w:w="1357"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eastAsia="zh-CN"/>
              </w:rPr>
              <w:t>不超</w:t>
            </w:r>
            <w:r>
              <w:rPr>
                <w:rFonts w:hint="eastAsia" w:ascii="仿宋_GB2312" w:hAnsi="仿宋_GB2312" w:eastAsia="仿宋_GB2312" w:cs="仿宋_GB2312"/>
                <w:sz w:val="21"/>
                <w:szCs w:val="21"/>
                <w:vertAlign w:val="baseline"/>
                <w:lang w:val="en-US" w:eastAsia="zh-CN"/>
              </w:rPr>
              <w:t>3000元</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20次</w:t>
            </w:r>
          </w:p>
        </w:tc>
        <w:tc>
          <w:tcPr>
            <w:tcW w:w="1174" w:type="dxa"/>
            <w:vMerge w:val="continue"/>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rPr>
              <w:t>适老化改造套餐</w:t>
            </w:r>
            <w:r>
              <w:rPr>
                <w:rFonts w:hint="eastAsia" w:ascii="仿宋_GB2312" w:hAnsi="仿宋_GB2312" w:eastAsia="仿宋_GB2312" w:cs="仿宋_GB2312"/>
                <w:sz w:val="21"/>
                <w:szCs w:val="21"/>
                <w:vertAlign w:val="baseline"/>
                <w:lang w:val="en-US" w:eastAsia="zh-CN"/>
              </w:rPr>
              <w:t>D-6000档</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lang w:eastAsia="zh-CN"/>
              </w:rPr>
              <w:t>包含但不限于：上门勘察、制定改造方案、上门安装适老化产品（跌倒报警器、燃气报警器、</w:t>
            </w:r>
            <w:r>
              <w:rPr>
                <w:rFonts w:hint="eastAsia" w:ascii="仿宋_GB2312" w:hAnsi="仿宋_GB2312" w:eastAsia="仿宋_GB2312" w:cs="仿宋_GB2312"/>
                <w:sz w:val="21"/>
                <w:szCs w:val="21"/>
                <w:lang w:val="en-US" w:eastAsia="zh-CN"/>
              </w:rPr>
              <w:t>SOS报警器、</w:t>
            </w:r>
            <w:r>
              <w:rPr>
                <w:rFonts w:hint="eastAsia" w:ascii="仿宋_GB2312" w:hAnsi="仿宋_GB2312" w:eastAsia="仿宋_GB2312" w:cs="仿宋_GB2312"/>
                <w:sz w:val="21"/>
                <w:szCs w:val="21"/>
                <w:lang w:eastAsia="zh-CN"/>
              </w:rPr>
              <w:t>床边扶手、感应灯、空调清洗服务）</w:t>
            </w:r>
          </w:p>
        </w:tc>
        <w:tc>
          <w:tcPr>
            <w:tcW w:w="1357"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eastAsia="zh-CN"/>
              </w:rPr>
              <w:t>不超</w:t>
            </w:r>
            <w:r>
              <w:rPr>
                <w:rFonts w:hint="eastAsia" w:ascii="仿宋_GB2312" w:hAnsi="仿宋_GB2312" w:eastAsia="仿宋_GB2312" w:cs="仿宋_GB2312"/>
                <w:sz w:val="21"/>
                <w:szCs w:val="21"/>
                <w:vertAlign w:val="baseline"/>
                <w:lang w:val="en-US" w:eastAsia="zh-CN"/>
              </w:rPr>
              <w:t>6000元</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15次</w:t>
            </w:r>
          </w:p>
        </w:tc>
        <w:tc>
          <w:tcPr>
            <w:tcW w:w="1174" w:type="dxa"/>
            <w:vMerge w:val="continue"/>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rPr>
              <w:t>适老化改造套餐</w:t>
            </w:r>
            <w:r>
              <w:rPr>
                <w:rFonts w:hint="eastAsia" w:ascii="仿宋_GB2312" w:hAnsi="仿宋_GB2312" w:eastAsia="仿宋_GB2312" w:cs="仿宋_GB2312"/>
                <w:sz w:val="21"/>
                <w:szCs w:val="21"/>
                <w:vertAlign w:val="baseline"/>
                <w:lang w:val="en-US" w:eastAsia="zh-CN"/>
              </w:rPr>
              <w:t>E-30000档</w:t>
            </w:r>
          </w:p>
        </w:tc>
        <w:tc>
          <w:tcPr>
            <w:tcW w:w="3550"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lang w:eastAsia="zh-CN"/>
              </w:rPr>
              <w:t>包含但不限于：上门勘察、制定改造方案、卫生间</w:t>
            </w:r>
            <w:r>
              <w:rPr>
                <w:rFonts w:hint="eastAsia" w:ascii="仿宋_GB2312" w:hAnsi="仿宋_GB2312" w:eastAsia="仿宋_GB2312" w:cs="仿宋_GB2312"/>
                <w:sz w:val="21"/>
                <w:szCs w:val="21"/>
                <w:lang w:val="en-US" w:eastAsia="zh-CN"/>
              </w:rPr>
              <w:t>/</w:t>
            </w:r>
            <w:r>
              <w:rPr>
                <w:rFonts w:hint="eastAsia" w:ascii="仿宋_GB2312" w:hAnsi="仿宋_GB2312" w:eastAsia="仿宋_GB2312" w:cs="仿宋_GB2312"/>
                <w:sz w:val="21"/>
                <w:szCs w:val="21"/>
                <w:lang w:eastAsia="zh-CN"/>
              </w:rPr>
              <w:t>厨房间</w:t>
            </w:r>
            <w:r>
              <w:rPr>
                <w:rFonts w:hint="eastAsia" w:ascii="仿宋_GB2312" w:hAnsi="仿宋_GB2312" w:eastAsia="仿宋_GB2312" w:cs="仿宋_GB2312"/>
                <w:sz w:val="21"/>
                <w:szCs w:val="21"/>
                <w:lang w:val="en-US" w:eastAsia="zh-CN"/>
              </w:rPr>
              <w:t>/</w:t>
            </w:r>
            <w:r>
              <w:rPr>
                <w:rFonts w:hint="eastAsia" w:ascii="仿宋_GB2312" w:hAnsi="仿宋_GB2312" w:eastAsia="仿宋_GB2312" w:cs="仿宋_GB2312"/>
                <w:sz w:val="21"/>
                <w:szCs w:val="21"/>
                <w:lang w:eastAsia="zh-CN"/>
              </w:rPr>
              <w:t>卧室改造三选一</w:t>
            </w:r>
          </w:p>
        </w:tc>
        <w:tc>
          <w:tcPr>
            <w:tcW w:w="1357"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default"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eastAsia="zh-CN"/>
              </w:rPr>
              <w:t>不超</w:t>
            </w:r>
            <w:r>
              <w:rPr>
                <w:rFonts w:hint="eastAsia" w:ascii="仿宋_GB2312" w:hAnsi="仿宋_GB2312" w:eastAsia="仿宋_GB2312" w:cs="仿宋_GB2312"/>
                <w:sz w:val="21"/>
                <w:szCs w:val="21"/>
                <w:vertAlign w:val="baseline"/>
                <w:lang w:val="en-US" w:eastAsia="zh-CN"/>
              </w:rPr>
              <w:t>30000元</w:t>
            </w:r>
          </w:p>
        </w:tc>
        <w:tc>
          <w:tcPr>
            <w:tcW w:w="117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10次</w:t>
            </w:r>
          </w:p>
        </w:tc>
        <w:tc>
          <w:tcPr>
            <w:tcW w:w="1174" w:type="dxa"/>
            <w:vMerge w:val="continue"/>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仿宋_GB2312" w:hAnsi="仿宋_GB2312" w:eastAsia="仿宋_GB2312" w:cs="仿宋_GB2312"/>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gridSpan w:val="5"/>
            <w:vAlign w:val="center"/>
          </w:tcPr>
          <w:p>
            <w:pPr>
              <w:bidi w:val="0"/>
              <w:jc w:val="both"/>
              <w:rPr>
                <w:rFonts w:hint="eastAsia" w:ascii="仿宋_GB2312" w:hAnsi="宋体" w:eastAsia="仿宋_GB2312" w:cs="Times New Roman"/>
                <w:b/>
                <w:bCs/>
                <w:kern w:val="2"/>
                <w:sz w:val="24"/>
                <w:szCs w:val="24"/>
                <w:lang w:val="en-US" w:eastAsia="zh-CN" w:bidi="ar-SA"/>
              </w:rPr>
            </w:pPr>
            <w:r>
              <w:rPr>
                <w:rFonts w:hint="eastAsia" w:ascii="仿宋_GB2312" w:hAnsi="宋体" w:eastAsia="仿宋_GB2312" w:cs="Times New Roman"/>
                <w:b/>
                <w:bCs/>
                <w:kern w:val="2"/>
                <w:sz w:val="24"/>
                <w:szCs w:val="24"/>
                <w:lang w:val="en-US" w:eastAsia="zh-CN" w:bidi="ar-SA"/>
              </w:rPr>
              <w:t>服务内容要求：</w:t>
            </w:r>
          </w:p>
          <w:p>
            <w:pPr>
              <w:bidi w:val="0"/>
              <w:jc w:val="both"/>
              <w:rPr>
                <w:rFonts w:hint="eastAsia"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1、上门勘察需包括；①房屋基础现状勘测；②老人身体情况、生活习惯评估；③居家风险隐患排查；④现场实测实量、拍照、录像存档；⑤定制专项方案服务内容。</w:t>
            </w:r>
          </w:p>
          <w:p>
            <w:pPr>
              <w:bidi w:val="0"/>
              <w:jc w:val="both"/>
              <w:rPr>
                <w:rFonts w:hint="eastAsia" w:ascii="仿宋_GB2312" w:hAnsi="仿宋_GB2312" w:eastAsia="仿宋_GB2312" w:cs="仿宋_GB2312"/>
                <w:sz w:val="21"/>
                <w:szCs w:val="21"/>
                <w:vertAlign w:val="baseline"/>
              </w:rPr>
            </w:pPr>
            <w:r>
              <w:rPr>
                <w:rFonts w:hint="eastAsia" w:ascii="仿宋_GB2312" w:hAnsi="宋体" w:eastAsia="仿宋_GB2312" w:cs="Times New Roman"/>
                <w:kern w:val="2"/>
                <w:sz w:val="24"/>
                <w:szCs w:val="24"/>
                <w:lang w:val="en-US" w:eastAsia="zh-CN" w:bidi="ar-SA"/>
              </w:rPr>
              <w:t>2、卫生间/厨房间/卧室改造需包含拆旧、垃圾装袋清运、成品保护、保洁、施工人员劳动保护，并负责安装、调试等施工所需一切人工及物料。需提供面积、材料标准及服务流程等信息。</w:t>
            </w:r>
          </w:p>
        </w:tc>
      </w:tr>
    </w:tbl>
    <w:p>
      <w:pPr>
        <w:pStyle w:val="5"/>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textAlignment w:val="baseline"/>
        <w:rPr>
          <w:rFonts w:ascii="宋体" w:hAnsi="宋体"/>
        </w:rPr>
      </w:pPr>
    </w:p>
    <w:p>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rPr>
      </w:pPr>
      <w:r>
        <w:rPr>
          <w:rFonts w:ascii="宋体" w:hAnsi="宋体"/>
        </w:rPr>
        <w:t>3.技术要求（</w:t>
      </w:r>
      <w:r>
        <w:rPr>
          <w:rFonts w:hint="eastAsia" w:ascii="宋体" w:hAnsi="宋体"/>
          <w:lang w:eastAsia="zh-CN"/>
        </w:rPr>
        <w:t>见下表</w:t>
      </w:r>
      <w:r>
        <w:rPr>
          <w:rFonts w:ascii="宋体" w:hAnsi="宋体"/>
        </w:rPr>
        <w:t>）；</w:t>
      </w:r>
    </w:p>
    <w:tbl>
      <w:tblPr>
        <w:tblStyle w:val="13"/>
        <w:tblW w:w="5982" w:type="pct"/>
        <w:tblInd w:w="-8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6"/>
        <w:gridCol w:w="1445"/>
        <w:gridCol w:w="5871"/>
        <w:gridCol w:w="709"/>
        <w:gridCol w:w="2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2" w:hRule="atLeast"/>
        </w:trPr>
        <w:tc>
          <w:tcPr>
            <w:tcW w:w="48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服务类型</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服务项目</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jc w:val="left"/>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服务内容</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服务次数</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kern w:val="0"/>
                <w:sz w:val="18"/>
                <w:szCs w:val="18"/>
                <w:u w:val="none"/>
                <w:lang w:val="en-US" w:eastAsia="zh-CN" w:bidi="ar"/>
              </w:rPr>
            </w:pPr>
            <w:r>
              <w:rPr>
                <w:rFonts w:hint="eastAsia" w:ascii="微软雅黑" w:hAnsi="微软雅黑" w:eastAsia="微软雅黑" w:cs="微软雅黑"/>
                <w:b/>
                <w:bCs/>
                <w:i w:val="0"/>
                <w:iCs w:val="0"/>
                <w:color w:val="000000"/>
                <w:kern w:val="0"/>
                <w:sz w:val="18"/>
                <w:szCs w:val="18"/>
                <w:u w:val="none"/>
                <w:lang w:val="en-US" w:eastAsia="zh-CN" w:bidi="ar"/>
              </w:rPr>
              <w:t>质保要求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484"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适老化改造套餐A</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上门勘察、制定改造方案</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1、房屋基础现状勘测；2、老人身体情况、生活习惯评估；3、居家风险隐患排查；4、现场实测实量、拍照、录像存档；5、现场与家属沟通需求。勘察后定制专项方案服务内容。</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jc w:val="left"/>
              <w:rPr>
                <w:rFonts w:hint="eastAsia" w:ascii="微软雅黑" w:hAnsi="微软雅黑" w:eastAsia="微软雅黑" w:cs="微软雅黑"/>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6"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L型扶手安装</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品牌：知年  型号：HS-025A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1、尺寸： 60*35cm（黄）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2、外管材质：ABS材质，直径35mm；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 内管材质： 不锈钢内管，直径25mm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4、扶手表面使用环保标准、抗老化、耐腐蚀</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材料， 能有效抑制大肠杆菌、金黄色葡萄球菌等细菌，扶手表面采用防滑浮点设计，适合抓握</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484"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适老化改造套餐B</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上门勘察、制定改造方案</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1、房屋基础现状勘测；2、老人身体情况、生活习惯评估；3、居家风险隐患排查；4、现场实测实量、拍照、录像存档；5、现场与家属沟通需求。勘察后定制专项方案服务内容。</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jc w:val="left"/>
              <w:rPr>
                <w:rFonts w:hint="eastAsia" w:ascii="微软雅黑" w:hAnsi="微软雅黑" w:eastAsia="微软雅黑" w:cs="微软雅黑"/>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2"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智能马桶盖</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品牌：华而洁     型号：AN085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1、材质工艺：PP材质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2、产品尺寸：产品尺寸为380*510*49mm，安装孔距130 - 165mm，电源线长度≦3m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3、产品功能：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①基础参数适配：产品尺寸为380*510*49mm，安装孔距130 - 165mm，电源线长度≦3m，适配多数家庭卫生间安装需求；采用pp材质，结实耐用。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②加热与温控：即热式加热，额定功率1200W，加热功率1600W，能快速提供热水，水温范围34 - 40°C，座圈温度可在室温 - 34 - 40°C调节，满足不同用户对温度的个性化需求。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③清洁功能多样：具备臀部清洗、移动清洗功能，且喷头自洁，保证清洁卫生，提升使用体验。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④智能感应与控制：拥有落座感应功能，配合小程序/遥控器以及手机APP控制，操作便捷，科技感十足。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⑤安全防护到位：具备漏电保护、防干烧保护功能，且防水等级达IPX4，使用安全可靠。</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⑥细节设计贴心：座圈\盖板阻尼缓降，减少噪音；配备夜灯照明，方便夜间使用；节能功能有助于节省能源。</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484"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适老化改造套餐C</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上门勘察、制定改造方案</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1、房屋基础现状勘测；2、老人身体情况、生活习惯评估；3、居家风险隐患排查；4、现场实测实量、拍照、录像存档；5、现场与家属沟通需求。勘察后定制专项方案服务内容。</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jc w:val="left"/>
              <w:rPr>
                <w:rFonts w:hint="eastAsia" w:ascii="微软雅黑" w:hAnsi="微软雅黑" w:eastAsia="微软雅黑" w:cs="微软雅黑"/>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8"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血糖仪</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品牌：掌护   型号： A608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1、材质工艺：高清大屏大字体，采用生物传感技术检测，无需调码，智能退条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2、产品尺寸：测试范围在1.1~33.3mmol/L，在5℃~40℃、湿度20%~80%的工作环境中能稳定工作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3、产品功能：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①检测关键特性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采血量微：仅需+0.7ul 微量采血，5 秒即可完成检测，降低采血不适感，提升使用体验。</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测试范围广：测试范围在1.1~33.3mmol/L，能满足不同血糖水平的检测需求，适用多种身体状况的用户。</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②操作便捷性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智能免调码：无需手动调码，插入试纸自动启动，操作简单便捷，节省时间和精力，尤其适合老年人或操作不熟练的人群。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③检测技术保障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生物传感稳：运用生物传感技术，搭配进口氧化酶，稳定且抗干扰，确保检测结果准确可靠，为用户提供精准的血糖数据。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④数据管理</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记忆功能强：可存储99组测量值，方便用户查看历史数据，追踪血糖变化趋势，为健康管理提供有力支持。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⑤硬件设计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针头更人性：采用低痛针头且为30G升级款，减少采血疼痛感；高清大屏设计，观感舒适，读数清晰。</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电池续航适：使用CR2032纽扣电池，在5℃~40℃、湿度20%~80%的工作环境中能稳定工作，满足日常及不同环境下的使用需求。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试纸存储佳：罐装试纸密封长久存储，保证试纸质量，确保检测的准确性。</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质保1年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雾化器</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top"/>
          </w:tcPr>
          <w:p>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品牌：皖舒   型号：WS-16A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压缩空气式雾化器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电源：交流220伏/50赫兹</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最大雾化率：≥0.2毫升/分钟</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大气压力范围：86kPa-106kPa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尺寸：176+176*105mm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型号：WS-16A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功率：≤200VA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整机噪音：≤65分贝(A)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药液残留量：≤1.0mL</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净重：1.22kg</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质保1年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27"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健康拿捏仪</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（1台）</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spacing w:after="180" w:afterAutospacing="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 xml:space="preserve">品牌：康佳 型号：KJAM-6701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肩颈按摩2合1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6D灵动仿生手按摩拟人手虎口抓揉</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温感热敷热力渗透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贴敷绒布顺滑耐磨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按摩多档调节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Type-C便携充电15min智能定时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1800mAh持久续航</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质保1年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5"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智能门锁（1个）</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品牌：凯迪仕   型号：A20-B</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1、指纹、密码、临时密码、周期密码、蓝牙、卡片、机械钥匙、app；</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2、指纹（100枚），卡片（100张），密码（100组）；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3、防撬报警、虚位密码、试错报警、低电压报警、防小黑盒开锁；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4、高强度合金，真插芯锁芯。</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4"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门磁报警器(NB)</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品牌：智爱孝 型号：ZA-A-M11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1：通讯方式：NB-iot通讯方式。</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2：采用CR123A高性能锂电池供电。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3：使用全网通的NB-iot模组。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4：安装时能现场显示NB-iot信号强度。</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5：安装时能现场显示与云平台通讯正常或者故障。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6：安装时能现场显示产品硬件正常或故障。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7：安装时能现场显示NB-iot卡正常或故障。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8：安装时能现场显示与通讯基站连接正常或故障。</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9：采取内置拔插式NB-iot卡，方便更换卡。</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10：外壳表面采取无孔设计方式，外壳可以防喷水，淋雨，回潮。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11：支持NB-iot信号强度上报功能。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12：支持电池电量上报功能。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13：防拆报警功能。</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484"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适老化改造套餐D</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上门勘察、制定改造方案</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1、房屋基础现状勘测；2、老人身体情况、生活习惯评估；3、居家风险隐患排查；4、现场实测实量、拍照、录像存档；5、现场与家属沟通需求。勘察后定制专项方案服务内容。</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jc w:val="left"/>
              <w:rPr>
                <w:rFonts w:hint="eastAsia" w:ascii="微软雅黑" w:hAnsi="微软雅黑" w:eastAsia="微软雅黑" w:cs="微软雅黑"/>
                <w:i w:val="0"/>
                <w:iCs w:val="0"/>
                <w:color w:val="000000"/>
                <w:kern w:val="0"/>
                <w:sz w:val="18"/>
                <w:szCs w:val="1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6"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安装感应灯</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品牌：缔美珂  型号：DMK-006PL</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1、材质工艺：ABS材质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2、产品尺寸：82*54*82mm，提供3000K暖光和6500K白光，内置400毫安电池，光通量60LM，具备360°旋转功能，感应距离3-5米，感应角度120°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3、产品功能：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①配件齐全：随灯配备说明书1份、20cm充电线1根以及双面胶1个，方便用户快速上手安装与使用。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②模式丰富：设有OFF（关闭）、ON常亮模式和AUTO感应模式。在AUTO感应模式下，于昏暗环境中可实现人来即亮灯，人离开约20秒后自动熄灭，感应距离达3 - 5米，感应角度为120°，能及时感应人体活动并做出反应。</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③色温可选：提供3000K暖光和6500K白光两种色温选择，采用SMD6颗0.7W的LED，可满足不同场景下的照明氛围需求。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④材质耐用：采用ABS材质，坚固且耐用，能够有效延长产品的使用寿命。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⑤供电灵活：支持充电和干电池两用。内置400毫安电池，搭配USB - C充电口，充电3小时，可工作4小时；也可使用干电池供电，不受充电条件限制，使用场景更广泛。</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⑥照明适中：光通量约60LM，能提供适度且柔和的照明，不会造成光线过强或过暗的情况。</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⑦旋转灵活：具备360°旋转功能，用户可根据实际需求自由调整照明角度，满足多样化的照明方向要求。</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⑧尺寸便携：产品尺寸为82*54*82mm，小巧轻便，不占空间；包装尺寸95*65*95mm，产品毛重150g，便于携带和收纳。外箱尺寸507*342*400mm，装箱数量100个，整箱毛重15.5kg，利于批量运输与存储。 "</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质保1年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紧急SOS报警器</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品牌：智爱孝  型号：ZA-A-E11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采取NB-iot通讯方式，具有一键报警、拉绳报警、防拆报警、低电量检测、信号强度检测等功能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通讯方式：NB-iot通信协议</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电源电压：DC 3V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静态电流：≤5uA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工作温度：-10℃~+55℃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安装方式：壁挂式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电池：CR123A锂电池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发射电流：200mA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工作湿度：≤95%RH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磁极感应距离：20mm </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89"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床边扶手（2根）</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品牌：知年  型号：HS-024A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1、材质工艺：内管为201不锈钢管材质，φ25mm，壁厚1.0±0.2mm；外管ABS材质防滑胶管，φ35mm，厚度4±0.2mm；五孔固定不锈钢底片，ABS注塑法兰盖；</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2、产品尺寸：边-边总长380mm；产品外侧边距离墙面尺寸80mm；法兰盖大小70mm；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3、产品功能</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①内管为优质不锈钢管材质，钢管内部冲压工艺，无焊接，强韧抗腐蚀，经久耐用；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②外管表面大颗粒防滑设计，增大摩擦力，湿手抓握不打滑，能够提供稳定的的支撑；内侧有加强筋设计，加强筋为四条，防止转动的同时提高承载能力；</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③支架、弯头为弧形法兰，避免锐角划伤磕碰，材质为ABS材质；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④可定制夜光垫圈，夜晚可视，帮助老年人快速定位扶手位置，垫圈材质为吸光材质;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⑤ABS外层隔绝金属冰冷感，冬天握感温润不冻手，夏季防烫抗导热；外壳抗污防渗透，易清洁；</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⑥适应性强，能够适应不同的卫生间布局；</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空调清洗（限2台家用）</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限2台挂壁式家用空调</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服务有效期1年一次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3"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燃气报警器(NB)（1个）</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品牌：智爱孝  型号：JT-RTG15-N</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采取NB-iot通讯方式，当报警器周围检测气体达到一定浓度时报警器指示灯快速闪亮，蜂鸣器发出报警声，当检测气体浓度下降到一定阈值时，报警器可自动恢复</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1、探测气体：天然气（CH4）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2、报警浓度：8%LEL ±3%LEL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 xml:space="preserve">3、工作温度：-10~+55℃ </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4、安装方式：壁挂/吸顶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5、尺寸：104*31.7mm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6、工作电压：AC220V/50Hz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7、报警音量：70dB (正前方1米处)</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8、采样方式：自然扩散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9、驱动能力：12V（机械手持续200mA，电磁阀脉冲2A）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10、工作湿度：小于95%RH</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1"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智能跌倒毫米波</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（雷达） 探测器</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品牌：智爱孝   型号：ZA-A-80T</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多种模式告警，呼吸心跳监测，提供个人健康管理基础数据，提供在床、离床等检测数据。支持多种安装方式。在床、离床状态监测；有无体动检测； HRV 心率变异数据监测；支持起身告警（仅支持顶装）呼吸暂停检测和次数统计。告警布防。</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1.3M*3M</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2.工作中心频率：60GHZ</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3.电源USB输入：12V/1A</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4.功耗：≤3.5W</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5.工作温度：-20℃-50℃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6.工作湿度：5%-95%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7.防护等级：IP65</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8.安装方式：顶装或壁装或角装</w:t>
            </w:r>
          </w:p>
        </w:tc>
        <w:tc>
          <w:tcPr>
            <w:tcW w:w="319"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1次</w:t>
            </w:r>
          </w:p>
        </w:tc>
        <w:tc>
          <w:tcPr>
            <w:tcW w:w="9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包安装及人工费用，保修1年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3" w:hRule="atLeast"/>
        </w:trPr>
        <w:tc>
          <w:tcPr>
            <w:tcW w:w="484"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18"/>
                <w:szCs w:val="18"/>
                <w:u w:val="none"/>
              </w:rPr>
            </w:pPr>
            <w:r>
              <w:rPr>
                <w:rFonts w:hint="eastAsia" w:ascii="微软雅黑" w:hAnsi="微软雅黑" w:eastAsia="微软雅黑" w:cs="微软雅黑"/>
                <w:b/>
                <w:bCs/>
                <w:i w:val="0"/>
                <w:iCs w:val="0"/>
                <w:color w:val="000000"/>
                <w:kern w:val="0"/>
                <w:sz w:val="18"/>
                <w:szCs w:val="18"/>
                <w:u w:val="none"/>
                <w:lang w:val="en-US" w:eastAsia="zh-CN" w:bidi="ar"/>
              </w:rPr>
              <w:t>适老化改造套餐E（卫生间改造、厨房间改造、卧室改造三项任选其一）</w:t>
            </w: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卫生间改造服务</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不超过6平方米，包含：</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1.拆除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2.垃圾清运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3.水电改造（卫生间原有线路不变、增加或变更线路位置）-公元、中财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4.防滑地砖铺设-罗马、新中源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5.墙砖-罗马、新中源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6.卫生间吊顶-武峰30*60</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7.防水-雨虹--蓝色柔韧型防水涂料</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8.地漏-九牧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9、三角阀*3-九牧</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10.水浸报警器-智爱孝-ZA-A-W11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11.紧急SOS报警器-智爱孝-ZA-A-E11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12.扶手*2-知年</w:t>
            </w:r>
          </w:p>
        </w:tc>
        <w:tc>
          <w:tcPr>
            <w:tcW w:w="319"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任选一项</w:t>
            </w:r>
          </w:p>
        </w:tc>
        <w:tc>
          <w:tcPr>
            <w:tcW w:w="904" w:type="pct"/>
            <w:vMerge w:val="restart"/>
            <w:tcBorders>
              <w:top w:val="single" w:color="000000" w:sz="8" w:space="0"/>
              <w:left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改造水电线路质保2年，设备保修1年（人为损坏、自然灾害不在质保范围内）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8"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厨房间改造服务</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不超过6平方米，包含：</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1.拆除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2.垃圾清运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3.水电改造（厨房间原有线路不变、增加或变更线路位置）-公元、中财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4.防滑地砖铺设-罗马、新中源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5.墙砖-罗马、新中源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6.橱柜-定制颗粒板（不超3米）</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7.燃气报警器-智爱孝  型号：JT-RTG15-N</w:t>
            </w: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i w:val="0"/>
                <w:iCs w:val="0"/>
                <w:color w:val="000000"/>
                <w:sz w:val="18"/>
                <w:szCs w:val="18"/>
                <w:u w:val="none"/>
              </w:rPr>
            </w:pPr>
          </w:p>
        </w:tc>
        <w:tc>
          <w:tcPr>
            <w:tcW w:w="904" w:type="pct"/>
            <w:vMerge w:val="continue"/>
            <w:tcBorders>
              <w:left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0" w:hRule="atLeast"/>
        </w:trPr>
        <w:tc>
          <w:tcPr>
            <w:tcW w:w="484"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b/>
                <w:bCs/>
                <w:i w:val="0"/>
                <w:iCs w:val="0"/>
                <w:color w:val="000000"/>
                <w:sz w:val="18"/>
                <w:szCs w:val="18"/>
                <w:u w:val="none"/>
              </w:rPr>
            </w:pPr>
          </w:p>
        </w:tc>
        <w:tc>
          <w:tcPr>
            <w:tcW w:w="65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卧室改造服务</w:t>
            </w:r>
          </w:p>
        </w:tc>
        <w:tc>
          <w:tcPr>
            <w:tcW w:w="2640" w:type="pct"/>
            <w:tcBorders>
              <w:top w:val="single" w:color="000000" w:sz="8" w:space="0"/>
              <w:left w:val="single" w:color="000000" w:sz="8" w:space="0"/>
              <w:bottom w:val="single" w:color="000000" w:sz="8" w:space="0"/>
              <w:right w:val="single" w:color="000000" w:sz="8" w:space="0"/>
            </w:tcBorders>
            <w:shd w:val="clear" w:color="auto" w:fill="FFFFFF"/>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不超过20平方米，包含：</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1.拆除</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2.水电改造（卧室原有线路不变、增加或变更线路位置）-公元、中财</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3.垃圾清运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4.地板打底找平-海螺水泥（425）、黄沙、石子</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5.地板(实木复合板)-大自然</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6.踢脚线-实木</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7.油漆-立邦、三棵树</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8.紧急SOS报警器-智爱孝-ZA-A-E11</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9.床边护栏-实木三档</w:t>
            </w:r>
            <w:r>
              <w:rPr>
                <w:rFonts w:hint="eastAsia" w:ascii="微软雅黑" w:hAnsi="微软雅黑" w:eastAsia="微软雅黑" w:cs="微软雅黑"/>
                <w:i w:val="0"/>
                <w:iCs w:val="0"/>
                <w:color w:val="000000"/>
                <w:kern w:val="0"/>
                <w:sz w:val="18"/>
                <w:szCs w:val="18"/>
                <w:u w:val="none"/>
                <w:lang w:val="en-US" w:eastAsia="zh-CN" w:bidi="ar"/>
              </w:rPr>
              <w:br w:type="textWrapping"/>
            </w:r>
            <w:r>
              <w:rPr>
                <w:rFonts w:hint="eastAsia" w:ascii="微软雅黑" w:hAnsi="微软雅黑" w:eastAsia="微软雅黑" w:cs="微软雅黑"/>
                <w:i w:val="0"/>
                <w:iCs w:val="0"/>
                <w:color w:val="000000"/>
                <w:kern w:val="0"/>
                <w:sz w:val="18"/>
                <w:szCs w:val="18"/>
                <w:u w:val="none"/>
                <w:lang w:val="en-US" w:eastAsia="zh-CN" w:bidi="ar"/>
              </w:rPr>
              <w:t>10.感应灯-缔美珂  型号：DMK-006PL</w:t>
            </w:r>
          </w:p>
        </w:tc>
        <w:tc>
          <w:tcPr>
            <w:tcW w:w="319"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i w:val="0"/>
                <w:iCs w:val="0"/>
                <w:color w:val="000000"/>
                <w:sz w:val="18"/>
                <w:szCs w:val="18"/>
                <w:u w:val="none"/>
              </w:rPr>
            </w:pPr>
          </w:p>
        </w:tc>
        <w:tc>
          <w:tcPr>
            <w:tcW w:w="904" w:type="pct"/>
            <w:vMerge w:val="continue"/>
            <w:tcBorders>
              <w:left w:val="single" w:color="000000" w:sz="8" w:space="0"/>
              <w:bottom w:val="single" w:color="000000" w:sz="8" w:space="0"/>
              <w:right w:val="single" w:color="000000" w:sz="8" w:space="0"/>
            </w:tcBorders>
            <w:shd w:val="clear" w:color="auto" w:fill="FFFFFF"/>
            <w:vAlign w:val="center"/>
          </w:tcPr>
          <w:p>
            <w:pPr>
              <w:jc w:val="center"/>
              <w:rPr>
                <w:rFonts w:hint="eastAsia" w:ascii="微软雅黑" w:hAnsi="微软雅黑" w:eastAsia="微软雅黑" w:cs="微软雅黑"/>
                <w:i w:val="0"/>
                <w:iCs w:val="0"/>
                <w:color w:val="000000"/>
                <w:sz w:val="18"/>
                <w:szCs w:val="18"/>
                <w:u w:val="none"/>
              </w:rPr>
            </w:pPr>
          </w:p>
        </w:tc>
      </w:tr>
    </w:tbl>
    <w:p>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lang w:val="en-US" w:eastAsia="zh-CN"/>
        </w:rPr>
      </w:pPr>
    </w:p>
    <w:p>
      <w:pPr>
        <w:pStyle w:val="5"/>
        <w:ind w:firstLine="480"/>
        <w:rPr>
          <w:rFonts w:hint="eastAsia" w:ascii="宋体" w:hAnsi="宋体" w:eastAsia="宋体" w:cs="Arial"/>
          <w:bCs/>
          <w:szCs w:val="24"/>
          <w:lang w:val="en-US" w:eastAsia="zh-CN"/>
        </w:rPr>
      </w:pPr>
      <w:r>
        <w:rPr>
          <w:rFonts w:hint="eastAsia" w:ascii="宋体" w:hAnsi="宋体" w:cs="Arial"/>
          <w:bCs/>
          <w:szCs w:val="24"/>
          <w:lang w:val="en-US" w:eastAsia="zh-CN"/>
        </w:rPr>
        <w:t>4、商务要求</w:t>
      </w:r>
    </w:p>
    <w:p>
      <w:pPr>
        <w:pStyle w:val="5"/>
        <w:numPr>
          <w:ilvl w:val="0"/>
          <w:numId w:val="8"/>
        </w:numPr>
        <w:ind w:left="905" w:leftChars="0" w:hanging="425" w:firstLineChars="0"/>
        <w:rPr>
          <w:rFonts w:hint="eastAsia" w:ascii="宋体" w:hAnsi="宋体" w:cs="Arial"/>
          <w:bCs/>
          <w:szCs w:val="24"/>
        </w:rPr>
      </w:pPr>
      <w:r>
        <w:rPr>
          <w:rFonts w:hint="eastAsia" w:ascii="宋体" w:hAnsi="宋体" w:cs="Arial"/>
          <w:bCs/>
          <w:szCs w:val="24"/>
        </w:rPr>
        <w:t>供应商需提供上门服务范围的清单，至少包含上海市。</w:t>
      </w:r>
    </w:p>
    <w:p>
      <w:pPr>
        <w:pStyle w:val="5"/>
        <w:numPr>
          <w:ilvl w:val="0"/>
          <w:numId w:val="8"/>
        </w:numPr>
        <w:ind w:left="905" w:leftChars="0" w:hanging="425" w:firstLineChars="0"/>
        <w:rPr>
          <w:rFonts w:hint="eastAsia" w:ascii="宋体" w:hAnsi="宋体" w:cs="Arial"/>
          <w:bCs/>
          <w:szCs w:val="24"/>
        </w:rPr>
      </w:pPr>
      <w:r>
        <w:rPr>
          <w:rFonts w:hint="eastAsia" w:ascii="宋体" w:hAnsi="宋体" w:cs="Arial"/>
          <w:bCs/>
          <w:szCs w:val="24"/>
        </w:rPr>
        <w:t>供应商需为本项目配备专项团队成员，并做好服务质量管控。</w:t>
      </w:r>
    </w:p>
    <w:p>
      <w:pPr>
        <w:pStyle w:val="5"/>
        <w:numPr>
          <w:ilvl w:val="0"/>
          <w:numId w:val="8"/>
        </w:numPr>
        <w:ind w:left="905" w:leftChars="0" w:hanging="425" w:firstLineChars="0"/>
        <w:rPr>
          <w:rFonts w:hint="eastAsia" w:ascii="宋体" w:hAnsi="宋体" w:cs="Arial"/>
          <w:bCs/>
          <w:szCs w:val="24"/>
        </w:rPr>
      </w:pPr>
      <w:r>
        <w:rPr>
          <w:rFonts w:hint="eastAsia" w:ascii="宋体" w:hAnsi="宋体" w:cs="Arial"/>
          <w:bCs/>
          <w:szCs w:val="24"/>
        </w:rPr>
        <w:t>供应商需确保服务过程中不得存在隐形消费、诱导消费、强制加价、捆绑消费等侵害消费者权益的行为。</w:t>
      </w:r>
    </w:p>
    <w:p>
      <w:pPr>
        <w:pStyle w:val="5"/>
        <w:numPr>
          <w:ilvl w:val="0"/>
          <w:numId w:val="8"/>
        </w:numPr>
        <w:ind w:left="905" w:leftChars="0" w:hanging="425" w:firstLineChars="0"/>
        <w:rPr>
          <w:rFonts w:ascii="宋体" w:hAnsi="宋体" w:cs="Arial"/>
          <w:bCs/>
          <w:szCs w:val="24"/>
        </w:rPr>
      </w:pPr>
      <w:r>
        <w:rPr>
          <w:rFonts w:hint="eastAsia" w:ascii="宋体" w:hAnsi="宋体" w:cs="Arial"/>
          <w:bCs/>
          <w:szCs w:val="24"/>
        </w:rPr>
        <w:t>供应商需在所能及的范围内为我司提供力所能及的增值服务或免费试用服务。</w:t>
      </w:r>
    </w:p>
    <w:p>
      <w:pPr>
        <w:pStyle w:val="5"/>
        <w:ind w:firstLine="480"/>
        <w:rPr>
          <w:rFonts w:ascii="宋体" w:hAnsi="宋体" w:cs="Arial"/>
          <w:bCs/>
          <w:szCs w:val="24"/>
        </w:rPr>
      </w:pPr>
    </w:p>
    <w:p>
      <w:pPr>
        <w:pStyle w:val="5"/>
        <w:ind w:firstLine="0" w:firstLineChars="0"/>
        <w:jc w:val="center"/>
        <w:outlineLvl w:val="0"/>
        <w:rPr>
          <w:rFonts w:ascii="宋体" w:hAnsi="宋体"/>
          <w:b/>
          <w:sz w:val="44"/>
          <w:szCs w:val="44"/>
        </w:rPr>
      </w:pPr>
      <w:bookmarkStart w:id="347" w:name="_Toc19039760"/>
      <w:bookmarkStart w:id="348" w:name="_Toc19034438"/>
      <w:bookmarkStart w:id="349" w:name="_Toc19034378"/>
      <w:r>
        <w:rPr>
          <w:rFonts w:hint="eastAsia" w:ascii="宋体" w:hAnsi="宋体"/>
          <w:b/>
          <w:sz w:val="44"/>
          <w:szCs w:val="44"/>
        </w:rPr>
        <w:br w:type="page"/>
      </w: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7"/>
      <w:bookmarkEnd w:id="348"/>
      <w:bookmarkEnd w:id="349"/>
    </w:p>
    <w:p>
      <w:pPr>
        <w:pStyle w:val="5"/>
        <w:ind w:firstLine="0" w:firstLineChars="0"/>
        <w:jc w:val="center"/>
        <w:outlineLvl w:val="0"/>
        <w:rPr>
          <w:rFonts w:ascii="宋体" w:hAnsi="宋体" w:cs="Arial"/>
          <w:bCs/>
          <w:szCs w:val="24"/>
        </w:rPr>
      </w:pPr>
      <w:r>
        <w:rPr>
          <w:rFonts w:hint="eastAsia"/>
        </w:rPr>
        <w:t>（附预签订的合同模板）</w:t>
      </w:r>
    </w:p>
    <w:p>
      <w:pPr>
        <w:pStyle w:val="25"/>
        <w:jc w:val="center"/>
        <w:outlineLvl w:val="9"/>
        <w:rPr>
          <w:rFonts w:cs="Arial"/>
          <w:bCs/>
          <w:szCs w:val="24"/>
        </w:rPr>
      </w:pPr>
    </w:p>
    <w:p>
      <w:pPr>
        <w:spacing w:line="360" w:lineRule="auto"/>
        <w:ind w:left="1133" w:leftChars="472"/>
        <w:jc w:val="center"/>
        <w:rPr>
          <w:rFonts w:ascii="方正小标宋简体" w:eastAsia="方正小标宋简体"/>
          <w:b/>
          <w:sz w:val="52"/>
          <w:szCs w:val="72"/>
        </w:rPr>
      </w:pPr>
    </w:p>
    <w:p>
      <w:pPr>
        <w:ind w:firstLine="560" w:firstLineChars="200"/>
        <w:jc w:val="right"/>
        <w:rPr>
          <w:rFonts w:hint="eastAsia" w:ascii="楷体" w:hAnsi="楷体" w:eastAsia="楷体" w:cs="宋体"/>
          <w:kern w:val="0"/>
          <w:sz w:val="28"/>
          <w:szCs w:val="28"/>
        </w:rPr>
      </w:pPr>
      <w:r>
        <w:rPr>
          <w:rFonts w:hint="eastAsia" w:ascii="楷体" w:hAnsi="楷体" w:eastAsia="楷体" w:cs="宋体"/>
          <w:kern w:val="0"/>
          <w:sz w:val="28"/>
          <w:szCs w:val="28"/>
        </w:rPr>
        <w:t>合同编号：</w:t>
      </w: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pStyle w:val="12"/>
        <w:widowControl/>
        <w:rPr>
          <w:rFonts w:hint="eastAsia" w:ascii="楷体" w:hAnsi="楷体" w:eastAsia="楷体"/>
          <w:b/>
          <w:bCs/>
          <w:sz w:val="44"/>
          <w:szCs w:val="44"/>
        </w:rPr>
      </w:pPr>
      <w:r>
        <w:rPr>
          <w:rFonts w:hint="eastAsia" w:ascii="楷体" w:hAnsi="楷体" w:eastAsia="楷体"/>
          <w:b/>
          <w:bCs/>
          <w:sz w:val="44"/>
          <w:szCs w:val="44"/>
        </w:rPr>
        <w:t>健康管理服务合同</w:t>
      </w: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ind w:firstLine="560" w:firstLineChars="200"/>
        <w:rPr>
          <w:rFonts w:hint="eastAsia" w:ascii="楷体" w:hAnsi="楷体" w:eastAsia="楷体" w:cs="宋体"/>
          <w:sz w:val="28"/>
          <w:szCs w:val="28"/>
        </w:rPr>
      </w:pPr>
    </w:p>
    <w:p>
      <w:pPr>
        <w:ind w:firstLine="560" w:firstLineChars="200"/>
        <w:rPr>
          <w:rFonts w:hint="eastAsia" w:ascii="楷体" w:hAnsi="楷体" w:eastAsia="楷体" w:cs="宋体"/>
          <w:sz w:val="28"/>
          <w:szCs w:val="28"/>
        </w:rPr>
      </w:pPr>
      <w:r>
        <w:rPr>
          <w:rFonts w:hint="eastAsia" w:ascii="楷体" w:hAnsi="楷体" w:eastAsia="楷体" w:cs="宋体"/>
          <w:sz w:val="28"/>
          <w:szCs w:val="28"/>
        </w:rPr>
        <w:t>甲方：</w:t>
      </w:r>
    </w:p>
    <w:p>
      <w:pPr>
        <w:ind w:firstLine="560" w:firstLineChars="200"/>
        <w:rPr>
          <w:rFonts w:hint="eastAsia" w:ascii="楷体" w:hAnsi="楷体" w:eastAsia="楷体" w:cs="宋体"/>
          <w:sz w:val="28"/>
          <w:szCs w:val="28"/>
        </w:rPr>
      </w:pPr>
      <w:r>
        <w:rPr>
          <w:rFonts w:hint="eastAsia" w:ascii="楷体" w:hAnsi="楷体" w:eastAsia="楷体" w:cs="宋体"/>
          <w:sz w:val="28"/>
          <w:szCs w:val="28"/>
        </w:rPr>
        <w:t>乙方：</w:t>
      </w:r>
    </w:p>
    <w:p>
      <w:pPr>
        <w:ind w:firstLine="560" w:firstLineChars="200"/>
        <w:rPr>
          <w:rFonts w:hint="eastAsia" w:ascii="楷体" w:hAnsi="楷体" w:eastAsia="楷体" w:cs="宋体"/>
          <w:sz w:val="28"/>
          <w:szCs w:val="28"/>
        </w:rPr>
      </w:pPr>
      <w:r>
        <w:rPr>
          <w:rFonts w:hint="eastAsia" w:ascii="楷体" w:hAnsi="楷体" w:eastAsia="楷体" w:cs="宋体"/>
          <w:sz w:val="28"/>
          <w:szCs w:val="28"/>
        </w:rPr>
        <w:t>签订时间：【  】年【  】月【  】日</w:t>
      </w:r>
    </w:p>
    <w:p>
      <w:pPr>
        <w:ind w:firstLine="560" w:firstLineChars="200"/>
        <w:rPr>
          <w:rFonts w:hint="eastAsia" w:ascii="楷体" w:hAnsi="楷体" w:eastAsia="楷体" w:cs="宋体"/>
          <w:sz w:val="28"/>
          <w:szCs w:val="28"/>
          <w:lang w:val="en-US" w:eastAsia="zh-CN"/>
        </w:rPr>
      </w:pPr>
      <w:r>
        <w:rPr>
          <w:rFonts w:hint="eastAsia" w:ascii="楷体" w:hAnsi="楷体" w:eastAsia="楷体" w:cs="宋体"/>
          <w:sz w:val="28"/>
          <w:szCs w:val="28"/>
        </w:rPr>
        <w:t>签订地点：</w:t>
      </w:r>
      <w:r>
        <w:rPr>
          <w:rFonts w:hint="eastAsia" w:ascii="楷体" w:hAnsi="楷体" w:eastAsia="楷体" w:cs="宋体"/>
          <w:sz w:val="28"/>
          <w:szCs w:val="28"/>
          <w:lang w:eastAsia="zh-CN"/>
        </w:rPr>
        <w:t>上海市</w:t>
      </w:r>
    </w:p>
    <w:p>
      <w:pPr>
        <w:rPr>
          <w:rFonts w:hint="eastAsia" w:ascii="仿宋_GB2312" w:hAnsi="宋体" w:eastAsia="仿宋_GB2312"/>
          <w:sz w:val="24"/>
        </w:rPr>
      </w:pPr>
      <w:r>
        <w:rPr>
          <w:rFonts w:hint="eastAsia" w:ascii="仿宋_GB2312" w:hAnsi="宋体" w:eastAsia="仿宋_GB2312"/>
          <w:sz w:val="24"/>
        </w:rPr>
        <w:br w:type="page"/>
      </w:r>
    </w:p>
    <w:p>
      <w:pPr>
        <w:pStyle w:val="23"/>
        <w:widowControl/>
        <w:ind w:left="-360" w:firstLine="301" w:firstLineChars="100"/>
        <w:contextualSpacing/>
        <w:jc w:val="left"/>
        <w:rPr>
          <w:rFonts w:hint="eastAsia" w:ascii="楷体" w:hAnsi="楷体" w:eastAsia="楷体" w:cs="宋体"/>
          <w:b/>
          <w:bCs/>
          <w:kern w:val="0"/>
          <w:sz w:val="30"/>
          <w:szCs w:val="30"/>
        </w:rPr>
      </w:pPr>
      <w:r>
        <w:rPr>
          <w:rFonts w:hint="eastAsia" w:ascii="楷体" w:hAnsi="楷体" w:eastAsia="楷体" w:cs="宋体"/>
          <w:b/>
          <w:bCs/>
          <w:kern w:val="0"/>
          <w:sz w:val="30"/>
          <w:szCs w:val="30"/>
        </w:rPr>
        <w:t>引言</w:t>
      </w:r>
    </w:p>
    <w:p>
      <w:pPr>
        <w:spacing w:line="360" w:lineRule="auto"/>
        <w:rPr>
          <w:rFonts w:hint="eastAsia" w:ascii="仿宋_GB2312" w:hAnsi="宋体" w:eastAsia="仿宋_GB2312"/>
          <w:sz w:val="24"/>
        </w:rPr>
      </w:pPr>
      <w:r>
        <w:rPr>
          <w:rFonts w:hint="eastAsia" w:ascii="仿宋_GB2312" w:hAnsi="宋体" w:eastAsia="仿宋_GB2312"/>
          <w:sz w:val="24"/>
        </w:rPr>
        <w:t>根据《中华人民共和国民法典》等相关法律法规的规定，为更好地向甲方客户提供优质、完善、个性化的健康管理服务，甲乙双方本着发挥各自优势、合作双赢、共同发展的原则，经友好协商一致，达成如下协议，以兹共同遵守：</w:t>
      </w:r>
    </w:p>
    <w:p>
      <w:pPr>
        <w:numPr>
          <w:ilvl w:val="255"/>
          <w:numId w:val="0"/>
        </w:numPr>
        <w:rPr>
          <w:rFonts w:hint="eastAsia" w:ascii="楷体" w:hAnsi="楷体" w:eastAsia="楷体" w:cs="宋体"/>
          <w:sz w:val="28"/>
          <w:szCs w:val="28"/>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1.合同主体</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甲方：</w:t>
      </w:r>
    </w:p>
    <w:p>
      <w:p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统一社会信用代码/注册号：</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地址：</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联系电话：</w:t>
      </w:r>
      <w:r>
        <w:rPr>
          <w:rFonts w:hint="eastAsia" w:ascii="仿宋_GB2312" w:hAnsi="宋体" w:eastAsia="仿宋_GB2312"/>
          <w:sz w:val="24"/>
        </w:rPr>
        <w:br w:type="textWrapping"/>
      </w:r>
      <w:r>
        <w:rPr>
          <w:rFonts w:hint="eastAsia" w:ascii="仿宋_GB2312" w:hAnsi="宋体" w:eastAsia="仿宋_GB2312"/>
          <w:sz w:val="24"/>
        </w:rPr>
        <w:t>乙方：</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统一社会信用代码/注册号：</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地址：</w:t>
      </w:r>
    </w:p>
    <w:p>
      <w:p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联系电话：</w:t>
      </w: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2. 术语定义与解释</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2.1术语定义</w:t>
      </w:r>
    </w:p>
    <w:p>
      <w:pPr>
        <w:spacing w:line="360" w:lineRule="auto"/>
        <w:ind w:left="410" w:leftChars="171"/>
        <w:rPr>
          <w:rFonts w:hint="eastAsia" w:ascii="仿宋_GB2312" w:hAnsi="宋体" w:eastAsia="仿宋_GB2312"/>
          <w:sz w:val="24"/>
        </w:rPr>
      </w:pPr>
      <w:r>
        <w:rPr>
          <w:rFonts w:hint="eastAsia" w:ascii="仿宋_GB2312" w:hAnsi="宋体" w:eastAsia="仿宋_GB2312"/>
          <w:sz w:val="24"/>
        </w:rPr>
        <w:t>除非本协议中另有约定，下列词语各自具有以下特定涵义：</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2.1.1 合作双方：本协议中所规定的甲方及乙方。</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2.1.2 商业秘密：在本协议中的任何一方或与本协议有关的任何关联方所有的并视为商业秘密的任何商业机密或其他保密信息，包括但不限于有关技术、财务、商业、客户信息、交易记录等数据与信息。</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2.1.3保密资料：包括</w:t>
      </w:r>
      <w:r>
        <w:rPr>
          <w:rFonts w:ascii="仿宋_GB2312" w:hAnsi="宋体" w:eastAsia="仿宋_GB2312"/>
          <w:sz w:val="24"/>
        </w:rPr>
        <w:t>本协议内容及各方因本协议</w:t>
      </w:r>
      <w:r>
        <w:rPr>
          <w:rFonts w:hint="eastAsia" w:ascii="仿宋_GB2312" w:hAnsi="宋体" w:eastAsia="仿宋_GB2312"/>
          <w:sz w:val="24"/>
        </w:rPr>
        <w:t>的</w:t>
      </w:r>
      <w:r>
        <w:rPr>
          <w:rFonts w:ascii="仿宋_GB2312" w:hAnsi="宋体" w:eastAsia="仿宋_GB2312"/>
          <w:sz w:val="24"/>
        </w:rPr>
        <w:t>缘故提供给对方的所有资料（</w:t>
      </w:r>
      <w:r>
        <w:rPr>
          <w:rFonts w:hint="eastAsia" w:ascii="仿宋_GB2312" w:hAnsi="宋体" w:eastAsia="仿宋_GB2312"/>
          <w:sz w:val="24"/>
        </w:rPr>
        <w:t>包括</w:t>
      </w:r>
      <w:r>
        <w:rPr>
          <w:rFonts w:ascii="仿宋_GB2312" w:hAnsi="宋体" w:eastAsia="仿宋_GB2312"/>
          <w:sz w:val="24"/>
        </w:rPr>
        <w:t>但不限于客户的个人资料和记录，以及各种数据、计划、操作</w:t>
      </w:r>
      <w:r>
        <w:rPr>
          <w:rFonts w:hint="eastAsia" w:ascii="仿宋_GB2312" w:hAnsi="宋体" w:eastAsia="仿宋_GB2312"/>
          <w:sz w:val="24"/>
        </w:rPr>
        <w:t>过程</w:t>
      </w:r>
      <w:r>
        <w:rPr>
          <w:rFonts w:ascii="仿宋_GB2312" w:hAnsi="宋体" w:eastAsia="仿宋_GB2312"/>
          <w:sz w:val="24"/>
        </w:rPr>
        <w:t>、产品、程序</w:t>
      </w:r>
      <w:r>
        <w:rPr>
          <w:rFonts w:hint="eastAsia" w:ascii="仿宋_GB2312" w:hAnsi="宋体" w:eastAsia="仿宋_GB2312"/>
          <w:sz w:val="24"/>
        </w:rPr>
        <w:t>和</w:t>
      </w:r>
      <w:r>
        <w:rPr>
          <w:rFonts w:ascii="仿宋_GB2312" w:hAnsi="宋体" w:eastAsia="仿宋_GB2312"/>
          <w:sz w:val="24"/>
        </w:rPr>
        <w:t>系统）</w:t>
      </w:r>
      <w:r>
        <w:rPr>
          <w:rFonts w:hint="eastAsia" w:ascii="仿宋_GB2312" w:hAnsi="宋体" w:eastAsia="仿宋_GB2312"/>
          <w:sz w:val="24"/>
        </w:rPr>
        <w:t xml:space="preserve">。 </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2.1.4生效日：本协议自双方法定代表人或授权代理人签字并加盖公章之日起生效。</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2.1.5不可抗力：在本协议有效期限内发生的不可预见、不可避免，并不能克服的客观情况，包括但不限于地震、台风、火灾、水灾、瘟疫、战争、罢工、暴动等情况。乙方经营不善、资金短缺、员工罢工、设备故障、技术不足等情形不属于不可抗力情形。</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2.1.6合作期限：协议中述及的本协议之有效期限。</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2.1.7健康管理服务：指乙方根据本协议及附件《服务方案》约定，向甲方客户提供的健康咨询、健康体检、慢病管理、就医协助、康复指导等全部服务的总称。</w:t>
      </w:r>
    </w:p>
    <w:p>
      <w:pPr>
        <w:numPr>
          <w:ilvl w:val="255"/>
          <w:numId w:val="0"/>
        </w:numPr>
        <w:tabs>
          <w:tab w:val="left" w:pos="900"/>
        </w:tabs>
        <w:spacing w:line="360" w:lineRule="auto"/>
        <w:ind w:left="425"/>
        <w:rPr>
          <w:rFonts w:hint="eastAsia" w:ascii="仿宋_GB2312" w:hAnsi="宋体" w:eastAsia="仿宋_GB2312"/>
          <w:sz w:val="24"/>
        </w:rPr>
      </w:pPr>
      <w:r>
        <w:rPr>
          <w:rFonts w:hint="eastAsia" w:ascii="仿宋_GB2312" w:hAnsi="宋体" w:eastAsia="仿宋_GB2312"/>
          <w:sz w:val="24"/>
        </w:rPr>
        <w:t>2.1.8敏感个人信息：指涉及甲方客户健康状况、病史、体检报告等具有高度隐私性的个人信息，乙方应按《个人信息保护法》规定采取特别保护措施。</w:t>
      </w:r>
    </w:p>
    <w:p>
      <w:pPr>
        <w:numPr>
          <w:ilvl w:val="255"/>
          <w:numId w:val="0"/>
        </w:numPr>
        <w:tabs>
          <w:tab w:val="left" w:pos="36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2.2解释</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2.2.1本协议所指之日为公历日，工作日系指法定工作日系指除法定节假日、周六、周日外的中华人民共和国境内正常办公日期。</w:t>
      </w:r>
    </w:p>
    <w:p>
      <w:pPr>
        <w:numPr>
          <w:ilvl w:val="255"/>
          <w:numId w:val="0"/>
        </w:numPr>
        <w:tabs>
          <w:tab w:val="left" w:pos="360"/>
        </w:tabs>
        <w:spacing w:line="360" w:lineRule="auto"/>
        <w:ind w:left="425"/>
        <w:rPr>
          <w:rFonts w:hint="eastAsia" w:ascii="仿宋_GB2312" w:hAnsi="宋体" w:eastAsia="仿宋_GB2312"/>
          <w:sz w:val="24"/>
        </w:rPr>
      </w:pPr>
      <w:r>
        <w:rPr>
          <w:rFonts w:hint="eastAsia" w:ascii="仿宋_GB2312" w:hAnsi="宋体" w:eastAsia="仿宋_GB2312"/>
          <w:sz w:val="24"/>
        </w:rPr>
        <w:t>2.2.2本协议中之标题仅供参考之用，并不影响本协议任何部分之涵义及解释。本协议附件与正文具有同等法律效力，若附件与正文冲突，以正文为准。</w:t>
      </w:r>
    </w:p>
    <w:p>
      <w:pPr>
        <w:numPr>
          <w:ilvl w:val="255"/>
          <w:numId w:val="0"/>
        </w:numPr>
        <w:tabs>
          <w:tab w:val="left" w:pos="425"/>
        </w:tabs>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3.声明及保证</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3.1每一方均声明及保证，自本协议生效之日起：</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3.1.1其有法定资格和资质从事本合同项下之交易，而该等交易在其营业执照或其他证照所列经营范围内(乙方应在签署本协议前提供其营业执照、履行本合同义务所需的所有资质文件等供甲方备案)，并在本合作协议履行期间,维持相应资格或资质。</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3.1.2其有权订立本合同并能够完全履行其本合同项下之义务。</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3.1.3授权代表拥有充分授权，有权代表其公司签署本合同，授权委托书作为本协议附件。</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3.1.4本合同的签署与履行及根据本合同所计划之商业交易在任何方面均不违反中国法律、法规、规章的强制性规定。</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3.2乙方保证：</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3.2.1本协议所涉及</w:t>
      </w:r>
      <w:r>
        <w:rPr>
          <w:rFonts w:ascii="仿宋_GB2312" w:hAnsi="宋体" w:eastAsia="仿宋_GB2312"/>
          <w:sz w:val="24"/>
        </w:rPr>
        <w:t>的商业行为</w:t>
      </w:r>
      <w:r>
        <w:rPr>
          <w:rFonts w:hint="eastAsia" w:ascii="仿宋_GB2312" w:hAnsi="宋体" w:eastAsia="仿宋_GB2312"/>
          <w:sz w:val="24"/>
        </w:rPr>
        <w:t>，与国家现行法律法规、医疗健康行业监管规定没有抵触。如乙方提供的商业行为违反中华人民共和国法律、法规以及相关的规范性文件的规定，给甲方造成的直接及间接损失（包括但不限于甲方律师费、诉讼费或仲裁费及、财产损失、商誉损失、客户索赔损失等所有受损情形），由乙方负责全部赔偿，且甲方有权单方解除本合同。。</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3.2.2在本合同签署和履行过程中获知的甲方的商业秘密、技术秘密等一切秘密信息负有保密义务，不得向其他第三方泄露、披露、使用或允许第三方使用。乙方的保密义务适用于其全体员工、代理人、合作伙伴等关联方。但中国现行法律、法规另有规定的或经一方书面同意的除外。不论本合同是否变更、解除、终止、无效，本条款均有效。</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3.2.3除甲方事先书面同意外，不得部分或全部转让其应履行的合同义务或权利，亦不得将本合同项下的责任和义务分包、转包给第三方；即使甲方同意分包，乙方仍应对分包方的全部行为向甲方承担连带责任，且分包方的资质需经甲方审核同意。</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3.2.3乙方保证其提供的健康管理服务符合《健康保险管理办法》《医疗机构管理条例》等行业监管规定，服务人员具备相应的专业资质（如医师资格证、护士执业证等），并在服务前向甲方提供服务人员资质清单供甲方备案。</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3.2.4乙方保证其提供的服务及使用的设备、药品、耗材等均符合国家质量标准，无质量瑕疵，不会对甲方客户的人身健康造成损害；如因服务或产品质量问题导致客户受损，乙方应承担全部赔偿责任。</w:t>
      </w:r>
    </w:p>
    <w:p>
      <w:pPr>
        <w:numPr>
          <w:ilvl w:val="255"/>
          <w:numId w:val="0"/>
        </w:numPr>
        <w:spacing w:line="360" w:lineRule="auto"/>
        <w:ind w:left="425"/>
        <w:rPr>
          <w:rFonts w:hint="eastAsia" w:ascii="仿宋_GB2312" w:hAnsi="宋体" w:eastAsia="仿宋_GB2312"/>
          <w:sz w:val="24"/>
        </w:rPr>
      </w:pPr>
      <w:r>
        <w:rPr>
          <w:rFonts w:hint="eastAsia" w:ascii="仿宋_GB2312" w:hAnsi="宋体" w:eastAsia="仿宋_GB2312"/>
          <w:sz w:val="24"/>
        </w:rPr>
        <w:t>3.2.5乙方保证已建立完善的数据安全及个人信息保护内控机制，具备与处理甲方客户敏感个人信息相适应的技术和管理能力，符合《个人信息保护法》《数据安全法》的全部要求。</w:t>
      </w: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4.服务内容</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4.1合作方式</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乙方作为甲方在健康服务领域的合作伙伴和服务提供商，根据本协议的约定，向甲方客户</w:t>
      </w:r>
      <w:r>
        <w:rPr>
          <w:rFonts w:ascii="仿宋_GB2312" w:hAnsi="宋体" w:eastAsia="仿宋_GB2312"/>
          <w:sz w:val="24"/>
        </w:rPr>
        <w:t>提供</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b/>
          <w:i/>
          <w:color w:val="FF0000"/>
          <w:sz w:val="24"/>
        </w:rPr>
        <w:t>【（健康体检、健康咨询、健康促进、疾病预防、慢病管理、就医服务、康复护理，根据实际情况选择）】</w:t>
      </w:r>
      <w:r>
        <w:rPr>
          <w:rFonts w:hint="eastAsia" w:ascii="仿宋_GB2312" w:hAnsi="宋体" w:eastAsia="仿宋_GB2312"/>
          <w:sz w:val="24"/>
        </w:rPr>
        <w:t>等健康管理服务，以下统称“健康管理服务”。</w:t>
      </w:r>
    </w:p>
    <w:p>
      <w:pPr>
        <w:numPr>
          <w:ilvl w:val="255"/>
          <w:numId w:val="0"/>
        </w:numPr>
        <w:spacing w:line="360" w:lineRule="auto"/>
        <w:ind w:left="2" w:leftChars="1"/>
        <w:outlineLvl w:val="2"/>
        <w:rPr>
          <w:rFonts w:hint="eastAsia" w:ascii="仿宋_GB2312" w:hAnsi="宋体" w:eastAsia="仿宋_GB2312"/>
          <w:b/>
          <w:bCs/>
          <w:sz w:val="24"/>
        </w:rPr>
      </w:pPr>
      <w:r>
        <w:rPr>
          <w:rFonts w:hint="eastAsia" w:ascii="仿宋_GB2312" w:hAnsi="宋体" w:eastAsia="仿宋_GB2312"/>
          <w:b/>
          <w:bCs/>
          <w:sz w:val="24"/>
        </w:rPr>
        <w:t>4.2合作内容</w:t>
      </w:r>
    </w:p>
    <w:tbl>
      <w:tblPr>
        <w:tblStyle w:val="13"/>
        <w:tblpPr w:leftFromText="180" w:rightFromText="180" w:vertAnchor="text" w:horzAnchor="margin" w:tblpY="23"/>
        <w:tblW w:w="8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7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hAnsi="宋体" w:eastAsia="仿宋_GB2312" w:cs="仿宋_GB2312"/>
                <w:sz w:val="24"/>
                <w:lang w:bidi="ar"/>
              </w:rPr>
              <w:t>序号</w:t>
            </w:r>
          </w:p>
        </w:tc>
        <w:tc>
          <w:tcPr>
            <w:tcW w:w="7744"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hAnsi="宋体" w:eastAsia="仿宋_GB2312" w:cs="仿宋_GB2312"/>
                <w:sz w:val="24"/>
                <w:lang w:bidi="ar"/>
              </w:rPr>
              <w:t>服务项目名称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hAnsi="宋体" w:eastAsia="仿宋_GB2312" w:cs="仿宋_GB2312"/>
                <w:sz w:val="24"/>
                <w:lang w:bidi="ar"/>
              </w:rPr>
              <w:t>1</w:t>
            </w:r>
          </w:p>
        </w:tc>
        <w:tc>
          <w:tcPr>
            <w:tcW w:w="7744"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hAnsi="宋体" w:eastAsia="仿宋_GB2312" w:cs="仿宋_GB231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hAnsi="宋体" w:eastAsia="仿宋_GB2312" w:cs="仿宋_GB2312"/>
                <w:sz w:val="24"/>
                <w:lang w:bidi="ar"/>
              </w:rPr>
              <w:t>2</w:t>
            </w:r>
          </w:p>
        </w:tc>
        <w:tc>
          <w:tcPr>
            <w:tcW w:w="7744"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仿宋_GB2312" w:hAnsi="宋体" w:eastAsia="仿宋_GB2312" w:cs="仿宋_GB2312"/>
                <w:sz w:val="24"/>
              </w:rPr>
            </w:pPr>
            <w:r>
              <w:rPr>
                <w:rFonts w:hint="eastAsia" w:ascii="仿宋_GB2312" w:eastAsia="仿宋_GB2312"/>
                <w:bCs/>
                <w:sz w:val="28"/>
                <w:szCs w:val="28"/>
              </w:rPr>
              <w:t>...</w:t>
            </w:r>
          </w:p>
        </w:tc>
      </w:tr>
    </w:tbl>
    <w:p>
      <w:pPr>
        <w:spacing w:line="360" w:lineRule="auto"/>
        <w:rPr>
          <w:rFonts w:hint="eastAsia" w:ascii="仿宋_GB2312" w:hAnsi="宋体" w:eastAsia="仿宋_GB2312"/>
          <w:sz w:val="24"/>
        </w:rPr>
      </w:pPr>
      <w:r>
        <w:rPr>
          <w:rFonts w:hint="eastAsia" w:ascii="仿宋_GB2312" w:hAnsi="宋体" w:eastAsia="仿宋_GB2312" w:cs="仿宋_GB2312"/>
          <w:sz w:val="24"/>
          <w:lang w:bidi="ar"/>
        </w:rPr>
        <w:t>双方合作的服务项目为上述列表中</w:t>
      </w:r>
      <w:r>
        <w:rPr>
          <w:rFonts w:hint="eastAsia" w:ascii="仿宋_GB2312" w:hAnsi="宋体" w:eastAsia="仿宋_GB2312" w:cs="仿宋_GB2312"/>
          <w:sz w:val="24"/>
          <w:u w:val="single"/>
          <w:lang w:bidi="ar"/>
        </w:rPr>
        <w:t>第            服务</w:t>
      </w:r>
      <w:r>
        <w:rPr>
          <w:rFonts w:hint="eastAsia" w:ascii="仿宋_GB2312" w:hAnsi="宋体" w:eastAsia="仿宋_GB2312" w:cs="仿宋_GB2312"/>
          <w:sz w:val="24"/>
          <w:lang w:bidi="ar"/>
        </w:rPr>
        <w:t>。</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乙方作为甲方</w:t>
      </w:r>
      <w:r>
        <w:rPr>
          <w:rFonts w:hint="eastAsia" w:ascii="仿宋_GB2312" w:hAnsi="宋体" w:eastAsia="仿宋_GB2312"/>
          <w:color w:val="000000" w:themeColor="text1"/>
          <w:sz w:val="24"/>
          <w14:textFill>
            <w14:solidFill>
              <w14:schemeClr w14:val="tx1"/>
            </w14:solidFill>
          </w14:textFill>
        </w:rPr>
        <w:t>的健康管理服务</w:t>
      </w:r>
      <w:r>
        <w:rPr>
          <w:rFonts w:hint="eastAsia" w:ascii="仿宋_GB2312" w:hAnsi="宋体" w:eastAsia="仿宋_GB2312"/>
          <w:sz w:val="24"/>
        </w:rPr>
        <w:t>提供商，可以向甲方客户提供健康管理相关服务，具体服务内容、服务流程、服务标准、服务价格详见附件《服务方案》。乙方保障服务的时效以及质量，若出现时效或质量的相关问题，由乙方负责处理。服务时效及质量按照本合同附件中规定的服务流程和标准执行，无法确定时效的服务内容可以由乙方提出规则并经甲方书面确认后执行，并以此作为考核评价标准。</w:t>
      </w:r>
    </w:p>
    <w:p>
      <w:pPr>
        <w:spacing w:line="360" w:lineRule="auto"/>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5.服务期限</w:t>
      </w:r>
    </w:p>
    <w:p>
      <w:pPr>
        <w:spacing w:line="360" w:lineRule="auto"/>
        <w:rPr>
          <w:rFonts w:hint="eastAsia" w:ascii="仿宋_GB2312" w:hAnsi="宋体" w:eastAsia="仿宋_GB2312"/>
          <w:sz w:val="24"/>
        </w:rPr>
      </w:pPr>
      <w:r>
        <w:rPr>
          <w:rFonts w:hint="eastAsia" w:ascii="仿宋_GB2312" w:hAnsi="宋体" w:eastAsia="仿宋_GB2312"/>
          <w:color w:val="auto"/>
          <w:sz w:val="24"/>
        </w:rPr>
        <w:t>本合同自</w:t>
      </w:r>
      <w:r>
        <w:rPr>
          <w:rFonts w:ascii="仿宋_GB2312" w:hAnsi="宋体" w:eastAsia="仿宋_GB2312"/>
          <w:color w:val="auto"/>
          <w:sz w:val="24"/>
        </w:rPr>
        <w:t>签字</w:t>
      </w:r>
      <w:r>
        <w:rPr>
          <w:rFonts w:hint="eastAsia" w:ascii="仿宋_GB2312" w:hAnsi="宋体" w:eastAsia="仿宋_GB2312"/>
          <w:color w:val="auto"/>
          <w:sz w:val="24"/>
        </w:rPr>
        <w:t>盖章</w:t>
      </w:r>
      <w:r>
        <w:rPr>
          <w:rFonts w:ascii="仿宋_GB2312" w:hAnsi="宋体" w:eastAsia="仿宋_GB2312"/>
          <w:color w:val="auto"/>
          <w:sz w:val="24"/>
        </w:rPr>
        <w:t>之日</w:t>
      </w:r>
      <w:r>
        <w:rPr>
          <w:rFonts w:hint="eastAsia" w:ascii="仿宋_GB2312" w:hAnsi="宋体" w:eastAsia="仿宋_GB2312"/>
          <w:color w:val="auto"/>
          <w:sz w:val="24"/>
        </w:rPr>
        <w:t>起</w:t>
      </w:r>
      <w:r>
        <w:rPr>
          <w:rFonts w:ascii="仿宋_GB2312" w:hAnsi="宋体" w:eastAsia="仿宋_GB2312"/>
          <w:color w:val="auto"/>
          <w:sz w:val="24"/>
        </w:rPr>
        <w:t>生效</w:t>
      </w:r>
      <w:r>
        <w:rPr>
          <w:rFonts w:hint="eastAsia" w:ascii="仿宋_GB2312" w:hAnsi="宋体" w:eastAsia="仿宋_GB2312"/>
          <w:color w:val="auto"/>
          <w:sz w:val="24"/>
        </w:rPr>
        <w:t>，有效期【</w:t>
      </w:r>
      <w:r>
        <w:rPr>
          <w:rFonts w:ascii="仿宋_GB2312" w:hAnsi="宋体" w:eastAsia="仿宋_GB2312"/>
          <w:color w:val="auto"/>
          <w:sz w:val="24"/>
        </w:rPr>
        <w:t>1】年</w:t>
      </w:r>
      <w:r>
        <w:rPr>
          <w:rFonts w:hint="eastAsia" w:ascii="仿宋_GB2312" w:hAnsi="宋体" w:eastAsia="仿宋_GB2312"/>
          <w:color w:val="auto"/>
          <w:sz w:val="24"/>
        </w:rPr>
        <w:t>，自【】年【】月【】日起至【】【】年【】月【】日。如未填写生效日，则以最后一方的签署日为生效日。如双方在协议期满</w:t>
      </w:r>
      <w:r>
        <w:rPr>
          <w:rFonts w:ascii="仿宋_GB2312" w:hAnsi="宋体" w:eastAsia="仿宋_GB2312"/>
          <w:color w:val="auto"/>
          <w:sz w:val="24"/>
        </w:rPr>
        <w:t xml:space="preserve">前 30 </w:t>
      </w:r>
      <w:r>
        <w:rPr>
          <w:rFonts w:hint="eastAsia" w:ascii="仿宋_GB2312" w:hAnsi="宋体" w:eastAsia="仿宋_GB2312"/>
          <w:color w:val="auto"/>
          <w:sz w:val="24"/>
        </w:rPr>
        <w:t>日</w:t>
      </w:r>
      <w:r>
        <w:rPr>
          <w:rFonts w:ascii="仿宋_GB2312" w:hAnsi="宋体" w:eastAsia="仿宋_GB2312"/>
          <w:color w:val="auto"/>
          <w:sz w:val="24"/>
        </w:rPr>
        <w:t>内</w:t>
      </w:r>
      <w:r>
        <w:rPr>
          <w:rFonts w:hint="eastAsia" w:ascii="仿宋_GB2312" w:hAnsi="宋体" w:eastAsia="仿宋_GB2312"/>
          <w:color w:val="auto"/>
          <w:sz w:val="24"/>
        </w:rPr>
        <w:t>未提出异议，或经双方协商一致，本合同可顺延</w:t>
      </w:r>
      <w:r>
        <w:rPr>
          <w:rFonts w:ascii="仿宋_GB2312" w:hAnsi="宋体" w:eastAsia="仿宋_GB2312"/>
          <w:color w:val="auto"/>
          <w:sz w:val="24"/>
        </w:rPr>
        <w:t>2</w:t>
      </w:r>
      <w:r>
        <w:rPr>
          <w:rFonts w:hint="eastAsia" w:ascii="仿宋_GB2312" w:hAnsi="宋体" w:eastAsia="仿宋_GB2312"/>
          <w:color w:val="auto"/>
          <w:sz w:val="24"/>
        </w:rPr>
        <w:t>次（每</w:t>
      </w:r>
      <w:r>
        <w:rPr>
          <w:rFonts w:hint="eastAsia" w:ascii="仿宋_GB2312" w:hAnsi="宋体" w:eastAsia="仿宋_GB2312"/>
          <w:sz w:val="24"/>
        </w:rPr>
        <w:t>次延期为</w:t>
      </w:r>
      <w:r>
        <w:rPr>
          <w:rFonts w:ascii="仿宋_GB2312" w:hAnsi="宋体" w:eastAsia="仿宋_GB2312"/>
          <w:sz w:val="24"/>
        </w:rPr>
        <w:t xml:space="preserve"> 1 </w:t>
      </w:r>
      <w:r>
        <w:rPr>
          <w:rFonts w:hint="eastAsia" w:ascii="仿宋_GB2312" w:hAnsi="宋体" w:eastAsia="仿宋_GB2312"/>
          <w:sz w:val="24"/>
        </w:rPr>
        <w:t>年）。】</w:t>
      </w:r>
    </w:p>
    <w:p>
      <w:pPr>
        <w:rPr>
          <w:rFonts w:hint="eastAsia" w:ascii="仿宋_GB2312" w:hAnsi="宋体" w:eastAsia="仿宋_GB2312"/>
          <w:b/>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6.费用及付款安排</w:t>
      </w:r>
    </w:p>
    <w:p>
      <w:pPr>
        <w:numPr>
          <w:ilvl w:val="255"/>
          <w:numId w:val="0"/>
        </w:numPr>
        <w:adjustRightInd w:val="0"/>
        <w:spacing w:line="360" w:lineRule="auto"/>
        <w:jc w:val="left"/>
        <w:textAlignment w:val="baseline"/>
        <w:rPr>
          <w:rFonts w:hint="eastAsia" w:ascii="仿宋_GB2312" w:hAnsi="宋体" w:eastAsia="仿宋_GB2312"/>
          <w:b/>
          <w:bCs/>
          <w:sz w:val="24"/>
        </w:rPr>
      </w:pPr>
      <w:r>
        <w:rPr>
          <w:rFonts w:hint="eastAsia" w:ascii="仿宋_GB2312" w:hAnsi="宋体" w:eastAsia="仿宋_GB2312"/>
          <w:b/>
          <w:bCs/>
          <w:sz w:val="24"/>
        </w:rPr>
        <w:t>6.1结算货币</w:t>
      </w:r>
    </w:p>
    <w:p>
      <w:pPr>
        <w:tabs>
          <w:tab w:val="left" w:pos="3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本合同双方在结算中的货币与货币单位为人民币（元）。</w:t>
      </w:r>
    </w:p>
    <w:p>
      <w:pPr>
        <w:numPr>
          <w:ilvl w:val="255"/>
          <w:numId w:val="0"/>
        </w:numPr>
        <w:adjustRightInd w:val="0"/>
        <w:spacing w:line="360" w:lineRule="auto"/>
        <w:jc w:val="left"/>
        <w:textAlignment w:val="baseline"/>
        <w:rPr>
          <w:rFonts w:hint="eastAsia" w:ascii="仿宋_GB2312" w:hAnsi="宋体" w:eastAsia="仿宋_GB2312"/>
          <w:b/>
          <w:bCs/>
          <w:sz w:val="24"/>
        </w:rPr>
      </w:pPr>
      <w:r>
        <w:rPr>
          <w:rFonts w:hint="eastAsia" w:ascii="仿宋_GB2312" w:hAnsi="宋体" w:eastAsia="仿宋_GB2312"/>
          <w:b/>
          <w:bCs/>
          <w:sz w:val="24"/>
        </w:rPr>
        <w:t>6.2付款</w:t>
      </w:r>
    </w:p>
    <w:p>
      <w:pPr>
        <w:tabs>
          <w:tab w:val="left" w:pos="3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合同生效后，甲方根据季度发生的</w:t>
      </w:r>
      <w:r>
        <w:rPr>
          <w:rFonts w:hint="eastAsia" w:ascii="仿宋_GB2312" w:hAnsi="宋体" w:eastAsia="仿宋_GB2312"/>
          <w:sz w:val="24"/>
          <w:highlight w:val="yellow"/>
        </w:rPr>
        <w:t>服务使用数量\客户权益数量</w:t>
      </w:r>
      <w:r>
        <w:rPr>
          <w:rFonts w:hint="eastAsia" w:ascii="仿宋_GB2312" w:hAnsi="宋体" w:eastAsia="仿宋_GB2312"/>
          <w:sz w:val="24"/>
        </w:rPr>
        <w:t>，与乙方结算服务费，具体如下：【根据实际情况选择付款方式】</w:t>
      </w:r>
    </w:p>
    <w:p>
      <w:pPr>
        <w:tabs>
          <w:tab w:val="left" w:pos="360"/>
        </w:tabs>
        <w:spacing w:line="360" w:lineRule="auto"/>
        <w:ind w:firstLine="480" w:firstLineChars="200"/>
        <w:rPr>
          <w:rFonts w:hint="eastAsia" w:ascii="仿宋_GB2312" w:hAnsi="宋体" w:eastAsia="仿宋_GB2312"/>
          <w:color w:val="FF0000"/>
          <w:sz w:val="24"/>
          <w:highlight w:val="yellow"/>
        </w:rPr>
      </w:pPr>
      <w:r>
        <w:rPr>
          <w:rFonts w:hint="eastAsia" w:ascii="仿宋_GB2312" w:hAnsi="宋体" w:eastAsia="仿宋_GB2312"/>
          <w:color w:val="FF0000"/>
          <w:sz w:val="24"/>
          <w:highlight w:val="yellow"/>
        </w:rPr>
        <w:t>【方式一】：</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color w:val="FF0000"/>
          <w:sz w:val="24"/>
          <w:highlight w:val="yellow"/>
        </w:rPr>
        <w:t xml:space="preserve">6.2.1 </w:t>
      </w:r>
      <w:r>
        <w:rPr>
          <w:rFonts w:hint="eastAsia" w:ascii="仿宋_GB2312" w:hAnsi="宋体" w:eastAsia="仿宋_GB2312"/>
          <w:sz w:val="24"/>
        </w:rPr>
        <w:t>乙方于每季度下月</w:t>
      </w:r>
      <w:r>
        <w:rPr>
          <w:rFonts w:ascii="仿宋_GB2312" w:hAnsi="宋体" w:eastAsia="仿宋_GB2312"/>
          <w:sz w:val="24"/>
        </w:rPr>
        <w:t>10</w:t>
      </w:r>
      <w:r>
        <w:rPr>
          <w:rFonts w:hint="eastAsia" w:ascii="仿宋_GB2312" w:hAnsi="宋体" w:eastAsia="仿宋_GB2312"/>
          <w:sz w:val="24"/>
        </w:rPr>
        <w:t>号前将上季度的发生的服务使用数量以及对应的服务费清单发送甲方，经甲方完成对上一季度服务情况的考核评价并审核确认后</w:t>
      </w:r>
      <w:r>
        <w:rPr>
          <w:rFonts w:hint="eastAsia" w:ascii="仿宋_GB2312" w:hAnsi="宋体" w:eastAsia="仿宋_GB2312"/>
          <w:sz w:val="24"/>
          <w:highlight w:val="yellow"/>
        </w:rPr>
        <w:t>（参考附件四，或另设置考核评价表）</w:t>
      </w:r>
      <w:r>
        <w:rPr>
          <w:rFonts w:hint="eastAsia" w:ascii="仿宋_GB2312" w:hAnsi="宋体" w:eastAsia="仿宋_GB2312"/>
          <w:sz w:val="24"/>
        </w:rPr>
        <w:t>，乙方按甲方确认后的本季度付款金额向甲方出具付款通知书并开具相应金额的发票。</w:t>
      </w:r>
    </w:p>
    <w:p>
      <w:pPr>
        <w:tabs>
          <w:tab w:val="left" w:pos="360"/>
        </w:tabs>
        <w:spacing w:line="360" w:lineRule="auto"/>
        <w:ind w:left="547" w:leftChars="228"/>
        <w:rPr>
          <w:rFonts w:hint="eastAsia" w:ascii="仿宋_GB2312" w:hAnsi="宋体" w:eastAsia="仿宋_GB2312"/>
          <w:color w:val="FF0000"/>
          <w:sz w:val="24"/>
          <w:highlight w:val="yellow"/>
        </w:rPr>
      </w:pPr>
      <w:r>
        <w:rPr>
          <w:rFonts w:hint="eastAsia" w:ascii="仿宋_GB2312" w:hAnsi="宋体" w:eastAsia="仿宋_GB2312"/>
          <w:color w:val="FF0000"/>
          <w:sz w:val="24"/>
          <w:highlight w:val="yellow"/>
        </w:rPr>
        <w:t xml:space="preserve">6.2.2如甲方需将费用分解到各个分公司，可向乙方出具分解清单，乙方按照甲方清单中各个分公司对应的金额，分别向甲方分公司开具发票（见附件三）。 </w:t>
      </w:r>
    </w:p>
    <w:p>
      <w:pPr>
        <w:numPr>
          <w:ilvl w:val="255"/>
          <w:numId w:val="0"/>
        </w:numPr>
        <w:tabs>
          <w:tab w:val="left" w:pos="360"/>
        </w:tabs>
        <w:spacing w:line="360" w:lineRule="auto"/>
        <w:ind w:left="425"/>
        <w:rPr>
          <w:rFonts w:hint="eastAsia" w:ascii="仿宋_GB2312" w:hAnsi="宋体" w:eastAsia="仿宋_GB2312"/>
          <w:sz w:val="24"/>
        </w:rPr>
      </w:pPr>
      <w:r>
        <w:rPr>
          <w:rFonts w:hint="eastAsia" w:ascii="仿宋_GB2312" w:hAnsi="宋体" w:eastAsia="仿宋_GB2312"/>
          <w:sz w:val="24"/>
        </w:rPr>
        <w:t>6.2.3甲方</w:t>
      </w:r>
      <w:r>
        <w:rPr>
          <w:rFonts w:hint="eastAsia" w:ascii="仿宋_GB2312" w:hAnsi="宋体" w:eastAsia="仿宋_GB2312"/>
          <w:color w:val="FF0000"/>
          <w:sz w:val="24"/>
          <w:highlight w:val="yellow"/>
        </w:rPr>
        <w:t>或甲方分公司</w:t>
      </w:r>
      <w:r>
        <w:rPr>
          <w:rFonts w:hint="eastAsia" w:ascii="仿宋_GB2312" w:hAnsi="宋体" w:eastAsia="仿宋_GB2312"/>
          <w:sz w:val="24"/>
        </w:rPr>
        <w:t>收到符合甲方要求的发票后15个工作日内向下述乙方指定收款账户划转费用。本合同付款的每一个节点，甲方都会进行阶段的考核评价，并有权根据考核情况调整向乙方结算的费用金额。</w:t>
      </w:r>
    </w:p>
    <w:p>
      <w:pPr>
        <w:numPr>
          <w:ilvl w:val="255"/>
          <w:numId w:val="0"/>
        </w:numPr>
        <w:tabs>
          <w:tab w:val="left" w:pos="360"/>
        </w:tabs>
        <w:spacing w:line="360" w:lineRule="auto"/>
        <w:ind w:left="425"/>
        <w:rPr>
          <w:rFonts w:hint="eastAsia" w:ascii="仿宋_GB2312" w:hAnsi="宋体" w:eastAsia="仿宋_GB2312"/>
          <w:sz w:val="24"/>
        </w:rPr>
      </w:pPr>
      <w:r>
        <w:rPr>
          <w:rFonts w:hint="eastAsia" w:ascii="仿宋_GB2312" w:hAnsi="宋体" w:eastAsia="仿宋_GB2312"/>
          <w:sz w:val="24"/>
          <w:highlight w:val="yellow"/>
        </w:rPr>
        <w:t>6.2.4在甲方总的服务金额达到【  】元后即行终止。</w:t>
      </w:r>
    </w:p>
    <w:p>
      <w:pPr>
        <w:tabs>
          <w:tab w:val="left" w:pos="360"/>
        </w:tabs>
        <w:spacing w:line="360" w:lineRule="auto"/>
        <w:ind w:firstLine="480" w:firstLineChars="200"/>
        <w:rPr>
          <w:rFonts w:hint="eastAsia" w:ascii="仿宋_GB2312" w:hAnsi="宋体" w:eastAsia="仿宋_GB2312"/>
          <w:color w:val="FF0000"/>
          <w:sz w:val="24"/>
          <w:highlight w:val="yellow"/>
        </w:rPr>
      </w:pPr>
      <w:r>
        <w:rPr>
          <w:rFonts w:hint="eastAsia" w:ascii="仿宋_GB2312" w:hAnsi="宋体" w:eastAsia="仿宋_GB2312"/>
          <w:color w:val="FF0000"/>
          <w:sz w:val="24"/>
          <w:highlight w:val="yellow"/>
        </w:rPr>
        <w:t>【方式二】：</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color w:val="FF0000"/>
          <w:sz w:val="24"/>
          <w:highlight w:val="yellow"/>
        </w:rPr>
        <w:t xml:space="preserve"> 6.2.1</w:t>
      </w:r>
      <w:r>
        <w:rPr>
          <w:rFonts w:hint="eastAsia" w:ascii="仿宋_GB2312" w:hAnsi="宋体" w:eastAsia="仿宋_GB2312"/>
          <w:sz w:val="24"/>
        </w:rPr>
        <w:t>乙方于每季度下月</w:t>
      </w:r>
      <w:r>
        <w:rPr>
          <w:rFonts w:ascii="仿宋_GB2312" w:hAnsi="宋体" w:eastAsia="仿宋_GB2312"/>
          <w:sz w:val="24"/>
        </w:rPr>
        <w:t>10</w:t>
      </w:r>
      <w:r>
        <w:rPr>
          <w:rFonts w:hint="eastAsia" w:ascii="仿宋_GB2312" w:hAnsi="宋体" w:eastAsia="仿宋_GB2312"/>
          <w:sz w:val="24"/>
        </w:rPr>
        <w:t>号前将上季度的客户权益数量以及对应的服务费清单发送甲方，经甲方审核确认后，乙方按相应服务费的</w:t>
      </w:r>
      <w:r>
        <w:rPr>
          <w:rFonts w:hint="eastAsia" w:ascii="仿宋_GB2312" w:hAnsi="宋体" w:eastAsia="仿宋_GB2312"/>
          <w:sz w:val="24"/>
          <w:u w:val="single"/>
        </w:rPr>
        <w:t xml:space="preserve"> 【】%</w:t>
      </w:r>
      <w:r>
        <w:rPr>
          <w:rFonts w:hint="eastAsia" w:ascii="仿宋_GB2312" w:hAnsi="宋体" w:eastAsia="仿宋_GB2312"/>
          <w:color w:val="FF0000"/>
          <w:sz w:val="24"/>
          <w:highlight w:val="yellow"/>
        </w:rPr>
        <w:t>(原则上不超过50%)</w:t>
      </w:r>
      <w:r>
        <w:rPr>
          <w:rFonts w:hint="eastAsia" w:ascii="仿宋_GB2312" w:hAnsi="宋体" w:eastAsia="仿宋_GB2312"/>
          <w:sz w:val="24"/>
        </w:rPr>
        <w:t>向甲方开具发票。每次付款前乙方须向甲方出具付款通知书，并根据甲方要求出具相应发票。</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 xml:space="preserve">6.2.2 </w:t>
      </w:r>
      <w:r>
        <w:rPr>
          <w:rFonts w:hint="eastAsia" w:ascii="仿宋_GB2312" w:hAnsi="宋体" w:eastAsia="仿宋_GB2312"/>
          <w:color w:val="FF0000"/>
          <w:sz w:val="24"/>
          <w:highlight w:val="yellow"/>
        </w:rPr>
        <w:t>如甲方需将费用分解到各个分公司，可向乙方出具分解清单，乙方按照甲方清单中各个分公司对应的金额，分别向甲方分公司开具发票 （见附件三），</w:t>
      </w:r>
      <w:r>
        <w:rPr>
          <w:rFonts w:hint="eastAsia" w:ascii="仿宋_GB2312" w:hAnsi="宋体" w:eastAsia="仿宋_GB2312"/>
          <w:sz w:val="24"/>
        </w:rPr>
        <w:t>甲方</w:t>
      </w:r>
      <w:r>
        <w:rPr>
          <w:rFonts w:hint="eastAsia" w:ascii="仿宋_GB2312" w:hAnsi="宋体" w:eastAsia="仿宋_GB2312"/>
          <w:color w:val="FF0000"/>
          <w:sz w:val="24"/>
          <w:highlight w:val="yellow"/>
        </w:rPr>
        <w:t>或甲方分公司</w:t>
      </w:r>
      <w:r>
        <w:rPr>
          <w:rFonts w:hint="eastAsia" w:ascii="仿宋_GB2312" w:hAnsi="宋体" w:eastAsia="仿宋_GB2312"/>
          <w:sz w:val="24"/>
        </w:rPr>
        <w:t>收到符合甲方要求的发票后15个工作日内向下述乙方指定收款账户划转费用。</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6.2.3 本合同终止时，甲方根据考核情况</w:t>
      </w:r>
      <w:r>
        <w:rPr>
          <w:rFonts w:hint="eastAsia" w:ascii="仿宋_GB2312" w:hAnsi="宋体" w:eastAsia="仿宋_GB2312"/>
          <w:sz w:val="24"/>
          <w:highlight w:val="yellow"/>
        </w:rPr>
        <w:t>（设置激活率、使用率等挂钩标准）</w:t>
      </w:r>
      <w:r>
        <w:rPr>
          <w:rFonts w:hint="eastAsia" w:ascii="仿宋_GB2312" w:hAnsi="宋体" w:eastAsia="仿宋_GB2312"/>
          <w:sz w:val="24"/>
        </w:rPr>
        <w:t>，在合同终止后15个工作日内向乙方结算剩余费用。</w:t>
      </w:r>
    </w:p>
    <w:p>
      <w:pPr>
        <w:tabs>
          <w:tab w:val="left" w:pos="3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6.2.4 </w:t>
      </w:r>
      <w:r>
        <w:rPr>
          <w:rFonts w:hint="eastAsia" w:ascii="仿宋_GB2312" w:hAnsi="宋体" w:eastAsia="仿宋_GB2312"/>
          <w:sz w:val="24"/>
          <w:highlight w:val="yellow"/>
        </w:rPr>
        <w:t>本合同在甲方总的服务金额达到【】元后即行终止。</w:t>
      </w:r>
    </w:p>
    <w:p>
      <w:pPr>
        <w:tabs>
          <w:tab w:val="left" w:pos="360"/>
        </w:tabs>
        <w:spacing w:line="360" w:lineRule="auto"/>
        <w:ind w:firstLine="480" w:firstLineChars="200"/>
        <w:rPr>
          <w:rFonts w:hint="eastAsia" w:ascii="仿宋_GB2312" w:hAnsi="宋体" w:eastAsia="仿宋_GB2312"/>
          <w:color w:val="FF0000"/>
          <w:sz w:val="24"/>
          <w:highlight w:val="yellow"/>
        </w:rPr>
      </w:pPr>
      <w:r>
        <w:rPr>
          <w:rFonts w:hint="eastAsia" w:ascii="仿宋_GB2312" w:hAnsi="宋体" w:eastAsia="仿宋_GB2312"/>
          <w:color w:val="FF0000"/>
          <w:sz w:val="24"/>
          <w:highlight w:val="yellow"/>
        </w:rPr>
        <w:t>【方式三】：</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color w:val="FF0000"/>
          <w:sz w:val="24"/>
          <w:highlight w:val="yellow"/>
        </w:rPr>
        <w:t xml:space="preserve">6.2.1 </w:t>
      </w:r>
      <w:r>
        <w:rPr>
          <w:rFonts w:hint="eastAsia" w:ascii="仿宋_GB2312" w:hAnsi="宋体" w:eastAsia="仿宋_GB2312"/>
          <w:sz w:val="24"/>
        </w:rPr>
        <w:t>甲方分</w:t>
      </w:r>
      <w:r>
        <w:rPr>
          <w:rFonts w:hint="eastAsia" w:ascii="仿宋_GB2312" w:hAnsi="宋体" w:eastAsia="仿宋_GB2312"/>
          <w:sz w:val="24"/>
          <w:u w:val="single"/>
        </w:rPr>
        <w:t>【】</w:t>
      </w:r>
      <w:r>
        <w:rPr>
          <w:rFonts w:hint="eastAsia" w:ascii="仿宋_GB2312" w:hAnsi="宋体" w:eastAsia="仿宋_GB2312"/>
          <w:sz w:val="24"/>
        </w:rPr>
        <w:t>次向乙方付款，每次付款前乙方须向甲方出具付款通知书，并根据甲方要求出具相应发票。</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第一次：本合同生效后，在甲方收到乙方书面付款通知书及对应金额发票后 10 个工作日内，甲方支付乙方合同金额的</w:t>
      </w:r>
      <w:r>
        <w:rPr>
          <w:rFonts w:hint="eastAsia" w:ascii="仿宋_GB2312" w:hAnsi="宋体" w:eastAsia="仿宋_GB2312"/>
          <w:sz w:val="24"/>
          <w:u w:val="single"/>
        </w:rPr>
        <w:t>【】</w:t>
      </w:r>
      <w:r>
        <w:rPr>
          <w:rFonts w:hint="eastAsia" w:ascii="仿宋_GB2312" w:hAnsi="宋体" w:eastAsia="仿宋_GB2312"/>
          <w:sz w:val="24"/>
        </w:rPr>
        <w:t>%</w:t>
      </w:r>
      <w:r>
        <w:rPr>
          <w:rFonts w:hint="eastAsia" w:ascii="仿宋_GB2312" w:hAnsi="宋体" w:eastAsia="仿宋_GB2312"/>
          <w:color w:val="FF0000"/>
          <w:sz w:val="24"/>
          <w:highlight w:val="yellow"/>
        </w:rPr>
        <w:t>(不超过50%)</w:t>
      </w:r>
      <w:r>
        <w:rPr>
          <w:rFonts w:hint="eastAsia" w:ascii="仿宋_GB2312" w:hAnsi="宋体" w:eastAsia="仿宋_GB2312"/>
          <w:sz w:val="24"/>
        </w:rPr>
        <w:t>,即￥【】元（人民币【】整）；</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第二次：项目完成</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后（指完成某个阶段），甲方根据考核情况（参考附件四，或另设置验收考核评价表），在甲方收到乙方书面付款通知书及对应金额发票后10个工作日内，甲方支付乙方合同金额的</w:t>
      </w:r>
      <w:r>
        <w:rPr>
          <w:rFonts w:hint="eastAsia" w:ascii="仿宋_GB2312" w:hAnsi="宋体" w:eastAsia="仿宋_GB2312"/>
          <w:sz w:val="24"/>
          <w:u w:val="single"/>
        </w:rPr>
        <w:t>【】</w:t>
      </w:r>
      <w:r>
        <w:rPr>
          <w:rFonts w:hint="eastAsia" w:ascii="仿宋_GB2312" w:hAnsi="宋体" w:eastAsia="仿宋_GB2312"/>
          <w:sz w:val="24"/>
        </w:rPr>
        <w:t>%,即￥【】元（人民币【】整）。</w:t>
      </w:r>
    </w:p>
    <w:p>
      <w:p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第三次：项目全部实施完毕后，甲方根据考核情况（参考附件四，或另设置验收考核评价表），在甲方收到乙方书面付款通知书及对应金额发票后 10 个工作日内结算合同金额的剩余费用。</w:t>
      </w:r>
    </w:p>
    <w:p>
      <w:pPr>
        <w:tabs>
          <w:tab w:val="left" w:pos="360"/>
        </w:tabs>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乙方开具的发票为：税率</w:t>
      </w:r>
      <w:r>
        <w:rPr>
          <w:rFonts w:hint="eastAsia" w:ascii="仿宋_GB2312" w:hAnsi="宋体" w:eastAsia="仿宋_GB2312"/>
          <w:sz w:val="24"/>
          <w:u w:val="single"/>
        </w:rPr>
        <w:t>6</w:t>
      </w:r>
      <w:r>
        <w:rPr>
          <w:rFonts w:ascii="仿宋_GB2312" w:hAnsi="宋体" w:eastAsia="仿宋_GB2312"/>
          <w:sz w:val="24"/>
          <w:u w:val="single"/>
        </w:rPr>
        <w:t>%</w:t>
      </w:r>
      <w:r>
        <w:rPr>
          <w:rFonts w:hint="eastAsia" w:ascii="仿宋_GB2312" w:hAnsi="宋体" w:eastAsia="仿宋_GB2312"/>
          <w:sz w:val="24"/>
        </w:rPr>
        <w:t>的增值税专用发票。</w:t>
      </w:r>
    </w:p>
    <w:p>
      <w:pPr>
        <w:numPr>
          <w:ilvl w:val="255"/>
          <w:numId w:val="0"/>
        </w:numPr>
        <w:adjustRightInd w:val="0"/>
        <w:spacing w:line="360" w:lineRule="auto"/>
        <w:jc w:val="left"/>
        <w:textAlignment w:val="baseline"/>
        <w:rPr>
          <w:rFonts w:hint="eastAsia" w:ascii="仿宋_GB2312" w:hAnsi="宋体" w:eastAsia="仿宋_GB2312"/>
          <w:b/>
          <w:bCs/>
          <w:sz w:val="24"/>
        </w:rPr>
      </w:pPr>
      <w:r>
        <w:rPr>
          <w:rFonts w:hint="eastAsia" w:ascii="仿宋_GB2312" w:hAnsi="宋体" w:eastAsia="仿宋_GB2312"/>
          <w:b/>
          <w:bCs/>
          <w:sz w:val="24"/>
        </w:rPr>
        <w:t>6.3甲乙双方开票信息为：</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甲方名称：</w:t>
      </w:r>
      <w:r>
        <w:rPr>
          <w:rFonts w:ascii="仿宋_GB2312" w:hAnsi="宋体" w:eastAsia="仿宋_GB2312"/>
          <w:bCs/>
          <w:sz w:val="24"/>
        </w:rPr>
        <w:t xml:space="preserve"> </w:t>
      </w:r>
      <w:r>
        <w:rPr>
          <w:rFonts w:hint="eastAsia" w:ascii="仿宋_GB2312" w:hAnsi="宋体" w:eastAsia="仿宋_GB2312"/>
          <w:bCs/>
          <w:sz w:val="24"/>
        </w:rPr>
        <w:t>【】</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纳税人识别号：【】</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地址：【】</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电话：【】</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开户行：【】</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账号：【】</w:t>
      </w:r>
    </w:p>
    <w:p>
      <w:pPr>
        <w:spacing w:line="360" w:lineRule="auto"/>
        <w:ind w:firstLine="480" w:firstLineChars="200"/>
        <w:rPr>
          <w:rFonts w:hint="eastAsia" w:ascii="仿宋_GB2312" w:hAnsi="仿宋_GB2312"/>
          <w:color w:val="000000"/>
          <w:sz w:val="23"/>
          <w:szCs w:val="23"/>
          <w:shd w:val="clear" w:color="auto" w:fill="FFFFFF"/>
        </w:rPr>
      </w:pPr>
      <w:r>
        <w:rPr>
          <w:rFonts w:hint="eastAsia" w:ascii="仿宋_GB2312" w:hAnsi="宋体" w:eastAsia="仿宋_GB2312"/>
          <w:bCs/>
          <w:sz w:val="24"/>
        </w:rPr>
        <w:t>乙方名称</w:t>
      </w:r>
      <w:r>
        <w:rPr>
          <w:rFonts w:hint="eastAsia" w:ascii="仿宋_GB2312" w:hAnsi="宋体" w:eastAsia="仿宋_GB2312"/>
          <w:bCs/>
          <w:i/>
          <w:iCs/>
          <w:sz w:val="24"/>
        </w:rPr>
        <w:t>：</w:t>
      </w:r>
      <w:r>
        <w:rPr>
          <w:rFonts w:hint="eastAsia" w:ascii="仿宋_GB2312" w:hAnsi="宋体" w:eastAsia="仿宋_GB2312"/>
          <w:bCs/>
          <w:sz w:val="24"/>
        </w:rPr>
        <w:t>【乙方账户必须与乙方营业执照名称一致，不得委托第三方收款】</w:t>
      </w:r>
      <w:r>
        <w:rPr>
          <w:rFonts w:ascii="仿宋_GB2312" w:hAnsi="宋体" w:eastAsia="仿宋_GB2312"/>
          <w:bCs/>
          <w:sz w:val="24"/>
        </w:rPr>
        <w:t xml:space="preserve"> </w:t>
      </w:r>
      <w:r>
        <w:rPr>
          <w:rFonts w:ascii="仿宋_GB2312" w:hAnsi="仿宋_GB2312"/>
          <w:color w:val="000000"/>
          <w:sz w:val="23"/>
          <w:szCs w:val="23"/>
          <w:shd w:val="clear" w:color="auto" w:fill="FFFFFF"/>
        </w:rPr>
        <w:t xml:space="preserve"> </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纳税人识别号：【】</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地址：【】</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电话：【】</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开户行：【】</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账号：【】</w:t>
      </w:r>
    </w:p>
    <w:p>
      <w:pPr>
        <w:numPr>
          <w:ilvl w:val="255"/>
          <w:numId w:val="0"/>
        </w:numPr>
        <w:adjustRightInd w:val="0"/>
        <w:spacing w:line="360" w:lineRule="auto"/>
        <w:jc w:val="left"/>
        <w:textAlignment w:val="baseline"/>
        <w:rPr>
          <w:rFonts w:hint="eastAsia" w:ascii="仿宋_GB2312" w:hAnsi="宋体" w:eastAsia="仿宋_GB2312"/>
          <w:bCs/>
          <w:sz w:val="24"/>
        </w:rPr>
      </w:pPr>
      <w:r>
        <w:rPr>
          <w:rFonts w:hint="eastAsia" w:ascii="仿宋_GB2312" w:hAnsi="宋体" w:eastAsia="仿宋_GB2312"/>
          <w:b/>
          <w:bCs/>
          <w:sz w:val="24"/>
        </w:rPr>
        <w:t>6.4</w:t>
      </w:r>
      <w:r>
        <w:rPr>
          <w:rFonts w:hint="eastAsia" w:ascii="仿宋_GB2312" w:hAnsi="宋体" w:eastAsia="仿宋_GB2312"/>
          <w:bCs/>
          <w:sz w:val="24"/>
        </w:rPr>
        <w:t>本合同项下服务派单如果达到了甲方采购预算总额度，则甲方停止向乙方派发服务。乙方不得以此为由拒绝履行已接收的服务订单，否则视为乙方违约。</w:t>
      </w:r>
    </w:p>
    <w:p>
      <w:pPr>
        <w:numPr>
          <w:ilvl w:val="255"/>
          <w:numId w:val="0"/>
        </w:numPr>
        <w:adjustRightInd w:val="0"/>
        <w:spacing w:line="360" w:lineRule="auto"/>
        <w:jc w:val="left"/>
        <w:textAlignment w:val="baseline"/>
        <w:rPr>
          <w:rFonts w:hint="eastAsia" w:ascii="仿宋_GB2312" w:hAnsi="宋体" w:eastAsia="仿宋_GB2312"/>
          <w:bCs/>
          <w:sz w:val="24"/>
        </w:rPr>
      </w:pPr>
      <w:r>
        <w:rPr>
          <w:rFonts w:hint="eastAsia" w:ascii="仿宋_GB2312" w:hAnsi="宋体" w:eastAsia="仿宋_GB2312"/>
          <w:b/>
          <w:sz w:val="24"/>
        </w:rPr>
        <w:t>6.5</w:t>
      </w:r>
      <w:r>
        <w:rPr>
          <w:rFonts w:hint="eastAsia" w:ascii="仿宋_GB2312" w:hAnsi="宋体" w:eastAsia="仿宋_GB2312"/>
          <w:bCs/>
          <w:sz w:val="24"/>
        </w:rPr>
        <w:t>乙方变更收款账户的，应提前【15】日以书面形式通知甲方并提供相关证明文件（如开户许可证、营业执照），经甲方书面确认后生效，否则甲方按原账户付款视为履行完毕付款义务。</w:t>
      </w:r>
    </w:p>
    <w:p>
      <w:pPr>
        <w:tabs>
          <w:tab w:val="left" w:pos="360"/>
          <w:tab w:val="left" w:pos="540"/>
        </w:tabs>
        <w:spacing w:line="360" w:lineRule="auto"/>
        <w:outlineLvl w:val="2"/>
        <w:rPr>
          <w:rFonts w:hint="eastAsia" w:ascii="仿宋_GB2312" w:hAnsi="宋体" w:eastAsia="仿宋_GB2312"/>
          <w:b/>
          <w:sz w:val="24"/>
        </w:rPr>
      </w:pPr>
    </w:p>
    <w:p>
      <w:pPr>
        <w:tabs>
          <w:tab w:val="left" w:pos="360"/>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sz w:val="24"/>
        </w:rPr>
        <w:t>7.</w:t>
      </w:r>
      <w:r>
        <w:rPr>
          <w:rFonts w:ascii="仿宋_GB2312" w:hAnsi="宋体" w:eastAsia="仿宋_GB2312"/>
          <w:b/>
          <w:sz w:val="24"/>
        </w:rPr>
        <w:t xml:space="preserve"> </w:t>
      </w:r>
      <w:r>
        <w:rPr>
          <w:rFonts w:hint="eastAsia" w:ascii="仿宋_GB2312" w:hAnsi="宋体" w:eastAsia="仿宋_GB2312"/>
          <w:b/>
          <w:bCs/>
          <w:sz w:val="24"/>
        </w:rPr>
        <w:t>信息系统和数据对接</w:t>
      </w:r>
    </w:p>
    <w:p>
      <w:pPr>
        <w:tabs>
          <w:tab w:val="left" w:pos="360"/>
        </w:tabs>
        <w:spacing w:line="360" w:lineRule="auto"/>
        <w:rPr>
          <w:rFonts w:hint="eastAsia" w:ascii="仿宋_GB2312" w:hAnsi="宋体" w:eastAsia="仿宋_GB2312"/>
          <w:sz w:val="24"/>
        </w:rPr>
      </w:pPr>
      <w:r>
        <w:rPr>
          <w:rFonts w:hint="eastAsia" w:ascii="仿宋_GB2312" w:hAnsi="宋体" w:eastAsia="仿宋_GB2312"/>
          <w:b/>
          <w:bCs/>
          <w:sz w:val="24"/>
        </w:rPr>
        <w:t xml:space="preserve">7.1 </w:t>
      </w:r>
      <w:r>
        <w:rPr>
          <w:rFonts w:hint="eastAsia" w:ascii="仿宋_GB2312" w:hAnsi="宋体" w:eastAsia="仿宋_GB2312"/>
          <w:sz w:val="24"/>
        </w:rPr>
        <w:t>双方负责将各自系统按照对方的需求进行开发修改，分别承担各自开发费用，并保证网络安全使用及配合双方的必要的系统升级，保证与对方系统在允许范围内的数据交换。</w:t>
      </w:r>
    </w:p>
    <w:p>
      <w:pPr>
        <w:tabs>
          <w:tab w:val="left" w:pos="360"/>
        </w:tabs>
        <w:spacing w:line="360" w:lineRule="auto"/>
        <w:rPr>
          <w:rFonts w:hint="eastAsia" w:ascii="仿宋_GB2312" w:hAnsi="宋体" w:eastAsia="仿宋_GB2312"/>
          <w:sz w:val="24"/>
        </w:rPr>
      </w:pPr>
      <w:r>
        <w:rPr>
          <w:rFonts w:hint="eastAsia" w:ascii="仿宋_GB2312" w:hAnsi="宋体" w:eastAsia="仿宋_GB2312"/>
          <w:b/>
          <w:bCs/>
          <w:sz w:val="24"/>
        </w:rPr>
        <w:t>7.2</w:t>
      </w:r>
      <w:r>
        <w:rPr>
          <w:rFonts w:hint="eastAsia" w:ascii="仿宋_GB2312" w:hAnsi="宋体" w:eastAsia="仿宋_GB2312"/>
          <w:sz w:val="24"/>
        </w:rPr>
        <w:t xml:space="preserve"> 在获得客户相关授权情况下，客户在双方实施服务过程中产生的相关信息数据（包括但不限于健康档案、体检报告、就医记录等）的所有权归甲方所有，乙方仅有权为履行本协议之目的使用该等数据，不得用于其他任何用途。</w:t>
      </w:r>
    </w:p>
    <w:p>
      <w:pPr>
        <w:tabs>
          <w:tab w:val="left" w:pos="360"/>
        </w:tabs>
        <w:spacing w:line="360" w:lineRule="auto"/>
        <w:rPr>
          <w:rFonts w:hint="eastAsia" w:ascii="仿宋_GB2312" w:hAnsi="宋体" w:eastAsia="仿宋_GB2312"/>
          <w:sz w:val="24"/>
        </w:rPr>
      </w:pPr>
      <w:r>
        <w:rPr>
          <w:rFonts w:hint="eastAsia" w:ascii="仿宋_GB2312" w:hAnsi="宋体" w:eastAsia="仿宋_GB2312"/>
          <w:b/>
          <w:bCs/>
          <w:sz w:val="24"/>
        </w:rPr>
        <w:t xml:space="preserve">7.3 </w:t>
      </w:r>
      <w:r>
        <w:rPr>
          <w:rFonts w:hint="eastAsia" w:ascii="仿宋_GB2312" w:hAnsi="宋体" w:eastAsia="仿宋_GB2312"/>
          <w:sz w:val="24"/>
        </w:rPr>
        <w:t>为保证系统通信安全，甲乙双方均不得泄露对方及对方客户信息。因乙方原因导致甲方及甲方客户信息泄露、篡改、丢失的，乙方应当赔偿甲方遭受的全部损失。</w:t>
      </w:r>
    </w:p>
    <w:p>
      <w:pPr>
        <w:tabs>
          <w:tab w:val="left" w:pos="360"/>
        </w:tabs>
        <w:spacing w:line="360" w:lineRule="auto"/>
        <w:rPr>
          <w:rFonts w:hint="eastAsia" w:ascii="仿宋_GB2312" w:hAnsi="宋体" w:eastAsia="仿宋_GB2312"/>
          <w:sz w:val="24"/>
        </w:rPr>
      </w:pPr>
      <w:r>
        <w:rPr>
          <w:rFonts w:hint="eastAsia" w:ascii="仿宋_GB2312" w:hAnsi="宋体" w:eastAsia="仿宋_GB2312"/>
          <w:b/>
          <w:bCs/>
          <w:sz w:val="24"/>
        </w:rPr>
        <w:t>7.4</w:t>
      </w:r>
      <w:r>
        <w:rPr>
          <w:rFonts w:hint="eastAsia" w:ascii="仿宋_GB2312" w:hAnsi="宋体" w:eastAsia="仿宋_GB2312"/>
          <w:sz w:val="24"/>
        </w:rPr>
        <w:t xml:space="preserve"> 系统发生故障时，乙方应立即启动应急预案，通过人工干预等方式保证客户的正常服务，双方技术人员应在【 】小时内响应故障处理，一般故障应在【 】小时内修复，重大故障应在【 】小时内修复。</w:t>
      </w:r>
    </w:p>
    <w:p>
      <w:pPr>
        <w:tabs>
          <w:tab w:val="left" w:pos="360"/>
        </w:tabs>
        <w:spacing w:line="360" w:lineRule="auto"/>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8.合作双方的权利及义务</w:t>
      </w:r>
    </w:p>
    <w:p>
      <w:pPr>
        <w:numPr>
          <w:ilvl w:val="255"/>
          <w:numId w:val="0"/>
        </w:numPr>
        <w:tabs>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8.1甲方权利和义务：</w:t>
      </w:r>
    </w:p>
    <w:p>
      <w:pPr>
        <w:numPr>
          <w:ilvl w:val="255"/>
          <w:numId w:val="0"/>
        </w:num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8.1.1甲方有权要求乙方为客户提供本协议约定的健康服务。</w:t>
      </w:r>
    </w:p>
    <w:p>
      <w:pPr>
        <w:numPr>
          <w:ilvl w:val="255"/>
          <w:numId w:val="0"/>
        </w:numPr>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val="en-US" w:eastAsia="zh-CN"/>
        </w:rPr>
        <w:t>8.</w:t>
      </w:r>
      <w:r>
        <w:rPr>
          <w:rFonts w:hint="eastAsia" w:ascii="仿宋_GB2312" w:hAnsi="宋体" w:eastAsia="仿宋_GB2312"/>
          <w:sz w:val="24"/>
          <w:lang w:eastAsia="zh-CN"/>
        </w:rPr>
        <w:t>1.2甲方同意由乙方为甲方总部、甲方分公司、甲方子公司、甲方子公司的分公司提供本合同项下的服务。</w:t>
      </w:r>
    </w:p>
    <w:p>
      <w:pPr>
        <w:numPr>
          <w:ilvl w:val="255"/>
          <w:numId w:val="0"/>
        </w:numPr>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val="en-US" w:eastAsia="zh-CN"/>
        </w:rPr>
        <w:t>8.</w:t>
      </w:r>
      <w:r>
        <w:rPr>
          <w:rFonts w:hint="eastAsia" w:ascii="仿宋_GB2312" w:hAnsi="宋体" w:eastAsia="仿宋_GB2312"/>
          <w:sz w:val="24"/>
          <w:lang w:eastAsia="zh-CN"/>
        </w:rPr>
        <w:t>1.3甲方总部、甲方分公司、甲方子公司、甲方子公司同意如使用了乙方提供的本合同项下的服务，则按照本合同约定的价格进行结算。</w:t>
      </w:r>
    </w:p>
    <w:p>
      <w:pPr>
        <w:numPr>
          <w:ilvl w:val="255"/>
          <w:numId w:val="0"/>
        </w:numPr>
        <w:spacing w:line="360" w:lineRule="auto"/>
        <w:ind w:firstLine="480" w:firstLineChars="200"/>
        <w:rPr>
          <w:rFonts w:hint="eastAsia" w:ascii="仿宋_GB2312" w:hAnsi="宋体" w:eastAsia="仿宋_GB2312"/>
          <w:sz w:val="24"/>
          <w:lang w:eastAsia="zh-CN"/>
        </w:rPr>
      </w:pPr>
      <w:r>
        <w:rPr>
          <w:rFonts w:hint="eastAsia" w:ascii="仿宋_GB2312" w:hAnsi="宋体" w:eastAsia="仿宋_GB2312"/>
          <w:sz w:val="24"/>
          <w:lang w:val="en-US" w:eastAsia="zh-CN"/>
        </w:rPr>
        <w:t>8.</w:t>
      </w:r>
      <w:r>
        <w:rPr>
          <w:rFonts w:hint="eastAsia" w:ascii="仿宋_GB2312" w:hAnsi="宋体" w:eastAsia="仿宋_GB2312"/>
          <w:sz w:val="24"/>
          <w:lang w:eastAsia="zh-CN"/>
        </w:rPr>
        <w:t>1.4甲方总部、甲方分公司、甲方子公司、甲方子公司包括：中国人民健康保险股份有限公司及各分公司，人保健康管理有限公司及各分公司。</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5</w:t>
      </w:r>
      <w:r>
        <w:rPr>
          <w:rFonts w:hint="eastAsia" w:ascii="仿宋_GB2312" w:hAnsi="宋体" w:eastAsia="仿宋_GB2312"/>
          <w:sz w:val="24"/>
        </w:rPr>
        <w:t>甲方有权对乙方提供健康服务的全过程和质量进行监督，甲方可随时监督和抽查乙方所提供的健康服务并提出建议，定期审核乙方提供的客户使用健康服务清单。</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6</w:t>
      </w:r>
      <w:r>
        <w:rPr>
          <w:rFonts w:hint="eastAsia" w:ascii="仿宋_GB2312" w:hAnsi="宋体" w:eastAsia="仿宋_GB2312"/>
          <w:sz w:val="24"/>
        </w:rPr>
        <w:t>甲方应建立客户健康管理服务评价反馈及投诉处理机制。甲方有权根据客户的投诉意见，及时提供相关信息并督促乙方在本协议约定的范围内完善服务体系、提升服务质量。</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7</w:t>
      </w:r>
      <w:r>
        <w:rPr>
          <w:rFonts w:hint="eastAsia" w:ascii="仿宋_GB2312" w:hAnsi="宋体" w:eastAsia="仿宋_GB2312"/>
          <w:sz w:val="24"/>
        </w:rPr>
        <w:t>甲方有权要求乙方为其提供客户服务热线及相关可公开的服务信息，甲方有权将相关可公开的服务信息用于宣传公布，包括但不限于网站、文宣品、广告等方式，甲方的该等宣传应以符合乙方所处行业的相关监管规则为前提，且甲方不得开展虚假宣传、夸大宣传。</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8</w:t>
      </w:r>
      <w:r>
        <w:rPr>
          <w:rFonts w:hint="eastAsia" w:ascii="仿宋_GB2312" w:hAnsi="宋体" w:eastAsia="仿宋_GB2312"/>
          <w:sz w:val="24"/>
        </w:rPr>
        <w:t>根据甲方业务发展需要，在符合乙方所处行业的相关监管规则的前提下，甲方可自行决定在甲方的营业网点、网站等信息渠道上发布乙方所提供的健康服务相关的可公开的内容，以及发布乙方为客户安排的相关活动的时间和内容，以便于客户了解、参与。</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9</w:t>
      </w:r>
      <w:r>
        <w:rPr>
          <w:rFonts w:hint="eastAsia" w:ascii="仿宋_GB2312" w:hAnsi="宋体" w:eastAsia="仿宋_GB2312"/>
          <w:sz w:val="24"/>
        </w:rPr>
        <w:t>甲方声明乙方服务开始之时甲方已经获得甲方客户就数据获取和数据对接的授权。</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10</w:t>
      </w:r>
      <w:r>
        <w:rPr>
          <w:rFonts w:hint="eastAsia" w:ascii="仿宋_GB2312" w:hAnsi="宋体" w:eastAsia="仿宋_GB2312"/>
          <w:sz w:val="24"/>
        </w:rPr>
        <w:t>甲方应主动告知客户健康管理服务的内容、流程、标准、期限、注意事项、可能发生的风险以及第三方服务合作机构相关情况，并获得客户的知情同意。</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8.1.</w:t>
      </w:r>
      <w:r>
        <w:rPr>
          <w:rFonts w:hint="eastAsia" w:ascii="仿宋_GB2312" w:hAnsi="宋体" w:eastAsia="仿宋_GB2312"/>
          <w:sz w:val="24"/>
          <w:lang w:val="en-US" w:eastAsia="zh-CN"/>
        </w:rPr>
        <w:t>11</w:t>
      </w:r>
      <w:r>
        <w:rPr>
          <w:rFonts w:hint="eastAsia" w:ascii="仿宋_GB2312" w:hAnsi="宋体" w:eastAsia="仿宋_GB2312"/>
          <w:sz w:val="24"/>
        </w:rPr>
        <w:t>甲方就健康服务与客户之间的协议应当包含免责条款和提醒条款，正确完全表明本合同相关的健康服务的性质和作用局限。</w:t>
      </w:r>
    </w:p>
    <w:p>
      <w:pPr>
        <w:numPr>
          <w:ilvl w:val="255"/>
          <w:numId w:val="0"/>
        </w:numPr>
        <w:tabs>
          <w:tab w:val="left" w:pos="360"/>
        </w:tabs>
        <w:spacing w:line="360" w:lineRule="auto"/>
        <w:ind w:left="547" w:leftChars="228"/>
        <w:rPr>
          <w:rFonts w:hint="eastAsia" w:ascii="仿宋_GB2312" w:hAnsi="宋体" w:eastAsia="仿宋_GB2312"/>
          <w:i/>
          <w:iCs/>
          <w:color w:val="FF0000"/>
          <w:sz w:val="24"/>
        </w:rPr>
      </w:pPr>
      <w:r>
        <w:rPr>
          <w:rFonts w:hint="eastAsia" w:ascii="仿宋_GB2312" w:hAnsi="宋体" w:eastAsia="仿宋_GB2312"/>
          <w:i/>
          <w:iCs/>
          <w:color w:val="FF0000"/>
          <w:sz w:val="24"/>
        </w:rPr>
        <w:t>8.1.</w:t>
      </w:r>
      <w:r>
        <w:rPr>
          <w:rFonts w:hint="eastAsia" w:ascii="仿宋_GB2312" w:hAnsi="宋体" w:eastAsia="仿宋_GB2312"/>
          <w:i/>
          <w:iCs/>
          <w:color w:val="FF0000"/>
          <w:sz w:val="24"/>
          <w:lang w:val="en-US" w:eastAsia="zh-CN"/>
        </w:rPr>
        <w:t>12</w:t>
      </w:r>
      <w:r>
        <w:rPr>
          <w:rFonts w:hint="eastAsia" w:ascii="仿宋_GB2312" w:hAnsi="宋体" w:eastAsia="仿宋_GB2312"/>
          <w:i/>
          <w:iCs/>
          <w:color w:val="FF0000"/>
          <w:sz w:val="24"/>
        </w:rPr>
        <w:t>【可选】甲方有权根据业务需要调整服务内容或终止部分服务项目，调整前应提前【 】日书面通知乙方，双方按实际服务情况结算费用。</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8.2乙方权利和义务：</w:t>
      </w:r>
    </w:p>
    <w:p>
      <w:pPr>
        <w:numPr>
          <w:ilvl w:val="255"/>
          <w:numId w:val="0"/>
        </w:numPr>
        <w:spacing w:line="360" w:lineRule="auto"/>
        <w:ind w:left="547" w:leftChars="228"/>
        <w:rPr>
          <w:rFonts w:hint="eastAsia" w:ascii="仿宋_GB2312" w:hAnsi="宋体" w:eastAsia="仿宋_GB2312"/>
          <w:sz w:val="24"/>
        </w:rPr>
      </w:pPr>
      <w:r>
        <w:rPr>
          <w:rFonts w:hint="eastAsia" w:ascii="仿宋_GB2312" w:hAnsi="宋体" w:eastAsia="仿宋_GB2312"/>
          <w:sz w:val="24"/>
        </w:rPr>
        <w:t>8.2.1乙方提供健康管理服务，符合《健康保险管理办法》相关规定，并确保具备相关资质。否则，乙方应承担全部责任，并赔偿甲方及甲方客户因此遭受的全部损失。</w:t>
      </w:r>
    </w:p>
    <w:p>
      <w:pPr>
        <w:numPr>
          <w:ilvl w:val="255"/>
          <w:numId w:val="0"/>
        </w:numPr>
        <w:spacing w:line="360" w:lineRule="auto"/>
        <w:ind w:left="547" w:leftChars="228"/>
        <w:rPr>
          <w:rFonts w:hint="eastAsia" w:ascii="仿宋_GB2312" w:hAnsi="宋体" w:eastAsia="仿宋_GB2312"/>
          <w:sz w:val="24"/>
        </w:rPr>
      </w:pPr>
      <w:r>
        <w:rPr>
          <w:rFonts w:hint="eastAsia" w:ascii="仿宋_GB2312" w:hAnsi="宋体" w:eastAsia="仿宋_GB2312"/>
          <w:sz w:val="24"/>
        </w:rPr>
        <w:t>8.2.2乙方应保证向甲方提供的相关资料内容及本协议约定的服务，不会侵犯任何第三方知识产权等权益，否则，乙方承担全部责任，并赔偿甲方及甲方客户因此遭受的全部损失。</w:t>
      </w:r>
    </w:p>
    <w:p>
      <w:pPr>
        <w:numPr>
          <w:ilvl w:val="255"/>
          <w:numId w:val="0"/>
        </w:numPr>
        <w:spacing w:line="360" w:lineRule="auto"/>
        <w:ind w:left="547" w:leftChars="228"/>
        <w:rPr>
          <w:rFonts w:hint="eastAsia" w:ascii="仿宋_GB2312" w:hAnsi="宋体" w:eastAsia="仿宋_GB2312"/>
          <w:sz w:val="24"/>
        </w:rPr>
      </w:pPr>
      <w:r>
        <w:rPr>
          <w:rFonts w:hint="eastAsia" w:ascii="仿宋_GB2312" w:hAnsi="宋体" w:eastAsia="仿宋_GB2312"/>
          <w:sz w:val="24"/>
        </w:rPr>
        <w:t>8.2.3乙方作为服务提供方，应保证提供的服务和</w:t>
      </w:r>
      <w:r>
        <w:rPr>
          <w:rFonts w:ascii="仿宋_GB2312" w:hAnsi="宋体" w:eastAsia="仿宋_GB2312"/>
          <w:sz w:val="24"/>
        </w:rPr>
        <w:t>产品</w:t>
      </w:r>
      <w:r>
        <w:rPr>
          <w:rFonts w:hint="eastAsia" w:ascii="仿宋_GB2312" w:hAnsi="宋体" w:eastAsia="仿宋_GB2312"/>
          <w:sz w:val="24"/>
        </w:rPr>
        <w:t>符合国家法律法规及相关规范要求、标准，如甲方及甲方客户在接受乙方提供的服务或</w:t>
      </w:r>
      <w:r>
        <w:rPr>
          <w:rFonts w:ascii="仿宋_GB2312" w:hAnsi="宋体" w:eastAsia="仿宋_GB2312"/>
          <w:sz w:val="24"/>
        </w:rPr>
        <w:t>使用乙方产品过程</w:t>
      </w:r>
      <w:r>
        <w:rPr>
          <w:rFonts w:hint="eastAsia" w:ascii="仿宋_GB2312" w:hAnsi="宋体" w:eastAsia="仿宋_GB2312"/>
          <w:sz w:val="24"/>
        </w:rPr>
        <w:t>中因乙方原因遭受伤害或损失的，乙方应承担全部责任，并赔偿甲方客户因此遭受的全部损失。甲方</w:t>
      </w:r>
      <w:r>
        <w:rPr>
          <w:rFonts w:ascii="仿宋_GB2312" w:hAnsi="宋体" w:eastAsia="仿宋_GB2312"/>
          <w:sz w:val="24"/>
        </w:rPr>
        <w:t>对此不承担任何责任。</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8.2.4乙方应按照协议约定的项目、时间及要求完成各项工作，不得擅自变更服务内容、流程或标准。</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8.2.5乙方应为甲方提供客户服务热线（7×24 小时畅通），同时，乙方</w:t>
      </w:r>
      <w:r>
        <w:rPr>
          <w:rFonts w:ascii="仿宋_GB2312" w:hAnsi="宋体" w:eastAsia="仿宋_GB2312"/>
          <w:sz w:val="24"/>
        </w:rPr>
        <w:t>应为甲方开通电话专线</w:t>
      </w:r>
      <w:r>
        <w:rPr>
          <w:rFonts w:hint="eastAsia" w:ascii="仿宋_GB2312" w:hAnsi="宋体" w:eastAsia="仿宋_GB2312"/>
          <w:sz w:val="24"/>
        </w:rPr>
        <w:t>，指定专人负责对接甲方需求。</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8.2.6乙方在获得必要许可和同意且符合合理、合法、合规原则的前提下可以配合提供甲方要求的相关可公开的健康服务信息（信息脱敏，无法还原至个人），若上述信息涉及第三方隐私或商业机密的，乙方无法提供，除非甲方促使第三方明确同意或授权。</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8.2.7乙方</w:t>
      </w:r>
      <w:r>
        <w:rPr>
          <w:rFonts w:ascii="仿宋_GB2312" w:hAnsi="宋体" w:eastAsia="仿宋_GB2312"/>
          <w:sz w:val="24"/>
        </w:rPr>
        <w:t>应在</w:t>
      </w:r>
      <w:r>
        <w:rPr>
          <w:rFonts w:hint="eastAsia" w:ascii="仿宋_GB2312" w:hAnsi="宋体" w:eastAsia="仿宋_GB2312"/>
          <w:sz w:val="24"/>
        </w:rPr>
        <w:t>客户接受健康服务项目</w:t>
      </w:r>
      <w:r>
        <w:rPr>
          <w:rFonts w:ascii="仿宋_GB2312" w:hAnsi="宋体" w:eastAsia="仿宋_GB2312"/>
          <w:sz w:val="24"/>
        </w:rPr>
        <w:t>时</w:t>
      </w:r>
      <w:r>
        <w:rPr>
          <w:rFonts w:hint="eastAsia" w:ascii="仿宋_GB2312" w:hAnsi="宋体" w:eastAsia="仿宋_GB2312"/>
          <w:sz w:val="24"/>
        </w:rPr>
        <w:t>核实</w:t>
      </w:r>
      <w:r>
        <w:rPr>
          <w:rFonts w:ascii="仿宋_GB2312" w:hAnsi="宋体" w:eastAsia="仿宋_GB2312"/>
          <w:sz w:val="24"/>
        </w:rPr>
        <w:t>客户身份，应为客户</w:t>
      </w:r>
      <w:r>
        <w:rPr>
          <w:rFonts w:hint="eastAsia" w:ascii="仿宋_GB2312" w:hAnsi="宋体" w:eastAsia="仿宋_GB2312"/>
          <w:sz w:val="24"/>
        </w:rPr>
        <w:t>提供</w:t>
      </w:r>
      <w:r>
        <w:rPr>
          <w:rFonts w:ascii="仿宋_GB2312" w:hAnsi="宋体" w:eastAsia="仿宋_GB2312"/>
          <w:sz w:val="24"/>
        </w:rPr>
        <w:t>本协议</w:t>
      </w:r>
      <w:r>
        <w:rPr>
          <w:rFonts w:hint="eastAsia" w:ascii="仿宋_GB2312" w:hAnsi="宋体" w:eastAsia="仿宋_GB2312"/>
          <w:sz w:val="24"/>
        </w:rPr>
        <w:t>项</w:t>
      </w:r>
      <w:r>
        <w:rPr>
          <w:rFonts w:ascii="仿宋_GB2312" w:hAnsi="宋体" w:eastAsia="仿宋_GB2312"/>
          <w:sz w:val="24"/>
        </w:rPr>
        <w:t>下服务。</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8.2.8乙方应对其服务人员进行足够的培训并制定相应的服务规范，确保为客户提供满足服务级别的专业服务。乙方</w:t>
      </w:r>
      <w:r>
        <w:rPr>
          <w:rFonts w:ascii="仿宋_GB2312" w:hAnsi="宋体" w:eastAsia="仿宋_GB2312"/>
          <w:sz w:val="24"/>
        </w:rPr>
        <w:t>应提供符合符合国家及行业要求及甲方要求的服务人员开展健康管理服务。</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8.2.9乙方应与</w:t>
      </w:r>
      <w:r>
        <w:rPr>
          <w:rFonts w:ascii="仿宋_GB2312" w:hAnsi="宋体" w:eastAsia="仿宋_GB2312"/>
          <w:sz w:val="24"/>
        </w:rPr>
        <w:t>甲方共同推广</w:t>
      </w:r>
      <w:r>
        <w:rPr>
          <w:rFonts w:hint="eastAsia" w:ascii="仿宋_GB2312" w:hAnsi="宋体" w:eastAsia="仿宋_GB2312"/>
          <w:sz w:val="24"/>
        </w:rPr>
        <w:t>健康管理服务的</w:t>
      </w:r>
      <w:r>
        <w:rPr>
          <w:rFonts w:ascii="仿宋_GB2312" w:hAnsi="宋体" w:eastAsia="仿宋_GB2312"/>
          <w:sz w:val="24"/>
        </w:rPr>
        <w:t>理念，应为甲方提供</w:t>
      </w:r>
      <w:r>
        <w:rPr>
          <w:rFonts w:hint="eastAsia" w:ascii="仿宋_GB2312" w:hAnsi="宋体" w:eastAsia="仿宋_GB2312"/>
          <w:sz w:val="24"/>
        </w:rPr>
        <w:t>健康管理服务活动</w:t>
      </w:r>
      <w:r>
        <w:rPr>
          <w:rFonts w:ascii="仿宋_GB2312" w:hAnsi="宋体" w:eastAsia="仿宋_GB2312"/>
          <w:sz w:val="24"/>
        </w:rPr>
        <w:t>的合理帮助。</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8.2.10乙方应配合甲方，对乙方提供的服务情况进行检查和监督，按要求提供服务记录、客户反馈等资料。</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8.2.11乙方应协助甲方为客户制定各项服务流程，针对各项服务流程细节不得有欺瞒、故意不告知等行为。</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8.2.12乙方应在提供服务过程中，按约定的服务程序和内容，热情、准确地提供服务，不得欺诈诱导客户，不得损害客户的利益。</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8.2.13乙方应为本项目设立专门的服务小组，并指定专门的服务对接人，对接人变更需提前【5】日书面通知甲方并经甲方确认。</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8.2.14乙方应向甲方提供相关健康管理服务内容的详细介绍，保证提供的服务内容真实、有效，不得虚假宣传。</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8.2.15如客户就健康服务与提供服务方或其他相关第三方发生任何争议的，乙方应于收到客户或甲方通知后24小时（工作日）内响应，且联系客户，并于48小时内（工作日）答复。乙方承诺，除由于客户原因或者甲方原因导致的争议外，不得因上述争议的产生导致客户无法于本协议约定的时间内正常获得预订的健康服务。</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8.2.16乙方不承担客户使用本协议项下约定的健康服务而产生的任何相应或关联的其他费用。</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8.2.17乙方在经甲方事先书面</w:t>
      </w:r>
      <w:r>
        <w:rPr>
          <w:rFonts w:ascii="仿宋_GB2312" w:hAnsi="宋体" w:eastAsia="仿宋_GB2312"/>
          <w:sz w:val="24"/>
        </w:rPr>
        <w:t>同意后，方可</w:t>
      </w:r>
      <w:r>
        <w:rPr>
          <w:rFonts w:hint="eastAsia" w:ascii="仿宋_GB2312" w:hAnsi="宋体" w:eastAsia="仿宋_GB2312"/>
          <w:sz w:val="24"/>
        </w:rPr>
        <w:t>将甲方作为乙方合作客户的信息用于网站、文宣品、广告等方式进行宣传。</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8.2.18乙方及其工作人员应严格遵守反洗钱信息安全监管规定，遵循保密原则，履行反洗钱信息安全保密义务，强化反洗钱信息安全管理措施，不得非法泄露和提供客户个人信息、客户洗钱风险等级以及可疑交易、反洗钱调查等反洗钱信息。无论本协议是否变更、解除、终止、无效，本条款均有效。</w:t>
      </w:r>
    </w:p>
    <w:p>
      <w:pPr>
        <w:numPr>
          <w:ilvl w:val="255"/>
          <w:numId w:val="0"/>
        </w:numPr>
        <w:tabs>
          <w:tab w:val="left" w:pos="360"/>
        </w:tabs>
        <w:spacing w:line="360" w:lineRule="auto"/>
        <w:ind w:left="547" w:leftChars="228"/>
        <w:rPr>
          <w:rFonts w:hint="eastAsia" w:ascii="仿宋_GB2312" w:hAnsi="宋体" w:eastAsia="仿宋_GB2312"/>
          <w:sz w:val="24"/>
        </w:rPr>
      </w:pPr>
      <w:r>
        <w:rPr>
          <w:rFonts w:hint="eastAsia" w:ascii="仿宋_GB2312" w:hAnsi="宋体" w:eastAsia="仿宋_GB2312"/>
          <w:sz w:val="24"/>
        </w:rPr>
        <w:t>8.2.19乙方应当严格按照《个人信息保护法》要求取得客户授权同意，保证甲方及乙方按照《个人信息保护法》相关规定处理客户个人信息。</w:t>
      </w:r>
    </w:p>
    <w:p>
      <w:pPr>
        <w:numPr>
          <w:ilvl w:val="255"/>
          <w:numId w:val="0"/>
        </w:numPr>
        <w:tabs>
          <w:tab w:val="left" w:pos="360"/>
        </w:tabs>
        <w:spacing w:line="360" w:lineRule="auto"/>
        <w:ind w:left="547" w:leftChars="228"/>
        <w:rPr>
          <w:rFonts w:hint="eastAsia" w:ascii="仿宋_GB2312" w:hAnsi="宋体" w:eastAsia="仿宋_GB2312"/>
          <w:sz w:val="24"/>
        </w:rPr>
      </w:pPr>
    </w:p>
    <w:p>
      <w:pPr>
        <w:numPr>
          <w:ilvl w:val="255"/>
          <w:numId w:val="0"/>
        </w:numPr>
        <w:tabs>
          <w:tab w:val="left" w:pos="360"/>
        </w:tabs>
        <w:spacing w:line="360" w:lineRule="auto"/>
        <w:jc w:val="left"/>
        <w:rPr>
          <w:rFonts w:hint="eastAsia" w:ascii="仿宋_GB2312" w:hAnsi="宋体" w:eastAsia="仿宋_GB2312"/>
          <w:b/>
          <w:sz w:val="28"/>
          <w:szCs w:val="28"/>
        </w:rPr>
      </w:pPr>
      <w:r>
        <w:rPr>
          <w:rFonts w:hint="eastAsia" w:ascii="仿宋_GB2312" w:hAnsi="宋体" w:eastAsia="仿宋_GB2312"/>
          <w:b/>
          <w:sz w:val="28"/>
          <w:szCs w:val="28"/>
        </w:rPr>
        <w:t>9.</w:t>
      </w:r>
      <w:r>
        <w:rPr>
          <w:rFonts w:ascii="仿宋_GB2312" w:hAnsi="宋体" w:eastAsia="仿宋_GB2312"/>
          <w:b/>
          <w:sz w:val="28"/>
          <w:szCs w:val="28"/>
        </w:rPr>
        <w:t>保</w:t>
      </w:r>
      <w:r>
        <w:rPr>
          <w:rFonts w:hint="eastAsia" w:ascii="仿宋_GB2312" w:hAnsi="宋体" w:eastAsia="仿宋_GB2312"/>
          <w:b/>
          <w:sz w:val="28"/>
          <w:szCs w:val="28"/>
        </w:rPr>
        <w:t>密义务</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9.1接收方如同对待自己的保密信息一样，对取得的保密信息采取同样的措施，确保其安全。</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9.2乙方应保证对本合同的所有相关内容及其因履行本合同所获知的各种甲方的具有保密性质的信息（包括但不限于经营、管理、商务、技术、营销、发展规划、客户信息等）负有保密义务。</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9.3双方当事人同意只可以给予或传授给因履行所聘用之职务而必须并且适当地要求了解该等保密信息的雇员，并以书面方式互相通告。</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9.4接收方应将所有包含保密信息的文件和记录存放在一个安全的、保险的地方。任何以电子方式存储于电脑、网络空间、各种移动存储设备的保密信息应采取有效的措施防止任何未经授权的直接或间接的入侵或使用。由提供方提供给接收方的保密信息及其中包含的一切相关权利 （包括但不限于各项知识产权、专有技术、技术秘密、经营秘密等）是提供方的专有财产，接收方应考虑提供方的利益妥善保存。</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9.5接收方或其雇员不得对任何第三方泄露保密信息。</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9.6接收方在此保证仅在与提供方商定的项目有关时使用上述保密信息，绝不为与项目无关的目的使用保密信息。</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9.7接收方与第三方合并、被第三方兼并或被第三方直接或间接控制，该接收方不得向该第三方披露任何提供方的保密信息；接收方应立即将提供方的保密资料和所有存有保密信息的载体归还提供方，或根据提供方的要求予以销毁，删除所有存储于电脑、网络空间、各种移动存储设备中含有保密信息的电子文件；但如事先获得提供方的书面同意，接收方可以继续使用该保密信息。</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9.8双方均应对对方或关联方的商业秘密和保密资料予以保密，保密义务永久有效，不因本协议的终止、中止、解除、无效等而失去效力。在未事先征得对方书面同意的情况下，不得以任何形式使用、出售、出租、转让、复制、传送、收藏等所有此类信息，除非：</w:t>
      </w:r>
    </w:p>
    <w:p>
      <w:pPr>
        <w:widowControl/>
        <w:numPr>
          <w:ilvl w:val="255"/>
          <w:numId w:val="0"/>
        </w:numPr>
        <w:tabs>
          <w:tab w:val="left" w:pos="360"/>
        </w:tabs>
        <w:spacing w:line="360" w:lineRule="auto"/>
        <w:ind w:firstLine="480" w:firstLineChars="200"/>
        <w:jc w:val="left"/>
        <w:rPr>
          <w:rFonts w:hint="eastAsia" w:ascii="仿宋_GB2312" w:hAnsi="宋体" w:eastAsia="仿宋_GB2312"/>
          <w:bCs/>
          <w:sz w:val="24"/>
        </w:rPr>
      </w:pPr>
      <w:r>
        <w:rPr>
          <w:rFonts w:hint="eastAsia" w:ascii="仿宋_GB2312" w:hAnsi="宋体" w:eastAsia="仿宋_GB2312"/>
          <w:bCs/>
          <w:sz w:val="24"/>
        </w:rPr>
        <w:t>9.8.1有权的司法机关或行政管理机关等政府机构根据法律规定的权限并依照法律程序，要求一方披露，但披露方应在履行披露前通知对方；</w:t>
      </w:r>
    </w:p>
    <w:p>
      <w:pPr>
        <w:widowControl/>
        <w:numPr>
          <w:ilvl w:val="255"/>
          <w:numId w:val="0"/>
        </w:numPr>
        <w:tabs>
          <w:tab w:val="left" w:pos="360"/>
        </w:tabs>
        <w:spacing w:line="360" w:lineRule="auto"/>
        <w:ind w:firstLine="480" w:firstLineChars="200"/>
        <w:jc w:val="left"/>
        <w:rPr>
          <w:rFonts w:hint="eastAsia" w:ascii="仿宋_GB2312" w:hAnsi="宋体" w:eastAsia="仿宋_GB2312"/>
          <w:bCs/>
          <w:sz w:val="24"/>
        </w:rPr>
      </w:pPr>
      <w:r>
        <w:rPr>
          <w:rFonts w:hint="eastAsia" w:ascii="仿宋_GB2312" w:hAnsi="宋体" w:eastAsia="仿宋_GB2312"/>
          <w:bCs/>
          <w:sz w:val="24"/>
        </w:rPr>
        <w:t>9.8.2已事先获得对方的书面同意。</w:t>
      </w:r>
    </w:p>
    <w:p>
      <w:pPr>
        <w:widowControl/>
        <w:numPr>
          <w:ilvl w:val="255"/>
          <w:numId w:val="0"/>
        </w:numPr>
        <w:tabs>
          <w:tab w:val="left" w:pos="360"/>
        </w:tabs>
        <w:spacing w:line="360" w:lineRule="auto"/>
        <w:ind w:firstLine="480" w:firstLineChars="200"/>
        <w:jc w:val="left"/>
        <w:rPr>
          <w:rFonts w:hint="eastAsia" w:ascii="仿宋_GB2312" w:hAnsi="宋体" w:eastAsia="仿宋_GB2312"/>
          <w:bCs/>
          <w:sz w:val="24"/>
        </w:rPr>
      </w:pPr>
      <w:r>
        <w:rPr>
          <w:rFonts w:hint="eastAsia" w:ascii="仿宋_GB2312" w:hAnsi="宋体" w:eastAsia="仿宋_GB2312"/>
          <w:bCs/>
          <w:sz w:val="24"/>
        </w:rPr>
        <w:t>9.8.3相关保密信息已经合法公开。</w:t>
      </w:r>
      <w:r>
        <w:rPr>
          <w:rFonts w:hint="eastAsia" w:ascii="仿宋_GB2312" w:hAnsi="宋体" w:eastAsia="仿宋_GB2312"/>
          <w:bCs/>
          <w:sz w:val="24"/>
        </w:rPr>
        <w:tab/>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9.9乙方在本合同中所受领的保密信息应及时返还甲方或在甲方监督下予以销毁。乙方擅自留存备份信息，视为违反保密约定。</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9.10如乙方违反保密约定，应向甲方支付相当于本合同总金额      %的违约金，若违约金不足以弥补甲方损失的，乙方应负责补足该差额部分。</w:t>
      </w:r>
    </w:p>
    <w:p>
      <w:pPr>
        <w:widowControl/>
        <w:numPr>
          <w:ilvl w:val="255"/>
          <w:numId w:val="0"/>
        </w:numPr>
        <w:tabs>
          <w:tab w:val="left" w:pos="360"/>
        </w:tabs>
        <w:spacing w:line="360" w:lineRule="auto"/>
        <w:jc w:val="left"/>
        <w:rPr>
          <w:rFonts w:hint="eastAsia" w:ascii="仿宋_GB2312" w:hAnsi="宋体" w:eastAsia="仿宋_GB2312"/>
          <w:bCs/>
          <w:sz w:val="24"/>
        </w:rPr>
      </w:pPr>
      <w:r>
        <w:rPr>
          <w:rFonts w:hint="eastAsia" w:ascii="仿宋_GB2312" w:hAnsi="宋体" w:eastAsia="仿宋_GB2312"/>
          <w:bCs/>
          <w:sz w:val="24"/>
        </w:rPr>
        <w:t>9.11本协议的任何一方都应对本协议内容负责保密，不得向任何第三方披露或自行使用。</w:t>
      </w: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10.消费者权益保护</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10.1甲乙双方须严格执行国家现行消费者权益保护相关法律法规、国家金融监督管理总局消费者权益保护制度相关要求，切实做好消费者权益保护工作。包括但不限于：</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一）（信息披露与风险提示）乙方应配合甲方向消费者说明告知必要的产品和服务信息，不得擅自向消费者披露未经甲方许可的信息，不得变相向消费者额外收费，真实、准确、合理揭示风险，不得进行欺诈、隐瞒或误导性的宣传充分保障消费者知情权与公平交易权等合法权益。</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（二）（营销获客行为规范）乙方应规范营销获客行为：</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1.应通过合理方式促使消费者在接受产品和服务前充分了解其特点和风险，帮助消费者能更加理智地做出决策。</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2.营销获客服务的过程中，尊重消费者真实意愿，不得附加不合理条件、不得强制或者变相强制接受非必要的产品或服务；不得强制捆绑、搭售产品或服务。</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3.不得以甲方名义或以为消费者提供金融服务为由收取任何息费。</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4.不得在营业网点或者自营网络平台以甲方的名义向消费者推介或者销售保险产品和服务。</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5.不得非法或超范围开展保险营销宣传活动，不得以欺诈或引人误解的方式对保险产品或服务进行营销宣传。</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6.不得欺骗、误导消费者购买不具备适当性的产品，不得诱使消费者提前解除合同，损害消费者利益。</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三）（信息安全）乙方严格遵守《个人信息保护法》《数据安全法》等法律法规，建立客户个人信息全流程安全管控机制，采取必要的技术和管理措施，防止客户个人信息泄露、毁损或丢失。不得未经消费者授权或同意向第三方提供个人金融信息。对于因乙方原因导致的信息安全事件，乙方应承担相应的法律责任和赔偿责任。</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（四）（适当性管理）乙方应确保遵守国家和监管部门关于适当性管理的相关要求，具备适当性义务的人员、内控制度、技术设备等条件；落实适当性管理标准和要求；履行客户评估、适当性匹配等适当性义务。</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五）（服务连续性）乙方应确保服务的连续性、及时性、规范性。在本协议约定的合作期间内销售的产品或者产生的服务订单，乙方从业人员离职、机构业务调整或双方合作终止的，乙方必须提前做好客户衔接告知、服务交接工作，妥善承接存量客户服务需求，不得因人员变动、合作终止中断客户服务、损害客户权益。</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 xml:space="preserve">（六）（投诉处理与纠纷解决）甲乙双方应建立健全消费者投诉处理机制，明示消费者投诉渠道和方式，完善投诉数据统计，妥善对接和处理合作过程中发生的保险消费纠纷。  </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合作中发生的消费纠纷，乙方应积极配合处理消费投诉，协助甲方对消费投诉事项进行核实，配合提供相关情况，促进消费投诉妥善解决。由于乙方原因产生的后果由乙方承担。</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七）（突发事件或重大事件处置机制）乙方应建立针对消费者权益保护的突发事件或重大事件处置机制。在发生突发事件或重大事件时，乙方应立即启动相应机制，有序组织开展消费者权益重大事件应急处置，及时做好消费者、媒体等应对口径准备，采取合规合理的补救措施和应对策略，最大程度降低影响。乙方未积极采取处置措施给甲方造成损失的，应当赔偿甲方经济损失、声誉损失等全部损失。</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八）（监督与责任追究）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10.2（清退条件）乙方从事服务提供时，有下列情形之一者，本协议自动终止，乙方须对甲方因此所受经济损失承担赔偿责任，构成犯罪的，由乙方自行承担相关法律责任，并列入甲方合作机构黑名单：</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（一）消费者权益保护或客户信息安全内控机制存在重大缺陷。</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（二）存在消费者权益保护严重问题，受到消费者权益保护方面重大行政处罚。</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（三）销售产品或者提供服务过程中存在违反适当性义务的行为。</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（四）因合作期间销售产品或者提供服务而产生消费纠纷时，乙方不配合处理消费投诉，包括但不限于隐瞒或掩盖事实，损害消费者或甲方合法权益。</w:t>
      </w:r>
    </w:p>
    <w:p>
      <w:pPr>
        <w:numPr>
          <w:ilvl w:val="255"/>
          <w:numId w:val="0"/>
        </w:numPr>
        <w:spacing w:before="156" w:beforeLines="50" w:after="156" w:afterLines="50" w:line="360" w:lineRule="auto"/>
        <w:outlineLvl w:val="1"/>
        <w:rPr>
          <w:rFonts w:hint="eastAsia" w:ascii="仿宋_GB2312" w:hAnsi="仿宋_GB2312" w:eastAsia="仿宋_GB2312" w:cs="仿宋_GB2312"/>
          <w:kern w:val="0"/>
          <w:sz w:val="24"/>
          <w:lang w:bidi="ar"/>
        </w:rPr>
      </w:pPr>
      <w:r>
        <w:rPr>
          <w:rFonts w:hint="eastAsia" w:ascii="仿宋_GB2312" w:hAnsi="仿宋_GB2312" w:eastAsia="仿宋_GB2312" w:cs="仿宋_GB2312"/>
          <w:kern w:val="0"/>
          <w:sz w:val="24"/>
          <w:lang w:bidi="ar"/>
        </w:rPr>
        <w:t>（五）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lang w:bidi="ar"/>
        </w:rPr>
        <w:t>11.</w:t>
      </w:r>
      <w:r>
        <w:rPr>
          <w:rFonts w:hint="eastAsia" w:ascii="仿宋_GB2312" w:hAnsi="宋体" w:eastAsia="仿宋_GB2312"/>
          <w:b/>
          <w:sz w:val="28"/>
          <w:szCs w:val="28"/>
        </w:rPr>
        <w:t>【个人信息保护和数据安全责任条款】</w:t>
      </w:r>
      <w:r>
        <w:rPr>
          <w:rFonts w:hint="eastAsia" w:ascii="仿宋_GB2312" w:hAnsi="宋体" w:eastAsia="仿宋_GB2312"/>
          <w:b/>
          <w:sz w:val="28"/>
          <w:szCs w:val="28"/>
          <w:highlight w:val="yellow"/>
        </w:rPr>
        <w:t>（请根据具体情形选择，下述情形为对外提供情形）</w:t>
      </w:r>
    </w:p>
    <w:p>
      <w:pPr>
        <w:spacing w:line="360" w:lineRule="auto"/>
        <w:ind w:firstLine="480" w:firstLineChars="200"/>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基于本合同约定的健康管理服务，乙方将处理甲方不限于【员工、客户、供应商等人员】（下称“甲方数据主体”）在内的个人信息（下称“甲方个人信息”）和其他甲方数据（与“甲方个人信息”统称“甲方数据”）。乙方作为独立的数据处理者应严格遵循《民法典》《个人信息保护法》《数据安全法》《网络安全法》《全国人民代表大会常务委员会关于加强网络信息保护的决定》、国家标准《信息安全技术个人信息安全规范》等适用国家和地区关于数据安全和个人信息保护相关的法律法规、国家和行业标准以及相关监管规范（以下统称“适用数据保护规定”）的要求，并依本协议所明确的方式、范围以及处理目的来处理甲方数据。</w:t>
      </w:r>
    </w:p>
    <w:p>
      <w:pPr>
        <w:spacing w:line="360" w:lineRule="auto"/>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11.1一般约定</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数据处理者身份：除非法律法规另有规定，双方明确甲方以对外提供形式向乙方提供甲方数据时，乙方为具有自主决定数据处理目的、处理方式的独立的个人信息处理者，应严格按照适用数据保护规定的要求和本协议所明确的方式、范围以及处理目的处理甲方数据，直接面向甲方数据主体承担个人信息处理者全部责任和义务。</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11.1.2数据处理范围：乙方依据本协议处理的数据处理范围详见附件1。如因实际业务需求变化和监管要求变化导致本协议项下的数据处理范围详情（包括但不限于数据主体类别、个人信息范围、敏感个人信息范围、其他数据（例如商业数据）、授权处理数据的地域范围等）和安全能力要求变化的，甲乙双方应进行书面确认。除非根据相关法律规定要求，乙方在未获得甲方和甲方数据主体明确同意的前提下不得为本协议约定以外的目的、方式、范围使用以及处理甲方数据。乙方应应甲方要求，在合理期限内向甲方明确告知对甲方数据处理的流程、标准以及使用的数据范围等。</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11.1.3告知形式：甲方向乙方提供甲方数据或乙方通过甲方产品或服务收集甲方数据的，各方应通过各自直接面对甲方数据主体的渠道事先向甲方数据主体充分告知适用数据保护规定要求的告知内容，包括但不限于个人信息处理者的名称或者姓名和联系方式，个人信息的处理目的、处理方式，处理的个人信息种类、保存期限，个人行使其个人信息权利的方式和程序；处理个人信息的合法性基础以及对外提供个人信息所涉及的接收方信息（如适用）。为本条款目的，乙方应就前述告知向甲方提供符合甲方要求的合规证明。</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11.1.4数据处理：若乙方将其已有的或从其他渠道合法获取的数据与甲方数据进行比对、汇聚融合等，乙方应确认其自行提供的数据均具有合法来源，其数据比对、汇聚融合行为不存在侵犯甲方数据主体数据权益或任何其他第三方权利的情况，也不会导致甲方招致任何索赔或承担任何损失。（若合作不存在该目的则建议删除该条）</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11.1.5访问控制：甲方以约定的数据接口向乙方提供甲方数据，除确认的接收方式外，乙方不得利用该数据接口擅自访问本文件约定范围外的数据。若乙方以第三方接入形式通过甲方产品或服务直接由甲方数据主体处获取甲方数据的，乙方须在采集或转移数据前向甲方进行书面说明并获得甲方同意。</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11.1.6合规协助：乙方应采取甲方合理要求的措施协助甲方遵从适用数据保护规定以及甲方数据安全规范，包括但不限于具备相应的数据安全和个人信息保护保障能力，完成个人信息保护影响评估并依据甲方要求提交甲方备案，协助甲方与甲方数据主体进行沟通，保障甲方数据主体权利实现等。</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11.1.7数据存储及跨境流动：乙方承诺只能将甲方数据在中国大陆地区存储、处理，并确保不得被境外任何实体和个人访问。为实现本协议之目的，需要向中国大陆以外地区传输甲方数据的（如适用），应事先获得甲方的书面同意、按法定要求/甲方要求签署相关协议约定数据安全和个人信息保护责任义务，并已完成监管要求的相应数据出境审批程序，确保乙方数据出境活动符合适用数据保护规定的全部要求。</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11.1.8个人信息保护影响评估：甲方在向乙方提供甲方数据前，应事先进行个人信息保护影响评估、向甲方数据主体告知乙方的名称或姓名、联系方式、处理目的、处理方式和个人信息的种类，如需获得单独同意的应获得甲方数据主体单独同意；乙方应按照适用数据保护规定，履行独立的数据处理者义务，并配合甲方履行在对外提供方面的相关法律义务。</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11.1.9重要数据：本协议若涉及处理法律法规或者监管部门认定的重要数据和核心数据的（如适用），乙方应当具备与处理重要数据相适应的组织和技术安全能力，并配合甲方履行相关法律法规规定的重要数据处理者义务、数据安全评估和监管部门的审批要求，具体以届时生效的法律法规规定为准。</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11.1.10处理主体变化：乙方发生收购、兼并、重组、破产等情况导致数据处理主体发生变化的，应在相关方案确定后立即书面通知甲方。甲方有权随时终止本协议的履行，若甲方选择继续履行本协议的，乙方应确保变更后的实体继续履行乙方在本协议下的数据安全和个人信息保护责任和义务。</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11.1.11数据删除或销毁：除根据法律的另行规定，在本协议不生效、无效、被撤销或终止时，或甲方提出相应要求时，乙方应将所有数据及其副本移交给甲方，或根据甲方的要求立即删除或销毁，并提供正式证明。乙方应依据双方协商的期限承担后续的保密责任，但乙方已经独立获得处理甲方数据主体合法性事由的情形不在此限。</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11.1.12履约合规证明：乙方应在甲方要求时及时向甲方汇报对甲方数据的全部处理情况和所有必要的信息，用以证明遵守本协议中规定的义务，允许甲方对数据文件和文档进行查阅，或对本合同涵盖的处理活动进行审计。甲方有权对乙方处理甲方数据的有关事宜进行监督，包括但不限于要求乙方提供数据保护影响评估报告、进行安全审计、现场核查、对数据处理设施、设备和文档进行检查等。乙方未按照相关法规及本协议约定处理甲方数据，给甲方和/或第三方造成影响和损失的，乙方应承担一切赔偿责任，同时甲方有权解除本协议。</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11.1.13委托处理和共享：除非法律法规另有规定，乙方不得将甲方个人信息数据因委托处理、共享、转让等任何原因向第三方进行披露和传输。乙方应遵守适用数据保护规定的要求，独立向个人信息主体承担因委托处理、共享、转让个人信息对个人信息主体合法权益造成损害的相应责任，若甲方因乙方数据再转移的行为遭受监管处罚或投诉、索赔，乙方承诺补偿甲方因此造成的全部损失（包括声誉损失）。乙方应按照适用数据保护规定履行其全部义务，包括但不限于针对委托处理、共享、转让个人信息进行个人信息保护影响评估，确保第三方接收方的安全能力；准确记录和保存向第三方披露传输甲方个人信息的情况，包括委托处理、共享、转让的日期、规模、目的，以及数据接收方基本情况；确保在个人信息主体请求停止向第三方传输时，立即停止传输并要求第三方销毁已经接收到的个人信息。</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11.1.14共同处理：具体业务合作中，若因业务需求并经甲方事先同意，乙方提供的产品、服务或接口含有收集、转移或处理数据或个人信息的功能，但因技术安排乙方未单独向甲方数据主体告知并获得处理数据的合法处理理由的，双方作为共同的个人信息处理者向数据主体承担连带责任。双方同意，在共同的个人信息处理者模式下，双方内部仍为独立的个人信息处理者各自承担本协议约定的责任和义务。甲方因乙方处理数据和个人信息的行为遭受监管处罚或投诉、索赔时，乙方承诺补偿甲方因此造成的全部损失（包括声誉损失）。</w:t>
      </w:r>
    </w:p>
    <w:p>
      <w:pPr>
        <w:spacing w:line="360" w:lineRule="auto"/>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11.2技术和组织措施</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11.2.1乙方应对甲方数据严格保密，采取包括但不限于管理制度、访问控制、加密、安全测试、评估、应急响应机制、数据恢复能力等组织、技术措施、组织措施和其他必要措施，确保信息安全和数据安全。若乙方发生或者可能发生甲方数据泄露、篡改、丢失的，应当立即采取补救措施，并同步通知甲方，减轻对甲方及甲方数据主体等第三人的危害。</w:t>
      </w:r>
    </w:p>
    <w:p>
      <w:pPr>
        <w:spacing w:line="360" w:lineRule="auto"/>
        <w:ind w:firstLine="480" w:firstLineChars="200"/>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11.2.2乙方存储和处理甲方数据的网络系统应按照法律要求办理网络安全</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等级保护备案，建立适当的数据安全和个人信息保护能力，并按照甲方不时要求向甲方提供相应的合规证明。</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11.2.3乙方应积极协助甲方履行适用数据保护规定的义务和相关司法、行政监管部门的要求。若乙方收到任何司法或行政命令、召唤、守令、传票或任何其他文件要求访问或披露甲方数据的，应在收到后可行的最短时间内通知甲方，并在法律允许的范围内，配合进行响应。</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11.2.4乙方应按照适用数据保护规定的相关要求任命个人信息保护负责人、个人信息保护工作机构或数据安全负责人，并告知甲方相应的联系方式。</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11.2.5乙方应对处理甲方数据的人员建立最小授权的访问控制策略，应确保其授权员工或人士获悉并遵守本协议项下的所有处理要求和指示以及本协议的约定，且必须承担保密或负有法定保密义务。对大量接触个人敏感信息或其他关键岗位的人员应进行背景审查。</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11.2.6乙方需建立安全应急响应机制，制定数据安全事件应急预案，并随时根据适用数据保护规定的变化情况进行预案更新，且应定期（至少一年一次）进行应急响应内部培训以及应急演练。</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11.2.7乙方应根据适用数据保护规定和/或商业活动中公认的行业惯例建立、维护和更新数据处理活动记录，包括记录所处理的数据类型、数量、处理目的、数据生命周期各环节相应的信息系统、组织或人员，已知或可疑的数据泄露记录等，乙方应定期或根据甲方要求将此类记录合理提供给甲方。</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11.2.8若在甲方数据处理过程中无法提供足够的安全保障水平、发现已发生或潜在的数据安全和个人信息保护问题和事件或者违反本协议其他关于数据安全和个人信息保护的有关约定时，乙方应及时采取有效的补救措施并在最短时间内（且在任何情形下，应在二十四（24）小时之内）向甲方提供相关情况的书面通知。其中应包括对发现事件的人员、时间、地点，涉及的数据、个人信息及人数，发生事件的系统名称，可能风险和后果，对其他互联系统的影响，是否已联系执法机关或有关部门以及描述为处理信息泄露而采取或提出的措施等。乙方应自行承担费用配合甲方向受影响的甲方数据主体以及监管部门进行通报以及履行监管部门要求的其他合规义务。</w:t>
      </w:r>
    </w:p>
    <w:p>
      <w:pPr>
        <w:spacing w:line="360" w:lineRule="auto"/>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11.3数据主体权利保障</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11.3.1乙方应当按照适用数据保护规定设置相应的数据主体权益保障功能，并能够协助甲方或独立于甲方单独向甲方数据主体提供。</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11.3.2乙方应在本协议约定的数据处理范围内积极协助甲方履行适用数据保护规定的义务，包括但不限于响应数据主体权利（包括查询、更正、删除、注销、撤回同意、获得个人信息副本权等法律法规赋予的全部数据主体权利范围）等。若乙方直接收到来自有关个人信息的任何查询、要求或投诉要求，包括但不限于访问、更正、删除、提供副本等要求，乙方应立即通知甲方，并按其书面指示进行处理和回应。</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11.3.3乙方应在组织内部确定一个联系人，授权其答复有关数据处理的询问或投诉，并应及时处理甲方数据主体的任何询问或投诉。乙方应将联系人信息告知甲方，并以简单易懂的方式，通过单独通知或在其网站公告，告知甲方数据主体该联系人信息，具体为：</w:t>
      </w:r>
      <w:r>
        <w:rPr>
          <w:rFonts w:hint="eastAsia" w:ascii="仿宋_GB2312" w:hAnsi="仿宋_GB2312" w:eastAsia="仿宋_GB2312" w:cs="仿宋_GB2312"/>
          <w:color w:val="000000"/>
          <w:kern w:val="0"/>
          <w:sz w:val="24"/>
          <w:highlight w:val="yellow"/>
          <w:lang w:bidi="ar"/>
        </w:rPr>
        <w:t>【联系人：【】；联系电话：【】；电子邮箱：【】。】</w:t>
      </w:r>
    </w:p>
    <w:p>
      <w:pPr>
        <w:spacing w:line="360" w:lineRule="auto"/>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11.4数据安全责任</w:t>
      </w:r>
    </w:p>
    <w:p>
      <w:pPr>
        <w:spacing w:line="360" w:lineRule="auto"/>
        <w:ind w:firstLine="480" w:firstLineChars="200"/>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双方承诺，对其各自控制下的数据安全及个人信息保护负有保护义务，并应对其员工在履行本协议中的数据安全和个人信息保护行为作出制度约束和承担主体责任。如因一方的故意或过失，发生数据安全或个人信息安全事件而导致政府监管部门的处罚、数据主体的索赔以及其他形式的成本支出或损害，均由过错方负责。为明确起见，除非适用数据保护规定另有要求，本协议下甲方的授权和同意不视为甲方可控制乙方处理数据的行为。</w:t>
      </w:r>
    </w:p>
    <w:p>
      <w:pPr>
        <w:spacing w:line="360" w:lineRule="auto"/>
        <w:rPr>
          <w:rFonts w:hint="eastAsia" w:ascii="仿宋_GB2312" w:hAnsi="仿宋_GB2312" w:eastAsia="仿宋_GB2312" w:cs="仿宋_GB2312"/>
          <w:b/>
          <w:bCs/>
          <w:color w:val="000000"/>
          <w:kern w:val="0"/>
          <w:sz w:val="24"/>
          <w:lang w:bidi="ar"/>
        </w:rPr>
      </w:pPr>
      <w:r>
        <w:rPr>
          <w:rFonts w:hint="eastAsia" w:ascii="仿宋_GB2312" w:hAnsi="仿宋_GB2312" w:eastAsia="仿宋_GB2312" w:cs="仿宋_GB2312"/>
          <w:b/>
          <w:bCs/>
          <w:color w:val="000000"/>
          <w:kern w:val="0"/>
          <w:sz w:val="24"/>
          <w:lang w:bidi="ar"/>
        </w:rPr>
        <w:t>11.5违约和索赔</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11.5.1甲方得知或者发现乙方违反法律法规规定或者未按照本协议要求处理甲方数据的，或未能有效履行数据安全和个人信息保护责任的，有权停止向乙方提供数据，要求乙方立即停止相关数据处理行为，并采取有效的补救措施（如更改口令、回收权限、断开网络连接等）控制或消除甲方数据面临的安全风险；必要时甲方有权在书面通知乙方后立即解除本协议，并要求乙方及时删除从甲方获得的数据。</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11.5.2任何一方直接或间接违反本协议的任何条款，或不承担或不及时、充分地承担本协议项下其应承担的义务即构成违约行为，守约方有权以书面通知要求违约方纠正其违约行为并采取充分、有效、及时的措施消除违约后果，并赔偿守约方因违约方之违约行为而招致的损失。若违约方在收到守约方关于其违约行为的上述通知后10日内未纠正其违约行为，守约方有权以书面通知的方式单方提前终止本协议，并追究违约方之违约责任。</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11.5.3乙方作为数据接收方和独立的个人信息处理者应就接收甲方数据后的处理行为承担全部责任。同时，乙方应赔偿甲方并确保甲方免于因乙方违反本协议中约定而给甲方造成或带来的所有成本、索赔、损害、费用，或诉讼。如果由于乙方违约或违反安全防护责任致使甲方遭受在任何国家和地区的损失的，包括但不限于政府处罚或民事赔偿，乙方应偿付甲方的所有损失、成本和损害，</w:t>
      </w:r>
      <w:r>
        <w:rPr>
          <w:rFonts w:hint="eastAsia" w:ascii="仿宋_GB2312" w:hAnsi="仿宋_GB2312" w:eastAsia="仿宋_GB2312" w:cs="仿宋_GB2312"/>
          <w:color w:val="000000"/>
          <w:kern w:val="0"/>
          <w:sz w:val="24"/>
          <w:highlight w:val="yellow"/>
          <w:lang w:bidi="ar"/>
        </w:rPr>
        <w:t>或向甲方赔偿人民币【】元的违约金</w:t>
      </w:r>
      <w:r>
        <w:rPr>
          <w:rFonts w:hint="eastAsia" w:ascii="仿宋_GB2312" w:hAnsi="仿宋_GB2312" w:eastAsia="仿宋_GB2312" w:cs="仿宋_GB2312"/>
          <w:color w:val="000000"/>
          <w:kern w:val="0"/>
          <w:sz w:val="24"/>
          <w:lang w:bidi="ar"/>
        </w:rPr>
        <w:t>，损害赔偿或违约金二者以孰高者为准。</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11.5.4若（i）乙方存在故意或重大过失，发生数据安全或个人信息安全事件；或(ii)乙方发生违约或甲方有合理理由认为其存在安全问题且其未能按照要求整改的；或(iii)甲方因自身业务变化或经营所需决定终止乙方继续接收甲方数据的，甲方有权立即终止与乙方的合作关系，单方解除合作协议和/或本协议且不承担任何责任。</w:t>
      </w:r>
    </w:p>
    <w:p>
      <w:pPr>
        <w:spacing w:line="360" w:lineRule="auto"/>
        <w:ind w:left="547" w:leftChars="228"/>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11.5.5因甲方数据主体撤回数据处理授权同意或任何法律法规或政府监管部门要求，导致乙方不能获得甲方数据的，另一方不承担任何违约责任。</w:t>
      </w:r>
    </w:p>
    <w:p>
      <w:pPr>
        <w:spacing w:line="360" w:lineRule="auto"/>
        <w:rPr>
          <w:rFonts w:hint="eastAsia" w:ascii="仿宋_GB2312" w:hAnsi="仿宋_GB2312" w:eastAsia="仿宋_GB2312" w:cs="仿宋_GB2312"/>
          <w:color w:val="000000"/>
          <w:kern w:val="0"/>
          <w:sz w:val="24"/>
          <w:lang w:bidi="ar"/>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12.个人信息保护</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甲乙双方必须严格执行《个人信息保护法》《数据安全法》等法律规定要求，采取必要手段加强客户信息保护管理</w:t>
      </w:r>
      <w:r>
        <w:rPr>
          <w:rFonts w:ascii="仿宋_GB2312" w:hAnsi="仿宋_GB2312" w:eastAsia="仿宋_GB2312" w:cs="仿宋_GB2312"/>
          <w:color w:val="000000"/>
          <w:kern w:val="0"/>
          <w:sz w:val="24"/>
          <w:lang w:bidi="ar"/>
        </w:rPr>
        <w:t xml:space="preserve">: </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（1）乙方处理及使用甲方提供的客户信息，应符合《个人信息保护法》相关规定或依法取得客户同意，以保证信息采集、处理及使用的安全性和合法性。</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2）甲乙双方开展业务合作过程中，向其他方提供客户信息的，应依法取得客户或客户监护人的授权，向客户告知甲方的名称、联系方式，处理目的、处理方式和客户信息的种类，并取得客户或客户监护人的单独同意。</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（3）乙方在与甲方开展业务合作过程中，涉及处理客户敏感个人信息的，应当取得客户的单独同意，还应当向客户告知处理敏感个人信息的必要性以及对客户权益的影响，法律法规另有规定的除外。</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（4）乙方在与甲方开展业务合作过程中处理不满十四周岁未成年人个人信息的，应当取得未成年人的父母或者其他监护人的同意，并制定专门的个人信息处理规则。</w:t>
      </w:r>
    </w:p>
    <w:p>
      <w:pPr>
        <w:widowControl/>
        <w:spacing w:line="360" w:lineRule="auto"/>
        <w:ind w:firstLine="480" w:firstLineChars="200"/>
        <w:jc w:val="left"/>
        <w:rPr>
          <w:rFonts w:hint="eastAsia" w:ascii="仿宋_GB2312" w:hAnsi="仿宋_GB2312" w:eastAsia="仿宋_GB2312" w:cs="仿宋_GB2312"/>
          <w:sz w:val="24"/>
        </w:rPr>
      </w:pPr>
      <w:r>
        <w:rPr>
          <w:rFonts w:hint="eastAsia" w:ascii="仿宋_GB2312" w:hAnsi="仿宋_GB2312" w:eastAsia="仿宋_GB2312" w:cs="仿宋_GB2312"/>
          <w:color w:val="000000"/>
          <w:kern w:val="0"/>
          <w:sz w:val="24"/>
          <w:lang w:bidi="ar"/>
        </w:rPr>
        <w:t>（5）甲乙双方一致同意在开展业务合作过程中，应各自采取相关措施确保客户信息</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处理活动符合法律、行政法规的规定，并防止未经授权的访问以及客户信息泄露</w:t>
      </w:r>
      <w:r>
        <w:rPr>
          <w:rFonts w:ascii="仿宋_GB2312" w:hAnsi="仿宋_GB2312" w:eastAsia="仿宋_GB2312" w:cs="仿宋_GB2312"/>
          <w:color w:val="000000"/>
          <w:kern w:val="0"/>
          <w:sz w:val="24"/>
          <w:lang w:bidi="ar"/>
        </w:rPr>
        <w:t>.篡改、</w:t>
      </w:r>
      <w:r>
        <w:rPr>
          <w:rFonts w:hint="eastAsia" w:ascii="仿宋_GB2312" w:hAnsi="仿宋_GB2312" w:eastAsia="仿宋_GB2312" w:cs="仿宋_GB2312"/>
          <w:color w:val="000000"/>
          <w:kern w:val="0"/>
          <w:sz w:val="24"/>
          <w:lang w:bidi="ar"/>
        </w:rPr>
        <w:t>丢失。</w:t>
      </w:r>
    </w:p>
    <w:p>
      <w:pPr>
        <w:widowControl/>
        <w:spacing w:line="360" w:lineRule="auto"/>
        <w:ind w:firstLine="480" w:firstLineChars="200"/>
        <w:jc w:val="left"/>
        <w:rPr>
          <w:rFonts w:hint="eastAsia"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（6）甲乙双方在业务合作过程中因一方过错侵害客户信息权益，给客户或对方造成损失的，违约方应承担相应法律责任。</w:t>
      </w:r>
    </w:p>
    <w:p>
      <w:pPr>
        <w:widowControl/>
        <w:spacing w:line="360" w:lineRule="auto"/>
        <w:jc w:val="left"/>
        <w:rPr>
          <w:rFonts w:hint="eastAsia" w:ascii="仿宋_GB2312" w:hAnsi="仿宋_GB2312" w:eastAsia="仿宋_GB2312" w:cs="仿宋_GB2312"/>
          <w:color w:val="000000"/>
          <w:kern w:val="0"/>
          <w:sz w:val="24"/>
          <w:lang w:bidi="ar"/>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13.投诉及处理</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13.1</w:t>
      </w:r>
      <w:r>
        <w:rPr>
          <w:rFonts w:hint="eastAsia" w:ascii="仿宋_GB2312" w:hAnsi="宋体" w:eastAsia="仿宋_GB2312"/>
          <w:sz w:val="24"/>
        </w:rPr>
        <w:t>乙方设立质量监控部门，负责受理及处理客户投诉，投诉形式包括电话、传真、邮件、信函、微信等。如客户要求，甲方或客户可将直接诉至乙方负责处理投诉的专业部门。乙方应向甲方及客户公示投诉渠道：</w:t>
      </w:r>
      <w:r>
        <w:rPr>
          <w:rFonts w:hint="eastAsia" w:ascii="仿宋_GB2312" w:hAnsi="宋体" w:eastAsia="仿宋_GB2312"/>
          <w:sz w:val="24"/>
          <w:highlight w:val="yellow"/>
        </w:rPr>
        <w:t>投诉电话【】、投诉邮箱【】、投诉地址【】。</w:t>
      </w:r>
    </w:p>
    <w:p>
      <w:pPr>
        <w:tabs>
          <w:tab w:val="left" w:pos="420"/>
        </w:tabs>
        <w:spacing w:before="156" w:beforeLines="50" w:after="156" w:afterLines="50" w:line="360" w:lineRule="auto"/>
        <w:rPr>
          <w:rFonts w:hint="eastAsia" w:ascii="仿宋_GB2312" w:hAnsi="宋体" w:eastAsia="仿宋_GB2312"/>
          <w:sz w:val="24"/>
          <w:u w:val="single"/>
        </w:rPr>
      </w:pPr>
      <w:r>
        <w:rPr>
          <w:rFonts w:hint="eastAsia" w:ascii="仿宋_GB2312" w:hAnsi="宋体" w:eastAsia="仿宋_GB2312"/>
          <w:b/>
          <w:bCs/>
          <w:sz w:val="24"/>
        </w:rPr>
        <w:t>13.2</w:t>
      </w:r>
      <w:r>
        <w:rPr>
          <w:rFonts w:hint="eastAsia" w:ascii="仿宋_GB2312" w:hAnsi="宋体" w:eastAsia="仿宋_GB2312"/>
          <w:sz w:val="24"/>
        </w:rPr>
        <w:t xml:space="preserve">乙方在接到客户投诉后24小时内（工作日）响应，并于48小时内（工作日）给予甲方投诉处理方案；因乙方原因造成甲方客户投诉的，对于甲方客户提出的合理补偿诉求，补偿成本由乙方承担；投诉处理方案由甲方答复客户或者甲方指定乙方答复客户。 </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13.3</w:t>
      </w:r>
      <w:r>
        <w:rPr>
          <w:rFonts w:hint="eastAsia" w:ascii="仿宋_GB2312" w:hAnsi="宋体" w:eastAsia="仿宋_GB2312"/>
          <w:sz w:val="24"/>
        </w:rPr>
        <w:t>如果投诉处理的结果不能令甲方客户满意，则由乙方主管领导负责组织对该投诉重新进行处理，由甲乙双方共同组成的成员，通过调研、录音等判断，妥善加以解决，在本协议约定范围内满足甲方客户的合理要求。</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13.4</w:t>
      </w:r>
      <w:r>
        <w:rPr>
          <w:rFonts w:hint="eastAsia" w:ascii="仿宋_GB2312" w:hAnsi="宋体" w:eastAsia="仿宋_GB2312"/>
          <w:sz w:val="24"/>
        </w:rPr>
        <w:t>因乙方原因造成甲方客户投诉的，每出现一单非监管投诉案件，甲方有权从当期应结算费用中按照</w:t>
      </w:r>
      <w:r>
        <w:rPr>
          <w:rFonts w:hint="eastAsia" w:ascii="仿宋_GB2312" w:hAnsi="宋体" w:eastAsia="仿宋_GB2312"/>
          <w:sz w:val="24"/>
          <w:highlight w:val="yellow"/>
        </w:rPr>
        <w:t>5000元/单</w:t>
      </w:r>
      <w:r>
        <w:rPr>
          <w:rFonts w:hint="eastAsia" w:ascii="仿宋_GB2312" w:hAnsi="宋体" w:eastAsia="仿宋_GB2312"/>
          <w:sz w:val="24"/>
        </w:rPr>
        <w:t>对乙方扣除违约金;造成甲方客户投诉升级的（投诉到监管部门、社会媒体或其它政府部门等），每出现一单监管投诉案件，甲方有权从当期应结算费用中按照</w:t>
      </w:r>
      <w:r>
        <w:rPr>
          <w:rFonts w:hint="eastAsia" w:ascii="仿宋_GB2312" w:hAnsi="宋体" w:eastAsia="仿宋_GB2312"/>
          <w:sz w:val="24"/>
          <w:highlight w:val="yellow"/>
        </w:rPr>
        <w:t>【5】万元/单</w:t>
      </w:r>
      <w:r>
        <w:rPr>
          <w:rFonts w:hint="eastAsia" w:ascii="仿宋_GB2312" w:hAnsi="宋体" w:eastAsia="仿宋_GB2312"/>
          <w:sz w:val="24"/>
        </w:rPr>
        <w:t>对乙方扣除违约金;对于上述当期应结算费用不足以抵扣时，乙方应向甲方支付相应金额违约金；乙方应承担上述投诉案件可能涉及的所有客户赔偿责任。</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13.5</w:t>
      </w:r>
      <w:r>
        <w:rPr>
          <w:rFonts w:hint="eastAsia" w:ascii="仿宋_GB2312" w:hAnsi="宋体" w:eastAsia="仿宋_GB2312"/>
          <w:sz w:val="24"/>
        </w:rPr>
        <w:t>因乙方原因造成甲方客户出现人身损伤或财产损失的，乙方应无条件承担全部责任，包括但不限于赔偿、诉讼等费用。</w:t>
      </w:r>
    </w:p>
    <w:p>
      <w:pPr>
        <w:tabs>
          <w:tab w:val="left" w:pos="420"/>
        </w:tabs>
        <w:spacing w:before="156" w:beforeLines="50" w:after="156" w:afterLines="50" w:line="360" w:lineRule="auto"/>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14.违约责任</w:t>
      </w:r>
    </w:p>
    <w:p>
      <w:pPr>
        <w:tabs>
          <w:tab w:val="left" w:pos="420"/>
        </w:tabs>
        <w:spacing w:before="156" w:beforeLines="50" w:after="156" w:afterLines="50" w:line="360" w:lineRule="auto"/>
        <w:rPr>
          <w:rFonts w:hint="eastAsia" w:ascii="仿宋_GB2312" w:hAnsi="宋体" w:eastAsia="仿宋_GB2312"/>
          <w:b/>
          <w:bCs/>
          <w:sz w:val="24"/>
        </w:rPr>
      </w:pPr>
      <w:r>
        <w:rPr>
          <w:rFonts w:hint="eastAsia" w:ascii="仿宋_GB2312" w:hAnsi="宋体" w:eastAsia="仿宋_GB2312"/>
          <w:b/>
          <w:bCs/>
          <w:sz w:val="24"/>
        </w:rPr>
        <w:t>14.1 一般违约责任</w:t>
      </w:r>
    </w:p>
    <w:p>
      <w:pPr>
        <w:tabs>
          <w:tab w:val="left" w:pos="420"/>
        </w:tabs>
        <w:spacing w:before="156" w:beforeLines="50" w:after="156" w:afterLines="50" w:line="360" w:lineRule="auto"/>
        <w:ind w:left="547" w:leftChars="228"/>
        <w:rPr>
          <w:rFonts w:hint="eastAsia" w:ascii="仿宋_GB2312" w:hAnsi="宋体" w:eastAsia="仿宋_GB2312"/>
          <w:bCs/>
          <w:sz w:val="24"/>
        </w:rPr>
      </w:pPr>
      <w:r>
        <w:rPr>
          <w:rFonts w:hint="eastAsia" w:ascii="仿宋_GB2312" w:hAnsi="宋体" w:eastAsia="仿宋_GB2312"/>
          <w:sz w:val="24"/>
        </w:rPr>
        <w:t>14.1.1 如任何一方违反或不履行本协议所约定的义务，违约方在收到守约方要求纠正其违约行为的书面通知之日，应立即停止该违约行为，并在10日内赔偿守约方因该违约行为造成的全部经济损失（本协议另有约定的除外）。</w:t>
      </w:r>
      <w:r>
        <w:rPr>
          <w:rFonts w:hint="eastAsia" w:ascii="仿宋_GB2312" w:hAnsi="宋体" w:eastAsia="仿宋_GB2312"/>
          <w:bCs/>
          <w:sz w:val="24"/>
        </w:rPr>
        <w:t>对于乙方已履行的符合本协议约定的义务，本款的约定不影响甲方应尽的对价给付义务。</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bCs/>
          <w:sz w:val="24"/>
        </w:rPr>
        <w:t>14.1.2</w:t>
      </w:r>
      <w:r>
        <w:rPr>
          <w:rFonts w:hint="eastAsia" w:ascii="仿宋_GB2312" w:hAnsi="宋体" w:eastAsia="仿宋_GB2312"/>
          <w:sz w:val="24"/>
        </w:rPr>
        <w:t>双方均有过错的，应根据各方实际过错程度，分别承担各自的违约责任。</w:t>
      </w:r>
    </w:p>
    <w:p>
      <w:pPr>
        <w:tabs>
          <w:tab w:val="left" w:pos="420"/>
        </w:tabs>
        <w:spacing w:before="156" w:beforeLines="50" w:after="156" w:afterLines="50" w:line="360" w:lineRule="auto"/>
        <w:rPr>
          <w:rFonts w:hint="eastAsia" w:ascii="仿宋_GB2312" w:hAnsi="宋体" w:eastAsia="仿宋_GB2312"/>
          <w:b/>
          <w:bCs/>
          <w:sz w:val="24"/>
        </w:rPr>
      </w:pPr>
      <w:r>
        <w:rPr>
          <w:rFonts w:hint="eastAsia" w:ascii="仿宋_GB2312" w:hAnsi="宋体" w:eastAsia="仿宋_GB2312"/>
          <w:b/>
          <w:bCs/>
          <w:sz w:val="24"/>
        </w:rPr>
        <w:t>14.2具体违约责任</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14.2.1 未经甲方许可，乙方不得向甲方客户推销本合同以外的产品和服务，否则甲方有权要求乙方立即消除影响、恢复甲方商誉损失并赔偿全部损失。甲方向甲方客户推广销售乙方健康服务时，应维护乙方品牌形象和商誉，否则，甲方应承担相应责任。</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14.2.2</w:t>
      </w:r>
      <w:r>
        <w:rPr>
          <w:rFonts w:ascii="仿宋_GB2312" w:hAnsi="宋体" w:eastAsia="仿宋_GB2312"/>
          <w:sz w:val="24"/>
        </w:rPr>
        <w:t xml:space="preserve"> </w:t>
      </w:r>
      <w:r>
        <w:rPr>
          <w:rFonts w:hint="eastAsia" w:ascii="仿宋_GB2312" w:hAnsi="宋体" w:eastAsia="仿宋_GB2312"/>
          <w:sz w:val="24"/>
        </w:rPr>
        <w:t>如乙方未按照本协议约定服务标准、时效、质量要求等提供服务，造成甲方或甲方客户损失的，乙方应予以赔偿；如因乙方上述原因造成甲方或甲方客户重大影响或经济、商誉损失的，乙方应承担全部责任，并赔偿甲方或甲方客户遭受的全部损失，包括但不限于甲方的声誉损失等（包括但不限于律师费、仲裁费、诉讼费等）。</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14.2.3 乙方未按照约定服务时效提供服务的，每延迟1个工作日，按照本次服务合同单价的</w:t>
      </w:r>
      <w:r>
        <w:rPr>
          <w:rFonts w:hint="eastAsia" w:ascii="仿宋_GB2312" w:hAnsi="宋体" w:eastAsia="仿宋_GB2312"/>
          <w:sz w:val="24"/>
          <w:highlight w:val="yellow"/>
        </w:rPr>
        <w:t>【】%</w:t>
      </w:r>
      <w:r>
        <w:rPr>
          <w:rFonts w:hint="eastAsia" w:ascii="仿宋_GB2312" w:hAnsi="宋体" w:eastAsia="仿宋_GB2312"/>
          <w:sz w:val="24"/>
        </w:rPr>
        <w:t>支付违约金（适用于单价合同），或乙方向甲方支付合同总金额的</w:t>
      </w:r>
      <w:r>
        <w:rPr>
          <w:rFonts w:hint="eastAsia" w:ascii="仿宋_GB2312" w:hAnsi="宋体" w:eastAsia="仿宋_GB2312"/>
          <w:sz w:val="24"/>
          <w:highlight w:val="yellow"/>
          <w:u w:val="single"/>
        </w:rPr>
        <w:t xml:space="preserve"> 【】</w:t>
      </w:r>
      <w:r>
        <w:rPr>
          <w:rFonts w:hint="eastAsia" w:ascii="仿宋_GB2312" w:hAnsi="宋体" w:eastAsia="仿宋_GB2312"/>
          <w:sz w:val="24"/>
        </w:rPr>
        <w:t>%作为违约金（适用于总价合同）。经甲方督促后乙方继续延误的，甲方有权单方面解除合同，乙方应按照单价合同本次服务相应单价的</w:t>
      </w:r>
      <w:r>
        <w:rPr>
          <w:rFonts w:hint="eastAsia" w:ascii="仿宋_GB2312" w:hAnsi="宋体" w:eastAsia="仿宋_GB2312"/>
          <w:sz w:val="24"/>
          <w:highlight w:val="yellow"/>
        </w:rPr>
        <w:t>【】倍</w:t>
      </w:r>
      <w:r>
        <w:rPr>
          <w:rFonts w:hint="eastAsia" w:ascii="仿宋_GB2312" w:hAnsi="宋体" w:eastAsia="仿宋_GB2312"/>
          <w:sz w:val="24"/>
        </w:rPr>
        <w:t>，或总价合同合同总金额的</w:t>
      </w:r>
      <w:r>
        <w:rPr>
          <w:rFonts w:ascii="仿宋_GB2312" w:hAnsi="宋体" w:eastAsia="仿宋_GB2312"/>
          <w:sz w:val="24"/>
          <w:highlight w:val="yellow"/>
          <w:u w:val="single"/>
        </w:rPr>
        <w:t xml:space="preserve"> </w:t>
      </w:r>
      <w:r>
        <w:rPr>
          <w:rFonts w:hint="eastAsia" w:ascii="仿宋_GB2312" w:hAnsi="宋体" w:eastAsia="仿宋_GB2312"/>
          <w:sz w:val="24"/>
          <w:highlight w:val="yellow"/>
          <w:u w:val="single"/>
        </w:rPr>
        <w:t>【】</w:t>
      </w:r>
      <w:r>
        <w:rPr>
          <w:rFonts w:ascii="仿宋_GB2312" w:hAnsi="宋体" w:eastAsia="仿宋_GB2312"/>
          <w:sz w:val="24"/>
          <w:highlight w:val="yellow"/>
          <w:u w:val="single"/>
        </w:rPr>
        <w:t xml:space="preserve"> </w:t>
      </w:r>
      <w:r>
        <w:rPr>
          <w:rFonts w:hint="eastAsia" w:ascii="仿宋_GB2312" w:hAnsi="宋体" w:eastAsia="仿宋_GB2312"/>
          <w:sz w:val="24"/>
          <w:highlight w:val="yellow"/>
        </w:rPr>
        <w:t>%</w:t>
      </w:r>
      <w:r>
        <w:rPr>
          <w:rFonts w:hint="eastAsia" w:ascii="仿宋_GB2312" w:hAnsi="宋体" w:eastAsia="仿宋_GB2312"/>
          <w:sz w:val="24"/>
        </w:rPr>
        <w:t>向甲方支付违约金，并赔偿由此引起的甲方及甲方客户的直接经济损失。</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14.2.4 乙方未按照约定服务质量、标准、流程提供服务的，应按照本次服务合同单价的【】%支付违约金（适用于单价合同），或乙方向甲方支付合同总金额的</w:t>
      </w:r>
      <w:r>
        <w:rPr>
          <w:rFonts w:hint="eastAsia" w:ascii="仿宋_GB2312" w:hAnsi="宋体" w:eastAsia="仿宋_GB2312"/>
          <w:sz w:val="24"/>
          <w:u w:val="single"/>
        </w:rPr>
        <w:t xml:space="preserve">  【】 </w:t>
      </w:r>
      <w:r>
        <w:rPr>
          <w:rFonts w:hint="eastAsia" w:ascii="仿宋_GB2312" w:hAnsi="宋体" w:eastAsia="仿宋_GB2312"/>
          <w:sz w:val="24"/>
        </w:rPr>
        <w:t>%作为违约金（适用于总价合同），并赔偿由此引起的甲方及甲方客户的全部损失。</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14.2.5 乙方因各种原因导致不能提供约定服务的，或者直接拒单的（</w:t>
      </w:r>
      <w:r>
        <w:rPr>
          <w:rFonts w:ascii="仿宋_GB2312" w:hAnsi="宋体" w:eastAsia="仿宋_GB2312"/>
          <w:sz w:val="24"/>
        </w:rPr>
        <w:t>对于服务派单不执行投标价格而提出议价的认定为拒单</w:t>
      </w:r>
      <w:r>
        <w:rPr>
          <w:rFonts w:hint="eastAsia" w:ascii="仿宋_GB2312" w:hAnsi="宋体" w:eastAsia="仿宋_GB2312"/>
          <w:sz w:val="24"/>
        </w:rPr>
        <w:t>），每拒单一次，按照本次服务合同单价的【】%支付违约金（适用于单价合同），或乙方向甲方支付合同总金额的</w:t>
      </w:r>
      <w:r>
        <w:rPr>
          <w:rFonts w:hint="eastAsia" w:ascii="仿宋_GB2312" w:hAnsi="宋体" w:eastAsia="仿宋_GB2312"/>
          <w:sz w:val="24"/>
          <w:u w:val="single"/>
        </w:rPr>
        <w:t xml:space="preserve"> 【】 </w:t>
      </w:r>
      <w:r>
        <w:rPr>
          <w:rFonts w:hint="eastAsia" w:ascii="仿宋_GB2312" w:hAnsi="宋体" w:eastAsia="仿宋_GB2312"/>
          <w:sz w:val="24"/>
        </w:rPr>
        <w:t>%作为违约金（适用于总价合同），并赔偿由此引起的甲方及甲方客户的全部损失。</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乙方每</w:t>
      </w:r>
      <w:r>
        <w:rPr>
          <w:rFonts w:ascii="仿宋_GB2312" w:hAnsi="宋体" w:eastAsia="仿宋_GB2312"/>
          <w:sz w:val="24"/>
        </w:rPr>
        <w:t>拒单1笔，将停止向其服务派单一轮；拒单数</w:t>
      </w:r>
      <w:r>
        <w:rPr>
          <w:rFonts w:hint="eastAsia" w:ascii="仿宋_GB2312" w:hAnsi="宋体" w:eastAsia="仿宋_GB2312"/>
          <w:sz w:val="24"/>
        </w:rPr>
        <w:t>年度累计</w:t>
      </w:r>
      <w:r>
        <w:rPr>
          <w:rFonts w:ascii="仿宋_GB2312" w:hAnsi="宋体" w:eastAsia="仿宋_GB2312"/>
          <w:sz w:val="24"/>
        </w:rPr>
        <w:t>超过 5 笔（含），且拒单率超过 1%（含）的，则</w:t>
      </w:r>
      <w:r>
        <w:rPr>
          <w:rFonts w:hint="eastAsia" w:ascii="仿宋_GB2312" w:hAnsi="宋体" w:eastAsia="仿宋_GB2312"/>
          <w:sz w:val="24"/>
        </w:rPr>
        <w:t>甲方</w:t>
      </w:r>
      <w:r>
        <w:rPr>
          <w:rFonts w:ascii="仿宋_GB2312" w:hAnsi="宋体" w:eastAsia="仿宋_GB2312"/>
          <w:sz w:val="24"/>
        </w:rPr>
        <w:t>暂停向其服务派单，并要求</w:t>
      </w:r>
      <w:r>
        <w:rPr>
          <w:rFonts w:hint="eastAsia" w:ascii="仿宋_GB2312" w:hAnsi="宋体" w:eastAsia="仿宋_GB2312"/>
          <w:sz w:val="24"/>
        </w:rPr>
        <w:t>乙方</w:t>
      </w:r>
      <w:r>
        <w:rPr>
          <w:rFonts w:ascii="仿宋_GB2312" w:hAnsi="宋体" w:eastAsia="仿宋_GB2312"/>
          <w:sz w:val="24"/>
        </w:rPr>
        <w:t>改进工作，经</w:t>
      </w:r>
      <w:r>
        <w:rPr>
          <w:rFonts w:hint="eastAsia" w:ascii="仿宋_GB2312" w:hAnsi="宋体" w:eastAsia="仿宋_GB2312"/>
          <w:sz w:val="24"/>
        </w:rPr>
        <w:t>甲方</w:t>
      </w:r>
      <w:r>
        <w:rPr>
          <w:rFonts w:ascii="仿宋_GB2312" w:hAnsi="宋体" w:eastAsia="仿宋_GB2312"/>
          <w:sz w:val="24"/>
        </w:rPr>
        <w:t>重新评估后方可重新纳入派单</w:t>
      </w:r>
      <w:r>
        <w:rPr>
          <w:rFonts w:hint="eastAsia" w:ascii="仿宋_GB2312" w:hAnsi="宋体" w:eastAsia="仿宋_GB2312"/>
          <w:sz w:val="24"/>
        </w:rPr>
        <w:t>。</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14.2.6 乙方在合作过程中因自身经营范围变更等导致无法再提供约定服务的，应在5个工作日内书面通知甲方。对于已承接的服务应继续履行合约义务至服务结束，或出具处理方案，经甲方同意后执行。对于不能继续履约部分请妥善处理，并应按照合同期内已发生服务结算金额的【】%支付违约金，并赔偿由此引起的甲方及甲方客户的全部损失。</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14.2.7</w:t>
      </w:r>
      <w:r>
        <w:rPr>
          <w:rFonts w:ascii="仿宋_GB2312" w:hAnsi="宋体" w:eastAsia="仿宋_GB2312"/>
          <w:sz w:val="24"/>
        </w:rPr>
        <w:t xml:space="preserve"> </w:t>
      </w:r>
      <w:r>
        <w:rPr>
          <w:rFonts w:hint="eastAsia" w:ascii="仿宋_GB2312" w:hAnsi="宋体" w:eastAsia="仿宋_GB2312"/>
          <w:sz w:val="24"/>
        </w:rPr>
        <w:t>乙方应确保提供的服务不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给第三方的赔偿）。</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14.2.8</w:t>
      </w:r>
      <w:r>
        <w:rPr>
          <w:rFonts w:ascii="仿宋_GB2312" w:hAnsi="宋体" w:eastAsia="仿宋_GB2312"/>
          <w:sz w:val="24"/>
        </w:rPr>
        <w:t xml:space="preserve"> </w:t>
      </w:r>
      <w:r>
        <w:rPr>
          <w:rFonts w:hint="eastAsia" w:ascii="仿宋_GB2312" w:hAnsi="宋体" w:eastAsia="仿宋_GB2312"/>
          <w:sz w:val="24"/>
        </w:rPr>
        <w:t>乙方未经甲方事先书面同意，向第三方分包其应履行的本合同中的责任或义务的，应向甲方支付合同有效期内实际已产生的所有项目的总价</w:t>
      </w:r>
      <w:r>
        <w:rPr>
          <w:rFonts w:hint="eastAsia" w:ascii="仿宋_GB2312" w:hAnsi="宋体" w:eastAsia="仿宋_GB2312"/>
          <w:sz w:val="24"/>
          <w:u w:val="single"/>
        </w:rPr>
        <w:t xml:space="preserve"> 3 【】 </w:t>
      </w:r>
      <w:r>
        <w:rPr>
          <w:rFonts w:hint="eastAsia" w:ascii="仿宋_GB2312" w:hAnsi="宋体" w:eastAsia="仿宋_GB2312"/>
          <w:sz w:val="24"/>
        </w:rPr>
        <w:t>%作为违约金，并赔偿甲方所受全部损失。</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14.2.9 未经甲方事先许可，乙方不得直接向人保集团除人保健康以外的其他关联公司及其分支机构、人保集团成员单位提供服务预约或服务使用的方式、通道或触面，否则甲方有权从乙方后续结算费用或履约保证金中扣除【 】元。</w:t>
      </w:r>
    </w:p>
    <w:p>
      <w:pPr>
        <w:tabs>
          <w:tab w:val="left" w:pos="420"/>
        </w:tabs>
        <w:spacing w:before="156" w:beforeLines="50" w:after="156" w:afterLines="50" w:line="360" w:lineRule="auto"/>
        <w:ind w:left="547" w:leftChars="228"/>
        <w:rPr>
          <w:rFonts w:hint="eastAsia" w:ascii="仿宋_GB2312" w:hAnsi="宋体" w:eastAsia="仿宋_GB2312"/>
          <w:sz w:val="24"/>
        </w:rPr>
      </w:pPr>
      <w:r>
        <w:rPr>
          <w:rFonts w:hint="eastAsia" w:ascii="仿宋_GB2312" w:hAnsi="宋体" w:eastAsia="仿宋_GB2312"/>
          <w:sz w:val="24"/>
        </w:rPr>
        <w:t>14.2.10 乙方违反数据安全、个人信息保护相关约定，导致甲方客户信息泄露、滥用的，应向甲方支付合同价【】%的违约金，并赔偿甲方及客户因此遭受的全部损失，甲方有权单方解除本合同。</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14.2.11 若乙方存在多项违约情形的，上述违约金可同时计取。</w:t>
      </w:r>
    </w:p>
    <w:p>
      <w:pPr>
        <w:widowControl/>
        <w:spacing w:line="360" w:lineRule="auto"/>
        <w:jc w:val="left"/>
        <w:rPr>
          <w:rFonts w:hint="eastAsia" w:ascii="仿宋_GB2312" w:hAnsi="宋体" w:eastAsia="仿宋_GB2312"/>
          <w:sz w:val="24"/>
        </w:rPr>
      </w:pPr>
      <w:r>
        <w:rPr>
          <w:rFonts w:hint="eastAsia" w:ascii="仿宋_GB2312" w:hAnsi="宋体" w:eastAsia="仿宋_GB2312"/>
          <w:b/>
          <w:bCs/>
          <w:sz w:val="24"/>
        </w:rPr>
        <w:t xml:space="preserve">14.3 </w:t>
      </w:r>
      <w:r>
        <w:rPr>
          <w:rFonts w:hint="eastAsia" w:ascii="仿宋_GB2312" w:hAnsi="宋体" w:eastAsia="仿宋_GB2312"/>
          <w:sz w:val="24"/>
        </w:rPr>
        <w:t>除乙方另有授权之外，甲方不得以乙方名义与客户签约或向客户收取任何款项。</w:t>
      </w:r>
    </w:p>
    <w:p>
      <w:pPr>
        <w:widowControl/>
        <w:spacing w:line="360" w:lineRule="auto"/>
        <w:jc w:val="left"/>
        <w:rPr>
          <w:rFonts w:hint="eastAsia" w:ascii="仿宋_GB2312" w:hAnsi="宋体" w:eastAsia="仿宋_GB2312"/>
          <w:sz w:val="24"/>
        </w:rPr>
      </w:pPr>
    </w:p>
    <w:p>
      <w:pPr>
        <w:spacing w:before="156" w:beforeLines="50" w:after="156" w:afterLines="50" w:line="360" w:lineRule="auto"/>
        <w:outlineLvl w:val="1"/>
        <w:rPr>
          <w:rFonts w:hint="eastAsia" w:ascii="仿宋_GB2312" w:hAnsi="宋体" w:eastAsia="仿宋_GB2312"/>
          <w:b/>
          <w:sz w:val="28"/>
          <w:szCs w:val="28"/>
          <w:lang w:eastAsia="zh-CN"/>
        </w:rPr>
      </w:pPr>
      <w:r>
        <w:rPr>
          <w:rFonts w:hint="eastAsia" w:ascii="仿宋_GB2312" w:hAnsi="宋体" w:eastAsia="仿宋_GB2312"/>
          <w:b/>
          <w:sz w:val="28"/>
          <w:szCs w:val="28"/>
        </w:rPr>
        <w:t>15.履约保证金</w:t>
      </w:r>
      <w:r>
        <w:rPr>
          <w:rFonts w:hint="eastAsia" w:ascii="仿宋_GB2312" w:hAnsi="宋体" w:eastAsia="仿宋_GB2312"/>
          <w:b/>
          <w:sz w:val="28"/>
          <w:szCs w:val="28"/>
          <w:lang w:eastAsia="zh-CN"/>
        </w:rPr>
        <w:t>（如有）</w:t>
      </w:r>
    </w:p>
    <w:p>
      <w:pPr>
        <w:widowControl/>
        <w:spacing w:line="360" w:lineRule="auto"/>
        <w:ind w:firstLine="480" w:firstLineChars="200"/>
        <w:jc w:val="left"/>
        <w:rPr>
          <w:rFonts w:hint="eastAsia" w:ascii="仿宋_GB2312" w:hAnsi="宋体" w:eastAsia="仿宋_GB2312"/>
          <w:sz w:val="24"/>
        </w:rPr>
      </w:pPr>
      <w:r>
        <w:rPr>
          <w:rFonts w:hint="eastAsia" w:ascii="仿宋_GB2312" w:hAnsi="宋体" w:eastAsia="仿宋_GB2312"/>
          <w:sz w:val="24"/>
          <w:lang w:eastAsia="zh-CN"/>
        </w:rPr>
        <w:t>（本项目涉及</w:t>
      </w:r>
      <w:r>
        <w:rPr>
          <w:rFonts w:hint="eastAsia" w:ascii="仿宋_GB2312" w:hAnsi="宋体" w:eastAsia="仿宋_GB2312"/>
          <w:sz w:val="24"/>
          <w:lang w:val="en-US" w:eastAsia="zh-CN"/>
        </w:rPr>
        <w:t>/</w:t>
      </w:r>
      <w:r>
        <w:rPr>
          <w:rFonts w:hint="eastAsia" w:ascii="仿宋_GB2312" w:hAnsi="宋体" w:eastAsia="仿宋_GB2312"/>
          <w:sz w:val="24"/>
          <w:lang w:eastAsia="zh-CN"/>
        </w:rPr>
        <w:t>不涉及）</w:t>
      </w:r>
      <w:r>
        <w:rPr>
          <w:rFonts w:hint="eastAsia" w:ascii="仿宋_GB2312" w:hAnsi="宋体" w:eastAsia="仿宋_GB2312"/>
          <w:sz w:val="24"/>
        </w:rPr>
        <w:t>由甲方开设履约保证金专用银行账户，用于本项目服务时效、服务质量和合作期间各项承诺的履约保证。履约保证金结算以人民币为单位，金额为：</w:t>
      </w:r>
      <w:r>
        <w:rPr>
          <w:rFonts w:hint="eastAsia" w:ascii="仿宋_GB2312" w:hAnsi="仿宋_GB2312" w:eastAsia="仿宋_GB2312" w:cs="仿宋_GB2312"/>
          <w:sz w:val="24"/>
        </w:rPr>
        <w:t>人民币【</w:t>
      </w:r>
      <w:r>
        <w:rPr>
          <w:rFonts w:ascii="仿宋_GB2312" w:hAnsi="仿宋_GB2312" w:eastAsia="仿宋_GB2312" w:cs="仿宋_GB2312"/>
          <w:sz w:val="24"/>
        </w:rPr>
        <w:t xml:space="preserve">       </w:t>
      </w:r>
      <w:r>
        <w:rPr>
          <w:rFonts w:hint="eastAsia" w:ascii="仿宋_GB2312" w:hAnsi="仿宋_GB2312" w:eastAsia="仿宋_GB2312" w:cs="仿宋_GB2312"/>
          <w:sz w:val="24"/>
        </w:rPr>
        <w:t>】元</w:t>
      </w:r>
      <w:r>
        <w:rPr>
          <w:rFonts w:hint="eastAsia" w:ascii="仿宋_GB2312" w:hAnsi="宋体" w:eastAsia="仿宋_GB2312"/>
          <w:sz w:val="24"/>
        </w:rPr>
        <w:t>，在本协议签订后10个工作日内由乙方转入甲方履约保证金专用银行账户。如合作保证金扣除完毕甲方有权要求乙方补充缴纳合作保证金。本合作协议终止后30日内，甲方将剩余的合作保证金无息返还给乙方。</w:t>
      </w:r>
    </w:p>
    <w:p>
      <w:pPr>
        <w:widowControl/>
        <w:spacing w:line="360" w:lineRule="auto"/>
        <w:jc w:val="left"/>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16.合同的变更、解除及终止</w:t>
      </w:r>
    </w:p>
    <w:p>
      <w:pPr>
        <w:spacing w:line="360" w:lineRule="auto"/>
        <w:rPr>
          <w:rFonts w:hint="eastAsia" w:ascii="仿宋_GB2312" w:hAnsi="宋体" w:eastAsia="仿宋_GB2312"/>
          <w:sz w:val="24"/>
        </w:rPr>
      </w:pPr>
      <w:r>
        <w:rPr>
          <w:rFonts w:hint="eastAsia" w:ascii="仿宋_GB2312" w:hAnsi="宋体" w:eastAsia="仿宋_GB2312"/>
          <w:b/>
          <w:bCs/>
          <w:sz w:val="24"/>
        </w:rPr>
        <w:t>16.1</w:t>
      </w:r>
      <w:r>
        <w:rPr>
          <w:rFonts w:hint="eastAsia" w:ascii="仿宋_GB2312" w:hAnsi="宋体" w:eastAsia="仿宋_GB2312"/>
          <w:sz w:val="24"/>
        </w:rPr>
        <w:t xml:space="preserve">发生下列情形之一时，甲方可以解除本合同： </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（1）乙方原因造成项目延迟或服务交付超过【 </w:t>
      </w:r>
      <w:r>
        <w:rPr>
          <w:rFonts w:ascii="仿宋_GB2312" w:hAnsi="宋体" w:eastAsia="仿宋_GB2312"/>
          <w:sz w:val="24"/>
        </w:rPr>
        <w:t>10</w:t>
      </w:r>
      <w:r>
        <w:rPr>
          <w:rFonts w:hint="eastAsia" w:ascii="仿宋_GB2312" w:hAnsi="宋体" w:eastAsia="仿宋_GB2312"/>
          <w:sz w:val="24"/>
        </w:rPr>
        <w:t xml:space="preserve"> 】日，且经甲方催促后乙方继续延误的；</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（2）乙方服务质量严重不符合合同标准，且经甲方提醒后仍未达到合同标准的；</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（4）乙方整体或部分资产或企业本身被接管，或进行清算（除因合并或重组之目的外），或停止或似将停止经营或无履约能力的；</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（5）乙方未履行合同约定的义务，且未能在甲方通知后10日内纠正的；</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（6）乙方提供虚假资质文件、服务存在重大安全隐患或侵犯第三方合法权益的；</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（7）甲方对乙方的购买需求终止并书面说明。</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16.2</w:t>
      </w:r>
      <w:r>
        <w:rPr>
          <w:rFonts w:hint="eastAsia" w:ascii="仿宋_GB2312" w:hAnsi="宋体" w:eastAsia="仿宋_GB2312"/>
          <w:sz w:val="24"/>
        </w:rPr>
        <w:t>如果甲方依据上述情形解除本合同，乙方无权向甲方主张任何补偿，且不影响甲方采取本合同项下的其他补救措施，并按照合同约定追究乙方违约责任。甲方根据本合同上述条款1</w:t>
      </w:r>
      <w:r>
        <w:rPr>
          <w:rFonts w:ascii="仿宋_GB2312" w:hAnsi="宋体" w:eastAsia="仿宋_GB2312"/>
          <w:sz w:val="24"/>
        </w:rPr>
        <w:t>.1</w:t>
      </w:r>
      <w:r>
        <w:rPr>
          <w:rFonts w:hint="eastAsia" w:ascii="仿宋_GB2312" w:hAnsi="宋体" w:eastAsia="仿宋_GB2312"/>
          <w:sz w:val="24"/>
        </w:rPr>
        <w:t>至1</w:t>
      </w:r>
      <w:r>
        <w:rPr>
          <w:rFonts w:ascii="仿宋_GB2312" w:hAnsi="宋体" w:eastAsia="仿宋_GB2312"/>
          <w:sz w:val="24"/>
        </w:rPr>
        <w:t>.</w:t>
      </w:r>
      <w:r>
        <w:rPr>
          <w:rFonts w:hint="eastAsia" w:ascii="仿宋_GB2312" w:hAnsi="宋体" w:eastAsia="仿宋_GB2312"/>
          <w:sz w:val="24"/>
        </w:rPr>
        <w:t>6约定的情形解除本合同的，乙方应按照甲方通知期限返还甲方已支付款项及利息（（计息时间从甲方支付相应款项日期开始至乙方全额退还日期为止，利率以全国银行间同业拆借中心公布的同期贷款市场报价利率（LPR）的 1.5 倍为准）），并向甲方支付合同有效期内实际已产生的所有项目的总金额的</w:t>
      </w:r>
      <w:r>
        <w:rPr>
          <w:rFonts w:hint="eastAsia" w:ascii="仿宋_GB2312" w:hAnsi="宋体" w:eastAsia="仿宋_GB2312"/>
          <w:sz w:val="24"/>
          <w:u w:val="single"/>
        </w:rPr>
        <w:t xml:space="preserve">  【】 </w:t>
      </w:r>
      <w:r>
        <w:rPr>
          <w:rFonts w:hint="eastAsia" w:ascii="仿宋_GB2312" w:hAnsi="宋体" w:eastAsia="仿宋_GB2312"/>
          <w:sz w:val="24"/>
        </w:rPr>
        <w:t>%作为违约金。若乙方逾期支付上述款项的，还应该按照逾期付款额的每日</w:t>
      </w:r>
      <w:r>
        <w:rPr>
          <w:rFonts w:hint="eastAsia" w:ascii="仿宋_GB2312" w:hAnsi="宋体" w:eastAsia="仿宋_GB2312"/>
          <w:sz w:val="24"/>
          <w:u w:val="single"/>
        </w:rPr>
        <w:t xml:space="preserve">  【】 </w:t>
      </w:r>
      <w:r>
        <w:rPr>
          <w:rFonts w:hint="eastAsia" w:ascii="仿宋_GB2312" w:hAnsi="宋体" w:eastAsia="仿宋_GB2312"/>
          <w:sz w:val="24"/>
        </w:rPr>
        <w:t>％向甲方支付违约金。如实际损失超过违约金的，乙方还应就不足部分赔偿甲方经济损失。</w:t>
      </w:r>
    </w:p>
    <w:p>
      <w:pPr>
        <w:spacing w:line="360" w:lineRule="auto"/>
        <w:rPr>
          <w:rFonts w:hint="eastAsia" w:ascii="仿宋_GB2312" w:hAnsi="宋体" w:eastAsia="仿宋_GB2312"/>
          <w:sz w:val="24"/>
        </w:rPr>
      </w:pPr>
      <w:r>
        <w:rPr>
          <w:rFonts w:hint="eastAsia" w:ascii="仿宋_GB2312" w:hAnsi="宋体" w:eastAsia="仿宋_GB2312"/>
          <w:b/>
          <w:bCs/>
          <w:sz w:val="24"/>
        </w:rPr>
        <w:t>16.3</w:t>
      </w:r>
      <w:r>
        <w:rPr>
          <w:rFonts w:hint="eastAsia" w:ascii="仿宋_GB2312" w:hAnsi="宋体" w:eastAsia="仿宋_GB2312"/>
          <w:sz w:val="24"/>
        </w:rPr>
        <w:t>任何对本合同的变更、修改或补充，均须经双方协商一致，并另行签署书面协议。任何未经双方正式签署书面协议而对本合同进行的变更、修改或补充，均属无效，对双方不产生法律约束力。</w:t>
      </w:r>
    </w:p>
    <w:p>
      <w:pPr>
        <w:spacing w:line="360" w:lineRule="auto"/>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17.不可抗力</w:t>
      </w:r>
    </w:p>
    <w:p>
      <w:pPr>
        <w:tabs>
          <w:tab w:val="left" w:pos="360"/>
        </w:tabs>
        <w:spacing w:line="360" w:lineRule="auto"/>
        <w:rPr>
          <w:rFonts w:hint="eastAsia" w:ascii="仿宋_GB2312" w:hAnsi="宋体" w:eastAsia="仿宋_GB2312"/>
          <w:bCs/>
          <w:sz w:val="24"/>
        </w:rPr>
      </w:pPr>
      <w:r>
        <w:rPr>
          <w:rFonts w:hint="eastAsia" w:ascii="仿宋_GB2312" w:hAnsi="宋体" w:eastAsia="仿宋_GB2312"/>
          <w:b/>
          <w:sz w:val="24"/>
        </w:rPr>
        <w:t xml:space="preserve">17.1 </w:t>
      </w:r>
      <w:r>
        <w:rPr>
          <w:rFonts w:hint="eastAsia" w:ascii="仿宋_GB2312" w:hAnsi="宋体" w:eastAsia="仿宋_GB2312"/>
          <w:bCs/>
          <w:sz w:val="24"/>
        </w:rPr>
        <w:t>本合同任何一方因不可抗力（指不能预见、不能避免且不能克服的客观情况，包括但不限于地震、洪水、台风等自然灾害，战争、罢工、封锁等社会事件，以及法律、行政法规、政策调整等政府行为）不能履行本合同约定的全部或部分义务，应尽快通知另一方，并应在不可抗力发生后</w:t>
      </w:r>
      <w:r>
        <w:rPr>
          <w:rFonts w:hint="eastAsia" w:ascii="仿宋_GB2312" w:hAnsi="宋体" w:eastAsia="仿宋_GB2312"/>
          <w:bCs/>
          <w:sz w:val="24"/>
          <w:u w:val="single"/>
        </w:rPr>
        <w:t>【】</w:t>
      </w:r>
      <w:r>
        <w:rPr>
          <w:rFonts w:hint="eastAsia" w:ascii="仿宋_GB2312" w:hAnsi="宋体" w:eastAsia="仿宋_GB2312"/>
          <w:bCs/>
          <w:sz w:val="24"/>
        </w:rPr>
        <w:t>日</w:t>
      </w:r>
      <w:r>
        <w:rPr>
          <w:rFonts w:hint="eastAsia" w:ascii="仿宋_GB2312" w:hAnsi="宋体" w:eastAsia="仿宋_GB2312"/>
          <w:bCs/>
          <w:i/>
          <w:iCs/>
          <w:sz w:val="24"/>
        </w:rPr>
        <w:t>（参考：2日）</w:t>
      </w:r>
      <w:r>
        <w:rPr>
          <w:rFonts w:hint="eastAsia" w:ascii="仿宋_GB2312" w:hAnsi="宋体" w:eastAsia="仿宋_GB2312"/>
          <w:bCs/>
          <w:sz w:val="24"/>
        </w:rPr>
        <w:t>内以书面形式向对方提供详细情况报告及不可抗力对履行本合同影响程度的说明。甲、乙双方应根据不可抗力对合同履行的影响程度，协商确定是否终止合同，或继续履行本合同。</w:t>
      </w:r>
    </w:p>
    <w:p>
      <w:pPr>
        <w:tabs>
          <w:tab w:val="left" w:pos="360"/>
        </w:tabs>
        <w:spacing w:line="360" w:lineRule="auto"/>
        <w:rPr>
          <w:rFonts w:hint="eastAsia" w:ascii="仿宋_GB2312" w:hAnsi="宋体" w:eastAsia="仿宋_GB2312"/>
          <w:bCs/>
          <w:sz w:val="24"/>
        </w:rPr>
      </w:pPr>
      <w:r>
        <w:rPr>
          <w:rFonts w:hint="eastAsia" w:ascii="仿宋_GB2312" w:hAnsi="宋体" w:eastAsia="仿宋_GB2312"/>
          <w:b/>
          <w:sz w:val="24"/>
        </w:rPr>
        <w:t>17.2</w:t>
      </w:r>
      <w:r>
        <w:rPr>
          <w:rFonts w:ascii="仿宋_GB2312" w:hAnsi="宋体" w:eastAsia="仿宋_GB2312"/>
          <w:bCs/>
          <w:sz w:val="24"/>
        </w:rPr>
        <w:t xml:space="preserve"> </w:t>
      </w:r>
      <w:r>
        <w:rPr>
          <w:rFonts w:hint="eastAsia" w:ascii="仿宋_GB2312" w:hAnsi="宋体" w:eastAsia="仿宋_GB2312"/>
          <w:bCs/>
          <w:sz w:val="24"/>
        </w:rPr>
        <w:t>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tabs>
          <w:tab w:val="left" w:pos="360"/>
        </w:tabs>
        <w:spacing w:line="360" w:lineRule="auto"/>
        <w:rPr>
          <w:rFonts w:hint="eastAsia" w:ascii="仿宋_GB2312" w:hAnsi="宋体" w:eastAsia="仿宋_GB2312"/>
          <w:bCs/>
          <w:sz w:val="24"/>
        </w:rPr>
      </w:pPr>
      <w:r>
        <w:rPr>
          <w:rFonts w:hint="eastAsia" w:ascii="仿宋_GB2312" w:hAnsi="宋体" w:eastAsia="仿宋_GB2312"/>
          <w:b/>
          <w:sz w:val="24"/>
        </w:rPr>
        <w:t>17.3</w:t>
      </w:r>
      <w:r>
        <w:rPr>
          <w:rFonts w:ascii="仿宋_GB2312" w:hAnsi="宋体" w:eastAsia="仿宋_GB2312"/>
          <w:bCs/>
          <w:sz w:val="24"/>
        </w:rPr>
        <w:t xml:space="preserve"> </w:t>
      </w:r>
      <w:r>
        <w:rPr>
          <w:rFonts w:hint="eastAsia" w:ascii="仿宋_GB2312" w:hAnsi="宋体" w:eastAsia="仿宋_GB2312"/>
          <w:bCs/>
          <w:sz w:val="24"/>
        </w:rPr>
        <w:t>合同一方迟延履行后发生不可抗力的，不能免除其责任。</w:t>
      </w:r>
    </w:p>
    <w:p>
      <w:pPr>
        <w:tabs>
          <w:tab w:val="left" w:pos="360"/>
          <w:tab w:val="left" w:pos="1080"/>
        </w:tabs>
        <w:spacing w:line="360" w:lineRule="auto"/>
        <w:rPr>
          <w:rFonts w:hint="eastAsia" w:ascii="仿宋_GB2312" w:hAnsi="宋体" w:eastAsia="仿宋_GB2312"/>
          <w:bCs/>
          <w:sz w:val="24"/>
        </w:rPr>
      </w:pPr>
      <w:r>
        <w:rPr>
          <w:rFonts w:hint="eastAsia" w:ascii="仿宋_GB2312" w:hAnsi="宋体" w:eastAsia="仿宋_GB2312"/>
          <w:b/>
          <w:sz w:val="24"/>
        </w:rPr>
        <w:t>17.4</w:t>
      </w:r>
      <w:r>
        <w:rPr>
          <w:rFonts w:ascii="仿宋_GB2312" w:hAnsi="宋体" w:eastAsia="仿宋_GB2312"/>
          <w:bCs/>
          <w:sz w:val="24"/>
        </w:rPr>
        <w:t xml:space="preserve"> </w:t>
      </w:r>
      <w:r>
        <w:rPr>
          <w:rFonts w:hint="eastAsia" w:ascii="仿宋_GB2312" w:hAnsi="宋体" w:eastAsia="仿宋_GB2312"/>
          <w:bCs/>
          <w:sz w:val="24"/>
        </w:rPr>
        <w:t>不可抗力因素消除后，双方应立即进行磋商，就不可抗力所造成影响程度甲方有权决定是否继续履行或者终止本合同。如果甲方决定终止合同，如甲方已经付款，乙方应将未交付部分的款项在</w:t>
      </w:r>
      <w:r>
        <w:rPr>
          <w:rFonts w:hint="eastAsia" w:ascii="仿宋_GB2312" w:hAnsi="宋体" w:eastAsia="仿宋_GB2312"/>
          <w:bCs/>
          <w:sz w:val="24"/>
          <w:u w:val="single"/>
        </w:rPr>
        <w:t xml:space="preserve"> 【】</w:t>
      </w:r>
      <w:r>
        <w:rPr>
          <w:rFonts w:hint="eastAsia" w:ascii="仿宋_GB2312" w:hAnsi="宋体" w:eastAsia="仿宋_GB2312"/>
          <w:bCs/>
          <w:i/>
          <w:iCs/>
          <w:sz w:val="24"/>
          <w:u w:val="single"/>
        </w:rPr>
        <w:t>（参考：7日）</w:t>
      </w:r>
      <w:r>
        <w:rPr>
          <w:rFonts w:hint="eastAsia" w:ascii="仿宋_GB2312" w:hAnsi="宋体" w:eastAsia="仿宋_GB2312"/>
          <w:bCs/>
          <w:sz w:val="24"/>
        </w:rPr>
        <w:t>日内向甲方返还。</w:t>
      </w:r>
    </w:p>
    <w:p>
      <w:pPr>
        <w:tabs>
          <w:tab w:val="left" w:pos="360"/>
          <w:tab w:val="left" w:pos="1080"/>
        </w:tabs>
        <w:spacing w:line="360" w:lineRule="auto"/>
        <w:rPr>
          <w:rFonts w:hint="eastAsia" w:ascii="仿宋_GB2312" w:hAnsi="宋体" w:eastAsia="仿宋_GB2312"/>
          <w:bCs/>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18.适用法律与争议之解决</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18.1适用法律</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本协议之签署、效力、解释和执行以及本协议项下争议之解决均应适用中华人民共和国法律。</w:t>
      </w:r>
    </w:p>
    <w:p>
      <w:pPr>
        <w:numPr>
          <w:ilvl w:val="255"/>
          <w:numId w:val="0"/>
        </w:numPr>
        <w:tabs>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18.2争议解决方式</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凡因本合同引起的或与本合同有关的任何争议，双方首先应友好协商解决。经一方提出，双方亦可自愿经由中立的第三方进行调解。如果协商开始后【30】日内（或经调解）仍未能解决，双方同意按下述第【</w:t>
      </w:r>
      <w:r>
        <w:rPr>
          <w:rFonts w:hint="eastAsia" w:ascii="仿宋_GB2312" w:hAnsi="宋体" w:eastAsia="仿宋_GB2312"/>
          <w:sz w:val="24"/>
          <w:lang w:val="en-US" w:eastAsia="zh-CN"/>
        </w:rPr>
        <w:t>1</w:t>
      </w:r>
      <w:r>
        <w:rPr>
          <w:rFonts w:hint="eastAsia" w:ascii="仿宋_GB2312" w:hAnsi="宋体" w:eastAsia="仿宋_GB2312"/>
          <w:sz w:val="24"/>
        </w:rPr>
        <w:t>】种方式解决：</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（1）向甲方住所地有管辖权的人民法院提起诉讼；</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（2）将争议提交 【填写仲裁委员会全称】，按照申请仲裁时该会现行有效的仲裁规则在 【填写仲裁地点】进行仲裁。仲裁裁决是终局的，对双方均有约束力。</w:t>
      </w:r>
    </w:p>
    <w:p>
      <w:pPr>
        <w:spacing w:line="360" w:lineRule="auto"/>
        <w:rPr>
          <w:rFonts w:hint="eastAsia" w:ascii="仿宋_GB2312" w:hAnsi="宋体" w:eastAsia="仿宋_GB2312"/>
          <w:sz w:val="24"/>
        </w:rPr>
      </w:pPr>
    </w:p>
    <w:p>
      <w:p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19.通知和送达</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19.1</w:t>
      </w:r>
      <w:r>
        <w:rPr>
          <w:rFonts w:hint="eastAsia" w:ascii="仿宋_GB2312" w:hAnsi="宋体" w:eastAsia="仿宋_GB2312"/>
          <w:sz w:val="24"/>
        </w:rPr>
        <w:t xml:space="preserve"> 任何与本合同有关的通知、文件或通讯，均应以书面形式作出，由发送方以专人递送、传真、快递或邮递方式发送至以下对方地址。以下地址亦为司法文书送达地址。</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甲方：</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地址：</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邮编：</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联系人：</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电话：</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传真：</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邮箱：</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乙方：</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地址：</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邮编：</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联系人：</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电话：</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传真：</w:t>
      </w:r>
    </w:p>
    <w:p>
      <w:pPr>
        <w:tabs>
          <w:tab w:val="left" w:pos="420"/>
        </w:tabs>
        <w:spacing w:before="156" w:beforeLines="50" w:after="156" w:afterLines="50" w:line="360" w:lineRule="auto"/>
        <w:ind w:firstLine="480" w:firstLineChars="200"/>
        <w:rPr>
          <w:rFonts w:hint="eastAsia" w:ascii="仿宋_GB2312" w:hAnsi="宋体" w:eastAsia="仿宋_GB2312"/>
          <w:sz w:val="24"/>
        </w:rPr>
      </w:pPr>
      <w:r>
        <w:rPr>
          <w:rFonts w:hint="eastAsia" w:ascii="仿宋_GB2312" w:hAnsi="宋体" w:eastAsia="仿宋_GB2312"/>
          <w:sz w:val="24"/>
        </w:rPr>
        <w:t xml:space="preserve"> 邮箱：</w:t>
      </w:r>
    </w:p>
    <w:p>
      <w:pPr>
        <w:tabs>
          <w:tab w:val="left" w:pos="420"/>
        </w:tabs>
        <w:spacing w:before="156" w:beforeLines="50" w:after="156" w:afterLines="50" w:line="360" w:lineRule="auto"/>
        <w:ind w:firstLine="480"/>
        <w:rPr>
          <w:rFonts w:hint="eastAsia" w:ascii="仿宋_GB2312" w:hAnsi="宋体" w:eastAsia="仿宋_GB2312"/>
          <w:sz w:val="24"/>
        </w:rPr>
      </w:pPr>
      <w:r>
        <w:rPr>
          <w:rFonts w:hint="eastAsia" w:ascii="仿宋_GB2312" w:hAnsi="宋体" w:eastAsia="仿宋_GB2312"/>
          <w:sz w:val="24"/>
        </w:rPr>
        <w:t>资质备案联系人：【姓名 + 电话 + 邮箱】</w:t>
      </w:r>
    </w:p>
    <w:p>
      <w:pPr>
        <w:tabs>
          <w:tab w:val="left" w:pos="420"/>
        </w:tabs>
        <w:spacing w:before="156" w:beforeLines="50" w:after="156" w:afterLines="50" w:line="360" w:lineRule="auto"/>
        <w:ind w:firstLine="480"/>
        <w:rPr>
          <w:rFonts w:hint="eastAsia" w:ascii="仿宋_GB2312" w:hAnsi="宋体" w:eastAsia="仿宋_GB2312"/>
          <w:sz w:val="24"/>
        </w:rPr>
      </w:pPr>
      <w:r>
        <w:rPr>
          <w:rFonts w:hint="eastAsia" w:ascii="仿宋_GB2312" w:hAnsi="宋体" w:eastAsia="仿宋_GB2312"/>
          <w:sz w:val="24"/>
        </w:rPr>
        <w:t>数据安全负责人：【姓名 + 电话 + 邮箱】（选填）</w:t>
      </w:r>
    </w:p>
    <w:p>
      <w:pPr>
        <w:tabs>
          <w:tab w:val="left" w:pos="420"/>
        </w:tabs>
        <w:spacing w:before="156" w:beforeLines="50" w:after="156" w:afterLines="50" w:line="360" w:lineRule="auto"/>
        <w:ind w:firstLine="480"/>
        <w:rPr>
          <w:rFonts w:hint="eastAsia" w:ascii="仿宋_GB2312" w:hAnsi="宋体" w:eastAsia="仿宋_GB2312"/>
          <w:sz w:val="24"/>
        </w:rPr>
      </w:pPr>
      <w:r>
        <w:rPr>
          <w:rFonts w:hint="eastAsia" w:ascii="仿宋_GB2312" w:hAnsi="宋体" w:eastAsia="仿宋_GB2312"/>
          <w:sz w:val="24"/>
        </w:rPr>
        <w:t>个人信息保护负责人：【姓名 + 电话 + 邮箱】（选填）</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19.2</w:t>
      </w:r>
      <w:r>
        <w:rPr>
          <w:rFonts w:hint="eastAsia" w:ascii="仿宋_GB2312" w:hAnsi="宋体" w:eastAsia="仿宋_GB2312"/>
          <w:sz w:val="24"/>
        </w:rPr>
        <w:t>通知以专人递送，于递交时视为送达；以传真方式发出，于发件人传真机显示传真业已发出时视为送达；以邮递方式发出，于邮件寄出后的第三个工作日（法定假日顺延）视为送达。任何通知一经送达即行生效。</w:t>
      </w:r>
      <w:r>
        <w:rPr>
          <w:rFonts w:hint="eastAsia" w:ascii="仿宋_GB2312" w:hAnsi="宋体" w:eastAsia="仿宋_GB2312"/>
          <w:sz w:val="24"/>
        </w:rPr>
        <w:br w:type="textWrapping"/>
      </w:r>
      <w:r>
        <w:rPr>
          <w:rFonts w:hint="eastAsia" w:ascii="仿宋_GB2312" w:hAnsi="宋体" w:eastAsia="仿宋_GB2312"/>
          <w:sz w:val="24"/>
        </w:rPr>
        <w:t>甲乙双方任何一方的地址、电话、传真、联系人以及邮箱发生变化的，应在变化前三个工作日通知对方。</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19.3</w:t>
      </w:r>
      <w:r>
        <w:rPr>
          <w:rFonts w:hint="eastAsia" w:ascii="仿宋_GB2312" w:hAnsi="宋体" w:eastAsia="仿宋_GB2312"/>
          <w:sz w:val="24"/>
        </w:rPr>
        <w:t>双方同意以上述约定地址（以下统称送达地址）用于接收对方或人民法院或仲裁机构发送的各类纸质或电子数据通知、信函、法律文书（以下统称文书）。</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19.4</w:t>
      </w:r>
      <w:r>
        <w:rPr>
          <w:rFonts w:hint="eastAsia" w:ascii="仿宋_GB2312" w:hAnsi="宋体" w:eastAsia="仿宋_GB2312"/>
          <w:sz w:val="24"/>
        </w:rPr>
        <w:t>上述送达地址持续适用于本合同履行期间，人民法院一审、二审、再审和执行期间，以及仲裁机构审理和裁决执行期间。</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19.5</w:t>
      </w:r>
      <w:r>
        <w:rPr>
          <w:rFonts w:hint="eastAsia" w:ascii="仿宋_GB2312" w:hAnsi="宋体" w:eastAsia="仿宋_GB2312"/>
          <w:sz w:val="24"/>
        </w:rPr>
        <w:t>如一方变更本合同中的送达地址的，应在变更之日起三日内书面告知其他方，否则其他方或人民法院或仲裁机构以送达地址与该方联系即视为已通知该方，由此产生的一切后果由该方自行承担。</w:t>
      </w:r>
    </w:p>
    <w:p>
      <w:pPr>
        <w:tabs>
          <w:tab w:val="left" w:pos="420"/>
        </w:tabs>
        <w:spacing w:before="156" w:beforeLines="50" w:after="156" w:afterLines="50" w:line="360" w:lineRule="auto"/>
        <w:rPr>
          <w:rFonts w:hint="eastAsia" w:ascii="仿宋_GB2312" w:hAnsi="宋体" w:eastAsia="仿宋_GB2312"/>
          <w:sz w:val="24"/>
        </w:rPr>
      </w:pPr>
      <w:r>
        <w:rPr>
          <w:rFonts w:hint="eastAsia" w:ascii="仿宋_GB2312" w:hAnsi="宋体" w:eastAsia="仿宋_GB2312"/>
          <w:b/>
          <w:bCs/>
          <w:sz w:val="24"/>
        </w:rPr>
        <w:t>19.6</w:t>
      </w:r>
      <w:r>
        <w:rPr>
          <w:rFonts w:hint="eastAsia" w:ascii="仿宋_GB2312" w:hAnsi="宋体" w:eastAsia="仿宋_GB2312"/>
          <w:sz w:val="24"/>
        </w:rPr>
        <w:t>双方就本条内容进行了充分的提醒和释明，并确认已经完全理解和认可。</w:t>
      </w:r>
    </w:p>
    <w:p>
      <w:pPr>
        <w:tabs>
          <w:tab w:val="left" w:pos="425"/>
        </w:tabs>
        <w:spacing w:before="156" w:beforeLines="50" w:after="156" w:afterLines="50" w:line="360" w:lineRule="auto"/>
        <w:ind w:firstLine="480" w:firstLineChars="200"/>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20.税务</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本协议中的每一方应按中国法律之规定，独立承担因履行本协议规定的各自义务和应交纳的任何税款。且当国家进行税费调整时，乙方应按照国家规定相应调整甲方所支付税款。</w:t>
      </w:r>
    </w:p>
    <w:p>
      <w:pPr>
        <w:spacing w:line="360" w:lineRule="auto"/>
        <w:ind w:firstLine="480" w:firstLineChars="200"/>
        <w:rPr>
          <w:rFonts w:hint="eastAsia" w:ascii="仿宋_GB2312" w:hAnsi="宋体" w:eastAsia="仿宋_GB2312"/>
          <w:sz w:val="24"/>
        </w:rPr>
      </w:pPr>
    </w:p>
    <w:p>
      <w:pPr>
        <w:numPr>
          <w:ilvl w:val="255"/>
          <w:numId w:val="0"/>
        </w:num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21.合同效力及其他</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21.1弃权</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如果任何一方未能行使或及时行使其在本协议项下之任何权利或优先权时，不应视为弃权；而对任何权利或优先权的单独行使或部分行使亦不妨碍日后其对任何权利或优先权之行使。</w:t>
      </w:r>
    </w:p>
    <w:p>
      <w:pPr>
        <w:numPr>
          <w:ilvl w:val="255"/>
          <w:numId w:val="0"/>
        </w:numPr>
        <w:tabs>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21.2修改</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本协议必须由双方签署书面协议方可进行修改。任何未经双方签字同意对本协议的任何修改均属无效。</w:t>
      </w:r>
    </w:p>
    <w:p>
      <w:pPr>
        <w:numPr>
          <w:ilvl w:val="255"/>
          <w:numId w:val="0"/>
        </w:numPr>
        <w:tabs>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21.3完整协议</w:t>
      </w:r>
    </w:p>
    <w:p>
      <w:pPr>
        <w:spacing w:line="360" w:lineRule="auto"/>
        <w:ind w:left="547" w:leftChars="228"/>
        <w:rPr>
          <w:rFonts w:hint="eastAsia" w:ascii="仿宋_GB2312" w:hAnsi="宋体" w:eastAsia="仿宋_GB2312"/>
          <w:bCs/>
          <w:sz w:val="24"/>
        </w:rPr>
      </w:pPr>
      <w:r>
        <w:rPr>
          <w:rFonts w:hint="eastAsia" w:ascii="仿宋_GB2312" w:hAnsi="宋体" w:eastAsia="仿宋_GB2312"/>
          <w:sz w:val="24"/>
        </w:rPr>
        <w:t>21.3.1本协议及附件构成双方之间的完整协议，为双方就题述事宜达成的全部共识。有关在本协议签订之前的双方交换的信件、备忘录、会议纪要、报价、询问、传单、书册和其它文件均应废除并由本协议取代，除非特别指明作为本协议的参考或附件。任何未经双方签字同意对本协议的任何修</w:t>
      </w:r>
      <w:r>
        <w:rPr>
          <w:rFonts w:hint="eastAsia" w:ascii="仿宋_GB2312" w:hAnsi="宋体" w:eastAsia="仿宋_GB2312"/>
          <w:bCs/>
          <w:sz w:val="24"/>
        </w:rPr>
        <w:t>改均属无效。</w:t>
      </w:r>
    </w:p>
    <w:p>
      <w:pPr>
        <w:tabs>
          <w:tab w:val="left" w:pos="540"/>
        </w:tabs>
        <w:spacing w:line="360" w:lineRule="auto"/>
        <w:ind w:left="547" w:leftChars="228"/>
        <w:rPr>
          <w:rFonts w:hint="eastAsia" w:ascii="仿宋_GB2312" w:hAnsi="宋体" w:eastAsia="仿宋_GB2312"/>
          <w:bCs/>
          <w:sz w:val="24"/>
        </w:rPr>
      </w:pPr>
      <w:r>
        <w:rPr>
          <w:rFonts w:hint="eastAsia" w:ascii="仿宋_GB2312" w:hAnsi="宋体" w:eastAsia="仿宋_GB2312"/>
          <w:bCs/>
          <w:sz w:val="24"/>
        </w:rPr>
        <w:t>21.3.2 如果在某司法管辖区内本协议的全部或部分条款/款项或义务无效、不合法或不可执行,则其它的条款/款项或义务的有效性、合法性和可执行性、或在任何其它管辖区该条款/款项或义务将不以任何方式受到影响和损害。</w:t>
      </w:r>
    </w:p>
    <w:p>
      <w:pPr>
        <w:numPr>
          <w:ilvl w:val="255"/>
          <w:numId w:val="0"/>
        </w:numPr>
        <w:tabs>
          <w:tab w:val="left" w:pos="540"/>
        </w:tabs>
        <w:spacing w:line="360" w:lineRule="auto"/>
        <w:outlineLvl w:val="2"/>
        <w:rPr>
          <w:rFonts w:hint="eastAsia" w:ascii="仿宋_GB2312" w:hAnsi="宋体" w:eastAsia="仿宋_GB2312"/>
          <w:b/>
          <w:bCs/>
          <w:sz w:val="24"/>
        </w:rPr>
      </w:pPr>
      <w:r>
        <w:rPr>
          <w:rFonts w:hint="eastAsia" w:ascii="仿宋_GB2312" w:hAnsi="宋体" w:eastAsia="仿宋_GB2312"/>
          <w:b/>
          <w:bCs/>
          <w:sz w:val="24"/>
        </w:rPr>
        <w:t>21.4继任者</w:t>
      </w:r>
    </w:p>
    <w:p>
      <w:pPr>
        <w:spacing w:line="360" w:lineRule="auto"/>
        <w:ind w:left="547" w:leftChars="228"/>
        <w:rPr>
          <w:rFonts w:hint="eastAsia" w:ascii="仿宋_GB2312" w:hAnsi="宋体" w:eastAsia="仿宋_GB2312"/>
          <w:sz w:val="24"/>
        </w:rPr>
      </w:pPr>
      <w:r>
        <w:rPr>
          <w:rFonts w:hint="eastAsia" w:ascii="仿宋_GB2312" w:hAnsi="宋体" w:eastAsia="仿宋_GB2312"/>
          <w:sz w:val="24"/>
        </w:rPr>
        <w:t>21.4.1 本协议乃为双方及各自之合法继任者之利益而制定，并对双方及其各自之合法继任者具有同等约束力。</w:t>
      </w:r>
    </w:p>
    <w:p>
      <w:pPr>
        <w:spacing w:line="360" w:lineRule="auto"/>
        <w:ind w:left="547" w:leftChars="228"/>
        <w:rPr>
          <w:rFonts w:hint="eastAsia" w:ascii="仿宋_GB2312" w:hAnsi="宋体" w:eastAsia="仿宋_GB2312"/>
          <w:bCs/>
          <w:sz w:val="24"/>
        </w:rPr>
      </w:pPr>
      <w:r>
        <w:rPr>
          <w:rFonts w:hint="eastAsia" w:ascii="仿宋_GB2312" w:hAnsi="宋体" w:eastAsia="仿宋_GB2312"/>
          <w:bCs/>
          <w:sz w:val="24"/>
        </w:rPr>
        <w:t>21.4.2 本协议以中文签署，一式</w:t>
      </w:r>
      <w:r>
        <w:rPr>
          <w:rFonts w:hint="eastAsia" w:ascii="仿宋_GB2312" w:hAnsi="宋体" w:eastAsia="仿宋_GB2312"/>
          <w:bCs/>
          <w:sz w:val="24"/>
          <w:u w:val="single"/>
        </w:rPr>
        <w:t>肆</w:t>
      </w:r>
      <w:r>
        <w:rPr>
          <w:rFonts w:hint="eastAsia" w:ascii="仿宋_GB2312" w:hAnsi="宋体" w:eastAsia="仿宋_GB2312"/>
          <w:bCs/>
          <w:sz w:val="24"/>
        </w:rPr>
        <w:t>份，具有同等法律效力，甲乙双方各执</w:t>
      </w:r>
      <w:r>
        <w:rPr>
          <w:rFonts w:hint="eastAsia" w:ascii="仿宋_GB2312" w:hAnsi="宋体" w:eastAsia="仿宋_GB2312"/>
          <w:bCs/>
          <w:sz w:val="24"/>
          <w:u w:val="single"/>
        </w:rPr>
        <w:t>贰</w:t>
      </w:r>
      <w:r>
        <w:rPr>
          <w:rFonts w:hint="eastAsia" w:ascii="仿宋_GB2312" w:hAnsi="宋体" w:eastAsia="仿宋_GB2312"/>
          <w:bCs/>
          <w:sz w:val="24"/>
        </w:rPr>
        <w:t>份。</w:t>
      </w:r>
    </w:p>
    <w:p>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21.4.3 本协议缔结地为：</w:t>
      </w:r>
      <w:r>
        <w:rPr>
          <w:rFonts w:hint="eastAsia" w:ascii="仿宋_GB2312" w:hAnsi="宋体" w:eastAsia="仿宋_GB2312"/>
          <w:bCs/>
          <w:sz w:val="24"/>
          <w:lang w:eastAsia="zh-CN"/>
        </w:rPr>
        <w:t>上海</w:t>
      </w:r>
      <w:r>
        <w:rPr>
          <w:rFonts w:hint="eastAsia" w:ascii="仿宋_GB2312" w:hAnsi="宋体" w:eastAsia="仿宋_GB2312"/>
          <w:bCs/>
          <w:sz w:val="24"/>
        </w:rPr>
        <w:t>。</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21.5协议附件及补充协议</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本协议附件及本协议执行过程中经甲、乙双方盖章的补充协议和变更为本协议不可分割的有效组成部分。补充协议和变更的生效日期为甲、乙双方盖章之日。</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21.6协议的履行</w:t>
      </w:r>
    </w:p>
    <w:p>
      <w:pPr>
        <w:numPr>
          <w:ilvl w:val="255"/>
          <w:numId w:val="0"/>
        </w:numPr>
        <w:spacing w:line="360" w:lineRule="auto"/>
        <w:ind w:left="547" w:leftChars="228"/>
        <w:rPr>
          <w:rFonts w:hint="eastAsia" w:ascii="仿宋_GB2312" w:hAnsi="宋体" w:eastAsia="仿宋_GB2312"/>
          <w:sz w:val="24"/>
        </w:rPr>
      </w:pPr>
      <w:r>
        <w:rPr>
          <w:rFonts w:hint="eastAsia" w:ascii="仿宋_GB2312" w:hAnsi="宋体" w:eastAsia="仿宋_GB2312"/>
          <w:sz w:val="24"/>
        </w:rPr>
        <w:t>21.6.1为</w:t>
      </w:r>
      <w:r>
        <w:rPr>
          <w:rFonts w:ascii="仿宋_GB2312" w:hAnsi="宋体" w:eastAsia="仿宋_GB2312"/>
          <w:sz w:val="24"/>
        </w:rPr>
        <w:t>履行本</w:t>
      </w:r>
      <w:r>
        <w:rPr>
          <w:rFonts w:hint="eastAsia" w:ascii="仿宋_GB2312" w:hAnsi="宋体" w:eastAsia="仿宋_GB2312"/>
          <w:sz w:val="24"/>
        </w:rPr>
        <w:t>协议</w:t>
      </w:r>
      <w:r>
        <w:rPr>
          <w:rFonts w:ascii="仿宋_GB2312" w:hAnsi="宋体" w:eastAsia="仿宋_GB2312"/>
          <w:sz w:val="24"/>
        </w:rPr>
        <w:t>，一方向另一方直接交付任何书式文件资料，接受方应出具收条</w:t>
      </w:r>
      <w:r>
        <w:rPr>
          <w:rFonts w:hint="eastAsia" w:ascii="仿宋_GB2312" w:hAnsi="宋体" w:eastAsia="仿宋_GB2312"/>
          <w:sz w:val="24"/>
        </w:rPr>
        <w:t>并签章</w:t>
      </w:r>
      <w:r>
        <w:rPr>
          <w:rFonts w:ascii="仿宋_GB2312" w:hAnsi="宋体" w:eastAsia="仿宋_GB2312"/>
          <w:sz w:val="24"/>
        </w:rPr>
        <w:t>。</w:t>
      </w:r>
    </w:p>
    <w:p>
      <w:pPr>
        <w:numPr>
          <w:ilvl w:val="255"/>
          <w:numId w:val="0"/>
        </w:numPr>
        <w:spacing w:line="360" w:lineRule="auto"/>
        <w:ind w:left="547" w:leftChars="228"/>
        <w:rPr>
          <w:rFonts w:hint="eastAsia" w:ascii="仿宋_GB2312" w:hAnsi="宋体" w:eastAsia="仿宋_GB2312"/>
          <w:sz w:val="24"/>
        </w:rPr>
      </w:pPr>
      <w:r>
        <w:rPr>
          <w:rFonts w:hint="eastAsia" w:ascii="仿宋_GB2312" w:hAnsi="宋体" w:eastAsia="仿宋_GB2312"/>
          <w:sz w:val="24"/>
        </w:rPr>
        <w:t>21.6.2</w:t>
      </w:r>
      <w:r>
        <w:rPr>
          <w:rFonts w:ascii="仿宋_GB2312" w:hAnsi="宋体" w:eastAsia="仿宋_GB2312"/>
          <w:sz w:val="24"/>
        </w:rPr>
        <w:t>本</w:t>
      </w:r>
      <w:r>
        <w:rPr>
          <w:rFonts w:hint="eastAsia" w:ascii="仿宋_GB2312" w:hAnsi="宋体" w:eastAsia="仿宋_GB2312"/>
          <w:sz w:val="24"/>
        </w:rPr>
        <w:t>协议</w:t>
      </w:r>
      <w:r>
        <w:rPr>
          <w:rFonts w:ascii="仿宋_GB2312" w:hAnsi="宋体" w:eastAsia="仿宋_GB2312"/>
          <w:sz w:val="24"/>
        </w:rPr>
        <w:t>符合双方的利益，无论一方法定代表人是否发生变化，该</w:t>
      </w:r>
      <w:r>
        <w:rPr>
          <w:rFonts w:hint="eastAsia" w:ascii="仿宋_GB2312" w:hAnsi="宋体" w:eastAsia="仿宋_GB2312"/>
          <w:sz w:val="24"/>
        </w:rPr>
        <w:t>协议</w:t>
      </w:r>
      <w:r>
        <w:rPr>
          <w:rFonts w:ascii="仿宋_GB2312" w:hAnsi="宋体" w:eastAsia="仿宋_GB2312"/>
          <w:sz w:val="24"/>
        </w:rPr>
        <w:t>对双方都有约束力。非经另一方事先书面同意，任何一方不得将本</w:t>
      </w:r>
      <w:r>
        <w:rPr>
          <w:rFonts w:hint="eastAsia" w:ascii="仿宋_GB2312" w:hAnsi="宋体" w:eastAsia="仿宋_GB2312"/>
          <w:sz w:val="24"/>
        </w:rPr>
        <w:t>协议或本协议项下</w:t>
      </w:r>
      <w:r>
        <w:rPr>
          <w:rFonts w:ascii="仿宋_GB2312" w:hAnsi="宋体" w:eastAsia="仿宋_GB2312"/>
          <w:sz w:val="24"/>
        </w:rPr>
        <w:t>的全部或部分权利和义务直接</w:t>
      </w:r>
      <w:r>
        <w:rPr>
          <w:rFonts w:hint="eastAsia" w:ascii="仿宋_GB2312" w:hAnsi="宋体" w:eastAsia="仿宋_GB2312"/>
          <w:sz w:val="24"/>
        </w:rPr>
        <w:t>地</w:t>
      </w:r>
      <w:r>
        <w:rPr>
          <w:rFonts w:ascii="仿宋_GB2312" w:hAnsi="宋体" w:eastAsia="仿宋_GB2312"/>
          <w:sz w:val="24"/>
        </w:rPr>
        <w:t>或间接</w:t>
      </w:r>
      <w:r>
        <w:rPr>
          <w:rFonts w:hint="eastAsia" w:ascii="仿宋_GB2312" w:hAnsi="宋体" w:eastAsia="仿宋_GB2312"/>
          <w:sz w:val="24"/>
        </w:rPr>
        <w:t>地</w:t>
      </w:r>
      <w:r>
        <w:rPr>
          <w:rFonts w:ascii="仿宋_GB2312" w:hAnsi="宋体" w:eastAsia="仿宋_GB2312"/>
          <w:sz w:val="24"/>
        </w:rPr>
        <w:t>让渡、转让、分配、抵押给第三方</w:t>
      </w:r>
      <w:r>
        <w:rPr>
          <w:rFonts w:hint="eastAsia" w:ascii="仿宋_GB2312" w:hAnsi="宋体" w:eastAsia="仿宋_GB2312"/>
          <w:sz w:val="24"/>
        </w:rPr>
        <w:t>，除非转让给转让方的附属公司且转让方对适当履行本协议向另一方仍承担责任。</w:t>
      </w:r>
    </w:p>
    <w:p>
      <w:pPr>
        <w:numPr>
          <w:ilvl w:val="255"/>
          <w:numId w:val="0"/>
        </w:numPr>
        <w:spacing w:line="360" w:lineRule="auto"/>
        <w:outlineLvl w:val="2"/>
        <w:rPr>
          <w:rFonts w:hint="eastAsia" w:ascii="仿宋_GB2312" w:hAnsi="宋体" w:eastAsia="仿宋_GB2312"/>
          <w:b/>
          <w:bCs/>
          <w:sz w:val="24"/>
        </w:rPr>
      </w:pPr>
      <w:r>
        <w:rPr>
          <w:rFonts w:hint="eastAsia" w:ascii="仿宋_GB2312" w:hAnsi="宋体" w:eastAsia="仿宋_GB2312"/>
          <w:b/>
          <w:bCs/>
          <w:sz w:val="24"/>
        </w:rPr>
        <w:t>21.7未尽事宜</w:t>
      </w:r>
    </w:p>
    <w:p>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本协议未尽事宜由甲乙双方另行协商解决，商定的内容以补充协议形式确定，经双方盖章后与本协议具有同等效力。</w:t>
      </w:r>
    </w:p>
    <w:p>
      <w:pPr>
        <w:rPr>
          <w:rFonts w:hint="eastAsia" w:ascii="楷体" w:hAnsi="楷体" w:eastAsia="楷体" w:cs="宋体"/>
          <w:sz w:val="28"/>
          <w:szCs w:val="28"/>
        </w:rPr>
      </w:pPr>
    </w:p>
    <w:p>
      <w:pPr>
        <w:spacing w:before="156" w:beforeLines="50" w:after="156" w:afterLines="50" w:line="360" w:lineRule="auto"/>
        <w:outlineLvl w:val="1"/>
        <w:rPr>
          <w:rFonts w:hint="eastAsia" w:ascii="仿宋_GB2312" w:hAnsi="宋体" w:eastAsia="仿宋_GB2312"/>
          <w:b/>
          <w:sz w:val="28"/>
          <w:szCs w:val="28"/>
        </w:rPr>
      </w:pPr>
      <w:r>
        <w:rPr>
          <w:rFonts w:hint="eastAsia" w:ascii="仿宋_GB2312" w:hAnsi="宋体" w:eastAsia="仿宋_GB2312"/>
          <w:b/>
          <w:sz w:val="28"/>
          <w:szCs w:val="28"/>
        </w:rPr>
        <w:t>22.合同附件（应根据实际情况调整）</w:t>
      </w:r>
    </w:p>
    <w:p>
      <w:pPr>
        <w:ind w:left="485" w:leftChars="202" w:firstLine="480" w:firstLineChars="200"/>
        <w:rPr>
          <w:rFonts w:hint="eastAsia" w:ascii="仿宋_GB2312" w:hAnsi="宋体" w:eastAsia="仿宋_GB2312"/>
          <w:sz w:val="24"/>
        </w:rPr>
      </w:pPr>
      <w:r>
        <w:rPr>
          <w:rFonts w:hint="eastAsia" w:ascii="仿宋_GB2312" w:hAnsi="宋体" w:eastAsia="仿宋_GB2312"/>
          <w:sz w:val="24"/>
        </w:rPr>
        <w:t>附件 1《服务方案》</w:t>
      </w:r>
    </w:p>
    <w:p>
      <w:pPr>
        <w:spacing w:before="187" w:after="187"/>
        <w:ind w:left="485" w:leftChars="202" w:firstLine="480" w:firstLineChars="200"/>
        <w:outlineLvl w:val="0"/>
        <w:rPr>
          <w:rFonts w:hint="eastAsia" w:ascii="仿宋_GB2312" w:hAnsi="宋体" w:eastAsia="仿宋_GB2312"/>
          <w:sz w:val="24"/>
        </w:rPr>
      </w:pPr>
      <w:r>
        <w:rPr>
          <w:rFonts w:hint="eastAsia" w:ascii="仿宋_GB2312" w:hAnsi="宋体" w:eastAsia="仿宋_GB2312"/>
          <w:sz w:val="24"/>
        </w:rPr>
        <w:t>附件 2《服务质量考核评价表》</w:t>
      </w:r>
    </w:p>
    <w:p>
      <w:pPr>
        <w:spacing w:before="187" w:after="187"/>
        <w:ind w:left="485" w:leftChars="202" w:firstLine="480" w:firstLineChars="200"/>
        <w:outlineLvl w:val="0"/>
        <w:rPr>
          <w:rFonts w:hint="eastAsia" w:ascii="仿宋_GB2312" w:hAnsi="宋体" w:eastAsia="仿宋_GB2312"/>
          <w:sz w:val="24"/>
        </w:rPr>
      </w:pPr>
      <w:r>
        <w:rPr>
          <w:rFonts w:hint="eastAsia" w:ascii="仿宋_GB2312" w:hAnsi="宋体" w:eastAsia="仿宋_GB2312"/>
          <w:sz w:val="24"/>
        </w:rPr>
        <w:t>附件3 《甲方增值税专用发票信息》</w:t>
      </w:r>
    </w:p>
    <w:p>
      <w:pPr>
        <w:spacing w:line="360" w:lineRule="auto"/>
        <w:ind w:left="485" w:leftChars="202" w:firstLine="480" w:firstLineChars="200"/>
        <w:rPr>
          <w:rFonts w:hint="eastAsia" w:ascii="仿宋_GB2312" w:hAnsi="宋体" w:eastAsia="仿宋_GB2312"/>
          <w:sz w:val="24"/>
          <w:highlight w:val="yellow"/>
          <w:lang w:eastAsia="zh-CN"/>
        </w:rPr>
      </w:pPr>
      <w:r>
        <w:rPr>
          <w:rFonts w:hint="eastAsia" w:ascii="仿宋_GB2312" w:hAnsi="宋体" w:eastAsia="仿宋_GB2312"/>
          <w:sz w:val="24"/>
          <w:highlight w:val="yellow"/>
        </w:rPr>
        <w:t>附件 4《数据处理范围清单》</w:t>
      </w:r>
      <w:r>
        <w:rPr>
          <w:rFonts w:hint="eastAsia" w:ascii="仿宋_GB2312" w:hAnsi="宋体" w:eastAsia="仿宋_GB2312"/>
          <w:sz w:val="24"/>
          <w:highlight w:val="yellow"/>
          <w:lang w:eastAsia="zh-CN"/>
        </w:rPr>
        <w:t>（如有）</w:t>
      </w:r>
    </w:p>
    <w:p>
      <w:pPr>
        <w:spacing w:line="360" w:lineRule="auto"/>
        <w:ind w:left="485" w:leftChars="202" w:firstLine="480" w:firstLineChars="200"/>
        <w:rPr>
          <w:rFonts w:hint="eastAsia" w:ascii="仿宋_GB2312" w:hAnsi="宋体" w:eastAsia="仿宋_GB2312"/>
          <w:sz w:val="24"/>
        </w:rPr>
      </w:pPr>
      <w:r>
        <w:rPr>
          <w:rFonts w:hint="eastAsia" w:ascii="仿宋_GB2312" w:hAnsi="宋体" w:eastAsia="仿宋_GB2312"/>
          <w:sz w:val="24"/>
        </w:rPr>
        <w:t>附件 5《廉洁诚信协议》</w:t>
      </w:r>
    </w:p>
    <w:p>
      <w:pPr>
        <w:spacing w:line="360" w:lineRule="auto"/>
        <w:ind w:left="485" w:leftChars="202" w:firstLine="480" w:firstLineChars="200"/>
        <w:rPr>
          <w:rFonts w:hint="eastAsia" w:ascii="仿宋_GB2312" w:hAnsi="宋体" w:eastAsia="仿宋_GB2312"/>
          <w:sz w:val="24"/>
        </w:rPr>
      </w:pPr>
      <w:r>
        <w:rPr>
          <w:rFonts w:hint="eastAsia" w:ascii="仿宋_GB2312" w:hAnsi="宋体" w:eastAsia="仿宋_GB2312"/>
          <w:sz w:val="24"/>
        </w:rPr>
        <w:t>附件6《乙方承诺》</w:t>
      </w:r>
    </w:p>
    <w:p>
      <w:pPr>
        <w:spacing w:line="360" w:lineRule="auto"/>
        <w:ind w:left="485" w:leftChars="202" w:firstLine="480" w:firstLineChars="200"/>
        <w:rPr>
          <w:rFonts w:hint="eastAsia" w:ascii="仿宋_GB2312" w:hAnsi="宋体" w:eastAsia="仿宋_GB2312"/>
          <w:sz w:val="24"/>
          <w:lang w:eastAsia="zh-CN"/>
        </w:rPr>
      </w:pPr>
      <w:r>
        <w:rPr>
          <w:rFonts w:hint="eastAsia" w:ascii="仿宋_GB2312" w:hAnsi="宋体" w:eastAsia="仿宋_GB2312"/>
          <w:sz w:val="24"/>
        </w:rPr>
        <w:t>附件 7《乙方资质文件复印件（加盖公章）》</w:t>
      </w:r>
      <w:r>
        <w:rPr>
          <w:rFonts w:hint="eastAsia" w:ascii="仿宋_GB2312" w:hAnsi="宋体" w:eastAsia="仿宋_GB2312"/>
          <w:sz w:val="24"/>
          <w:lang w:eastAsia="zh-CN"/>
        </w:rPr>
        <w:t>（如有）</w:t>
      </w:r>
    </w:p>
    <w:p>
      <w:pPr>
        <w:spacing w:line="360" w:lineRule="auto"/>
        <w:ind w:left="485" w:leftChars="202" w:firstLine="480" w:firstLineChars="200"/>
        <w:rPr>
          <w:rFonts w:hint="eastAsia" w:ascii="仿宋_GB2312" w:hAnsi="宋体" w:eastAsia="仿宋_GB2312"/>
          <w:sz w:val="24"/>
        </w:rPr>
      </w:pPr>
      <w:r>
        <w:rPr>
          <w:rFonts w:hint="eastAsia" w:ascii="仿宋_GB2312" w:hAnsi="宋体" w:eastAsia="仿宋_GB2312"/>
          <w:sz w:val="24"/>
        </w:rPr>
        <w:t>附件 8《授权委托书（如有）》。</w:t>
      </w:r>
    </w:p>
    <w:p>
      <w:pPr>
        <w:rPr>
          <w:rFonts w:hint="eastAsia" w:ascii="仿宋_GB2312" w:hAnsi="宋体" w:eastAsia="仿宋_GB2312"/>
          <w:sz w:val="24"/>
        </w:rPr>
      </w:pPr>
    </w:p>
    <w:tbl>
      <w:tblPr>
        <w:tblStyle w:val="13"/>
        <w:tblW w:w="8642" w:type="dxa"/>
        <w:tblInd w:w="0" w:type="dxa"/>
        <w:tblLayout w:type="autofit"/>
        <w:tblCellMar>
          <w:top w:w="0" w:type="dxa"/>
          <w:left w:w="108" w:type="dxa"/>
          <w:bottom w:w="0" w:type="dxa"/>
          <w:right w:w="108" w:type="dxa"/>
        </w:tblCellMar>
      </w:tblPr>
      <w:tblGrid>
        <w:gridCol w:w="8642"/>
      </w:tblGrid>
      <w:tr>
        <w:tblPrEx>
          <w:tblCellMar>
            <w:top w:w="0" w:type="dxa"/>
            <w:left w:w="108" w:type="dxa"/>
            <w:bottom w:w="0" w:type="dxa"/>
            <w:right w:w="108" w:type="dxa"/>
          </w:tblCellMar>
        </w:tblPrEx>
        <w:trPr>
          <w:trHeight w:val="300" w:hRule="atLeast"/>
        </w:trPr>
        <w:tc>
          <w:tcPr>
            <w:tcW w:w="8642" w:type="dxa"/>
            <w:vAlign w:val="center"/>
          </w:tcPr>
          <w:p>
            <w:pPr>
              <w:rPr>
                <w:rFonts w:hint="eastAsia" w:ascii="楷体" w:hAnsi="楷体" w:eastAsia="楷体" w:cs="宋体"/>
                <w:sz w:val="28"/>
                <w:szCs w:val="28"/>
                <w:lang w:eastAsia="zh-CN"/>
              </w:rPr>
            </w:pPr>
            <w:r>
              <w:rPr>
                <w:rFonts w:hint="eastAsia" w:ascii="楷体" w:hAnsi="楷体" w:eastAsia="楷体" w:cs="宋体"/>
                <w:sz w:val="28"/>
                <w:szCs w:val="28"/>
              </w:rPr>
              <w:t>甲方（盖章）：中国人民健康保险股份有限公司</w:t>
            </w:r>
            <w:r>
              <w:rPr>
                <w:rFonts w:hint="eastAsia" w:ascii="楷体" w:hAnsi="楷体" w:eastAsia="楷体" w:cs="宋体"/>
                <w:sz w:val="28"/>
                <w:szCs w:val="28"/>
                <w:lang w:eastAsia="zh-CN"/>
              </w:rPr>
              <w:t>上海分公司</w:t>
            </w:r>
          </w:p>
        </w:tc>
      </w:tr>
      <w:tr>
        <w:tblPrEx>
          <w:tblCellMar>
            <w:top w:w="0" w:type="dxa"/>
            <w:left w:w="108" w:type="dxa"/>
            <w:bottom w:w="0" w:type="dxa"/>
            <w:right w:w="108" w:type="dxa"/>
          </w:tblCellMar>
        </w:tblPrEx>
        <w:trPr>
          <w:trHeight w:val="300" w:hRule="atLeast"/>
        </w:trPr>
        <w:tc>
          <w:tcPr>
            <w:tcW w:w="8642" w:type="dxa"/>
            <w:vAlign w:val="center"/>
          </w:tcPr>
          <w:p>
            <w:pPr>
              <w:rPr>
                <w:rFonts w:hint="eastAsia" w:ascii="楷体" w:hAnsi="楷体" w:eastAsia="楷体" w:cs="宋体"/>
                <w:sz w:val="28"/>
                <w:szCs w:val="28"/>
              </w:rPr>
            </w:pPr>
            <w:r>
              <w:rPr>
                <w:rFonts w:hint="eastAsia" w:ascii="楷体" w:hAnsi="楷体" w:eastAsia="楷体" w:cs="宋体"/>
                <w:sz w:val="28"/>
                <w:szCs w:val="28"/>
              </w:rPr>
              <w:t xml:space="preserve">法定代表人或授权代表：（签字） </w:t>
            </w:r>
            <w:r>
              <w:rPr>
                <w:rFonts w:hint="eastAsia" w:ascii="楷体" w:hAnsi="楷体" w:eastAsia="楷体" w:cs="宋体"/>
                <w:sz w:val="28"/>
                <w:szCs w:val="28"/>
              </w:rPr>
              <w:br w:type="textWrapping"/>
            </w:r>
            <w:r>
              <w:rPr>
                <w:rFonts w:hint="eastAsia" w:ascii="楷体" w:hAnsi="楷体" w:eastAsia="楷体" w:cs="宋体"/>
                <w:sz w:val="28"/>
                <w:szCs w:val="28"/>
              </w:rPr>
              <w:br w:type="textWrapping"/>
            </w:r>
            <w:r>
              <w:rPr>
                <w:rFonts w:hint="eastAsia" w:ascii="楷体" w:hAnsi="楷体" w:eastAsia="楷体" w:cs="宋体"/>
                <w:sz w:val="28"/>
                <w:szCs w:val="28"/>
              </w:rPr>
              <w:t xml:space="preserve">日期： 年    月    日                                                                                    </w:t>
            </w:r>
          </w:p>
        </w:tc>
      </w:tr>
      <w:tr>
        <w:tblPrEx>
          <w:tblCellMar>
            <w:top w:w="0" w:type="dxa"/>
            <w:left w:w="108" w:type="dxa"/>
            <w:bottom w:w="0" w:type="dxa"/>
            <w:right w:w="108" w:type="dxa"/>
          </w:tblCellMar>
        </w:tblPrEx>
        <w:trPr>
          <w:trHeight w:val="300" w:hRule="atLeast"/>
        </w:trPr>
        <w:tc>
          <w:tcPr>
            <w:tcW w:w="8642" w:type="dxa"/>
            <w:vAlign w:val="center"/>
          </w:tcPr>
          <w:p>
            <w:pPr>
              <w:rPr>
                <w:rFonts w:hint="eastAsia" w:ascii="楷体" w:hAnsi="楷体" w:eastAsia="楷体" w:cs="宋体"/>
                <w:sz w:val="28"/>
                <w:szCs w:val="28"/>
              </w:rPr>
            </w:pPr>
          </w:p>
          <w:p>
            <w:pPr>
              <w:rPr>
                <w:rFonts w:hint="eastAsia" w:ascii="楷体" w:hAnsi="楷体" w:eastAsia="楷体" w:cs="宋体"/>
                <w:sz w:val="28"/>
                <w:szCs w:val="28"/>
              </w:rPr>
            </w:pPr>
            <w:r>
              <w:rPr>
                <w:rFonts w:hint="eastAsia" w:ascii="楷体" w:hAnsi="楷体" w:eastAsia="楷体" w:cs="宋体"/>
                <w:sz w:val="28"/>
                <w:szCs w:val="28"/>
              </w:rPr>
              <w:t>乙方（盖章）：</w:t>
            </w:r>
          </w:p>
        </w:tc>
      </w:tr>
      <w:tr>
        <w:tblPrEx>
          <w:tblCellMar>
            <w:top w:w="0" w:type="dxa"/>
            <w:left w:w="108" w:type="dxa"/>
            <w:bottom w:w="0" w:type="dxa"/>
            <w:right w:w="108" w:type="dxa"/>
          </w:tblCellMar>
        </w:tblPrEx>
        <w:trPr>
          <w:trHeight w:val="300" w:hRule="atLeast"/>
        </w:trPr>
        <w:tc>
          <w:tcPr>
            <w:tcW w:w="8642" w:type="dxa"/>
            <w:vAlign w:val="center"/>
          </w:tcPr>
          <w:p>
            <w:pPr>
              <w:rPr>
                <w:rFonts w:hint="eastAsia" w:ascii="楷体" w:hAnsi="楷体" w:eastAsia="楷体" w:cs="宋体"/>
                <w:sz w:val="28"/>
                <w:szCs w:val="28"/>
              </w:rPr>
            </w:pPr>
            <w:r>
              <w:rPr>
                <w:rFonts w:hint="eastAsia" w:ascii="楷体" w:hAnsi="楷体" w:eastAsia="楷体" w:cs="宋体"/>
                <w:sz w:val="28"/>
                <w:szCs w:val="28"/>
              </w:rPr>
              <w:t>法定代表人或授权代表：（签字）</w:t>
            </w:r>
            <w:r>
              <w:rPr>
                <w:rFonts w:hint="eastAsia" w:ascii="楷体" w:hAnsi="楷体" w:eastAsia="楷体" w:cs="宋体"/>
                <w:sz w:val="28"/>
                <w:szCs w:val="28"/>
              </w:rPr>
              <w:br w:type="textWrapping"/>
            </w:r>
            <w:r>
              <w:rPr>
                <w:rFonts w:hint="eastAsia" w:ascii="楷体" w:hAnsi="楷体" w:eastAsia="楷体" w:cs="宋体"/>
                <w:sz w:val="28"/>
                <w:szCs w:val="28"/>
              </w:rPr>
              <w:br w:type="textWrapping"/>
            </w:r>
            <w:r>
              <w:rPr>
                <w:rFonts w:hint="eastAsia" w:ascii="楷体" w:hAnsi="楷体" w:eastAsia="楷体" w:cs="宋体"/>
                <w:sz w:val="28"/>
                <w:szCs w:val="28"/>
              </w:rPr>
              <w:t xml:space="preserve">日期：年    月    日 </w:t>
            </w:r>
          </w:p>
        </w:tc>
      </w:tr>
    </w:tbl>
    <w:p/>
    <w:p>
      <w:pPr>
        <w:spacing w:before="187"/>
        <w:outlineLvl w:val="0"/>
        <w:rPr>
          <w:rFonts w:hint="eastAsia" w:ascii="仿宋_GB2312" w:hAnsi="微软雅黑" w:eastAsia="仿宋_GB2312"/>
          <w:b/>
          <w:sz w:val="24"/>
        </w:rPr>
      </w:pPr>
      <w:r>
        <w:rPr>
          <w:rFonts w:ascii="仿宋_GB2312" w:hAnsi="微软雅黑" w:eastAsia="仿宋_GB2312"/>
          <w:b/>
          <w:sz w:val="24"/>
        </w:rPr>
        <w:br w:type="page"/>
      </w:r>
      <w:r>
        <w:rPr>
          <w:rFonts w:hint="eastAsia" w:ascii="仿宋_GB2312" w:hAnsi="微软雅黑" w:eastAsia="仿宋_GB2312"/>
          <w:b/>
          <w:sz w:val="24"/>
        </w:rPr>
        <w:t>附件 1 服务方案（包括但不限于具体服务内容、服务流程、服务标准、服务价格）</w:t>
      </w:r>
    </w:p>
    <w:p>
      <w:pPr>
        <w:pStyle w:val="27"/>
        <w:spacing w:before="187" w:after="187" w:line="288" w:lineRule="auto"/>
        <w:ind w:firstLine="0" w:firstLineChars="0"/>
        <w:outlineLvl w:val="0"/>
        <w:rPr>
          <w:rFonts w:hint="eastAsia" w:ascii="仿宋_GB2312" w:hAnsi="微软雅黑" w:eastAsia="仿宋_GB2312"/>
          <w:b/>
          <w:sz w:val="24"/>
          <w:szCs w:val="24"/>
        </w:rPr>
      </w:pPr>
      <w:r>
        <w:rPr>
          <w:rFonts w:hint="eastAsia" w:ascii="仿宋_GB2312" w:hAnsi="微软雅黑" w:eastAsia="仿宋_GB2312"/>
          <w:b/>
          <w:sz w:val="24"/>
          <w:szCs w:val="24"/>
        </w:rPr>
        <w:t>阶梯价格</w:t>
      </w:r>
      <w:r>
        <w:rPr>
          <w:rFonts w:hint="eastAsia" w:ascii="仿宋_GB2312" w:hAnsi="微软雅黑" w:eastAsia="仿宋_GB2312"/>
          <w:b/>
          <w:color w:val="FF0000"/>
          <w:sz w:val="24"/>
          <w:szCs w:val="24"/>
          <w:highlight w:val="yellow"/>
        </w:rPr>
        <w:t>（如有）</w:t>
      </w:r>
    </w:p>
    <w:p>
      <w:pPr>
        <w:widowControl/>
        <w:adjustRightInd w:val="0"/>
        <w:snapToGrid w:val="0"/>
        <w:spacing w:line="360" w:lineRule="auto"/>
        <w:ind w:firstLine="480" w:firstLineChars="200"/>
        <w:rPr>
          <w:rFonts w:hint="eastAsia" w:ascii="仿宋_GB2312" w:eastAsia="仿宋_GB2312" w:hAnsiTheme="majorEastAsia"/>
          <w:sz w:val="24"/>
        </w:rPr>
      </w:pPr>
      <w:r>
        <w:rPr>
          <w:rFonts w:hint="eastAsia" w:ascii="仿宋_GB2312" w:eastAsia="仿宋_GB2312"/>
          <w:sz w:val="24"/>
        </w:rPr>
        <w:t>在双方合作有效期内，累计达到相应</w:t>
      </w:r>
      <w:r>
        <w:rPr>
          <w:rFonts w:hint="eastAsia" w:ascii="仿宋_GB2312" w:eastAsia="仿宋_GB2312" w:hAnsiTheme="majorEastAsia"/>
          <w:sz w:val="24"/>
        </w:rPr>
        <w:t>服务人次数量或者服务金额的，乙方给予甲方相应阶梯折扣：</w:t>
      </w:r>
    </w:p>
    <w:p>
      <w:pPr>
        <w:widowControl/>
        <w:adjustRightInd w:val="0"/>
        <w:snapToGrid w:val="0"/>
        <w:spacing w:line="360" w:lineRule="auto"/>
        <w:ind w:left="426"/>
        <w:rPr>
          <w:rFonts w:ascii="仿宋_GB2312" w:eastAsia="仿宋_GB2312"/>
          <w:sz w:val="24"/>
        </w:rPr>
      </w:pPr>
    </w:p>
    <w:tbl>
      <w:tblPr>
        <w:tblStyle w:val="14"/>
        <w:tblW w:w="7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6"/>
        <w:gridCol w:w="2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6" w:type="dxa"/>
            <w:vAlign w:val="center"/>
          </w:tcPr>
          <w:p>
            <w:pPr>
              <w:widowControl/>
              <w:adjustRightInd w:val="0"/>
              <w:snapToGrid w:val="0"/>
              <w:jc w:val="center"/>
              <w:rPr>
                <w:rFonts w:hint="eastAsia" w:ascii="仿宋_GB2312" w:eastAsia="仿宋_GB2312" w:hAnsiTheme="majorEastAsia"/>
                <w:sz w:val="28"/>
                <w:szCs w:val="28"/>
              </w:rPr>
            </w:pPr>
            <w:r>
              <w:rPr>
                <w:rFonts w:hint="eastAsia" w:ascii="仿宋_GB2312" w:eastAsia="仿宋_GB2312" w:hAnsiTheme="majorEastAsia"/>
                <w:sz w:val="28"/>
                <w:szCs w:val="28"/>
              </w:rPr>
              <w:t>项目名称</w:t>
            </w:r>
          </w:p>
        </w:tc>
        <w:tc>
          <w:tcPr>
            <w:tcW w:w="2693" w:type="dxa"/>
            <w:vAlign w:val="center"/>
          </w:tcPr>
          <w:p>
            <w:pPr>
              <w:widowControl/>
              <w:adjustRightInd w:val="0"/>
              <w:snapToGrid w:val="0"/>
              <w:jc w:val="center"/>
              <w:rPr>
                <w:rFonts w:hint="eastAsia" w:ascii="仿宋_GB2312" w:eastAsia="仿宋_GB2312" w:hAnsiTheme="majorEastAsia"/>
                <w:sz w:val="28"/>
                <w:szCs w:val="28"/>
              </w:rPr>
            </w:pPr>
            <w:r>
              <w:rPr>
                <w:rFonts w:hint="eastAsia" w:ascii="仿宋_GB2312" w:eastAsia="仿宋_GB2312" w:hAnsiTheme="majorEastAsia"/>
                <w:sz w:val="28"/>
                <w:szCs w:val="28"/>
              </w:rPr>
              <w:t>阶梯折扣</w:t>
            </w:r>
          </w:p>
          <w:p>
            <w:pPr>
              <w:widowControl/>
              <w:adjustRightInd w:val="0"/>
              <w:snapToGrid w:val="0"/>
              <w:jc w:val="center"/>
              <w:rPr>
                <w:rFonts w:hint="eastAsia" w:ascii="仿宋_GB2312" w:eastAsia="仿宋_GB2312" w:hAnsiTheme="majorEastAsia"/>
                <w:sz w:val="28"/>
                <w:szCs w:val="28"/>
              </w:rPr>
            </w:pPr>
            <w:r>
              <w:rPr>
                <w:rFonts w:hint="eastAsia" w:ascii="仿宋_GB2312" w:eastAsia="仿宋_GB2312" w:hAnsiTheme="majorEastAsia"/>
                <w:sz w:val="28"/>
                <w:szCs w:val="28"/>
              </w:rPr>
              <w:t>（含阶梯折扣）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6" w:type="dxa"/>
            <w:vAlign w:val="center"/>
          </w:tcPr>
          <w:p>
            <w:pPr>
              <w:widowControl/>
              <w:adjustRightInd w:val="0"/>
              <w:snapToGrid w:val="0"/>
              <w:jc w:val="center"/>
              <w:rPr>
                <w:rFonts w:hint="eastAsia" w:ascii="仿宋_GB2312" w:eastAsia="仿宋_GB2312" w:hAnsiTheme="majorEastAsia"/>
                <w:sz w:val="28"/>
                <w:szCs w:val="28"/>
              </w:rPr>
            </w:pPr>
          </w:p>
        </w:tc>
        <w:tc>
          <w:tcPr>
            <w:tcW w:w="2693" w:type="dxa"/>
            <w:vMerge w:val="restart"/>
            <w:vAlign w:val="center"/>
          </w:tcPr>
          <w:p>
            <w:pPr>
              <w:widowControl/>
              <w:adjustRightInd w:val="0"/>
              <w:snapToGrid w:val="0"/>
              <w:jc w:val="center"/>
              <w:rPr>
                <w:rFonts w:hint="eastAsia" w:ascii="仿宋_GB2312" w:eastAsia="仿宋_GB2312" w:hAnsiTheme="maj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6" w:type="dxa"/>
            <w:vAlign w:val="center"/>
          </w:tcPr>
          <w:p>
            <w:pPr>
              <w:widowControl/>
              <w:adjustRightInd w:val="0"/>
              <w:snapToGrid w:val="0"/>
              <w:jc w:val="center"/>
              <w:rPr>
                <w:rFonts w:hint="eastAsia" w:ascii="仿宋_GB2312" w:eastAsia="仿宋_GB2312" w:hAnsiTheme="majorEastAsia"/>
                <w:sz w:val="28"/>
                <w:szCs w:val="28"/>
              </w:rPr>
            </w:pPr>
          </w:p>
        </w:tc>
        <w:tc>
          <w:tcPr>
            <w:tcW w:w="2693" w:type="dxa"/>
            <w:vMerge w:val="continue"/>
            <w:vAlign w:val="center"/>
          </w:tcPr>
          <w:p>
            <w:pPr>
              <w:widowControl/>
              <w:adjustRightInd w:val="0"/>
              <w:snapToGrid w:val="0"/>
              <w:jc w:val="center"/>
              <w:rPr>
                <w:rFonts w:hint="eastAsia" w:ascii="仿宋_GB2312" w:eastAsia="仿宋_GB2312" w:hAnsiTheme="majorEastAsia"/>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536" w:type="dxa"/>
            <w:vAlign w:val="center"/>
          </w:tcPr>
          <w:p>
            <w:pPr>
              <w:widowControl/>
              <w:adjustRightInd w:val="0"/>
              <w:snapToGrid w:val="0"/>
              <w:jc w:val="center"/>
              <w:rPr>
                <w:rFonts w:hint="eastAsia" w:ascii="仿宋_GB2312" w:eastAsia="仿宋_GB2312" w:hAnsiTheme="majorEastAsia"/>
                <w:sz w:val="28"/>
                <w:szCs w:val="28"/>
              </w:rPr>
            </w:pPr>
          </w:p>
        </w:tc>
        <w:tc>
          <w:tcPr>
            <w:tcW w:w="2693" w:type="dxa"/>
            <w:vMerge w:val="continue"/>
            <w:vAlign w:val="center"/>
          </w:tcPr>
          <w:p>
            <w:pPr>
              <w:widowControl/>
              <w:adjustRightInd w:val="0"/>
              <w:snapToGrid w:val="0"/>
              <w:jc w:val="center"/>
              <w:rPr>
                <w:rFonts w:hint="eastAsia" w:ascii="仿宋_GB2312" w:eastAsia="仿宋_GB2312" w:hAnsiTheme="majorEastAsia"/>
                <w:sz w:val="28"/>
                <w:szCs w:val="28"/>
              </w:rPr>
            </w:pPr>
          </w:p>
        </w:tc>
      </w:tr>
    </w:tbl>
    <w:p>
      <w:pPr>
        <w:pStyle w:val="27"/>
        <w:spacing w:before="187" w:after="187" w:line="288" w:lineRule="auto"/>
        <w:ind w:left="485" w:leftChars="202" w:firstLine="0" w:firstLineChars="0"/>
        <w:outlineLvl w:val="0"/>
        <w:rPr>
          <w:rFonts w:hint="eastAsia" w:ascii="仿宋_GB2312" w:hAnsi="微软雅黑" w:eastAsia="仿宋_GB2312"/>
          <w:b/>
          <w:sz w:val="24"/>
          <w:szCs w:val="24"/>
        </w:rPr>
      </w:pPr>
    </w:p>
    <w:p>
      <w:pPr>
        <w:pStyle w:val="27"/>
        <w:spacing w:before="187" w:after="187" w:line="288" w:lineRule="auto"/>
        <w:ind w:left="485" w:leftChars="202" w:firstLine="0" w:firstLineChars="0"/>
        <w:outlineLvl w:val="0"/>
        <w:rPr>
          <w:rFonts w:hint="eastAsia" w:ascii="仿宋_GB2312" w:hAnsi="微软雅黑" w:eastAsia="仿宋_GB2312"/>
          <w:b/>
          <w:sz w:val="24"/>
          <w:szCs w:val="24"/>
        </w:rPr>
      </w:pPr>
    </w:p>
    <w:p>
      <w:pPr>
        <w:rPr>
          <w:rFonts w:hint="eastAsia" w:ascii="仿宋_GB2312" w:hAnsi="微软雅黑" w:eastAsia="仿宋_GB2312"/>
          <w:b/>
          <w:sz w:val="24"/>
        </w:rPr>
      </w:pPr>
      <w:r>
        <w:rPr>
          <w:rFonts w:hint="eastAsia" w:ascii="仿宋_GB2312" w:hAnsi="微软雅黑" w:eastAsia="仿宋_GB2312"/>
          <w:b/>
          <w:sz w:val="24"/>
        </w:rPr>
        <w:br w:type="page"/>
      </w:r>
    </w:p>
    <w:p>
      <w:pPr>
        <w:pStyle w:val="27"/>
        <w:spacing w:before="187" w:after="187" w:line="288" w:lineRule="auto"/>
        <w:ind w:firstLine="0" w:firstLineChars="0"/>
        <w:outlineLvl w:val="0"/>
        <w:rPr>
          <w:rFonts w:hint="eastAsia" w:ascii="仿宋_GB2312" w:hAnsi="微软雅黑" w:eastAsia="仿宋_GB2312"/>
          <w:b/>
          <w:sz w:val="24"/>
          <w:szCs w:val="24"/>
        </w:rPr>
      </w:pPr>
    </w:p>
    <w:p>
      <w:pPr>
        <w:pStyle w:val="27"/>
        <w:spacing w:before="187" w:after="187" w:line="288" w:lineRule="auto"/>
        <w:ind w:firstLine="0" w:firstLineChars="0"/>
        <w:outlineLvl w:val="0"/>
        <w:rPr>
          <w:rFonts w:hint="eastAsia" w:ascii="仿宋_GB2312" w:hAnsi="微软雅黑" w:eastAsia="仿宋_GB2312"/>
          <w:b/>
          <w:sz w:val="24"/>
          <w:szCs w:val="24"/>
        </w:rPr>
      </w:pPr>
      <w:r>
        <w:rPr>
          <w:rFonts w:hint="eastAsia" w:ascii="仿宋_GB2312" w:hAnsi="微软雅黑" w:eastAsia="仿宋_GB2312"/>
          <w:b/>
          <w:sz w:val="24"/>
          <w:szCs w:val="24"/>
        </w:rPr>
        <w:t>附件2 服务质量考核评价表</w:t>
      </w:r>
    </w:p>
    <w:p>
      <w:pPr>
        <w:autoSpaceDE w:val="0"/>
        <w:autoSpaceDN w:val="0"/>
        <w:spacing w:line="360" w:lineRule="auto"/>
        <w:ind w:firstLine="482"/>
        <w:rPr>
          <w:rFonts w:ascii="仿宋_GB2312" w:eastAsia="仿宋_GB2312"/>
          <w:sz w:val="24"/>
        </w:rPr>
      </w:pPr>
      <w:r>
        <w:rPr>
          <w:rFonts w:hint="eastAsia" w:ascii="仿宋_GB2312" w:eastAsia="仿宋_GB2312"/>
          <w:sz w:val="24"/>
        </w:rPr>
        <w:t>在供应商考核节点，甲方按照如下标准对乙方进行考核评价：</w:t>
      </w:r>
    </w:p>
    <w:p>
      <w:pPr>
        <w:autoSpaceDE w:val="0"/>
        <w:autoSpaceDN w:val="0"/>
        <w:spacing w:line="360" w:lineRule="auto"/>
        <w:ind w:firstLine="482"/>
        <w:jc w:val="center"/>
        <w:rPr>
          <w:rFonts w:ascii="仿宋_GB2312" w:eastAsia="仿宋_GB2312"/>
          <w:sz w:val="24"/>
        </w:rPr>
      </w:pPr>
      <w:r>
        <w:rPr>
          <w:rFonts w:hint="eastAsia" w:ascii="仿宋_GB2312" w:eastAsia="仿宋_GB2312"/>
          <w:sz w:val="24"/>
        </w:rPr>
        <w:t>考核评价表</w:t>
      </w:r>
    </w:p>
    <w:tbl>
      <w:tblPr>
        <w:tblStyle w:val="1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9"/>
        <w:gridCol w:w="3137"/>
        <w:gridCol w:w="1571"/>
        <w:gridCol w:w="1681"/>
        <w:gridCol w:w="1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项目名称</w:t>
            </w:r>
          </w:p>
        </w:tc>
        <w:tc>
          <w:tcPr>
            <w:tcW w:w="4085" w:type="pct"/>
            <w:gridSpan w:val="4"/>
            <w:vAlign w:val="center"/>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受评单位</w:t>
            </w:r>
          </w:p>
        </w:tc>
        <w:tc>
          <w:tcPr>
            <w:tcW w:w="1689" w:type="pct"/>
            <w:vAlign w:val="center"/>
          </w:tcPr>
          <w:p>
            <w:pPr>
              <w:autoSpaceDE w:val="0"/>
              <w:autoSpaceDN w:val="0"/>
              <w:spacing w:line="360" w:lineRule="auto"/>
              <w:ind w:firstLine="482"/>
              <w:rPr>
                <w:rFonts w:ascii="仿宋_GB2312" w:eastAsia="仿宋_GB2312"/>
                <w:sz w:val="24"/>
              </w:rPr>
            </w:pPr>
          </w:p>
        </w:tc>
        <w:tc>
          <w:tcPr>
            <w:tcW w:w="846"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评价时间段</w:t>
            </w:r>
          </w:p>
        </w:tc>
        <w:tc>
          <w:tcPr>
            <w:tcW w:w="1550" w:type="pct"/>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年 月  日-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82" w:hRule="atLeast"/>
        </w:trPr>
        <w:tc>
          <w:tcPr>
            <w:tcW w:w="3450" w:type="pct"/>
            <w:gridSpan w:val="3"/>
            <w:vAlign w:val="center"/>
          </w:tcPr>
          <w:p>
            <w:pPr>
              <w:autoSpaceDE w:val="0"/>
              <w:autoSpaceDN w:val="0"/>
              <w:spacing w:line="360" w:lineRule="auto"/>
              <w:rPr>
                <w:rFonts w:ascii="仿宋_GB2312" w:eastAsia="仿宋_GB2312"/>
                <w:sz w:val="24"/>
              </w:rPr>
            </w:pPr>
            <w:r>
              <w:rPr>
                <w:rFonts w:hint="eastAsia" w:ascii="仿宋_GB2312" w:eastAsia="仿宋_GB2312"/>
                <w:sz w:val="24"/>
              </w:rPr>
              <w:t>评价内容</w:t>
            </w:r>
          </w:p>
        </w:tc>
        <w:tc>
          <w:tcPr>
            <w:tcW w:w="90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评分标准</w:t>
            </w:r>
          </w:p>
        </w:tc>
        <w:tc>
          <w:tcPr>
            <w:tcW w:w="644"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评价分数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8"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（一）基本履约</w:t>
            </w:r>
          </w:p>
        </w:tc>
        <w:tc>
          <w:tcPr>
            <w:tcW w:w="2535" w:type="pct"/>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乙方履行合同的约定的权利义务情况，包括乙方对甲方和甲方客户开展服务的情况、乙方对甲方的需求的配合支持程度等。</w:t>
            </w:r>
          </w:p>
        </w:tc>
        <w:tc>
          <w:tcPr>
            <w:tcW w:w="90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644" w:type="pct"/>
          </w:tcPr>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8"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（二）服务质量</w:t>
            </w:r>
          </w:p>
        </w:tc>
        <w:tc>
          <w:tcPr>
            <w:tcW w:w="2535" w:type="pct"/>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乙方对服务需求响应情况；乙方向甲方客户有效宣导服务和提醒解释说明情况；乙方服务过程差错情况；乙方受到客户表扬、抱怨、投诉的发生及处理情况等。</w:t>
            </w:r>
          </w:p>
        </w:tc>
        <w:tc>
          <w:tcPr>
            <w:tcW w:w="90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644" w:type="pct"/>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7"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（三）管理规范</w:t>
            </w:r>
          </w:p>
        </w:tc>
        <w:tc>
          <w:tcPr>
            <w:tcW w:w="2535" w:type="pct"/>
            <w:gridSpan w:val="2"/>
            <w:vAlign w:val="center"/>
          </w:tcPr>
          <w:p>
            <w:pPr>
              <w:autoSpaceDE w:val="0"/>
              <w:autoSpaceDN w:val="0"/>
              <w:spacing w:line="360" w:lineRule="auto"/>
              <w:rPr>
                <w:rFonts w:ascii="仿宋_GB2312" w:eastAsia="仿宋_GB2312"/>
                <w:sz w:val="24"/>
              </w:rPr>
            </w:pPr>
            <w:r>
              <w:rPr>
                <w:rFonts w:hint="eastAsia" w:ascii="仿宋_GB2312" w:eastAsia="仿宋_GB2312"/>
                <w:sz w:val="24"/>
              </w:rPr>
              <w:t>乙方对业务流程的执行优化情况；乙方对甲方意见建议响应情况；乙方配合甲方接受外部检查监督情况。</w:t>
            </w:r>
          </w:p>
        </w:tc>
        <w:tc>
          <w:tcPr>
            <w:tcW w:w="90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644" w:type="pct"/>
          </w:tcPr>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 w:hRule="atLeast"/>
        </w:trPr>
        <w:tc>
          <w:tcPr>
            <w:tcW w:w="91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（四）服务团队</w:t>
            </w:r>
          </w:p>
        </w:tc>
        <w:tc>
          <w:tcPr>
            <w:tcW w:w="2535" w:type="pct"/>
            <w:gridSpan w:val="2"/>
            <w:vAlign w:val="center"/>
          </w:tcPr>
          <w:p>
            <w:pPr>
              <w:autoSpaceDE w:val="0"/>
              <w:autoSpaceDN w:val="0"/>
              <w:spacing w:line="360" w:lineRule="auto"/>
              <w:rPr>
                <w:rFonts w:ascii="仿宋_GB2312" w:eastAsia="仿宋_GB2312"/>
                <w:sz w:val="24"/>
              </w:rPr>
            </w:pPr>
            <w:r>
              <w:rPr>
                <w:rFonts w:hint="eastAsia" w:ascii="仿宋_GB2312" w:eastAsia="仿宋_GB2312"/>
                <w:sz w:val="24"/>
              </w:rPr>
              <w:t>服务人员团队的专业技能、服务态度情况；服务人员团队遵守服务规定的情况；服务人员团队配合甲方开展工作情况。</w:t>
            </w:r>
          </w:p>
        </w:tc>
        <w:tc>
          <w:tcPr>
            <w:tcW w:w="905" w:type="pct"/>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644" w:type="pct"/>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atLeast"/>
        </w:trPr>
        <w:tc>
          <w:tcPr>
            <w:tcW w:w="5000" w:type="pct"/>
            <w:gridSpan w:val="5"/>
          </w:tcPr>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评价总分：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4" w:hRule="atLeast"/>
        </w:trPr>
        <w:tc>
          <w:tcPr>
            <w:tcW w:w="5000" w:type="pct"/>
            <w:gridSpan w:val="5"/>
          </w:tcPr>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意见及建议</w:t>
            </w: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评价人签字</w:t>
            </w: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bl>
    <w:p>
      <w:pPr>
        <w:autoSpaceDE w:val="0"/>
        <w:autoSpaceDN w:val="0"/>
        <w:spacing w:line="360" w:lineRule="auto"/>
        <w:rPr>
          <w:rFonts w:ascii="仿宋_GB2312" w:eastAsia="仿宋_GB2312"/>
          <w:sz w:val="24"/>
          <w:szCs w:val="36"/>
        </w:rPr>
      </w:pPr>
      <w:r>
        <w:rPr>
          <w:rFonts w:hint="eastAsia" w:ascii="仿宋_GB2312" w:eastAsia="仿宋_GB2312"/>
          <w:sz w:val="24"/>
          <w:szCs w:val="36"/>
        </w:rPr>
        <w:t>说明：</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评价总分&gt;80分，履约完成后甲方支付剩余款项的100%；</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 xml:space="preserve">评价总分低于80分，高于70分；履约完成后甲方支付剩余款项的80%； </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评价总分低于70分，高于60分；履约完成后甲方支付剩余款项的60%；</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评价总分低于60分；履约完成后甲方不支付剩余款项。</w:t>
      </w:r>
    </w:p>
    <w:p>
      <w:pPr>
        <w:rPr>
          <w:rFonts w:hint="eastAsia" w:ascii="仿宋_GB2312" w:hAnsi="微软雅黑" w:eastAsia="仿宋_GB2312"/>
          <w:b/>
          <w:sz w:val="24"/>
        </w:rPr>
      </w:pPr>
      <w:r>
        <w:rPr>
          <w:rFonts w:hint="eastAsia" w:ascii="仿宋_GB2312" w:hAnsi="微软雅黑" w:eastAsia="仿宋_GB2312"/>
          <w:b/>
          <w:sz w:val="24"/>
        </w:rPr>
        <w:br w:type="page"/>
      </w:r>
    </w:p>
    <w:p>
      <w:pPr>
        <w:pStyle w:val="27"/>
        <w:spacing w:before="187" w:after="187" w:line="288" w:lineRule="auto"/>
        <w:ind w:firstLine="0" w:firstLineChars="0"/>
        <w:outlineLvl w:val="0"/>
        <w:rPr>
          <w:rFonts w:hint="eastAsia" w:ascii="仿宋_GB2312" w:hAnsi="微软雅黑" w:eastAsia="仿宋_GB2312"/>
          <w:b/>
          <w:sz w:val="24"/>
          <w:szCs w:val="24"/>
        </w:rPr>
      </w:pPr>
    </w:p>
    <w:p>
      <w:pPr>
        <w:pStyle w:val="27"/>
        <w:spacing w:before="187" w:after="187" w:line="288" w:lineRule="auto"/>
        <w:ind w:firstLine="0" w:firstLineChars="0"/>
        <w:outlineLvl w:val="0"/>
        <w:rPr>
          <w:rFonts w:hint="eastAsia" w:ascii="仿宋_GB2312" w:hAnsi="微软雅黑" w:eastAsia="仿宋_GB2312"/>
          <w:b/>
          <w:sz w:val="24"/>
          <w:szCs w:val="24"/>
        </w:rPr>
      </w:pPr>
      <w:r>
        <w:rPr>
          <w:rFonts w:hint="eastAsia" w:ascii="仿宋_GB2312" w:hAnsi="微软雅黑" w:eastAsia="仿宋_GB2312"/>
          <w:b/>
          <w:sz w:val="24"/>
          <w:szCs w:val="24"/>
        </w:rPr>
        <w:t>附件3 甲方增值税专用发票信息</w:t>
      </w:r>
    </w:p>
    <w:p>
      <w:pPr>
        <w:rPr>
          <w:rFonts w:hint="eastAsia" w:ascii="仿宋_GB2312" w:hAnsi="微软雅黑" w:eastAsia="仿宋_GB2312"/>
          <w:b/>
          <w:sz w:val="24"/>
        </w:rPr>
      </w:pPr>
      <w:r>
        <w:rPr>
          <w:rFonts w:hint="eastAsia" w:ascii="仿宋_GB2312" w:hAnsi="微软雅黑" w:eastAsia="仿宋_GB2312"/>
          <w:b/>
          <w:sz w:val="24"/>
        </w:rPr>
        <w:br w:type="page"/>
      </w:r>
    </w:p>
    <w:p>
      <w:pPr>
        <w:pStyle w:val="27"/>
        <w:spacing w:before="187" w:after="187" w:line="288" w:lineRule="auto"/>
        <w:ind w:firstLine="0" w:firstLineChars="0"/>
        <w:outlineLvl w:val="0"/>
        <w:rPr>
          <w:rFonts w:hint="eastAsia" w:ascii="仿宋_GB2312" w:hAnsi="微软雅黑" w:eastAsia="仿宋_GB2312"/>
          <w:b/>
          <w:sz w:val="24"/>
          <w:szCs w:val="24"/>
        </w:rPr>
      </w:pPr>
    </w:p>
    <w:tbl>
      <w:tblPr>
        <w:tblStyle w:val="13"/>
        <w:tblpPr w:leftFromText="180" w:rightFromText="180" w:vertAnchor="text" w:horzAnchor="margin" w:tblpY="513"/>
        <w:tblOverlap w:val="never"/>
        <w:tblW w:w="0" w:type="auto"/>
        <w:tblInd w:w="0" w:type="dxa"/>
        <w:tblLayout w:type="autofit"/>
        <w:tblCellMar>
          <w:top w:w="0" w:type="dxa"/>
          <w:left w:w="108" w:type="dxa"/>
          <w:bottom w:w="0" w:type="dxa"/>
          <w:right w:w="108" w:type="dxa"/>
        </w:tblCellMar>
      </w:tblPr>
      <w:tblGrid>
        <w:gridCol w:w="3390"/>
        <w:gridCol w:w="3802"/>
        <w:gridCol w:w="1098"/>
      </w:tblGrid>
      <w:tr>
        <w:tblPrEx>
          <w:tblCellMar>
            <w:top w:w="0" w:type="dxa"/>
            <w:left w:w="108" w:type="dxa"/>
            <w:bottom w:w="0" w:type="dxa"/>
            <w:right w:w="108" w:type="dxa"/>
          </w:tblCellMar>
        </w:tblPrEx>
        <w:trPr>
          <w:trHeight w:val="710" w:hRule="atLeast"/>
        </w:trPr>
        <w:tc>
          <w:tcPr>
            <w:tcW w:w="3390" w:type="dxa"/>
            <w:tcBorders>
              <w:top w:val="single" w:color="000000" w:sz="6" w:space="0"/>
              <w:left w:val="single" w:color="000000" w:sz="6" w:space="0"/>
              <w:bottom w:val="single" w:color="000000" w:sz="12" w:space="0"/>
              <w:right w:val="single" w:color="000000" w:sz="12" w:space="0"/>
            </w:tcBorders>
            <w:vAlign w:val="center"/>
          </w:tcPr>
          <w:p>
            <w:pPr>
              <w:rPr>
                <w:rFonts w:eastAsia="仿宋_GB2312"/>
                <w:bCs/>
                <w:sz w:val="28"/>
                <w:szCs w:val="32"/>
              </w:rPr>
            </w:pPr>
            <w:r>
              <w:rPr>
                <w:rFonts w:eastAsia="仿宋_GB2312"/>
                <w:bCs/>
                <w:sz w:val="28"/>
                <w:szCs w:val="32"/>
              </w:rPr>
              <w:t>数据处理范围</w:t>
            </w:r>
          </w:p>
        </w:tc>
        <w:tc>
          <w:tcPr>
            <w:tcW w:w="3802" w:type="dxa"/>
            <w:tcBorders>
              <w:top w:val="single" w:color="000000" w:sz="6" w:space="0"/>
              <w:bottom w:val="single" w:color="000000" w:sz="12" w:space="0"/>
              <w:right w:val="single" w:color="000000" w:sz="6" w:space="0"/>
            </w:tcBorders>
            <w:vAlign w:val="center"/>
          </w:tcPr>
          <w:p>
            <w:pPr>
              <w:rPr>
                <w:rFonts w:eastAsia="仿宋_GB2312"/>
                <w:bCs/>
                <w:sz w:val="28"/>
                <w:szCs w:val="32"/>
              </w:rPr>
            </w:pPr>
            <w:r>
              <w:rPr>
                <w:rFonts w:eastAsia="仿宋_GB2312"/>
                <w:bCs/>
                <w:sz w:val="28"/>
                <w:szCs w:val="32"/>
              </w:rPr>
              <w:t>具体内容</w:t>
            </w:r>
          </w:p>
        </w:tc>
        <w:tc>
          <w:tcPr>
            <w:tcW w:w="1098" w:type="dxa"/>
            <w:tcBorders>
              <w:top w:val="single" w:color="000000" w:sz="6" w:space="0"/>
              <w:left w:val="single" w:color="000000" w:sz="6" w:space="0"/>
              <w:bottom w:val="single" w:color="000000" w:sz="12" w:space="0"/>
              <w:right w:val="single" w:color="000000" w:sz="6" w:space="0"/>
            </w:tcBorders>
            <w:vAlign w:val="center"/>
          </w:tcPr>
          <w:p>
            <w:pPr>
              <w:rPr>
                <w:rFonts w:eastAsia="仿宋_GB2312"/>
                <w:bCs/>
                <w:sz w:val="28"/>
                <w:szCs w:val="32"/>
              </w:rPr>
            </w:pPr>
            <w:r>
              <w:rPr>
                <w:rFonts w:eastAsia="仿宋_GB2312"/>
                <w:bCs/>
                <w:sz w:val="28"/>
                <w:szCs w:val="32"/>
              </w:rPr>
              <w:t>备注</w:t>
            </w:r>
          </w:p>
        </w:tc>
      </w:tr>
      <w:tr>
        <w:tblPrEx>
          <w:tblCellMar>
            <w:top w:w="0" w:type="dxa"/>
            <w:left w:w="108" w:type="dxa"/>
            <w:bottom w:w="0" w:type="dxa"/>
            <w:right w:w="108" w:type="dxa"/>
          </w:tblCellMar>
        </w:tblPrEx>
        <w:trPr>
          <w:trHeight w:val="654" w:hRule="atLeast"/>
        </w:trPr>
        <w:tc>
          <w:tcPr>
            <w:tcW w:w="3390" w:type="dxa"/>
            <w:tcBorders>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数据处理期限</w:t>
            </w:r>
          </w:p>
        </w:tc>
        <w:tc>
          <w:tcPr>
            <w:tcW w:w="3802" w:type="dxa"/>
            <w:tcBorders>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654" w:hRule="atLeast"/>
        </w:trPr>
        <w:tc>
          <w:tcPr>
            <w:tcW w:w="3390" w:type="dxa"/>
            <w:tcBorders>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数据处理目的</w:t>
            </w:r>
          </w:p>
        </w:tc>
        <w:tc>
          <w:tcPr>
            <w:tcW w:w="3802" w:type="dxa"/>
            <w:tcBorders>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710" w:hRule="atLeast"/>
        </w:trPr>
        <w:tc>
          <w:tcPr>
            <w:tcW w:w="3390" w:type="dxa"/>
            <w:tcBorders>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数据处理方式</w:t>
            </w:r>
          </w:p>
        </w:tc>
        <w:tc>
          <w:tcPr>
            <w:tcW w:w="3802" w:type="dxa"/>
            <w:tcBorders>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417" w:hRule="atLeast"/>
        </w:trPr>
        <w:tc>
          <w:tcPr>
            <w:tcW w:w="3390" w:type="dxa"/>
            <w:tcBorders>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涉及的数据主体类别</w:t>
            </w:r>
            <w:r>
              <w:rPr>
                <w:rFonts w:eastAsia="仿宋_GB2312"/>
                <w:bCs/>
                <w:sz w:val="28"/>
                <w:szCs w:val="32"/>
                <w:vertAlign w:val="superscript"/>
              </w:rPr>
              <w:footnoteReference w:id="0"/>
            </w:r>
          </w:p>
        </w:tc>
        <w:tc>
          <w:tcPr>
            <w:tcW w:w="3802" w:type="dxa"/>
            <w:tcBorders>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668" w:hRule="atLeast"/>
        </w:trPr>
        <w:tc>
          <w:tcPr>
            <w:tcW w:w="3390" w:type="dxa"/>
            <w:tcBorders>
              <w:top w:val="single" w:color="000000" w:sz="6" w:space="0"/>
              <w:left w:val="single" w:color="000000" w:sz="6" w:space="0"/>
              <w:bottom w:val="single" w:color="000000" w:sz="6" w:space="0"/>
              <w:right w:val="single" w:color="000000" w:sz="12" w:space="0"/>
            </w:tcBorders>
          </w:tcPr>
          <w:p>
            <w:pPr>
              <w:rPr>
                <w:rFonts w:eastAsia="仿宋_GB2312"/>
                <w:bCs/>
                <w:sz w:val="28"/>
                <w:szCs w:val="32"/>
              </w:rPr>
            </w:pPr>
            <w:r>
              <w:rPr>
                <w:rFonts w:eastAsia="仿宋_GB2312"/>
                <w:bCs/>
                <w:sz w:val="28"/>
                <w:szCs w:val="32"/>
              </w:rPr>
              <w:t>涉及的个人信息类型</w:t>
            </w:r>
            <w:r>
              <w:rPr>
                <w:rFonts w:eastAsia="仿宋_GB2312"/>
                <w:bCs/>
                <w:sz w:val="28"/>
                <w:szCs w:val="32"/>
                <w:vertAlign w:val="superscript"/>
              </w:rPr>
              <w:footnoteReference w:id="1"/>
            </w:r>
          </w:p>
        </w:tc>
        <w:tc>
          <w:tcPr>
            <w:tcW w:w="3802" w:type="dxa"/>
            <w:tcBorders>
              <w:top w:val="single" w:color="000000" w:sz="6" w:space="0"/>
              <w:bottom w:val="single" w:color="000000" w:sz="6" w:space="0"/>
              <w:right w:val="single" w:color="000000" w:sz="6" w:space="0"/>
            </w:tcBorders>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tcPr>
          <w:p>
            <w:pPr>
              <w:rPr>
                <w:rFonts w:eastAsia="仿宋_GB2312"/>
                <w:bCs/>
                <w:sz w:val="28"/>
                <w:szCs w:val="32"/>
              </w:rPr>
            </w:pPr>
          </w:p>
        </w:tc>
      </w:tr>
      <w:tr>
        <w:tblPrEx>
          <w:tblCellMar>
            <w:top w:w="0" w:type="dxa"/>
            <w:left w:w="108" w:type="dxa"/>
            <w:bottom w:w="0" w:type="dxa"/>
            <w:right w:w="108" w:type="dxa"/>
          </w:tblCellMar>
        </w:tblPrEx>
        <w:trPr>
          <w:trHeight w:val="269" w:hRule="atLeast"/>
        </w:trPr>
        <w:tc>
          <w:tcPr>
            <w:tcW w:w="3390" w:type="dxa"/>
            <w:tcBorders>
              <w:top w:val="single" w:color="000000" w:sz="6" w:space="0"/>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涉及的敏感个人信息类型</w:t>
            </w:r>
            <w:r>
              <w:rPr>
                <w:rFonts w:eastAsia="仿宋_GB2312"/>
                <w:bCs/>
                <w:sz w:val="28"/>
                <w:szCs w:val="32"/>
                <w:vertAlign w:val="superscript"/>
              </w:rPr>
              <w:footnoteReference w:id="2"/>
            </w:r>
          </w:p>
        </w:tc>
        <w:tc>
          <w:tcPr>
            <w:tcW w:w="3802" w:type="dxa"/>
            <w:tcBorders>
              <w:top w:val="single" w:color="000000" w:sz="6" w:space="0"/>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654" w:hRule="atLeast"/>
        </w:trPr>
        <w:tc>
          <w:tcPr>
            <w:tcW w:w="3390" w:type="dxa"/>
            <w:tcBorders>
              <w:top w:val="single" w:color="000000" w:sz="6" w:space="0"/>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涉及的重要数据类型</w:t>
            </w:r>
          </w:p>
        </w:tc>
        <w:tc>
          <w:tcPr>
            <w:tcW w:w="3802" w:type="dxa"/>
            <w:tcBorders>
              <w:top w:val="single" w:color="000000" w:sz="6" w:space="0"/>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1334" w:hRule="atLeast"/>
        </w:trPr>
        <w:tc>
          <w:tcPr>
            <w:tcW w:w="3390" w:type="dxa"/>
            <w:tcBorders>
              <w:top w:val="single" w:color="000000" w:sz="6" w:space="0"/>
              <w:left w:val="single" w:color="000000" w:sz="6" w:space="0"/>
              <w:bottom w:val="single" w:color="000000" w:sz="6" w:space="0"/>
              <w:right w:val="single" w:color="000000" w:sz="12" w:space="0"/>
            </w:tcBorders>
          </w:tcPr>
          <w:p>
            <w:pPr>
              <w:rPr>
                <w:rFonts w:eastAsia="仿宋_GB2312"/>
                <w:bCs/>
                <w:sz w:val="28"/>
                <w:szCs w:val="32"/>
              </w:rPr>
            </w:pPr>
            <w:r>
              <w:rPr>
                <w:rFonts w:eastAsia="仿宋_GB2312"/>
                <w:bCs/>
                <w:sz w:val="28"/>
                <w:szCs w:val="32"/>
              </w:rPr>
              <w:t>涉及的其他数据范围（如业务数据、商业数据）</w:t>
            </w:r>
          </w:p>
        </w:tc>
        <w:tc>
          <w:tcPr>
            <w:tcW w:w="3802" w:type="dxa"/>
            <w:tcBorders>
              <w:top w:val="single" w:color="000000" w:sz="6" w:space="0"/>
              <w:bottom w:val="single" w:color="000000" w:sz="6" w:space="0"/>
              <w:right w:val="single" w:color="000000" w:sz="6" w:space="0"/>
            </w:tcBorders>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tcPr>
          <w:p>
            <w:pPr>
              <w:rPr>
                <w:rFonts w:eastAsia="仿宋_GB2312"/>
                <w:bCs/>
                <w:sz w:val="28"/>
                <w:szCs w:val="32"/>
              </w:rPr>
            </w:pPr>
          </w:p>
        </w:tc>
      </w:tr>
      <w:tr>
        <w:tblPrEx>
          <w:tblCellMar>
            <w:top w:w="0" w:type="dxa"/>
            <w:left w:w="108" w:type="dxa"/>
            <w:bottom w:w="0" w:type="dxa"/>
            <w:right w:w="108" w:type="dxa"/>
          </w:tblCellMar>
        </w:tblPrEx>
        <w:trPr>
          <w:trHeight w:val="90" w:hRule="atLeast"/>
        </w:trPr>
        <w:tc>
          <w:tcPr>
            <w:tcW w:w="3390" w:type="dxa"/>
            <w:tcBorders>
              <w:top w:val="single" w:color="000000" w:sz="6" w:space="0"/>
              <w:left w:val="single" w:color="000000" w:sz="6" w:space="0"/>
              <w:bottom w:val="single" w:color="000000" w:sz="6" w:space="0"/>
              <w:right w:val="single" w:color="000000" w:sz="12" w:space="0"/>
            </w:tcBorders>
            <w:shd w:val="pct25" w:color="808000" w:fill="FFFFFF"/>
          </w:tcPr>
          <w:p>
            <w:pPr>
              <w:rPr>
                <w:rFonts w:eastAsia="仿宋_GB2312"/>
                <w:bCs/>
                <w:sz w:val="28"/>
                <w:szCs w:val="32"/>
              </w:rPr>
            </w:pPr>
            <w:r>
              <w:rPr>
                <w:rFonts w:eastAsia="仿宋_GB2312"/>
                <w:bCs/>
                <w:sz w:val="28"/>
                <w:szCs w:val="32"/>
              </w:rPr>
              <w:t>数据处理的地域范围</w:t>
            </w:r>
            <w:r>
              <w:rPr>
                <w:rFonts w:eastAsia="仿宋_GB2312"/>
                <w:bCs/>
                <w:sz w:val="28"/>
                <w:szCs w:val="32"/>
                <w:vertAlign w:val="superscript"/>
              </w:rPr>
              <w:footnoteReference w:id="3"/>
            </w:r>
          </w:p>
        </w:tc>
        <w:tc>
          <w:tcPr>
            <w:tcW w:w="3802" w:type="dxa"/>
            <w:tcBorders>
              <w:top w:val="single" w:color="000000" w:sz="6" w:space="0"/>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477" w:hRule="atLeast"/>
        </w:trPr>
        <w:tc>
          <w:tcPr>
            <w:tcW w:w="3390" w:type="dxa"/>
            <w:tcBorders>
              <w:top w:val="single" w:color="000000" w:sz="6" w:space="0"/>
              <w:left w:val="single" w:color="000000" w:sz="6" w:space="0"/>
              <w:bottom w:val="single" w:color="000000" w:sz="6" w:space="0"/>
              <w:right w:val="single" w:color="000000" w:sz="12" w:space="0"/>
            </w:tcBorders>
            <w:shd w:val="pct25" w:color="808000" w:fill="FFFFFF"/>
            <w:vAlign w:val="center"/>
          </w:tcPr>
          <w:p>
            <w:pPr>
              <w:rPr>
                <w:rFonts w:eastAsia="仿宋_GB2312"/>
                <w:bCs/>
                <w:sz w:val="28"/>
                <w:szCs w:val="32"/>
              </w:rPr>
            </w:pPr>
            <w:r>
              <w:rPr>
                <w:rFonts w:eastAsia="仿宋_GB2312"/>
                <w:bCs/>
                <w:sz w:val="28"/>
                <w:szCs w:val="32"/>
              </w:rPr>
              <w:t>乙方可能会开展的个人信息处理活动</w:t>
            </w:r>
          </w:p>
        </w:tc>
        <w:tc>
          <w:tcPr>
            <w:tcW w:w="3802" w:type="dxa"/>
            <w:tcBorders>
              <w:top w:val="single" w:color="000000" w:sz="6" w:space="0"/>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r>
        <w:tblPrEx>
          <w:tblCellMar>
            <w:top w:w="0" w:type="dxa"/>
            <w:left w:w="108" w:type="dxa"/>
            <w:bottom w:w="0" w:type="dxa"/>
            <w:right w:w="108" w:type="dxa"/>
          </w:tblCellMar>
        </w:tblPrEx>
        <w:trPr>
          <w:trHeight w:val="355" w:hRule="atLeast"/>
        </w:trPr>
        <w:tc>
          <w:tcPr>
            <w:tcW w:w="3390" w:type="dxa"/>
            <w:tcBorders>
              <w:top w:val="single" w:color="000000" w:sz="6" w:space="0"/>
              <w:left w:val="single" w:color="000000" w:sz="6" w:space="0"/>
              <w:bottom w:val="single" w:color="000000" w:sz="6" w:space="0"/>
              <w:right w:val="single" w:color="000000" w:sz="12" w:space="0"/>
            </w:tcBorders>
            <w:shd w:val="pct25" w:color="808000" w:fill="FFFFFF"/>
            <w:vAlign w:val="center"/>
          </w:tcPr>
          <w:p>
            <w:pPr>
              <w:rPr>
                <w:rFonts w:eastAsia="仿宋_GB2312"/>
                <w:bCs/>
                <w:sz w:val="28"/>
                <w:szCs w:val="32"/>
              </w:rPr>
            </w:pPr>
            <w:r>
              <w:rPr>
                <w:rFonts w:eastAsia="仿宋_GB2312"/>
                <w:bCs/>
                <w:sz w:val="28"/>
                <w:szCs w:val="32"/>
              </w:rPr>
              <w:t>乙方的安全措施描述</w:t>
            </w:r>
            <w:r>
              <w:rPr>
                <w:rStyle w:val="18"/>
                <w:rFonts w:eastAsia="仿宋_GB2312"/>
                <w:bCs/>
                <w:sz w:val="28"/>
                <w:szCs w:val="32"/>
              </w:rPr>
              <w:footnoteReference w:id="4"/>
            </w:r>
          </w:p>
        </w:tc>
        <w:tc>
          <w:tcPr>
            <w:tcW w:w="3802" w:type="dxa"/>
            <w:tcBorders>
              <w:top w:val="single" w:color="000000" w:sz="6" w:space="0"/>
              <w:bottom w:val="single" w:color="000000" w:sz="6" w:space="0"/>
              <w:right w:val="single" w:color="000000" w:sz="6" w:space="0"/>
            </w:tcBorders>
            <w:shd w:val="pct25" w:color="808000" w:fill="FFFFFF"/>
          </w:tcPr>
          <w:p>
            <w:pPr>
              <w:rPr>
                <w:rFonts w:eastAsia="仿宋_GB2312"/>
                <w:bCs/>
                <w:sz w:val="28"/>
                <w:szCs w:val="32"/>
              </w:rPr>
            </w:pPr>
          </w:p>
        </w:tc>
        <w:tc>
          <w:tcPr>
            <w:tcW w:w="1098" w:type="dxa"/>
            <w:tcBorders>
              <w:top w:val="single" w:color="000000" w:sz="6" w:space="0"/>
              <w:left w:val="single" w:color="000000" w:sz="6" w:space="0"/>
              <w:bottom w:val="single" w:color="000000" w:sz="6" w:space="0"/>
              <w:right w:val="single" w:color="000000" w:sz="6" w:space="0"/>
            </w:tcBorders>
            <w:shd w:val="pct25" w:color="808000" w:fill="FFFFFF"/>
          </w:tcPr>
          <w:p>
            <w:pPr>
              <w:rPr>
                <w:rFonts w:eastAsia="仿宋_GB2312"/>
                <w:bCs/>
                <w:sz w:val="28"/>
                <w:szCs w:val="32"/>
              </w:rPr>
            </w:pPr>
          </w:p>
        </w:tc>
      </w:tr>
    </w:tbl>
    <w:p>
      <w:pPr>
        <w:widowControl/>
        <w:jc w:val="left"/>
        <w:rPr>
          <w:rFonts w:hint="eastAsia" w:ascii="仿宋_GB2312" w:hAnsi="微软雅黑" w:eastAsia="仿宋_GB2312"/>
          <w:b/>
          <w:sz w:val="24"/>
          <w:lang w:eastAsia="zh-CN"/>
        </w:rPr>
      </w:pPr>
      <w:r>
        <w:rPr>
          <w:rFonts w:hint="eastAsia" w:ascii="仿宋_GB2312" w:hAnsi="微软雅黑" w:eastAsia="仿宋_GB2312"/>
          <w:b/>
          <w:sz w:val="24"/>
        </w:rPr>
        <w:t>附件 4 数据处理范围清单</w:t>
      </w:r>
      <w:r>
        <w:rPr>
          <w:rFonts w:hint="eastAsia" w:ascii="仿宋_GB2312" w:hAnsi="微软雅黑" w:eastAsia="仿宋_GB2312"/>
          <w:b/>
          <w:sz w:val="24"/>
          <w:lang w:eastAsia="zh-CN"/>
        </w:rPr>
        <w:t>（如有）</w:t>
      </w:r>
    </w:p>
    <w:p>
      <w:pPr>
        <w:pStyle w:val="28"/>
        <w:widowControl w:val="0"/>
        <w:rPr>
          <w:rFonts w:ascii="Times New Roman" w:hAnsi="Times New Roman" w:cs="Times New Roman"/>
        </w:rPr>
      </w:pPr>
    </w:p>
    <w:p>
      <w:pPr>
        <w:rPr>
          <w:rFonts w:hint="eastAsia" w:ascii="仿宋_GB2312" w:hAnsi="微软雅黑" w:eastAsia="仿宋_GB2312"/>
          <w:b/>
          <w:sz w:val="24"/>
        </w:rPr>
      </w:pPr>
      <w:r>
        <w:rPr>
          <w:rFonts w:hint="eastAsia" w:ascii="仿宋_GB2312" w:hAnsi="微软雅黑" w:eastAsia="仿宋_GB2312"/>
          <w:b/>
          <w:sz w:val="24"/>
        </w:rPr>
        <w:br w:type="page"/>
      </w:r>
    </w:p>
    <w:p>
      <w:pPr>
        <w:widowControl/>
        <w:jc w:val="left"/>
        <w:rPr>
          <w:rFonts w:hint="eastAsia" w:ascii="仿宋_GB2312" w:hAnsi="宋体" w:eastAsia="仿宋_GB2312"/>
          <w:b/>
          <w:sz w:val="28"/>
          <w:szCs w:val="28"/>
        </w:rPr>
      </w:pPr>
      <w:r>
        <w:rPr>
          <w:rFonts w:hint="eastAsia" w:ascii="仿宋_GB2312" w:hAnsi="微软雅黑" w:eastAsia="仿宋_GB2312"/>
          <w:b/>
          <w:sz w:val="24"/>
        </w:rPr>
        <w:t>附件5 廉洁诚信协议</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第一条 总则</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1.1 甲乙双方均应当严格遵守国家法律法规和甲方集中采购管理、供应商管理的相关要求，不从事任何违法违规违纪行为。坚持诚实守信原则，恪守商业道德和职业道德，规范商务人员廉洁从业行为。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1.2 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1.3 本协议所称相关主体，对任何一方而言，包括但不限于以下单位或者个人：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（1）一方或其关联方之工作人员；</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（2）受一方委托办理相关事务的单位或者个人；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（3）利用职权或者影响力影响交易的单位或者个人；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（4）前述相关人员的亲属；</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（5）与前述相关主体存在利害关系的其他单位或者人员。</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乙方相关主体实施违反本协议约定之行为的，均应视为乙方实施行为。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1.4 一方监督发现对方相关主体在业务合作中存在违规行为的，应当及时提醒并有权向对方纪检部门举报。情节严重构成犯罪的，任何一方均有权向司法机关报案，追究相关单位或者人员的刑事责任。</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第二条 商业贿赂</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2.1 本协议所称商业贿赂，是指乙方或乙方相关主体为获取或意图获取交易机会或者竞争优势，采用财物或者其他形式贿赂甲方或甲方相关主体的行为。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2.2 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2.3 本条第1款所称其他形式，包括但不限于：</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（1）以任何方式实施商业贿赂或违规提供回扣、折扣、宴请与游玩活动或其他不正当利益；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（2）为甲方或甲方相关主体安排有可能影响公平、公正交易的宴请、健身、娱乐等活动；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（3）为甲方或甲方相关主体投资入股、个人借款或买卖股票、债券等提供方便；</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（4）为甲方或甲方相关主体购买或装修住房、婚丧嫁娶、配偶子女上学或工作安排以及出国出境、旅游等提供方便；</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（5）违反规定为甲方或甲方相关主体在乙方相关企业工作、挂名兼职、合伙经营、介绍承揽业务等提供方便；</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（6）向甲方或甲方相关主体提供借款、融资、担保等；</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（7）给予或承诺给予其不正当利益的其他行为；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（8）其他违反国家法律法规或商业道德准则的影响公正交易的行为。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第三条 回扣</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3.1 本协议所称回扣，是指乙方促成合作时在账外暗中以现金、实物或者其他方式退给甲方或甲方相关主体一定比例的商品或服务价款。</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3.2 本条第1款所称账外，是指未在依法设立的反映其生产经营活动或者行政事业经费收支的财务账上按照财务会计制度规定明确如实记载，包括不记入财务账、转入其他财务账或者做假账等。</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3.3 乙方在账外暗中给予甲方相关主体回扣的，视为实施商业贿赂行为。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第四条 折扣</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4.1 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4.2 乙方提供的商品或服务，可以以明示方式给予甲方折扣。乙方给予甲方折扣的，必须在采购协议中予以明确并如实入账。</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4.3 本条第1款所称如实入账，是指根据采购或合作协议约定的金额和支付方式，在依法设立的反映甲方生产经营活动收支的财务账上按照财务会计制度规定明确如实记载。</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4.4 乙方违反本条约定的，视为实施商业贿赂行为。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第五条 宴请与游玩活动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5.1 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5.2 乙方不得为甲方相关主体提供各种形式的旅游、健身、KTV、酒吧、按摩、赌博、色情等娱乐休闲活动。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5.3 乙方违反本条约定的，视为实施商业贿赂行为。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第六条 禁止行为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双方一致同意双方或双方相关主体的如下行为是应当禁止的营私舞弊或腐败行为：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6.1 甲方及甲方相关主体向乙方索要或收受财物或其他形式的财产性利益、非财产性利益。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6.2 乙方及乙方相关主体向甲方或甲方相关主体提供财物或其他形式的财产性利益、非财产性利益，包括但不限于：</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（1）报销甲方相关主体的私人费用；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（2）提供超过宴请标准的宴请或娱乐活动；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（3）介绍甲方相关主体亲友到乙方处工作；</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（4）提出、邀请或事实上接受甲方相关主体在乙方参股或参与乙方经营活动；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（5）组织或向甲方相关主体提供旅游等代偿活动利益；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（6）向甲方相关主体提供借款、融资、担保等；</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（7）给予或承诺给予甲方相关主体不正当利益的其他行为；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（8）其他违反本协议约定、国家法律法规或商业道德准则的影响公正交易的行为。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第七条 乙方承诺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乙方承诺在双方的商务接洽、合同关系、交易过程中遵守如下要求：</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7.1 避免利害关系</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7.2 恪守廉洁自律原则</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7.2.1 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7.2.2支持甲方的廉洁诚信建设，承诺承担实名举报的义务，若乙方或乙方相关主体对甲方或甲方相关主体的索贿行为不拒绝、不申报，并满足其要求的，则该行为视同乙方实施商业贿赂行为。</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 恪守诚实信用原则</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7.3.1 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7.3.2严格遵守向甲方做出的承诺、双方签署的合同、协议和备忘录等，确保产品质量和服务质量，不隐瞒任何可能对甲方利益造成影响的信息，积极配合甲方的审计。</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7.3.3严格遵守甲方的供应商行为准则、合作协议、保密承诺书等政策文件中的相关规定。</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7.3.4 严格遵守甲方的品牌管理的相关规定，未经甲方授权不擅自使用甲方字样、授权合作伙伴等类似容易对外产生混淆的字样。</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7.3.5 严格遵守国家相关法律法规及甲方的管理规定，不参与任何违法活动。</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7.3.6 承诺实事求是，不对内部或社会传递任何虚假信息，严格遵守保密协议，不透露任何甲方的商业机密。</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7.3.7 未经甲方同意，不向任何新闻媒体、第三方述及有关甲方工作人员恪守商业道德方面的评价、信息。</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7.3.8 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7.4 确保信息公开透明</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7.4.1 主动向甲方披露与采购项目相关的信息，包括乙方真实情况、产品价格、技术参数、服务团队信息、履约情况等。</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7.4.2 不利用非法手段向甲方及甲方相关主体打探有关涉及甲方及甲方相关主体的商业秘密、人员信息、采购信息等。</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7.5 积极配合监督举报</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7.5.1 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7.5.2 如乙方有知悉或怀疑甲方相关主体有违反上述约定的，应及时采取措施并有权向甲方纪检部门举报。甲方会对所有信息提供者及所提供的全部资料严格保密。</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7.6 加强内部廉洁管理</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7.6.1 加强内部管理：加强对员工的廉洁教育和培训，提高员工的道德素质和法律意识，建立健全内部管理制度，确保员工行为的合规性和廉洁性。</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7.6.2 设立监督机制：通过专门的监督机构或人员，对乙方的业务活动进行实时监督，确保员工行为的合规性。</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7.6.3 建立举报制度：鼓励员工积极举报违规行为，对举报人予以保护并给予奖励。</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第八条 违约责任</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8.1 若甲方人员违反本协议第六条规定的，按照甲方内部管理权限，依据有关法律和规定给予处分或组织处理，涉嫌犯罪的，移交司法机关追究刑事责任。</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8.2 如乙方违反本协议任何约定或承诺，甲方有权依据甲方采购管理、供应商管理和采购文件相关要求，对乙方进行严肃处理，相关处罚结果记入供应商诚信档案。</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8.4 甲方及甲方子公司按照前述条款要求乙方承担赔偿责任的，乙方应于甲方发出赔偿通知之日</w:t>
      </w:r>
      <w:r>
        <w:rPr>
          <w:rFonts w:hint="eastAsia" w:ascii="仿宋_GB2312" w:hAnsi="仿宋_GB2312" w:eastAsia="仿宋_GB2312" w:cs="仿宋_GB2312"/>
          <w:sz w:val="24"/>
          <w:highlight w:val="yellow"/>
        </w:rPr>
        <w:t>起【】个工</w:t>
      </w:r>
      <w:r>
        <w:rPr>
          <w:rFonts w:hint="eastAsia" w:ascii="仿宋_GB2312" w:hAnsi="仿宋_GB2312" w:eastAsia="仿宋_GB2312" w:cs="仿宋_GB2312"/>
          <w:sz w:val="24"/>
        </w:rPr>
        <w:t>作日内支付，如未及时支付，甲方及甲方子公司有权从主合同款项中直接扣除。</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8.5 乙方知悉并同意，对于上述情形的处理甲方有完全的判断权和自主权。</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第九条 附则</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9.1 本协议的标题及各条款的标题仅为检索方便而设置，具体内容应当以各条款的具体规定为准，而不应参考该标题进行解释。</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9.2 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187" w:after="187" w:line="288" w:lineRule="auto"/>
        <w:ind w:firstLine="240" w:firstLineChars="100"/>
        <w:outlineLvl w:val="0"/>
        <w:rPr>
          <w:rFonts w:hint="eastAsia" w:ascii="仿宋_GB2312" w:hAnsi="仿宋_GB2312" w:eastAsia="仿宋_GB2312" w:cs="仿宋_GB2312"/>
          <w:sz w:val="24"/>
          <w:highlight w:val="none"/>
        </w:rPr>
      </w:pPr>
      <w:r>
        <w:rPr>
          <w:rFonts w:hint="eastAsia" w:ascii="仿宋_GB2312" w:hAnsi="仿宋_GB2312" w:eastAsia="仿宋_GB2312" w:cs="仿宋_GB2312"/>
          <w:sz w:val="24"/>
        </w:rPr>
        <w:t>9.3 本协议之解释、效力、履行及其他未尽事宜均依中华人民共和国（仅为本协议之目的，不含香港特别行政区、澳门特别行政区和台湾地区）法律为准，任何关于本协议产生的争议，由双方协商解</w:t>
      </w:r>
      <w:r>
        <w:rPr>
          <w:rFonts w:hint="eastAsia" w:ascii="仿宋_GB2312" w:hAnsi="仿宋_GB2312" w:eastAsia="仿宋_GB2312" w:cs="仿宋_GB2312"/>
          <w:sz w:val="24"/>
          <w:highlight w:val="none"/>
        </w:rPr>
        <w:t>决，协商不成的，双方同意任何一方均有权向甲方住所地人民法院提起诉讼。</w:t>
      </w:r>
    </w:p>
    <w:p>
      <w:pPr>
        <w:spacing w:before="187" w:after="187" w:line="288" w:lineRule="auto"/>
        <w:ind w:firstLine="240" w:firstLineChars="100"/>
        <w:outlineLvl w:val="0"/>
        <w:rPr>
          <w:rFonts w:hint="eastAsia" w:ascii="仿宋_GB2312" w:hAnsi="仿宋_GB2312" w:eastAsia="仿宋_GB2312" w:cs="仿宋_GB2312"/>
          <w:sz w:val="24"/>
        </w:rPr>
      </w:pPr>
      <w:r>
        <w:rPr>
          <w:rFonts w:hint="eastAsia" w:ascii="仿宋_GB2312" w:hAnsi="仿宋_GB2312" w:eastAsia="仿宋_GB2312" w:cs="仿宋_GB2312"/>
          <w:sz w:val="24"/>
        </w:rPr>
        <w:t>9.4 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187" w:after="187" w:line="288" w:lineRule="auto"/>
        <w:ind w:firstLine="240" w:firstLineChars="100"/>
        <w:outlineLvl w:val="0"/>
        <w:rPr>
          <w:rFonts w:hint="eastAsia" w:ascii="仿宋_GB2312" w:hAnsi="微软雅黑" w:eastAsia="仿宋_GB2312"/>
          <w:b/>
          <w:sz w:val="24"/>
        </w:rPr>
      </w:pPr>
      <w:r>
        <w:rPr>
          <w:rFonts w:hint="eastAsia" w:ascii="仿宋_GB2312" w:hAnsi="仿宋_GB2312" w:eastAsia="仿宋_GB2312" w:cs="仿宋_GB2312"/>
          <w:sz w:val="24"/>
        </w:rPr>
        <w:t>9.5 本协议一式【肆】份，双方各执【贰】份，自双方签字并盖章之日起生效，本协议长期有效。</w:t>
      </w:r>
      <w:r>
        <w:rPr>
          <w:rFonts w:ascii="仿宋_GB2312" w:hAnsi="微软雅黑" w:eastAsia="仿宋_GB2312"/>
          <w:b/>
          <w:sz w:val="24"/>
        </w:rPr>
        <w:br w:type="page"/>
      </w:r>
    </w:p>
    <w:p>
      <w:pPr>
        <w:pStyle w:val="27"/>
        <w:spacing w:before="187" w:after="187" w:line="288" w:lineRule="auto"/>
        <w:ind w:firstLine="241" w:firstLineChars="100"/>
        <w:outlineLvl w:val="0"/>
        <w:rPr>
          <w:rFonts w:hint="eastAsia" w:ascii="仿宋_GB2312" w:hAnsi="微软雅黑" w:eastAsia="仿宋_GB2312"/>
          <w:b/>
          <w:sz w:val="24"/>
          <w:szCs w:val="24"/>
        </w:rPr>
      </w:pPr>
    </w:p>
    <w:p>
      <w:pPr>
        <w:pStyle w:val="27"/>
        <w:spacing w:before="187" w:after="187" w:line="288" w:lineRule="auto"/>
        <w:ind w:firstLine="241" w:firstLineChars="100"/>
        <w:outlineLvl w:val="0"/>
        <w:rPr>
          <w:rFonts w:hint="eastAsia" w:ascii="仿宋_GB2312" w:hAnsi="微软雅黑" w:eastAsia="仿宋_GB2312"/>
          <w:b/>
          <w:sz w:val="24"/>
          <w:szCs w:val="24"/>
        </w:rPr>
      </w:pPr>
      <w:r>
        <w:rPr>
          <w:rFonts w:hint="eastAsia" w:ascii="仿宋_GB2312" w:hAnsi="微软雅黑" w:eastAsia="仿宋_GB2312"/>
          <w:b/>
          <w:sz w:val="24"/>
          <w:szCs w:val="24"/>
        </w:rPr>
        <w:t>附件6 乙方承诺</w:t>
      </w:r>
    </w:p>
    <w:p>
      <w:pPr>
        <w:pStyle w:val="27"/>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乙方作为人保集团统一健康管理平台的供应商，应遵守以下承诺：</w:t>
      </w:r>
    </w:p>
    <w:p>
      <w:pPr>
        <w:pStyle w:val="27"/>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乙方在同一时间范围内向甲方提供的报价不得高于向人保集团各级机构提供健康管理服务的报价，否则甲方有权按照较低的价格与乙方结算;</w:t>
      </w:r>
    </w:p>
    <w:p>
      <w:pPr>
        <w:pStyle w:val="27"/>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乙方针对同一服务项目向人保集团各级机构提供的服务标准保持一致，特殊约定的除外;</w:t>
      </w:r>
    </w:p>
    <w:p>
      <w:pPr>
        <w:pStyle w:val="27"/>
        <w:spacing w:before="187" w:after="187" w:line="288" w:lineRule="auto"/>
        <w:ind w:firstLineChars="175"/>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乙方向甲方提供力所能及的增值服务或免费试用服务。</w:t>
      </w:r>
    </w:p>
    <w:p>
      <w:pPr>
        <w:rPr>
          <w:rFonts w:hint="eastAsia" w:ascii="仿宋_GB2312" w:hAnsi="微软雅黑" w:eastAsia="仿宋_GB2312"/>
          <w:b/>
          <w:sz w:val="24"/>
          <w:szCs w:val="24"/>
        </w:rPr>
      </w:pPr>
      <w:r>
        <w:rPr>
          <w:rFonts w:hint="eastAsia" w:ascii="仿宋_GB2312" w:hAnsi="微软雅黑" w:eastAsia="仿宋_GB2312"/>
          <w:b/>
          <w:sz w:val="24"/>
          <w:szCs w:val="24"/>
        </w:rPr>
        <w:br w:type="page"/>
      </w:r>
    </w:p>
    <w:p>
      <w:pPr>
        <w:pStyle w:val="27"/>
        <w:spacing w:before="187" w:after="187" w:line="288" w:lineRule="auto"/>
        <w:ind w:firstLine="0" w:firstLineChars="0"/>
        <w:outlineLvl w:val="0"/>
        <w:rPr>
          <w:rFonts w:hint="eastAsia" w:ascii="仿宋_GB2312" w:hAnsi="微软雅黑" w:eastAsia="仿宋_GB2312"/>
          <w:b/>
          <w:sz w:val="24"/>
          <w:szCs w:val="24"/>
          <w:lang w:eastAsia="zh-CN"/>
        </w:rPr>
      </w:pPr>
      <w:r>
        <w:rPr>
          <w:rFonts w:hint="eastAsia" w:ascii="仿宋_GB2312" w:hAnsi="微软雅黑" w:eastAsia="仿宋_GB2312"/>
          <w:b/>
          <w:sz w:val="24"/>
          <w:szCs w:val="24"/>
        </w:rPr>
        <w:t>附件 7《乙方资质文件复印件（加盖公章）》</w:t>
      </w:r>
      <w:r>
        <w:rPr>
          <w:rFonts w:hint="eastAsia" w:ascii="仿宋_GB2312" w:hAnsi="微软雅黑" w:eastAsia="仿宋_GB2312"/>
          <w:b/>
          <w:sz w:val="24"/>
          <w:szCs w:val="24"/>
          <w:lang w:eastAsia="zh-CN"/>
        </w:rPr>
        <w:t>（如有）</w:t>
      </w:r>
    </w:p>
    <w:p>
      <w:pPr>
        <w:pStyle w:val="27"/>
        <w:spacing w:before="187" w:after="187" w:line="288" w:lineRule="auto"/>
        <w:ind w:firstLine="0" w:firstLineChars="0"/>
        <w:outlineLvl w:val="0"/>
        <w:rPr>
          <w:rFonts w:hint="eastAsia" w:ascii="仿宋_GB2312" w:hAnsi="微软雅黑" w:eastAsia="仿宋_GB2312"/>
          <w:b/>
          <w:sz w:val="24"/>
          <w:szCs w:val="24"/>
        </w:rPr>
      </w:pPr>
      <w:r>
        <w:rPr>
          <w:rFonts w:hint="eastAsia" w:ascii="仿宋_GB2312" w:hAnsi="微软雅黑" w:eastAsia="仿宋_GB2312"/>
          <w:b/>
          <w:sz w:val="24"/>
          <w:szCs w:val="24"/>
        </w:rPr>
        <w:t>附件8《授权委托书》（如有）。</w:t>
      </w:r>
    </w:p>
    <w:p>
      <w:pPr>
        <w:widowControl/>
        <w:jc w:val="left"/>
        <w:rPr>
          <w:rFonts w:ascii="仿宋_GB2312" w:eastAsia="仿宋_GB2312"/>
          <w:sz w:val="24"/>
        </w:rPr>
      </w:pPr>
    </w:p>
    <w:p>
      <w:pPr>
        <w:widowControl/>
        <w:jc w:val="left"/>
        <w:outlineLvl w:val="9"/>
        <w:rPr>
          <w:rFonts w:ascii="仿宋_GB2312" w:eastAsia="仿宋_GB2312"/>
          <w:sz w:val="24"/>
        </w:rPr>
      </w:pPr>
      <w:r>
        <w:rPr>
          <w:rFonts w:ascii="仿宋_GB2312" w:eastAsia="仿宋_GB2312"/>
          <w:sz w:val="24"/>
        </w:rPr>
        <w:br w:type="page"/>
      </w:r>
    </w:p>
    <w:p>
      <w:pPr>
        <w:pStyle w:val="22"/>
        <w:jc w:val="center"/>
        <w:outlineLvl w:val="0"/>
        <w:rPr>
          <w:rFonts w:ascii="宋体" w:hAnsi="宋体"/>
          <w:sz w:val="44"/>
          <w:szCs w:val="44"/>
        </w:rPr>
      </w:pPr>
      <w:bookmarkStart w:id="350" w:name="_Toc241827252"/>
      <w:bookmarkStart w:id="351" w:name="_Toc19034440"/>
      <w:bookmarkStart w:id="352" w:name="_Toc421042647"/>
      <w:bookmarkStart w:id="353" w:name="_Toc19034380"/>
      <w:bookmarkStart w:id="354" w:name="_Toc86202632"/>
      <w:bookmarkStart w:id="355" w:name="_Toc19039762"/>
      <w:bookmarkStart w:id="356" w:name="_Toc421032045"/>
      <w:bookmarkStart w:id="357" w:name="_Toc18928246"/>
      <w:bookmarkStart w:id="358" w:name="_Toc86202637"/>
      <w:bookmarkStart w:id="359" w:name="_Toc241827256"/>
      <w:r>
        <w:rPr>
          <w:rFonts w:ascii="宋体" w:hAnsi="宋体"/>
          <w:b/>
          <w:sz w:val="44"/>
          <w:szCs w:val="44"/>
        </w:rPr>
        <w:t>第</w:t>
      </w:r>
      <w:r>
        <w:rPr>
          <w:rFonts w:hint="eastAsia" w:ascii="宋体" w:hAnsi="宋体"/>
          <w:b/>
          <w:sz w:val="44"/>
          <w:szCs w:val="44"/>
          <w:lang w:val="en-US" w:eastAsia="zh-CN"/>
        </w:rPr>
        <w:t>五</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0"/>
      <w:bookmarkEnd w:id="351"/>
      <w:bookmarkEnd w:id="352"/>
      <w:bookmarkEnd w:id="353"/>
      <w:bookmarkEnd w:id="354"/>
      <w:bookmarkEnd w:id="355"/>
      <w:bookmarkEnd w:id="356"/>
      <w:bookmarkEnd w:id="357"/>
      <w:bookmarkStart w:id="360" w:name="_Toc86202633"/>
    </w:p>
    <w:bookmarkEnd w:id="358"/>
    <w:bookmarkEnd w:id="359"/>
    <w:bookmarkEnd w:id="360"/>
    <w:p>
      <w:pPr>
        <w:snapToGrid w:val="0"/>
        <w:spacing w:before="240" w:beforeLines="100" w:line="360" w:lineRule="auto"/>
        <w:jc w:val="center"/>
        <w:outlineLvl w:val="1"/>
        <w:rPr>
          <w:b/>
          <w:sz w:val="32"/>
          <w:szCs w:val="32"/>
        </w:rPr>
      </w:pPr>
      <w:bookmarkStart w:id="361" w:name="_Toc421537793"/>
      <w:bookmarkStart w:id="362" w:name="_Toc421175278"/>
      <w:r>
        <w:rPr>
          <w:rFonts w:hint="eastAsia" w:ascii="宋体" w:hAnsi="宋体"/>
          <w:b/>
          <w:sz w:val="32"/>
          <w:szCs w:val="32"/>
        </w:rPr>
        <w:t xml:space="preserve">附件1   </w:t>
      </w:r>
      <w:bookmarkEnd w:id="361"/>
      <w:bookmarkEnd w:id="362"/>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中国人民健康保险股份有限公司上海分公司</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 xml:space="preserve"> </w:t>
      </w:r>
      <w:r>
        <w:rPr>
          <w:rFonts w:hint="eastAsia" w:ascii="宋体" w:hAnsi="宋体"/>
        </w:rPr>
        <w:t>]份，副本[</w:t>
      </w:r>
      <w:r>
        <w:rPr>
          <w:rFonts w:hint="eastAsia" w:ascii="宋体" w:hAnsi="宋体"/>
          <w:lang w:val="en-US" w:eastAsia="zh-CN"/>
        </w:rPr>
        <w:t xml:space="preserve"> </w:t>
      </w:r>
      <w:r>
        <w:rPr>
          <w:rFonts w:hint="eastAsia" w:ascii="宋体" w:hAnsi="宋体"/>
        </w:rPr>
        <w:t>]份、电子版[</w:t>
      </w:r>
      <w:r>
        <w:rPr>
          <w:rFonts w:hint="eastAsia" w:ascii="宋体" w:hAnsi="宋体"/>
          <w:lang w:val="en-US" w:eastAsia="zh-CN"/>
        </w:rPr>
        <w:t xml:space="preserve"> </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9"/>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9"/>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9"/>
        </w:numPr>
        <w:adjustRightInd/>
        <w:spacing w:line="360" w:lineRule="auto"/>
        <w:jc w:val="both"/>
        <w:textAlignment w:val="auto"/>
        <w:rPr>
          <w:rFonts w:hint="eastAsia" w:ascii="宋体" w:hAnsi="宋体"/>
        </w:rPr>
      </w:pPr>
      <w:r>
        <w:rPr>
          <w:rFonts w:hint="eastAsia" w:ascii="宋体" w:hAnsi="宋体"/>
        </w:rPr>
        <w:t>我方可开具正规合法的增值税专用发票并依法缴纳税收和社会保障资金；</w:t>
      </w:r>
    </w:p>
    <w:p>
      <w:pPr>
        <w:numPr>
          <w:ilvl w:val="0"/>
          <w:numId w:val="9"/>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9"/>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9"/>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7"/>
        <w:tabs>
          <w:tab w:val="left" w:pos="5580"/>
        </w:tabs>
        <w:rPr>
          <w:rFonts w:hint="eastAsia" w:hAnsi="宋体"/>
          <w:szCs w:val="24"/>
          <w:u w:val="single"/>
        </w:rPr>
        <w:sectPr>
          <w:headerReference r:id="rId12" w:type="default"/>
          <w:footerReference r:id="rId13"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b/>
          <w:sz w:val="32"/>
          <w:szCs w:val="32"/>
        </w:rPr>
      </w:pPr>
      <w:bookmarkStart w:id="363" w:name="_Toc19034382"/>
      <w:bookmarkStart w:id="364" w:name="_Toc421032047"/>
      <w:bookmarkStart w:id="365" w:name="_Toc195842922"/>
      <w:bookmarkStart w:id="366" w:name="_Toc421042649"/>
      <w:r>
        <w:rPr>
          <w:rFonts w:ascii="宋体" w:hAnsi="宋体"/>
          <w:b/>
          <w:sz w:val="32"/>
          <w:szCs w:val="32"/>
        </w:rPr>
        <w:t>附件2</w:t>
      </w:r>
      <w:bookmarkEnd w:id="363"/>
      <w:r>
        <w:rPr>
          <w:rFonts w:ascii="宋体" w:hAnsi="宋体"/>
          <w:b/>
          <w:sz w:val="32"/>
          <w:szCs w:val="32"/>
        </w:rPr>
        <w:t xml:space="preserve"> </w:t>
      </w:r>
      <w:bookmarkEnd w:id="364"/>
      <w:bookmarkEnd w:id="365"/>
      <w:bookmarkEnd w:id="366"/>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7"/>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13"/>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pPr>
              <w:tabs>
                <w:tab w:val="left" w:pos="5580"/>
              </w:tabs>
              <w:spacing w:line="360" w:lineRule="auto"/>
              <w:jc w:val="center"/>
              <w:rPr>
                <w:rFonts w:ascii="宋体" w:hAnsi="宋体"/>
                <w:szCs w:val="24"/>
              </w:rPr>
            </w:pPr>
            <w:r>
              <w:rPr>
                <w:rFonts w:hint="eastAsia" w:ascii="宋体" w:hAnsi="宋体"/>
                <w:szCs w:val="24"/>
                <w:lang w:val="en-US" w:eastAsia="zh-CN"/>
              </w:rPr>
              <w:t>含税</w:t>
            </w:r>
            <w:r>
              <w:rPr>
                <w:rFonts w:hint="eastAsia" w:ascii="宋体" w:hAnsi="宋体"/>
                <w:szCs w:val="24"/>
                <w:lang w:eastAsia="zh-CN"/>
              </w:rPr>
              <w:t>响应</w:t>
            </w:r>
            <w:r>
              <w:rPr>
                <w:rFonts w:hint="eastAsia" w:ascii="宋体" w:hAnsi="宋体"/>
                <w:szCs w:val="24"/>
              </w:rPr>
              <w:t>总价</w:t>
            </w:r>
          </w:p>
          <w:p>
            <w:pPr>
              <w:tabs>
                <w:tab w:val="left" w:pos="5580"/>
              </w:tabs>
              <w:spacing w:line="360" w:lineRule="auto"/>
              <w:jc w:val="center"/>
              <w:rPr>
                <w:rFonts w:ascii="宋体" w:hAnsi="宋体"/>
                <w:szCs w:val="24"/>
              </w:rPr>
            </w:pPr>
            <w:r>
              <w:rPr>
                <w:rFonts w:hint="eastAsia" w:ascii="宋体" w:hAnsi="宋体"/>
                <w:szCs w:val="24"/>
              </w:rPr>
              <w:t>（人民币：元）</w:t>
            </w:r>
          </w:p>
        </w:tc>
        <w:tc>
          <w:tcPr>
            <w:tcW w:w="1286" w:type="pct"/>
            <w:noWrap w:val="0"/>
            <w:vAlign w:val="center"/>
          </w:tcPr>
          <w:p>
            <w:pPr>
              <w:tabs>
                <w:tab w:val="left" w:pos="5580"/>
              </w:tabs>
              <w:spacing w:line="360" w:lineRule="auto"/>
              <w:jc w:val="center"/>
              <w:rPr>
                <w:rFonts w:ascii="宋体" w:hAnsi="宋体"/>
                <w:szCs w:val="24"/>
              </w:rPr>
            </w:pPr>
            <w:r>
              <w:rPr>
                <w:rFonts w:hint="eastAsia" w:ascii="宋体" w:hAnsi="宋体"/>
                <w:szCs w:val="24"/>
              </w:rPr>
              <w:t>交货</w:t>
            </w:r>
            <w:r>
              <w:rPr>
                <w:rFonts w:hint="eastAsia" w:ascii="宋体" w:hAnsi="宋体"/>
                <w:szCs w:val="24"/>
                <w:lang w:val="en-US" w:eastAsia="zh-CN"/>
              </w:rPr>
              <w:t>期/服务</w:t>
            </w:r>
            <w:r>
              <w:rPr>
                <w:rFonts w:hint="eastAsia" w:ascii="宋体" w:hAnsi="宋体"/>
                <w:szCs w:val="24"/>
              </w:rPr>
              <w:t>期</w:t>
            </w:r>
          </w:p>
        </w:tc>
        <w:tc>
          <w:tcPr>
            <w:tcW w:w="1132" w:type="pct"/>
            <w:noWrap w:val="0"/>
            <w:vAlign w:val="center"/>
          </w:tcPr>
          <w:p>
            <w:pPr>
              <w:tabs>
                <w:tab w:val="left" w:pos="5580"/>
              </w:tabs>
              <w:spacing w:line="360" w:lineRule="auto"/>
              <w:jc w:val="center"/>
              <w:rPr>
                <w:rFonts w:ascii="宋体" w:hAnsi="宋体"/>
                <w:szCs w:val="24"/>
              </w:rPr>
            </w:pPr>
            <w:r>
              <w:rPr>
                <w:rFonts w:hint="eastAsia" w:ascii="宋体" w:hAnsi="宋体"/>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pPr>
              <w:tabs>
                <w:tab w:val="left" w:pos="5580"/>
              </w:tabs>
              <w:spacing w:line="360" w:lineRule="auto"/>
              <w:jc w:val="center"/>
              <w:rPr>
                <w:rFonts w:ascii="宋体" w:hAnsi="宋体"/>
                <w:szCs w:val="24"/>
              </w:rPr>
            </w:pPr>
          </w:p>
        </w:tc>
        <w:tc>
          <w:tcPr>
            <w:tcW w:w="1286" w:type="pct"/>
            <w:noWrap w:val="0"/>
            <w:vAlign w:val="center"/>
          </w:tcPr>
          <w:p>
            <w:pPr>
              <w:tabs>
                <w:tab w:val="left" w:pos="5580"/>
              </w:tabs>
              <w:spacing w:line="360" w:lineRule="auto"/>
              <w:jc w:val="center"/>
              <w:rPr>
                <w:rFonts w:ascii="宋体" w:hAnsi="宋体"/>
                <w:szCs w:val="24"/>
              </w:rPr>
            </w:pPr>
          </w:p>
        </w:tc>
        <w:tc>
          <w:tcPr>
            <w:tcW w:w="1132" w:type="pct"/>
            <w:noWrap w:val="0"/>
            <w:vAlign w:val="center"/>
          </w:tcPr>
          <w:p>
            <w:pPr>
              <w:tabs>
                <w:tab w:val="left" w:pos="5580"/>
              </w:tabs>
              <w:spacing w:line="360" w:lineRule="auto"/>
              <w:jc w:val="center"/>
              <w:rPr>
                <w:rFonts w:ascii="宋体" w:hAnsi="宋体"/>
                <w:szCs w:val="24"/>
              </w:rPr>
            </w:pPr>
          </w:p>
        </w:tc>
      </w:tr>
    </w:tbl>
    <w:p>
      <w:pPr>
        <w:pStyle w:val="7"/>
        <w:tabs>
          <w:tab w:val="left" w:pos="5580"/>
        </w:tabs>
        <w:ind w:left="680" w:hanging="680"/>
        <w:rPr>
          <w:rFonts w:hAnsi="宋体"/>
          <w:sz w:val="24"/>
          <w:szCs w:val="24"/>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7"/>
        <w:tabs>
          <w:tab w:val="left" w:pos="5580"/>
        </w:tabs>
        <w:rPr>
          <w:rFonts w:hAnsi="宋体"/>
          <w:sz w:val="24"/>
          <w:szCs w:val="24"/>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cs="Courier New"/>
          <w:kern w:val="2"/>
          <w:sz w:val="21"/>
          <w:szCs w:val="21"/>
          <w:highlight w:val="yellow"/>
        </w:rPr>
        <w:t>人民币</w:t>
      </w:r>
      <w:r>
        <w:rPr>
          <w:rFonts w:hint="eastAsia" w:ascii="宋体" w:hAnsi="宋体" w:cs="Courier New"/>
          <w:kern w:val="2"/>
          <w:sz w:val="21"/>
          <w:szCs w:val="21"/>
        </w:rPr>
        <w:t>填报。采购人不接受任何非人民币币种的报价。</w:t>
      </w:r>
    </w:p>
    <w:p>
      <w:pPr>
        <w:pStyle w:val="7"/>
        <w:tabs>
          <w:tab w:val="left" w:pos="5580"/>
        </w:tabs>
        <w:rPr>
          <w:rFonts w:hAnsi="宋体"/>
        </w:rPr>
        <w:sectPr>
          <w:pgSz w:w="16840" w:h="11907" w:orient="landscape"/>
          <w:pgMar w:top="1701" w:right="1797" w:bottom="1134" w:left="1797" w:header="1134" w:footer="992" w:gutter="0"/>
          <w:cols w:space="720" w:num="1"/>
          <w:docGrid w:linePitch="312" w:charSpace="0"/>
        </w:sectPr>
      </w:pPr>
    </w:p>
    <w:p>
      <w:pPr>
        <w:snapToGrid w:val="0"/>
        <w:spacing w:line="360" w:lineRule="auto"/>
        <w:jc w:val="center"/>
        <w:outlineLvl w:val="1"/>
        <w:rPr>
          <w:rFonts w:ascii="宋体" w:hAnsi="宋体"/>
          <w:b/>
          <w:sz w:val="32"/>
          <w:szCs w:val="32"/>
        </w:rPr>
      </w:pPr>
      <w:bookmarkStart w:id="367" w:name="_Toc421042650"/>
      <w:bookmarkStart w:id="368" w:name="_Toc19034383"/>
      <w:bookmarkStart w:id="369" w:name="_Toc421032048"/>
      <w:bookmarkStart w:id="370" w:name="_Toc195842924"/>
      <w:r>
        <w:rPr>
          <w:rFonts w:ascii="宋体" w:hAnsi="宋体"/>
          <w:b/>
          <w:sz w:val="32"/>
          <w:szCs w:val="32"/>
        </w:rPr>
        <w:t>附件3</w:t>
      </w:r>
      <w:bookmarkEnd w:id="367"/>
      <w:bookmarkEnd w:id="368"/>
      <w:bookmarkEnd w:id="369"/>
      <w:bookmarkEnd w:id="370"/>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分项报价表</w:t>
      </w:r>
    </w:p>
    <w:p>
      <w:pPr>
        <w:pStyle w:val="7"/>
        <w:rPr>
          <w:rFonts w:hAnsi="宋体"/>
          <w:sz w:val="24"/>
          <w:szCs w:val="24"/>
        </w:rPr>
      </w:pPr>
      <w:r>
        <w:rPr>
          <w:rFonts w:hint="eastAsia" w:hAnsi="宋体"/>
          <w:sz w:val="24"/>
          <w:szCs w:val="24"/>
        </w:rPr>
        <w:t>项目名称：</w:t>
      </w:r>
      <w:r>
        <w:rPr>
          <w:rFonts w:hAnsi="宋体"/>
          <w:sz w:val="24"/>
          <w:szCs w:val="24"/>
          <w:u w:val="single"/>
        </w:rPr>
        <w:t xml:space="preserve">                                </w:t>
      </w:r>
      <w:r>
        <w:rPr>
          <w:rFonts w:hAnsi="宋体"/>
          <w:sz w:val="24"/>
          <w:szCs w:val="24"/>
        </w:rPr>
        <w:t xml:space="preserve">  </w:t>
      </w:r>
    </w:p>
    <w:tbl>
      <w:tblPr>
        <w:tblStyle w:val="13"/>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943"/>
        <w:gridCol w:w="1443"/>
        <w:gridCol w:w="985"/>
        <w:gridCol w:w="1469"/>
        <w:gridCol w:w="898"/>
        <w:gridCol w:w="1107"/>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both"/>
              <w:rPr>
                <w:rFonts w:hAnsi="宋体"/>
                <w:sz w:val="24"/>
                <w:szCs w:val="24"/>
              </w:rPr>
            </w:pPr>
            <w:r>
              <w:rPr>
                <w:rFonts w:hAnsi="宋体"/>
                <w:sz w:val="24"/>
                <w:szCs w:val="24"/>
              </w:rPr>
              <w:t>序号</w:t>
            </w:r>
          </w:p>
        </w:tc>
        <w:tc>
          <w:tcPr>
            <w:tcW w:w="1061" w:type="pct"/>
            <w:noWrap w:val="0"/>
            <w:vAlign w:val="center"/>
          </w:tcPr>
          <w:p>
            <w:pPr>
              <w:pStyle w:val="7"/>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790" w:type="pct"/>
            <w:noWrap w:val="0"/>
            <w:vAlign w:val="center"/>
          </w:tcPr>
          <w:p>
            <w:pPr>
              <w:pStyle w:val="7"/>
              <w:jc w:val="center"/>
              <w:rPr>
                <w:rFonts w:hint="default" w:hAnsi="宋体" w:eastAsia="宋体"/>
                <w:sz w:val="24"/>
                <w:szCs w:val="24"/>
                <w:lang w:val="en-US" w:eastAsia="zh-CN"/>
              </w:rPr>
            </w:pPr>
            <w:r>
              <w:rPr>
                <w:rFonts w:hint="eastAsia" w:hAnsi="宋体"/>
                <w:sz w:val="24"/>
                <w:szCs w:val="24"/>
                <w:lang w:val="en-US" w:eastAsia="zh-CN"/>
              </w:rPr>
              <w:t>报价内容说明</w:t>
            </w:r>
          </w:p>
        </w:tc>
        <w:tc>
          <w:tcPr>
            <w:tcW w:w="542" w:type="pct"/>
            <w:noWrap w:val="0"/>
            <w:vAlign w:val="center"/>
          </w:tcPr>
          <w:p>
            <w:pPr>
              <w:pStyle w:val="7"/>
              <w:jc w:val="center"/>
              <w:rPr>
                <w:rFonts w:hAnsi="宋体"/>
                <w:sz w:val="24"/>
                <w:szCs w:val="24"/>
              </w:rPr>
            </w:pPr>
            <w:r>
              <w:rPr>
                <w:rFonts w:hAnsi="宋体"/>
                <w:sz w:val="24"/>
                <w:szCs w:val="24"/>
              </w:rPr>
              <w:t>数量</w:t>
            </w:r>
          </w:p>
        </w:tc>
        <w:tc>
          <w:tcPr>
            <w:tcW w:w="804" w:type="pct"/>
            <w:noWrap w:val="0"/>
            <w:vAlign w:val="center"/>
          </w:tcPr>
          <w:p>
            <w:pPr>
              <w:pStyle w:val="7"/>
              <w:jc w:val="center"/>
              <w:rPr>
                <w:rFonts w:hint="eastAsia" w:hAnsi="宋体" w:eastAsia="宋体"/>
                <w:sz w:val="24"/>
                <w:szCs w:val="24"/>
                <w:lang w:eastAsia="zh-CN"/>
              </w:rPr>
            </w:pPr>
            <w:r>
              <w:rPr>
                <w:rFonts w:hAnsi="宋体"/>
                <w:sz w:val="24"/>
                <w:szCs w:val="24"/>
              </w:rPr>
              <w:t>单价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493" w:type="pct"/>
            <w:noWrap w:val="0"/>
            <w:vAlign w:val="center"/>
          </w:tcPr>
          <w:p>
            <w:pPr>
              <w:pStyle w:val="7"/>
              <w:jc w:val="center"/>
              <w:rPr>
                <w:rFonts w:hint="default" w:hAnsi="宋体"/>
                <w:sz w:val="24"/>
                <w:szCs w:val="24"/>
                <w:lang w:val="en-US" w:eastAsia="zh-CN"/>
              </w:rPr>
            </w:pPr>
            <w:r>
              <w:rPr>
                <w:rFonts w:hint="eastAsia" w:hAnsi="宋体"/>
                <w:sz w:val="24"/>
                <w:szCs w:val="24"/>
                <w:lang w:val="en-US" w:eastAsia="zh-CN"/>
              </w:rPr>
              <w:t>税率</w:t>
            </w:r>
          </w:p>
        </w:tc>
        <w:tc>
          <w:tcPr>
            <w:tcW w:w="608" w:type="pct"/>
            <w:noWrap w:val="0"/>
            <w:vAlign w:val="center"/>
          </w:tcPr>
          <w:p>
            <w:pPr>
              <w:pStyle w:val="7"/>
              <w:jc w:val="center"/>
              <w:rPr>
                <w:rFonts w:hint="eastAsia" w:hAnsi="宋体" w:eastAsia="宋体"/>
                <w:sz w:val="24"/>
                <w:szCs w:val="24"/>
                <w:lang w:eastAsia="zh-CN"/>
              </w:rPr>
            </w:pPr>
            <w:r>
              <w:rPr>
                <w:rFonts w:hint="eastAsia" w:hAnsi="宋体"/>
                <w:sz w:val="24"/>
                <w:szCs w:val="24"/>
                <w:lang w:val="en-US" w:eastAsia="zh-CN"/>
              </w:rPr>
              <w:t>合</w:t>
            </w:r>
            <w:r>
              <w:rPr>
                <w:rFonts w:hAnsi="宋体"/>
                <w:sz w:val="24"/>
                <w:szCs w:val="24"/>
              </w:rPr>
              <w:t>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378" w:type="pct"/>
            <w:noWrap w:val="0"/>
            <w:vAlign w:val="center"/>
          </w:tcPr>
          <w:p>
            <w:pPr>
              <w:pStyle w:val="7"/>
              <w:jc w:val="center"/>
              <w:rPr>
                <w:rFonts w:hAnsi="宋体"/>
                <w:sz w:val="24"/>
                <w:szCs w:val="24"/>
              </w:rPr>
            </w:pPr>
            <w:r>
              <w:rPr>
                <w:rFonts w:hAnsi="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1</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2</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3</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4</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5</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6</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Ansi="宋体"/>
                <w:sz w:val="24"/>
                <w:szCs w:val="24"/>
              </w:rPr>
            </w:pPr>
            <w:r>
              <w:rPr>
                <w:rFonts w:hAnsi="宋体"/>
                <w:sz w:val="24"/>
                <w:szCs w:val="24"/>
              </w:rPr>
              <w:t>7</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int="eastAsia" w:hAnsi="宋体" w:eastAsia="宋体"/>
                <w:sz w:val="24"/>
                <w:szCs w:val="24"/>
                <w:lang w:eastAsia="zh-CN"/>
              </w:rPr>
            </w:pPr>
            <w:r>
              <w:rPr>
                <w:rFonts w:hint="eastAsia" w:hAnsi="宋体"/>
                <w:sz w:val="24"/>
                <w:szCs w:val="24"/>
                <w:lang w:val="en-US" w:eastAsia="zh-CN"/>
              </w:rPr>
              <w:t>8</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7"/>
              <w:jc w:val="center"/>
              <w:rPr>
                <w:rFonts w:hint="default" w:hAnsi="宋体" w:eastAsia="宋体"/>
                <w:sz w:val="24"/>
                <w:szCs w:val="24"/>
                <w:lang w:val="en-US" w:eastAsia="zh-CN"/>
              </w:rPr>
            </w:pPr>
            <w:r>
              <w:rPr>
                <w:rFonts w:hint="eastAsia" w:hAnsi="宋体"/>
                <w:sz w:val="24"/>
                <w:szCs w:val="24"/>
                <w:lang w:val="en-US" w:eastAsia="zh-CN"/>
              </w:rPr>
              <w:t>……</w:t>
            </w:r>
          </w:p>
        </w:tc>
        <w:tc>
          <w:tcPr>
            <w:tcW w:w="1061" w:type="pct"/>
            <w:noWrap w:val="0"/>
            <w:vAlign w:val="center"/>
          </w:tcPr>
          <w:p>
            <w:pPr>
              <w:pStyle w:val="7"/>
              <w:jc w:val="center"/>
              <w:rPr>
                <w:rFonts w:hAnsi="宋体"/>
                <w:sz w:val="24"/>
                <w:szCs w:val="24"/>
              </w:rPr>
            </w:pPr>
          </w:p>
        </w:tc>
        <w:tc>
          <w:tcPr>
            <w:tcW w:w="790" w:type="pct"/>
            <w:noWrap w:val="0"/>
            <w:vAlign w:val="center"/>
          </w:tcPr>
          <w:p>
            <w:pPr>
              <w:pStyle w:val="7"/>
              <w:jc w:val="center"/>
              <w:rPr>
                <w:rFonts w:hAnsi="宋体"/>
                <w:sz w:val="24"/>
                <w:szCs w:val="24"/>
              </w:rPr>
            </w:pPr>
          </w:p>
        </w:tc>
        <w:tc>
          <w:tcPr>
            <w:tcW w:w="542" w:type="pct"/>
            <w:noWrap w:val="0"/>
            <w:vAlign w:val="center"/>
          </w:tcPr>
          <w:p>
            <w:pPr>
              <w:pStyle w:val="7"/>
              <w:jc w:val="center"/>
              <w:rPr>
                <w:rFonts w:hAnsi="宋体"/>
                <w:sz w:val="24"/>
                <w:szCs w:val="24"/>
              </w:rPr>
            </w:pPr>
          </w:p>
        </w:tc>
        <w:tc>
          <w:tcPr>
            <w:tcW w:w="804" w:type="pct"/>
            <w:noWrap w:val="0"/>
            <w:vAlign w:val="center"/>
          </w:tcPr>
          <w:p>
            <w:pPr>
              <w:pStyle w:val="7"/>
              <w:jc w:val="center"/>
              <w:rPr>
                <w:rFonts w:hAnsi="宋体"/>
                <w:sz w:val="24"/>
                <w:szCs w:val="24"/>
              </w:rPr>
            </w:pPr>
          </w:p>
        </w:tc>
        <w:tc>
          <w:tcPr>
            <w:tcW w:w="493" w:type="pct"/>
            <w:noWrap w:val="0"/>
            <w:vAlign w:val="center"/>
          </w:tcPr>
          <w:p>
            <w:pPr>
              <w:pStyle w:val="7"/>
              <w:jc w:val="center"/>
              <w:rPr>
                <w:rFonts w:hAnsi="宋体"/>
                <w:sz w:val="24"/>
                <w:szCs w:val="24"/>
              </w:rPr>
            </w:pP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pPr>
              <w:pStyle w:val="7"/>
              <w:jc w:val="center"/>
              <w:rPr>
                <w:rFonts w:hAnsi="宋体"/>
                <w:sz w:val="24"/>
                <w:szCs w:val="24"/>
              </w:rPr>
            </w:pPr>
            <w:r>
              <w:rPr>
                <w:rFonts w:hint="eastAsia" w:hAnsi="宋体"/>
                <w:sz w:val="24"/>
                <w:szCs w:val="24"/>
                <w:lang w:val="en-US" w:eastAsia="zh-CN"/>
              </w:rPr>
              <w:t>合计</w:t>
            </w:r>
          </w:p>
        </w:tc>
        <w:tc>
          <w:tcPr>
            <w:tcW w:w="608" w:type="pct"/>
            <w:noWrap w:val="0"/>
            <w:vAlign w:val="center"/>
          </w:tcPr>
          <w:p>
            <w:pPr>
              <w:pStyle w:val="7"/>
              <w:jc w:val="center"/>
              <w:rPr>
                <w:rFonts w:hAnsi="宋体"/>
                <w:sz w:val="24"/>
                <w:szCs w:val="24"/>
              </w:rPr>
            </w:pPr>
          </w:p>
        </w:tc>
        <w:tc>
          <w:tcPr>
            <w:tcW w:w="378" w:type="pct"/>
            <w:noWrap w:val="0"/>
            <w:vAlign w:val="center"/>
          </w:tcPr>
          <w:p>
            <w:pPr>
              <w:pStyle w:val="7"/>
              <w:jc w:val="center"/>
              <w:rPr>
                <w:rFonts w:hAnsi="宋体"/>
                <w:sz w:val="24"/>
                <w:szCs w:val="24"/>
              </w:rPr>
            </w:pPr>
          </w:p>
        </w:tc>
      </w:tr>
    </w:tbl>
    <w:p>
      <w:pPr>
        <w:pStyle w:val="7"/>
        <w:rPr>
          <w:rFonts w:hAnsi="宋体"/>
          <w:sz w:val="24"/>
          <w:szCs w:val="24"/>
        </w:rPr>
      </w:pPr>
    </w:p>
    <w:p>
      <w:pPr>
        <w:tabs>
          <w:tab w:val="left" w:pos="5580"/>
        </w:tabs>
        <w:spacing w:line="360" w:lineRule="auto"/>
        <w:rPr>
          <w:rFonts w:ascii="宋体" w:hAnsi="宋体"/>
          <w:szCs w:val="24"/>
          <w:u w:val="single"/>
        </w:rPr>
      </w:pPr>
      <w:bookmarkStart w:id="371" w:name="_Toc195842925"/>
      <w:bookmarkStart w:id="372" w:name="_Toc127151560"/>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 w:val="21"/>
          <w:szCs w:val="21"/>
        </w:rPr>
      </w:pPr>
      <w:r>
        <w:rPr>
          <w:rFonts w:hint="eastAsia" w:ascii="宋体" w:hAnsi="宋体"/>
          <w:szCs w:val="24"/>
        </w:rPr>
        <w:t>法人代表或其授权人：</w:t>
      </w:r>
      <w:r>
        <w:rPr>
          <w:rFonts w:ascii="宋体" w:hAnsi="宋体"/>
          <w:szCs w:val="24"/>
          <w:u w:val="single"/>
        </w:rPr>
        <w:t xml:space="preserve">    （签字/盖章）      </w:t>
      </w:r>
    </w:p>
    <w:p>
      <w:pPr>
        <w:tabs>
          <w:tab w:val="left" w:pos="1800"/>
          <w:tab w:val="left" w:pos="5580"/>
        </w:tabs>
        <w:rPr>
          <w:rFonts w:ascii="宋体" w:hAnsi="宋体"/>
          <w:sz w:val="21"/>
          <w:szCs w:val="21"/>
        </w:rPr>
      </w:pPr>
    </w:p>
    <w:p>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pPr>
        <w:numPr>
          <w:ilvl w:val="0"/>
          <w:numId w:val="0"/>
        </w:numPr>
        <w:tabs>
          <w:tab w:val="left" w:pos="1800"/>
          <w:tab w:val="left" w:pos="5580"/>
        </w:tabs>
        <w:ind w:leftChars="0" w:firstLine="420" w:firstLineChars="200"/>
      </w:pPr>
      <w:r>
        <w:rPr>
          <w:rFonts w:hint="eastAsia" w:ascii="宋体" w:hAnsi="宋体" w:cs="Times New Roman"/>
          <w:sz w:val="21"/>
          <w:szCs w:val="21"/>
          <w:lang w:val="en-US" w:eastAsia="zh-CN"/>
        </w:rPr>
        <w:t>3.</w:t>
      </w:r>
      <w:r>
        <w:rPr>
          <w:rFonts w:hint="eastAsia" w:ascii="宋体" w:hAnsi="宋体" w:eastAsia="宋体" w:cs="Times New Roman"/>
          <w:sz w:val="21"/>
          <w:szCs w:val="21"/>
        </w:rPr>
        <w:t>上表中数量为预估数量，本项目采用服务订单按需计费。</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pPr>
        <w:numPr>
          <w:ilvl w:val="0"/>
          <w:numId w:val="0"/>
        </w:numPr>
        <w:tabs>
          <w:tab w:val="left" w:pos="1800"/>
          <w:tab w:val="left" w:pos="5580"/>
        </w:tabs>
        <w:outlineLvl w:val="9"/>
      </w:pPr>
    </w:p>
    <w:p>
      <w:pPr>
        <w:numPr>
          <w:ilvl w:val="0"/>
          <w:numId w:val="0"/>
        </w:numPr>
        <w:tabs>
          <w:tab w:val="left" w:pos="1800"/>
          <w:tab w:val="left" w:pos="5580"/>
        </w:tabs>
        <w:ind w:leftChars="0" w:firstLine="480" w:firstLineChars="200"/>
        <w:outlineLvl w:val="9"/>
      </w:pPr>
    </w:p>
    <w:p>
      <w:pPr>
        <w:tabs>
          <w:tab w:val="left" w:pos="1800"/>
          <w:tab w:val="left" w:pos="5580"/>
        </w:tabs>
        <w:ind w:left="0" w:leftChars="0" w:firstLine="478" w:firstLineChars="228"/>
        <w:outlineLvl w:val="9"/>
        <w:rPr>
          <w:rFonts w:hint="eastAsia" w:ascii="宋体" w:hAnsi="宋体" w:eastAsia="宋体" w:cs="Times New Roman"/>
          <w:sz w:val="21"/>
          <w:szCs w:val="21"/>
        </w:rPr>
      </w:pPr>
    </w:p>
    <w:bookmarkEnd w:id="371"/>
    <w:bookmarkEnd w:id="372"/>
    <w:p>
      <w:pPr>
        <w:snapToGrid w:val="0"/>
        <w:spacing w:line="360" w:lineRule="auto"/>
        <w:jc w:val="center"/>
        <w:outlineLvl w:val="9"/>
        <w:rPr>
          <w:rFonts w:hint="eastAsia" w:ascii="宋体" w:hAnsi="宋体"/>
          <w:b/>
          <w:sz w:val="32"/>
          <w:szCs w:val="32"/>
        </w:rPr>
      </w:pPr>
      <w:bookmarkStart w:id="373" w:name="_Toc421032051"/>
      <w:bookmarkStart w:id="374" w:name="_Toc421042653"/>
      <w:bookmarkStart w:id="375" w:name="_Toc421042652"/>
      <w:bookmarkStart w:id="376" w:name="_Toc195842926"/>
      <w:bookmarkStart w:id="377" w:name="_Toc421032050"/>
    </w:p>
    <w:p>
      <w:pPr>
        <w:snapToGrid w:val="0"/>
        <w:spacing w:line="360" w:lineRule="auto"/>
        <w:jc w:val="center"/>
        <w:outlineLvl w:val="9"/>
        <w:rPr>
          <w:rFonts w:hint="eastAsia" w:ascii="宋体" w:hAnsi="宋体"/>
          <w:b/>
          <w:sz w:val="32"/>
          <w:szCs w:val="32"/>
        </w:rPr>
      </w:pPr>
    </w:p>
    <w:p>
      <w:pPr>
        <w:snapToGrid w:val="0"/>
        <w:spacing w:line="360" w:lineRule="auto"/>
        <w:jc w:val="center"/>
        <w:outlineLvl w:val="9"/>
        <w:rPr>
          <w:rFonts w:hint="eastAsia" w:ascii="宋体" w:hAnsi="宋体"/>
          <w:b/>
          <w:sz w:val="32"/>
          <w:szCs w:val="32"/>
        </w:rPr>
      </w:pPr>
    </w:p>
    <w:p>
      <w:pPr>
        <w:snapToGrid w:val="0"/>
        <w:spacing w:line="360" w:lineRule="auto"/>
        <w:jc w:val="center"/>
        <w:outlineLvl w:val="9"/>
        <w:rPr>
          <w:rFonts w:hint="eastAsia" w:ascii="宋体" w:hAnsi="宋体"/>
          <w:b/>
          <w:sz w:val="32"/>
          <w:szCs w:val="32"/>
        </w:rPr>
      </w:pPr>
    </w:p>
    <w:p>
      <w:pPr>
        <w:snapToGrid w:val="0"/>
        <w:spacing w:line="360" w:lineRule="auto"/>
        <w:jc w:val="center"/>
        <w:outlineLvl w:val="9"/>
        <w:rPr>
          <w:rFonts w:hint="eastAsia" w:ascii="宋体" w:hAnsi="宋体"/>
          <w:b/>
          <w:sz w:val="32"/>
          <w:szCs w:val="32"/>
        </w:rPr>
      </w:pPr>
    </w:p>
    <w:p>
      <w:pPr>
        <w:snapToGrid w:val="0"/>
        <w:spacing w:line="360" w:lineRule="auto"/>
        <w:jc w:val="center"/>
        <w:outlineLvl w:val="9"/>
        <w:rPr>
          <w:rFonts w:hint="eastAsia" w:ascii="宋体" w:hAnsi="宋体"/>
          <w:b/>
          <w:sz w:val="32"/>
          <w:szCs w:val="32"/>
        </w:rPr>
      </w:pPr>
    </w:p>
    <w:p>
      <w:pPr>
        <w:snapToGrid w:val="0"/>
        <w:spacing w:line="360" w:lineRule="auto"/>
        <w:jc w:val="center"/>
        <w:outlineLvl w:val="9"/>
        <w:rPr>
          <w:rFonts w:hint="eastAsia" w:ascii="宋体" w:hAnsi="宋体"/>
          <w:b/>
          <w:sz w:val="32"/>
          <w:szCs w:val="32"/>
        </w:rPr>
      </w:pPr>
    </w:p>
    <w:p>
      <w:pPr>
        <w:snapToGrid w:val="0"/>
        <w:spacing w:line="360" w:lineRule="auto"/>
        <w:jc w:val="center"/>
        <w:outlineLvl w:val="1"/>
        <w:rPr>
          <w:rFonts w:ascii="宋体" w:hAnsi="宋体"/>
          <w:b/>
          <w:sz w:val="32"/>
          <w:szCs w:val="32"/>
        </w:rPr>
      </w:pPr>
      <w:r>
        <w:rPr>
          <w:rFonts w:hint="eastAsia" w:ascii="宋体" w:hAnsi="宋体"/>
          <w:b/>
          <w:sz w:val="32"/>
          <w:szCs w:val="32"/>
        </w:rPr>
        <w:t>附件4   法定代表人授权书</w:t>
      </w:r>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7"/>
        <w:tabs>
          <w:tab w:val="left" w:pos="5580"/>
        </w:tabs>
        <w:ind w:firstLine="200"/>
        <w:rPr>
          <w:rFonts w:hint="eastAsia" w:hAnsi="宋体"/>
          <w:sz w:val="24"/>
          <w:szCs w:val="24"/>
        </w:rPr>
      </w:pPr>
    </w:p>
    <w:p>
      <w:pPr>
        <w:pStyle w:val="7"/>
        <w:tabs>
          <w:tab w:val="left" w:pos="5580"/>
        </w:tabs>
        <w:ind w:firstLine="200"/>
        <w:rPr>
          <w:rFonts w:hAnsi="宋体"/>
          <w:sz w:val="24"/>
          <w:szCs w:val="24"/>
        </w:rPr>
      </w:pPr>
      <w:r>
        <w:rPr>
          <w:rFonts w:hint="eastAsia" w:hAnsi="宋体"/>
          <w:sz w:val="24"/>
          <w:szCs w:val="24"/>
        </w:rPr>
        <w:t>附：</w:t>
      </w:r>
    </w:p>
    <w:p>
      <w:pPr>
        <w:pStyle w:val="7"/>
        <w:tabs>
          <w:tab w:val="left" w:pos="5580"/>
        </w:tabs>
        <w:ind w:firstLine="200"/>
        <w:rPr>
          <w:rFonts w:hAnsi="宋体"/>
          <w:sz w:val="24"/>
          <w:szCs w:val="24"/>
        </w:rPr>
      </w:pPr>
      <w:r>
        <w:rPr>
          <w:rFonts w:hint="eastAsia" w:hAnsi="宋体"/>
          <w:sz w:val="24"/>
          <w:szCs w:val="24"/>
        </w:rPr>
        <w:t xml:space="preserve">被授权人姓名： </w:t>
      </w:r>
    </w:p>
    <w:p>
      <w:pPr>
        <w:pStyle w:val="7"/>
        <w:tabs>
          <w:tab w:val="left" w:pos="5580"/>
        </w:tabs>
        <w:ind w:firstLine="200"/>
        <w:rPr>
          <w:rFonts w:hAnsi="宋体"/>
          <w:sz w:val="24"/>
          <w:szCs w:val="24"/>
        </w:rPr>
      </w:pPr>
      <w:r>
        <w:rPr>
          <w:rFonts w:hint="eastAsia" w:hAnsi="宋体"/>
          <w:sz w:val="24"/>
          <w:szCs w:val="24"/>
        </w:rPr>
        <w:t>职　　　　务：</w:t>
      </w:r>
    </w:p>
    <w:p>
      <w:pPr>
        <w:pStyle w:val="7"/>
        <w:tabs>
          <w:tab w:val="left" w:pos="5580"/>
        </w:tabs>
        <w:ind w:firstLine="200"/>
        <w:rPr>
          <w:rFonts w:hAnsi="宋体"/>
          <w:sz w:val="24"/>
          <w:szCs w:val="24"/>
        </w:rPr>
      </w:pPr>
      <w:r>
        <w:rPr>
          <w:rFonts w:hint="eastAsia" w:hAnsi="宋体"/>
          <w:sz w:val="24"/>
          <w:szCs w:val="24"/>
        </w:rPr>
        <w:t>详细通讯地址：</w:t>
      </w:r>
    </w:p>
    <w:p>
      <w:pPr>
        <w:pStyle w:val="7"/>
        <w:tabs>
          <w:tab w:val="left" w:pos="5580"/>
        </w:tabs>
        <w:ind w:firstLine="200"/>
        <w:rPr>
          <w:rFonts w:hint="eastAsia" w:hAnsi="宋体"/>
          <w:sz w:val="24"/>
          <w:szCs w:val="24"/>
        </w:rPr>
      </w:pPr>
      <w:r>
        <w:rPr>
          <w:rFonts w:hint="eastAsia" w:hAnsi="宋体"/>
          <w:sz w:val="24"/>
          <w:szCs w:val="24"/>
        </w:rPr>
        <w:t>电　　　　话：</w:t>
      </w:r>
    </w:p>
    <w:p>
      <w:pPr>
        <w:pStyle w:val="7"/>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36" w:hRule="atLeast"/>
        </w:trPr>
        <w:tc>
          <w:tcPr>
            <w:tcW w:w="5000" w:type="pct"/>
            <w:noWrap w:val="0"/>
            <w:vAlign w:val="top"/>
          </w:tcPr>
          <w:p>
            <w:pPr>
              <w:pStyle w:val="7"/>
              <w:tabs>
                <w:tab w:val="left" w:pos="5580"/>
              </w:tabs>
              <w:jc w:val="left"/>
              <w:rPr>
                <w:rFonts w:hint="eastAsia" w:hAnsi="宋体"/>
                <w:sz w:val="24"/>
                <w:szCs w:val="24"/>
              </w:rPr>
            </w:pPr>
          </w:p>
          <w:p>
            <w:pPr>
              <w:pStyle w:val="7"/>
              <w:tabs>
                <w:tab w:val="left" w:pos="5580"/>
              </w:tabs>
              <w:jc w:val="left"/>
              <w:rPr>
                <w:rFonts w:hint="eastAsia" w:hAnsi="宋体"/>
                <w:sz w:val="24"/>
                <w:szCs w:val="24"/>
              </w:rPr>
            </w:pPr>
          </w:p>
          <w:p>
            <w:pPr>
              <w:pStyle w:val="7"/>
              <w:tabs>
                <w:tab w:val="left" w:pos="5580"/>
              </w:tabs>
              <w:jc w:val="left"/>
              <w:rPr>
                <w:rFonts w:hint="eastAsia" w:hAnsi="宋体"/>
                <w:sz w:val="24"/>
                <w:szCs w:val="24"/>
              </w:rPr>
            </w:pPr>
          </w:p>
          <w:p>
            <w:pPr>
              <w:pStyle w:val="7"/>
              <w:tabs>
                <w:tab w:val="left" w:pos="5580"/>
              </w:tabs>
              <w:jc w:val="left"/>
              <w:rPr>
                <w:rFonts w:hAnsi="宋体"/>
                <w:sz w:val="24"/>
                <w:szCs w:val="24"/>
              </w:rPr>
            </w:pPr>
          </w:p>
        </w:tc>
      </w:tr>
    </w:tbl>
    <w:p>
      <w:pPr>
        <w:pStyle w:val="7"/>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hint="eastAsia" w:ascii="宋体" w:hAnsi="宋体"/>
          <w:u w:val="single"/>
        </w:rPr>
      </w:pPr>
    </w:p>
    <w:p>
      <w:pPr>
        <w:snapToGrid w:val="0"/>
        <w:spacing w:line="360" w:lineRule="auto"/>
        <w:ind w:firstLine="643"/>
        <w:jc w:val="center"/>
        <w:outlineLvl w:val="1"/>
        <w:rPr>
          <w:rFonts w:ascii="宋体" w:hAnsi="宋体"/>
          <w:b/>
          <w:sz w:val="32"/>
          <w:szCs w:val="32"/>
        </w:rPr>
      </w:pPr>
      <w:r>
        <w:rPr>
          <w:rFonts w:ascii="宋体" w:hAnsi="宋体"/>
          <w:b/>
          <w:sz w:val="32"/>
          <w:szCs w:val="32"/>
        </w:rPr>
        <w:br w:type="page"/>
      </w:r>
      <w:r>
        <w:rPr>
          <w:rFonts w:ascii="宋体" w:hAnsi="宋体"/>
          <w:b/>
          <w:sz w:val="32"/>
          <w:szCs w:val="32"/>
        </w:rPr>
        <w:t xml:space="preserve">附件5 </w:t>
      </w:r>
      <w:bookmarkEnd w:id="373"/>
      <w:bookmarkEnd w:id="374"/>
      <w:r>
        <w:rPr>
          <w:rFonts w:ascii="宋体" w:hAnsi="宋体"/>
          <w:b/>
          <w:sz w:val="32"/>
          <w:szCs w:val="32"/>
        </w:rPr>
        <w:t>商务条款偏离表</w:t>
      </w:r>
    </w:p>
    <w:p>
      <w:pPr>
        <w:pStyle w:val="7"/>
        <w:rPr>
          <w:rFonts w:hAnsi="宋体"/>
          <w:sz w:val="24"/>
          <w:szCs w:val="24"/>
        </w:rPr>
      </w:pPr>
    </w:p>
    <w:p>
      <w:pPr>
        <w:pStyle w:val="7"/>
        <w:rPr>
          <w:rFonts w:hAnsi="宋体"/>
          <w:sz w:val="24"/>
          <w:szCs w:val="24"/>
        </w:rPr>
      </w:pPr>
      <w:r>
        <w:rPr>
          <w:rFonts w:hint="eastAsia" w:hAnsi="宋体"/>
          <w:sz w:val="24"/>
          <w:szCs w:val="24"/>
        </w:rPr>
        <w:t>项目名称</w:t>
      </w:r>
      <w:r>
        <w:rPr>
          <w:rFonts w:hAnsi="宋体"/>
          <w:sz w:val="24"/>
          <w:szCs w:val="24"/>
        </w:rPr>
        <w:t>:</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lang w:eastAsia="zh-CN"/>
              </w:rPr>
              <w:t>比价采购文件</w:t>
            </w:r>
            <w:r>
              <w:rPr>
                <w:rFonts w:hint="eastAsia" w:ascii="宋体" w:hAnsi="宋体"/>
                <w:szCs w:val="24"/>
              </w:rPr>
              <w:t>条目号</w:t>
            </w:r>
          </w:p>
          <w:p>
            <w:pPr>
              <w:pStyle w:val="7"/>
              <w:jc w:val="center"/>
              <w:rPr>
                <w:rFonts w:hAnsi="宋体"/>
                <w:sz w:val="24"/>
                <w:szCs w:val="24"/>
              </w:rPr>
            </w:pPr>
            <w:r>
              <w:rPr>
                <w:rFonts w:hint="eastAsia" w:hAnsi="宋体"/>
                <w:sz w:val="24"/>
                <w:szCs w:val="24"/>
              </w:rPr>
              <w:t>（页码）</w:t>
            </w:r>
          </w:p>
        </w:tc>
        <w:tc>
          <w:tcPr>
            <w:tcW w:w="1394" w:type="pct"/>
            <w:noWrap w:val="0"/>
            <w:vAlign w:val="center"/>
          </w:tcPr>
          <w:p>
            <w:pPr>
              <w:pStyle w:val="7"/>
              <w:jc w:val="center"/>
              <w:rPr>
                <w:rFonts w:hAnsi="宋体"/>
                <w:sz w:val="24"/>
                <w:szCs w:val="24"/>
              </w:rPr>
            </w:pPr>
            <w:r>
              <w:rPr>
                <w:rFonts w:hint="eastAsia" w:hAnsi="宋体"/>
                <w:sz w:val="24"/>
                <w:szCs w:val="24"/>
                <w:lang w:eastAsia="zh-CN"/>
              </w:rPr>
              <w:t>比价采购文件</w:t>
            </w:r>
            <w:r>
              <w:rPr>
                <w:rFonts w:hint="eastAsia" w:hAnsi="宋体"/>
                <w:sz w:val="24"/>
                <w:szCs w:val="24"/>
              </w:rPr>
              <w:t>的商务条款</w:t>
            </w:r>
          </w:p>
        </w:tc>
        <w:tc>
          <w:tcPr>
            <w:tcW w:w="1394" w:type="pct"/>
            <w:noWrap w:val="0"/>
            <w:vAlign w:val="center"/>
          </w:tcPr>
          <w:p>
            <w:pPr>
              <w:pStyle w:val="7"/>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7"/>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sz w:val="24"/>
                <w:szCs w:val="24"/>
              </w:rPr>
            </w:pPr>
          </w:p>
        </w:tc>
        <w:tc>
          <w:tcPr>
            <w:tcW w:w="1113"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bl>
    <w:p>
      <w:pPr>
        <w:pStyle w:val="7"/>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比价采购文件</w:t>
      </w:r>
      <w:r>
        <w:rPr>
          <w:rFonts w:hint="eastAsia" w:hAnsi="宋体"/>
        </w:rPr>
        <w:t>中的各项要求是否满足填写偏离表，表中“偏离情况”一栏应填以“正偏离”、“负偏离”或“无偏离”。对</w:t>
      </w:r>
      <w:r>
        <w:rPr>
          <w:rFonts w:hint="eastAsia" w:hAnsi="宋体"/>
          <w:lang w:eastAsia="zh-CN"/>
        </w:rPr>
        <w:t>比价采购文件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7"/>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1"/>
        <w:rPr>
          <w:rFonts w:ascii="宋体" w:hAnsi="宋体"/>
          <w:b/>
          <w:sz w:val="32"/>
          <w:szCs w:val="32"/>
        </w:rPr>
      </w:pPr>
      <w:r>
        <w:rPr>
          <w:rFonts w:ascii="宋体" w:hAnsi="宋体"/>
          <w:b/>
          <w:szCs w:val="24"/>
        </w:rPr>
        <w:br w:type="page"/>
      </w:r>
      <w:bookmarkStart w:id="378" w:name="_Toc19034385"/>
      <w:r>
        <w:rPr>
          <w:rFonts w:ascii="宋体" w:hAnsi="宋体"/>
          <w:b/>
          <w:sz w:val="32"/>
          <w:szCs w:val="32"/>
        </w:rPr>
        <w:t>附件6</w:t>
      </w:r>
      <w:bookmarkEnd w:id="378"/>
      <w:r>
        <w:rPr>
          <w:rFonts w:ascii="宋体" w:hAnsi="宋体"/>
          <w:b/>
          <w:sz w:val="32"/>
          <w:szCs w:val="32"/>
        </w:rPr>
        <w:t xml:space="preserve"> </w:t>
      </w:r>
      <w:bookmarkEnd w:id="375"/>
      <w:bookmarkEnd w:id="376"/>
      <w:bookmarkEnd w:id="377"/>
      <w:r>
        <w:rPr>
          <w:rFonts w:hint="eastAsia" w:ascii="宋体" w:hAnsi="宋体"/>
          <w:b/>
          <w:sz w:val="32"/>
          <w:szCs w:val="32"/>
        </w:rPr>
        <w:t>技术需求偏离表</w:t>
      </w:r>
    </w:p>
    <w:p>
      <w:pPr>
        <w:pStyle w:val="21"/>
      </w:pPr>
    </w:p>
    <w:p>
      <w:pPr>
        <w:pStyle w:val="7"/>
        <w:rPr>
          <w:rFonts w:hAnsi="宋体"/>
          <w:sz w:val="24"/>
          <w:szCs w:val="24"/>
        </w:rPr>
      </w:pPr>
      <w:r>
        <w:rPr>
          <w:rFonts w:hint="eastAsia" w:hAnsi="宋体"/>
          <w:sz w:val="24"/>
          <w:szCs w:val="24"/>
        </w:rPr>
        <w:t>项目名称</w:t>
      </w:r>
      <w:r>
        <w:rPr>
          <w:rFonts w:hAnsi="宋体"/>
          <w:sz w:val="24"/>
          <w:szCs w:val="24"/>
        </w:rPr>
        <w:t>:</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r>
        <w:rPr>
          <w:rFonts w:hint="eastAsia" w:hAnsi="宋体"/>
          <w:sz w:val="24"/>
          <w:szCs w:val="24"/>
        </w:rPr>
        <w:t>采购编号</w:t>
      </w:r>
      <w:r>
        <w:rPr>
          <w:rFonts w:hAnsi="宋体"/>
          <w:sz w:val="24"/>
          <w:szCs w:val="24"/>
        </w:rPr>
        <w:t>:</w:t>
      </w:r>
      <w:r>
        <w:rPr>
          <w:rFonts w:hAnsi="宋体"/>
          <w:sz w:val="24"/>
          <w:szCs w:val="24"/>
          <w:u w:val="single"/>
        </w:rPr>
        <w:t xml:space="preserve"> </w:t>
      </w:r>
      <w:r>
        <w:rPr>
          <w:rFonts w:hint="eastAsia" w:hAnsi="宋体"/>
          <w:sz w:val="24"/>
          <w:szCs w:val="24"/>
          <w:u w:val="single"/>
          <w:lang w:val="en-US" w:eastAsia="zh-CN"/>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132"/>
        <w:gridCol w:w="2668"/>
        <w:gridCol w:w="2668"/>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r>
              <w:rPr>
                <w:rFonts w:hint="eastAsia" w:hAnsi="宋体"/>
                <w:sz w:val="24"/>
                <w:szCs w:val="24"/>
              </w:rPr>
              <w:t>序号</w:t>
            </w:r>
          </w:p>
        </w:tc>
        <w:tc>
          <w:tcPr>
            <w:tcW w:w="1114" w:type="pct"/>
            <w:noWrap w:val="0"/>
            <w:vAlign w:val="center"/>
          </w:tcPr>
          <w:p>
            <w:pPr>
              <w:jc w:val="center"/>
              <w:rPr>
                <w:rFonts w:ascii="宋体" w:hAnsi="宋体"/>
                <w:szCs w:val="24"/>
              </w:rPr>
            </w:pPr>
            <w:r>
              <w:rPr>
                <w:rFonts w:hint="eastAsia" w:ascii="宋体" w:hAnsi="宋体"/>
                <w:szCs w:val="24"/>
                <w:lang w:eastAsia="zh-CN"/>
              </w:rPr>
              <w:t>比价采购文件</w:t>
            </w:r>
            <w:r>
              <w:rPr>
                <w:rFonts w:hint="eastAsia" w:ascii="宋体" w:hAnsi="宋体"/>
                <w:szCs w:val="24"/>
              </w:rPr>
              <w:t>条目号</w:t>
            </w:r>
          </w:p>
          <w:p>
            <w:pPr>
              <w:pStyle w:val="7"/>
              <w:jc w:val="center"/>
              <w:rPr>
                <w:rFonts w:hAnsi="宋体"/>
                <w:sz w:val="24"/>
                <w:szCs w:val="24"/>
              </w:rPr>
            </w:pPr>
            <w:r>
              <w:rPr>
                <w:rFonts w:hint="eastAsia" w:hAnsi="宋体"/>
                <w:sz w:val="24"/>
                <w:szCs w:val="24"/>
              </w:rPr>
              <w:t>（页码）</w:t>
            </w:r>
          </w:p>
        </w:tc>
        <w:tc>
          <w:tcPr>
            <w:tcW w:w="1394" w:type="pct"/>
            <w:noWrap w:val="0"/>
            <w:vAlign w:val="center"/>
          </w:tcPr>
          <w:p>
            <w:pPr>
              <w:pStyle w:val="7"/>
              <w:jc w:val="center"/>
              <w:rPr>
                <w:rFonts w:hAnsi="宋体"/>
                <w:sz w:val="24"/>
                <w:szCs w:val="24"/>
              </w:rPr>
            </w:pPr>
            <w:r>
              <w:rPr>
                <w:rFonts w:hint="eastAsia" w:hAnsi="宋体"/>
                <w:sz w:val="24"/>
                <w:szCs w:val="24"/>
                <w:lang w:eastAsia="zh-CN"/>
              </w:rPr>
              <w:t>比价采购文件</w:t>
            </w:r>
            <w:r>
              <w:rPr>
                <w:rFonts w:hint="eastAsia" w:hAnsi="宋体"/>
                <w:sz w:val="24"/>
                <w:szCs w:val="24"/>
              </w:rPr>
              <w:t>的技术条款</w:t>
            </w:r>
          </w:p>
        </w:tc>
        <w:tc>
          <w:tcPr>
            <w:tcW w:w="1394" w:type="pct"/>
            <w:noWrap w:val="0"/>
            <w:vAlign w:val="center"/>
          </w:tcPr>
          <w:p>
            <w:pPr>
              <w:pStyle w:val="7"/>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7"/>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sz w:val="24"/>
                <w:szCs w:val="24"/>
              </w:rPr>
            </w:pPr>
          </w:p>
        </w:tc>
        <w:tc>
          <w:tcPr>
            <w:tcW w:w="111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1394" w:type="pct"/>
            <w:noWrap w:val="0"/>
            <w:vAlign w:val="center"/>
          </w:tcPr>
          <w:p>
            <w:pPr>
              <w:pStyle w:val="7"/>
              <w:jc w:val="center"/>
              <w:rPr>
                <w:rFonts w:hAnsi="宋体"/>
                <w:sz w:val="24"/>
                <w:szCs w:val="24"/>
              </w:rPr>
            </w:pPr>
          </w:p>
        </w:tc>
        <w:tc>
          <w:tcPr>
            <w:tcW w:w="690" w:type="pct"/>
            <w:noWrap w:val="0"/>
            <w:vAlign w:val="center"/>
          </w:tcPr>
          <w:p>
            <w:pPr>
              <w:pStyle w:val="7"/>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比价采购文件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比价采购文件</w:t>
      </w:r>
      <w:r>
        <w:rPr>
          <w:rFonts w:hint="eastAsia" w:ascii="宋体" w:hAnsi="宋体"/>
          <w:sz w:val="21"/>
          <w:szCs w:val="21"/>
        </w:rPr>
        <w:t>技术需求书序号、技术需求书要求一一对应。</w:t>
      </w:r>
    </w:p>
    <w:p>
      <w:pPr>
        <w:snapToGrid w:val="0"/>
        <w:spacing w:line="360" w:lineRule="auto"/>
        <w:ind w:firstLine="480" w:firstLineChars="200"/>
        <w:rPr>
          <w:rFonts w:ascii="宋体" w:hAnsi="宋体"/>
          <w:szCs w:val="24"/>
        </w:rPr>
      </w:pPr>
    </w:p>
    <w:p>
      <w:pPr>
        <w:pStyle w:val="7"/>
        <w:spacing w:line="360" w:lineRule="auto"/>
        <w:rPr>
          <w:rFonts w:hAnsi="宋体"/>
          <w:sz w:val="24"/>
          <w:szCs w:val="24"/>
        </w:rPr>
      </w:pPr>
    </w:p>
    <w:p>
      <w:pPr>
        <w:tabs>
          <w:tab w:val="left" w:pos="5580"/>
        </w:tabs>
        <w:spacing w:line="480" w:lineRule="auto"/>
        <w:rPr>
          <w:rFonts w:ascii="宋体" w:hAnsi="宋体"/>
          <w:szCs w:val="24"/>
          <w:u w:val="single"/>
        </w:rPr>
      </w:pPr>
      <w:bookmarkStart w:id="379"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jc w:val="center"/>
        <w:outlineLvl w:val="1"/>
        <w:rPr>
          <w:rFonts w:ascii="宋体" w:hAnsi="宋体"/>
          <w:b/>
          <w:sz w:val="32"/>
          <w:szCs w:val="32"/>
        </w:rPr>
      </w:pPr>
      <w:r>
        <w:rPr>
          <w:rFonts w:ascii="宋体" w:hAnsi="宋体"/>
          <w:b/>
          <w:szCs w:val="24"/>
        </w:rPr>
        <w:br w:type="page"/>
      </w:r>
      <w:bookmarkEnd w:id="379"/>
      <w:bookmarkStart w:id="380" w:name="_Toc19034386"/>
      <w:bookmarkStart w:id="381" w:name="_Toc195842928"/>
      <w:bookmarkStart w:id="382" w:name="_Toc195842929"/>
      <w:bookmarkStart w:id="383" w:name="_Toc421032052"/>
      <w:bookmarkStart w:id="384" w:name="_Toc421042654"/>
      <w:r>
        <w:rPr>
          <w:rFonts w:ascii="宋体" w:hAnsi="宋体"/>
          <w:b/>
          <w:sz w:val="32"/>
          <w:szCs w:val="32"/>
        </w:rPr>
        <w:t>附件7</w:t>
      </w:r>
      <w:bookmarkEnd w:id="380"/>
      <w:r>
        <w:rPr>
          <w:rFonts w:ascii="宋体" w:hAnsi="宋体"/>
          <w:b/>
          <w:sz w:val="32"/>
          <w:szCs w:val="32"/>
        </w:rPr>
        <w:t xml:space="preserve"> </w:t>
      </w:r>
      <w:bookmarkStart w:id="385" w:name="_Toc19034387"/>
      <w:r>
        <w:rPr>
          <w:rFonts w:ascii="宋体" w:hAnsi="宋体"/>
          <w:b/>
          <w:sz w:val="32"/>
          <w:szCs w:val="32"/>
        </w:rPr>
        <w:t>资格证明文件</w:t>
      </w:r>
      <w:bookmarkEnd w:id="381"/>
      <w:bookmarkEnd w:id="382"/>
      <w:bookmarkEnd w:id="383"/>
      <w:bookmarkEnd w:id="384"/>
      <w:bookmarkEnd w:id="385"/>
    </w:p>
    <w:p>
      <w:pPr>
        <w:tabs>
          <w:tab w:val="left" w:pos="5580"/>
        </w:tabs>
        <w:spacing w:line="360" w:lineRule="auto"/>
        <w:ind w:left="962" w:leftChars="200" w:hanging="482" w:hangingChars="200"/>
        <w:rPr>
          <w:rFonts w:ascii="宋体" w:hAnsi="宋体"/>
          <w:b/>
          <w:szCs w:val="24"/>
        </w:rPr>
      </w:pPr>
    </w:p>
    <w:p>
      <w:pPr>
        <w:spacing w:line="360" w:lineRule="auto"/>
        <w:rPr>
          <w:rFonts w:ascii="宋体" w:hAnsi="宋体"/>
        </w:rPr>
      </w:pPr>
      <w:bookmarkStart w:id="386" w:name="_Toc195842930"/>
      <w:r>
        <w:rPr>
          <w:rFonts w:ascii="宋体" w:hAnsi="宋体"/>
        </w:rPr>
        <w:t>附件7-1</w:t>
      </w:r>
      <w:bookmarkEnd w:id="386"/>
      <w:r>
        <w:rPr>
          <w:rFonts w:hint="eastAsia" w:ascii="宋体" w:hAnsi="宋体"/>
          <w:lang w:eastAsia="zh-CN"/>
        </w:rPr>
        <w:t>响应</w:t>
      </w:r>
      <w:r>
        <w:rPr>
          <w:rFonts w:hint="eastAsia" w:ascii="宋体" w:hAnsi="宋体"/>
        </w:rPr>
        <w:t>方如为企业法人，须提供企业法人营业执照；</w:t>
      </w:r>
      <w:r>
        <w:rPr>
          <w:rFonts w:hint="eastAsia" w:ascii="宋体" w:hAnsi="宋体"/>
          <w:lang w:eastAsia="zh-CN"/>
        </w:rPr>
        <w:t>响应</w:t>
      </w:r>
      <w:r>
        <w:rPr>
          <w:rFonts w:hint="eastAsia" w:ascii="宋体" w:hAnsi="宋体"/>
        </w:rPr>
        <w:t>方如为事业单位或其他组织，须提供事业单位法人证书或登记证或组织机构代码证或其他有效证明文件（复印件并加盖</w:t>
      </w:r>
      <w:r>
        <w:rPr>
          <w:rFonts w:hint="eastAsia" w:ascii="宋体" w:hAnsi="宋体"/>
          <w:lang w:eastAsia="zh-CN"/>
        </w:rPr>
        <w:t>响应</w:t>
      </w:r>
      <w:r>
        <w:rPr>
          <w:rFonts w:hint="eastAsia" w:ascii="宋体" w:hAnsi="宋体"/>
        </w:rPr>
        <w:t>方公章）</w:t>
      </w:r>
    </w:p>
    <w:p>
      <w:pPr>
        <w:spacing w:line="360" w:lineRule="auto"/>
        <w:rPr>
          <w:rFonts w:ascii="宋体" w:hAnsi="宋体"/>
        </w:rPr>
      </w:pPr>
    </w:p>
    <w:p>
      <w:pPr>
        <w:spacing w:line="360" w:lineRule="auto"/>
        <w:rPr>
          <w:rFonts w:ascii="宋体" w:hAnsi="宋体"/>
        </w:rPr>
      </w:pPr>
      <w:r>
        <w:rPr>
          <w:rFonts w:ascii="宋体" w:hAnsi="宋体"/>
        </w:rPr>
        <w:br w:type="page"/>
      </w:r>
      <w:r>
        <w:rPr>
          <w:rFonts w:hint="eastAsia" w:ascii="宋体" w:hAnsi="宋体"/>
        </w:rPr>
        <w:t>附件</w:t>
      </w:r>
      <w:r>
        <w:rPr>
          <w:rFonts w:ascii="宋体" w:hAnsi="宋体"/>
        </w:rPr>
        <w:t>7-2</w:t>
      </w:r>
      <w:r>
        <w:rPr>
          <w:rFonts w:hint="eastAsia" w:ascii="宋体" w:hAnsi="宋体" w:cs="Arial"/>
          <w:lang w:eastAsia="zh-CN"/>
        </w:rPr>
        <w:t>响应</w:t>
      </w:r>
      <w:r>
        <w:rPr>
          <w:rFonts w:ascii="宋体" w:hAnsi="宋体" w:cs="Arial"/>
        </w:rPr>
        <w:t>方</w:t>
      </w:r>
      <w:r>
        <w:rPr>
          <w:rFonts w:hint="eastAsia" w:ascii="宋体" w:hAnsi="宋体" w:cs="Arial"/>
        </w:rPr>
        <w:t>银行资信证明（非存款证明，要求正本或自</w:t>
      </w:r>
      <w:r>
        <w:rPr>
          <w:rFonts w:hint="eastAsia" w:ascii="宋体" w:hAnsi="宋体" w:cs="Arial"/>
          <w:lang w:val="en-US" w:eastAsia="zh-CN"/>
        </w:rPr>
        <w:t>响应文件递交截止</w:t>
      </w:r>
      <w:r>
        <w:rPr>
          <w:rFonts w:hint="eastAsia" w:ascii="宋体" w:hAnsi="宋体" w:cs="Arial"/>
        </w:rPr>
        <w:t>日起</w:t>
      </w:r>
      <w:r>
        <w:rPr>
          <w:rFonts w:hint="eastAsia" w:ascii="宋体" w:hAnsi="宋体" w:cs="Arial"/>
          <w:lang w:val="en-US" w:eastAsia="zh-CN"/>
        </w:rPr>
        <w:t>6</w:t>
      </w:r>
      <w:r>
        <w:rPr>
          <w:rFonts w:hint="eastAsia" w:ascii="宋体" w:hAnsi="宋体" w:cs="Arial"/>
        </w:rPr>
        <w:t>个月内的复印件）或</w:t>
      </w:r>
      <w:r>
        <w:rPr>
          <w:rFonts w:hint="eastAsia" w:ascii="宋体" w:hAnsi="宋体" w:cs="Arial"/>
          <w:highlight w:val="none"/>
          <w:lang w:eastAsia="zh-CN"/>
        </w:rPr>
        <w:t>近三年</w:t>
      </w:r>
      <w:r>
        <w:rPr>
          <w:rFonts w:ascii="宋体" w:hAnsi="宋体" w:cs="Arial"/>
        </w:rPr>
        <w:t>度经会计师事务所审计的财务报告（至少包括审计单位盖章页、资产负债表、利润表、现金流量表）复印件</w:t>
      </w:r>
      <w:r>
        <w:rPr>
          <w:rFonts w:hint="eastAsia" w:ascii="宋体" w:hAnsi="宋体" w:cs="Arial"/>
        </w:rPr>
        <w:t>（须加盖</w:t>
      </w:r>
      <w:r>
        <w:rPr>
          <w:rFonts w:hint="eastAsia" w:ascii="宋体" w:hAnsi="宋体" w:cs="Arial"/>
          <w:lang w:eastAsia="zh-CN"/>
        </w:rPr>
        <w:t>响应</w:t>
      </w:r>
      <w:r>
        <w:rPr>
          <w:rFonts w:hint="eastAsia" w:ascii="宋体" w:hAnsi="宋体" w:cs="Arial"/>
        </w:rPr>
        <w:t>方公章），相关资料须加盖</w:t>
      </w:r>
      <w:r>
        <w:rPr>
          <w:rFonts w:hint="eastAsia" w:ascii="宋体" w:hAnsi="宋体" w:cs="Arial"/>
          <w:lang w:eastAsia="zh-CN"/>
        </w:rPr>
        <w:t>响应</w:t>
      </w:r>
      <w:r>
        <w:rPr>
          <w:rFonts w:hint="eastAsia" w:ascii="宋体" w:hAnsi="宋体" w:cs="Arial"/>
        </w:rPr>
        <w:t>方公章；</w:t>
      </w:r>
    </w:p>
    <w:p>
      <w:pPr>
        <w:spacing w:line="360" w:lineRule="auto"/>
        <w:rPr>
          <w:rFonts w:ascii="宋体" w:hAnsi="宋体"/>
          <w:b/>
        </w:rPr>
      </w:pPr>
      <w:r>
        <w:rPr>
          <w:rFonts w:ascii="宋体" w:hAnsi="宋体"/>
        </w:rPr>
        <w:br w:type="page"/>
      </w:r>
      <w:r>
        <w:rPr>
          <w:rFonts w:hint="eastAsia" w:ascii="宋体" w:hAnsi="宋体"/>
        </w:rPr>
        <w:t>附件</w:t>
      </w:r>
      <w:r>
        <w:rPr>
          <w:rFonts w:ascii="宋体" w:hAnsi="宋体"/>
        </w:rPr>
        <w:t>7-3</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eastAsia="zh-CN"/>
        </w:rPr>
        <w:t>中国人民健康保险股份有限公司上海分公司</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采购</w:t>
      </w:r>
      <w:r>
        <w:rPr>
          <w:rFonts w:hint="eastAsia" w:ascii="宋体" w:hAnsi="宋体"/>
        </w:rPr>
        <w:t>中，我方承诺：</w:t>
      </w:r>
    </w:p>
    <w:p>
      <w:pPr>
        <w:spacing w:line="360" w:lineRule="auto"/>
        <w:ind w:firstLine="48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3"/>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rPr>
          <w:rFonts w:ascii="宋体" w:hAnsi="宋体"/>
        </w:rPr>
      </w:pPr>
      <w:r>
        <w:rPr>
          <w:rFonts w:ascii="宋体" w:hAnsi="宋体"/>
        </w:rPr>
        <w:br w:type="page"/>
      </w:r>
    </w:p>
    <w:p>
      <w:pPr>
        <w:spacing w:line="360" w:lineRule="auto"/>
        <w:rPr>
          <w:rFonts w:ascii="宋体" w:hAnsi="宋体"/>
          <w:bCs/>
        </w:rPr>
      </w:pPr>
      <w:r>
        <w:rPr>
          <w:rFonts w:ascii="宋体" w:hAnsi="宋体"/>
        </w:rPr>
        <w:t>7-4</w:t>
      </w:r>
      <w:r>
        <w:rPr>
          <w:rFonts w:hint="eastAsia" w:ascii="宋体" w:hAnsi="宋体"/>
          <w:bCs/>
          <w:lang w:eastAsia="zh-CN"/>
        </w:rPr>
        <w:t>响应</w:t>
      </w:r>
      <w:r>
        <w:rPr>
          <w:rFonts w:hint="eastAsia" w:ascii="宋体" w:hAnsi="宋体"/>
          <w:bCs/>
        </w:rPr>
        <w:t>方如为代理商，须提供报价产品原厂商出具的针对本项目的授权文件（若为复印件，</w:t>
      </w:r>
      <w:r>
        <w:rPr>
          <w:rFonts w:hint="eastAsia" w:ascii="宋体" w:hAnsi="宋体"/>
        </w:rPr>
        <w:t>须加盖</w:t>
      </w:r>
      <w:r>
        <w:rPr>
          <w:rFonts w:hint="eastAsia" w:ascii="宋体" w:hAnsi="宋体"/>
          <w:lang w:eastAsia="zh-CN"/>
        </w:rPr>
        <w:t>响应</w:t>
      </w:r>
      <w:r>
        <w:rPr>
          <w:rFonts w:hint="eastAsia" w:ascii="宋体" w:hAnsi="宋体"/>
        </w:rPr>
        <w:t>方公章</w:t>
      </w:r>
      <w:r>
        <w:rPr>
          <w:rFonts w:hint="eastAsia" w:ascii="宋体" w:hAnsi="宋体"/>
          <w:bCs/>
        </w:rPr>
        <w:t>）</w:t>
      </w:r>
    </w:p>
    <w:p>
      <w:pPr>
        <w:spacing w:line="360" w:lineRule="auto"/>
        <w:rPr>
          <w:rFonts w:ascii="宋体" w:hAnsi="宋体"/>
          <w:bCs/>
        </w:rPr>
      </w:pPr>
    </w:p>
    <w:p>
      <w:pPr>
        <w:spacing w:line="360" w:lineRule="auto"/>
        <w:jc w:val="center"/>
        <w:rPr>
          <w:rFonts w:ascii="宋体" w:hAnsi="宋体"/>
          <w:b/>
          <w:spacing w:val="6"/>
        </w:rPr>
      </w:pPr>
      <w:r>
        <w:rPr>
          <w:rFonts w:ascii="宋体" w:hAnsi="宋体"/>
          <w:b/>
        </w:rPr>
        <w:t>授权书</w:t>
      </w:r>
      <w:r>
        <w:rPr>
          <w:rFonts w:hint="eastAsia" w:ascii="宋体" w:hAnsi="宋体"/>
          <w:b/>
        </w:rPr>
        <w:t>（格式之一）</w:t>
      </w:r>
    </w:p>
    <w:p>
      <w:pPr>
        <w:spacing w:line="360" w:lineRule="auto"/>
        <w:rPr>
          <w:rFonts w:ascii="宋体" w:hAnsi="宋体"/>
          <w:kern w:val="24"/>
        </w:rPr>
      </w:pPr>
      <w:r>
        <w:rPr>
          <w:rFonts w:ascii="宋体" w:hAnsi="宋体"/>
          <w:kern w:val="24"/>
        </w:rPr>
        <w:t>致：</w:t>
      </w:r>
      <w:r>
        <w:rPr>
          <w:rFonts w:ascii="宋体" w:hAnsi="宋体"/>
          <w:kern w:val="24"/>
          <w:u w:val="single"/>
        </w:rPr>
        <w:t>(</w:t>
      </w:r>
      <w:r>
        <w:rPr>
          <w:rFonts w:hint="eastAsia" w:ascii="宋体" w:hAnsi="宋体"/>
          <w:kern w:val="24"/>
          <w:u w:val="single"/>
        </w:rPr>
        <w:t>采购人</w:t>
      </w:r>
      <w:r>
        <w:rPr>
          <w:rFonts w:ascii="宋体" w:hAnsi="宋体"/>
          <w:kern w:val="24"/>
          <w:u w:val="single"/>
        </w:rPr>
        <w:t>)</w:t>
      </w:r>
    </w:p>
    <w:p>
      <w:pPr>
        <w:spacing w:line="360" w:lineRule="auto"/>
        <w:ind w:firstLine="540"/>
        <w:rPr>
          <w:rFonts w:ascii="宋体" w:hAnsi="宋体"/>
          <w:spacing w:val="-3"/>
          <w:kern w:val="24"/>
        </w:rPr>
      </w:pPr>
      <w:r>
        <w:rPr>
          <w:rFonts w:ascii="宋体" w:hAnsi="宋体"/>
          <w:spacing w:val="-3"/>
          <w:kern w:val="24"/>
        </w:rPr>
        <w:t>我们</w:t>
      </w:r>
      <w:r>
        <w:rPr>
          <w:rFonts w:ascii="宋体" w:hAnsi="宋体"/>
          <w:spacing w:val="-3"/>
          <w:kern w:val="24"/>
          <w:u w:val="single"/>
        </w:rPr>
        <w:t>(</w:t>
      </w:r>
      <w:r>
        <w:rPr>
          <w:rFonts w:hint="eastAsia" w:ascii="宋体" w:hAnsi="宋体"/>
          <w:spacing w:val="-3"/>
          <w:kern w:val="24"/>
          <w:u w:val="single"/>
        </w:rPr>
        <w:t>原厂商</w:t>
      </w:r>
      <w:r>
        <w:rPr>
          <w:rFonts w:ascii="宋体" w:hAnsi="宋体"/>
          <w:spacing w:val="-3"/>
          <w:kern w:val="24"/>
          <w:u w:val="single"/>
        </w:rPr>
        <w:t>名称)</w:t>
      </w:r>
      <w:r>
        <w:rPr>
          <w:rFonts w:ascii="宋体" w:hAnsi="宋体"/>
          <w:spacing w:val="-3"/>
          <w:kern w:val="24"/>
        </w:rPr>
        <w:t>是按</w:t>
      </w:r>
      <w:r>
        <w:rPr>
          <w:rFonts w:ascii="宋体" w:hAnsi="宋体"/>
          <w:spacing w:val="-3"/>
          <w:kern w:val="24"/>
          <w:u w:val="single"/>
        </w:rPr>
        <w:t>(国家名称)</w:t>
      </w:r>
      <w:r>
        <w:rPr>
          <w:rFonts w:ascii="宋体" w:hAnsi="宋体"/>
          <w:spacing w:val="-3"/>
          <w:kern w:val="24"/>
        </w:rPr>
        <w:t>法律成立的一家制造商，主要营业地点设在</w:t>
      </w:r>
      <w:r>
        <w:rPr>
          <w:rFonts w:ascii="宋体" w:hAnsi="宋体"/>
          <w:spacing w:val="-3"/>
          <w:kern w:val="24"/>
          <w:u w:val="single"/>
        </w:rPr>
        <w:t>(</w:t>
      </w:r>
      <w:r>
        <w:rPr>
          <w:rFonts w:hint="eastAsia" w:ascii="宋体" w:hAnsi="宋体"/>
          <w:spacing w:val="-3"/>
          <w:kern w:val="24"/>
          <w:u w:val="single"/>
        </w:rPr>
        <w:t>原厂商</w:t>
      </w:r>
      <w:r>
        <w:rPr>
          <w:rFonts w:ascii="宋体" w:hAnsi="宋体"/>
          <w:spacing w:val="-3"/>
          <w:kern w:val="24"/>
          <w:u w:val="single"/>
        </w:rPr>
        <w:t>地址)</w:t>
      </w:r>
      <w:r>
        <w:rPr>
          <w:rFonts w:ascii="宋体" w:hAnsi="宋体"/>
          <w:spacing w:val="-3"/>
          <w:kern w:val="24"/>
        </w:rPr>
        <w:t>。兹指派按</w:t>
      </w:r>
      <w:r>
        <w:rPr>
          <w:rFonts w:ascii="宋体" w:hAnsi="宋体"/>
          <w:spacing w:val="-3"/>
          <w:kern w:val="24"/>
          <w:u w:val="single"/>
        </w:rPr>
        <w:t>（国家名称）</w:t>
      </w:r>
      <w:r>
        <w:rPr>
          <w:rFonts w:ascii="宋体" w:hAnsi="宋体"/>
          <w:spacing w:val="-3"/>
          <w:kern w:val="24"/>
        </w:rPr>
        <w:t>的法律正式成立的，主要营业地点设在</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方地址）</w:t>
      </w:r>
      <w:r>
        <w:rPr>
          <w:rFonts w:ascii="宋体" w:hAnsi="宋体"/>
          <w:spacing w:val="-3"/>
          <w:kern w:val="24"/>
        </w:rPr>
        <w:t>的</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方名称）</w:t>
      </w:r>
      <w:r>
        <w:rPr>
          <w:rFonts w:ascii="宋体" w:hAnsi="宋体"/>
          <w:spacing w:val="-3"/>
          <w:kern w:val="24"/>
        </w:rPr>
        <w:t>作为我方真正的和合法的代理人进行下列有效的活动：</w:t>
      </w:r>
    </w:p>
    <w:p>
      <w:pPr>
        <w:numPr>
          <w:ilvl w:val="0"/>
          <w:numId w:val="10"/>
        </w:numPr>
        <w:adjustRightInd/>
        <w:spacing w:line="360" w:lineRule="auto"/>
        <w:textAlignment w:val="auto"/>
        <w:rPr>
          <w:rFonts w:ascii="宋体" w:hAnsi="宋体"/>
          <w:spacing w:val="-3"/>
          <w:kern w:val="24"/>
        </w:rPr>
      </w:pPr>
      <w:r>
        <w:rPr>
          <w:rFonts w:ascii="宋体" w:hAnsi="宋体"/>
          <w:spacing w:val="-3"/>
          <w:kern w:val="24"/>
        </w:rPr>
        <w:t>代表我方在中华人民共和国办理贵方</w:t>
      </w:r>
      <w:r>
        <w:rPr>
          <w:rFonts w:hint="eastAsia" w:ascii="宋体" w:hAnsi="宋体"/>
          <w:spacing w:val="-3"/>
          <w:kern w:val="24"/>
          <w:u w:val="single"/>
        </w:rPr>
        <w:t>（项目名称）</w:t>
      </w:r>
      <w:r>
        <w:rPr>
          <w:rFonts w:hint="eastAsia" w:ascii="宋体" w:hAnsi="宋体"/>
          <w:spacing w:val="-3"/>
          <w:kern w:val="24"/>
          <w:lang w:eastAsia="zh-CN"/>
        </w:rPr>
        <w:t>比价采购公告</w:t>
      </w:r>
      <w:r>
        <w:rPr>
          <w:rFonts w:ascii="宋体" w:hAnsi="宋体"/>
          <w:spacing w:val="-3"/>
          <w:kern w:val="24"/>
        </w:rPr>
        <w:t>要求提供的由我方制造的货物的有关事宜，并对我方具有约束力。</w:t>
      </w:r>
    </w:p>
    <w:p>
      <w:pPr>
        <w:numPr>
          <w:ilvl w:val="0"/>
          <w:numId w:val="10"/>
        </w:numPr>
        <w:adjustRightInd/>
        <w:spacing w:line="360" w:lineRule="auto"/>
        <w:textAlignment w:val="auto"/>
        <w:rPr>
          <w:rFonts w:ascii="宋体" w:hAnsi="宋体"/>
          <w:spacing w:val="-3"/>
          <w:kern w:val="24"/>
          <w:u w:val="single"/>
        </w:rPr>
      </w:pPr>
      <w:r>
        <w:rPr>
          <w:rFonts w:ascii="宋体" w:hAnsi="宋体"/>
          <w:spacing w:val="-3"/>
          <w:kern w:val="24"/>
        </w:rPr>
        <w:t>作为</w:t>
      </w:r>
      <w:r>
        <w:rPr>
          <w:rFonts w:hint="eastAsia" w:ascii="宋体" w:hAnsi="宋体"/>
          <w:spacing w:val="-3"/>
          <w:kern w:val="24"/>
        </w:rPr>
        <w:t>制造商</w:t>
      </w:r>
      <w:r>
        <w:rPr>
          <w:rFonts w:ascii="宋体" w:hAnsi="宋体"/>
          <w:spacing w:val="-3"/>
          <w:kern w:val="24"/>
        </w:rPr>
        <w:t>，我方保证以合作者来约束自己，并对该</w:t>
      </w:r>
      <w:r>
        <w:rPr>
          <w:rFonts w:hint="eastAsia" w:ascii="宋体" w:hAnsi="宋体"/>
          <w:spacing w:val="-3"/>
          <w:kern w:val="24"/>
          <w:lang w:eastAsia="zh-CN"/>
        </w:rPr>
        <w:t>响应</w:t>
      </w:r>
      <w:r>
        <w:rPr>
          <w:rFonts w:hint="eastAsia" w:ascii="宋体" w:hAnsi="宋体"/>
          <w:spacing w:val="-3"/>
          <w:kern w:val="24"/>
        </w:rPr>
        <w:t>报价</w:t>
      </w:r>
      <w:r>
        <w:rPr>
          <w:rFonts w:ascii="宋体" w:hAnsi="宋体"/>
          <w:spacing w:val="-3"/>
          <w:kern w:val="24"/>
        </w:rPr>
        <w:t>共同和分别承担招标文件中所规定的义务。</w:t>
      </w:r>
    </w:p>
    <w:p>
      <w:pPr>
        <w:numPr>
          <w:ilvl w:val="0"/>
          <w:numId w:val="10"/>
        </w:numPr>
        <w:adjustRightInd/>
        <w:spacing w:line="360" w:lineRule="auto"/>
        <w:ind w:left="702" w:hanging="702" w:hangingChars="300"/>
        <w:textAlignment w:val="auto"/>
        <w:rPr>
          <w:rFonts w:ascii="宋体" w:hAnsi="宋体"/>
          <w:spacing w:val="-3"/>
        </w:rPr>
      </w:pPr>
      <w:r>
        <w:rPr>
          <w:rFonts w:ascii="宋体" w:hAnsi="宋体"/>
          <w:spacing w:val="-3"/>
          <w:kern w:val="24"/>
        </w:rPr>
        <w:t>我方兹</w:t>
      </w:r>
      <w:r>
        <w:rPr>
          <w:rFonts w:hint="eastAsia" w:ascii="宋体" w:hAnsi="宋体"/>
          <w:spacing w:val="-3"/>
          <w:kern w:val="24"/>
        </w:rPr>
        <w:t>授权</w:t>
      </w:r>
      <w:r>
        <w:rPr>
          <w:rFonts w:ascii="宋体" w:hAnsi="宋体"/>
          <w:spacing w:val="-3"/>
          <w:kern w:val="24"/>
          <w:u w:val="single"/>
        </w:rPr>
        <w:t>（</w:t>
      </w:r>
      <w:r>
        <w:rPr>
          <w:rFonts w:hint="eastAsia" w:ascii="宋体" w:hAnsi="宋体"/>
          <w:spacing w:val="-3"/>
          <w:kern w:val="24"/>
          <w:u w:val="single"/>
          <w:lang w:eastAsia="zh-CN"/>
        </w:rPr>
        <w:t>响应</w:t>
      </w:r>
      <w:r>
        <w:rPr>
          <w:rFonts w:hint="eastAsia" w:ascii="宋体" w:hAnsi="宋体"/>
          <w:spacing w:val="-3"/>
          <w:kern w:val="24"/>
          <w:u w:val="single"/>
        </w:rPr>
        <w:t>方名称</w:t>
      </w:r>
      <w:r>
        <w:rPr>
          <w:rFonts w:ascii="宋体" w:hAnsi="宋体"/>
          <w:spacing w:val="-3"/>
          <w:kern w:val="24"/>
          <w:u w:val="single"/>
        </w:rPr>
        <w:t>）</w:t>
      </w:r>
      <w:r>
        <w:rPr>
          <w:rFonts w:ascii="宋体" w:hAnsi="宋体"/>
          <w:spacing w:val="-3"/>
          <w:kern w:val="24"/>
        </w:rPr>
        <w:t>全权办理和履行上述我方为完成上述各点所必须的事宜。兹确认</w:t>
      </w:r>
      <w:r>
        <w:rPr>
          <w:rFonts w:ascii="宋体" w:hAnsi="宋体"/>
          <w:spacing w:val="-3"/>
          <w:kern w:val="24"/>
          <w:u w:val="single"/>
        </w:rPr>
        <w:t>（</w:t>
      </w:r>
      <w:r>
        <w:rPr>
          <w:rFonts w:hint="eastAsia" w:ascii="宋体" w:hAnsi="宋体"/>
          <w:spacing w:val="-3"/>
          <w:kern w:val="24"/>
          <w:u w:val="single"/>
          <w:lang w:eastAsia="zh-CN"/>
        </w:rPr>
        <w:t>响应</w:t>
      </w:r>
      <w:r>
        <w:rPr>
          <w:rFonts w:ascii="宋体" w:hAnsi="宋体"/>
          <w:spacing w:val="-3"/>
          <w:kern w:val="24"/>
          <w:u w:val="single"/>
        </w:rPr>
        <w:t>方名称）</w:t>
      </w:r>
      <w:r>
        <w:rPr>
          <w:rFonts w:ascii="宋体" w:hAnsi="宋体"/>
          <w:spacing w:val="-3"/>
          <w:kern w:val="24"/>
        </w:rPr>
        <w:t>或其正式授权代表依此合法地办理一切事宜。</w:t>
      </w:r>
    </w:p>
    <w:p>
      <w:pPr>
        <w:spacing w:line="360" w:lineRule="auto"/>
        <w:ind w:firstLine="660"/>
        <w:rPr>
          <w:rFonts w:ascii="宋体" w:hAnsi="宋体"/>
          <w:spacing w:val="-3"/>
        </w:rPr>
      </w:pPr>
      <w:r>
        <w:rPr>
          <w:rFonts w:ascii="宋体" w:hAnsi="宋体"/>
          <w:spacing w:val="-3"/>
        </w:rPr>
        <w:t>我方于_____年___月___日签署本文件。</w:t>
      </w:r>
    </w:p>
    <w:p>
      <w:pPr>
        <w:spacing w:line="360" w:lineRule="auto"/>
        <w:rPr>
          <w:rFonts w:ascii="宋体" w:hAnsi="宋体"/>
          <w:spacing w:val="19"/>
        </w:rPr>
      </w:pPr>
    </w:p>
    <w:p>
      <w:pPr>
        <w:spacing w:line="360" w:lineRule="auto"/>
        <w:rPr>
          <w:rFonts w:ascii="宋体" w:hAnsi="宋体"/>
          <w:spacing w:val="19"/>
        </w:rPr>
      </w:pPr>
    </w:p>
    <w:p>
      <w:pPr>
        <w:spacing w:line="360" w:lineRule="auto"/>
        <w:rPr>
          <w:rFonts w:ascii="宋体" w:hAnsi="宋体"/>
          <w:spacing w:val="-3"/>
          <w:u w:val="single"/>
        </w:rPr>
      </w:pPr>
      <w:r>
        <w:rPr>
          <w:rFonts w:hint="eastAsia" w:ascii="宋体" w:hAnsi="宋体"/>
          <w:spacing w:val="-3"/>
        </w:rPr>
        <w:t>原厂商</w:t>
      </w:r>
      <w:r>
        <w:rPr>
          <w:rFonts w:ascii="宋体" w:hAnsi="宋体"/>
          <w:spacing w:val="-3"/>
        </w:rPr>
        <w:t>名称（盖公章）</w:t>
      </w:r>
      <w:r>
        <w:rPr>
          <w:rFonts w:ascii="宋体" w:hAnsi="宋体"/>
          <w:spacing w:val="-3"/>
          <w:u w:val="single"/>
        </w:rPr>
        <w:t xml:space="preserve">             </w:t>
      </w:r>
    </w:p>
    <w:p>
      <w:pPr>
        <w:spacing w:line="360" w:lineRule="auto"/>
        <w:rPr>
          <w:rFonts w:ascii="宋体" w:hAnsi="宋体"/>
          <w:spacing w:val="-3"/>
          <w:u w:val="single"/>
        </w:rPr>
      </w:pPr>
      <w:r>
        <w:rPr>
          <w:rFonts w:ascii="宋体" w:hAnsi="宋体"/>
          <w:spacing w:val="-3"/>
        </w:rPr>
        <w:t xml:space="preserve">签字人职务和部门 </w:t>
      </w:r>
      <w:r>
        <w:rPr>
          <w:rFonts w:ascii="宋体" w:hAnsi="宋体"/>
          <w:spacing w:val="-3"/>
          <w:u w:val="single"/>
        </w:rPr>
        <w:t xml:space="preserve">                 </w:t>
      </w:r>
    </w:p>
    <w:p>
      <w:pPr>
        <w:spacing w:line="360" w:lineRule="auto"/>
        <w:rPr>
          <w:rFonts w:ascii="宋体" w:hAnsi="宋体"/>
          <w:u w:val="single"/>
        </w:rPr>
      </w:pPr>
      <w:r>
        <w:rPr>
          <w:rFonts w:ascii="宋体" w:hAnsi="宋体"/>
          <w:spacing w:val="-3"/>
        </w:rPr>
        <w:t>签字人</w:t>
      </w:r>
      <w:r>
        <w:rPr>
          <w:rFonts w:hint="eastAsia" w:ascii="宋体" w:hAnsi="宋体"/>
          <w:spacing w:val="-3"/>
        </w:rPr>
        <w:t>签字或印鉴</w:t>
      </w:r>
      <w:r>
        <w:rPr>
          <w:rFonts w:ascii="宋体" w:hAnsi="宋体"/>
          <w:spacing w:val="-3"/>
          <w:u w:val="single"/>
        </w:rPr>
        <w:t xml:space="preserve">                   </w:t>
      </w:r>
    </w:p>
    <w:p>
      <w:pPr>
        <w:spacing w:line="360" w:lineRule="auto"/>
        <w:rPr>
          <w:rFonts w:ascii="宋体" w:hAnsi="宋体"/>
        </w:rPr>
      </w:pPr>
    </w:p>
    <w:p>
      <w:pPr>
        <w:tabs>
          <w:tab w:val="left" w:pos="5580"/>
        </w:tabs>
        <w:spacing w:line="360" w:lineRule="auto"/>
        <w:rPr>
          <w:rFonts w:hint="eastAsia" w:ascii="宋体" w:hAnsi="宋体" w:eastAsia="宋体"/>
          <w:lang w:eastAsia="zh-CN"/>
        </w:rPr>
      </w:pPr>
      <w:r>
        <w:rPr>
          <w:rFonts w:ascii="宋体" w:hAnsi="宋体"/>
        </w:rPr>
        <w:br w:type="page"/>
      </w:r>
      <w:r>
        <w:rPr>
          <w:rFonts w:ascii="宋体" w:hAnsi="宋体"/>
        </w:rPr>
        <w:t>7-5</w:t>
      </w:r>
      <w:r>
        <w:rPr>
          <w:rFonts w:hint="eastAsia" w:ascii="宋体" w:hAnsi="宋体"/>
          <w:bCs/>
          <w:lang w:eastAsia="zh-CN"/>
        </w:rPr>
        <w:t>响</w:t>
      </w:r>
      <w:r>
        <w:rPr>
          <w:rFonts w:hint="eastAsia" w:ascii="宋体" w:hAnsi="宋体"/>
          <w:bCs/>
          <w:highlight w:val="none"/>
          <w:lang w:eastAsia="zh-CN"/>
        </w:rPr>
        <w:t>应</w:t>
      </w:r>
      <w:r>
        <w:rPr>
          <w:rFonts w:hint="eastAsia" w:ascii="宋体" w:hAnsi="宋体"/>
          <w:bCs/>
          <w:highlight w:val="none"/>
        </w:rPr>
        <w:t>方</w:t>
      </w:r>
      <w:r>
        <w:rPr>
          <w:rFonts w:hint="eastAsia" w:ascii="宋体" w:hAnsi="宋体"/>
          <w:bCs/>
          <w:highlight w:val="none"/>
          <w:lang w:eastAsia="zh-CN"/>
        </w:rPr>
        <w:t>需承诺能够提供本次项目所有服务需求，并具备项目服务实施能力，并出具承诺函（需盖公章，格式自拟）</w:t>
      </w:r>
    </w:p>
    <w:p>
      <w:pPr>
        <w:pStyle w:val="7"/>
        <w:tabs>
          <w:tab w:val="left" w:pos="5580"/>
        </w:tabs>
        <w:spacing w:line="360" w:lineRule="auto"/>
        <w:rPr>
          <w:rFonts w:hAnsi="宋体"/>
          <w:sz w:val="24"/>
          <w:szCs w:val="24"/>
        </w:rPr>
      </w:pPr>
      <w:r>
        <w:rPr>
          <w:rFonts w:hAnsi="宋体"/>
        </w:rPr>
        <w:br w:type="page"/>
      </w:r>
      <w:bookmarkStart w:id="387" w:name="_Toc195842939"/>
      <w:r>
        <w:rPr>
          <w:rFonts w:hAnsi="宋体"/>
          <w:sz w:val="24"/>
          <w:szCs w:val="24"/>
        </w:rPr>
        <w:t>附件7-</w:t>
      </w:r>
      <w:bookmarkEnd w:id="387"/>
      <w:r>
        <w:rPr>
          <w:rFonts w:hAnsi="宋体"/>
          <w:sz w:val="24"/>
          <w:szCs w:val="24"/>
        </w:rPr>
        <w:t>6具备法律、行政法规规定的其他条件或</w:t>
      </w:r>
      <w:r>
        <w:rPr>
          <w:rFonts w:hint="eastAsia" w:hAnsi="宋体"/>
          <w:sz w:val="24"/>
          <w:szCs w:val="24"/>
          <w:lang w:eastAsia="zh-CN"/>
        </w:rPr>
        <w:t>比价采购文件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7"/>
        <w:tabs>
          <w:tab w:val="left" w:pos="5580"/>
        </w:tabs>
        <w:jc w:val="center"/>
        <w:rPr>
          <w:rFonts w:hAnsi="宋体"/>
          <w:b/>
          <w:sz w:val="24"/>
          <w:szCs w:val="24"/>
        </w:rPr>
      </w:pPr>
    </w:p>
    <w:p>
      <w:pPr>
        <w:pStyle w:val="7"/>
        <w:tabs>
          <w:tab w:val="left" w:pos="5580"/>
        </w:tabs>
        <w:jc w:val="center"/>
        <w:rPr>
          <w:rFonts w:hAnsi="宋体"/>
          <w:b/>
          <w:sz w:val="24"/>
          <w:szCs w:val="24"/>
        </w:rPr>
      </w:pPr>
    </w:p>
    <w:p>
      <w:pPr>
        <w:pStyle w:val="7"/>
        <w:tabs>
          <w:tab w:val="left" w:pos="5580"/>
        </w:tabs>
        <w:jc w:val="center"/>
        <w:rPr>
          <w:rFonts w:hAnsi="宋体"/>
          <w:b/>
          <w:sz w:val="24"/>
          <w:szCs w:val="24"/>
        </w:rPr>
      </w:pPr>
    </w:p>
    <w:p>
      <w:pPr>
        <w:pStyle w:val="7"/>
        <w:tabs>
          <w:tab w:val="left" w:pos="5580"/>
        </w:tabs>
        <w:rPr>
          <w:rFonts w:hAnsi="宋体"/>
          <w:sz w:val="24"/>
          <w:szCs w:val="24"/>
        </w:rPr>
      </w:pPr>
      <w:r>
        <w:rPr>
          <w:rFonts w:hAnsi="宋体"/>
          <w:b/>
          <w:sz w:val="24"/>
          <w:szCs w:val="24"/>
        </w:rPr>
        <w:t>　　　　</w:t>
      </w:r>
    </w:p>
    <w:p>
      <w:pPr>
        <w:pStyle w:val="7"/>
        <w:tabs>
          <w:tab w:val="left" w:pos="5580"/>
        </w:tabs>
        <w:rPr>
          <w:rFonts w:hAnsi="宋体"/>
          <w:sz w:val="24"/>
          <w:szCs w:val="24"/>
        </w:rPr>
      </w:pPr>
    </w:p>
    <w:p>
      <w:pPr>
        <w:snapToGrid w:val="0"/>
        <w:spacing w:line="360" w:lineRule="auto"/>
        <w:jc w:val="center"/>
        <w:outlineLvl w:val="1"/>
        <w:rPr>
          <w:rFonts w:ascii="宋体" w:hAnsi="宋体"/>
          <w:b/>
          <w:sz w:val="32"/>
          <w:szCs w:val="32"/>
        </w:rPr>
      </w:pPr>
      <w:r>
        <w:rPr>
          <w:rFonts w:ascii="宋体" w:hAnsi="宋体"/>
          <w:szCs w:val="24"/>
        </w:rPr>
        <w:br w:type="page"/>
      </w:r>
      <w:bookmarkStart w:id="388" w:name="_Toc150774774"/>
      <w:bookmarkStart w:id="389" w:name="_Toc226965765"/>
      <w:bookmarkStart w:id="390" w:name="_Toc226965848"/>
      <w:bookmarkStart w:id="391" w:name="_Toc151193961"/>
      <w:bookmarkStart w:id="392" w:name="_Toc226309819"/>
      <w:bookmarkStart w:id="393" w:name="_Toc195842940"/>
      <w:bookmarkStart w:id="394" w:name="_Toc226337271"/>
      <w:bookmarkStart w:id="395" w:name="_Toc421042656"/>
      <w:bookmarkStart w:id="396" w:name="_Toc421032053"/>
      <w:r>
        <w:rPr>
          <w:rFonts w:hint="eastAsia" w:ascii="宋体" w:hAnsi="宋体"/>
          <w:b/>
          <w:sz w:val="32"/>
          <w:szCs w:val="32"/>
        </w:rPr>
        <w:t>附件</w:t>
      </w:r>
      <w:r>
        <w:rPr>
          <w:rFonts w:ascii="宋体" w:hAnsi="宋体"/>
          <w:b/>
          <w:sz w:val="32"/>
          <w:szCs w:val="32"/>
        </w:rPr>
        <w:t xml:space="preserve">8 </w:t>
      </w:r>
      <w:bookmarkEnd w:id="388"/>
      <w:bookmarkEnd w:id="389"/>
      <w:bookmarkEnd w:id="390"/>
      <w:bookmarkEnd w:id="391"/>
      <w:bookmarkEnd w:id="392"/>
      <w:bookmarkEnd w:id="393"/>
      <w:bookmarkEnd w:id="394"/>
      <w:r>
        <w:rPr>
          <w:rFonts w:hint="eastAsia" w:ascii="宋体" w:hAnsi="宋体"/>
          <w:b/>
          <w:sz w:val="32"/>
          <w:szCs w:val="32"/>
        </w:rPr>
        <w:t>技术及服务方案</w:t>
      </w:r>
      <w:bookmarkEnd w:id="395"/>
      <w:bookmarkEnd w:id="396"/>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比价采购文件</w:t>
      </w:r>
      <w:r>
        <w:rPr>
          <w:rFonts w:hint="eastAsia" w:ascii="宋体" w:hAnsi="宋体"/>
        </w:rPr>
        <w:t>项目需求编制项目技术及服务方案</w:t>
      </w:r>
      <w:r>
        <w:rPr>
          <w:rFonts w:hint="eastAsia" w:ascii="宋体" w:hAnsi="宋体"/>
          <w:szCs w:val="24"/>
        </w:rPr>
        <w:t>。</w:t>
      </w:r>
    </w:p>
    <w:p>
      <w:pPr>
        <w:snapToGrid w:val="0"/>
        <w:spacing w:line="360" w:lineRule="auto"/>
        <w:jc w:val="center"/>
        <w:outlineLvl w:val="1"/>
        <w:rPr>
          <w:rFonts w:ascii="宋体" w:hAnsi="宋体"/>
          <w:b/>
          <w:sz w:val="32"/>
          <w:szCs w:val="32"/>
        </w:rPr>
      </w:pPr>
      <w:r>
        <w:rPr>
          <w:rFonts w:ascii="宋体" w:hAnsi="宋体"/>
          <w:szCs w:val="24"/>
        </w:rPr>
        <w:br w:type="page"/>
      </w:r>
      <w:bookmarkStart w:id="397" w:name="_Toc19034388"/>
      <w:bookmarkStart w:id="398" w:name="_Toc342924699"/>
      <w:bookmarkStart w:id="399" w:name="_Toc3540071"/>
      <w:bookmarkStart w:id="400" w:name="_Toc332895076"/>
      <w:bookmarkStart w:id="401" w:name="_Toc530741875"/>
      <w:bookmarkStart w:id="402" w:name="_Toc3541361"/>
      <w:bookmarkStart w:id="403" w:name="_Toc269200174"/>
      <w:bookmarkStart w:id="404" w:name="_Toc269199630"/>
      <w:r>
        <w:rPr>
          <w:rFonts w:hint="eastAsia" w:ascii="宋体" w:hAnsi="宋体"/>
          <w:b/>
          <w:sz w:val="32"/>
          <w:szCs w:val="32"/>
        </w:rPr>
        <w:t>附件</w:t>
      </w:r>
      <w:r>
        <w:rPr>
          <w:rFonts w:ascii="宋体" w:hAnsi="宋体"/>
          <w:b/>
          <w:sz w:val="32"/>
          <w:szCs w:val="32"/>
        </w:rPr>
        <w:t>8-1</w:t>
      </w:r>
      <w:bookmarkEnd w:id="397"/>
      <w:bookmarkStart w:id="405" w:name="_Toc19034389"/>
      <w:r>
        <w:rPr>
          <w:rFonts w:hint="eastAsia" w:ascii="宋体" w:hAnsi="宋体"/>
          <w:b/>
          <w:sz w:val="32"/>
          <w:szCs w:val="32"/>
          <w:lang w:eastAsia="zh-CN"/>
        </w:rPr>
        <w:t>响应</w:t>
      </w:r>
      <w:r>
        <w:rPr>
          <w:rFonts w:ascii="宋体" w:hAnsi="宋体"/>
          <w:b/>
          <w:sz w:val="32"/>
          <w:szCs w:val="32"/>
        </w:rPr>
        <w:t>方人力资源一览表</w:t>
      </w:r>
      <w:bookmarkEnd w:id="398"/>
      <w:bookmarkEnd w:id="399"/>
      <w:bookmarkEnd w:id="400"/>
      <w:bookmarkEnd w:id="401"/>
      <w:bookmarkEnd w:id="402"/>
      <w:bookmarkEnd w:id="403"/>
      <w:bookmarkEnd w:id="404"/>
      <w:bookmarkEnd w:id="405"/>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8"/>
        <w:gridCol w:w="4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26"/>
              <w:adjustRightInd/>
              <w:snapToGrid/>
              <w:spacing w:line="360" w:lineRule="auto"/>
              <w:rPr>
                <w:rFonts w:ascii="宋体" w:hAnsi="宋体"/>
                <w:szCs w:val="21"/>
              </w:rPr>
            </w:pPr>
            <w:r>
              <w:rPr>
                <w:rFonts w:hint="eastAsia" w:ascii="宋体" w:hAnsi="宋体"/>
                <w:szCs w:val="21"/>
              </w:rPr>
              <w:t>学历结构</w:t>
            </w:r>
          </w:p>
        </w:tc>
        <w:tc>
          <w:tcPr>
            <w:tcW w:w="2598" w:type="pct"/>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noWrap w:val="0"/>
            <w:vAlign w:val="center"/>
          </w:tcPr>
          <w:p>
            <w:pPr>
              <w:spacing w:line="360" w:lineRule="auto"/>
              <w:rPr>
                <w:rFonts w:ascii="宋体" w:hAnsi="宋体"/>
                <w:szCs w:val="21"/>
              </w:rPr>
            </w:pPr>
          </w:p>
        </w:tc>
      </w:tr>
    </w:tbl>
    <w:p>
      <w:pPr>
        <w:pStyle w:val="7"/>
        <w:rPr>
          <w:rFonts w:hAnsi="宋体"/>
        </w:rPr>
      </w:pPr>
    </w:p>
    <w:p>
      <w:pPr>
        <w:pStyle w:val="7"/>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7"/>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bookmarkStart w:id="406" w:name="_Toc225597124"/>
      <w:bookmarkStart w:id="407" w:name="_Toc227383946"/>
      <w:bookmarkStart w:id="408" w:name="_Toc226442394"/>
      <w:bookmarkStart w:id="409" w:name="_Toc181864913"/>
      <w:bookmarkStart w:id="410" w:name="_Toc182205343"/>
      <w:bookmarkStart w:id="411" w:name="_Toc182205200"/>
      <w:bookmarkStart w:id="412" w:name="_Toc181504489"/>
      <w:bookmarkStart w:id="413" w:name="_Toc178491536"/>
    </w:p>
    <w:p>
      <w:pPr>
        <w:snapToGrid w:val="0"/>
        <w:spacing w:line="360" w:lineRule="auto"/>
        <w:jc w:val="center"/>
        <w:outlineLvl w:val="1"/>
        <w:rPr>
          <w:rFonts w:ascii="宋体" w:hAnsi="宋体"/>
          <w:b/>
          <w:sz w:val="32"/>
          <w:szCs w:val="32"/>
        </w:rPr>
      </w:pPr>
      <w:bookmarkStart w:id="414" w:name="_Toc342924700"/>
      <w:bookmarkStart w:id="415" w:name="_Toc332895077"/>
      <w:bookmarkStart w:id="416" w:name="_Toc269200175"/>
      <w:bookmarkStart w:id="417" w:name="_Toc19034390"/>
      <w:bookmarkStart w:id="418" w:name="_Toc269199631"/>
      <w:bookmarkStart w:id="419" w:name="_Toc3540072"/>
      <w:bookmarkStart w:id="420" w:name="_Toc3541362"/>
      <w:bookmarkStart w:id="421" w:name="_Toc530741876"/>
      <w:r>
        <w:rPr>
          <w:rFonts w:hint="eastAsia" w:ascii="宋体" w:hAnsi="宋体"/>
          <w:b/>
          <w:sz w:val="32"/>
          <w:szCs w:val="32"/>
        </w:rPr>
        <w:t>附件</w:t>
      </w:r>
      <w:r>
        <w:rPr>
          <w:rFonts w:ascii="宋体" w:hAnsi="宋体"/>
          <w:b/>
          <w:sz w:val="32"/>
          <w:szCs w:val="32"/>
        </w:rPr>
        <w:t>8-2</w:t>
      </w:r>
      <w:bookmarkEnd w:id="406"/>
      <w:bookmarkEnd w:id="407"/>
      <w:bookmarkEnd w:id="408"/>
      <w:bookmarkEnd w:id="409"/>
      <w:bookmarkEnd w:id="410"/>
      <w:bookmarkEnd w:id="411"/>
      <w:bookmarkEnd w:id="412"/>
      <w:bookmarkEnd w:id="413"/>
      <w:bookmarkEnd w:id="414"/>
      <w:bookmarkEnd w:id="415"/>
      <w:bookmarkEnd w:id="416"/>
      <w:bookmarkEnd w:id="417"/>
      <w:bookmarkEnd w:id="418"/>
      <w:bookmarkStart w:id="422" w:name="_Toc19034391"/>
      <w:r>
        <w:rPr>
          <w:rFonts w:hint="eastAsia" w:ascii="宋体" w:hAnsi="宋体"/>
          <w:b/>
          <w:sz w:val="32"/>
          <w:szCs w:val="32"/>
        </w:rPr>
        <w:t>本项目实施团队人员名单</w:t>
      </w:r>
      <w:bookmarkEnd w:id="419"/>
      <w:bookmarkEnd w:id="420"/>
      <w:bookmarkEnd w:id="421"/>
      <w:bookmarkEnd w:id="422"/>
    </w:p>
    <w:tbl>
      <w:tblPr>
        <w:tblStyle w:val="13"/>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053"/>
        <w:gridCol w:w="1463"/>
        <w:gridCol w:w="779"/>
        <w:gridCol w:w="777"/>
        <w:gridCol w:w="931"/>
        <w:gridCol w:w="1402"/>
        <w:gridCol w:w="1088"/>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r>
              <w:rPr>
                <w:rFonts w:hint="eastAsia" w:ascii="宋体" w:hAnsi="宋体"/>
              </w:rPr>
              <w:t>序号</w:t>
            </w:r>
          </w:p>
        </w:tc>
        <w:tc>
          <w:tcPr>
            <w:tcW w:w="539" w:type="pct"/>
            <w:noWrap w:val="0"/>
            <w:vAlign w:val="center"/>
          </w:tcPr>
          <w:p>
            <w:pPr>
              <w:jc w:val="center"/>
              <w:rPr>
                <w:rFonts w:ascii="宋体" w:hAnsi="宋体"/>
              </w:rPr>
            </w:pPr>
            <w:r>
              <w:rPr>
                <w:rFonts w:ascii="宋体" w:hAnsi="宋体"/>
              </w:rPr>
              <w:t>姓名</w:t>
            </w:r>
          </w:p>
        </w:tc>
        <w:tc>
          <w:tcPr>
            <w:tcW w:w="749" w:type="pct"/>
            <w:noWrap w:val="0"/>
            <w:vAlign w:val="center"/>
          </w:tcPr>
          <w:p>
            <w:pPr>
              <w:jc w:val="center"/>
              <w:rPr>
                <w:rFonts w:ascii="宋体" w:hAnsi="宋体"/>
              </w:rPr>
            </w:pPr>
            <w:r>
              <w:rPr>
                <w:rFonts w:ascii="宋体" w:hAnsi="宋体"/>
              </w:rPr>
              <w:t>拟担任</w:t>
            </w:r>
          </w:p>
          <w:p>
            <w:pPr>
              <w:jc w:val="center"/>
              <w:rPr>
                <w:rFonts w:ascii="宋体" w:hAnsi="宋体"/>
              </w:rPr>
            </w:pPr>
            <w:r>
              <w:rPr>
                <w:rFonts w:ascii="宋体" w:hAnsi="宋体"/>
              </w:rPr>
              <w:t>职务、分工</w:t>
            </w:r>
          </w:p>
        </w:tc>
        <w:tc>
          <w:tcPr>
            <w:tcW w:w="399" w:type="pct"/>
            <w:noWrap w:val="0"/>
            <w:vAlign w:val="center"/>
          </w:tcPr>
          <w:p>
            <w:pPr>
              <w:jc w:val="center"/>
              <w:rPr>
                <w:rFonts w:ascii="宋体" w:hAnsi="宋体"/>
              </w:rPr>
            </w:pPr>
            <w:r>
              <w:rPr>
                <w:rFonts w:ascii="宋体" w:hAnsi="宋体"/>
              </w:rPr>
              <w:t>职称</w:t>
            </w:r>
          </w:p>
        </w:tc>
        <w:tc>
          <w:tcPr>
            <w:tcW w:w="398" w:type="pct"/>
            <w:noWrap w:val="0"/>
            <w:vAlign w:val="center"/>
          </w:tcPr>
          <w:p>
            <w:pPr>
              <w:jc w:val="center"/>
              <w:rPr>
                <w:rFonts w:ascii="宋体" w:hAnsi="宋体"/>
              </w:rPr>
            </w:pPr>
            <w:r>
              <w:rPr>
                <w:rFonts w:ascii="宋体" w:hAnsi="宋体"/>
              </w:rPr>
              <w:t>学历</w:t>
            </w:r>
          </w:p>
        </w:tc>
        <w:tc>
          <w:tcPr>
            <w:tcW w:w="477" w:type="pct"/>
            <w:noWrap w:val="0"/>
            <w:vAlign w:val="center"/>
          </w:tcPr>
          <w:p>
            <w:pPr>
              <w:jc w:val="center"/>
              <w:rPr>
                <w:rFonts w:ascii="宋体" w:hAnsi="宋体"/>
              </w:rPr>
            </w:pPr>
            <w:r>
              <w:rPr>
                <w:rFonts w:ascii="宋体" w:hAnsi="宋体"/>
              </w:rPr>
              <w:t>专业</w:t>
            </w:r>
          </w:p>
        </w:tc>
        <w:tc>
          <w:tcPr>
            <w:tcW w:w="718" w:type="pct"/>
            <w:noWrap w:val="0"/>
            <w:vAlign w:val="center"/>
          </w:tcPr>
          <w:p>
            <w:pPr>
              <w:jc w:val="center"/>
              <w:rPr>
                <w:rFonts w:ascii="宋体" w:hAnsi="宋体"/>
              </w:rPr>
            </w:pPr>
            <w:r>
              <w:rPr>
                <w:rFonts w:ascii="宋体" w:hAnsi="宋体"/>
              </w:rPr>
              <w:t>从业资格</w:t>
            </w:r>
          </w:p>
        </w:tc>
        <w:tc>
          <w:tcPr>
            <w:tcW w:w="557" w:type="pct"/>
            <w:noWrap w:val="0"/>
            <w:vAlign w:val="center"/>
          </w:tcPr>
          <w:p>
            <w:pPr>
              <w:jc w:val="center"/>
              <w:rPr>
                <w:rFonts w:ascii="宋体" w:hAnsi="宋体"/>
              </w:rPr>
            </w:pPr>
            <w:r>
              <w:rPr>
                <w:rFonts w:ascii="宋体" w:hAnsi="宋体"/>
              </w:rPr>
              <w:t>相关工作年限</w:t>
            </w:r>
          </w:p>
        </w:tc>
        <w:tc>
          <w:tcPr>
            <w:tcW w:w="698" w:type="pct"/>
            <w:noWrap w:val="0"/>
            <w:vAlign w:val="center"/>
          </w:tcPr>
          <w:p>
            <w:pPr>
              <w:jc w:val="center"/>
              <w:rPr>
                <w:rFonts w:ascii="宋体" w:hAnsi="宋体"/>
              </w:rPr>
            </w:pPr>
            <w:r>
              <w:rPr>
                <w:rFonts w:hint="eastAsia" w:ascii="宋体" w:hAnsi="宋体"/>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rPr>
            </w:pPr>
          </w:p>
        </w:tc>
        <w:tc>
          <w:tcPr>
            <w:tcW w:w="539" w:type="pct"/>
            <w:noWrap w:val="0"/>
            <w:vAlign w:val="center"/>
          </w:tcPr>
          <w:p>
            <w:pPr>
              <w:jc w:val="center"/>
              <w:rPr>
                <w:rFonts w:ascii="宋体" w:hAnsi="宋体"/>
              </w:rPr>
            </w:pPr>
          </w:p>
        </w:tc>
        <w:tc>
          <w:tcPr>
            <w:tcW w:w="749" w:type="pct"/>
            <w:noWrap w:val="0"/>
            <w:vAlign w:val="center"/>
          </w:tcPr>
          <w:p>
            <w:pPr>
              <w:jc w:val="center"/>
              <w:rPr>
                <w:rFonts w:ascii="宋体" w:hAnsi="宋体"/>
              </w:rPr>
            </w:pPr>
          </w:p>
        </w:tc>
        <w:tc>
          <w:tcPr>
            <w:tcW w:w="399" w:type="pct"/>
            <w:noWrap w:val="0"/>
            <w:vAlign w:val="center"/>
          </w:tcPr>
          <w:p>
            <w:pPr>
              <w:jc w:val="center"/>
              <w:rPr>
                <w:rFonts w:ascii="宋体" w:hAnsi="宋体"/>
              </w:rPr>
            </w:pPr>
          </w:p>
        </w:tc>
        <w:tc>
          <w:tcPr>
            <w:tcW w:w="398" w:type="pct"/>
            <w:noWrap w:val="0"/>
            <w:vAlign w:val="center"/>
          </w:tcPr>
          <w:p>
            <w:pPr>
              <w:jc w:val="center"/>
              <w:rPr>
                <w:rFonts w:ascii="宋体" w:hAnsi="宋体"/>
              </w:rPr>
            </w:pPr>
          </w:p>
        </w:tc>
        <w:tc>
          <w:tcPr>
            <w:tcW w:w="477" w:type="pct"/>
            <w:noWrap w:val="0"/>
            <w:vAlign w:val="center"/>
          </w:tcPr>
          <w:p>
            <w:pPr>
              <w:jc w:val="center"/>
              <w:rPr>
                <w:rFonts w:ascii="宋体" w:hAnsi="宋体"/>
              </w:rPr>
            </w:pPr>
          </w:p>
        </w:tc>
        <w:tc>
          <w:tcPr>
            <w:tcW w:w="718" w:type="pct"/>
            <w:noWrap w:val="0"/>
            <w:vAlign w:val="center"/>
          </w:tcPr>
          <w:p>
            <w:pPr>
              <w:jc w:val="center"/>
              <w:rPr>
                <w:rFonts w:ascii="宋体" w:hAnsi="宋体"/>
              </w:rPr>
            </w:pPr>
          </w:p>
        </w:tc>
        <w:tc>
          <w:tcPr>
            <w:tcW w:w="557" w:type="pct"/>
            <w:noWrap w:val="0"/>
            <w:vAlign w:val="center"/>
          </w:tcPr>
          <w:p>
            <w:pPr>
              <w:jc w:val="center"/>
              <w:rPr>
                <w:rFonts w:ascii="宋体" w:hAnsi="宋体"/>
              </w:rPr>
            </w:pPr>
          </w:p>
        </w:tc>
        <w:tc>
          <w:tcPr>
            <w:tcW w:w="698" w:type="pct"/>
            <w:noWrap w:val="0"/>
            <w:vAlign w:val="center"/>
          </w:tcPr>
          <w:p>
            <w:pPr>
              <w:jc w:val="center"/>
              <w:rPr>
                <w:rFonts w:ascii="宋体" w:hAnsi="宋体"/>
              </w:rPr>
            </w:pPr>
          </w:p>
        </w:tc>
      </w:tr>
    </w:tbl>
    <w:p>
      <w:pPr>
        <w:pStyle w:val="7"/>
        <w:rPr>
          <w:rFonts w:hAnsi="宋体"/>
        </w:rPr>
      </w:pPr>
    </w:p>
    <w:p>
      <w:pPr>
        <w:pStyle w:val="7"/>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7"/>
        <w:ind w:firstLine="420" w:firstLineChars="200"/>
        <w:rPr>
          <w:rFonts w:hAnsi="宋体"/>
        </w:rPr>
      </w:pPr>
    </w:p>
    <w:p>
      <w:pPr>
        <w:rPr>
          <w:rFonts w:ascii="宋体" w:hAnsi="宋体"/>
        </w:rPr>
      </w:pPr>
      <w:r>
        <w:rPr>
          <w:rFonts w:ascii="宋体" w:hAnsi="宋体"/>
        </w:rPr>
        <w:br w:type="page"/>
      </w:r>
      <w:bookmarkStart w:id="423" w:name="_Toc182205344"/>
      <w:bookmarkStart w:id="424" w:name="_Toc181504490"/>
      <w:bookmarkStart w:id="425" w:name="_Toc226442395"/>
      <w:bookmarkStart w:id="426" w:name="_Toc225597125"/>
      <w:bookmarkStart w:id="427" w:name="_Toc269199632"/>
      <w:bookmarkStart w:id="428" w:name="_Toc269200176"/>
      <w:bookmarkStart w:id="429" w:name="_Toc227383947"/>
      <w:bookmarkStart w:id="430" w:name="_Toc342924701"/>
      <w:bookmarkStart w:id="431" w:name="_Toc332895078"/>
      <w:bookmarkStart w:id="432" w:name="_Toc182205201"/>
      <w:bookmarkStart w:id="433" w:name="_Toc181864914"/>
      <w:bookmarkStart w:id="434" w:name="_Toc178491538"/>
      <w:bookmarkStart w:id="435" w:name="_Toc530741877"/>
      <w:bookmarkStart w:id="436" w:name="_Toc3541363"/>
      <w:bookmarkStart w:id="437" w:name="_Toc3540073"/>
      <w:r>
        <w:rPr>
          <w:rFonts w:hint="eastAsia" w:ascii="宋体" w:hAnsi="宋体"/>
        </w:rPr>
        <w:t>附件</w:t>
      </w:r>
      <w:r>
        <w:rPr>
          <w:rFonts w:ascii="宋体" w:hAnsi="宋体"/>
        </w:rPr>
        <w:t>8-3</w:t>
      </w:r>
      <w:bookmarkEnd w:id="423"/>
      <w:bookmarkEnd w:id="424"/>
      <w:bookmarkEnd w:id="425"/>
      <w:bookmarkEnd w:id="426"/>
      <w:bookmarkEnd w:id="427"/>
      <w:bookmarkEnd w:id="428"/>
      <w:bookmarkEnd w:id="429"/>
      <w:bookmarkEnd w:id="430"/>
      <w:bookmarkEnd w:id="431"/>
      <w:bookmarkEnd w:id="432"/>
      <w:bookmarkEnd w:id="433"/>
      <w:bookmarkEnd w:id="434"/>
    </w:p>
    <w:p>
      <w:pPr>
        <w:jc w:val="center"/>
        <w:rPr>
          <w:rFonts w:ascii="宋体" w:hAnsi="宋体"/>
          <w:b/>
          <w:sz w:val="32"/>
          <w:szCs w:val="32"/>
        </w:rPr>
      </w:pPr>
      <w:r>
        <w:rPr>
          <w:rFonts w:hint="eastAsia" w:ascii="宋体" w:hAnsi="宋体"/>
          <w:b/>
          <w:sz w:val="32"/>
          <w:szCs w:val="32"/>
        </w:rPr>
        <w:t>本项目实施团队人员简历表</w:t>
      </w:r>
      <w:bookmarkEnd w:id="435"/>
      <w:bookmarkEnd w:id="436"/>
      <w:bookmarkEnd w:id="437"/>
    </w:p>
    <w:tbl>
      <w:tblPr>
        <w:tblStyle w:val="1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801"/>
        <w:gridCol w:w="1426"/>
        <w:gridCol w:w="19"/>
        <w:gridCol w:w="1016"/>
        <w:gridCol w:w="1417"/>
        <w:gridCol w:w="1034"/>
        <w:gridCol w:w="863"/>
        <w:gridCol w:w="19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caps/>
                <w:szCs w:val="21"/>
              </w:rPr>
            </w:pPr>
            <w:r>
              <w:rPr>
                <w:rFonts w:hint="eastAsia" w:ascii="宋体" w:hAnsi="宋体"/>
                <w:caps/>
                <w:szCs w:val="21"/>
              </w:rPr>
              <w:t>姓名</w:t>
            </w:r>
          </w:p>
        </w:tc>
        <w:tc>
          <w:tcPr>
            <w:tcW w:w="745" w:type="pct"/>
            <w:noWrap w:val="0"/>
            <w:vAlign w:val="center"/>
          </w:tcPr>
          <w:p>
            <w:pPr>
              <w:spacing w:line="360" w:lineRule="auto"/>
              <w:jc w:val="center"/>
              <w:rPr>
                <w:rFonts w:ascii="宋体" w:hAnsi="宋体"/>
                <w:caps/>
                <w:szCs w:val="21"/>
              </w:rPr>
            </w:pPr>
          </w:p>
        </w:tc>
        <w:tc>
          <w:tcPr>
            <w:tcW w:w="541" w:type="pct"/>
            <w:gridSpan w:val="2"/>
            <w:noWrap w:val="0"/>
            <w:vAlign w:val="center"/>
          </w:tcPr>
          <w:p>
            <w:pPr>
              <w:spacing w:line="360" w:lineRule="auto"/>
              <w:jc w:val="center"/>
              <w:rPr>
                <w:rFonts w:ascii="宋体" w:hAnsi="宋体"/>
                <w:caps/>
                <w:szCs w:val="21"/>
              </w:rPr>
            </w:pPr>
            <w:r>
              <w:rPr>
                <w:rFonts w:hint="eastAsia" w:ascii="宋体" w:hAnsi="宋体"/>
                <w:caps/>
                <w:szCs w:val="21"/>
              </w:rPr>
              <w:t>年龄</w:t>
            </w:r>
          </w:p>
        </w:tc>
        <w:tc>
          <w:tcPr>
            <w:tcW w:w="740" w:type="pct"/>
            <w:noWrap w:val="0"/>
            <w:vAlign w:val="center"/>
          </w:tcPr>
          <w:p>
            <w:pPr>
              <w:spacing w:line="360" w:lineRule="auto"/>
              <w:jc w:val="center"/>
              <w:rPr>
                <w:rFonts w:ascii="宋体" w:hAnsi="宋体"/>
                <w:caps/>
                <w:szCs w:val="21"/>
              </w:rPr>
            </w:pPr>
          </w:p>
        </w:tc>
        <w:tc>
          <w:tcPr>
            <w:tcW w:w="991" w:type="pct"/>
            <w:gridSpan w:val="2"/>
            <w:noWrap w:val="0"/>
            <w:vAlign w:val="center"/>
          </w:tcPr>
          <w:p>
            <w:pPr>
              <w:spacing w:line="360" w:lineRule="auto"/>
              <w:jc w:val="center"/>
              <w:rPr>
                <w:rFonts w:ascii="宋体" w:hAnsi="宋体"/>
                <w:caps/>
                <w:szCs w:val="21"/>
              </w:rPr>
            </w:pPr>
            <w:r>
              <w:rPr>
                <w:rFonts w:hint="eastAsia" w:ascii="宋体" w:hAnsi="宋体"/>
                <w:caps/>
                <w:szCs w:val="21"/>
              </w:rPr>
              <w:t>身份证号码</w:t>
            </w:r>
          </w:p>
        </w:tc>
        <w:tc>
          <w:tcPr>
            <w:tcW w:w="1042" w:type="pct"/>
            <w:noWrap w:val="0"/>
            <w:vAlign w:val="center"/>
          </w:tcPr>
          <w:p>
            <w:pPr>
              <w:spacing w:line="360" w:lineRule="auto"/>
              <w:jc w:val="center"/>
              <w:rPr>
                <w:rFonts w:ascii="宋体" w:hAnsi="宋体"/>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毕业学校</w:t>
            </w:r>
          </w:p>
        </w:tc>
        <w:tc>
          <w:tcPr>
            <w:tcW w:w="2026" w:type="pct"/>
            <w:gridSpan w:val="4"/>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专业</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学位</w:t>
            </w:r>
          </w:p>
        </w:tc>
        <w:tc>
          <w:tcPr>
            <w:tcW w:w="745" w:type="pct"/>
            <w:noWrap w:val="0"/>
            <w:vAlign w:val="center"/>
          </w:tcPr>
          <w:p>
            <w:pPr>
              <w:spacing w:line="360" w:lineRule="auto"/>
              <w:jc w:val="center"/>
              <w:rPr>
                <w:rFonts w:ascii="宋体" w:hAnsi="宋体"/>
                <w:szCs w:val="21"/>
              </w:rPr>
            </w:pPr>
          </w:p>
        </w:tc>
        <w:tc>
          <w:tcPr>
            <w:tcW w:w="541" w:type="pct"/>
            <w:gridSpan w:val="2"/>
            <w:noWrap w:val="0"/>
            <w:vAlign w:val="center"/>
          </w:tcPr>
          <w:p>
            <w:pPr>
              <w:spacing w:line="360" w:lineRule="auto"/>
              <w:jc w:val="center"/>
              <w:rPr>
                <w:rFonts w:ascii="宋体" w:hAnsi="宋体"/>
                <w:szCs w:val="21"/>
              </w:rPr>
            </w:pPr>
            <w:r>
              <w:rPr>
                <w:rFonts w:hint="eastAsia" w:ascii="宋体" w:hAnsi="宋体"/>
                <w:szCs w:val="21"/>
              </w:rPr>
              <w:t>职称</w:t>
            </w:r>
          </w:p>
        </w:tc>
        <w:tc>
          <w:tcPr>
            <w:tcW w:w="740" w:type="pct"/>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职务</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现所在机构或部门</w:t>
            </w:r>
          </w:p>
        </w:tc>
        <w:tc>
          <w:tcPr>
            <w:tcW w:w="2026" w:type="pct"/>
            <w:gridSpan w:val="4"/>
            <w:noWrap w:val="0"/>
            <w:vAlign w:val="center"/>
          </w:tcPr>
          <w:p>
            <w:pPr>
              <w:spacing w:line="360" w:lineRule="auto"/>
              <w:jc w:val="center"/>
              <w:rPr>
                <w:rFonts w:ascii="宋体" w:hAnsi="宋体"/>
                <w:szCs w:val="21"/>
              </w:rPr>
            </w:pPr>
          </w:p>
        </w:tc>
        <w:tc>
          <w:tcPr>
            <w:tcW w:w="991" w:type="pct"/>
            <w:gridSpan w:val="2"/>
            <w:noWrap w:val="0"/>
            <w:vAlign w:val="center"/>
          </w:tcPr>
          <w:p>
            <w:pPr>
              <w:spacing w:line="360" w:lineRule="auto"/>
              <w:jc w:val="center"/>
              <w:rPr>
                <w:rFonts w:ascii="宋体" w:hAnsi="宋体"/>
                <w:szCs w:val="21"/>
              </w:rPr>
            </w:pPr>
            <w:r>
              <w:rPr>
                <w:rFonts w:hint="eastAsia" w:ascii="宋体" w:hAnsi="宋体"/>
                <w:szCs w:val="21"/>
              </w:rPr>
              <w:t>服务时间</w:t>
            </w:r>
          </w:p>
        </w:tc>
        <w:tc>
          <w:tcPr>
            <w:tcW w:w="1042" w:type="pct"/>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pPr>
              <w:spacing w:line="360" w:lineRule="auto"/>
              <w:jc w:val="center"/>
              <w:rPr>
                <w:rFonts w:ascii="宋体" w:hAnsi="宋体"/>
                <w:szCs w:val="21"/>
              </w:rPr>
            </w:pPr>
            <w:r>
              <w:rPr>
                <w:rFonts w:hint="eastAsia" w:ascii="宋体" w:hAnsi="宋体"/>
                <w:szCs w:val="21"/>
              </w:rPr>
              <w:t>拟在本项目担任中职务</w:t>
            </w:r>
          </w:p>
        </w:tc>
        <w:tc>
          <w:tcPr>
            <w:tcW w:w="3304" w:type="pct"/>
            <w:gridSpan w:val="5"/>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主要经历</w:t>
            </w:r>
          </w:p>
        </w:tc>
        <w:tc>
          <w:tcPr>
            <w:tcW w:w="4059" w:type="pct"/>
            <w:gridSpan w:val="7"/>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r>
              <w:rPr>
                <w:rFonts w:hint="eastAsia" w:ascii="宋体" w:hAnsi="宋体"/>
                <w:szCs w:val="21"/>
              </w:rPr>
              <w:t>日期</w:t>
            </w:r>
          </w:p>
        </w:tc>
        <w:tc>
          <w:tcPr>
            <w:tcW w:w="1286" w:type="pct"/>
            <w:gridSpan w:val="3"/>
            <w:noWrap w:val="0"/>
            <w:vAlign w:val="center"/>
          </w:tcPr>
          <w:p>
            <w:pPr>
              <w:spacing w:line="360" w:lineRule="auto"/>
              <w:jc w:val="center"/>
              <w:rPr>
                <w:rFonts w:ascii="宋体" w:hAnsi="宋体"/>
                <w:szCs w:val="21"/>
              </w:rPr>
            </w:pPr>
            <w:r>
              <w:rPr>
                <w:rFonts w:hint="eastAsia" w:ascii="宋体" w:hAnsi="宋体"/>
                <w:szCs w:val="21"/>
              </w:rPr>
              <w:t>参加过的项目名称</w:t>
            </w:r>
          </w:p>
        </w:tc>
        <w:tc>
          <w:tcPr>
            <w:tcW w:w="1280" w:type="pct"/>
            <w:gridSpan w:val="2"/>
            <w:noWrap w:val="0"/>
            <w:vAlign w:val="center"/>
          </w:tcPr>
          <w:p>
            <w:pPr>
              <w:spacing w:line="360" w:lineRule="auto"/>
              <w:jc w:val="center"/>
              <w:rPr>
                <w:rFonts w:ascii="宋体" w:hAnsi="宋体"/>
                <w:szCs w:val="21"/>
              </w:rPr>
            </w:pPr>
            <w:r>
              <w:rPr>
                <w:rFonts w:hint="eastAsia" w:ascii="宋体" w:hAnsi="宋体"/>
                <w:szCs w:val="21"/>
              </w:rPr>
              <w:t>担任何职</w:t>
            </w:r>
          </w:p>
        </w:tc>
        <w:tc>
          <w:tcPr>
            <w:tcW w:w="1493" w:type="pct"/>
            <w:gridSpan w:val="2"/>
            <w:noWrap w:val="0"/>
            <w:vAlign w:val="center"/>
          </w:tcPr>
          <w:p>
            <w:pPr>
              <w:spacing w:line="360" w:lineRule="auto"/>
              <w:jc w:val="center"/>
              <w:rPr>
                <w:rFonts w:ascii="宋体" w:hAnsi="宋体"/>
                <w:szCs w:val="21"/>
              </w:rPr>
            </w:pPr>
            <w:r>
              <w:rPr>
                <w:rFonts w:hint="eastAsia" w:ascii="宋体" w:hAnsi="宋体"/>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szCs w:val="21"/>
              </w:rPr>
            </w:pPr>
          </w:p>
        </w:tc>
        <w:tc>
          <w:tcPr>
            <w:tcW w:w="1286" w:type="pct"/>
            <w:gridSpan w:val="3"/>
            <w:noWrap w:val="0"/>
            <w:vAlign w:val="center"/>
          </w:tcPr>
          <w:p>
            <w:pPr>
              <w:spacing w:line="360" w:lineRule="auto"/>
              <w:jc w:val="center"/>
              <w:rPr>
                <w:rFonts w:ascii="宋体" w:hAnsi="宋体"/>
                <w:szCs w:val="21"/>
              </w:rPr>
            </w:pPr>
          </w:p>
        </w:tc>
        <w:tc>
          <w:tcPr>
            <w:tcW w:w="1280" w:type="pct"/>
            <w:gridSpan w:val="2"/>
            <w:noWrap w:val="0"/>
            <w:vAlign w:val="center"/>
          </w:tcPr>
          <w:p>
            <w:pPr>
              <w:spacing w:line="360" w:lineRule="auto"/>
              <w:jc w:val="center"/>
              <w:rPr>
                <w:rFonts w:ascii="宋体" w:hAnsi="宋体"/>
                <w:szCs w:val="21"/>
              </w:rPr>
            </w:pPr>
          </w:p>
        </w:tc>
        <w:tc>
          <w:tcPr>
            <w:tcW w:w="1493" w:type="pct"/>
            <w:gridSpan w:val="2"/>
            <w:noWrap w:val="0"/>
            <w:vAlign w:val="center"/>
          </w:tcPr>
          <w:p>
            <w:pPr>
              <w:spacing w:line="360" w:lineRule="auto"/>
              <w:jc w:val="center"/>
              <w:rPr>
                <w:rFonts w:ascii="宋体" w:hAnsi="宋体"/>
                <w:szCs w:val="21"/>
              </w:rPr>
            </w:pPr>
          </w:p>
        </w:tc>
      </w:tr>
    </w:tbl>
    <w:p>
      <w:pPr>
        <w:rPr>
          <w:rFonts w:ascii="宋体" w:hAnsi="宋体"/>
          <w:szCs w:val="21"/>
        </w:rPr>
      </w:pPr>
      <w:r>
        <w:rPr>
          <w:rFonts w:hint="eastAsia" w:ascii="宋体" w:hAnsi="宋体"/>
          <w:b/>
          <w:szCs w:val="21"/>
        </w:rPr>
        <w:t>注：附实施团队人员的相关从业资质证书、类似项目经验、社保等证明材料。</w:t>
      </w:r>
    </w:p>
    <w:p>
      <w:pPr>
        <w:pStyle w:val="24"/>
        <w:widowControl w:val="0"/>
        <w:spacing w:before="0" w:beforeAutospacing="0" w:after="0" w:afterAutospacing="0"/>
        <w:textAlignment w:val="auto"/>
        <w:rPr>
          <w:rFonts w:ascii="宋体" w:hAnsi="宋体"/>
          <w:kern w:val="2"/>
          <w:szCs w:val="21"/>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widowControl/>
        <w:rPr>
          <w:rFonts w:ascii="宋体" w:hAnsi="宋体"/>
        </w:rPr>
      </w:pPr>
      <w:r>
        <w:rPr>
          <w:rFonts w:ascii="宋体" w:hAnsi="宋体"/>
        </w:rPr>
        <w:br w:type="page"/>
      </w:r>
      <w:bookmarkStart w:id="438" w:name="_Toc530741878"/>
      <w:bookmarkStart w:id="439" w:name="_Toc504059080"/>
      <w:bookmarkStart w:id="440" w:name="_Toc3540074"/>
      <w:bookmarkStart w:id="441" w:name="_Toc3541364"/>
      <w:r>
        <w:rPr>
          <w:rFonts w:hint="eastAsia" w:ascii="宋体" w:hAnsi="宋体"/>
        </w:rPr>
        <w:t>附件</w:t>
      </w:r>
      <w:r>
        <w:rPr>
          <w:rFonts w:ascii="宋体" w:hAnsi="宋体"/>
        </w:rPr>
        <w:t>8-4</w:t>
      </w:r>
    </w:p>
    <w:p>
      <w:pPr>
        <w:widowControl/>
        <w:jc w:val="center"/>
        <w:rPr>
          <w:rFonts w:ascii="宋体" w:hAnsi="宋体"/>
          <w:b/>
          <w:sz w:val="32"/>
          <w:szCs w:val="32"/>
        </w:rPr>
      </w:pPr>
      <w:r>
        <w:rPr>
          <w:rFonts w:ascii="宋体" w:hAnsi="宋体"/>
          <w:b/>
          <w:sz w:val="32"/>
          <w:szCs w:val="32"/>
        </w:rPr>
        <w:t>售后服务承诺表</w:t>
      </w:r>
      <w:bookmarkEnd w:id="438"/>
      <w:bookmarkEnd w:id="439"/>
      <w:bookmarkEnd w:id="440"/>
      <w:bookmarkEnd w:id="441"/>
    </w:p>
    <w:p>
      <w:pPr>
        <w:rPr>
          <w:rFonts w:ascii="宋体" w:hAnsi="宋体"/>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7"/>
        <w:gridCol w:w="2866"/>
        <w:gridCol w:w="1690"/>
        <w:gridCol w:w="2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362" w:type="pct"/>
            <w:noWrap w:val="0"/>
            <w:vAlign w:val="center"/>
          </w:tcPr>
          <w:p>
            <w:pPr>
              <w:snapToGrid w:val="0"/>
              <w:jc w:val="center"/>
              <w:rPr>
                <w:rFonts w:ascii="宋体" w:hAnsi="宋体"/>
                <w:bCs/>
              </w:rPr>
            </w:pPr>
            <w:r>
              <w:rPr>
                <w:rFonts w:hint="eastAsia" w:ascii="宋体" w:hAnsi="宋体"/>
                <w:bCs/>
              </w:rPr>
              <w:t>售后服务机构名称</w:t>
            </w:r>
          </w:p>
        </w:tc>
        <w:tc>
          <w:tcPr>
            <w:tcW w:w="1497" w:type="pct"/>
            <w:noWrap w:val="0"/>
            <w:vAlign w:val="center"/>
          </w:tcPr>
          <w:p>
            <w:pPr>
              <w:snapToGrid w:val="0"/>
              <w:jc w:val="center"/>
              <w:rPr>
                <w:rFonts w:ascii="宋体" w:hAnsi="宋体"/>
                <w:bCs/>
              </w:rPr>
            </w:pPr>
          </w:p>
        </w:tc>
        <w:tc>
          <w:tcPr>
            <w:tcW w:w="883" w:type="pct"/>
            <w:noWrap w:val="0"/>
            <w:vAlign w:val="center"/>
          </w:tcPr>
          <w:p>
            <w:pPr>
              <w:snapToGrid w:val="0"/>
              <w:jc w:val="center"/>
              <w:rPr>
                <w:rFonts w:ascii="宋体" w:hAnsi="宋体"/>
                <w:bCs/>
              </w:rPr>
            </w:pPr>
            <w:r>
              <w:rPr>
                <w:rFonts w:hint="eastAsia" w:ascii="宋体" w:hAnsi="宋体"/>
                <w:bCs/>
              </w:rPr>
              <w:t>值班电话</w:t>
            </w:r>
          </w:p>
        </w:tc>
        <w:tc>
          <w:tcPr>
            <w:tcW w:w="1258" w:type="pct"/>
            <w:noWrap w:val="0"/>
            <w:vAlign w:val="center"/>
          </w:tcPr>
          <w:p>
            <w:pPr>
              <w:snapToGrid w:val="0"/>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1362" w:type="pct"/>
            <w:noWrap w:val="0"/>
            <w:vAlign w:val="center"/>
          </w:tcPr>
          <w:p>
            <w:pPr>
              <w:snapToGrid w:val="0"/>
              <w:jc w:val="center"/>
              <w:rPr>
                <w:rFonts w:ascii="宋体" w:hAnsi="宋体"/>
                <w:bCs/>
              </w:rPr>
            </w:pPr>
            <w:r>
              <w:rPr>
                <w:rFonts w:hint="eastAsia" w:ascii="宋体" w:hAnsi="宋体"/>
                <w:bCs/>
              </w:rPr>
              <w:t>详细地点</w:t>
            </w:r>
          </w:p>
        </w:tc>
        <w:tc>
          <w:tcPr>
            <w:tcW w:w="1497" w:type="pct"/>
            <w:noWrap w:val="0"/>
            <w:vAlign w:val="center"/>
          </w:tcPr>
          <w:p>
            <w:pPr>
              <w:snapToGrid w:val="0"/>
              <w:jc w:val="center"/>
              <w:rPr>
                <w:rFonts w:ascii="宋体" w:hAnsi="宋体"/>
                <w:bCs/>
              </w:rPr>
            </w:pPr>
          </w:p>
        </w:tc>
        <w:tc>
          <w:tcPr>
            <w:tcW w:w="883" w:type="pct"/>
            <w:noWrap w:val="0"/>
            <w:vAlign w:val="center"/>
          </w:tcPr>
          <w:p>
            <w:pPr>
              <w:snapToGrid w:val="0"/>
              <w:jc w:val="center"/>
              <w:rPr>
                <w:rFonts w:ascii="宋体" w:hAnsi="宋体"/>
                <w:bCs/>
              </w:rPr>
            </w:pPr>
            <w:r>
              <w:rPr>
                <w:rFonts w:hint="eastAsia" w:ascii="宋体" w:hAnsi="宋体"/>
                <w:bCs/>
              </w:rPr>
              <w:t>负责人</w:t>
            </w:r>
          </w:p>
        </w:tc>
        <w:tc>
          <w:tcPr>
            <w:tcW w:w="1258" w:type="pct"/>
            <w:noWrap w:val="0"/>
            <w:vAlign w:val="center"/>
          </w:tcPr>
          <w:p>
            <w:pPr>
              <w:snapToGrid w:val="0"/>
              <w:jc w:val="center"/>
              <w:rPr>
                <w:rFonts w:ascii="宋体" w:hAnsi="宋体"/>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售后服务机构</w:t>
            </w:r>
          </w:p>
          <w:p>
            <w:pPr>
              <w:snapToGrid w:val="0"/>
              <w:jc w:val="center"/>
              <w:rPr>
                <w:rFonts w:ascii="宋体" w:hAnsi="宋体"/>
                <w:bCs/>
              </w:rPr>
            </w:pPr>
            <w:r>
              <w:rPr>
                <w:rFonts w:hint="eastAsia" w:ascii="宋体" w:hAnsi="宋体"/>
                <w:bCs/>
              </w:rPr>
              <w:t>其他情况简介</w:t>
            </w:r>
          </w:p>
        </w:tc>
        <w:tc>
          <w:tcPr>
            <w:tcW w:w="3638" w:type="pct"/>
            <w:gridSpan w:val="3"/>
            <w:noWrap w:val="0"/>
            <w:vAlign w:val="center"/>
          </w:tcPr>
          <w:p>
            <w:pPr>
              <w:snapToGrid w:val="0"/>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可提供的优惠条件</w:t>
            </w:r>
          </w:p>
        </w:tc>
        <w:tc>
          <w:tcPr>
            <w:tcW w:w="3638" w:type="pct"/>
            <w:gridSpan w:val="3"/>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质保期及保修内容、标准承诺</w:t>
            </w:r>
          </w:p>
        </w:tc>
        <w:tc>
          <w:tcPr>
            <w:tcW w:w="3638" w:type="pct"/>
            <w:gridSpan w:val="3"/>
            <w:noWrap w:val="0"/>
            <w:vAlign w:val="center"/>
          </w:tcPr>
          <w:p>
            <w:pPr>
              <w:jc w:val="center"/>
              <w:rPr>
                <w:rFonts w:ascii="宋体" w:hAnsi="宋体"/>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bCs/>
              </w:rPr>
            </w:pPr>
            <w:r>
              <w:rPr>
                <w:rFonts w:hint="eastAsia" w:ascii="宋体" w:hAnsi="宋体"/>
                <w:bCs/>
              </w:rPr>
              <w:t>其他售后服务</w:t>
            </w:r>
          </w:p>
        </w:tc>
        <w:tc>
          <w:tcPr>
            <w:tcW w:w="3638" w:type="pct"/>
            <w:gridSpan w:val="3"/>
            <w:noWrap w:val="0"/>
            <w:vAlign w:val="center"/>
          </w:tcPr>
          <w:p>
            <w:pPr>
              <w:snapToGrid w:val="0"/>
              <w:jc w:val="center"/>
              <w:rPr>
                <w:rFonts w:ascii="宋体" w:hAnsi="宋体"/>
                <w:bCs/>
              </w:rPr>
            </w:pPr>
            <w:r>
              <w:rPr>
                <w:rFonts w:hint="eastAsia" w:ascii="宋体" w:hAnsi="宋体"/>
                <w:bCs/>
              </w:rPr>
              <w:t>（可另附页说明，格式自拟）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jc w:val="center"/>
        </w:trPr>
        <w:tc>
          <w:tcPr>
            <w:tcW w:w="1362" w:type="pct"/>
            <w:noWrap w:val="0"/>
            <w:vAlign w:val="center"/>
          </w:tcPr>
          <w:p>
            <w:pPr>
              <w:snapToGrid w:val="0"/>
              <w:jc w:val="center"/>
              <w:rPr>
                <w:rFonts w:ascii="宋体" w:hAnsi="宋体"/>
              </w:rPr>
            </w:pPr>
            <w:r>
              <w:rPr>
                <w:rFonts w:hint="eastAsia" w:ascii="宋体" w:hAnsi="宋体"/>
              </w:rPr>
              <w:t>质保期外的维保</w:t>
            </w:r>
            <w:r>
              <w:rPr>
                <w:rFonts w:ascii="宋体" w:hAnsi="宋体"/>
              </w:rPr>
              <w:t>内容和服务方式、范围</w:t>
            </w:r>
            <w:r>
              <w:rPr>
                <w:rFonts w:hint="eastAsia" w:ascii="宋体" w:hAnsi="宋体"/>
              </w:rPr>
              <w:t>及维护费用报价</w:t>
            </w:r>
          </w:p>
          <w:p>
            <w:pPr>
              <w:snapToGrid w:val="0"/>
              <w:jc w:val="center"/>
              <w:rPr>
                <w:rFonts w:ascii="宋体" w:hAnsi="宋体"/>
                <w:bCs/>
              </w:rPr>
            </w:pPr>
            <w:r>
              <w:rPr>
                <w:rFonts w:hint="eastAsia" w:ascii="宋体" w:hAnsi="宋体"/>
              </w:rPr>
              <w:t>（不计入报价总价）</w:t>
            </w:r>
          </w:p>
        </w:tc>
        <w:tc>
          <w:tcPr>
            <w:tcW w:w="3638" w:type="pct"/>
            <w:gridSpan w:val="3"/>
            <w:noWrap w:val="0"/>
            <w:vAlign w:val="center"/>
          </w:tcPr>
          <w:p>
            <w:pPr>
              <w:snapToGrid w:val="0"/>
              <w:jc w:val="center"/>
              <w:rPr>
                <w:rFonts w:ascii="宋体" w:hAnsi="宋体"/>
                <w:bCs/>
              </w:rPr>
            </w:pPr>
          </w:p>
        </w:tc>
      </w:tr>
    </w:tbl>
    <w:p>
      <w:pPr>
        <w:spacing w:line="360" w:lineRule="auto"/>
        <w:ind w:left="420"/>
        <w:rPr>
          <w:rFonts w:ascii="宋体" w:hAnsi="宋体"/>
          <w:u w:val="single"/>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spacing w:line="360" w:lineRule="auto"/>
        <w:ind w:right="-85"/>
        <w:rPr>
          <w:rFonts w:ascii="宋体" w:hAnsi="宋体"/>
          <w:u w:val="single"/>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p>
    <w:p>
      <w:pPr>
        <w:snapToGrid w:val="0"/>
        <w:spacing w:line="360" w:lineRule="auto"/>
        <w:jc w:val="center"/>
        <w:outlineLvl w:val="1"/>
        <w:rPr>
          <w:rFonts w:ascii="宋体" w:hAnsi="宋体"/>
          <w:b/>
          <w:sz w:val="32"/>
          <w:szCs w:val="32"/>
        </w:rPr>
      </w:pPr>
      <w:r>
        <w:rPr>
          <w:rFonts w:ascii="宋体" w:hAnsi="宋体"/>
        </w:rPr>
        <w:br w:type="page"/>
      </w:r>
      <w:bookmarkStart w:id="442" w:name="_Toc19034392"/>
      <w:bookmarkStart w:id="443" w:name="_Toc421537806"/>
      <w:bookmarkStart w:id="444" w:name="_Toc3541365"/>
      <w:bookmarkStart w:id="445" w:name="_Toc421175293"/>
      <w:bookmarkStart w:id="446" w:name="_Toc490678518"/>
      <w:bookmarkStart w:id="447" w:name="_Toc438716608"/>
      <w:r>
        <w:rPr>
          <w:rFonts w:hint="eastAsia" w:ascii="宋体" w:hAnsi="宋体"/>
          <w:b/>
          <w:sz w:val="32"/>
          <w:szCs w:val="32"/>
        </w:rPr>
        <w:t>附件</w:t>
      </w:r>
      <w:r>
        <w:rPr>
          <w:rFonts w:ascii="宋体" w:hAnsi="宋体"/>
          <w:b/>
          <w:sz w:val="32"/>
          <w:szCs w:val="32"/>
        </w:rPr>
        <w:t>9</w:t>
      </w:r>
      <w:bookmarkEnd w:id="442"/>
      <w:r>
        <w:rPr>
          <w:rFonts w:ascii="宋体" w:hAnsi="宋体"/>
          <w:b/>
          <w:sz w:val="32"/>
          <w:szCs w:val="32"/>
        </w:rPr>
        <w:t xml:space="preserve"> </w:t>
      </w:r>
      <w:bookmarkStart w:id="448" w:name="_Toc19034393"/>
      <w:r>
        <w:rPr>
          <w:rFonts w:hint="eastAsia" w:ascii="宋体" w:hAnsi="宋体"/>
          <w:b/>
          <w:sz w:val="32"/>
          <w:szCs w:val="32"/>
          <w:lang w:eastAsia="zh-CN"/>
        </w:rPr>
        <w:t>比价采购文件</w:t>
      </w:r>
      <w:r>
        <w:rPr>
          <w:rFonts w:ascii="宋体" w:hAnsi="宋体"/>
          <w:b/>
          <w:sz w:val="32"/>
          <w:szCs w:val="32"/>
        </w:rPr>
        <w:t>要求提供/</w:t>
      </w:r>
      <w:r>
        <w:rPr>
          <w:rFonts w:hint="eastAsia" w:ascii="宋体" w:hAnsi="宋体"/>
          <w:b/>
          <w:sz w:val="32"/>
          <w:szCs w:val="32"/>
          <w:lang w:eastAsia="zh-CN"/>
        </w:rPr>
        <w:t>响应</w:t>
      </w:r>
      <w:r>
        <w:rPr>
          <w:rFonts w:ascii="宋体" w:hAnsi="宋体"/>
          <w:b/>
          <w:sz w:val="32"/>
          <w:szCs w:val="32"/>
        </w:rPr>
        <w:t>方认为应附的其他材料</w:t>
      </w:r>
      <w:bookmarkEnd w:id="443"/>
      <w:bookmarkEnd w:id="444"/>
      <w:bookmarkEnd w:id="445"/>
      <w:bookmarkEnd w:id="446"/>
      <w:bookmarkEnd w:id="447"/>
      <w:bookmarkEnd w:id="448"/>
      <w:bookmarkStart w:id="449" w:name="_Hlt151190216"/>
      <w:bookmarkEnd w:id="449"/>
    </w:p>
    <w:p/>
    <w:sectPr>
      <w:headerReference r:id="rId14" w:type="default"/>
      <w:footerReference r:id="rId15" w:type="default"/>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3"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18</w:t>
    </w:r>
    <w:r>
      <w:fldChar w:fldCharType="end"/>
    </w:r>
  </w:p>
  <w:p>
    <w:pPr>
      <w:pStyle w:val="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19</w:t>
    </w:r>
    <w:r>
      <w:rPr>
        <w:rStyle w:val="16"/>
      </w:rPr>
      <w:fldChar w:fldCharType="end"/>
    </w:r>
  </w:p>
  <w:p>
    <w:pPr>
      <w:pStyle w:val="8"/>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39</w:t>
    </w:r>
    <w:r>
      <w:rPr>
        <w:rStyle w:val="16"/>
      </w:rPr>
      <w:fldChar w:fldCharType="end"/>
    </w:r>
  </w:p>
  <w:p>
    <w:pPr>
      <w:pStyle w:val="8"/>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line="240" w:lineRule="auto"/>
      </w:pPr>
      <w:r>
        <w:separator/>
      </w:r>
    </w:p>
  </w:footnote>
  <w:footnote w:type="continuationSeparator" w:id="11">
    <w:p>
      <w:pPr>
        <w:spacing w:line="240" w:lineRule="auto"/>
      </w:pPr>
      <w:r>
        <w:continuationSeparator/>
      </w:r>
    </w:p>
  </w:footnote>
  <w:footnote w:id="0">
    <w:p>
      <w:pPr>
        <w:pStyle w:val="11"/>
      </w:pPr>
      <w:r>
        <w:rPr>
          <w:rStyle w:val="18"/>
          <w:sz w:val="21"/>
          <w:szCs w:val="24"/>
        </w:rPr>
        <w:footnoteRef/>
      </w:r>
      <w:r>
        <w:rPr>
          <w:rFonts w:hint="eastAsia"/>
        </w:rPr>
        <w:t>例如甲方的用户、潜在用户或员工</w:t>
      </w:r>
    </w:p>
  </w:footnote>
  <w:footnote w:id="1">
    <w:p>
      <w:pPr>
        <w:pStyle w:val="11"/>
      </w:pPr>
      <w:r>
        <w:rPr>
          <w:rStyle w:val="18"/>
          <w:sz w:val="21"/>
          <w:szCs w:val="24"/>
        </w:rPr>
        <w:footnoteRef/>
      </w:r>
      <w:r>
        <w:rPr>
          <w:rFonts w:hint="eastAsia"/>
        </w:rPr>
        <w:t>例如名字，电子邮箱，个人识别号码，电话号码，银行账户信息。具体请参照《数据安全技术 数据分类分级规则》附录</w:t>
      </w:r>
      <w:r>
        <w:t>B</w:t>
      </w:r>
      <w:r>
        <w:rPr>
          <w:rFonts w:hint="eastAsia"/>
        </w:rPr>
        <w:t>。</w:t>
      </w:r>
    </w:p>
  </w:footnote>
  <w:footnote w:id="2">
    <w:p>
      <w:pPr>
        <w:pStyle w:val="11"/>
      </w:pPr>
      <w:r>
        <w:rPr>
          <w:rStyle w:val="18"/>
          <w:sz w:val="21"/>
          <w:szCs w:val="24"/>
        </w:rPr>
        <w:footnoteRef/>
      </w:r>
      <w:r>
        <w:rPr>
          <w:rFonts w:hint="eastAsia"/>
        </w:rPr>
        <w:t>例如身份证件号码、个人生物识别信息、银行账号、通信记录和内容、财产信息、征信信息、行踪轨迹、住宿信息、健康生理信息、交易信息、</w:t>
      </w:r>
      <w:r>
        <w:t>14</w:t>
      </w:r>
      <w:r>
        <w:rPr>
          <w:rFonts w:hint="eastAsia"/>
        </w:rPr>
        <w:t>岁以下（含）儿童的个人信息等。具体请参照《网络安全标准实践指南——网络数据分类分级指引》附录</w:t>
      </w:r>
      <w:r>
        <w:t>B.2</w:t>
      </w:r>
      <w:r>
        <w:rPr>
          <w:rFonts w:hint="eastAsia"/>
        </w:rPr>
        <w:t>。</w:t>
      </w:r>
    </w:p>
  </w:footnote>
  <w:footnote w:id="3">
    <w:p>
      <w:pPr>
        <w:pStyle w:val="11"/>
      </w:pPr>
      <w:r>
        <w:rPr>
          <w:rStyle w:val="18"/>
          <w:sz w:val="21"/>
          <w:szCs w:val="24"/>
        </w:rPr>
        <w:footnoteRef/>
      </w:r>
      <w:r>
        <w:rPr>
          <w:rFonts w:hint="eastAsia"/>
        </w:rPr>
        <w:t>请注意境内指中国大陆，不包括香港特别行政区、特别行政区和台湾地区。</w:t>
      </w:r>
    </w:p>
  </w:footnote>
  <w:footnote w:id="4">
    <w:p>
      <w:pPr>
        <w:pStyle w:val="6"/>
        <w:rPr>
          <w:sz w:val="18"/>
          <w:szCs w:val="18"/>
        </w:rPr>
      </w:pPr>
      <w:r>
        <w:rPr>
          <w:rFonts w:ascii="Times New Roman" w:hAnsi="Times New Roman"/>
          <w:sz w:val="18"/>
          <w:szCs w:val="18"/>
        </w:rPr>
        <w:footnoteRef/>
      </w:r>
      <w:r>
        <w:rPr>
          <w:rFonts w:ascii="Times New Roman" w:hAnsi="Times New Roman"/>
          <w:sz w:val="18"/>
          <w:szCs w:val="18"/>
        </w:rPr>
        <w:t xml:space="preserve"> 建议</w:t>
      </w:r>
      <w:r>
        <w:rPr>
          <w:rFonts w:hint="eastAsia" w:ascii="Times New Roman" w:hAnsi="Times New Roman"/>
          <w:sz w:val="18"/>
          <w:szCs w:val="18"/>
        </w:rPr>
        <w:t>由乙方</w:t>
      </w:r>
      <w:r>
        <w:rPr>
          <w:rFonts w:ascii="Times New Roman" w:hAnsi="Times New Roman"/>
          <w:sz w:val="18"/>
          <w:szCs w:val="18"/>
        </w:rPr>
        <w:t>技术业务团队具体补充，例如技术措施、组织安全措施、角色管理、访问控制政策、认证等</w:t>
      </w:r>
      <w:r>
        <w:rPr>
          <w:rFonts w:hint="eastAsia"/>
          <w:sz w:val="18"/>
          <w:szCs w:val="18"/>
        </w:rPr>
        <w:t>。</w:t>
      </w:r>
    </w:p>
    <w:p>
      <w:pPr>
        <w:pStyle w:val="1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rPr>
        <w:szCs w:val="21"/>
      </w:rPr>
    </w:pPr>
    <w:r>
      <w:rPr>
        <w:rFonts w:hint="eastAsia"/>
      </w:rPr>
      <w:t xml:space="preserve">                                                                                  </w:t>
    </w:r>
    <w:r>
      <w:rPr>
        <w:rFonts w:hint="eastAsia"/>
        <w:lang w:eastAsia="zh-CN"/>
      </w:rPr>
      <w:t>比价采购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wordWrap w:val="0"/>
      <w:jc w:val="right"/>
      <w:rPr>
        <w:rFonts w:ascii="宋体"/>
        <w:szCs w:val="18"/>
      </w:rPr>
    </w:pPr>
    <w:r>
      <w:rPr>
        <w:rFonts w:hint="eastAsia"/>
        <w:lang w:eastAsia="zh-CN"/>
      </w:rPr>
      <w:t>比价采购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lang w:eastAsia="zh-CN"/>
      </w:rPr>
      <w:t>比价采购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lang w:eastAsia="zh-CN"/>
      </w:rPr>
      <w:t>比价采购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1FCE53"/>
    <w:multiLevelType w:val="singleLevel"/>
    <w:tmpl w:val="E51FCE53"/>
    <w:lvl w:ilvl="0" w:tentative="0">
      <w:start w:val="1"/>
      <w:numFmt w:val="decimal"/>
      <w:lvlText w:val="%1)"/>
      <w:lvlJc w:val="left"/>
      <w:pPr>
        <w:ind w:left="905" w:hanging="425"/>
      </w:pPr>
      <w:rPr>
        <w:rFonts w:hint="default"/>
      </w:r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3"/>
  </w:num>
  <w:num w:numId="3">
    <w:abstractNumId w:val="1"/>
  </w:num>
  <w:num w:numId="4">
    <w:abstractNumId w:val="9"/>
  </w:num>
  <w:num w:numId="5">
    <w:abstractNumId w:val="6"/>
  </w:num>
  <w:num w:numId="6">
    <w:abstractNumId w:val="4"/>
  </w:num>
  <w:num w:numId="7">
    <w:abstractNumId w:val="8"/>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0"/>
    <w:footnote w:id="1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164D3"/>
    <w:rsid w:val="1CCE31E7"/>
    <w:rsid w:val="20C75A83"/>
    <w:rsid w:val="23254508"/>
    <w:rsid w:val="2B980627"/>
    <w:rsid w:val="2F3331C6"/>
    <w:rsid w:val="3ABE11BD"/>
    <w:rsid w:val="449B2B74"/>
    <w:rsid w:val="469671DA"/>
    <w:rsid w:val="4F4C4217"/>
    <w:rsid w:val="50A052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2"/>
    <w:basedOn w:val="1"/>
    <w:next w:val="1"/>
    <w:unhideWhenUsed/>
    <w:qFormat/>
    <w:uiPriority w:val="9"/>
    <w:pPr>
      <w:keepNext/>
      <w:keepLines/>
      <w:spacing w:line="360" w:lineRule="auto"/>
      <w:outlineLvl w:val="1"/>
    </w:pPr>
    <w:rPr>
      <w:b/>
      <w:bCs/>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2"/>
    <w:basedOn w:val="1"/>
    <w:unhideWhenUsed/>
    <w:qFormat/>
    <w:uiPriority w:val="0"/>
    <w:pPr>
      <w:spacing w:after="120" w:line="480" w:lineRule="auto"/>
    </w:pPr>
  </w:style>
  <w:style w:type="paragraph" w:styleId="5">
    <w:name w:val="Normal Indent"/>
    <w:basedOn w:val="1"/>
    <w:qFormat/>
    <w:uiPriority w:val="0"/>
    <w:pPr>
      <w:ind w:firstLine="420" w:firstLineChars="200"/>
    </w:pPr>
  </w:style>
  <w:style w:type="paragraph" w:styleId="6">
    <w:name w:val="annotation text"/>
    <w:basedOn w:val="1"/>
    <w:qFormat/>
    <w:uiPriority w:val="0"/>
  </w:style>
  <w:style w:type="paragraph" w:styleId="7">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8">
    <w:name w:val="footer"/>
    <w:basedOn w:val="1"/>
    <w:qFormat/>
    <w:uiPriority w:val="99"/>
    <w:pPr>
      <w:tabs>
        <w:tab w:val="center" w:pos="4153"/>
        <w:tab w:val="right" w:pos="8306"/>
      </w:tabs>
      <w:spacing w:line="240" w:lineRule="atLeast"/>
    </w:pPr>
    <w:rPr>
      <w:sz w:val="18"/>
    </w:rPr>
  </w:style>
  <w:style w:type="paragraph" w:styleId="9">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0">
    <w:name w:val="toc 1"/>
    <w:basedOn w:val="1"/>
    <w:next w:val="1"/>
    <w:qFormat/>
    <w:uiPriority w:val="39"/>
    <w:pPr>
      <w:spacing w:before="360"/>
    </w:pPr>
    <w:rPr>
      <w:rFonts w:ascii="Arial" w:hAnsi="Arial" w:cs="Arial"/>
      <w:b/>
      <w:bCs/>
      <w:caps/>
      <w:szCs w:val="24"/>
    </w:rPr>
  </w:style>
  <w:style w:type="paragraph" w:styleId="11">
    <w:name w:val="footnote text"/>
    <w:basedOn w:val="1"/>
    <w:qFormat/>
    <w:uiPriority w:val="0"/>
    <w:pPr>
      <w:snapToGrid w:val="0"/>
      <w:jc w:val="left"/>
    </w:pPr>
    <w:rPr>
      <w:sz w:val="18"/>
      <w:szCs w:val="18"/>
    </w:rPr>
  </w:style>
  <w:style w:type="paragraph" w:styleId="12">
    <w:name w:val="Title"/>
    <w:basedOn w:val="1"/>
    <w:next w:val="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qFormat/>
    <w:uiPriority w:val="99"/>
    <w:rPr>
      <w:color w:val="0000FF"/>
      <w:u w:val="single"/>
    </w:rPr>
  </w:style>
  <w:style w:type="character" w:styleId="18">
    <w:name w:val="footnote reference"/>
    <w:qFormat/>
    <w:uiPriority w:val="0"/>
    <w:rPr>
      <w:vertAlign w:val="superscript"/>
    </w:rPr>
  </w:style>
  <w:style w:type="paragraph" w:customStyle="1" w:styleId="19">
    <w:name w:val="图文"/>
    <w:basedOn w:val="1"/>
    <w:qFormat/>
    <w:uiPriority w:val="0"/>
    <w:pPr>
      <w:snapToGrid w:val="0"/>
      <w:spacing w:after="50" w:line="360" w:lineRule="auto"/>
      <w:jc w:val="both"/>
      <w:textAlignment w:val="auto"/>
    </w:pPr>
    <w:rPr>
      <w:kern w:val="2"/>
      <w:szCs w:val="24"/>
    </w:rPr>
  </w:style>
  <w:style w:type="paragraph" w:customStyle="1" w:styleId="20">
    <w:name w:val="_Style 7"/>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1">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2">
    <w:name w:val="1 Char Char Char Char"/>
    <w:basedOn w:val="1"/>
    <w:qFormat/>
    <w:uiPriority w:val="0"/>
    <w:pPr>
      <w:adjustRightInd/>
      <w:spacing w:line="240" w:lineRule="auto"/>
      <w:jc w:val="both"/>
      <w:textAlignment w:val="auto"/>
    </w:pPr>
    <w:rPr>
      <w:rFonts w:ascii="Tahoma" w:hAnsi="Tahoma"/>
      <w:kern w:val="2"/>
    </w:rPr>
  </w:style>
  <w:style w:type="paragraph" w:styleId="23">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5">
    <w:name w:val="Char1 Char Char Char1"/>
    <w:basedOn w:val="1"/>
    <w:qFormat/>
    <w:uiPriority w:val="0"/>
    <w:pPr>
      <w:adjustRightInd/>
      <w:spacing w:line="240" w:lineRule="auto"/>
      <w:jc w:val="both"/>
      <w:textAlignment w:val="auto"/>
    </w:pPr>
    <w:rPr>
      <w:rFonts w:ascii="Tahoma" w:hAnsi="Tahoma"/>
      <w:kern w:val="2"/>
    </w:rPr>
  </w:style>
  <w:style w:type="paragraph" w:customStyle="1" w:styleId="26">
    <w:name w:val="图中文字"/>
    <w:basedOn w:val="1"/>
    <w:qFormat/>
    <w:uiPriority w:val="0"/>
    <w:pPr>
      <w:snapToGrid w:val="0"/>
      <w:spacing w:line="0" w:lineRule="atLeast"/>
      <w:jc w:val="center"/>
      <w:textAlignment w:val="auto"/>
    </w:pPr>
    <w:rPr>
      <w:kern w:val="2"/>
    </w:rPr>
  </w:style>
  <w:style w:type="paragraph" w:customStyle="1" w:styleId="27">
    <w:name w:val="正文（renew）"/>
    <w:basedOn w:val="1"/>
    <w:qFormat/>
    <w:uiPriority w:val="0"/>
    <w:pPr>
      <w:spacing w:beforeLines="60" w:afterLines="60" w:line="264" w:lineRule="auto"/>
      <w:ind w:firstLine="420" w:firstLineChars="200"/>
    </w:pPr>
    <w:rPr>
      <w:rFonts w:ascii="Calibri" w:hAnsi="Calibri"/>
      <w:kern w:val="0"/>
      <w:sz w:val="20"/>
      <w:szCs w:val="20"/>
    </w:rPr>
  </w:style>
  <w:style w:type="paragraph" w:customStyle="1" w:styleId="28">
    <w:name w:val="样式1"/>
    <w:basedOn w:val="1"/>
    <w:qFormat/>
    <w:uiPriority w:val="0"/>
    <w:pPr>
      <w:widowControl/>
      <w:spacing w:line="360" w:lineRule="auto"/>
      <w:ind w:firstLine="560" w:firstLineChars="200"/>
      <w:jc w:val="left"/>
    </w:pPr>
    <w:rPr>
      <w:rFonts w:ascii="仿宋_GB2312" w:hAnsi="仿宋_GB2312" w:eastAsia="仿宋_GB2312" w:cs="仿宋_GB2312"/>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0</Words>
  <Characters>0</Characters>
  <Lines>0</Lines>
  <Paragraphs>0</Paragraphs>
  <TotalTime>57</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2026-01-06T06:57:00Z</dcterms:created>
  <dc:creator>刘玉娟</dc:creator>
  <cp:lastModifiedBy>陆培风</cp:lastModifiedBy>
  <dcterms:modified xsi:type="dcterms:W3CDTF">2026-10-23T06:44:15Z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C3AD3057932047F88ED4414DC8D38539</vt:lpwstr>
  </property>
</Properties>
</file>