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14F85">
      <w:pPr>
        <w:spacing w:before="0" w:after="0" w:line="480" w:lineRule="auto"/>
        <w:jc w:val="center"/>
        <w:outlineLvl w:val="9"/>
        <w:rPr>
          <w:rFonts w:hint="eastAsia" w:ascii="仿宋" w:hAnsi="仿宋" w:eastAsia="仿宋" w:cs="仿宋"/>
          <w:b/>
          <w:bCs/>
          <w:color w:val="auto"/>
          <w:sz w:val="32"/>
          <w:szCs w:val="28"/>
          <w:lang w:eastAsia="zh-CN"/>
        </w:rPr>
      </w:pPr>
      <w:bookmarkStart w:id="0" w:name="_Toc109124222"/>
      <w:bookmarkStart w:id="1" w:name="_Toc7914"/>
      <w:bookmarkStart w:id="2" w:name="_Toc7097"/>
      <w:bookmarkStart w:id="3" w:name="_Toc65682912"/>
      <w:r>
        <w:rPr>
          <w:rFonts w:hint="eastAsia" w:ascii="仿宋" w:hAnsi="仿宋" w:eastAsia="仿宋" w:cs="仿宋"/>
          <w:b/>
          <w:bCs/>
          <w:color w:val="auto"/>
          <w:sz w:val="32"/>
          <w:szCs w:val="28"/>
          <w:lang w:val="zh-CN" w:eastAsia="zh-CN"/>
        </w:rPr>
        <w:t>人保财险湖北省宜昌市分公司自贸区支公司2026年湖北东昱欣晟新能源有限公司财产险防灾防损服务</w:t>
      </w:r>
    </w:p>
    <w:p w14:paraId="44E9B793">
      <w:pPr>
        <w:spacing w:before="0" w:after="0" w:line="480" w:lineRule="auto"/>
        <w:jc w:val="center"/>
        <w:outlineLvl w:val="9"/>
        <w:rPr>
          <w:rFonts w:hint="eastAsia" w:ascii="仿宋" w:hAnsi="仿宋" w:eastAsia="仿宋" w:cs="仿宋"/>
          <w:b/>
          <w:bCs/>
          <w:color w:val="auto"/>
          <w:sz w:val="32"/>
          <w:szCs w:val="28"/>
          <w:lang w:val="zh-CN" w:eastAsia="zh-CN"/>
        </w:rPr>
      </w:pPr>
      <w:r>
        <w:rPr>
          <w:rFonts w:hint="eastAsia" w:ascii="仿宋" w:hAnsi="仿宋" w:eastAsia="仿宋" w:cs="仿宋"/>
          <w:b/>
          <w:bCs/>
          <w:color w:val="auto"/>
          <w:sz w:val="32"/>
          <w:szCs w:val="28"/>
          <w:lang w:val="zh-CN" w:eastAsia="zh-CN"/>
        </w:rPr>
        <w:t>比选公告</w:t>
      </w:r>
      <w:bookmarkEnd w:id="0"/>
      <w:bookmarkEnd w:id="1"/>
      <w:bookmarkEnd w:id="2"/>
      <w:bookmarkEnd w:id="3"/>
    </w:p>
    <w:p w14:paraId="4A2BF804">
      <w:pPr>
        <w:wordWrap w:val="0"/>
        <w:spacing w:line="360" w:lineRule="auto"/>
        <w:ind w:firstLine="480" w:firstLineChars="200"/>
        <w:textAlignment w:val="baseline"/>
        <w:rPr>
          <w:rFonts w:hint="eastAsia" w:ascii="仿宋" w:hAnsi="仿宋" w:eastAsia="仿宋" w:cs="仿宋"/>
          <w:color w:val="auto"/>
          <w:sz w:val="24"/>
          <w:highlight w:val="none"/>
        </w:rPr>
      </w:pPr>
    </w:p>
    <w:p w14:paraId="49D3605F">
      <w:pPr>
        <w:wordWrap w:val="0"/>
        <w:spacing w:line="360" w:lineRule="auto"/>
        <w:ind w:firstLine="480" w:firstLineChars="200"/>
        <w:textAlignment w:val="baseline"/>
        <w:rPr>
          <w:rFonts w:hint="eastAsia" w:ascii="仿宋" w:hAnsi="仿宋" w:eastAsia="仿宋" w:cs="Cambria Math"/>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u w:val="single"/>
          <w:lang w:val="zh-CN" w:eastAsia="zh-CN"/>
        </w:rPr>
        <w:t>人保财险湖北省宜昌市分公司自贸区支公司2026年湖北东昱欣晟新能源有限公司财产险防灾防损服务</w:t>
      </w:r>
      <w:r>
        <w:rPr>
          <w:rFonts w:hint="eastAsia" w:ascii="仿宋" w:hAnsi="仿宋" w:eastAsia="仿宋" w:cs="仿宋"/>
          <w:color w:val="auto"/>
          <w:sz w:val="24"/>
          <w:highlight w:val="none"/>
        </w:rPr>
        <w:t>（采购代理项目编号：</w:t>
      </w:r>
      <w:r>
        <w:rPr>
          <w:rFonts w:hint="eastAsia" w:ascii="仿宋" w:hAnsi="仿宋" w:eastAsia="仿宋" w:cs="仿宋"/>
          <w:color w:val="auto"/>
          <w:sz w:val="24"/>
          <w:highlight w:val="none"/>
          <w:lang w:eastAsia="zh-CN"/>
        </w:rPr>
        <w:t>大华招标【2026】194号</w:t>
      </w:r>
      <w:r>
        <w:rPr>
          <w:rFonts w:hint="eastAsia" w:ascii="仿宋" w:hAnsi="仿宋" w:eastAsia="仿宋" w:cs="仿宋"/>
          <w:color w:val="auto"/>
          <w:sz w:val="24"/>
          <w:highlight w:val="none"/>
        </w:rPr>
        <w:t>）由</w:t>
      </w:r>
      <w:r>
        <w:rPr>
          <w:rFonts w:hint="eastAsia" w:ascii="仿宋" w:hAnsi="仿宋" w:eastAsia="仿宋" w:cs="仿宋"/>
          <w:color w:val="auto"/>
          <w:sz w:val="24"/>
          <w:highlight w:val="none"/>
          <w:u w:val="single"/>
          <w:lang w:val="en-US" w:eastAsia="zh-CN"/>
        </w:rPr>
        <w:t>中国人民财产保险股份有限公司宜昌市自贸区支公司</w:t>
      </w:r>
      <w:r>
        <w:rPr>
          <w:rFonts w:hint="eastAsia" w:ascii="仿宋" w:hAnsi="仿宋" w:eastAsia="仿宋" w:cs="仿宋"/>
          <w:color w:val="auto"/>
          <w:sz w:val="24"/>
          <w:highlight w:val="none"/>
        </w:rPr>
        <w:t>（以下简称“采购人”）</w:t>
      </w:r>
      <w:r>
        <w:rPr>
          <w:rFonts w:hint="eastAsia" w:ascii="仿宋" w:hAnsi="仿宋" w:eastAsia="仿宋" w:cs="Cambria Math"/>
          <w:color w:val="auto"/>
          <w:sz w:val="24"/>
          <w:highlight w:val="none"/>
        </w:rPr>
        <w:t>批准并落实资金，组织本项目的</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工作</w:t>
      </w:r>
      <w:r>
        <w:rPr>
          <w:rFonts w:hint="eastAsia" w:ascii="仿宋" w:hAnsi="仿宋" w:eastAsia="仿宋" w:cs="仿宋"/>
          <w:color w:val="auto"/>
          <w:sz w:val="24"/>
          <w:highlight w:val="none"/>
        </w:rPr>
        <w:t>，采购合同由</w:t>
      </w:r>
      <w:r>
        <w:rPr>
          <w:rFonts w:hint="eastAsia" w:ascii="仿宋" w:hAnsi="仿宋" w:eastAsia="仿宋" w:cs="仿宋"/>
          <w:color w:val="auto"/>
          <w:sz w:val="24"/>
          <w:highlight w:val="none"/>
          <w:u w:val="single"/>
          <w:lang w:val="en-US" w:eastAsia="zh-CN"/>
        </w:rPr>
        <w:t>中国人民财产保险股份有限公司宜昌市分公司</w:t>
      </w:r>
      <w:r>
        <w:rPr>
          <w:rFonts w:hint="eastAsia" w:ascii="仿宋" w:hAnsi="仿宋" w:eastAsia="仿宋" w:cs="宋体"/>
          <w:color w:val="auto"/>
          <w:sz w:val="24"/>
          <w:highlight w:val="none"/>
        </w:rPr>
        <w:t>（以下简称“</w:t>
      </w:r>
      <w:r>
        <w:rPr>
          <w:rFonts w:hint="eastAsia" w:ascii="仿宋" w:hAnsi="仿宋" w:eastAsia="仿宋" w:cs="宋体"/>
          <w:color w:val="auto"/>
          <w:sz w:val="24"/>
          <w:highlight w:val="none"/>
          <w:u w:val="none"/>
        </w:rPr>
        <w:t>人保</w:t>
      </w:r>
      <w:r>
        <w:rPr>
          <w:rFonts w:hint="eastAsia" w:ascii="仿宋" w:hAnsi="仿宋" w:eastAsia="仿宋" w:cs="宋体"/>
          <w:color w:val="auto"/>
          <w:sz w:val="24"/>
          <w:highlight w:val="none"/>
          <w:u w:val="none"/>
          <w:lang w:val="en-US" w:eastAsia="zh-CN"/>
        </w:rPr>
        <w:t>财险宜昌市分公司</w:t>
      </w:r>
      <w:r>
        <w:rPr>
          <w:rFonts w:hint="eastAsia" w:ascii="仿宋" w:hAnsi="仿宋" w:eastAsia="仿宋" w:cs="宋体"/>
          <w:color w:val="auto"/>
          <w:sz w:val="24"/>
          <w:highlight w:val="none"/>
        </w:rPr>
        <w:t>”）</w:t>
      </w:r>
      <w:r>
        <w:rPr>
          <w:rFonts w:hint="eastAsia" w:ascii="仿宋" w:hAnsi="仿宋" w:eastAsia="仿宋" w:cs="仿宋"/>
          <w:color w:val="auto"/>
          <w:sz w:val="24"/>
          <w:highlight w:val="none"/>
        </w:rPr>
        <w:t>根据成交结果与成交人签署。现委托</w:t>
      </w:r>
      <w:r>
        <w:rPr>
          <w:rFonts w:hint="eastAsia" w:ascii="仿宋" w:hAnsi="仿宋" w:eastAsia="仿宋" w:cs="仿宋"/>
          <w:color w:val="auto"/>
          <w:sz w:val="24"/>
          <w:highlight w:val="none"/>
          <w:u w:val="single"/>
        </w:rPr>
        <w:t>大华建设项目管理有限公司</w:t>
      </w:r>
      <w:r>
        <w:rPr>
          <w:rFonts w:hint="eastAsia" w:ascii="仿宋" w:hAnsi="仿宋" w:eastAsia="仿宋" w:cs="仿宋"/>
          <w:color w:val="auto"/>
          <w:sz w:val="24"/>
          <w:highlight w:val="none"/>
        </w:rPr>
        <w:t>（以下简称“采购代理机构”）进行公开</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w:t>
      </w:r>
      <w:r>
        <w:rPr>
          <w:rFonts w:hint="eastAsia" w:ascii="仿宋" w:hAnsi="仿宋" w:eastAsia="仿宋" w:cs="Cambria Math"/>
          <w:color w:val="auto"/>
          <w:sz w:val="24"/>
          <w:highlight w:val="none"/>
        </w:rPr>
        <w:t>有意向且具有提供标的物能力的潜在供应商（以下简称“供应商”）可前来参与</w:t>
      </w:r>
      <w:r>
        <w:rPr>
          <w:rFonts w:hint="eastAsia" w:ascii="仿宋" w:hAnsi="仿宋" w:eastAsia="仿宋" w:cs="Cambria Math"/>
          <w:color w:val="auto"/>
          <w:sz w:val="24"/>
          <w:highlight w:val="none"/>
          <w:lang w:eastAsia="zh-CN"/>
        </w:rPr>
        <w:t>比选</w:t>
      </w:r>
      <w:r>
        <w:rPr>
          <w:rFonts w:hint="eastAsia" w:ascii="仿宋" w:hAnsi="仿宋" w:eastAsia="仿宋" w:cs="Cambria Math"/>
          <w:color w:val="auto"/>
          <w:sz w:val="24"/>
          <w:highlight w:val="none"/>
        </w:rPr>
        <w:t xml:space="preserve">响应。 </w:t>
      </w:r>
    </w:p>
    <w:p w14:paraId="7EC77BCA">
      <w:pPr>
        <w:pStyle w:val="3"/>
        <w:ind w:firstLine="0" w:firstLineChars="0"/>
        <w:jc w:val="left"/>
        <w:rPr>
          <w:rFonts w:hint="eastAsia" w:ascii="仿宋" w:hAnsi="仿宋" w:eastAsia="仿宋" w:cs="仿宋"/>
          <w:color w:val="auto"/>
          <w:sz w:val="24"/>
          <w:szCs w:val="24"/>
          <w:highlight w:val="none"/>
        </w:rPr>
      </w:pPr>
      <w:bookmarkStart w:id="4" w:name="_Toc13443"/>
      <w:r>
        <w:rPr>
          <w:rFonts w:hint="eastAsia" w:ascii="仿宋" w:hAnsi="仿宋" w:eastAsia="仿宋" w:cs="仿宋"/>
          <w:color w:val="auto"/>
          <w:sz w:val="24"/>
          <w:szCs w:val="24"/>
          <w:highlight w:val="none"/>
        </w:rPr>
        <w:t>一、项目概况与采购范围</w:t>
      </w:r>
      <w:bookmarkEnd w:id="4"/>
    </w:p>
    <w:p w14:paraId="2DD36655">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1.1项目名称：</w:t>
      </w:r>
      <w:r>
        <w:rPr>
          <w:rFonts w:hint="eastAsia" w:ascii="仿宋" w:hAnsi="仿宋" w:eastAsia="仿宋" w:cs="仿宋"/>
          <w:color w:val="auto"/>
          <w:sz w:val="24"/>
          <w:highlight w:val="none"/>
          <w:lang w:val="zh-CN" w:eastAsia="zh-CN"/>
        </w:rPr>
        <w:t>人保财险湖北省宜昌市分公司自贸区支公司2026年湖北东昱欣晟新能源有限公司财产险防灾防损服务</w:t>
      </w:r>
    </w:p>
    <w:p w14:paraId="5115B5AC">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1.2采购范围：根据在我司投保财产险企业安全生产工作的实际情况，结合企业提出的合理意见和需求，为企业开展</w:t>
      </w:r>
      <w:r>
        <w:rPr>
          <w:rFonts w:hint="eastAsia" w:ascii="仿宋" w:hAnsi="仿宋" w:eastAsia="仿宋" w:cs="仿宋"/>
          <w:color w:val="auto"/>
          <w:sz w:val="24"/>
          <w:highlight w:val="none"/>
          <w:lang w:val="en-US" w:eastAsia="zh-CN"/>
        </w:rPr>
        <w:t>财产险</w:t>
      </w:r>
      <w:r>
        <w:rPr>
          <w:rFonts w:hint="eastAsia" w:ascii="仿宋" w:hAnsi="仿宋" w:eastAsia="仿宋" w:cs="仿宋"/>
          <w:color w:val="auto"/>
          <w:sz w:val="24"/>
          <w:highlight w:val="none"/>
          <w:lang w:eastAsia="zh-CN"/>
        </w:rPr>
        <w:t>防灾防损</w:t>
      </w:r>
      <w:r>
        <w:rPr>
          <w:rFonts w:hint="eastAsia" w:ascii="仿宋" w:hAnsi="仿宋" w:eastAsia="仿宋" w:cs="仿宋"/>
          <w:color w:val="auto"/>
          <w:sz w:val="24"/>
          <w:highlight w:val="none"/>
        </w:rPr>
        <w:t>服务，每次服务项目为以下内容中一项或多项</w:t>
      </w:r>
      <w:r>
        <w:rPr>
          <w:rFonts w:hint="eastAsia" w:ascii="仿宋" w:hAnsi="仿宋" w:eastAsia="仿宋" w:cs="仿宋"/>
          <w:i w:val="0"/>
          <w:iCs w:val="0"/>
          <w:color w:val="auto"/>
          <w:sz w:val="24"/>
          <w:szCs w:val="24"/>
          <w:highlight w:val="none"/>
          <w:lang w:val="en-US" w:eastAsia="zh-CN"/>
        </w:rPr>
        <w:t>：（1）往年风险点整改情况跟踪落实；（2）厂区自然灾害预防及控制措施查勘；（3）特殊生产工艺火灾风险评估；（4）机器人工作区域防护安全性评估；（5）新能源电池生产、存放、移动过程风险排查；（6）电气火灾评估；（7）发动机/新能源试验、试制；（8）装备管理/设备故障损失风险；（9）备件仓库风险评估；（10）相邻及周边场所的火灾爆炸及自然灾害风险影响评估；（11）风险清单；（12）工厂风险评估报告。</w:t>
      </w:r>
      <w:r>
        <w:rPr>
          <w:rFonts w:hint="eastAsia" w:ascii="仿宋" w:hAnsi="仿宋" w:eastAsia="仿宋" w:cs="仿宋"/>
          <w:color w:val="auto"/>
          <w:sz w:val="24"/>
          <w:highlight w:val="none"/>
          <w:lang w:val="zh-CN" w:eastAsia="zh-CN"/>
        </w:rPr>
        <w:t>具体技术要求详见第五章采购需求。</w:t>
      </w:r>
    </w:p>
    <w:p w14:paraId="20B0759A">
      <w:pPr>
        <w:adjustRightInd w:val="0"/>
        <w:snapToGrid w:val="0"/>
        <w:spacing w:line="360" w:lineRule="auto"/>
        <w:ind w:firstLine="480" w:firstLineChars="200"/>
        <w:jc w:val="left"/>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rPr>
        <w:t>1.3标包划分：</w:t>
      </w:r>
      <w:r>
        <w:rPr>
          <w:rFonts w:hint="eastAsia" w:ascii="仿宋" w:hAnsi="仿宋" w:eastAsia="仿宋" w:cs="仿宋"/>
          <w:color w:val="auto"/>
          <w:sz w:val="24"/>
          <w:highlight w:val="none"/>
          <w:lang w:val="zh-CN" w:eastAsia="zh-CN"/>
        </w:rPr>
        <w:t>本项目不划分标包</w:t>
      </w:r>
    </w:p>
    <w:p w14:paraId="2FF713EB">
      <w:pPr>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1.4项目性质：</w:t>
      </w:r>
      <w:r>
        <w:rPr>
          <w:rFonts w:hint="eastAsia" w:ascii="仿宋" w:hAnsi="仿宋" w:eastAsia="仿宋" w:cs="仿宋"/>
          <w:color w:val="auto"/>
          <w:sz w:val="24"/>
          <w:highlight w:val="none"/>
          <w:lang w:val="en-US" w:eastAsia="zh-CN"/>
        </w:rPr>
        <w:t>服务</w:t>
      </w:r>
    </w:p>
    <w:p w14:paraId="4C8C3950">
      <w:pPr>
        <w:adjustRightInd w:val="0"/>
        <w:snapToGrid w:val="0"/>
        <w:spacing w:line="360" w:lineRule="auto"/>
        <w:ind w:firstLine="480" w:firstLineChars="200"/>
        <w:jc w:val="left"/>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1.5</w:t>
      </w:r>
      <w:r>
        <w:rPr>
          <w:rFonts w:hint="eastAsia" w:ascii="仿宋" w:hAnsi="仿宋" w:eastAsia="仿宋" w:cs="仿宋"/>
          <w:color w:val="auto"/>
          <w:sz w:val="24"/>
          <w:highlight w:val="none"/>
          <w:lang w:eastAsia="zh-CN"/>
        </w:rPr>
        <w:t>服务</w:t>
      </w:r>
      <w:r>
        <w:rPr>
          <w:rFonts w:hint="eastAsia" w:ascii="仿宋" w:hAnsi="仿宋" w:eastAsia="仿宋" w:cs="仿宋"/>
          <w:color w:val="auto"/>
          <w:sz w:val="24"/>
          <w:highlight w:val="none"/>
        </w:rPr>
        <w:t>期：自合同签订之日起</w:t>
      </w:r>
      <w:r>
        <w:rPr>
          <w:rFonts w:hint="eastAsia" w:ascii="仿宋" w:hAnsi="仿宋" w:eastAsia="仿宋" w:cs="仿宋"/>
          <w:color w:val="auto"/>
          <w:sz w:val="24"/>
          <w:highlight w:val="none"/>
          <w:lang w:eastAsia="zh-CN"/>
        </w:rPr>
        <w:t>至</w:t>
      </w:r>
      <w:r>
        <w:rPr>
          <w:rFonts w:hint="eastAsia" w:ascii="仿宋" w:hAnsi="仿宋" w:eastAsia="仿宋" w:cs="仿宋"/>
          <w:color w:val="auto"/>
          <w:sz w:val="24"/>
          <w:highlight w:val="none"/>
        </w:rPr>
        <w:t>为</w:t>
      </w:r>
      <w:r>
        <w:rPr>
          <w:rFonts w:hint="eastAsia" w:ascii="仿宋" w:hAnsi="仿宋" w:eastAsia="仿宋" w:cs="仿宋"/>
          <w:color w:val="auto"/>
          <w:sz w:val="24"/>
          <w:highlight w:val="none"/>
          <w:lang w:val="en-US" w:eastAsia="zh-CN"/>
        </w:rPr>
        <w:t>该</w:t>
      </w:r>
      <w:r>
        <w:rPr>
          <w:rFonts w:hint="eastAsia" w:ascii="仿宋" w:hAnsi="仿宋" w:eastAsia="仿宋" w:cs="仿宋"/>
          <w:color w:val="auto"/>
          <w:sz w:val="24"/>
          <w:highlight w:val="none"/>
        </w:rPr>
        <w:t>公司</w:t>
      </w:r>
      <w:r>
        <w:rPr>
          <w:rFonts w:hint="eastAsia" w:ascii="仿宋" w:hAnsi="仿宋" w:eastAsia="仿宋" w:cs="仿宋"/>
          <w:color w:val="auto"/>
          <w:sz w:val="24"/>
          <w:highlight w:val="none"/>
          <w:lang w:val="en-US" w:eastAsia="zh-CN"/>
        </w:rPr>
        <w:t>提供财产险防灾防损服务至保单服务到期止。</w:t>
      </w:r>
    </w:p>
    <w:p w14:paraId="1FECAB63">
      <w:pPr>
        <w:adjustRightInd w:val="0"/>
        <w:snapToGrid w:val="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1.6</w:t>
      </w:r>
      <w:r>
        <w:rPr>
          <w:rFonts w:hint="eastAsia" w:ascii="仿宋" w:hAnsi="仿宋" w:eastAsia="仿宋" w:cs="仿宋"/>
          <w:color w:val="auto"/>
          <w:sz w:val="24"/>
          <w:szCs w:val="24"/>
          <w:highlight w:val="none"/>
          <w:lang w:val="en-US" w:eastAsia="zh-CN"/>
        </w:rPr>
        <w:t>服务地点：采购人指定地点</w:t>
      </w:r>
    </w:p>
    <w:p w14:paraId="258088FB">
      <w:pPr>
        <w:adjustRightInd w:val="0"/>
        <w:snapToGrid w:val="0"/>
        <w:spacing w:line="360" w:lineRule="auto"/>
        <w:ind w:firstLine="480" w:firstLineChars="200"/>
        <w:jc w:val="left"/>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1.7预算金额：15.00万元</w:t>
      </w:r>
    </w:p>
    <w:p w14:paraId="286C282C">
      <w:pPr>
        <w:adjustRightInd w:val="0"/>
        <w:snapToGrid w:val="0"/>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1.8中标人数量：1个</w:t>
      </w:r>
    </w:p>
    <w:p w14:paraId="188800D1">
      <w:pPr>
        <w:pStyle w:val="3"/>
        <w:ind w:firstLine="0" w:firstLineChars="0"/>
        <w:jc w:val="left"/>
        <w:rPr>
          <w:rFonts w:hint="eastAsia" w:ascii="仿宋" w:hAnsi="仿宋" w:eastAsia="仿宋" w:cs="仿宋"/>
          <w:color w:val="auto"/>
          <w:sz w:val="24"/>
          <w:szCs w:val="24"/>
          <w:highlight w:val="none"/>
        </w:rPr>
      </w:pPr>
      <w:bookmarkStart w:id="5" w:name="_Toc3076"/>
      <w:r>
        <w:rPr>
          <w:rFonts w:hint="eastAsia" w:ascii="仿宋" w:hAnsi="仿宋" w:eastAsia="仿宋" w:cs="仿宋"/>
          <w:color w:val="auto"/>
          <w:sz w:val="24"/>
          <w:szCs w:val="24"/>
          <w:highlight w:val="none"/>
        </w:rPr>
        <w:t>二、供应商资格要求</w:t>
      </w:r>
      <w:bookmarkEnd w:id="5"/>
    </w:p>
    <w:p w14:paraId="53530732">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2.1</w:t>
      </w:r>
      <w:r>
        <w:rPr>
          <w:rFonts w:hint="eastAsia" w:ascii="仿宋" w:hAnsi="仿宋" w:eastAsia="仿宋" w:cs="宋体"/>
          <w:b/>
          <w:bCs/>
          <w:color w:val="auto"/>
          <w:sz w:val="24"/>
          <w:highlight w:val="none"/>
        </w:rPr>
        <w:t>供应商须具有行政主管部门核发的有效营业执照，</w:t>
      </w:r>
      <w:r>
        <w:rPr>
          <w:rFonts w:hint="eastAsia" w:ascii="仿宋" w:hAnsi="仿宋" w:eastAsia="仿宋" w:cs="宋体"/>
          <w:b w:val="0"/>
          <w:bCs w:val="0"/>
          <w:color w:val="auto"/>
          <w:sz w:val="24"/>
          <w:highlight w:val="none"/>
        </w:rPr>
        <w:t>如同一公司出现两家及以上(总公司和分支机构或分支机构和分支机构)参与本项目投标，则该公司所有的响应文件均视为无效响应；(供应商须提供营业执照扫描件)</w:t>
      </w:r>
      <w:r>
        <w:rPr>
          <w:rFonts w:hint="eastAsia" w:ascii="仿宋" w:hAnsi="仿宋" w:eastAsia="仿宋" w:cs="宋体"/>
          <w:color w:val="auto"/>
          <w:sz w:val="24"/>
          <w:highlight w:val="none"/>
        </w:rPr>
        <w:t>；</w:t>
      </w:r>
    </w:p>
    <w:p w14:paraId="39D3EE2E">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2.2</w:t>
      </w:r>
      <w:r>
        <w:rPr>
          <w:rFonts w:hint="eastAsia" w:ascii="仿宋" w:hAnsi="仿宋" w:eastAsia="仿宋" w:cs="宋体"/>
          <w:b/>
          <w:bCs/>
          <w:color w:val="auto"/>
          <w:sz w:val="24"/>
          <w:highlight w:val="none"/>
        </w:rPr>
        <w:t>具有良好的商业信誉和健全的财务会计制度</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需提供经会计师事务所审计的2025年度财务审计报告复印件或比选日前3个月内供应商银行出具的资信证明（除开具银行明确表示复印无效的，银行资信证明可以是复印件加盖本单位公章）或由供应商提供书面承诺或声明；</w:t>
      </w:r>
    </w:p>
    <w:p w14:paraId="605F55CF">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2.3</w:t>
      </w:r>
      <w:r>
        <w:rPr>
          <w:rFonts w:hint="eastAsia" w:ascii="仿宋" w:hAnsi="仿宋" w:eastAsia="仿宋" w:cs="宋体"/>
          <w:b/>
          <w:bCs/>
          <w:color w:val="auto"/>
          <w:sz w:val="24"/>
          <w:highlight w:val="none"/>
        </w:rPr>
        <w:t>供应商应具有履行合同所必需的设备和专业技术能力</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由供应商提供书面承诺或声明，或提供相应证明材料；</w:t>
      </w:r>
    </w:p>
    <w:p w14:paraId="564B04A4">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2.4</w:t>
      </w:r>
      <w:r>
        <w:rPr>
          <w:rFonts w:hint="eastAsia" w:ascii="仿宋" w:hAnsi="仿宋" w:eastAsia="仿宋" w:cs="宋体"/>
          <w:b/>
          <w:bCs/>
          <w:color w:val="auto"/>
          <w:sz w:val="24"/>
          <w:highlight w:val="none"/>
        </w:rPr>
        <w:t>具有依法缴纳税收和社会保障资金的良好记录</w:t>
      </w:r>
      <w:r>
        <w:rPr>
          <w:rFonts w:hint="eastAsia" w:ascii="仿宋" w:hAnsi="仿宋" w:eastAsia="仿宋" w:cs="宋体"/>
          <w:color w:val="auto"/>
          <w:sz w:val="24"/>
          <w:highlight w:val="none"/>
        </w:rPr>
        <w:t>，</w:t>
      </w:r>
      <w:r>
        <w:rPr>
          <w:rFonts w:hint="eastAsia" w:ascii="仿宋" w:hAnsi="仿宋" w:eastAsia="仿宋" w:cs="仿宋"/>
          <w:color w:val="auto"/>
          <w:sz w:val="24"/>
          <w:szCs w:val="24"/>
          <w:highlight w:val="none"/>
          <w:lang w:val="en-US" w:eastAsia="zh-CN"/>
        </w:rPr>
        <w:t>供应商须同时提供依法缴纳税收和依法缴纳社会保障资金的证明材料或由供应商提供相关书面承诺或声明；</w:t>
      </w:r>
    </w:p>
    <w:p w14:paraId="2F7B1CE8">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2.5</w:t>
      </w:r>
      <w:r>
        <w:rPr>
          <w:rFonts w:hint="eastAsia" w:ascii="仿宋" w:hAnsi="仿宋" w:eastAsia="仿宋" w:cs="宋体"/>
          <w:b/>
          <w:bCs/>
          <w:color w:val="auto"/>
          <w:sz w:val="24"/>
          <w:highlight w:val="none"/>
        </w:rPr>
        <w:t>供应商应经营状况良好，且近三年内（20</w:t>
      </w:r>
      <w:r>
        <w:rPr>
          <w:rFonts w:hint="eastAsia" w:ascii="仿宋" w:hAnsi="仿宋" w:eastAsia="仿宋" w:cs="宋体"/>
          <w:b/>
          <w:bCs/>
          <w:color w:val="auto"/>
          <w:sz w:val="24"/>
          <w:highlight w:val="none"/>
          <w:lang w:val="en-US" w:eastAsia="zh-CN"/>
        </w:rPr>
        <w:t>23</w:t>
      </w:r>
      <w:r>
        <w:rPr>
          <w:rFonts w:hint="eastAsia" w:ascii="仿宋" w:hAnsi="仿宋" w:eastAsia="仿宋" w:cs="宋体"/>
          <w:b/>
          <w:bCs/>
          <w:color w:val="auto"/>
          <w:sz w:val="24"/>
          <w:highlight w:val="none"/>
        </w:rPr>
        <w:t>年1月1日至今）无违法违规记录。</w:t>
      </w:r>
      <w:r>
        <w:rPr>
          <w:rFonts w:hint="eastAsia" w:ascii="仿宋" w:hAnsi="仿宋" w:eastAsia="仿宋" w:cs="宋体"/>
          <w:color w:val="auto"/>
          <w:sz w:val="24"/>
          <w:highlight w:val="none"/>
        </w:rPr>
        <w:t>违法违规记录是指被“信用中国”列入失信被执行人、重大税收违法失信主体、政府采购严重违法失信行为记录名单。供应商需提供自</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公告发布之日至响应文件递交截止之日期间对以上三项内容的查询截图。</w:t>
      </w:r>
    </w:p>
    <w:p w14:paraId="03B1CDF0">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信用中国查询网址：https://www.creditchina.gov.cn/xinyongfuwu/?navPage=5</w:t>
      </w:r>
    </w:p>
    <w:p w14:paraId="7F2576E9">
      <w:pPr>
        <w:spacing w:line="360" w:lineRule="auto"/>
        <w:ind w:firstLine="480" w:firstLineChars="200"/>
        <w:textAlignment w:val="baseline"/>
        <w:rPr>
          <w:rFonts w:hint="eastAsia" w:ascii="仿宋" w:hAnsi="仿宋" w:eastAsia="仿宋" w:cs="宋体"/>
          <w:b/>
          <w:bCs/>
          <w:color w:val="auto"/>
          <w:sz w:val="24"/>
          <w:highlight w:val="none"/>
        </w:rPr>
      </w:pPr>
      <w:r>
        <w:rPr>
          <w:rFonts w:hint="eastAsia" w:ascii="仿宋" w:hAnsi="仿宋" w:eastAsia="仿宋" w:cs="宋体"/>
          <w:color w:val="auto"/>
          <w:sz w:val="24"/>
          <w:highlight w:val="none"/>
        </w:rPr>
        <w:t>2.6</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14:paraId="0758183E">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2.7单位负责人为同一人或存在控股、管理关系的不同单位，不得参加同一标段/标包</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响应或未划分标段/标包的同一采购项目的</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响应，需填写《供应商控股及管理关系情况申报表》。</w:t>
      </w:r>
    </w:p>
    <w:p w14:paraId="70B0E914">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highlight w:val="none"/>
        </w:rPr>
        <w:t>2.8</w:t>
      </w:r>
      <w:r>
        <w:rPr>
          <w:rFonts w:hint="eastAsia" w:ascii="仿宋" w:hAnsi="仿宋" w:eastAsia="仿宋" w:cs="宋体"/>
          <w:color w:val="auto"/>
          <w:sz w:val="24"/>
          <w:szCs w:val="24"/>
          <w:highlight w:val="none"/>
          <w:lang w:eastAsia="zh-CN"/>
        </w:rPr>
        <w:t>本</w:t>
      </w:r>
      <w:r>
        <w:rPr>
          <w:rFonts w:hint="eastAsia" w:ascii="仿宋" w:hAnsi="仿宋" w:eastAsia="仿宋" w:cs="宋体"/>
          <w:color w:val="auto"/>
          <w:sz w:val="24"/>
          <w:szCs w:val="24"/>
          <w:highlight w:val="none"/>
        </w:rPr>
        <w:t>项目不得转包、分包。</w:t>
      </w:r>
    </w:p>
    <w:p w14:paraId="6DBEBC8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2.9</w:t>
      </w:r>
      <w:r>
        <w:rPr>
          <w:rFonts w:hint="eastAsia" w:ascii="仿宋" w:hAnsi="仿宋" w:eastAsia="仿宋" w:cs="宋体"/>
          <w:color w:val="auto"/>
          <w:sz w:val="24"/>
          <w:highlight w:val="none"/>
        </w:rPr>
        <w:t>本项目不接受联合体</w:t>
      </w:r>
      <w:r>
        <w:rPr>
          <w:rFonts w:hint="eastAsia" w:ascii="仿宋" w:hAnsi="仿宋" w:eastAsia="仿宋" w:cs="宋体"/>
          <w:color w:val="auto"/>
          <w:sz w:val="24"/>
          <w:highlight w:val="none"/>
          <w:lang w:eastAsia="zh-CN"/>
        </w:rPr>
        <w:t>比选</w:t>
      </w:r>
      <w:r>
        <w:rPr>
          <w:rFonts w:hint="eastAsia" w:ascii="仿宋" w:hAnsi="仿宋" w:eastAsia="仿宋" w:cs="宋体"/>
          <w:color w:val="auto"/>
          <w:sz w:val="24"/>
          <w:highlight w:val="none"/>
        </w:rPr>
        <w:t>响应</w:t>
      </w:r>
      <w:r>
        <w:rPr>
          <w:rFonts w:hint="eastAsia" w:ascii="仿宋" w:hAnsi="仿宋" w:eastAsia="仿宋" w:cs="宋体"/>
          <w:color w:val="auto"/>
          <w:sz w:val="24"/>
          <w:szCs w:val="24"/>
          <w:highlight w:val="none"/>
        </w:rPr>
        <w:t>。</w:t>
      </w:r>
    </w:p>
    <w:p w14:paraId="7EF0EBAB">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highlight w:val="none"/>
          <w:lang w:val="en-US" w:eastAsia="zh-CN"/>
        </w:rPr>
        <w:t>2.10</w:t>
      </w:r>
      <w:r>
        <w:rPr>
          <w:rFonts w:hint="eastAsia" w:ascii="仿宋" w:hAnsi="仿宋" w:eastAsia="仿宋" w:cs="宋体"/>
          <w:color w:val="auto"/>
          <w:sz w:val="24"/>
          <w:szCs w:val="24"/>
          <w:highlight w:val="none"/>
          <w:lang w:val="en-US" w:eastAsia="zh-CN"/>
        </w:rPr>
        <w:t>其它资格要求：无。</w:t>
      </w:r>
    </w:p>
    <w:p w14:paraId="6634F114">
      <w:pPr>
        <w:pStyle w:val="3"/>
        <w:ind w:firstLine="0" w:firstLineChars="0"/>
        <w:jc w:val="left"/>
        <w:rPr>
          <w:rFonts w:hint="eastAsia" w:ascii="仿宋" w:hAnsi="仿宋" w:eastAsia="仿宋" w:cs="仿宋"/>
          <w:color w:val="auto"/>
          <w:sz w:val="24"/>
          <w:szCs w:val="24"/>
          <w:highlight w:val="none"/>
        </w:rPr>
      </w:pPr>
      <w:bookmarkStart w:id="6" w:name="_Toc9135"/>
      <w:r>
        <w:rPr>
          <w:rFonts w:hint="eastAsia" w:ascii="仿宋" w:hAnsi="仿宋" w:eastAsia="仿宋" w:cs="仿宋"/>
          <w:color w:val="auto"/>
          <w:sz w:val="24"/>
          <w:szCs w:val="24"/>
          <w:highlight w:val="none"/>
        </w:rPr>
        <w:t>三、资格审查方法</w:t>
      </w:r>
      <w:bookmarkEnd w:id="6"/>
    </w:p>
    <w:p w14:paraId="54B1D70A">
      <w:pPr>
        <w:spacing w:line="360" w:lineRule="auto"/>
        <w:ind w:firstLine="480" w:firstLineChars="200"/>
        <w:textAlignment w:val="baseline"/>
        <w:rPr>
          <w:rFonts w:ascii="仿宋" w:hAnsi="仿宋" w:eastAsia="仿宋" w:cs="仿宋"/>
          <w:color w:val="auto"/>
          <w:sz w:val="24"/>
          <w:highlight w:val="none"/>
        </w:rPr>
      </w:pPr>
      <w:r>
        <w:rPr>
          <w:rFonts w:hint="eastAsia" w:ascii="仿宋" w:hAnsi="仿宋" w:eastAsia="仿宋" w:cs="仿宋"/>
          <w:color w:val="auto"/>
          <w:sz w:val="24"/>
          <w:highlight w:val="none"/>
        </w:rPr>
        <w:t>本项目将进行资格后审，资格审查方法为合格制，资格审查标准和内容见</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文件第三章评审办法。未通过资格后审的供应商，响应文件将被否决，不进入</w:t>
      </w:r>
      <w:r>
        <w:rPr>
          <w:rFonts w:hint="eastAsia" w:ascii="仿宋" w:hAnsi="仿宋" w:eastAsia="仿宋" w:cs="仿宋"/>
          <w:color w:val="auto"/>
          <w:sz w:val="24"/>
          <w:highlight w:val="none"/>
          <w:lang w:eastAsia="zh-CN"/>
        </w:rPr>
        <w:t>比选</w:t>
      </w:r>
      <w:r>
        <w:rPr>
          <w:rFonts w:hint="eastAsia" w:ascii="仿宋" w:hAnsi="仿宋" w:eastAsia="仿宋" w:cs="仿宋"/>
          <w:color w:val="auto"/>
          <w:sz w:val="24"/>
          <w:highlight w:val="none"/>
        </w:rPr>
        <w:t>、详细评审等后续环节。</w:t>
      </w:r>
    </w:p>
    <w:p w14:paraId="11DDC227">
      <w:pPr>
        <w:pStyle w:val="3"/>
        <w:spacing w:after="240"/>
        <w:ind w:firstLine="0" w:firstLineChars="0"/>
        <w:jc w:val="left"/>
        <w:rPr>
          <w:rFonts w:hint="eastAsia" w:ascii="仿宋" w:hAnsi="仿宋" w:eastAsia="仿宋" w:cs="仿宋"/>
          <w:color w:val="auto"/>
          <w:sz w:val="24"/>
          <w:szCs w:val="24"/>
          <w:highlight w:val="none"/>
        </w:rPr>
      </w:pPr>
      <w:bookmarkStart w:id="7" w:name="_Toc22231"/>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文件的获取</w:t>
      </w:r>
      <w:bookmarkEnd w:id="7"/>
    </w:p>
    <w:p w14:paraId="6463D648">
      <w:pPr>
        <w:pStyle w:val="10"/>
        <w:adjustRightInd w:val="0"/>
        <w:snapToGrid w:val="0"/>
        <w:ind w:firstLineChars="175"/>
        <w:jc w:val="left"/>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szCs w:val="24"/>
          <w:highlight w:val="none"/>
        </w:rPr>
        <w:t>文件</w:t>
      </w:r>
      <w:r>
        <w:rPr>
          <w:rFonts w:hint="eastAsia" w:ascii="仿宋" w:hAnsi="仿宋" w:eastAsia="仿宋" w:cs="宋体"/>
          <w:color w:val="auto"/>
          <w:sz w:val="24"/>
          <w:szCs w:val="24"/>
          <w:highlight w:val="none"/>
        </w:rPr>
        <w:t>获取</w:t>
      </w:r>
      <w:r>
        <w:rPr>
          <w:rFonts w:hint="eastAsia" w:ascii="仿宋" w:hAnsi="仿宋" w:eastAsia="仿宋" w:cs="仿宋"/>
          <w:color w:val="auto"/>
          <w:sz w:val="24"/>
          <w:szCs w:val="24"/>
          <w:highlight w:val="none"/>
        </w:rPr>
        <w:t>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10</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24</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6年10</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28</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u w:val="none"/>
        </w:rPr>
        <w:t>，</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12</w:t>
      </w:r>
      <w:r>
        <w:rPr>
          <w:rFonts w:hint="eastAsia" w:ascii="仿宋" w:hAnsi="仿宋" w:eastAsia="仿宋" w:cs="宋体"/>
          <w:color w:val="auto"/>
          <w:sz w:val="24"/>
          <w:szCs w:val="24"/>
          <w:highlight w:val="none"/>
        </w:rPr>
        <w:t>时，下午</w:t>
      </w:r>
      <w:r>
        <w:rPr>
          <w:rFonts w:hint="eastAsia" w:ascii="仿宋" w:hAnsi="仿宋" w:eastAsia="仿宋" w:cs="宋体"/>
          <w:color w:val="auto"/>
          <w:sz w:val="24"/>
          <w:szCs w:val="24"/>
          <w:highlight w:val="none"/>
          <w:lang w:val="en-US" w:eastAsia="zh-CN"/>
        </w:rPr>
        <w:t>14</w:t>
      </w:r>
      <w:r>
        <w:rPr>
          <w:rFonts w:hint="eastAsia" w:ascii="仿宋" w:hAnsi="仿宋" w:eastAsia="仿宋" w:cs="宋体"/>
          <w:color w:val="auto"/>
          <w:sz w:val="24"/>
          <w:szCs w:val="24"/>
          <w:highlight w:val="none"/>
        </w:rPr>
        <w:t>时至</w:t>
      </w:r>
      <w:r>
        <w:rPr>
          <w:rFonts w:hint="eastAsia" w:ascii="仿宋" w:hAnsi="仿宋" w:eastAsia="仿宋" w:cs="宋体"/>
          <w:color w:val="auto"/>
          <w:sz w:val="24"/>
          <w:szCs w:val="24"/>
          <w:highlight w:val="none"/>
          <w:lang w:val="en-US" w:eastAsia="zh-CN"/>
        </w:rPr>
        <w:t>17</w:t>
      </w:r>
      <w:r>
        <w:rPr>
          <w:rFonts w:hint="eastAsia" w:ascii="仿宋" w:hAnsi="仿宋" w:eastAsia="仿宋" w:cs="宋体"/>
          <w:color w:val="auto"/>
          <w:sz w:val="24"/>
          <w:szCs w:val="24"/>
          <w:highlight w:val="none"/>
        </w:rPr>
        <w:t>时（北京时间，下同）。</w:t>
      </w:r>
    </w:p>
    <w:p w14:paraId="0C9DC991">
      <w:pPr>
        <w:pStyle w:val="4"/>
        <w:spacing w:line="360" w:lineRule="auto"/>
        <w:ind w:firstLine="480" w:firstLineChars="200"/>
        <w:rPr>
          <w:rFonts w:hint="eastAsia" w:ascii="仿宋" w:hAnsi="仿宋" w:eastAsia="仿宋" w:cs="宋体"/>
          <w:color w:val="auto"/>
          <w:sz w:val="24"/>
          <w:highlight w:val="none"/>
          <w:lang w:val="en-US" w:eastAsia="zh-CN"/>
        </w:rPr>
      </w:pPr>
      <w:r>
        <w:rPr>
          <w:rFonts w:ascii="仿宋" w:hAnsi="仿宋" w:eastAsia="仿宋" w:cs="宋体"/>
          <w:color w:val="auto"/>
          <w:sz w:val="24"/>
          <w:highlight w:val="none"/>
        </w:rPr>
        <w:t>4</w:t>
      </w:r>
      <w:r>
        <w:rPr>
          <w:rFonts w:hint="eastAsia" w:ascii="仿宋" w:hAnsi="仿宋" w:eastAsia="仿宋" w:cs="宋体"/>
          <w:color w:val="auto"/>
          <w:sz w:val="24"/>
          <w:highlight w:val="none"/>
        </w:rPr>
        <w:t>.2</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eastAsia="zh-CN"/>
        </w:rPr>
        <w:t>文件获取方式：</w:t>
      </w:r>
      <w:r>
        <w:rPr>
          <w:rFonts w:hint="eastAsia" w:ascii="仿宋" w:hAnsi="仿宋" w:eastAsia="仿宋" w:cs="宋体"/>
          <w:color w:val="auto"/>
          <w:sz w:val="24"/>
          <w:highlight w:val="none"/>
          <w:lang w:val="en-US" w:eastAsia="zh-CN"/>
        </w:rPr>
        <w:t>线上获取。符合资格的申请人应当在获取时间内，提供下列材料领取</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val="en-US" w:eastAsia="zh-CN"/>
        </w:rPr>
        <w:t>文件：以“单位全称+联系人+联系电话+联系邮箱”为邮件主题，提供①法人授权委托书加盖公章扫描件②营业执照复印件加盖公章扫描件③</w:t>
      </w:r>
      <w:r>
        <w:rPr>
          <w:rFonts w:hint="eastAsia" w:ascii="仿宋" w:hAnsi="仿宋" w:eastAsia="仿宋" w:cs="仿宋"/>
          <w:color w:val="auto"/>
          <w:sz w:val="24"/>
          <w:szCs w:val="24"/>
          <w:highlight w:val="none"/>
          <w:lang w:eastAsia="zh-CN"/>
        </w:rPr>
        <w:t>比选</w:t>
      </w:r>
      <w:r>
        <w:rPr>
          <w:rFonts w:hint="eastAsia" w:ascii="仿宋" w:hAnsi="仿宋" w:eastAsia="仿宋" w:cs="宋体"/>
          <w:color w:val="auto"/>
          <w:sz w:val="24"/>
          <w:highlight w:val="none"/>
          <w:lang w:val="en-US" w:eastAsia="zh-CN"/>
        </w:rPr>
        <w:t>文件获取登记表加盖公章扫描件（格式详见附件）④标书费对公转账凭证截图，发送至邮箱1103542849@qq.com办理报名手续，汇款时须备注“单位简称+项目编号”（银行账户信息：户名：大华建设项目管理有限公司；开户行：武汉农村商业银行江岸支行；账号：200631582010013；行号：402521001011）。</w:t>
      </w:r>
    </w:p>
    <w:p w14:paraId="75678E92">
      <w:pPr>
        <w:pStyle w:val="4"/>
        <w:spacing w:line="360" w:lineRule="auto"/>
        <w:ind w:firstLine="480" w:firstLineChars="200"/>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4.3售价400元/份，售后不退。</w:t>
      </w:r>
    </w:p>
    <w:p w14:paraId="224EB5A6">
      <w:pPr>
        <w:pStyle w:val="4"/>
        <w:spacing w:line="360" w:lineRule="auto"/>
        <w:ind w:firstLine="480" w:firstLineChars="200"/>
        <w:rPr>
          <w:rFonts w:hint="eastAsia" w:ascii="仿宋" w:hAnsi="仿宋" w:eastAsia="仿宋" w:cs="仿宋_GB2312"/>
          <w:color w:val="auto"/>
          <w:sz w:val="24"/>
          <w:szCs w:val="24"/>
          <w:highlight w:val="none"/>
        </w:rPr>
      </w:pPr>
      <w:r>
        <w:rPr>
          <w:rFonts w:hint="eastAsia" w:ascii="仿宋" w:hAnsi="仿宋" w:eastAsia="仿宋" w:cs="宋体"/>
          <w:color w:val="auto"/>
          <w:sz w:val="24"/>
          <w:highlight w:val="none"/>
          <w:lang w:val="en-US" w:eastAsia="zh-CN"/>
        </w:rPr>
        <w:t>4.4潜在供应商在采购代理机构报名后还需登陆“人保e采”外网门户（https://ec.picc.com/）进行注册报名（具体操作详见网站说明），未在规定时间同步在此网站注册报名的，其报名无效。</w:t>
      </w:r>
    </w:p>
    <w:p w14:paraId="0A5E3D48">
      <w:pPr>
        <w:pStyle w:val="3"/>
        <w:ind w:firstLine="0" w:firstLineChars="0"/>
        <w:jc w:val="left"/>
        <w:rPr>
          <w:rFonts w:hint="eastAsia" w:ascii="仿宋" w:hAnsi="仿宋" w:eastAsia="仿宋" w:cs="仿宋"/>
          <w:color w:val="auto"/>
          <w:sz w:val="24"/>
          <w:szCs w:val="24"/>
          <w:highlight w:val="none"/>
        </w:rPr>
      </w:pPr>
      <w:bookmarkStart w:id="8" w:name="_Toc4312"/>
      <w:r>
        <w:rPr>
          <w:rFonts w:hint="eastAsia" w:ascii="仿宋" w:hAnsi="仿宋" w:eastAsia="仿宋" w:cs="仿宋"/>
          <w:color w:val="auto"/>
          <w:sz w:val="24"/>
          <w:szCs w:val="24"/>
          <w:highlight w:val="none"/>
        </w:rPr>
        <w:t>五、响应文件的递交</w:t>
      </w:r>
      <w:bookmarkEnd w:id="8"/>
    </w:p>
    <w:p w14:paraId="7185EF67">
      <w:pPr>
        <w:spacing w:line="360" w:lineRule="auto"/>
        <w:ind w:firstLine="480" w:firstLineChars="200"/>
        <w:textAlignment w:val="baseline"/>
        <w:rPr>
          <w:rFonts w:hint="eastAsia" w:ascii="仿宋" w:hAnsi="仿宋" w:eastAsia="仿宋" w:cs="宋体"/>
          <w:color w:val="auto"/>
          <w:sz w:val="24"/>
          <w:highlight w:val="none"/>
        </w:rPr>
      </w:pPr>
      <w:r>
        <w:rPr>
          <w:rFonts w:ascii="仿宋" w:hAnsi="仿宋" w:eastAsia="仿宋" w:cs="宋体"/>
          <w:color w:val="auto"/>
          <w:sz w:val="24"/>
          <w:highlight w:val="none"/>
        </w:rPr>
        <w:t>5</w:t>
      </w:r>
      <w:r>
        <w:rPr>
          <w:rFonts w:hint="eastAsia" w:ascii="仿宋" w:hAnsi="仿宋" w:eastAsia="仿宋" w:cs="宋体"/>
          <w:color w:val="auto"/>
          <w:sz w:val="24"/>
          <w:highlight w:val="none"/>
        </w:rPr>
        <w:t>.1响应文件递交截止时间：</w:t>
      </w:r>
      <w:r>
        <w:rPr>
          <w:rFonts w:hint="eastAsia" w:ascii="仿宋" w:hAnsi="仿宋" w:eastAsia="仿宋" w:cs="宋体"/>
          <w:b/>
          <w:bCs/>
          <w:color w:val="auto"/>
          <w:sz w:val="24"/>
          <w:highlight w:val="none"/>
          <w:u w:val="single"/>
        </w:rPr>
        <w:t>20</w:t>
      </w:r>
      <w:r>
        <w:rPr>
          <w:rFonts w:hint="eastAsia" w:ascii="仿宋" w:hAnsi="仿宋" w:eastAsia="仿宋" w:cs="宋体"/>
          <w:b/>
          <w:bCs/>
          <w:color w:val="auto"/>
          <w:sz w:val="24"/>
          <w:highlight w:val="none"/>
          <w:u w:val="single"/>
          <w:lang w:val="en-US" w:eastAsia="zh-CN"/>
        </w:rPr>
        <w:t>26</w:t>
      </w:r>
      <w:r>
        <w:rPr>
          <w:rFonts w:hint="eastAsia" w:ascii="仿宋" w:hAnsi="仿宋" w:eastAsia="仿宋" w:cs="宋体"/>
          <w:b/>
          <w:bCs/>
          <w:color w:val="auto"/>
          <w:sz w:val="24"/>
          <w:highlight w:val="none"/>
          <w:u w:val="single"/>
        </w:rPr>
        <w:t>年</w:t>
      </w:r>
      <w:r>
        <w:rPr>
          <w:rFonts w:hint="eastAsia" w:ascii="仿宋" w:hAnsi="仿宋" w:eastAsia="仿宋" w:cs="宋体"/>
          <w:b/>
          <w:bCs/>
          <w:color w:val="auto"/>
          <w:sz w:val="24"/>
          <w:highlight w:val="none"/>
          <w:u w:val="single"/>
          <w:lang w:val="en-US" w:eastAsia="zh-CN"/>
        </w:rPr>
        <w:t>10</w:t>
      </w:r>
      <w:r>
        <w:rPr>
          <w:rFonts w:hint="eastAsia" w:ascii="仿宋" w:hAnsi="仿宋" w:eastAsia="仿宋" w:cs="宋体"/>
          <w:b/>
          <w:bCs/>
          <w:color w:val="auto"/>
          <w:sz w:val="24"/>
          <w:highlight w:val="none"/>
          <w:u w:val="single"/>
        </w:rPr>
        <w:t>月</w:t>
      </w:r>
      <w:r>
        <w:rPr>
          <w:rFonts w:hint="eastAsia" w:ascii="仿宋" w:hAnsi="仿宋" w:eastAsia="仿宋" w:cs="宋体"/>
          <w:b/>
          <w:bCs/>
          <w:color w:val="auto"/>
          <w:sz w:val="24"/>
          <w:highlight w:val="none"/>
          <w:u w:val="single"/>
          <w:lang w:val="en-US" w:eastAsia="zh-CN"/>
        </w:rPr>
        <w:t>30</w:t>
      </w:r>
      <w:r>
        <w:rPr>
          <w:rFonts w:hint="eastAsia" w:ascii="仿宋" w:hAnsi="仿宋" w:eastAsia="仿宋" w:cs="宋体"/>
          <w:b/>
          <w:bCs/>
          <w:color w:val="auto"/>
          <w:sz w:val="24"/>
          <w:highlight w:val="none"/>
          <w:u w:val="single"/>
        </w:rPr>
        <w:t>日</w:t>
      </w:r>
      <w:r>
        <w:rPr>
          <w:rFonts w:hint="eastAsia" w:ascii="仿宋" w:hAnsi="仿宋" w:eastAsia="仿宋" w:cs="宋体"/>
          <w:b/>
          <w:bCs/>
          <w:color w:val="auto"/>
          <w:sz w:val="24"/>
          <w:highlight w:val="none"/>
          <w:u w:val="single"/>
          <w:lang w:val="en-US" w:eastAsia="zh-CN"/>
        </w:rPr>
        <w:t>14</w:t>
      </w:r>
      <w:r>
        <w:rPr>
          <w:rFonts w:hint="eastAsia" w:ascii="仿宋" w:hAnsi="仿宋" w:eastAsia="仿宋" w:cs="宋体"/>
          <w:b/>
          <w:bCs/>
          <w:color w:val="auto"/>
          <w:sz w:val="24"/>
          <w:highlight w:val="none"/>
          <w:u w:val="single"/>
        </w:rPr>
        <w:t>时</w:t>
      </w:r>
      <w:r>
        <w:rPr>
          <w:rFonts w:hint="eastAsia" w:ascii="仿宋" w:hAnsi="仿宋" w:eastAsia="仿宋" w:cs="宋体"/>
          <w:b/>
          <w:bCs/>
          <w:color w:val="auto"/>
          <w:sz w:val="24"/>
          <w:highlight w:val="none"/>
          <w:u w:val="single"/>
          <w:lang w:val="en-US" w:eastAsia="zh-CN"/>
        </w:rPr>
        <w:t>30</w:t>
      </w:r>
      <w:r>
        <w:rPr>
          <w:rFonts w:hint="eastAsia" w:ascii="仿宋" w:hAnsi="仿宋" w:eastAsia="仿宋" w:cs="宋体"/>
          <w:b/>
          <w:bCs/>
          <w:color w:val="auto"/>
          <w:sz w:val="24"/>
          <w:highlight w:val="none"/>
          <w:u w:val="single"/>
        </w:rPr>
        <w:t>分00秒</w:t>
      </w:r>
      <w:r>
        <w:rPr>
          <w:rFonts w:hint="eastAsia" w:ascii="仿宋" w:hAnsi="仿宋" w:eastAsia="仿宋" w:cs="宋体"/>
          <w:b/>
          <w:bCs/>
          <w:color w:val="auto"/>
          <w:sz w:val="24"/>
          <w:highlight w:val="none"/>
        </w:rPr>
        <w:t>。</w:t>
      </w:r>
    </w:p>
    <w:p w14:paraId="1FBD631D">
      <w:pPr>
        <w:spacing w:line="360" w:lineRule="auto"/>
        <w:ind w:firstLine="480" w:firstLineChars="200"/>
        <w:jc w:val="left"/>
        <w:textAlignment w:val="baseline"/>
        <w:rPr>
          <w:rFonts w:hint="eastAsia"/>
          <w:color w:val="auto"/>
          <w:highlight w:val="none"/>
        </w:rPr>
      </w:pPr>
      <w:r>
        <w:rPr>
          <w:rFonts w:hint="eastAsia" w:ascii="仿宋" w:hAnsi="仿宋" w:eastAsia="仿宋" w:cs="宋体"/>
          <w:color w:val="auto"/>
          <w:sz w:val="24"/>
          <w:highlight w:val="none"/>
        </w:rPr>
        <w:t>5.2响应文件的递交：须现场</w:t>
      </w:r>
      <w:r>
        <w:rPr>
          <w:rFonts w:hint="eastAsia" w:ascii="仿宋" w:hAnsi="仿宋" w:eastAsia="仿宋" w:cs="宋体"/>
          <w:color w:val="auto"/>
          <w:sz w:val="24"/>
          <w:highlight w:val="none"/>
          <w:lang w:eastAsia="zh-CN"/>
        </w:rPr>
        <w:t>方式</w:t>
      </w:r>
      <w:r>
        <w:rPr>
          <w:rFonts w:hint="eastAsia" w:ascii="仿宋" w:hAnsi="仿宋" w:eastAsia="仿宋" w:cs="宋体"/>
          <w:color w:val="auto"/>
          <w:sz w:val="24"/>
          <w:highlight w:val="none"/>
        </w:rPr>
        <w:t>递交至</w:t>
      </w:r>
      <w:r>
        <w:rPr>
          <w:rFonts w:hint="eastAsia" w:ascii="仿宋" w:hAnsi="仿宋" w:eastAsia="仿宋" w:cs="宋体"/>
          <w:color w:val="auto"/>
          <w:sz w:val="24"/>
          <w:highlight w:val="none"/>
          <w:lang w:val="en-US" w:eastAsia="zh-CN"/>
        </w:rPr>
        <w:t>大华建设项目管理有限公司（湖北省武汉市江岸区后湖塔子湖越秀星汇君泊3期A座23楼开标室）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w:t>
      </w:r>
      <w:r>
        <w:rPr>
          <w:rFonts w:hint="eastAsia" w:ascii="仿宋" w:hAnsi="仿宋" w:eastAsia="仿宋" w:cs="宋体"/>
          <w:b/>
          <w:bCs/>
          <w:color w:val="auto"/>
          <w:sz w:val="24"/>
          <w:highlight w:val="none"/>
          <w:lang w:eastAsia="zh-CN"/>
        </w:rPr>
        <w:t>比选</w:t>
      </w:r>
      <w:r>
        <w:rPr>
          <w:rFonts w:hint="eastAsia" w:ascii="仿宋" w:hAnsi="仿宋" w:eastAsia="仿宋" w:cs="宋体"/>
          <w:b/>
          <w:bCs/>
          <w:color w:val="auto"/>
          <w:sz w:val="24"/>
          <w:highlight w:val="none"/>
        </w:rPr>
        <w:t>文件要求封装的纸质响应文件不予接收。</w:t>
      </w:r>
    </w:p>
    <w:p w14:paraId="7314D5F3">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5.3</w:t>
      </w:r>
      <w:r>
        <w:rPr>
          <w:rFonts w:hint="eastAsia" w:ascii="仿宋" w:hAnsi="仿宋" w:eastAsia="仿宋" w:cs="宋体"/>
          <w:b w:val="0"/>
          <w:bCs w:val="0"/>
          <w:color w:val="auto"/>
          <w:kern w:val="2"/>
          <w:sz w:val="24"/>
          <w:szCs w:val="24"/>
          <w:highlight w:val="none"/>
          <w:lang w:val="en-US" w:eastAsia="zh-CN" w:bidi="ar-SA"/>
        </w:rPr>
        <w:t>本项目将于上述同一时间、地点进行</w:t>
      </w:r>
      <w:r>
        <w:rPr>
          <w:rFonts w:hint="eastAsia" w:ascii="仿宋" w:hAnsi="仿宋" w:eastAsia="仿宋" w:cs="仿宋"/>
          <w:color w:val="auto"/>
          <w:sz w:val="24"/>
          <w:szCs w:val="24"/>
          <w:highlight w:val="none"/>
          <w:lang w:eastAsia="zh-CN"/>
        </w:rPr>
        <w:t>比选</w:t>
      </w:r>
      <w:r>
        <w:rPr>
          <w:rFonts w:hint="eastAsia" w:ascii="仿宋" w:hAnsi="仿宋" w:eastAsia="仿宋" w:cs="宋体"/>
          <w:b w:val="0"/>
          <w:bCs w:val="0"/>
          <w:color w:val="auto"/>
          <w:kern w:val="2"/>
          <w:sz w:val="24"/>
          <w:szCs w:val="24"/>
          <w:highlight w:val="none"/>
          <w:lang w:val="en-US" w:eastAsia="zh-CN" w:bidi="ar-SA"/>
        </w:rPr>
        <w:t>，采购人/采购代理机构邀请供应商代表准时参加。</w:t>
      </w:r>
    </w:p>
    <w:p w14:paraId="2AC9CEEE">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w:t>
      </w:r>
      <w:r>
        <w:rPr>
          <w:rFonts w:hint="eastAsia" w:ascii="仿宋" w:hAnsi="仿宋" w:eastAsia="仿宋" w:cs="宋体"/>
          <w:b/>
          <w:bCs/>
          <w:color w:val="auto"/>
          <w:kern w:val="2"/>
          <w:sz w:val="24"/>
          <w:szCs w:val="24"/>
          <w:highlight w:val="none"/>
          <w:lang w:val="en-US" w:eastAsia="zh-CN" w:bidi="ar-SA"/>
        </w:rPr>
        <w:t>出现以下情形之一时，采购人/采购代理机构不予接收响应文件：</w:t>
      </w:r>
    </w:p>
    <w:p w14:paraId="6A7680FA">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5.4.1逾期送达或者未送达指定地点的；</w:t>
      </w:r>
    </w:p>
    <w:p w14:paraId="3AB88BD8">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5.4.2未按照响应文件要求密封的；</w:t>
      </w:r>
    </w:p>
    <w:p w14:paraId="646CBA95">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b w:val="0"/>
          <w:color w:val="auto"/>
          <w:kern w:val="2"/>
          <w:sz w:val="24"/>
          <w:szCs w:val="24"/>
          <w:highlight w:val="none"/>
          <w:lang w:val="en-US" w:eastAsia="zh-CN" w:bidi="ar-SA"/>
        </w:rPr>
        <w:t>5.4.3未按照</w:t>
      </w:r>
      <w:r>
        <w:rPr>
          <w:rFonts w:hint="eastAsia" w:ascii="仿宋" w:hAnsi="仿宋" w:eastAsia="仿宋" w:cs="仿宋"/>
          <w:color w:val="auto"/>
          <w:sz w:val="24"/>
          <w:szCs w:val="24"/>
          <w:highlight w:val="none"/>
          <w:lang w:eastAsia="zh-CN"/>
        </w:rPr>
        <w:t>比选</w:t>
      </w:r>
      <w:r>
        <w:rPr>
          <w:rFonts w:hint="eastAsia" w:ascii="仿宋" w:hAnsi="仿宋" w:eastAsia="仿宋" w:cs="宋体"/>
          <w:b w:val="0"/>
          <w:color w:val="auto"/>
          <w:kern w:val="2"/>
          <w:sz w:val="24"/>
          <w:szCs w:val="24"/>
          <w:highlight w:val="none"/>
          <w:lang w:val="en-US" w:eastAsia="zh-CN" w:bidi="ar-SA"/>
        </w:rPr>
        <w:t>公告要求获取</w:t>
      </w:r>
      <w:r>
        <w:rPr>
          <w:rFonts w:hint="eastAsia" w:ascii="仿宋" w:hAnsi="仿宋" w:eastAsia="仿宋" w:cs="仿宋"/>
          <w:color w:val="auto"/>
          <w:sz w:val="24"/>
          <w:szCs w:val="24"/>
          <w:highlight w:val="none"/>
          <w:lang w:eastAsia="zh-CN"/>
        </w:rPr>
        <w:t>比选</w:t>
      </w:r>
      <w:r>
        <w:rPr>
          <w:rFonts w:hint="eastAsia" w:ascii="仿宋" w:hAnsi="仿宋" w:eastAsia="仿宋" w:cs="宋体"/>
          <w:b w:val="0"/>
          <w:color w:val="auto"/>
          <w:kern w:val="2"/>
          <w:sz w:val="24"/>
          <w:szCs w:val="24"/>
          <w:highlight w:val="none"/>
          <w:lang w:val="en-US" w:eastAsia="zh-CN" w:bidi="ar-SA"/>
        </w:rPr>
        <w:t>文件的。</w:t>
      </w:r>
    </w:p>
    <w:p w14:paraId="2808421A">
      <w:pPr>
        <w:pStyle w:val="3"/>
        <w:ind w:firstLine="0" w:firstLineChars="0"/>
        <w:jc w:val="left"/>
        <w:rPr>
          <w:rFonts w:hint="eastAsia" w:ascii="仿宋" w:hAnsi="仿宋" w:eastAsia="仿宋" w:cs="仿宋"/>
          <w:color w:val="auto"/>
          <w:sz w:val="24"/>
          <w:szCs w:val="24"/>
          <w:highlight w:val="none"/>
        </w:rPr>
      </w:pPr>
      <w:bookmarkStart w:id="9" w:name="_Toc25243"/>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、发布公告的媒介</w:t>
      </w:r>
      <w:bookmarkEnd w:id="9"/>
    </w:p>
    <w:p w14:paraId="431AAED9">
      <w:pPr>
        <w:spacing w:line="360" w:lineRule="auto"/>
        <w:ind w:firstLine="480" w:firstLineChars="200"/>
        <w:textAlignment w:val="baseline"/>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szCs w:val="24"/>
          <w:highlight w:val="none"/>
          <w:lang w:eastAsia="zh-CN"/>
        </w:rPr>
        <w:t>比选</w:t>
      </w:r>
      <w:r>
        <w:rPr>
          <w:rFonts w:hint="eastAsia" w:ascii="仿宋" w:hAnsi="仿宋" w:eastAsia="仿宋" w:cs="仿宋"/>
          <w:color w:val="auto"/>
          <w:sz w:val="24"/>
          <w:highlight w:val="none"/>
        </w:rPr>
        <w:t>公告同时在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“金采网”（http://www.cfcpn.com/）、</w:t>
      </w:r>
      <w:r>
        <w:rPr>
          <w:rFonts w:hint="eastAsia" w:ascii="仿宋" w:hAnsi="仿宋" w:eastAsia="仿宋" w:cs="宋体"/>
          <w:color w:val="auto"/>
          <w:sz w:val="24"/>
          <w:highlight w:val="none"/>
          <w:u w:val="single"/>
          <w:lang w:val="en-US" w:eastAsia="zh-CN"/>
        </w:rPr>
        <w:t>中国招标投标公共服务平台（http://www.cebpubservice.com/）</w:t>
      </w:r>
      <w:r>
        <w:rPr>
          <w:rFonts w:hint="eastAsia" w:ascii="仿宋" w:hAnsi="仿宋" w:eastAsia="仿宋" w:cs="仿宋"/>
          <w:color w:val="auto"/>
          <w:sz w:val="24"/>
          <w:highlight w:val="none"/>
        </w:rPr>
        <w:t>上发布，</w:t>
      </w:r>
      <w:r>
        <w:rPr>
          <w:rFonts w:hint="eastAsia" w:ascii="仿宋" w:hAnsi="仿宋" w:eastAsia="仿宋" w:cs="宋体"/>
          <w:color w:val="auto"/>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。对于非法转载、篡改采购公告信息的组织或个人，采购人/采购代理机构保留追究其法律责任的权利。</w:t>
      </w:r>
    </w:p>
    <w:p w14:paraId="031E43D7">
      <w:pPr>
        <w:pStyle w:val="3"/>
        <w:ind w:firstLine="0" w:firstLineChars="0"/>
        <w:jc w:val="left"/>
        <w:rPr>
          <w:rFonts w:hint="eastAsia" w:ascii="仿宋" w:hAnsi="仿宋" w:eastAsia="仿宋" w:cs="仿宋"/>
          <w:color w:val="auto"/>
          <w:sz w:val="24"/>
          <w:szCs w:val="24"/>
          <w:highlight w:val="none"/>
        </w:rPr>
      </w:pPr>
      <w:bookmarkStart w:id="10" w:name="_Toc16239"/>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、联系方式</w:t>
      </w:r>
      <w:bookmarkEnd w:id="10"/>
    </w:p>
    <w:p w14:paraId="5F390878">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采购人：中国人民财产保险股份有限公司宜昌市自贸区支公司</w:t>
      </w:r>
    </w:p>
    <w:p w14:paraId="56F715FC">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 湖北省宜昌市西陵区（中国（湖北）自贸区宜昌片区）发展大道57-6号宜昌三峡云计算中心C座3楼A3、A4、A5号房</w:t>
      </w:r>
    </w:p>
    <w:p w14:paraId="50527026">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联系人：方敬毅</w:t>
      </w:r>
    </w:p>
    <w:p w14:paraId="4BECDC0F">
      <w:pPr>
        <w:spacing w:line="360" w:lineRule="auto"/>
        <w:ind w:firstLine="480" w:firstLineChars="200"/>
        <w:jc w:val="left"/>
        <w:textAlignment w:val="baseline"/>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电话：16607206183</w:t>
      </w:r>
    </w:p>
    <w:p w14:paraId="65B57DB0">
      <w:pPr>
        <w:spacing w:line="360" w:lineRule="auto"/>
        <w:ind w:firstLine="480" w:firstLineChars="200"/>
        <w:jc w:val="left"/>
        <w:textAlignment w:val="baseline"/>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邮箱：</w:t>
      </w:r>
      <w:r>
        <w:rPr>
          <w:rFonts w:ascii="宋体" w:hAnsi="宋体" w:eastAsia="宋体" w:cs="宋体"/>
          <w:color w:val="auto"/>
          <w:sz w:val="24"/>
          <w:szCs w:val="24"/>
          <w:highlight w:val="none"/>
        </w:rPr>
        <w:t>fangjingyi@hub.picc.com.cn</w:t>
      </w:r>
    </w:p>
    <w:p w14:paraId="439FDDCE">
      <w:pPr>
        <w:spacing w:line="360" w:lineRule="auto"/>
        <w:ind w:firstLine="482" w:firstLineChars="200"/>
        <w:jc w:val="left"/>
        <w:textAlignment w:val="baseline"/>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采购代理机构：大华建设项目管理有限公司</w:t>
      </w:r>
    </w:p>
    <w:p w14:paraId="2EE48910">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地址：湖北省武汉市江岸区后湖塔子湖越秀星汇君泊3期A座23楼</w:t>
      </w:r>
    </w:p>
    <w:p w14:paraId="7472368A">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联系人：李俊</w:t>
      </w:r>
    </w:p>
    <w:p w14:paraId="20C45DDF">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电话：027-82655075</w:t>
      </w:r>
    </w:p>
    <w:p w14:paraId="480B87E8">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邮箱：1103542849@qq.com</w:t>
      </w:r>
    </w:p>
    <w:p w14:paraId="6E1AC288">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开户银行：武汉农村商业银行江岸支行</w:t>
      </w:r>
    </w:p>
    <w:p w14:paraId="52992C37">
      <w:pPr>
        <w:spacing w:line="360" w:lineRule="auto"/>
        <w:ind w:firstLine="480" w:firstLineChars="200"/>
        <w:jc w:val="left"/>
        <w:textAlignment w:val="baseline"/>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lang w:val="en-US" w:eastAsia="zh-CN"/>
        </w:rPr>
        <w:t>账号：200631582010013</w:t>
      </w:r>
    </w:p>
    <w:p w14:paraId="35F1C588">
      <w:pPr>
        <w:spacing w:line="360" w:lineRule="auto"/>
        <w:ind w:firstLine="480" w:firstLineChars="200"/>
        <w:jc w:val="right"/>
        <w:textAlignment w:val="baseline"/>
        <w:rPr>
          <w:rFonts w:hint="eastAsia" w:ascii="仿宋" w:hAnsi="仿宋" w:eastAsia="仿宋" w:cs="宋体"/>
          <w:color w:val="auto"/>
          <w:sz w:val="24"/>
          <w:highlight w:val="none"/>
        </w:rPr>
      </w:pPr>
    </w:p>
    <w:p w14:paraId="60A55B00">
      <w:pPr>
        <w:spacing w:line="360" w:lineRule="auto"/>
        <w:ind w:firstLine="480" w:firstLineChars="200"/>
        <w:jc w:val="right"/>
        <w:textAlignment w:val="baseline"/>
        <w:rPr>
          <w:rFonts w:hint="eastAsia" w:ascii="仿宋" w:hAnsi="仿宋" w:eastAsia="仿宋" w:cs="宋体"/>
          <w:color w:val="auto"/>
          <w:sz w:val="24"/>
          <w:highlight w:val="none"/>
        </w:rPr>
      </w:pPr>
    </w:p>
    <w:p w14:paraId="7CE47A67">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采购人：</w:t>
      </w:r>
      <w:r>
        <w:rPr>
          <w:rFonts w:hint="eastAsia" w:ascii="仿宋" w:hAnsi="仿宋" w:eastAsia="仿宋" w:cs="宋体"/>
          <w:color w:val="auto"/>
          <w:sz w:val="24"/>
          <w:highlight w:val="none"/>
          <w:lang w:val="en-US" w:eastAsia="zh-CN"/>
        </w:rPr>
        <w:t>中国人民财产保险股份有限公司宜昌市自贸区支公司</w:t>
      </w:r>
    </w:p>
    <w:p w14:paraId="6BD086C0">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采购代理机构：</w:t>
      </w:r>
      <w:r>
        <w:rPr>
          <w:rFonts w:hint="eastAsia" w:ascii="仿宋" w:hAnsi="仿宋" w:eastAsia="仿宋" w:cs="宋体"/>
          <w:color w:val="auto"/>
          <w:sz w:val="24"/>
          <w:highlight w:val="none"/>
          <w:lang w:val="en-US" w:eastAsia="zh-CN"/>
        </w:rPr>
        <w:t>大华建设项目管理有限公司</w:t>
      </w:r>
    </w:p>
    <w:p w14:paraId="051BFA4B">
      <w:pPr>
        <w:spacing w:line="360" w:lineRule="auto"/>
        <w:ind w:firstLine="480" w:firstLineChars="200"/>
        <w:jc w:val="right"/>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rPr>
        <w:t>202</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年</w:t>
      </w:r>
      <w:r>
        <w:rPr>
          <w:rFonts w:hint="eastAsia" w:ascii="仿宋" w:hAnsi="仿宋" w:eastAsia="仿宋" w:cs="宋体"/>
          <w:color w:val="auto"/>
          <w:sz w:val="24"/>
          <w:highlight w:val="none"/>
          <w:lang w:val="en-US" w:eastAsia="zh-CN"/>
        </w:rPr>
        <w:t>10</w:t>
      </w:r>
      <w:r>
        <w:rPr>
          <w:rFonts w:hint="eastAsia" w:ascii="仿宋" w:hAnsi="仿宋" w:eastAsia="仿宋" w:cs="宋体"/>
          <w:color w:val="auto"/>
          <w:sz w:val="24"/>
          <w:highlight w:val="none"/>
        </w:rPr>
        <w:t>月</w:t>
      </w:r>
      <w:r>
        <w:rPr>
          <w:rFonts w:hint="eastAsia" w:ascii="仿宋" w:hAnsi="仿宋" w:eastAsia="仿宋" w:cs="宋体"/>
          <w:color w:val="auto"/>
          <w:sz w:val="24"/>
          <w:highlight w:val="none"/>
          <w:lang w:val="en-US" w:eastAsia="zh-CN"/>
        </w:rPr>
        <w:t>23</w:t>
      </w:r>
      <w:r>
        <w:rPr>
          <w:rFonts w:hint="eastAsia" w:ascii="仿宋" w:hAnsi="仿宋" w:eastAsia="仿宋" w:cs="宋体"/>
          <w:color w:val="auto"/>
          <w:sz w:val="24"/>
          <w:highlight w:val="none"/>
        </w:rPr>
        <w:t>日</w:t>
      </w:r>
    </w:p>
    <w:p w14:paraId="493110EC">
      <w:pPr>
        <w:rPr>
          <w:rFonts w:hint="eastAsia" w:ascii="仿宋" w:hAnsi="仿宋" w:eastAsia="仿宋" w:cs="宋体"/>
          <w:color w:val="auto"/>
          <w:sz w:val="24"/>
          <w:szCs w:val="24"/>
        </w:rPr>
      </w:pPr>
      <w:r>
        <w:rPr>
          <w:rFonts w:hint="eastAsia" w:ascii="仿宋" w:hAnsi="仿宋" w:eastAsia="仿宋" w:cs="宋体"/>
          <w:color w:val="auto"/>
          <w:sz w:val="24"/>
          <w:szCs w:val="24"/>
        </w:rPr>
        <w:br w:type="page"/>
      </w:r>
    </w:p>
    <w:p w14:paraId="3B4550C6">
      <w:pPr>
        <w:pStyle w:val="6"/>
        <w:rPr>
          <w:rFonts w:hint="eastAsia" w:ascii="仿宋" w:hAnsi="仿宋" w:eastAsia="仿宋" w:cs="仿宋"/>
          <w:b/>
          <w:bCs/>
          <w:color w:val="auto"/>
          <w:kern w:val="2"/>
          <w:sz w:val="28"/>
          <w:szCs w:val="36"/>
          <w:lang w:val="en-US" w:eastAsia="zh-CN" w:bidi="ar-SA"/>
        </w:rPr>
      </w:pPr>
      <w:r>
        <w:rPr>
          <w:rFonts w:hint="eastAsia" w:ascii="仿宋" w:hAnsi="仿宋" w:eastAsia="仿宋" w:cs="仿宋"/>
          <w:b/>
          <w:bCs/>
          <w:color w:val="auto"/>
          <w:kern w:val="2"/>
          <w:sz w:val="28"/>
          <w:szCs w:val="36"/>
          <w:lang w:val="en-US" w:eastAsia="zh-CN" w:bidi="ar-SA"/>
        </w:rPr>
        <w:t>附件：</w:t>
      </w:r>
    </w:p>
    <w:p w14:paraId="476FEDB1">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32"/>
          <w:szCs w:val="28"/>
          <w:lang w:val="en-US" w:eastAsia="zh-CN"/>
        </w:rPr>
      </w:pPr>
    </w:p>
    <w:p w14:paraId="0AA5EE06">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lang w:val="en-US" w:eastAsia="zh-CN"/>
        </w:rPr>
        <w:t>人保财险湖北省宜昌市分公司自贸区支公司2026年湖北东昱欣晟新能源有限公司财产险防灾防损服务</w:t>
      </w:r>
    </w:p>
    <w:p w14:paraId="18F6B2DA">
      <w:pPr>
        <w:keepNext w:val="0"/>
        <w:keepLines w:val="0"/>
        <w:pageBreakBefore w:val="0"/>
        <w:widowControl w:val="0"/>
        <w:kinsoku/>
        <w:wordWrap/>
        <w:overflowPunct/>
        <w:topLinePunct w:val="0"/>
        <w:autoSpaceDE/>
        <w:autoSpaceDN/>
        <w:bidi w:val="0"/>
        <w:adjustRightInd/>
        <w:snapToGrid/>
        <w:spacing w:after="0" w:afterLines="0" w:line="540" w:lineRule="exact"/>
        <w:jc w:val="center"/>
        <w:textAlignment w:val="auto"/>
        <w:rPr>
          <w:rFonts w:hint="eastAsia" w:ascii="仿宋" w:hAnsi="仿宋" w:eastAsia="仿宋" w:cs="仿宋"/>
          <w:b/>
          <w:bCs/>
          <w:color w:val="auto"/>
          <w:sz w:val="32"/>
          <w:szCs w:val="28"/>
          <w:lang w:val="en-US" w:eastAsia="zh-CN"/>
        </w:rPr>
      </w:pPr>
      <w:r>
        <w:rPr>
          <w:rFonts w:hint="eastAsia" w:ascii="仿宋" w:hAnsi="仿宋" w:eastAsia="仿宋" w:cs="仿宋"/>
          <w:b/>
          <w:bCs/>
          <w:color w:val="auto"/>
          <w:sz w:val="32"/>
          <w:szCs w:val="28"/>
          <w:lang w:val="en-US" w:eastAsia="zh-CN"/>
        </w:rPr>
        <w:t>比选文件获取登记表</w:t>
      </w:r>
    </w:p>
    <w:p w14:paraId="2960FDB7">
      <w:pPr>
        <w:keepNext w:val="0"/>
        <w:keepLines w:val="0"/>
        <w:pageBreakBefore w:val="0"/>
        <w:widowControl w:val="0"/>
        <w:kinsoku/>
        <w:wordWrap/>
        <w:overflowPunct/>
        <w:topLinePunct w:val="0"/>
        <w:autoSpaceDE/>
        <w:autoSpaceDN/>
        <w:bidi w:val="0"/>
        <w:adjustRightInd/>
        <w:snapToGrid/>
        <w:spacing w:after="0" w:afterLines="0" w:line="440" w:lineRule="exact"/>
        <w:jc w:val="center"/>
        <w:textAlignment w:val="auto"/>
        <w:rPr>
          <w:rFonts w:hint="eastAsia" w:ascii="仿宋" w:hAnsi="仿宋" w:eastAsia="仿宋" w:cs="仿宋"/>
          <w:b/>
          <w:bCs/>
          <w:color w:val="auto"/>
          <w:sz w:val="28"/>
          <w:szCs w:val="24"/>
          <w:lang w:val="en-US" w:eastAsia="zh-CN"/>
        </w:rPr>
      </w:pPr>
      <w:r>
        <w:rPr>
          <w:rFonts w:hint="eastAsia" w:ascii="仿宋" w:hAnsi="仿宋" w:eastAsia="仿宋" w:cs="仿宋"/>
          <w:b/>
          <w:bCs/>
          <w:color w:val="auto"/>
          <w:sz w:val="28"/>
          <w:szCs w:val="24"/>
          <w:lang w:val="en-US" w:eastAsia="zh-CN"/>
        </w:rPr>
        <w:t>采购代理项目编号：大华招标【2026】172号</w:t>
      </w:r>
    </w:p>
    <w:tbl>
      <w:tblPr>
        <w:tblStyle w:val="8"/>
        <w:tblW w:w="983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108" w:type="dxa"/>
          <w:bottom w:w="0" w:type="dxa"/>
          <w:right w:w="108" w:type="dxa"/>
        </w:tblCellMar>
      </w:tblPr>
      <w:tblGrid>
        <w:gridCol w:w="1208"/>
        <w:gridCol w:w="2520"/>
        <w:gridCol w:w="6108"/>
      </w:tblGrid>
      <w:tr w14:paraId="5E9E0DB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7953B8A1">
            <w:pPr>
              <w:spacing w:after="0" w:afterLines="0" w:line="460" w:lineRule="exact"/>
              <w:jc w:val="center"/>
              <w:rPr>
                <w:rFonts w:hint="eastAsia" w:ascii="仿宋" w:hAnsi="仿宋" w:eastAsia="仿宋" w:cs="仿宋"/>
                <w:b w:val="0"/>
                <w:bCs w:val="0"/>
                <w:color w:val="auto"/>
                <w:sz w:val="24"/>
              </w:rPr>
            </w:pPr>
            <w:r>
              <w:rPr>
                <w:rFonts w:hint="eastAsia" w:ascii="仿宋" w:hAnsi="仿宋" w:eastAsia="仿宋" w:cs="仿宋"/>
                <w:b w:val="0"/>
                <w:bCs w:val="0"/>
                <w:color w:val="auto"/>
                <w:sz w:val="24"/>
                <w:lang w:eastAsia="zh-CN"/>
              </w:rPr>
              <w:t>供应商</w:t>
            </w:r>
            <w:r>
              <w:rPr>
                <w:rFonts w:hint="eastAsia" w:ascii="仿宋" w:hAnsi="仿宋" w:eastAsia="仿宋" w:cs="仿宋"/>
                <w:b w:val="0"/>
                <w:bCs w:val="0"/>
                <w:color w:val="auto"/>
                <w:sz w:val="24"/>
              </w:rPr>
              <w:t>名称</w:t>
            </w:r>
          </w:p>
        </w:tc>
        <w:tc>
          <w:tcPr>
            <w:tcW w:w="6108" w:type="dxa"/>
            <w:tcBorders>
              <w:left w:val="single" w:color="auto" w:sz="4" w:space="0"/>
            </w:tcBorders>
            <w:noWrap w:val="0"/>
            <w:vAlign w:val="center"/>
          </w:tcPr>
          <w:p w14:paraId="73E2B36F">
            <w:pPr>
              <w:spacing w:after="0" w:afterLines="0" w:line="460" w:lineRule="exact"/>
              <w:jc w:val="center"/>
              <w:rPr>
                <w:rFonts w:hint="eastAsia" w:ascii="仿宋" w:hAnsi="仿宋" w:eastAsia="仿宋" w:cs="仿宋"/>
                <w:b w:val="0"/>
                <w:bCs w:val="0"/>
                <w:color w:val="auto"/>
                <w:sz w:val="24"/>
              </w:rPr>
            </w:pPr>
            <w:bookmarkStart w:id="11" w:name="_GoBack"/>
            <w:bookmarkEnd w:id="11"/>
          </w:p>
        </w:tc>
      </w:tr>
      <w:tr w14:paraId="30E5BE9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7015A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法定代表人姓名</w:t>
            </w:r>
          </w:p>
        </w:tc>
        <w:tc>
          <w:tcPr>
            <w:tcW w:w="6108" w:type="dxa"/>
            <w:tcBorders>
              <w:left w:val="single" w:color="auto" w:sz="4" w:space="0"/>
            </w:tcBorders>
            <w:noWrap w:val="0"/>
            <w:vAlign w:val="center"/>
          </w:tcPr>
          <w:p w14:paraId="1AA7DB6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7A138C1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88948BD">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法人授权委托人姓名及身份证号</w:t>
            </w:r>
          </w:p>
        </w:tc>
        <w:tc>
          <w:tcPr>
            <w:tcW w:w="6108" w:type="dxa"/>
            <w:tcBorders>
              <w:left w:val="single" w:color="auto" w:sz="4" w:space="0"/>
            </w:tcBorders>
            <w:noWrap w:val="0"/>
            <w:vAlign w:val="center"/>
          </w:tcPr>
          <w:p w14:paraId="0D08C85F">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6CC4F5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42EAA4C6">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联系电话</w:t>
            </w:r>
          </w:p>
        </w:tc>
        <w:tc>
          <w:tcPr>
            <w:tcW w:w="6108" w:type="dxa"/>
            <w:tcBorders>
              <w:left w:val="single" w:color="auto" w:sz="4" w:space="0"/>
            </w:tcBorders>
            <w:noWrap w:val="0"/>
            <w:vAlign w:val="center"/>
          </w:tcPr>
          <w:p w14:paraId="5B905625">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43DEBDF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896" w:hRule="atLeast"/>
          <w:jc w:val="center"/>
        </w:trPr>
        <w:tc>
          <w:tcPr>
            <w:tcW w:w="3728" w:type="dxa"/>
            <w:gridSpan w:val="2"/>
            <w:tcBorders>
              <w:right w:val="single" w:color="auto" w:sz="4" w:space="0"/>
            </w:tcBorders>
            <w:noWrap w:val="0"/>
            <w:vAlign w:val="center"/>
          </w:tcPr>
          <w:p w14:paraId="26C3C8AB">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r>
              <w:rPr>
                <w:rFonts w:hint="eastAsia" w:ascii="仿宋" w:hAnsi="仿宋" w:eastAsia="仿宋" w:cs="仿宋"/>
                <w:color w:val="auto"/>
                <w:sz w:val="24"/>
              </w:rPr>
              <w:t>电子邮箱</w:t>
            </w:r>
          </w:p>
        </w:tc>
        <w:tc>
          <w:tcPr>
            <w:tcW w:w="6108" w:type="dxa"/>
            <w:tcBorders>
              <w:left w:val="single" w:color="auto" w:sz="4" w:space="0"/>
            </w:tcBorders>
            <w:noWrap w:val="0"/>
            <w:vAlign w:val="center"/>
          </w:tcPr>
          <w:p w14:paraId="690FD864">
            <w:pPr>
              <w:keepNext w:val="0"/>
              <w:keepLines w:val="0"/>
              <w:pageBreakBefore w:val="0"/>
              <w:widowControl w:val="0"/>
              <w:kinsoku/>
              <w:wordWrap/>
              <w:overflowPunct/>
              <w:topLinePunct w:val="0"/>
              <w:autoSpaceDE/>
              <w:autoSpaceDN/>
              <w:bidi w:val="0"/>
              <w:adjustRightInd/>
              <w:snapToGrid/>
              <w:spacing w:after="0" w:afterLines="0" w:line="320" w:lineRule="exact"/>
              <w:jc w:val="center"/>
              <w:textAlignment w:val="auto"/>
              <w:rPr>
                <w:rFonts w:hint="eastAsia" w:ascii="仿宋" w:hAnsi="仿宋" w:eastAsia="仿宋" w:cs="仿宋"/>
                <w:color w:val="auto"/>
                <w:sz w:val="24"/>
              </w:rPr>
            </w:pPr>
          </w:p>
        </w:tc>
      </w:tr>
      <w:tr w14:paraId="52611EB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32" w:hRule="atLeast"/>
          <w:jc w:val="center"/>
        </w:trPr>
        <w:tc>
          <w:tcPr>
            <w:tcW w:w="1208" w:type="dxa"/>
            <w:vMerge w:val="restart"/>
            <w:tcBorders>
              <w:right w:val="single" w:color="auto" w:sz="4" w:space="0"/>
            </w:tcBorders>
            <w:noWrap w:val="0"/>
            <w:vAlign w:val="center"/>
          </w:tcPr>
          <w:p w14:paraId="22AE22DD">
            <w:pPr>
              <w:spacing w:after="0" w:afterLines="0" w:line="400" w:lineRule="exact"/>
              <w:jc w:val="center"/>
              <w:rPr>
                <w:rFonts w:hint="eastAsia" w:ascii="仿宋" w:hAnsi="仿宋" w:eastAsia="仿宋" w:cs="仿宋"/>
                <w:color w:val="auto"/>
                <w:sz w:val="24"/>
              </w:rPr>
            </w:pPr>
            <w:r>
              <w:rPr>
                <w:rFonts w:hint="eastAsia" w:ascii="仿宋" w:hAnsi="仿宋" w:eastAsia="仿宋" w:cs="仿宋"/>
                <w:color w:val="auto"/>
                <w:sz w:val="24"/>
              </w:rPr>
              <w:t>开票信息</w:t>
            </w:r>
          </w:p>
        </w:tc>
        <w:tc>
          <w:tcPr>
            <w:tcW w:w="2520" w:type="dxa"/>
            <w:tcBorders>
              <w:left w:val="single" w:color="auto" w:sz="4" w:space="0"/>
              <w:right w:val="single" w:color="auto" w:sz="4" w:space="0"/>
            </w:tcBorders>
            <w:noWrap w:val="0"/>
            <w:vAlign w:val="center"/>
          </w:tcPr>
          <w:p w14:paraId="66CDF481">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开票单位名称</w:t>
            </w:r>
          </w:p>
        </w:tc>
        <w:tc>
          <w:tcPr>
            <w:tcW w:w="6108" w:type="dxa"/>
            <w:tcBorders>
              <w:left w:val="single" w:color="auto" w:sz="4" w:space="0"/>
            </w:tcBorders>
            <w:noWrap w:val="0"/>
            <w:vAlign w:val="center"/>
          </w:tcPr>
          <w:p w14:paraId="01B5BCFF">
            <w:pPr>
              <w:spacing w:after="0" w:afterLines="0" w:line="400" w:lineRule="exact"/>
              <w:jc w:val="center"/>
              <w:rPr>
                <w:rFonts w:hint="eastAsia" w:ascii="仿宋" w:hAnsi="仿宋" w:eastAsia="仿宋" w:cs="仿宋"/>
                <w:color w:val="auto"/>
                <w:sz w:val="24"/>
              </w:rPr>
            </w:pPr>
          </w:p>
        </w:tc>
      </w:tr>
      <w:tr w14:paraId="70EA9B1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42" w:hRule="atLeast"/>
          <w:jc w:val="center"/>
        </w:trPr>
        <w:tc>
          <w:tcPr>
            <w:tcW w:w="1208" w:type="dxa"/>
            <w:vMerge w:val="continue"/>
            <w:tcBorders>
              <w:right w:val="single" w:color="auto" w:sz="4" w:space="0"/>
            </w:tcBorders>
            <w:noWrap w:val="0"/>
            <w:vAlign w:val="center"/>
          </w:tcPr>
          <w:p w14:paraId="7B89588B">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36A57517">
            <w:pPr>
              <w:spacing w:after="0" w:afterLines="0" w:line="360" w:lineRule="exact"/>
              <w:jc w:val="center"/>
              <w:rPr>
                <w:rFonts w:hint="eastAsia" w:ascii="仿宋" w:hAnsi="仿宋" w:eastAsia="仿宋" w:cs="仿宋"/>
                <w:color w:val="auto"/>
                <w:kern w:val="1"/>
                <w:sz w:val="24"/>
              </w:rPr>
            </w:pPr>
            <w:r>
              <w:rPr>
                <w:rFonts w:hint="eastAsia" w:ascii="仿宋" w:hAnsi="仿宋" w:eastAsia="仿宋" w:cs="仿宋"/>
                <w:color w:val="auto"/>
                <w:kern w:val="1"/>
                <w:sz w:val="24"/>
              </w:rPr>
              <w:t>纳税人识别号</w:t>
            </w:r>
          </w:p>
          <w:p w14:paraId="446CF2A8">
            <w:pPr>
              <w:spacing w:after="0" w:afterLines="0" w:line="360" w:lineRule="exact"/>
              <w:rPr>
                <w:rFonts w:hint="eastAsia" w:ascii="仿宋" w:hAnsi="仿宋" w:eastAsia="仿宋" w:cs="仿宋"/>
                <w:color w:val="auto"/>
                <w:sz w:val="24"/>
              </w:rPr>
            </w:pPr>
            <w:r>
              <w:rPr>
                <w:rFonts w:hint="eastAsia" w:ascii="仿宋" w:hAnsi="仿宋" w:eastAsia="仿宋" w:cs="仿宋"/>
                <w:color w:val="auto"/>
                <w:kern w:val="1"/>
                <w:sz w:val="24"/>
              </w:rPr>
              <w:t>（统一社会信用代码）</w:t>
            </w:r>
          </w:p>
        </w:tc>
        <w:tc>
          <w:tcPr>
            <w:tcW w:w="6108" w:type="dxa"/>
            <w:tcBorders>
              <w:left w:val="single" w:color="auto" w:sz="4" w:space="0"/>
            </w:tcBorders>
            <w:noWrap w:val="0"/>
            <w:vAlign w:val="center"/>
          </w:tcPr>
          <w:p w14:paraId="5CFEF1DE">
            <w:pPr>
              <w:spacing w:after="0" w:afterLines="0" w:line="400" w:lineRule="exact"/>
              <w:jc w:val="center"/>
              <w:rPr>
                <w:rFonts w:hint="eastAsia" w:ascii="仿宋" w:hAnsi="仿宋" w:eastAsia="仿宋" w:cs="仿宋"/>
                <w:color w:val="auto"/>
                <w:sz w:val="24"/>
              </w:rPr>
            </w:pPr>
          </w:p>
        </w:tc>
      </w:tr>
      <w:tr w14:paraId="15CAD5A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29" w:hRule="atLeast"/>
          <w:jc w:val="center"/>
        </w:trPr>
        <w:tc>
          <w:tcPr>
            <w:tcW w:w="1208" w:type="dxa"/>
            <w:vMerge w:val="continue"/>
            <w:tcBorders>
              <w:right w:val="single" w:color="auto" w:sz="4" w:space="0"/>
            </w:tcBorders>
            <w:noWrap w:val="0"/>
            <w:vAlign w:val="center"/>
          </w:tcPr>
          <w:p w14:paraId="08FF8799">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49A176D3">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营业执照或税务登记证地址</w:t>
            </w:r>
          </w:p>
        </w:tc>
        <w:tc>
          <w:tcPr>
            <w:tcW w:w="6108" w:type="dxa"/>
            <w:tcBorders>
              <w:left w:val="single" w:color="auto" w:sz="4" w:space="0"/>
            </w:tcBorders>
            <w:noWrap w:val="0"/>
            <w:vAlign w:val="center"/>
          </w:tcPr>
          <w:p w14:paraId="31B93D15">
            <w:pPr>
              <w:spacing w:after="0" w:afterLines="0" w:line="400" w:lineRule="exact"/>
              <w:jc w:val="center"/>
              <w:rPr>
                <w:rFonts w:hint="eastAsia" w:ascii="仿宋" w:hAnsi="仿宋" w:eastAsia="仿宋" w:cs="仿宋"/>
                <w:color w:val="auto"/>
                <w:sz w:val="24"/>
              </w:rPr>
            </w:pPr>
          </w:p>
        </w:tc>
      </w:tr>
      <w:tr w14:paraId="3777B0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6" w:hRule="atLeast"/>
          <w:jc w:val="center"/>
        </w:trPr>
        <w:tc>
          <w:tcPr>
            <w:tcW w:w="1208" w:type="dxa"/>
            <w:vMerge w:val="continue"/>
            <w:tcBorders>
              <w:right w:val="single" w:color="auto" w:sz="4" w:space="0"/>
            </w:tcBorders>
            <w:noWrap w:val="0"/>
            <w:vAlign w:val="center"/>
          </w:tcPr>
          <w:p w14:paraId="56D48ADA">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1E1FEB88">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单位联系电话</w:t>
            </w:r>
          </w:p>
        </w:tc>
        <w:tc>
          <w:tcPr>
            <w:tcW w:w="6108" w:type="dxa"/>
            <w:tcBorders>
              <w:left w:val="single" w:color="auto" w:sz="4" w:space="0"/>
            </w:tcBorders>
            <w:noWrap w:val="0"/>
            <w:vAlign w:val="center"/>
          </w:tcPr>
          <w:p w14:paraId="3CEDCAF4">
            <w:pPr>
              <w:spacing w:after="0" w:afterLines="0" w:line="400" w:lineRule="exact"/>
              <w:jc w:val="center"/>
              <w:rPr>
                <w:rFonts w:hint="eastAsia" w:ascii="仿宋" w:hAnsi="仿宋" w:eastAsia="仿宋" w:cs="仿宋"/>
                <w:color w:val="auto"/>
                <w:sz w:val="24"/>
              </w:rPr>
            </w:pPr>
          </w:p>
        </w:tc>
      </w:tr>
      <w:tr w14:paraId="4605DC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1208" w:type="dxa"/>
            <w:vMerge w:val="continue"/>
            <w:tcBorders>
              <w:right w:val="single" w:color="auto" w:sz="4" w:space="0"/>
            </w:tcBorders>
            <w:noWrap w:val="0"/>
            <w:vAlign w:val="center"/>
          </w:tcPr>
          <w:p w14:paraId="1481B4D1">
            <w:pPr>
              <w:spacing w:after="0" w:afterLines="0" w:line="400" w:lineRule="exact"/>
              <w:jc w:val="center"/>
              <w:rPr>
                <w:rFonts w:hint="eastAsia" w:ascii="仿宋" w:hAnsi="仿宋" w:eastAsia="仿宋" w:cs="仿宋"/>
                <w:color w:val="auto"/>
                <w:sz w:val="24"/>
              </w:rPr>
            </w:pPr>
          </w:p>
        </w:tc>
        <w:tc>
          <w:tcPr>
            <w:tcW w:w="2520" w:type="dxa"/>
            <w:tcBorders>
              <w:left w:val="single" w:color="auto" w:sz="4" w:space="0"/>
              <w:right w:val="single" w:color="auto" w:sz="4" w:space="0"/>
            </w:tcBorders>
            <w:noWrap w:val="0"/>
            <w:vAlign w:val="center"/>
          </w:tcPr>
          <w:p w14:paraId="264AAF0C">
            <w:pPr>
              <w:spacing w:after="0" w:afterLines="0" w:line="360" w:lineRule="exact"/>
              <w:jc w:val="center"/>
              <w:rPr>
                <w:rFonts w:hint="eastAsia" w:ascii="仿宋" w:hAnsi="仿宋" w:eastAsia="仿宋" w:cs="仿宋"/>
                <w:color w:val="auto"/>
                <w:sz w:val="24"/>
              </w:rPr>
            </w:pPr>
            <w:r>
              <w:rPr>
                <w:rFonts w:hint="eastAsia" w:ascii="仿宋" w:hAnsi="仿宋" w:eastAsia="仿宋" w:cs="仿宋"/>
                <w:color w:val="auto"/>
                <w:kern w:val="1"/>
                <w:sz w:val="24"/>
              </w:rPr>
              <w:t>开户行及账号</w:t>
            </w:r>
          </w:p>
        </w:tc>
        <w:tc>
          <w:tcPr>
            <w:tcW w:w="6108" w:type="dxa"/>
            <w:tcBorders>
              <w:left w:val="single" w:color="auto" w:sz="4" w:space="0"/>
            </w:tcBorders>
            <w:noWrap w:val="0"/>
            <w:vAlign w:val="center"/>
          </w:tcPr>
          <w:p w14:paraId="7D5E2252">
            <w:pPr>
              <w:spacing w:after="0" w:afterLines="0" w:line="400" w:lineRule="exact"/>
              <w:jc w:val="center"/>
              <w:rPr>
                <w:rFonts w:hint="eastAsia" w:ascii="仿宋" w:hAnsi="仿宋" w:eastAsia="仿宋" w:cs="仿宋"/>
                <w:color w:val="auto"/>
                <w:sz w:val="24"/>
              </w:rPr>
            </w:pPr>
          </w:p>
        </w:tc>
      </w:tr>
      <w:tr w14:paraId="008BB77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108" w:type="dxa"/>
            <w:bottom w:w="0" w:type="dxa"/>
            <w:right w:w="108" w:type="dxa"/>
          </w:tblCellMar>
        </w:tblPrEx>
        <w:trPr>
          <w:trHeight w:val="762" w:hRule="atLeast"/>
          <w:jc w:val="center"/>
        </w:trPr>
        <w:tc>
          <w:tcPr>
            <w:tcW w:w="3728" w:type="dxa"/>
            <w:gridSpan w:val="2"/>
            <w:tcBorders>
              <w:right w:val="single" w:color="auto" w:sz="4" w:space="0"/>
            </w:tcBorders>
            <w:noWrap w:val="0"/>
            <w:vAlign w:val="center"/>
          </w:tcPr>
          <w:p w14:paraId="34A4DE79">
            <w:pPr>
              <w:spacing w:after="0" w:afterLines="0"/>
              <w:jc w:val="center"/>
              <w:rPr>
                <w:rFonts w:hint="eastAsia" w:ascii="仿宋" w:hAnsi="仿宋" w:eastAsia="仿宋" w:cs="仿宋"/>
                <w:color w:val="auto"/>
                <w:sz w:val="24"/>
              </w:rPr>
            </w:pPr>
            <w:r>
              <w:rPr>
                <w:rFonts w:hint="eastAsia" w:ascii="仿宋" w:hAnsi="仿宋" w:eastAsia="仿宋" w:cs="仿宋"/>
                <w:color w:val="auto"/>
                <w:sz w:val="24"/>
              </w:rPr>
              <w:t>报名时间</w:t>
            </w:r>
          </w:p>
        </w:tc>
        <w:tc>
          <w:tcPr>
            <w:tcW w:w="6108" w:type="dxa"/>
            <w:tcBorders>
              <w:left w:val="single" w:color="auto" w:sz="4" w:space="0"/>
            </w:tcBorders>
            <w:noWrap w:val="0"/>
            <w:vAlign w:val="center"/>
          </w:tcPr>
          <w:p w14:paraId="1223237A">
            <w:pPr>
              <w:spacing w:after="0" w:afterLines="0"/>
              <w:jc w:val="center"/>
              <w:rPr>
                <w:rFonts w:hint="eastAsia" w:ascii="仿宋" w:hAnsi="仿宋" w:eastAsia="仿宋" w:cs="仿宋"/>
                <w:color w:val="auto"/>
                <w:sz w:val="24"/>
              </w:rPr>
            </w:pPr>
          </w:p>
        </w:tc>
      </w:tr>
    </w:tbl>
    <w:p w14:paraId="594F8AFE">
      <w:pPr>
        <w:pStyle w:val="5"/>
        <w:rPr>
          <w:rFonts w:hint="eastAsia"/>
          <w:color w:val="auto"/>
        </w:rPr>
      </w:pPr>
    </w:p>
    <w:p w14:paraId="41F8C56C">
      <w:pPr>
        <w:rPr>
          <w:color w:val="auto"/>
        </w:rPr>
      </w:pPr>
    </w:p>
    <w:sectPr>
      <w:pgSz w:w="11906" w:h="16838"/>
      <w:pgMar w:top="1440" w:right="1406" w:bottom="1440" w:left="1406"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D53F2"/>
    <w:rsid w:val="12E620F7"/>
    <w:rsid w:val="1D6061E0"/>
    <w:rsid w:val="222B50F1"/>
    <w:rsid w:val="289A404D"/>
    <w:rsid w:val="2C4D3C27"/>
    <w:rsid w:val="311D56A7"/>
    <w:rsid w:val="33A67A93"/>
    <w:rsid w:val="34825E0A"/>
    <w:rsid w:val="42556E46"/>
    <w:rsid w:val="43755FF6"/>
    <w:rsid w:val="476B6BD2"/>
    <w:rsid w:val="4F3B332E"/>
    <w:rsid w:val="51053BF3"/>
    <w:rsid w:val="534166AD"/>
    <w:rsid w:val="5C8335C5"/>
    <w:rsid w:val="600357A2"/>
    <w:rsid w:val="6B590A3E"/>
    <w:rsid w:val="7AD87AFF"/>
    <w:rsid w:val="7FBA0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12" w:lineRule="auto"/>
      <w:jc w:val="both"/>
    </w:pPr>
    <w:rPr>
      <w:rFonts w:ascii="Calibri" w:hAnsi="Calibri" w:eastAsia="宋体" w:cs="Calibri"/>
      <w:kern w:val="2"/>
      <w:sz w:val="21"/>
      <w:lang w:val="en-US" w:eastAsia="zh-CN" w:bidi="ar-SA"/>
    </w:rPr>
  </w:style>
  <w:style w:type="paragraph" w:styleId="2">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3">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Body Text"/>
    <w:basedOn w:val="1"/>
    <w:next w:val="1"/>
    <w:unhideWhenUsed/>
    <w:qFormat/>
    <w:uiPriority w:val="99"/>
    <w:pPr>
      <w:spacing w:after="120"/>
    </w:pPr>
  </w:style>
  <w:style w:type="paragraph" w:styleId="6">
    <w:name w:val="toc 1"/>
    <w:basedOn w:val="1"/>
    <w:next w:val="1"/>
    <w:qFormat/>
    <w:uiPriority w:val="39"/>
    <w:pPr>
      <w:spacing w:line="440" w:lineRule="exact"/>
    </w:pPr>
    <w:rPr>
      <w:rFonts w:ascii="宋体" w:hAnsi="宋体" w:cs="宋体"/>
      <w:kern w:val="1"/>
      <w:szCs w:val="21"/>
      <w:lang w:val="zh-CN"/>
    </w:rPr>
  </w:style>
  <w:style w:type="paragraph" w:styleId="7">
    <w:name w:val="Body Text 2"/>
    <w:basedOn w:val="1"/>
    <w:qFormat/>
    <w:uiPriority w:val="0"/>
    <w:rPr>
      <w:rFonts w:ascii="Times New Roman" w:hAnsi="Times New Roman" w:cs="Times New Roman"/>
      <w:sz w:val="28"/>
    </w:rPr>
  </w:style>
  <w:style w:type="paragraph" w:customStyle="1" w:styleId="10">
    <w:name w:val="中文正文、"/>
    <w:basedOn w:val="1"/>
    <w:qFormat/>
    <w:uiPriority w:val="0"/>
    <w:pPr>
      <w:adjustRightInd/>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2706</Words>
  <Characters>3069</Characters>
  <Lines>0</Lines>
  <Paragraphs>0</Paragraphs>
  <TotalTime>0</TotalTime>
  <ScaleCrop>false</ScaleCrop>
  <LinksUpToDate>false</LinksUpToDate>
  <CharactersWithSpaces>3077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2025-12-10T01:34:00Z</dcterms:created>
  <dc:creator>Administrator</dc:creator>
  <cp:lastModifiedBy>Administr</cp:lastModifiedBy>
  <dcterms:modified xsi:type="dcterms:W3CDTF">2026-10-23T03:52:11Z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eyJoZGlkIjoiODU2ZGNkOTQxODc0NGZjZjIxMzI4ZjM4YTFmNTUzMWQiLCJ1c2VySWQiOiIxMzExNTMyNDI1In0=</vt:lpwstr>
  </property>
  <property fmtid="{D5CDD505-2E9C-101B-9397-08002B2CF9AE}" pid="4" name="ICV">
    <vt:lpwstr>34D9B62C71C843199C59829A2D21CB71_12</vt:lpwstr>
  </property>
</Properties>
</file>