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 w:line="360" w:lineRule="auto"/>
        <w:ind/>
        <w:jc w:val="center"/>
        <w:rPr>
          <w:rFonts w:hint="eastAsia" w:ascii="宋体" w:hAnsi="宋体" w:eastAsia="宋体"/>
          <w:b/>
          <w:bCs/>
          <w:sz w:val="28"/>
          <w:szCs w:val="32"/>
        </w:rPr>
      </w:pPr>
      <w:r>
        <w:rPr>
          <w:rFonts w:ascii="宋体" w:hAnsi="宋体" w:eastAsia="宋体"/>
          <w:b/>
          <w:bCs/>
          <w:sz w:val="28"/>
          <w:szCs w:val="32"/>
        </w:rPr>
        <w:t xml:space="preserve">人保健康广东分公司商务型经营保障用车采购项目（第二次）</w:t>
      </w:r>
      <w:r>
        <w:rPr>
          <w:rFonts w:hint="eastAsia" w:ascii="宋体" w:hAnsi="宋体" w:eastAsia="宋体"/>
          <w:b/>
          <w:bCs/>
          <w:sz w:val="28"/>
          <w:szCs w:val="32"/>
        </w:rPr>
        <w:t xml:space="preserve">比选流标公告</w:t>
      </w:r>
      <w:r>
        <w:rPr>
          <w:rFonts w:hint="eastAsia" w:ascii="宋体" w:hAnsi="宋体" w:eastAsia="宋体"/>
          <w:b/>
          <w:bCs/>
          <w:sz w:val="28"/>
          <w:szCs w:val="32"/>
        </w:rPr>
      </w:r>
    </w:p>
    <w:p>
      <w:pPr>
        <w:pBdr/>
        <w:spacing w:line="360" w:lineRule="auto"/>
        <w:ind/>
        <w:jc w:val="center"/>
        <w:rPr>
          <w:rFonts w:hint="eastAsia" w:ascii="宋体" w:hAnsi="宋体" w:eastAsia="宋体"/>
          <w:b/>
          <w:bCs/>
          <w:sz w:val="28"/>
          <w:szCs w:val="32"/>
        </w:rPr>
      </w:pPr>
      <w:r>
        <w:rPr>
          <w:rFonts w:hint="eastAsia" w:ascii="宋体" w:hAnsi="宋体" w:eastAsia="宋体"/>
          <w:b/>
          <w:bCs/>
          <w:sz w:val="28"/>
          <w:szCs w:val="32"/>
        </w:rPr>
        <w:t xml:space="preserve">项目编号：</w:t>
      </w:r>
      <w:r>
        <w:rPr>
          <w:rFonts w:ascii="宋体" w:hAnsi="宋体" w:eastAsia="宋体"/>
          <w:b/>
          <w:bCs/>
          <w:sz w:val="28"/>
          <w:szCs w:val="32"/>
        </w:rPr>
        <w:t xml:space="preserve">0733-26204789</w:t>
      </w:r>
      <w:r>
        <w:rPr>
          <w:rFonts w:hint="eastAsia" w:ascii="宋体" w:hAnsi="宋体" w:eastAsia="宋体"/>
          <w:b/>
          <w:bCs/>
          <w:sz w:val="28"/>
          <w:szCs w:val="32"/>
        </w:rPr>
      </w:r>
    </w:p>
    <w:p>
      <w:pPr>
        <w:pBdr/>
        <w:spacing w:line="360" w:lineRule="auto"/>
        <w:ind/>
        <w:rPr>
          <w:rFonts w:hint="eastAsia" w:ascii="宋体" w:hAnsi="宋体" w:eastAsia="宋体"/>
          <w:sz w:val="24"/>
          <w:szCs w:val="28"/>
        </w:rPr>
      </w:pPr>
      <w:r>
        <w:rPr>
          <w:rFonts w:hint="eastAsia" w:ascii="宋体" w:hAnsi="宋体" w:eastAsia="宋体"/>
          <w:sz w:val="24"/>
          <w:szCs w:val="28"/>
        </w:rPr>
        <w:t xml:space="preserve">采购人：</w:t>
      </w:r>
      <w:r>
        <w:rPr>
          <w:rFonts w:ascii="宋体" w:hAnsi="宋体" w:eastAsia="宋体"/>
          <w:sz w:val="24"/>
          <w:szCs w:val="28"/>
        </w:rPr>
        <w:t xml:space="preserve">中国人民健康保险股份有限公司广东分公司</w:t>
      </w:r>
      <w:r>
        <w:rPr>
          <w:rFonts w:hint="eastAsia" w:ascii="宋体" w:hAnsi="宋体" w:eastAsia="宋体"/>
          <w:sz w:val="24"/>
          <w:szCs w:val="28"/>
        </w:rPr>
      </w:r>
    </w:p>
    <w:p>
      <w:pPr>
        <w:pBdr/>
        <w:spacing w:line="360" w:lineRule="auto"/>
        <w:ind/>
        <w:rPr>
          <w:rFonts w:hint="eastAsia" w:ascii="宋体" w:hAnsi="宋体" w:eastAsia="宋体"/>
          <w:sz w:val="24"/>
          <w:szCs w:val="28"/>
        </w:rPr>
      </w:pPr>
      <w:r>
        <w:rPr>
          <w:rFonts w:hint="eastAsia" w:ascii="宋体" w:hAnsi="宋体" w:eastAsia="宋体"/>
          <w:sz w:val="24"/>
          <w:szCs w:val="28"/>
        </w:rPr>
        <w:t xml:space="preserve">采购代理机构：中信国际招标有限公司</w:t>
      </w:r>
      <w:r>
        <w:rPr>
          <w:rFonts w:hint="eastAsia" w:ascii="宋体" w:hAnsi="宋体" w:eastAsia="宋体"/>
          <w:sz w:val="24"/>
          <w:szCs w:val="28"/>
        </w:rPr>
      </w:r>
    </w:p>
    <w:p>
      <w:pPr>
        <w:pBdr/>
        <w:spacing w:line="360" w:lineRule="auto"/>
        <w:ind/>
        <w:rPr>
          <w:rFonts w:hint="eastAsia" w:ascii="宋体" w:hAnsi="宋体" w:eastAsia="宋体"/>
          <w:sz w:val="24"/>
          <w:szCs w:val="28"/>
        </w:rPr>
      </w:pPr>
      <w:r>
        <w:rPr>
          <w:rFonts w:hint="eastAsia" w:ascii="宋体" w:hAnsi="宋体" w:eastAsia="宋体"/>
          <w:sz w:val="24"/>
          <w:szCs w:val="28"/>
        </w:rPr>
        <w:t xml:space="preserve">项目名称：</w:t>
      </w:r>
      <w:r>
        <w:rPr>
          <w:rFonts w:ascii="宋体" w:hAnsi="宋体" w:eastAsia="宋体"/>
          <w:sz w:val="24"/>
          <w:szCs w:val="28"/>
        </w:rPr>
        <w:t xml:space="preserve">人保健康广东分公司商务型经营保障用车采购项目（第二次）</w:t>
      </w:r>
      <w:r>
        <w:rPr>
          <w:rFonts w:hint="eastAsia" w:ascii="宋体" w:hAnsi="宋体" w:eastAsia="宋体"/>
          <w:sz w:val="24"/>
          <w:szCs w:val="28"/>
        </w:rPr>
      </w:r>
    </w:p>
    <w:p>
      <w:pPr>
        <w:pBdr/>
        <w:spacing w:line="360" w:lineRule="auto"/>
        <w:ind/>
        <w:rPr>
          <w:rFonts w:hint="eastAsia" w:ascii="宋体" w:hAnsi="宋体" w:eastAsia="宋体"/>
          <w:sz w:val="24"/>
          <w:szCs w:val="28"/>
        </w:rPr>
      </w:pPr>
      <w:r>
        <w:rPr>
          <w:rFonts w:hint="eastAsia" w:ascii="宋体" w:hAnsi="宋体" w:eastAsia="宋体"/>
          <w:sz w:val="24"/>
          <w:szCs w:val="28"/>
        </w:rPr>
        <w:t xml:space="preserve">项目编号：</w:t>
      </w:r>
      <w:r>
        <w:rPr>
          <w:rFonts w:ascii="宋体" w:hAnsi="宋体" w:eastAsia="宋体"/>
          <w:sz w:val="24"/>
          <w:szCs w:val="28"/>
        </w:rPr>
        <w:t xml:space="preserve">0733-26204789</w:t>
      </w:r>
      <w:r>
        <w:rPr>
          <w:rFonts w:hint="eastAsia" w:ascii="宋体" w:hAnsi="宋体" w:eastAsia="宋体"/>
          <w:sz w:val="24"/>
          <w:szCs w:val="28"/>
        </w:rPr>
      </w:r>
    </w:p>
    <w:p>
      <w:pPr>
        <w:pBdr/>
        <w:spacing w:line="360" w:lineRule="auto"/>
        <w:ind/>
        <w:rPr>
          <w:rFonts w:hint="eastAsia" w:ascii="宋体" w:hAnsi="宋体" w:eastAsia="宋体"/>
          <w:sz w:val="24"/>
          <w:szCs w:val="28"/>
        </w:rPr>
      </w:pPr>
      <w:r>
        <w:rPr>
          <w:rFonts w:hint="eastAsia" w:ascii="宋体" w:hAnsi="宋体" w:eastAsia="宋体"/>
          <w:sz w:val="24"/>
          <w:szCs w:val="28"/>
        </w:rPr>
        <w:t xml:space="preserve">采购方式：比选采购</w:t>
      </w:r>
      <w:r>
        <w:rPr>
          <w:rFonts w:hint="eastAsia" w:ascii="宋体" w:hAnsi="宋体" w:eastAsia="宋体"/>
          <w:sz w:val="24"/>
          <w:szCs w:val="28"/>
        </w:rPr>
      </w:r>
    </w:p>
    <w:p>
      <w:pPr>
        <w:pBdr/>
        <w:spacing w:line="360" w:lineRule="auto"/>
        <w:ind w:firstLine="480"/>
        <w:rPr>
          <w:rFonts w:hint="eastAsia" w:ascii="宋体" w:hAnsi="宋体" w:eastAsia="宋体"/>
          <w:sz w:val="24"/>
          <w:szCs w:val="28"/>
        </w:rPr>
      </w:pPr>
      <w:r>
        <w:rPr>
          <w:rFonts w:hint="eastAsia" w:ascii="宋体" w:hAnsi="宋体" w:eastAsia="宋体"/>
          <w:sz w:val="24"/>
          <w:szCs w:val="28"/>
        </w:rPr>
      </w:r>
      <w:r>
        <w:rPr>
          <w:rFonts w:hint="eastAsia" w:ascii="宋体" w:hAnsi="宋体" w:eastAsia="宋体"/>
          <w:sz w:val="24"/>
          <w:szCs w:val="28"/>
        </w:rPr>
      </w:r>
    </w:p>
    <w:p>
      <w:pPr>
        <w:pBdr/>
        <w:spacing w:line="360" w:lineRule="auto"/>
        <w:ind w:firstLine="480"/>
        <w:rPr>
          <w:rFonts w:hint="eastAsia" w:ascii="宋体" w:hAnsi="宋体" w:eastAsia="宋体"/>
          <w:sz w:val="24"/>
          <w:szCs w:val="28"/>
        </w:rPr>
      </w:pPr>
      <w:r/>
      <w:bookmarkStart w:id="0" w:name="_GoBack"/>
      <w:r>
        <w:rPr>
          <w:rFonts w:ascii="宋体" w:hAnsi="宋体" w:eastAsia="宋体"/>
          <w:sz w:val="24"/>
          <w:szCs w:val="28"/>
        </w:rPr>
        <w:t xml:space="preserve">人保健康广东分公司商务型经营保障用车采购项目（第二次）</w:t>
      </w:r>
      <w:r>
        <w:rPr>
          <w:rFonts w:hint="eastAsia" w:ascii="宋体" w:hAnsi="宋体" w:eastAsia="宋体"/>
          <w:sz w:val="24"/>
          <w:szCs w:val="28"/>
        </w:rPr>
        <w:t xml:space="preserve">（项目编号：</w:t>
      </w:r>
      <w:r>
        <w:rPr>
          <w:rFonts w:ascii="宋体" w:hAnsi="宋体" w:eastAsia="宋体"/>
          <w:sz w:val="24"/>
          <w:szCs w:val="28"/>
        </w:rPr>
        <w:t xml:space="preserve">0733-26204789</w:t>
      </w:r>
      <w:r>
        <w:rPr>
          <w:rFonts w:hint="eastAsia" w:ascii="宋体" w:hAnsi="宋体" w:eastAsia="宋体"/>
          <w:sz w:val="24"/>
          <w:szCs w:val="28"/>
        </w:rPr>
        <w:t xml:space="preserve">）因截至本项目报名截止时间，报名供应商不足2家，本项目作流标处理。</w:t>
      </w:r>
      <w:bookmarkEnd w:id="0"/>
      <w:r>
        <w:rPr>
          <w:rFonts w:hint="eastAsia" w:ascii="宋体" w:hAnsi="宋体" w:eastAsia="宋体"/>
          <w:sz w:val="24"/>
          <w:szCs w:val="28"/>
        </w:rPr>
        <w:t xml:space="preserve">关于本项目的进一步采购安排，请各供应商关注相关网站公告。</w:t>
      </w:r>
      <w:r>
        <w:rPr>
          <w:rFonts w:hint="eastAsia" w:ascii="宋体" w:hAnsi="宋体" w:eastAsia="宋体"/>
          <w:sz w:val="24"/>
          <w:szCs w:val="28"/>
        </w:rPr>
      </w:r>
    </w:p>
    <w:p>
      <w:pPr>
        <w:pBdr/>
        <w:spacing w:line="360" w:lineRule="auto"/>
        <w:ind/>
        <w:rPr>
          <w:rFonts w:hint="eastAsia" w:ascii="宋体" w:hAnsi="宋体" w:eastAsia="宋体"/>
          <w:sz w:val="24"/>
          <w:szCs w:val="28"/>
        </w:rPr>
      </w:pPr>
      <w:r>
        <w:rPr>
          <w:rFonts w:hint="eastAsia" w:ascii="宋体" w:hAnsi="宋体" w:eastAsia="宋体"/>
          <w:sz w:val="24"/>
          <w:szCs w:val="28"/>
        </w:rPr>
      </w:r>
      <w:r>
        <w:rPr>
          <w:rFonts w:hint="eastAsia" w:ascii="宋体" w:hAnsi="宋体" w:eastAsia="宋体"/>
          <w:sz w:val="24"/>
          <w:szCs w:val="28"/>
        </w:rPr>
      </w:r>
    </w:p>
    <w:p>
      <w:pPr>
        <w:pBdr/>
        <w:spacing w:line="360" w:lineRule="auto"/>
        <w:ind/>
        <w:rPr>
          <w:rFonts w:hint="eastAsia" w:ascii="宋体" w:hAnsi="宋体" w:eastAsia="宋体"/>
          <w:sz w:val="24"/>
          <w:szCs w:val="28"/>
        </w:rPr>
      </w:pPr>
      <w:r>
        <w:rPr>
          <w:rFonts w:hint="eastAsia" w:ascii="宋体" w:hAnsi="宋体" w:eastAsia="宋体"/>
          <w:sz w:val="24"/>
          <w:szCs w:val="28"/>
        </w:rPr>
      </w:r>
      <w:r>
        <w:rPr>
          <w:rFonts w:hint="eastAsia" w:ascii="宋体" w:hAnsi="宋体" w:eastAsia="宋体"/>
          <w:sz w:val="24"/>
          <w:szCs w:val="28"/>
        </w:rPr>
      </w:r>
    </w:p>
    <w:p>
      <w:pPr>
        <w:pBdr/>
        <w:spacing w:line="360" w:lineRule="auto"/>
        <w:ind w:firstLine="480"/>
        <w:jc w:val="right"/>
        <w:rPr>
          <w:rFonts w:hint="eastAsia" w:ascii="宋体" w:hAnsi="宋体" w:eastAsia="宋体"/>
          <w:sz w:val="24"/>
          <w:szCs w:val="28"/>
        </w:rPr>
      </w:pPr>
      <w:r>
        <w:rPr>
          <w:rFonts w:hint="eastAsia" w:ascii="宋体" w:hAnsi="宋体" w:eastAsia="宋体"/>
          <w:sz w:val="24"/>
          <w:szCs w:val="28"/>
        </w:rPr>
        <w:t xml:space="preserve">招标人：</w:t>
      </w:r>
      <w:r>
        <w:rPr>
          <w:rFonts w:ascii="宋体" w:hAnsi="宋体" w:eastAsia="宋体"/>
          <w:sz w:val="24"/>
          <w:szCs w:val="28"/>
        </w:rPr>
        <w:t xml:space="preserve">中国人民健康保险股份有限公司广东分公司</w:t>
      </w:r>
      <w:r>
        <w:rPr>
          <w:rFonts w:hint="eastAsia" w:ascii="宋体" w:hAnsi="宋体" w:eastAsia="宋体"/>
          <w:sz w:val="24"/>
          <w:szCs w:val="28"/>
        </w:rPr>
      </w:r>
    </w:p>
    <w:p>
      <w:pPr>
        <w:pBdr/>
        <w:spacing w:line="360" w:lineRule="auto"/>
        <w:ind w:firstLine="480"/>
        <w:jc w:val="right"/>
        <w:rPr>
          <w:rFonts w:hint="eastAsia" w:ascii="宋体" w:hAnsi="宋体" w:eastAsia="宋体"/>
          <w:sz w:val="24"/>
          <w:szCs w:val="28"/>
        </w:rPr>
      </w:pPr>
      <w:r>
        <w:rPr>
          <w:rFonts w:hint="eastAsia" w:ascii="宋体" w:hAnsi="宋体" w:eastAsia="宋体"/>
          <w:sz w:val="24"/>
          <w:szCs w:val="28"/>
        </w:rPr>
        <w:t xml:space="preserve">招标代理机构：中信国际招标有限公司</w:t>
      </w:r>
      <w:r>
        <w:rPr>
          <w:rFonts w:hint="eastAsia" w:ascii="宋体" w:hAnsi="宋体" w:eastAsia="宋体"/>
          <w:sz w:val="24"/>
          <w:szCs w:val="28"/>
        </w:rPr>
      </w:r>
    </w:p>
    <w:p>
      <w:pPr>
        <w:pBdr/>
        <w:spacing w:line="360" w:lineRule="auto"/>
        <w:ind w:firstLine="480"/>
        <w:jc w:val="right"/>
        <w:rPr>
          <w:rFonts w:hint="eastAsia" w:ascii="宋体" w:hAnsi="宋体" w:eastAsia="宋体"/>
          <w:sz w:val="24"/>
          <w:szCs w:val="28"/>
        </w:rPr>
      </w:pPr>
      <w:r>
        <w:rPr>
          <w:rFonts w:hint="eastAsia" w:ascii="宋体" w:hAnsi="宋体" w:eastAsia="宋体"/>
          <w:sz w:val="24"/>
          <w:szCs w:val="28"/>
        </w:rPr>
        <w:t xml:space="preserve">2026年10月27日</w:t>
      </w:r>
      <w:r>
        <w:rPr>
          <w:rFonts w:hint="eastAsia" w:ascii="宋体" w:hAnsi="宋体" w:eastAsia="宋体"/>
          <w:sz w:val="24"/>
          <w:szCs w:val="28"/>
        </w:rPr>
      </w:r>
    </w:p>
    <w:p>
      <w:pPr>
        <w:pBdr/>
        <w:spacing w:line="360" w:lineRule="auto"/>
        <w:ind/>
        <w:rPr>
          <w:rFonts w:hint="eastAsia" w:ascii="宋体" w:hAnsi="宋体" w:eastAsia="宋体"/>
          <w:sz w:val="24"/>
          <w:szCs w:val="28"/>
        </w:rPr>
      </w:pPr>
      <w:r>
        <w:rPr>
          <w:rFonts w:hint="eastAsia" w:ascii="宋体" w:hAnsi="宋体" w:eastAsia="宋体"/>
          <w:sz w:val="24"/>
          <w:szCs w:val="28"/>
        </w:rPr>
      </w:r>
      <w:r>
        <w:rPr>
          <w:rFonts w:hint="eastAsia" w:ascii="宋体" w:hAnsi="宋体" w:eastAsia="宋体"/>
          <w:sz w:val="24"/>
          <w:szCs w:val="28"/>
        </w:rPr>
      </w:r>
    </w:p>
    <w:p>
      <w:pPr>
        <w:pBdr/>
        <w:spacing w:line="360" w:lineRule="auto"/>
        <w:ind/>
        <w:rPr>
          <w:rFonts w:hint="eastAsia" w:ascii="宋体" w:hAnsi="宋体" w:eastAsia="宋体"/>
          <w:sz w:val="24"/>
          <w:szCs w:val="28"/>
        </w:rPr>
      </w:pPr>
      <w:r>
        <w:rPr>
          <w:rFonts w:hint="eastAsia" w:ascii="宋体" w:hAnsi="宋体" w:eastAsia="宋体"/>
          <w:sz w:val="24"/>
          <w:szCs w:val="28"/>
        </w:rPr>
      </w:r>
      <w:r>
        <w:rPr>
          <w:rFonts w:hint="eastAsia" w:ascii="宋体" w:hAnsi="宋体" w:eastAsia="宋体"/>
          <w:sz w:val="24"/>
          <w:szCs w:val="28"/>
        </w:rPr>
      </w:r>
    </w:p>
    <w:p>
      <w:pPr>
        <w:pBdr/>
        <w:spacing w:line="360" w:lineRule="auto"/>
        <w:ind/>
        <w:jc w:val="right"/>
        <w:rPr>
          <w:rFonts w:hint="eastAsia" w:ascii="宋体" w:hAnsi="宋体" w:eastAsia="宋体"/>
          <w:sz w:val="24"/>
          <w:szCs w:val="28"/>
        </w:rPr>
      </w:pPr>
      <w:r>
        <w:rPr>
          <w:rFonts w:hint="eastAsia" w:ascii="宋体" w:hAnsi="宋体" w:eastAsia="宋体"/>
          <w:sz w:val="24"/>
          <w:szCs w:val="28"/>
        </w:rPr>
      </w:r>
      <w:r>
        <w:rPr>
          <w:rFonts w:hint="eastAsia" w:ascii="宋体" w:hAnsi="宋体" w:eastAsia="宋体"/>
          <w:sz w:val="24"/>
          <w:szCs w:val="28"/>
        </w:rPr>
      </w:r>
    </w:p>
    <w:sectPr>
      <w:footnotePr/>
      <w:endnotePr/>
      <w:type w:val="nextPage"/>
      <w:pgSz w:h="16838" w:orient="portrait" w:w="11906"/>
      <w:pgMar w:top="1440" w:right="1800" w:bottom="1440" w:left="1800" w:header="851" w:footer="992" w:gutter="0"/>
      <w:cols w:num="1" w:sep="0" w:space="425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宋体">
    <w:panose1 w:val="02010600030101010101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 w:enforcement="0"/>
  <w:defaultTabStop w:val="4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doNotExpandShiftReturn w:val="true"/>
    <w:useFELayout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eastAsia="宋体" w:cs="Times New Roman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663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66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66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66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66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66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66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66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66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66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66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66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66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66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66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66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66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66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66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66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66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66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66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66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66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66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661"/>
    <w:next w:val="661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661"/>
    <w:next w:val="661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661"/>
    <w:next w:val="661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661"/>
    <w:next w:val="661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661"/>
    <w:next w:val="661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661"/>
    <w:next w:val="661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661"/>
    <w:next w:val="661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661"/>
    <w:next w:val="661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661"/>
    <w:next w:val="661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numbering" w:styleId="148" w:default="1">
    <w:name w:val="No List"/>
    <w:uiPriority w:val="99"/>
    <w:semiHidden/>
    <w:unhideWhenUsed/>
    <w:pPr>
      <w:pBdr/>
      <w:spacing/>
      <w:ind/>
    </w:pPr>
  </w:style>
  <w:style w:type="character" w:styleId="149">
    <w:name w:val="Heading 1 Char"/>
    <w:basedOn w:val="662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662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662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662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662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662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662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662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662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661"/>
    <w:next w:val="661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662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661"/>
    <w:next w:val="661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662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661"/>
    <w:next w:val="661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662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64">
    <w:name w:val="List Paragraph"/>
    <w:basedOn w:val="661"/>
    <w:uiPriority w:val="34"/>
    <w:qFormat/>
    <w:pPr>
      <w:pBdr/>
      <w:spacing/>
      <w:ind w:left="720"/>
      <w:contextualSpacing w:val="true"/>
    </w:pPr>
  </w:style>
  <w:style w:type="character" w:styleId="165">
    <w:name w:val="Intense Emphasis"/>
    <w:basedOn w:val="66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661"/>
    <w:next w:val="661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662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66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661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66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662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662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66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662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176">
    <w:name w:val="Header Char"/>
    <w:basedOn w:val="662"/>
    <w:link w:val="665"/>
    <w:uiPriority w:val="99"/>
    <w:pPr>
      <w:pBdr/>
      <w:spacing/>
      <w:ind/>
    </w:pPr>
  </w:style>
  <w:style w:type="character" w:styleId="178">
    <w:name w:val="Footer Char"/>
    <w:basedOn w:val="662"/>
    <w:link w:val="664"/>
    <w:uiPriority w:val="99"/>
    <w:pPr>
      <w:pBdr/>
      <w:spacing/>
      <w:ind/>
    </w:pPr>
  </w:style>
  <w:style w:type="paragraph" w:styleId="179">
    <w:name w:val="Caption"/>
    <w:basedOn w:val="661"/>
    <w:next w:val="661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661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662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662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661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662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662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66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66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661"/>
    <w:next w:val="661"/>
    <w:uiPriority w:val="39"/>
    <w:unhideWhenUsed/>
    <w:pPr>
      <w:pBdr/>
      <w:spacing w:after="100"/>
      <w:ind/>
    </w:pPr>
  </w:style>
  <w:style w:type="paragraph" w:styleId="189">
    <w:name w:val="toc 2"/>
    <w:basedOn w:val="661"/>
    <w:next w:val="661"/>
    <w:uiPriority w:val="39"/>
    <w:unhideWhenUsed/>
    <w:pPr>
      <w:pBdr/>
      <w:spacing w:after="100"/>
      <w:ind w:left="220"/>
    </w:pPr>
  </w:style>
  <w:style w:type="paragraph" w:styleId="190">
    <w:name w:val="toc 3"/>
    <w:basedOn w:val="661"/>
    <w:next w:val="661"/>
    <w:uiPriority w:val="39"/>
    <w:unhideWhenUsed/>
    <w:pPr>
      <w:pBdr/>
      <w:spacing w:after="100"/>
      <w:ind w:left="440"/>
    </w:pPr>
  </w:style>
  <w:style w:type="paragraph" w:styleId="191">
    <w:name w:val="toc 4"/>
    <w:basedOn w:val="661"/>
    <w:next w:val="661"/>
    <w:uiPriority w:val="39"/>
    <w:unhideWhenUsed/>
    <w:pPr>
      <w:pBdr/>
      <w:spacing w:after="100"/>
      <w:ind w:left="660"/>
    </w:pPr>
  </w:style>
  <w:style w:type="paragraph" w:styleId="192">
    <w:name w:val="toc 5"/>
    <w:basedOn w:val="661"/>
    <w:next w:val="661"/>
    <w:uiPriority w:val="39"/>
    <w:unhideWhenUsed/>
    <w:pPr>
      <w:pBdr/>
      <w:spacing w:after="100"/>
      <w:ind w:left="880"/>
    </w:pPr>
  </w:style>
  <w:style w:type="paragraph" w:styleId="193">
    <w:name w:val="toc 6"/>
    <w:basedOn w:val="661"/>
    <w:next w:val="661"/>
    <w:uiPriority w:val="39"/>
    <w:unhideWhenUsed/>
    <w:pPr>
      <w:pBdr/>
      <w:spacing w:after="100"/>
      <w:ind w:left="1100"/>
    </w:pPr>
  </w:style>
  <w:style w:type="paragraph" w:styleId="194">
    <w:name w:val="toc 7"/>
    <w:basedOn w:val="661"/>
    <w:next w:val="661"/>
    <w:uiPriority w:val="39"/>
    <w:unhideWhenUsed/>
    <w:pPr>
      <w:pBdr/>
      <w:spacing w:after="100"/>
      <w:ind w:left="1320"/>
    </w:pPr>
  </w:style>
  <w:style w:type="paragraph" w:styleId="195">
    <w:name w:val="toc 8"/>
    <w:basedOn w:val="661"/>
    <w:next w:val="661"/>
    <w:uiPriority w:val="39"/>
    <w:unhideWhenUsed/>
    <w:pPr>
      <w:pBdr/>
      <w:spacing w:after="100"/>
      <w:ind w:left="1540"/>
    </w:pPr>
  </w:style>
  <w:style w:type="paragraph" w:styleId="196">
    <w:name w:val="toc 9"/>
    <w:basedOn w:val="661"/>
    <w:next w:val="661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661"/>
    <w:next w:val="661"/>
    <w:uiPriority w:val="99"/>
    <w:unhideWhenUsed/>
    <w:pPr>
      <w:pBdr/>
      <w:spacing w:after="0" w:afterAutospacing="0"/>
      <w:ind/>
    </w:pPr>
  </w:style>
  <w:style w:type="paragraph" w:styleId="661" w:default="1">
    <w:name w:val="Normal"/>
    <w:uiPriority w:val="0"/>
    <w:qFormat/>
    <w:pPr>
      <w:widowControl w:val="false"/>
      <w:pBdr/>
      <w:spacing/>
      <w:ind/>
      <w:jc w:val="both"/>
    </w:pPr>
    <w:rPr>
      <w:rFonts w:asciiTheme="minorHAnsi" w:hAnsiTheme="minorHAnsi" w:eastAsiaTheme="minorEastAsia" w:cstheme="minorBidi"/>
      <w:sz w:val="21"/>
      <w:szCs w:val="22"/>
      <w:lang w:val="en-US" w:eastAsia="zh-CN" w:bidi="ar-SA"/>
    </w:rPr>
  </w:style>
  <w:style w:type="character" w:styleId="662" w:default="1">
    <w:name w:val="Default Paragraph Font"/>
    <w:uiPriority w:val="1"/>
    <w:semiHidden/>
    <w:unhideWhenUsed/>
    <w:pPr>
      <w:pBdr/>
      <w:spacing/>
      <w:ind/>
    </w:pPr>
  </w:style>
  <w:style w:type="table" w:styleId="663" w:default="1">
    <w:name w:val="Normal Table"/>
    <w:uiPriority w:val="99"/>
    <w:semiHidden/>
    <w:unhideWhenUsed/>
    <w:pPr>
      <w:pBdr/>
      <w:spacing/>
      <w:ind/>
    </w:pPr>
    <w:tblPr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664">
    <w:name w:val="Footer"/>
    <w:basedOn w:val="661"/>
    <w:link w:val="667"/>
    <w:uiPriority w:val="99"/>
    <w:unhideWhenUsed/>
    <w:qFormat/>
    <w:pPr>
      <w:pBdr/>
      <w:tabs>
        <w:tab w:val="center" w:leader="none" w:pos="4153"/>
        <w:tab w:val="right" w:leader="none" w:pos="8306"/>
      </w:tabs>
      <w:spacing/>
      <w:ind/>
      <w:jc w:val="left"/>
    </w:pPr>
    <w:rPr>
      <w:sz w:val="18"/>
      <w:szCs w:val="18"/>
    </w:rPr>
  </w:style>
  <w:style w:type="paragraph" w:styleId="665">
    <w:name w:val="Header"/>
    <w:basedOn w:val="661"/>
    <w:link w:val="666"/>
    <w:uiPriority w:val="99"/>
    <w:unhideWhenUsed/>
    <w:qFormat/>
    <w:pPr>
      <w:pBdr>
        <w:bottom w:val="single" w:color="000000" w:sz="6" w:space="1"/>
      </w:pBdr>
      <w:tabs>
        <w:tab w:val="center" w:leader="none" w:pos="4153"/>
        <w:tab w:val="right" w:leader="none" w:pos="8306"/>
      </w:tabs>
      <w:spacing/>
      <w:ind/>
      <w:jc w:val="center"/>
    </w:pPr>
    <w:rPr>
      <w:sz w:val="18"/>
      <w:szCs w:val="18"/>
    </w:rPr>
  </w:style>
  <w:style w:type="character" w:styleId="666" w:customStyle="1">
    <w:name w:val="页眉 字符"/>
    <w:basedOn w:val="662"/>
    <w:link w:val="665"/>
    <w:uiPriority w:val="99"/>
    <w:qFormat/>
    <w:pPr>
      <w:pBdr/>
      <w:spacing/>
      <w:ind/>
    </w:pPr>
    <w:rPr>
      <w:sz w:val="18"/>
      <w:szCs w:val="18"/>
    </w:rPr>
  </w:style>
  <w:style w:type="character" w:styleId="667" w:customStyle="1">
    <w:name w:val="页脚 字符"/>
    <w:basedOn w:val="662"/>
    <w:link w:val="664"/>
    <w:uiPriority w:val="99"/>
    <w:qFormat/>
    <w:pPr>
      <w:pBdr/>
      <w:spacing/>
      <w:ind/>
    </w:pPr>
    <w:rPr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Arial"/>
        <a:cs typeface="Arial"/>
      </a:majorFont>
      <a:minorFont>
        <a:latin typeface="等线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onlyoffice/8.2.1.38</Application>
  <DocSecurity>0</DocSecurity>
  <ScaleCrop>0</ScaleCrop>
  <HeadingPairs>
    <vt:vector size="0" baseType="variant"/>
  </HeadingPairs>
  <TitlesOfParts>
    <vt:vector size="0" baseType="lpstr"/>
  </TitlesOfParts>
  <LinksUpToDate>0</LinksUpToD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叶金泉</dc:creator>
  <cp:lastModifiedBy>冯俊豪</cp:lastModifiedBy>
  <cp:revision>22</cp:revision>
  <dcterms:created xsi:type="dcterms:W3CDTF">2021-08-09T03:01:00Z</dcterms:created>
  <dcterms:modified xsi:type="dcterms:W3CDTF">2026-10-27T01:14:32Z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2052-12.1.0.28802</vt:lpwstr>
  </property>
  <property fmtid="{D5CDD505-2E9C-101B-9397-08002B2CF9AE}" pid="3" name="ICV">
    <vt:lpwstr>001D27C377274FB2BC9E01A449AE207F_13</vt:lpwstr>
  </property>
  <property fmtid="{D5CDD505-2E9C-101B-9397-08002B2CF9AE}" pid="4" name="KSOTemplateDocerSaveRecord">
    <vt:lpwstr>eyJoZGlkIjoiOWRhZjhjZGI4OGVmY2RlZjE3MTQ3NzhiMTFiNTFkMjMiLCJ1c2VySWQiOiI0MDEzNDgzMzYifQ==</vt:lpwstr>
  </property>
</Properties>
</file>