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C807BC">
      <w:pPr>
        <w:bidi w:val="0"/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人保财险湖北省武汉市经济技术开发区支公司车险无忧（新享版）客户需求深度调研采购项目比选公告</w:t>
      </w:r>
    </w:p>
    <w:p w14:paraId="36675CA4">
      <w:pPr>
        <w:spacing w:line="600" w:lineRule="exact"/>
        <w:ind w:firstLine="643" w:firstLineChars="200"/>
        <w:jc w:val="left"/>
        <w:rPr>
          <w:rFonts w:ascii="仿宋_GB2312" w:hAnsi="仿宋_GB2312" w:eastAsia="仿宋_GB2312" w:cs="仿宋_GB2312"/>
          <w:b/>
          <w:bCs/>
          <w:sz w:val="32"/>
          <w:szCs w:val="32"/>
        </w:rPr>
      </w:pPr>
    </w:p>
    <w:p w14:paraId="7FAEDF05">
      <w:pPr>
        <w:spacing w:line="600" w:lineRule="exact"/>
        <w:ind w:firstLine="643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采购项目名称：</w:t>
      </w:r>
      <w:r>
        <w:rPr>
          <w:rFonts w:hint="eastAsia" w:ascii="仿宋_GB2312" w:hAnsi="Times New Roman" w:eastAsia="仿宋_GB2312" w:cs="Times New Roman"/>
          <w:sz w:val="32"/>
          <w:szCs w:val="32"/>
          <w:u w:val="none"/>
        </w:rPr>
        <w:t>人保财险湖北省武汉市经济技术开发区支公司车险无忧（新享版）客户需求深度调研采购</w:t>
      </w:r>
      <w:r>
        <w:rPr>
          <w:rFonts w:hint="eastAsia" w:ascii="仿宋_GB2312" w:hAnsi="Times New Roman" w:eastAsia="仿宋_GB2312" w:cs="Times New Roman"/>
          <w:sz w:val="32"/>
          <w:szCs w:val="32"/>
        </w:rPr>
        <w:t>项目</w:t>
      </w:r>
    </w:p>
    <w:p w14:paraId="004918BD">
      <w:pPr>
        <w:spacing w:line="600" w:lineRule="exact"/>
        <w:ind w:firstLine="643" w:firstLineChars="200"/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采购内容</w:t>
      </w:r>
    </w:p>
    <w:p w14:paraId="0B171017">
      <w:pPr>
        <w:spacing w:line="600" w:lineRule="exact"/>
        <w:ind w:firstLine="643" w:firstLineChars="200"/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（一）项目概况</w:t>
      </w:r>
    </w:p>
    <w:p w14:paraId="3945EFCF">
      <w:pPr>
        <w:spacing w:line="600" w:lineRule="exact"/>
        <w:ind w:firstLine="640" w:firstLineChars="200"/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目前市场竞争持续加剧，综合保障实力与增值服务质量已成为客户投保、续保的核心决策依据。车险无忧（新享版）是我司重点打造的一体化随车特色个非产品，涵盖出险补偿（及车辆维修期间代步车服务）、全损置换（车辆全损或推定全损时，可补偿同品牌新车置换费用）等增值权益，是撬动新车承保、稳固存量客户、打造区域差异化竞争、提升整体保费规模的核心抓手。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（二）主要需求</w:t>
      </w:r>
    </w:p>
    <w:p w14:paraId="225802D2">
      <w:pPr>
        <w:spacing w:line="600" w:lineRule="exact"/>
        <w:ind w:firstLine="640" w:firstLineChars="200"/>
        <w:jc w:val="left"/>
        <w:rPr>
          <w:rFonts w:hint="eastAsia" w:ascii="仿宋_GB2312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1、采购范围：</w:t>
      </w:r>
      <w:r>
        <w:rPr>
          <w:rFonts w:hint="eastAsia" w:ascii="仿宋_GB2312" w:hAnsi="Calibri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本项目拟采购</w:t>
      </w:r>
      <w:r>
        <w:rPr>
          <w:rFonts w:hint="eastAsia" w:ascii="仿宋_GB2312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仿宋_GB2312" w:hAnsi="Calibri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家供应商为招标人提供</w:t>
      </w:r>
      <w:r>
        <w:rPr>
          <w:rFonts w:hint="eastAsia" w:ascii="仿宋_GB2312" w:hAnsi="Times New Roman" w:eastAsia="仿宋_GB2312" w:cs="Times New Roman"/>
          <w:sz w:val="32"/>
          <w:szCs w:val="32"/>
          <w:u w:val="none"/>
        </w:rPr>
        <w:t>车险无忧（新享版）客户需求深度调研</w:t>
      </w:r>
      <w:r>
        <w:rPr>
          <w:rFonts w:hint="eastAsia" w:ascii="仿宋_GB2312" w:hAnsi="Calibri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。</w:t>
      </w:r>
      <w:r>
        <w:rPr>
          <w:rFonts w:hint="eastAsia" w:ascii="仿宋_GB2312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（</w:t>
      </w:r>
      <w:r>
        <w:rPr>
          <w:rFonts w:hint="eastAsia" w:ascii="仿宋_GB2312" w:hAnsi="Calibri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具体内容及要求见比选邀请文件</w:t>
      </w:r>
      <w:r>
        <w:rPr>
          <w:rFonts w:hint="eastAsia" w:ascii="仿宋_GB2312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）</w:t>
      </w:r>
    </w:p>
    <w:p w14:paraId="4AEA75E2">
      <w:pPr>
        <w:spacing w:line="600" w:lineRule="exact"/>
        <w:ind w:firstLine="640" w:firstLineChars="200"/>
        <w:jc w:val="left"/>
        <w:rPr>
          <w:rFonts w:hint="default" w:ascii="仿宋_GB2312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2、服务期限：自合同签订之日起6个月。</w:t>
      </w:r>
    </w:p>
    <w:p w14:paraId="341DDA91">
      <w:pPr>
        <w:spacing w:line="600" w:lineRule="exact"/>
        <w:ind w:firstLine="643" w:firstLineChars="200"/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三、供应商资格要求</w:t>
      </w:r>
    </w:p>
    <w:p w14:paraId="20B582FD">
      <w:pPr>
        <w:spacing w:line="600" w:lineRule="exact"/>
        <w:ind w:left="638" w:leftChars="304" w:firstLine="0" w:firstLineChars="0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1.具有独立承担民事责任的能力；</w:t>
      </w:r>
      <w:r>
        <w:rPr>
          <w:rFonts w:hint="eastAsia" w:ascii="仿宋_GB2312" w:eastAsia="仿宋_GB2312"/>
          <w:color w:val="000000"/>
          <w:sz w:val="32"/>
          <w:szCs w:val="32"/>
        </w:rPr>
        <w:br w:type="textWrapping"/>
      </w:r>
      <w:r>
        <w:rPr>
          <w:rFonts w:hint="eastAsia" w:ascii="仿宋_GB2312" w:eastAsia="仿宋_GB2312"/>
          <w:color w:val="000000"/>
          <w:sz w:val="32"/>
          <w:szCs w:val="32"/>
        </w:rPr>
        <w:t>2.具有良好的商业信誉和健全的财务会计制度； </w:t>
      </w:r>
      <w:r>
        <w:rPr>
          <w:rFonts w:hint="eastAsia" w:ascii="仿宋_GB2312" w:eastAsia="仿宋_GB2312"/>
          <w:color w:val="000000"/>
          <w:sz w:val="32"/>
          <w:szCs w:val="32"/>
        </w:rPr>
        <w:br w:type="textWrapping"/>
      </w:r>
      <w:r>
        <w:rPr>
          <w:rFonts w:hint="eastAsia" w:ascii="仿宋_GB2312" w:eastAsia="仿宋_GB2312"/>
          <w:color w:val="000000"/>
          <w:sz w:val="32"/>
          <w:szCs w:val="32"/>
        </w:rPr>
        <w:t>3.具有履行合同所必需的设备和专业技术能力；</w:t>
      </w:r>
      <w:r>
        <w:rPr>
          <w:rFonts w:hint="eastAsia" w:ascii="仿宋_GB2312" w:eastAsia="仿宋_GB2312"/>
          <w:color w:val="000000"/>
          <w:sz w:val="32"/>
          <w:szCs w:val="32"/>
        </w:rPr>
        <w:br w:type="textWrapping"/>
      </w:r>
      <w:r>
        <w:rPr>
          <w:rFonts w:hint="eastAsia" w:ascii="仿宋_GB2312" w:eastAsia="仿宋_GB2312"/>
          <w:color w:val="000000"/>
          <w:sz w:val="32"/>
          <w:szCs w:val="32"/>
        </w:rPr>
        <w:t>4.有依法缴纳税收和社会保障资金的良好记录；</w:t>
      </w:r>
      <w:r>
        <w:rPr>
          <w:rFonts w:hint="eastAsia" w:ascii="仿宋_GB2312" w:eastAsia="仿宋_GB2312"/>
          <w:color w:val="000000"/>
          <w:sz w:val="32"/>
          <w:szCs w:val="32"/>
        </w:rPr>
        <w:br w:type="textWrapping"/>
      </w:r>
      <w:r>
        <w:rPr>
          <w:rFonts w:hint="eastAsia" w:ascii="仿宋_GB2312" w:eastAsia="仿宋_GB2312"/>
          <w:color w:val="000000"/>
          <w:sz w:val="32"/>
          <w:szCs w:val="32"/>
        </w:rPr>
        <w:t>5.经营状况良好，且参加此项采购活动最近三年没有出现违法违规或失信行为，没有骗取中标和严重违约的行为；</w:t>
      </w:r>
      <w:r>
        <w:rPr>
          <w:rFonts w:hint="eastAsia" w:ascii="仿宋_GB2312" w:eastAsia="仿宋_GB2312"/>
          <w:color w:val="000000"/>
          <w:sz w:val="32"/>
          <w:szCs w:val="32"/>
        </w:rPr>
        <w:br w:type="textWrapping"/>
      </w:r>
      <w:r>
        <w:rPr>
          <w:rFonts w:hint="eastAsia" w:ascii="仿宋_GB2312" w:eastAsia="仿宋_GB2312"/>
          <w:color w:val="000000"/>
          <w:sz w:val="32"/>
          <w:szCs w:val="32"/>
        </w:rPr>
        <w:t>6.单位负责人为同一人或存在控股、管理关系的不同单位，不得参加同一采购项目；</w:t>
      </w:r>
      <w:r>
        <w:rPr>
          <w:rFonts w:hint="eastAsia" w:ascii="仿宋_GB2312" w:eastAsia="仿宋_GB2312"/>
          <w:color w:val="000000"/>
          <w:sz w:val="32"/>
          <w:szCs w:val="32"/>
        </w:rPr>
        <w:br w:type="textWrapping"/>
      </w:r>
      <w:r>
        <w:rPr>
          <w:rFonts w:hint="eastAsia" w:ascii="仿宋_GB2312" w:eastAsia="仿宋_GB2312"/>
          <w:color w:val="000000"/>
          <w:sz w:val="32"/>
          <w:szCs w:val="32"/>
        </w:rPr>
        <w:t>7.本项目不接受联合体。</w:t>
      </w:r>
      <w:r>
        <w:rPr>
          <w:rFonts w:hint="eastAsia" w:ascii="仿宋_GB2312" w:eastAsia="仿宋_GB2312"/>
          <w:color w:val="000000"/>
          <w:sz w:val="32"/>
          <w:szCs w:val="32"/>
        </w:rPr>
        <w:br w:type="textWrapping"/>
      </w:r>
      <w:r>
        <w:rPr>
          <w:rFonts w:hint="eastAsia" w:ascii="仿宋_GB2312" w:eastAsia="仿宋_GB2312"/>
          <w:color w:val="000000"/>
          <w:sz w:val="32"/>
          <w:szCs w:val="32"/>
        </w:rPr>
        <w:t>8.该项目不得转包、分包。</w:t>
      </w:r>
      <w:r>
        <w:rPr>
          <w:rFonts w:hint="eastAsia" w:ascii="仿宋_GB2312" w:eastAsia="仿宋_GB2312"/>
          <w:color w:val="000000"/>
          <w:sz w:val="32"/>
          <w:szCs w:val="32"/>
        </w:rPr>
        <w:br w:type="textWrapping"/>
      </w:r>
      <w:r>
        <w:rPr>
          <w:rFonts w:hint="eastAsia" w:ascii="仿宋_GB2312" w:eastAsia="仿宋_GB2312"/>
          <w:color w:val="000000"/>
          <w:sz w:val="32"/>
          <w:szCs w:val="32"/>
        </w:rPr>
        <w:t>9.未被列入公司供应商黑名单或已不在禁入期内。</w:t>
      </w:r>
    </w:p>
    <w:p w14:paraId="0DDCED67">
      <w:pPr>
        <w:spacing w:line="600" w:lineRule="exact"/>
        <w:ind w:firstLine="643" w:firstLineChars="200"/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四、采购文件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的获取</w:t>
      </w:r>
    </w:p>
    <w:p w14:paraId="194A9996">
      <w:pPr>
        <w:spacing w:line="600" w:lineRule="exact"/>
        <w:ind w:firstLine="640" w:firstLineChars="200"/>
        <w:jc w:val="left"/>
        <w:rPr>
          <w:rFonts w:hint="eastAsia" w:ascii="仿宋_GB2312" w:eastAsia="仿宋_GB2312" w:cs="Times New Roman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Times New Roman"/>
          <w:color w:val="000000"/>
          <w:sz w:val="32"/>
          <w:szCs w:val="32"/>
          <w:highlight w:val="none"/>
          <w:lang w:val="en-US" w:eastAsia="zh-CN"/>
        </w:rPr>
        <w:t>1、获取时间：2026年10月29日至2026年10月31日，上午9时至12时，下午13时至17时（北京时间、下同）</w:t>
      </w:r>
    </w:p>
    <w:p w14:paraId="3A53D7A6">
      <w:pPr>
        <w:spacing w:line="600" w:lineRule="exact"/>
        <w:ind w:firstLine="640" w:firstLineChars="200"/>
        <w:jc w:val="left"/>
        <w:rPr>
          <w:rFonts w:hint="eastAsia" w:ascii="仿宋_GB2312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 w:cs="Times New Roman"/>
          <w:color w:val="000000"/>
          <w:sz w:val="32"/>
          <w:szCs w:val="32"/>
          <w:lang w:val="en-US" w:eastAsia="zh-CN"/>
        </w:rPr>
        <w:t>2、获取方式：“人保e采”门户网站</w:t>
      </w:r>
    </w:p>
    <w:p w14:paraId="40DD4B82">
      <w:pPr>
        <w:spacing w:line="600" w:lineRule="exact"/>
        <w:ind w:firstLine="640" w:firstLineChars="200"/>
        <w:jc w:val="left"/>
        <w:rPr>
          <w:rFonts w:hint="eastAsia" w:ascii="仿宋_GB2312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 w:cs="Times New Roman"/>
          <w:color w:val="000000"/>
          <w:sz w:val="32"/>
          <w:szCs w:val="32"/>
          <w:lang w:val="en-US" w:eastAsia="zh-CN"/>
        </w:rPr>
        <w:t>供应商须通过“人保e采”门户网站（https://ec.picc.com/）系统注册入库（仅注册即可），完成报名后即可下载获取采购文件。（注册流程可在人保e采”门户网站查阅《人保e采管理系统供应商入库操作指南》）</w:t>
      </w:r>
    </w:p>
    <w:p w14:paraId="55664EFD">
      <w:pPr>
        <w:spacing w:line="600" w:lineRule="exact"/>
        <w:ind w:firstLine="643" w:firstLineChars="200"/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五、采购文件的递交</w:t>
      </w:r>
    </w:p>
    <w:p w14:paraId="5A7BF64D">
      <w:pPr>
        <w:spacing w:line="600" w:lineRule="exact"/>
        <w:ind w:firstLine="640" w:firstLineChars="200"/>
        <w:jc w:val="left"/>
        <w:rPr>
          <w:rFonts w:hint="eastAsia" w:ascii="仿宋_GB2312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 w:cs="Times New Roman"/>
          <w:color w:val="000000"/>
          <w:sz w:val="32"/>
          <w:szCs w:val="32"/>
          <w:lang w:val="en-US" w:eastAsia="zh-CN"/>
        </w:rPr>
        <w:t>1、采购文件递交截止时间：2026年11月5日上午九时（即征集截止时间）。</w:t>
      </w:r>
    </w:p>
    <w:p w14:paraId="2D86E314">
      <w:pPr>
        <w:numPr>
          <w:ilvl w:val="0"/>
          <w:numId w:val="0"/>
        </w:numPr>
        <w:ind w:firstLine="640" w:firstLineChars="200"/>
        <w:rPr>
          <w:rFonts w:hint="default" w:ascii="仿宋_GB2312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 w:cs="Times New Roman"/>
          <w:color w:val="000000"/>
          <w:sz w:val="32"/>
          <w:szCs w:val="32"/>
          <w:lang w:val="en-US" w:eastAsia="zh-CN"/>
        </w:rPr>
        <w:t>2、采购文件递交地点:湖北省武汉市武汉经济技术开发区创业路61号201室。</w:t>
      </w:r>
    </w:p>
    <w:p w14:paraId="06C480AA">
      <w:pPr>
        <w:spacing w:line="600" w:lineRule="exact"/>
        <w:ind w:firstLine="640" w:firstLineChars="200"/>
        <w:jc w:val="left"/>
        <w:rPr>
          <w:rFonts w:hint="default" w:ascii="仿宋_GB2312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 w:cs="Times New Roman"/>
          <w:color w:val="000000"/>
          <w:sz w:val="32"/>
          <w:szCs w:val="32"/>
          <w:lang w:val="en-US" w:eastAsia="zh-CN"/>
        </w:rPr>
        <w:t>3、本项目将于上述同一时间、地点进行开标，请参与报名的供应商</w:t>
      </w:r>
      <w:r>
        <w:rPr>
          <w:rFonts w:hint="default" w:ascii="仿宋_GB2312" w:eastAsia="仿宋_GB2312" w:cs="Times New Roman"/>
          <w:color w:val="000000"/>
          <w:sz w:val="32"/>
          <w:szCs w:val="32"/>
          <w:lang w:val="en-US" w:eastAsia="zh-CN"/>
        </w:rPr>
        <w:t>法定代表人或者其委托代理人准时参加</w:t>
      </w:r>
      <w:r>
        <w:rPr>
          <w:rFonts w:hint="eastAsia" w:ascii="仿宋_GB2312" w:eastAsia="仿宋_GB2312" w:cs="Times New Roman"/>
          <w:color w:val="000000"/>
          <w:sz w:val="32"/>
          <w:szCs w:val="32"/>
          <w:lang w:val="en-US" w:eastAsia="zh-CN"/>
        </w:rPr>
        <w:t>。</w:t>
      </w:r>
    </w:p>
    <w:p w14:paraId="32886C36">
      <w:pPr>
        <w:spacing w:line="600" w:lineRule="exact"/>
        <w:ind w:firstLine="643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六、公告发布媒介</w:t>
      </w:r>
    </w:p>
    <w:p w14:paraId="1340B0AC">
      <w:pPr>
        <w:spacing w:line="600" w:lineRule="exact"/>
        <w:ind w:firstLine="640" w:firstLineChars="200"/>
        <w:jc w:val="left"/>
        <w:rPr>
          <w:rFonts w:hint="eastAsia" w:ascii="仿宋_GB2312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 w:cs="Times New Roman"/>
          <w:color w:val="000000"/>
          <w:sz w:val="32"/>
          <w:szCs w:val="32"/>
          <w:lang w:val="en-US" w:eastAsia="zh-CN"/>
        </w:rPr>
        <w:t>本公告仅通过“人保e采”门户网站（https://ec.picc.com/）发布，其他媒介转载无效。</w:t>
      </w:r>
    </w:p>
    <w:p w14:paraId="0B8BB2E0">
      <w:pPr>
        <w:spacing w:line="600" w:lineRule="exact"/>
        <w:ind w:firstLine="643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七、联系方式</w:t>
      </w:r>
    </w:p>
    <w:p w14:paraId="6ADE201E">
      <w:pPr>
        <w:numPr>
          <w:ilvl w:val="0"/>
          <w:numId w:val="0"/>
        </w:numPr>
        <w:ind w:firstLine="640" w:firstLineChars="200"/>
        <w:rPr>
          <w:rFonts w:hint="default" w:ascii="仿宋_GB2312" w:eastAsia="仿宋_GB2312" w:cs="Times New Roman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采购人：</w:t>
      </w:r>
      <w:r>
        <w:rPr>
          <w:rFonts w:hint="default" w:ascii="仿宋_GB2312" w:eastAsia="仿宋_GB2312" w:cs="Times New Roman"/>
          <w:sz w:val="32"/>
          <w:szCs w:val="32"/>
          <w:lang w:eastAsia="zh-CN"/>
        </w:rPr>
        <w:t>中国人民财产保险股份有限公司武汉经济技术开发区支公司</w:t>
      </w:r>
    </w:p>
    <w:p w14:paraId="7C97D414">
      <w:pPr>
        <w:numPr>
          <w:ilvl w:val="0"/>
          <w:numId w:val="0"/>
        </w:num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联系人：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魏臻</w:t>
      </w:r>
    </w:p>
    <w:p w14:paraId="431D5E47">
      <w:pPr>
        <w:numPr>
          <w:ilvl w:val="0"/>
          <w:numId w:val="0"/>
        </w:num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联系电话：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189995521767</w:t>
      </w:r>
    </w:p>
    <w:p w14:paraId="16BE7F00">
      <w:pPr>
        <w:numPr>
          <w:ilvl w:val="0"/>
          <w:numId w:val="0"/>
        </w:numPr>
        <w:ind w:firstLine="640" w:firstLineChars="200"/>
        <w:rPr>
          <w:rFonts w:hint="default" w:ascii="仿宋_GB2312" w:eastAsia="仿宋_GB2312"/>
          <w:sz w:val="32"/>
          <w:szCs w:val="32"/>
          <w:lang w:val="en-US"/>
        </w:rPr>
      </w:pPr>
      <w:r>
        <w:rPr>
          <w:rFonts w:hint="eastAsia" w:ascii="仿宋_GB2312" w:eastAsia="仿宋_GB2312"/>
          <w:sz w:val="32"/>
          <w:szCs w:val="32"/>
        </w:rPr>
        <w:t>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15871771523@163.com</w:t>
      </w:r>
    </w:p>
    <w:p w14:paraId="5AAFB1B9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5BFC770">
      <w:pPr>
        <w:spacing w:line="6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特此公告 </w:t>
      </w:r>
    </w:p>
    <w:p w14:paraId="3E3E05A7">
      <w:pPr>
        <w:spacing w:line="60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</w:p>
    <w:p w14:paraId="5EE77692">
      <w:pPr>
        <w:numPr>
          <w:ilvl w:val="0"/>
          <w:numId w:val="0"/>
        </w:numPr>
        <w:ind w:firstLine="640" w:firstLineChars="200"/>
        <w:jc w:val="right"/>
        <w:rPr>
          <w:rFonts w:ascii="仿宋_GB2312" w:eastAsia="仿宋_GB2312"/>
          <w:sz w:val="32"/>
          <w:szCs w:val="32"/>
        </w:rPr>
      </w:pPr>
      <w:r>
        <w:rPr>
          <w:rFonts w:hint="default" w:ascii="仿宋_GB2312" w:eastAsia="仿宋_GB2312" w:cs="Times New Roman"/>
          <w:sz w:val="32"/>
          <w:szCs w:val="32"/>
          <w:lang w:eastAsia="zh-CN"/>
        </w:rPr>
        <w:t>中国人民财产保险股份有限公司</w:t>
      </w:r>
      <w:r>
        <w:rPr>
          <w:rFonts w:hint="default" w:ascii="仿宋_GB2312" w:eastAsia="仿宋_GB2312" w:cs="Times New Roman"/>
          <w:sz w:val="32"/>
          <w:szCs w:val="32"/>
          <w:lang w:eastAsia="zh-CN"/>
        </w:rPr>
        <w:br w:type="textWrapping"/>
      </w:r>
      <w:r>
        <w:rPr>
          <w:rFonts w:hint="default" w:ascii="仿宋_GB2312" w:eastAsia="仿宋_GB2312" w:cs="Times New Roman"/>
          <w:sz w:val="32"/>
          <w:szCs w:val="32"/>
          <w:lang w:eastAsia="zh-CN"/>
        </w:rPr>
        <w:t>武汉经济技术开发区支公司</w:t>
      </w:r>
    </w:p>
    <w:p w14:paraId="34D61438">
      <w:pPr>
        <w:spacing w:line="600" w:lineRule="exact"/>
        <w:ind w:firstLine="4160" w:firstLineChars="1300"/>
        <w:jc w:val="both"/>
      </w:pPr>
      <w:r>
        <w:rPr>
          <w:rFonts w:hint="eastAsia" w:ascii="仿宋_GB2312" w:eastAsia="仿宋_GB2312"/>
          <w:sz w:val="32"/>
          <w:szCs w:val="32"/>
        </w:rPr>
        <w:t>2026年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10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28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9A6384"/>
    <w:multiLevelType w:val="multilevel"/>
    <w:tmpl w:val="2B9A6384"/>
    <w:lvl w:ilvl="0" w:tentative="0">
      <w:start w:val="1"/>
      <w:numFmt w:val="chineseCountingThousand"/>
      <w:suff w:val="space"/>
      <w:lvlText w:val="%1、"/>
      <w:lvlJc w:val="left"/>
      <w:pPr>
        <w:ind w:left="0" w:firstLine="0"/>
      </w:pPr>
      <w:rPr>
        <w:rFonts w:hint="eastAsia"/>
        <w:b/>
        <w:i w:val="0"/>
      </w:rPr>
    </w:lvl>
    <w:lvl w:ilvl="1" w:tentative="0">
      <w:start w:val="1"/>
      <w:numFmt w:val="decimal"/>
      <w:pStyle w:val="3"/>
      <w:suff w:val="space"/>
      <w:lvlText w:val="%2."/>
      <w:lvlJc w:val="left"/>
      <w:pPr>
        <w:ind w:left="0" w:firstLine="0"/>
      </w:pPr>
      <w:rPr>
        <w:rFonts w:hint="eastAsia"/>
        <w:b/>
        <w:i w:val="0"/>
      </w:rPr>
    </w:lvl>
    <w:lvl w:ilvl="2" w:tentative="0">
      <w:start w:val="1"/>
      <w:numFmt w:val="decimal"/>
      <w:suff w:val="space"/>
      <w:lvlText w:val="%2.%3"/>
      <w:lvlJc w:val="left"/>
      <w:pPr>
        <w:ind w:left="141" w:firstLine="0"/>
      </w:pPr>
      <w:rPr>
        <w:rFonts w:hint="eastAsia"/>
        <w:b/>
        <w:i w:val="0"/>
      </w:rPr>
    </w:lvl>
    <w:lvl w:ilvl="3" w:tentative="0">
      <w:start w:val="1"/>
      <w:numFmt w:val="decimal"/>
      <w:suff w:val="space"/>
      <w:lvlText w:val="%2.%3.%4"/>
      <w:lvlJc w:val="left"/>
      <w:pPr>
        <w:ind w:left="284" w:firstLine="0"/>
      </w:pPr>
      <w:rPr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4" w:tentative="0">
      <w:start w:val="1"/>
      <w:numFmt w:val="decimal"/>
      <w:suff w:val="space"/>
      <w:lvlText w:val="%2.%3.%4.%5"/>
      <w:lvlJc w:val="left"/>
      <w:pPr>
        <w:ind w:left="0" w:firstLine="0"/>
      </w:pPr>
      <w:rPr>
        <w:rFonts w:hint="eastAsia"/>
        <w:b/>
        <w:i w:val="0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3C1911"/>
    <w:rsid w:val="07B6433B"/>
    <w:rsid w:val="153A1222"/>
    <w:rsid w:val="15750836"/>
    <w:rsid w:val="15B07DDF"/>
    <w:rsid w:val="1A01287F"/>
    <w:rsid w:val="1AAE5A3F"/>
    <w:rsid w:val="1C67556F"/>
    <w:rsid w:val="2250000D"/>
    <w:rsid w:val="23B655AC"/>
    <w:rsid w:val="2B7F51FC"/>
    <w:rsid w:val="38DC0A74"/>
    <w:rsid w:val="455F1D47"/>
    <w:rsid w:val="45D524D2"/>
    <w:rsid w:val="48421C2F"/>
    <w:rsid w:val="4A6A2AE1"/>
    <w:rsid w:val="4D132F26"/>
    <w:rsid w:val="525B5D9B"/>
    <w:rsid w:val="52A83748"/>
    <w:rsid w:val="543C1911"/>
    <w:rsid w:val="54CE5265"/>
    <w:rsid w:val="5DA44ACC"/>
    <w:rsid w:val="6398463D"/>
    <w:rsid w:val="68CC476F"/>
    <w:rsid w:val="6E3D184C"/>
    <w:rsid w:val="72480F2B"/>
    <w:rsid w:val="799833EB"/>
    <w:rsid w:val="7B0A66EE"/>
    <w:rsid w:val="7C6359FC"/>
    <w:rsid w:val="B7F51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格式"/>
    <w:qFormat/>
    <w:uiPriority w:val="0"/>
    <w:pPr>
      <w:jc w:val="both"/>
    </w:pPr>
    <w:rPr>
      <w:rFonts w:ascii="宋体" w:hAnsi="宋体" w:eastAsia="宋体" w:cs="宋体"/>
      <w:sz w:val="24"/>
      <w:szCs w:val="22"/>
      <w:lang w:val="en-US" w:eastAsia="zh-CN" w:bidi="ar-SA"/>
    </w:rPr>
  </w:style>
  <w:style w:type="paragraph" w:styleId="4">
    <w:name w:val="annotation text"/>
    <w:basedOn w:val="1"/>
    <w:qFormat/>
    <w:uiPriority w:val="0"/>
    <w:pPr>
      <w:jc w:val="left"/>
    </w:pPr>
  </w:style>
  <w:style w:type="character" w:styleId="7">
    <w:name w:val="Hyperlink"/>
    <w:qFormat/>
    <w:uiPriority w:val="99"/>
    <w:rPr>
      <w:color w:val="0000FF"/>
      <w:u w:val="single"/>
    </w:rPr>
  </w:style>
  <w:style w:type="paragraph" w:styleId="8">
    <w:name w:val="List Paragraph"/>
    <w:basedOn w:val="1"/>
    <w:qFormat/>
    <w:uiPriority w:val="34"/>
    <w:pPr>
      <w:adjustRightInd/>
      <w:spacing w:line="240" w:lineRule="auto"/>
      <w:ind w:firstLine="420" w:firstLineChars="200"/>
      <w:jc w:val="both"/>
      <w:textAlignment w:val="auto"/>
    </w:pPr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488</Words>
  <Characters>492</Characters>
  <Lines>0</Lines>
  <Paragraphs>0</Paragraphs>
  <TotalTime>0</TotalTime>
  <ScaleCrop>false</ScaleCrop>
  <LinksUpToDate>false</LinksUpToDate>
  <CharactersWithSpaces>492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2026-03-10T09:02:00Z</dcterms:created>
  <dc:creator>vip</dc:creator>
  <cp:lastModifiedBy>admin011</cp:lastModifiedBy>
  <dcterms:modified xsi:type="dcterms:W3CDTF">2026-10-28T17:09:03Z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24CC7958EEC541D9900ED34093518237_13</vt:lpwstr>
  </property>
  <property fmtid="{D5CDD505-2E9C-101B-9397-08002B2CF9AE}" pid="4" name="KSOTemplateDocerSaveRecord">
    <vt:lpwstr>eyJoZGlkIjoiMTgyNmVjZWU0Yzg0ZjRhZmNkZjU2MDU0YWU0MDg3YTkiLCJ1c2VySWQiOiI5Nzg4NjE3NjUifQ==</vt:lpwstr>
  </property>
</Properties>
</file>