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widowControl/>
        <w:spacing w:line="600" w:lineRule="exact"/>
        <w:ind w:firstLine="64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人保财险雅安市分公司农险、社保劳务外包</w:t>
      </w:r>
    </w:p>
    <w:p>
      <w:pPr>
        <w:jc w:val="center"/>
        <w:rPr>
          <w:rFonts w:ascii="仿宋_GB2312" w:eastAsia="仿宋_GB2312"/>
          <w:sz w:val="44"/>
          <w:szCs w:val="44"/>
        </w:rPr>
      </w:pPr>
      <w:r>
        <w:rPr>
          <w:rFonts w:hint="eastAsia" w:ascii="仿宋" w:hAnsi="仿宋" w:eastAsia="仿宋" w:cs="仿宋"/>
          <w:b/>
          <w:bCs/>
          <w:sz w:val="44"/>
          <w:szCs w:val="44"/>
          <w:lang w:val="en-US" w:eastAsia="zh-CN"/>
        </w:rPr>
        <w:t>管理服务采购</w:t>
      </w:r>
      <w:r>
        <w:rPr>
          <w:rFonts w:hint="eastAsia" w:ascii="仿宋" w:hAnsi="仿宋" w:eastAsia="仿宋" w:cs="仿宋"/>
          <w:b/>
          <w:bCs/>
          <w:sz w:val="44"/>
          <w:szCs w:val="44"/>
        </w:rPr>
        <w:t>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11</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2"/>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4"/>
          <w:rFonts w:hint="eastAsia" w:ascii="仿宋_GB2312" w:hAnsi="宋体" w:eastAsia="仿宋_GB2312"/>
        </w:rPr>
        <w:t>第一章</w:t>
      </w:r>
      <w:r>
        <w:rPr>
          <w:rStyle w:val="34"/>
          <w:rFonts w:ascii="仿宋_GB2312" w:hAnsi="宋体" w:eastAsia="仿宋_GB2312"/>
        </w:rPr>
        <w:t xml:space="preserve"> </w:t>
      </w:r>
      <w:r>
        <w:rPr>
          <w:rStyle w:val="34"/>
          <w:rFonts w:hint="eastAsia" w:ascii="仿宋_GB2312" w:hAnsi="宋体" w:eastAsia="仿宋_GB2312"/>
        </w:rPr>
        <w:t>竞争性磋商邀请</w:t>
      </w:r>
      <w:r>
        <w:tab/>
      </w:r>
      <w:r>
        <w:fldChar w:fldCharType="begin"/>
      </w:r>
      <w:r>
        <w:instrText xml:space="preserve"> PAGEREF _Toc186737790 \h </w:instrText>
      </w:r>
      <w:r>
        <w:fldChar w:fldCharType="separate"/>
      </w:r>
      <w:r>
        <w:t>3</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"_Toc186737791" </w:instrText>
      </w:r>
      <w:r>
        <w:fldChar w:fldCharType="separate"/>
      </w:r>
      <w:r>
        <w:rPr>
          <w:rStyle w:val="34"/>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"_Toc186737792" </w:instrText>
      </w:r>
      <w:r>
        <w:fldChar w:fldCharType="separate"/>
      </w:r>
      <w:r>
        <w:rPr>
          <w:rStyle w:val="34"/>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"_Toc186737793" </w:instrText>
      </w:r>
      <w:r>
        <w:fldChar w:fldCharType="separate"/>
      </w:r>
      <w:r>
        <w:rPr>
          <w:rStyle w:val="34"/>
          <w:rFonts w:hint="eastAsia" w:ascii="仿宋" w:hAnsi="仿宋" w:eastAsia="仿宋" w:cs="仿宋"/>
        </w:rPr>
        <w:t>三、磋商文件的获取</w:t>
      </w:r>
      <w:r>
        <w:tab/>
      </w:r>
      <w:r>
        <w:fldChar w:fldCharType="begin"/>
      </w:r>
      <w:r>
        <w:instrText xml:space="preserve"> PAGEREF _Toc186737793 \h </w:instrText>
      </w:r>
      <w:r>
        <w:fldChar w:fldCharType="separate"/>
      </w:r>
      <w:r>
        <w:t>4</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"_Toc186737794" </w:instrText>
      </w:r>
      <w:r>
        <w:fldChar w:fldCharType="separate"/>
      </w:r>
      <w:r>
        <w:rPr>
          <w:rStyle w:val="34"/>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"_Toc186737795" </w:instrText>
      </w:r>
      <w:r>
        <w:fldChar w:fldCharType="separate"/>
      </w:r>
      <w:r>
        <w:rPr>
          <w:rStyle w:val="34"/>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"_Toc186737796" </w:instrText>
      </w:r>
      <w:r>
        <w:fldChar w:fldCharType="separate"/>
      </w:r>
      <w:r>
        <w:rPr>
          <w:rStyle w:val="34"/>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2"/>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4"/>
          <w:rFonts w:hint="eastAsia" w:ascii="仿宋_GB2312" w:hAnsi="宋体" w:eastAsia="仿宋_GB2312"/>
        </w:rPr>
        <w:t>第二章</w:t>
      </w:r>
      <w:r>
        <w:rPr>
          <w:rStyle w:val="34"/>
          <w:rFonts w:ascii="仿宋_GB2312" w:hAnsi="宋体" w:eastAsia="仿宋_GB2312"/>
        </w:rPr>
        <w:t xml:space="preserve"> </w:t>
      </w:r>
      <w:r>
        <w:rPr>
          <w:rStyle w:val="34"/>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"_Toc186737798" </w:instrText>
      </w:r>
      <w:r>
        <w:fldChar w:fldCharType="separate"/>
      </w:r>
      <w:r>
        <w:rPr>
          <w:rStyle w:val="34"/>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"_Toc186737799" </w:instrText>
      </w:r>
      <w:r>
        <w:fldChar w:fldCharType="separate"/>
      </w:r>
      <w:r>
        <w:rPr>
          <w:rStyle w:val="34"/>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"_Toc186737800" </w:instrText>
      </w:r>
      <w:r>
        <w:fldChar w:fldCharType="separate"/>
      </w:r>
      <w:r>
        <w:rPr>
          <w:rStyle w:val="34"/>
          <w:rFonts w:hint="eastAsia" w:ascii="仿宋" w:hAnsi="仿宋" w:eastAsia="仿宋" w:cs="仿宋"/>
        </w:rPr>
        <w:t>（一）总</w:t>
      </w:r>
      <w:r>
        <w:rPr>
          <w:rStyle w:val="34"/>
          <w:rFonts w:ascii="仿宋" w:hAnsi="仿宋" w:eastAsia="仿宋" w:cs="仿宋"/>
        </w:rPr>
        <w:t xml:space="preserve"> </w:t>
      </w:r>
      <w:r>
        <w:rPr>
          <w:rStyle w:val="34"/>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"_Toc186737801" </w:instrText>
      </w:r>
      <w:r>
        <w:fldChar w:fldCharType="separate"/>
      </w:r>
      <w:r>
        <w:rPr>
          <w:rStyle w:val="34"/>
          <w:rFonts w:hint="eastAsia" w:ascii="仿宋" w:hAnsi="仿宋" w:eastAsia="仿宋" w:cs="仿宋"/>
        </w:rPr>
        <w:t>（二）磋商文件</w:t>
      </w:r>
      <w:r>
        <w:tab/>
      </w:r>
      <w:r>
        <w:fldChar w:fldCharType="begin"/>
      </w:r>
      <w:r>
        <w:instrText xml:space="preserve"> PAGEREF _Toc186737801 \h </w:instrText>
      </w:r>
      <w:r>
        <w:fldChar w:fldCharType="separate"/>
      </w:r>
      <w:r>
        <w:t>10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"_Toc186737802" </w:instrText>
      </w:r>
      <w:r>
        <w:fldChar w:fldCharType="separate"/>
      </w:r>
      <w:r>
        <w:rPr>
          <w:rStyle w:val="34"/>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"_Toc186737803" </w:instrText>
      </w:r>
      <w:r>
        <w:fldChar w:fldCharType="separate"/>
      </w:r>
      <w:r>
        <w:rPr>
          <w:rStyle w:val="34"/>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"_Toc186737804" </w:instrText>
      </w:r>
      <w:r>
        <w:fldChar w:fldCharType="separate"/>
      </w:r>
      <w:r>
        <w:rPr>
          <w:rStyle w:val="34"/>
          <w:rFonts w:hint="eastAsia" w:ascii="仿宋" w:hAnsi="仿宋" w:eastAsia="仿宋" w:cs="仿宋"/>
        </w:rPr>
        <w:t>（五）竞争性磋商和评审</w:t>
      </w:r>
      <w:r>
        <w:tab/>
      </w:r>
      <w:r>
        <w:fldChar w:fldCharType="begin"/>
      </w:r>
      <w:r>
        <w:instrText xml:space="preserve"> PAGEREF _Toc186737804 \h </w:instrText>
      </w:r>
      <w:r>
        <w:fldChar w:fldCharType="separate"/>
      </w:r>
      <w:r>
        <w:t>14</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"_Toc186737805" </w:instrText>
      </w:r>
      <w:r>
        <w:fldChar w:fldCharType="separate"/>
      </w:r>
      <w:r>
        <w:rPr>
          <w:rStyle w:val="34"/>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2"/>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4"/>
          <w:rFonts w:hint="eastAsia" w:ascii="仿宋" w:hAnsi="仿宋" w:eastAsia="仿宋" w:cs="仿宋"/>
        </w:rPr>
        <w:t>第三章</w:t>
      </w:r>
      <w:r>
        <w:rPr>
          <w:rStyle w:val="34"/>
          <w:rFonts w:ascii="仿宋" w:hAnsi="仿宋" w:eastAsia="仿宋" w:cs="仿宋"/>
        </w:rPr>
        <w:t xml:space="preserve"> </w:t>
      </w:r>
      <w:r>
        <w:rPr>
          <w:rStyle w:val="34"/>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"_Toc186737807" </w:instrText>
      </w:r>
      <w:r>
        <w:fldChar w:fldCharType="separate"/>
      </w:r>
      <w:r>
        <w:rPr>
          <w:rStyle w:val="34"/>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"_Toc186737808" </w:instrText>
      </w:r>
      <w:r>
        <w:fldChar w:fldCharType="separate"/>
      </w:r>
      <w:r>
        <w:rPr>
          <w:rStyle w:val="34"/>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"_Toc186737809" </w:instrText>
      </w:r>
      <w:r>
        <w:fldChar w:fldCharType="separate"/>
      </w:r>
      <w:r>
        <w:rPr>
          <w:rStyle w:val="34"/>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2"/>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4"/>
          <w:rFonts w:hint="eastAsia" w:ascii="仿宋" w:hAnsi="仿宋" w:eastAsia="仿宋" w:cs="仿宋"/>
        </w:rPr>
        <w:t>第四章</w:t>
      </w:r>
      <w:r>
        <w:rPr>
          <w:rStyle w:val="34"/>
          <w:rFonts w:ascii="仿宋" w:hAnsi="仿宋" w:eastAsia="仿宋" w:cs="仿宋"/>
        </w:rPr>
        <w:t xml:space="preserve"> </w:t>
      </w:r>
      <w:r>
        <w:rPr>
          <w:rStyle w:val="34"/>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2"/>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4"/>
          <w:rFonts w:hint="eastAsia" w:ascii="仿宋_GB2312" w:hAnsi="宋体" w:eastAsia="仿宋_GB2312"/>
        </w:rPr>
        <w:t>第五章</w:t>
      </w:r>
      <w:r>
        <w:rPr>
          <w:rStyle w:val="34"/>
          <w:rFonts w:ascii="仿宋_GB2312" w:hAnsi="宋体" w:eastAsia="仿宋_GB2312"/>
        </w:rPr>
        <w:t xml:space="preserve"> </w:t>
      </w:r>
      <w:r>
        <w:rPr>
          <w:rStyle w:val="34"/>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2"/>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4"/>
          <w:rFonts w:hint="eastAsia" w:ascii="仿宋" w:hAnsi="仿宋" w:eastAsia="仿宋" w:cs="仿宋"/>
        </w:rPr>
        <w:t>第六章</w:t>
      </w:r>
      <w:r>
        <w:rPr>
          <w:rStyle w:val="34"/>
          <w:rFonts w:ascii="仿宋" w:hAnsi="仿宋" w:eastAsia="仿宋" w:cs="仿宋"/>
        </w:rPr>
        <w:t xml:space="preserve"> </w:t>
      </w:r>
      <w:r>
        <w:rPr>
          <w:rStyle w:val="34"/>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"_Toc186737813" </w:instrText>
      </w:r>
      <w:r>
        <w:fldChar w:fldCharType="separate"/>
      </w:r>
      <w:r>
        <w:rPr>
          <w:rStyle w:val="34"/>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"_Toc186737814" </w:instrText>
      </w:r>
      <w:r>
        <w:fldChar w:fldCharType="separate"/>
      </w:r>
      <w:r>
        <w:rPr>
          <w:rStyle w:val="34"/>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"_Toc186737815" </w:instrText>
      </w:r>
      <w:r>
        <w:fldChar w:fldCharType="separate"/>
      </w:r>
      <w:r>
        <w:rPr>
          <w:rStyle w:val="34"/>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"_Toc186737816" </w:instrText>
      </w:r>
      <w:r>
        <w:fldChar w:fldCharType="separate"/>
      </w:r>
      <w:r>
        <w:rPr>
          <w:rStyle w:val="34"/>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"_Toc186737817" </w:instrText>
      </w:r>
      <w:r>
        <w:fldChar w:fldCharType="separate"/>
      </w:r>
      <w:r>
        <w:rPr>
          <w:rStyle w:val="34"/>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"_Toc186737818" </w:instrText>
      </w:r>
      <w:r>
        <w:fldChar w:fldCharType="separate"/>
      </w:r>
      <w:r>
        <w:rPr>
          <w:rStyle w:val="34"/>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"_Toc186737819" </w:instrText>
      </w:r>
      <w:r>
        <w:fldChar w:fldCharType="separate"/>
      </w:r>
      <w:r>
        <w:rPr>
          <w:rStyle w:val="34"/>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"_Toc186737820" </w:instrText>
      </w:r>
      <w:r>
        <w:fldChar w:fldCharType="separate"/>
      </w:r>
      <w:r>
        <w:rPr>
          <w:rStyle w:val="34"/>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"_Toc186737821" </w:instrText>
      </w:r>
      <w:r>
        <w:fldChar w:fldCharType="separate"/>
      </w:r>
      <w:r>
        <w:rPr>
          <w:rStyle w:val="34"/>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"_Toc186737822" </w:instrText>
      </w:r>
      <w:r>
        <w:fldChar w:fldCharType="separate"/>
      </w:r>
      <w:r>
        <w:rPr>
          <w:rStyle w:val="34"/>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"_Toc186737823" </w:instrText>
      </w:r>
      <w:r>
        <w:fldChar w:fldCharType="separate"/>
      </w:r>
      <w:r>
        <w:rPr>
          <w:rStyle w:val="34"/>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"_Toc186737824" </w:instrText>
      </w:r>
      <w:r>
        <w:fldChar w:fldCharType="separate"/>
      </w:r>
      <w:r>
        <w:rPr>
          <w:rStyle w:val="34"/>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"_Toc186737825" </w:instrText>
      </w:r>
      <w:r>
        <w:fldChar w:fldCharType="separate"/>
      </w:r>
      <w:r>
        <w:rPr>
          <w:rStyle w:val="34"/>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"_Toc186737826" </w:instrText>
      </w:r>
      <w:r>
        <w:fldChar w:fldCharType="separate"/>
      </w:r>
      <w:r>
        <w:rPr>
          <w:rStyle w:val="34"/>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5"/>
        <w:tabs>
          <w:tab w:val="right" w:leader="dot" w:pos="9628"/>
        </w:tabs>
        <w:ind w:left="480"/>
        <w:rPr>
          <w:kern w:val="2"/>
          <w:sz w:val="21"/>
          <w:szCs w:val="22"/>
        </w:rPr>
      </w:pPr>
      <w:r>
        <w:fldChar w:fldCharType="begin"/>
      </w:r>
      <w:r>
        <w:instrText xml:space="preserve"> HYPERLINK \l "_Toc186737827" </w:instrText>
      </w:r>
      <w:r>
        <w:fldChar w:fldCharType="separate"/>
      </w:r>
      <w:r>
        <w:rPr>
          <w:rStyle w:val="34"/>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"_Toc186737828" </w:instrText>
      </w:r>
      <w:r>
        <w:fldChar w:fldCharType="separate"/>
      </w:r>
      <w:r>
        <w:rPr>
          <w:rStyle w:val="34"/>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5"/>
        <w:tabs>
          <w:tab w:val="right" w:leader="dot" w:pos="9628"/>
        </w:tabs>
        <w:ind w:left="960"/>
        <w:rPr>
          <w:kern w:val="2"/>
          <w:sz w:val="21"/>
          <w:szCs w:val="22"/>
        </w:rPr>
      </w:pPr>
      <w:r>
        <w:fldChar w:fldCharType="begin"/>
      </w:r>
      <w:r>
        <w:instrText xml:space="preserve"> HYPERLINK \l "_Toc186737829" </w:instrText>
      </w:r>
      <w:r>
        <w:fldChar w:fldCharType="separate"/>
      </w:r>
      <w:r>
        <w:rPr>
          <w:rStyle w:val="34"/>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4"/>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4"/>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4"/>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sz w:val="24"/>
          <w:szCs w:val="24"/>
        </w:rPr>
        <w:t>本项目</w:t>
      </w:r>
      <w:r>
        <w:rPr>
          <w:rFonts w:hint="eastAsia" w:ascii="仿宋" w:hAnsi="仿宋" w:eastAsia="仿宋" w:cs="仿宋"/>
          <w:i w:val="0"/>
          <w:iCs w:val="0"/>
          <w:caps w:val="0"/>
          <w:color w:val="333333"/>
          <w:spacing w:val="0"/>
          <w:sz w:val="24"/>
          <w:szCs w:val="24"/>
          <w:shd w:val="clear" w:fill="FFFFFF"/>
        </w:rPr>
        <w:t>人保财险四川省雅安市分公司农险、社保劳务外包管理服务采购项</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目</w:t>
      </w:r>
      <w:r>
        <w:rPr>
          <w:rFonts w:hint="eastAsia" w:ascii="仿宋" w:hAnsi="仿宋" w:eastAsia="仿宋" w:cs="仿宋"/>
          <w:color w:val="FF0000"/>
        </w:rPr>
        <w:t>（采购项目编号：</w:t>
      </w:r>
      <w:r>
        <w:rPr>
          <w:rFonts w:ascii="Segoe UI" w:hAnsi="Segoe UI" w:eastAsia="Segoe UI" w:cs="Segoe UI"/>
          <w:i w:val="0"/>
          <w:iCs w:val="0"/>
          <w:caps w:val="0"/>
          <w:spacing w:val="0"/>
          <w:sz w:val="21"/>
          <w:szCs w:val="21"/>
          <w:shd w:val="clear" w:fill="E5F0FF"/>
        </w:rPr>
        <w:t>XM26DSPC001460</w:t>
      </w:r>
      <w:r>
        <w:rPr>
          <w:rFonts w:hint="eastAsia" w:ascii="仿宋" w:hAnsi="仿宋" w:eastAsia="仿宋" w:cs="仿宋"/>
          <w:color w:val="FF0000"/>
        </w:rPr>
        <w:t>）</w:t>
      </w:r>
      <w:r>
        <w:rPr>
          <w:rFonts w:hint="eastAsia" w:ascii="仿宋" w:hAnsi="仿宋" w:eastAsia="仿宋" w:cs="仿宋"/>
          <w:color w:val="000000"/>
        </w:rPr>
        <w:t>由</w:t>
      </w:r>
      <w:r>
        <w:rPr>
          <w:rFonts w:hint="eastAsia" w:ascii="仿宋" w:hAnsi="仿宋" w:eastAsia="仿宋" w:cs="仿宋"/>
          <w:color w:val="FF0000"/>
          <w:u w:val="single"/>
        </w:rPr>
        <w:t>中国人民财产保险股份有限公司</w:t>
      </w:r>
      <w:r>
        <w:rPr>
          <w:rFonts w:hint="eastAsia" w:ascii="仿宋" w:hAnsi="仿宋" w:eastAsia="仿宋" w:cs="仿宋"/>
          <w:color w:val="FF0000"/>
          <w:u w:val="single"/>
          <w:lang w:val="en-US" w:eastAsia="zh-CN"/>
        </w:rPr>
        <w:t>雅安市</w:t>
      </w:r>
      <w:r>
        <w:rPr>
          <w:rFonts w:hint="eastAsia" w:ascii="仿宋" w:hAnsi="仿宋" w:eastAsia="仿宋" w:cs="仿宋"/>
          <w:color w:val="FF0000"/>
          <w:u w:val="single"/>
        </w:rPr>
        <w:t>分公司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批准并落实资金，组织本项目的磋商工作</w:t>
      </w:r>
      <w:r>
        <w:rPr>
          <w:rFonts w:hint="eastAsia" w:ascii="仿宋" w:hAnsi="仿宋" w:eastAsia="仿宋" w:cs="仿宋"/>
          <w:color w:val="000000"/>
        </w:rPr>
        <w:t>，采购合同由</w:t>
      </w:r>
      <w:r>
        <w:rPr>
          <w:rFonts w:hint="eastAsia" w:ascii="仿宋" w:hAnsi="仿宋" w:eastAsia="仿宋" w:cs="宋体"/>
          <w:color w:val="FF0000"/>
          <w:u w:val="single"/>
        </w:rPr>
        <w:t>中国人民财产保险股份有限公司</w:t>
      </w:r>
      <w:r>
        <w:rPr>
          <w:rFonts w:hint="eastAsia" w:ascii="仿宋" w:hAnsi="仿宋" w:eastAsia="仿宋" w:cs="宋体"/>
          <w:color w:val="FF0000"/>
          <w:u w:val="single"/>
          <w:lang w:val="en-US" w:eastAsia="zh-CN"/>
        </w:rPr>
        <w:t>雅安市</w:t>
      </w:r>
      <w:r>
        <w:rPr>
          <w:rFonts w:hint="eastAsia" w:ascii="仿宋" w:hAnsi="仿宋" w:eastAsia="仿宋" w:cs="宋体"/>
          <w:color w:val="FF0000"/>
          <w:u w:val="single"/>
        </w:rPr>
        <w:t>分公司</w:t>
      </w:r>
      <w:r>
        <w:rPr>
          <w:rFonts w:hint="eastAsia" w:ascii="仿宋" w:hAnsi="仿宋" w:eastAsia="仿宋" w:cs="宋体"/>
          <w:color w:val="FF0000"/>
        </w:rPr>
        <w:t>（以下简称“人保财险</w:t>
      </w:r>
      <w:r>
        <w:rPr>
          <w:rFonts w:hint="eastAsia" w:ascii="仿宋" w:hAnsi="仿宋" w:eastAsia="仿宋" w:cs="宋体"/>
          <w:color w:val="FF0000"/>
          <w:lang w:val="en-US" w:eastAsia="zh-CN"/>
        </w:rPr>
        <w:t>雅安</w:t>
      </w:r>
      <w:r>
        <w:rPr>
          <w:rFonts w:hint="eastAsia" w:ascii="仿宋" w:hAnsi="仿宋" w:eastAsia="仿宋" w:cs="宋体"/>
          <w:color w:val="FF0000"/>
        </w:rPr>
        <w:t>分公司”）</w:t>
      </w:r>
      <w:r>
        <w:rPr>
          <w:rFonts w:hint="eastAsia" w:ascii="仿宋" w:hAnsi="仿宋" w:eastAsia="仿宋" w:cs="仿宋"/>
          <w:color w:val="000000"/>
        </w:rPr>
        <w:t>根据成交结果与成交人签署。</w:t>
      </w:r>
      <w:r>
        <w:rPr>
          <w:rFonts w:hint="eastAsia" w:ascii="仿宋" w:hAnsi="仿宋" w:eastAsia="仿宋" w:cs="仿宋"/>
          <w:color w:val="FF0000"/>
        </w:rPr>
        <w:t>现通过竞争性磋商方式实施</w:t>
      </w:r>
      <w:r>
        <w:rPr>
          <w:rFonts w:hint="eastAsia" w:ascii="仿宋" w:hAnsi="仿宋" w:eastAsia="仿宋" w:cs="仿宋"/>
          <w:color w:val="000000"/>
        </w:rPr>
        <w:t>，</w:t>
      </w:r>
      <w:r>
        <w:rPr>
          <w:rFonts w:hint="eastAsia" w:ascii="仿宋" w:hAnsi="仿宋" w:eastAsia="仿宋" w:cs="Cambria Math"/>
        </w:rPr>
        <w:t>有意向且具有提供标的物能力的潜在供应商（以下简称“供应商”）可前来参与磋商响应。</w:t>
      </w:r>
      <w:r>
        <w:rPr>
          <w:rFonts w:hint="eastAsia" w:ascii="仿宋" w:hAnsi="仿宋" w:eastAsia="仿宋" w:cs="Cambria Math"/>
          <w:color w:val="000000"/>
        </w:rPr>
        <w:t xml:space="preserve"> </w:t>
      </w:r>
    </w:p>
    <w:p>
      <w:pPr>
        <w:pStyle w:val="5"/>
        <w:jc w:val="left"/>
        <w:rPr>
          <w:rFonts w:ascii="仿宋" w:hAnsi="仿宋" w:eastAsia="仿宋" w:cs="仿宋"/>
          <w:color w:val="000000"/>
          <w:sz w:val="24"/>
          <w:szCs w:val="24"/>
        </w:rPr>
      </w:pPr>
      <w:bookmarkStart w:id="2" w:name="_Toc186737791"/>
      <w:bookmarkStart w:id="3" w:name="_Toc21237"/>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i w:val="0"/>
          <w:iCs w:val="0"/>
          <w:caps w:val="0"/>
          <w:color w:val="333333"/>
          <w:spacing w:val="0"/>
          <w:sz w:val="24"/>
          <w:szCs w:val="24"/>
          <w:shd w:val="clear" w:fill="FFFFFF"/>
        </w:rPr>
        <w:t>人保财险四川省雅安市分公司农险、社保劳务外包管理服务采购项</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目</w:t>
      </w:r>
      <w:r>
        <w:rPr>
          <w:rFonts w:hint="eastAsia" w:ascii="仿宋" w:hAnsi="仿宋" w:eastAsia="仿宋" w:cs="仿宋"/>
          <w:color w:val="00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000000" w:themeColor="text1"/>
          <w:sz w:val="24"/>
          <w:szCs w:val="24"/>
          <w14:textFill>
            <w14:solidFill>
              <w14:schemeClr w14:val="tx1"/>
            </w14:solidFill>
          </w14:textFill>
        </w:rPr>
        <w:t>本项目拟采购</w:t>
      </w:r>
      <w:r>
        <w:rPr>
          <w:rFonts w:hint="eastAsia" w:ascii="仿宋" w:hAnsi="仿宋" w:eastAsia="仿宋" w:cs="仿宋"/>
          <w:b/>
          <w:bCs/>
          <w:color w:val="000000" w:themeColor="text1"/>
          <w:sz w:val="24"/>
          <w:szCs w:val="24"/>
          <w:lang w:val="en-US" w:eastAsia="zh-CN"/>
          <w14:textFill>
            <w14:solidFill>
              <w14:schemeClr w14:val="tx1"/>
            </w14:solidFill>
          </w14:textFill>
        </w:rPr>
        <w:t>1家供应商</w:t>
      </w:r>
      <w:r>
        <w:rPr>
          <w:rFonts w:hint="eastAsia" w:ascii="仿宋" w:hAnsi="仿宋" w:eastAsia="仿宋" w:cs="仿宋"/>
          <w:color w:val="000000" w:themeColor="text1"/>
          <w:sz w:val="24"/>
          <w:szCs w:val="24"/>
          <w:lang w:val="en-US" w:eastAsia="zh-CN"/>
          <w14:textFill>
            <w14:solidFill>
              <w14:schemeClr w14:val="tx1"/>
            </w14:solidFill>
          </w14:textFill>
        </w:rPr>
        <w:t>提供</w:t>
      </w:r>
      <w:r>
        <w:rPr>
          <w:rFonts w:hint="eastAsia" w:ascii="仿宋" w:hAnsi="仿宋" w:eastAsia="仿宋" w:cs="仿宋"/>
          <w:b/>
          <w:bCs/>
          <w:color w:val="000000" w:themeColor="text1"/>
          <w:sz w:val="24"/>
          <w:szCs w:val="24"/>
          <w:lang w:val="en-US" w:eastAsia="zh-CN"/>
          <w14:textFill>
            <w14:solidFill>
              <w14:schemeClr w14:val="tx1"/>
            </w14:solidFill>
          </w14:textFill>
        </w:rPr>
        <w:t>三年期</w:t>
      </w:r>
      <w:r>
        <w:rPr>
          <w:rFonts w:hint="eastAsia" w:ascii="仿宋_GB2312" w:hAnsi="Times New Roman" w:eastAsia="仿宋_GB2312" w:cs="Times New Roman"/>
          <w:color w:val="000000" w:themeColor="text1"/>
          <w:kern w:val="2"/>
          <w:sz w:val="24"/>
          <w:szCs w:val="24"/>
          <w:lang w:val="en-US" w:eastAsia="zh-CN" w:bidi="ar-SA"/>
          <w14:textFill>
            <w14:solidFill>
              <w14:schemeClr w14:val="tx1"/>
            </w14:solidFill>
          </w14:textFill>
        </w:rPr>
        <w:t>农险、社保协保协赔</w:t>
      </w:r>
      <w:r>
        <w:rPr>
          <w:rFonts w:hint="eastAsia" w:ascii="仿宋_GB2312" w:eastAsia="仿宋_GB2312" w:cs="Times New Roman"/>
          <w:color w:val="000000" w:themeColor="text1"/>
          <w:kern w:val="2"/>
          <w:sz w:val="24"/>
          <w:szCs w:val="24"/>
          <w:lang w:val="en-US" w:eastAsia="zh-CN" w:bidi="ar-SA"/>
          <w14:textFill>
            <w14:solidFill>
              <w14:schemeClr w14:val="tx1"/>
            </w14:solidFill>
          </w14:textFill>
        </w:rPr>
        <w:t>劳务外包</w:t>
      </w:r>
      <w:r>
        <w:rPr>
          <w:rFonts w:hint="eastAsia" w:ascii="仿宋_GB2312" w:hAnsi="Times New Roman" w:eastAsia="仿宋_GB2312" w:cs="Times New Roman"/>
          <w:color w:val="000000" w:themeColor="text1"/>
          <w:kern w:val="2"/>
          <w:sz w:val="24"/>
          <w:szCs w:val="24"/>
          <w:lang w:val="en-US" w:eastAsia="zh-CN" w:bidi="ar-SA"/>
          <w14:textFill>
            <w14:solidFill>
              <w14:schemeClr w14:val="tx1"/>
            </w14:solidFill>
          </w14:textFill>
        </w:rPr>
        <w:t>服务</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rPr>
        <w:t>具体要求详见第五章采购需求。</w:t>
      </w:r>
    </w:p>
    <w:p>
      <w:pPr>
        <w:adjustRightInd w:val="0"/>
        <w:snapToGrid w:val="0"/>
        <w:spacing w:line="360" w:lineRule="auto"/>
        <w:ind w:firstLine="480" w:firstLineChars="200"/>
        <w:rPr>
          <w:rFonts w:hint="eastAsia" w:ascii="仿宋" w:hAnsi="仿宋" w:eastAsia="仿宋" w:cs="宋体"/>
          <w:color w:val="FF0000"/>
          <w:lang w:eastAsia="zh-CN"/>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FF0000"/>
        </w:rPr>
        <w:t>：</w:t>
      </w:r>
      <w:r>
        <w:rPr>
          <w:rFonts w:hint="eastAsia" w:ascii="仿宋" w:hAnsi="仿宋" w:eastAsia="仿宋" w:cs="宋体"/>
          <w:color w:val="FF0000"/>
        </w:rPr>
        <w:t>本项目不划分标包</w:t>
      </w:r>
      <w:r>
        <w:rPr>
          <w:rFonts w:hint="eastAsia" w:ascii="仿宋" w:hAnsi="仿宋" w:eastAsia="仿宋" w:cs="宋体"/>
          <w:color w:val="FF0000"/>
          <w:lang w:eastAsia="zh-CN"/>
        </w:rPr>
        <w:t>。</w:t>
      </w:r>
    </w:p>
    <w:p>
      <w:pPr>
        <w:adjustRightInd w:val="0"/>
        <w:snapToGrid w:val="0"/>
        <w:spacing w:line="360" w:lineRule="auto"/>
        <w:ind w:firstLine="480" w:firstLineChars="200"/>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FF0000"/>
        </w:rPr>
        <w:t>服务</w:t>
      </w:r>
      <w:r>
        <w:rPr>
          <w:rFonts w:hint="eastAsia" w:ascii="仿宋" w:hAnsi="仿宋" w:eastAsia="仿宋" w:cs="仿宋"/>
          <w:color w:val="FF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FF0000"/>
        </w:rPr>
        <w:t>自合同签订之日起</w:t>
      </w:r>
      <w:r>
        <w:rPr>
          <w:rFonts w:hint="eastAsia" w:ascii="仿宋" w:hAnsi="仿宋" w:eastAsia="仿宋" w:cs="宋体"/>
          <w:color w:val="FF0000"/>
          <w:lang w:val="en-US" w:eastAsia="zh-CN"/>
        </w:rPr>
        <w:t>3</w:t>
      </w:r>
      <w:r>
        <w:rPr>
          <w:rFonts w:hint="eastAsia" w:ascii="仿宋" w:hAnsi="仿宋" w:eastAsia="仿宋" w:cs="宋体"/>
          <w:color w:val="FF0000"/>
        </w:rPr>
        <w:t>年。</w:t>
      </w:r>
    </w:p>
    <w:p>
      <w:pPr>
        <w:adjustRightInd w:val="0"/>
        <w:snapToGrid w:val="0"/>
        <w:spacing w:line="360" w:lineRule="auto"/>
        <w:ind w:firstLine="480" w:firstLineChars="20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sz w:val="24"/>
          <w:szCs w:val="24"/>
        </w:rPr>
        <w:t>雅安市全辖</w:t>
      </w:r>
      <w:r>
        <w:rPr>
          <w:rFonts w:hint="eastAsia" w:ascii="仿宋" w:hAnsi="仿宋" w:eastAsia="仿宋" w:cs="宋体"/>
          <w:color w:val="FF0000"/>
        </w:rPr>
        <w:t>。</w:t>
      </w:r>
    </w:p>
    <w:p>
      <w:pPr>
        <w:pStyle w:val="2"/>
        <w:rPr>
          <w:sz w:val="24"/>
          <w:szCs w:val="24"/>
        </w:rPr>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：本项目设置最高限价：</w:t>
      </w:r>
      <w:r>
        <w:rPr>
          <w:rFonts w:ascii="仿宋" w:hAnsi="仿宋" w:eastAsia="仿宋" w:cs="仿宋"/>
          <w:color w:val="FF0000"/>
        </w:rPr>
        <w:t>即供应商报价不得高于</w:t>
      </w:r>
      <w:r>
        <w:rPr>
          <w:rFonts w:hint="eastAsia" w:ascii="仿宋" w:hAnsi="仿宋" w:eastAsia="仿宋" w:cs="仿宋"/>
          <w:color w:val="FF0000"/>
          <w:lang w:val="en-US" w:eastAsia="zh-CN"/>
        </w:rPr>
        <w:t>1815万元</w:t>
      </w:r>
      <w:r>
        <w:rPr>
          <w:rFonts w:hint="eastAsia" w:ascii="仿宋" w:hAnsi="仿宋" w:eastAsia="仿宋" w:cs="仿宋"/>
          <w:color w:val="000000" w:themeColor="text1"/>
          <w:sz w:val="24"/>
          <w:szCs w:val="24"/>
          <w:lang w:val="en-US" w:eastAsia="zh-CN"/>
          <w14:textFill>
            <w14:solidFill>
              <w14:schemeClr w14:val="tx1"/>
            </w14:solidFill>
          </w14:textFill>
        </w:rPr>
        <w:t>（其中农险不得高于1149万元，社保不得高于666万元）</w:t>
      </w:r>
      <w:r>
        <w:rPr>
          <w:rFonts w:hint="eastAsia" w:ascii="仿宋" w:hAnsi="仿宋" w:eastAsia="仿宋" w:cs="仿宋"/>
          <w:color w:val="FF0000"/>
          <w:sz w:val="24"/>
          <w:szCs w:val="24"/>
          <w:lang w:eastAsia="zh-CN"/>
        </w:rPr>
        <w:t>。</w:t>
      </w:r>
    </w:p>
    <w:p>
      <w:pPr>
        <w:pStyle w:val="5"/>
        <w:jc w:val="left"/>
        <w:rPr>
          <w:rFonts w:ascii="仿宋" w:hAnsi="仿宋" w:eastAsia="仿宋" w:cs="仿宋"/>
          <w:color w:val="000000"/>
          <w:sz w:val="24"/>
          <w:szCs w:val="24"/>
        </w:rPr>
      </w:pPr>
      <w:bookmarkStart w:id="4" w:name="_Toc186737792"/>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FF0000"/>
        </w:rPr>
        <w:t>20</w:t>
      </w:r>
      <w:r>
        <w:rPr>
          <w:rFonts w:hint="eastAsia" w:ascii="仿宋" w:hAnsi="仿宋" w:eastAsia="仿宋" w:cs="宋体"/>
          <w:color w:val="FF0000"/>
          <w:lang w:val="en-US" w:eastAsia="zh-CN"/>
        </w:rPr>
        <w:t>25</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_GB2312" w:eastAsia="仿宋_GB2312"/>
          <w:sz w:val="24"/>
          <w:szCs w:val="24"/>
        </w:rPr>
        <w:t>（原件或复印件）</w:t>
      </w:r>
      <w:r>
        <w:rPr>
          <w:rFonts w:hint="eastAsia" w:ascii="仿宋" w:hAnsi="仿宋" w:eastAsia="仿宋" w:cs="宋体"/>
          <w:color w:val="000000"/>
        </w:rPr>
        <w:t>。</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FF0000"/>
        </w:rPr>
        <w:t>20</w:t>
      </w:r>
      <w:r>
        <w:rPr>
          <w:rFonts w:hint="eastAsia" w:ascii="仿宋" w:hAnsi="仿宋" w:eastAsia="仿宋" w:cs="宋体"/>
          <w:color w:val="FF0000"/>
          <w:lang w:val="en-US" w:eastAsia="zh-CN"/>
        </w:rPr>
        <w:t>23</w:t>
      </w:r>
      <w:r>
        <w:rPr>
          <w:rFonts w:hint="eastAsia" w:ascii="仿宋" w:hAnsi="仿宋" w:eastAsia="仿宋" w:cs="宋体"/>
          <w:color w:val="000000"/>
        </w:rPr>
        <w:t>年1月1日至今）应具有</w:t>
      </w:r>
      <w:r>
        <w:rPr>
          <w:rFonts w:hint="eastAsia" w:ascii="仿宋" w:hAnsi="仿宋" w:eastAsia="仿宋" w:cs="宋体"/>
          <w:color w:val="000000"/>
          <w:lang w:val="en-US" w:eastAsia="zh-CN"/>
        </w:rPr>
        <w:t>1个类似劳务外包</w:t>
      </w:r>
      <w:r>
        <w:rPr>
          <w:rFonts w:hint="eastAsia" w:ascii="仿宋" w:hAnsi="仿宋" w:eastAsia="仿宋" w:cs="宋体"/>
          <w:color w:val="000000"/>
        </w:rPr>
        <w:t>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FF0000"/>
        </w:rPr>
        <w:t>20</w:t>
      </w:r>
      <w:r>
        <w:rPr>
          <w:rFonts w:hint="eastAsia" w:ascii="仿宋" w:hAnsi="仿宋" w:eastAsia="仿宋" w:cs="宋体"/>
          <w:b/>
          <w:bCs/>
          <w:color w:val="FF0000"/>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w:t>
      </w:r>
      <w:r>
        <w:rPr>
          <w:rFonts w:hint="eastAsia" w:ascii="仿宋" w:hAnsi="仿宋" w:eastAsia="仿宋" w:cs="宋体"/>
          <w:color w:val="FF0000"/>
        </w:rPr>
        <w:t>不接受</w:t>
      </w:r>
      <w:r>
        <w:rPr>
          <w:rFonts w:hint="eastAsia" w:ascii="仿宋" w:hAnsi="仿宋" w:eastAsia="仿宋" w:cs="宋体"/>
          <w:color w:val="000000"/>
        </w:rPr>
        <w:t>联合体磋商响应</w:t>
      </w:r>
      <w:r>
        <w:rPr>
          <w:rFonts w:hint="eastAsia" w:ascii="仿宋" w:hAnsi="仿宋" w:eastAsia="仿宋" w:cs="宋体"/>
          <w:color w:val="000000"/>
          <w:lang w:eastAsia="zh-CN"/>
        </w:rPr>
        <w:t>，</w:t>
      </w:r>
      <w:r>
        <w:rPr>
          <w:rFonts w:hint="eastAsia" w:ascii="仿宋_GB2312" w:eastAsia="仿宋_GB2312"/>
          <w:sz w:val="24"/>
          <w:szCs w:val="24"/>
        </w:rPr>
        <w:t>不得分包、转包</w:t>
      </w:r>
      <w:r>
        <w:rPr>
          <w:rFonts w:hint="eastAsia" w:ascii="仿宋" w:hAnsi="仿宋" w:eastAsia="仿宋" w:cs="宋体"/>
          <w:color w:val="000000"/>
        </w:rPr>
        <w:t>。提供承诺函，格式详见第六章响应文件格式。</w:t>
      </w:r>
    </w:p>
    <w:p>
      <w:pPr>
        <w:pStyle w:val="2"/>
        <w:ind w:firstLine="480" w:firstLineChars="200"/>
        <w:rPr>
          <w:rFonts w:hint="eastAsia" w:ascii="仿宋" w:hAnsi="仿宋" w:eastAsia="仿宋" w:cs="仿宋"/>
          <w:i w:val="0"/>
          <w:iCs w:val="0"/>
          <w:color w:val="0000CC"/>
          <w:szCs w:val="32"/>
          <w:lang w:val="en-US" w:eastAsia="zh-CN"/>
        </w:rPr>
      </w:pPr>
      <w:r>
        <w:rPr>
          <w:rFonts w:hint="eastAsia" w:ascii="仿宋" w:hAnsi="仿宋" w:eastAsia="仿宋" w:cs="仿宋"/>
          <w:i w:val="0"/>
          <w:iCs w:val="0"/>
          <w:color w:val="000000"/>
        </w:rPr>
        <w:t>2.9</w:t>
      </w:r>
      <w:r>
        <w:rPr>
          <w:rFonts w:hint="eastAsia" w:ascii="仿宋" w:hAnsi="仿宋" w:eastAsia="仿宋" w:cs="仿宋"/>
          <w:i w:val="0"/>
          <w:iCs w:val="0"/>
          <w:color w:val="FF0000"/>
          <w:szCs w:val="32"/>
        </w:rPr>
        <w:t>特殊资质条件</w:t>
      </w:r>
      <w:r>
        <w:rPr>
          <w:rFonts w:hint="eastAsia" w:ascii="仿宋" w:hAnsi="仿宋" w:eastAsia="仿宋" w:cs="仿宋"/>
          <w:i w:val="0"/>
          <w:iCs w:val="0"/>
          <w:color w:val="FF0000"/>
          <w:szCs w:val="32"/>
          <w:lang w:eastAsia="zh-CN"/>
        </w:rPr>
        <w:t>：</w:t>
      </w:r>
      <w:r>
        <w:rPr>
          <w:rFonts w:hint="eastAsia" w:ascii="仿宋" w:hAnsi="仿宋" w:eastAsia="仿宋" w:cs="仿宋"/>
          <w:i w:val="0"/>
          <w:iCs w:val="0"/>
          <w:color w:val="FF0000"/>
          <w:szCs w:val="32"/>
          <w:lang w:val="en-US" w:eastAsia="zh-CN"/>
        </w:rPr>
        <w:t>提供《人力资源服务许可证》复印件并</w:t>
      </w:r>
      <w:r>
        <w:rPr>
          <w:rFonts w:hint="eastAsia" w:ascii="仿宋" w:hAnsi="仿宋" w:eastAsia="仿宋" w:cs="仿宋"/>
          <w:color w:val="FF0000"/>
        </w:rPr>
        <w:t>加盖公司鲜章。</w:t>
      </w:r>
    </w:p>
    <w:p>
      <w:pPr>
        <w:pStyle w:val="5"/>
        <w:spacing w:after="240"/>
        <w:jc w:val="left"/>
        <w:rPr>
          <w:rFonts w:ascii="仿宋" w:hAnsi="仿宋" w:eastAsia="仿宋" w:cs="仿宋"/>
          <w:color w:val="000000"/>
          <w:sz w:val="24"/>
          <w:szCs w:val="24"/>
        </w:rPr>
      </w:pPr>
      <w:bookmarkStart w:id="6" w:name="_Toc2019"/>
      <w:bookmarkStart w:id="7" w:name="_Toc186737793"/>
      <w:r>
        <w:rPr>
          <w:rFonts w:hint="eastAsia" w:ascii="仿宋" w:hAnsi="仿宋" w:eastAsia="仿宋" w:cs="仿宋"/>
          <w:color w:val="000000"/>
          <w:sz w:val="24"/>
          <w:szCs w:val="24"/>
        </w:rPr>
        <w:t>三、磋商文件的获取</w:t>
      </w:r>
      <w:bookmarkEnd w:id="6"/>
      <w:bookmarkEnd w:id="7"/>
    </w:p>
    <w:p>
      <w:pPr>
        <w:pStyle w:val="66"/>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11</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4</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11</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9</w:t>
      </w:r>
      <w:r>
        <w:rPr>
          <w:rFonts w:hint="eastAsia" w:ascii="仿宋" w:hAnsi="仿宋" w:eastAsia="仿宋" w:cs="宋体"/>
          <w:b/>
          <w:color w:val="FF0000"/>
          <w:sz w:val="24"/>
          <w:szCs w:val="24"/>
          <w:u w:val="single"/>
        </w:rPr>
        <w:t>日，</w:t>
      </w:r>
      <w:r>
        <w:rPr>
          <w:rFonts w:hint="eastAsia" w:ascii="仿宋" w:hAnsi="仿宋" w:eastAsia="仿宋" w:cs="宋体"/>
          <w:color w:val="FF0000"/>
          <w:sz w:val="24"/>
          <w:szCs w:val="24"/>
        </w:rPr>
        <w:t>上午</w:t>
      </w:r>
      <w:r>
        <w:rPr>
          <w:rFonts w:hint="eastAsia" w:ascii="仿宋" w:hAnsi="仿宋" w:eastAsia="仿宋" w:cs="宋体"/>
          <w:color w:val="FF0000"/>
          <w:sz w:val="24"/>
          <w:szCs w:val="24"/>
          <w:lang w:val="en-US" w:eastAsia="zh-CN"/>
        </w:rPr>
        <w:t>9</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12</w:t>
      </w:r>
      <w:r>
        <w:rPr>
          <w:rFonts w:hint="eastAsia" w:ascii="仿宋" w:hAnsi="仿宋" w:eastAsia="仿宋" w:cs="宋体"/>
          <w:color w:val="FF0000"/>
          <w:sz w:val="24"/>
          <w:szCs w:val="24"/>
        </w:rPr>
        <w:t>时，下午</w:t>
      </w:r>
      <w:r>
        <w:rPr>
          <w:rFonts w:hint="eastAsia" w:ascii="仿宋" w:hAnsi="仿宋" w:eastAsia="仿宋" w:cs="宋体"/>
          <w:color w:val="FF0000"/>
          <w:sz w:val="24"/>
          <w:szCs w:val="24"/>
          <w:lang w:val="en-US" w:eastAsia="zh-CN"/>
        </w:rPr>
        <w:t>14</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17</w:t>
      </w:r>
      <w:r>
        <w:rPr>
          <w:rFonts w:hint="eastAsia" w:ascii="仿宋" w:hAnsi="仿宋" w:eastAsia="仿宋" w:cs="宋体"/>
          <w:color w:val="FF0000"/>
          <w:sz w:val="24"/>
          <w:szCs w:val="24"/>
        </w:rPr>
        <w:t>时（北京时间，下同）。</w:t>
      </w:r>
    </w:p>
    <w:p>
      <w:pPr>
        <w:pStyle w:val="12"/>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FF0000"/>
          <w:sz w:val="24"/>
        </w:rPr>
        <w:t>请通过“人保e采”外网门户获取磋商文件</w:t>
      </w:r>
      <w:r>
        <w:rPr>
          <w:rFonts w:hint="eastAsia" w:ascii="仿宋" w:hAnsi="仿宋" w:eastAsia="仿宋" w:cs="仿宋_GB2312"/>
          <w:color w:val="FF0000"/>
          <w:sz w:val="24"/>
          <w:szCs w:val="24"/>
        </w:rPr>
        <w:t>。</w:t>
      </w:r>
    </w:p>
    <w:p>
      <w:pPr>
        <w:pStyle w:val="5"/>
        <w:jc w:val="left"/>
        <w:rPr>
          <w:rFonts w:ascii="仿宋" w:hAnsi="仿宋" w:eastAsia="仿宋" w:cs="仿宋"/>
          <w:color w:val="000000"/>
          <w:sz w:val="24"/>
          <w:szCs w:val="24"/>
        </w:rPr>
      </w:pPr>
      <w:bookmarkStart w:id="8" w:name="_Toc186737794"/>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FF0000"/>
          <w:u w:val="single"/>
        </w:rPr>
        <w:t>20</w:t>
      </w:r>
      <w:r>
        <w:rPr>
          <w:rFonts w:hint="eastAsia" w:ascii="仿宋" w:hAnsi="仿宋" w:eastAsia="仿宋" w:cs="宋体"/>
          <w:color w:val="FF0000"/>
          <w:u w:val="single"/>
          <w:lang w:val="en-US" w:eastAsia="zh-CN"/>
        </w:rPr>
        <w:t>26</w:t>
      </w:r>
      <w:r>
        <w:rPr>
          <w:rFonts w:hint="eastAsia" w:ascii="仿宋" w:hAnsi="仿宋" w:eastAsia="仿宋" w:cs="宋体"/>
          <w:color w:val="FF0000"/>
          <w:u w:val="single"/>
        </w:rPr>
        <w:t>年</w:t>
      </w:r>
      <w:r>
        <w:rPr>
          <w:rFonts w:hint="eastAsia" w:ascii="仿宋" w:hAnsi="仿宋" w:eastAsia="仿宋" w:cs="宋体"/>
          <w:color w:val="FF0000"/>
          <w:u w:val="single"/>
          <w:lang w:val="en-US" w:eastAsia="zh-CN"/>
        </w:rPr>
        <w:t>11</w:t>
      </w:r>
      <w:r>
        <w:rPr>
          <w:rFonts w:hint="eastAsia" w:ascii="仿宋" w:hAnsi="仿宋" w:eastAsia="仿宋" w:cs="宋体"/>
          <w:color w:val="FF0000"/>
          <w:u w:val="single"/>
        </w:rPr>
        <w:t>月</w:t>
      </w:r>
      <w:r>
        <w:rPr>
          <w:rFonts w:hint="eastAsia" w:ascii="仿宋" w:hAnsi="仿宋" w:eastAsia="仿宋" w:cs="宋体"/>
          <w:color w:val="FF0000"/>
          <w:u w:val="single"/>
          <w:lang w:val="en-US" w:eastAsia="zh-CN"/>
        </w:rPr>
        <w:t>17</w:t>
      </w:r>
      <w:r>
        <w:rPr>
          <w:rFonts w:hint="eastAsia" w:ascii="仿宋" w:hAnsi="仿宋" w:eastAsia="仿宋" w:cs="宋体"/>
          <w:color w:val="FF0000"/>
          <w:u w:val="single"/>
        </w:rPr>
        <w:t>日</w:t>
      </w:r>
      <w:r>
        <w:rPr>
          <w:rFonts w:hint="eastAsia" w:ascii="仿宋" w:hAnsi="仿宋" w:eastAsia="仿宋" w:cs="宋体"/>
          <w:color w:val="FF0000"/>
          <w:u w:val="single"/>
          <w:lang w:val="en-US" w:eastAsia="zh-CN"/>
        </w:rPr>
        <w:t>15</w:t>
      </w:r>
      <w:r>
        <w:rPr>
          <w:rFonts w:hint="eastAsia" w:ascii="仿宋" w:hAnsi="仿宋" w:eastAsia="仿宋" w:cs="宋体"/>
          <w:color w:val="FF0000"/>
          <w:u w:val="single"/>
        </w:rPr>
        <w:t>时</w:t>
      </w:r>
      <w:r>
        <w:rPr>
          <w:rFonts w:hint="eastAsia" w:ascii="仿宋" w:hAnsi="仿宋" w:eastAsia="仿宋" w:cs="宋体"/>
          <w:color w:val="FF0000"/>
          <w:u w:val="single"/>
          <w:lang w:val="en-US" w:eastAsia="zh-CN"/>
        </w:rPr>
        <w:t>00</w:t>
      </w:r>
      <w:r>
        <w:rPr>
          <w:rFonts w:hint="eastAsia" w:ascii="仿宋" w:hAnsi="仿宋" w:eastAsia="仿宋" w:cs="宋体"/>
          <w:color w:val="FF0000"/>
          <w:u w:val="single"/>
        </w:rPr>
        <w:t>分00秒</w:t>
      </w:r>
      <w:r>
        <w:rPr>
          <w:rFonts w:hint="eastAsia" w:ascii="仿宋" w:hAnsi="仿宋" w:eastAsia="仿宋" w:cs="宋体"/>
          <w:color w:val="FF0000"/>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FF0000"/>
        </w:rPr>
        <w:t>须现场递交至</w:t>
      </w:r>
      <w:r>
        <w:rPr>
          <w:rFonts w:hint="eastAsia" w:ascii="仿宋" w:hAnsi="仿宋" w:eastAsia="仿宋" w:cs="宋体"/>
          <w:color w:val="FF0000"/>
          <w:u w:val="single"/>
          <w:lang w:val="en-US" w:eastAsia="zh-CN"/>
        </w:rPr>
        <w:t>雅安</w:t>
      </w:r>
      <w:r>
        <w:rPr>
          <w:rFonts w:hint="eastAsia" w:ascii="仿宋" w:hAnsi="仿宋" w:eastAsia="仿宋" w:cs="宋体"/>
          <w:color w:val="FF0000"/>
          <w:u w:val="single"/>
        </w:rPr>
        <w:t>市</w:t>
      </w:r>
      <w:r>
        <w:rPr>
          <w:rFonts w:hint="eastAsia" w:ascii="仿宋" w:hAnsi="仿宋" w:eastAsia="仿宋" w:cs="宋体"/>
          <w:color w:val="FF0000"/>
          <w:u w:val="single"/>
          <w:lang w:val="en-US" w:eastAsia="zh-CN"/>
        </w:rPr>
        <w:t>雨城</w:t>
      </w:r>
      <w:r>
        <w:rPr>
          <w:rFonts w:hint="eastAsia" w:ascii="仿宋" w:hAnsi="仿宋" w:eastAsia="仿宋" w:cs="宋体"/>
          <w:color w:val="FF0000"/>
          <w:u w:val="single"/>
        </w:rPr>
        <w:t>区</w:t>
      </w:r>
      <w:r>
        <w:rPr>
          <w:rFonts w:hint="eastAsia" w:ascii="仿宋" w:hAnsi="仿宋" w:eastAsia="仿宋" w:cs="宋体"/>
          <w:color w:val="FF0000"/>
          <w:u w:val="single"/>
          <w:lang w:val="en-US" w:eastAsia="zh-CN"/>
        </w:rPr>
        <w:t>中大街148号</w:t>
      </w:r>
      <w:r>
        <w:rPr>
          <w:rFonts w:hint="eastAsia" w:ascii="仿宋" w:hAnsi="仿宋" w:eastAsia="仿宋" w:cs="宋体"/>
          <w:color w:val="FF0000"/>
          <w:u w:val="single"/>
        </w:rPr>
        <w:t>，</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5"/>
        <w:jc w:val="left"/>
        <w:rPr>
          <w:rFonts w:ascii="仿宋" w:hAnsi="仿宋" w:eastAsia="仿宋" w:cs="仿宋"/>
          <w:color w:val="000000"/>
          <w:sz w:val="24"/>
          <w:szCs w:val="24"/>
        </w:rPr>
      </w:pPr>
      <w:bookmarkStart w:id="10" w:name="_Toc186737795"/>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本项目磋商公告同时在</w:t>
      </w:r>
      <w:r>
        <w:rPr>
          <w:rFonts w:hint="eastAsia" w:ascii="仿宋" w:hAnsi="仿宋" w:eastAsia="仿宋" w:cs="宋体"/>
          <w:color w:val="FF0000"/>
          <w:u w:val="single"/>
        </w:rPr>
        <w:t>“人保e采”外网门户（https://ec.picc.com/）、金采网www.cfcpn.com</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5"/>
        <w:jc w:val="left"/>
        <w:rPr>
          <w:rFonts w:ascii="仿宋" w:hAnsi="仿宋" w:eastAsia="仿宋" w:cs="仿宋"/>
          <w:color w:val="000000"/>
          <w:sz w:val="24"/>
          <w:szCs w:val="24"/>
        </w:rPr>
      </w:pPr>
      <w:bookmarkStart w:id="12" w:name="_Toc30596"/>
      <w:bookmarkStart w:id="13" w:name="_Toc186737796"/>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FF0000"/>
        </w:rPr>
      </w:pPr>
      <w:r>
        <w:rPr>
          <w:rFonts w:hint="eastAsia" w:ascii="仿宋" w:hAnsi="仿宋" w:eastAsia="仿宋" w:cs="仿宋"/>
          <w:b/>
          <w:bCs/>
          <w:color w:val="FF0000"/>
        </w:rPr>
        <w:t>采购人：中国人民财产保险股份有限公司</w:t>
      </w:r>
      <w:r>
        <w:rPr>
          <w:rFonts w:hint="eastAsia" w:ascii="仿宋" w:hAnsi="仿宋" w:eastAsia="仿宋" w:cs="仿宋"/>
          <w:b/>
          <w:bCs/>
          <w:color w:val="FF0000"/>
          <w:lang w:val="en-US" w:eastAsia="zh-CN"/>
        </w:rPr>
        <w:t>雅安市</w:t>
      </w:r>
      <w:r>
        <w:rPr>
          <w:rFonts w:hint="eastAsia" w:ascii="仿宋" w:hAnsi="仿宋" w:eastAsia="仿宋" w:cs="仿宋"/>
          <w:b/>
          <w:bCs/>
          <w:color w:val="FF0000"/>
        </w:rPr>
        <w:t>分公司</w:t>
      </w:r>
    </w:p>
    <w:p>
      <w:pPr>
        <w:spacing w:line="360" w:lineRule="auto"/>
        <w:ind w:firstLine="420" w:firstLineChars="175"/>
        <w:rPr>
          <w:rFonts w:ascii="仿宋" w:hAnsi="仿宋" w:eastAsia="仿宋" w:cs="仿宋"/>
          <w:color w:val="FF0000"/>
        </w:rPr>
      </w:pPr>
      <w:r>
        <w:rPr>
          <w:rFonts w:hint="eastAsia" w:ascii="仿宋" w:hAnsi="仿宋" w:eastAsia="仿宋" w:cs="宋体"/>
          <w:color w:val="FF0000"/>
        </w:rPr>
        <w:t>地址：</w:t>
      </w:r>
      <w:r>
        <w:rPr>
          <w:rFonts w:hint="eastAsia" w:ascii="仿宋" w:hAnsi="仿宋" w:eastAsia="仿宋" w:cs="宋体"/>
          <w:color w:val="FF0000"/>
          <w:u w:val="none"/>
          <w:lang w:val="en-US" w:eastAsia="zh-CN"/>
        </w:rPr>
        <w:t>雅安</w:t>
      </w:r>
      <w:r>
        <w:rPr>
          <w:rFonts w:hint="eastAsia" w:ascii="仿宋" w:hAnsi="仿宋" w:eastAsia="仿宋" w:cs="宋体"/>
          <w:color w:val="FF0000"/>
          <w:u w:val="none"/>
        </w:rPr>
        <w:t>市</w:t>
      </w:r>
      <w:r>
        <w:rPr>
          <w:rFonts w:hint="eastAsia" w:ascii="仿宋" w:hAnsi="仿宋" w:eastAsia="仿宋" w:cs="宋体"/>
          <w:color w:val="FF0000"/>
          <w:u w:val="none"/>
          <w:lang w:val="en-US" w:eastAsia="zh-CN"/>
        </w:rPr>
        <w:t>雨城</w:t>
      </w:r>
      <w:r>
        <w:rPr>
          <w:rFonts w:hint="eastAsia" w:ascii="仿宋" w:hAnsi="仿宋" w:eastAsia="仿宋" w:cs="宋体"/>
          <w:color w:val="FF0000"/>
          <w:u w:val="none"/>
        </w:rPr>
        <w:t>区</w:t>
      </w:r>
      <w:r>
        <w:rPr>
          <w:rFonts w:hint="eastAsia" w:ascii="仿宋" w:hAnsi="仿宋" w:eastAsia="仿宋" w:cs="宋体"/>
          <w:color w:val="FF0000"/>
          <w:u w:val="none"/>
          <w:lang w:val="en-US" w:eastAsia="zh-CN"/>
        </w:rPr>
        <w:t>中大街148号</w:t>
      </w:r>
    </w:p>
    <w:p>
      <w:pPr>
        <w:spacing w:line="360" w:lineRule="auto"/>
        <w:ind w:firstLine="420" w:firstLineChars="175"/>
        <w:rPr>
          <w:rFonts w:hint="eastAsia" w:ascii="仿宋" w:hAnsi="仿宋" w:eastAsia="仿宋" w:cs="宋体"/>
          <w:color w:val="FF0000"/>
          <w:lang w:val="en-US" w:eastAsia="zh-CN"/>
        </w:rPr>
      </w:pPr>
      <w:r>
        <w:rPr>
          <w:rFonts w:hint="eastAsia" w:ascii="仿宋" w:hAnsi="仿宋" w:eastAsia="仿宋" w:cs="宋体"/>
          <w:color w:val="FF0000"/>
        </w:rPr>
        <w:t>联系人：</w:t>
      </w:r>
      <w:r>
        <w:rPr>
          <w:rFonts w:hint="eastAsia" w:ascii="仿宋" w:hAnsi="仿宋" w:eastAsia="仿宋" w:cs="宋体"/>
          <w:color w:val="FF0000"/>
          <w:lang w:val="en-US" w:eastAsia="zh-CN"/>
        </w:rPr>
        <w:t>李德明</w:t>
      </w:r>
    </w:p>
    <w:p>
      <w:pPr>
        <w:spacing w:line="360" w:lineRule="auto"/>
        <w:ind w:firstLine="420" w:firstLineChars="175"/>
        <w:rPr>
          <w:rFonts w:hint="default" w:ascii="仿宋" w:hAnsi="仿宋" w:eastAsia="仿宋" w:cs="仿宋"/>
          <w:color w:val="FF0000"/>
          <w:lang w:val="en-US" w:eastAsia="zh-CN"/>
        </w:rPr>
      </w:pPr>
      <w:r>
        <w:rPr>
          <w:rFonts w:hint="eastAsia" w:ascii="仿宋" w:hAnsi="仿宋" w:eastAsia="仿宋" w:cs="宋体"/>
          <w:color w:val="FF0000"/>
        </w:rPr>
        <w:t>电话：</w:t>
      </w:r>
      <w:r>
        <w:rPr>
          <w:rFonts w:hint="eastAsia" w:ascii="仿宋" w:hAnsi="仿宋" w:eastAsia="仿宋" w:cs="宋体"/>
          <w:color w:val="FF0000"/>
          <w:lang w:val="en-US" w:eastAsia="zh-CN"/>
        </w:rPr>
        <w:t>13568745940</w:t>
      </w:r>
      <w:r>
        <w:rPr>
          <w:rFonts w:hint="eastAsia" w:ascii="仿宋" w:hAnsi="仿宋" w:eastAsia="仿宋" w:cs="宋体"/>
          <w:color w:val="FF0000"/>
        </w:rPr>
        <w:t>、</w:t>
      </w:r>
      <w:r>
        <w:rPr>
          <w:rFonts w:hint="eastAsia" w:ascii="仿宋" w:hAnsi="仿宋" w:eastAsia="仿宋" w:cs="宋体"/>
          <w:color w:val="FF0000"/>
          <w:lang w:val="en-US" w:eastAsia="zh-CN"/>
        </w:rPr>
        <w:t>0835-2239284</w:t>
      </w:r>
    </w:p>
    <w:p>
      <w:pPr>
        <w:spacing w:line="360" w:lineRule="auto"/>
        <w:ind w:firstLine="420" w:firstLineChars="175"/>
        <w:rPr>
          <w:rFonts w:ascii="仿宋" w:hAnsi="仿宋" w:eastAsia="仿宋" w:cs="仿宋"/>
          <w:color w:val="FF0000"/>
        </w:rPr>
      </w:pPr>
      <w:r>
        <w:rPr>
          <w:rFonts w:hint="eastAsia" w:ascii="仿宋" w:hAnsi="仿宋" w:eastAsia="仿宋" w:cs="宋体"/>
          <w:color w:val="FF0000"/>
        </w:rPr>
        <w:t>电子邮件：</w:t>
      </w:r>
      <w:r>
        <w:rPr>
          <w:rFonts w:hint="eastAsia" w:ascii="仿宋" w:hAnsi="仿宋" w:eastAsia="仿宋" w:cs="宋体"/>
          <w:color w:val="FF0000"/>
          <w:lang w:val="en-US" w:eastAsia="zh-CN"/>
        </w:rPr>
        <w:t>lideming03</w:t>
      </w:r>
      <w:r>
        <w:rPr>
          <w:rFonts w:hint="eastAsia" w:ascii="仿宋" w:hAnsi="仿宋" w:eastAsia="仿宋" w:cs="宋体"/>
          <w:color w:val="FF0000"/>
        </w:rPr>
        <w:t xml:space="preserve"> @ </w:t>
      </w:r>
      <w:r>
        <w:rPr>
          <w:rFonts w:hint="eastAsia" w:ascii="仿宋" w:hAnsi="仿宋" w:eastAsia="仿宋" w:cs="宋体"/>
          <w:color w:val="FF0000"/>
          <w:lang w:val="en-US" w:eastAsia="zh-CN"/>
        </w:rPr>
        <w:t>sic.picc.com 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FF0000"/>
        </w:rPr>
      </w:pPr>
      <w:r>
        <w:rPr>
          <w:rFonts w:hint="eastAsia" w:ascii="仿宋" w:hAnsi="仿宋" w:eastAsia="仿宋" w:cs="宋体"/>
          <w:color w:val="FF0000"/>
        </w:rPr>
        <w:t>采购人：中国人民财产保险股份有限公司</w:t>
      </w:r>
      <w:r>
        <w:rPr>
          <w:rFonts w:hint="eastAsia" w:ascii="仿宋" w:hAnsi="仿宋" w:eastAsia="仿宋" w:cs="宋体"/>
          <w:color w:val="FF0000"/>
          <w:lang w:val="en-US" w:eastAsia="zh-CN"/>
        </w:rPr>
        <w:t>雅安市</w:t>
      </w:r>
      <w:r>
        <w:rPr>
          <w:rFonts w:hint="eastAsia" w:ascii="仿宋" w:hAnsi="仿宋" w:eastAsia="仿宋" w:cs="宋体"/>
          <w:color w:val="FF0000"/>
        </w:rPr>
        <w:t>分公司</w:t>
      </w:r>
    </w:p>
    <w:p>
      <w:pPr>
        <w:spacing w:line="360" w:lineRule="auto"/>
        <w:jc w:val="right"/>
        <w:rPr>
          <w:rFonts w:ascii="楷体" w:hAnsi="楷体" w:eastAsia="楷体" w:cs="仿宋_GB2312"/>
          <w:i/>
          <w:color w:val="0000CC"/>
          <w:szCs w:val="32"/>
        </w:rPr>
      </w:pPr>
      <w:r>
        <w:rPr>
          <w:rFonts w:hint="eastAsia" w:ascii="仿宋" w:hAnsi="仿宋" w:eastAsia="仿宋" w:cs="宋体"/>
          <w:color w:val="FF0000"/>
        </w:rPr>
        <w:t>202</w:t>
      </w:r>
      <w:r>
        <w:rPr>
          <w:rFonts w:hint="eastAsia" w:ascii="仿宋" w:hAnsi="仿宋" w:eastAsia="仿宋" w:cs="宋体"/>
          <w:color w:val="FF0000"/>
          <w:lang w:val="en-US" w:eastAsia="zh-CN"/>
        </w:rPr>
        <w:t>6</w:t>
      </w:r>
      <w:r>
        <w:rPr>
          <w:rFonts w:hint="eastAsia" w:ascii="仿宋" w:hAnsi="仿宋" w:eastAsia="仿宋" w:cs="宋体"/>
          <w:color w:val="FF0000"/>
        </w:rPr>
        <w:t>年</w:t>
      </w:r>
      <w:r>
        <w:rPr>
          <w:rFonts w:hint="eastAsia" w:ascii="仿宋" w:hAnsi="仿宋" w:eastAsia="仿宋" w:cs="宋体"/>
          <w:color w:val="FF0000"/>
          <w:lang w:val="en-US" w:eastAsia="zh-CN"/>
        </w:rPr>
        <w:t>11</w:t>
      </w:r>
      <w:r>
        <w:rPr>
          <w:rFonts w:hint="eastAsia" w:ascii="仿宋" w:hAnsi="仿宋" w:eastAsia="仿宋" w:cs="宋体"/>
          <w:color w:val="FF0000"/>
        </w:rPr>
        <w:t>月</w:t>
      </w:r>
      <w:r>
        <w:rPr>
          <w:rFonts w:hint="eastAsia" w:ascii="仿宋" w:hAnsi="仿宋" w:eastAsia="仿宋" w:cs="宋体"/>
          <w:color w:val="FF0000"/>
          <w:lang w:val="en-US" w:eastAsia="zh-CN"/>
        </w:rPr>
        <w:t>3</w:t>
      </w:r>
      <w:r>
        <w:rPr>
          <w:rFonts w:hint="eastAsia" w:ascii="仿宋" w:hAnsi="仿宋" w:eastAsia="仿宋" w:cs="宋体"/>
          <w:color w:val="FF0000"/>
        </w:rPr>
        <w:t>日</w:t>
      </w:r>
    </w:p>
    <w:p>
      <w:pPr>
        <w:pStyle w:val="4"/>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5"/>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2"/>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2"/>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2"/>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★磋商响应有效期</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s="仿宋"/>
                <w:color w:val="FF0000"/>
                <w:u w:val="single"/>
                <w:lang w:val="en-US" w:eastAsia="zh-CN"/>
              </w:rPr>
              <w:t>180</w:t>
            </w:r>
            <w:r>
              <w:rPr>
                <w:rFonts w:hint="eastAsia" w:ascii="仿宋" w:hAnsi="仿宋" w:eastAsia="仿宋" w:cs="仿宋"/>
                <w:color w:val="FF0000"/>
                <w:u w:val="single"/>
                <w:lang w:eastAsia="zh-CN"/>
              </w:rPr>
              <w:t>天</w:t>
            </w:r>
            <w:r>
              <w:rPr>
                <w:rFonts w:hint="eastAsia" w:ascii="仿宋" w:hAnsi="仿宋" w:eastAsia="仿宋" w:cs="仿宋"/>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FF0000"/>
                <w:sz w:val="21"/>
                <w:szCs w:val="21"/>
                <w:lang w:eastAsia="zh-CN"/>
              </w:rPr>
              <w:t>具体格式</w:t>
            </w:r>
            <w:r>
              <w:rPr>
                <w:rFonts w:hint="eastAsia" w:ascii="仿宋" w:hAnsi="仿宋" w:eastAsia="仿宋"/>
                <w:color w:val="FF0000"/>
                <w:sz w:val="21"/>
                <w:szCs w:val="21"/>
                <w:lang w:val="en-US" w:eastAsia="zh-CN"/>
              </w:rPr>
              <w:t>与纸质文件一致</w:t>
            </w:r>
            <w:r>
              <w:rPr>
                <w:rFonts w:hint="eastAsia" w:ascii="仿宋" w:hAnsi="仿宋" w:eastAsia="仿宋"/>
                <w:color w:val="FF0000"/>
                <w:sz w:val="21"/>
                <w:szCs w:val="21"/>
                <w:lang w:eastAsia="zh-CN"/>
              </w:rPr>
              <w:t>，盖鲜章P</w:t>
            </w:r>
            <w:r>
              <w:rPr>
                <w:rFonts w:ascii="仿宋" w:hAnsi="仿宋" w:eastAsia="仿宋"/>
                <w:color w:val="FF0000"/>
                <w:sz w:val="21"/>
                <w:szCs w:val="21"/>
                <w:lang w:eastAsia="zh-CN"/>
              </w:rPr>
              <w:t>DF</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FF0000"/>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磋商响应报价</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本项目磋商小组成员人数为</w:t>
            </w:r>
            <w:r>
              <w:rPr>
                <w:rFonts w:hint="eastAsia" w:ascii="仿宋" w:hAnsi="仿宋" w:eastAsia="仿宋" w:cs="仿宋"/>
                <w:color w:val="FF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磋商程序及方式</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FF0000"/>
                <w:sz w:val="22"/>
                <w:szCs w:val="22"/>
                <w:u w:val="single"/>
              </w:rPr>
              <w:t>响应文件递交顺序</w:t>
            </w:r>
            <w:r>
              <w:rPr>
                <w:rFonts w:hint="eastAsia" w:ascii="仿宋" w:hAnsi="仿宋" w:eastAsia="仿宋" w:cs="仿宋"/>
                <w:color w:val="000000"/>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FF0000"/>
                <w:sz w:val="22"/>
                <w:szCs w:val="22"/>
                <w:u w:val="single"/>
              </w:rPr>
              <w:t>1名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2"/>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FF0000"/>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FF0000"/>
                <w:sz w:val="22"/>
                <w:szCs w:val="22"/>
                <w:u w:val="single"/>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不按照磋商文件要求提交履约保证金</w:t>
            </w:r>
            <w:r>
              <w:rPr>
                <w:rFonts w:hint="eastAsia" w:ascii="仿宋" w:hAnsi="仿宋" w:eastAsia="仿宋" w:cs="仿宋"/>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2"/>
              <w:spacing w:before="62" w:beforeLines="20" w:after="62" w:afterLines="20"/>
              <w:rPr>
                <w:rFonts w:ascii="仿宋" w:hAnsi="仿宋" w:eastAsia="仿宋" w:cs="仿宋"/>
                <w:color w:val="000000"/>
              </w:rPr>
            </w:pPr>
            <w:r>
              <w:rPr>
                <w:rFonts w:hint="eastAsia" w:ascii="仿宋" w:hAnsi="仿宋" w:eastAsia="仿宋"/>
                <w:color w:val="FF0000"/>
                <w:lang w:eastAsia="zh-CN"/>
              </w:rPr>
              <w:t>☑</w:t>
            </w:r>
            <w:r>
              <w:rPr>
                <w:rFonts w:hint="eastAsia" w:ascii="仿宋" w:hAnsi="仿宋" w:eastAsia="仿宋"/>
                <w:color w:val="FF0000"/>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仿宋"/>
                <w:sz w:val="22"/>
                <w:lang w:val="en-US" w:eastAsia="zh-CN"/>
              </w:rPr>
              <w:t>雅安</w:t>
            </w:r>
            <w:r>
              <w:rPr>
                <w:rFonts w:ascii="仿宋" w:hAnsi="仿宋" w:eastAsia="仿宋" w:cs="仿宋"/>
                <w:sz w:val="22"/>
              </w:rPr>
              <w:t>分公司</w:t>
            </w:r>
            <w:r>
              <w:rPr>
                <w:rFonts w:hint="eastAsia" w:ascii="仿宋" w:hAnsi="仿宋" w:eastAsia="仿宋" w:cs="仿宋"/>
                <w:sz w:val="22"/>
              </w:rPr>
              <w:t>，</w:t>
            </w:r>
            <w:r>
              <w:rPr>
                <w:rFonts w:ascii="仿宋" w:hAnsi="仿宋" w:eastAsia="仿宋" w:cs="仿宋"/>
                <w:sz w:val="22"/>
              </w:rPr>
              <w:t>实际合同签署人为采购人</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5"/>
        <w:jc w:val="left"/>
        <w:rPr>
          <w:rFonts w:ascii="仿宋" w:hAnsi="仿宋" w:eastAsia="仿宋" w:cs="仿宋"/>
          <w:color w:val="000000"/>
          <w:sz w:val="24"/>
          <w:szCs w:val="24"/>
        </w:rPr>
      </w:pPr>
      <w:bookmarkStart w:id="17" w:name="_Toc287600118"/>
      <w:bookmarkStart w:id="18" w:name="_Toc6047"/>
      <w:bookmarkStart w:id="19" w:name="_Toc27232"/>
      <w:bookmarkStart w:id="20" w:name="_Toc517281816"/>
      <w:bookmarkStart w:id="21" w:name="_Toc11071"/>
      <w:bookmarkStart w:id="22" w:name="_Toc444891336"/>
      <w:bookmarkStart w:id="23" w:name="_Toc19783313"/>
      <w:bookmarkStart w:id="24" w:name="_Toc20514"/>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6"/>
        <w:spacing w:before="0" w:after="0" w:line="360" w:lineRule="auto"/>
        <w:ind w:firstLine="482"/>
        <w:rPr>
          <w:rFonts w:ascii="仿宋" w:hAnsi="仿宋" w:eastAsia="仿宋" w:cs="仿宋"/>
          <w:color w:val="000000"/>
          <w:sz w:val="24"/>
          <w:szCs w:val="24"/>
        </w:rPr>
      </w:pPr>
      <w:bookmarkStart w:id="27" w:name="_Toc22969"/>
      <w:bookmarkStart w:id="28" w:name="_Toc19783314"/>
      <w:bookmarkStart w:id="29" w:name="_Toc6681"/>
      <w:bookmarkStart w:id="30" w:name="_Toc444891337"/>
      <w:bookmarkStart w:id="31" w:name="_Toc431"/>
      <w:bookmarkStart w:id="32" w:name="_Toc287600119"/>
      <w:bookmarkStart w:id="33" w:name="_Toc11851"/>
      <w:bookmarkStart w:id="34" w:name="_Toc3678"/>
      <w:bookmarkStart w:id="35" w:name="_Toc517281817"/>
      <w:bookmarkStart w:id="36" w:name="_Toc16441"/>
      <w:bookmarkStart w:id="37" w:name="_Toc186737800"/>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6"/>
        <w:spacing w:after="0" w:line="360" w:lineRule="auto"/>
        <w:ind w:firstLine="482"/>
        <w:rPr>
          <w:rFonts w:ascii="仿宋" w:hAnsi="仿宋" w:eastAsia="仿宋" w:cs="仿宋"/>
          <w:color w:val="000000"/>
          <w:sz w:val="24"/>
          <w:szCs w:val="24"/>
        </w:rPr>
      </w:pPr>
      <w:bookmarkStart w:id="38" w:name="_Toc287600120"/>
      <w:bookmarkStart w:id="39" w:name="_Toc25513"/>
      <w:bookmarkStart w:id="40" w:name="_Toc19783315"/>
      <w:bookmarkStart w:id="41" w:name="_Toc3016"/>
      <w:bookmarkStart w:id="42" w:name="_Toc186737801"/>
      <w:bookmarkStart w:id="43" w:name="_Toc10975"/>
      <w:bookmarkStart w:id="44" w:name="_Toc5255"/>
      <w:bookmarkStart w:id="45" w:name="_Toc24246"/>
      <w:bookmarkStart w:id="46" w:name="_Toc14164"/>
      <w:bookmarkStart w:id="47" w:name="_Toc444891338"/>
      <w:bookmarkStart w:id="48" w:name="_Toc517281818"/>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w:t>
      </w:r>
      <w:r>
        <w:rPr>
          <w:rFonts w:hint="eastAsia" w:ascii="仿宋" w:hAnsi="仿宋" w:eastAsia="仿宋" w:cs="仿宋"/>
          <w:color w:val="000000"/>
          <w:sz w:val="24"/>
          <w:lang w:val="en-US" w:eastAsia="zh-CN"/>
        </w:rPr>
        <w:t>磋商</w:t>
      </w:r>
      <w:r>
        <w:rPr>
          <w:rFonts w:hint="eastAsia" w:ascii="仿宋" w:hAnsi="仿宋" w:eastAsia="仿宋" w:cs="仿宋"/>
          <w:color w:val="000000"/>
          <w:sz w:val="24"/>
        </w:rPr>
        <w:t>邀请</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6"/>
        <w:spacing w:after="0" w:line="360" w:lineRule="auto"/>
        <w:jc w:val="center"/>
        <w:rPr>
          <w:rFonts w:ascii="仿宋" w:hAnsi="仿宋" w:eastAsia="仿宋" w:cs="仿宋"/>
          <w:color w:val="000000"/>
          <w:sz w:val="24"/>
          <w:szCs w:val="24"/>
        </w:rPr>
      </w:pPr>
      <w:bookmarkStart w:id="49" w:name="_Toc27642"/>
      <w:bookmarkStart w:id="50" w:name="_Toc16985"/>
      <w:bookmarkStart w:id="51" w:name="_Toc14308"/>
      <w:bookmarkStart w:id="52" w:name="_Toc186737802"/>
      <w:bookmarkStart w:id="53" w:name="_Toc31141"/>
      <w:bookmarkStart w:id="54" w:name="_Toc444891339"/>
      <w:bookmarkStart w:id="55" w:name="_Toc517281819"/>
      <w:bookmarkStart w:id="56" w:name="_Toc19783316"/>
      <w:bookmarkStart w:id="57" w:name="_Toc13691"/>
      <w:bookmarkStart w:id="58" w:name="_Toc27563"/>
      <w:bookmarkStart w:id="59" w:name="_Toc28760012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6"/>
        <w:spacing w:after="0" w:line="360" w:lineRule="auto"/>
        <w:ind w:firstLine="482"/>
        <w:rPr>
          <w:rFonts w:ascii="仿宋" w:hAnsi="仿宋" w:eastAsia="仿宋" w:cs="仿宋"/>
          <w:color w:val="000000"/>
          <w:sz w:val="24"/>
          <w:szCs w:val="24"/>
        </w:rPr>
      </w:pPr>
      <w:bookmarkStart w:id="61" w:name="_Toc7129"/>
      <w:bookmarkStart w:id="62" w:name="_Toc19783317"/>
      <w:bookmarkStart w:id="63" w:name="_Toc4155"/>
      <w:bookmarkStart w:id="64" w:name="_Toc444891340"/>
      <w:bookmarkStart w:id="65" w:name="_Toc21600"/>
      <w:bookmarkStart w:id="66" w:name="_Toc517281820"/>
      <w:bookmarkStart w:id="67" w:name="_Toc14726"/>
      <w:bookmarkStart w:id="68" w:name="_Toc287600122"/>
      <w:bookmarkStart w:id="69" w:name="_Toc18673"/>
      <w:bookmarkStart w:id="70" w:name="_Toc17865"/>
      <w:bookmarkStart w:id="71" w:name="_Toc186737803"/>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72" w:name="_Toc246996202"/>
      <w:bookmarkStart w:id="73" w:name="_Toc334766948"/>
      <w:bookmarkStart w:id="74" w:name="_Toc179632576"/>
      <w:bookmarkStart w:id="75" w:name="_Toc152045558"/>
      <w:bookmarkStart w:id="76" w:name="_Toc332188194"/>
      <w:bookmarkStart w:id="77" w:name="_Toc247085716"/>
      <w:bookmarkStart w:id="78" w:name="_Toc246996945"/>
      <w:bookmarkStart w:id="79" w:name="_Toc326223561"/>
      <w:bookmarkStart w:id="80" w:name="_Toc152042334"/>
      <w:bookmarkStart w:id="81" w:name="_Toc14497452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6"/>
        <w:spacing w:before="0" w:after="0" w:line="360" w:lineRule="auto"/>
        <w:ind w:firstLine="482"/>
        <w:rPr>
          <w:rFonts w:ascii="仿宋" w:hAnsi="仿宋" w:eastAsia="仿宋" w:cs="仿宋"/>
          <w:color w:val="000000"/>
          <w:sz w:val="24"/>
          <w:szCs w:val="24"/>
        </w:rPr>
      </w:pPr>
      <w:bookmarkStart w:id="82" w:name="_Toc186737804"/>
      <w:bookmarkStart w:id="83" w:name="_Toc2055"/>
      <w:bookmarkStart w:id="84" w:name="_Toc12797"/>
      <w:bookmarkStart w:id="85" w:name="_Toc20741"/>
      <w:bookmarkStart w:id="86" w:name="_Toc2636"/>
      <w:bookmarkStart w:id="87" w:name="_Toc11361"/>
      <w:bookmarkStart w:id="88" w:name="_Toc517281821"/>
      <w:bookmarkStart w:id="89" w:name="_Toc287600123"/>
      <w:bookmarkStart w:id="90" w:name="_Toc444891341"/>
      <w:bookmarkStart w:id="91" w:name="_Toc30466"/>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7"/>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7"/>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6"/>
        <w:spacing w:before="0" w:after="0" w:line="360" w:lineRule="auto"/>
        <w:ind w:firstLine="482"/>
        <w:rPr>
          <w:rFonts w:ascii="仿宋" w:hAnsi="仿宋" w:eastAsia="仿宋" w:cs="仿宋"/>
          <w:color w:val="000000"/>
          <w:sz w:val="24"/>
          <w:szCs w:val="24"/>
        </w:rPr>
      </w:pPr>
      <w:bookmarkStart w:id="95" w:name="_Toc287600124"/>
      <w:bookmarkStart w:id="96" w:name="_Toc234223231"/>
      <w:bookmarkStart w:id="97" w:name="_Toc186737805"/>
      <w:bookmarkStart w:id="98" w:name="_Toc444891342"/>
      <w:bookmarkStart w:id="99" w:name="_Toc16781"/>
      <w:bookmarkStart w:id="100" w:name="_Toc2322"/>
      <w:bookmarkStart w:id="101" w:name="_Toc13936"/>
      <w:bookmarkStart w:id="102" w:name="_Toc28031"/>
      <w:bookmarkStart w:id="103" w:name="_Toc517281822"/>
      <w:bookmarkStart w:id="104" w:name="_Toc9911"/>
      <w:bookmarkStart w:id="105" w:name="_Toc1945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7"/>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4"/>
        <w:spacing w:before="0" w:after="0"/>
        <w:jc w:val="left"/>
        <w:rPr>
          <w:rFonts w:ascii="仿宋" w:hAnsi="仿宋" w:eastAsia="仿宋" w:cs="仿宋"/>
          <w:sz w:val="28"/>
          <w:szCs w:val="28"/>
        </w:rPr>
      </w:pPr>
      <w:bookmarkStart w:id="107" w:name="_Toc186737806"/>
      <w:bookmarkStart w:id="108" w:name="_Toc10670"/>
      <w:bookmarkStart w:id="109" w:name="_Toc8109"/>
      <w:r>
        <w:rPr>
          <w:rFonts w:hint="eastAsia" w:ascii="仿宋" w:hAnsi="仿宋" w:eastAsia="仿宋" w:cs="仿宋"/>
          <w:sz w:val="28"/>
          <w:szCs w:val="28"/>
        </w:rPr>
        <w:t>第三章 评审办法</w:t>
      </w:r>
      <w:bookmarkEnd w:id="107"/>
      <w:bookmarkEnd w:id="108"/>
    </w:p>
    <w:p>
      <w:pPr>
        <w:pStyle w:val="5"/>
        <w:jc w:val="left"/>
        <w:rPr>
          <w:rFonts w:ascii="仿宋" w:hAnsi="仿宋" w:eastAsia="仿宋" w:cs="仿宋"/>
          <w:color w:val="000000"/>
          <w:sz w:val="24"/>
          <w:szCs w:val="24"/>
        </w:rPr>
      </w:pPr>
      <w:bookmarkStart w:id="110" w:name="_Toc7201"/>
      <w:bookmarkStart w:id="111" w:name="_Toc517281825"/>
      <w:bookmarkStart w:id="112" w:name="_Toc444891344"/>
      <w:bookmarkStart w:id="113" w:name="_Toc186737807"/>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firstLineChars="175"/>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6.通过初步评审的响应文件进行详细评审及打分；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5"/>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32019"/>
      <w:bookmarkStart w:id="119" w:name="_Toc18673780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3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90"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905"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具有履行合同所必需的设备和专业技术能力</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具有依法缴纳税收和社会保障资金的良好记录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line="276" w:lineRule="auto"/>
              <w:jc w:val="center"/>
              <w:rPr>
                <w:rFonts w:hint="eastAsia" w:ascii="仿宋" w:hAnsi="仿宋" w:eastAsia="仿宋" w:cs="仿宋"/>
                <w:color w:val="FF0000"/>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3078"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05"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b w:val="0"/>
                <w:bCs/>
                <w:i w:val="0"/>
                <w:iCs/>
                <w:color w:val="FF0000"/>
                <w:sz w:val="24"/>
                <w:szCs w:val="24"/>
                <w:lang w:val="en-US" w:eastAsia="zh-CN"/>
              </w:rPr>
              <w:t>提供《人力资源服务许可证》复印件并</w:t>
            </w:r>
            <w:r>
              <w:rPr>
                <w:rFonts w:hint="eastAsia" w:ascii="仿宋" w:hAnsi="仿宋" w:eastAsia="仿宋" w:cs="仿宋"/>
                <w:b w:val="0"/>
                <w:bCs/>
                <w:i w:val="0"/>
                <w:iCs/>
                <w:color w:val="FF0000"/>
                <w:sz w:val="24"/>
                <w:szCs w:val="24"/>
              </w:rPr>
              <w:t>加盖公司鲜章</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5"/>
        <w:ind w:firstLine="482" w:firstLineChars="200"/>
        <w:jc w:val="left"/>
        <w:rPr>
          <w:rFonts w:ascii="仿宋" w:hAnsi="仿宋" w:eastAsia="仿宋" w:cs="仿宋"/>
          <w:color w:val="000000"/>
          <w:sz w:val="24"/>
          <w:szCs w:val="24"/>
        </w:rPr>
      </w:pPr>
      <w:bookmarkStart w:id="120" w:name="_Toc25550"/>
      <w:bookmarkStart w:id="121" w:name="_Toc186737809"/>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w:t>
      </w:r>
      <w:r>
        <w:rPr>
          <w:rFonts w:hint="eastAsia" w:ascii="仿宋_GB2312" w:eastAsia="仿宋_GB2312"/>
          <w:lang w:eastAsia="zh-CN"/>
        </w:rPr>
        <w:t>：</w:t>
      </w:r>
      <w:r>
        <w:rPr>
          <w:rFonts w:hint="eastAsia" w:ascii="仿宋_GB2312" w:eastAsia="仿宋_GB2312"/>
        </w:rPr>
        <w:t>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楷体" w:hAnsi="楷体" w:eastAsia="楷体" w:cs="仿宋_GB2312"/>
          <w:i/>
          <w:color w:val="FF0000"/>
          <w:szCs w:val="32"/>
          <w:lang w:val="en-US" w:eastAsia="zh-CN"/>
        </w:rPr>
        <w:t>价格部分</w:t>
      </w:r>
      <w:r>
        <w:rPr>
          <w:rFonts w:hint="eastAsia" w:ascii="楷体" w:hAnsi="楷体" w:eastAsia="楷体" w:cs="仿宋_GB2312"/>
          <w:i/>
          <w:color w:val="FF0000"/>
          <w:szCs w:val="32"/>
        </w:rPr>
        <w:t>、</w:t>
      </w:r>
      <w:r>
        <w:rPr>
          <w:rFonts w:hint="eastAsia" w:ascii="楷体" w:hAnsi="楷体" w:eastAsia="楷体" w:cs="仿宋_GB2312"/>
          <w:i/>
          <w:color w:val="FF0000"/>
          <w:szCs w:val="32"/>
          <w:lang w:val="en-US" w:eastAsia="zh-CN"/>
        </w:rPr>
        <w:t>商务部分</w:t>
      </w:r>
      <w:r>
        <w:rPr>
          <w:rFonts w:hint="eastAsia" w:ascii="楷体" w:hAnsi="楷体" w:eastAsia="楷体" w:cs="仿宋_GB2312"/>
          <w:i/>
          <w:color w:val="FF0000"/>
          <w:szCs w:val="32"/>
        </w:rPr>
        <w:t>和</w:t>
      </w:r>
      <w:r>
        <w:rPr>
          <w:rFonts w:hint="eastAsia" w:ascii="楷体" w:hAnsi="楷体" w:eastAsia="楷体" w:cs="仿宋_GB2312"/>
          <w:i/>
          <w:color w:val="FF0000"/>
          <w:szCs w:val="32"/>
          <w:lang w:val="en-US" w:eastAsia="zh-CN"/>
        </w:rPr>
        <w:t>技术部分</w:t>
      </w:r>
      <w:r>
        <w:rPr>
          <w:rFonts w:hint="eastAsia" w:ascii="仿宋_GB2312" w:eastAsia="仿宋_GB2312"/>
        </w:rPr>
        <w:t>三项标准构成，评审</w:t>
      </w:r>
      <w:r>
        <w:rPr>
          <w:rFonts w:hint="eastAsia" w:ascii="仿宋_GB2312" w:eastAsia="仿宋_GB2312"/>
          <w:lang w:val="en-US" w:eastAsia="zh-CN"/>
        </w:rPr>
        <w:t>人员</w:t>
      </w:r>
      <w:r>
        <w:rPr>
          <w:rFonts w:hint="eastAsia" w:ascii="仿宋_GB2312" w:eastAsia="仿宋_GB2312"/>
        </w:rPr>
        <w:t>将依据磋商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w:t>
      </w:r>
      <w:r>
        <w:rPr>
          <w:rFonts w:hint="eastAsia" w:ascii="仿宋_GB2312" w:eastAsia="仿宋_GB2312"/>
          <w:color w:val="FF0000"/>
        </w:rPr>
        <w:t>前1名</w:t>
      </w:r>
      <w:r>
        <w:rPr>
          <w:rFonts w:hint="eastAsia" w:ascii="仿宋_GB2312" w:eastAsia="仿宋_GB2312"/>
        </w:rPr>
        <w:t>的供应商。</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评审标准如下：</w:t>
      </w:r>
    </w:p>
    <w:tbl>
      <w:tblPr>
        <w:tblStyle w:val="30"/>
        <w:tblW w:w="9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0"/>
        <w:gridCol w:w="2175"/>
        <w:gridCol w:w="3645"/>
        <w:gridCol w:w="1306"/>
        <w:gridCol w:w="12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6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内容</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类别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0" w:hRule="atLeast"/>
        </w:trPr>
        <w:tc>
          <w:tcPr>
            <w:tcW w:w="126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价格部分(40分）</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评分法中的价格分采用低价优先法计算，即满足招标文件要求且最低的评审价格为评标基准价，等于评标基准价得40分。其他供应商的价格分统一按照下列公式计算，精确到小数点后两位：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供应商报价得分＝（评标基准价/评审价格）×40；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评审价格按照如下方式定义：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对于承诺提供增值税专用发票的供应商，评审价格即不含税的投标总价净价；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对于不能提供增值税专用发票的供应商，评审价格是含税的投标总价。</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12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商务部分（10分）</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综合实力</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同类业绩</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近三年（2023年1月1日至开标日）具有1个以上同类项目实施案例，并提供符合上述要求的合同/协议关键页作为有效的业绩证明材料。合同/协议关键页包含但不限于合同/协议首页、体现项目内容页、签署日期页及盖章页等。</w:t>
            </w:r>
            <w:r>
              <w:rPr>
                <w:rStyle w:val="90"/>
                <w:lang w:val="en-US" w:eastAsia="zh-CN" w:bidi="ar"/>
              </w:rPr>
              <w:t>在满足资格条件1个案例的基础上，每再增加1个有效案例得1分，最多得5分。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0" w:hRule="atLeast"/>
        </w:trPr>
        <w:tc>
          <w:tcPr>
            <w:tcW w:w="12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技术部分（50分）</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总体服务方案与管理制度</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供应商针对本项目提供的总体服务方案（含组织架构、岗位职责、管理流程、服务质量控制）及内部管理制度（含考勤、考核、奖惩、培训）进行综合评审。方案紧密贴合采购人实际用工需求，组织架构清晰，岗位职责与考核标准明确；内部管理制度完整，包含具体的服务质量扣罚机制与人员激励措施，可操作性强，得8-10分；方案完整，制度齐全，但部分流程描述较为通用，缺乏针对本项目特定岗位的细化措施，得5-7分；方案简单笼统，制度内容流于形式或未提供方案或方案内容与劳务外包模式明显不符，得0-4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人员招聘、替换与稳定性保障</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Style w:val="91"/>
                <w:lang w:val="en-US" w:eastAsia="zh-CN" w:bidi="ar"/>
              </w:rPr>
              <w:t xml:space="preserve"> </w:t>
            </w:r>
            <w:r>
              <w:rPr>
                <w:rFonts w:hint="eastAsia" w:ascii="仿宋" w:hAnsi="仿宋" w:eastAsia="仿宋" w:cs="仿宋"/>
                <w:i w:val="0"/>
                <w:iCs w:val="0"/>
                <w:color w:val="000000"/>
                <w:kern w:val="0"/>
                <w:sz w:val="20"/>
                <w:szCs w:val="20"/>
                <w:u w:val="none"/>
                <w:lang w:val="en-US" w:eastAsia="zh-CN" w:bidi="ar"/>
              </w:rPr>
              <w:t xml:space="preserve"> 补位承诺（5分）：供应商承诺在接到采购人人员缺口通知后，48小时内补充到位得5分；72小时内补充到位得2分；超过72小时或未承诺不得分。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人员稳定性措施（5分）：根据供应商提供的针对本项目员工的薪酬福利保障方案、职业发展或转正激励机制进行评审。措施具体、能有效降低流失率的得5分；措施一般得2分；未提供不得分。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劳动争议与突发事件应急处理</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工伤与劳动争议处理（5分）：方案中明确包含工伤申报流程、劳动争议调解机制及法律支持团队的得5分；有基本流程但无具体法律支持资源的得2分；无相关内容的得0分。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突发事件应急预案（5分）：针对人员罢工、集体请假、现场安全事故等突发情况有具体分级响应措施和备用人员调配方案的得5分；有通用预案但针对性不强的得2分；无预案得0分。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人员培训与现场交接方案</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培训方案（5分）：包含岗前技能培训、安全教育培训及服务规范培训，且培训计划具体（有课时、有考核）的得5分；仅有培训标题无实质内容的得2分；无不得分。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2"/>
                <w:szCs w:val="22"/>
                <w:u w:val="none"/>
              </w:rPr>
            </w:pP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进退场交接（5分）：针对合同起始或终止时的平稳过渡提供详细交接方案（含资料移交、设备清点、人员平稳过渡承诺），方案详实可行的得5分；简单的得2分；未提供不得分。</w:t>
            </w:r>
          </w:p>
        </w:tc>
        <w:tc>
          <w:tcPr>
            <w:tcW w:w="130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5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增值服务</w:t>
            </w:r>
          </w:p>
        </w:tc>
        <w:tc>
          <w:tcPr>
            <w:tcW w:w="364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 每提供一项切实可行的增值服务，得5分，最高得10分。注：增值服务内容需与劳务管理相关，且需提供承诺函，空泛承诺不得分。</w:t>
            </w:r>
          </w:p>
        </w:tc>
        <w:tc>
          <w:tcPr>
            <w:tcW w:w="1306"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25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FF0000"/>
                <w:sz w:val="21"/>
                <w:szCs w:val="21"/>
                <w:u w:val="none"/>
              </w:rPr>
            </w:pPr>
            <w:r>
              <w:rPr>
                <w:rFonts w:hint="eastAsia" w:ascii="仿宋" w:hAnsi="仿宋" w:eastAsia="仿宋" w:cs="仿宋"/>
                <w:i w:val="0"/>
                <w:iCs w:val="0"/>
                <w:color w:val="FF0000"/>
                <w:kern w:val="0"/>
                <w:sz w:val="21"/>
                <w:szCs w:val="21"/>
                <w:u w:val="none"/>
                <w:lang w:val="en-US" w:eastAsia="zh-CN" w:bidi="ar"/>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12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217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364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仿宋" w:hAnsi="仿宋" w:eastAsia="仿宋" w:cs="仿宋"/>
                <w:i w:val="0"/>
                <w:iCs w:val="0"/>
                <w:color w:val="000000"/>
                <w:sz w:val="21"/>
                <w:szCs w:val="21"/>
                <w:u w:val="none"/>
              </w:rPr>
            </w:pPr>
          </w:p>
        </w:tc>
        <w:tc>
          <w:tcPr>
            <w:tcW w:w="1306"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2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FF0000"/>
                <w:sz w:val="21"/>
                <w:szCs w:val="21"/>
                <w:u w:val="none"/>
              </w:rPr>
            </w:pPr>
          </w:p>
        </w:tc>
      </w:tr>
    </w:tbl>
    <w:p>
      <w:pPr>
        <w:pStyle w:val="3"/>
      </w:pPr>
    </w:p>
    <w:p>
      <w:pPr>
        <w:rPr>
          <w:rFonts w:hint="eastAsia" w:eastAsiaTheme="minorEastAsia"/>
          <w:lang w:eastAsia="zh-CN"/>
        </w:rPr>
      </w:pPr>
    </w:p>
    <w:p>
      <w:pPr>
        <w:pStyle w:val="2"/>
      </w:pPr>
    </w:p>
    <w:bookmarkEnd w:id="109"/>
    <w:p>
      <w:pPr>
        <w:pStyle w:val="4"/>
        <w:numPr>
          <w:ilvl w:val="0"/>
          <w:numId w:val="3"/>
        </w:numPr>
        <w:spacing w:before="0" w:after="0"/>
        <w:ind w:left="0" w:leftChars="0" w:firstLine="0" w:firstLineChars="0"/>
        <w:jc w:val="center"/>
        <w:rPr>
          <w:rFonts w:hint="eastAsia" w:ascii="仿宋" w:hAnsi="仿宋" w:eastAsia="仿宋" w:cs="仿宋"/>
          <w:color w:val="FF0000"/>
          <w:sz w:val="28"/>
          <w:szCs w:val="28"/>
        </w:rPr>
      </w:pPr>
      <w:bookmarkStart w:id="122" w:name="_Toc15254"/>
      <w:bookmarkStart w:id="123" w:name="_Toc186737810"/>
      <w:r>
        <w:rPr>
          <w:rFonts w:hint="eastAsia" w:ascii="仿宋" w:hAnsi="仿宋" w:eastAsia="仿宋" w:cs="仿宋"/>
          <w:color w:val="FF0000"/>
          <w:sz w:val="28"/>
          <w:szCs w:val="28"/>
        </w:rPr>
        <w:t>合同条</w:t>
      </w:r>
      <w:bookmarkEnd w:id="122"/>
      <w:r>
        <w:rPr>
          <w:rFonts w:hint="eastAsia" w:ascii="仿宋" w:hAnsi="仿宋" w:eastAsia="仿宋" w:cs="仿宋"/>
          <w:color w:val="FF0000"/>
          <w:sz w:val="28"/>
          <w:szCs w:val="28"/>
        </w:rPr>
        <w:t>款</w:t>
      </w:r>
      <w:bookmarkEnd w:id="123"/>
    </w:p>
    <w:p>
      <w:pPr>
        <w:numPr>
          <w:ilvl w:val="0"/>
          <w:numId w:val="0"/>
        </w:numPr>
      </w:pPr>
    </w:p>
    <w:p>
      <w:pPr>
        <w:numPr>
          <w:ilvl w:val="0"/>
          <w:numId w:val="0"/>
        </w:num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仿宋_GB2312" w:hAnsi="仿宋_GB2312" w:eastAsia="仿宋_GB2312" w:cs="仿宋_GB2312"/>
          <w:b/>
          <w:bCs/>
          <w:sz w:val="24"/>
          <w:szCs w:val="24"/>
          <w:lang w:val="en-US" w:eastAsia="zh-CN"/>
        </w:rPr>
      </w:pPr>
      <w:bookmarkStart w:id="124" w:name="_Toc30040"/>
      <w:r>
        <w:rPr>
          <w:rFonts w:hint="eastAsia" w:ascii="仿宋_GB2312" w:hAnsi="仿宋_GB2312" w:eastAsia="仿宋_GB2312" w:cs="仿宋_GB2312"/>
          <w:b/>
          <w:bCs/>
          <w:sz w:val="24"/>
          <w:szCs w:val="24"/>
          <w:lang w:val="en-US" w:eastAsia="zh-CN"/>
        </w:rPr>
        <w:t xml:space="preserve"> 商务部分</w:t>
      </w:r>
      <w:bookmarkEnd w:id="124"/>
    </w:p>
    <w:p>
      <w:pPr>
        <w:keepNext w:val="0"/>
        <w:keepLines w:val="0"/>
        <w:pageBreakBefore w:val="0"/>
        <w:widowControl/>
        <w:kinsoku/>
        <w:wordWrap/>
        <w:overflowPunct/>
        <w:topLinePunct w:val="0"/>
        <w:autoSpaceDE/>
        <w:autoSpaceDN/>
        <w:bidi w:val="0"/>
        <w:adjustRightInd/>
        <w:snapToGrid/>
        <w:spacing w:line="600" w:lineRule="exact"/>
        <w:ind w:left="0" w:leftChars="0" w:firstLine="482"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b/>
          <w:bCs w:val="0"/>
          <w:sz w:val="24"/>
          <w:szCs w:val="24"/>
          <w:lang w:eastAsia="zh-CN"/>
        </w:rPr>
        <w:t>第一条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项目内容及要求</w:t>
      </w:r>
      <w:r>
        <w:rPr>
          <w:rFonts w:hint="eastAsia" w:ascii="仿宋_GB2312" w:hAnsi="仿宋_GB2312" w:eastAsia="仿宋_GB2312" w:cs="仿宋_GB2312"/>
          <w:sz w:val="24"/>
          <w:szCs w:val="24"/>
          <w:lang w:eastAsia="zh-CN"/>
        </w:rPr>
        <w:t xml:space="preserve"> </w:t>
      </w:r>
    </w:p>
    <w:p>
      <w:pPr>
        <w:keepNext w:val="0"/>
        <w:keepLines w:val="0"/>
        <w:pageBreakBefore w:val="0"/>
        <w:widowControl/>
        <w:kinsoku/>
        <w:wordWrap/>
        <w:overflowPunct/>
        <w:topLinePunct w:val="0"/>
        <w:autoSpaceDE/>
        <w:autoSpaceDN/>
        <w:bidi w:val="0"/>
        <w:adjustRightInd/>
        <w:snapToGrid/>
        <w:spacing w:line="600" w:lineRule="exact"/>
        <w:ind w:left="0" w:leftChars="0"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spacing w:line="600" w:lineRule="exact"/>
        <w:ind w:left="0" w:leftChars="0" w:firstLine="482"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第二条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合同价格</w:t>
      </w:r>
    </w:p>
    <w:p>
      <w:pPr>
        <w:keepNext w:val="0"/>
        <w:keepLines w:val="0"/>
        <w:pageBreakBefore w:val="0"/>
        <w:widowControl/>
        <w:kinsoku/>
        <w:wordWrap/>
        <w:overflowPunct/>
        <w:topLinePunct w:val="0"/>
        <w:autoSpaceDE/>
        <w:autoSpaceDN/>
        <w:bidi w:val="0"/>
        <w:adjustRightInd/>
        <w:snapToGrid/>
        <w:spacing w:line="600" w:lineRule="exact"/>
        <w:ind w:left="0" w:leftChars="0" w:firstLine="480" w:firstLineChars="20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line="600" w:lineRule="exact"/>
        <w:ind w:left="0" w:leftChars="0" w:firstLine="480" w:firstLineChars="20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（二） 本合同付款安排见【附件】。</w:t>
      </w:r>
    </w:p>
    <w:p>
      <w:pPr>
        <w:keepNext w:val="0"/>
        <w:keepLines w:val="0"/>
        <w:pageBreakBefore w:val="0"/>
        <w:widowControl/>
        <w:kinsoku/>
        <w:wordWrap/>
        <w:overflowPunct/>
        <w:topLinePunct w:val="0"/>
        <w:autoSpaceDE/>
        <w:autoSpaceDN/>
        <w:bidi w:val="0"/>
        <w:adjustRightInd/>
        <w:snapToGrid/>
        <w:spacing w:line="600" w:lineRule="exact"/>
        <w:ind w:left="0" w:leftChars="0" w:firstLine="482"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b/>
          <w:bCs w:val="0"/>
          <w:sz w:val="24"/>
          <w:szCs w:val="24"/>
          <w:lang w:eastAsia="zh-CN"/>
        </w:rPr>
        <w:t>第三条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双方的权利和义务</w:t>
      </w:r>
      <w:r>
        <w:rPr>
          <w:rFonts w:hint="eastAsia" w:ascii="仿宋_GB2312" w:hAnsi="仿宋_GB2312" w:eastAsia="仿宋_GB2312" w:cs="仿宋_GB2312"/>
          <w:sz w:val="24"/>
          <w:szCs w:val="24"/>
          <w:lang w:eastAsia="zh-CN"/>
        </w:rPr>
        <w:t xml:space="preserve"> </w:t>
      </w:r>
    </w:p>
    <w:p>
      <w:pPr>
        <w:keepNext w:val="0"/>
        <w:keepLines w:val="0"/>
        <w:pageBreakBefore w:val="0"/>
        <w:widowControl/>
        <w:kinsoku/>
        <w:wordWrap/>
        <w:overflowPunct/>
        <w:topLinePunct w:val="0"/>
        <w:autoSpaceDE/>
        <w:autoSpaceDN/>
        <w:bidi w:val="0"/>
        <w:adjustRightInd/>
        <w:snapToGrid/>
        <w:spacing w:line="600" w:lineRule="exact"/>
        <w:ind w:left="0" w:leftChars="0"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line="600" w:lineRule="exact"/>
        <w:ind w:left="0" w:leftChars="0" w:firstLine="482" w:firstLineChars="200"/>
        <w:jc w:val="left"/>
        <w:textAlignment w:val="auto"/>
        <w:rPr>
          <w:rFonts w:hint="default" w:ascii="仿宋_GB2312" w:hAnsi="仿宋_GB2312" w:eastAsia="仿宋_GB2312" w:cs="仿宋_GB2312"/>
          <w:sz w:val="24"/>
          <w:szCs w:val="24"/>
          <w:lang w:val="en-US"/>
        </w:rPr>
      </w:pPr>
      <w:r>
        <w:rPr>
          <w:rFonts w:hint="eastAsia" w:ascii="仿宋_GB2312" w:hAnsi="仿宋_GB2312" w:eastAsia="仿宋_GB2312" w:cs="仿宋_GB2312"/>
          <w:b/>
          <w:bCs w:val="0"/>
          <w:sz w:val="24"/>
          <w:szCs w:val="24"/>
          <w:lang w:eastAsia="zh-CN"/>
        </w:rPr>
        <w:t>第二条</w:t>
      </w:r>
      <w:r>
        <w:rPr>
          <w:rFonts w:hint="eastAsia" w:ascii="仿宋_GB2312" w:hAnsi="仿宋_GB2312" w:eastAsia="仿宋_GB2312" w:cs="仿宋_GB2312"/>
          <w:b/>
          <w:bCs/>
          <w:sz w:val="24"/>
          <w:szCs w:val="24"/>
          <w:lang w:eastAsia="zh-CN"/>
        </w:rPr>
        <w:t xml:space="preserve"> </w:t>
      </w:r>
      <w:r>
        <w:rPr>
          <w:rFonts w:hint="eastAsia" w:ascii="仿宋_GB2312" w:hAnsi="仿宋_GB2312" w:eastAsia="仿宋_GB2312" w:cs="仿宋_GB2312"/>
          <w:b/>
          <w:bCs/>
          <w:sz w:val="24"/>
          <w:szCs w:val="24"/>
          <w:lang w:val="en-US" w:eastAsia="zh-CN"/>
        </w:rPr>
        <w:t>违约责任</w:t>
      </w:r>
    </w:p>
    <w:p>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甲、乙任一方或双方违约的，违约一方应当向相对方承担相应的违约责任。违约责任的具体约定见【附件】。</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eastAsia="zh-CN"/>
        </w:rPr>
        <w:t>通用部分</w:t>
      </w:r>
    </w:p>
    <w:p>
      <w:pPr>
        <w:keepNext w:val="0"/>
        <w:keepLines w:val="0"/>
        <w:pageBreakBefore w:val="0"/>
        <w:widowControl/>
        <w:kinsoku/>
        <w:wordWrap/>
        <w:overflowPunct/>
        <w:topLinePunct w:val="0"/>
        <w:autoSpaceDE/>
        <w:autoSpaceDN/>
        <w:bidi w:val="0"/>
        <w:adjustRightInd/>
        <w:snapToGrid/>
        <w:spacing w:line="600" w:lineRule="exact"/>
        <w:ind w:firstLine="482"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第五条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双方的权利和义务</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（一） 甲方的权利和义务 </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（3）乙方未按照合同约定履行义务的，甲方有权采取相应的措施；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（4）甲方应按照合同约定向乙方支付合同价款；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乙方的权利和义务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（1）乙方有权获得甲方支付的合同价款；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（2）乙方应按照合同约定向甲方提供全部合格的服务；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（3）乙方应当按照合同约定的期限及要求完成项目内容；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第六条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禁止转让</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第七条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权利保证</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第八条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违约责任</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由于甲方原因不能按合同约定时间付款的，每延迟10个工作日，甲方按合同应付金额的1%向乙方支付违约金。</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乙方延迟交付的违约责任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（1）由于乙方原因造成项目延迟的，每延迟10个工作日，乙方向甲方支付违约金为合同服务费用总额的1%。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（2）由于乙方原因造成项目迟延，经甲方催促后乙方继续延误的，甲方有权单方面解除合同，乙方应按照合同服务费用总额的1%向甲方支付违约金，并赔偿由此引起的甲方全部损失。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（三） 验收不合格并且乙方在甲方指定期限内无法完成整改、提交合格的工作成果的，乙方应向甲方支付合同服务费用总额1%的违约金，并赔偿由此引起的甲方全部损失。</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（四） 如果乙方违反本合同约定的保密义务，乙方应向甲方支付相当于合同服务费用总额1%的违约金，甲方受到的损失超出违约金的部分，由乙方继续承担赔偿责任。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（五） 除本合同的约定外，因乙方的违约行为给甲方造成损失的，乙方应向甲方支付相当于合同服务费用总额1%的违约金，如甲方受到的损失超过违约金的，超出部分由乙方继续承担赔偿责任。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第九条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保密义务</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不可抗力</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第十一条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合同变更</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第十二条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合同特别终止</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甲乙双方同意在乙方出现下列情形时，甲方可以书面形式通知乙方（或者乙方的破产清算组或相关管理人）提出终止合同而不向其提供任何补偿：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 xml:space="preserve">（1）乙方破产、解散（包括但不限于乙方股东会决议解散、乙方被吊销营业执照、被责令关闭、被撤销、被司法机关裁决解散等情形）；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color w:val="3A3A3A"/>
          <w:sz w:val="24"/>
          <w:szCs w:val="24"/>
          <w:lang w:val="en-US"/>
        </w:rPr>
        <w:t>        </w:t>
      </w:r>
      <w:r>
        <w:rPr>
          <w:rFonts w:hint="eastAsia" w:ascii="仿宋_GB2312" w:hAnsi="仿宋_GB2312" w:eastAsia="仿宋_GB2312" w:cs="仿宋_GB2312"/>
          <w:sz w:val="24"/>
          <w:szCs w:val="24"/>
          <w:lang w:eastAsia="zh-CN"/>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第十三条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法律适用与争议解决</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第十四条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合同生效及其他</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（二） 合同期限自</w:t>
      </w:r>
      <w:r>
        <w:rPr>
          <w:rFonts w:hint="eastAsia" w:eastAsia="仿宋"/>
        </w:rPr>
        <w:t>_______</w:t>
      </w:r>
      <w:r>
        <w:rPr>
          <w:rFonts w:hint="eastAsia" w:ascii="仿宋_GB2312" w:hAnsi="仿宋_GB2312" w:eastAsia="仿宋_GB2312" w:cs="仿宋_GB2312"/>
          <w:sz w:val="24"/>
          <w:szCs w:val="24"/>
          <w:lang w:eastAsia="zh-CN"/>
        </w:rPr>
        <w:t>年</w:t>
      </w:r>
      <w:r>
        <w:rPr>
          <w:rFonts w:hint="eastAsia" w:eastAsia="仿宋"/>
        </w:rPr>
        <w:t>_______</w:t>
      </w:r>
      <w:r>
        <w:rPr>
          <w:rFonts w:hint="eastAsia" w:ascii="仿宋_GB2312" w:hAnsi="仿宋_GB2312" w:eastAsia="仿宋_GB2312" w:cs="仿宋_GB2312"/>
          <w:sz w:val="24"/>
          <w:szCs w:val="24"/>
          <w:lang w:eastAsia="zh-CN"/>
        </w:rPr>
        <w:t>月</w:t>
      </w:r>
      <w:r>
        <w:rPr>
          <w:rFonts w:hint="eastAsia" w:eastAsia="仿宋"/>
        </w:rPr>
        <w:t>_______</w:t>
      </w:r>
      <w:r>
        <w:rPr>
          <w:rFonts w:hint="eastAsia" w:ascii="仿宋_GB2312" w:hAnsi="仿宋_GB2312" w:eastAsia="仿宋_GB2312" w:cs="仿宋_GB2312"/>
          <w:sz w:val="24"/>
          <w:szCs w:val="24"/>
          <w:lang w:eastAsia="zh-CN"/>
        </w:rPr>
        <w:t>日始，至</w:t>
      </w:r>
      <w:r>
        <w:rPr>
          <w:rFonts w:hint="eastAsia" w:eastAsia="仿宋"/>
        </w:rPr>
        <w:t>_______</w:t>
      </w:r>
      <w:r>
        <w:rPr>
          <w:rFonts w:hint="eastAsia" w:ascii="仿宋_GB2312" w:hAnsi="仿宋_GB2312" w:eastAsia="仿宋_GB2312" w:cs="仿宋_GB2312"/>
          <w:sz w:val="24"/>
          <w:szCs w:val="24"/>
          <w:lang w:eastAsia="zh-CN"/>
        </w:rPr>
        <w:t>年</w:t>
      </w:r>
      <w:r>
        <w:rPr>
          <w:rFonts w:hint="eastAsia" w:eastAsia="仿宋"/>
        </w:rPr>
        <w:t>_______</w:t>
      </w:r>
      <w:r>
        <w:rPr>
          <w:rFonts w:hint="eastAsia" w:ascii="仿宋_GB2312" w:hAnsi="仿宋_GB2312" w:eastAsia="仿宋_GB2312" w:cs="仿宋_GB2312"/>
          <w:sz w:val="24"/>
          <w:szCs w:val="24"/>
          <w:lang w:eastAsia="zh-CN"/>
        </w:rPr>
        <w:t>月</w:t>
      </w:r>
      <w:r>
        <w:rPr>
          <w:rFonts w:hint="eastAsia" w:eastAsia="仿宋"/>
        </w:rPr>
        <w:t>_______</w:t>
      </w:r>
      <w:r>
        <w:rPr>
          <w:rFonts w:hint="eastAsia" w:ascii="仿宋_GB2312" w:hAnsi="仿宋_GB2312" w:eastAsia="仿宋_GB2312" w:cs="仿宋_GB2312"/>
          <w:sz w:val="24"/>
          <w:szCs w:val="24"/>
          <w:lang w:eastAsia="zh-CN"/>
        </w:rPr>
        <w:t>日止。</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（三） 本合同一式</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lang w:eastAsia="zh-CN"/>
        </w:rPr>
        <w:t>份，其中正本</w:t>
      </w:r>
      <w:r>
        <w:rPr>
          <w:rFonts w:hint="eastAsia" w:ascii="仿宋_GB2312" w:hAnsi="仿宋_GB2312" w:eastAsia="仿宋_GB2312" w:cs="仿宋_GB2312"/>
          <w:u w:val="single"/>
          <w:lang w:val="en-US" w:eastAsia="zh-CN"/>
        </w:rPr>
        <w:t xml:space="preserve"> 2  </w:t>
      </w:r>
      <w:r>
        <w:rPr>
          <w:rFonts w:hint="eastAsia" w:ascii="仿宋_GB2312" w:hAnsi="仿宋_GB2312" w:eastAsia="仿宋_GB2312" w:cs="仿宋_GB2312"/>
          <w:sz w:val="24"/>
          <w:szCs w:val="24"/>
          <w:lang w:eastAsia="zh-CN"/>
        </w:rPr>
        <w:t>份，副本</w:t>
      </w:r>
      <w:r>
        <w:rPr>
          <w:rFonts w:hint="eastAsia" w:ascii="仿宋_GB2312" w:hAnsi="仿宋_GB2312" w:eastAsia="仿宋_GB2312" w:cs="仿宋_GB2312"/>
          <w:u w:val="single"/>
          <w:lang w:val="en-US" w:eastAsia="zh-CN"/>
        </w:rPr>
        <w:t xml:space="preserve"> 2  </w:t>
      </w:r>
      <w:r>
        <w:rPr>
          <w:rFonts w:hint="eastAsia" w:ascii="仿宋_GB2312" w:hAnsi="仿宋_GB2312" w:eastAsia="仿宋_GB2312" w:cs="仿宋_GB2312"/>
          <w:sz w:val="24"/>
          <w:szCs w:val="24"/>
          <w:lang w:eastAsia="zh-CN"/>
        </w:rPr>
        <w:t>份。甲方执</w:t>
      </w:r>
      <w:r>
        <w:rPr>
          <w:rFonts w:hint="eastAsia" w:ascii="仿宋_GB2312" w:hAnsi="仿宋_GB2312" w:eastAsia="仿宋_GB2312" w:cs="仿宋_GB2312"/>
          <w:u w:val="single"/>
          <w:lang w:val="en-US" w:eastAsia="zh-CN"/>
        </w:rPr>
        <w:t xml:space="preserve"> 1  </w:t>
      </w:r>
      <w:r>
        <w:rPr>
          <w:rFonts w:hint="eastAsia" w:ascii="仿宋_GB2312" w:hAnsi="仿宋_GB2312" w:eastAsia="仿宋_GB2312" w:cs="仿宋_GB2312"/>
          <w:sz w:val="24"/>
          <w:szCs w:val="24"/>
          <w:lang w:eastAsia="zh-CN"/>
        </w:rPr>
        <w:t>份正本，</w:t>
      </w:r>
      <w:r>
        <w:rPr>
          <w:rFonts w:hint="eastAsia" w:ascii="仿宋_GB2312" w:hAnsi="仿宋_GB2312" w:eastAsia="仿宋_GB2312" w:cs="仿宋_GB2312"/>
          <w:u w:val="single"/>
          <w:lang w:val="en-US" w:eastAsia="zh-CN"/>
        </w:rPr>
        <w:t xml:space="preserve"> 1  </w:t>
      </w:r>
      <w:r>
        <w:rPr>
          <w:rFonts w:hint="eastAsia" w:ascii="仿宋_GB2312" w:hAnsi="仿宋_GB2312" w:eastAsia="仿宋_GB2312" w:cs="仿宋_GB2312"/>
          <w:sz w:val="24"/>
          <w:szCs w:val="24"/>
          <w:lang w:eastAsia="zh-CN"/>
        </w:rPr>
        <w:t>份副本；乙方执</w:t>
      </w:r>
      <w:r>
        <w:rPr>
          <w:rFonts w:hint="eastAsia" w:ascii="仿宋_GB2312" w:hAnsi="仿宋_GB2312" w:eastAsia="仿宋_GB2312" w:cs="仿宋_GB2312"/>
          <w:u w:val="single"/>
          <w:lang w:val="en-US" w:eastAsia="zh-CN"/>
        </w:rPr>
        <w:t xml:space="preserve"> 1  </w:t>
      </w:r>
      <w:r>
        <w:rPr>
          <w:rFonts w:hint="eastAsia" w:ascii="仿宋_GB2312" w:hAnsi="仿宋_GB2312" w:eastAsia="仿宋_GB2312" w:cs="仿宋_GB2312"/>
          <w:sz w:val="24"/>
          <w:szCs w:val="24"/>
          <w:lang w:eastAsia="zh-CN"/>
        </w:rPr>
        <w:t>份正本，</w:t>
      </w:r>
      <w:r>
        <w:rPr>
          <w:rFonts w:hint="eastAsia" w:ascii="仿宋_GB2312" w:hAnsi="仿宋_GB2312" w:eastAsia="仿宋_GB2312" w:cs="仿宋_GB2312"/>
          <w:u w:val="single"/>
          <w:lang w:val="en-US" w:eastAsia="zh-CN"/>
        </w:rPr>
        <w:t xml:space="preserve"> 1  </w:t>
      </w:r>
      <w:r>
        <w:rPr>
          <w:rFonts w:hint="eastAsia" w:ascii="仿宋_GB2312" w:hAnsi="仿宋_GB2312" w:eastAsia="仿宋_GB2312" w:cs="仿宋_GB2312"/>
          <w:sz w:val="24"/>
          <w:szCs w:val="24"/>
          <w:lang w:eastAsia="zh-CN"/>
        </w:rPr>
        <w:t>份副本。</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 xml:space="preserve">   （六）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lang w:eastAsia="zh-CN"/>
        </w:rPr>
        <w:t>        第十五条</w:t>
      </w: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b/>
          <w:bCs/>
          <w:sz w:val="24"/>
          <w:szCs w:val="24"/>
          <w:lang w:eastAsia="zh-CN"/>
        </w:rPr>
        <w:t>附件的组成</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w:t>
      </w:r>
    </w:p>
    <w:p>
      <w:pPr>
        <w:spacing w:after="240" w:line="360" w:lineRule="auto"/>
        <w:ind w:left="0" w:leftChars="0" w:firstLine="0" w:firstLineChars="0"/>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sz w:val="24"/>
          <w:szCs w:val="24"/>
          <w:lang w:eastAsia="zh-CN"/>
        </w:rPr>
        <w:br w:type="page"/>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兹证明，各方于</w:t>
      </w:r>
      <w:r>
        <w:rPr>
          <w:rFonts w:hint="eastAsia" w:ascii="仿宋_GB2312" w:hAnsi="仿宋_GB2312" w:eastAsia="仿宋_GB2312" w:cs="仿宋_GB2312"/>
          <w:sz w:val="24"/>
          <w:szCs w:val="24"/>
          <w:u w:val="single"/>
          <w:lang w:eastAsia="zh-CN"/>
        </w:rPr>
        <w:t>      </w:t>
      </w:r>
      <w:r>
        <w:rPr>
          <w:rFonts w:hint="eastAsia" w:ascii="仿宋_GB2312" w:hAnsi="仿宋_GB2312" w:eastAsia="仿宋_GB2312" w:cs="仿宋_GB2312"/>
          <w:sz w:val="24"/>
          <w:szCs w:val="24"/>
          <w:lang w:eastAsia="zh-CN"/>
        </w:rPr>
        <w:t xml:space="preserve">年 </w:t>
      </w:r>
      <w:r>
        <w:rPr>
          <w:rFonts w:hint="eastAsia" w:ascii="仿宋_GB2312" w:hAnsi="仿宋_GB2312" w:eastAsia="仿宋_GB2312" w:cs="仿宋_GB2312"/>
          <w:sz w:val="24"/>
          <w:szCs w:val="24"/>
          <w:u w:val="single"/>
          <w:lang w:eastAsia="zh-CN"/>
        </w:rPr>
        <w:t>      </w:t>
      </w:r>
      <w:r>
        <w:rPr>
          <w:rFonts w:hint="eastAsia" w:ascii="仿宋_GB2312" w:hAnsi="仿宋_GB2312" w:eastAsia="仿宋_GB2312" w:cs="仿宋_GB2312"/>
          <w:sz w:val="24"/>
          <w:szCs w:val="24"/>
          <w:lang w:eastAsia="zh-CN"/>
        </w:rPr>
        <w:t xml:space="preserve">月 </w:t>
      </w:r>
      <w:r>
        <w:rPr>
          <w:rFonts w:hint="eastAsia" w:ascii="仿宋_GB2312" w:hAnsi="仿宋_GB2312" w:eastAsia="仿宋_GB2312" w:cs="仿宋_GB2312"/>
          <w:sz w:val="24"/>
          <w:szCs w:val="24"/>
          <w:u w:val="single"/>
          <w:lang w:eastAsia="zh-CN"/>
        </w:rPr>
        <w:t>      </w:t>
      </w:r>
      <w:r>
        <w:rPr>
          <w:rFonts w:hint="eastAsia" w:ascii="仿宋_GB2312" w:hAnsi="仿宋_GB2312" w:eastAsia="仿宋_GB2312" w:cs="仿宋_GB2312"/>
          <w:sz w:val="24"/>
          <w:szCs w:val="24"/>
          <w:lang w:eastAsia="zh-CN"/>
        </w:rPr>
        <w:t xml:space="preserve">日签订本合同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甲方（盖章）：中国人民财产保险股份有限公司</w:t>
      </w:r>
      <w:r>
        <w:rPr>
          <w:rFonts w:hint="eastAsia" w:ascii="仿宋_GB2312" w:hAnsi="仿宋_GB2312" w:eastAsia="仿宋_GB2312" w:cs="仿宋_GB2312"/>
          <w:sz w:val="24"/>
          <w:szCs w:val="24"/>
          <w:lang w:val="en-US" w:eastAsia="zh-CN"/>
        </w:rPr>
        <w:t>雅安</w:t>
      </w:r>
      <w:r>
        <w:rPr>
          <w:rFonts w:hint="eastAsia" w:ascii="仿宋_GB2312" w:hAnsi="仿宋_GB2312" w:eastAsia="仿宋_GB2312" w:cs="仿宋_GB2312"/>
          <w:sz w:val="24"/>
          <w:szCs w:val="24"/>
          <w:lang w:eastAsia="zh-CN"/>
        </w:rPr>
        <w:t>市分公司</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xml:space="preserve">法定代表人/授权代表（签字）： </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乙方（盖章）：</w:t>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br w:type="textWrapping"/>
      </w:r>
      <w:r>
        <w:rPr>
          <w:rFonts w:hint="eastAsia" w:ascii="仿宋_GB2312" w:hAnsi="仿宋_GB2312" w:eastAsia="仿宋_GB2312" w:cs="仿宋_GB2312"/>
          <w:sz w:val="24"/>
          <w:szCs w:val="24"/>
          <w:lang w:eastAsia="zh-CN"/>
        </w:rPr>
        <w:t xml:space="preserve">法定代表人/授权代表（签字）： </w:t>
      </w:r>
    </w:p>
    <w:p>
      <w:pPr>
        <w:pStyle w:val="2"/>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spacing w:line="600" w:lineRule="exact"/>
        <w:jc w:val="left"/>
        <w:rPr>
          <w:rFonts w:hint="eastAsia" w:ascii="微软雅黑" w:hAnsi="微软雅黑" w:eastAsia="微软雅黑" w:cs="微软雅黑"/>
          <w:b/>
          <w:bCs/>
          <w:sz w:val="28"/>
          <w:szCs w:val="28"/>
        </w:rPr>
      </w:pPr>
    </w:p>
    <w:p>
      <w:pPr>
        <w:spacing w:line="600" w:lineRule="exact"/>
        <w:jc w:val="left"/>
        <w:rPr>
          <w:rFonts w:hint="eastAsia" w:ascii="微软雅黑" w:hAnsi="微软雅黑" w:eastAsia="微软雅黑" w:cs="微软雅黑"/>
          <w:b/>
          <w:bCs/>
          <w:sz w:val="28"/>
          <w:szCs w:val="28"/>
        </w:rPr>
      </w:pPr>
    </w:p>
    <w:p>
      <w:pPr>
        <w:spacing w:line="600" w:lineRule="exact"/>
        <w:jc w:val="left"/>
        <w:rPr>
          <w:rFonts w:hint="eastAsia" w:ascii="微软雅黑" w:hAnsi="微软雅黑" w:eastAsia="微软雅黑" w:cs="微软雅黑"/>
          <w:b/>
          <w:bCs/>
          <w:sz w:val="28"/>
          <w:szCs w:val="28"/>
        </w:rPr>
      </w:pPr>
    </w:p>
    <w:p>
      <w:pPr>
        <w:spacing w:line="600" w:lineRule="exact"/>
        <w:jc w:val="left"/>
        <w:rPr>
          <w:rFonts w:hint="eastAsia" w:ascii="微软雅黑" w:hAnsi="微软雅黑" w:eastAsia="微软雅黑" w:cs="微软雅黑"/>
          <w:b/>
          <w:bCs/>
          <w:sz w:val="28"/>
          <w:szCs w:val="28"/>
        </w:rPr>
      </w:pPr>
    </w:p>
    <w:p>
      <w:pPr>
        <w:spacing w:line="600" w:lineRule="exact"/>
        <w:jc w:val="left"/>
        <w:rPr>
          <w:rFonts w:hint="eastAsia" w:ascii="微软雅黑" w:hAnsi="微软雅黑" w:eastAsia="微软雅黑" w:cs="微软雅黑"/>
          <w:b/>
          <w:bCs/>
          <w:sz w:val="28"/>
          <w:szCs w:val="28"/>
        </w:rPr>
      </w:pPr>
    </w:p>
    <w:p>
      <w:pPr>
        <w:spacing w:line="600" w:lineRule="exact"/>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附件一</w:t>
      </w:r>
    </w:p>
    <w:p>
      <w:pPr>
        <w:spacing w:line="60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val="en-US" w:eastAsia="zh-CN"/>
        </w:rPr>
        <w:t>农险</w:t>
      </w:r>
      <w:r>
        <w:rPr>
          <w:rFonts w:hint="eastAsia" w:ascii="微软雅黑" w:hAnsi="微软雅黑" w:eastAsia="微软雅黑" w:cs="微软雅黑"/>
          <w:b/>
          <w:bCs/>
          <w:sz w:val="28"/>
          <w:szCs w:val="28"/>
        </w:rPr>
        <w:t>项目和服务标准</w:t>
      </w:r>
    </w:p>
    <w:p>
      <w:pPr>
        <w:jc w:val="left"/>
        <w:rPr>
          <w:rFonts w:ascii="Garamond" w:hAnsi="Garamond" w:cs="Garamond"/>
          <w:sz w:val="44"/>
          <w:szCs w:val="44"/>
        </w:rPr>
      </w:pP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b/>
          <w:sz w:val="24"/>
          <w:szCs w:val="24"/>
        </w:rPr>
      </w:pPr>
      <w:r>
        <w:rPr>
          <w:rFonts w:hint="eastAsia" w:ascii="仿宋" w:hAnsi="仿宋" w:eastAsia="仿宋" w:cs="宋体"/>
          <w:b/>
          <w:sz w:val="24"/>
          <w:szCs w:val="24"/>
        </w:rPr>
        <w:t>一、外包项目</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协助甲方在服务区域内开展政策性农业保险服务工作，主要分为</w:t>
      </w:r>
      <w:r>
        <w:rPr>
          <w:rFonts w:hint="eastAsia" w:ascii="仿宋" w:hAnsi="仿宋" w:eastAsia="仿宋" w:cs="宋体"/>
          <w:sz w:val="24"/>
          <w:szCs w:val="24"/>
          <w:lang w:val="en-US" w:eastAsia="zh-CN"/>
        </w:rPr>
        <w:t>协</w:t>
      </w:r>
      <w:r>
        <w:rPr>
          <w:rFonts w:hint="eastAsia" w:ascii="仿宋" w:hAnsi="仿宋" w:eastAsia="仿宋" w:cs="宋体"/>
          <w:sz w:val="24"/>
          <w:szCs w:val="24"/>
        </w:rPr>
        <w:t>保、</w:t>
      </w:r>
      <w:r>
        <w:rPr>
          <w:rFonts w:hint="eastAsia" w:ascii="仿宋" w:hAnsi="仿宋" w:eastAsia="仿宋" w:cs="宋体"/>
          <w:sz w:val="24"/>
          <w:szCs w:val="24"/>
          <w:lang w:val="en-US" w:eastAsia="zh-CN"/>
        </w:rPr>
        <w:t>协</w:t>
      </w:r>
      <w:r>
        <w:rPr>
          <w:rFonts w:hint="eastAsia" w:ascii="仿宋" w:hAnsi="仿宋" w:eastAsia="仿宋" w:cs="宋体"/>
          <w:sz w:val="24"/>
          <w:szCs w:val="24"/>
        </w:rPr>
        <w:t>赔。</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（一）</w:t>
      </w:r>
      <w:r>
        <w:rPr>
          <w:rFonts w:hint="eastAsia" w:ascii="仿宋" w:hAnsi="仿宋" w:eastAsia="仿宋" w:cs="宋体"/>
          <w:sz w:val="24"/>
          <w:szCs w:val="24"/>
          <w:lang w:eastAsia="zh-CN"/>
        </w:rPr>
        <w:t>协</w:t>
      </w:r>
      <w:r>
        <w:rPr>
          <w:rFonts w:hint="eastAsia" w:ascii="仿宋" w:hAnsi="仿宋" w:eastAsia="仿宋" w:cs="宋体"/>
          <w:sz w:val="24"/>
          <w:szCs w:val="24"/>
        </w:rPr>
        <w:t>保：协助开展农业保险宣传动员、代收农户保费、清单造册、技术服务等工作。</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（二）</w:t>
      </w:r>
      <w:r>
        <w:rPr>
          <w:rFonts w:hint="eastAsia" w:ascii="仿宋" w:hAnsi="仿宋" w:eastAsia="仿宋" w:cs="宋体"/>
          <w:sz w:val="24"/>
          <w:szCs w:val="24"/>
          <w:lang w:eastAsia="zh-CN"/>
        </w:rPr>
        <w:t>协</w:t>
      </w:r>
      <w:r>
        <w:rPr>
          <w:rFonts w:hint="eastAsia" w:ascii="仿宋" w:hAnsi="仿宋" w:eastAsia="仿宋" w:cs="宋体"/>
          <w:sz w:val="24"/>
          <w:szCs w:val="24"/>
        </w:rPr>
        <w:t>赔：发生保险事故后，协助开展接报案、查勘定损、参与抢险救灾、收集理赔资料和鉴定等工作。</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cs="宋体"/>
          <w:b/>
          <w:sz w:val="24"/>
          <w:szCs w:val="24"/>
        </w:rPr>
      </w:pPr>
      <w:r>
        <w:rPr>
          <w:rFonts w:hint="eastAsia" w:ascii="仿宋" w:hAnsi="仿宋" w:eastAsia="仿宋" w:cs="宋体"/>
          <w:b/>
          <w:sz w:val="24"/>
          <w:szCs w:val="24"/>
        </w:rPr>
        <w:t>二、服务区域</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雅安市全辖。</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cs="宋体"/>
          <w:b/>
          <w:sz w:val="24"/>
          <w:szCs w:val="24"/>
        </w:rPr>
      </w:pPr>
      <w:r>
        <w:rPr>
          <w:rFonts w:hint="eastAsia" w:ascii="仿宋" w:hAnsi="仿宋" w:eastAsia="仿宋" w:cs="宋体"/>
          <w:b/>
          <w:sz w:val="24"/>
          <w:szCs w:val="24"/>
        </w:rPr>
        <w:t>三、服务内容</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农险服务包括但不限于协助客户从事政策性农业保险承保业务咨询及解释工作；协助宣导最新农业保险政策；协助客户进行信息采集及组织签字、清单造册、收集整理承保/理赔资料、核对承保/理赔数据；协助开展现场查验/查勘，搜集受损标的特征和规模、损失原因和程度、标识或有关信息；协助进行公示；协助收集农户意见建议，协助处理回访及投诉处理；开展川农保等工具软件的推广指导；协助做好公司品牌形象宣传,促进业务稳定持续发展。详细内容如下：</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一）协助甲方在承保前以现场、线上等形式宣讲相关惠农政策、服务标准和监管要求等内容。由农业生产经营组织或村民委员会等单位组织农民投保的，协助甲方组织投保人、被保险人召开宣传说明会，现场发放投保险种保险条款，重点讲解保险责任、责任免除、赔款处理等内容。</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二）准确完整记录投保信息。包括：客户信息，投保人、被保险人姓名或者组织名称、身份证号码或统一社会信用代码、联系方式、联系地址等；保险标的信息，种植业保险标的数量、品种、地块或村组位置，养殖业保险标的数量、品种、地点位置、标识或有关信息，森林保险标的数量、属性、地点位置等；其他信息。投保险种、保费金额、保险费率、自缴保费、保险金额、保险期间等。</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（三）收集投保单、分户投保清单、验标影像、承保公示资料等，保险单或保险凭证及时发放到户。</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（四）收集查勘报告、损失清单、查勘影像、无害化处理单证、公示资料等。</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五）对保险标的真实性、准确性、权属和风险等情况进行查验并拍摄影像，要反映查验人员、查验日期、承保标的特征和规模等。养殖业查验保险标的的存栏数量、防灾防疫、标识标志等情况；种植业查验被保险土地承保经营权证书或土地承包经营租赁合同等资料；森林查验被保险人山林权属证明或山林承包经营租赁合同等资料。</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六）接到报案后，在24小时内进行查勘。对损失情况进行拍摄，并确保影像资料清晰、完整、未经任何修改。查勘影像应当体现查勘人员、拍摄位置、拍摄日期、受损标的特征和规模、损失原因和程度、标识或有关信息等。发生种植业、森林灾害，依照相关农业、林业技术规范，抽取样本测定保险标的损失程度。如实撰写查勘报告，并保存查勘原始记录等单证资料。查勘单证应当对标的受损情况、事故原因以及是否属于保险责任等提出意见，并由查勘人员和被保险人签名确认。</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cs="宋体"/>
          <w:b/>
          <w:sz w:val="24"/>
          <w:szCs w:val="24"/>
        </w:rPr>
      </w:pPr>
      <w:r>
        <w:rPr>
          <w:rFonts w:hint="eastAsia" w:ascii="仿宋" w:hAnsi="仿宋" w:eastAsia="仿宋" w:cs="宋体"/>
          <w:b/>
          <w:sz w:val="24"/>
          <w:szCs w:val="24"/>
        </w:rPr>
        <w:t>四、服务质量标准</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（一）开展政策性农业保险宣传动员和防灾防损培训宣传符合甲方宣传政策，不存在虚假宣传的情况。</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（二）代收农户自缴保费必须到户，足额足量，金额准确。向甲方交存代收的农户自缴保费及时完整，不存在丢失、隐匿、贪污、截留、挪用、短少等情况。</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（三）办理政策性农业保险投保手续符合甲方流程要求，承保档案齐全、真实、完备，不存在替代投保、夸大数量等虚假投保行为。</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（四）协助甲方开展理赔查勘工作符合甲方流程要求，理赔档案齐全、真实、完备，赔款支付必须到户，不存在虚假理赔行为。</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（五）保管甲方单证不存在丢失、隐匿、毁损的情况。</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（六）政策性农业保险承保、理赔公示内容、地点、期限符合甲方要求。</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hint="eastAsia" w:ascii="仿宋" w:hAnsi="仿宋" w:eastAsia="仿宋" w:cs="宋体"/>
          <w:b/>
          <w:sz w:val="24"/>
          <w:szCs w:val="24"/>
        </w:rPr>
      </w:pPr>
    </w:p>
    <w:p>
      <w:pPr>
        <w:pStyle w:val="52"/>
        <w:keepNext w:val="0"/>
        <w:keepLines w:val="0"/>
        <w:pageBreakBefore w:val="0"/>
        <w:widowControl/>
        <w:numPr>
          <w:ilvl w:val="0"/>
          <w:numId w:val="4"/>
        </w:numPr>
        <w:kinsoku/>
        <w:wordWrap/>
        <w:overflowPunct/>
        <w:topLinePunct w:val="0"/>
        <w:autoSpaceDE/>
        <w:autoSpaceDN/>
        <w:bidi w:val="0"/>
        <w:adjustRightInd/>
        <w:snapToGrid/>
        <w:spacing w:line="600" w:lineRule="exact"/>
        <w:ind w:left="0" w:firstLine="562"/>
        <w:textAlignment w:val="auto"/>
        <w:rPr>
          <w:rFonts w:hint="eastAsia" w:ascii="仿宋" w:hAnsi="仿宋" w:eastAsia="仿宋" w:cs="宋体"/>
          <w:b/>
          <w:sz w:val="24"/>
          <w:szCs w:val="24"/>
        </w:rPr>
      </w:pPr>
      <w:r>
        <w:rPr>
          <w:rFonts w:hint="eastAsia" w:ascii="仿宋" w:hAnsi="仿宋" w:eastAsia="仿宋" w:cs="宋体"/>
          <w:b/>
          <w:sz w:val="24"/>
          <w:szCs w:val="24"/>
        </w:rPr>
        <w:t>支付标准</w:t>
      </w:r>
    </w:p>
    <w:p>
      <w:pPr>
        <w:pStyle w:val="52"/>
        <w:keepNext w:val="0"/>
        <w:keepLines w:val="0"/>
        <w:pageBreakBefore w:val="0"/>
        <w:widowControl/>
        <w:kinsoku/>
        <w:wordWrap/>
        <w:overflowPunct/>
        <w:topLinePunct w:val="0"/>
        <w:autoSpaceDE/>
        <w:autoSpaceDN/>
        <w:bidi w:val="0"/>
        <w:adjustRightInd/>
        <w:snapToGrid/>
        <w:spacing w:line="600" w:lineRule="exact"/>
        <w:ind w:left="0" w:leftChars="0" w:firstLine="240" w:firstLineChars="100"/>
        <w:textAlignment w:val="auto"/>
        <w:rPr>
          <w:rFonts w:hint="eastAsia" w:ascii="仿宋" w:hAnsi="仿宋" w:eastAsia="仿宋" w:cs="宋体"/>
          <w:color w:val="FF0000"/>
          <w:sz w:val="24"/>
          <w:szCs w:val="24"/>
          <w:highlight w:val="none"/>
          <w:lang w:eastAsia="zh-CN"/>
        </w:rPr>
      </w:pPr>
      <w:r>
        <w:rPr>
          <w:rFonts w:hint="eastAsia" w:ascii="仿宋" w:hAnsi="仿宋" w:eastAsia="仿宋" w:cs="宋体"/>
          <w:color w:val="C00000"/>
          <w:sz w:val="24"/>
          <w:szCs w:val="24"/>
          <w:highlight w:val="none"/>
        </w:rPr>
        <w:t>甲方以下列结算标准为</w:t>
      </w:r>
      <w:r>
        <w:rPr>
          <w:rFonts w:hint="eastAsia" w:ascii="仿宋" w:hAnsi="仿宋" w:eastAsia="仿宋" w:cs="宋体"/>
          <w:b w:val="0"/>
          <w:bCs w:val="0"/>
          <w:color w:val="C00000"/>
          <w:sz w:val="24"/>
          <w:szCs w:val="24"/>
          <w:highlight w:val="none"/>
        </w:rPr>
        <w:t>单位上限</w:t>
      </w:r>
      <w:r>
        <w:rPr>
          <w:rFonts w:hint="eastAsia" w:ascii="仿宋" w:hAnsi="仿宋" w:eastAsia="仿宋" w:cs="宋体"/>
          <w:color w:val="C00000"/>
          <w:sz w:val="24"/>
          <w:szCs w:val="24"/>
          <w:highlight w:val="none"/>
        </w:rPr>
        <w:t>，按乙方劳务事项完成数量和完成质量，支付劳务报酬</w:t>
      </w:r>
      <w:r>
        <w:rPr>
          <w:rFonts w:hint="eastAsia" w:ascii="仿宋" w:hAnsi="仿宋" w:eastAsia="仿宋" w:cs="宋体"/>
          <w:color w:val="C00000"/>
          <w:sz w:val="24"/>
          <w:szCs w:val="24"/>
          <w:highlight w:val="none"/>
          <w:lang w:eastAsia="zh-CN"/>
        </w:rPr>
        <w:t>。</w:t>
      </w:r>
    </w:p>
    <w:p>
      <w:pPr>
        <w:pStyle w:val="52"/>
        <w:keepNext w:val="0"/>
        <w:keepLines w:val="0"/>
        <w:pageBreakBefore w:val="0"/>
        <w:widowControl/>
        <w:numPr>
          <w:ilvl w:val="0"/>
          <w:numId w:val="0"/>
        </w:numPr>
        <w:kinsoku/>
        <w:wordWrap/>
        <w:overflowPunct/>
        <w:topLinePunct w:val="0"/>
        <w:autoSpaceDE/>
        <w:autoSpaceDN/>
        <w:bidi w:val="0"/>
        <w:adjustRightInd/>
        <w:snapToGrid/>
        <w:spacing w:line="600" w:lineRule="exact"/>
        <w:ind w:leftChars="200"/>
        <w:textAlignment w:val="auto"/>
        <w:rPr>
          <w:rFonts w:hint="eastAsia" w:ascii="仿宋" w:hAnsi="仿宋" w:eastAsia="仿宋" w:cs="宋体"/>
          <w:b/>
          <w:sz w:val="24"/>
          <w:szCs w:val="24"/>
        </w:rPr>
      </w:pPr>
    </w:p>
    <w:tbl>
      <w:tblPr>
        <w:tblStyle w:val="30"/>
        <w:tblW w:w="462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4"/>
        <w:gridCol w:w="2760"/>
        <w:gridCol w:w="2413"/>
        <w:gridCol w:w="30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7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费用类别</w:t>
            </w:r>
          </w:p>
        </w:tc>
        <w:tc>
          <w:tcPr>
            <w:tcW w:w="151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品种</w:t>
            </w:r>
          </w:p>
        </w:tc>
        <w:tc>
          <w:tcPr>
            <w:tcW w:w="132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结算标准上限（元）</w:t>
            </w:r>
          </w:p>
        </w:tc>
        <w:tc>
          <w:tcPr>
            <w:tcW w:w="1690" w:type="pct"/>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单笔结算上限（元）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473"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c>
          <w:tcPr>
            <w:tcW w:w="1513"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themeColor="text1"/>
                <w:sz w:val="20"/>
                <w:szCs w:val="20"/>
                <w:u w:val="none"/>
                <w14:textFill>
                  <w14:solidFill>
                    <w14:schemeClr w14:val="tx1"/>
                  </w14:solidFill>
                </w14:textFill>
              </w:rPr>
            </w:pPr>
          </w:p>
        </w:tc>
        <w:tc>
          <w:tcPr>
            <w:tcW w:w="132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themeColor="text1"/>
                <w:sz w:val="20"/>
                <w:szCs w:val="20"/>
                <w:u w:val="none"/>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协保</w:t>
            </w: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水稻</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100亩以下：3000元/保单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100亩(含）以上：4000元/保单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玉米</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油菜</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马铃薯</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小麦</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大豆</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能繁母猪</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tabs>
                <w:tab w:val="left" w:pos="947"/>
              </w:tabs>
              <w:jc w:val="left"/>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个体投保：3000元/保单</w:t>
            </w:r>
          </w:p>
          <w:p>
            <w:pPr>
              <w:keepNext w:val="0"/>
              <w:keepLines w:val="0"/>
              <w:widowControl/>
              <w:suppressLineNumbers w:val="0"/>
              <w:tabs>
                <w:tab w:val="left" w:pos="947"/>
              </w:tabs>
              <w:jc w:val="left"/>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团体投保：3600元/保单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牦牛</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藏系羊</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奶牛</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1690" w:type="pct"/>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商品林</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1690"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公益林</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100亩以下：3000元/保单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100亩(含）以上：4000元/保单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茶叶气象指数</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水果（柑橘、樱桃、苹果、李子、枇杷、梨、核桃、猕猴桃等）</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马蓝</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中药材</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花椒</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肉牛</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个体投保：3000元/保单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团体投保：3600元/保单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肉羊</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地方牦牛</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水产</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育肥猪综合收入</w:t>
            </w:r>
          </w:p>
        </w:tc>
        <w:tc>
          <w:tcPr>
            <w:tcW w:w="13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1690"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黄柏</w:t>
            </w:r>
          </w:p>
        </w:tc>
        <w:tc>
          <w:tcPr>
            <w:tcW w:w="1322"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1690"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协赔</w:t>
            </w:r>
          </w:p>
        </w:tc>
        <w:tc>
          <w:tcPr>
            <w:tcW w:w="15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能繁母猪、育肥猪、奶牛、藏系羊、肉牛、肉羊（49头以内）</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vMerge w:val="continue"/>
            <w:tcBorders>
              <w:top w:val="single" w:color="auto"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能繁母猪、育肥猪、奶牛、藏系羊、肉牛、肉羊（50头及以上）</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牦牛</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水产、家禽、育肥猪综合收入、价格指数、气象指数、费用</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气象指数、价格指数、费用</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3"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5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商品林、公益林、黄柏</w:t>
            </w:r>
          </w:p>
        </w:tc>
        <w:tc>
          <w:tcPr>
            <w:tcW w:w="132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0"/>
                <w:szCs w:val="20"/>
                <w:u w:val="none"/>
                <w:lang w:val="en-US" w:eastAsia="zh-CN" w:bidi="ar"/>
              </w:rPr>
            </w:pPr>
          </w:p>
        </w:tc>
        <w:tc>
          <w:tcPr>
            <w:tcW w:w="16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bl>
    <w:p>
      <w:pPr>
        <w:pStyle w:val="52"/>
        <w:keepNext w:val="0"/>
        <w:keepLines w:val="0"/>
        <w:pageBreakBefore w:val="0"/>
        <w:widowControl/>
        <w:kinsoku/>
        <w:wordWrap/>
        <w:overflowPunct/>
        <w:topLinePunct w:val="0"/>
        <w:autoSpaceDE/>
        <w:autoSpaceDN/>
        <w:bidi w:val="0"/>
        <w:adjustRightInd/>
        <w:snapToGrid/>
        <w:spacing w:line="600" w:lineRule="exact"/>
        <w:ind w:left="0" w:leftChars="0" w:firstLine="0" w:firstLineChars="0"/>
        <w:textAlignment w:val="auto"/>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注：如有其他农险大灾协赔，查勘费用可按照不高于 200 元/天进行结算，由甲乙双方据实协商确认结算天数和标准。</w:t>
      </w:r>
    </w:p>
    <w:p>
      <w:pPr>
        <w:pStyle w:val="52"/>
        <w:keepNext w:val="0"/>
        <w:keepLines w:val="0"/>
        <w:pageBreakBefore w:val="0"/>
        <w:widowControl/>
        <w:kinsoku/>
        <w:wordWrap/>
        <w:overflowPunct/>
        <w:topLinePunct w:val="0"/>
        <w:autoSpaceDE/>
        <w:autoSpaceDN/>
        <w:bidi w:val="0"/>
        <w:adjustRightInd/>
        <w:snapToGrid/>
        <w:spacing w:line="600" w:lineRule="exact"/>
        <w:ind w:left="0" w:leftChars="0" w:firstLine="480" w:firstLineChars="200"/>
        <w:textAlignment w:val="auto"/>
        <w:rPr>
          <w:rFonts w:hint="eastAsia" w:ascii="仿宋" w:hAnsi="仿宋" w:eastAsia="仿宋" w:cs="宋体"/>
          <w:color w:val="FF0000"/>
          <w:sz w:val="24"/>
          <w:szCs w:val="24"/>
        </w:rPr>
      </w:pPr>
      <w:r>
        <w:rPr>
          <w:rFonts w:hint="eastAsia" w:ascii="仿宋" w:hAnsi="仿宋" w:eastAsia="仿宋" w:cs="宋体"/>
          <w:sz w:val="24"/>
          <w:szCs w:val="24"/>
        </w:rPr>
        <w:t>初期外包事项详见上文</w:t>
      </w:r>
      <w:r>
        <w:rPr>
          <w:rFonts w:hint="eastAsia" w:ascii="仿宋" w:hAnsi="仿宋" w:eastAsia="仿宋" w:cs="宋体"/>
          <w:sz w:val="24"/>
          <w:szCs w:val="24"/>
          <w:lang w:eastAsia="zh-CN"/>
        </w:rPr>
        <w:t>。</w:t>
      </w:r>
      <w:r>
        <w:rPr>
          <w:rFonts w:hint="eastAsia" w:ascii="仿宋" w:hAnsi="仿宋" w:eastAsia="仿宋" w:cs="宋体"/>
          <w:color w:val="000000" w:themeColor="text1"/>
          <w:sz w:val="24"/>
          <w:szCs w:val="24"/>
          <w:lang w:val="en-US" w:eastAsia="zh-CN"/>
          <w14:textFill>
            <w14:solidFill>
              <w14:schemeClr w14:val="tx1"/>
            </w14:solidFill>
          </w14:textFill>
        </w:rPr>
        <w:t>上述内容若有新增品种或项目时，由双方另行协商并签订补充协议完善。本项目主采购合同及后续签订的全部补充协议，累计合同总金额不得超过本项目采购总金额。</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如因乙方服务质量原因导致发生</w:t>
      </w:r>
      <w:r>
        <w:rPr>
          <w:rFonts w:hint="eastAsia" w:ascii="仿宋" w:hAnsi="仿宋" w:eastAsia="仿宋" w:cs="宋体"/>
          <w:sz w:val="24"/>
          <w:szCs w:val="24"/>
          <w:lang w:eastAsia="zh-CN"/>
        </w:rPr>
        <w:t>金监局</w:t>
      </w:r>
      <w:r>
        <w:rPr>
          <w:rFonts w:hint="eastAsia" w:ascii="仿宋" w:hAnsi="仿宋" w:eastAsia="仿宋" w:cs="宋体"/>
          <w:sz w:val="24"/>
          <w:szCs w:val="24"/>
        </w:rPr>
        <w:t>级别有效投诉，甲方有权扣除当月全部服务费用。</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hint="default" w:ascii="仿宋" w:hAnsi="仿宋" w:eastAsia="仿宋" w:cs="宋体"/>
          <w:b/>
          <w:sz w:val="24"/>
          <w:szCs w:val="24"/>
          <w:lang w:val="en-US" w:eastAsia="zh-CN"/>
        </w:rPr>
      </w:pPr>
      <w:r>
        <w:rPr>
          <w:rFonts w:hint="eastAsia" w:ascii="仿宋" w:hAnsi="仿宋" w:eastAsia="仿宋" w:cs="宋体"/>
          <w:b/>
          <w:sz w:val="24"/>
          <w:szCs w:val="24"/>
          <w:lang w:val="en-US" w:eastAsia="zh-CN"/>
        </w:rPr>
        <w:t>六</w:t>
      </w:r>
      <w:r>
        <w:rPr>
          <w:rFonts w:hint="eastAsia" w:ascii="仿宋" w:hAnsi="仿宋" w:eastAsia="仿宋" w:cs="宋体"/>
          <w:b/>
          <w:sz w:val="24"/>
          <w:szCs w:val="24"/>
        </w:rPr>
        <w:t>、</w:t>
      </w:r>
      <w:r>
        <w:rPr>
          <w:rFonts w:hint="eastAsia" w:ascii="仿宋" w:hAnsi="仿宋" w:eastAsia="仿宋" w:cs="宋体"/>
          <w:b/>
          <w:sz w:val="24"/>
          <w:szCs w:val="24"/>
          <w:lang w:val="en-US" w:eastAsia="zh-CN"/>
        </w:rPr>
        <w:t>付款安排</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lang w:val="en-US" w:eastAsia="zh-CN"/>
        </w:rPr>
        <w:t>1</w:t>
      </w:r>
      <w:r>
        <w:rPr>
          <w:rFonts w:hint="eastAsia" w:ascii="仿宋" w:hAnsi="仿宋" w:eastAsia="仿宋" w:cs="宋体"/>
          <w:sz w:val="24"/>
          <w:szCs w:val="24"/>
        </w:rPr>
        <w:t>.付款方式：双方采用转账方式付款，</w:t>
      </w:r>
      <w:r>
        <w:rPr>
          <w:rFonts w:hint="eastAsia" w:ascii="仿宋" w:hAnsi="仿宋" w:eastAsia="仿宋" w:cs="仿宋"/>
          <w:color w:val="auto"/>
          <w:sz w:val="24"/>
          <w:szCs w:val="24"/>
        </w:rPr>
        <w:t>甲方应向乙方以下账户进行支付：</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开户行：</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账户名称：</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账号：</w:t>
      </w:r>
    </w:p>
    <w:p>
      <w:pPr>
        <w:pStyle w:val="2"/>
        <w:keepNext w:val="0"/>
        <w:keepLines w:val="0"/>
        <w:pageBreakBefore w:val="0"/>
        <w:kinsoku/>
        <w:wordWrap/>
        <w:overflowPunct/>
        <w:topLinePunct w:val="0"/>
        <w:autoSpaceDE/>
        <w:autoSpaceDN/>
        <w:bidi w:val="0"/>
        <w:adjustRightInd/>
        <w:snapToGrid/>
        <w:spacing w:line="600" w:lineRule="exact"/>
        <w:ind w:left="0"/>
        <w:textAlignment w:val="auto"/>
        <w:rPr>
          <w:rFonts w:hint="eastAsia"/>
        </w:rPr>
      </w:pP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乙方如需改变上述账户，应提前10日以书面通知甲方。</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lang w:val="en-US" w:eastAsia="zh-CN"/>
        </w:rPr>
        <w:t>2</w:t>
      </w:r>
      <w:r>
        <w:rPr>
          <w:rFonts w:hint="eastAsia" w:ascii="仿宋" w:hAnsi="仿宋" w:eastAsia="仿宋" w:cs="宋体"/>
          <w:sz w:val="24"/>
          <w:szCs w:val="24"/>
        </w:rPr>
        <w:t>.付款安排</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甲方</w:t>
      </w:r>
      <w:r>
        <w:rPr>
          <w:rFonts w:hint="eastAsia" w:ascii="仿宋" w:hAnsi="仿宋" w:eastAsia="仿宋" w:cs="宋体"/>
          <w:sz w:val="24"/>
          <w:szCs w:val="24"/>
          <w:lang w:val="en-US" w:eastAsia="zh-CN"/>
        </w:rPr>
        <w:t>分次向</w:t>
      </w:r>
      <w:r>
        <w:rPr>
          <w:rFonts w:hint="eastAsia" w:ascii="仿宋" w:hAnsi="仿宋" w:eastAsia="仿宋" w:cs="宋体"/>
          <w:sz w:val="24"/>
          <w:szCs w:val="24"/>
        </w:rPr>
        <w:t>乙方付款，付款前乙方须向甲方出具付款通知书，并按照附件规定出具合法有效的增值税发票：</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（1）本合同生效后，在甲方收到乙方书面付款通知书后15个工作日内，甲方支付乙方应结算的服务费用；</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（2）甲方向乙方支付的合同服务费用</w:t>
      </w:r>
      <w:r>
        <w:rPr>
          <w:rFonts w:hint="eastAsia" w:ascii="仿宋" w:hAnsi="仿宋" w:eastAsia="仿宋" w:cs="宋体"/>
          <w:sz w:val="24"/>
          <w:szCs w:val="24"/>
          <w:lang w:eastAsia="zh-CN"/>
        </w:rPr>
        <w:t>，</w:t>
      </w:r>
      <w:r>
        <w:rPr>
          <w:rFonts w:hint="eastAsia" w:ascii="仿宋" w:hAnsi="仿宋" w:eastAsia="仿宋" w:cs="宋体"/>
          <w:sz w:val="24"/>
          <w:szCs w:val="24"/>
        </w:rPr>
        <w:t>按照实际工作内容、支付标准、</w:t>
      </w:r>
      <w:r>
        <w:rPr>
          <w:rFonts w:hint="eastAsia" w:ascii="仿宋" w:hAnsi="仿宋" w:eastAsia="仿宋" w:cs="宋体"/>
          <w:sz w:val="24"/>
          <w:szCs w:val="24"/>
          <w:lang w:val="en-US" w:eastAsia="zh-CN"/>
        </w:rPr>
        <w:t>实际发生件数等计费</w:t>
      </w:r>
      <w:r>
        <w:rPr>
          <w:rFonts w:hint="eastAsia" w:ascii="仿宋" w:hAnsi="仿宋" w:eastAsia="仿宋" w:cs="宋体"/>
          <w:sz w:val="24"/>
          <w:szCs w:val="24"/>
        </w:rPr>
        <w:t>。</w:t>
      </w:r>
    </w:p>
    <w:p>
      <w:pPr>
        <w:keepNext w:val="0"/>
        <w:keepLines w:val="0"/>
        <w:pageBreakBefore w:val="0"/>
        <w:kinsoku/>
        <w:wordWrap/>
        <w:overflowPunct/>
        <w:topLinePunct w:val="0"/>
        <w:autoSpaceDE/>
        <w:autoSpaceDN/>
        <w:bidi w:val="0"/>
        <w:adjustRightInd/>
        <w:snapToGrid/>
        <w:spacing w:line="600" w:lineRule="exact"/>
        <w:ind w:left="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由于乙方未提供或未及时提供足额有效的增值税发票，或乙方变更账户信息但未提前通知甲方而导致的付款迟延，甲方不承担任何责任。</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cs="宋体"/>
          <w:b/>
          <w:sz w:val="24"/>
          <w:szCs w:val="24"/>
        </w:rPr>
      </w:pPr>
      <w:r>
        <w:rPr>
          <w:rFonts w:hint="eastAsia" w:ascii="仿宋" w:hAnsi="仿宋" w:eastAsia="仿宋" w:cs="宋体"/>
          <w:b/>
          <w:sz w:val="24"/>
          <w:szCs w:val="24"/>
          <w:lang w:val="en-US" w:eastAsia="zh-CN"/>
        </w:rPr>
        <w:t>七</w:t>
      </w:r>
      <w:r>
        <w:rPr>
          <w:rFonts w:hint="eastAsia" w:ascii="仿宋" w:hAnsi="仿宋" w:eastAsia="仿宋" w:cs="宋体"/>
          <w:b/>
          <w:sz w:val="24"/>
          <w:szCs w:val="24"/>
        </w:rPr>
        <w:t>、岗位及职责描述</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（一）所需岗位：农业保险协保</w:t>
      </w:r>
      <w:r>
        <w:rPr>
          <w:rFonts w:hint="eastAsia" w:ascii="仿宋" w:hAnsi="仿宋" w:eastAsia="仿宋" w:cs="宋体"/>
          <w:sz w:val="24"/>
          <w:szCs w:val="24"/>
          <w:lang w:val="en-US" w:eastAsia="zh-CN"/>
        </w:rPr>
        <w:t>/协赔</w:t>
      </w:r>
      <w:r>
        <w:rPr>
          <w:rFonts w:hint="eastAsia" w:ascii="仿宋" w:hAnsi="仿宋" w:eastAsia="仿宋" w:cs="宋体"/>
          <w:sz w:val="24"/>
          <w:szCs w:val="24"/>
        </w:rPr>
        <w:t>员岗</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二）岗位职责：协助甲方开展农业保险宣传动员、代收农户保费、清单造册、技术服务等工作；发生保险事故后，协助甲方开展接报案、查勘定损、参与抢险救灾、收集理赔资料和鉴定等工作；为增强政策性农业保险相关保险标的防灾防损能力、减少或避免财产损失，协助甲方开展政策性农业保险防灾防损培训宣传。</w:t>
      </w:r>
    </w:p>
    <w:p>
      <w:pPr>
        <w:pStyle w:val="52"/>
        <w:keepNext w:val="0"/>
        <w:keepLines w:val="0"/>
        <w:pageBreakBefore w:val="0"/>
        <w:widowControl/>
        <w:kinsoku/>
        <w:wordWrap/>
        <w:overflowPunct/>
        <w:topLinePunct w:val="0"/>
        <w:autoSpaceDE/>
        <w:autoSpaceDN/>
        <w:bidi w:val="0"/>
        <w:adjustRightInd/>
        <w:snapToGrid/>
        <w:spacing w:line="600" w:lineRule="exact"/>
        <w:ind w:left="0" w:firstLine="562"/>
        <w:textAlignment w:val="auto"/>
        <w:rPr>
          <w:rFonts w:ascii="仿宋" w:hAnsi="仿宋" w:eastAsia="仿宋" w:cs="宋体"/>
          <w:b/>
          <w:sz w:val="28"/>
          <w:szCs w:val="28"/>
        </w:rPr>
      </w:pPr>
      <w:r>
        <w:rPr>
          <w:rFonts w:hint="eastAsia" w:ascii="仿宋" w:hAnsi="仿宋" w:eastAsia="仿宋" w:cs="宋体"/>
          <w:b/>
          <w:sz w:val="24"/>
          <w:szCs w:val="24"/>
          <w:lang w:val="en-US" w:eastAsia="zh-CN"/>
        </w:rPr>
        <w:t>八</w:t>
      </w:r>
      <w:r>
        <w:rPr>
          <w:rFonts w:hint="eastAsia" w:ascii="仿宋" w:hAnsi="仿宋" w:eastAsia="仿宋" w:cs="宋体"/>
          <w:b/>
          <w:sz w:val="24"/>
          <w:szCs w:val="24"/>
        </w:rPr>
        <w:t>、岗位胜任能力及资格要求</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（一）认同公司文化，思想品德端正，遵纪守法，具备农业保险从业经历的优先。</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（二）高中及以上学历，年龄20-65周岁，身体健康。具备农业保险从业经历或在当地有较强人脉关系及资源的，可适度放宽年龄。</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（三）具备较强的沟通协调和组织动员能力，具备良好的主动服务意识。</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（四）熟悉农村工作，口碑好，有亲和力。村组干部优先。</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ascii="仿宋" w:hAnsi="仿宋" w:eastAsia="仿宋" w:cs="宋体"/>
          <w:sz w:val="24"/>
          <w:szCs w:val="24"/>
        </w:rPr>
      </w:pPr>
      <w:r>
        <w:rPr>
          <w:rFonts w:hint="eastAsia" w:ascii="仿宋" w:hAnsi="仿宋" w:eastAsia="仿宋" w:cs="宋体"/>
          <w:sz w:val="24"/>
          <w:szCs w:val="24"/>
        </w:rPr>
        <w:t>（五）掌握保险基础知识，具备一般风险评估知识和服务操作常识，能够较为熟练操作手机。</w:t>
      </w:r>
    </w:p>
    <w:p>
      <w:pPr>
        <w:pStyle w:val="52"/>
        <w:keepNext w:val="0"/>
        <w:keepLines w:val="0"/>
        <w:pageBreakBefore w:val="0"/>
        <w:widowControl/>
        <w:kinsoku/>
        <w:wordWrap/>
        <w:overflowPunct/>
        <w:topLinePunct w:val="0"/>
        <w:autoSpaceDE/>
        <w:autoSpaceDN/>
        <w:bidi w:val="0"/>
        <w:adjustRightInd/>
        <w:snapToGrid/>
        <w:spacing w:line="600" w:lineRule="exact"/>
        <w:ind w:left="0" w:firstLine="560"/>
        <w:textAlignment w:val="auto"/>
        <w:rPr>
          <w:rFonts w:hint="eastAsia" w:ascii="仿宋" w:hAnsi="仿宋" w:eastAsia="仿宋" w:cs="宋体"/>
          <w:sz w:val="24"/>
          <w:szCs w:val="24"/>
        </w:rPr>
      </w:pPr>
      <w:r>
        <w:rPr>
          <w:rFonts w:hint="eastAsia" w:ascii="仿宋" w:hAnsi="仿宋" w:eastAsia="仿宋" w:cs="宋体"/>
          <w:sz w:val="24"/>
          <w:szCs w:val="24"/>
        </w:rPr>
        <w:t>（六）不得为机关事业单位在编在职人员。</w:t>
      </w:r>
    </w:p>
    <w:p>
      <w:pPr>
        <w:pStyle w:val="52"/>
        <w:widowControl/>
        <w:spacing w:line="560" w:lineRule="atLeast"/>
        <w:ind w:left="-6" w:firstLine="560"/>
        <w:rPr>
          <w:rFonts w:hint="eastAsia" w:ascii="仿宋" w:hAnsi="仿宋" w:eastAsia="仿宋" w:cs="宋体"/>
          <w:sz w:val="28"/>
          <w:szCs w:val="28"/>
        </w:rPr>
      </w:pPr>
    </w:p>
    <w:p>
      <w:pPr>
        <w:rPr>
          <w:rFonts w:hint="eastAsia" w:ascii="微软雅黑" w:hAnsi="微软雅黑" w:eastAsia="微软雅黑" w:cs="微软雅黑"/>
          <w:b/>
          <w:bCs/>
          <w:sz w:val="28"/>
          <w:szCs w:val="28"/>
        </w:rPr>
      </w:pPr>
      <w:bookmarkStart w:id="125" w:name="_Toc11358"/>
      <w:r>
        <w:rPr>
          <w:rFonts w:hint="eastAsia" w:ascii="微软雅黑" w:hAnsi="微软雅黑" w:eastAsia="微软雅黑" w:cs="微软雅黑"/>
          <w:b/>
          <w:bCs/>
          <w:sz w:val="28"/>
          <w:szCs w:val="28"/>
        </w:rPr>
        <w:br w:type="page"/>
      </w:r>
    </w:p>
    <w:p>
      <w:pPr>
        <w:spacing w:line="240" w:lineRule="atLeast"/>
        <w:ind w:right="-211"/>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附件</w:t>
      </w:r>
      <w:r>
        <w:rPr>
          <w:rFonts w:hint="eastAsia" w:ascii="微软雅黑" w:hAnsi="微软雅黑" w:eastAsia="微软雅黑" w:cs="微软雅黑"/>
          <w:b/>
          <w:bCs/>
          <w:sz w:val="28"/>
          <w:szCs w:val="28"/>
          <w:lang w:val="en-US" w:eastAsia="zh-CN"/>
        </w:rPr>
        <w:t>二</w:t>
      </w:r>
      <w:bookmarkEnd w:id="125"/>
      <w:r>
        <w:rPr>
          <w:rFonts w:hint="eastAsia" w:ascii="微软雅黑" w:hAnsi="微软雅黑" w:eastAsia="微软雅黑" w:cs="微软雅黑"/>
          <w:b/>
          <w:bCs/>
          <w:sz w:val="28"/>
          <w:szCs w:val="28"/>
        </w:rPr>
        <w:tab/>
      </w:r>
    </w:p>
    <w:p>
      <w:pPr>
        <w:spacing w:line="240" w:lineRule="atLeast"/>
        <w:ind w:right="-211" w:firstLine="280"/>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val="en-US" w:eastAsia="zh-CN"/>
        </w:rPr>
        <w:t>社保</w:t>
      </w:r>
      <w:r>
        <w:rPr>
          <w:rFonts w:hint="eastAsia" w:ascii="微软雅黑" w:hAnsi="微软雅黑" w:eastAsia="微软雅黑" w:cs="微软雅黑"/>
          <w:b/>
          <w:bCs/>
          <w:sz w:val="28"/>
          <w:szCs w:val="28"/>
        </w:rPr>
        <w:t>项目和服务标准</w:t>
      </w:r>
    </w:p>
    <w:p>
      <w:pPr>
        <w:spacing w:line="360" w:lineRule="auto"/>
        <w:rPr>
          <w:rFonts w:ascii="楷体_GB2312" w:hAnsi="宋体" w:eastAsia="楷体_GB2312"/>
          <w:b/>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b/>
          <w:sz w:val="28"/>
          <w:szCs w:val="28"/>
        </w:rPr>
      </w:pPr>
      <w:r>
        <w:rPr>
          <w:rFonts w:hint="eastAsia" w:ascii="仿宋" w:hAnsi="仿宋" w:eastAsia="仿宋" w:cs="仿宋"/>
          <w:b/>
          <w:sz w:val="24"/>
          <w:szCs w:val="24"/>
        </w:rPr>
        <w:t>一、外包项目内容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1.外包项目</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中国人民财产保险股份有限公司雅安市分公司</w:t>
      </w:r>
      <w:r>
        <w:rPr>
          <w:rFonts w:hint="eastAsia" w:ascii="仿宋" w:hAnsi="仿宋" w:eastAsia="仿宋" w:cs="仿宋"/>
          <w:sz w:val="24"/>
          <w:szCs w:val="24"/>
          <w:lang w:val="en-US" w:eastAsia="zh-CN"/>
        </w:rPr>
        <w:t>社保</w:t>
      </w:r>
      <w:r>
        <w:rPr>
          <w:rFonts w:hint="eastAsia" w:ascii="仿宋" w:hAnsi="仿宋" w:eastAsia="仿宋" w:cs="仿宋"/>
          <w:sz w:val="24"/>
          <w:szCs w:val="24"/>
        </w:rPr>
        <w:t>劳务外包服务</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2.项目内容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甲方委托乙方</w:t>
      </w:r>
      <w:r>
        <w:rPr>
          <w:rFonts w:hint="eastAsia" w:ascii="仿宋" w:hAnsi="仿宋" w:eastAsia="仿宋" w:cs="仿宋"/>
          <w:sz w:val="24"/>
          <w:szCs w:val="24"/>
          <w:lang w:val="en-US" w:eastAsia="zh-CN"/>
        </w:rPr>
        <w:t>在服务区域内</w:t>
      </w:r>
      <w:r>
        <w:rPr>
          <w:rFonts w:hint="eastAsia" w:ascii="仿宋" w:hAnsi="仿宋" w:eastAsia="仿宋" w:cs="仿宋"/>
          <w:sz w:val="24"/>
          <w:szCs w:val="24"/>
        </w:rPr>
        <w:t>完成关于补充医疗保险业务的相关工作。具体如下：</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Times New Roman" w:eastAsia="仿宋_GB2312" w:cs="Times New Roman"/>
          <w:color w:val="auto"/>
          <w:kern w:val="2"/>
          <w:sz w:val="24"/>
          <w:szCs w:val="24"/>
          <w:lang w:val="en-US" w:eastAsia="zh-CN" w:bidi="ar-SA"/>
        </w:rPr>
      </w:pPr>
      <w:r>
        <w:rPr>
          <w:rFonts w:hint="eastAsia" w:ascii="仿宋_GB2312" w:hAnsi="Times New Roman" w:eastAsia="仿宋_GB2312" w:cs="Times New Roman"/>
          <w:color w:val="auto"/>
          <w:kern w:val="2"/>
          <w:sz w:val="24"/>
          <w:szCs w:val="24"/>
          <w:lang w:val="en-US" w:eastAsia="zh-CN" w:bidi="ar-SA"/>
        </w:rPr>
        <w:t>（一）补充医疗保险赔案资料收集、资料录入及赔案审核；</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Times New Roman" w:eastAsia="仿宋_GB2312" w:cs="Times New Roman"/>
          <w:color w:val="auto"/>
          <w:kern w:val="2"/>
          <w:sz w:val="24"/>
          <w:szCs w:val="24"/>
          <w:lang w:val="en-US" w:eastAsia="zh-CN" w:bidi="ar-SA"/>
        </w:rPr>
      </w:pPr>
      <w:r>
        <w:rPr>
          <w:rFonts w:hint="eastAsia" w:ascii="仿宋_GB2312" w:hAnsi="Times New Roman" w:eastAsia="仿宋_GB2312" w:cs="Times New Roman"/>
          <w:color w:val="auto"/>
          <w:kern w:val="2"/>
          <w:sz w:val="24"/>
          <w:szCs w:val="24"/>
          <w:lang w:val="en-US" w:eastAsia="zh-CN" w:bidi="ar-SA"/>
        </w:rPr>
        <w:t>（二）赔案稽核、医疗巡查；</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Times New Roman" w:eastAsia="仿宋_GB2312" w:cs="Times New Roman"/>
          <w:color w:val="auto"/>
          <w:kern w:val="2"/>
          <w:sz w:val="24"/>
          <w:szCs w:val="24"/>
          <w:lang w:val="en-US" w:eastAsia="zh-CN" w:bidi="ar-SA"/>
        </w:rPr>
      </w:pPr>
      <w:r>
        <w:rPr>
          <w:rFonts w:hint="eastAsia" w:ascii="仿宋_GB2312" w:hAnsi="Times New Roman" w:eastAsia="仿宋_GB2312" w:cs="Times New Roman"/>
          <w:color w:val="auto"/>
          <w:kern w:val="2"/>
          <w:sz w:val="24"/>
          <w:szCs w:val="24"/>
          <w:lang w:val="en-US" w:eastAsia="zh-CN" w:bidi="ar-SA"/>
        </w:rPr>
        <w:t xml:space="preserve">（三）赔案档案装订； </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Times New Roman" w:eastAsia="仿宋_GB2312" w:cs="Times New Roman"/>
          <w:color w:val="auto"/>
          <w:kern w:val="2"/>
          <w:sz w:val="24"/>
          <w:szCs w:val="24"/>
          <w:lang w:val="en-US" w:eastAsia="zh-CN" w:bidi="ar-SA"/>
        </w:rPr>
      </w:pPr>
      <w:r>
        <w:rPr>
          <w:rFonts w:hint="eastAsia" w:ascii="仿宋_GB2312" w:hAnsi="Times New Roman" w:eastAsia="仿宋_GB2312" w:cs="Times New Roman"/>
          <w:color w:val="auto"/>
          <w:kern w:val="2"/>
          <w:sz w:val="24"/>
          <w:szCs w:val="24"/>
          <w:lang w:val="en-US" w:eastAsia="zh-CN" w:bidi="ar-SA"/>
        </w:rPr>
        <w:t>（四）赔案风险数据核对、赔案回访、理赔咨询服务。</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二、付款方式</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1.本合同使用货币种类为人民币。</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2.付款方式：双方采用转账方式付款，甲方应向乙方以下账户进行支付：</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开户行：</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账户名称：</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账号：</w:t>
      </w:r>
    </w:p>
    <w:p>
      <w:pPr>
        <w:keepNext w:val="0"/>
        <w:keepLines w:val="0"/>
        <w:pageBreakBefore w:val="0"/>
        <w:widowControl w:val="0"/>
        <w:kinsoku/>
        <w:wordWrap/>
        <w:overflowPunct/>
        <w:topLinePunct w:val="0"/>
        <w:autoSpaceDE/>
        <w:autoSpaceDN/>
        <w:bidi w:val="0"/>
        <w:adjustRightInd/>
        <w:snapToGrid/>
        <w:spacing w:after="156" w:line="600" w:lineRule="exact"/>
        <w:ind w:firstLine="480" w:firstLineChars="200"/>
        <w:textAlignment w:val="auto"/>
        <w:rPr>
          <w:rFonts w:hint="eastAsia" w:ascii="仿宋" w:hAnsi="仿宋" w:eastAsia="仿宋" w:cs="仿宋"/>
          <w:color w:val="auto"/>
          <w:sz w:val="24"/>
          <w:szCs w:val="24"/>
        </w:rPr>
      </w:pPr>
    </w:p>
    <w:p>
      <w:pPr>
        <w:keepNext w:val="0"/>
        <w:keepLines w:val="0"/>
        <w:pageBreakBefore w:val="0"/>
        <w:widowControl w:val="0"/>
        <w:kinsoku/>
        <w:wordWrap/>
        <w:overflowPunct/>
        <w:topLinePunct w:val="0"/>
        <w:autoSpaceDE/>
        <w:autoSpaceDN/>
        <w:bidi w:val="0"/>
        <w:adjustRightInd/>
        <w:snapToGrid/>
        <w:spacing w:after="156"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3.付款安排</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val="en-US" w:eastAsia="zh-CN"/>
        </w:rPr>
        <w:t>分次向</w:t>
      </w:r>
      <w:r>
        <w:rPr>
          <w:rFonts w:hint="eastAsia" w:ascii="仿宋" w:hAnsi="仿宋" w:eastAsia="仿宋" w:cs="仿宋"/>
          <w:color w:val="auto"/>
          <w:sz w:val="24"/>
          <w:szCs w:val="24"/>
        </w:rPr>
        <w:t>乙方付款，付款前乙方须向甲方出具付款通知书，并按照附件规定出具合法有效的增值税发票：</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（1）本合同生效后，在甲方收到乙方书面付款通知书后15个工作日内，甲方支付乙方应结算的服务费用；</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（2）甲方向乙方支付的合同服务费用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按照实际工作内容、支付标准、</w:t>
      </w:r>
      <w:r>
        <w:rPr>
          <w:rFonts w:hint="eastAsia" w:ascii="仿宋" w:hAnsi="仿宋" w:eastAsia="仿宋" w:cs="仿宋"/>
          <w:color w:val="auto"/>
          <w:sz w:val="24"/>
          <w:szCs w:val="24"/>
          <w:lang w:val="en-US" w:eastAsia="zh-CN"/>
        </w:rPr>
        <w:t>实际发生件数等计费</w:t>
      </w:r>
      <w:r>
        <w:rPr>
          <w:rFonts w:hint="eastAsia" w:ascii="仿宋" w:hAnsi="仿宋" w:eastAsia="仿宋" w:cs="仿宋"/>
          <w:color w:val="auto"/>
          <w:sz w:val="24"/>
          <w:szCs w:val="24"/>
        </w:rPr>
        <w:t>。</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rPr>
      </w:pPr>
      <w:r>
        <w:rPr>
          <w:rFonts w:hint="eastAsia" w:ascii="仿宋" w:hAnsi="仿宋" w:eastAsia="仿宋" w:cs="仿宋"/>
          <w:color w:val="auto"/>
          <w:sz w:val="24"/>
          <w:szCs w:val="24"/>
        </w:rPr>
        <w:t>由于乙方未提供或未及时提供足额有效的增值税发票，或乙方变更账户信息但未提前通知甲方而导致的付款迟延，甲方不承担任何责任。</w:t>
      </w:r>
    </w:p>
    <w:p>
      <w:pPr>
        <w:pStyle w:val="92"/>
        <w:keepNext w:val="0"/>
        <w:keepLines w:val="0"/>
        <w:pageBreakBefore w:val="0"/>
        <w:widowControl/>
        <w:kinsoku/>
        <w:wordWrap/>
        <w:overflowPunct/>
        <w:topLinePunct w:val="0"/>
        <w:autoSpaceDE/>
        <w:autoSpaceDN/>
        <w:bidi w:val="0"/>
        <w:adjustRightInd/>
        <w:snapToGrid/>
        <w:spacing w:line="600" w:lineRule="exact"/>
        <w:ind w:firstLine="0" w:firstLineChars="0"/>
        <w:textAlignment w:val="auto"/>
        <w:rPr>
          <w:rFonts w:hint="eastAsia" w:ascii="仿宋" w:hAnsi="仿宋" w:eastAsia="仿宋" w:cs="仿宋"/>
          <w:b/>
          <w:sz w:val="24"/>
          <w:szCs w:val="24"/>
        </w:rPr>
      </w:pPr>
      <w:r>
        <w:rPr>
          <w:rFonts w:hint="eastAsia" w:ascii="仿宋" w:hAnsi="仿宋" w:eastAsia="仿宋" w:cs="仿宋"/>
          <w:b/>
          <w:sz w:val="24"/>
          <w:szCs w:val="24"/>
        </w:rPr>
        <w:t>三. 项目</w:t>
      </w:r>
      <w:r>
        <w:rPr>
          <w:rFonts w:hint="eastAsia" w:ascii="仿宋" w:hAnsi="仿宋" w:eastAsia="仿宋" w:cs="仿宋"/>
          <w:b/>
          <w:sz w:val="24"/>
          <w:szCs w:val="24"/>
          <w:lang w:val="en-US" w:eastAsia="zh-CN"/>
        </w:rPr>
        <w:t>支付</w:t>
      </w:r>
      <w:r>
        <w:rPr>
          <w:rFonts w:hint="eastAsia" w:ascii="仿宋" w:hAnsi="仿宋" w:eastAsia="仿宋" w:cs="仿宋"/>
          <w:b/>
          <w:sz w:val="24"/>
          <w:szCs w:val="24"/>
        </w:rPr>
        <w:t>标准</w:t>
      </w:r>
    </w:p>
    <w:p>
      <w:pPr>
        <w:pStyle w:val="92"/>
        <w:widowControl/>
        <w:spacing w:line="360" w:lineRule="atLeast"/>
        <w:ind w:left="0" w:leftChars="0" w:firstLine="0" w:firstLineChars="0"/>
        <w:rPr>
          <w:rFonts w:hint="eastAsia" w:ascii="仿宋" w:hAnsi="仿宋" w:eastAsia="仿宋" w:cs="仿宋"/>
          <w:b/>
          <w:sz w:val="28"/>
          <w:szCs w:val="28"/>
        </w:rPr>
      </w:pPr>
    </w:p>
    <w:tbl>
      <w:tblPr>
        <w:tblStyle w:val="30"/>
        <w:tblW w:w="5000" w:type="pct"/>
        <w:tblInd w:w="0" w:type="dxa"/>
        <w:tblLayout w:type="autofit"/>
        <w:tblCellMar>
          <w:top w:w="0" w:type="dxa"/>
          <w:left w:w="108" w:type="dxa"/>
          <w:bottom w:w="0" w:type="dxa"/>
          <w:right w:w="108" w:type="dxa"/>
        </w:tblCellMar>
      </w:tblPr>
      <w:tblGrid>
        <w:gridCol w:w="4653"/>
        <w:gridCol w:w="5201"/>
      </w:tblGrid>
      <w:tr>
        <w:tblPrEx>
          <w:tblCellMar>
            <w:top w:w="0" w:type="dxa"/>
            <w:left w:w="108" w:type="dxa"/>
            <w:bottom w:w="0" w:type="dxa"/>
            <w:right w:w="108" w:type="dxa"/>
          </w:tblCellMar>
        </w:tblPrEx>
        <w:trPr>
          <w:trHeight w:val="622" w:hRule="atLeast"/>
        </w:trPr>
        <w:tc>
          <w:tcPr>
            <w:tcW w:w="5000" w:type="pct"/>
            <w:gridSpan w:val="2"/>
            <w:tcBorders>
              <w:top w:val="single" w:color="auto" w:sz="8" w:space="0"/>
              <w:left w:val="single" w:color="auto" w:sz="8" w:space="0"/>
              <w:bottom w:val="single" w:color="auto" w:sz="8" w:space="0"/>
              <w:right w:val="single" w:color="auto" w:sz="8" w:space="0"/>
            </w:tcBorders>
            <w:noWrap w:val="0"/>
            <w:vAlign w:val="center"/>
          </w:tcPr>
          <w:p>
            <w:pPr>
              <w:widowControl/>
              <w:jc w:val="center"/>
              <w:rPr>
                <w:rFonts w:hint="eastAsia" w:ascii="仿宋" w:hAnsi="仿宋" w:eastAsia="仿宋" w:cs="仿宋"/>
                <w:b/>
                <w:bCs/>
                <w:color w:val="000000"/>
                <w:sz w:val="20"/>
                <w:szCs w:val="20"/>
                <w:lang w:val="en-US"/>
              </w:rPr>
            </w:pPr>
            <w:r>
              <w:rPr>
                <w:rFonts w:hint="eastAsia" w:ascii="仿宋" w:hAnsi="仿宋" w:eastAsia="仿宋" w:cs="仿宋"/>
                <w:b/>
                <w:bCs/>
                <w:color w:val="000000"/>
                <w:sz w:val="20"/>
                <w:szCs w:val="20"/>
                <w:lang w:val="en-US" w:eastAsia="zh-CN"/>
              </w:rPr>
              <w:t>社保服务项目报价</w:t>
            </w:r>
          </w:p>
        </w:tc>
      </w:tr>
      <w:tr>
        <w:tblPrEx>
          <w:tblCellMar>
            <w:top w:w="0" w:type="dxa"/>
            <w:left w:w="108" w:type="dxa"/>
            <w:bottom w:w="0" w:type="dxa"/>
            <w:right w:w="108" w:type="dxa"/>
          </w:tblCellMar>
        </w:tblPrEx>
        <w:trPr>
          <w:trHeight w:val="622" w:hRule="atLeast"/>
        </w:trPr>
        <w:tc>
          <w:tcPr>
            <w:tcW w:w="2361" w:type="pct"/>
            <w:tcBorders>
              <w:top w:val="single" w:color="auto" w:sz="8" w:space="0"/>
              <w:left w:val="single" w:color="auto" w:sz="8" w:space="0"/>
              <w:bottom w:val="single" w:color="auto" w:sz="8" w:space="0"/>
              <w:right w:val="single" w:color="auto" w:sz="8" w:space="0"/>
            </w:tcBorders>
            <w:noWrap w:val="0"/>
            <w:vAlign w:val="center"/>
          </w:tcPr>
          <w:p>
            <w:pPr>
              <w:widowControl/>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项目</w:t>
            </w:r>
          </w:p>
        </w:tc>
        <w:tc>
          <w:tcPr>
            <w:tcW w:w="2638" w:type="pct"/>
            <w:tcBorders>
              <w:top w:val="single" w:color="auto" w:sz="8" w:space="0"/>
              <w:left w:val="nil"/>
              <w:bottom w:val="single" w:color="auto" w:sz="8" w:space="0"/>
              <w:right w:val="single" w:color="auto" w:sz="8" w:space="0"/>
            </w:tcBorders>
            <w:noWrap w:val="0"/>
            <w:vAlign w:val="center"/>
          </w:tcPr>
          <w:p>
            <w:pPr>
              <w:widowControl/>
              <w:jc w:val="center"/>
              <w:rPr>
                <w:rFonts w:hint="eastAsia" w:ascii="仿宋" w:hAnsi="仿宋" w:eastAsia="仿宋" w:cs="仿宋"/>
                <w:b/>
                <w:bCs/>
                <w:color w:val="000000"/>
                <w:sz w:val="20"/>
                <w:szCs w:val="20"/>
                <w:lang w:eastAsia="zh-CN"/>
              </w:rPr>
            </w:pPr>
            <w:r>
              <w:rPr>
                <w:rFonts w:hint="eastAsia" w:ascii="仿宋" w:hAnsi="仿宋" w:eastAsia="仿宋" w:cs="仿宋"/>
                <w:b/>
                <w:bCs/>
                <w:color w:val="000000"/>
                <w:sz w:val="20"/>
                <w:szCs w:val="20"/>
              </w:rPr>
              <w:t>单价</w:t>
            </w:r>
            <w:r>
              <w:rPr>
                <w:rFonts w:hint="eastAsia" w:ascii="仿宋" w:hAnsi="仿宋" w:eastAsia="仿宋" w:cs="仿宋"/>
                <w:b/>
                <w:bCs/>
                <w:color w:val="000000"/>
                <w:sz w:val="20"/>
                <w:szCs w:val="20"/>
                <w:lang w:eastAsia="zh-CN"/>
              </w:rPr>
              <w:t>上限</w:t>
            </w:r>
            <w:r>
              <w:rPr>
                <w:rFonts w:hint="eastAsia" w:ascii="仿宋" w:hAnsi="仿宋" w:eastAsia="仿宋" w:cs="仿宋"/>
                <w:b/>
                <w:bCs/>
                <w:color w:val="000000"/>
                <w:sz w:val="20"/>
                <w:szCs w:val="20"/>
              </w:rPr>
              <w:t>（元/件）</w:t>
            </w: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资料收集</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lang w:val="en-US" w:eastAsia="zh-CN"/>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赔案审核</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赔案稽核（统筹区内）</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赔案稽核（统筹区外）</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医疗巡查（个人）</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医疗巡查（医院）</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622" w:hRule="atLeast"/>
        </w:trPr>
        <w:tc>
          <w:tcPr>
            <w:tcW w:w="2361" w:type="pct"/>
            <w:tcBorders>
              <w:top w:val="nil"/>
              <w:left w:val="single" w:color="auto" w:sz="8" w:space="0"/>
              <w:bottom w:val="single" w:color="000000" w:sz="8" w:space="0"/>
              <w:right w:val="single" w:color="auto" w:sz="8"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医疗巡查（药店）</w:t>
            </w:r>
          </w:p>
        </w:tc>
        <w:tc>
          <w:tcPr>
            <w:tcW w:w="2638" w:type="pct"/>
            <w:tcBorders>
              <w:top w:val="nil"/>
              <w:left w:val="nil"/>
              <w:bottom w:val="single" w:color="auto" w:sz="8" w:space="0"/>
              <w:right w:val="single" w:color="auto" w:sz="8"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591" w:hRule="atLeast"/>
        </w:trPr>
        <w:tc>
          <w:tcPr>
            <w:tcW w:w="2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赔案档案装订</w:t>
            </w:r>
          </w:p>
        </w:tc>
        <w:tc>
          <w:tcPr>
            <w:tcW w:w="263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591" w:hRule="atLeast"/>
        </w:trPr>
        <w:tc>
          <w:tcPr>
            <w:tcW w:w="2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赔案风险数据核对</w:t>
            </w:r>
          </w:p>
        </w:tc>
        <w:tc>
          <w:tcPr>
            <w:tcW w:w="263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591" w:hRule="atLeast"/>
        </w:trPr>
        <w:tc>
          <w:tcPr>
            <w:tcW w:w="2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赔案回访</w:t>
            </w:r>
          </w:p>
        </w:tc>
        <w:tc>
          <w:tcPr>
            <w:tcW w:w="263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sz w:val="20"/>
                <w:szCs w:val="20"/>
              </w:rPr>
            </w:pPr>
          </w:p>
        </w:tc>
      </w:tr>
      <w:tr>
        <w:tblPrEx>
          <w:tblCellMar>
            <w:top w:w="0" w:type="dxa"/>
            <w:left w:w="108" w:type="dxa"/>
            <w:bottom w:w="0" w:type="dxa"/>
            <w:right w:w="108" w:type="dxa"/>
          </w:tblCellMar>
        </w:tblPrEx>
        <w:trPr>
          <w:trHeight w:val="591" w:hRule="atLeast"/>
        </w:trPr>
        <w:tc>
          <w:tcPr>
            <w:tcW w:w="2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bottom"/>
              <w:rPr>
                <w:rFonts w:hint="eastAsia" w:ascii="仿宋_GB2312" w:hAnsi="宋体" w:eastAsia="仿宋_GB2312" w:cs="仿宋_GB2312"/>
                <w:i w:val="0"/>
                <w:iCs w:val="0"/>
                <w:color w:val="auto"/>
                <w:kern w:val="2"/>
                <w:sz w:val="20"/>
                <w:szCs w:val="20"/>
                <w:u w:val="none"/>
                <w:lang w:val="en-US" w:eastAsia="zh-CN" w:bidi="ar-SA"/>
              </w:rPr>
            </w:pPr>
            <w:r>
              <w:rPr>
                <w:rFonts w:hint="default" w:ascii="仿宋_GB2312" w:hAnsi="宋体" w:eastAsia="仿宋_GB2312" w:cs="仿宋_GB2312"/>
                <w:i w:val="0"/>
                <w:iCs w:val="0"/>
                <w:color w:val="auto"/>
                <w:kern w:val="0"/>
                <w:sz w:val="20"/>
                <w:szCs w:val="20"/>
                <w:u w:val="none"/>
                <w:lang w:val="en-US" w:eastAsia="zh-CN" w:bidi="ar"/>
              </w:rPr>
              <w:t>理赔咨询服务</w:t>
            </w:r>
          </w:p>
        </w:tc>
        <w:tc>
          <w:tcPr>
            <w:tcW w:w="263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sz w:val="20"/>
                <w:szCs w:val="20"/>
              </w:rPr>
            </w:pPr>
          </w:p>
        </w:tc>
      </w:tr>
    </w:tbl>
    <w:p>
      <w:pPr>
        <w:pStyle w:val="92"/>
        <w:widowControl/>
        <w:spacing w:line="360" w:lineRule="atLeast"/>
        <w:rPr>
          <w:rFonts w:hint="eastAsia" w:ascii="仿宋" w:hAnsi="仿宋" w:eastAsia="仿宋" w:cs="仿宋"/>
          <w:sz w:val="28"/>
          <w:szCs w:val="28"/>
        </w:rPr>
      </w:pPr>
    </w:p>
    <w:p>
      <w:pPr>
        <w:keepNext w:val="0"/>
        <w:keepLines w:val="0"/>
        <w:pageBreakBefore w:val="0"/>
        <w:widowControl/>
        <w:bidi w:val="0"/>
        <w:spacing w:line="600" w:lineRule="exact"/>
        <w:rPr>
          <w:rFonts w:hint="eastAsia" w:ascii="仿宋" w:hAnsi="仿宋" w:eastAsia="仿宋" w:cs="仿宋"/>
          <w:sz w:val="24"/>
          <w:szCs w:val="24"/>
        </w:rPr>
      </w:pPr>
      <w:r>
        <w:rPr>
          <w:rFonts w:hint="eastAsia" w:ascii="仿宋" w:hAnsi="仿宋" w:eastAsia="仿宋" w:cs="仿宋"/>
          <w:sz w:val="24"/>
          <w:szCs w:val="24"/>
        </w:rPr>
        <w:t>备注：</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1.服务费由各项目汇总计算</w:t>
      </w:r>
      <w:r>
        <w:rPr>
          <w:rFonts w:hint="eastAsia" w:ascii="仿宋" w:hAnsi="仿宋" w:eastAsia="仿宋" w:cs="仿宋"/>
          <w:spacing w:val="24"/>
          <w:sz w:val="24"/>
          <w:szCs w:val="24"/>
        </w:rPr>
        <w:t>。</w:t>
      </w:r>
    </w:p>
    <w:p>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2.以上结果作为划拨劳务外包服务费用的依据，当</w:t>
      </w:r>
      <w:r>
        <w:rPr>
          <w:rFonts w:hint="eastAsia" w:ascii="仿宋" w:hAnsi="仿宋" w:eastAsia="仿宋" w:cs="仿宋"/>
          <w:sz w:val="24"/>
          <w:szCs w:val="24"/>
          <w:highlight w:val="none"/>
        </w:rPr>
        <w:t>期能</w:t>
      </w:r>
      <w:r>
        <w:rPr>
          <w:rFonts w:hint="eastAsia" w:ascii="仿宋" w:hAnsi="仿宋" w:eastAsia="仿宋" w:cs="仿宋"/>
          <w:sz w:val="24"/>
          <w:szCs w:val="24"/>
        </w:rPr>
        <w:t>按照要求保</w:t>
      </w:r>
      <w:r>
        <w:rPr>
          <w:rFonts w:hint="eastAsia" w:ascii="仿宋" w:hAnsi="仿宋" w:eastAsia="仿宋" w:cs="仿宋"/>
          <w:sz w:val="24"/>
          <w:szCs w:val="24"/>
          <w:lang w:val="en-US" w:eastAsia="zh-CN"/>
        </w:rPr>
        <w:t>质</w:t>
      </w:r>
      <w:r>
        <w:rPr>
          <w:rFonts w:hint="eastAsia" w:ascii="仿宋" w:hAnsi="仿宋" w:eastAsia="仿宋" w:cs="仿宋"/>
          <w:sz w:val="24"/>
          <w:szCs w:val="24"/>
        </w:rPr>
        <w:t>保量完成有关工作，我公司将按照合同约定，按时划转服务费；</w:t>
      </w:r>
    </w:p>
    <w:p>
      <w:pPr>
        <w:keepNext w:val="0"/>
        <w:keepLines w:val="0"/>
        <w:pageBreakBefore w:val="0"/>
        <w:widowControl/>
        <w:tabs>
          <w:tab w:val="left" w:pos="165"/>
          <w:tab w:val="left" w:pos="315"/>
        </w:tabs>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pacing w:val="24"/>
          <w:sz w:val="24"/>
          <w:szCs w:val="24"/>
        </w:rPr>
      </w:pPr>
      <w:r>
        <w:rPr>
          <w:rFonts w:hint="eastAsia" w:ascii="仿宋" w:hAnsi="仿宋" w:eastAsia="仿宋" w:cs="仿宋"/>
          <w:sz w:val="24"/>
          <w:szCs w:val="24"/>
        </w:rPr>
        <w:t>3.</w:t>
      </w:r>
      <w:r>
        <w:rPr>
          <w:rFonts w:hint="eastAsia" w:ascii="仿宋" w:hAnsi="仿宋" w:eastAsia="仿宋" w:cs="仿宋"/>
          <w:spacing w:val="24"/>
          <w:sz w:val="24"/>
          <w:szCs w:val="24"/>
        </w:rPr>
        <w:t>告知</w:t>
      </w:r>
    </w:p>
    <w:p>
      <w:pPr>
        <w:keepNext w:val="0"/>
        <w:keepLines w:val="0"/>
        <w:pageBreakBefore w:val="0"/>
        <w:widowControl/>
        <w:tabs>
          <w:tab w:val="left" w:pos="165"/>
          <w:tab w:val="left" w:pos="315"/>
        </w:tabs>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甲乙双方同意涉及本合同的一切事宜均以书面形式提交，双方应及时响应。</w:t>
      </w:r>
    </w:p>
    <w:p>
      <w:pPr>
        <w:keepNext w:val="0"/>
        <w:keepLines w:val="0"/>
        <w:pageBreakBefore w:val="0"/>
        <w:widowControl/>
        <w:tabs>
          <w:tab w:val="left" w:pos="315"/>
        </w:tabs>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spacing w:val="24"/>
          <w:sz w:val="24"/>
          <w:szCs w:val="24"/>
          <w:lang w:val="en-US" w:eastAsia="zh-CN"/>
        </w:rPr>
      </w:pPr>
      <w:r>
        <w:rPr>
          <w:rFonts w:hint="eastAsia" w:ascii="仿宋" w:hAnsi="仿宋" w:eastAsia="仿宋" w:cs="仿宋"/>
          <w:sz w:val="24"/>
          <w:szCs w:val="24"/>
        </w:rPr>
        <w:t>4.</w:t>
      </w:r>
      <w:r>
        <w:rPr>
          <w:rFonts w:hint="eastAsia" w:ascii="仿宋" w:hAnsi="仿宋" w:eastAsia="仿宋" w:cs="仿宋"/>
          <w:sz w:val="24"/>
          <w:szCs w:val="24"/>
          <w:lang w:val="en-US" w:eastAsia="zh-CN"/>
        </w:rPr>
        <w:t>问题项目处理</w:t>
      </w:r>
    </w:p>
    <w:p>
      <w:pPr>
        <w:keepNext w:val="0"/>
        <w:keepLines w:val="0"/>
        <w:pageBreakBefore w:val="0"/>
        <w:widowControl/>
        <w:kinsoku/>
        <w:wordWrap/>
        <w:overflowPunct/>
        <w:topLinePunct w:val="0"/>
        <w:autoSpaceDE/>
        <w:autoSpaceDN/>
        <w:bidi w:val="0"/>
        <w:adjustRightInd/>
        <w:snapToGrid/>
        <w:spacing w:line="600" w:lineRule="exact"/>
        <w:ind w:firstLine="480" w:firstLineChars="200"/>
        <w:textAlignment w:val="auto"/>
        <w:rPr>
          <w:rFonts w:hint="eastAsia" w:ascii="微软雅黑" w:hAnsi="微软雅黑" w:eastAsia="微软雅黑" w:cs="微软雅黑"/>
          <w:b/>
          <w:bCs/>
          <w:sz w:val="28"/>
          <w:szCs w:val="28"/>
        </w:rPr>
      </w:pPr>
      <w:r>
        <w:rPr>
          <w:rFonts w:hint="eastAsia" w:ascii="仿宋" w:hAnsi="仿宋" w:eastAsia="仿宋" w:cs="仿宋"/>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br w:type="page"/>
      </w:r>
    </w:p>
    <w:p>
      <w:pPr>
        <w:pStyle w:val="2"/>
        <w:rPr>
          <w:rFonts w:hint="eastAsia"/>
        </w:rPr>
      </w:pPr>
    </w:p>
    <w:p>
      <w:pPr>
        <w:spacing w:line="240" w:lineRule="atLeast"/>
        <w:ind w:right="-211" w:rightChars="-88"/>
        <w:jc w:val="left"/>
        <w:rPr>
          <w:rFonts w:hint="eastAsia" w:ascii="微软雅黑" w:hAnsi="微软雅黑" w:eastAsia="微软雅黑"/>
          <w:b/>
          <w:bCs/>
          <w:sz w:val="28"/>
          <w:szCs w:val="28"/>
          <w:lang w:val="en-US" w:eastAsia="zh-CN"/>
        </w:rPr>
      </w:pPr>
      <w:r>
        <w:rPr>
          <w:rFonts w:hint="eastAsia" w:ascii="微软雅黑" w:hAnsi="微软雅黑" w:eastAsia="微软雅黑" w:cs="微软雅黑"/>
          <w:b/>
          <w:bCs/>
          <w:sz w:val="28"/>
          <w:szCs w:val="28"/>
        </w:rPr>
        <w:t>附件</w:t>
      </w:r>
      <w:r>
        <w:rPr>
          <w:rFonts w:hint="eastAsia" w:ascii="微软雅黑" w:hAnsi="微软雅黑" w:eastAsia="微软雅黑" w:cs="微软雅黑"/>
          <w:b/>
          <w:bCs/>
          <w:sz w:val="28"/>
          <w:szCs w:val="28"/>
          <w:lang w:val="en-US" w:eastAsia="zh-CN"/>
        </w:rPr>
        <w:t>三</w:t>
      </w:r>
    </w:p>
    <w:p>
      <w:pPr>
        <w:spacing w:line="240" w:lineRule="atLeast"/>
        <w:ind w:right="-211" w:rightChars="-88"/>
        <w:jc w:val="center"/>
        <w:rPr>
          <w:rFonts w:ascii="微软雅黑" w:hAnsi="微软雅黑" w:eastAsia="微软雅黑"/>
          <w:b/>
          <w:bCs/>
          <w:sz w:val="28"/>
          <w:szCs w:val="28"/>
        </w:rPr>
      </w:pPr>
      <w:r>
        <w:rPr>
          <w:rFonts w:hint="eastAsia" w:ascii="微软雅黑" w:hAnsi="微软雅黑" w:eastAsia="微软雅黑" w:cs="微软雅黑"/>
          <w:b/>
          <w:bCs/>
          <w:sz w:val="28"/>
          <w:szCs w:val="28"/>
        </w:rPr>
        <w:t>付款通知书</w:t>
      </w:r>
    </w:p>
    <w:p>
      <w:pPr>
        <w:spacing w:line="240" w:lineRule="atLeast"/>
        <w:ind w:right="-211" w:rightChars="-88"/>
        <w:rPr>
          <w:rFonts w:ascii="宋体"/>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hint="eastAsia" w:ascii="仿宋" w:hAnsi="仿宋" w:eastAsia="仿宋" w:cs="宋体"/>
          <w:sz w:val="24"/>
          <w:szCs w:val="24"/>
        </w:rPr>
        <w:t>致公司：中国人民财产保险股份有限公司雅安市分公司</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hint="eastAsia" w:ascii="仿宋" w:hAnsi="仿宋" w:eastAsia="仿宋" w:cs="宋体"/>
          <w:sz w:val="24"/>
          <w:szCs w:val="24"/>
        </w:rPr>
        <w:t>根据贵我双方签订的《服务合同》的约定，贵司应向我司支付如下费用：</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hint="eastAsia" w:ascii="仿宋" w:hAnsi="仿宋" w:eastAsia="仿宋" w:cs="宋体"/>
          <w:sz w:val="24"/>
          <w:szCs w:val="24"/>
        </w:rPr>
        <w:t>本月外包项目费用</w:t>
      </w:r>
      <w:r>
        <w:rPr>
          <w:rFonts w:ascii="仿宋" w:hAnsi="仿宋" w:eastAsia="仿宋" w:cs="宋体"/>
          <w:sz w:val="24"/>
          <w:szCs w:val="24"/>
        </w:rPr>
        <w:t xml:space="preserve">       </w:t>
      </w:r>
      <w:r>
        <w:rPr>
          <w:rFonts w:hint="eastAsia" w:ascii="仿宋" w:hAnsi="仿宋" w:eastAsia="仿宋" w:cs="宋体"/>
          <w:sz w:val="24"/>
          <w:szCs w:val="24"/>
        </w:rPr>
        <w:t>元（人民币：       ）；</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ascii="仿宋" w:hAnsi="仿宋" w:eastAsia="仿宋" w:cs="宋体"/>
          <w:sz w:val="24"/>
          <w:szCs w:val="24"/>
        </w:rPr>
        <w:t>2</w:t>
      </w:r>
      <w:r>
        <w:rPr>
          <w:rFonts w:hint="eastAsia" w:ascii="仿宋" w:hAnsi="仿宋" w:eastAsia="仿宋" w:cs="宋体"/>
          <w:sz w:val="24"/>
          <w:szCs w:val="24"/>
        </w:rPr>
        <w:t>、其他特殊情况（增加或扣减费用）按实际发生费用结算（人民币大写</w:t>
      </w:r>
      <w:r>
        <w:rPr>
          <w:rFonts w:ascii="仿宋" w:hAnsi="仿宋" w:eastAsia="仿宋" w:cs="宋体"/>
          <w:sz w:val="24"/>
          <w:szCs w:val="24"/>
        </w:rPr>
        <w:t xml:space="preserve"> / </w:t>
      </w:r>
      <w:r>
        <w:rPr>
          <w:rFonts w:hint="eastAsia" w:ascii="仿宋" w:hAnsi="仿宋" w:eastAsia="仿宋" w:cs="宋体"/>
          <w:sz w:val="24"/>
          <w:szCs w:val="24"/>
        </w:rPr>
        <w:t>元）；</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hint="eastAsia" w:ascii="仿宋" w:hAnsi="仿宋" w:eastAsia="仿宋" w:cs="宋体"/>
          <w:sz w:val="24"/>
          <w:szCs w:val="24"/>
        </w:rPr>
        <w:t>以上各项费用合计元     （人民币：   ），均为含税金额，我司按贵司支付的款项总金额向贵司开具增值税专票。</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sz w:val="24"/>
          <w:szCs w:val="24"/>
        </w:rPr>
      </w:pPr>
      <w:r>
        <w:rPr>
          <w:rFonts w:hint="eastAsia" w:ascii="仿宋" w:hAnsi="仿宋" w:eastAsia="仿宋" w:cs="宋体"/>
          <w:sz w:val="24"/>
          <w:szCs w:val="24"/>
        </w:rPr>
        <w:t>请贵司于</w:t>
      </w:r>
      <w:r>
        <w:rPr>
          <w:rFonts w:ascii="仿宋" w:hAnsi="仿宋" w:eastAsia="仿宋" w:cs="宋体"/>
          <w:sz w:val="24"/>
          <w:szCs w:val="24"/>
        </w:rPr>
        <w:t xml:space="preserve">    </w:t>
      </w:r>
      <w:r>
        <w:rPr>
          <w:rFonts w:hint="eastAsia" w:ascii="仿宋" w:hAnsi="仿宋" w:eastAsia="仿宋" w:cs="宋体"/>
          <w:sz w:val="24"/>
          <w:szCs w:val="24"/>
        </w:rPr>
        <w:t>年</w:t>
      </w:r>
      <w:r>
        <w:rPr>
          <w:rFonts w:ascii="仿宋" w:hAnsi="仿宋" w:eastAsia="仿宋" w:cs="宋体"/>
          <w:sz w:val="24"/>
          <w:szCs w:val="24"/>
        </w:rPr>
        <w:t xml:space="preserve">   </w:t>
      </w:r>
      <w:r>
        <w:rPr>
          <w:rFonts w:hint="eastAsia" w:ascii="仿宋" w:hAnsi="仿宋" w:eastAsia="仿宋" w:cs="宋体"/>
          <w:sz w:val="24"/>
          <w:szCs w:val="24"/>
        </w:rPr>
        <w:t>月    日之前将前述费用汇至如下账户：</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开户名称：</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开户银行：</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480" w:firstLineChars="200"/>
        <w:textAlignment w:val="auto"/>
        <w:rPr>
          <w:rFonts w:ascii="仿宋" w:hAnsi="仿宋" w:eastAsia="仿宋" w:cs="宋体"/>
          <w:sz w:val="24"/>
          <w:szCs w:val="24"/>
        </w:rPr>
      </w:pPr>
      <w:r>
        <w:rPr>
          <w:rFonts w:hint="eastAsia" w:ascii="仿宋" w:hAnsi="仿宋" w:eastAsia="仿宋" w:cs="宋体"/>
          <w:sz w:val="24"/>
          <w:szCs w:val="24"/>
        </w:rPr>
        <w:t xml:space="preserve">账    号： </w:t>
      </w:r>
    </w:p>
    <w:p>
      <w:pPr>
        <w:spacing w:line="360" w:lineRule="auto"/>
        <w:ind w:right="-211" w:rightChars="-88" w:firstLine="560" w:firstLineChars="200"/>
        <w:rPr>
          <w:rFonts w:ascii="仿宋" w:hAnsi="仿宋" w:eastAsia="仿宋"/>
          <w:sz w:val="28"/>
          <w:szCs w:val="28"/>
        </w:rPr>
      </w:pPr>
    </w:p>
    <w:p>
      <w:pPr>
        <w:spacing w:line="360" w:lineRule="auto"/>
        <w:ind w:right="-211" w:rightChars="-88" w:firstLine="560" w:firstLineChars="200"/>
        <w:rPr>
          <w:rFonts w:ascii="仿宋" w:hAnsi="仿宋" w:eastAsia="仿宋"/>
          <w:sz w:val="28"/>
          <w:szCs w:val="28"/>
        </w:rPr>
      </w:pPr>
    </w:p>
    <w:p>
      <w:pPr>
        <w:spacing w:line="360" w:lineRule="auto"/>
        <w:ind w:right="-211" w:rightChars="-88"/>
        <w:rPr>
          <w:rFonts w:hint="eastAsia" w:ascii="仿宋" w:hAnsi="仿宋" w:eastAsia="仿宋"/>
          <w:sz w:val="28"/>
          <w:szCs w:val="28"/>
        </w:rPr>
      </w:pPr>
    </w:p>
    <w:p>
      <w:pPr>
        <w:spacing w:line="360" w:lineRule="auto"/>
        <w:ind w:right="-211" w:rightChars="-88" w:firstLine="560" w:firstLineChars="200"/>
        <w:jc w:val="right"/>
        <w:rPr>
          <w:rFonts w:ascii="仿宋" w:hAnsi="仿宋" w:eastAsia="仿宋"/>
          <w:sz w:val="28"/>
          <w:szCs w:val="28"/>
        </w:rPr>
      </w:pPr>
    </w:p>
    <w:p>
      <w:pPr>
        <w:spacing w:line="360" w:lineRule="auto"/>
        <w:ind w:right="-211" w:rightChars="-88" w:firstLine="480" w:firstLineChars="200"/>
        <w:jc w:val="right"/>
        <w:rPr>
          <w:rFonts w:hint="eastAsia"/>
          <w:sz w:val="24"/>
          <w:szCs w:val="24"/>
          <w:lang w:val="en-US" w:eastAsia="zh-CN"/>
        </w:rPr>
        <w:sectPr>
          <w:footerReference r:id="rId7"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年   月 </w:t>
      </w:r>
    </w:p>
    <w:p>
      <w:pPr>
        <w:spacing w:line="600" w:lineRule="exact"/>
        <w:jc w:val="left"/>
        <w:rPr>
          <w:rFonts w:hint="eastAsia" w:ascii="楷体" w:hAnsi="楷体" w:eastAsia="楷体"/>
          <w:b/>
          <w:bCs/>
          <w:spacing w:val="20"/>
          <w:kern w:val="2"/>
          <w:sz w:val="28"/>
          <w:szCs w:val="28"/>
        </w:rPr>
      </w:pPr>
      <w:r>
        <w:rPr>
          <w:rFonts w:hint="eastAsia" w:ascii="微软雅黑" w:hAnsi="微软雅黑" w:eastAsia="微软雅黑" w:cs="微软雅黑"/>
          <w:b/>
          <w:bCs/>
          <w:sz w:val="28"/>
          <w:szCs w:val="28"/>
        </w:rPr>
        <w:t>附件</w:t>
      </w:r>
      <w:r>
        <w:rPr>
          <w:rFonts w:hint="eastAsia" w:ascii="微软雅黑" w:hAnsi="微软雅黑" w:eastAsia="微软雅黑" w:cs="微软雅黑"/>
          <w:b/>
          <w:bCs/>
          <w:sz w:val="28"/>
          <w:szCs w:val="28"/>
          <w:lang w:val="en-US" w:eastAsia="zh-CN"/>
        </w:rPr>
        <w:t>四</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562" w:firstLineChars="200"/>
        <w:jc w:val="center"/>
        <w:textAlignment w:val="auto"/>
        <w:rPr>
          <w:rFonts w:hint="eastAsia" w:ascii="Times New Roman" w:hAnsi="Times New Roman" w:eastAsia="国标仿宋" w:cs="Times New Roman"/>
          <w:b/>
          <w:bCs/>
          <w:sz w:val="28"/>
          <w:szCs w:val="28"/>
        </w:rPr>
      </w:pPr>
      <w:r>
        <w:rPr>
          <w:rFonts w:hint="eastAsia" w:ascii="Times New Roman" w:hAnsi="Times New Roman" w:eastAsia="国标仿宋" w:cs="Times New Roman"/>
          <w:b/>
          <w:bCs/>
          <w:sz w:val="28"/>
          <w:szCs w:val="28"/>
        </w:rPr>
        <w:t>廉洁诚信协议</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第一条  总则</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1.1甲乙双方均应当严格遵守国家法律法规和甲方集中采购管理、供应商管理的相关要求，不从事任何违法违规违纪行为。坚持诚实守信原则，恪守商业道德和职业道德，规范商务人员廉洁从业行为。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1.3本协议所称相关主体，对任何一方而言，包括但不限于以下单位或者个人：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（1）一方或其关联方之工作人员；</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（2）受一方委托办理相关事务的单位或者个人；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（3）利用职权或者影响力影响交易的单位或者个人；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（4）前述相关人员的亲属；</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（5）与前述相关主体存在利害关系的其他单位或者人员。</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乙方相关主体实施违反本协议约定之行为的，均应视为乙方实施行为。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第二条  商业贿赂</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2.1本协议所称商业贿赂，是指乙方或乙方相关主体为获取或意图获取交易机会或者竞争优势，采用财物或者其他形式贿赂甲方或甲方相关主体的行为。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2.3本条第1款所称其他形式，包括但不限于：</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（1）以任何方式实施商业贿赂或违规提供回扣、折扣、宴请与游玩活动或其他不正当利益；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（2）为甲方或甲方相关主体安排有可能影响公平、公正交易的宴请、健身、娱乐等活动；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（3）为甲方或甲方相关主体投资入股、个人借款或买卖股票、债券等提供方便；</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（4）为甲方或甲方相关主体购买或装修住房、婚丧嫁娶、配偶子女上学或工作安排以及出国出境、旅游等提供方便；</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（5）违反规定为甲方或甲方相关主体在乙方相关企业工作、挂名兼职、合伙经营、介绍承揽业务等提供方便；</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（6）向甲方或甲方相关主体提供借款、融资、担保等；</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（7）给予或承诺给予其不正当利益的其他行为；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（8）其他违反国家法律法规或商业道德准则的影响公正交易的行为。</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第三条  回扣</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3.1本协议所称回扣，是指乙方促成合作时在账外暗中以现金、实物或者其他方式退给甲方或甲方相关主体一定比例的商品或服务价款。</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3.2本条第1款所称账外，是指未在依法设立的反映其生产经营活动或者行政事业经费收支的财务账上按照财务会计制度规定明确如实记载，包括不记入财务账、转入其他财务账或者做假账等。</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3.3乙方在账外暗中给予甲方相关主体回扣的，视为实施商业贿赂行为。</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第四条  折扣</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4.2乙方提供的商品或服务，可以以明示方式给予甲方折扣。乙方给予甲方折扣的，必须在采购协议中予以明确并如实入账。</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4.3本条第1款所称如实入账，是指根据采购或合作协议约定的金额和支付方式，在依法设立的反映甲方生产经营活动收支的财务账上按照财务会计制度规定明确如实记载。</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4.4乙方违反本条约定的，视为实施商业贿赂行为。</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第五条  宴请与游玩活动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5.2乙方不得为甲方相关主体提供各种形式的旅游、健身、KTV、酒吧、按摩、赌博、色情等娱乐休闲活动。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5.3乙方违反本条约定的，视为实施商业贿赂行为。</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第六条  禁止行为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双方一致同意双方或双方相关主体的如下行为是应当禁止的营私舞弊或腐败行为：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6.1甲方及甲方相关主体向乙方索要或收受财物或其他形式的财产性利益、非财产性利益。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6.2乙方及乙方相关主体向甲方或甲方相关主体提供财物或其他形式的财产性利益、非财产性利益，包括但不限于：</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（1）报销甲方相关主体的私人费用；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（2）提供超过宴请标准的宴请或娱乐活动；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（3）介绍甲方相关主体亲友到乙方处工作；</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（4）提出、邀请或事实上接受甲方相关主体在乙方参股或参与乙方经营活动；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（5）组织或向甲方相关主体提供旅游等代偿活动利益；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（6）向甲方相关主体提供借款、融资、担保等；</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（7）给予或承诺给予甲方相关主体不正当利益的其他行为；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（8）其他违反本协议约定、国家法律法规或商业道德准则的影响公正交易的行为。</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第七条  乙方承诺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乙方承诺在双方的商务接洽、合同关系、交易过程中遵守如下要求：</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7.1 避免利害关系</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7.2 恪守廉洁自律原则</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7.2.2支持甲方的廉洁诚信建设，承诺承担实名举报的义务，若乙方或乙方相关主体对甲方或甲方相关主体的索贿行为不拒绝、不申报，并满足其要求的，则该行为视同乙方实施商业贿赂行为。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 恪守诚实信用原则</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7.3.2严格遵守向甲方做出的承诺、双方签署的合同、协议和备忘录等，确保产品质量和服务质量，不隐瞒任何可能对甲方利益造成影响的信息，积极配合甲方的审计。</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7.3.3严格遵守甲方的供应商行为准则、合作协议、保密承诺书等政策文件中的相关规定。</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7.3.4严格遵守甲方的品牌管理的相关规定，未经甲方授权不擅自使用甲方字样、授权合作伙伴等类似容易对外产生混淆的字样。</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7.3.5严格遵守国家相关法律法规及甲方的管理规定，不参与任何违法活动。</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7.3.6承诺实事求是，不对内部或社会传递任何虚假信息，严格遵守保密协议，不透露任何甲方的商业机密。</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7.3.7未经甲方同意，不向任何新闻媒体、第三方述及有关甲方工作人员恪守商业道德方面的评价、信息。</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7.4 确保信息公开透明</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7.4.1主动向甲方披露与采购项目相关的信息，包括乙方真实情况、产品价格、技术参数、服务团队信息、履约情况等。</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7.4.2不利用非法手段向甲方及甲方相关主体打探有关涉及甲方及甲方相关主体的商业秘密、人员信息、采购信息等。</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7.5 积极配合监督举报</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7.5.2如乙方有知悉或怀疑甲方相关主体有违反上述约定的，应及时采取措施并有权向甲方纪检部门举报。甲方会对所有信息提供者及所提供的全部资料严格保密。</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7.6 加强内部廉洁管理</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7.6.1加强内部管理：加强对员工的廉洁教育和培训，提高员工的道德素质和法律意识，建立健全内部管理制度，确保员工行为的合规性和廉洁性。</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7.6.2设立监督机制：通过专门的监督机构或人员，对乙方的业务活动进行实时监督，确保员工行为的合规性。</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7.6.3建立举报制度：鼓励员工积极举报违规行为，对举报人予以保护并给予奖励。</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第八条  违约责任</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8.1若甲方人员违反本协议第六条规定的，按照甲方内部管理权限，依据有关法律和规定给予处分或组织处理，涉嫌犯罪的，移交司法机关追究刑事责任。</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8.2如乙方违反本协议任何约定或承诺，甲方有权依据甲方采购管理、供应商管理和采购文件相关要求，对乙方进行严肃处理，相关处罚结果记入供应商诚信档案。</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8.4甲方及甲方子公司按照前述条款要求乙方承担赔偿责任的，乙方应于甲方发出赔偿通知之日起【10】个工作日内支付，如未及时支付，甲方及甲方子公司有权从主合同款项中直接扣除。</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8.5乙方知悉并同意，对于上述情形的处理甲方有完全的判断权和自主权。</w:t>
      </w:r>
    </w:p>
    <w:p>
      <w:pPr>
        <w:keepNext/>
        <w:keepLines/>
        <w:pageBreakBefore w:val="0"/>
        <w:widowControl w:val="0"/>
        <w:kinsoku/>
        <w:wordWrap/>
        <w:overflowPunct/>
        <w:topLinePunct w:val="0"/>
        <w:autoSpaceDE/>
        <w:autoSpaceDN/>
        <w:bidi w:val="0"/>
        <w:adjustRightInd/>
        <w:snapToGrid/>
        <w:spacing w:before="50" w:beforeLines="50" w:beforeAutospacing="0" w:after="50" w:afterLines="50" w:afterAutospacing="0" w:line="600" w:lineRule="exact"/>
        <w:jc w:val="both"/>
        <w:textAlignment w:val="auto"/>
        <w:outlineLvl w:val="0"/>
        <w:rPr>
          <w:rFonts w:hint="eastAsia" w:ascii="国标仿宋" w:hAnsi="国标仿宋" w:eastAsia="国标仿宋" w:cs="Times New Roman"/>
          <w:b/>
          <w:kern w:val="44"/>
          <w:sz w:val="24"/>
          <w:szCs w:val="24"/>
          <w:lang w:val="en-US" w:eastAsia="zh-CN" w:bidi="ar-SA"/>
        </w:rPr>
      </w:pPr>
      <w:r>
        <w:rPr>
          <w:rFonts w:hint="eastAsia" w:ascii="国标仿宋" w:hAnsi="国标仿宋" w:eastAsia="国标仿宋" w:cs="Times New Roman"/>
          <w:b/>
          <w:kern w:val="44"/>
          <w:sz w:val="24"/>
          <w:szCs w:val="24"/>
          <w:lang w:val="en-US" w:eastAsia="zh-CN" w:bidi="ar-SA"/>
        </w:rPr>
        <w:t>第九条  附则</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9.1本协议的标题及各条款的标题仅为检索方便而设置，具体内容应当以各条款的具体规定为准，而不应参考该标题进行解释。</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hint="eastAsia" w:ascii="国标仿宋" w:hAnsi="国标仿宋" w:eastAsia="国标仿宋" w:cs="Times New Roman"/>
          <w:sz w:val="24"/>
        </w:rPr>
      </w:pPr>
      <w:r>
        <w:rPr>
          <w:rFonts w:hint="eastAsia" w:ascii="国标仿宋" w:hAnsi="国标仿宋" w:eastAsia="国标仿宋" w:cs="Times New Roman"/>
          <w:sz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ageBreakBefore w:val="0"/>
        <w:widowControl w:val="0"/>
        <w:kinsoku/>
        <w:wordWrap/>
        <w:overflowPunct/>
        <w:topLinePunct w:val="0"/>
        <w:autoSpaceDE/>
        <w:autoSpaceDN/>
        <w:bidi w:val="0"/>
        <w:adjustRightInd/>
        <w:snapToGrid/>
        <w:spacing w:before="75" w:beforeLines="75" w:after="75" w:afterLines="75" w:line="600" w:lineRule="exact"/>
        <w:ind w:firstLine="480" w:firstLineChars="200"/>
        <w:textAlignment w:val="auto"/>
        <w:rPr>
          <w:rFonts w:ascii="Times New Roman" w:hAnsi="Times New Roman" w:eastAsia="国标仿宋" w:cs="Times New Roman"/>
          <w:sz w:val="24"/>
        </w:rPr>
      </w:pPr>
      <w:r>
        <w:rPr>
          <w:rFonts w:hint="eastAsia" w:ascii="国标仿宋" w:hAnsi="国标仿宋" w:eastAsia="国标仿宋" w:cs="Times New Roman"/>
          <w:sz w:val="24"/>
        </w:rPr>
        <w:t>9.5本协议长期有效</w:t>
      </w:r>
      <w:r>
        <w:rPr>
          <w:rFonts w:hint="eastAsia" w:ascii="Times New Roman" w:hAnsi="Times New Roman" w:eastAsia="国标仿宋" w:cs="Times New Roman"/>
          <w:sz w:val="24"/>
        </w:rPr>
        <w:t>。</w:t>
      </w:r>
    </w:p>
    <w:p/>
    <w:p>
      <w:pPr>
        <w:pStyle w:val="2"/>
        <w:sectPr>
          <w:footerReference r:id="rId8" w:type="default"/>
          <w:pgSz w:w="11906" w:h="16838"/>
          <w:pgMar w:top="1417" w:right="1134" w:bottom="1134" w:left="1134" w:header="851" w:footer="992" w:gutter="0"/>
          <w:cols w:space="720" w:num="1"/>
          <w:titlePg/>
          <w:docGrid w:type="lines" w:linePitch="312" w:charSpace="0"/>
        </w:sectPr>
      </w:pPr>
    </w:p>
    <w:p>
      <w:pPr>
        <w:pStyle w:val="4"/>
        <w:pageBreakBefore/>
        <w:ind w:left="0" w:firstLine="3064" w:firstLineChars="1090"/>
        <w:jc w:val="left"/>
        <w:rPr>
          <w:rFonts w:ascii="仿宋_GB2312" w:hAnsi="宋体" w:eastAsia="仿宋_GB2312"/>
          <w:color w:val="auto"/>
          <w:sz w:val="28"/>
          <w:szCs w:val="28"/>
        </w:rPr>
      </w:pPr>
      <w:bookmarkStart w:id="126" w:name="_Toc4181"/>
      <w:bookmarkStart w:id="127" w:name="_Toc186737811"/>
      <w:r>
        <w:rPr>
          <w:rFonts w:hint="eastAsia" w:ascii="仿宋_GB2312" w:hAnsi="宋体" w:eastAsia="仿宋_GB2312"/>
          <w:color w:val="auto"/>
          <w:sz w:val="28"/>
          <w:szCs w:val="28"/>
        </w:rPr>
        <w:t>第五章 采购</w:t>
      </w:r>
      <w:bookmarkEnd w:id="126"/>
      <w:r>
        <w:rPr>
          <w:rFonts w:hint="eastAsia" w:ascii="仿宋_GB2312" w:hAnsi="宋体" w:eastAsia="仿宋_GB2312"/>
          <w:color w:val="auto"/>
          <w:sz w:val="28"/>
          <w:szCs w:val="28"/>
        </w:rPr>
        <w:t>需求</w:t>
      </w:r>
      <w:bookmarkEnd w:id="127"/>
    </w:p>
    <w:p>
      <w:pPr>
        <w:numPr>
          <w:ilvl w:val="0"/>
          <w:numId w:val="6"/>
        </w:numPr>
        <w:spacing w:line="360" w:lineRule="auto"/>
        <w:ind w:firstLine="560" w:firstLineChars="200"/>
        <w:rPr>
          <w:rFonts w:hint="eastAsia" w:ascii="仿宋" w:hAnsi="仿宋" w:eastAsia="仿宋" w:cs="仿宋"/>
          <w:i w:val="0"/>
          <w:iCs/>
          <w:color w:val="000000" w:themeColor="text1"/>
          <w:sz w:val="28"/>
          <w:szCs w:val="28"/>
          <w14:textFill>
            <w14:solidFill>
              <w14:schemeClr w14:val="tx1"/>
            </w14:solidFill>
          </w14:textFill>
        </w:rPr>
      </w:pPr>
      <w:r>
        <w:rPr>
          <w:rFonts w:hint="eastAsia" w:ascii="仿宋" w:hAnsi="仿宋" w:eastAsia="仿宋" w:cs="仿宋"/>
          <w:i w:val="0"/>
          <w:iCs/>
          <w:color w:val="000000" w:themeColor="text1"/>
          <w:sz w:val="28"/>
          <w:szCs w:val="28"/>
          <w14:textFill>
            <w14:solidFill>
              <w14:schemeClr w14:val="tx1"/>
            </w14:solidFill>
          </w14:textFill>
        </w:rPr>
        <w:t>采购项目背景</w:t>
      </w:r>
    </w:p>
    <w:p>
      <w:pPr>
        <w:pStyle w:val="49"/>
        <w:keepNext w:val="0"/>
        <w:keepLines w:val="0"/>
        <w:pageBreakBefore w:val="0"/>
        <w:widowControl w:val="0"/>
        <w:bidi w:val="0"/>
        <w:spacing w:line="600" w:lineRule="exact"/>
        <w:rPr>
          <w:rFonts w:hint="eastAsia" w:ascii="仿宋" w:hAnsi="仿宋" w:eastAsia="仿宋" w:cs="仿宋"/>
          <w:i w:val="0"/>
          <w:iCs/>
          <w:color w:val="000000" w:themeColor="text1"/>
          <w:kern w:val="2"/>
          <w:sz w:val="28"/>
          <w:szCs w:val="28"/>
          <w:lang w:val="en-US" w:eastAsia="zh-CN" w:bidi="ar"/>
          <w14:textFill>
            <w14:solidFill>
              <w14:schemeClr w14:val="tx1"/>
            </w14:solidFill>
          </w14:textFill>
        </w:rPr>
      </w:pPr>
      <w:r>
        <w:rPr>
          <w:rFonts w:hint="eastAsia" w:ascii="仿宋" w:hAnsi="仿宋" w:eastAsia="仿宋" w:cs="仿宋"/>
          <w:i w:val="0"/>
          <w:iCs/>
          <w:color w:val="000000" w:themeColor="text1"/>
          <w:kern w:val="2"/>
          <w:sz w:val="28"/>
          <w:szCs w:val="28"/>
          <w:lang w:val="en-US" w:eastAsia="zh-CN" w:bidi="ar"/>
          <w14:textFill>
            <w14:solidFill>
              <w14:schemeClr w14:val="tx1"/>
            </w14:solidFill>
          </w14:textFill>
        </w:rPr>
        <w:t>为促进公司保险业务高质量发展，确保服务质量和效率，需委托劳务机构承接公司部分劳务外包事项，以加强对外包人员的规范管理，规避我司合规风险。劳务外包可以显著降低公司在人力资源等方面的成本，通过劳务外包可以节省约20%-30%的运营成本以及相关的管理成本。</w:t>
      </w:r>
    </w:p>
    <w:p>
      <w:pPr>
        <w:pStyle w:val="2"/>
        <w:numPr>
          <w:ilvl w:val="0"/>
          <w:numId w:val="0"/>
        </w:numPr>
        <w:rPr>
          <w:rFonts w:hint="eastAsia" w:ascii="仿宋" w:hAnsi="仿宋" w:eastAsia="仿宋" w:cs="仿宋"/>
          <w:i w:val="0"/>
          <w:iCs/>
          <w:color w:val="000000" w:themeColor="text1"/>
          <w:sz w:val="28"/>
          <w:szCs w:val="28"/>
          <w14:textFill>
            <w14:solidFill>
              <w14:schemeClr w14:val="tx1"/>
            </w14:solidFill>
          </w14:textFill>
        </w:rPr>
      </w:pPr>
    </w:p>
    <w:p>
      <w:pPr>
        <w:numPr>
          <w:ilvl w:val="0"/>
          <w:numId w:val="6"/>
        </w:numPr>
        <w:spacing w:line="360" w:lineRule="auto"/>
        <w:ind w:left="0" w:leftChars="0" w:firstLine="560" w:firstLineChars="200"/>
        <w:rPr>
          <w:rFonts w:hint="eastAsia" w:ascii="仿宋" w:hAnsi="仿宋" w:eastAsia="仿宋" w:cs="仿宋"/>
          <w:i w:val="0"/>
          <w:iCs/>
          <w:color w:val="000000" w:themeColor="text1"/>
          <w:sz w:val="28"/>
          <w:szCs w:val="28"/>
          <w14:textFill>
            <w14:solidFill>
              <w14:schemeClr w14:val="tx1"/>
            </w14:solidFill>
          </w14:textFill>
        </w:rPr>
      </w:pPr>
      <w:r>
        <w:rPr>
          <w:rFonts w:hint="eastAsia" w:ascii="仿宋" w:hAnsi="仿宋" w:eastAsia="仿宋" w:cs="仿宋"/>
          <w:i w:val="0"/>
          <w:iCs/>
          <w:color w:val="000000" w:themeColor="text1"/>
          <w:sz w:val="28"/>
          <w:szCs w:val="28"/>
          <w14:textFill>
            <w14:solidFill>
              <w14:schemeClr w14:val="tx1"/>
            </w14:solidFill>
          </w14:textFill>
        </w:rPr>
        <w:t>采购内容</w:t>
      </w:r>
    </w:p>
    <w:p>
      <w:pPr>
        <w:spacing w:line="600" w:lineRule="exact"/>
        <w:ind w:firstLine="560" w:firstLineChars="200"/>
        <w:rPr>
          <w:rFonts w:hint="eastAsia" w:ascii="仿宋" w:hAnsi="仿宋" w:eastAsia="仿宋" w:cs="仿宋"/>
          <w:i w:val="0"/>
          <w:iCs/>
          <w:color w:val="000000" w:themeColor="text1"/>
          <w:sz w:val="28"/>
          <w:szCs w:val="28"/>
          <w14:textFill>
            <w14:solidFill>
              <w14:schemeClr w14:val="tx1"/>
            </w14:solidFill>
          </w14:textFill>
        </w:rPr>
      </w:pPr>
      <w:r>
        <w:rPr>
          <w:rFonts w:hint="eastAsia" w:ascii="仿宋" w:hAnsi="仿宋" w:eastAsia="仿宋" w:cs="仿宋"/>
          <w:i w:val="0"/>
          <w:iCs/>
          <w:color w:val="000000" w:themeColor="text1"/>
          <w:sz w:val="28"/>
          <w:szCs w:val="28"/>
          <w14:textFill>
            <w14:solidFill>
              <w14:schemeClr w14:val="tx1"/>
            </w14:solidFill>
          </w14:textFill>
        </w:rPr>
        <w:t>本项目选定</w:t>
      </w:r>
      <w:r>
        <w:rPr>
          <w:rFonts w:hint="eastAsia" w:ascii="仿宋" w:hAnsi="仿宋" w:eastAsia="仿宋" w:cs="仿宋"/>
          <w:i w:val="0"/>
          <w:iCs/>
          <w:color w:val="000000" w:themeColor="text1"/>
          <w:sz w:val="28"/>
          <w:szCs w:val="28"/>
          <w:u w:val="single"/>
          <w14:textFill>
            <w14:solidFill>
              <w14:schemeClr w14:val="tx1"/>
            </w14:solidFill>
          </w14:textFill>
        </w:rPr>
        <w:t xml:space="preserve">  </w:t>
      </w:r>
      <w:r>
        <w:rPr>
          <w:rFonts w:hint="eastAsia" w:ascii="仿宋" w:hAnsi="仿宋" w:eastAsia="仿宋" w:cs="仿宋"/>
          <w:i w:val="0"/>
          <w:iCs/>
          <w:color w:val="000000" w:themeColor="text1"/>
          <w:sz w:val="28"/>
          <w:szCs w:val="28"/>
          <w:u w:val="single"/>
          <w:lang w:val="en-US" w:eastAsia="zh-CN"/>
          <w14:textFill>
            <w14:solidFill>
              <w14:schemeClr w14:val="tx1"/>
            </w14:solidFill>
          </w14:textFill>
        </w:rPr>
        <w:t>1</w:t>
      </w:r>
      <w:r>
        <w:rPr>
          <w:rFonts w:hint="eastAsia" w:ascii="仿宋" w:hAnsi="仿宋" w:eastAsia="仿宋" w:cs="仿宋"/>
          <w:i w:val="0"/>
          <w:iCs/>
          <w:color w:val="000000" w:themeColor="text1"/>
          <w:sz w:val="28"/>
          <w:szCs w:val="28"/>
          <w:u w:val="single"/>
          <w14:textFill>
            <w14:solidFill>
              <w14:schemeClr w14:val="tx1"/>
            </w14:solidFill>
          </w14:textFill>
        </w:rPr>
        <w:t xml:space="preserve">  </w:t>
      </w:r>
      <w:r>
        <w:rPr>
          <w:rFonts w:hint="eastAsia" w:ascii="仿宋" w:hAnsi="仿宋" w:eastAsia="仿宋" w:cs="仿宋"/>
          <w:i w:val="0"/>
          <w:iCs/>
          <w:color w:val="000000" w:themeColor="text1"/>
          <w:sz w:val="28"/>
          <w:szCs w:val="28"/>
          <w14:textFill>
            <w14:solidFill>
              <w14:schemeClr w14:val="tx1"/>
            </w14:solidFill>
          </w14:textFill>
        </w:rPr>
        <w:t>家供应商，为我公司提供周期为</w:t>
      </w:r>
      <w:r>
        <w:rPr>
          <w:rFonts w:hint="eastAsia" w:ascii="仿宋" w:hAnsi="仿宋" w:eastAsia="仿宋" w:cs="仿宋"/>
          <w:i w:val="0"/>
          <w:iCs/>
          <w:color w:val="000000" w:themeColor="text1"/>
          <w:sz w:val="28"/>
          <w:szCs w:val="28"/>
          <w:u w:val="single"/>
          <w14:textFill>
            <w14:solidFill>
              <w14:schemeClr w14:val="tx1"/>
            </w14:solidFill>
          </w14:textFill>
        </w:rPr>
        <w:t xml:space="preserve">  </w:t>
      </w:r>
      <w:r>
        <w:rPr>
          <w:rFonts w:hint="eastAsia" w:ascii="仿宋" w:hAnsi="仿宋" w:eastAsia="仿宋" w:cs="仿宋"/>
          <w:i w:val="0"/>
          <w:iCs/>
          <w:color w:val="000000" w:themeColor="text1"/>
          <w:sz w:val="28"/>
          <w:szCs w:val="28"/>
          <w:u w:val="single"/>
          <w:lang w:val="en-US" w:eastAsia="zh-CN"/>
          <w14:textFill>
            <w14:solidFill>
              <w14:schemeClr w14:val="tx1"/>
            </w14:solidFill>
          </w14:textFill>
        </w:rPr>
        <w:t>3</w:t>
      </w:r>
      <w:r>
        <w:rPr>
          <w:rFonts w:hint="eastAsia" w:ascii="仿宋" w:hAnsi="仿宋" w:eastAsia="仿宋" w:cs="仿宋"/>
          <w:i w:val="0"/>
          <w:iCs/>
          <w:color w:val="000000" w:themeColor="text1"/>
          <w:sz w:val="28"/>
          <w:szCs w:val="28"/>
          <w:u w:val="single"/>
          <w14:textFill>
            <w14:solidFill>
              <w14:schemeClr w14:val="tx1"/>
            </w14:solidFill>
          </w14:textFill>
        </w:rPr>
        <w:t xml:space="preserve">   </w:t>
      </w:r>
      <w:r>
        <w:rPr>
          <w:rFonts w:hint="eastAsia" w:ascii="仿宋" w:hAnsi="仿宋" w:eastAsia="仿宋" w:cs="仿宋"/>
          <w:i w:val="0"/>
          <w:iCs/>
          <w:color w:val="000000" w:themeColor="text1"/>
          <w:sz w:val="28"/>
          <w:szCs w:val="28"/>
          <w14:textFill>
            <w14:solidFill>
              <w14:schemeClr w14:val="tx1"/>
            </w14:solidFill>
          </w14:textFill>
        </w:rPr>
        <w:t>年的</w:t>
      </w:r>
      <w:r>
        <w:rPr>
          <w:rFonts w:hint="eastAsia" w:ascii="仿宋" w:hAnsi="仿宋" w:eastAsia="仿宋" w:cs="仿宋"/>
          <w:i w:val="0"/>
          <w:iCs/>
          <w:color w:val="000000" w:themeColor="text1"/>
          <w:kern w:val="2"/>
          <w:sz w:val="28"/>
          <w:szCs w:val="28"/>
          <w:lang w:val="en-US" w:eastAsia="zh-CN" w:bidi="ar-SA"/>
          <w14:textFill>
            <w14:solidFill>
              <w14:schemeClr w14:val="tx1"/>
            </w14:solidFill>
          </w14:textFill>
        </w:rPr>
        <w:t>农险、社保协保协赔劳务外包服务</w:t>
      </w:r>
      <w:r>
        <w:rPr>
          <w:rFonts w:hint="eastAsia" w:ascii="仿宋" w:hAnsi="仿宋" w:eastAsia="仿宋" w:cs="仿宋"/>
          <w:i w:val="0"/>
          <w:iCs/>
          <w:color w:val="000000" w:themeColor="text1"/>
          <w:sz w:val="28"/>
          <w:szCs w:val="28"/>
          <w14:textFill>
            <w14:solidFill>
              <w14:schemeClr w14:val="tx1"/>
            </w14:solidFill>
          </w14:textFill>
        </w:rPr>
        <w:t>。</w:t>
      </w:r>
    </w:p>
    <w:p>
      <w:pPr>
        <w:pStyle w:val="2"/>
        <w:numPr>
          <w:ilvl w:val="0"/>
          <w:numId w:val="0"/>
        </w:numPr>
        <w:ind w:leftChars="200"/>
      </w:pPr>
    </w:p>
    <w:p>
      <w:pPr>
        <w:numPr>
          <w:ilvl w:val="0"/>
          <w:numId w:val="6"/>
        </w:numPr>
        <w:spacing w:line="360" w:lineRule="auto"/>
        <w:ind w:left="0" w:leftChars="0" w:firstLine="560" w:firstLineChars="200"/>
        <w:rPr>
          <w:rFonts w:hint="eastAsia" w:ascii="楷体" w:hAnsi="楷体" w:eastAsia="楷体" w:cs="仿宋_GB2312"/>
          <w:i/>
          <w:color w:val="0000CC"/>
          <w:szCs w:val="32"/>
        </w:rPr>
      </w:pPr>
      <w:r>
        <w:rPr>
          <w:rFonts w:hint="eastAsia" w:ascii="仿宋" w:hAnsi="仿宋" w:eastAsia="仿宋" w:cs="仿宋"/>
          <w:i w:val="0"/>
          <w:iCs/>
          <w:color w:val="000000" w:themeColor="text1"/>
          <w:sz w:val="28"/>
          <w:szCs w:val="28"/>
          <w14:textFill>
            <w14:solidFill>
              <w14:schemeClr w14:val="tx1"/>
            </w14:solidFill>
          </w14:textFill>
        </w:rPr>
        <w:t>采购数量（该数量为预估，仅作为供应商报价依据，不作为采购方承诺，最终据实结算”）</w:t>
      </w:r>
    </w:p>
    <w:p>
      <w:pPr>
        <w:pStyle w:val="2"/>
        <w:numPr>
          <w:ilvl w:val="0"/>
          <w:numId w:val="0"/>
        </w:numPr>
        <w:ind w:leftChars="200"/>
        <w:rPr>
          <w:rFonts w:hint="eastAsia"/>
          <w:lang w:val="en-US" w:eastAsia="zh-CN"/>
        </w:rPr>
      </w:pPr>
      <w:r>
        <w:rPr>
          <w:rFonts w:hint="eastAsia"/>
          <w:lang w:eastAsia="zh-CN"/>
        </w:rPr>
        <w:t>【</w:t>
      </w:r>
      <w:r>
        <w:rPr>
          <w:rFonts w:hint="eastAsia"/>
          <w:lang w:val="en-US" w:eastAsia="zh-CN"/>
        </w:rPr>
        <w:t>农险】</w:t>
      </w:r>
    </w:p>
    <w:tbl>
      <w:tblPr>
        <w:tblStyle w:val="30"/>
        <w:tblW w:w="4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67"/>
        <w:gridCol w:w="3443"/>
        <w:gridCol w:w="31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费用类别</w:t>
            </w:r>
          </w:p>
        </w:tc>
        <w:tc>
          <w:tcPr>
            <w:tcW w:w="215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品种</w:t>
            </w:r>
          </w:p>
        </w:tc>
        <w:tc>
          <w:tcPr>
            <w:tcW w:w="198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themeColor="text1"/>
                <w:sz w:val="20"/>
                <w:szCs w:val="20"/>
                <w:u w:val="none"/>
                <w14:textFill>
                  <w14:solidFill>
                    <w14:schemeClr w14:val="tx1"/>
                  </w14:solidFill>
                </w14:textFill>
              </w:rPr>
            </w:pPr>
            <w:r>
              <w:rPr>
                <w:rFonts w:hint="default" w:ascii="仿宋_GB2312" w:hAnsi="宋体" w:eastAsia="仿宋_GB2312" w:cs="仿宋_GB2312"/>
                <w:b/>
                <w:bCs/>
                <w:i w:val="0"/>
                <w:iCs w:val="0"/>
                <w:color w:val="000000" w:themeColor="text1"/>
                <w:kern w:val="0"/>
                <w:sz w:val="20"/>
                <w:szCs w:val="20"/>
                <w:u w:val="none"/>
                <w:lang w:val="en-US" w:eastAsia="zh-CN" w:bidi="ar"/>
                <w14:textFill>
                  <w14:solidFill>
                    <w14:schemeClr w14:val="tx1"/>
                  </w14:solidFill>
                </w14:textFill>
              </w:rPr>
              <w:t>预估数量/年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856"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c>
          <w:tcPr>
            <w:tcW w:w="2157"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themeColor="text1"/>
                <w:sz w:val="20"/>
                <w:szCs w:val="20"/>
                <w:u w:val="none"/>
                <w14:textFill>
                  <w14:solidFill>
                    <w14:schemeClr w14:val="tx1"/>
                  </w14:solidFill>
                </w14:textFill>
              </w:rPr>
            </w:pPr>
          </w:p>
        </w:tc>
        <w:tc>
          <w:tcPr>
            <w:tcW w:w="198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themeColor="text1"/>
                <w:sz w:val="20"/>
                <w:szCs w:val="20"/>
                <w:u w:val="none"/>
                <w14:textFill>
                  <w14:solidFill>
                    <w14:schemeClr w14:val="tx1"/>
                  </w14:solidFill>
                </w14:textFill>
              </w:rPr>
            </w:pPr>
            <w:r>
              <w:rPr>
                <w:rFonts w:hint="default" w:ascii="仿宋_GB2312" w:hAnsi="宋体" w:eastAsia="仿宋_GB2312" w:cs="仿宋_GB2312"/>
                <w:b/>
                <w:bCs/>
                <w:i w:val="0"/>
                <w:iCs w:val="0"/>
                <w:color w:val="000000" w:themeColor="text1"/>
                <w:kern w:val="0"/>
                <w:sz w:val="20"/>
                <w:szCs w:val="20"/>
                <w:u w:val="none"/>
                <w:lang w:val="en-US" w:eastAsia="zh-CN" w:bidi="ar"/>
                <w14:textFill>
                  <w14:solidFill>
                    <w14:schemeClr w14:val="tx1"/>
                  </w14:solidFill>
                </w14:textFill>
              </w:rPr>
              <w:t>（亩、头、件）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协保</w:t>
            </w: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水稻</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玉米</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油菜</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马铃薯</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小麦</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大豆</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能繁母猪</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800000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牦牛</w:t>
            </w:r>
          </w:p>
        </w:tc>
        <w:tc>
          <w:tcPr>
            <w:tcW w:w="198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藏系羊</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奶牛</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商品林</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公益林</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3000000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茶叶气象指数</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水果（柑橘、樱桃、苹果、李子、枇杷、梨、核桃、猕猴桃等）</w:t>
            </w:r>
          </w:p>
        </w:tc>
        <w:tc>
          <w:tcPr>
            <w:tcW w:w="198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马蓝</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中药材</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花椒</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肉牛</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肉羊</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地方牦牛</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水产</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育肥猪综合收入</w:t>
            </w:r>
          </w:p>
        </w:tc>
        <w:tc>
          <w:tcPr>
            <w:tcW w:w="1986"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60000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黄柏</w:t>
            </w:r>
          </w:p>
        </w:tc>
        <w:tc>
          <w:tcPr>
            <w:tcW w:w="1986" w:type="pct"/>
            <w:tcBorders>
              <w:top w:val="single" w:color="000000" w:sz="4" w:space="0"/>
              <w:left w:val="single" w:color="auto"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56"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协赔</w:t>
            </w:r>
          </w:p>
        </w:tc>
        <w:tc>
          <w:tcPr>
            <w:tcW w:w="215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能繁母猪、育肥猪、奶牛、藏系羊、肉牛、肉羊（49头以内）</w:t>
            </w:r>
          </w:p>
        </w:tc>
        <w:tc>
          <w:tcPr>
            <w:tcW w:w="198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56" w:type="pct"/>
            <w:vMerge w:val="continue"/>
            <w:tcBorders>
              <w:top w:val="single" w:color="auto"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能繁母猪、育肥猪、奶牛、藏系羊、肉牛、肉羊（50头及以上）</w:t>
            </w:r>
          </w:p>
        </w:tc>
        <w:tc>
          <w:tcPr>
            <w:tcW w:w="1986" w:type="pct"/>
            <w:tcBorders>
              <w:top w:val="single" w:color="auto"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牦牛</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水产、家禽、育肥猪综合收入、价格指数、气象指数、费用</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气象指数、价格指数、费用</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商品林、公益林、黄柏</w:t>
            </w:r>
          </w:p>
        </w:tc>
        <w:tc>
          <w:tcPr>
            <w:tcW w:w="1986"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30</w:t>
            </w:r>
          </w:p>
        </w:tc>
      </w:tr>
    </w:tbl>
    <w:p>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color w:val="000000" w:themeColor="text1"/>
          <w:kern w:val="2"/>
          <w:sz w:val="28"/>
          <w:szCs w:val="28"/>
          <w:lang w:val="en-US" w:eastAsia="zh-CN" w:bidi="ar"/>
          <w14:textFill>
            <w14:solidFill>
              <w14:schemeClr w14:val="tx1"/>
            </w14:solidFill>
          </w14:textFill>
        </w:rPr>
        <w:t>注：如有其他农险大灾协赔，查勘费用可按照不高于 200 元/天进行结算，由甲乙双方据实协商确认结算天数和标准</w:t>
      </w:r>
      <w:r>
        <w:rPr>
          <w:rFonts w:hint="eastAsia" w:ascii="仿宋_GB2312" w:eastAsia="仿宋_GB2312" w:hAnsiTheme="minorHAnsi" w:cstheme="minorBidi"/>
          <w:b w:val="0"/>
          <w:bCs w:val="0"/>
          <w:i w:val="0"/>
          <w:iCs w:val="0"/>
          <w:kern w:val="2"/>
          <w:sz w:val="28"/>
          <w:szCs w:val="28"/>
          <w:lang w:val="en-US" w:eastAsia="zh-CN" w:bidi="ar"/>
        </w:rPr>
        <w:t>。</w:t>
      </w:r>
    </w:p>
    <w:p>
      <w:pPr>
        <w:pStyle w:val="3"/>
        <w:rPr>
          <w:rFonts w:hint="eastAsia"/>
          <w:lang w:val="en-US" w:eastAsia="zh-CN"/>
        </w:rPr>
      </w:pPr>
    </w:p>
    <w:p>
      <w:pPr>
        <w:pStyle w:val="3"/>
        <w:rPr>
          <w:rFonts w:hint="eastAsia"/>
          <w:lang w:val="en-US" w:eastAsia="zh-CN"/>
        </w:rPr>
      </w:pPr>
      <w:r>
        <w:rPr>
          <w:rFonts w:hint="eastAsia"/>
          <w:lang w:val="en-US" w:eastAsia="zh-CN"/>
        </w:rPr>
        <w:t>【社保】</w:t>
      </w:r>
    </w:p>
    <w:tbl>
      <w:tblPr>
        <w:tblStyle w:val="30"/>
        <w:tblW w:w="303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90"/>
        <w:gridCol w:w="3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165" w:type="pct"/>
            <w:vMerge w:val="restart"/>
            <w:tcBorders>
              <w:top w:val="single" w:color="000000" w:sz="8" w:space="0"/>
              <w:left w:val="single" w:color="000000" w:sz="8" w:space="0"/>
              <w:bottom w:val="single" w:color="000000" w:sz="8" w:space="0"/>
              <w:right w:val="single" w:color="000000" w:sz="8" w:space="0"/>
            </w:tcBorders>
            <w:noWrap w:val="0"/>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0"/>
                <w:szCs w:val="20"/>
                <w:u w:val="none"/>
              </w:rPr>
            </w:pPr>
            <w:r>
              <w:rPr>
                <w:rFonts w:hint="eastAsia" w:ascii="仿宋_GB2312" w:hAnsi="宋体" w:eastAsia="仿宋_GB2312" w:cs="仿宋_GB2312"/>
                <w:b/>
                <w:bCs/>
                <w:i w:val="0"/>
                <w:iCs w:val="0"/>
                <w:color w:val="000000"/>
                <w:kern w:val="0"/>
                <w:sz w:val="20"/>
                <w:szCs w:val="20"/>
                <w:u w:val="none"/>
                <w:lang w:val="en-US" w:eastAsia="zh-CN" w:bidi="ar"/>
              </w:rPr>
              <w:t>项目</w:t>
            </w:r>
          </w:p>
        </w:tc>
        <w:tc>
          <w:tcPr>
            <w:tcW w:w="2834" w:type="pct"/>
            <w:tcBorders>
              <w:top w:val="single" w:color="000000" w:sz="8" w:space="0"/>
              <w:left w:val="nil"/>
              <w:bottom w:val="nil"/>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lang w:val="en-US" w:eastAsia="zh-CN" w:bidi="ar"/>
              </w:rPr>
              <w:t>预估数量/年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165" w:type="pct"/>
            <w:vMerge w:val="continue"/>
            <w:tcBorders>
              <w:top w:val="single" w:color="000000" w:sz="8" w:space="0"/>
              <w:left w:val="single" w:color="000000" w:sz="8" w:space="0"/>
              <w:bottom w:val="single" w:color="000000" w:sz="8" w:space="0"/>
              <w:right w:val="single" w:color="000000" w:sz="8" w:space="0"/>
            </w:tcBorders>
            <w:noWrap w:val="0"/>
            <w:vAlign w:val="bottom"/>
          </w:tcPr>
          <w:p>
            <w:pPr>
              <w:jc w:val="center"/>
              <w:rPr>
                <w:rFonts w:hint="default" w:ascii="仿宋_GB2312" w:hAnsi="宋体" w:eastAsia="仿宋_GB2312" w:cs="仿宋_GB2312"/>
                <w:b/>
                <w:bCs/>
                <w:i w:val="0"/>
                <w:iCs w:val="0"/>
                <w:color w:val="000000"/>
                <w:sz w:val="20"/>
                <w:szCs w:val="20"/>
                <w:u w:val="none"/>
              </w:rPr>
            </w:pP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lang w:val="en-US" w:eastAsia="zh-CN" w:bidi="ar"/>
              </w:rPr>
              <w:t>（件、次）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资料收集</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赔案审核</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赔案稽核（统筹区内）</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赔案稽核（统筹区外）</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医疗巡查（个人）</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医疗巡查（医院）</w:t>
            </w:r>
          </w:p>
        </w:tc>
        <w:tc>
          <w:tcPr>
            <w:tcW w:w="283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nil"/>
              <w:left w:val="single" w:color="000000" w:sz="8" w:space="0"/>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医疗巡查（药店）</w:t>
            </w:r>
          </w:p>
        </w:tc>
        <w:tc>
          <w:tcPr>
            <w:tcW w:w="2834" w:type="pct"/>
            <w:tcBorders>
              <w:top w:val="nil"/>
              <w:left w:val="nil"/>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赔案档案装订</w:t>
            </w:r>
          </w:p>
        </w:tc>
        <w:tc>
          <w:tcPr>
            <w:tcW w:w="283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赔案风险数据核对</w:t>
            </w:r>
          </w:p>
        </w:tc>
        <w:tc>
          <w:tcPr>
            <w:tcW w:w="283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赔案回访</w:t>
            </w:r>
          </w:p>
        </w:tc>
        <w:tc>
          <w:tcPr>
            <w:tcW w:w="283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165"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理赔咨询服务</w:t>
            </w:r>
          </w:p>
        </w:tc>
        <w:tc>
          <w:tcPr>
            <w:tcW w:w="283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r>
    </w:tbl>
    <w:p>
      <w:pPr>
        <w:pStyle w:val="52"/>
        <w:keepNext w:val="0"/>
        <w:keepLines w:val="0"/>
        <w:pageBreakBefore w:val="0"/>
        <w:widowControl/>
        <w:kinsoku/>
        <w:wordWrap/>
        <w:overflowPunct/>
        <w:topLinePunct w:val="0"/>
        <w:autoSpaceDE/>
        <w:autoSpaceDN/>
        <w:bidi w:val="0"/>
        <w:adjustRightInd/>
        <w:snapToGrid/>
        <w:spacing w:line="600" w:lineRule="exact"/>
        <w:ind w:left="-6" w:firstLine="560"/>
        <w:textAlignment w:val="auto"/>
        <w:rPr>
          <w:rFonts w:hint="eastAsia" w:ascii="仿宋_GB2312" w:hAnsi="仿宋" w:eastAsia="仿宋_GB2312" w:cstheme="minorBidi"/>
          <w:b w:val="0"/>
          <w:i w:val="0"/>
          <w:kern w:val="2"/>
          <w:sz w:val="28"/>
          <w:szCs w:val="28"/>
          <w:highlight w:val="yellow"/>
          <w:lang w:val="en-US" w:eastAsia="zh-CN" w:bidi="ar-SA"/>
        </w:rPr>
      </w:pPr>
      <w:r>
        <w:rPr>
          <w:rFonts w:hint="eastAsia" w:ascii="仿宋_GB2312" w:hAnsi="仿宋" w:eastAsia="仿宋_GB2312" w:cstheme="minorBidi"/>
          <w:b w:val="0"/>
          <w:i w:val="0"/>
          <w:color w:val="000000" w:themeColor="text1"/>
          <w:kern w:val="2"/>
          <w:sz w:val="28"/>
          <w:szCs w:val="28"/>
          <w:highlight w:val="none"/>
          <w:lang w:val="en-US" w:eastAsia="zh-CN" w:bidi="ar-SA"/>
          <w14:textFill>
            <w14:solidFill>
              <w14:schemeClr w14:val="tx1"/>
            </w14:solidFill>
          </w14:textFill>
        </w:rPr>
        <w:t>上述农险、社保</w:t>
      </w:r>
      <w:r>
        <w:rPr>
          <w:rFonts w:hint="eastAsia" w:ascii="仿宋_GB2312" w:hAnsi="仿宋" w:eastAsia="仿宋_GB2312" w:cstheme="minorBidi"/>
          <w:b w:val="0"/>
          <w:i w:val="0"/>
          <w:kern w:val="2"/>
          <w:sz w:val="28"/>
          <w:szCs w:val="28"/>
          <w:highlight w:val="none"/>
          <w:lang w:val="en-US" w:eastAsia="zh-CN" w:bidi="ar-SA"/>
        </w:rPr>
        <w:t>服务内容若有新增品种或项目时，由双方另行协商并签订补充协议完善。本项目主采购合同及后续签订的全部补充协议，累计合同总金额不得超过本项目采购总金额。</w:t>
      </w:r>
    </w:p>
    <w:p>
      <w:pPr>
        <w:pStyle w:val="3"/>
        <w:rPr>
          <w:rFonts w:hint="eastAsia"/>
          <w:lang w:val="en-US" w:eastAsia="zh-CN"/>
        </w:rPr>
      </w:pPr>
    </w:p>
    <w:p>
      <w:pPr>
        <w:pStyle w:val="3"/>
        <w:rPr>
          <w:rFonts w:hint="default"/>
          <w:highlight w:val="none"/>
          <w:lang w:val="en-US" w:eastAsia="zh-CN"/>
        </w:rPr>
      </w:pPr>
    </w:p>
    <w:p>
      <w:pPr>
        <w:numPr>
          <w:ilvl w:val="0"/>
          <w:numId w:val="6"/>
        </w:numPr>
        <w:spacing w:line="360" w:lineRule="auto"/>
        <w:ind w:left="0" w:leftChars="0" w:firstLine="560" w:firstLineChars="200"/>
        <w:rPr>
          <w:rFonts w:hint="eastAsia" w:ascii="仿宋" w:hAnsi="仿宋" w:eastAsia="仿宋" w:cs="仿宋"/>
          <w:i w:val="0"/>
          <w:iCs/>
          <w:color w:val="000000" w:themeColor="text1"/>
          <w:sz w:val="28"/>
          <w:szCs w:val="28"/>
          <w:highlight w:val="none"/>
          <w14:textFill>
            <w14:solidFill>
              <w14:schemeClr w14:val="tx1"/>
            </w14:solidFill>
          </w14:textFill>
        </w:rPr>
      </w:pPr>
      <w:r>
        <w:rPr>
          <w:rFonts w:hint="eastAsia" w:ascii="仿宋" w:hAnsi="仿宋" w:eastAsia="仿宋" w:cs="仿宋"/>
          <w:i w:val="0"/>
          <w:iCs/>
          <w:color w:val="000000" w:themeColor="text1"/>
          <w:sz w:val="28"/>
          <w:szCs w:val="28"/>
          <w:highlight w:val="none"/>
          <w14:textFill>
            <w14:solidFill>
              <w14:schemeClr w14:val="tx1"/>
            </w14:solidFill>
          </w14:textFill>
        </w:rPr>
        <w:t>付款方式</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1.本合同使用货币种类为人民币。</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2.付款方式：双方采用转账方式付款，甲方应向乙方以下账户进行支付：</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开户行：</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账户名称：</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账号：</w:t>
      </w:r>
    </w:p>
    <w:p>
      <w:pPr>
        <w:keepNext w:val="0"/>
        <w:keepLines w:val="0"/>
        <w:pageBreakBefore w:val="0"/>
        <w:widowControl w:val="0"/>
        <w:kinsoku/>
        <w:wordWrap/>
        <w:overflowPunct/>
        <w:topLinePunct w:val="0"/>
        <w:autoSpaceDE/>
        <w:autoSpaceDN/>
        <w:bidi w:val="0"/>
        <w:adjustRightInd/>
        <w:snapToGrid/>
        <w:spacing w:after="156" w:line="600" w:lineRule="exact"/>
        <w:ind w:firstLine="480" w:firstLineChars="200"/>
        <w:textAlignment w:val="auto"/>
        <w:rPr>
          <w:rFonts w:hint="eastAsia" w:ascii="仿宋" w:hAnsi="仿宋" w:eastAsia="仿宋" w:cs="仿宋"/>
          <w:color w:val="auto"/>
          <w:sz w:val="24"/>
          <w:szCs w:val="24"/>
        </w:rPr>
      </w:pPr>
    </w:p>
    <w:p>
      <w:pPr>
        <w:keepNext w:val="0"/>
        <w:keepLines w:val="0"/>
        <w:pageBreakBefore w:val="0"/>
        <w:widowControl w:val="0"/>
        <w:kinsoku/>
        <w:wordWrap/>
        <w:overflowPunct/>
        <w:topLinePunct w:val="0"/>
        <w:autoSpaceDE/>
        <w:autoSpaceDN/>
        <w:bidi w:val="0"/>
        <w:adjustRightInd/>
        <w:snapToGrid/>
        <w:spacing w:after="156"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3.付款安排</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val="en-US" w:eastAsia="zh-CN"/>
        </w:rPr>
        <w:t>分次向</w:t>
      </w:r>
      <w:r>
        <w:rPr>
          <w:rFonts w:hint="eastAsia" w:ascii="仿宋" w:hAnsi="仿宋" w:eastAsia="仿宋" w:cs="仿宋"/>
          <w:color w:val="auto"/>
          <w:sz w:val="24"/>
          <w:szCs w:val="24"/>
        </w:rPr>
        <w:t>乙方付款，付款前乙方须向甲方出具付款通知书，并按照附件规定出具合法有效的增值税发票：</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（1）本合同生效后，在甲方收到乙方书面付款通知书后15个工作日内，甲方支付乙方应结算的服务费用；</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（2）甲方向乙方支付的合同服务费用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按照实际工作内容、支付标准、</w:t>
      </w:r>
      <w:r>
        <w:rPr>
          <w:rFonts w:hint="eastAsia" w:ascii="仿宋" w:hAnsi="仿宋" w:eastAsia="仿宋" w:cs="仿宋"/>
          <w:color w:val="auto"/>
          <w:sz w:val="24"/>
          <w:szCs w:val="24"/>
          <w:lang w:val="en-US" w:eastAsia="zh-CN"/>
        </w:rPr>
        <w:t>实际发生件数等计费</w:t>
      </w:r>
      <w:r>
        <w:rPr>
          <w:rFonts w:hint="eastAsia" w:ascii="仿宋" w:hAnsi="仿宋" w:eastAsia="仿宋" w:cs="仿宋"/>
          <w:color w:val="auto"/>
          <w:sz w:val="24"/>
          <w:szCs w:val="24"/>
        </w:rPr>
        <w:t>。</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rPr>
      </w:pPr>
      <w:r>
        <w:rPr>
          <w:rFonts w:hint="eastAsia" w:ascii="仿宋" w:hAnsi="仿宋" w:eastAsia="仿宋" w:cs="仿宋"/>
          <w:color w:val="auto"/>
          <w:sz w:val="24"/>
          <w:szCs w:val="24"/>
        </w:rPr>
        <w:t>由于乙方未提供或未及时提供足额有效的增值税发票，或乙方变更账户信息但未提前通知甲方而导致的付款迟延，甲方不承担任何责任。</w:t>
      </w:r>
    </w:p>
    <w:p>
      <w:pPr>
        <w:pStyle w:val="2"/>
        <w:numPr>
          <w:ilvl w:val="0"/>
          <w:numId w:val="0"/>
        </w:numPr>
        <w:ind w:leftChars="200"/>
      </w:pPr>
    </w:p>
    <w:p>
      <w:pPr>
        <w:numPr>
          <w:ilvl w:val="0"/>
          <w:numId w:val="6"/>
        </w:numPr>
        <w:spacing w:line="360" w:lineRule="auto"/>
        <w:ind w:left="0" w:leftChars="0" w:firstLine="560" w:firstLineChars="200"/>
        <w:rPr>
          <w:rFonts w:hint="eastAsia" w:ascii="仿宋" w:hAnsi="仿宋" w:eastAsia="仿宋" w:cs="仿宋"/>
          <w:i w:val="0"/>
          <w:iCs/>
          <w:color w:val="000000" w:themeColor="text1"/>
          <w:sz w:val="28"/>
          <w:szCs w:val="28"/>
          <w14:textFill>
            <w14:solidFill>
              <w14:schemeClr w14:val="tx1"/>
            </w14:solidFill>
          </w14:textFill>
        </w:rPr>
      </w:pPr>
      <w:r>
        <w:rPr>
          <w:rFonts w:hint="eastAsia" w:ascii="仿宋" w:hAnsi="仿宋" w:eastAsia="仿宋" w:cs="仿宋"/>
          <w:i w:val="0"/>
          <w:iCs/>
          <w:color w:val="000000" w:themeColor="text1"/>
          <w:sz w:val="28"/>
          <w:szCs w:val="28"/>
          <w14:textFill>
            <w14:solidFill>
              <w14:schemeClr w14:val="tx1"/>
            </w14:solidFill>
          </w14:textFill>
        </w:rPr>
        <w:t>服务要求</w:t>
      </w:r>
    </w:p>
    <w:p>
      <w:pPr>
        <w:pStyle w:val="2"/>
        <w:keepNext w:val="0"/>
        <w:keepLines w:val="0"/>
        <w:pageBreakBefore w:val="0"/>
        <w:widowControl w:val="0"/>
        <w:kinsoku/>
        <w:wordWrap/>
        <w:overflowPunct/>
        <w:topLinePunct w:val="0"/>
        <w:autoSpaceDE/>
        <w:autoSpaceDN/>
        <w:bidi w:val="0"/>
        <w:adjustRightInd/>
        <w:snapToGrid/>
        <w:spacing w:before="0" w:line="600" w:lineRule="atLeast"/>
        <w:textAlignment w:val="auto"/>
        <w:rPr>
          <w:rFonts w:hint="eastAsia" w:ascii="仿宋_GB2312" w:eastAsia="仿宋_GB2312" w:hAnsiTheme="minorHAnsi" w:cstheme="minorBidi"/>
          <w:b/>
          <w:bCs/>
          <w:i w:val="0"/>
          <w:kern w:val="2"/>
          <w:sz w:val="28"/>
          <w:szCs w:val="28"/>
          <w:lang w:val="en-US" w:eastAsia="zh-CN" w:bidi="ar"/>
        </w:rPr>
      </w:pPr>
      <w:r>
        <w:rPr>
          <w:rFonts w:hint="eastAsia" w:ascii="仿宋_GB2312" w:eastAsia="仿宋_GB2312" w:hAnsiTheme="minorHAnsi" w:cstheme="minorBidi"/>
          <w:b/>
          <w:bCs/>
          <w:i w:val="0"/>
          <w:kern w:val="2"/>
          <w:sz w:val="28"/>
          <w:szCs w:val="28"/>
          <w:lang w:val="en-US" w:eastAsia="zh-CN" w:bidi="ar"/>
        </w:rPr>
        <w:t>【农险】</w:t>
      </w:r>
    </w:p>
    <w:p>
      <w:pPr>
        <w:keepNext w:val="0"/>
        <w:keepLines w:val="0"/>
        <w:pageBreakBefore w:val="0"/>
        <w:widowControl w:val="0"/>
        <w:kinsoku/>
        <w:wordWrap/>
        <w:overflowPunct/>
        <w:topLinePunct w:val="0"/>
        <w:autoSpaceDE/>
        <w:autoSpaceDN/>
        <w:bidi w:val="0"/>
        <w:adjustRightInd/>
        <w:snapToGrid/>
        <w:spacing w:line="600" w:lineRule="atLeast"/>
        <w:ind w:firstLine="624"/>
        <w:textAlignment w:val="auto"/>
        <w:rPr>
          <w:rFonts w:hint="default"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农险服务包括但不限于协助客户从事政策性农业保险承保业务咨询及解释工作；协助宣导最新农业保险政策；协助客户进行信息采集及组织签字、清单造册、收集整理承保/理赔资料、核对承保/理赔数据；协助开展现场查验/查勘，搜集受损标的特征和规模、损失原因和程度、标识或有关信息；协助进行公示；协助收集农户意见建议，协助处理回访及投诉处理；开展川农保等工具软件的推广指导；协助做好公司品牌形象宣传,促进业务稳定持续发展。详细内容如下：</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一）协助甲方在承保前以现场、线上等形式宣讲相关惠农政策、服务标准和监管要求等内容。由农业生产经营组织或村民委员会等单位组织农民投保的，协助甲方组织投保人、被保险人召开宣传说明会，现场发放投保险种保险条款，重点讲解保险责任、责任免除、赔款处理等内容。</w:t>
      </w:r>
    </w:p>
    <w:p>
      <w:pPr>
        <w:pStyle w:val="2"/>
        <w:keepNext w:val="0"/>
        <w:keepLines w:val="0"/>
        <w:pageBreakBefore w:val="0"/>
        <w:widowControl w:val="0"/>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二）准确完整记录投保信息。包括：客户信息，投保人、被保险人姓名或者组织名称、身份证号码或统一社会信用代码、联系方式、联系地址等；保险标的信息，种植业保险标的数量、品种、地块或村组位置，养殖业保险标的数量、品种、地点位置、标识或有关信息，森林保险标的数量、属性、地点位置等；其他信息。投保险种、保费金额、保险费率、自缴保费、保险金额、保险期间等。</w:t>
      </w:r>
    </w:p>
    <w:p>
      <w:pPr>
        <w:pStyle w:val="2"/>
        <w:keepNext w:val="0"/>
        <w:keepLines w:val="0"/>
        <w:pageBreakBefore w:val="0"/>
        <w:widowControl w:val="0"/>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（三）收集投保单、分户投保清单、验标影像、承保公示资料等，保险单或保险凭证及时发放到户。</w:t>
      </w:r>
    </w:p>
    <w:p>
      <w:pPr>
        <w:pStyle w:val="2"/>
        <w:keepNext w:val="0"/>
        <w:keepLines w:val="0"/>
        <w:pageBreakBefore w:val="0"/>
        <w:widowControl w:val="0"/>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（四）收集查勘报告、损失清单、查勘影像、无害化处理单证、公示资料等。</w:t>
      </w:r>
    </w:p>
    <w:p>
      <w:pPr>
        <w:pStyle w:val="2"/>
        <w:keepNext w:val="0"/>
        <w:keepLines w:val="0"/>
        <w:pageBreakBefore w:val="0"/>
        <w:widowControl w:val="0"/>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五）对保险标的真实性、准确性、权属和风险等情况进行查验并拍摄影像，要反映查验人员、查验日期、承保标的特征和规模等。养殖业查验保险标的的存栏数量、防灾防疫、标识标志等情况；种植业查验被保险土地承保经营权证书或土地承包经营租赁合同等资料；森林查验被保险人山林权属证明或山林承包经营租赁合同等资料。</w:t>
      </w:r>
    </w:p>
    <w:p>
      <w:pPr>
        <w:pStyle w:val="2"/>
        <w:keepNext w:val="0"/>
        <w:keepLines w:val="0"/>
        <w:pageBreakBefore w:val="0"/>
        <w:widowControl w:val="0"/>
        <w:kinsoku/>
        <w:wordWrap/>
        <w:overflowPunct/>
        <w:topLinePunct w:val="0"/>
        <w:autoSpaceDE/>
        <w:autoSpaceDN/>
        <w:bidi w:val="0"/>
        <w:adjustRightInd/>
        <w:snapToGrid/>
        <w:spacing w:before="0" w:line="600" w:lineRule="atLeast"/>
        <w:ind w:firstLine="560" w:firstLineChars="200"/>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kern w:val="2"/>
          <w:sz w:val="28"/>
          <w:szCs w:val="28"/>
          <w:lang w:val="en-US" w:eastAsia="zh-CN" w:bidi="ar"/>
        </w:rPr>
        <w:t>（六）接到报案后，在24小时内进行查勘。对损失情况进行拍摄，并确保影像资料清晰、完整、未经任何修改。查勘影像应当体现查勘人员、拍摄位置、拍摄日期、受损标的特征和规模、损失原因和程度、标识或有关信息等。发生种植业、森林灾害，依照相关农业、林业技术规范，抽取样本测定保险标的损失程度。如实撰写查勘报告，并保存查勘原始记录等单证资料。查勘单证应当对标的受损情况、事故原因以及是否属于保险责任等提出意见，并由查勘人员和被保险人签名确认。</w:t>
      </w:r>
    </w:p>
    <w:p>
      <w:pPr>
        <w:keepNext w:val="0"/>
        <w:keepLines w:val="0"/>
        <w:pageBreakBefore w:val="0"/>
        <w:widowControl w:val="0"/>
        <w:bidi w:val="0"/>
        <w:spacing w:line="600" w:lineRule="exact"/>
        <w:rPr>
          <w:rFonts w:hint="eastAsia" w:ascii="仿宋_GB2312" w:hAnsi="仿宋" w:eastAsia="仿宋_GB2312" w:cstheme="minorBidi"/>
          <w:b/>
          <w:bCs/>
          <w:i w:val="0"/>
          <w:kern w:val="2"/>
          <w:sz w:val="28"/>
          <w:szCs w:val="28"/>
          <w:lang w:val="en-US" w:eastAsia="zh-CN" w:bidi="ar-SA"/>
        </w:rPr>
      </w:pPr>
      <w:r>
        <w:rPr>
          <w:rFonts w:hint="eastAsia" w:ascii="仿宋_GB2312" w:hAnsi="仿宋" w:eastAsia="仿宋_GB2312" w:cstheme="minorBidi"/>
          <w:b/>
          <w:bCs/>
          <w:i w:val="0"/>
          <w:kern w:val="2"/>
          <w:sz w:val="28"/>
          <w:szCs w:val="28"/>
          <w:lang w:val="en-US" w:eastAsia="zh-CN" w:bidi="ar-SA"/>
        </w:rPr>
        <w:t>【社保】</w:t>
      </w:r>
    </w:p>
    <w:p>
      <w:pPr>
        <w:keepNext w:val="0"/>
        <w:keepLines w:val="0"/>
        <w:pageBreakBefore w:val="0"/>
        <w:widowControl w:val="0"/>
        <w:bidi w:val="0"/>
        <w:spacing w:line="600" w:lineRule="exact"/>
        <w:ind w:firstLine="480"/>
        <w:rPr>
          <w:rFonts w:hint="eastAsia" w:ascii="仿宋_GB2312" w:hAnsi="Times New Roman" w:eastAsia="仿宋_GB2312" w:cs="Times New Roman"/>
          <w:color w:val="auto"/>
          <w:kern w:val="2"/>
          <w:sz w:val="28"/>
          <w:szCs w:val="28"/>
          <w:lang w:val="en-US" w:eastAsia="zh-CN" w:bidi="ar-SA"/>
        </w:rPr>
      </w:pPr>
      <w:r>
        <w:rPr>
          <w:rFonts w:hint="eastAsia" w:ascii="仿宋_GB2312" w:hAnsi="Times New Roman" w:eastAsia="仿宋_GB2312" w:cs="Times New Roman"/>
          <w:color w:val="auto"/>
          <w:kern w:val="2"/>
          <w:sz w:val="28"/>
          <w:szCs w:val="28"/>
          <w:lang w:val="en-US" w:eastAsia="zh-CN" w:bidi="ar-SA"/>
        </w:rPr>
        <w:t>社保服务包括协助完成关于补充医疗保险业务的相关工作。具体如下：</w:t>
      </w:r>
    </w:p>
    <w:p>
      <w:pPr>
        <w:keepNext w:val="0"/>
        <w:keepLines w:val="0"/>
        <w:pageBreakBefore w:val="0"/>
        <w:widowControl w:val="0"/>
        <w:bidi w:val="0"/>
        <w:spacing w:line="600" w:lineRule="exact"/>
        <w:ind w:firstLine="480"/>
        <w:rPr>
          <w:rFonts w:hint="eastAsia" w:ascii="仿宋_GB2312" w:hAnsi="Times New Roman" w:eastAsia="仿宋_GB2312" w:cs="Times New Roman"/>
          <w:color w:val="auto"/>
          <w:kern w:val="2"/>
          <w:sz w:val="28"/>
          <w:szCs w:val="28"/>
          <w:lang w:val="en-US" w:eastAsia="zh-CN" w:bidi="ar-SA"/>
        </w:rPr>
      </w:pPr>
      <w:r>
        <w:rPr>
          <w:rFonts w:hint="eastAsia" w:ascii="仿宋_GB2312" w:hAnsi="Times New Roman" w:eastAsia="仿宋_GB2312" w:cs="Times New Roman"/>
          <w:color w:val="auto"/>
          <w:kern w:val="2"/>
          <w:sz w:val="28"/>
          <w:szCs w:val="28"/>
          <w:lang w:val="en-US" w:eastAsia="zh-CN" w:bidi="ar-SA"/>
        </w:rPr>
        <w:t>（一）补充医疗保险赔案资料收集、资料录入及赔案审核；</w:t>
      </w:r>
    </w:p>
    <w:p>
      <w:pPr>
        <w:keepNext w:val="0"/>
        <w:keepLines w:val="0"/>
        <w:pageBreakBefore w:val="0"/>
        <w:widowControl w:val="0"/>
        <w:bidi w:val="0"/>
        <w:spacing w:line="600" w:lineRule="exact"/>
        <w:ind w:firstLine="480"/>
        <w:rPr>
          <w:rFonts w:hint="eastAsia" w:ascii="仿宋_GB2312" w:hAnsi="Times New Roman" w:eastAsia="仿宋_GB2312" w:cs="Times New Roman"/>
          <w:color w:val="auto"/>
          <w:kern w:val="2"/>
          <w:sz w:val="28"/>
          <w:szCs w:val="28"/>
          <w:lang w:val="en-US" w:eastAsia="zh-CN" w:bidi="ar-SA"/>
        </w:rPr>
      </w:pPr>
      <w:r>
        <w:rPr>
          <w:rFonts w:hint="eastAsia" w:ascii="仿宋_GB2312" w:hAnsi="Times New Roman" w:eastAsia="仿宋_GB2312" w:cs="Times New Roman"/>
          <w:color w:val="auto"/>
          <w:kern w:val="2"/>
          <w:sz w:val="28"/>
          <w:szCs w:val="28"/>
          <w:lang w:val="en-US" w:eastAsia="zh-CN" w:bidi="ar-SA"/>
        </w:rPr>
        <w:t>（二）赔案稽核、医疗巡查；</w:t>
      </w:r>
    </w:p>
    <w:p>
      <w:pPr>
        <w:keepNext w:val="0"/>
        <w:keepLines w:val="0"/>
        <w:pageBreakBefore w:val="0"/>
        <w:widowControl w:val="0"/>
        <w:bidi w:val="0"/>
        <w:spacing w:line="600" w:lineRule="exact"/>
        <w:ind w:firstLine="480"/>
        <w:rPr>
          <w:rFonts w:hint="eastAsia" w:ascii="仿宋_GB2312" w:hAnsi="Times New Roman" w:eastAsia="仿宋_GB2312" w:cs="Times New Roman"/>
          <w:color w:val="auto"/>
          <w:kern w:val="2"/>
          <w:sz w:val="28"/>
          <w:szCs w:val="28"/>
          <w:lang w:val="en-US" w:eastAsia="zh-CN" w:bidi="ar-SA"/>
        </w:rPr>
      </w:pPr>
      <w:r>
        <w:rPr>
          <w:rFonts w:hint="eastAsia" w:ascii="仿宋_GB2312" w:hAnsi="Times New Roman" w:eastAsia="仿宋_GB2312" w:cs="Times New Roman"/>
          <w:color w:val="auto"/>
          <w:kern w:val="2"/>
          <w:sz w:val="28"/>
          <w:szCs w:val="28"/>
          <w:lang w:val="en-US" w:eastAsia="zh-CN" w:bidi="ar-SA"/>
        </w:rPr>
        <w:t xml:space="preserve">（三）赔案档案装订； </w:t>
      </w:r>
    </w:p>
    <w:p>
      <w:pPr>
        <w:keepNext w:val="0"/>
        <w:keepLines w:val="0"/>
        <w:pageBreakBefore w:val="0"/>
        <w:widowControl w:val="0"/>
        <w:bidi w:val="0"/>
        <w:spacing w:line="600" w:lineRule="exact"/>
        <w:ind w:firstLine="480"/>
        <w:rPr>
          <w:rFonts w:hint="eastAsia" w:ascii="仿宋_GB2312" w:hAnsi="Times New Roman" w:eastAsia="仿宋_GB2312" w:cs="Times New Roman"/>
          <w:color w:val="auto"/>
          <w:kern w:val="2"/>
          <w:sz w:val="28"/>
          <w:szCs w:val="28"/>
          <w:lang w:val="en-US" w:eastAsia="zh-CN" w:bidi="ar-SA"/>
        </w:rPr>
      </w:pPr>
      <w:r>
        <w:rPr>
          <w:rFonts w:hint="eastAsia" w:ascii="仿宋_GB2312" w:hAnsi="Times New Roman" w:eastAsia="仿宋_GB2312" w:cs="Times New Roman"/>
          <w:color w:val="auto"/>
          <w:kern w:val="2"/>
          <w:sz w:val="28"/>
          <w:szCs w:val="28"/>
          <w:lang w:val="en-US" w:eastAsia="zh-CN" w:bidi="ar-SA"/>
        </w:rPr>
        <w:t>（四）赔案风险数据核对、赔案回访、理赔咨询服务。</w:t>
      </w:r>
    </w:p>
    <w:p>
      <w:pPr>
        <w:pStyle w:val="2"/>
        <w:numPr>
          <w:ilvl w:val="0"/>
          <w:numId w:val="0"/>
        </w:numPr>
        <w:ind w:leftChars="200"/>
      </w:pPr>
    </w:p>
    <w:p>
      <w:pPr>
        <w:pStyle w:val="2"/>
      </w:pPr>
      <w:r>
        <w:rPr>
          <w:rFonts w:hint="eastAsia"/>
        </w:rPr>
        <w:t xml:space="preserve"> </w:t>
      </w:r>
      <w:r>
        <w:t xml:space="preserve">   </w:t>
      </w:r>
    </w:p>
    <w:p>
      <w:pPr>
        <w:pStyle w:val="4"/>
        <w:spacing w:before="0" w:after="0"/>
        <w:ind w:left="0" w:leftChars="0" w:firstLine="0" w:firstLineChars="0"/>
        <w:jc w:val="center"/>
        <w:rPr>
          <w:rFonts w:ascii="仿宋" w:hAnsi="仿宋" w:eastAsia="仿宋" w:cs="仿宋"/>
          <w:sz w:val="28"/>
          <w:szCs w:val="28"/>
        </w:rPr>
      </w:pPr>
      <w:bookmarkStart w:id="128" w:name="_Toc3675"/>
      <w:bookmarkStart w:id="129" w:name="_Toc186737812"/>
      <w:bookmarkStart w:id="130" w:name="_Toc9891"/>
      <w:r>
        <w:rPr>
          <w:rFonts w:hint="eastAsia" w:ascii="仿宋" w:hAnsi="仿宋" w:eastAsia="仿宋" w:cs="仿宋"/>
          <w:sz w:val="28"/>
          <w:szCs w:val="28"/>
        </w:rPr>
        <w:t>第六章 响应文件格式</w:t>
      </w:r>
      <w:bookmarkEnd w:id="128"/>
      <w:bookmarkEnd w:id="129"/>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2"/>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2"/>
              <w:ind w:right="-284" w:firstLine="2240"/>
              <w:rPr>
                <w:rFonts w:ascii="仿宋" w:hAnsi="仿宋" w:eastAsia="仿宋" w:cs="仿宋"/>
                <w:color w:val="000000"/>
                <w:sz w:val="28"/>
                <w:u w:val="single"/>
              </w:rPr>
            </w:pPr>
          </w:p>
          <w:p>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62"/>
              <w:spacing w:before="624" w:after="156" w:line="160" w:lineRule="atLeast"/>
              <w:ind w:right="-284"/>
              <w:jc w:val="center"/>
              <w:rPr>
                <w:rFonts w:ascii="仿宋" w:hAnsi="仿宋" w:eastAsia="仿宋" w:cs="仿宋"/>
                <w:color w:val="000000"/>
                <w:sz w:val="52"/>
              </w:rPr>
            </w:pPr>
          </w:p>
          <w:p>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2"/>
              <w:spacing w:after="624"/>
              <w:ind w:right="-284"/>
              <w:jc w:val="center"/>
              <w:rPr>
                <w:rFonts w:ascii="仿宋" w:hAnsi="仿宋" w:eastAsia="仿宋" w:cs="仿宋"/>
                <w:color w:val="000000"/>
                <w:sz w:val="24"/>
              </w:rPr>
            </w:pPr>
          </w:p>
          <w:p>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5"/>
        <w:jc w:val="both"/>
        <w:rPr>
          <w:rFonts w:ascii="仿宋" w:hAnsi="仿宋" w:eastAsia="仿宋" w:cs="仿宋"/>
          <w:color w:val="000000"/>
          <w:sz w:val="24"/>
          <w:szCs w:val="24"/>
        </w:rPr>
      </w:pPr>
      <w:bookmarkStart w:id="131" w:name="_Toc3936"/>
      <w:bookmarkStart w:id="132" w:name="_Toc444891353"/>
      <w:bookmarkStart w:id="133" w:name="_Toc517281836"/>
      <w:bookmarkStart w:id="134" w:name="_Toc19910"/>
      <w:bookmarkStart w:id="135" w:name="_Toc19783362"/>
      <w:bookmarkStart w:id="136" w:name="_Toc287600131"/>
      <w:bookmarkStart w:id="137" w:name="_Toc25957"/>
      <w:bookmarkStart w:id="138" w:name="_Toc11783"/>
      <w:bookmarkStart w:id="139" w:name="_Toc21280"/>
      <w:bookmarkStart w:id="140" w:name="_Toc19783360"/>
      <w:bookmarkStart w:id="141" w:name="_Toc287600129"/>
      <w:r>
        <w:rPr>
          <w:rFonts w:ascii="仿宋" w:hAnsi="仿宋" w:eastAsia="仿宋" w:cs="仿宋"/>
          <w:color w:val="000000"/>
          <w:sz w:val="24"/>
          <w:szCs w:val="24"/>
        </w:rPr>
        <w:br w:type="page"/>
      </w:r>
      <w:bookmarkStart w:id="142" w:name="_Toc17191"/>
      <w:bookmarkStart w:id="143" w:name="_Toc186737813"/>
      <w:r>
        <w:rPr>
          <w:rFonts w:hint="eastAsia" w:ascii="仿宋" w:hAnsi="仿宋" w:eastAsia="仿宋" w:cs="仿宋"/>
          <w:color w:val="000000"/>
          <w:sz w:val="24"/>
          <w:szCs w:val="24"/>
        </w:rPr>
        <w:t>一、商务文件</w:t>
      </w:r>
      <w:bookmarkEnd w:id="131"/>
      <w:bookmarkEnd w:id="142"/>
      <w:bookmarkEnd w:id="143"/>
    </w:p>
    <w:p>
      <w:pPr>
        <w:jc w:val="center"/>
      </w:pPr>
      <w:bookmarkStart w:id="144" w:name="_Toc26744"/>
      <w:r>
        <w:rPr>
          <w:rFonts w:hint="eastAsia" w:ascii="仿宋" w:hAnsi="仿宋" w:eastAsia="仿宋" w:cs="仿宋"/>
          <w:b/>
          <w:bCs/>
        </w:rPr>
        <w:t>初步评审索引表</w:t>
      </w:r>
      <w:bookmarkEnd w:id="144"/>
    </w:p>
    <w:tbl>
      <w:tblPr>
        <w:tblStyle w:val="3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1704"/>
        <w:gridCol w:w="3298"/>
        <w:gridCol w:w="420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4"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09"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09"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09"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09"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09" w:type="dxa"/>
            <w:vAlign w:val="center"/>
          </w:tcPr>
          <w:p>
            <w:pPr>
              <w:pStyle w:val="62"/>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具有履行合同所必需的设备和专业技术能力</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具有依法缴纳税收和社会保障资金的良好记录</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近三年内无违法违规记录</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hint="eastAsia" w:ascii="仿宋" w:hAnsi="仿宋" w:eastAsia="仿宋" w:cs="仿宋"/>
                <w:color w:val="FF0000"/>
                <w:szCs w:val="21"/>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b w:val="0"/>
                <w:bCs/>
                <w:i w:val="0"/>
                <w:iCs/>
                <w:color w:val="FF0000"/>
                <w:sz w:val="24"/>
                <w:szCs w:val="24"/>
                <w:lang w:val="en-US" w:eastAsia="zh-CN"/>
              </w:rPr>
              <w:t>提供《人力资源服务许可证》复印件并</w:t>
            </w:r>
            <w:r>
              <w:rPr>
                <w:rFonts w:hint="eastAsia" w:ascii="仿宋" w:hAnsi="仿宋" w:eastAsia="仿宋" w:cs="仿宋"/>
                <w:b w:val="0"/>
                <w:bCs/>
                <w:i w:val="0"/>
                <w:iCs/>
                <w:color w:val="FF0000"/>
                <w:sz w:val="24"/>
                <w:szCs w:val="24"/>
              </w:rPr>
              <w:t>加盖公司鲜章</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0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FF0000"/>
                <w:szCs w:val="21"/>
              </w:rPr>
              <w:t>供应商偏离应答</w:t>
            </w:r>
          </w:p>
        </w:tc>
        <w:tc>
          <w:tcPr>
            <w:tcW w:w="4209"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9" w:type="default"/>
          <w:pgSz w:w="11906" w:h="16838"/>
          <w:pgMar w:top="1417" w:right="1134" w:bottom="1134" w:left="1134" w:header="964" w:footer="964" w:gutter="0"/>
          <w:cols w:space="720" w:num="1"/>
          <w:docGrid w:linePitch="312" w:charSpace="0"/>
        </w:sectPr>
      </w:pPr>
    </w:p>
    <w:bookmarkEnd w:id="132"/>
    <w:bookmarkEnd w:id="133"/>
    <w:bookmarkEnd w:id="134"/>
    <w:bookmarkEnd w:id="135"/>
    <w:bookmarkEnd w:id="136"/>
    <w:bookmarkEnd w:id="137"/>
    <w:bookmarkEnd w:id="138"/>
    <w:bookmarkEnd w:id="139"/>
    <w:p>
      <w:pPr>
        <w:jc w:val="center"/>
        <w:rPr>
          <w:rFonts w:ascii="仿宋" w:hAnsi="仿宋" w:eastAsia="仿宋" w:cs="仿宋"/>
          <w:b/>
          <w:bCs/>
        </w:rPr>
      </w:pPr>
      <w:bookmarkStart w:id="145" w:name="_Toc25121"/>
      <w:bookmarkStart w:id="146" w:name="_Toc12140"/>
      <w:bookmarkStart w:id="147" w:name="_Toc517281837"/>
      <w:bookmarkStart w:id="148" w:name="_Toc27799"/>
      <w:bookmarkStart w:id="149" w:name="_Toc7202"/>
      <w:bookmarkStart w:id="150" w:name="_Toc444891354"/>
      <w:r>
        <w:rPr>
          <w:rFonts w:hint="eastAsia" w:ascii="仿宋" w:hAnsi="仿宋" w:eastAsia="仿宋" w:cs="仿宋"/>
          <w:b/>
          <w:bCs/>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10</w:t>
            </w:r>
            <w:r>
              <w:rPr>
                <w:rFonts w:hint="eastAsia" w:ascii="仿宋" w:hAnsi="仿宋" w:eastAsia="仿宋" w:cs="宋体"/>
                <w:color w:val="000000"/>
                <w:szCs w:val="21"/>
                <w:lang w:bidi="ar"/>
              </w:rPr>
              <w:t>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综合实力</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6"/>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lang w:bidi="ar"/>
              </w:rPr>
            </w:pP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rPr>
                <w:rStyle w:val="76"/>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6"/>
        <w:spacing w:before="0" w:line="440" w:lineRule="exact"/>
        <w:rPr>
          <w:rFonts w:ascii="仿宋" w:hAnsi="仿宋" w:eastAsia="仿宋" w:cs="仿宋"/>
          <w:color w:val="000000"/>
          <w:sz w:val="24"/>
          <w:szCs w:val="24"/>
        </w:rPr>
      </w:pPr>
      <w:bookmarkStart w:id="151" w:name="_Toc186737814"/>
      <w:bookmarkStart w:id="152" w:name="_Toc27958"/>
      <w:r>
        <w:rPr>
          <w:rFonts w:hint="eastAsia" w:ascii="仿宋" w:hAnsi="仿宋" w:eastAsia="仿宋" w:cs="仿宋"/>
          <w:color w:val="000000"/>
          <w:sz w:val="24"/>
          <w:szCs w:val="24"/>
        </w:rPr>
        <w:t>（一）响应函</w:t>
      </w:r>
      <w:bookmarkEnd w:id="151"/>
      <w:bookmarkEnd w:id="152"/>
    </w:p>
    <w:p>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Style w:val="35"/>
          <w:rFonts w:hint="eastAsia" w:eastAsia="仿宋"/>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w:t>
      </w:r>
      <w:r>
        <w:rPr>
          <w:rFonts w:hint="eastAsia" w:ascii="仿宋" w:hAnsi="仿宋" w:eastAsia="仿宋" w:cs="Cambria Math"/>
          <w:color w:val="FF0000"/>
        </w:rPr>
        <w:t>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40"/>
      <w:bookmarkEnd w:id="141"/>
      <w:bookmarkEnd w:id="145"/>
      <w:bookmarkEnd w:id="146"/>
      <w:bookmarkEnd w:id="147"/>
      <w:bookmarkEnd w:id="148"/>
      <w:bookmarkEnd w:id="149"/>
      <w:bookmarkEnd w:id="150"/>
      <w:bookmarkStart w:id="153" w:name="_Toc13983"/>
      <w:bookmarkStart w:id="154" w:name="_Toc186737815"/>
      <w:r>
        <w:rPr>
          <w:rFonts w:hint="eastAsia" w:ascii="仿宋" w:hAnsi="仿宋" w:eastAsia="仿宋" w:cs="仿宋"/>
          <w:color w:val="000000"/>
          <w:sz w:val="24"/>
          <w:szCs w:val="24"/>
        </w:rPr>
        <w:t>（二）法定代表人（负责人）身份证明书</w:t>
      </w:r>
      <w:bookmarkEnd w:id="153"/>
      <w:bookmarkEnd w:id="154"/>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5" w:name="_Toc5582"/>
      <w:bookmarkStart w:id="156" w:name="_Toc24788"/>
      <w:bookmarkStart w:id="157" w:name="_Toc19783361"/>
      <w:bookmarkStart w:id="158" w:name="_Toc186737816"/>
      <w:bookmarkStart w:id="159" w:name="_Toc20707"/>
      <w:bookmarkStart w:id="160" w:name="_Toc444891355"/>
      <w:bookmarkStart w:id="161" w:name="_Toc287600130"/>
      <w:bookmarkStart w:id="162" w:name="_Toc26267"/>
      <w:bookmarkStart w:id="163" w:name="_Toc4426"/>
      <w:bookmarkStart w:id="164" w:name="_Toc517281838"/>
      <w:r>
        <w:rPr>
          <w:rFonts w:hint="eastAsia" w:ascii="仿宋" w:hAnsi="仿宋" w:eastAsia="仿宋" w:cs="仿宋"/>
          <w:color w:val="000000"/>
          <w:sz w:val="24"/>
          <w:szCs w:val="24"/>
        </w:rPr>
        <w:t>（三）法定代表人（负责人）授权委托书</w:t>
      </w:r>
      <w:bookmarkEnd w:id="155"/>
      <w:bookmarkEnd w:id="156"/>
      <w:bookmarkEnd w:id="157"/>
      <w:bookmarkEnd w:id="158"/>
      <w:bookmarkEnd w:id="159"/>
      <w:bookmarkEnd w:id="160"/>
      <w:bookmarkEnd w:id="161"/>
      <w:bookmarkEnd w:id="162"/>
      <w:bookmarkEnd w:id="163"/>
      <w:bookmarkEnd w:id="164"/>
    </w:p>
    <w:p>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2"/>
        <w:spacing w:line="360" w:lineRule="auto"/>
        <w:ind w:firstLine="482" w:firstLineChars="200"/>
        <w:rPr>
          <w:rFonts w:ascii="仿宋" w:hAnsi="仿宋" w:eastAsia="仿宋" w:cs="Cambria Math"/>
          <w:b/>
          <w:bCs/>
          <w:color w:val="000000"/>
          <w:sz w:val="24"/>
          <w:szCs w:val="24"/>
        </w:rPr>
      </w:pPr>
    </w:p>
    <w:p>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6"/>
        <w:spacing w:before="0" w:after="0" w:line="360" w:lineRule="auto"/>
        <w:rPr>
          <w:rFonts w:ascii="仿宋" w:hAnsi="仿宋" w:eastAsia="仿宋" w:cs="仿宋"/>
          <w:color w:val="000000"/>
          <w:sz w:val="24"/>
          <w:szCs w:val="24"/>
        </w:rPr>
      </w:pPr>
      <w:bookmarkStart w:id="165" w:name="_Toc186737817"/>
      <w:bookmarkStart w:id="166" w:name="_Toc30551"/>
      <w:bookmarkStart w:id="167" w:name="_Toc517281841"/>
      <w:r>
        <w:rPr>
          <w:rFonts w:hint="eastAsia" w:ascii="仿宋" w:hAnsi="仿宋" w:eastAsia="仿宋" w:cs="仿宋"/>
          <w:color w:val="000000"/>
          <w:sz w:val="24"/>
          <w:szCs w:val="24"/>
        </w:rPr>
        <w:t>（四）资格证明文件</w:t>
      </w:r>
      <w:bookmarkEnd w:id="165"/>
      <w:bookmarkEnd w:id="166"/>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bl>
    <w:p>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pPr>
      <w:r>
        <w:rPr>
          <w:rFonts w:hint="eastAsia" w:ascii="仿宋" w:hAnsi="仿宋" w:eastAsia="仿宋" w:cs="仿宋"/>
          <w:color w:val="000000"/>
        </w:rPr>
        <w:t>提供</w:t>
      </w:r>
      <w:r>
        <w:rPr>
          <w:rFonts w:ascii="仿宋" w:hAnsi="仿宋" w:eastAsia="仿宋" w:cs="仿宋"/>
          <w:color w:val="FF0000"/>
        </w:rPr>
        <w:t>20</w:t>
      </w:r>
      <w:r>
        <w:rPr>
          <w:rFonts w:hint="eastAsia" w:ascii="仿宋" w:hAnsi="仿宋" w:eastAsia="仿宋" w:cs="仿宋"/>
          <w:color w:val="FF0000"/>
          <w:lang w:val="en-US" w:eastAsia="zh-CN"/>
        </w:rPr>
        <w:t>25</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7"/>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9"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2"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7"/>
        <w:spacing w:before="0" w:after="0" w:line="360" w:lineRule="auto"/>
        <w:rPr>
          <w:rFonts w:ascii="仿宋" w:hAnsi="仿宋" w:eastAsia="仿宋" w:cs="仿宋"/>
          <w:color w:val="000000"/>
          <w:sz w:val="24"/>
          <w:szCs w:val="24"/>
        </w:rPr>
      </w:pPr>
      <w:bookmarkStart w:id="168"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2"/>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167"/>
    <w:bookmarkEnd w:id="168"/>
    <w:p>
      <w:pPr>
        <w:pStyle w:val="2"/>
        <w:spacing w:before="240"/>
        <w:rPr>
          <w:rFonts w:ascii="仿宋" w:hAnsi="仿宋" w:eastAsia="仿宋" w:cs="Cambria Math"/>
          <w:b/>
          <w:bCs/>
          <w:color w:val="000000"/>
        </w:rPr>
      </w:pPr>
      <w:bookmarkStart w:id="169"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cs="宋体"/>
          <w:color w:val="000000"/>
          <w:szCs w:val="24"/>
        </w:rPr>
      </w:pPr>
      <w:bookmarkStart w:id="170" w:name="_Toc186737818"/>
      <w:bookmarkStart w:id="171" w:name="_Toc15130"/>
      <w:bookmarkStart w:id="172" w:name="_Toc18208"/>
      <w:bookmarkStart w:id="173" w:name="_Toc144139212"/>
      <w:bookmarkStart w:id="174" w:name="_Toc65683009"/>
      <w:bookmarkStart w:id="175" w:name="_Toc112068411"/>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70"/>
      <w:bookmarkEnd w:id="171"/>
      <w:bookmarkEnd w:id="172"/>
      <w:bookmarkEnd w:id="173"/>
      <w:bookmarkEnd w:id="174"/>
      <w:bookmarkEnd w:id="175"/>
    </w:p>
    <w:p>
      <w:pPr>
        <w:spacing w:line="360" w:lineRule="auto"/>
        <w:jc w:val="center"/>
        <w:rPr>
          <w:rFonts w:hint="eastAsia" w:ascii="仿宋" w:hAnsi="仿宋" w:eastAsia="仿宋" w:cs="宋体"/>
          <w:b/>
          <w:bCs/>
          <w:color w:val="000000"/>
          <w:lang w:val="en-US" w:eastAsia="zh-CN"/>
        </w:rPr>
      </w:pPr>
      <w:r>
        <w:rPr>
          <w:rFonts w:hint="eastAsia" w:ascii="仿宋" w:hAnsi="仿宋" w:eastAsia="仿宋" w:cs="宋体"/>
          <w:b/>
          <w:bCs/>
          <w:color w:val="000000"/>
        </w:rPr>
        <w:t>供应商须知应答偏离表</w:t>
      </w:r>
      <w:r>
        <w:rPr>
          <w:rFonts w:hint="eastAsia" w:ascii="仿宋" w:hAnsi="仿宋" w:eastAsia="仿宋" w:cs="仿宋"/>
          <w:color w:val="FF0000"/>
          <w:lang w:val="en-US" w:eastAsia="zh-CN"/>
        </w:rPr>
        <w:t xml:space="preserve"> </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hint="eastAsia" w:ascii="仿宋" w:hAnsi="仿宋" w:eastAsia="仿宋" w:cs="仿宋"/>
          <w:b/>
          <w:bCs/>
          <w:color w:val="000000"/>
          <w:lang w:val="en-US" w:eastAsia="zh-CN"/>
        </w:rPr>
      </w:pPr>
      <w:r>
        <w:rPr>
          <w:rFonts w:hint="eastAsia" w:ascii="仿宋" w:hAnsi="仿宋" w:eastAsia="仿宋" w:cs="仿宋"/>
          <w:b/>
          <w:bCs/>
          <w:color w:val="000000"/>
        </w:rPr>
        <w:t>合同条款应答偏离表</w:t>
      </w:r>
      <w:r>
        <w:rPr>
          <w:rFonts w:hint="eastAsia" w:ascii="仿宋" w:hAnsi="仿宋" w:eastAsia="仿宋" w:cs="仿宋"/>
          <w:color w:val="FF0000"/>
          <w:lang w:val="en-US" w:eastAsia="zh-CN"/>
        </w:rPr>
        <w:t xml:space="preserve"> </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6"/>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6"/>
        <w:spacing w:before="0" w:after="0" w:line="360" w:lineRule="auto"/>
        <w:rPr>
          <w:rFonts w:ascii="仿宋" w:hAnsi="仿宋" w:eastAsia="仿宋" w:cs="仿宋"/>
          <w:color w:val="000000"/>
          <w:sz w:val="24"/>
          <w:szCs w:val="24"/>
        </w:rPr>
      </w:pPr>
      <w:bookmarkStart w:id="176" w:name="_Toc17890"/>
      <w:bookmarkStart w:id="177" w:name="_Toc186737819"/>
      <w:r>
        <w:rPr>
          <w:rFonts w:hint="eastAsia" w:ascii="仿宋" w:hAnsi="仿宋" w:eastAsia="仿宋" w:cs="仿宋"/>
          <w:color w:val="000000"/>
          <w:sz w:val="24"/>
          <w:szCs w:val="24"/>
        </w:rPr>
        <w:t>（七）供应商行为准则承诺书</w:t>
      </w:r>
      <w:bookmarkEnd w:id="176"/>
      <w:bookmarkEnd w:id="177"/>
    </w:p>
    <w:p>
      <w:pPr>
        <w:jc w:val="center"/>
        <w:rPr>
          <w:rFonts w:ascii="仿宋" w:hAnsi="仿宋" w:eastAsia="仿宋" w:cs="宋体"/>
          <w:b/>
          <w:bCs/>
          <w:color w:val="000000"/>
          <w:sz w:val="28"/>
          <w:szCs w:val="28"/>
        </w:rPr>
      </w:pPr>
      <w:bookmarkStart w:id="178"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6"/>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9" w:name="_Toc186737820"/>
      <w:bookmarkStart w:id="180" w:name="_Toc8068"/>
      <w:r>
        <w:rPr>
          <w:rFonts w:hint="eastAsia" w:ascii="仿宋" w:hAnsi="仿宋" w:eastAsia="仿宋" w:cs="宋体"/>
          <w:bCs w:val="0"/>
          <w:color w:val="000000"/>
          <w:sz w:val="24"/>
          <w:szCs w:val="24"/>
        </w:rPr>
        <w:t>（八）供应商廉洁诚信承诺书</w:t>
      </w:r>
      <w:bookmarkEnd w:id="178"/>
      <w:bookmarkEnd w:id="179"/>
      <w:bookmarkEnd w:id="180"/>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spacing w:line="360" w:lineRule="auto"/>
        <w:ind w:firstLine="4790" w:firstLineChars="1491"/>
        <w:rPr>
          <w:rStyle w:val="59"/>
          <w:rFonts w:ascii="仿宋" w:hAnsi="仿宋" w:eastAsia="仿宋" w:cs="仿宋"/>
        </w:rPr>
      </w:pPr>
    </w:p>
    <w:p>
      <w:pPr>
        <w:pStyle w:val="6"/>
        <w:spacing w:before="0" w:after="0" w:line="360" w:lineRule="auto"/>
        <w:rPr>
          <w:rFonts w:ascii="仿宋" w:hAnsi="仿宋" w:eastAsia="仿宋" w:cs="宋体"/>
          <w:bCs w:val="0"/>
          <w:color w:val="000000"/>
          <w:sz w:val="21"/>
          <w:szCs w:val="24"/>
        </w:rPr>
      </w:pPr>
      <w:bookmarkStart w:id="181" w:name="_Toc186737822"/>
      <w:r>
        <w:rPr>
          <w:rFonts w:hint="eastAsia" w:ascii="仿宋" w:hAnsi="仿宋" w:eastAsia="仿宋" w:cs="宋体"/>
          <w:color w:val="000000"/>
          <w:sz w:val="24"/>
        </w:rPr>
        <w:t>（十）其他材料</w:t>
      </w:r>
      <w:bookmarkEnd w:id="181"/>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9"/>
    <w:p>
      <w:pPr>
        <w:pStyle w:val="5"/>
        <w:jc w:val="both"/>
        <w:rPr>
          <w:rFonts w:ascii="仿宋" w:hAnsi="仿宋" w:eastAsia="仿宋" w:cs="仿宋"/>
          <w:color w:val="000000"/>
          <w:sz w:val="24"/>
          <w:szCs w:val="24"/>
        </w:rPr>
      </w:pPr>
      <w:bookmarkStart w:id="182" w:name="_Toc186737823"/>
      <w:bookmarkStart w:id="183" w:name="_Toc28698"/>
      <w:r>
        <w:rPr>
          <w:rFonts w:hint="eastAsia" w:ascii="仿宋" w:hAnsi="仿宋" w:eastAsia="仿宋" w:cs="仿宋"/>
          <w:color w:val="000000"/>
          <w:sz w:val="24"/>
          <w:szCs w:val="24"/>
        </w:rPr>
        <w:t>二、技术文件</w:t>
      </w:r>
      <w:bookmarkEnd w:id="182"/>
      <w:bookmarkEnd w:id="183"/>
    </w:p>
    <w:p>
      <w:pPr>
        <w:jc w:val="center"/>
        <w:rPr>
          <w:rFonts w:ascii="仿宋" w:hAnsi="仿宋" w:eastAsia="仿宋" w:cs="仿宋"/>
          <w:b/>
          <w:bCs/>
        </w:rPr>
      </w:pPr>
      <w:bookmarkStart w:id="184" w:name="_Toc30870"/>
      <w:bookmarkStart w:id="185" w:name="_Toc23108"/>
      <w:r>
        <w:rPr>
          <w:rFonts w:hint="eastAsia" w:ascii="仿宋" w:hAnsi="仿宋" w:eastAsia="仿宋" w:cs="仿宋"/>
          <w:b/>
          <w:bCs/>
        </w:rPr>
        <w:t>详细评审索引表</w:t>
      </w:r>
      <w:bookmarkEnd w:id="184"/>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50</w:t>
            </w:r>
            <w:r>
              <w:rPr>
                <w:rFonts w:hint="eastAsia" w:ascii="仿宋" w:hAnsi="仿宋" w:eastAsia="仿宋" w:cs="宋体"/>
                <w:color w:val="000000"/>
                <w:szCs w:val="21"/>
              </w:rPr>
              <w:t>分）</w:t>
            </w:r>
          </w:p>
        </w:tc>
        <w:tc>
          <w:tcPr>
            <w:tcW w:w="2268" w:type="dxa"/>
            <w:vAlign w:val="center"/>
          </w:tcPr>
          <w:p>
            <w:pPr>
              <w:jc w:val="center"/>
              <w:rPr>
                <w:rFonts w:ascii="仿宋" w:hAnsi="仿宋" w:eastAsia="仿宋" w:cs="宋体"/>
                <w:color w:val="000000"/>
                <w:szCs w:val="21"/>
              </w:rPr>
            </w:pPr>
            <w:r>
              <w:rPr>
                <w:rFonts w:hint="eastAsia" w:ascii="仿宋" w:hAnsi="仿宋" w:eastAsia="仿宋" w:cs="宋体"/>
                <w:color w:val="000000"/>
                <w:szCs w:val="21"/>
              </w:rPr>
              <w:t>总体服务方案与管理制度</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人员招聘、替换与稳定性保障</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劳动争议与突发事件应急处理</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人员培训与现场交接方案</w:t>
            </w:r>
          </w:p>
        </w:tc>
        <w:tc>
          <w:tcPr>
            <w:tcW w:w="4820" w:type="dxa"/>
            <w:tcMar>
              <w:top w:w="15" w:type="dxa"/>
              <w:left w:w="15" w:type="dxa"/>
              <w:right w:w="15" w:type="dxa"/>
            </w:tcMar>
            <w:vAlign w:val="center"/>
          </w:tcPr>
          <w:p>
            <w:pPr>
              <w:rPr>
                <w:rStyle w:val="76"/>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eastAsia="zh-CN" w:bidi="ar"/>
              </w:rPr>
            </w:pPr>
            <w:r>
              <w:rPr>
                <w:rFonts w:hint="eastAsia" w:ascii="仿宋" w:hAnsi="仿宋" w:eastAsia="仿宋" w:cs="宋体"/>
                <w:color w:val="000000"/>
                <w:szCs w:val="21"/>
                <w:lang w:val="en-US" w:eastAsia="zh-CN" w:bidi="ar"/>
              </w:rPr>
              <w:t>7</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增值服务</w:t>
            </w:r>
          </w:p>
        </w:tc>
        <w:tc>
          <w:tcPr>
            <w:tcW w:w="4820" w:type="dxa"/>
            <w:tcMar>
              <w:top w:w="15" w:type="dxa"/>
              <w:left w:w="15" w:type="dxa"/>
              <w:right w:w="15" w:type="dxa"/>
            </w:tcMar>
            <w:vAlign w:val="center"/>
          </w:tcPr>
          <w:p>
            <w:pPr>
              <w:rPr>
                <w:rStyle w:val="76"/>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bookmarkStart w:id="186" w:name="_Toc17302"/>
      <w:bookmarkStart w:id="187" w:name="_Toc186737824"/>
      <w:r>
        <w:rPr>
          <w:rFonts w:hint="eastAsia" w:ascii="仿宋" w:hAnsi="仿宋" w:eastAsia="仿宋" w:cs="仿宋"/>
          <w:color w:val="000000"/>
          <w:sz w:val="24"/>
          <w:szCs w:val="24"/>
        </w:rPr>
        <w:t>（一）采购需求应答偏离表</w:t>
      </w:r>
      <w:bookmarkEnd w:id="185"/>
      <w:bookmarkEnd w:id="186"/>
      <w:bookmarkEnd w:id="187"/>
    </w:p>
    <w:p>
      <w:pPr>
        <w:spacing w:line="360" w:lineRule="auto"/>
        <w:jc w:val="center"/>
        <w:rPr>
          <w:rFonts w:ascii="仿宋" w:hAnsi="仿宋" w:eastAsia="仿宋" w:cs="仿宋"/>
          <w:b/>
          <w:bCs/>
          <w:color w:val="000000"/>
        </w:rPr>
      </w:pPr>
      <w:bookmarkStart w:id="188" w:name="_Toc125561188"/>
      <w:bookmarkStart w:id="189" w:name="_Toc293297544"/>
      <w:bookmarkStart w:id="190" w:name="_Toc125771198"/>
      <w:r>
        <w:rPr>
          <w:rFonts w:hint="eastAsia" w:ascii="仿宋" w:hAnsi="仿宋" w:eastAsia="仿宋" w:cs="仿宋"/>
          <w:b/>
          <w:bCs/>
          <w:color w:val="000000"/>
        </w:rPr>
        <w:t>采购需求应答偏离表</w:t>
      </w:r>
      <w:bookmarkEnd w:id="188"/>
      <w:bookmarkEnd w:id="189"/>
      <w:bookmarkEnd w:id="190"/>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对于未列出的偏离内容视同供应商已完全接受竞争性磋商文件的要求，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1" w:name="_Toc186737825"/>
      <w:bookmarkStart w:id="192" w:name="_Toc8284"/>
      <w:r>
        <w:rPr>
          <w:rFonts w:hint="eastAsia" w:ascii="仿宋" w:hAnsi="仿宋" w:eastAsia="仿宋" w:cs="仿宋"/>
          <w:color w:val="000000"/>
          <w:sz w:val="24"/>
          <w:szCs w:val="24"/>
        </w:rPr>
        <w:t>（二）技术方案</w:t>
      </w:r>
      <w:bookmarkEnd w:id="191"/>
      <w:bookmarkEnd w:id="192"/>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3" w:name="_Toc444891358"/>
      <w:bookmarkStart w:id="194" w:name="_Toc517281860"/>
      <w:r>
        <w:rPr>
          <w:rFonts w:hint="eastAsia" w:ascii="仿宋" w:hAnsi="仿宋" w:eastAsia="仿宋" w:cs="仿宋"/>
          <w:color w:val="000000"/>
        </w:rPr>
        <w:br w:type="page"/>
      </w:r>
    </w:p>
    <w:p>
      <w:pPr>
        <w:pStyle w:val="7"/>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7"/>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bookmarkStart w:id="195" w:name="_Toc186737826"/>
      <w:bookmarkStart w:id="196" w:name="_Toc20365"/>
      <w:r>
        <w:rPr>
          <w:rFonts w:hint="eastAsia" w:ascii="仿宋" w:hAnsi="仿宋" w:eastAsia="仿宋" w:cs="仿宋"/>
          <w:color w:val="000000"/>
          <w:sz w:val="24"/>
          <w:szCs w:val="24"/>
        </w:rPr>
        <w:t>（三）</w:t>
      </w:r>
      <w:bookmarkEnd w:id="193"/>
      <w:bookmarkEnd w:id="194"/>
      <w:r>
        <w:rPr>
          <w:rFonts w:hint="eastAsia" w:ascii="仿宋" w:hAnsi="仿宋" w:eastAsia="仿宋" w:cs="仿宋"/>
          <w:color w:val="000000"/>
          <w:sz w:val="24"/>
          <w:szCs w:val="24"/>
        </w:rPr>
        <w:t>其他材料</w:t>
      </w:r>
      <w:bookmarkEnd w:id="195"/>
      <w:bookmarkEnd w:id="196"/>
    </w:p>
    <w:p>
      <w:pPr>
        <w:spacing w:line="360" w:lineRule="auto"/>
        <w:rPr>
          <w:rFonts w:ascii="仿宋" w:hAnsi="仿宋" w:eastAsia="仿宋" w:cs="仿宋"/>
          <w:color w:val="000000"/>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5"/>
        <w:jc w:val="both"/>
        <w:rPr>
          <w:rFonts w:ascii="仿宋" w:hAnsi="仿宋" w:eastAsia="仿宋" w:cs="仿宋"/>
          <w:color w:val="000000"/>
          <w:sz w:val="24"/>
          <w:szCs w:val="24"/>
        </w:rPr>
      </w:pPr>
      <w:bookmarkStart w:id="197" w:name="_Toc20443"/>
      <w:bookmarkStart w:id="198" w:name="_Toc186737827"/>
      <w:r>
        <w:rPr>
          <w:rFonts w:hint="eastAsia" w:ascii="仿宋" w:hAnsi="仿宋" w:eastAsia="仿宋" w:cs="仿宋"/>
          <w:color w:val="000000"/>
          <w:sz w:val="24"/>
          <w:szCs w:val="24"/>
        </w:rPr>
        <w:t>三、报价文件</w:t>
      </w:r>
      <w:bookmarkEnd w:id="197"/>
      <w:bookmarkEnd w:id="198"/>
    </w:p>
    <w:p>
      <w:pPr>
        <w:pStyle w:val="6"/>
        <w:spacing w:before="0" w:after="0" w:line="360" w:lineRule="auto"/>
        <w:ind w:firstLine="482"/>
        <w:rPr>
          <w:rFonts w:ascii="仿宋" w:hAnsi="仿宋" w:eastAsia="仿宋" w:cs="仿宋"/>
          <w:color w:val="000000"/>
          <w:sz w:val="24"/>
          <w:szCs w:val="24"/>
        </w:rPr>
      </w:pPr>
      <w:bookmarkStart w:id="199" w:name="_Toc511726864"/>
      <w:bookmarkStart w:id="200" w:name="_Toc18942"/>
      <w:bookmarkStart w:id="201" w:name="_Toc186737828"/>
      <w:r>
        <w:rPr>
          <w:rFonts w:hint="eastAsia" w:ascii="仿宋" w:hAnsi="仿宋" w:eastAsia="仿宋" w:cs="仿宋"/>
          <w:color w:val="000000"/>
          <w:sz w:val="24"/>
          <w:szCs w:val="24"/>
        </w:rPr>
        <w:t>（一）报价</w:t>
      </w:r>
      <w:bookmarkEnd w:id="199"/>
      <w:r>
        <w:rPr>
          <w:rFonts w:hint="eastAsia" w:ascii="仿宋" w:hAnsi="仿宋" w:eastAsia="仿宋" w:cs="仿宋"/>
          <w:color w:val="000000"/>
          <w:sz w:val="24"/>
          <w:szCs w:val="24"/>
        </w:rPr>
        <w:t>一览表</w:t>
      </w:r>
      <w:bookmarkEnd w:id="200"/>
      <w:bookmarkEnd w:id="201"/>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30"/>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000000"/>
                <w:szCs w:val="21"/>
                <w:lang w:val="en-US" w:eastAsia="zh-CN"/>
              </w:rPr>
            </w:pPr>
            <w:bookmarkStart w:id="213" w:name="_GoBack"/>
            <w:r>
              <w:rPr>
                <w:rFonts w:hint="eastAsia" w:ascii="仿宋" w:hAnsi="仿宋" w:eastAsia="仿宋" w:cs="宋体"/>
                <w:color w:val="FF0000"/>
                <w:szCs w:val="21"/>
                <w:lang w:val="en-US" w:eastAsia="zh-CN"/>
              </w:rPr>
              <w:t>三年</w:t>
            </w:r>
            <w:bookmarkEnd w:id="213"/>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02" w:name="_Toc16591840"/>
      <w:bookmarkStart w:id="203" w:name="_Toc2267055"/>
      <w:bookmarkStart w:id="204" w:name="_Toc517281864"/>
      <w:bookmarkStart w:id="205" w:name="_Toc482180015"/>
      <w:bookmarkStart w:id="206" w:name="_Toc530319762"/>
      <w:bookmarkStart w:id="207"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numPr>
          <w:ilvl w:val="5"/>
          <w:numId w:val="0"/>
        </w:num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202"/>
      <w:bookmarkEnd w:id="203"/>
      <w:bookmarkEnd w:id="204"/>
      <w:bookmarkEnd w:id="205"/>
      <w:bookmarkEnd w:id="206"/>
      <w:bookmarkEnd w:id="207"/>
      <w:bookmarkStart w:id="208" w:name="_Toc186737829"/>
      <w:bookmarkStart w:id="209" w:name="_Toc15457"/>
      <w:r>
        <w:rPr>
          <w:rFonts w:hint="eastAsia" w:ascii="仿宋" w:hAnsi="仿宋" w:eastAsia="仿宋" w:cs="仿宋"/>
          <w:color w:val="000000"/>
          <w:sz w:val="24"/>
          <w:szCs w:val="24"/>
        </w:rPr>
        <w:t>（二）分项报价表</w:t>
      </w:r>
      <w:bookmarkEnd w:id="208"/>
      <w:bookmarkEnd w:id="209"/>
    </w:p>
    <w:bookmarkEnd w:id="130"/>
    <w:p>
      <w:pPr>
        <w:adjustRightInd w:val="0"/>
        <w:snapToGrid w:val="0"/>
        <w:spacing w:line="360" w:lineRule="auto"/>
        <w:jc w:val="center"/>
        <w:rPr>
          <w:rFonts w:ascii="宋体" w:hAnsi="宋体" w:cs="宋体"/>
          <w:color w:val="FF0000"/>
        </w:rPr>
      </w:pPr>
    </w:p>
    <w:p>
      <w:pPr>
        <w:adjustRightInd w:val="0"/>
        <w:snapToGrid w:val="0"/>
        <w:spacing w:line="360" w:lineRule="auto"/>
        <w:rPr>
          <w:rFonts w:ascii="楷体" w:hAnsi="楷体" w:eastAsia="楷体" w:cs="仿宋_GB2312"/>
          <w:i/>
          <w:color w:val="FF0000"/>
          <w:szCs w:val="32"/>
        </w:rPr>
      </w:pPr>
      <w:r>
        <w:rPr>
          <w:rFonts w:hint="eastAsia" w:ascii="楷体" w:hAnsi="楷体" w:eastAsia="楷体" w:cs="仿宋_GB2312"/>
          <w:i/>
          <w:color w:val="FF0000"/>
          <w:szCs w:val="32"/>
        </w:rPr>
        <w:t xml:space="preserve">供应商名称： </w:t>
      </w:r>
    </w:p>
    <w:p>
      <w:pPr>
        <w:adjustRightInd w:val="0"/>
        <w:snapToGrid w:val="0"/>
        <w:spacing w:line="360" w:lineRule="auto"/>
        <w:rPr>
          <w:rFonts w:hint="eastAsia" w:ascii="楷体" w:hAnsi="楷体" w:eastAsia="楷体" w:cs="仿宋_GB2312"/>
          <w:i/>
          <w:color w:val="FF0000"/>
          <w:szCs w:val="32"/>
        </w:rPr>
      </w:pPr>
      <w:r>
        <w:rPr>
          <w:rFonts w:hint="eastAsia" w:ascii="楷体" w:hAnsi="楷体" w:eastAsia="楷体" w:cs="仿宋_GB2312"/>
          <w:i/>
          <w:color w:val="FF0000"/>
          <w:szCs w:val="32"/>
        </w:rPr>
        <w:t>项目名称：</w:t>
      </w:r>
    </w:p>
    <w:p>
      <w:pPr>
        <w:pStyle w:val="2"/>
        <w:rPr>
          <w:rFonts w:hint="eastAsia" w:ascii="仿宋_GB2312" w:eastAsia="仿宋_GB2312" w:cstheme="minorBidi"/>
          <w:b w:val="0"/>
          <w:bCs w:val="0"/>
          <w:i w:val="0"/>
          <w:iCs w:val="0"/>
          <w:color w:val="000000" w:themeColor="text1"/>
          <w:kern w:val="2"/>
          <w:sz w:val="21"/>
          <w:szCs w:val="21"/>
          <w:lang w:val="en-US" w:eastAsia="zh-CN" w:bidi="ar"/>
          <w14:textFill>
            <w14:solidFill>
              <w14:schemeClr w14:val="tx1"/>
            </w14:solidFill>
          </w14:textFill>
        </w:rPr>
      </w:pPr>
      <w:r>
        <w:rPr>
          <w:rFonts w:hint="eastAsia" w:ascii="仿宋_GB2312" w:eastAsia="仿宋_GB2312" w:cstheme="minorBidi"/>
          <w:b w:val="0"/>
          <w:bCs w:val="0"/>
          <w:i w:val="0"/>
          <w:iCs w:val="0"/>
          <w:color w:val="000000" w:themeColor="text1"/>
          <w:kern w:val="2"/>
          <w:sz w:val="21"/>
          <w:szCs w:val="21"/>
          <w:lang w:val="en-US" w:eastAsia="zh-CN" w:bidi="ar"/>
          <w14:textFill>
            <w14:solidFill>
              <w14:schemeClr w14:val="tx1"/>
            </w14:solidFill>
          </w14:textFill>
        </w:rPr>
        <w:t>【农险】</w:t>
      </w:r>
      <w:r>
        <w:rPr>
          <w:rFonts w:hint="eastAsia" w:ascii="仿宋_GB2312" w:eastAsia="仿宋_GB2312" w:hAnsiTheme="minorHAnsi" w:cstheme="minorBidi"/>
          <w:b w:val="0"/>
          <w:bCs w:val="0"/>
          <w:i w:val="0"/>
          <w:iCs w:val="0"/>
          <w:kern w:val="2"/>
          <w:sz w:val="21"/>
          <w:szCs w:val="21"/>
          <w:lang w:val="en-US" w:eastAsia="zh-CN" w:bidi="ar"/>
        </w:rPr>
        <w:t>数量为</w:t>
      </w:r>
      <w:r>
        <w:rPr>
          <w:rFonts w:hint="eastAsia" w:ascii="仿宋_GB2312" w:eastAsia="仿宋_GB2312" w:cstheme="minorBidi"/>
          <w:b w:val="0"/>
          <w:bCs w:val="0"/>
          <w:i w:val="0"/>
          <w:iCs w:val="0"/>
          <w:kern w:val="2"/>
          <w:sz w:val="21"/>
          <w:szCs w:val="21"/>
          <w:lang w:val="en-US" w:eastAsia="zh-CN" w:bidi="ar"/>
        </w:rPr>
        <w:t>年</w:t>
      </w:r>
      <w:r>
        <w:rPr>
          <w:rFonts w:hint="eastAsia" w:ascii="仿宋_GB2312" w:eastAsia="仿宋_GB2312" w:hAnsiTheme="minorHAnsi" w:cstheme="minorBidi"/>
          <w:b w:val="0"/>
          <w:bCs w:val="0"/>
          <w:i w:val="0"/>
          <w:iCs w:val="0"/>
          <w:kern w:val="2"/>
          <w:sz w:val="21"/>
          <w:szCs w:val="21"/>
          <w:lang w:val="en-US" w:eastAsia="zh-CN" w:bidi="ar"/>
        </w:rPr>
        <w:t>预估数量，仅作为供应商报价依据，不作为采购方承诺，最终据实结算</w:t>
      </w:r>
      <w:r>
        <w:rPr>
          <w:rFonts w:hint="eastAsia" w:ascii="仿宋_GB2312" w:eastAsia="仿宋_GB2312" w:cstheme="minorBidi"/>
          <w:b w:val="0"/>
          <w:bCs w:val="0"/>
          <w:i w:val="0"/>
          <w:iCs w:val="0"/>
          <w:kern w:val="2"/>
          <w:sz w:val="21"/>
          <w:szCs w:val="21"/>
          <w:lang w:val="en-US" w:eastAsia="zh-CN" w:bidi="ar"/>
        </w:rPr>
        <w:t>。</w:t>
      </w:r>
    </w:p>
    <w:p>
      <w:pPr>
        <w:pStyle w:val="3"/>
        <w:rPr>
          <w:rFonts w:hint="default"/>
          <w:lang w:val="en-US"/>
        </w:rPr>
      </w:pPr>
    </w:p>
    <w:tbl>
      <w:tblPr>
        <w:tblStyle w:val="30"/>
        <w:tblW w:w="497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3"/>
        <w:gridCol w:w="1811"/>
        <w:gridCol w:w="1622"/>
        <w:gridCol w:w="1879"/>
        <w:gridCol w:w="1488"/>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90"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费用类别</w:t>
            </w:r>
          </w:p>
        </w:tc>
        <w:tc>
          <w:tcPr>
            <w:tcW w:w="100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品种</w:t>
            </w:r>
          </w:p>
        </w:tc>
        <w:tc>
          <w:tcPr>
            <w:tcW w:w="9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themeColor="text1"/>
                <w:sz w:val="20"/>
                <w:szCs w:val="20"/>
                <w:u w:val="none"/>
                <w14:textFill>
                  <w14:solidFill>
                    <w14:schemeClr w14:val="tx1"/>
                  </w14:solidFill>
                </w14:textFill>
              </w:rPr>
            </w:pPr>
            <w:r>
              <w:rPr>
                <w:rFonts w:hint="default" w:ascii="仿宋_GB2312" w:hAnsi="宋体" w:eastAsia="仿宋_GB2312" w:cs="仿宋_GB2312"/>
                <w:b/>
                <w:bCs/>
                <w:i w:val="0"/>
                <w:iCs w:val="0"/>
                <w:color w:val="000000" w:themeColor="text1"/>
                <w:kern w:val="0"/>
                <w:sz w:val="20"/>
                <w:szCs w:val="20"/>
                <w:u w:val="none"/>
                <w:lang w:val="en-US" w:eastAsia="zh-CN" w:bidi="ar"/>
                <w14:textFill>
                  <w14:solidFill>
                    <w14:schemeClr w14:val="tx1"/>
                  </w14:solidFill>
                </w14:textFill>
              </w:rPr>
              <w:t>预估数量/年</w:t>
            </w:r>
          </w:p>
        </w:tc>
        <w:tc>
          <w:tcPr>
            <w:tcW w:w="1044"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0"/>
                <w:szCs w:val="20"/>
                <w:u w:val="none"/>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结算标准上限（元）</w:t>
            </w:r>
          </w:p>
        </w:tc>
        <w:tc>
          <w:tcPr>
            <w:tcW w:w="827"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单笔结算上限（元）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390"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sz w:val="20"/>
                <w:szCs w:val="20"/>
                <w:u w:val="none"/>
              </w:rPr>
            </w:pPr>
          </w:p>
        </w:tc>
        <w:tc>
          <w:tcPr>
            <w:tcW w:w="1007" w:type="pct"/>
            <w:vMerge w:val="continue"/>
            <w:tcBorders>
              <w:top w:val="single" w:color="000000" w:sz="4" w:space="0"/>
              <w:left w:val="single" w:color="000000" w:sz="4" w:space="0"/>
              <w:bottom w:val="single" w:color="auto" w:sz="4" w:space="0"/>
              <w:right w:val="single" w:color="000000" w:sz="4" w:space="0"/>
            </w:tcBorders>
            <w:noWrap w:val="0"/>
            <w:vAlign w:val="center"/>
          </w:tcPr>
          <w:p>
            <w:pPr>
              <w:jc w:val="center"/>
              <w:rPr>
                <w:rFonts w:hint="eastAsia" w:ascii="仿宋" w:hAnsi="仿宋" w:eastAsia="仿宋" w:cs="仿宋"/>
                <w:b/>
                <w:bCs/>
                <w:i w:val="0"/>
                <w:iCs w:val="0"/>
                <w:color w:val="000000" w:themeColor="text1"/>
                <w:sz w:val="20"/>
                <w:szCs w:val="20"/>
                <w:u w:val="none"/>
                <w14:textFill>
                  <w14:solidFill>
                    <w14:schemeClr w14:val="tx1"/>
                  </w14:solidFill>
                </w14:textFill>
              </w:rPr>
            </w:pPr>
          </w:p>
        </w:tc>
        <w:tc>
          <w:tcPr>
            <w:tcW w:w="9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themeColor="text1"/>
                <w:sz w:val="20"/>
                <w:szCs w:val="20"/>
                <w:u w:val="none"/>
                <w14:textFill>
                  <w14:solidFill>
                    <w14:schemeClr w14:val="tx1"/>
                  </w14:solidFill>
                </w14:textFill>
              </w:rPr>
            </w:pPr>
            <w:r>
              <w:rPr>
                <w:rFonts w:hint="default" w:ascii="仿宋_GB2312" w:hAnsi="宋体" w:eastAsia="仿宋_GB2312" w:cs="仿宋_GB2312"/>
                <w:b/>
                <w:bCs/>
                <w:i w:val="0"/>
                <w:iCs w:val="0"/>
                <w:color w:val="000000" w:themeColor="text1"/>
                <w:kern w:val="0"/>
                <w:sz w:val="20"/>
                <w:szCs w:val="20"/>
                <w:u w:val="none"/>
                <w:lang w:val="en-US" w:eastAsia="zh-CN" w:bidi="ar"/>
                <w14:textFill>
                  <w14:solidFill>
                    <w14:schemeClr w14:val="tx1"/>
                  </w14:solidFill>
                </w14:textFill>
              </w:rPr>
              <w:t>（亩、头、件）</w:t>
            </w:r>
          </w:p>
        </w:tc>
        <w:tc>
          <w:tcPr>
            <w:tcW w:w="1044"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themeColor="text1"/>
                <w:sz w:val="20"/>
                <w:szCs w:val="20"/>
                <w:u w:val="none"/>
                <w14:textFill>
                  <w14:solidFill>
                    <w14:schemeClr w14:val="tx1"/>
                  </w14:solidFill>
                </w14:textFill>
              </w:rPr>
            </w:pPr>
          </w:p>
        </w:tc>
        <w:tc>
          <w:tcPr>
            <w:tcW w:w="827" w:type="pct"/>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distribute"/>
              <w:textAlignment w:val="center"/>
              <w:rPr>
                <w:rFonts w:hint="default"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分项采购金额（元）</w:t>
            </w:r>
          </w:p>
        </w:tc>
        <w:tc>
          <w:tcPr>
            <w:tcW w:w="827" w:type="pct"/>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协保</w:t>
            </w: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水稻</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100亩以下：3000元/保单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100亩(含）以上：4000元/保单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玉米</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120000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油菜</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2500</w:t>
            </w:r>
          </w:p>
        </w:tc>
        <w:tc>
          <w:tcPr>
            <w:tcW w:w="1044"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马铃薯</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c>
          <w:tcPr>
            <w:tcW w:w="1044" w:type="pct"/>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小麦</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大豆</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能繁母猪</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40000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tabs>
                <w:tab w:val="left" w:pos="947"/>
              </w:tabs>
              <w:jc w:val="left"/>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tabs>
                <w:tab w:val="left" w:pos="947"/>
              </w:tabs>
              <w:jc w:val="left"/>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个体投保：3000元/保单</w:t>
            </w:r>
          </w:p>
          <w:p>
            <w:pPr>
              <w:keepNext w:val="0"/>
              <w:keepLines w:val="0"/>
              <w:widowControl/>
              <w:suppressLineNumbers w:val="0"/>
              <w:tabs>
                <w:tab w:val="left" w:pos="947"/>
              </w:tabs>
              <w:jc w:val="left"/>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团体投保：3600元/保单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800000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牦牛</w:t>
            </w:r>
          </w:p>
        </w:tc>
        <w:tc>
          <w:tcPr>
            <w:tcW w:w="902"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藏系羊</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奶牛</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827" w:type="pct"/>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商品林</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公益林</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3000000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p>
        </w:tc>
        <w:tc>
          <w:tcPr>
            <w:tcW w:w="827" w:type="pct"/>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800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100亩以下：3000元/保单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100亩(含）以上：4000元/保单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茶叶气象指数</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水果（柑橘、樱桃、苹果、李子、枇杷、梨、核桃、猕猴桃等）</w:t>
            </w:r>
          </w:p>
        </w:tc>
        <w:tc>
          <w:tcPr>
            <w:tcW w:w="902"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5000</w:t>
            </w:r>
          </w:p>
        </w:tc>
        <w:tc>
          <w:tcPr>
            <w:tcW w:w="1044"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auto"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马蓝</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中药材</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600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花椒</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1200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肉牛</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restart"/>
            <w:tcBorders>
              <w:top w:val="single" w:color="000000" w:sz="4" w:space="0"/>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个体投保：3000元/保单</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团体投保：3600元/保单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肉羊</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地方牦牛</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0"/>
                <w:szCs w:val="20"/>
                <w:u w:val="none"/>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16000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水产</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auto"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育肥猪综合收入</w:t>
            </w:r>
          </w:p>
        </w:tc>
        <w:tc>
          <w:tcPr>
            <w:tcW w:w="902" w:type="pct"/>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60000</w:t>
            </w:r>
          </w:p>
        </w:tc>
        <w:tc>
          <w:tcPr>
            <w:tcW w:w="10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14:textFill>
                  <w14:solidFill>
                    <w14:schemeClr w14:val="tx1"/>
                  </w14:solidFill>
                </w14:textFill>
              </w:rPr>
            </w:pPr>
          </w:p>
        </w:tc>
        <w:tc>
          <w:tcPr>
            <w:tcW w:w="827" w:type="pct"/>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vMerge w:val="continue"/>
            <w:tcBorders>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390" w:type="pct"/>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黄柏</w:t>
            </w:r>
          </w:p>
        </w:tc>
        <w:tc>
          <w:tcPr>
            <w:tcW w:w="902" w:type="pct"/>
            <w:tcBorders>
              <w:top w:val="single" w:color="000000" w:sz="4" w:space="0"/>
              <w:left w:val="single" w:color="auto"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100</w:t>
            </w:r>
          </w:p>
        </w:tc>
        <w:tc>
          <w:tcPr>
            <w:tcW w:w="1044"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0"/>
                <w:szCs w:val="20"/>
                <w:u w:val="none"/>
                <w:lang w:val="en-US"/>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p>
        </w:tc>
        <w:tc>
          <w:tcPr>
            <w:tcW w:w="827" w:type="pct"/>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0"/>
                <w:szCs w:val="20"/>
                <w:u w:val="none"/>
                <w:lang w:val="en-US" w:eastAsia="zh-CN" w:bidi="ar"/>
                <w14:textFill>
                  <w14:solidFill>
                    <w14:schemeClr w14:val="tx1"/>
                  </w14:solidFill>
                </w14:textFill>
              </w:rPr>
              <w:t>2000元/保单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0"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协赔</w:t>
            </w:r>
          </w:p>
        </w:tc>
        <w:tc>
          <w:tcPr>
            <w:tcW w:w="1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能繁母猪、育肥猪、奶牛、藏系羊、肉牛、肉羊（49头以内）</w:t>
            </w:r>
          </w:p>
        </w:tc>
        <w:tc>
          <w:tcPr>
            <w:tcW w:w="90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0" w:type="pct"/>
            <w:vMerge w:val="continue"/>
            <w:tcBorders>
              <w:top w:val="single" w:color="auto"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能繁母猪、育肥猪、奶牛、藏系羊、肉牛、肉羊（50头及以上）</w:t>
            </w:r>
          </w:p>
        </w:tc>
        <w:tc>
          <w:tcPr>
            <w:tcW w:w="902" w:type="pct"/>
            <w:tcBorders>
              <w:top w:val="single" w:color="auto"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牦牛</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水产、家禽、育肥猪综合收入、价格指数、气象指数、费用</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水稻、玉米、油菜、马铃薯、小麦、大豆、茶叶、水果（柑橘、樱桃、苹果、李子、枇杷、梨、核桃、猕猴桃等）、马蓝、中药材（≥1000亩）</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气象指数、价格指数、费用</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90" w:type="pct"/>
            <w:vMerge w:val="continue"/>
            <w:tcBorders>
              <w:top w:val="single" w:color="000000" w:sz="4" w:space="0"/>
              <w:left w:val="single" w:color="auto"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0"/>
                <w:szCs w:val="20"/>
                <w:u w:val="none"/>
              </w:rPr>
            </w:pPr>
          </w:p>
        </w:tc>
        <w:tc>
          <w:tcPr>
            <w:tcW w:w="10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商品林、公益林、黄柏</w:t>
            </w:r>
          </w:p>
        </w:tc>
        <w:tc>
          <w:tcPr>
            <w:tcW w:w="902" w:type="pct"/>
            <w:tcBorders>
              <w:top w:val="single" w:color="000000" w:sz="4" w:space="0"/>
              <w:left w:val="single" w:color="000000" w:sz="4" w:space="0"/>
              <w:bottom w:val="single" w:color="000000"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30</w:t>
            </w:r>
          </w:p>
        </w:tc>
        <w:tc>
          <w:tcPr>
            <w:tcW w:w="1044"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8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r>
    </w:tbl>
    <w:p>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eastAsia="仿宋_GB2312" w:hAnsiTheme="minorHAnsi" w:cstheme="minorBidi"/>
          <w:b w:val="0"/>
          <w:bCs w:val="0"/>
          <w:i w:val="0"/>
          <w:iCs w:val="0"/>
          <w:kern w:val="2"/>
          <w:sz w:val="28"/>
          <w:szCs w:val="28"/>
          <w:lang w:val="en-US" w:eastAsia="zh-CN" w:bidi="ar"/>
        </w:rPr>
      </w:pPr>
      <w:r>
        <w:rPr>
          <w:rFonts w:hint="eastAsia" w:ascii="仿宋_GB2312" w:eastAsia="仿宋_GB2312" w:hAnsiTheme="minorHAnsi" w:cstheme="minorBidi"/>
          <w:b w:val="0"/>
          <w:bCs w:val="0"/>
          <w:i w:val="0"/>
          <w:iCs w:val="0"/>
          <w:color w:val="000000" w:themeColor="text1"/>
          <w:kern w:val="2"/>
          <w:sz w:val="28"/>
          <w:szCs w:val="28"/>
          <w:lang w:val="en-US" w:eastAsia="zh-CN" w:bidi="ar"/>
          <w14:textFill>
            <w14:solidFill>
              <w14:schemeClr w14:val="tx1"/>
            </w14:solidFill>
          </w14:textFill>
        </w:rPr>
        <w:t>注：如有其他农险大灾协赔，查勘费用可按照不高于 200 元/天进行结算，由甲乙双方据实协商确认结算天数和标准</w:t>
      </w:r>
      <w:r>
        <w:rPr>
          <w:rFonts w:hint="eastAsia" w:ascii="仿宋_GB2312" w:eastAsia="仿宋_GB2312" w:hAnsiTheme="minorHAnsi" w:cstheme="minorBidi"/>
          <w:b w:val="0"/>
          <w:bCs w:val="0"/>
          <w:i w:val="0"/>
          <w:iCs w:val="0"/>
          <w:kern w:val="2"/>
          <w:sz w:val="28"/>
          <w:szCs w:val="28"/>
          <w:lang w:val="en-US" w:eastAsia="zh-CN" w:bidi="ar"/>
        </w:rPr>
        <w:t>。</w:t>
      </w:r>
    </w:p>
    <w:p>
      <w:pPr>
        <w:adjustRightInd w:val="0"/>
        <w:snapToGrid w:val="0"/>
        <w:spacing w:line="360" w:lineRule="auto"/>
        <w:rPr>
          <w:rFonts w:hint="eastAsia" w:ascii="楷体" w:hAnsi="楷体" w:eastAsia="楷体" w:cs="仿宋_GB2312"/>
          <w:i w:val="0"/>
          <w:iCs/>
          <w:color w:val="000000" w:themeColor="text1"/>
          <w:szCs w:val="32"/>
          <w:lang w:eastAsia="zh-CN"/>
          <w14:textFill>
            <w14:solidFill>
              <w14:schemeClr w14:val="tx1"/>
            </w14:solidFill>
          </w14:textFill>
        </w:rPr>
      </w:pPr>
    </w:p>
    <w:p>
      <w:pPr>
        <w:pStyle w:val="2"/>
        <w:rPr>
          <w:rFonts w:hint="eastAsia" w:ascii="仿宋_GB2312" w:eastAsia="仿宋_GB2312" w:cstheme="minorBidi"/>
          <w:b w:val="0"/>
          <w:bCs w:val="0"/>
          <w:i w:val="0"/>
          <w:iCs w:val="0"/>
          <w:color w:val="000000" w:themeColor="text1"/>
          <w:kern w:val="2"/>
          <w:sz w:val="21"/>
          <w:szCs w:val="21"/>
          <w:lang w:val="en-US" w:eastAsia="zh-CN" w:bidi="ar"/>
          <w14:textFill>
            <w14:solidFill>
              <w14:schemeClr w14:val="tx1"/>
            </w14:solidFill>
          </w14:textFill>
        </w:rPr>
      </w:pPr>
      <w:r>
        <w:rPr>
          <w:rFonts w:hint="eastAsia" w:ascii="楷体" w:hAnsi="楷体" w:eastAsia="楷体" w:cs="仿宋_GB2312"/>
          <w:i w:val="0"/>
          <w:iCs/>
          <w:color w:val="000000" w:themeColor="text1"/>
          <w:szCs w:val="32"/>
          <w:lang w:eastAsia="zh-CN"/>
          <w14:textFill>
            <w14:solidFill>
              <w14:schemeClr w14:val="tx1"/>
            </w14:solidFill>
          </w14:textFill>
        </w:rPr>
        <w:t>【</w:t>
      </w:r>
      <w:r>
        <w:rPr>
          <w:rFonts w:hint="eastAsia" w:ascii="楷体" w:hAnsi="楷体" w:eastAsia="楷体" w:cs="仿宋_GB2312"/>
          <w:i w:val="0"/>
          <w:iCs/>
          <w:color w:val="000000" w:themeColor="text1"/>
          <w:szCs w:val="32"/>
          <w:lang w:val="en-US" w:eastAsia="zh-CN"/>
          <w14:textFill>
            <w14:solidFill>
              <w14:schemeClr w14:val="tx1"/>
            </w14:solidFill>
          </w14:textFill>
        </w:rPr>
        <w:t>社保】</w:t>
      </w:r>
      <w:r>
        <w:rPr>
          <w:rFonts w:hint="eastAsia" w:ascii="仿宋_GB2312" w:eastAsia="仿宋_GB2312" w:hAnsiTheme="minorHAnsi" w:cstheme="minorBidi"/>
          <w:b w:val="0"/>
          <w:bCs w:val="0"/>
          <w:i w:val="0"/>
          <w:iCs w:val="0"/>
          <w:kern w:val="2"/>
          <w:sz w:val="21"/>
          <w:szCs w:val="21"/>
          <w:lang w:val="en-US" w:eastAsia="zh-CN" w:bidi="ar"/>
        </w:rPr>
        <w:t>数量为</w:t>
      </w:r>
      <w:r>
        <w:rPr>
          <w:rFonts w:hint="eastAsia" w:ascii="仿宋_GB2312" w:eastAsia="仿宋_GB2312" w:cstheme="minorBidi"/>
          <w:b w:val="0"/>
          <w:bCs w:val="0"/>
          <w:i w:val="0"/>
          <w:iCs w:val="0"/>
          <w:kern w:val="2"/>
          <w:sz w:val="21"/>
          <w:szCs w:val="21"/>
          <w:lang w:val="en-US" w:eastAsia="zh-CN" w:bidi="ar"/>
        </w:rPr>
        <w:t>年</w:t>
      </w:r>
      <w:r>
        <w:rPr>
          <w:rFonts w:hint="eastAsia" w:ascii="仿宋_GB2312" w:eastAsia="仿宋_GB2312" w:hAnsiTheme="minorHAnsi" w:cstheme="minorBidi"/>
          <w:b w:val="0"/>
          <w:bCs w:val="0"/>
          <w:i w:val="0"/>
          <w:iCs w:val="0"/>
          <w:kern w:val="2"/>
          <w:sz w:val="21"/>
          <w:szCs w:val="21"/>
          <w:lang w:val="en-US" w:eastAsia="zh-CN" w:bidi="ar"/>
        </w:rPr>
        <w:t>预估数量，仅作为供应商报价依据，不作为采购方承诺，最终据实结算</w:t>
      </w:r>
      <w:r>
        <w:rPr>
          <w:rFonts w:hint="eastAsia" w:ascii="仿宋_GB2312" w:eastAsia="仿宋_GB2312" w:cstheme="minorBidi"/>
          <w:b w:val="0"/>
          <w:bCs w:val="0"/>
          <w:i w:val="0"/>
          <w:iCs w:val="0"/>
          <w:kern w:val="2"/>
          <w:sz w:val="21"/>
          <w:szCs w:val="21"/>
          <w:lang w:val="en-US" w:eastAsia="zh-CN" w:bidi="ar"/>
        </w:rPr>
        <w:t>。</w:t>
      </w:r>
    </w:p>
    <w:p>
      <w:pPr>
        <w:adjustRightInd w:val="0"/>
        <w:snapToGrid w:val="0"/>
        <w:spacing w:line="360" w:lineRule="auto"/>
        <w:rPr>
          <w:rFonts w:hint="eastAsia" w:ascii="楷体" w:hAnsi="楷体" w:eastAsia="楷体" w:cs="仿宋_GB2312"/>
          <w:i w:val="0"/>
          <w:iCs/>
          <w:color w:val="000000" w:themeColor="text1"/>
          <w:szCs w:val="32"/>
          <w:lang w:val="en-US" w:eastAsia="zh-CN"/>
          <w14:textFill>
            <w14:solidFill>
              <w14:schemeClr w14:val="tx1"/>
            </w14:solidFill>
          </w14:textFill>
        </w:rPr>
      </w:pPr>
    </w:p>
    <w:tbl>
      <w:tblPr>
        <w:tblStyle w:val="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16"/>
        <w:gridCol w:w="2767"/>
        <w:gridCol w:w="2024"/>
        <w:gridCol w:w="2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26" w:type="pct"/>
            <w:vMerge w:val="restart"/>
            <w:tcBorders>
              <w:top w:val="single" w:color="000000" w:sz="8" w:space="0"/>
              <w:left w:val="single" w:color="000000" w:sz="8" w:space="0"/>
              <w:bottom w:val="single" w:color="000000" w:sz="8" w:space="0"/>
              <w:right w:val="single" w:color="000000" w:sz="8" w:space="0"/>
            </w:tcBorders>
            <w:noWrap w:val="0"/>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0"/>
                <w:szCs w:val="20"/>
                <w:u w:val="none"/>
              </w:rPr>
            </w:pPr>
            <w:r>
              <w:rPr>
                <w:rFonts w:hint="eastAsia" w:ascii="仿宋_GB2312" w:hAnsi="宋体" w:eastAsia="仿宋_GB2312" w:cs="仿宋_GB2312"/>
                <w:b/>
                <w:bCs/>
                <w:i w:val="0"/>
                <w:iCs w:val="0"/>
                <w:color w:val="000000"/>
                <w:kern w:val="0"/>
                <w:sz w:val="20"/>
                <w:szCs w:val="20"/>
                <w:u w:val="none"/>
                <w:lang w:val="en-US" w:eastAsia="zh-CN" w:bidi="ar"/>
              </w:rPr>
              <w:t>项目</w:t>
            </w:r>
          </w:p>
        </w:tc>
        <w:tc>
          <w:tcPr>
            <w:tcW w:w="1608" w:type="pct"/>
            <w:tcBorders>
              <w:top w:val="single" w:color="000000" w:sz="8" w:space="0"/>
              <w:left w:val="nil"/>
              <w:bottom w:val="nil"/>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lang w:val="en-US" w:eastAsia="zh-CN" w:bidi="ar"/>
              </w:rPr>
              <w:t>预估数量/年</w:t>
            </w:r>
          </w:p>
        </w:tc>
        <w:tc>
          <w:tcPr>
            <w:tcW w:w="1120" w:type="pct"/>
            <w:vMerge w:val="restart"/>
            <w:tcBorders>
              <w:top w:val="single" w:color="000000" w:sz="8" w:space="0"/>
              <w:left w:val="nil"/>
              <w:bottom w:val="single" w:color="000000" w:sz="8"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结算标准上限（元）</w:t>
            </w:r>
          </w:p>
        </w:tc>
        <w:tc>
          <w:tcPr>
            <w:tcW w:w="1044" w:type="pct"/>
            <w:vMerge w:val="restart"/>
            <w:tcBorders>
              <w:top w:val="single" w:color="auto" w:sz="4" w:space="0"/>
              <w:left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themeColor="text1"/>
                <w:kern w:val="0"/>
                <w:sz w:val="20"/>
                <w:szCs w:val="20"/>
                <w:u w:val="none"/>
                <w:lang w:val="en-US" w:eastAsia="zh-CN" w:bidi="ar"/>
                <w14:textFill>
                  <w14:solidFill>
                    <w14:schemeClr w14:val="tx1"/>
                  </w14:solidFill>
                </w14:textFill>
              </w:rPr>
              <w:t>分项采购金额（元）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26" w:type="pct"/>
            <w:vMerge w:val="continue"/>
            <w:tcBorders>
              <w:top w:val="single" w:color="000000" w:sz="8" w:space="0"/>
              <w:left w:val="single" w:color="000000" w:sz="8" w:space="0"/>
              <w:bottom w:val="single" w:color="000000" w:sz="8" w:space="0"/>
              <w:right w:val="single" w:color="000000" w:sz="8" w:space="0"/>
            </w:tcBorders>
            <w:noWrap w:val="0"/>
            <w:vAlign w:val="bottom"/>
          </w:tcPr>
          <w:p>
            <w:pPr>
              <w:jc w:val="center"/>
              <w:rPr>
                <w:rFonts w:hint="default" w:ascii="仿宋_GB2312" w:hAnsi="宋体" w:eastAsia="仿宋_GB2312" w:cs="仿宋_GB2312"/>
                <w:b/>
                <w:bCs/>
                <w:i w:val="0"/>
                <w:iCs w:val="0"/>
                <w:color w:val="000000"/>
                <w:sz w:val="20"/>
                <w:szCs w:val="20"/>
                <w:u w:val="none"/>
              </w:rPr>
            </w:pP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lang w:val="en-US" w:eastAsia="zh-CN" w:bidi="ar"/>
              </w:rPr>
              <w:t>（件、次）</w:t>
            </w:r>
          </w:p>
        </w:tc>
        <w:tc>
          <w:tcPr>
            <w:tcW w:w="1120" w:type="pct"/>
            <w:vMerge w:val="continue"/>
            <w:tcBorders>
              <w:top w:val="single" w:color="000000" w:sz="8" w:space="0"/>
              <w:left w:val="nil"/>
              <w:bottom w:val="single" w:color="000000" w:sz="8" w:space="0"/>
              <w:right w:val="single" w:color="auto" w:sz="4" w:space="0"/>
            </w:tcBorders>
            <w:noWrap/>
            <w:vAlign w:val="bottom"/>
          </w:tcPr>
          <w:p>
            <w:pPr>
              <w:jc w:val="center"/>
              <w:rPr>
                <w:rFonts w:hint="default" w:ascii="仿宋_GB2312" w:hAnsi="宋体" w:eastAsia="仿宋_GB2312" w:cs="仿宋_GB2312"/>
                <w:b/>
                <w:bCs/>
                <w:i w:val="0"/>
                <w:iCs w:val="0"/>
                <w:color w:val="000000"/>
                <w:sz w:val="20"/>
                <w:szCs w:val="20"/>
                <w:u w:val="none"/>
              </w:rPr>
            </w:pPr>
          </w:p>
        </w:tc>
        <w:tc>
          <w:tcPr>
            <w:tcW w:w="1044" w:type="pct"/>
            <w:vMerge w:val="continue"/>
            <w:tcBorders>
              <w:left w:val="single" w:color="auto" w:sz="4" w:space="0"/>
              <w:bottom w:val="single" w:color="auto" w:sz="4" w:space="0"/>
              <w:right w:val="single" w:color="auto" w:sz="4" w:space="0"/>
            </w:tcBorders>
            <w:noWrap/>
            <w:vAlign w:val="bottom"/>
          </w:tcPr>
          <w:p>
            <w:pPr>
              <w:jc w:val="center"/>
              <w:rPr>
                <w:rFonts w:hint="default" w:ascii="仿宋_GB2312" w:hAnsi="宋体" w:eastAsia="仿宋_GB2312" w:cs="仿宋_GB2312"/>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资料收集</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11000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lang w:val="en-US"/>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1044" w:type="pct"/>
            <w:tcBorders>
              <w:top w:val="single" w:color="auto" w:sz="4" w:space="0"/>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赔案审核</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lang w:val="en-US"/>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104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赔案稽核（统筹区内）</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104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赔案稽核（统筹区外）</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4200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c>
          <w:tcPr>
            <w:tcW w:w="104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医疗巡查（个人）</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c>
          <w:tcPr>
            <w:tcW w:w="104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医疗巡查（医院）</w:t>
            </w:r>
          </w:p>
        </w:tc>
        <w:tc>
          <w:tcPr>
            <w:tcW w:w="1608"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4000</w:t>
            </w:r>
          </w:p>
        </w:tc>
        <w:tc>
          <w:tcPr>
            <w:tcW w:w="1120"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c>
          <w:tcPr>
            <w:tcW w:w="1044" w:type="pct"/>
            <w:tcBorders>
              <w:top w:val="nil"/>
              <w:left w:val="nil"/>
              <w:bottom w:val="single" w:color="000000" w:sz="8"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nil"/>
              <w:left w:val="single" w:color="000000" w:sz="8" w:space="0"/>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医疗巡查（药店）</w:t>
            </w:r>
          </w:p>
        </w:tc>
        <w:tc>
          <w:tcPr>
            <w:tcW w:w="1608" w:type="pct"/>
            <w:tcBorders>
              <w:top w:val="nil"/>
              <w:left w:val="nil"/>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nil"/>
              <w:left w:val="nil"/>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c>
          <w:tcPr>
            <w:tcW w:w="1044" w:type="pct"/>
            <w:tcBorders>
              <w:top w:val="nil"/>
              <w:left w:val="nil"/>
              <w:bottom w:val="single" w:color="auto" w:sz="4" w:space="0"/>
              <w:right w:val="single" w:color="000000" w:sz="8"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赔案档案装订</w:t>
            </w:r>
          </w:p>
        </w:tc>
        <w:tc>
          <w:tcPr>
            <w:tcW w:w="1608"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c>
          <w:tcPr>
            <w:tcW w:w="104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赔案风险数据核对</w:t>
            </w:r>
          </w:p>
        </w:tc>
        <w:tc>
          <w:tcPr>
            <w:tcW w:w="1608"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c>
          <w:tcPr>
            <w:tcW w:w="104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赔案回访</w:t>
            </w:r>
          </w:p>
        </w:tc>
        <w:tc>
          <w:tcPr>
            <w:tcW w:w="1608"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c>
          <w:tcPr>
            <w:tcW w:w="104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6"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理赔咨询服务</w:t>
            </w:r>
          </w:p>
        </w:tc>
        <w:tc>
          <w:tcPr>
            <w:tcW w:w="1608"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1000</w:t>
            </w:r>
          </w:p>
        </w:tc>
        <w:tc>
          <w:tcPr>
            <w:tcW w:w="1120"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c>
          <w:tcPr>
            <w:tcW w:w="1044" w:type="pct"/>
            <w:tcBorders>
              <w:top w:val="single" w:color="auto" w:sz="4" w:space="0"/>
              <w:left w:val="single" w:color="auto" w:sz="4" w:space="0"/>
              <w:bottom w:val="single" w:color="auto" w:sz="4" w:space="0"/>
              <w:right w:val="single" w:color="auto" w:sz="4" w:space="0"/>
            </w:tcBorders>
            <w:noWrap/>
            <w:vAlign w:val="bottom"/>
          </w:tcPr>
          <w:p>
            <w:pPr>
              <w:keepNext w:val="0"/>
              <w:keepLines w:val="0"/>
              <w:widowControl/>
              <w:suppressLineNumbers w:val="0"/>
              <w:jc w:val="center"/>
              <w:textAlignment w:val="bottom"/>
              <w:rPr>
                <w:rFonts w:hint="default" w:ascii="仿宋_GB2312" w:hAnsi="宋体" w:eastAsia="仿宋_GB2312" w:cs="仿宋_GB2312"/>
                <w:i w:val="0"/>
                <w:iCs w:val="0"/>
                <w:color w:val="000000"/>
                <w:sz w:val="20"/>
                <w:szCs w:val="20"/>
                <w:u w:val="none"/>
              </w:rPr>
            </w:pPr>
          </w:p>
        </w:tc>
      </w:tr>
    </w:tbl>
    <w:p>
      <w:pPr>
        <w:pStyle w:val="2"/>
        <w:rPr>
          <w:rFonts w:hint="default"/>
          <w:lang w:val="en-US" w:eastAsia="zh-CN"/>
        </w:rPr>
      </w:pPr>
    </w:p>
    <w:p>
      <w:pPr>
        <w:adjustRightInd w:val="0"/>
        <w:snapToGrid w:val="0"/>
        <w:spacing w:line="360" w:lineRule="auto"/>
        <w:rPr>
          <w:rFonts w:ascii="楷体" w:hAnsi="楷体" w:eastAsia="楷体" w:cs="仿宋_GB2312"/>
          <w:i/>
          <w:color w:val="FF0000"/>
          <w:szCs w:val="32"/>
        </w:rPr>
      </w:pPr>
      <w:r>
        <w:rPr>
          <w:rFonts w:ascii="楷体" w:hAnsi="楷体" w:eastAsia="楷体" w:cs="仿宋_GB2312"/>
          <w:i/>
          <w:color w:val="FF0000"/>
          <w:szCs w:val="32"/>
        </w:rPr>
        <w:t>注：</w:t>
      </w:r>
    </w:p>
    <w:p>
      <w:pPr>
        <w:adjustRightInd w:val="0"/>
        <w:snapToGrid w:val="0"/>
        <w:spacing w:line="360" w:lineRule="auto"/>
        <w:rPr>
          <w:rFonts w:ascii="楷体" w:hAnsi="楷体" w:eastAsia="楷体" w:cs="仿宋_GB2312"/>
          <w:i/>
          <w:color w:val="FF0000"/>
          <w:szCs w:val="32"/>
        </w:rPr>
      </w:pPr>
      <w:r>
        <w:rPr>
          <w:rFonts w:ascii="楷体" w:hAnsi="楷体" w:eastAsia="楷体" w:cs="仿宋_GB2312"/>
          <w:i/>
          <w:color w:val="FF0000"/>
          <w:szCs w:val="32"/>
        </w:rPr>
        <w:t>1.涉及需分项报价的</w:t>
      </w:r>
      <w:r>
        <w:rPr>
          <w:rFonts w:hint="eastAsia" w:ascii="楷体" w:hAnsi="楷体" w:eastAsia="楷体" w:cs="仿宋_GB2312"/>
          <w:i/>
          <w:color w:val="FF0000"/>
          <w:szCs w:val="32"/>
        </w:rPr>
        <w:t>，</w:t>
      </w:r>
      <w:r>
        <w:rPr>
          <w:rFonts w:ascii="楷体" w:hAnsi="楷体" w:eastAsia="楷体" w:cs="仿宋_GB2312"/>
          <w:i/>
          <w:color w:val="FF0000"/>
          <w:szCs w:val="32"/>
        </w:rPr>
        <w:t>供应商每次报价均需提供本表。</w:t>
      </w:r>
    </w:p>
    <w:p>
      <w:pPr>
        <w:adjustRightInd w:val="0"/>
        <w:snapToGrid w:val="0"/>
        <w:spacing w:line="360" w:lineRule="auto"/>
        <w:rPr>
          <w:rFonts w:ascii="楷体" w:hAnsi="楷体" w:eastAsia="楷体" w:cs="仿宋_GB2312"/>
          <w:i/>
          <w:color w:val="FF0000"/>
          <w:szCs w:val="32"/>
        </w:rPr>
      </w:pPr>
      <w:r>
        <w:rPr>
          <w:rFonts w:ascii="楷体" w:hAnsi="楷体" w:eastAsia="楷体" w:cs="仿宋_GB2312"/>
          <w:i/>
          <w:color w:val="FF0000"/>
          <w:szCs w:val="32"/>
        </w:rPr>
        <w:t>2.如果按单价计算的结果与总价不一致，以单价为准修正总价。</w:t>
      </w:r>
    </w:p>
    <w:p>
      <w:pPr>
        <w:adjustRightInd w:val="0"/>
        <w:snapToGrid w:val="0"/>
        <w:spacing w:line="360" w:lineRule="auto"/>
        <w:rPr>
          <w:rFonts w:ascii="楷体" w:hAnsi="楷体" w:eastAsia="楷体" w:cs="仿宋_GB2312"/>
          <w:i/>
          <w:color w:val="FF0000"/>
          <w:szCs w:val="32"/>
        </w:rPr>
      </w:pPr>
      <w:r>
        <w:rPr>
          <w:rFonts w:ascii="楷体" w:hAnsi="楷体" w:eastAsia="楷体" w:cs="仿宋_GB2312"/>
          <w:i/>
          <w:color w:val="FF0000"/>
          <w:szCs w:val="32"/>
        </w:rPr>
        <w:t>3.供应商可根据实际情况自行扩展表格细项。</w:t>
      </w:r>
    </w:p>
    <w:p>
      <w:pPr>
        <w:adjustRightInd w:val="0"/>
        <w:snapToGrid w:val="0"/>
        <w:spacing w:line="360" w:lineRule="auto"/>
        <w:rPr>
          <w:rFonts w:ascii="楷体" w:hAnsi="楷体" w:eastAsia="楷体" w:cs="仿宋_GB2312"/>
          <w:i/>
          <w:color w:val="FF0000"/>
          <w:szCs w:val="32"/>
        </w:rPr>
      </w:pP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10" w:name="_Toc104714659"/>
      <w:bookmarkEnd w:id="210"/>
      <w:bookmarkStart w:id="211" w:name="_Toc125183170"/>
      <w:bookmarkEnd w:id="211"/>
      <w:bookmarkStart w:id="212" w:name="_Toc127761806"/>
      <w:bookmarkEnd w:id="212"/>
    </w:p>
    <w:p>
      <w:pPr>
        <w:pStyle w:val="4"/>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0" w:type="default"/>
      <w:footerReference r:id="rId11"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楷体_GB2312">
    <w:altName w:val="楷体"/>
    <w:panose1 w:val="00000000000000000000"/>
    <w:charset w:val="86"/>
    <w:family w:val="swiss"/>
    <w:pitch w:val="default"/>
    <w:sig w:usb0="00000000" w:usb1="00000000" w:usb2="00000010" w:usb3="00000000" w:csb0="00040000" w:csb1="00000000"/>
  </w:font>
  <w:font w:name="国标仿宋">
    <w:altName w:val="仿宋"/>
    <w:panose1 w:val="02000500000000000000"/>
    <w:charset w:val="86"/>
    <w:family w:val="auto"/>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0"/>
                            <w:jc w:val="center"/>
                          </w:pPr>
                          <w:r>
                            <w:fldChar w:fldCharType="begin"/>
                          </w:r>
                          <w:r>
                            <w:instrText xml:space="preserve">PAGE   \* MERGEFORMAT</w:instrText>
                          </w:r>
                          <w:r>
                            <w:fldChar w:fldCharType="separate"/>
                          </w:r>
                          <w:r>
                            <w:rPr>
                              <w:lang w:val="zh-CN"/>
                            </w:rPr>
                            <w:t>12</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20"/>
                      <w:jc w:val="center"/>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6860774"/>
      <w:docPartObj>
        <w:docPartGallery w:val="autotext"/>
      </w:docPartObj>
    </w:sdtPr>
    <w:sdtContent>
      <w:sdt>
        <w:sdtPr>
          <w:id w:val="1728636285"/>
          <w:docPartObj>
            <w:docPartGallery w:val="autotext"/>
          </w:docPartObj>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5880848"/>
      <w:docPartObj>
        <w:docPartGallery w:val="autotext"/>
      </w:docPartObj>
    </w:sdtPr>
    <w:sdtContent>
      <w:sdt>
        <w:sdtPr>
          <w:id w:val="1950508492"/>
          <w:docPartObj>
            <w:docPartGallery w:val="autotext"/>
          </w:docPartObj>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磋商</w:t>
    </w:r>
    <w:r>
      <w:t>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463F6C"/>
    <w:multiLevelType w:val="singleLevel"/>
    <w:tmpl w:val="C3463F6C"/>
    <w:lvl w:ilvl="0" w:tentative="0">
      <w:start w:val="5"/>
      <w:numFmt w:val="chineseCounting"/>
      <w:suff w:val="nothing"/>
      <w:lvlText w:val="%1、"/>
      <w:lvlJc w:val="left"/>
      <w:rPr>
        <w:rFonts w:hint="eastAsia"/>
      </w:rPr>
    </w:lvl>
  </w:abstractNum>
  <w:abstractNum w:abstractNumId="1">
    <w:nsid w:val="D050EEDE"/>
    <w:multiLevelType w:val="singleLevel"/>
    <w:tmpl w:val="D050EEDE"/>
    <w:lvl w:ilvl="0" w:tentative="0">
      <w:start w:val="4"/>
      <w:numFmt w:val="chineseCounting"/>
      <w:suff w:val="space"/>
      <w:lvlText w:val="第%1章"/>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12FB7EBA"/>
    <w:multiLevelType w:val="singleLevel"/>
    <w:tmpl w:val="12FB7EBA"/>
    <w:lvl w:ilvl="0" w:tentative="0">
      <w:start w:val="1"/>
      <w:numFmt w:val="decimal"/>
      <w:suff w:val="nothing"/>
      <w:lvlText w:val="%1、"/>
      <w:lvlJc w:val="left"/>
    </w:lvl>
  </w:abstractNum>
  <w:abstractNum w:abstractNumId="4">
    <w:nsid w:val="25742218"/>
    <w:multiLevelType w:val="singleLevel"/>
    <w:tmpl w:val="25742218"/>
    <w:lvl w:ilvl="0" w:tentative="0">
      <w:start w:val="1"/>
      <w:numFmt w:val="chineseCounting"/>
      <w:suff w:val="nothing"/>
      <w:lvlText w:val="%1、"/>
      <w:lvlJc w:val="left"/>
      <w:rPr>
        <w:rFonts w:hint="eastAsia"/>
      </w:rPr>
    </w:lvl>
  </w:abstractNum>
  <w:abstractNum w:abstractNumId="5">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3DE"/>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547851"/>
    <w:rsid w:val="03CA6EF6"/>
    <w:rsid w:val="04AA3D5F"/>
    <w:rsid w:val="05616943"/>
    <w:rsid w:val="0569312B"/>
    <w:rsid w:val="06E34FCD"/>
    <w:rsid w:val="07923863"/>
    <w:rsid w:val="094A3FE2"/>
    <w:rsid w:val="09DF68E3"/>
    <w:rsid w:val="0A141145"/>
    <w:rsid w:val="0ACB4877"/>
    <w:rsid w:val="0B270364"/>
    <w:rsid w:val="0B4E4C52"/>
    <w:rsid w:val="0FE807FD"/>
    <w:rsid w:val="106C50D7"/>
    <w:rsid w:val="11B61B63"/>
    <w:rsid w:val="124619C1"/>
    <w:rsid w:val="13B40768"/>
    <w:rsid w:val="17334565"/>
    <w:rsid w:val="178772D7"/>
    <w:rsid w:val="18146217"/>
    <w:rsid w:val="18184150"/>
    <w:rsid w:val="18215304"/>
    <w:rsid w:val="19332BB1"/>
    <w:rsid w:val="19C553D6"/>
    <w:rsid w:val="1C3D02C0"/>
    <w:rsid w:val="1D1F7181"/>
    <w:rsid w:val="1D237383"/>
    <w:rsid w:val="1EF30556"/>
    <w:rsid w:val="1F5171F9"/>
    <w:rsid w:val="1FBC53AE"/>
    <w:rsid w:val="20034853"/>
    <w:rsid w:val="232457F5"/>
    <w:rsid w:val="23CD717D"/>
    <w:rsid w:val="24CF4FC0"/>
    <w:rsid w:val="25CD160D"/>
    <w:rsid w:val="27986CA6"/>
    <w:rsid w:val="284078C1"/>
    <w:rsid w:val="292532D4"/>
    <w:rsid w:val="2DF81ACA"/>
    <w:rsid w:val="2E3461D7"/>
    <w:rsid w:val="2E7D1FE9"/>
    <w:rsid w:val="2F3E7D67"/>
    <w:rsid w:val="2FE10F66"/>
    <w:rsid w:val="30773D10"/>
    <w:rsid w:val="33233205"/>
    <w:rsid w:val="332C4E34"/>
    <w:rsid w:val="33B62074"/>
    <w:rsid w:val="33E60818"/>
    <w:rsid w:val="34425E22"/>
    <w:rsid w:val="35BA13B5"/>
    <w:rsid w:val="362C1207"/>
    <w:rsid w:val="362D5F1C"/>
    <w:rsid w:val="36AC7A6D"/>
    <w:rsid w:val="37915A99"/>
    <w:rsid w:val="38BE7946"/>
    <w:rsid w:val="397D76E1"/>
    <w:rsid w:val="3C2E6E22"/>
    <w:rsid w:val="3E771D26"/>
    <w:rsid w:val="44950494"/>
    <w:rsid w:val="466E359D"/>
    <w:rsid w:val="46B362F7"/>
    <w:rsid w:val="46BB4705"/>
    <w:rsid w:val="47B11F53"/>
    <w:rsid w:val="495A0EC9"/>
    <w:rsid w:val="4A2F7BA5"/>
    <w:rsid w:val="4B4B55E1"/>
    <w:rsid w:val="4B8270B7"/>
    <w:rsid w:val="4EF46414"/>
    <w:rsid w:val="519F7878"/>
    <w:rsid w:val="51E2489F"/>
    <w:rsid w:val="53250778"/>
    <w:rsid w:val="55FE463F"/>
    <w:rsid w:val="56257777"/>
    <w:rsid w:val="5AE1183E"/>
    <w:rsid w:val="5B7D6727"/>
    <w:rsid w:val="5B9A01BB"/>
    <w:rsid w:val="5BBA1312"/>
    <w:rsid w:val="5C5D0552"/>
    <w:rsid w:val="5CA151E5"/>
    <w:rsid w:val="5CDA0EB3"/>
    <w:rsid w:val="5E4A5876"/>
    <w:rsid w:val="5EA9425D"/>
    <w:rsid w:val="5F07503B"/>
    <w:rsid w:val="5F216315"/>
    <w:rsid w:val="5FC501E9"/>
    <w:rsid w:val="6039204F"/>
    <w:rsid w:val="60542266"/>
    <w:rsid w:val="615D3303"/>
    <w:rsid w:val="63936F88"/>
    <w:rsid w:val="6491688B"/>
    <w:rsid w:val="64D051A2"/>
    <w:rsid w:val="686D70B4"/>
    <w:rsid w:val="689577F2"/>
    <w:rsid w:val="6936651F"/>
    <w:rsid w:val="6D535020"/>
    <w:rsid w:val="6E5620E3"/>
    <w:rsid w:val="719547BB"/>
    <w:rsid w:val="72CA3BE3"/>
    <w:rsid w:val="73215862"/>
    <w:rsid w:val="746305B1"/>
    <w:rsid w:val="74862811"/>
    <w:rsid w:val="74B83AFD"/>
    <w:rsid w:val="772B54F6"/>
    <w:rsid w:val="783D248C"/>
    <w:rsid w:val="7913570D"/>
    <w:rsid w:val="7CF25813"/>
    <w:rsid w:val="7E284B0C"/>
    <w:rsid w:val="7E667336"/>
    <w:rsid w:val="7F842F5E"/>
    <w:rsid w:val="7F8A5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3"/>
    <w:qFormat/>
    <w:uiPriority w:val="99"/>
    <w:pPr>
      <w:spacing w:after="120"/>
    </w:pPr>
  </w:style>
  <w:style w:type="paragraph" w:styleId="3">
    <w:name w:val="Body Text First Indent"/>
    <w:basedOn w:val="2"/>
    <w:unhideWhenUsed/>
    <w:qFormat/>
    <w:uiPriority w:val="99"/>
    <w:pPr>
      <w:ind w:firstLine="420" w:firstLineChars="100"/>
    </w:pPr>
  </w:style>
  <w:style w:type="paragraph" w:styleId="12">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0"/>
    <w:qFormat/>
    <w:uiPriority w:val="99"/>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4"/>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3"/>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2"/>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6"/>
    <w:qFormat/>
    <w:uiPriority w:val="0"/>
    <w:rPr>
      <w:rFonts w:asciiTheme="minorHAnsi" w:hAnsiTheme="minorHAnsi" w:eastAsiaTheme="minorEastAsia" w:cstheme="minorBidi"/>
      <w:b/>
      <w:bCs/>
      <w:sz w:val="32"/>
      <w:szCs w:val="32"/>
    </w:rPr>
  </w:style>
  <w:style w:type="character" w:customStyle="1" w:styleId="60">
    <w:name w:val="标题 4 Char"/>
    <w:basedOn w:val="32"/>
    <w:link w:val="7"/>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 w:type="character" w:customStyle="1" w:styleId="85">
    <w:name w:val="font51"/>
    <w:basedOn w:val="32"/>
    <w:uiPriority w:val="0"/>
    <w:rPr>
      <w:rFonts w:hint="eastAsia" w:ascii="仿宋" w:hAnsi="仿宋" w:eastAsia="仿宋" w:cs="仿宋"/>
      <w:color w:val="000000"/>
      <w:sz w:val="21"/>
      <w:szCs w:val="21"/>
      <w:u w:val="none"/>
    </w:rPr>
  </w:style>
  <w:style w:type="character" w:customStyle="1" w:styleId="86">
    <w:name w:val="font71"/>
    <w:basedOn w:val="32"/>
    <w:uiPriority w:val="0"/>
    <w:rPr>
      <w:rFonts w:hint="eastAsia" w:ascii="仿宋" w:hAnsi="仿宋" w:eastAsia="仿宋" w:cs="仿宋"/>
      <w:color w:val="000000"/>
      <w:sz w:val="21"/>
      <w:szCs w:val="21"/>
      <w:u w:val="none"/>
    </w:rPr>
  </w:style>
  <w:style w:type="character" w:customStyle="1" w:styleId="87">
    <w:name w:val="font81"/>
    <w:basedOn w:val="32"/>
    <w:uiPriority w:val="0"/>
    <w:rPr>
      <w:rFonts w:hint="eastAsia" w:ascii="仿宋" w:hAnsi="仿宋" w:eastAsia="仿宋" w:cs="仿宋"/>
      <w:color w:val="0000FF"/>
      <w:sz w:val="20"/>
      <w:szCs w:val="20"/>
      <w:u w:val="none"/>
    </w:rPr>
  </w:style>
  <w:style w:type="character" w:customStyle="1" w:styleId="88">
    <w:name w:val="font31"/>
    <w:basedOn w:val="32"/>
    <w:uiPriority w:val="0"/>
    <w:rPr>
      <w:rFonts w:hint="eastAsia" w:ascii="仿宋" w:hAnsi="仿宋" w:eastAsia="仿宋" w:cs="仿宋"/>
      <w:color w:val="0000FF"/>
      <w:sz w:val="21"/>
      <w:szCs w:val="21"/>
      <w:u w:val="none"/>
    </w:rPr>
  </w:style>
  <w:style w:type="character" w:customStyle="1" w:styleId="89">
    <w:name w:val="font61"/>
    <w:basedOn w:val="32"/>
    <w:uiPriority w:val="0"/>
    <w:rPr>
      <w:rFonts w:hint="eastAsia" w:ascii="仿宋" w:hAnsi="仿宋" w:eastAsia="仿宋" w:cs="仿宋"/>
      <w:color w:val="000000"/>
      <w:sz w:val="21"/>
      <w:szCs w:val="21"/>
      <w:u w:val="none"/>
    </w:rPr>
  </w:style>
  <w:style w:type="character" w:customStyle="1" w:styleId="90">
    <w:name w:val="font21"/>
    <w:basedOn w:val="32"/>
    <w:uiPriority w:val="0"/>
    <w:rPr>
      <w:rFonts w:hint="eastAsia" w:ascii="仿宋" w:hAnsi="仿宋" w:eastAsia="仿宋" w:cs="仿宋"/>
      <w:color w:val="FF0000"/>
      <w:sz w:val="21"/>
      <w:szCs w:val="21"/>
      <w:u w:val="none"/>
    </w:rPr>
  </w:style>
  <w:style w:type="character" w:customStyle="1" w:styleId="91">
    <w:name w:val="font91"/>
    <w:basedOn w:val="32"/>
    <w:uiPriority w:val="0"/>
    <w:rPr>
      <w:rFonts w:hint="eastAsia" w:ascii="宋体" w:hAnsi="宋体" w:eastAsia="宋体" w:cs="宋体"/>
      <w:color w:val="000000"/>
      <w:sz w:val="20"/>
      <w:szCs w:val="20"/>
      <w:u w:val="none"/>
    </w:rPr>
  </w:style>
  <w:style w:type="paragraph" w:customStyle="1" w:styleId="9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57</Pages>
  <Words>3940</Words>
  <Characters>22464</Characters>
  <Lines>187</Lines>
  <Paragraphs>52</Paragraphs>
  <TotalTime>4</TotalTime>
  <ScaleCrop>false</ScaleCrop>
  <LinksUpToDate>false</LinksUpToDate>
  <CharactersWithSpaces>26352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李德明</cp:lastModifiedBy>
  <cp:lastPrinted>2019-12-03T09:03:00Z</cp:lastPrinted>
  <dcterms:modified xsi:type="dcterms:W3CDTF">2026-11-03T07:04:09Z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9D51D5DE874D45BF8DD94706CE2CF9D2_12</vt:lpwstr>
  </property>
</Properties>
</file>