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6"/>
        <w:adjustRightInd w:val="0"/>
        <w:snapToGrid w:val="0"/>
        <w:spacing w:line="360" w:lineRule="auto"/>
        <w:jc w:val="center"/>
        <w:rPr>
          <w:sz w:val="28"/>
          <w:szCs w:val="28"/>
        </w:rPr>
      </w:pPr>
      <w:r>
        <w:rPr>
          <w:rFonts w:hint="eastAsia" w:ascii="黑体" w:hAnsi="黑体" w:eastAsia="黑体"/>
          <w:sz w:val="32"/>
          <w:szCs w:val="32"/>
        </w:rPr>
        <w:t>江岸支公司新能源车主车险保障感知与配套服务需求调研项目竞争性磋商邀请文件</w:t>
      </w:r>
    </w:p>
    <w:p>
      <w:pPr>
        <w:pStyle w:val="56"/>
        <w:adjustRightInd w:val="0"/>
        <w:snapToGrid w:val="0"/>
        <w:spacing w:line="360" w:lineRule="auto"/>
        <w:ind w:firstLine="560"/>
        <w:rPr>
          <w:rFonts w:hint="eastAsia"/>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6"/>
        <w:adjustRightInd w:val="0"/>
        <w:snapToGrid w:val="0"/>
        <w:spacing w:line="360" w:lineRule="auto"/>
        <w:ind w:firstLine="560"/>
        <w:rPr>
          <w:rFonts w:hint="eastAsia"/>
          <w:b/>
          <w:bCs/>
          <w:sz w:val="28"/>
          <w:szCs w:val="28"/>
        </w:rPr>
      </w:pPr>
      <w:r>
        <w:rPr>
          <w:rFonts w:hint="eastAsia"/>
          <w:b/>
          <w:bCs/>
          <w:sz w:val="28"/>
          <w:szCs w:val="28"/>
        </w:rPr>
        <w:t>我公司拟通过竞争性磋商方式选择江岸支公司新能源车主车险保障感知与配套服务需求调研项目供应商，特邀请贵公司参加本次磋商。</w:t>
      </w:r>
    </w:p>
    <w:p>
      <w:pPr>
        <w:pStyle w:val="56"/>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6"/>
        <w:adjustRightInd w:val="0"/>
        <w:snapToGrid w:val="0"/>
        <w:spacing w:line="360" w:lineRule="auto"/>
        <w:ind w:firstLine="560"/>
        <w:rPr>
          <w:color w:val="auto"/>
          <w:sz w:val="28"/>
          <w:szCs w:val="28"/>
        </w:rPr>
      </w:pPr>
      <w:r>
        <w:rPr>
          <w:rFonts w:hint="eastAsia"/>
          <w:sz w:val="28"/>
          <w:szCs w:val="28"/>
        </w:rPr>
        <w:t xml:space="preserve"> </w:t>
      </w:r>
    </w:p>
    <w:p>
      <w:pPr>
        <w:pStyle w:val="56"/>
        <w:adjustRightInd w:val="0"/>
        <w:snapToGrid w:val="0"/>
        <w:spacing w:line="360" w:lineRule="auto"/>
        <w:ind w:firstLine="280" w:firstLineChars="100"/>
        <w:rPr>
          <w:rFonts w:hint="default" w:eastAsia="宋体"/>
          <w:color w:val="auto"/>
          <w:sz w:val="28"/>
          <w:szCs w:val="28"/>
          <w:lang w:val="en-US" w:eastAsia="zh-CN"/>
        </w:rPr>
      </w:pPr>
      <w:r>
        <w:rPr>
          <w:rFonts w:hint="eastAsia"/>
          <w:color w:val="auto"/>
          <w:sz w:val="28"/>
          <w:szCs w:val="28"/>
        </w:rPr>
        <w:t>采购机构名称：中国人民财产保险股份有限公司</w:t>
      </w:r>
      <w:r>
        <w:rPr>
          <w:rFonts w:hint="eastAsia"/>
          <w:color w:val="auto"/>
          <w:sz w:val="28"/>
          <w:szCs w:val="28"/>
          <w:lang w:val="en-US" w:eastAsia="zh-CN"/>
        </w:rPr>
        <w:t>武汉分公司江岸支公司</w:t>
      </w:r>
    </w:p>
    <w:p>
      <w:pPr>
        <w:pStyle w:val="56"/>
        <w:adjustRightInd w:val="0"/>
        <w:snapToGrid w:val="0"/>
        <w:spacing w:line="360" w:lineRule="auto"/>
        <w:ind w:firstLine="420"/>
        <w:rPr>
          <w:rFonts w:hint="default" w:eastAsia="宋体"/>
          <w:color w:val="auto"/>
          <w:sz w:val="28"/>
          <w:szCs w:val="28"/>
          <w:lang w:val="en-US" w:eastAsia="zh-CN"/>
        </w:rPr>
      </w:pPr>
      <w:r>
        <w:rPr>
          <w:rFonts w:hint="eastAsia"/>
          <w:color w:val="auto"/>
          <w:sz w:val="28"/>
          <w:szCs w:val="28"/>
        </w:rPr>
        <w:t>地址：</w:t>
      </w:r>
      <w:r>
        <w:rPr>
          <w:rFonts w:hint="eastAsia"/>
          <w:color w:val="auto"/>
          <w:sz w:val="28"/>
          <w:szCs w:val="28"/>
          <w:lang w:val="en-US" w:eastAsia="zh-CN"/>
        </w:rPr>
        <w:t>武汉市江岸区球场路30号。</w:t>
      </w:r>
    </w:p>
    <w:p>
      <w:pPr>
        <w:pStyle w:val="56"/>
        <w:adjustRightInd w:val="0"/>
        <w:snapToGrid w:val="0"/>
        <w:spacing w:line="360" w:lineRule="auto"/>
        <w:ind w:firstLine="420"/>
        <w:rPr>
          <w:rFonts w:hint="default" w:eastAsia="宋体"/>
          <w:color w:val="auto"/>
          <w:sz w:val="28"/>
          <w:szCs w:val="28"/>
          <w:lang w:val="en-US" w:eastAsia="zh-CN"/>
        </w:rPr>
      </w:pPr>
      <w:r>
        <w:rPr>
          <w:rFonts w:hint="eastAsia"/>
          <w:color w:val="auto"/>
          <w:sz w:val="28"/>
          <w:szCs w:val="28"/>
        </w:rPr>
        <w:t>电话：</w:t>
      </w:r>
      <w:r>
        <w:rPr>
          <w:rFonts w:hint="eastAsia"/>
          <w:color w:val="auto"/>
          <w:sz w:val="28"/>
          <w:szCs w:val="28"/>
          <w:lang w:val="en-US" w:eastAsia="zh-CN"/>
        </w:rPr>
        <w:t>15827188413</w:t>
      </w:r>
    </w:p>
    <w:p>
      <w:pPr>
        <w:pStyle w:val="56"/>
        <w:adjustRightInd w:val="0"/>
        <w:snapToGrid w:val="0"/>
        <w:spacing w:line="360" w:lineRule="auto"/>
        <w:ind w:firstLine="420"/>
        <w:rPr>
          <w:rFonts w:hint="eastAsia" w:eastAsia="宋体"/>
          <w:color w:val="auto"/>
          <w:sz w:val="28"/>
          <w:szCs w:val="28"/>
          <w:lang w:eastAsia="zh-CN"/>
        </w:rPr>
      </w:pPr>
      <w:r>
        <w:rPr>
          <w:rFonts w:hint="eastAsia"/>
          <w:color w:val="auto"/>
          <w:sz w:val="28"/>
          <w:szCs w:val="28"/>
        </w:rPr>
        <w:t>联系人：</w:t>
      </w:r>
      <w:r>
        <w:rPr>
          <w:rFonts w:hint="eastAsia"/>
          <w:color w:val="auto"/>
          <w:sz w:val="28"/>
          <w:szCs w:val="28"/>
          <w:lang w:val="en-US" w:eastAsia="zh-CN"/>
        </w:rPr>
        <w:t>饶倩</w:t>
      </w:r>
    </w:p>
    <w:p>
      <w:pPr>
        <w:pStyle w:val="56"/>
        <w:adjustRightInd w:val="0"/>
        <w:snapToGrid w:val="0"/>
        <w:spacing w:line="360" w:lineRule="auto"/>
        <w:rPr>
          <w:sz w:val="28"/>
          <w:szCs w:val="28"/>
        </w:rPr>
      </w:pPr>
      <w:r>
        <w:rPr>
          <w:rFonts w:hint="eastAsia"/>
          <w:color w:val="auto"/>
          <w:sz w:val="28"/>
          <w:szCs w:val="28"/>
        </w:rPr>
        <w:t xml:space="preserve">   附件：一、磋</w:t>
      </w:r>
      <w:r>
        <w:rPr>
          <w:rFonts w:hint="eastAsia"/>
          <w:sz w:val="28"/>
          <w:szCs w:val="28"/>
        </w:rPr>
        <w:t>商事项说明</w:t>
      </w:r>
    </w:p>
    <w:p>
      <w:pPr>
        <w:pStyle w:val="56"/>
        <w:adjustRightInd w:val="0"/>
        <w:snapToGrid w:val="0"/>
        <w:spacing w:line="360" w:lineRule="auto"/>
        <w:ind w:firstLine="840"/>
        <w:rPr>
          <w:sz w:val="28"/>
          <w:szCs w:val="28"/>
        </w:rPr>
      </w:pPr>
      <w:r>
        <w:rPr>
          <w:rFonts w:hint="eastAsia"/>
          <w:sz w:val="28"/>
          <w:szCs w:val="28"/>
        </w:rPr>
        <w:t xml:space="preserve">   二、响应文件格式和表格</w:t>
      </w:r>
    </w:p>
    <w:p>
      <w:pPr>
        <w:pStyle w:val="56"/>
        <w:adjustRightInd w:val="0"/>
        <w:snapToGrid w:val="0"/>
        <w:spacing w:line="360" w:lineRule="auto"/>
        <w:ind w:firstLine="840"/>
        <w:rPr>
          <w:sz w:val="28"/>
          <w:szCs w:val="28"/>
        </w:rPr>
      </w:pPr>
      <w:r>
        <w:rPr>
          <w:rFonts w:hint="eastAsia"/>
          <w:sz w:val="28"/>
          <w:szCs w:val="28"/>
        </w:rPr>
        <w:t xml:space="preserve">   三、资格证明文件</w:t>
      </w:r>
    </w:p>
    <w:p>
      <w:pPr>
        <w:pStyle w:val="56"/>
        <w:adjustRightInd w:val="0"/>
        <w:snapToGrid w:val="0"/>
        <w:spacing w:line="360" w:lineRule="auto"/>
        <w:ind w:firstLine="840"/>
        <w:rPr>
          <w:sz w:val="28"/>
          <w:szCs w:val="28"/>
        </w:rPr>
      </w:pPr>
      <w:r>
        <w:rPr>
          <w:rFonts w:hint="eastAsia"/>
          <w:sz w:val="28"/>
          <w:szCs w:val="28"/>
        </w:rPr>
        <w:t xml:space="preserve">   四、项目采购需求及服务要求</w:t>
      </w:r>
    </w:p>
    <w:p>
      <w:pPr>
        <w:pStyle w:val="56"/>
        <w:adjustRightInd w:val="0"/>
        <w:snapToGrid w:val="0"/>
        <w:spacing w:line="360" w:lineRule="auto"/>
        <w:rPr>
          <w:sz w:val="28"/>
          <w:szCs w:val="28"/>
        </w:rPr>
      </w:pPr>
      <w:r>
        <w:rPr>
          <w:rFonts w:hint="eastAsia"/>
          <w:sz w:val="28"/>
          <w:szCs w:val="28"/>
        </w:rPr>
        <w:t xml:space="preserve"> </w:t>
      </w:r>
    </w:p>
    <w:p>
      <w:pPr>
        <w:pStyle w:val="56"/>
        <w:adjustRightInd w:val="0"/>
        <w:snapToGrid w:val="0"/>
        <w:spacing w:line="360" w:lineRule="auto"/>
        <w:rPr>
          <w:sz w:val="28"/>
          <w:szCs w:val="28"/>
        </w:rPr>
      </w:pPr>
      <w:r>
        <w:rPr>
          <w:rFonts w:hint="eastAsia"/>
          <w:sz w:val="28"/>
          <w:szCs w:val="28"/>
        </w:rPr>
        <w:t xml:space="preserve"> </w:t>
      </w:r>
    </w:p>
    <w:p>
      <w:pPr>
        <w:pStyle w:val="56"/>
        <w:adjustRightInd w:val="0"/>
        <w:snapToGrid w:val="0"/>
        <w:spacing w:line="360" w:lineRule="auto"/>
        <w:ind w:firstLine="570"/>
        <w:jc w:val="right"/>
        <w:rPr>
          <w:rFonts w:hint="default" w:eastAsia="宋体"/>
          <w:color w:val="FF0000"/>
          <w:sz w:val="28"/>
          <w:szCs w:val="28"/>
          <w:lang w:val="en-US" w:eastAsia="zh-CN"/>
        </w:rPr>
      </w:pPr>
      <w:r>
        <w:rPr>
          <w:rFonts w:hint="eastAsia"/>
          <w:sz w:val="28"/>
          <w:szCs w:val="28"/>
        </w:rPr>
        <w:t>中国人民财产保险股份有限公司</w:t>
      </w:r>
      <w:r>
        <w:rPr>
          <w:rFonts w:hint="eastAsia"/>
          <w:sz w:val="28"/>
          <w:szCs w:val="28"/>
          <w:lang w:val="en-US" w:eastAsia="zh-CN"/>
        </w:rPr>
        <w:t>武汉分公司江岸支公司</w:t>
      </w:r>
    </w:p>
    <w:p>
      <w:pPr>
        <w:pStyle w:val="56"/>
        <w:adjustRightInd w:val="0"/>
        <w:snapToGrid w:val="0"/>
        <w:spacing w:line="360" w:lineRule="auto"/>
        <w:ind w:left="3780" w:right="620" w:hanging="3780"/>
        <w:jc w:val="right"/>
        <w:rPr>
          <w:rFonts w:hint="default" w:eastAsia="宋体"/>
          <w:color w:val="auto"/>
          <w:sz w:val="28"/>
          <w:szCs w:val="28"/>
          <w:lang w:val="en-US" w:eastAsia="zh-CN"/>
        </w:rPr>
      </w:pPr>
      <w:r>
        <w:rPr>
          <w:rFonts w:hint="eastAsia"/>
          <w:color w:val="auto"/>
          <w:sz w:val="28"/>
          <w:szCs w:val="28"/>
          <w:lang w:val="en-US" w:eastAsia="zh-CN"/>
        </w:rPr>
        <w:t xml:space="preserve"> 2026年11月5日</w:t>
      </w:r>
    </w:p>
    <w:p>
      <w:pPr>
        <w:pStyle w:val="56"/>
        <w:adjustRightInd w:val="0"/>
        <w:snapToGrid w:val="0"/>
        <w:spacing w:line="360" w:lineRule="auto"/>
        <w:ind w:left="3780" w:right="620" w:hanging="3780"/>
        <w:jc w:val="right"/>
        <w:rPr>
          <w:sz w:val="28"/>
          <w:szCs w:val="28"/>
        </w:rPr>
      </w:pPr>
    </w:p>
    <w:p>
      <w:pPr>
        <w:pStyle w:val="56"/>
        <w:adjustRightInd w:val="0"/>
        <w:snapToGrid w:val="0"/>
        <w:spacing w:line="360" w:lineRule="auto"/>
        <w:jc w:val="center"/>
        <w:rPr>
          <w:b/>
          <w:bCs/>
          <w:sz w:val="36"/>
          <w:szCs w:val="36"/>
        </w:rPr>
      </w:pPr>
    </w:p>
    <w:p>
      <w:pPr>
        <w:pStyle w:val="56"/>
        <w:adjustRightInd w:val="0"/>
        <w:snapToGrid w:val="0"/>
        <w:spacing w:line="360" w:lineRule="auto"/>
        <w:jc w:val="center"/>
        <w:rPr>
          <w:b/>
          <w:bCs/>
          <w:sz w:val="36"/>
          <w:szCs w:val="36"/>
        </w:rPr>
      </w:pPr>
    </w:p>
    <w:p>
      <w:pPr>
        <w:pStyle w:val="56"/>
        <w:adjustRightInd w:val="0"/>
        <w:snapToGrid w:val="0"/>
        <w:spacing w:line="360" w:lineRule="auto"/>
        <w:jc w:val="center"/>
        <w:rPr>
          <w:b/>
          <w:bCs/>
          <w:sz w:val="36"/>
          <w:szCs w:val="36"/>
        </w:rPr>
      </w:pPr>
    </w:p>
    <w:p>
      <w:pPr>
        <w:pStyle w:val="56"/>
        <w:adjustRightInd w:val="0"/>
        <w:snapToGrid w:val="0"/>
        <w:spacing w:line="360" w:lineRule="auto"/>
        <w:jc w:val="center"/>
        <w:rPr>
          <w:b/>
          <w:bCs/>
          <w:sz w:val="36"/>
          <w:szCs w:val="36"/>
        </w:rPr>
      </w:pPr>
      <w:r>
        <w:rPr>
          <w:rFonts w:hint="eastAsia"/>
          <w:b/>
          <w:bCs/>
          <w:sz w:val="36"/>
          <w:szCs w:val="36"/>
        </w:rPr>
        <w:t>目 录</w:t>
      </w:r>
    </w:p>
    <w:p>
      <w:pPr>
        <w:pStyle w:val="56"/>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8"/>
          <w:rFonts w:hint="eastAsia"/>
          <w:b/>
          <w:bCs/>
          <w:color w:val="000000"/>
          <w:u w:val="none"/>
        </w:rPr>
        <w:t>附件一 磋商事项说明……………………………………………………………………</w:t>
      </w:r>
      <w:r>
        <w:rPr>
          <w:rStyle w:val="38"/>
          <w:rFonts w:hint="eastAsia"/>
          <w:color w:val="000000"/>
          <w:u w:val="none"/>
        </w:rPr>
        <w:t>3</w:t>
      </w:r>
      <w:r>
        <w:rPr>
          <w:rStyle w:val="38"/>
          <w:rFonts w:hint="eastAsia"/>
          <w:color w:val="000000"/>
          <w:u w:val="none"/>
        </w:rPr>
        <w:fldChar w:fldCharType="end"/>
      </w:r>
    </w:p>
    <w:p>
      <w:pPr>
        <w:pStyle w:val="56"/>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8"/>
          <w:rFonts w:hint="eastAsia"/>
          <w:color w:val="000000"/>
          <w:u w:val="none"/>
        </w:rPr>
        <w:t>一、供应商</w:t>
      </w:r>
      <w:r>
        <w:rPr>
          <w:rStyle w:val="38"/>
          <w:color w:val="000000"/>
          <w:u w:val="none"/>
        </w:rPr>
        <w:t>资格</w:t>
      </w:r>
      <w:r>
        <w:rPr>
          <w:rStyle w:val="38"/>
          <w:rFonts w:hint="eastAsia"/>
          <w:color w:val="000000"/>
          <w:u w:val="none"/>
        </w:rPr>
        <w:t>要求………………………………………………………………………3</w:t>
      </w:r>
      <w:r>
        <w:rPr>
          <w:rStyle w:val="38"/>
          <w:rFonts w:hint="eastAsia"/>
          <w:color w:val="000000"/>
          <w:u w:val="none"/>
        </w:rPr>
        <w:fldChar w:fldCharType="end"/>
      </w:r>
    </w:p>
    <w:p>
      <w:pPr>
        <w:pStyle w:val="56"/>
        <w:adjustRightInd w:val="0"/>
        <w:snapToGrid w:val="0"/>
        <w:spacing w:line="360" w:lineRule="auto"/>
        <w:ind w:left="420"/>
        <w:jc w:val="distribute"/>
        <w:rPr>
          <w:color w:val="000000"/>
        </w:rPr>
      </w:pPr>
      <w:r>
        <w:rPr>
          <w:rFonts w:hint="eastAsia"/>
        </w:rPr>
        <w:t>二、评审标准………………………………………………………………………3</w:t>
      </w:r>
    </w:p>
    <w:p>
      <w:pPr>
        <w:pStyle w:val="56"/>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8"/>
          <w:rFonts w:hint="eastAsia"/>
          <w:color w:val="000000"/>
          <w:u w:val="none"/>
        </w:rPr>
        <w:t>三、响应文件要求……………………………………………………………………</w:t>
      </w:r>
      <w:r>
        <w:rPr>
          <w:rStyle w:val="38"/>
          <w:rFonts w:hint="eastAsia"/>
          <w:color w:val="000000"/>
          <w:u w:val="none"/>
        </w:rPr>
        <w:fldChar w:fldCharType="end"/>
      </w:r>
      <w:r>
        <w:rPr>
          <w:rStyle w:val="38"/>
          <w:color w:val="000000"/>
          <w:u w:val="none"/>
        </w:rPr>
        <w:t>4</w:t>
      </w:r>
    </w:p>
    <w:p>
      <w:pPr>
        <w:pStyle w:val="56"/>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8"/>
          <w:rFonts w:hint="eastAsia"/>
          <w:color w:val="000000"/>
          <w:u w:val="none"/>
        </w:rPr>
        <w:t>四、磋商时间和地点……………………………………………………………………</w:t>
      </w:r>
      <w:r>
        <w:rPr>
          <w:rStyle w:val="38"/>
          <w:rFonts w:hint="eastAsia"/>
          <w:color w:val="000000"/>
          <w:u w:val="none"/>
        </w:rPr>
        <w:fldChar w:fldCharType="end"/>
      </w:r>
      <w:r>
        <w:rPr>
          <w:rStyle w:val="38"/>
          <w:color w:val="000000"/>
          <w:u w:val="none"/>
        </w:rPr>
        <w:t>6</w:t>
      </w:r>
    </w:p>
    <w:p>
      <w:pPr>
        <w:pStyle w:val="56"/>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8"/>
          <w:rFonts w:hint="eastAsia"/>
          <w:color w:val="000000"/>
          <w:u w:val="none"/>
        </w:rPr>
        <w:t>五、竞争性磋商流程…………………………………………………………………………</w:t>
      </w:r>
      <w:r>
        <w:rPr>
          <w:rStyle w:val="38"/>
          <w:rFonts w:hint="eastAsia"/>
          <w:color w:val="000000"/>
          <w:u w:val="none"/>
        </w:rPr>
        <w:fldChar w:fldCharType="end"/>
      </w:r>
      <w:r>
        <w:rPr>
          <w:rStyle w:val="38"/>
          <w:color w:val="000000"/>
          <w:u w:val="none"/>
        </w:rPr>
        <w:t>6</w:t>
      </w:r>
    </w:p>
    <w:p>
      <w:pPr>
        <w:pStyle w:val="56"/>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6"/>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8"/>
          <w:rFonts w:hint="eastAsia"/>
          <w:color w:val="000000"/>
          <w:u w:val="none"/>
        </w:rPr>
        <w:t>七、特别声明…………………………………………………………………………………</w:t>
      </w:r>
      <w:r>
        <w:rPr>
          <w:rStyle w:val="38"/>
          <w:rFonts w:hint="eastAsia"/>
          <w:color w:val="000000"/>
          <w:u w:val="none"/>
        </w:rPr>
        <w:fldChar w:fldCharType="end"/>
      </w:r>
      <w:r>
        <w:rPr>
          <w:rStyle w:val="38"/>
          <w:color w:val="000000"/>
          <w:u w:val="none"/>
        </w:rPr>
        <w:t>7</w:t>
      </w:r>
    </w:p>
    <w:p>
      <w:pPr>
        <w:pStyle w:val="56"/>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8"/>
          <w:rFonts w:hint="eastAsia"/>
          <w:b/>
          <w:bCs/>
          <w:color w:val="000000"/>
          <w:u w:val="none"/>
        </w:rPr>
        <w:t>附件二 响应文件格式和表格…………………………………………………………………</w:t>
      </w:r>
      <w:r>
        <w:rPr>
          <w:rStyle w:val="38"/>
          <w:rFonts w:hint="eastAsia"/>
          <w:b/>
          <w:bCs/>
          <w:color w:val="000000"/>
          <w:u w:val="none"/>
        </w:rPr>
        <w:fldChar w:fldCharType="end"/>
      </w:r>
      <w:r>
        <w:t>9</w:t>
      </w:r>
    </w:p>
    <w:p>
      <w:pPr>
        <w:pStyle w:val="56"/>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8"/>
          <w:rFonts w:hint="eastAsia"/>
          <w:b/>
          <w:bCs/>
          <w:color w:val="000000"/>
          <w:u w:val="none"/>
        </w:rPr>
        <w:t>附件三 资格证明文件</w:t>
      </w:r>
      <w:r>
        <w:rPr>
          <w:rStyle w:val="38"/>
          <w:rFonts w:hint="eastAsia"/>
          <w:color w:val="000000"/>
          <w:u w:val="none"/>
        </w:rPr>
        <w:t>…………………………………………………………………………</w:t>
      </w:r>
      <w:r>
        <w:rPr>
          <w:rStyle w:val="38"/>
          <w:rFonts w:hint="eastAsia"/>
          <w:color w:val="000000"/>
          <w:u w:val="none"/>
        </w:rPr>
        <w:fldChar w:fldCharType="end"/>
      </w:r>
      <w:r>
        <w:rPr>
          <w:rStyle w:val="38"/>
          <w:color w:val="000000"/>
          <w:u w:val="none"/>
        </w:rPr>
        <w:t>2</w:t>
      </w:r>
      <w:r>
        <w:t>0</w:t>
      </w:r>
    </w:p>
    <w:p>
      <w:pPr>
        <w:pStyle w:val="56"/>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8"/>
          <w:rFonts w:hint="eastAsia"/>
          <w:color w:val="000000"/>
          <w:u w:val="none"/>
        </w:rPr>
        <w:t>3.1供应商基本情况表………</w:t>
      </w:r>
      <w:r>
        <w:rPr>
          <w:rStyle w:val="38"/>
          <w:color w:val="000000"/>
          <w:u w:val="none"/>
        </w:rPr>
        <w:t>……………</w:t>
      </w:r>
      <w:r>
        <w:rPr>
          <w:rStyle w:val="38"/>
          <w:rFonts w:hint="eastAsia"/>
          <w:color w:val="000000"/>
          <w:u w:val="none"/>
        </w:rPr>
        <w:t>………………………………………………………21</w:t>
      </w:r>
      <w:r>
        <w:rPr>
          <w:rStyle w:val="38"/>
          <w:rFonts w:hint="eastAsia"/>
          <w:color w:val="000000"/>
          <w:u w:val="none"/>
        </w:rPr>
        <w:fldChar w:fldCharType="end"/>
      </w:r>
    </w:p>
    <w:p>
      <w:pPr>
        <w:pStyle w:val="56"/>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6"/>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6"/>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6"/>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6"/>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6"/>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6"/>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6"/>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8"/>
          <w:rFonts w:hint="eastAsia"/>
          <w:b/>
          <w:bCs/>
          <w:color w:val="000000"/>
          <w:u w:val="none"/>
        </w:rPr>
        <w:t>附件四 项目采购需求及服务要求</w:t>
      </w:r>
      <w:r>
        <w:rPr>
          <w:rStyle w:val="38"/>
          <w:rFonts w:hint="eastAsia"/>
          <w:color w:val="000000"/>
          <w:u w:val="none"/>
        </w:rPr>
        <w:t>…………………………………………………………</w:t>
      </w:r>
      <w:r>
        <w:rPr>
          <w:rStyle w:val="38"/>
          <w:rFonts w:hint="eastAsia"/>
          <w:color w:val="000000"/>
          <w:u w:val="none"/>
        </w:rPr>
        <w:fldChar w:fldCharType="end"/>
      </w:r>
      <w:r>
        <w:rPr>
          <w:rStyle w:val="38"/>
          <w:color w:val="000000"/>
          <w:u w:val="none"/>
        </w:rPr>
        <w:t>26</w:t>
      </w:r>
    </w:p>
    <w:p>
      <w:pPr>
        <w:pStyle w:val="56"/>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8"/>
          <w:rFonts w:hint="eastAsia"/>
          <w:color w:val="000000"/>
          <w:u w:val="none"/>
        </w:rPr>
        <w:t>.1合同模板………………………………………………………………………………</w:t>
      </w:r>
      <w:r>
        <w:rPr>
          <w:rStyle w:val="38"/>
          <w:rFonts w:hint="eastAsia"/>
          <w:color w:val="000000"/>
          <w:u w:val="none"/>
        </w:rPr>
        <w:fldChar w:fldCharType="end"/>
      </w:r>
      <w:r>
        <w:rPr>
          <w:rStyle w:val="38"/>
          <w:color w:val="000000"/>
          <w:u w:val="none"/>
        </w:rPr>
        <w:t>26</w:t>
      </w:r>
    </w:p>
    <w:p>
      <w:pPr>
        <w:pStyle w:val="56"/>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6"/>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6"/>
        <w:adjustRightInd w:val="0"/>
        <w:snapToGrid w:val="0"/>
        <w:spacing w:line="360" w:lineRule="auto"/>
        <w:ind w:left="3240" w:right="620" w:hanging="3240"/>
        <w:jc w:val="right"/>
        <w:rPr>
          <w:color w:val="000000"/>
        </w:rPr>
      </w:pPr>
    </w:p>
    <w:p>
      <w:pPr>
        <w:pStyle w:val="56"/>
        <w:adjustRightInd w:val="0"/>
        <w:snapToGrid w:val="0"/>
        <w:spacing w:line="360" w:lineRule="auto"/>
        <w:ind w:left="3240" w:right="620" w:hanging="3240"/>
        <w:jc w:val="right"/>
        <w:rPr>
          <w:color w:val="000000"/>
        </w:rPr>
      </w:pPr>
    </w:p>
    <w:p>
      <w:pPr>
        <w:pStyle w:val="56"/>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5"/>
        <w:numPr>
          <w:ilvl w:val="0"/>
          <w:numId w:val="0"/>
        </w:numPr>
        <w:adjustRightInd w:val="0"/>
        <w:snapToGrid w:val="0"/>
        <w:rPr>
          <w:sz w:val="30"/>
          <w:szCs w:val="30"/>
        </w:rPr>
      </w:pPr>
      <w:r>
        <w:rPr>
          <w:rFonts w:hint="eastAsia"/>
          <w:sz w:val="30"/>
          <w:szCs w:val="30"/>
        </w:rPr>
        <w:t>附件一：磋商事项说明</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560" w:firstLineChars="200"/>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不对注册资本金进行要求，资质要求为供应商响应采购项目的最低要求，供应商如有不能满足的，则资质审核不予通过，不能参与采购评审。</w:t>
      </w:r>
    </w:p>
    <w:p>
      <w:pPr>
        <w:keepNext w:val="0"/>
        <w:keepLines w:val="0"/>
        <w:pageBreakBefore w:val="0"/>
        <w:widowControl w:val="0"/>
        <w:kinsoku/>
        <w:wordWrap/>
        <w:overflowPunct/>
        <w:topLinePunct w:val="0"/>
        <w:autoSpaceDE/>
        <w:autoSpaceDN/>
        <w:bidi w:val="0"/>
        <w:adjustRightInd/>
        <w:snapToGrid w:val="0"/>
        <w:spacing w:line="300" w:lineRule="auto"/>
        <w:ind w:right="420" w:firstLine="560" w:firstLineChars="200"/>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1.在中华人民共和国境内依照《中华人民共和国公司法》注册的、具有法人资格、符合本竞争性磋商文件的要求并承诺提供本次服务的企业，需提供营业执照复印件；</w:t>
      </w:r>
    </w:p>
    <w:p>
      <w:pPr>
        <w:keepNext w:val="0"/>
        <w:keepLines w:val="0"/>
        <w:pageBreakBefore w:val="0"/>
        <w:widowControl w:val="0"/>
        <w:kinsoku/>
        <w:wordWrap/>
        <w:overflowPunct/>
        <w:topLinePunct w:val="0"/>
        <w:autoSpaceDE/>
        <w:autoSpaceDN/>
        <w:bidi w:val="0"/>
        <w:adjustRightInd/>
        <w:snapToGrid w:val="0"/>
        <w:spacing w:line="300" w:lineRule="auto"/>
        <w:ind w:right="420" w:firstLine="560" w:firstLineChars="200"/>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 xml:space="preserve">2.具有良好的商业信誉和健全的财务会计制度； </w:t>
      </w:r>
    </w:p>
    <w:p>
      <w:pPr>
        <w:keepNext w:val="0"/>
        <w:keepLines w:val="0"/>
        <w:pageBreakBefore w:val="0"/>
        <w:widowControl w:val="0"/>
        <w:kinsoku/>
        <w:wordWrap/>
        <w:overflowPunct/>
        <w:topLinePunct w:val="0"/>
        <w:autoSpaceDE/>
        <w:autoSpaceDN/>
        <w:bidi w:val="0"/>
        <w:adjustRightInd/>
        <w:snapToGrid w:val="0"/>
        <w:spacing w:line="300" w:lineRule="auto"/>
        <w:ind w:right="420" w:firstLine="560" w:firstLineChars="200"/>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3.具有履行合同所必需的设备和专业技术能力；</w:t>
      </w:r>
    </w:p>
    <w:p>
      <w:pPr>
        <w:keepNext w:val="0"/>
        <w:keepLines w:val="0"/>
        <w:pageBreakBefore w:val="0"/>
        <w:widowControl w:val="0"/>
        <w:kinsoku/>
        <w:wordWrap/>
        <w:overflowPunct/>
        <w:topLinePunct w:val="0"/>
        <w:autoSpaceDE/>
        <w:autoSpaceDN/>
        <w:bidi w:val="0"/>
        <w:adjustRightInd/>
        <w:snapToGrid w:val="0"/>
        <w:spacing w:line="300" w:lineRule="auto"/>
        <w:ind w:right="420" w:firstLine="560" w:firstLineChars="200"/>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4.有依法缴纳税收和社会保障资金的良好记录；</w:t>
      </w:r>
    </w:p>
    <w:p>
      <w:pPr>
        <w:keepNext w:val="0"/>
        <w:keepLines w:val="0"/>
        <w:pageBreakBefore w:val="0"/>
        <w:widowControl w:val="0"/>
        <w:kinsoku/>
        <w:wordWrap/>
        <w:overflowPunct/>
        <w:topLinePunct w:val="0"/>
        <w:autoSpaceDE/>
        <w:autoSpaceDN/>
        <w:bidi w:val="0"/>
        <w:adjustRightInd/>
        <w:snapToGrid w:val="0"/>
        <w:spacing w:line="300" w:lineRule="auto"/>
        <w:ind w:right="420" w:firstLine="560" w:firstLineChars="200"/>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5.参加此项采购活动最近三年没有出现违法违规或失信行为，没有骗取中标和严重违约的行为；</w:t>
      </w:r>
    </w:p>
    <w:p>
      <w:pPr>
        <w:keepNext w:val="0"/>
        <w:keepLines w:val="0"/>
        <w:pageBreakBefore w:val="0"/>
        <w:widowControl w:val="0"/>
        <w:kinsoku/>
        <w:wordWrap/>
        <w:overflowPunct/>
        <w:topLinePunct w:val="0"/>
        <w:autoSpaceDE/>
        <w:autoSpaceDN/>
        <w:bidi w:val="0"/>
        <w:adjustRightInd/>
        <w:snapToGrid w:val="0"/>
        <w:spacing w:line="300" w:lineRule="auto"/>
        <w:ind w:right="420" w:firstLine="560" w:firstLineChars="200"/>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6.单位负责人为同一人或存在控股、管理关系的不同单位，不得参加同一采购项目；</w:t>
      </w:r>
    </w:p>
    <w:p>
      <w:pPr>
        <w:keepNext w:val="0"/>
        <w:keepLines w:val="0"/>
        <w:pageBreakBefore w:val="0"/>
        <w:widowControl w:val="0"/>
        <w:kinsoku/>
        <w:wordWrap/>
        <w:overflowPunct/>
        <w:topLinePunct w:val="0"/>
        <w:autoSpaceDE/>
        <w:autoSpaceDN/>
        <w:bidi w:val="0"/>
        <w:adjustRightInd/>
        <w:snapToGrid w:val="0"/>
        <w:spacing w:line="300" w:lineRule="auto"/>
        <w:ind w:right="420" w:firstLine="560" w:firstLineChars="200"/>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7.本项目不接受联合体。</w:t>
      </w:r>
    </w:p>
    <w:p>
      <w:pPr>
        <w:keepNext w:val="0"/>
        <w:keepLines w:val="0"/>
        <w:pageBreakBefore w:val="0"/>
        <w:widowControl w:val="0"/>
        <w:kinsoku/>
        <w:wordWrap/>
        <w:overflowPunct/>
        <w:topLinePunct w:val="0"/>
        <w:autoSpaceDE/>
        <w:autoSpaceDN/>
        <w:bidi w:val="0"/>
        <w:adjustRightInd/>
        <w:snapToGrid w:val="0"/>
        <w:spacing w:line="300" w:lineRule="auto"/>
        <w:ind w:right="420" w:firstLine="560" w:firstLineChars="200"/>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8.该项目不得转包、分包。</w:t>
      </w:r>
    </w:p>
    <w:p>
      <w:pPr>
        <w:keepNext w:val="0"/>
        <w:keepLines w:val="0"/>
        <w:pageBreakBefore w:val="0"/>
        <w:widowControl w:val="0"/>
        <w:kinsoku/>
        <w:wordWrap/>
        <w:overflowPunct/>
        <w:topLinePunct w:val="0"/>
        <w:autoSpaceDE/>
        <w:autoSpaceDN/>
        <w:bidi w:val="0"/>
        <w:adjustRightInd/>
        <w:snapToGrid w:val="0"/>
        <w:spacing w:line="300" w:lineRule="auto"/>
        <w:ind w:right="420" w:firstLine="560" w:firstLineChars="200"/>
        <w:textAlignment w:val="auto"/>
        <w:rPr>
          <w:rFonts w:hint="default" w:ascii="仿宋" w:hAnsi="仿宋" w:eastAsia="仿宋" w:cs="仿宋"/>
          <w:i w:val="0"/>
          <w:iCs w:val="0"/>
          <w:color w:val="0000FF"/>
          <w:sz w:val="24"/>
          <w:szCs w:val="24"/>
          <w:lang w:val="en-US" w:eastAsia="zh-CN"/>
        </w:rPr>
      </w:pPr>
      <w:r>
        <w:rPr>
          <w:rFonts w:hint="eastAsia" w:ascii="宋体" w:hAnsi="宋体" w:eastAsia="宋体" w:cs="宋体"/>
          <w:kern w:val="0"/>
          <w:sz w:val="28"/>
          <w:szCs w:val="28"/>
          <w:lang w:val="en-US" w:eastAsia="zh-CN" w:bidi="ar-SA"/>
        </w:rPr>
        <w:t>9.未被列入公司供应商黑名单或已不在禁入期内。</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最终报价、技术质量和服务水平三项标准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最终报价表、技术方案、服务方案等情况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33"/>
        <w:tblW w:w="7917" w:type="dxa"/>
        <w:jc w:val="center"/>
        <w:tblLayout w:type="autofit"/>
        <w:tblCellMar>
          <w:top w:w="0" w:type="dxa"/>
          <w:left w:w="108" w:type="dxa"/>
          <w:bottom w:w="0" w:type="dxa"/>
          <w:right w:w="108" w:type="dxa"/>
        </w:tblCellMar>
      </w:tblPr>
      <w:tblGrid>
        <w:gridCol w:w="1117"/>
        <w:gridCol w:w="1117"/>
        <w:gridCol w:w="4566"/>
        <w:gridCol w:w="1117"/>
      </w:tblGrid>
      <w:tr>
        <w:tblPrEx>
          <w:tblCellMar>
            <w:top w:w="0" w:type="dxa"/>
            <w:left w:w="108" w:type="dxa"/>
            <w:bottom w:w="0" w:type="dxa"/>
            <w:right w:w="108" w:type="dxa"/>
          </w:tblCellMar>
        </w:tblPrEx>
        <w:trPr>
          <w:trHeight w:val="423" w:hRule="atLeast"/>
          <w:jc w:val="center"/>
        </w:trPr>
        <w:tc>
          <w:tcPr>
            <w:tcW w:w="1117"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sz w:val="20"/>
              </w:rPr>
            </w:pPr>
            <w:r>
              <w:rPr>
                <w:sz w:val="20"/>
              </w:rPr>
              <w:t>项目</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sz w:val="20"/>
              </w:rPr>
            </w:pPr>
            <w:r>
              <w:rPr>
                <w:sz w:val="20"/>
              </w:rPr>
              <w:t>评审内容</w:t>
            </w:r>
          </w:p>
        </w:tc>
        <w:tc>
          <w:tcPr>
            <w:tcW w:w="456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sz w:val="20"/>
              </w:rPr>
            </w:pPr>
            <w:r>
              <w:rPr>
                <w:sz w:val="20"/>
              </w:rPr>
              <w:t>评审说明</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eastAsia="宋体"/>
                <w:sz w:val="20"/>
                <w:lang w:eastAsia="zh-CN"/>
              </w:rPr>
            </w:pPr>
            <w:r>
              <w:rPr>
                <w:rFonts w:hint="eastAsia"/>
                <w:sz w:val="20"/>
                <w:lang w:val="en-US" w:eastAsia="zh-CN"/>
              </w:rPr>
              <w:t>分数权重</w:t>
            </w:r>
          </w:p>
        </w:tc>
      </w:tr>
      <w:tr>
        <w:tblPrEx>
          <w:tblCellMar>
            <w:top w:w="0" w:type="dxa"/>
            <w:left w:w="108" w:type="dxa"/>
            <w:bottom w:w="0" w:type="dxa"/>
            <w:right w:w="108" w:type="dxa"/>
          </w:tblCellMar>
        </w:tblPrEx>
        <w:trPr>
          <w:trHeight w:val="1347"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sz w:val="20"/>
              </w:rPr>
            </w:pPr>
            <w:r>
              <w:rPr>
                <w:sz w:val="20"/>
              </w:rPr>
              <w:t>价格</w:t>
            </w:r>
          </w:p>
        </w:tc>
        <w:tc>
          <w:tcPr>
            <w:tcW w:w="1117"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sz w:val="20"/>
              </w:rPr>
            </w:pPr>
            <w:r>
              <w:rPr>
                <w:sz w:val="20"/>
              </w:rPr>
              <w:t>报价</w:t>
            </w:r>
          </w:p>
        </w:tc>
        <w:tc>
          <w:tcPr>
            <w:tcW w:w="4566"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both"/>
              <w:textAlignment w:val="center"/>
              <w:rPr>
                <w:sz w:val="20"/>
              </w:rPr>
            </w:pPr>
            <w:r>
              <w:rPr>
                <w:rFonts w:ascii="宋体" w:hAnsi="宋体" w:eastAsia="宋体" w:cs="宋体"/>
                <w:sz w:val="24"/>
                <w:szCs w:val="24"/>
              </w:rPr>
              <w:t>评分法中的价格分采用低价优先法计算，即满足招标文件要求且最低的评审价格为评标基准价，等于评标基准价得50分。其他供应商的价格分统一按照下列公式计算，精确到小数点后两位：</w:t>
            </w:r>
            <w:r>
              <w:rPr>
                <w:rFonts w:ascii="宋体" w:hAnsi="宋体" w:eastAsia="宋体" w:cs="宋体"/>
                <w:sz w:val="24"/>
                <w:szCs w:val="24"/>
              </w:rPr>
              <w:br w:type="textWrapping"/>
            </w:r>
            <w:r>
              <w:rPr>
                <w:rFonts w:ascii="宋体" w:hAnsi="宋体" w:eastAsia="宋体" w:cs="宋体"/>
                <w:sz w:val="24"/>
                <w:szCs w:val="24"/>
              </w:rPr>
              <w:t>供应商报价得分＝（评标基准价/评审价格）×50；</w:t>
            </w:r>
            <w:r>
              <w:rPr>
                <w:rFonts w:ascii="宋体" w:hAnsi="宋体" w:eastAsia="宋体" w:cs="宋体"/>
                <w:sz w:val="24"/>
                <w:szCs w:val="24"/>
              </w:rPr>
              <w:br w:type="textWrapping"/>
            </w:r>
            <w:r>
              <w:rPr>
                <w:rFonts w:ascii="宋体" w:hAnsi="宋体" w:eastAsia="宋体" w:cs="宋体"/>
                <w:sz w:val="24"/>
                <w:szCs w:val="24"/>
              </w:rPr>
              <w:t>评审价格按照如下方式定义：</w:t>
            </w:r>
            <w:r>
              <w:rPr>
                <w:rFonts w:ascii="宋体" w:hAnsi="宋体" w:eastAsia="宋体" w:cs="宋体"/>
                <w:sz w:val="24"/>
                <w:szCs w:val="24"/>
              </w:rPr>
              <w:br w:type="textWrapping"/>
            </w:r>
            <w:r>
              <w:rPr>
                <w:rFonts w:ascii="宋体" w:hAnsi="宋体" w:eastAsia="宋体" w:cs="宋体"/>
                <w:sz w:val="24"/>
                <w:szCs w:val="24"/>
              </w:rPr>
              <w:t>对于承诺提供增值税专用发票的供应商，评审价格即不含税的投标总价净价；</w:t>
            </w:r>
            <w:r>
              <w:rPr>
                <w:rFonts w:ascii="宋体" w:hAnsi="宋体" w:eastAsia="宋体" w:cs="宋体"/>
                <w:sz w:val="24"/>
                <w:szCs w:val="24"/>
              </w:rPr>
              <w:br w:type="textWrapping"/>
            </w:r>
            <w:r>
              <w:rPr>
                <w:rFonts w:ascii="宋体" w:hAnsi="宋体" w:eastAsia="宋体" w:cs="宋体"/>
                <w:sz w:val="24"/>
                <w:szCs w:val="24"/>
              </w:rPr>
              <w:t>对于不能提供增值税专用发票的供应商，评审价格是含税的投标总价。</w:t>
            </w:r>
          </w:p>
        </w:tc>
        <w:tc>
          <w:tcPr>
            <w:tcW w:w="1117"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eastAsia="宋体"/>
                <w:sz w:val="20"/>
                <w:lang w:val="en-US" w:eastAsia="zh-CN"/>
              </w:rPr>
            </w:pPr>
            <w:r>
              <w:rPr>
                <w:sz w:val="20"/>
              </w:rPr>
              <w:t>50</w:t>
            </w:r>
            <w:r>
              <w:rPr>
                <w:rFonts w:hint="eastAsia"/>
                <w:sz w:val="20"/>
                <w:lang w:val="en-US" w:eastAsia="zh-CN"/>
              </w:rPr>
              <w:t>%</w:t>
            </w:r>
          </w:p>
        </w:tc>
      </w:tr>
      <w:tr>
        <w:tblPrEx>
          <w:tblCellMar>
            <w:top w:w="0" w:type="dxa"/>
            <w:left w:w="108" w:type="dxa"/>
            <w:bottom w:w="0" w:type="dxa"/>
            <w:right w:w="108" w:type="dxa"/>
          </w:tblCellMar>
        </w:tblPrEx>
        <w:trPr>
          <w:trHeight w:val="134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sz w:val="20"/>
              </w:rPr>
            </w:pPr>
          </w:p>
        </w:tc>
        <w:tc>
          <w:tcPr>
            <w:tcW w:w="11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sz w:val="20"/>
              </w:rPr>
            </w:pPr>
          </w:p>
        </w:tc>
        <w:tc>
          <w:tcPr>
            <w:tcW w:w="456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sz w:val="20"/>
              </w:rPr>
            </w:pPr>
          </w:p>
        </w:tc>
        <w:tc>
          <w:tcPr>
            <w:tcW w:w="11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sz w:val="20"/>
              </w:rPr>
            </w:pPr>
          </w:p>
        </w:tc>
      </w:tr>
      <w:tr>
        <w:tblPrEx>
          <w:tblCellMar>
            <w:top w:w="0" w:type="dxa"/>
            <w:left w:w="108" w:type="dxa"/>
            <w:bottom w:w="0" w:type="dxa"/>
            <w:right w:w="108" w:type="dxa"/>
          </w:tblCellMar>
        </w:tblPrEx>
        <w:trPr>
          <w:trHeight w:val="996"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sz w:val="20"/>
              </w:rPr>
            </w:pPr>
          </w:p>
        </w:tc>
        <w:tc>
          <w:tcPr>
            <w:tcW w:w="11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sz w:val="20"/>
              </w:rPr>
            </w:pPr>
          </w:p>
        </w:tc>
        <w:tc>
          <w:tcPr>
            <w:tcW w:w="456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sz w:val="20"/>
              </w:rPr>
            </w:pPr>
          </w:p>
        </w:tc>
        <w:tc>
          <w:tcPr>
            <w:tcW w:w="111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sz w:val="20"/>
              </w:rPr>
            </w:pPr>
          </w:p>
        </w:tc>
      </w:tr>
      <w:tr>
        <w:tblPrEx>
          <w:tblCellMar>
            <w:top w:w="0" w:type="dxa"/>
            <w:left w:w="108" w:type="dxa"/>
            <w:bottom w:w="0" w:type="dxa"/>
            <w:right w:w="108" w:type="dxa"/>
          </w:tblCellMar>
        </w:tblPrEx>
        <w:trPr>
          <w:trHeight w:val="174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sz w:val="20"/>
              </w:rPr>
            </w:pPr>
            <w:r>
              <w:rPr>
                <w:sz w:val="20"/>
              </w:rPr>
              <w:t>商务</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sz w:val="20"/>
              </w:rPr>
            </w:pPr>
            <w:r>
              <w:rPr>
                <w:sz w:val="20"/>
              </w:rPr>
              <w:t>公司实力</w:t>
            </w:r>
          </w:p>
        </w:tc>
        <w:tc>
          <w:tcPr>
            <w:tcW w:w="4566" w:type="dxa"/>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sz w:val="20"/>
              </w:rPr>
            </w:pPr>
            <w:r>
              <w:rPr>
                <w:sz w:val="20"/>
              </w:rPr>
              <w:t>根据投标人财务状况（营业收入、净利润）、信誉状况、人员储备、管理体系认证（包括但不限于质量管理体系、环境管理体系、职业健康安全管理体系等）等情况进行横向比较评分（需提供相应证明材料），评标为优得8-10分，较优得5-7分，一般得0-4分。</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eastAsia="宋体"/>
                <w:sz w:val="20"/>
                <w:lang w:val="en-US" w:eastAsia="zh-CN"/>
              </w:rPr>
            </w:pPr>
            <w:r>
              <w:rPr>
                <w:sz w:val="20"/>
              </w:rPr>
              <w:t>10</w:t>
            </w:r>
            <w:r>
              <w:rPr>
                <w:rFonts w:hint="eastAsia"/>
                <w:sz w:val="20"/>
                <w:lang w:val="en-US" w:eastAsia="zh-CN"/>
              </w:rPr>
              <w:t>%</w:t>
            </w:r>
          </w:p>
        </w:tc>
      </w:tr>
      <w:tr>
        <w:tblPrEx>
          <w:tblCellMar>
            <w:top w:w="0" w:type="dxa"/>
            <w:left w:w="108" w:type="dxa"/>
            <w:bottom w:w="0" w:type="dxa"/>
            <w:right w:w="108" w:type="dxa"/>
          </w:tblCellMar>
        </w:tblPrEx>
        <w:trPr>
          <w:trHeight w:val="1167" w:hRule="atLeast"/>
          <w:jc w:val="center"/>
        </w:trPr>
        <w:tc>
          <w:tcPr>
            <w:tcW w:w="1117" w:type="dxa"/>
            <w:vMerge w:val="restart"/>
            <w:tcBorders>
              <w:top w:val="single" w:color="000000" w:sz="4" w:space="0"/>
              <w:left w:val="single" w:color="000000" w:sz="4" w:space="0"/>
              <w:right w:val="single" w:color="000000" w:sz="4" w:space="0"/>
            </w:tcBorders>
            <w:noWrap/>
            <w:vAlign w:val="center"/>
          </w:tcPr>
          <w:p>
            <w:pPr>
              <w:widowControl/>
              <w:jc w:val="center"/>
              <w:textAlignment w:val="center"/>
              <w:rPr>
                <w:sz w:val="20"/>
              </w:rPr>
            </w:pPr>
            <w:r>
              <w:rPr>
                <w:sz w:val="20"/>
              </w:rPr>
              <w:t>技术</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sz w:val="20"/>
              </w:rPr>
            </w:pPr>
            <w:r>
              <w:rPr>
                <w:sz w:val="20"/>
              </w:rPr>
              <w:t>服务实力</w:t>
            </w:r>
          </w:p>
        </w:tc>
        <w:tc>
          <w:tcPr>
            <w:tcW w:w="4566" w:type="dxa"/>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sz w:val="20"/>
              </w:rPr>
            </w:pPr>
            <w:r>
              <w:rPr>
                <w:sz w:val="20"/>
              </w:rPr>
              <w:t>根据投标人针对本项目制定的服务方案完整性、全面性、对需求响应的契合度等方面的理解程度及解决办法、服务计划、应急方案等方面进行综合评审。优良8-10分，较好5-7分，一般0-4分</w:t>
            </w:r>
          </w:p>
        </w:tc>
        <w:tc>
          <w:tcPr>
            <w:tcW w:w="1117" w:type="dxa"/>
            <w:vMerge w:val="restart"/>
            <w:tcBorders>
              <w:top w:val="single" w:color="000000" w:sz="4" w:space="0"/>
              <w:left w:val="single" w:color="000000" w:sz="4" w:space="0"/>
              <w:right w:val="single" w:color="000000" w:sz="4" w:space="0"/>
            </w:tcBorders>
            <w:noWrap w:val="0"/>
            <w:vAlign w:val="center"/>
          </w:tcPr>
          <w:p>
            <w:pPr>
              <w:widowControl/>
              <w:jc w:val="center"/>
              <w:textAlignment w:val="center"/>
              <w:rPr>
                <w:rFonts w:hint="default" w:eastAsia="宋体"/>
                <w:sz w:val="20"/>
                <w:lang w:val="en-US" w:eastAsia="zh-CN"/>
              </w:rPr>
            </w:pPr>
            <w:r>
              <w:rPr>
                <w:rFonts w:hint="eastAsia"/>
                <w:sz w:val="20"/>
                <w:lang w:val="en-US" w:eastAsia="zh-CN"/>
              </w:rPr>
              <w:t>40%</w:t>
            </w:r>
          </w:p>
        </w:tc>
      </w:tr>
      <w:tr>
        <w:tblPrEx>
          <w:tblCellMar>
            <w:top w:w="0" w:type="dxa"/>
            <w:left w:w="108" w:type="dxa"/>
            <w:bottom w:w="0" w:type="dxa"/>
            <w:right w:w="108" w:type="dxa"/>
          </w:tblCellMar>
        </w:tblPrEx>
        <w:trPr>
          <w:trHeight w:val="1167" w:hRule="atLeast"/>
          <w:jc w:val="center"/>
        </w:trPr>
        <w:tc>
          <w:tcPr>
            <w:tcW w:w="1117" w:type="dxa"/>
            <w:vMerge w:val="continue"/>
            <w:tcBorders>
              <w:left w:val="single" w:color="000000" w:sz="4" w:space="0"/>
              <w:right w:val="single" w:color="000000" w:sz="4" w:space="0"/>
            </w:tcBorders>
            <w:noWrap/>
            <w:vAlign w:val="center"/>
          </w:tcPr>
          <w:p>
            <w:pPr>
              <w:jc w:val="center"/>
              <w:rPr>
                <w:sz w:val="20"/>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sz w:val="20"/>
              </w:rPr>
            </w:pPr>
            <w:r>
              <w:rPr>
                <w:sz w:val="20"/>
              </w:rPr>
              <w:t>现场陈述</w:t>
            </w:r>
          </w:p>
        </w:tc>
        <w:tc>
          <w:tcPr>
            <w:tcW w:w="4566" w:type="dxa"/>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sz w:val="20"/>
              </w:rPr>
            </w:pPr>
            <w:r>
              <w:rPr>
                <w:sz w:val="20"/>
              </w:rPr>
              <w:t>根据供应商现场方案陈述内容打分。现场清晰、完整符合逻辑的表达出项目方案以及能回答甲出提出的各项问题。优良10-15分，较好6-9，一般0-5分</w:t>
            </w:r>
          </w:p>
        </w:tc>
        <w:tc>
          <w:tcPr>
            <w:tcW w:w="1117" w:type="dxa"/>
            <w:vMerge w:val="continue"/>
            <w:tcBorders>
              <w:left w:val="single" w:color="000000" w:sz="4" w:space="0"/>
              <w:right w:val="single" w:color="000000" w:sz="4" w:space="0"/>
            </w:tcBorders>
            <w:noWrap w:val="0"/>
            <w:vAlign w:val="center"/>
          </w:tcPr>
          <w:p>
            <w:pPr>
              <w:widowControl/>
              <w:jc w:val="center"/>
              <w:textAlignment w:val="center"/>
              <w:rPr>
                <w:sz w:val="20"/>
              </w:rPr>
            </w:pPr>
          </w:p>
        </w:tc>
      </w:tr>
      <w:tr>
        <w:tblPrEx>
          <w:tblCellMar>
            <w:top w:w="0" w:type="dxa"/>
            <w:left w:w="108" w:type="dxa"/>
            <w:bottom w:w="0" w:type="dxa"/>
            <w:right w:w="108" w:type="dxa"/>
          </w:tblCellMar>
        </w:tblPrEx>
        <w:trPr>
          <w:trHeight w:val="1064" w:hRule="atLeast"/>
          <w:jc w:val="center"/>
        </w:trPr>
        <w:tc>
          <w:tcPr>
            <w:tcW w:w="1117" w:type="dxa"/>
            <w:vMerge w:val="continue"/>
            <w:tcBorders>
              <w:left w:val="single" w:color="000000" w:sz="4" w:space="0"/>
              <w:right w:val="single" w:color="000000" w:sz="4" w:space="0"/>
            </w:tcBorders>
            <w:noWrap/>
            <w:vAlign w:val="center"/>
          </w:tcPr>
          <w:p>
            <w:pPr>
              <w:jc w:val="center"/>
              <w:rPr>
                <w:sz w:val="20"/>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sz w:val="20"/>
              </w:rPr>
            </w:pPr>
            <w:r>
              <w:rPr>
                <w:sz w:val="20"/>
              </w:rPr>
              <w:t>团队配备</w:t>
            </w:r>
          </w:p>
        </w:tc>
        <w:tc>
          <w:tcPr>
            <w:tcW w:w="4566" w:type="dxa"/>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sz w:val="20"/>
              </w:rPr>
            </w:pPr>
            <w:r>
              <w:rPr>
                <w:sz w:val="20"/>
              </w:rPr>
              <w:t>根据投标人所提供项目团队人员配备，职责分工，教育背景、工作经验、技术能力与技术需求书中人员级别、岗位相匹配，横向对比，评价为优得8-10分，较好5-7分，一般0-4分。</w:t>
            </w:r>
          </w:p>
        </w:tc>
        <w:tc>
          <w:tcPr>
            <w:tcW w:w="1117" w:type="dxa"/>
            <w:vMerge w:val="continue"/>
            <w:tcBorders>
              <w:left w:val="single" w:color="000000" w:sz="4" w:space="0"/>
              <w:right w:val="single" w:color="000000" w:sz="4" w:space="0"/>
            </w:tcBorders>
            <w:noWrap w:val="0"/>
            <w:vAlign w:val="center"/>
          </w:tcPr>
          <w:p>
            <w:pPr>
              <w:widowControl/>
              <w:jc w:val="center"/>
              <w:textAlignment w:val="center"/>
              <w:rPr>
                <w:sz w:val="20"/>
              </w:rPr>
            </w:pPr>
          </w:p>
        </w:tc>
      </w:tr>
      <w:tr>
        <w:tblPrEx>
          <w:tblCellMar>
            <w:top w:w="0" w:type="dxa"/>
            <w:left w:w="108" w:type="dxa"/>
            <w:bottom w:w="0" w:type="dxa"/>
            <w:right w:w="108" w:type="dxa"/>
          </w:tblCellMar>
        </w:tblPrEx>
        <w:trPr>
          <w:trHeight w:val="880" w:hRule="atLeast"/>
          <w:jc w:val="center"/>
        </w:trPr>
        <w:tc>
          <w:tcPr>
            <w:tcW w:w="1117" w:type="dxa"/>
            <w:vMerge w:val="continue"/>
            <w:tcBorders>
              <w:left w:val="single" w:color="000000" w:sz="4" w:space="0"/>
              <w:bottom w:val="single" w:color="000000" w:sz="4" w:space="0"/>
              <w:right w:val="single" w:color="000000" w:sz="4" w:space="0"/>
            </w:tcBorders>
            <w:noWrap/>
            <w:vAlign w:val="center"/>
          </w:tcPr>
          <w:p>
            <w:pPr>
              <w:jc w:val="center"/>
              <w:rPr>
                <w:sz w:val="20"/>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sz w:val="20"/>
              </w:rPr>
            </w:pPr>
            <w:r>
              <w:rPr>
                <w:sz w:val="20"/>
              </w:rPr>
              <w:t>文件规范性</w:t>
            </w:r>
          </w:p>
        </w:tc>
        <w:tc>
          <w:tcPr>
            <w:tcW w:w="4566" w:type="dxa"/>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sz w:val="20"/>
              </w:rPr>
            </w:pPr>
            <w:r>
              <w:rPr>
                <w:sz w:val="20"/>
              </w:rPr>
              <w:t>根据供应商提供文件的规范性、完整性等具体情况，进行综合考评。资料齐全完整规范得5分；合格得3-4分；一般得1-2分；不规范不得分。</w:t>
            </w:r>
          </w:p>
        </w:tc>
        <w:tc>
          <w:tcPr>
            <w:tcW w:w="1117" w:type="dxa"/>
            <w:vMerge w:val="continue"/>
            <w:tcBorders>
              <w:left w:val="single" w:color="000000" w:sz="4" w:space="0"/>
              <w:bottom w:val="single" w:color="000000" w:sz="4" w:space="0"/>
              <w:right w:val="single" w:color="000000" w:sz="4" w:space="0"/>
            </w:tcBorders>
            <w:noWrap w:val="0"/>
            <w:vAlign w:val="center"/>
          </w:tcPr>
          <w:p>
            <w:pPr>
              <w:widowControl/>
              <w:jc w:val="center"/>
              <w:textAlignment w:val="center"/>
              <w:rPr>
                <w:sz w:val="20"/>
              </w:rPr>
            </w:pPr>
          </w:p>
        </w:tc>
      </w:tr>
      <w:tr>
        <w:tblPrEx>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rPr>
            </w:pPr>
            <w:r>
              <w:rPr>
                <w:color w:val="000000"/>
                <w:lang w:bidi="ar"/>
              </w:rPr>
              <w:t>合计</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color w:val="000000"/>
              </w:rPr>
            </w:pPr>
            <w:r>
              <w:rPr>
                <w:color w:val="000000"/>
                <w:lang w:bidi="ar"/>
              </w:rPr>
              <w:t>100</w:t>
            </w:r>
          </w:p>
        </w:tc>
        <w:tc>
          <w:tcPr>
            <w:tcW w:w="5683"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sz w:val="20"/>
              </w:rPr>
            </w:pPr>
            <w:r>
              <w:rPr>
                <w:color w:val="000000"/>
                <w:lang w:bidi="ar"/>
              </w:rPr>
              <w:t>1-3项得分之和，即为供应商的综合得分。</w:t>
            </w:r>
          </w:p>
        </w:tc>
      </w:tr>
    </w:tbl>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kern w:val="0"/>
          <w:sz w:val="24"/>
          <w:szCs w:val="24"/>
          <w:lang w:val="en-US" w:eastAsia="zh-CN"/>
        </w:rPr>
        <w:t>5</w:t>
      </w:r>
      <w:r>
        <w:rPr>
          <w:rFonts w:hint="eastAsia" w:ascii="宋体" w:hAnsi="宋体" w:cs="宋体"/>
          <w:color w:val="FF0000"/>
          <w:kern w:val="0"/>
          <w:sz w:val="24"/>
          <w:szCs w:val="24"/>
        </w:rPr>
        <w:t>份（正本</w:t>
      </w:r>
      <w:r>
        <w:rPr>
          <w:rFonts w:hint="eastAsia" w:ascii="宋体" w:hAnsi="宋体" w:cs="宋体"/>
          <w:color w:val="FF0000"/>
          <w:kern w:val="0"/>
          <w:sz w:val="24"/>
          <w:szCs w:val="24"/>
          <w:lang w:val="en-US" w:eastAsia="zh-CN"/>
        </w:rPr>
        <w:t>1</w:t>
      </w:r>
      <w:r>
        <w:rPr>
          <w:rFonts w:hint="eastAsia" w:ascii="宋体" w:hAnsi="宋体" w:cs="宋体"/>
          <w:color w:val="FF0000"/>
          <w:kern w:val="0"/>
          <w:sz w:val="24"/>
          <w:szCs w:val="24"/>
        </w:rPr>
        <w:t>份，副本</w:t>
      </w:r>
      <w:r>
        <w:rPr>
          <w:rFonts w:hint="eastAsia" w:ascii="宋体" w:hAnsi="宋体" w:cs="宋体"/>
          <w:color w:val="FF0000"/>
          <w:kern w:val="0"/>
          <w:sz w:val="24"/>
          <w:szCs w:val="24"/>
          <w:lang w:val="en-US" w:eastAsia="zh-CN"/>
        </w:rPr>
        <w:t>4</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4"/>
      <w:bookmarkEnd w:id="0"/>
      <w:bookmarkStart w:id="1" w:name="OLE_LINK3"/>
      <w:bookmarkEnd w:id="1"/>
      <w:r>
        <w:rPr>
          <w:rFonts w:hint="eastAsia" w:ascii="宋体" w:hAnsi="宋体" w:cs="宋体"/>
          <w:color w:val="FF0000"/>
          <w:kern w:val="0"/>
          <w:sz w:val="24"/>
          <w:szCs w:val="24"/>
          <w:lang w:val="en-US" w:eastAsia="zh-CN"/>
        </w:rPr>
        <w:t>2026</w:t>
      </w:r>
      <w:r>
        <w:rPr>
          <w:rFonts w:hint="eastAsia" w:ascii="宋体" w:hAnsi="宋体" w:cs="宋体"/>
          <w:color w:val="FF0000"/>
          <w:kern w:val="0"/>
          <w:sz w:val="24"/>
          <w:szCs w:val="24"/>
        </w:rPr>
        <w:t>年</w:t>
      </w:r>
      <w:r>
        <w:rPr>
          <w:rFonts w:hint="eastAsia" w:ascii="宋体" w:hAnsi="宋体" w:cs="宋体"/>
          <w:color w:val="FF0000"/>
          <w:kern w:val="0"/>
          <w:sz w:val="24"/>
          <w:szCs w:val="24"/>
          <w:lang w:val="en-US" w:eastAsia="zh-CN"/>
        </w:rPr>
        <w:t>11</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 xml:space="preserve">17 </w:t>
      </w:r>
      <w:r>
        <w:rPr>
          <w:rFonts w:hint="eastAsia" w:ascii="宋体" w:hAnsi="宋体" w:cs="宋体"/>
          <w:color w:val="FF0000"/>
          <w:kern w:val="0"/>
          <w:sz w:val="24"/>
          <w:szCs w:val="24"/>
        </w:rPr>
        <w:t>日上午</w:t>
      </w:r>
      <w:r>
        <w:rPr>
          <w:rFonts w:hint="eastAsia" w:ascii="宋体" w:hAnsi="宋体" w:cs="宋体"/>
          <w:color w:val="FF0000"/>
          <w:kern w:val="0"/>
          <w:sz w:val="24"/>
          <w:szCs w:val="24"/>
          <w:lang w:val="en-US" w:eastAsia="zh-CN"/>
        </w:rPr>
        <w:t>10:00</w:t>
      </w:r>
      <w:r>
        <w:rPr>
          <w:rFonts w:hint="eastAsia" w:ascii="宋体" w:hAnsi="宋体" w:cs="宋体"/>
          <w:color w:val="FF0000"/>
          <w:kern w:val="0"/>
          <w:sz w:val="24"/>
          <w:szCs w:val="24"/>
        </w:rPr>
        <w:t>，</w:t>
      </w:r>
      <w:r>
        <w:rPr>
          <w:rFonts w:hint="eastAsia" w:ascii="宋体" w:hAnsi="宋体" w:cs="宋体"/>
          <w:color w:val="FF0000"/>
          <w:kern w:val="0"/>
          <w:sz w:val="24"/>
          <w:szCs w:val="24"/>
          <w:lang w:eastAsia="zh-CN"/>
        </w:rPr>
        <w:t>湖北省武汉市江岸区球场街</w:t>
      </w:r>
      <w:r>
        <w:rPr>
          <w:rFonts w:hint="eastAsia" w:ascii="宋体" w:hAnsi="宋体" w:cs="宋体"/>
          <w:color w:val="FF0000"/>
          <w:kern w:val="0"/>
          <w:sz w:val="24"/>
          <w:szCs w:val="24"/>
          <w:lang w:val="en-US" w:eastAsia="zh-CN"/>
        </w:rPr>
        <w:t>30号人保江岸支公司大楼</w:t>
      </w:r>
      <w:r>
        <w:rPr>
          <w:rFonts w:hint="eastAsia" w:ascii="宋体" w:hAnsi="宋体" w:cs="宋体"/>
          <w:color w:val="FF0000"/>
          <w:kern w:val="0"/>
          <w:sz w:val="24"/>
          <w:szCs w:val="24"/>
        </w:rPr>
        <w:t>（时间、地点如有变化，将另行提前通知）。</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w:t>
      </w:r>
      <w:bookmarkStart w:id="14" w:name="_GoBack"/>
      <w:bookmarkEnd w:id="14"/>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b w:val="0"/>
          <w:bCs w:val="0"/>
          <w:kern w:val="0"/>
          <w:sz w:val="28"/>
          <w:szCs w:val="28"/>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6"/>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6"/>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3"/>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w:t>
            </w:r>
            <w:r>
              <w:rPr>
                <w:rFonts w:hint="eastAsia" w:ascii="宋体" w:hAnsi="宋体" w:cs="宋体"/>
                <w:b/>
                <w:color w:val="FF0000"/>
                <w:sz w:val="24"/>
                <w:szCs w:val="24"/>
                <w:lang w:val="en-US" w:eastAsia="zh-CN" w:bidi="ar"/>
              </w:rPr>
              <w:t>单</w:t>
            </w:r>
            <w:r>
              <w:rPr>
                <w:rFonts w:hint="eastAsia" w:ascii="宋体" w:hAnsi="宋体" w:cs="宋体"/>
                <w:b/>
                <w:color w:val="FF0000"/>
                <w:sz w:val="24"/>
                <w:szCs w:val="24"/>
                <w:lang w:bidi="ar"/>
              </w:rPr>
              <w:t>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6"/>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33"/>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04714659"/>
      <w:bookmarkEnd w:id="8"/>
      <w:bookmarkStart w:id="9" w:name="_Toc125183170"/>
      <w:bookmarkEnd w:id="9"/>
      <w:bookmarkStart w:id="10" w:name="_Toc127761806"/>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6"/>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3"/>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3"/>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6"/>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5"/>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2</w:t>
      </w:r>
      <w:r>
        <w:rPr>
          <w:rFonts w:hint="eastAsia" w:ascii="宋体" w:hAnsi="宋体" w:cs="宋体"/>
          <w:kern w:val="0"/>
          <w:sz w:val="24"/>
          <w:szCs w:val="24"/>
        </w:rPr>
        <w:t xml:space="preserve">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6</w:t>
      </w:r>
      <w:r>
        <w:rPr>
          <w:rFonts w:ascii="宋体" w:hAnsi="宋体" w:cs="宋体"/>
          <w:kern w:val="0"/>
          <w:sz w:val="24"/>
          <w:szCs w:val="24"/>
        </w:rPr>
        <w:t xml:space="preserve">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7</w:t>
      </w:r>
      <w:r>
        <w:rPr>
          <w:rFonts w:ascii="宋体" w:hAnsi="宋体" w:cs="宋体"/>
          <w:kern w:val="0"/>
          <w:sz w:val="24"/>
          <w:szCs w:val="24"/>
        </w:rPr>
        <w:t xml:space="preserve"> </w:t>
      </w:r>
      <w:r>
        <w:rPr>
          <w:rFonts w:hint="eastAsia" w:ascii="宋体" w:hAnsi="宋体" w:cs="宋体"/>
          <w:kern w:val="0"/>
          <w:sz w:val="24"/>
          <w:szCs w:val="24"/>
        </w:rPr>
        <w:t>与本次采购有关的其他资质证明文件</w:t>
      </w:r>
    </w:p>
    <w:p>
      <w:pPr>
        <w:pStyle w:val="6"/>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6"/>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需提供经会计师事务所审计的2019年度或2020年度财务审计报告复印件或磋商日前3个月内供应商银行出具的资信证明（除开具银行明确表示复印无效的，银行资信证明可以是复印件加盖本单位公章）；</w:t>
      </w:r>
    </w:p>
    <w:p>
      <w:pPr>
        <w:pStyle w:val="6"/>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6"/>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6"/>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6"/>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33"/>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6"/>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6"/>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kern w:val="0"/>
          <w:sz w:val="24"/>
          <w:szCs w:val="24"/>
        </w:rPr>
      </w:pPr>
      <w:r>
        <w:rPr>
          <w:rFonts w:hint="eastAsia"/>
          <w:kern w:val="0"/>
          <w:sz w:val="24"/>
          <w:szCs w:val="24"/>
        </w:rPr>
        <w:br w:type="page"/>
      </w:r>
    </w:p>
    <w:p>
      <w:pPr>
        <w:pStyle w:val="12"/>
        <w:ind w:firstLine="0" w:firstLineChars="0"/>
        <w:jc w:val="center"/>
        <w:outlineLvl w:val="0"/>
        <w:rPr>
          <w:rFonts w:ascii="宋体" w:hAnsi="宋体"/>
          <w:b/>
          <w:sz w:val="44"/>
          <w:szCs w:val="44"/>
        </w:rPr>
      </w:pPr>
      <w:bookmarkStart w:id="11" w:name="_Toc68615221"/>
      <w:bookmarkStart w:id="12" w:name="_Toc104714603"/>
      <w:bookmarkStart w:id="13" w:name="_Toc169079576"/>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p>
    <w:p>
      <w:pPr>
        <w:pStyle w:val="12"/>
        <w:ind w:firstLine="0" w:firstLineChars="0"/>
        <w:jc w:val="center"/>
        <w:outlineLvl w:val="0"/>
        <w:rPr>
          <w:rFonts w:ascii="宋体" w:hAnsi="宋体" w:cs="Arial"/>
          <w:bCs/>
          <w:szCs w:val="24"/>
        </w:rPr>
      </w:pPr>
      <w:r>
        <w:rPr>
          <w:rFonts w:hint="eastAsia"/>
        </w:rPr>
        <w:t>（附预签订的合同模板）</w:t>
      </w:r>
    </w:p>
    <w:p>
      <w:pPr>
        <w:keepNext w:val="0"/>
        <w:keepLines w:val="0"/>
        <w:widowControl/>
        <w:suppressLineNumbers w:val="0"/>
        <w:spacing w:before="100" w:beforeAutospacing="1" w:after="100" w:afterAutospacing="1" w:line="310" w:lineRule="exact"/>
        <w:ind w:left="0" w:right="0"/>
        <w:jc w:val="center"/>
      </w:pPr>
      <w:r>
        <w:rPr>
          <w:rFonts w:hint="eastAsia" w:ascii="宋体" w:hAnsi="宋体" w:eastAsia="宋体" w:cs="宋体"/>
          <w:b/>
          <w:bCs/>
          <w:sz w:val="21"/>
          <w:szCs w:val="21"/>
        </w:rPr>
        <w:t>商务部分</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服务内容及要求(适用于咨询服务采购合同)</w:t>
      </w:r>
      <w:r>
        <w:rPr>
          <w:rFonts w:hint="eastAsia" w:ascii="宋体" w:hAnsi="宋体" w:eastAsia="宋体" w:cs="宋体"/>
          <w:sz w:val="21"/>
          <w:szCs w:val="21"/>
        </w:rPr>
        <w:br w:type="textWrapping"/>
      </w:r>
      <w:r>
        <w:rPr>
          <w:rFonts w:hint="eastAsia" w:ascii="宋体" w:hAnsi="宋体" w:eastAsia="宋体" w:cs="宋体"/>
          <w:b/>
          <w:bCs/>
          <w:sz w:val="21"/>
          <w:szCs w:val="21"/>
        </w:rPr>
        <w:t>服务内容及要求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本合同总价款为_______元（大写：_______）。合同价格明细见【附件】。</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b/>
          <w:bCs/>
          <w:sz w:val="21"/>
          <w:szCs w:val="21"/>
        </w:rPr>
        <w:t>双方的权利和义务</w:t>
      </w:r>
      <w:r>
        <w:rPr>
          <w:rFonts w:hint="eastAsia" w:ascii="宋体" w:hAnsi="宋体" w:eastAsia="宋体" w:cs="宋体"/>
          <w:sz w:val="21"/>
          <w:szCs w:val="21"/>
        </w:rPr>
        <w:br w:type="textWrapping"/>
      </w:r>
      <w:r>
        <w:rPr>
          <w:rFonts w:hint="eastAsia" w:ascii="宋体" w:hAnsi="宋体" w:eastAsia="宋体" w:cs="宋体"/>
          <w:sz w:val="21"/>
          <w:szCs w:val="21"/>
        </w:rPr>
        <w:t>除本合同约定的双方的权利义务外，甲乙双方在本合同项下的其他权利和义务见【附件】的约定。</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pPr>
        <w:keepNext w:val="0"/>
        <w:keepLines w:val="0"/>
        <w:widowControl/>
        <w:suppressLineNumbers w:val="0"/>
        <w:spacing w:before="100" w:beforeAutospacing="1" w:after="10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b/>
          <w:bCs/>
          <w:sz w:val="21"/>
          <w:szCs w:val="21"/>
        </w:rPr>
        <w:t>双方的权利和义务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type="textWrapping"/>
      </w:r>
      <w:r>
        <w:rPr>
          <w:rFonts w:hint="eastAsia" w:ascii="宋体" w:hAnsi="宋体" w:eastAsia="宋体" w:cs="宋体"/>
          <w:sz w:val="21"/>
          <w:szCs w:val="21"/>
        </w:rPr>
        <w:t>（5）乙方提交甲方的工作成果的全部知识产权归甲方所有；</w:t>
      </w:r>
      <w:r>
        <w:rPr>
          <w:rFonts w:hint="eastAsia" w:ascii="宋体" w:hAnsi="宋体" w:eastAsia="宋体" w:cs="宋体"/>
          <w:sz w:val="21"/>
          <w:szCs w:val="21"/>
        </w:rPr>
        <w:br w:type="textWrapping"/>
      </w:r>
      <w:r>
        <w:rPr>
          <w:rFonts w:hint="eastAsia" w:ascii="宋体" w:hAnsi="宋体" w:eastAsia="宋体" w:cs="宋体"/>
          <w:sz w:val="21"/>
          <w:szCs w:val="21"/>
        </w:rPr>
        <w:t>（6）乙方享有其它双方约定的权利、承担其它双方约定的义务。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b/>
          <w:bCs/>
          <w:sz w:val="21"/>
          <w:szCs w:val="21"/>
        </w:rPr>
        <w:t>知识产权保障及权利保证</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违约责任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由于甲方原因不能按合同约定时间付款的，每延迟10个工作日，甲方按合同应付金额的_______%向乙方支付违约金。</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（1）由于乙方原因造成项目延迟的，每延迟10个工作日，乙方向甲方支付违约金为合同服务费用总额的_______%。</w:t>
      </w:r>
      <w:r>
        <w:rPr>
          <w:rFonts w:hint="eastAsia" w:ascii="宋体" w:hAnsi="宋体" w:eastAsia="宋体" w:cs="宋体"/>
          <w:sz w:val="21"/>
          <w:szCs w:val="21"/>
        </w:rPr>
        <w:br w:type="textWrapping"/>
      </w:r>
      <w:r>
        <w:rPr>
          <w:rFonts w:hint="eastAsia" w:ascii="宋体" w:hAnsi="宋体" w:eastAsia="宋体" w:cs="宋体"/>
          <w:sz w:val="21"/>
          <w:szCs w:val="21"/>
        </w:rPr>
        <w:t>（2）由于乙方原因造成项目迟延，经甲方催促后乙方继续延误的，甲方有权单方面解除合同，乙方应按照合同服务费用总额的_______%向甲方支付违约金，并赔偿由此引起的甲方的直接经济损失。</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验收不合格并且乙方在甲方指定期限内无法完成整改、提交合格的工作成果的，乙方应向甲方支付合同服务费用总额_______%的违约金，并赔偿由此引起的甲方的直接经济损失。</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（四） 如乙方违反知识产权条款，乙方需按照项目费用的_______%向甲方支付违约金，给甲方造成的损失超过违约金的，超出部分应由乙方承担继续赔偿责任。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（六）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保密义务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不可抗力</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b/>
          <w:bCs/>
          <w:sz w:val="21"/>
          <w:szCs w:val="21"/>
        </w:rPr>
        <w:t>合同特别终止</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法律适用与争议解决</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合同生效及其他</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本合同经甲乙双方法定代表人或授权代表签字或加盖公章后生效。</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合同期限自_______年_______月_______日始，至_______年_______月_______日止。</w:t>
      </w:r>
    </w:p>
    <w:p>
      <w:pPr>
        <w:keepNext w:val="0"/>
        <w:keepLines w:val="0"/>
        <w:widowControl/>
        <w:suppressLineNumbers w:val="0"/>
        <w:spacing w:before="100" w:beforeAutospacing="1" w:after="100" w:afterAutospacing="1" w:line="310" w:lineRule="exact"/>
        <w:ind w:left="0" w:right="0" w:firstLine="1050"/>
        <w:jc w:val="left"/>
      </w:pPr>
      <w:r>
        <w:rPr>
          <w:rFonts w:hint="eastAsia" w:ascii="宋体" w:hAnsi="宋体" w:eastAsia="宋体" w:cs="宋体"/>
          <w:sz w:val="21"/>
          <w:szCs w:val="21"/>
        </w:rPr>
        <w:t>1......</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本合同一式_______份，其中正本_______份，副本_______份。甲方执_______份正本，_______份副本；乙方执_______份正本，_______份副本。</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合同效力</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由于法律和法规、政策而导致本合同任何条款无效或无法执行，则该条款无效，但不影响剩余其他条款的效力。</w:t>
      </w:r>
    </w:p>
    <w:p>
      <w:pPr>
        <w:keepNext w:val="0"/>
        <w:keepLines w:val="0"/>
        <w:widowControl/>
        <w:suppressLineNumbers w:val="0"/>
        <w:spacing w:before="100" w:beforeAutospacing="1" w:after="100" w:afterAutospacing="1" w:line="310" w:lineRule="exact"/>
        <w:ind w:right="0"/>
        <w:jc w:val="left"/>
        <w:rPr>
          <w:rFonts w:hint="eastAsia" w:ascii="宋体" w:hAnsi="宋体" w:eastAsia="宋体" w:cs="宋体"/>
          <w:sz w:val="21"/>
          <w:szCs w:val="21"/>
        </w:rPr>
      </w:pPr>
      <w:r>
        <w:rPr>
          <w:rFonts w:hint="eastAsia" w:ascii="宋体" w:hAnsi="宋体" w:eastAsia="宋体" w:cs="宋体"/>
          <w:b/>
          <w:bCs w:val="0"/>
          <w:sz w:val="21"/>
          <w:szCs w:val="21"/>
        </w:rPr>
        <w:t xml:space="preserve">第十六条 </w:t>
      </w:r>
      <w:r>
        <w:rPr>
          <w:rFonts w:hint="eastAsia" w:ascii="宋体" w:hAnsi="宋体" w:eastAsia="宋体" w:cs="宋体"/>
          <w:sz w:val="21"/>
          <w:szCs w:val="21"/>
        </w:rPr>
        <w:t>附件的组成(适用于咨询服务采购合同)</w:t>
      </w:r>
      <w:r>
        <w:rPr>
          <w:rFonts w:hint="eastAsia" w:ascii="宋体" w:hAnsi="宋体" w:eastAsia="宋体" w:cs="宋体"/>
          <w:sz w:val="21"/>
          <w:szCs w:val="21"/>
        </w:rPr>
        <w:br w:type="textWrapping"/>
      </w:r>
    </w:p>
    <w:p>
      <w:pPr>
        <w:keepNext w:val="0"/>
        <w:keepLines w:val="0"/>
        <w:widowControl/>
        <w:suppressLineNumbers w:val="0"/>
        <w:spacing w:before="100" w:beforeAutospacing="1" w:after="100" w:afterAutospacing="1" w:line="310" w:lineRule="exact"/>
        <w:ind w:right="0"/>
        <w:jc w:val="left"/>
        <w:rPr>
          <w:rFonts w:hint="eastAsia" w:ascii="宋体" w:hAnsi="宋体" w:eastAsia="宋体" w:cs="宋体"/>
          <w:sz w:val="21"/>
          <w:szCs w:val="21"/>
        </w:rPr>
      </w:pPr>
      <w:r>
        <w:rPr>
          <w:rFonts w:hint="eastAsia" w:ascii="宋体" w:hAnsi="宋体" w:eastAsia="宋体" w:cs="宋体"/>
          <w:b/>
          <w:bCs/>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附件一、服务内容及要求</w:t>
      </w:r>
      <w:r>
        <w:rPr>
          <w:rFonts w:hint="eastAsia" w:ascii="宋体" w:hAnsi="宋体" w:eastAsia="宋体" w:cs="宋体"/>
          <w:sz w:val="21"/>
          <w:szCs w:val="21"/>
        </w:rPr>
        <w:br w:type="textWrapping"/>
      </w:r>
      <w:r>
        <w:rPr>
          <w:rFonts w:hint="eastAsia" w:ascii="宋体" w:hAnsi="宋体" w:eastAsia="宋体" w:cs="宋体"/>
          <w:sz w:val="21"/>
          <w:szCs w:val="21"/>
        </w:rPr>
        <w:t>附件二、付款</w:t>
      </w:r>
      <w:r>
        <w:rPr>
          <w:rFonts w:hint="eastAsia" w:ascii="宋体" w:hAnsi="宋体" w:eastAsia="宋体" w:cs="宋体"/>
          <w:sz w:val="21"/>
          <w:szCs w:val="21"/>
        </w:rPr>
        <w:br w:type="textWrapping"/>
      </w:r>
      <w:r>
        <w:rPr>
          <w:rFonts w:hint="eastAsia" w:ascii="宋体" w:hAnsi="宋体" w:eastAsia="宋体" w:cs="宋体"/>
          <w:sz w:val="21"/>
          <w:szCs w:val="21"/>
        </w:rPr>
        <w:t>附件三、双方的权利和义务</w:t>
      </w:r>
      <w:r>
        <w:rPr>
          <w:rFonts w:hint="eastAsia" w:ascii="宋体" w:hAnsi="宋体" w:eastAsia="宋体" w:cs="宋体"/>
          <w:sz w:val="21"/>
          <w:szCs w:val="21"/>
        </w:rPr>
        <w:br w:type="textWrapping"/>
      </w:r>
      <w:r>
        <w:rPr>
          <w:rFonts w:hint="eastAsia" w:ascii="宋体" w:hAnsi="宋体" w:eastAsia="宋体" w:cs="宋体"/>
          <w:sz w:val="21"/>
          <w:szCs w:val="21"/>
        </w:rPr>
        <w:t>附件四、违约责任</w:t>
      </w:r>
    </w:p>
    <w:p>
      <w:pPr>
        <w:keepNext w:val="0"/>
        <w:keepLines w:val="0"/>
        <w:widowControl/>
        <w:suppressLineNumbers w:val="0"/>
        <w:spacing w:before="100" w:beforeAutospacing="1" w:after="100" w:afterAutospacing="1" w:line="310" w:lineRule="exact"/>
        <w:ind w:right="0"/>
        <w:jc w:val="left"/>
        <w:rPr>
          <w:rFonts w:hint="eastAsia" w:ascii="宋体" w:hAnsi="宋体" w:eastAsia="宋体" w:cs="宋体"/>
          <w:sz w:val="21"/>
          <w:szCs w:val="21"/>
          <w:lang w:val="en-US" w:eastAsia="zh-CN"/>
        </w:rPr>
      </w:pPr>
      <w:r>
        <w:rPr>
          <w:rFonts w:hint="eastAsia" w:ascii="宋体" w:hAnsi="宋体" w:eastAsia="宋体" w:cs="宋体"/>
          <w:sz w:val="21"/>
          <w:szCs w:val="21"/>
        </w:rPr>
        <w:t>附件</w:t>
      </w:r>
      <w:r>
        <w:rPr>
          <w:rFonts w:hint="eastAsia" w:ascii="宋体" w:hAnsi="宋体" w:eastAsia="宋体" w:cs="宋体"/>
          <w:sz w:val="21"/>
          <w:szCs w:val="21"/>
          <w:lang w:val="en-US" w:eastAsia="zh-CN"/>
        </w:rPr>
        <w:t>五</w:t>
      </w:r>
      <w:r>
        <w:rPr>
          <w:rFonts w:hint="eastAsia" w:ascii="宋体" w:hAnsi="宋体" w:eastAsia="宋体" w:cs="宋体"/>
          <w:sz w:val="21"/>
          <w:szCs w:val="21"/>
        </w:rPr>
        <w:t>、</w:t>
      </w:r>
      <w:r>
        <w:rPr>
          <w:rFonts w:hint="eastAsia" w:ascii="宋体" w:hAnsi="宋体" w:eastAsia="宋体" w:cs="宋体"/>
          <w:sz w:val="21"/>
          <w:szCs w:val="21"/>
          <w:lang w:val="en-US" w:eastAsia="zh-CN"/>
        </w:rPr>
        <w:t>廉洁诚信协议</w:t>
      </w:r>
    </w:p>
    <w:p>
      <w:pPr>
        <w:keepNext w:val="0"/>
        <w:keepLines w:val="0"/>
        <w:widowControl/>
        <w:suppressLineNumbers w:val="0"/>
        <w:spacing w:before="100" w:beforeAutospacing="1" w:after="100" w:afterAutospacing="1" w:line="310" w:lineRule="exact"/>
        <w:ind w:right="0"/>
        <w:jc w:val="left"/>
        <w:rPr>
          <w:rFonts w:hint="eastAsia" w:ascii="宋体" w:hAnsi="宋体" w:eastAsia="宋体" w:cs="宋体"/>
          <w:sz w:val="21"/>
          <w:szCs w:val="21"/>
          <w:lang w:val="en-US" w:eastAsia="zh-CN"/>
        </w:rPr>
      </w:pPr>
      <w:r>
        <w:rPr>
          <w:rFonts w:hint="eastAsia" w:ascii="宋体" w:hAnsi="宋体" w:eastAsia="宋体" w:cs="宋体"/>
          <w:sz w:val="21"/>
          <w:szCs w:val="21"/>
        </w:rPr>
        <w:t>附件</w:t>
      </w:r>
      <w:r>
        <w:rPr>
          <w:rFonts w:hint="eastAsia" w:ascii="宋体" w:hAnsi="宋体" w:cs="宋体"/>
          <w:sz w:val="21"/>
          <w:szCs w:val="21"/>
          <w:lang w:val="en-US" w:eastAsia="zh-CN"/>
        </w:rPr>
        <w:t>六</w:t>
      </w:r>
      <w:r>
        <w:rPr>
          <w:rFonts w:hint="eastAsia" w:ascii="宋体" w:hAnsi="宋体" w:eastAsia="宋体" w:cs="宋体"/>
          <w:sz w:val="21"/>
          <w:szCs w:val="21"/>
        </w:rPr>
        <w:t>、客户信息保护</w:t>
      </w:r>
    </w:p>
    <w:p>
      <w:pPr>
        <w:pStyle w:val="2"/>
        <w:rPr>
          <w:rFonts w:hint="eastAsia"/>
          <w:lang w:val="en-US" w:eastAsia="zh-CN"/>
        </w:rPr>
      </w:pPr>
    </w:p>
    <w:p>
      <w:pPr>
        <w:pStyle w:val="2"/>
        <w:rPr>
          <w:rFonts w:hint="eastAsia"/>
        </w:rPr>
      </w:pPr>
    </w:p>
    <w:p>
      <w:pPr>
        <w:spacing w:line="360" w:lineRule="auto"/>
        <w:rPr>
          <w:rFonts w:hint="eastAsia" w:ascii="楷体" w:hAnsi="楷体" w:eastAsia="楷体" w:cs="楷体"/>
        </w:rPr>
      </w:pPr>
    </w:p>
    <w:p>
      <w:pPr>
        <w:spacing w:line="360" w:lineRule="auto"/>
        <w:rPr>
          <w:rFonts w:ascii="楷体" w:hAnsi="楷体" w:eastAsia="楷体" w:cs="楷体"/>
        </w:rPr>
      </w:pPr>
      <w:r>
        <w:rPr>
          <w:rFonts w:hint="eastAsia" w:ascii="楷体" w:hAnsi="楷体" w:eastAsia="楷体" w:cs="楷体"/>
        </w:rPr>
        <w:t>附件一：</w:t>
      </w:r>
    </w:p>
    <w:p>
      <w:pPr>
        <w:spacing w:line="360" w:lineRule="auto"/>
        <w:rPr>
          <w:rFonts w:ascii="楷体" w:hAnsi="楷体" w:eastAsia="楷体" w:cs="楷体"/>
        </w:rPr>
      </w:pPr>
    </w:p>
    <w:p>
      <w:pPr>
        <w:spacing w:line="360" w:lineRule="auto"/>
        <w:jc w:val="center"/>
        <w:rPr>
          <w:rFonts w:ascii="楷体" w:hAnsi="楷体" w:eastAsia="楷体" w:cs="楷体"/>
          <w:b/>
        </w:rPr>
      </w:pPr>
      <w:r>
        <w:rPr>
          <w:rFonts w:hint="eastAsia" w:ascii="楷体" w:hAnsi="楷体" w:eastAsia="楷体" w:cs="楷体"/>
          <w:b/>
        </w:rPr>
        <w:t>服务内容及要求</w:t>
      </w:r>
    </w:p>
    <w:p>
      <w:pPr>
        <w:tabs>
          <w:tab w:val="left" w:pos="165"/>
          <w:tab w:val="left" w:pos="315"/>
        </w:tabs>
        <w:spacing w:line="360" w:lineRule="auto"/>
        <w:ind w:firstLine="470"/>
        <w:jc w:val="both"/>
        <w:rPr>
          <w:rFonts w:ascii="楷体" w:hAnsi="楷体" w:eastAsia="楷体" w:cs="Arial"/>
          <w:szCs w:val="24"/>
        </w:rPr>
      </w:pPr>
    </w:p>
    <w:p>
      <w:pPr>
        <w:tabs>
          <w:tab w:val="left" w:pos="165"/>
          <w:tab w:val="left" w:pos="315"/>
        </w:tabs>
        <w:spacing w:line="360" w:lineRule="auto"/>
        <w:ind w:firstLine="470"/>
        <w:jc w:val="both"/>
        <w:rPr>
          <w:rFonts w:ascii="楷体" w:hAnsi="楷体" w:eastAsia="楷体" w:cs="Arial"/>
          <w:spacing w:val="24"/>
          <w:szCs w:val="24"/>
        </w:rPr>
      </w:pPr>
      <w:r>
        <w:rPr>
          <w:rFonts w:hint="eastAsia" w:ascii="楷体" w:hAnsi="楷体" w:eastAsia="楷体" w:cs="Arial"/>
          <w:szCs w:val="24"/>
        </w:rPr>
        <w:t>1.</w:t>
      </w:r>
      <w:r>
        <w:rPr>
          <w:rFonts w:hint="eastAsia" w:ascii="楷体" w:hAnsi="楷体" w:eastAsia="楷体" w:cs="Arial"/>
          <w:spacing w:val="24"/>
          <w:szCs w:val="24"/>
        </w:rPr>
        <w:t>项目名称</w:t>
      </w:r>
    </w:p>
    <w:p>
      <w:pPr>
        <w:spacing w:line="360" w:lineRule="auto"/>
        <w:ind w:firstLine="420"/>
        <w:jc w:val="both"/>
        <w:rPr>
          <w:rFonts w:ascii="楷体" w:hAnsi="楷体" w:eastAsia="楷体" w:cs="Arial"/>
          <w:szCs w:val="24"/>
        </w:rPr>
      </w:pPr>
      <w:r>
        <w:rPr>
          <w:rFonts w:hint="eastAsia" w:ascii="楷体" w:hAnsi="楷体" w:eastAsia="楷体" w:cs="Arial"/>
          <w:szCs w:val="24"/>
        </w:rPr>
        <w:t>项目名称：咨询服务。</w:t>
      </w:r>
    </w:p>
    <w:p>
      <w:pPr>
        <w:spacing w:line="360" w:lineRule="auto"/>
        <w:ind w:firstLine="420"/>
        <w:jc w:val="both"/>
        <w:rPr>
          <w:rFonts w:ascii="楷体" w:hAnsi="楷体" w:eastAsia="楷体" w:cs="Arial"/>
          <w:szCs w:val="24"/>
        </w:rPr>
      </w:pPr>
      <w:r>
        <w:rPr>
          <w:rFonts w:hint="eastAsia" w:ascii="楷体" w:hAnsi="楷体" w:eastAsia="楷体" w:cs="Arial"/>
          <w:szCs w:val="24"/>
        </w:rPr>
        <w:t>2. 项目内容</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（1）乙方向甲方提供的咨询服务的内容：                                 </w:t>
      </w:r>
    </w:p>
    <w:p>
      <w:pPr>
        <w:spacing w:line="360" w:lineRule="auto"/>
        <w:jc w:val="both"/>
        <w:rPr>
          <w:rFonts w:ascii="楷体" w:hAnsi="楷体" w:eastAsia="楷体" w:cs="Arial"/>
          <w:szCs w:val="24"/>
        </w:rPr>
      </w:pPr>
      <w:r>
        <w:rPr>
          <w:rFonts w:hint="eastAsia" w:ascii="楷体" w:hAnsi="楷体" w:eastAsia="楷体" w:cs="Arial"/>
          <w:szCs w:val="24"/>
        </w:rPr>
        <w:t>。</w:t>
      </w:r>
    </w:p>
    <w:p>
      <w:pPr>
        <w:spacing w:line="360" w:lineRule="auto"/>
        <w:ind w:firstLine="387"/>
        <w:jc w:val="both"/>
        <w:rPr>
          <w:rFonts w:ascii="楷体" w:hAnsi="楷体" w:eastAsia="楷体" w:cs="Arial"/>
          <w:spacing w:val="24"/>
          <w:szCs w:val="24"/>
        </w:rPr>
      </w:pPr>
      <w:r>
        <w:rPr>
          <w:rFonts w:hint="eastAsia" w:ascii="楷体" w:hAnsi="楷体" w:eastAsia="楷体" w:cs="Arial"/>
          <w:spacing w:val="24"/>
          <w:szCs w:val="24"/>
        </w:rPr>
        <w:t>（2）服务期限：。</w:t>
      </w:r>
    </w:p>
    <w:p>
      <w:pPr>
        <w:spacing w:line="360" w:lineRule="auto"/>
        <w:ind w:firstLine="387"/>
        <w:jc w:val="both"/>
        <w:rPr>
          <w:rFonts w:ascii="楷体" w:hAnsi="楷体" w:eastAsia="楷体" w:cs="Arial"/>
          <w:spacing w:val="24"/>
          <w:szCs w:val="24"/>
        </w:rPr>
      </w:pPr>
      <w:r>
        <w:rPr>
          <w:rFonts w:hint="eastAsia" w:ascii="楷体" w:hAnsi="楷体" w:eastAsia="楷体" w:cs="Arial"/>
          <w:spacing w:val="24"/>
          <w:szCs w:val="24"/>
        </w:rPr>
        <w:t>（3）</w:t>
      </w:r>
      <w:r>
        <w:rPr>
          <w:rFonts w:hint="eastAsia" w:ascii="楷体" w:hAnsi="楷体" w:eastAsia="楷体" w:cs="Arial"/>
          <w:szCs w:val="24"/>
        </w:rPr>
        <w:t xml:space="preserve">甲方向乙方支付的合同服务费用总计为RMB元（大写：整）。费用包括如下项目：。  </w:t>
      </w:r>
    </w:p>
    <w:p>
      <w:pPr>
        <w:spacing w:line="360" w:lineRule="auto"/>
        <w:ind w:firstLine="387"/>
        <w:jc w:val="both"/>
        <w:rPr>
          <w:rFonts w:ascii="楷体" w:hAnsi="楷体" w:eastAsia="楷体" w:cs="Arial"/>
          <w:spacing w:val="24"/>
          <w:szCs w:val="24"/>
        </w:rPr>
      </w:pPr>
      <w:r>
        <w:rPr>
          <w:rFonts w:hint="eastAsia" w:ascii="楷体" w:hAnsi="楷体" w:eastAsia="楷体" w:cs="Arial"/>
          <w:spacing w:val="24"/>
          <w:szCs w:val="24"/>
        </w:rPr>
        <w:t>（4）其他要求：。</w:t>
      </w:r>
    </w:p>
    <w:p>
      <w:pPr>
        <w:tabs>
          <w:tab w:val="left" w:pos="165"/>
          <w:tab w:val="left" w:pos="315"/>
        </w:tabs>
        <w:spacing w:line="360" w:lineRule="auto"/>
        <w:ind w:firstLine="409"/>
        <w:jc w:val="both"/>
        <w:rPr>
          <w:rFonts w:ascii="楷体" w:hAnsi="楷体" w:eastAsia="楷体" w:cs="Arial"/>
          <w:spacing w:val="24"/>
          <w:szCs w:val="24"/>
        </w:rPr>
      </w:pPr>
      <w:r>
        <w:rPr>
          <w:rFonts w:hint="eastAsia" w:ascii="楷体" w:hAnsi="楷体" w:eastAsia="楷体" w:cs="Arial"/>
          <w:szCs w:val="24"/>
        </w:rPr>
        <w:t>3.</w:t>
      </w:r>
      <w:r>
        <w:rPr>
          <w:rFonts w:hint="eastAsia" w:ascii="楷体" w:hAnsi="楷体" w:eastAsia="楷体" w:cs="Arial"/>
          <w:spacing w:val="24"/>
          <w:szCs w:val="24"/>
        </w:rPr>
        <w:t>告知</w:t>
      </w:r>
    </w:p>
    <w:p>
      <w:pPr>
        <w:tabs>
          <w:tab w:val="left" w:pos="165"/>
          <w:tab w:val="left" w:pos="315"/>
        </w:tabs>
        <w:spacing w:line="360" w:lineRule="auto"/>
        <w:ind w:firstLine="420"/>
        <w:jc w:val="both"/>
        <w:rPr>
          <w:rFonts w:ascii="楷体" w:hAnsi="楷体" w:eastAsia="楷体" w:cs="Arial"/>
          <w:szCs w:val="24"/>
        </w:rPr>
      </w:pPr>
      <w:r>
        <w:rPr>
          <w:rFonts w:hint="eastAsia" w:ascii="楷体" w:hAnsi="楷体" w:eastAsia="楷体" w:cs="Arial"/>
          <w:szCs w:val="24"/>
        </w:rPr>
        <w:t>甲乙双方同意涉及本合同的一切事宜均以书面形式提交，双方应及时响应。</w:t>
      </w:r>
    </w:p>
    <w:p>
      <w:pPr>
        <w:tabs>
          <w:tab w:val="left" w:pos="165"/>
          <w:tab w:val="left" w:pos="315"/>
        </w:tabs>
        <w:spacing w:line="360" w:lineRule="auto"/>
        <w:ind w:firstLine="409"/>
        <w:jc w:val="both"/>
        <w:rPr>
          <w:rFonts w:ascii="楷体" w:hAnsi="楷体" w:eastAsia="楷体" w:cs="Arial"/>
          <w:spacing w:val="24"/>
          <w:szCs w:val="24"/>
        </w:rPr>
      </w:pPr>
      <w:r>
        <w:rPr>
          <w:rFonts w:hint="eastAsia" w:ascii="楷体" w:hAnsi="楷体" w:eastAsia="楷体" w:cs="Arial"/>
          <w:szCs w:val="24"/>
        </w:rPr>
        <w:t>4.</w:t>
      </w:r>
      <w:r>
        <w:rPr>
          <w:rFonts w:hint="eastAsia" w:ascii="楷体" w:hAnsi="楷体" w:eastAsia="楷体" w:cs="Arial"/>
          <w:spacing w:val="24"/>
          <w:szCs w:val="24"/>
        </w:rPr>
        <w:t>技术转移</w:t>
      </w:r>
    </w:p>
    <w:p>
      <w:pPr>
        <w:numPr>
          <w:ilvl w:val="1"/>
          <w:numId w:val="0"/>
        </w:numPr>
        <w:spacing w:line="360" w:lineRule="auto"/>
        <w:ind w:firstLine="409"/>
        <w:jc w:val="both"/>
        <w:rPr>
          <w:rFonts w:ascii="楷体" w:hAnsi="楷体" w:eastAsia="楷体" w:cs="Arial"/>
          <w:szCs w:val="24"/>
        </w:rPr>
      </w:pPr>
      <w:r>
        <w:rPr>
          <w:rFonts w:hint="eastAsia" w:ascii="楷体" w:hAnsi="楷体" w:eastAsia="楷体" w:cs="Arial"/>
          <w:szCs w:val="24"/>
        </w:rPr>
        <w:t>（1） 乙方应保证在项目实施过程向甲方进行技术和知识的转移。技术转移必须有完整的文档说明（包括但不限于总体设计、详细设计、培训材料等）；</w:t>
      </w:r>
    </w:p>
    <w:p>
      <w:pPr>
        <w:numPr>
          <w:ilvl w:val="1"/>
          <w:numId w:val="0"/>
        </w:numPr>
        <w:spacing w:line="360" w:lineRule="auto"/>
        <w:ind w:firstLine="409"/>
        <w:jc w:val="both"/>
        <w:rPr>
          <w:rFonts w:ascii="楷体" w:hAnsi="楷体" w:eastAsia="楷体" w:cs="Arial"/>
          <w:szCs w:val="24"/>
        </w:rPr>
      </w:pPr>
      <w:r>
        <w:rPr>
          <w:rFonts w:hint="eastAsia" w:ascii="楷体" w:hAnsi="楷体" w:eastAsia="楷体" w:cs="Arial"/>
          <w:szCs w:val="24"/>
        </w:rPr>
        <w:t>（2）乙方向甲方提供的所有项目资料应使用中文；</w:t>
      </w:r>
    </w:p>
    <w:p>
      <w:pPr>
        <w:numPr>
          <w:ilvl w:val="1"/>
          <w:numId w:val="0"/>
        </w:numPr>
        <w:spacing w:line="360" w:lineRule="auto"/>
        <w:ind w:firstLine="409"/>
        <w:jc w:val="both"/>
        <w:rPr>
          <w:rFonts w:ascii="楷体" w:hAnsi="楷体" w:eastAsia="楷体" w:cs="Arial"/>
          <w:szCs w:val="24"/>
        </w:rPr>
      </w:pPr>
      <w:r>
        <w:rPr>
          <w:rFonts w:hint="eastAsia" w:ascii="楷体" w:hAnsi="楷体" w:eastAsia="楷体" w:cs="Arial"/>
          <w:szCs w:val="24"/>
        </w:rPr>
        <w:t>（3）乙方提供的文档和资料均应以磁介质（或光盘）和纸张为载体，文件格式为Word文档或PDF文档或其他可视化文件；</w:t>
      </w:r>
    </w:p>
    <w:p>
      <w:pPr>
        <w:numPr>
          <w:ilvl w:val="1"/>
          <w:numId w:val="0"/>
        </w:numPr>
        <w:spacing w:line="360" w:lineRule="auto"/>
        <w:ind w:firstLine="409"/>
        <w:jc w:val="both"/>
        <w:rPr>
          <w:rFonts w:ascii="楷体" w:hAnsi="楷体" w:eastAsia="楷体" w:cs="Arial"/>
          <w:szCs w:val="24"/>
        </w:rPr>
      </w:pPr>
      <w:r>
        <w:rPr>
          <w:rFonts w:hint="eastAsia" w:ascii="楷体" w:hAnsi="楷体" w:eastAsia="楷体" w:cs="Arial"/>
          <w:szCs w:val="24"/>
        </w:rPr>
        <w:t>（4）乙方应就技术转移中涉及知识产权的内容给予说明，并提出相应的方案；</w:t>
      </w:r>
    </w:p>
    <w:p>
      <w:pPr>
        <w:numPr>
          <w:ilvl w:val="1"/>
          <w:numId w:val="0"/>
        </w:numPr>
        <w:spacing w:line="360" w:lineRule="auto"/>
        <w:ind w:firstLine="409"/>
        <w:jc w:val="both"/>
        <w:rPr>
          <w:rFonts w:ascii="楷体" w:hAnsi="楷体" w:eastAsia="楷体" w:cs="Arial"/>
          <w:szCs w:val="24"/>
        </w:rPr>
      </w:pPr>
      <w:r>
        <w:rPr>
          <w:rFonts w:hint="eastAsia" w:ascii="楷体" w:hAnsi="楷体" w:eastAsia="楷体" w:cs="Arial"/>
          <w:szCs w:val="24"/>
        </w:rPr>
        <w:t>（5）其他： 。</w:t>
      </w:r>
    </w:p>
    <w:p>
      <w:pPr>
        <w:tabs>
          <w:tab w:val="left" w:pos="315"/>
        </w:tabs>
        <w:spacing w:line="360" w:lineRule="auto"/>
        <w:ind w:firstLine="409"/>
        <w:jc w:val="both"/>
        <w:rPr>
          <w:rFonts w:ascii="楷体" w:hAnsi="楷体" w:eastAsia="楷体" w:cs="Arial"/>
          <w:spacing w:val="24"/>
          <w:szCs w:val="24"/>
        </w:rPr>
      </w:pPr>
      <w:r>
        <w:rPr>
          <w:rFonts w:hint="eastAsia" w:ascii="楷体" w:hAnsi="楷体" w:eastAsia="楷体" w:cs="Arial"/>
          <w:szCs w:val="24"/>
        </w:rPr>
        <w:t>5.</w:t>
      </w:r>
      <w:r>
        <w:rPr>
          <w:rFonts w:hint="eastAsia" w:ascii="楷体" w:hAnsi="楷体" w:eastAsia="楷体" w:cs="Arial"/>
          <w:spacing w:val="24"/>
          <w:szCs w:val="24"/>
        </w:rPr>
        <w:t>问题项目处理</w:t>
      </w:r>
    </w:p>
    <w:p>
      <w:pPr>
        <w:spacing w:line="360" w:lineRule="auto"/>
        <w:ind w:firstLine="420"/>
        <w:jc w:val="both"/>
        <w:rPr>
          <w:b/>
          <w:sz w:val="32"/>
          <w:szCs w:val="32"/>
        </w:rPr>
      </w:pPr>
      <w:r>
        <w:rPr>
          <w:rFonts w:hint="eastAsia" w:ascii="楷体" w:hAnsi="楷体" w:eastAsia="楷体" w:cs="Arial"/>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3"/>
      </w:pPr>
    </w:p>
    <w:p>
      <w:pPr>
        <w:spacing w:line="360" w:lineRule="auto"/>
        <w:rPr>
          <w:rFonts w:ascii="楷体" w:hAnsi="楷体" w:eastAsia="楷体" w:cs="楷体"/>
        </w:rPr>
      </w:pPr>
      <w:r>
        <w:rPr>
          <w:rFonts w:hint="eastAsia" w:ascii="楷体" w:hAnsi="楷体" w:eastAsia="楷体" w:cs="楷体"/>
        </w:rPr>
        <w:t>附件二：</w:t>
      </w:r>
    </w:p>
    <w:p>
      <w:pPr>
        <w:spacing w:line="360" w:lineRule="auto"/>
        <w:rPr>
          <w:rFonts w:ascii="楷体" w:hAnsi="楷体" w:eastAsia="楷体" w:cs="楷体"/>
        </w:rPr>
      </w:pPr>
    </w:p>
    <w:p>
      <w:pPr>
        <w:spacing w:line="360" w:lineRule="auto"/>
        <w:jc w:val="center"/>
        <w:rPr>
          <w:rFonts w:ascii="楷体" w:hAnsi="楷体" w:eastAsia="楷体" w:cs="楷体"/>
          <w:b/>
        </w:rPr>
      </w:pPr>
      <w:r>
        <w:rPr>
          <w:rFonts w:hint="eastAsia" w:ascii="楷体" w:hAnsi="楷体" w:eastAsia="楷体" w:cs="楷体"/>
          <w:b/>
        </w:rPr>
        <w:t>付款</w:t>
      </w:r>
    </w:p>
    <w:p>
      <w:pPr>
        <w:spacing w:line="360" w:lineRule="auto"/>
        <w:ind w:left="482"/>
        <w:rPr>
          <w:rFonts w:ascii="楷体" w:hAnsi="楷体" w:eastAsia="楷体" w:cs="楷体"/>
        </w:rPr>
      </w:pPr>
    </w:p>
    <w:p>
      <w:pPr>
        <w:spacing w:line="360" w:lineRule="auto"/>
        <w:ind w:left="482"/>
        <w:rPr>
          <w:rFonts w:ascii="楷体" w:hAnsi="楷体" w:eastAsia="楷体" w:cs="楷体"/>
        </w:rPr>
      </w:pPr>
      <w:r>
        <w:rPr>
          <w:rFonts w:ascii="楷体" w:hAnsi="楷体" w:eastAsia="楷体" w:cs="楷体"/>
        </w:rPr>
        <w:t>1.</w:t>
      </w:r>
      <w:r>
        <w:rPr>
          <w:rFonts w:hint="eastAsia" w:ascii="楷体" w:hAnsi="楷体" w:eastAsia="楷体" w:cs="楷体"/>
        </w:rPr>
        <w:t>本合同使用货币种类为人民币。</w:t>
      </w:r>
    </w:p>
    <w:p>
      <w:pPr>
        <w:spacing w:line="360" w:lineRule="auto"/>
        <w:ind w:firstLine="420"/>
        <w:rPr>
          <w:rFonts w:ascii="楷体" w:hAnsi="楷体" w:eastAsia="楷体"/>
        </w:rPr>
      </w:pPr>
      <w:r>
        <w:rPr>
          <w:rFonts w:hint="eastAsia" w:ascii="楷体" w:hAnsi="楷体" w:eastAsia="楷体" w:cs="楷体"/>
        </w:rPr>
        <w:t>2</w:t>
      </w:r>
      <w:r>
        <w:rPr>
          <w:rFonts w:ascii="楷体" w:hAnsi="楷体" w:eastAsia="楷体" w:cs="楷体"/>
        </w:rPr>
        <w:t>.</w:t>
      </w:r>
      <w:r>
        <w:rPr>
          <w:rFonts w:hint="eastAsia" w:ascii="楷体" w:hAnsi="楷体" w:eastAsia="楷体"/>
        </w:rPr>
        <w:t>付款方式：</w:t>
      </w:r>
      <w:r>
        <w:rPr>
          <w:rFonts w:hint="eastAsia" w:ascii="楷体" w:hAnsi="楷体" w:eastAsia="楷体"/>
          <w:u w:val="single"/>
        </w:rPr>
        <w:t>转账</w:t>
      </w:r>
      <w:r>
        <w:rPr>
          <w:rFonts w:ascii="楷体" w:hAnsi="楷体" w:eastAsia="楷体"/>
        </w:rPr>
        <w:t>[</w:t>
      </w:r>
      <w:r>
        <w:rPr>
          <w:rFonts w:hint="eastAsia" w:ascii="楷体" w:hAnsi="楷体" w:eastAsia="楷体"/>
        </w:rPr>
        <w:t>现金</w:t>
      </w:r>
      <w:r>
        <w:rPr>
          <w:rFonts w:ascii="楷体" w:hAnsi="楷体" w:eastAsia="楷体"/>
        </w:rPr>
        <w:t>/</w:t>
      </w:r>
      <w:r>
        <w:rPr>
          <w:rFonts w:hint="eastAsia" w:ascii="楷体" w:hAnsi="楷体" w:eastAsia="楷体"/>
        </w:rPr>
        <w:t>支票</w:t>
      </w:r>
      <w:r>
        <w:rPr>
          <w:rFonts w:ascii="楷体" w:hAnsi="楷体" w:eastAsia="楷体"/>
        </w:rPr>
        <w:t>]</w:t>
      </w:r>
      <w:r>
        <w:rPr>
          <w:rFonts w:hint="eastAsia" w:ascii="楷体" w:hAnsi="楷体" w:eastAsia="楷体"/>
        </w:rPr>
        <w:t>双方采用转账方式付款的，甲方应向乙方以下账户进行支付：</w:t>
      </w:r>
    </w:p>
    <w:p>
      <w:pPr>
        <w:spacing w:line="360" w:lineRule="auto"/>
        <w:ind w:firstLine="420"/>
        <w:rPr>
          <w:rFonts w:ascii="楷体" w:hAnsi="楷体" w:eastAsia="楷体"/>
          <w:u w:val="single"/>
        </w:rPr>
      </w:pPr>
      <w:r>
        <w:rPr>
          <w:rFonts w:ascii="楷体" w:hAnsi="楷体" w:eastAsia="楷体"/>
        </w:rPr>
        <w:tab/>
      </w:r>
      <w:r>
        <w:rPr>
          <w:rFonts w:hint="eastAsia" w:ascii="楷体" w:hAnsi="楷体" w:eastAsia="楷体"/>
        </w:rPr>
        <w:t>乙方：</w:t>
      </w:r>
    </w:p>
    <w:p>
      <w:pPr>
        <w:spacing w:line="360" w:lineRule="auto"/>
        <w:ind w:firstLine="420"/>
        <w:rPr>
          <w:rFonts w:ascii="楷体" w:hAnsi="楷体" w:eastAsia="楷体"/>
          <w:u w:val="single"/>
        </w:rPr>
      </w:pPr>
      <w:r>
        <w:rPr>
          <w:rFonts w:ascii="楷体" w:hAnsi="楷体" w:eastAsia="楷体"/>
        </w:rPr>
        <w:tab/>
      </w:r>
      <w:r>
        <w:rPr>
          <w:rFonts w:ascii="楷体" w:hAnsi="楷体" w:eastAsia="楷体"/>
        </w:rPr>
        <w:t>开户行：</w:t>
      </w:r>
    </w:p>
    <w:p>
      <w:pPr>
        <w:spacing w:line="360" w:lineRule="auto"/>
        <w:ind w:firstLine="420"/>
        <w:rPr>
          <w:rFonts w:ascii="楷体" w:hAnsi="楷体" w:eastAsia="楷体"/>
          <w:u w:val="single"/>
        </w:rPr>
      </w:pPr>
      <w:r>
        <w:rPr>
          <w:rFonts w:ascii="楷体" w:hAnsi="楷体" w:eastAsia="楷体"/>
        </w:rPr>
        <w:tab/>
      </w:r>
      <w:r>
        <w:rPr>
          <w:rFonts w:ascii="楷体" w:hAnsi="楷体" w:eastAsia="楷体"/>
        </w:rPr>
        <w:t>账户名称：</w:t>
      </w:r>
    </w:p>
    <w:p>
      <w:pPr>
        <w:spacing w:line="360" w:lineRule="auto"/>
        <w:ind w:firstLine="420"/>
        <w:rPr>
          <w:rFonts w:ascii="楷体" w:hAnsi="楷体" w:eastAsia="楷体"/>
          <w:u w:val="single"/>
        </w:rPr>
      </w:pPr>
      <w:r>
        <w:rPr>
          <w:rFonts w:ascii="楷体" w:hAnsi="楷体" w:eastAsia="楷体"/>
        </w:rPr>
        <w:tab/>
      </w:r>
      <w:r>
        <w:rPr>
          <w:rFonts w:ascii="楷体" w:hAnsi="楷体" w:eastAsia="楷体"/>
        </w:rPr>
        <w:t>账号：</w:t>
      </w:r>
    </w:p>
    <w:p>
      <w:pPr>
        <w:ind w:firstLine="420"/>
        <w:rPr>
          <w:rFonts w:ascii="楷体" w:hAnsi="楷体" w:eastAsia="楷体"/>
        </w:rPr>
      </w:pPr>
      <w:r>
        <w:rPr>
          <w:rFonts w:hint="eastAsia" w:ascii="楷体" w:hAnsi="楷体" w:eastAsia="楷体"/>
        </w:rPr>
        <w:t>乙方如需改变上述账户，应提前</w:t>
      </w:r>
      <w:r>
        <w:rPr>
          <w:rFonts w:ascii="楷体" w:hAnsi="楷体" w:eastAsia="楷体"/>
        </w:rPr>
        <w:t>10</w:t>
      </w:r>
      <w:r>
        <w:rPr>
          <w:rFonts w:hint="eastAsia" w:ascii="楷体" w:hAnsi="楷体" w:eastAsia="楷体"/>
        </w:rPr>
        <w:t>日以书面通知甲方。</w:t>
      </w:r>
    </w:p>
    <w:p>
      <w:pPr>
        <w:spacing w:line="360" w:lineRule="auto"/>
        <w:ind w:firstLine="420"/>
        <w:jc w:val="both"/>
        <w:rPr>
          <w:rFonts w:ascii="楷体" w:hAnsi="楷体" w:eastAsia="楷体" w:cs="Arial"/>
          <w:szCs w:val="24"/>
        </w:rPr>
      </w:pPr>
      <w:r>
        <w:rPr>
          <w:rFonts w:hint="eastAsia" w:ascii="楷体" w:hAnsi="楷体" w:eastAsia="楷体" w:cs="Arial"/>
          <w:szCs w:val="24"/>
        </w:rPr>
        <w:t>3.付款安排</w:t>
      </w:r>
    </w:p>
    <w:p>
      <w:pPr>
        <w:spacing w:line="360" w:lineRule="auto"/>
        <w:ind w:firstLine="420"/>
        <w:jc w:val="both"/>
        <w:rPr>
          <w:rFonts w:hint="eastAsia" w:ascii="楷体" w:hAnsi="楷体" w:eastAsia="楷体" w:cs="Arial"/>
        </w:rPr>
      </w:pPr>
      <w:r>
        <w:rPr>
          <w:rFonts w:hint="eastAsia" w:ascii="楷体" w:hAnsi="楷体" w:eastAsia="楷体" w:cs="Arial"/>
        </w:rPr>
        <w:t>甲方验收完成后向乙方付款，每次付款前乙方须向甲方出具付款通知书，并根据甲方要求出具足额有效的增值税发票：</w:t>
      </w:r>
    </w:p>
    <w:p>
      <w:pPr>
        <w:spacing w:line="360" w:lineRule="auto"/>
        <w:ind w:firstLine="420"/>
        <w:jc w:val="both"/>
        <w:rPr>
          <w:rFonts w:hint="eastAsia" w:ascii="楷体" w:hAnsi="楷体" w:eastAsia="楷体" w:cs="Arial"/>
        </w:rPr>
      </w:pPr>
      <w:r>
        <w:rPr>
          <w:rFonts w:hint="eastAsia" w:ascii="楷体" w:hAnsi="楷体" w:eastAsia="楷体" w:cs="Arial"/>
        </w:rPr>
        <w:t>（1）本合同生效后，甲方对乙方提供的服务验收完成后，收到乙方书面付款通知书后15个工作日内，按甲乙双方书面确认的实际服务内容结算。</w:t>
      </w:r>
    </w:p>
    <w:p>
      <w:pPr>
        <w:spacing w:line="360" w:lineRule="auto"/>
        <w:ind w:firstLine="420"/>
        <w:jc w:val="both"/>
        <w:rPr>
          <w:rFonts w:ascii="楷体" w:hAnsi="楷体" w:eastAsia="楷体" w:cs="Arial"/>
          <w:szCs w:val="24"/>
        </w:rPr>
      </w:pPr>
      <w:r>
        <w:rPr>
          <w:rFonts w:hint="eastAsia" w:ascii="楷体" w:hAnsi="楷体" w:eastAsia="楷体" w:cs="Arial"/>
          <w:szCs w:val="24"/>
        </w:rPr>
        <w:t>4．增值税发票的相关约定</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（1）乙方应向甲方开具增值税发票，甲方开票信息如下： </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公司名称： </w:t>
      </w:r>
      <w:r>
        <w:rPr>
          <w:color w:val="000000"/>
          <w:sz w:val="24"/>
          <w:szCs w:val="24"/>
          <w:u w:val="single"/>
          <w:lang w:bidi="ar"/>
        </w:rPr>
        <w:t>中国人民财产保险股份有限公司武汉市江岸支公司</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纳税识别号： </w:t>
      </w:r>
      <w:r>
        <w:rPr>
          <w:color w:val="000000"/>
          <w:sz w:val="24"/>
          <w:szCs w:val="24"/>
          <w:u w:val="single"/>
          <w:lang w:bidi="ar"/>
        </w:rPr>
        <w:t xml:space="preserve">9142010093123274XY                    </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银行账号： </w:t>
      </w:r>
      <w:r>
        <w:rPr>
          <w:color w:val="000000"/>
          <w:sz w:val="24"/>
          <w:szCs w:val="24"/>
          <w:u w:val="single"/>
          <w:lang w:bidi="ar"/>
        </w:rPr>
        <w:t>559962141537</w:t>
      </w:r>
      <w:r>
        <w:rPr>
          <w:rFonts w:ascii="楷体" w:hAnsi="楷体" w:eastAsia="楷体" w:cs="Arial"/>
          <w:szCs w:val="24"/>
        </w:rPr>
        <w:t>________________________________</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开户银行： </w:t>
      </w:r>
      <w:r>
        <w:rPr>
          <w:rFonts w:ascii="楷体" w:hAnsi="楷体" w:eastAsia="楷体" w:cs="Arial"/>
          <w:szCs w:val="24"/>
        </w:rPr>
        <w:t>_</w:t>
      </w:r>
      <w:r>
        <w:rPr>
          <w:color w:val="000000"/>
          <w:sz w:val="24"/>
          <w:szCs w:val="24"/>
          <w:u w:val="single"/>
          <w:lang w:bidi="ar"/>
        </w:rPr>
        <w:t>中国银行武汉市直支行营业部</w:t>
      </w:r>
      <w:r>
        <w:rPr>
          <w:rFonts w:ascii="楷体" w:hAnsi="楷体" w:eastAsia="楷体" w:cs="Arial"/>
          <w:szCs w:val="24"/>
        </w:rPr>
        <w:t>_______________________________</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开票地址： </w:t>
      </w:r>
      <w:r>
        <w:rPr>
          <w:rFonts w:ascii="楷体" w:hAnsi="楷体" w:eastAsia="楷体" w:cs="Arial"/>
          <w:szCs w:val="24"/>
        </w:rPr>
        <w:t>_</w:t>
      </w:r>
      <w:r>
        <w:rPr>
          <w:color w:val="000000"/>
          <w:sz w:val="24"/>
          <w:szCs w:val="24"/>
          <w:u w:val="single"/>
          <w:lang w:bidi="ar"/>
        </w:rPr>
        <w:t>武汉市江岸区球场路30号</w:t>
      </w:r>
      <w:r>
        <w:rPr>
          <w:rFonts w:ascii="楷体" w:hAnsi="楷体" w:eastAsia="楷体" w:cs="Arial"/>
          <w:szCs w:val="24"/>
        </w:rPr>
        <w:t>_______________________________</w:t>
      </w:r>
    </w:p>
    <w:p>
      <w:pPr>
        <w:spacing w:line="360" w:lineRule="auto"/>
        <w:ind w:firstLine="420"/>
        <w:jc w:val="both"/>
        <w:rPr>
          <w:rFonts w:ascii="楷体" w:hAnsi="楷体" w:eastAsia="楷体" w:cs="Arial"/>
          <w:szCs w:val="24"/>
        </w:rPr>
      </w:pPr>
      <w:r>
        <w:rPr>
          <w:rFonts w:hint="eastAsia" w:ascii="楷体" w:hAnsi="楷体" w:eastAsia="楷体" w:cs="Arial"/>
          <w:szCs w:val="24"/>
        </w:rPr>
        <w:t>（2）乙方同时向甲方公司及其分支机构提供产品及服务的，双方应在合同中约定甲方的分支机构和对应的价款。乙方应分别对清单中的费用承担方开具相应金额的增值税发票；</w:t>
      </w:r>
    </w:p>
    <w:p>
      <w:pPr>
        <w:spacing w:line="360" w:lineRule="auto"/>
        <w:ind w:firstLine="420"/>
        <w:jc w:val="both"/>
        <w:rPr>
          <w:rFonts w:ascii="楷体" w:hAnsi="楷体" w:eastAsia="楷体" w:cs="Arial"/>
          <w:szCs w:val="24"/>
        </w:rPr>
      </w:pPr>
      <w:r>
        <w:rPr>
          <w:rFonts w:hint="eastAsia" w:ascii="楷体" w:hAnsi="楷体" w:eastAsia="楷体" w:cs="Arial"/>
          <w:szCs w:val="24"/>
        </w:rPr>
        <w:t>（3）乙方应在每次增值税发票开具后的30个自然日内向甲方提交相应增值税发票，否则甲方有权拒收发票。经多次分批的增值税发票的开具、提交以及双方收付款，</w:t>
      </w:r>
      <w:r>
        <w:rPr>
          <w:rFonts w:hint="eastAsia" w:ascii="楷体_GB2312" w:hAnsi="宋体" w:eastAsia="楷体_GB2312"/>
        </w:rPr>
        <w:t>乙方开具并提交甲方的增值税发票的价税合计金额应与甲方已经支付的价税合计款项保持一致</w:t>
      </w:r>
      <w:r>
        <w:rPr>
          <w:rFonts w:hint="eastAsia" w:ascii="楷体" w:hAnsi="楷体" w:eastAsia="楷体" w:cs="Arial"/>
          <w:szCs w:val="24"/>
        </w:rPr>
        <w:t xml:space="preserve">； </w:t>
      </w:r>
    </w:p>
    <w:p>
      <w:pPr>
        <w:spacing w:line="360" w:lineRule="auto"/>
        <w:ind w:firstLine="420"/>
        <w:jc w:val="both"/>
        <w:rPr>
          <w:rFonts w:ascii="楷体" w:hAnsi="楷体" w:eastAsia="楷体" w:cs="Arial"/>
          <w:szCs w:val="24"/>
        </w:rPr>
      </w:pPr>
      <w:r>
        <w:rPr>
          <w:rFonts w:hint="eastAsia" w:ascii="楷体" w:hAnsi="楷体" w:eastAsia="楷体" w:cs="Arial"/>
          <w:szCs w:val="24"/>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spacing w:line="360" w:lineRule="auto"/>
        <w:ind w:firstLine="420"/>
        <w:jc w:val="both"/>
        <w:rPr>
          <w:rFonts w:ascii="楷体" w:hAnsi="楷体" w:eastAsia="楷体" w:cs="Arial"/>
          <w:szCs w:val="24"/>
        </w:rPr>
      </w:pPr>
      <w:r>
        <w:rPr>
          <w:rFonts w:hint="eastAsia" w:ascii="楷体" w:hAnsi="楷体" w:eastAsia="楷体" w:cs="Arial"/>
          <w:szCs w:val="24"/>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20"/>
        <w:jc w:val="both"/>
        <w:rPr>
          <w:rFonts w:ascii="楷体" w:hAnsi="楷体" w:eastAsia="楷体" w:cs="Arial"/>
          <w:szCs w:val="24"/>
        </w:rPr>
      </w:pPr>
      <w:r>
        <w:rPr>
          <w:rFonts w:hint="eastAsia" w:ascii="楷体" w:hAnsi="楷体" w:eastAsia="楷体" w:cs="Arial"/>
          <w:szCs w:val="24"/>
        </w:rPr>
        <w:t>（6）为保证取得的发票可以及时并成功获得抵扣，乙方开具的增值税发票送达并经甲方签收后，若发生丢失，乙方应积极协助甲方，按照相关税收法规和文件的规定提供相应资料，并确保甲方顺利获得抵扣；</w:t>
      </w:r>
    </w:p>
    <w:p>
      <w:pPr>
        <w:spacing w:line="360" w:lineRule="auto"/>
        <w:ind w:firstLine="420"/>
        <w:jc w:val="both"/>
        <w:rPr>
          <w:rFonts w:ascii="楷体" w:hAnsi="楷体" w:eastAsia="楷体" w:cs="Arial"/>
          <w:szCs w:val="24"/>
        </w:rPr>
      </w:pPr>
      <w:r>
        <w:rPr>
          <w:rFonts w:hint="eastAsia" w:ascii="楷体" w:hAnsi="楷体" w:eastAsia="楷体" w:cs="Arial"/>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ind w:firstLine="420"/>
        <w:jc w:val="both"/>
        <w:rPr>
          <w:rFonts w:ascii="楷体" w:hAnsi="楷体" w:eastAsia="楷体" w:cs="Arial"/>
          <w:szCs w:val="24"/>
        </w:rPr>
      </w:pPr>
    </w:p>
    <w:p>
      <w:pPr>
        <w:pStyle w:val="3"/>
      </w:pPr>
    </w:p>
    <w:p>
      <w:pPr>
        <w:pStyle w:val="4"/>
      </w:pPr>
    </w:p>
    <w:p/>
    <w:p>
      <w:pPr>
        <w:spacing w:line="360" w:lineRule="auto"/>
        <w:rPr>
          <w:rFonts w:ascii="楷体" w:hAnsi="楷体" w:eastAsia="楷体" w:cs="楷体"/>
        </w:rPr>
      </w:pPr>
      <w:r>
        <w:rPr>
          <w:rFonts w:hint="eastAsia" w:ascii="楷体" w:hAnsi="楷体" w:eastAsia="楷体" w:cs="楷体"/>
        </w:rPr>
        <w:t>附件三：</w:t>
      </w:r>
    </w:p>
    <w:p>
      <w:pPr>
        <w:spacing w:line="360" w:lineRule="auto"/>
        <w:rPr>
          <w:rFonts w:ascii="楷体" w:hAnsi="楷体" w:eastAsia="楷体" w:cs="楷体"/>
        </w:rPr>
      </w:pPr>
    </w:p>
    <w:p>
      <w:pPr>
        <w:spacing w:line="360" w:lineRule="auto"/>
        <w:jc w:val="center"/>
        <w:rPr>
          <w:rFonts w:ascii="楷体" w:hAnsi="楷体" w:eastAsia="楷体" w:cs="楷体"/>
          <w:b/>
        </w:rPr>
      </w:pPr>
      <w:r>
        <w:rPr>
          <w:rFonts w:hint="eastAsia" w:ascii="楷体" w:hAnsi="楷体" w:eastAsia="楷体" w:cs="楷体"/>
          <w:b/>
        </w:rPr>
        <w:t>双方的权利和义务</w:t>
      </w:r>
    </w:p>
    <w:p>
      <w:pPr>
        <w:spacing w:line="360" w:lineRule="auto"/>
        <w:ind w:firstLine="422"/>
        <w:jc w:val="both"/>
        <w:rPr>
          <w:rFonts w:ascii="楷体" w:hAnsi="楷体" w:eastAsia="楷体" w:cs="Arial"/>
          <w:b/>
          <w:szCs w:val="24"/>
        </w:rPr>
      </w:pPr>
    </w:p>
    <w:p>
      <w:pPr>
        <w:spacing w:line="360" w:lineRule="auto"/>
        <w:ind w:firstLine="420"/>
        <w:jc w:val="both"/>
        <w:rPr>
          <w:rFonts w:ascii="楷体" w:hAnsi="楷体" w:eastAsia="楷体" w:cs="Arial"/>
          <w:spacing w:val="24"/>
          <w:szCs w:val="24"/>
        </w:rPr>
      </w:pPr>
      <w:r>
        <w:rPr>
          <w:rFonts w:hint="eastAsia" w:ascii="楷体" w:hAnsi="楷体" w:eastAsia="楷体" w:cs="Arial"/>
          <w:szCs w:val="24"/>
        </w:rPr>
        <w:t>1. 甲方的权利和义务</w:t>
      </w:r>
    </w:p>
    <w:p>
      <w:pPr>
        <w:spacing w:line="360" w:lineRule="auto"/>
        <w:ind w:firstLine="411"/>
        <w:jc w:val="both"/>
        <w:rPr>
          <w:rFonts w:ascii="楷体" w:hAnsi="楷体" w:eastAsia="楷体" w:cs="Arial"/>
          <w:szCs w:val="24"/>
        </w:rPr>
      </w:pPr>
      <w:r>
        <w:rPr>
          <w:rFonts w:hint="eastAsia" w:ascii="楷体" w:hAnsi="楷体" w:eastAsia="楷体" w:cs="Arial"/>
          <w:szCs w:val="24"/>
        </w:rPr>
        <w:t>（1） 成立专门的项目管理组织机构，负责项目的整体管理、总体进度管控、阶段结果评估、内外部资源调度、业务组和技术组沟通协调、多项目管理工作；</w:t>
      </w:r>
    </w:p>
    <w:p>
      <w:pPr>
        <w:spacing w:line="360" w:lineRule="auto"/>
        <w:ind w:firstLine="411"/>
        <w:jc w:val="both"/>
        <w:rPr>
          <w:rFonts w:ascii="楷体" w:hAnsi="楷体" w:eastAsia="楷体" w:cs="Arial"/>
          <w:szCs w:val="24"/>
        </w:rPr>
      </w:pPr>
      <w:r>
        <w:rPr>
          <w:rFonts w:hint="eastAsia" w:ascii="楷体" w:hAnsi="楷体" w:eastAsia="楷体" w:cs="Arial"/>
          <w:szCs w:val="24"/>
        </w:rPr>
        <w:t>（2）负责甲方内部的协调工作，为项目组提供工作环境，确定专门的配合人员；</w:t>
      </w:r>
    </w:p>
    <w:p>
      <w:pPr>
        <w:spacing w:line="360" w:lineRule="auto"/>
        <w:ind w:firstLine="411"/>
        <w:jc w:val="both"/>
        <w:rPr>
          <w:rFonts w:ascii="楷体" w:hAnsi="楷体" w:eastAsia="楷体" w:cs="Arial"/>
          <w:szCs w:val="24"/>
        </w:rPr>
      </w:pPr>
      <w:r>
        <w:rPr>
          <w:rFonts w:hint="eastAsia" w:ascii="楷体" w:hAnsi="楷体" w:eastAsia="楷体" w:cs="Arial"/>
          <w:szCs w:val="24"/>
        </w:rPr>
        <w:t>（3）提供与本项目有关的业务需求，并组织研讨确定本项目所包含系统的规格定义及有关重大事项；</w:t>
      </w:r>
    </w:p>
    <w:p>
      <w:pPr>
        <w:spacing w:line="360" w:lineRule="auto"/>
        <w:ind w:firstLine="411"/>
        <w:jc w:val="both"/>
        <w:rPr>
          <w:rFonts w:ascii="楷体" w:hAnsi="楷体" w:eastAsia="楷体" w:cs="Arial"/>
          <w:szCs w:val="24"/>
        </w:rPr>
      </w:pPr>
      <w:r>
        <w:rPr>
          <w:rFonts w:hint="eastAsia" w:ascii="楷体" w:hAnsi="楷体" w:eastAsia="楷体" w:cs="Arial"/>
          <w:szCs w:val="24"/>
        </w:rPr>
        <w:t>（4）在项目的各阶段中负责确定系统适应性修改的内容与要求，通告乙方进行相关方案的适应性修改并验收；</w:t>
      </w:r>
    </w:p>
    <w:p>
      <w:pPr>
        <w:spacing w:line="360" w:lineRule="auto"/>
        <w:ind w:firstLine="420"/>
        <w:jc w:val="both"/>
        <w:rPr>
          <w:rFonts w:ascii="楷体" w:hAnsi="楷体" w:eastAsia="楷体"/>
        </w:rPr>
      </w:pPr>
      <w:r>
        <w:rPr>
          <w:rFonts w:hint="eastAsia" w:ascii="楷体" w:hAnsi="楷体" w:eastAsia="楷体"/>
        </w:rPr>
        <w:t>（5）甲方应按照合同约定向乙方支付合同价款；</w:t>
      </w:r>
    </w:p>
    <w:p>
      <w:pPr>
        <w:pStyle w:val="12"/>
        <w:spacing w:line="360" w:lineRule="auto"/>
        <w:ind w:firstLine="480"/>
        <w:rPr>
          <w:rFonts w:ascii="楷体" w:hAnsi="楷体" w:eastAsia="楷体"/>
          <w:sz w:val="24"/>
        </w:rPr>
      </w:pPr>
      <w:r>
        <w:rPr>
          <w:rFonts w:hint="eastAsia" w:ascii="楷体" w:hAnsi="楷体" w:eastAsia="楷体"/>
          <w:sz w:val="24"/>
        </w:rPr>
        <w:t>（6）本合同其他条款中约定的甲方的权利和义务。</w:t>
      </w:r>
    </w:p>
    <w:p>
      <w:pPr>
        <w:spacing w:line="360" w:lineRule="auto"/>
        <w:ind w:firstLine="480"/>
        <w:jc w:val="both"/>
        <w:rPr>
          <w:rFonts w:ascii="楷体" w:hAnsi="楷体" w:eastAsia="楷体" w:cs="Arial"/>
          <w:spacing w:val="24"/>
          <w:szCs w:val="24"/>
        </w:rPr>
      </w:pPr>
      <w:r>
        <w:rPr>
          <w:rFonts w:hint="eastAsia" w:ascii="楷体" w:hAnsi="楷体" w:eastAsia="楷体" w:cs="Arial"/>
          <w:szCs w:val="24"/>
        </w:rPr>
        <w:t>2. 乙方的权利和义务</w:t>
      </w:r>
    </w:p>
    <w:p>
      <w:pPr>
        <w:spacing w:line="360" w:lineRule="auto"/>
        <w:ind w:firstLine="411"/>
        <w:jc w:val="both"/>
        <w:rPr>
          <w:rFonts w:ascii="楷体" w:hAnsi="楷体" w:eastAsia="楷体" w:cs="Arial"/>
          <w:szCs w:val="24"/>
        </w:rPr>
      </w:pPr>
      <w:r>
        <w:rPr>
          <w:rFonts w:hint="eastAsia" w:ascii="楷体" w:hAnsi="楷体" w:eastAsia="楷体" w:cs="Arial"/>
          <w:szCs w:val="24"/>
        </w:rPr>
        <w:t>（1） 负责提供本项目的顾问服务；</w:t>
      </w:r>
    </w:p>
    <w:p>
      <w:pPr>
        <w:spacing w:line="360" w:lineRule="auto"/>
        <w:ind w:firstLine="411"/>
        <w:jc w:val="both"/>
        <w:rPr>
          <w:rFonts w:ascii="楷体" w:hAnsi="楷体" w:eastAsia="楷体" w:cs="Arial"/>
          <w:szCs w:val="24"/>
        </w:rPr>
      </w:pPr>
      <w:r>
        <w:rPr>
          <w:rFonts w:hint="eastAsia" w:ascii="楷体" w:hAnsi="楷体" w:eastAsia="楷体" w:cs="Arial"/>
          <w:szCs w:val="24"/>
        </w:rPr>
        <w:t>（2） 在各项目阶段根据甲方要求提供项目方案；</w:t>
      </w:r>
    </w:p>
    <w:p>
      <w:pPr>
        <w:spacing w:line="360" w:lineRule="auto"/>
        <w:ind w:firstLine="411"/>
        <w:jc w:val="both"/>
        <w:rPr>
          <w:rFonts w:ascii="楷体" w:hAnsi="楷体" w:eastAsia="楷体" w:cs="Arial"/>
          <w:szCs w:val="24"/>
        </w:rPr>
      </w:pPr>
      <w:r>
        <w:rPr>
          <w:rFonts w:hint="eastAsia" w:ascii="楷体" w:hAnsi="楷体" w:eastAsia="楷体" w:cs="Arial"/>
          <w:szCs w:val="24"/>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spacing w:line="360" w:lineRule="auto"/>
        <w:ind w:firstLine="411"/>
        <w:jc w:val="both"/>
        <w:rPr>
          <w:rFonts w:hint="eastAsia" w:ascii="楷体_GB2312" w:hAnsi="楷体_GB2312" w:eastAsia="楷体_GB2312" w:cs="Arial"/>
        </w:rPr>
      </w:pPr>
      <w:r>
        <w:rPr>
          <w:rFonts w:hint="eastAsia" w:ascii="楷体" w:hAnsi="楷体" w:eastAsia="楷体" w:cs="Arial"/>
          <w:szCs w:val="24"/>
        </w:rPr>
        <w:t>（4</w:t>
      </w:r>
      <w:r>
        <w:rPr>
          <w:rFonts w:ascii="楷体" w:hAnsi="楷体" w:eastAsia="楷体" w:cs="Arial"/>
          <w:szCs w:val="24"/>
        </w:rPr>
        <w:t>）</w:t>
      </w:r>
      <w:r>
        <w:rPr>
          <w:rFonts w:hint="eastAsia" w:ascii="楷体_GB2312" w:hAnsi="楷体_GB2312" w:eastAsia="楷体_GB2312" w:cs="Arial"/>
        </w:rPr>
        <w:t>乙方不得将本合同项目全部或部分工作分包或转包第三方承担。</w:t>
      </w:r>
    </w:p>
    <w:p>
      <w:pPr>
        <w:spacing w:line="360" w:lineRule="auto"/>
        <w:ind w:firstLine="420"/>
        <w:rPr>
          <w:rFonts w:ascii="楷体" w:hAnsi="楷体" w:eastAsia="楷体"/>
        </w:rPr>
      </w:pPr>
      <w:r>
        <w:rPr>
          <w:rFonts w:hint="eastAsia" w:ascii="楷体" w:hAnsi="楷体" w:eastAsia="楷体"/>
        </w:rPr>
        <w:t>（5）本合同其他条款中约定的乙方的权利和义务。</w:t>
      </w:r>
    </w:p>
    <w:p/>
    <w:p>
      <w:pPr>
        <w:pStyle w:val="2"/>
      </w:pPr>
    </w:p>
    <w:p>
      <w:pPr>
        <w:pStyle w:val="3"/>
      </w:pPr>
    </w:p>
    <w:p>
      <w:pPr>
        <w:pStyle w:val="4"/>
      </w:pPr>
    </w:p>
    <w:p/>
    <w:p>
      <w:pPr>
        <w:pStyle w:val="2"/>
      </w:pPr>
    </w:p>
    <w:p>
      <w:pPr>
        <w:pStyle w:val="3"/>
      </w:pPr>
    </w:p>
    <w:p>
      <w:pPr>
        <w:pStyle w:val="4"/>
      </w:pPr>
    </w:p>
    <w:p>
      <w:pPr>
        <w:spacing w:line="360" w:lineRule="auto"/>
        <w:rPr>
          <w:rFonts w:ascii="楷体" w:hAnsi="楷体" w:eastAsia="楷体"/>
        </w:rPr>
      </w:pPr>
      <w:r>
        <w:rPr>
          <w:rFonts w:hint="eastAsia" w:ascii="楷体" w:hAnsi="楷体" w:eastAsia="楷体"/>
        </w:rPr>
        <w:t>附件四：</w:t>
      </w:r>
    </w:p>
    <w:p>
      <w:pPr>
        <w:spacing w:line="360" w:lineRule="auto"/>
        <w:rPr>
          <w:rFonts w:ascii="楷体" w:hAnsi="楷体" w:eastAsia="楷体"/>
        </w:rPr>
      </w:pPr>
    </w:p>
    <w:p>
      <w:pPr>
        <w:spacing w:line="360" w:lineRule="auto"/>
        <w:jc w:val="center"/>
        <w:rPr>
          <w:rFonts w:ascii="楷体" w:hAnsi="楷体" w:eastAsia="楷体"/>
          <w:b/>
        </w:rPr>
      </w:pPr>
      <w:r>
        <w:rPr>
          <w:rFonts w:hint="eastAsia" w:ascii="楷体" w:hAnsi="楷体" w:eastAsia="楷体"/>
          <w:b/>
        </w:rPr>
        <w:t>违约责任</w:t>
      </w:r>
    </w:p>
    <w:p>
      <w:pPr>
        <w:spacing w:line="360" w:lineRule="auto"/>
        <w:ind w:firstLine="420"/>
        <w:rPr>
          <w:rFonts w:ascii="楷体" w:hAnsi="楷体" w:eastAsia="楷体"/>
        </w:rPr>
      </w:pPr>
    </w:p>
    <w:p>
      <w:pPr>
        <w:spacing w:line="360" w:lineRule="auto"/>
        <w:ind w:firstLine="420"/>
        <w:rPr>
          <w:rFonts w:hint="eastAsia" w:ascii="楷体" w:hAnsi="楷体" w:eastAsia="楷体"/>
        </w:rPr>
      </w:pPr>
      <w:r>
        <w:rPr>
          <w:rFonts w:hint="eastAsia" w:ascii="楷体" w:hAnsi="楷体" w:eastAsia="楷体"/>
        </w:rPr>
        <w:t>除合同约定的违约责任以外，任何一方存在以下约定情形的，应承担相应的违约责任：</w:t>
      </w:r>
    </w:p>
    <w:p>
      <w:pPr>
        <w:pStyle w:val="2"/>
        <w:rPr>
          <w:rFonts w:hint="eastAsia" w:ascii="楷体" w:hAnsi="楷体" w:eastAsia="楷体"/>
        </w:rPr>
      </w:pPr>
    </w:p>
    <w:p>
      <w:pPr>
        <w:pStyle w:val="3"/>
        <w:rPr>
          <w:rFonts w:hint="eastAsia" w:ascii="楷体" w:hAnsi="楷体" w:eastAsia="楷体"/>
        </w:rPr>
      </w:pPr>
    </w:p>
    <w:p>
      <w:pPr>
        <w:pStyle w:val="4"/>
        <w:rPr>
          <w:rFonts w:hint="eastAsia" w:ascii="楷体" w:hAnsi="楷体" w:eastAsia="楷体"/>
        </w:rPr>
      </w:pPr>
    </w:p>
    <w:p>
      <w:pPr>
        <w:rPr>
          <w:rFonts w:hint="eastAsia" w:ascii="楷体" w:hAnsi="楷体" w:eastAsia="楷体"/>
        </w:rPr>
      </w:pPr>
    </w:p>
    <w:p>
      <w:pPr>
        <w:pStyle w:val="2"/>
        <w:rPr>
          <w:rFonts w:hint="eastAsia" w:ascii="楷体" w:hAnsi="楷体" w:eastAsia="楷体"/>
        </w:rPr>
      </w:pPr>
    </w:p>
    <w:p>
      <w:pPr>
        <w:pStyle w:val="3"/>
        <w:rPr>
          <w:rFonts w:hint="eastAsia" w:ascii="楷体" w:hAnsi="楷体" w:eastAsia="楷体"/>
        </w:rPr>
      </w:pPr>
    </w:p>
    <w:p>
      <w:pPr>
        <w:pStyle w:val="5"/>
        <w:tabs>
          <w:tab w:val="left" w:pos="2190"/>
        </w:tabs>
        <w:ind w:firstLine="482"/>
        <w:rPr>
          <w:rFonts w:hint="eastAsia"/>
        </w:rPr>
      </w:pPr>
      <w:r>
        <w:rPr>
          <w:rFonts w:hint="eastAsia"/>
          <w:lang w:val="en-US" w:eastAsia="zh-CN"/>
        </w:rPr>
        <w:t xml:space="preserve">      </w:t>
      </w:r>
      <w:r>
        <w:rPr>
          <w:rFonts w:hint="eastAsia"/>
        </w:rPr>
        <w:t>附件</w:t>
      </w:r>
      <w:r>
        <w:rPr>
          <w:rFonts w:hint="eastAsia"/>
          <w:lang w:val="en-US" w:eastAsia="zh-CN"/>
        </w:rPr>
        <w:t>五</w:t>
      </w:r>
      <w:r>
        <w:tab/>
      </w:r>
    </w:p>
    <w:p>
      <w:pPr>
        <w:keepNext w:val="0"/>
        <w:keepLines w:val="0"/>
        <w:widowControl w:val="0"/>
        <w:suppressLineNumbers w:val="0"/>
        <w:spacing w:before="312" w:beforeAutospacing="0" w:after="312" w:afterAutospacing="0" w:line="300" w:lineRule="auto"/>
        <w:ind w:left="0" w:right="0"/>
        <w:jc w:val="center"/>
        <w:rPr>
          <w:rFonts w:hint="eastAsia" w:ascii="楷体" w:hAnsi="楷体" w:eastAsia="楷体" w:cs="楷体"/>
          <w:b/>
          <w:bCs/>
          <w:spacing w:val="20"/>
          <w:sz w:val="28"/>
          <w:szCs w:val="28"/>
          <w:lang w:val="en-US"/>
        </w:rPr>
      </w:pPr>
      <w:r>
        <w:rPr>
          <w:rFonts w:hint="eastAsia" w:ascii="楷体" w:hAnsi="楷体" w:eastAsia="楷体" w:cs="楷体"/>
          <w:b/>
          <w:bCs/>
          <w:spacing w:val="20"/>
          <w:sz w:val="28"/>
          <w:szCs w:val="28"/>
          <w:lang w:val="en-US" w:eastAsia="zh-CN" w:bidi="ar"/>
        </w:rPr>
        <w:t>廉洁诚信协议</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第一条  总则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（1）一方或其关联方之工作人员；</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（2）受一方委托办理相关事务的单位或者个人；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（4）前述相关人员的亲属；</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（5）与前述相关主体存在利害关系的其他单位或者人员。</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第二条  商业贿赂</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2.3本条第1款所称其他形式，包括但不限于：</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（6）向甲方或甲方相关主体提供借款、融资、担保等；</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（7）给予或承诺给予其不正当利益的其他行为；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（8）其他违反国家法律法规或商业道德准则的影响公正交易的行为。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第三条  回扣</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3.3乙方在账外暗中给予甲方相关主体回扣的，视为实施商业贿赂行为。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第四条  折扣</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4.4乙方违反本条约定的，视为实施商业贿赂行为。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第五条  宴请与游玩活动</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5.3乙方违反本条约定的，视为实施商业贿赂行为。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第六条  禁止行为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（1）报销甲方相关主体的私人费用；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（2）提供超过宴请标准的宴请或娱乐活动；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（3）介绍甲方相关主体亲友到乙方处工作；</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（6）向甲方相关主体提供借款、融资、担保等；</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Autospacing="0"/>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第七条  乙方承诺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乙方承诺在双方的商务接洽、合同关系、交易过程中遵守如下要求：</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7.1 避免利害关系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7.2 恪守廉洁自律原则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7.3 恪守诚实信用原则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7.4 确保信息公开透明</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7.5 积极配合监督举报</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7.6 加强内部廉洁管理</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第八条  违约责任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8.3 如乙方违反本协议任何约定或承诺，</w:t>
      </w:r>
      <w:r>
        <w:rPr>
          <w:rFonts w:hint="eastAsia" w:ascii="楷体" w:hAnsi="楷体" w:eastAsia="楷体" w:cs="楷体"/>
          <w:b/>
          <w:bCs/>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8.4</w:t>
      </w:r>
      <w:r>
        <w:rPr>
          <w:rFonts w:hint="eastAsia" w:ascii="楷体" w:hAnsi="楷体" w:eastAsia="楷体" w:cs="楷体"/>
          <w:b/>
          <w:bCs/>
          <w:sz w:val="24"/>
          <w:szCs w:val="24"/>
          <w:lang w:val="en-US" w:eastAsia="zh-CN" w:bidi="ar"/>
        </w:rPr>
        <w:t>甲方及甲方子公司按照前述条款要求乙方承担赔偿责任的，</w:t>
      </w:r>
      <w:r>
        <w:rPr>
          <w:rFonts w:hint="eastAsia" w:ascii="楷体" w:hAnsi="楷体" w:eastAsia="楷体" w:cs="楷体"/>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Autospacing="0" w:after="312" w:afterAutospacing="0" w:line="300" w:lineRule="auto"/>
        <w:ind w:left="0" w:right="0" w:firstLine="482"/>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第九条  附则</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9.5本协议长期有效。</w:t>
      </w: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p>
    <w:p>
      <w:pPr>
        <w:keepNext w:val="0"/>
        <w:keepLines w:val="0"/>
        <w:widowControl w:val="0"/>
        <w:suppressLineNumbers w:val="0"/>
        <w:spacing w:before="312" w:beforeAutospacing="0" w:after="312" w:afterAutospacing="0" w:line="300" w:lineRule="auto"/>
        <w:ind w:left="0" w:right="0" w:firstLine="480"/>
        <w:jc w:val="both"/>
        <w:rPr>
          <w:rFonts w:hint="eastAsia" w:ascii="楷体" w:hAnsi="楷体" w:eastAsia="楷体" w:cs="楷体"/>
          <w:sz w:val="24"/>
          <w:szCs w:val="24"/>
          <w:lang w:val="en-US"/>
        </w:rPr>
      </w:pPr>
    </w:p>
    <w:p>
      <w:pPr>
        <w:rPr>
          <w:rFonts w:hint="default"/>
          <w:lang w:val="en-US" w:eastAsia="zh-CN"/>
        </w:rPr>
      </w:pPr>
    </w:p>
    <w:p>
      <w:pPr>
        <w:pStyle w:val="4"/>
      </w:pPr>
    </w:p>
    <w:p>
      <w:pPr>
        <w:spacing w:line="360" w:lineRule="auto"/>
        <w:ind w:firstLine="420"/>
        <w:rPr>
          <w:rFonts w:ascii="楷体" w:hAnsi="楷体" w:eastAsia="楷体"/>
        </w:rPr>
      </w:pPr>
    </w:p>
    <w:p>
      <w:pPr>
        <w:pStyle w:val="15"/>
        <w:spacing w:after="0" w:line="500" w:lineRule="exact"/>
        <w:ind w:left="0" w:firstLine="422"/>
        <w:rPr>
          <w:rFonts w:ascii="楷体_GB2312" w:hAnsi="Courier New" w:eastAsia="楷体_GB2312"/>
          <w:b/>
          <w:color w:val="000000"/>
          <w:sz w:val="32"/>
          <w:szCs w:val="24"/>
        </w:rPr>
      </w:pPr>
      <w:r>
        <w:rPr>
          <w:rFonts w:hint="eastAsia" w:ascii="Times New Roman" w:hAnsi="Times New Roman" w:eastAsia="楷体" w:cs="Times New Roman"/>
          <w:b/>
          <w:bCs/>
          <w:sz w:val="24"/>
          <w:szCs w:val="52"/>
          <w:lang w:val="en-US" w:eastAsia="zh-CN" w:bidi="ar-SA"/>
        </w:rPr>
        <w:t xml:space="preserve">附件六 </w:t>
      </w:r>
      <w:r>
        <w:rPr>
          <w:rFonts w:hint="eastAsia" w:ascii="楷体_GB2312" w:hAnsi="Courier New" w:eastAsia="楷体_GB2312"/>
          <w:b/>
          <w:color w:val="000000"/>
          <w:sz w:val="32"/>
          <w:szCs w:val="24"/>
        </w:rPr>
        <w:t>客户</w:t>
      </w:r>
      <w:r>
        <w:rPr>
          <w:rFonts w:ascii="楷体_GB2312" w:hAnsi="Courier New" w:eastAsia="楷体_GB2312"/>
          <w:b/>
          <w:color w:val="000000"/>
          <w:sz w:val="32"/>
          <w:szCs w:val="24"/>
        </w:rPr>
        <w:t>信息</w:t>
      </w:r>
      <w:r>
        <w:rPr>
          <w:rFonts w:hint="eastAsia" w:ascii="楷体_GB2312" w:hAnsi="Courier New" w:eastAsia="楷体_GB2312"/>
          <w:b/>
          <w:color w:val="000000"/>
          <w:sz w:val="32"/>
          <w:szCs w:val="24"/>
        </w:rPr>
        <w:t>保护</w:t>
      </w:r>
    </w:p>
    <w:p>
      <w:pPr>
        <w:pStyle w:val="18"/>
        <w:spacing w:line="500" w:lineRule="exact"/>
        <w:ind w:firstLine="480"/>
        <w:rPr>
          <w:rFonts w:ascii="楷体_GB2312" w:eastAsia="楷体_GB2312"/>
          <w:color w:val="000000"/>
          <w:sz w:val="24"/>
          <w:szCs w:val="24"/>
          <w:lang w:val="en-US"/>
        </w:rPr>
      </w:pPr>
      <w:r>
        <w:rPr>
          <w:rFonts w:hint="eastAsia" w:ascii="楷体_GB2312" w:eastAsia="楷体_GB2312"/>
          <w:color w:val="000000"/>
          <w:sz w:val="24"/>
          <w:szCs w:val="24"/>
          <w:lang w:val="en-US"/>
        </w:rPr>
        <w:t>双方合作中若涉及客户信息收集、使用等处理，应确保符合《民法典》、《个人信息保护法》、《数据安全法》、《反洗钱法》、《网络安全法》、《消费者权益保护法》、《全国人民代表大会常务委员会关于加强网络信息保护的决定》、《银行保险机构消费者权益保护管理办法》、《银行保险机构数据安全管理办法》、《个人信息保护合规审计管理办法》、《促进和规范数据跨境流动规定》、《保险销售行为管理办法》、国家标准《信息安全技术 个人信息安全规范》等规定要求，遵循合法、正当、必要、诚信的原则，向客户明示收集、使用及处理信息的目的、方式和范围，并经客户授权同意。具体要求如下：</w:t>
      </w:r>
    </w:p>
    <w:p>
      <w:pPr>
        <w:pStyle w:val="18"/>
        <w:spacing w:line="500" w:lineRule="exact"/>
        <w:ind w:firstLine="480"/>
        <w:rPr>
          <w:rFonts w:ascii="楷体_GB2312" w:eastAsia="楷体_GB2312"/>
          <w:color w:val="000000"/>
          <w:sz w:val="24"/>
          <w:szCs w:val="24"/>
          <w:lang w:val="en-US"/>
        </w:rPr>
      </w:pPr>
      <w:r>
        <w:rPr>
          <w:rFonts w:hint="eastAsia" w:ascii="楷体_GB2312" w:eastAsia="楷体_GB2312"/>
          <w:color w:val="000000"/>
          <w:sz w:val="24"/>
          <w:szCs w:val="24"/>
        </w:rPr>
        <w:t>（一）</w:t>
      </w:r>
      <w:r>
        <w:rPr>
          <w:rFonts w:hint="eastAsia" w:ascii="楷体_GB2312" w:eastAsia="楷体_GB2312"/>
          <w:color w:val="000000"/>
          <w:sz w:val="24"/>
          <w:szCs w:val="24"/>
          <w:lang w:val="en-US"/>
        </w:rPr>
        <w:t>甲乙双方应当按照合法、正当、必要、诚信的原则收集处理投保人、被保险人、受益人以及保险业务活动相关当事人的个人信息，收集、使用及处理客户个人信息必须是依据法定义务或履行本协议所必要的行为，并在履行本协议必要范围内收集客户信息。收集个人信息，应当限于实现处理目的的最小范围，不得过度收集个人信息。未经客户授权同意，不得将客户个人信息公开披露，不得转移、出售给第三方。</w:t>
      </w:r>
    </w:p>
    <w:p>
      <w:pPr>
        <w:pStyle w:val="18"/>
        <w:spacing w:line="500" w:lineRule="exact"/>
        <w:ind w:firstLine="480"/>
        <w:rPr>
          <w:rFonts w:ascii="楷体_GB2312" w:eastAsia="楷体_GB2312"/>
          <w:color w:val="000000"/>
          <w:sz w:val="24"/>
          <w:szCs w:val="24"/>
          <w:lang w:val="en-US"/>
        </w:rPr>
      </w:pPr>
      <w:r>
        <w:rPr>
          <w:rFonts w:hint="eastAsia" w:ascii="楷体_GB2312" w:eastAsia="楷体_GB2312"/>
          <w:color w:val="000000"/>
          <w:sz w:val="24"/>
          <w:szCs w:val="24"/>
          <w:lang w:val="en-US"/>
        </w:rPr>
        <w:t>甲乙双方应当加强对与其合作的其他机构收集处理投保人、被保险人、受益人以及保险业务活动相关当事人个人信息的行为管控，发现其他机构存在违反协议要求情形时，应当及时采取措施予以制止和督促纠正，并依法追究该机构责任。</w:t>
      </w:r>
    </w:p>
    <w:p>
      <w:pPr>
        <w:pStyle w:val="18"/>
        <w:spacing w:line="500" w:lineRule="exact"/>
        <w:ind w:firstLine="480"/>
        <w:rPr>
          <w:rFonts w:ascii="楷体_GB2312" w:eastAsia="楷体_GB2312"/>
          <w:color w:val="000000"/>
          <w:sz w:val="24"/>
          <w:szCs w:val="24"/>
          <w:lang w:val="en-US"/>
        </w:rPr>
      </w:pPr>
      <w:r>
        <w:rPr>
          <w:rFonts w:hint="eastAsia" w:ascii="楷体_GB2312" w:eastAsia="楷体_GB2312"/>
          <w:color w:val="000000"/>
          <w:sz w:val="24"/>
          <w:szCs w:val="24"/>
        </w:rPr>
        <w:t>（二）</w:t>
      </w:r>
      <w:r>
        <w:rPr>
          <w:rFonts w:hint="eastAsia" w:ascii="楷体_GB2312" w:eastAsia="楷体_GB2312"/>
          <w:color w:val="000000"/>
          <w:sz w:val="24"/>
          <w:szCs w:val="24"/>
          <w:lang w:val="en-US"/>
        </w:rPr>
        <w:t>客户个人信息保存期限应符合实现本协议业务处理目的所必要的最短时间。完成收集和使用的目的后应及时删除或匿名处理合作过程中获取的客户个人信息。本合同不生效、无效、终止或被撤销的，</w:t>
      </w:r>
      <w:r>
        <w:rPr>
          <w:rFonts w:hint="eastAsia" w:ascii="楷体_GB2312" w:hAnsi="Calibri" w:eastAsia="楷体_GB2312"/>
          <w:color w:val="000000"/>
          <w:sz w:val="24"/>
          <w:szCs w:val="24"/>
          <w:lang w:val="en-US" w:bidi="ar"/>
        </w:rPr>
        <w:t>乙方应当将客户个人信息返还甲方或予以删除，不得保留。</w:t>
      </w:r>
    </w:p>
    <w:p>
      <w:pPr>
        <w:pStyle w:val="18"/>
        <w:spacing w:line="500" w:lineRule="exact"/>
        <w:ind w:firstLine="480"/>
        <w:rPr>
          <w:rFonts w:ascii="楷体_GB2312" w:eastAsia="楷体_GB2312"/>
          <w:color w:val="000000"/>
          <w:sz w:val="24"/>
          <w:szCs w:val="24"/>
          <w:lang w:val="en-US"/>
        </w:rPr>
      </w:pPr>
      <w:r>
        <w:rPr>
          <w:rFonts w:hint="eastAsia" w:ascii="楷体_GB2312" w:eastAsia="楷体_GB2312"/>
          <w:color w:val="000000"/>
          <w:sz w:val="24"/>
          <w:szCs w:val="24"/>
        </w:rPr>
        <w:t>（三）</w:t>
      </w:r>
      <w:r>
        <w:rPr>
          <w:rFonts w:hint="eastAsia" w:ascii="楷体_GB2312" w:eastAsia="楷体_GB2312"/>
          <w:color w:val="000000"/>
          <w:sz w:val="24"/>
          <w:szCs w:val="24"/>
          <w:lang w:val="en-US"/>
        </w:rPr>
        <w:t>涉及客户敏感信息处理的，应具有特定的目的和充分的必要性，取得客户的单独同意，符合个人信息保护相关法律法规规定和管理要求。</w:t>
      </w:r>
    </w:p>
    <w:p>
      <w:pPr>
        <w:pStyle w:val="18"/>
        <w:spacing w:line="500" w:lineRule="exact"/>
        <w:ind w:firstLine="480"/>
        <w:rPr>
          <w:rFonts w:ascii="楷体_GB2312" w:eastAsia="楷体_GB2312"/>
          <w:color w:val="000000"/>
          <w:sz w:val="24"/>
          <w:szCs w:val="24"/>
          <w:lang w:val="en-US"/>
        </w:rPr>
      </w:pPr>
      <w:r>
        <w:rPr>
          <w:rFonts w:hint="eastAsia" w:ascii="楷体_GB2312" w:eastAsia="楷体_GB2312"/>
          <w:color w:val="000000"/>
          <w:sz w:val="24"/>
          <w:szCs w:val="24"/>
        </w:rPr>
        <w:t>（四）</w:t>
      </w:r>
      <w:r>
        <w:rPr>
          <w:rFonts w:hint="eastAsia" w:ascii="楷体_GB2312" w:eastAsia="楷体_GB2312"/>
          <w:color w:val="000000"/>
          <w:sz w:val="24"/>
          <w:szCs w:val="24"/>
          <w:lang w:val="en-US"/>
        </w:rPr>
        <w:t>乙方应对客户个人信息严格保密，采取技术措施和其他必要措施，确保客户信息安全。若乙方发生或者可能发生客户个人信息泄露、篡改、丢失的，应当立即采取补救措施，并同步通知甲方，减轻对客户及甲方的危害。</w:t>
      </w:r>
    </w:p>
    <w:p>
      <w:pPr>
        <w:pStyle w:val="18"/>
        <w:spacing w:line="500" w:lineRule="exact"/>
        <w:ind w:firstLine="480"/>
        <w:rPr>
          <w:rFonts w:ascii="楷体_GB2312" w:eastAsia="楷体_GB2312"/>
          <w:color w:val="000000"/>
          <w:sz w:val="24"/>
          <w:szCs w:val="24"/>
          <w:lang w:val="en-US"/>
        </w:rPr>
      </w:pPr>
      <w:r>
        <w:rPr>
          <w:rFonts w:hint="eastAsia" w:ascii="楷体_GB2312" w:eastAsia="楷体_GB2312"/>
          <w:color w:val="000000"/>
          <w:sz w:val="24"/>
          <w:szCs w:val="24"/>
        </w:rPr>
        <w:t>（五）</w:t>
      </w:r>
      <w:r>
        <w:rPr>
          <w:rFonts w:hint="eastAsia" w:ascii="楷体_GB2312" w:eastAsia="楷体_GB2312"/>
          <w:color w:val="000000"/>
          <w:sz w:val="24"/>
          <w:szCs w:val="24"/>
          <w:lang w:val="en-US"/>
        </w:rPr>
        <w:t>乙方应保证客户信息来源合法，提供给甲方的客户信息真实、准确、完整。客户对其信息提出的查阅、复制、更正、补充、删除等要求，在合法合理的前提下，甲乙双方应及时配合客户进行处理。在先收到客户要求的一方，应及时通知另一方。</w:t>
      </w:r>
    </w:p>
    <w:p>
      <w:pPr>
        <w:pStyle w:val="18"/>
        <w:spacing w:line="500" w:lineRule="exact"/>
        <w:ind w:firstLine="480"/>
        <w:rPr>
          <w:rFonts w:ascii="楷体_GB2312" w:eastAsia="楷体_GB2312"/>
          <w:color w:val="000000"/>
          <w:sz w:val="24"/>
          <w:szCs w:val="24"/>
          <w:lang w:val="en-US"/>
        </w:rPr>
      </w:pPr>
      <w:r>
        <w:rPr>
          <w:rFonts w:hint="eastAsia" w:ascii="楷体_GB2312" w:eastAsia="楷体_GB2312"/>
          <w:color w:val="000000"/>
          <w:sz w:val="24"/>
          <w:szCs w:val="24"/>
        </w:rPr>
        <w:t>（六）</w:t>
      </w:r>
      <w:r>
        <w:rPr>
          <w:rFonts w:hint="eastAsia" w:ascii="楷体_GB2312" w:eastAsia="楷体_GB2312"/>
          <w:color w:val="000000"/>
          <w:sz w:val="24"/>
          <w:szCs w:val="24"/>
          <w:lang w:val="en-US"/>
        </w:rPr>
        <w:t>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pStyle w:val="18"/>
        <w:spacing w:line="500" w:lineRule="exact"/>
        <w:ind w:firstLine="480"/>
        <w:rPr>
          <w:rFonts w:ascii="楷体_GB2312" w:hAnsi="仿宋_GB2312" w:eastAsia="楷体_GB2312"/>
          <w:color w:val="000000"/>
          <w:sz w:val="24"/>
          <w:szCs w:val="24"/>
        </w:rPr>
      </w:pPr>
      <w:r>
        <w:rPr>
          <w:rFonts w:hint="eastAsia" w:ascii="楷体_GB2312" w:eastAsia="楷体_GB2312"/>
          <w:color w:val="000000"/>
          <w:sz w:val="24"/>
          <w:szCs w:val="24"/>
        </w:rPr>
        <w:t>（七）乙方</w:t>
      </w:r>
      <w:r>
        <w:rPr>
          <w:rFonts w:ascii="楷体_GB2312" w:hAnsi="仿宋_GB2312" w:eastAsia="楷体_GB2312"/>
          <w:color w:val="000000"/>
          <w:sz w:val="24"/>
          <w:szCs w:val="24"/>
        </w:rPr>
        <w:t>应当</w:t>
      </w:r>
      <w:r>
        <w:rPr>
          <w:rFonts w:hint="eastAsia" w:ascii="楷体_GB2312" w:hAnsi="仿宋_GB2312" w:eastAsia="楷体_GB2312"/>
          <w:color w:val="000000"/>
          <w:sz w:val="24"/>
          <w:szCs w:val="24"/>
        </w:rPr>
        <w:t>支持甲方业务经营管理和客户服务活动开展，</w:t>
      </w:r>
      <w:r>
        <w:rPr>
          <w:rFonts w:hint="eastAsia" w:ascii="楷体_GB2312" w:eastAsia="楷体_GB2312"/>
          <w:color w:val="000000"/>
          <w:sz w:val="24"/>
          <w:szCs w:val="24"/>
        </w:rPr>
        <w:t>按照甲方的规定为投保人、被保险人办理保险业务，</w:t>
      </w:r>
      <w:r>
        <w:rPr>
          <w:rFonts w:hint="eastAsia" w:ascii="楷体_GB2312" w:hAnsi="仿宋_GB2312" w:eastAsia="楷体_GB2312"/>
          <w:color w:val="000000"/>
          <w:sz w:val="24"/>
          <w:szCs w:val="24"/>
        </w:rPr>
        <w:t>准确、完整收集客户信息并</w:t>
      </w:r>
      <w:r>
        <w:rPr>
          <w:rFonts w:hint="eastAsia" w:ascii="楷体_GB2312" w:eastAsia="楷体_GB2312"/>
          <w:color w:val="000000"/>
          <w:sz w:val="24"/>
          <w:szCs w:val="24"/>
        </w:rPr>
        <w:t>及时传递给甲方，</w:t>
      </w:r>
      <w:r>
        <w:rPr>
          <w:rFonts w:ascii="楷体_GB2312" w:hAnsi="仿宋_GB2312" w:eastAsia="楷体_GB2312"/>
          <w:color w:val="000000"/>
          <w:sz w:val="24"/>
          <w:szCs w:val="24"/>
        </w:rPr>
        <w:t>按照甲方客户信息授权使用条款获取客户授权</w:t>
      </w:r>
      <w:r>
        <w:rPr>
          <w:rFonts w:hint="eastAsia" w:ascii="楷体_GB2312" w:eastAsia="楷体_GB2312"/>
          <w:color w:val="000000"/>
          <w:sz w:val="24"/>
          <w:szCs w:val="24"/>
        </w:rPr>
        <w:t>，不得隐瞒投保人及被保险人的信息，不得阻碍投保人履行或者诱导其不履行如实告知义务，按照甲方的要求及时将保险单、保险发票及相关凭证送交投保人</w:t>
      </w:r>
      <w:r>
        <w:rPr>
          <w:rFonts w:hint="eastAsia" w:ascii="楷体_GB2312" w:hAnsi="仿宋_GB2312" w:eastAsia="楷体_GB2312"/>
          <w:color w:val="000000"/>
          <w:sz w:val="24"/>
          <w:szCs w:val="24"/>
        </w:rPr>
        <w:t>。</w:t>
      </w:r>
    </w:p>
    <w:p>
      <w:pPr>
        <w:pStyle w:val="18"/>
        <w:spacing w:line="500" w:lineRule="exact"/>
        <w:ind w:firstLine="480"/>
        <w:rPr>
          <w:rFonts w:ascii="楷体_GB2312" w:eastAsia="楷体_GB2312"/>
          <w:color w:val="000000"/>
          <w:sz w:val="24"/>
          <w:szCs w:val="24"/>
          <w:lang w:val="en-US"/>
        </w:rPr>
      </w:pPr>
      <w:r>
        <w:rPr>
          <w:rFonts w:hint="eastAsia" w:ascii="楷体_GB2312" w:eastAsia="楷体_GB2312"/>
          <w:color w:val="000000"/>
          <w:sz w:val="24"/>
          <w:szCs w:val="24"/>
        </w:rPr>
        <w:t>（八）</w:t>
      </w:r>
      <w:r>
        <w:rPr>
          <w:rFonts w:hint="eastAsia" w:ascii="楷体_GB2312" w:eastAsia="楷体_GB2312"/>
          <w:sz w:val="24"/>
          <w:szCs w:val="24"/>
        </w:rPr>
        <w:t>乙方应为甲方保守商业秘密、相关客户身份及交易信息等内容。乙方</w:t>
      </w:r>
      <w:r>
        <w:rPr>
          <w:rFonts w:ascii="楷体_GB2312" w:eastAsia="楷体_GB2312"/>
          <w:sz w:val="24"/>
          <w:szCs w:val="24"/>
        </w:rPr>
        <w:t>应</w:t>
      </w:r>
      <w:r>
        <w:rPr>
          <w:rFonts w:hint="eastAsia" w:ascii="楷体_GB2312" w:eastAsia="楷体_GB2312"/>
          <w:sz w:val="24"/>
          <w:szCs w:val="24"/>
        </w:rPr>
        <w:t>妥善保管甲方的一切业务资料和宣传资料，不得将在从事保险代理业务中获得的甲方信息、资料等用于</w:t>
      </w:r>
      <w:r>
        <w:rPr>
          <w:rFonts w:ascii="楷体_GB2312" w:eastAsia="楷体_GB2312"/>
          <w:sz w:val="24"/>
          <w:szCs w:val="24"/>
        </w:rPr>
        <w:t>本合同代理事项</w:t>
      </w:r>
      <w:r>
        <w:rPr>
          <w:rFonts w:hint="eastAsia" w:ascii="楷体_GB2312" w:eastAsia="楷体_GB2312"/>
          <w:sz w:val="24"/>
          <w:szCs w:val="24"/>
        </w:rPr>
        <w:t>以外</w:t>
      </w:r>
      <w:r>
        <w:rPr>
          <w:rFonts w:ascii="楷体_GB2312" w:eastAsia="楷体_GB2312"/>
          <w:sz w:val="24"/>
          <w:szCs w:val="24"/>
        </w:rPr>
        <w:t>的</w:t>
      </w:r>
      <w:r>
        <w:rPr>
          <w:rFonts w:hint="eastAsia" w:ascii="楷体_GB2312" w:eastAsia="楷体_GB2312"/>
          <w:sz w:val="24"/>
          <w:szCs w:val="24"/>
        </w:rPr>
        <w:t>其他</w:t>
      </w:r>
      <w:r>
        <w:rPr>
          <w:rFonts w:ascii="楷体_GB2312" w:eastAsia="楷体_GB2312"/>
          <w:sz w:val="24"/>
          <w:szCs w:val="24"/>
        </w:rPr>
        <w:t>事项中，也不得</w:t>
      </w:r>
      <w:r>
        <w:rPr>
          <w:rFonts w:hint="eastAsia" w:ascii="楷体_GB2312" w:eastAsia="楷体_GB2312"/>
          <w:sz w:val="24"/>
          <w:szCs w:val="24"/>
        </w:rPr>
        <w:t>向任何第三方泄露。</w:t>
      </w:r>
      <w:r>
        <w:rPr>
          <w:rFonts w:hint="eastAsia" w:ascii="楷体_GB2312" w:eastAsia="楷体_GB2312"/>
          <w:color w:val="000000"/>
          <w:sz w:val="24"/>
          <w:szCs w:val="24"/>
          <w:lang w:val="en-US"/>
        </w:rPr>
        <w:t>乙方为甲方客户提供产品或服务需使用甲方客户信息时，必须与</w:t>
      </w:r>
      <w:r>
        <w:rPr>
          <w:rFonts w:ascii="楷体_GB2312" w:eastAsia="楷体_GB2312"/>
          <w:color w:val="000000"/>
          <w:sz w:val="24"/>
          <w:szCs w:val="24"/>
          <w:lang w:val="en-US"/>
        </w:rPr>
        <w:t>甲方</w:t>
      </w:r>
      <w:r>
        <w:rPr>
          <w:rFonts w:hint="eastAsia" w:ascii="楷体_GB2312" w:eastAsia="楷体_GB2312"/>
          <w:color w:val="000000"/>
          <w:sz w:val="24"/>
          <w:szCs w:val="24"/>
          <w:lang w:val="en-US"/>
        </w:rPr>
        <w:t>签订客户信息使用协议。</w:t>
      </w:r>
    </w:p>
    <w:p>
      <w:pPr>
        <w:spacing w:before="100" w:beforeAutospacing="1" w:after="100" w:afterAutospacing="1"/>
        <w:rPr>
          <w:b/>
          <w:bCs/>
          <w:kern w:val="0"/>
          <w:sz w:val="32"/>
          <w:szCs w:val="32"/>
        </w:rPr>
      </w:pPr>
      <w:r>
        <w:br w:type="page"/>
      </w:r>
    </w:p>
    <w:p>
      <w:pPr>
        <w:spacing w:line="240" w:lineRule="auto"/>
        <w:jc w:val="center"/>
        <w:rPr>
          <w:rFonts w:hint="eastAsia" w:ascii="仿宋" w:hAnsi="仿宋" w:eastAsia="仿宋" w:cs="仿宋"/>
          <w:color w:val="000000"/>
          <w:sz w:val="24"/>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7"/>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7"/>
        <w:numPr>
          <w:ilvl w:val="0"/>
          <w:numId w:val="0"/>
        </w:numPr>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pStyle w:val="7"/>
        <w:numPr>
          <w:ilvl w:val="0"/>
          <w:numId w:val="0"/>
        </w:numPr>
        <w:ind w:left="141"/>
        <w:jc w:val="center"/>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日期：__________________________________</w:t>
      </w:r>
    </w:p>
    <w:p>
      <w:pPr>
        <w:pStyle w:val="7"/>
        <w:numPr>
          <w:ilvl w:val="0"/>
          <w:numId w:val="0"/>
        </w:numPr>
        <w:ind w:left="141"/>
        <w:jc w:val="cente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7"/>
        <w:numPr>
          <w:ilvl w:val="0"/>
          <w:numId w:val="0"/>
        </w:numPr>
        <w:ind w:left="141"/>
        <w:jc w:val="center"/>
      </w:pPr>
      <w:r>
        <w:rPr>
          <w:rFonts w:hint="eastAsia"/>
        </w:rPr>
        <w:t>信息安全采购要求承诺函</w:t>
      </w:r>
      <w:bookmarkEnd w:id="11"/>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2"/>
    <w:bookmarkEnd w:id="13"/>
    <w:p>
      <w:pPr>
        <w:widowControl/>
        <w:jc w:val="left"/>
        <w:rPr>
          <w:rFonts w:ascii="Calibri Light" w:hAnsi="Calibri Light"/>
          <w:b/>
          <w:bCs/>
          <w:sz w:val="24"/>
          <w:szCs w:val="24"/>
        </w:rPr>
      </w:pPr>
      <w:r>
        <w:rPr>
          <w:sz w:val="24"/>
          <w:szCs w:val="24"/>
        </w:rPr>
        <w:br w:type="page"/>
      </w:r>
    </w:p>
    <w:p>
      <w:pPr>
        <w:pStyle w:val="6"/>
        <w:numPr>
          <w:ilvl w:val="0"/>
          <w:numId w:val="0"/>
        </w:numPr>
        <w:spacing w:line="240" w:lineRule="auto"/>
        <w:rPr>
          <w:sz w:val="24"/>
          <w:szCs w:val="24"/>
        </w:rPr>
      </w:pPr>
      <w:r>
        <w:rPr>
          <w:rFonts w:hint="eastAsia"/>
          <w:sz w:val="24"/>
          <w:szCs w:val="24"/>
        </w:rPr>
        <w:t>附件4.2 采购需求及技术服务要求</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ascii="仿宋_GB2312" w:hAnsi="仿宋" w:eastAsia="仿宋_GB2312" w:cs="宋体"/>
          <w:sz w:val="28"/>
          <w:szCs w:val="28"/>
        </w:rPr>
      </w:pPr>
      <w:r>
        <w:rPr>
          <w:rFonts w:hint="eastAsia" w:ascii="黑体" w:hAnsi="黑体" w:eastAsia="黑体" w:cs="黑体"/>
          <w:sz w:val="28"/>
          <w:szCs w:val="28"/>
          <w:lang w:val="en-US" w:eastAsia="zh-CN"/>
        </w:rPr>
        <w:t>一、</w:t>
      </w:r>
      <w:r>
        <w:rPr>
          <w:rFonts w:hint="eastAsia" w:ascii="黑体" w:hAnsi="黑体" w:eastAsia="黑体" w:cs="黑体"/>
          <w:sz w:val="28"/>
          <w:szCs w:val="28"/>
        </w:rPr>
        <w:t>项目</w:t>
      </w:r>
      <w:r>
        <w:rPr>
          <w:rFonts w:hint="eastAsia" w:ascii="黑体" w:hAnsi="黑体" w:eastAsia="黑体" w:cs="黑体"/>
          <w:sz w:val="28"/>
          <w:szCs w:val="28"/>
          <w:lang w:val="en-US" w:eastAsia="zh-CN"/>
        </w:rPr>
        <w:t>背景</w:t>
      </w:r>
    </w:p>
    <w:p>
      <w:pPr>
        <w:keepNext w:val="0"/>
        <w:keepLines w:val="0"/>
        <w:pageBreakBefore w:val="0"/>
        <w:widowControl w:val="0"/>
        <w:kinsoku/>
        <w:wordWrap/>
        <w:overflowPunct/>
        <w:topLinePunct w:val="0"/>
        <w:autoSpaceDE/>
        <w:autoSpaceDN/>
        <w:bidi w:val="0"/>
        <w:adjustRightInd/>
        <w:snapToGrid w:val="0"/>
        <w:spacing w:line="520" w:lineRule="exact"/>
        <w:ind w:left="559" w:leftChars="266" w:right="420" w:firstLine="0" w:firstLineChars="0"/>
        <w:textAlignment w:val="auto"/>
        <w:rPr>
          <w:rFonts w:hint="default" w:ascii="仿宋" w:hAnsi="仿宋" w:eastAsia="仿宋" w:cs="仿宋"/>
          <w:i w:val="0"/>
          <w:iCs w:val="0"/>
          <w:color w:val="auto"/>
          <w:sz w:val="24"/>
          <w:szCs w:val="24"/>
          <w:lang w:val="en-US" w:eastAsia="zh-CN"/>
        </w:rPr>
      </w:pPr>
      <w:r>
        <w:rPr>
          <w:rFonts w:hint="eastAsia" w:ascii="仿宋" w:hAnsi="仿宋" w:eastAsia="仿宋" w:cs="仿宋"/>
          <w:i w:val="0"/>
          <w:iCs w:val="0"/>
          <w:color w:val="000000"/>
          <w:sz w:val="24"/>
          <w:szCs w:val="24"/>
          <w:u w:val="none"/>
          <w:lang w:val="en-US" w:eastAsia="zh-CN"/>
        </w:rPr>
        <w:t>为全面掌握存量车险客户附加险认知水平、投保现状、拒保原因、价格敏感度、产品偏好、增购意愿，精准挖掘附加险增量空间，解决附加险渗透率低、客户认知不足、销售推荐不精准等问题。</w:t>
      </w:r>
      <w:r>
        <w:rPr>
          <w:rFonts w:hint="eastAsia" w:ascii="仿宋" w:hAnsi="仿宋" w:eastAsia="仿宋" w:cs="仿宋"/>
          <w:i w:val="0"/>
          <w:iCs w:val="0"/>
          <w:color w:val="000000"/>
          <w:sz w:val="24"/>
          <w:szCs w:val="24"/>
          <w:u w:val="none"/>
          <w:lang w:val="en-US" w:eastAsia="zh-CN"/>
        </w:rPr>
        <w:br w:type="textWrapping"/>
      </w:r>
      <w:r>
        <w:rPr>
          <w:rFonts w:hint="eastAsia" w:ascii="仿宋" w:hAnsi="仿宋" w:eastAsia="仿宋" w:cs="仿宋"/>
          <w:i w:val="0"/>
          <w:iCs w:val="0"/>
          <w:color w:val="000000"/>
          <w:sz w:val="24"/>
          <w:szCs w:val="24"/>
          <w:u w:val="none"/>
          <w:lang w:val="en-US" w:eastAsia="zh-CN"/>
        </w:rPr>
        <w:t>通过独立回访调研，摸清客户对三者医保外用药责任险、驾乘险、划痕险等产品的真实认知、接受度、放弃原因、增购意向及升级需求，输出客户画像、问题归因、增量策略、精准推荐方案，助力机构提升附加险渗透率、合规规范销售、实现车险提质增效。</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二</w:t>
      </w:r>
      <w:r>
        <w:rPr>
          <w:rFonts w:hint="eastAsia" w:ascii="黑体" w:hAnsi="黑体" w:eastAsia="黑体" w:cs="黑体"/>
          <w:b w:val="0"/>
          <w:bCs/>
          <w:sz w:val="28"/>
          <w:szCs w:val="28"/>
        </w:rPr>
        <w:t>、项目</w:t>
      </w:r>
      <w:r>
        <w:rPr>
          <w:rFonts w:hint="eastAsia" w:ascii="黑体" w:hAnsi="黑体" w:eastAsia="黑体" w:cs="黑体"/>
          <w:b w:val="0"/>
          <w:bCs/>
          <w:sz w:val="28"/>
          <w:szCs w:val="28"/>
          <w:lang w:val="en-US" w:eastAsia="zh-CN"/>
        </w:rPr>
        <w:t>预算</w:t>
      </w:r>
    </w:p>
    <w:p>
      <w:pPr>
        <w:keepNext w:val="0"/>
        <w:keepLines w:val="0"/>
        <w:pageBreakBefore w:val="0"/>
        <w:widowControl w:val="0"/>
        <w:kinsoku/>
        <w:wordWrap/>
        <w:overflowPunct/>
        <w:topLinePunct w:val="0"/>
        <w:autoSpaceDE/>
        <w:autoSpaceDN/>
        <w:bidi w:val="0"/>
        <w:adjustRightInd/>
        <w:snapToGrid w:val="0"/>
        <w:spacing w:line="520" w:lineRule="exact"/>
        <w:ind w:right="420" w:firstLine="480" w:firstLineChars="200"/>
        <w:textAlignment w:val="auto"/>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000000"/>
          <w:sz w:val="24"/>
          <w:szCs w:val="24"/>
          <w:u w:val="none"/>
          <w:lang w:val="en-US" w:eastAsia="zh-CN"/>
        </w:rPr>
        <w:t>根据年度保有量估计服务数量*市场单价，</w:t>
      </w:r>
      <w:r>
        <w:rPr>
          <w:rFonts w:hint="eastAsia" w:ascii="仿宋" w:hAnsi="仿宋" w:eastAsia="仿宋" w:cs="仿宋"/>
          <w:i w:val="0"/>
          <w:iCs w:val="0"/>
          <w:color w:val="000000"/>
          <w:sz w:val="24"/>
          <w:szCs w:val="24"/>
        </w:rPr>
        <w:t>本项目的采购预算为</w:t>
      </w:r>
      <w:r>
        <w:rPr>
          <w:rFonts w:hint="eastAsia" w:ascii="仿宋" w:hAnsi="仿宋" w:eastAsia="仿宋" w:cs="仿宋"/>
          <w:i w:val="0"/>
          <w:iCs w:val="0"/>
          <w:color w:val="000000"/>
          <w:sz w:val="24"/>
          <w:szCs w:val="24"/>
          <w:u w:val="single"/>
        </w:rPr>
        <w:t xml:space="preserve"> </w:t>
      </w:r>
      <w:r>
        <w:rPr>
          <w:rFonts w:hint="eastAsia" w:ascii="仿宋" w:hAnsi="仿宋" w:eastAsia="仿宋" w:cs="仿宋"/>
          <w:i w:val="0"/>
          <w:iCs w:val="0"/>
          <w:color w:val="000000"/>
          <w:sz w:val="24"/>
          <w:szCs w:val="24"/>
          <w:u w:val="single"/>
          <w:lang w:val="en-US" w:eastAsia="zh-CN"/>
        </w:rPr>
        <w:t>98</w:t>
      </w:r>
      <w:r>
        <w:rPr>
          <w:rFonts w:hint="eastAsia" w:ascii="仿宋" w:hAnsi="仿宋" w:eastAsia="仿宋" w:cs="仿宋"/>
          <w:i w:val="0"/>
          <w:iCs w:val="0"/>
          <w:color w:val="000000"/>
          <w:sz w:val="24"/>
          <w:szCs w:val="24"/>
          <w:u w:val="single"/>
        </w:rPr>
        <w:t xml:space="preserve"> </w:t>
      </w:r>
      <w:r>
        <w:rPr>
          <w:rFonts w:hint="eastAsia" w:ascii="仿宋" w:hAnsi="仿宋" w:eastAsia="仿宋" w:cs="仿宋"/>
          <w:i w:val="0"/>
          <w:iCs w:val="0"/>
          <w:color w:val="000000"/>
          <w:sz w:val="24"/>
          <w:szCs w:val="24"/>
          <w:u w:val="none"/>
          <w:lang w:val="en-US" w:eastAsia="zh-CN"/>
        </w:rPr>
        <w:t>万元</w:t>
      </w:r>
      <w:r>
        <w:rPr>
          <w:rFonts w:hint="eastAsia" w:ascii="仿宋" w:hAnsi="仿宋" w:eastAsia="仿宋" w:cs="仿宋"/>
          <w:i w:val="0"/>
          <w:iCs w:val="0"/>
          <w:color w:val="000000"/>
          <w:sz w:val="24"/>
          <w:szCs w:val="24"/>
          <w:u w:val="none"/>
        </w:rPr>
        <w:t xml:space="preserve"> </w:t>
      </w:r>
      <w:r>
        <w:rPr>
          <w:rFonts w:hint="eastAsia" w:ascii="仿宋" w:hAnsi="仿宋" w:eastAsia="仿宋" w:cs="仿宋"/>
          <w:i w:val="0"/>
          <w:iCs w:val="0"/>
          <w:color w:val="000000"/>
          <w:sz w:val="24"/>
          <w:szCs w:val="24"/>
          <w:u w:val="none"/>
          <w:lang w:eastAsia="zh-CN"/>
        </w:rPr>
        <w:t>，</w:t>
      </w:r>
      <w:r>
        <w:rPr>
          <w:rFonts w:hint="eastAsia" w:ascii="仿宋" w:hAnsi="仿宋" w:eastAsia="仿宋" w:cs="仿宋"/>
          <w:b w:val="0"/>
          <w:bCs/>
          <w:i w:val="0"/>
          <w:iCs w:val="0"/>
          <w:color w:val="auto"/>
          <w:sz w:val="24"/>
          <w:szCs w:val="24"/>
          <w:lang w:val="en-US" w:eastAsia="zh-CN"/>
        </w:rPr>
        <w:t>预计</w:t>
      </w:r>
      <w:r>
        <w:rPr>
          <w:rFonts w:hint="eastAsia" w:ascii="仿宋" w:hAnsi="仿宋" w:eastAsia="仿宋" w:cs="仿宋"/>
          <w:color w:val="auto"/>
          <w:sz w:val="24"/>
          <w:szCs w:val="24"/>
        </w:rPr>
        <w:t>根据实际服务量据实结算</w:t>
      </w:r>
      <w:r>
        <w:rPr>
          <w:rFonts w:hint="eastAsia" w:ascii="仿宋" w:hAnsi="仿宋" w:eastAsia="仿宋" w:cs="仿宋"/>
          <w:color w:val="auto"/>
          <w:sz w:val="24"/>
          <w:szCs w:val="24"/>
          <w:lang w:eastAsia="zh-CN"/>
        </w:rPr>
        <w:t>，</w:t>
      </w:r>
      <w:r>
        <w:rPr>
          <w:rFonts w:hint="eastAsia" w:ascii="仿宋" w:hAnsi="仿宋" w:eastAsia="仿宋" w:cs="仿宋"/>
          <w:i w:val="0"/>
          <w:iCs w:val="0"/>
          <w:color w:val="000000"/>
          <w:sz w:val="24"/>
          <w:szCs w:val="24"/>
          <w:u w:val="none"/>
          <w:lang w:val="en-US" w:eastAsia="zh-CN"/>
        </w:rPr>
        <w:t>费用成本支出列入咨询及服务费核算</w:t>
      </w:r>
      <w:r>
        <w:rPr>
          <w:rFonts w:hint="eastAsia" w:ascii="仿宋" w:hAnsi="仿宋" w:eastAsia="仿宋" w:cs="仿宋"/>
          <w:i w:val="0"/>
          <w:iCs w:val="0"/>
          <w:color w:val="000000"/>
          <w:sz w:val="24"/>
          <w:szCs w:val="24"/>
        </w:rPr>
        <w:t>。</w:t>
      </w:r>
    </w:p>
    <w:p>
      <w:pPr>
        <w:spacing w:line="600" w:lineRule="exact"/>
        <w:ind w:firstLine="560" w:firstLineChars="200"/>
        <w:rPr>
          <w:rFonts w:hint="eastAsia" w:ascii="黑体" w:hAnsi="黑体" w:eastAsia="黑体" w:cs="黑体"/>
          <w:b w:val="0"/>
          <w:bCs w:val="0"/>
          <w:sz w:val="28"/>
          <w:szCs w:val="28"/>
        </w:rPr>
      </w:pPr>
      <w:r>
        <w:rPr>
          <w:rFonts w:hint="eastAsia" w:ascii="黑体" w:hAnsi="黑体" w:eastAsia="黑体" w:cs="黑体"/>
          <w:b w:val="0"/>
          <w:bCs w:val="0"/>
          <w:sz w:val="28"/>
          <w:szCs w:val="28"/>
          <w:lang w:val="en-US" w:eastAsia="zh-CN"/>
        </w:rPr>
        <w:t>三</w:t>
      </w:r>
      <w:r>
        <w:rPr>
          <w:rFonts w:hint="eastAsia" w:ascii="黑体" w:hAnsi="黑体" w:eastAsia="黑体" w:cs="黑体"/>
          <w:b w:val="0"/>
          <w:bCs w:val="0"/>
          <w:sz w:val="28"/>
          <w:szCs w:val="28"/>
        </w:rPr>
        <w:t>、采购内容</w:t>
      </w:r>
    </w:p>
    <w:p>
      <w:pPr>
        <w:spacing w:line="600" w:lineRule="exact"/>
        <w:ind w:firstLine="560" w:firstLineChars="200"/>
        <w:rPr>
          <w:rFonts w:hint="eastAsia" w:ascii="仿宋_GB2312" w:hAnsi="仿宋_GB2312" w:eastAsia="仿宋_GB2312" w:cs="仿宋_GB2312"/>
          <w:color w:val="0000FF"/>
          <w:sz w:val="28"/>
          <w:szCs w:val="28"/>
          <w:lang w:val="en-US" w:eastAsia="zh-CN"/>
        </w:rPr>
      </w:pPr>
      <w:r>
        <w:rPr>
          <w:rFonts w:hint="eastAsia" w:ascii="仿宋_GB2312" w:hAnsi="仿宋" w:eastAsia="仿宋_GB2312"/>
          <w:sz w:val="28"/>
          <w:szCs w:val="28"/>
        </w:rPr>
        <w:t>本项目选定</w:t>
      </w:r>
      <w:r>
        <w:rPr>
          <w:rFonts w:hint="eastAsia" w:ascii="仿宋_GB2312" w:hAnsi="仿宋" w:eastAsia="仿宋_GB2312" w:cs="宋体"/>
          <w:sz w:val="28"/>
          <w:szCs w:val="28"/>
          <w:u w:val="single"/>
          <w:lang w:val="en-US" w:eastAsia="zh-CN"/>
        </w:rPr>
        <w:t>1</w:t>
      </w:r>
      <w:r>
        <w:rPr>
          <w:rFonts w:hint="eastAsia" w:ascii="仿宋_GB2312" w:hAnsi="仿宋" w:eastAsia="仿宋_GB2312"/>
          <w:sz w:val="28"/>
          <w:szCs w:val="28"/>
        </w:rPr>
        <w:t>家供应商，为我公司提供周期为</w:t>
      </w:r>
      <w:r>
        <w:rPr>
          <w:rFonts w:hint="eastAsia" w:ascii="仿宋_GB2312" w:hAnsi="仿宋" w:eastAsia="仿宋_GB2312"/>
          <w:sz w:val="28"/>
          <w:szCs w:val="28"/>
          <w:lang w:val="en-US" w:eastAsia="zh-CN"/>
        </w:rPr>
        <w:t xml:space="preserve"> </w:t>
      </w:r>
      <w:r>
        <w:rPr>
          <w:rFonts w:hint="eastAsia" w:ascii="仿宋_GB2312" w:hAnsi="仿宋" w:eastAsia="仿宋_GB2312" w:cs="宋体"/>
          <w:sz w:val="28"/>
          <w:szCs w:val="28"/>
          <w:u w:val="single"/>
          <w:lang w:val="en-US" w:eastAsia="zh-CN"/>
        </w:rPr>
        <w:t>1</w:t>
      </w:r>
      <w:r>
        <w:rPr>
          <w:rFonts w:hint="eastAsia" w:ascii="仿宋_GB2312" w:hAnsi="仿宋" w:eastAsia="仿宋_GB2312"/>
          <w:sz w:val="28"/>
          <w:szCs w:val="28"/>
        </w:rPr>
        <w:t>年的</w:t>
      </w:r>
      <w:r>
        <w:rPr>
          <w:rFonts w:hint="eastAsia" w:ascii="仿宋_GB2312" w:hAnsi="仿宋" w:eastAsia="仿宋_GB2312"/>
          <w:sz w:val="28"/>
          <w:szCs w:val="28"/>
          <w:lang w:eastAsia="zh-CN"/>
        </w:rPr>
        <w:t>调研</w:t>
      </w:r>
      <w:r>
        <w:rPr>
          <w:rFonts w:hint="eastAsia" w:ascii="仿宋_GB2312" w:hAnsi="仿宋" w:eastAsia="仿宋_GB2312"/>
          <w:sz w:val="28"/>
          <w:szCs w:val="28"/>
        </w:rPr>
        <w:t>服务。</w:t>
      </w:r>
    </w:p>
    <w:p>
      <w:pPr>
        <w:pStyle w:val="12"/>
        <w:keepNext w:val="0"/>
        <w:keepLines w:val="0"/>
        <w:pageBreakBefore w:val="0"/>
        <w:widowControl w:val="0"/>
        <w:numPr>
          <w:ilvl w:val="0"/>
          <w:numId w:val="4"/>
        </w:numPr>
        <w:kinsoku/>
        <w:wordWrap/>
        <w:overflowPunct/>
        <w:topLinePunct w:val="0"/>
        <w:autoSpaceDE/>
        <w:autoSpaceDN/>
        <w:bidi w:val="0"/>
        <w:adjustRightInd/>
        <w:spacing w:line="520" w:lineRule="exact"/>
        <w:ind w:left="559" w:leftChars="266" w:firstLine="0" w:firstLineChars="0"/>
        <w:textAlignment w:val="auto"/>
        <w:rPr>
          <w:rFonts w:ascii="宋体" w:hAnsi="宋体" w:eastAsia="宋体" w:cs="宋体"/>
          <w:sz w:val="24"/>
          <w:szCs w:val="24"/>
        </w:rPr>
      </w:pPr>
      <w:r>
        <w:rPr>
          <w:rFonts w:hint="eastAsia" w:ascii="黑体" w:hAnsi="黑体" w:eastAsia="黑体" w:cs="黑体"/>
          <w:b w:val="0"/>
          <w:bCs/>
          <w:sz w:val="28"/>
          <w:szCs w:val="28"/>
        </w:rPr>
        <w:t>服务内容要求</w:t>
      </w:r>
      <w:r>
        <w:rPr>
          <w:rFonts w:hint="eastAsia" w:ascii="黑体" w:hAnsi="黑体" w:eastAsia="黑体" w:cs="黑体"/>
          <w:b w:val="0"/>
          <w:bCs/>
          <w:sz w:val="28"/>
          <w:szCs w:val="28"/>
        </w:rPr>
        <w:br w:type="textWrapping"/>
      </w:r>
      <w:r>
        <w:rPr>
          <w:rFonts w:hint="eastAsia" w:ascii="仿宋" w:hAnsi="仿宋" w:eastAsia="仿宋" w:cs="仿宋"/>
          <w:color w:val="auto"/>
          <w:kern w:val="2"/>
          <w:sz w:val="24"/>
          <w:szCs w:val="24"/>
          <w:lang w:val="en-US" w:eastAsia="zh-CN" w:bidi="ar-SA"/>
        </w:rPr>
        <w:t>1. 摸清存量客户附加险认知盲区、认知误区、不了解险种清单。</w:t>
      </w:r>
      <w:r>
        <w:rPr>
          <w:rFonts w:hint="eastAsia" w:ascii="仿宋" w:hAnsi="仿宋" w:eastAsia="仿宋" w:cs="仿宋"/>
          <w:color w:val="auto"/>
          <w:kern w:val="2"/>
          <w:sz w:val="24"/>
          <w:szCs w:val="24"/>
          <w:lang w:val="en-US" w:eastAsia="zh-CN" w:bidi="ar-SA"/>
        </w:rPr>
        <w:br w:type="textWrapping"/>
      </w:r>
      <w:r>
        <w:rPr>
          <w:rFonts w:hint="eastAsia" w:ascii="仿宋" w:hAnsi="仿宋" w:eastAsia="仿宋" w:cs="仿宋"/>
          <w:color w:val="auto"/>
          <w:kern w:val="2"/>
          <w:sz w:val="24"/>
          <w:szCs w:val="24"/>
          <w:lang w:val="en-US" w:eastAsia="zh-CN" w:bidi="ar-SA"/>
        </w:rPr>
        <w:t>2. 精准统计各附加险渗透率、放弃率原因。</w:t>
      </w:r>
      <w:r>
        <w:rPr>
          <w:rFonts w:hint="eastAsia" w:ascii="仿宋" w:hAnsi="仿宋" w:eastAsia="仿宋" w:cs="仿宋"/>
          <w:color w:val="auto"/>
          <w:kern w:val="2"/>
          <w:sz w:val="24"/>
          <w:szCs w:val="24"/>
          <w:lang w:val="en-US" w:eastAsia="zh-CN" w:bidi="ar-SA"/>
        </w:rPr>
        <w:br w:type="textWrapping"/>
      </w:r>
      <w:r>
        <w:rPr>
          <w:rFonts w:hint="eastAsia" w:ascii="仿宋" w:hAnsi="仿宋" w:eastAsia="仿宋" w:cs="仿宋"/>
          <w:color w:val="auto"/>
          <w:kern w:val="2"/>
          <w:sz w:val="24"/>
          <w:szCs w:val="24"/>
          <w:lang w:val="en-US" w:eastAsia="zh-CN" w:bidi="ar-SA"/>
        </w:rPr>
        <w:t>3. 识别高意向增购客户、可升级客户、完全无需求客户分层画像。</w:t>
      </w:r>
      <w:r>
        <w:rPr>
          <w:rFonts w:hint="eastAsia" w:ascii="仿宋" w:hAnsi="仿宋" w:eastAsia="仿宋" w:cs="仿宋"/>
          <w:color w:val="auto"/>
          <w:kern w:val="2"/>
          <w:sz w:val="24"/>
          <w:szCs w:val="24"/>
          <w:lang w:val="en-US" w:eastAsia="zh-CN" w:bidi="ar-SA"/>
        </w:rPr>
        <w:br w:type="textWrapping"/>
      </w:r>
      <w:r>
        <w:rPr>
          <w:rFonts w:hint="eastAsia" w:ascii="仿宋" w:hAnsi="仿宋" w:eastAsia="仿宋" w:cs="仿宋"/>
          <w:color w:val="auto"/>
          <w:kern w:val="2"/>
          <w:sz w:val="24"/>
          <w:szCs w:val="24"/>
          <w:lang w:val="en-US" w:eastAsia="zh-CN" w:bidi="ar-SA"/>
        </w:rPr>
        <w:t>4. 分析价格、讲解、认知、场景、服务五大维度影响因素。</w:t>
      </w:r>
      <w:r>
        <w:rPr>
          <w:rFonts w:hint="eastAsia" w:ascii="仿宋" w:hAnsi="仿宋" w:eastAsia="仿宋" w:cs="仿宋"/>
          <w:color w:val="auto"/>
          <w:kern w:val="2"/>
          <w:sz w:val="24"/>
          <w:szCs w:val="24"/>
          <w:lang w:val="en-US" w:eastAsia="zh-CN" w:bidi="ar-SA"/>
        </w:rPr>
        <w:br w:type="textWrapping"/>
      </w:r>
      <w:r>
        <w:rPr>
          <w:rFonts w:hint="eastAsia" w:ascii="仿宋" w:hAnsi="仿宋" w:eastAsia="仿宋" w:cs="仿宋"/>
          <w:color w:val="auto"/>
          <w:kern w:val="2"/>
          <w:sz w:val="24"/>
          <w:szCs w:val="24"/>
          <w:lang w:val="en-US" w:eastAsia="zh-CN" w:bidi="ar-SA"/>
        </w:rPr>
        <w:t>5. 输出可落地的附加险精准推荐话术、客群策略、增量提升方案。</w:t>
      </w: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br w:type="page"/>
      </w:r>
    </w:p>
    <w:p>
      <w:pPr>
        <w:pStyle w:val="6"/>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rPr>
        <w:rStyle w:val="36"/>
      </w:rPr>
    </w:pPr>
    <w:r>
      <w:fldChar w:fldCharType="begin"/>
    </w:r>
    <w:r>
      <w:rPr>
        <w:rStyle w:val="36"/>
      </w:rPr>
      <w:instrText xml:space="preserve">PAGE  </w:instrText>
    </w:r>
    <w:r>
      <w:fldChar w:fldCharType="separate"/>
    </w:r>
    <w:r>
      <w:rPr>
        <w:rStyle w:val="36"/>
      </w:rPr>
      <w:t>21</w:t>
    </w:r>
    <w:r>
      <w:fldChar w:fldCharType="end"/>
    </w:r>
  </w:p>
  <w:p>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rPr>
        <w:rStyle w:val="36"/>
      </w:rPr>
    </w:pPr>
    <w:r>
      <w:fldChar w:fldCharType="begin"/>
    </w:r>
    <w:r>
      <w:rPr>
        <w:rStyle w:val="36"/>
      </w:rPr>
      <w:instrText xml:space="preserve">PAGE  </w:instrText>
    </w:r>
    <w:r>
      <w:fldChar w:fldCharType="end"/>
    </w:r>
  </w:p>
  <w:p>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DDBECB"/>
    <w:multiLevelType w:val="singleLevel"/>
    <w:tmpl w:val="95DDBECB"/>
    <w:lvl w:ilvl="0" w:tentative="0">
      <w:start w:val="4"/>
      <w:numFmt w:val="chineseCounting"/>
      <w:suff w:val="nothing"/>
      <w:lvlText w:val="%1、"/>
      <w:lvlJc w:val="left"/>
      <w:rPr>
        <w:rFonts w:hint="eastAsia"/>
      </w:rPr>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5"/>
      <w:suff w:val="space"/>
      <w:lvlText w:val="%1、"/>
      <w:lvlJc w:val="left"/>
      <w:pPr>
        <w:ind w:left="0" w:firstLine="0"/>
      </w:pPr>
      <w:rPr>
        <w:rFonts w:hint="eastAsia"/>
        <w:b/>
        <w:i w:val="0"/>
      </w:rPr>
    </w:lvl>
    <w:lvl w:ilvl="1" w:tentative="0">
      <w:start w:val="1"/>
      <w:numFmt w:val="decimal"/>
      <w:pStyle w:val="6"/>
      <w:suff w:val="space"/>
      <w:lvlText w:val="%2."/>
      <w:lvlJc w:val="left"/>
      <w:pPr>
        <w:ind w:left="0" w:firstLine="0"/>
      </w:pPr>
      <w:rPr>
        <w:rFonts w:hint="eastAsia"/>
        <w:b/>
        <w:i w:val="0"/>
      </w:rPr>
    </w:lvl>
    <w:lvl w:ilvl="2" w:tentative="0">
      <w:start w:val="1"/>
      <w:numFmt w:val="decimal"/>
      <w:pStyle w:val="7"/>
      <w:suff w:val="space"/>
      <w:lvlText w:val="%2.%3"/>
      <w:lvlJc w:val="left"/>
      <w:pPr>
        <w:ind w:left="141" w:firstLine="0"/>
      </w:pPr>
      <w:rPr>
        <w:rFonts w:hint="eastAsia"/>
        <w:b/>
        <w:i w:val="0"/>
      </w:rPr>
    </w:lvl>
    <w:lvl w:ilvl="3" w:tentative="0">
      <w:start w:val="1"/>
      <w:numFmt w:val="decimal"/>
      <w:pStyle w:val="8"/>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9"/>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5"/>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1"/>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2E6531C"/>
    <w:rsid w:val="09AE389E"/>
    <w:rsid w:val="0BAE24F3"/>
    <w:rsid w:val="1D34206D"/>
    <w:rsid w:val="22B83411"/>
    <w:rsid w:val="24684952"/>
    <w:rsid w:val="2F1E302B"/>
    <w:rsid w:val="2F2C54DF"/>
    <w:rsid w:val="30E564F2"/>
    <w:rsid w:val="39655067"/>
    <w:rsid w:val="49933EBD"/>
    <w:rsid w:val="59375A10"/>
    <w:rsid w:val="607109A5"/>
    <w:rsid w:val="62433F89"/>
    <w:rsid w:val="668666D6"/>
    <w:rsid w:val="66B37873"/>
    <w:rsid w:val="77B5068E"/>
    <w:rsid w:val="786B3A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5">
    <w:name w:val="heading 1"/>
    <w:basedOn w:val="1"/>
    <w:next w:val="1"/>
    <w:link w:val="42"/>
    <w:qFormat/>
    <w:uiPriority w:val="9"/>
    <w:pPr>
      <w:keepNext/>
      <w:widowControl/>
      <w:numPr>
        <w:ilvl w:val="0"/>
        <w:numId w:val="1"/>
      </w:numPr>
      <w:spacing w:line="360" w:lineRule="auto"/>
      <w:outlineLvl w:val="0"/>
    </w:pPr>
    <w:rPr>
      <w:rFonts w:ascii="宋体" w:hAnsi="宋体" w:cs="宋体"/>
      <w:b/>
      <w:bCs/>
      <w:kern w:val="36"/>
      <w:szCs w:val="21"/>
    </w:rPr>
  </w:style>
  <w:style w:type="paragraph" w:styleId="6">
    <w:name w:val="heading 2"/>
    <w:basedOn w:val="1"/>
    <w:next w:val="1"/>
    <w:link w:val="43"/>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7">
    <w:name w:val="heading 3"/>
    <w:basedOn w:val="1"/>
    <w:next w:val="1"/>
    <w:link w:val="44"/>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8">
    <w:name w:val="heading 4"/>
    <w:basedOn w:val="1"/>
    <w:next w:val="1"/>
    <w:link w:val="45"/>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9">
    <w:name w:val="heading 5"/>
    <w:basedOn w:val="1"/>
    <w:next w:val="1"/>
    <w:link w:val="46"/>
    <w:unhideWhenUsed/>
    <w:qFormat/>
    <w:uiPriority w:val="9"/>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47"/>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adjustRightInd/>
      <w:spacing w:line="240" w:lineRule="auto"/>
      <w:jc w:val="both"/>
      <w:textAlignment w:val="auto"/>
    </w:pPr>
    <w:rPr>
      <w:kern w:val="2"/>
      <w:sz w:val="28"/>
    </w:rPr>
  </w:style>
  <w:style w:type="paragraph" w:customStyle="1" w:styleId="3">
    <w:name w:val="Default"/>
    <w:next w:val="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table of figures"/>
    <w:basedOn w:val="1"/>
    <w:next w:val="1"/>
    <w:semiHidden/>
    <w:qFormat/>
    <w:uiPriority w:val="0"/>
    <w:pPr>
      <w:ind w:left="840" w:hanging="420"/>
    </w:pPr>
  </w:style>
  <w:style w:type="paragraph" w:styleId="11">
    <w:name w:val="toc 7"/>
    <w:basedOn w:val="1"/>
    <w:next w:val="1"/>
    <w:unhideWhenUsed/>
    <w:qFormat/>
    <w:uiPriority w:val="39"/>
    <w:pPr>
      <w:spacing w:line="360" w:lineRule="auto"/>
      <w:ind w:left="2520" w:leftChars="1200"/>
    </w:pPr>
    <w:rPr>
      <w:rFonts w:ascii="Calibri" w:hAnsi="Calibri" w:eastAsia="楷体"/>
      <w:szCs w:val="22"/>
    </w:rPr>
  </w:style>
  <w:style w:type="paragraph" w:styleId="12">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3">
    <w:name w:val="Document Map"/>
    <w:basedOn w:val="1"/>
    <w:link w:val="121"/>
    <w:unhideWhenUsed/>
    <w:qFormat/>
    <w:uiPriority w:val="99"/>
    <w:pPr>
      <w:spacing w:line="360" w:lineRule="auto"/>
      <w:ind w:firstLine="200" w:firstLineChars="200"/>
    </w:pPr>
    <w:rPr>
      <w:rFonts w:ascii="Microsoft YaHei UI" w:hAnsi="Calibri" w:eastAsia="Microsoft YaHei UI"/>
      <w:sz w:val="18"/>
      <w:szCs w:val="18"/>
    </w:rPr>
  </w:style>
  <w:style w:type="paragraph" w:styleId="14">
    <w:name w:val="annotation text"/>
    <w:basedOn w:val="1"/>
    <w:link w:val="122"/>
    <w:unhideWhenUsed/>
    <w:qFormat/>
    <w:uiPriority w:val="99"/>
    <w:pPr>
      <w:spacing w:line="360" w:lineRule="auto"/>
      <w:ind w:firstLine="200" w:firstLineChars="200"/>
      <w:jc w:val="left"/>
    </w:pPr>
    <w:rPr>
      <w:rFonts w:ascii="Calibri" w:hAnsi="Calibri" w:eastAsia="楷体"/>
      <w:sz w:val="24"/>
      <w:szCs w:val="22"/>
    </w:rPr>
  </w:style>
  <w:style w:type="paragraph" w:styleId="15">
    <w:name w:val="Body Text Indent"/>
    <w:basedOn w:val="1"/>
    <w:qFormat/>
    <w:uiPriority w:val="99"/>
    <w:pPr>
      <w:spacing w:line="240" w:lineRule="auto"/>
      <w:ind w:left="1104" w:leftChars="460"/>
    </w:pPr>
    <w:rPr>
      <w:rFonts w:ascii="宋体" w:hAnsi="宋体"/>
      <w:szCs w:val="21"/>
    </w:rPr>
  </w:style>
  <w:style w:type="paragraph" w:styleId="16">
    <w:name w:val="toc 5"/>
    <w:basedOn w:val="1"/>
    <w:next w:val="1"/>
    <w:unhideWhenUsed/>
    <w:qFormat/>
    <w:uiPriority w:val="39"/>
    <w:pPr>
      <w:spacing w:line="360" w:lineRule="auto"/>
      <w:ind w:left="1680" w:leftChars="800"/>
    </w:pPr>
    <w:rPr>
      <w:rFonts w:ascii="Calibri" w:hAnsi="Calibri" w:eastAsia="楷体"/>
      <w:szCs w:val="22"/>
    </w:rPr>
  </w:style>
  <w:style w:type="paragraph" w:styleId="17">
    <w:name w:val="toc 3"/>
    <w:basedOn w:val="1"/>
    <w:next w:val="1"/>
    <w:qFormat/>
    <w:uiPriority w:val="39"/>
    <w:pPr>
      <w:ind w:left="840" w:leftChars="400"/>
    </w:pPr>
  </w:style>
  <w:style w:type="paragraph" w:styleId="18">
    <w:name w:val="Plain Text"/>
    <w:basedOn w:val="1"/>
    <w:link w:val="55"/>
    <w:qFormat/>
    <w:uiPriority w:val="0"/>
    <w:pPr>
      <w:widowControl/>
    </w:pPr>
    <w:rPr>
      <w:rFonts w:ascii="宋体" w:hAnsi="宋体" w:cs="宋体"/>
      <w:kern w:val="0"/>
      <w:szCs w:val="21"/>
    </w:rPr>
  </w:style>
  <w:style w:type="paragraph" w:styleId="19">
    <w:name w:val="toc 8"/>
    <w:basedOn w:val="1"/>
    <w:next w:val="1"/>
    <w:unhideWhenUsed/>
    <w:qFormat/>
    <w:uiPriority w:val="39"/>
    <w:pPr>
      <w:spacing w:line="360" w:lineRule="auto"/>
      <w:ind w:left="2940" w:leftChars="1400"/>
    </w:pPr>
    <w:rPr>
      <w:rFonts w:ascii="Calibri" w:hAnsi="Calibri" w:eastAsia="楷体"/>
      <w:szCs w:val="22"/>
    </w:rPr>
  </w:style>
  <w:style w:type="paragraph" w:styleId="20">
    <w:name w:val="Date"/>
    <w:basedOn w:val="1"/>
    <w:next w:val="1"/>
    <w:link w:val="54"/>
    <w:qFormat/>
    <w:uiPriority w:val="0"/>
    <w:pPr>
      <w:widowControl/>
      <w:spacing w:line="360" w:lineRule="atLeast"/>
      <w:ind w:left="100" w:leftChars="2500"/>
      <w:jc w:val="left"/>
    </w:pPr>
    <w:rPr>
      <w:kern w:val="0"/>
      <w:sz w:val="24"/>
      <w:szCs w:val="24"/>
    </w:rPr>
  </w:style>
  <w:style w:type="paragraph" w:styleId="21">
    <w:name w:val="Body Text Indent 2"/>
    <w:basedOn w:val="1"/>
    <w:qFormat/>
    <w:uiPriority w:val="0"/>
    <w:pPr>
      <w:spacing w:line="240" w:lineRule="atLeast"/>
      <w:ind w:left="420"/>
    </w:pPr>
    <w:rPr>
      <w:rFonts w:ascii="宋体" w:hAnsi="宋体"/>
      <w:szCs w:val="24"/>
    </w:rPr>
  </w:style>
  <w:style w:type="paragraph" w:styleId="22">
    <w:name w:val="Balloon Text"/>
    <w:basedOn w:val="1"/>
    <w:link w:val="124"/>
    <w:unhideWhenUsed/>
    <w:qFormat/>
    <w:uiPriority w:val="99"/>
    <w:pPr>
      <w:spacing w:line="360" w:lineRule="auto"/>
      <w:ind w:firstLine="200" w:firstLineChars="200"/>
    </w:pPr>
    <w:rPr>
      <w:rFonts w:ascii="Calibri" w:hAnsi="Calibri" w:eastAsia="楷体"/>
      <w:sz w:val="18"/>
      <w:szCs w:val="18"/>
    </w:rPr>
  </w:style>
  <w:style w:type="paragraph" w:styleId="23">
    <w:name w:val="footer"/>
    <w:basedOn w:val="1"/>
    <w:link w:val="41"/>
    <w:unhideWhenUsed/>
    <w:qFormat/>
    <w:uiPriority w:val="99"/>
    <w:pPr>
      <w:tabs>
        <w:tab w:val="center" w:pos="4153"/>
        <w:tab w:val="right" w:pos="8306"/>
      </w:tabs>
      <w:snapToGrid w:val="0"/>
      <w:jc w:val="left"/>
    </w:pPr>
    <w:rPr>
      <w:sz w:val="18"/>
      <w:szCs w:val="18"/>
    </w:rPr>
  </w:style>
  <w:style w:type="paragraph" w:styleId="24">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widowControl/>
    </w:pPr>
    <w:rPr>
      <w:kern w:val="0"/>
      <w:szCs w:val="21"/>
    </w:rPr>
  </w:style>
  <w:style w:type="paragraph" w:styleId="26">
    <w:name w:val="toc 4"/>
    <w:basedOn w:val="1"/>
    <w:next w:val="1"/>
    <w:unhideWhenUsed/>
    <w:qFormat/>
    <w:uiPriority w:val="39"/>
    <w:pPr>
      <w:spacing w:line="360" w:lineRule="auto"/>
      <w:ind w:left="1260" w:leftChars="600"/>
    </w:pPr>
    <w:rPr>
      <w:rFonts w:ascii="Calibri" w:hAnsi="Calibri" w:eastAsia="楷体"/>
      <w:szCs w:val="22"/>
    </w:rPr>
  </w:style>
  <w:style w:type="paragraph" w:styleId="27">
    <w:name w:val="toc 6"/>
    <w:basedOn w:val="1"/>
    <w:next w:val="1"/>
    <w:unhideWhenUsed/>
    <w:qFormat/>
    <w:uiPriority w:val="39"/>
    <w:pPr>
      <w:spacing w:line="360" w:lineRule="auto"/>
      <w:ind w:left="2100" w:leftChars="1000"/>
    </w:pPr>
    <w:rPr>
      <w:rFonts w:ascii="Calibri" w:hAnsi="Calibri" w:eastAsia="楷体"/>
      <w:szCs w:val="22"/>
    </w:rPr>
  </w:style>
  <w:style w:type="paragraph" w:styleId="28">
    <w:name w:val="toc 2"/>
    <w:basedOn w:val="1"/>
    <w:next w:val="1"/>
    <w:qFormat/>
    <w:uiPriority w:val="39"/>
    <w:pPr>
      <w:widowControl/>
      <w:ind w:left="420" w:leftChars="200"/>
    </w:pPr>
    <w:rPr>
      <w:kern w:val="0"/>
      <w:szCs w:val="21"/>
    </w:rPr>
  </w:style>
  <w:style w:type="paragraph" w:styleId="29">
    <w:name w:val="toc 9"/>
    <w:basedOn w:val="1"/>
    <w:next w:val="1"/>
    <w:unhideWhenUsed/>
    <w:qFormat/>
    <w:uiPriority w:val="39"/>
    <w:pPr>
      <w:spacing w:line="360" w:lineRule="auto"/>
      <w:ind w:left="3360" w:leftChars="1600"/>
    </w:pPr>
    <w:rPr>
      <w:rFonts w:ascii="Calibri" w:hAnsi="Calibri" w:eastAsia="楷体"/>
      <w:szCs w:val="22"/>
    </w:rPr>
  </w:style>
  <w:style w:type="paragraph" w:styleId="30">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31">
    <w:name w:val="Title"/>
    <w:basedOn w:val="1"/>
    <w:next w:val="1"/>
    <w:link w:val="120"/>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2">
    <w:name w:val="annotation subject"/>
    <w:basedOn w:val="14"/>
    <w:next w:val="14"/>
    <w:link w:val="63"/>
    <w:unhideWhenUsed/>
    <w:qFormat/>
    <w:uiPriority w:val="0"/>
    <w:rPr>
      <w:rFonts w:asciiTheme="minorHAnsi" w:hAnsiTheme="minorHAnsi" w:cstheme="minorBidi"/>
      <w:b/>
      <w:bCs/>
      <w:lang w:val="zh-CN" w:eastAsia="zh-CN"/>
    </w:rPr>
  </w:style>
  <w:style w:type="table" w:styleId="34">
    <w:name w:val="Table Grid"/>
    <w:basedOn w:val="33"/>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page number"/>
    <w:basedOn w:val="35"/>
    <w:qFormat/>
    <w:uiPriority w:val="0"/>
  </w:style>
  <w:style w:type="character" w:styleId="37">
    <w:name w:val="FollowedHyperlink"/>
    <w:qFormat/>
    <w:uiPriority w:val="99"/>
    <w:rPr>
      <w:color w:val="800080"/>
      <w:u w:val="single"/>
    </w:rPr>
  </w:style>
  <w:style w:type="character" w:styleId="38">
    <w:name w:val="Hyperlink"/>
    <w:qFormat/>
    <w:uiPriority w:val="99"/>
    <w:rPr>
      <w:color w:val="0000FF"/>
      <w:u w:val="single"/>
    </w:rPr>
  </w:style>
  <w:style w:type="character" w:styleId="39">
    <w:name w:val="annotation reference"/>
    <w:qFormat/>
    <w:uiPriority w:val="0"/>
    <w:rPr>
      <w:sz w:val="21"/>
      <w:szCs w:val="21"/>
    </w:rPr>
  </w:style>
  <w:style w:type="character" w:customStyle="1" w:styleId="40">
    <w:name w:val="页眉 Char"/>
    <w:basedOn w:val="35"/>
    <w:link w:val="24"/>
    <w:qFormat/>
    <w:uiPriority w:val="99"/>
    <w:rPr>
      <w:sz w:val="18"/>
      <w:szCs w:val="18"/>
    </w:rPr>
  </w:style>
  <w:style w:type="character" w:customStyle="1" w:styleId="41">
    <w:name w:val="页脚 Char"/>
    <w:basedOn w:val="35"/>
    <w:link w:val="23"/>
    <w:qFormat/>
    <w:uiPriority w:val="99"/>
    <w:rPr>
      <w:sz w:val="18"/>
      <w:szCs w:val="18"/>
    </w:rPr>
  </w:style>
  <w:style w:type="character" w:customStyle="1" w:styleId="42">
    <w:name w:val="标题 1 Char"/>
    <w:basedOn w:val="35"/>
    <w:link w:val="5"/>
    <w:qFormat/>
    <w:uiPriority w:val="9"/>
    <w:rPr>
      <w:rFonts w:ascii="宋体" w:hAnsi="宋体" w:eastAsia="宋体" w:cs="宋体"/>
      <w:b/>
      <w:bCs/>
      <w:kern w:val="36"/>
      <w:szCs w:val="21"/>
    </w:rPr>
  </w:style>
  <w:style w:type="character" w:customStyle="1" w:styleId="43">
    <w:name w:val="标题 2 Char"/>
    <w:basedOn w:val="35"/>
    <w:link w:val="6"/>
    <w:qFormat/>
    <w:uiPriority w:val="9"/>
    <w:rPr>
      <w:rFonts w:ascii="Calibri Light" w:hAnsi="Calibri Light" w:eastAsia="宋体" w:cs="Times New Roman"/>
      <w:b/>
      <w:bCs/>
      <w:sz w:val="32"/>
      <w:szCs w:val="32"/>
    </w:rPr>
  </w:style>
  <w:style w:type="character" w:customStyle="1" w:styleId="44">
    <w:name w:val="标题 3 Char"/>
    <w:basedOn w:val="35"/>
    <w:link w:val="7"/>
    <w:qFormat/>
    <w:uiPriority w:val="9"/>
    <w:rPr>
      <w:rFonts w:ascii="Times New Roman" w:hAnsi="Times New Roman" w:eastAsia="宋体" w:cs="Times New Roman"/>
      <w:b/>
      <w:bCs/>
      <w:kern w:val="0"/>
      <w:sz w:val="32"/>
      <w:szCs w:val="32"/>
    </w:rPr>
  </w:style>
  <w:style w:type="character" w:customStyle="1" w:styleId="45">
    <w:name w:val="标题 4 Char"/>
    <w:basedOn w:val="35"/>
    <w:link w:val="8"/>
    <w:qFormat/>
    <w:uiPriority w:val="9"/>
    <w:rPr>
      <w:rFonts w:ascii="Calibri Light" w:hAnsi="Calibri Light" w:eastAsia="宋体" w:cs="Times New Roman"/>
      <w:b/>
      <w:bCs/>
      <w:sz w:val="28"/>
      <w:szCs w:val="28"/>
    </w:rPr>
  </w:style>
  <w:style w:type="character" w:customStyle="1" w:styleId="46">
    <w:name w:val="标题 5 Char"/>
    <w:basedOn w:val="35"/>
    <w:link w:val="9"/>
    <w:qFormat/>
    <w:uiPriority w:val="9"/>
    <w:rPr>
      <w:rFonts w:ascii="Times New Roman" w:hAnsi="Times New Roman" w:eastAsia="宋体" w:cs="Times New Roman"/>
      <w:b/>
      <w:bCs/>
      <w:sz w:val="28"/>
      <w:szCs w:val="28"/>
    </w:rPr>
  </w:style>
  <w:style w:type="character" w:customStyle="1" w:styleId="47">
    <w:name w:val="标题 6 Char"/>
    <w:basedOn w:val="35"/>
    <w:link w:val="10"/>
    <w:qFormat/>
    <w:uiPriority w:val="9"/>
    <w:rPr>
      <w:rFonts w:ascii="Cambria" w:hAnsi="Cambria" w:eastAsia="宋体" w:cs="宋体"/>
      <w:b/>
      <w:bCs/>
      <w:kern w:val="0"/>
      <w:sz w:val="24"/>
      <w:szCs w:val="24"/>
    </w:rPr>
  </w:style>
  <w:style w:type="character" w:customStyle="1" w:styleId="48">
    <w:name w:val="charchar1"/>
    <w:qFormat/>
    <w:uiPriority w:val="0"/>
    <w:rPr>
      <w:rFonts w:hint="default" w:ascii="Times New Roman" w:hAnsi="Times New Roman" w:cs="Times New Roman"/>
    </w:rPr>
  </w:style>
  <w:style w:type="character" w:customStyle="1" w:styleId="49">
    <w:name w:val="font11"/>
    <w:qFormat/>
    <w:uiPriority w:val="0"/>
    <w:rPr>
      <w:rFonts w:hint="default" w:ascii="Calibri" w:hAnsi="Calibri" w:cs="Calibri"/>
      <w:color w:val="1F497D"/>
      <w:sz w:val="21"/>
      <w:szCs w:val="21"/>
      <w:u w:val="none"/>
    </w:rPr>
  </w:style>
  <w:style w:type="character" w:customStyle="1" w:styleId="50">
    <w:name w:val="font71"/>
    <w:qFormat/>
    <w:uiPriority w:val="0"/>
    <w:rPr>
      <w:rFonts w:ascii="font-weight : 400" w:hAnsi="font-weight : 400" w:eastAsia="font-weight : 400" w:cs="font-weight : 400"/>
      <w:color w:val="000000"/>
      <w:sz w:val="21"/>
      <w:szCs w:val="21"/>
      <w:u w:val="none"/>
    </w:rPr>
  </w:style>
  <w:style w:type="character" w:customStyle="1" w:styleId="51">
    <w:name w:val="font81"/>
    <w:qFormat/>
    <w:uiPriority w:val="0"/>
    <w:rPr>
      <w:rFonts w:ascii="Calibri" w:hAnsi="Calibri" w:cs="Calibri"/>
      <w:color w:val="000000"/>
      <w:sz w:val="21"/>
      <w:szCs w:val="21"/>
      <w:u w:val="none"/>
    </w:rPr>
  </w:style>
  <w:style w:type="character" w:customStyle="1" w:styleId="52">
    <w:name w:val="font61"/>
    <w:qFormat/>
    <w:uiPriority w:val="0"/>
    <w:rPr>
      <w:rFonts w:hint="eastAsia" w:ascii="宋体" w:hAnsi="宋体" w:eastAsia="宋体" w:cs="宋体"/>
      <w:color w:val="000000"/>
      <w:sz w:val="20"/>
      <w:szCs w:val="20"/>
      <w:u w:val="none"/>
    </w:rPr>
  </w:style>
  <w:style w:type="character" w:customStyle="1" w:styleId="53">
    <w:name w:val="font21"/>
    <w:qFormat/>
    <w:uiPriority w:val="0"/>
    <w:rPr>
      <w:rFonts w:ascii="Calibri" w:hAnsi="Calibri" w:cs="Calibri"/>
      <w:color w:val="000000"/>
      <w:sz w:val="21"/>
      <w:szCs w:val="21"/>
      <w:u w:val="none"/>
    </w:rPr>
  </w:style>
  <w:style w:type="character" w:customStyle="1" w:styleId="54">
    <w:name w:val="日期 Char"/>
    <w:basedOn w:val="35"/>
    <w:link w:val="20"/>
    <w:qFormat/>
    <w:uiPriority w:val="0"/>
    <w:rPr>
      <w:rFonts w:ascii="Times New Roman" w:hAnsi="Times New Roman" w:eastAsia="宋体" w:cs="Times New Roman"/>
      <w:kern w:val="0"/>
      <w:sz w:val="24"/>
      <w:szCs w:val="24"/>
    </w:rPr>
  </w:style>
  <w:style w:type="character" w:customStyle="1" w:styleId="55">
    <w:name w:val="纯文本 Char"/>
    <w:basedOn w:val="35"/>
    <w:link w:val="18"/>
    <w:qFormat/>
    <w:uiPriority w:val="0"/>
    <w:rPr>
      <w:rFonts w:ascii="宋体" w:hAnsi="宋体" w:eastAsia="宋体" w:cs="宋体"/>
      <w:kern w:val="0"/>
      <w:szCs w:val="21"/>
    </w:rPr>
  </w:style>
  <w:style w:type="paragraph" w:customStyle="1" w:styleId="56">
    <w:name w:val="p0"/>
    <w:basedOn w:val="1"/>
    <w:qFormat/>
    <w:uiPriority w:val="0"/>
    <w:pPr>
      <w:widowControl/>
    </w:pPr>
    <w:rPr>
      <w:rFonts w:ascii="宋体" w:hAnsi="宋体" w:cs="宋体"/>
      <w:kern w:val="0"/>
      <w:szCs w:val="21"/>
    </w:rPr>
  </w:style>
  <w:style w:type="paragraph" w:customStyle="1" w:styleId="57">
    <w:name w:val="文档结构图1"/>
    <w:basedOn w:val="1"/>
    <w:next w:val="13"/>
    <w:link w:val="58"/>
    <w:qFormat/>
    <w:uiPriority w:val="0"/>
    <w:pPr>
      <w:spacing w:line="360" w:lineRule="auto"/>
      <w:ind w:firstLine="200" w:firstLineChars="200"/>
    </w:pPr>
    <w:rPr>
      <w:rFonts w:ascii="宋体" w:hAnsi="Calibri" w:eastAsia="楷体"/>
      <w:sz w:val="18"/>
      <w:szCs w:val="18"/>
      <w:lang w:val="zh-CN" w:eastAsia="zh-CN"/>
    </w:rPr>
  </w:style>
  <w:style w:type="character" w:customStyle="1" w:styleId="58">
    <w:name w:val="文档结构图 Char"/>
    <w:link w:val="57"/>
    <w:qFormat/>
    <w:uiPriority w:val="0"/>
    <w:rPr>
      <w:rFonts w:ascii="宋体" w:hAnsi="Calibri" w:eastAsia="楷体" w:cs="Times New Roman"/>
      <w:sz w:val="18"/>
      <w:szCs w:val="18"/>
      <w:lang w:val="zh-CN" w:eastAsia="zh-CN"/>
    </w:rPr>
  </w:style>
  <w:style w:type="table" w:customStyle="1" w:styleId="59">
    <w:name w:val="网格型1"/>
    <w:basedOn w:val="33"/>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0">
    <w:name w:val="批注文字1"/>
    <w:basedOn w:val="1"/>
    <w:next w:val="14"/>
    <w:link w:val="61"/>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61">
    <w:name w:val="批注文字 Char"/>
    <w:link w:val="60"/>
    <w:qFormat/>
    <w:uiPriority w:val="0"/>
    <w:rPr>
      <w:rFonts w:ascii="Calibri" w:hAnsi="Calibri" w:eastAsia="楷体" w:cs="Times New Roman"/>
      <w:sz w:val="24"/>
      <w:lang w:val="zh-CN" w:eastAsia="zh-CN"/>
    </w:rPr>
  </w:style>
  <w:style w:type="paragraph" w:customStyle="1" w:styleId="62">
    <w:name w:val="批注主题1"/>
    <w:basedOn w:val="14"/>
    <w:next w:val="14"/>
    <w:qFormat/>
    <w:uiPriority w:val="0"/>
    <w:rPr>
      <w:b/>
      <w:bCs/>
      <w:lang w:val="zh-CN" w:eastAsia="zh-CN"/>
    </w:rPr>
  </w:style>
  <w:style w:type="character" w:customStyle="1" w:styleId="63">
    <w:name w:val="批注主题 Char"/>
    <w:link w:val="32"/>
    <w:qFormat/>
    <w:uiPriority w:val="0"/>
    <w:rPr>
      <w:rFonts w:eastAsia="楷体"/>
      <w:b/>
      <w:bCs/>
      <w:sz w:val="24"/>
      <w:lang w:val="zh-CN" w:eastAsia="zh-CN"/>
    </w:rPr>
  </w:style>
  <w:style w:type="paragraph" w:customStyle="1" w:styleId="64">
    <w:name w:val="批注框文本1"/>
    <w:basedOn w:val="1"/>
    <w:next w:val="22"/>
    <w:link w:val="65"/>
    <w:qFormat/>
    <w:uiPriority w:val="0"/>
    <w:pPr>
      <w:spacing w:line="360" w:lineRule="auto"/>
      <w:ind w:firstLine="200" w:firstLineChars="200"/>
    </w:pPr>
    <w:rPr>
      <w:rFonts w:ascii="Calibri" w:hAnsi="Calibri" w:eastAsia="楷体"/>
      <w:sz w:val="18"/>
      <w:szCs w:val="18"/>
      <w:lang w:val="zh-CN" w:eastAsia="zh-CN"/>
    </w:rPr>
  </w:style>
  <w:style w:type="character" w:customStyle="1" w:styleId="65">
    <w:name w:val="批注框文本 Char"/>
    <w:link w:val="64"/>
    <w:qFormat/>
    <w:uiPriority w:val="0"/>
    <w:rPr>
      <w:rFonts w:ascii="Calibri" w:hAnsi="Calibri" w:eastAsia="楷体" w:cs="Times New Roman"/>
      <w:sz w:val="18"/>
      <w:szCs w:val="18"/>
      <w:lang w:val="zh-CN" w:eastAsia="zh-CN"/>
    </w:rPr>
  </w:style>
  <w:style w:type="paragraph" w:customStyle="1" w:styleId="66">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7">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8">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9">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70">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1">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3">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4">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5">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6">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9">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5">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8">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9">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100">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1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6">
    <w:name w:val="????nd1"/>
    <w:basedOn w:val="1"/>
    <w:next w:val="12"/>
    <w:link w:val="117"/>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7">
    <w:name w:val="正文缩进 Char"/>
    <w:link w:val="116"/>
    <w:qFormat/>
    <w:uiPriority w:val="0"/>
    <w:rPr>
      <w:rFonts w:ascii="Calibri" w:hAnsi="Calibri" w:eastAsia="楷体" w:cs="Times New Roman"/>
      <w:sz w:val="24"/>
      <w:szCs w:val="20"/>
    </w:rPr>
  </w:style>
  <w:style w:type="paragraph" w:customStyle="1" w:styleId="118">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9">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20">
    <w:name w:val="标题 Char"/>
    <w:link w:val="31"/>
    <w:qFormat/>
    <w:uiPriority w:val="10"/>
    <w:rPr>
      <w:rFonts w:ascii="Calibri Light" w:hAnsi="Calibri Light"/>
      <w:b/>
      <w:bCs/>
      <w:sz w:val="32"/>
      <w:szCs w:val="32"/>
    </w:rPr>
  </w:style>
  <w:style w:type="character" w:customStyle="1" w:styleId="121">
    <w:name w:val="文档结构图 Char1"/>
    <w:basedOn w:val="35"/>
    <w:link w:val="13"/>
    <w:qFormat/>
    <w:uiPriority w:val="99"/>
    <w:rPr>
      <w:rFonts w:ascii="Microsoft YaHei UI" w:hAnsi="Calibri" w:eastAsia="Microsoft YaHei UI" w:cs="Times New Roman"/>
      <w:sz w:val="18"/>
      <w:szCs w:val="18"/>
    </w:rPr>
  </w:style>
  <w:style w:type="character" w:customStyle="1" w:styleId="122">
    <w:name w:val="批注文字 Char1"/>
    <w:basedOn w:val="35"/>
    <w:link w:val="14"/>
    <w:qFormat/>
    <w:uiPriority w:val="99"/>
    <w:rPr>
      <w:rFonts w:ascii="Calibri" w:hAnsi="Calibri" w:eastAsia="楷体" w:cs="Times New Roman"/>
      <w:sz w:val="24"/>
    </w:rPr>
  </w:style>
  <w:style w:type="character" w:customStyle="1" w:styleId="123">
    <w:name w:val="批注主题 Char1"/>
    <w:basedOn w:val="122"/>
    <w:qFormat/>
    <w:uiPriority w:val="99"/>
    <w:rPr>
      <w:rFonts w:ascii="Calibri" w:hAnsi="Calibri" w:eastAsia="楷体" w:cs="Times New Roman"/>
      <w:b/>
      <w:bCs/>
      <w:sz w:val="24"/>
    </w:rPr>
  </w:style>
  <w:style w:type="character" w:customStyle="1" w:styleId="124">
    <w:name w:val="批注框文本 Char1"/>
    <w:basedOn w:val="35"/>
    <w:link w:val="22"/>
    <w:qFormat/>
    <w:uiPriority w:val="99"/>
    <w:rPr>
      <w:rFonts w:ascii="Calibri" w:hAnsi="Calibri" w:eastAsia="楷体" w:cs="Times New Roman"/>
      <w:sz w:val="18"/>
      <w:szCs w:val="18"/>
    </w:rPr>
  </w:style>
  <w:style w:type="character" w:customStyle="1" w:styleId="125">
    <w:name w:val="标题 Char1"/>
    <w:basedOn w:val="35"/>
    <w:qFormat/>
    <w:uiPriority w:val="10"/>
    <w:rPr>
      <w:rFonts w:eastAsia="宋体" w:asciiTheme="majorHAnsi" w:hAnsiTheme="majorHAnsi" w:cstheme="majorBidi"/>
      <w:b/>
      <w:bCs/>
      <w:sz w:val="32"/>
      <w:szCs w:val="32"/>
    </w:rPr>
  </w:style>
  <w:style w:type="paragraph" w:styleId="126">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7">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3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3">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4">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5">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6">
    <w:name w:val="图文"/>
    <w:basedOn w:val="1"/>
    <w:qFormat/>
    <w:uiPriority w:val="0"/>
    <w:pPr>
      <w:adjustRightInd w:val="0"/>
      <w:snapToGrid w:val="0"/>
      <w:spacing w:after="50" w:line="360" w:lineRule="auto"/>
    </w:pPr>
    <w:rPr>
      <w:sz w:val="24"/>
      <w:szCs w:val="24"/>
    </w:rPr>
  </w:style>
  <w:style w:type="paragraph" w:customStyle="1" w:styleId="137">
    <w:name w:val="1"/>
    <w:basedOn w:val="1"/>
    <w:next w:val="21"/>
    <w:qFormat/>
    <w:uiPriority w:val="0"/>
    <w:pPr>
      <w:tabs>
        <w:tab w:val="left" w:pos="3060"/>
      </w:tabs>
      <w:spacing w:line="140" w:lineRule="atLeast"/>
      <w:ind w:firstLine="560" w:firstLineChars="200"/>
    </w:pPr>
    <w:rPr>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37</Pages>
  <Words>1757</Words>
  <Characters>10020</Characters>
  <Lines>83</Lines>
  <Paragraphs>23</Paragraphs>
  <TotalTime>1</TotalTime>
  <ScaleCrop>false</ScaleCrop>
  <LinksUpToDate>false</LinksUpToDate>
  <CharactersWithSpaces>11754</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卢荣</cp:lastModifiedBy>
  <dcterms:modified xsi:type="dcterms:W3CDTF">2026-11-06T09:25:51Z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57CD75A06C994E5B9FB261641B1240B6</vt:lpwstr>
  </property>
</Properties>
</file>